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6"/>
          <w:szCs w:val="36"/>
        </w:rPr>
      </w:pPr>
    </w:p>
    <w:p>
      <w:pPr>
        <w:widowControl/>
        <w:spacing w:line="360" w:lineRule="auto"/>
        <w:jc w:val="center"/>
        <w:outlineLvl w:val="1"/>
        <w:rPr>
          <w:rFonts w:ascii="宋体" w:hAnsi="宋体"/>
          <w:sz w:val="52"/>
          <w:szCs w:val="52"/>
        </w:rPr>
      </w:pPr>
      <w:bookmarkStart w:id="0" w:name="_Toc28791"/>
      <w:r>
        <w:rPr>
          <w:rFonts w:hint="eastAsia" w:ascii="宋体" w:hAnsi="宋体"/>
          <w:sz w:val="52"/>
          <w:szCs w:val="52"/>
        </w:rPr>
        <w:t>世界互联网大会智慧指挥平台升级和运维项目</w:t>
      </w:r>
      <w:bookmarkEnd w:id="0"/>
    </w:p>
    <w:p>
      <w:pPr>
        <w:widowControl/>
        <w:spacing w:line="360" w:lineRule="auto"/>
        <w:jc w:val="center"/>
        <w:outlineLvl w:val="1"/>
        <w:rPr>
          <w:rFonts w:ascii="宋体" w:hAnsi="宋体" w:cs="Tahoma"/>
          <w:b/>
          <w:bCs/>
          <w:kern w:val="36"/>
          <w:szCs w:val="21"/>
        </w:rPr>
      </w:pPr>
    </w:p>
    <w:p>
      <w:pPr>
        <w:widowControl/>
        <w:spacing w:line="360" w:lineRule="auto"/>
        <w:jc w:val="center"/>
        <w:outlineLvl w:val="1"/>
        <w:rPr>
          <w:rFonts w:ascii="宋体" w:hAnsi="宋体" w:cs="Tahoma"/>
          <w:b/>
          <w:bCs/>
          <w:kern w:val="36"/>
          <w:szCs w:val="21"/>
        </w:rPr>
      </w:pPr>
    </w:p>
    <w:p>
      <w:pPr>
        <w:widowControl/>
        <w:spacing w:line="360" w:lineRule="auto"/>
        <w:jc w:val="center"/>
        <w:outlineLvl w:val="1"/>
        <w:rPr>
          <w:rFonts w:ascii="宋体" w:hAnsi="宋体" w:cs="Tahoma"/>
          <w:b/>
          <w:bCs/>
          <w:kern w:val="36"/>
          <w:sz w:val="52"/>
          <w:szCs w:val="52"/>
        </w:rPr>
      </w:pPr>
      <w:bookmarkStart w:id="1" w:name="_Toc488072241"/>
      <w:bookmarkStart w:id="2" w:name="_Toc488072154"/>
      <w:bookmarkStart w:id="3" w:name="_Toc12184"/>
      <w:bookmarkStart w:id="4" w:name="_Toc404289979"/>
      <w:bookmarkStart w:id="5" w:name="_Toc509308043"/>
      <w:bookmarkStart w:id="6" w:name="_Toc477785301"/>
      <w:bookmarkStart w:id="7" w:name="_Toc404289887"/>
      <w:bookmarkStart w:id="8" w:name="_Toc509308123"/>
      <w:r>
        <w:rPr>
          <w:rFonts w:hint="eastAsia" w:ascii="宋体" w:hAnsi="宋体" w:cs="Tahoma"/>
          <w:b/>
          <w:bCs/>
          <w:kern w:val="36"/>
          <w:sz w:val="52"/>
          <w:szCs w:val="52"/>
        </w:rPr>
        <w:t>公</w:t>
      </w:r>
      <w:bookmarkEnd w:id="1"/>
      <w:bookmarkEnd w:id="2"/>
      <w:bookmarkEnd w:id="3"/>
      <w:bookmarkEnd w:id="4"/>
      <w:bookmarkEnd w:id="5"/>
      <w:bookmarkEnd w:id="6"/>
      <w:bookmarkEnd w:id="7"/>
      <w:bookmarkEnd w:id="8"/>
    </w:p>
    <w:p>
      <w:pPr>
        <w:widowControl/>
        <w:spacing w:line="360" w:lineRule="auto"/>
        <w:jc w:val="center"/>
        <w:outlineLvl w:val="1"/>
        <w:rPr>
          <w:rFonts w:ascii="宋体" w:hAnsi="宋体" w:cs="Tahoma"/>
          <w:b/>
          <w:bCs/>
          <w:kern w:val="36"/>
          <w:sz w:val="52"/>
          <w:szCs w:val="52"/>
        </w:rPr>
      </w:pPr>
      <w:bookmarkStart w:id="9" w:name="_Toc32020"/>
      <w:bookmarkStart w:id="10" w:name="_Toc477785302"/>
      <w:bookmarkStart w:id="11" w:name="_Toc488072155"/>
      <w:bookmarkStart w:id="12" w:name="_Toc404289888"/>
      <w:bookmarkStart w:id="13" w:name="_Toc488072242"/>
      <w:bookmarkStart w:id="14" w:name="_Toc404289980"/>
      <w:bookmarkStart w:id="15" w:name="_Toc509308044"/>
      <w:bookmarkStart w:id="16" w:name="_Toc509308124"/>
      <w:r>
        <w:rPr>
          <w:rFonts w:hint="eastAsia" w:ascii="宋体" w:hAnsi="宋体" w:cs="Tahoma"/>
          <w:b/>
          <w:bCs/>
          <w:kern w:val="36"/>
          <w:sz w:val="52"/>
          <w:szCs w:val="52"/>
        </w:rPr>
        <w:t>开</w:t>
      </w:r>
      <w:bookmarkEnd w:id="9"/>
      <w:bookmarkEnd w:id="10"/>
      <w:bookmarkEnd w:id="11"/>
      <w:bookmarkEnd w:id="12"/>
      <w:bookmarkEnd w:id="13"/>
      <w:bookmarkEnd w:id="14"/>
      <w:bookmarkEnd w:id="15"/>
      <w:bookmarkEnd w:id="16"/>
    </w:p>
    <w:p>
      <w:pPr>
        <w:widowControl/>
        <w:spacing w:line="360" w:lineRule="auto"/>
        <w:jc w:val="center"/>
        <w:outlineLvl w:val="1"/>
        <w:rPr>
          <w:rFonts w:ascii="宋体" w:hAnsi="宋体" w:cs="Tahoma"/>
          <w:b/>
          <w:bCs/>
          <w:kern w:val="36"/>
          <w:sz w:val="52"/>
          <w:szCs w:val="52"/>
        </w:rPr>
      </w:pPr>
      <w:bookmarkStart w:id="17" w:name="_Toc509308125"/>
      <w:bookmarkStart w:id="18" w:name="_Toc488072156"/>
      <w:bookmarkStart w:id="19" w:name="_Toc24311"/>
      <w:bookmarkStart w:id="20" w:name="_Toc477785303"/>
      <w:bookmarkStart w:id="21" w:name="_Toc509308045"/>
      <w:bookmarkStart w:id="22" w:name="_Toc404289981"/>
      <w:bookmarkStart w:id="23" w:name="_Toc404289889"/>
      <w:bookmarkStart w:id="24" w:name="_Toc488072243"/>
      <w:r>
        <w:rPr>
          <w:rFonts w:hint="eastAsia" w:ascii="宋体" w:hAnsi="宋体" w:cs="Tahoma"/>
          <w:b/>
          <w:bCs/>
          <w:kern w:val="36"/>
          <w:sz w:val="52"/>
          <w:szCs w:val="52"/>
        </w:rPr>
        <w:t>招</w:t>
      </w:r>
      <w:bookmarkEnd w:id="17"/>
      <w:bookmarkEnd w:id="18"/>
      <w:bookmarkEnd w:id="19"/>
      <w:bookmarkEnd w:id="20"/>
      <w:bookmarkEnd w:id="21"/>
      <w:bookmarkEnd w:id="22"/>
      <w:bookmarkEnd w:id="23"/>
      <w:bookmarkEnd w:id="24"/>
    </w:p>
    <w:p>
      <w:pPr>
        <w:widowControl/>
        <w:spacing w:line="360" w:lineRule="auto"/>
        <w:jc w:val="center"/>
        <w:outlineLvl w:val="1"/>
        <w:rPr>
          <w:rFonts w:ascii="宋体" w:hAnsi="宋体"/>
          <w:sz w:val="52"/>
          <w:szCs w:val="52"/>
        </w:rPr>
      </w:pPr>
      <w:bookmarkStart w:id="25" w:name="_Toc509308126"/>
      <w:bookmarkStart w:id="26" w:name="_Toc404289982"/>
      <w:bookmarkStart w:id="27" w:name="_Toc404289890"/>
      <w:bookmarkStart w:id="28" w:name="_Toc488072244"/>
      <w:bookmarkStart w:id="29" w:name="_Toc509308046"/>
      <w:bookmarkStart w:id="30" w:name="_Toc477785304"/>
      <w:bookmarkStart w:id="31" w:name="_Toc488072157"/>
      <w:bookmarkStart w:id="32" w:name="_Toc22907"/>
      <w:r>
        <w:rPr>
          <w:rFonts w:hint="eastAsia" w:ascii="宋体" w:hAnsi="宋体" w:cs="Tahoma"/>
          <w:b/>
          <w:bCs/>
          <w:kern w:val="36"/>
          <w:sz w:val="52"/>
          <w:szCs w:val="52"/>
        </w:rPr>
        <w:t>标</w:t>
      </w:r>
      <w:bookmarkEnd w:id="25"/>
      <w:bookmarkEnd w:id="26"/>
      <w:bookmarkEnd w:id="27"/>
      <w:bookmarkEnd w:id="28"/>
      <w:bookmarkEnd w:id="29"/>
      <w:bookmarkEnd w:id="30"/>
      <w:bookmarkEnd w:id="31"/>
      <w:bookmarkEnd w:id="32"/>
    </w:p>
    <w:p>
      <w:pPr>
        <w:spacing w:line="360" w:lineRule="auto"/>
        <w:jc w:val="center"/>
        <w:rPr>
          <w:rFonts w:ascii="宋体" w:hAnsi="宋体"/>
          <w:b/>
          <w:sz w:val="52"/>
          <w:szCs w:val="52"/>
        </w:rPr>
      </w:pPr>
      <w:r>
        <w:rPr>
          <w:rFonts w:hint="eastAsia" w:ascii="宋体" w:hAnsi="宋体"/>
          <w:b/>
          <w:sz w:val="52"/>
          <w:szCs w:val="52"/>
        </w:rPr>
        <w:t>文</w:t>
      </w:r>
    </w:p>
    <w:p>
      <w:pPr>
        <w:spacing w:line="360" w:lineRule="auto"/>
        <w:jc w:val="center"/>
        <w:rPr>
          <w:rFonts w:ascii="宋体" w:hAnsi="宋体"/>
          <w:b/>
          <w:sz w:val="52"/>
          <w:szCs w:val="52"/>
        </w:rPr>
      </w:pPr>
      <w:r>
        <w:rPr>
          <w:rFonts w:hint="eastAsia" w:ascii="宋体" w:hAnsi="宋体"/>
          <w:b/>
          <w:sz w:val="52"/>
          <w:szCs w:val="52"/>
        </w:rPr>
        <w:t>件</w:t>
      </w:r>
    </w:p>
    <w:p>
      <w:pPr>
        <w:pStyle w:val="19"/>
        <w:snapToGrid w:val="0"/>
        <w:spacing w:before="120" w:after="120" w:line="360" w:lineRule="auto"/>
        <w:jc w:val="center"/>
        <w:rPr>
          <w:rFonts w:hAnsi="宋体"/>
          <w:b/>
          <w:bCs/>
          <w:sz w:val="28"/>
          <w:szCs w:val="21"/>
        </w:rPr>
      </w:pPr>
    </w:p>
    <w:p>
      <w:pPr>
        <w:snapToGrid w:val="0"/>
        <w:spacing w:line="360" w:lineRule="auto"/>
        <w:rPr>
          <w:rFonts w:ascii="宋体" w:hAnsi="宋体"/>
          <w:b/>
          <w:bCs/>
          <w:w w:val="95"/>
          <w:sz w:val="28"/>
          <w:szCs w:val="28"/>
        </w:rPr>
      </w:pPr>
    </w:p>
    <w:p>
      <w:pPr>
        <w:snapToGrid w:val="0"/>
        <w:spacing w:line="360" w:lineRule="auto"/>
        <w:ind w:firstLine="1405" w:firstLineChars="500"/>
        <w:rPr>
          <w:rFonts w:ascii="宋体" w:hAnsi="宋体" w:cs="Tahoma"/>
          <w:b/>
          <w:bCs/>
          <w:kern w:val="36"/>
          <w:sz w:val="28"/>
          <w:szCs w:val="28"/>
        </w:rPr>
      </w:pPr>
      <w:r>
        <w:rPr>
          <w:rFonts w:ascii="宋体" w:hAnsi="宋体" w:cs="Tahoma"/>
          <w:b/>
          <w:bCs/>
          <w:kern w:val="36"/>
          <w:sz w:val="28"/>
          <w:szCs w:val="28"/>
        </w:rPr>
        <w:t>采购单位：</w:t>
      </w:r>
      <w:r>
        <w:rPr>
          <w:rFonts w:hint="eastAsia" w:ascii="宋体" w:hAnsi="宋体" w:cs="Tahoma"/>
          <w:b/>
          <w:bCs/>
          <w:kern w:val="36"/>
          <w:sz w:val="28"/>
          <w:szCs w:val="28"/>
        </w:rPr>
        <w:t>桐乡市世界互联网大会承办工作委员会</w:t>
      </w:r>
    </w:p>
    <w:p>
      <w:pPr>
        <w:snapToGrid w:val="0"/>
        <w:spacing w:line="360" w:lineRule="auto"/>
        <w:ind w:firstLine="1383" w:firstLineChars="492"/>
        <w:rPr>
          <w:rFonts w:ascii="宋体" w:hAnsi="宋体" w:cs="Tahoma"/>
          <w:b/>
          <w:bCs/>
          <w:kern w:val="36"/>
          <w:sz w:val="28"/>
          <w:szCs w:val="28"/>
        </w:rPr>
      </w:pPr>
      <w:r>
        <w:rPr>
          <w:rFonts w:hint="eastAsia" w:ascii="宋体" w:hAnsi="宋体" w:cs="Tahoma"/>
          <w:b/>
          <w:bCs/>
          <w:kern w:val="36"/>
          <w:sz w:val="28"/>
          <w:szCs w:val="28"/>
        </w:rPr>
        <w:t>招标编号: 同诚-政府采购（2022）36号</w:t>
      </w:r>
    </w:p>
    <w:p>
      <w:pPr>
        <w:snapToGrid w:val="0"/>
        <w:spacing w:line="360" w:lineRule="auto"/>
        <w:ind w:firstLine="1335" w:firstLineChars="500"/>
        <w:rPr>
          <w:rFonts w:ascii="宋体" w:hAnsi="宋体"/>
          <w:b/>
          <w:sz w:val="28"/>
          <w:szCs w:val="28"/>
        </w:rPr>
      </w:pPr>
      <w:r>
        <w:rPr>
          <w:rFonts w:ascii="宋体" w:hAnsi="宋体"/>
          <w:b/>
          <w:bCs/>
          <w:w w:val="95"/>
          <w:sz w:val="28"/>
          <w:szCs w:val="28"/>
        </w:rPr>
        <w:t>代理机构：</w:t>
      </w:r>
      <w:r>
        <w:rPr>
          <w:rFonts w:hint="eastAsia" w:ascii="宋体" w:hAnsi="宋体"/>
          <w:b/>
          <w:bCs/>
          <w:w w:val="95"/>
          <w:sz w:val="28"/>
          <w:szCs w:val="28"/>
        </w:rPr>
        <w:t>浙江同诚建设管理有限公司</w:t>
      </w:r>
    </w:p>
    <w:p>
      <w:pPr>
        <w:snapToGrid w:val="0"/>
        <w:spacing w:line="360" w:lineRule="auto"/>
        <w:ind w:firstLine="3072" w:firstLineChars="1150"/>
        <w:rPr>
          <w:rFonts w:ascii="宋体" w:hAnsi="宋体"/>
          <w:b/>
          <w:sz w:val="28"/>
          <w:szCs w:val="28"/>
        </w:rPr>
      </w:pPr>
      <w:r>
        <w:rPr>
          <w:rFonts w:hint="eastAsia" w:ascii="宋体" w:hAnsi="宋体"/>
          <w:b/>
          <w:bCs/>
          <w:w w:val="95"/>
          <w:sz w:val="28"/>
          <w:szCs w:val="28"/>
        </w:rPr>
        <w:t>2022年7月</w:t>
      </w:r>
    </w:p>
    <w:p>
      <w:pPr>
        <w:snapToGrid w:val="0"/>
        <w:spacing w:line="360" w:lineRule="auto"/>
        <w:ind w:left="384" w:leftChars="183" w:firstLine="3374" w:firstLineChars="1607"/>
        <w:rPr>
          <w:rFonts w:ascii="宋体" w:hAnsi="宋体"/>
          <w:szCs w:val="21"/>
        </w:rPr>
        <w:sectPr>
          <w:headerReference r:id="rId3" w:type="default"/>
          <w:footerReference r:id="rId4" w:type="default"/>
          <w:footerReference r:id="rId5" w:type="even"/>
          <w:pgSz w:w="11906" w:h="16838"/>
          <w:pgMar w:top="1474" w:right="1588" w:bottom="1247" w:left="1701" w:header="851" w:footer="851" w:gutter="0"/>
          <w:pgNumType w:start="1"/>
          <w:cols w:space="720" w:num="1"/>
          <w:docGrid w:linePitch="312" w:charSpace="0"/>
        </w:sectPr>
      </w:pPr>
    </w:p>
    <w:p>
      <w:pPr>
        <w:widowControl/>
        <w:spacing w:line="360" w:lineRule="auto"/>
        <w:jc w:val="center"/>
        <w:outlineLvl w:val="1"/>
        <w:rPr>
          <w:rFonts w:ascii="宋体" w:hAnsi="宋体" w:cs="Tahoma"/>
          <w:b/>
          <w:bCs/>
          <w:kern w:val="36"/>
          <w:szCs w:val="21"/>
        </w:rPr>
      </w:pPr>
    </w:p>
    <w:p>
      <w:pPr>
        <w:pStyle w:val="19"/>
        <w:spacing w:before="120" w:after="120" w:line="360" w:lineRule="auto"/>
        <w:jc w:val="center"/>
        <w:rPr>
          <w:rFonts w:hAnsi="宋体"/>
          <w:sz w:val="44"/>
          <w:szCs w:val="44"/>
        </w:rPr>
      </w:pPr>
      <w:r>
        <w:rPr>
          <w:rFonts w:hint="eastAsia" w:hAnsi="宋体"/>
          <w:b/>
          <w:sz w:val="44"/>
          <w:szCs w:val="44"/>
        </w:rPr>
        <w:t>目  录</w:t>
      </w:r>
    </w:p>
    <w:p>
      <w:pPr>
        <w:pStyle w:val="29"/>
        <w:tabs>
          <w:tab w:val="right" w:leader="dot" w:pos="9185"/>
          <w:tab w:val="clear" w:pos="8302"/>
        </w:tabs>
        <w:ind w:left="392" w:hanging="392"/>
      </w:pPr>
      <w:r>
        <w:rPr>
          <w:color w:val="auto"/>
          <w:sz w:val="28"/>
          <w:szCs w:val="28"/>
        </w:rPr>
        <w:fldChar w:fldCharType="begin"/>
      </w:r>
      <w:r>
        <w:rPr>
          <w:rFonts w:hint="eastAsia"/>
          <w:color w:val="auto"/>
          <w:sz w:val="28"/>
          <w:szCs w:val="28"/>
        </w:rPr>
        <w:instrText xml:space="preserve">TOC \o "1-3" \h \z \u</w:instrText>
      </w:r>
      <w:r>
        <w:rPr>
          <w:color w:val="auto"/>
          <w:sz w:val="28"/>
          <w:szCs w:val="28"/>
        </w:rPr>
        <w:fldChar w:fldCharType="separate"/>
      </w:r>
    </w:p>
    <w:p>
      <w:pPr>
        <w:pStyle w:val="29"/>
        <w:tabs>
          <w:tab w:val="right" w:leader="dot" w:pos="9185"/>
          <w:tab w:val="clear" w:pos="8302"/>
        </w:tabs>
        <w:spacing w:line="480" w:lineRule="auto"/>
      </w:pPr>
      <w:r>
        <w:fldChar w:fldCharType="begin"/>
      </w:r>
      <w:r>
        <w:instrText xml:space="preserve"> HYPERLINK \l "_Toc19412" </w:instrText>
      </w:r>
      <w:r>
        <w:fldChar w:fldCharType="separate"/>
      </w:r>
      <w:r>
        <w:rPr>
          <w:rFonts w:hint="eastAsia"/>
        </w:rPr>
        <w:t>第一章公开招标采购公告</w:t>
      </w:r>
      <w:r>
        <w:tab/>
      </w:r>
      <w:r>
        <w:fldChar w:fldCharType="begin"/>
      </w:r>
      <w:r>
        <w:instrText xml:space="preserve"> PAGEREF _Toc19412 \h </w:instrText>
      </w:r>
      <w:r>
        <w:fldChar w:fldCharType="separate"/>
      </w:r>
      <w:r>
        <w:t>4</w:t>
      </w:r>
      <w:r>
        <w:fldChar w:fldCharType="end"/>
      </w:r>
      <w:r>
        <w:fldChar w:fldCharType="end"/>
      </w:r>
    </w:p>
    <w:p>
      <w:pPr>
        <w:pStyle w:val="29"/>
        <w:tabs>
          <w:tab w:val="right" w:leader="dot" w:pos="9185"/>
          <w:tab w:val="clear" w:pos="8302"/>
        </w:tabs>
        <w:spacing w:line="480" w:lineRule="auto"/>
      </w:pPr>
      <w:r>
        <w:fldChar w:fldCharType="begin"/>
      </w:r>
      <w:r>
        <w:instrText xml:space="preserve"> HYPERLINK \l "_Toc18375" </w:instrText>
      </w:r>
      <w:r>
        <w:fldChar w:fldCharType="separate"/>
      </w:r>
      <w:r>
        <w:rPr>
          <w:rFonts w:hint="eastAsia"/>
        </w:rPr>
        <w:t>第二章招标需求</w:t>
      </w:r>
      <w:r>
        <w:tab/>
      </w:r>
      <w:r>
        <w:fldChar w:fldCharType="begin"/>
      </w:r>
      <w:r>
        <w:instrText xml:space="preserve"> PAGEREF _Toc18375 \h </w:instrText>
      </w:r>
      <w:r>
        <w:fldChar w:fldCharType="separate"/>
      </w:r>
      <w:r>
        <w:t>9</w:t>
      </w:r>
      <w:r>
        <w:fldChar w:fldCharType="end"/>
      </w:r>
      <w:r>
        <w:fldChar w:fldCharType="end"/>
      </w:r>
    </w:p>
    <w:p>
      <w:pPr>
        <w:pStyle w:val="29"/>
        <w:tabs>
          <w:tab w:val="right" w:leader="dot" w:pos="9185"/>
          <w:tab w:val="clear" w:pos="8302"/>
        </w:tabs>
        <w:spacing w:line="480" w:lineRule="auto"/>
      </w:pPr>
      <w:r>
        <w:fldChar w:fldCharType="begin"/>
      </w:r>
      <w:r>
        <w:instrText xml:space="preserve"> HYPERLINK \l "_Toc12521" </w:instrText>
      </w:r>
      <w:r>
        <w:fldChar w:fldCharType="separate"/>
      </w:r>
      <w:r>
        <w:rPr>
          <w:rFonts w:hint="eastAsia"/>
        </w:rPr>
        <w:t>第三章投标人须知</w:t>
      </w:r>
      <w:r>
        <w:tab/>
      </w:r>
      <w:r>
        <w:fldChar w:fldCharType="begin"/>
      </w:r>
      <w:r>
        <w:instrText xml:space="preserve"> PAGEREF _Toc12521 \h </w:instrText>
      </w:r>
      <w:r>
        <w:fldChar w:fldCharType="separate"/>
      </w:r>
      <w:r>
        <w:t>11</w:t>
      </w:r>
      <w:r>
        <w:fldChar w:fldCharType="end"/>
      </w:r>
      <w:r>
        <w:fldChar w:fldCharType="end"/>
      </w:r>
    </w:p>
    <w:p>
      <w:pPr>
        <w:pStyle w:val="29"/>
        <w:tabs>
          <w:tab w:val="right" w:leader="dot" w:pos="9185"/>
          <w:tab w:val="clear" w:pos="8302"/>
        </w:tabs>
        <w:spacing w:line="480" w:lineRule="auto"/>
      </w:pPr>
      <w:r>
        <w:fldChar w:fldCharType="begin"/>
      </w:r>
      <w:r>
        <w:instrText xml:space="preserve"> HYPERLINK \l "_Toc4612" </w:instrText>
      </w:r>
      <w:r>
        <w:fldChar w:fldCharType="separate"/>
      </w:r>
      <w:r>
        <w:rPr>
          <w:rFonts w:hint="eastAsia"/>
        </w:rPr>
        <w:t>第四章评标办法</w:t>
      </w:r>
      <w:r>
        <w:tab/>
      </w:r>
      <w:r>
        <w:fldChar w:fldCharType="begin"/>
      </w:r>
      <w:r>
        <w:instrText xml:space="preserve"> PAGEREF _Toc4612 \h </w:instrText>
      </w:r>
      <w:r>
        <w:fldChar w:fldCharType="separate"/>
      </w:r>
      <w:r>
        <w:t>23</w:t>
      </w:r>
      <w:r>
        <w:fldChar w:fldCharType="end"/>
      </w:r>
      <w:r>
        <w:fldChar w:fldCharType="end"/>
      </w:r>
    </w:p>
    <w:p>
      <w:pPr>
        <w:pStyle w:val="29"/>
        <w:tabs>
          <w:tab w:val="right" w:leader="dot" w:pos="9185"/>
          <w:tab w:val="clear" w:pos="8302"/>
        </w:tabs>
        <w:spacing w:line="480" w:lineRule="auto"/>
      </w:pPr>
      <w:r>
        <w:fldChar w:fldCharType="begin"/>
      </w:r>
      <w:r>
        <w:instrText xml:space="preserve"> HYPERLINK \l "_Toc22725" </w:instrText>
      </w:r>
      <w:r>
        <w:fldChar w:fldCharType="separate"/>
      </w:r>
      <w:r>
        <w:rPr>
          <w:rFonts w:hint="eastAsia"/>
        </w:rPr>
        <w:t>第五章政府采购合同</w:t>
      </w:r>
      <w:r>
        <w:tab/>
      </w:r>
      <w:r>
        <w:fldChar w:fldCharType="begin"/>
      </w:r>
      <w:r>
        <w:instrText xml:space="preserve"> PAGEREF _Toc22725 \h </w:instrText>
      </w:r>
      <w:r>
        <w:fldChar w:fldCharType="separate"/>
      </w:r>
      <w:r>
        <w:t>26</w:t>
      </w:r>
      <w:r>
        <w:fldChar w:fldCharType="end"/>
      </w:r>
      <w:r>
        <w:fldChar w:fldCharType="end"/>
      </w:r>
    </w:p>
    <w:p>
      <w:pPr>
        <w:pStyle w:val="29"/>
        <w:tabs>
          <w:tab w:val="right" w:leader="dot" w:pos="9185"/>
          <w:tab w:val="clear" w:pos="8302"/>
        </w:tabs>
        <w:spacing w:line="480" w:lineRule="auto"/>
      </w:pPr>
      <w:r>
        <w:fldChar w:fldCharType="begin"/>
      </w:r>
      <w:r>
        <w:instrText xml:space="preserve"> HYPERLINK \l "_Toc3626" </w:instrText>
      </w:r>
      <w:r>
        <w:fldChar w:fldCharType="separate"/>
      </w:r>
      <w:r>
        <w:rPr>
          <w:rFonts w:hint="eastAsia"/>
        </w:rPr>
        <w:t>第六章　投标文件格式</w:t>
      </w:r>
      <w:r>
        <w:tab/>
      </w:r>
      <w:r>
        <w:fldChar w:fldCharType="begin"/>
      </w:r>
      <w:r>
        <w:instrText xml:space="preserve"> PAGEREF _Toc3626 \h </w:instrText>
      </w:r>
      <w:r>
        <w:fldChar w:fldCharType="separate"/>
      </w:r>
      <w:r>
        <w:t>28</w:t>
      </w:r>
      <w:r>
        <w:fldChar w:fldCharType="end"/>
      </w:r>
      <w:r>
        <w:fldChar w:fldCharType="end"/>
      </w:r>
    </w:p>
    <w:p>
      <w:pPr>
        <w:widowControl/>
        <w:spacing w:line="360" w:lineRule="auto"/>
        <w:jc w:val="center"/>
        <w:outlineLvl w:val="1"/>
        <w:rPr>
          <w:rFonts w:ascii="宋体" w:hAnsi="宋体"/>
          <w:b/>
          <w:sz w:val="28"/>
          <w:szCs w:val="28"/>
        </w:rPr>
      </w:pPr>
      <w:r>
        <w:rPr>
          <w:rFonts w:ascii="宋体" w:hAnsi="宋体"/>
          <w:szCs w:val="28"/>
        </w:rPr>
        <w:fldChar w:fldCharType="end"/>
      </w:r>
    </w:p>
    <w:p>
      <w:pPr>
        <w:widowControl/>
        <w:spacing w:line="360" w:lineRule="auto"/>
        <w:jc w:val="center"/>
        <w:outlineLvl w:val="1"/>
        <w:rPr>
          <w:rFonts w:ascii="宋体" w:hAnsi="宋体"/>
          <w:b/>
          <w:szCs w:val="21"/>
        </w:rPr>
      </w:pPr>
    </w:p>
    <w:p>
      <w:pPr>
        <w:widowControl/>
        <w:spacing w:line="360" w:lineRule="auto"/>
        <w:jc w:val="center"/>
        <w:outlineLvl w:val="1"/>
        <w:rPr>
          <w:rFonts w:ascii="宋体" w:hAnsi="宋体"/>
          <w:b/>
          <w:szCs w:val="21"/>
        </w:rPr>
      </w:pPr>
    </w:p>
    <w:p>
      <w:pPr>
        <w:widowControl/>
        <w:spacing w:line="360" w:lineRule="auto"/>
        <w:jc w:val="center"/>
        <w:outlineLvl w:val="1"/>
        <w:rPr>
          <w:rFonts w:ascii="宋体" w:hAnsi="宋体"/>
          <w:b/>
          <w:szCs w:val="21"/>
        </w:rPr>
      </w:pPr>
    </w:p>
    <w:p>
      <w:pPr>
        <w:widowControl/>
        <w:spacing w:line="360" w:lineRule="auto"/>
        <w:jc w:val="center"/>
        <w:outlineLvl w:val="1"/>
        <w:rPr>
          <w:rFonts w:ascii="宋体" w:hAnsi="宋体"/>
          <w:b/>
          <w:szCs w:val="21"/>
        </w:rPr>
      </w:pPr>
    </w:p>
    <w:p>
      <w:pPr>
        <w:widowControl/>
        <w:spacing w:line="360" w:lineRule="auto"/>
        <w:jc w:val="center"/>
        <w:outlineLvl w:val="1"/>
        <w:rPr>
          <w:rFonts w:ascii="宋体" w:hAnsi="宋体"/>
          <w:b/>
          <w:szCs w:val="21"/>
        </w:rPr>
      </w:pPr>
    </w:p>
    <w:p>
      <w:pPr>
        <w:widowControl/>
        <w:spacing w:line="360" w:lineRule="auto"/>
        <w:jc w:val="center"/>
        <w:outlineLvl w:val="1"/>
        <w:rPr>
          <w:rFonts w:ascii="宋体" w:hAnsi="宋体"/>
          <w:b/>
          <w:szCs w:val="21"/>
        </w:rPr>
      </w:pPr>
    </w:p>
    <w:p>
      <w:pPr>
        <w:widowControl/>
        <w:spacing w:line="360" w:lineRule="auto"/>
        <w:jc w:val="center"/>
        <w:outlineLvl w:val="1"/>
        <w:rPr>
          <w:rFonts w:ascii="宋体" w:hAnsi="宋体"/>
          <w:b/>
          <w:szCs w:val="21"/>
        </w:rPr>
      </w:pPr>
    </w:p>
    <w:p>
      <w:pPr>
        <w:widowControl/>
        <w:spacing w:line="360" w:lineRule="auto"/>
        <w:jc w:val="center"/>
        <w:outlineLvl w:val="1"/>
        <w:rPr>
          <w:rFonts w:ascii="宋体" w:hAnsi="宋体"/>
          <w:b/>
          <w:szCs w:val="21"/>
        </w:rPr>
      </w:pPr>
    </w:p>
    <w:p>
      <w:pPr>
        <w:widowControl/>
        <w:spacing w:line="360" w:lineRule="auto"/>
        <w:jc w:val="center"/>
        <w:outlineLvl w:val="1"/>
        <w:rPr>
          <w:rFonts w:ascii="宋体" w:hAnsi="宋体"/>
          <w:b/>
          <w:szCs w:val="21"/>
        </w:rPr>
      </w:pPr>
    </w:p>
    <w:p>
      <w:pPr>
        <w:widowControl/>
        <w:spacing w:line="360" w:lineRule="auto"/>
        <w:jc w:val="center"/>
        <w:outlineLvl w:val="1"/>
        <w:rPr>
          <w:rFonts w:ascii="宋体" w:hAnsi="宋体"/>
          <w:b/>
          <w:szCs w:val="21"/>
        </w:rPr>
      </w:pPr>
    </w:p>
    <w:p>
      <w:pPr>
        <w:widowControl/>
        <w:spacing w:line="360" w:lineRule="auto"/>
        <w:jc w:val="center"/>
        <w:outlineLvl w:val="1"/>
        <w:rPr>
          <w:rFonts w:ascii="宋体" w:hAnsi="宋体"/>
          <w:b/>
          <w:szCs w:val="21"/>
        </w:rPr>
      </w:pPr>
    </w:p>
    <w:p>
      <w:pPr>
        <w:pStyle w:val="19"/>
        <w:spacing w:before="120" w:after="120" w:line="360" w:lineRule="auto"/>
        <w:ind w:firstLine="723"/>
        <w:jc w:val="center"/>
        <w:outlineLvl w:val="0"/>
        <w:rPr>
          <w:rFonts w:hAnsi="宋体"/>
          <w:b/>
          <w:sz w:val="21"/>
          <w:szCs w:val="21"/>
        </w:rPr>
      </w:pPr>
    </w:p>
    <w:p>
      <w:pPr>
        <w:pStyle w:val="19"/>
        <w:spacing w:before="120" w:after="120" w:line="360" w:lineRule="auto"/>
        <w:ind w:firstLine="723"/>
        <w:jc w:val="center"/>
        <w:outlineLvl w:val="0"/>
        <w:rPr>
          <w:rFonts w:hAnsi="宋体"/>
          <w:b/>
          <w:sz w:val="21"/>
          <w:szCs w:val="21"/>
        </w:rPr>
      </w:pPr>
    </w:p>
    <w:p>
      <w:pPr>
        <w:pStyle w:val="19"/>
        <w:spacing w:before="120" w:after="120" w:line="360" w:lineRule="auto"/>
        <w:ind w:firstLine="723"/>
        <w:jc w:val="center"/>
        <w:outlineLvl w:val="0"/>
        <w:rPr>
          <w:rFonts w:hAnsi="宋体"/>
          <w:b/>
          <w:sz w:val="21"/>
          <w:szCs w:val="21"/>
        </w:rPr>
      </w:pPr>
    </w:p>
    <w:p>
      <w:pPr>
        <w:pStyle w:val="19"/>
        <w:spacing w:before="120" w:after="120" w:line="360" w:lineRule="auto"/>
        <w:outlineLvl w:val="0"/>
        <w:rPr>
          <w:rFonts w:hAnsi="宋体"/>
          <w:b/>
          <w:sz w:val="21"/>
          <w:szCs w:val="21"/>
        </w:rPr>
      </w:pPr>
    </w:p>
    <w:p>
      <w:pPr>
        <w:pStyle w:val="5"/>
        <w:jc w:val="center"/>
      </w:pPr>
      <w:bookmarkStart w:id="33" w:name="_Toc19412"/>
      <w:r>
        <w:rPr>
          <w:rFonts w:hint="eastAsia"/>
        </w:rPr>
        <w:t>第一章公开招标采购公告</w:t>
      </w:r>
      <w:bookmarkEnd w:id="33"/>
    </w:p>
    <w:p>
      <w:pPr>
        <w:pStyle w:val="31"/>
        <w:spacing w:before="255" w:after="255" w:line="380" w:lineRule="exact"/>
        <w:jc w:val="both"/>
        <w:rPr>
          <w:rFonts w:cs="Arial"/>
          <w:sz w:val="21"/>
          <w:szCs w:val="21"/>
        </w:rPr>
      </w:pPr>
      <w:r>
        <w:rPr>
          <w:rStyle w:val="37"/>
          <w:rFonts w:cs="Arial"/>
          <w:sz w:val="21"/>
          <w:szCs w:val="21"/>
        </w:rPr>
        <w:t>一、项目基本情况</w:t>
      </w:r>
    </w:p>
    <w:p>
      <w:pPr>
        <w:pStyle w:val="31"/>
        <w:spacing w:before="75" w:after="75" w:line="380" w:lineRule="exact"/>
        <w:rPr>
          <w:rStyle w:val="43"/>
          <w:rFonts w:cs="Arial"/>
          <w:sz w:val="21"/>
          <w:szCs w:val="21"/>
        </w:rPr>
      </w:pPr>
      <w:r>
        <w:rPr>
          <w:rFonts w:cs="Arial"/>
          <w:sz w:val="21"/>
          <w:szCs w:val="21"/>
        </w:rPr>
        <w:t>    项目编号：</w:t>
      </w:r>
      <w:r>
        <w:rPr>
          <w:rFonts w:hint="eastAsia" w:cs="Arial"/>
          <w:sz w:val="21"/>
          <w:szCs w:val="21"/>
        </w:rPr>
        <w:t>同诚-政府采购（2022）</w:t>
      </w:r>
      <w:r>
        <w:rPr>
          <w:rFonts w:hint="eastAsia" w:cs="Arial"/>
          <w:sz w:val="21"/>
          <w:szCs w:val="21"/>
          <w:lang w:val="en-US" w:eastAsia="zh-CN"/>
        </w:rPr>
        <w:t>36</w:t>
      </w:r>
      <w:r>
        <w:rPr>
          <w:rFonts w:hint="eastAsia" w:cs="Arial"/>
          <w:sz w:val="21"/>
          <w:szCs w:val="21"/>
        </w:rPr>
        <w:t>号</w:t>
      </w:r>
    </w:p>
    <w:p>
      <w:pPr>
        <w:pStyle w:val="31"/>
        <w:spacing w:before="75" w:after="75" w:line="380" w:lineRule="exact"/>
        <w:rPr>
          <w:rFonts w:cs="Arial"/>
          <w:sz w:val="21"/>
          <w:szCs w:val="21"/>
        </w:rPr>
      </w:pPr>
      <w:r>
        <w:rPr>
          <w:rFonts w:cs="Arial"/>
          <w:sz w:val="21"/>
          <w:szCs w:val="21"/>
        </w:rPr>
        <w:t>    项目名称：</w:t>
      </w:r>
      <w:r>
        <w:rPr>
          <w:rFonts w:hint="eastAsia" w:cs="Arial"/>
          <w:sz w:val="21"/>
          <w:szCs w:val="21"/>
        </w:rPr>
        <w:t>世界互联网大会智慧指挥平台升级和运维项目</w:t>
      </w:r>
    </w:p>
    <w:p>
      <w:pPr>
        <w:pStyle w:val="31"/>
        <w:spacing w:before="75" w:after="75" w:line="380" w:lineRule="exact"/>
        <w:rPr>
          <w:rFonts w:cs="Arial"/>
          <w:sz w:val="21"/>
          <w:szCs w:val="21"/>
        </w:rPr>
      </w:pPr>
      <w:r>
        <w:rPr>
          <w:rFonts w:cs="Arial"/>
          <w:sz w:val="21"/>
          <w:szCs w:val="21"/>
        </w:rPr>
        <w:t>    预算金额（元）：</w:t>
      </w:r>
      <w:r>
        <w:rPr>
          <w:rFonts w:hint="eastAsia" w:cs="Arial"/>
          <w:sz w:val="21"/>
          <w:szCs w:val="21"/>
        </w:rPr>
        <w:t>2000000</w:t>
      </w:r>
    </w:p>
    <w:p>
      <w:pPr>
        <w:pStyle w:val="31"/>
        <w:spacing w:before="75" w:after="75" w:line="380" w:lineRule="exact"/>
        <w:rPr>
          <w:rFonts w:cs="Arial"/>
          <w:sz w:val="21"/>
          <w:szCs w:val="21"/>
        </w:rPr>
      </w:pPr>
      <w:r>
        <w:rPr>
          <w:rFonts w:cs="Arial"/>
          <w:sz w:val="21"/>
          <w:szCs w:val="21"/>
        </w:rPr>
        <w:t>    最高限价（元）：</w:t>
      </w:r>
      <w:r>
        <w:rPr>
          <w:rFonts w:hint="eastAsia" w:cs="Arial"/>
          <w:sz w:val="21"/>
          <w:szCs w:val="21"/>
        </w:rPr>
        <w:t>2000000</w:t>
      </w:r>
    </w:p>
    <w:p>
      <w:pPr>
        <w:pStyle w:val="31"/>
        <w:spacing w:before="75" w:after="75" w:line="380" w:lineRule="exact"/>
        <w:rPr>
          <w:rStyle w:val="45"/>
          <w:rFonts w:cs="Arial"/>
          <w:sz w:val="21"/>
          <w:szCs w:val="21"/>
        </w:rPr>
      </w:pPr>
      <w:r>
        <w:rPr>
          <w:rStyle w:val="45"/>
          <w:rFonts w:cs="Arial"/>
          <w:sz w:val="21"/>
          <w:szCs w:val="21"/>
        </w:rPr>
        <w:t>    采购需求：</w:t>
      </w:r>
      <w:r>
        <w:rPr>
          <w:rStyle w:val="45"/>
          <w:rFonts w:hint="eastAsia" w:cs="Arial"/>
          <w:sz w:val="21"/>
          <w:szCs w:val="21"/>
        </w:rPr>
        <w:t>/</w:t>
      </w:r>
    </w:p>
    <w:p>
      <w:pPr>
        <w:pStyle w:val="31"/>
        <w:spacing w:before="75" w:after="75" w:line="380" w:lineRule="exact"/>
        <w:rPr>
          <w:rStyle w:val="45"/>
          <w:rFonts w:cs="Arial"/>
          <w:sz w:val="21"/>
          <w:szCs w:val="21"/>
        </w:rPr>
      </w:pPr>
    </w:p>
    <w:p>
      <w:pPr>
        <w:pStyle w:val="31"/>
        <w:spacing w:before="75" w:after="75" w:line="380" w:lineRule="exact"/>
        <w:ind w:firstLine="525" w:firstLineChars="250"/>
        <w:rPr>
          <w:rStyle w:val="45"/>
          <w:rFonts w:cs="Arial"/>
          <w:sz w:val="21"/>
          <w:szCs w:val="21"/>
        </w:rPr>
      </w:pPr>
      <w:r>
        <w:rPr>
          <w:rStyle w:val="45"/>
          <w:rFonts w:hint="eastAsia" w:cs="Arial"/>
          <w:sz w:val="21"/>
          <w:szCs w:val="21"/>
        </w:rPr>
        <w:t>标项名称: 世界互联网大会智慧指挥平台升级和运维项目</w:t>
      </w:r>
    </w:p>
    <w:p>
      <w:pPr>
        <w:pStyle w:val="31"/>
        <w:spacing w:before="75" w:after="75" w:line="380" w:lineRule="exact"/>
        <w:rPr>
          <w:rStyle w:val="45"/>
          <w:rFonts w:cs="Arial"/>
          <w:sz w:val="21"/>
          <w:szCs w:val="21"/>
        </w:rPr>
      </w:pPr>
      <w:r>
        <w:rPr>
          <w:rStyle w:val="45"/>
          <w:rFonts w:hint="eastAsia" w:cs="Arial"/>
          <w:sz w:val="21"/>
          <w:szCs w:val="21"/>
        </w:rPr>
        <w:t xml:space="preserve">      数量: 1  </w:t>
      </w:r>
    </w:p>
    <w:p>
      <w:pPr>
        <w:pStyle w:val="31"/>
        <w:spacing w:before="75" w:after="75" w:line="380" w:lineRule="exact"/>
        <w:rPr>
          <w:rStyle w:val="45"/>
          <w:rFonts w:cs="Arial"/>
          <w:sz w:val="21"/>
          <w:szCs w:val="21"/>
        </w:rPr>
      </w:pPr>
      <w:r>
        <w:rPr>
          <w:rStyle w:val="45"/>
          <w:rFonts w:hint="eastAsia" w:cs="Arial"/>
          <w:sz w:val="21"/>
          <w:szCs w:val="21"/>
        </w:rPr>
        <w:t xml:space="preserve">      预算金额（元）: </w:t>
      </w:r>
      <w:r>
        <w:rPr>
          <w:rFonts w:hint="eastAsia" w:cs="Arial"/>
          <w:sz w:val="21"/>
          <w:szCs w:val="21"/>
        </w:rPr>
        <w:t>2000000</w:t>
      </w:r>
    </w:p>
    <w:p>
      <w:pPr>
        <w:pStyle w:val="31"/>
        <w:spacing w:before="75" w:after="75" w:line="380" w:lineRule="exact"/>
        <w:ind w:firstLine="630" w:firstLineChars="300"/>
        <w:rPr>
          <w:rStyle w:val="45"/>
          <w:rFonts w:cs="Arial"/>
          <w:sz w:val="21"/>
          <w:szCs w:val="21"/>
        </w:rPr>
      </w:pPr>
      <w:r>
        <w:rPr>
          <w:rStyle w:val="45"/>
          <w:rFonts w:hint="eastAsia" w:cs="Arial"/>
          <w:sz w:val="21"/>
          <w:szCs w:val="21"/>
        </w:rPr>
        <w:t>简要规格描述或项目基本概况介绍、用途：对现有的智慧会务系统进行优化升级，并提供系统迁移部署、运维、安全保障等服务。</w:t>
      </w:r>
    </w:p>
    <w:p>
      <w:pPr>
        <w:pStyle w:val="31"/>
        <w:spacing w:before="75" w:after="75" w:line="380" w:lineRule="exact"/>
        <w:ind w:firstLine="630" w:firstLineChars="300"/>
        <w:rPr>
          <w:rStyle w:val="45"/>
          <w:rFonts w:cs="Arial"/>
          <w:sz w:val="21"/>
          <w:szCs w:val="21"/>
        </w:rPr>
      </w:pPr>
      <w:r>
        <w:rPr>
          <w:rStyle w:val="45"/>
          <w:rFonts w:hint="eastAsia" w:cs="Arial"/>
          <w:sz w:val="21"/>
          <w:szCs w:val="21"/>
        </w:rPr>
        <w:t>备注：/</w:t>
      </w:r>
    </w:p>
    <w:p>
      <w:pPr>
        <w:pStyle w:val="31"/>
        <w:spacing w:before="75" w:after="75" w:line="380" w:lineRule="exact"/>
        <w:ind w:firstLine="630" w:firstLineChars="300"/>
        <w:rPr>
          <w:rStyle w:val="45"/>
          <w:rFonts w:cs="Arial"/>
          <w:sz w:val="21"/>
          <w:szCs w:val="21"/>
        </w:rPr>
      </w:pPr>
    </w:p>
    <w:p>
      <w:pPr>
        <w:spacing w:line="380" w:lineRule="exact"/>
        <w:rPr>
          <w:rFonts w:ascii="宋体" w:hAnsi="宋体" w:cs="Arial"/>
          <w:szCs w:val="21"/>
          <w:highlight w:val="none"/>
        </w:rPr>
      </w:pPr>
      <w:r>
        <w:rPr>
          <w:rFonts w:ascii="宋体" w:hAnsi="宋体" w:cs="Arial"/>
          <w:szCs w:val="21"/>
          <w:highlight w:val="none"/>
        </w:rPr>
        <w:t> </w:t>
      </w:r>
      <w:r>
        <w:rPr>
          <w:rFonts w:hint="eastAsia" w:ascii="宋体" w:hAnsi="宋体" w:cs="Arial"/>
          <w:szCs w:val="21"/>
          <w:highlight w:val="none"/>
        </w:rPr>
        <w:t xml:space="preserve">  合同履约期限：</w:t>
      </w:r>
      <w:r>
        <w:rPr>
          <w:rFonts w:ascii="宋体" w:hAnsi="宋体" w:cs="Arial"/>
          <w:szCs w:val="21"/>
          <w:highlight w:val="none"/>
        </w:rPr>
        <w:t>2022年</w:t>
      </w:r>
      <w:r>
        <w:rPr>
          <w:rFonts w:hint="eastAsia" w:ascii="宋体" w:hAnsi="宋体"/>
          <w:snapToGrid w:val="0"/>
          <w:kern w:val="0"/>
          <w:szCs w:val="21"/>
          <w:highlight w:val="none"/>
        </w:rPr>
        <w:t>世界互联网大会前完成平台升级并交付甲方使用。</w:t>
      </w:r>
    </w:p>
    <w:p>
      <w:pPr>
        <w:pStyle w:val="31"/>
        <w:spacing w:before="75" w:after="75" w:line="380" w:lineRule="exact"/>
        <w:rPr>
          <w:rFonts w:cs="Arial"/>
          <w:sz w:val="21"/>
          <w:szCs w:val="21"/>
        </w:rPr>
      </w:pPr>
      <w:r>
        <w:rPr>
          <w:rFonts w:cs="Arial"/>
          <w:sz w:val="21"/>
          <w:szCs w:val="21"/>
        </w:rPr>
        <w:t> </w:t>
      </w:r>
      <w:r>
        <w:rPr>
          <w:rFonts w:hint="eastAsia" w:cs="Arial"/>
          <w:sz w:val="21"/>
          <w:szCs w:val="21"/>
        </w:rPr>
        <w:t xml:space="preserve">  </w:t>
      </w:r>
      <w:r>
        <w:rPr>
          <w:rFonts w:cs="Arial"/>
          <w:sz w:val="21"/>
          <w:szCs w:val="21"/>
        </w:rPr>
        <w:t>本项目</w:t>
      </w:r>
      <w:r>
        <w:rPr>
          <w:rFonts w:hint="eastAsia" w:cs="Arial"/>
          <w:sz w:val="21"/>
          <w:szCs w:val="21"/>
        </w:rPr>
        <w:t>（否）</w:t>
      </w:r>
      <w:r>
        <w:rPr>
          <w:rFonts w:cs="Arial"/>
          <w:sz w:val="21"/>
          <w:szCs w:val="21"/>
        </w:rPr>
        <w:t>接受联合体投标。</w:t>
      </w:r>
    </w:p>
    <w:p>
      <w:pPr>
        <w:pStyle w:val="31"/>
        <w:spacing w:before="255" w:after="255" w:line="380" w:lineRule="exact"/>
        <w:jc w:val="both"/>
        <w:rPr>
          <w:rFonts w:cs="Arial"/>
          <w:sz w:val="21"/>
          <w:szCs w:val="21"/>
        </w:rPr>
      </w:pPr>
      <w:r>
        <w:rPr>
          <w:rStyle w:val="37"/>
          <w:rFonts w:cs="Arial"/>
          <w:sz w:val="21"/>
          <w:szCs w:val="21"/>
        </w:rPr>
        <w:t>二、申请人的资格要求：</w:t>
      </w:r>
    </w:p>
    <w:p>
      <w:pPr>
        <w:pStyle w:val="31"/>
        <w:spacing w:before="75" w:after="75" w:line="380" w:lineRule="exact"/>
        <w:rPr>
          <w:rFonts w:cs="Arial"/>
          <w:sz w:val="21"/>
          <w:szCs w:val="21"/>
        </w:rPr>
      </w:pPr>
      <w:r>
        <w:rPr>
          <w:rFonts w:cs="Arial"/>
          <w:sz w:val="21"/>
          <w:szCs w:val="21"/>
        </w:rPr>
        <w:t>    1.</w:t>
      </w:r>
      <w:r>
        <w:rPr>
          <w:rFonts w:hint="eastAsia" w:cs="Arial"/>
          <w:sz w:val="21"/>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31"/>
        <w:spacing w:before="75" w:after="75" w:line="380" w:lineRule="exact"/>
        <w:rPr>
          <w:rFonts w:cs="Arial"/>
          <w:sz w:val="21"/>
          <w:szCs w:val="21"/>
        </w:rPr>
      </w:pPr>
      <w:r>
        <w:rPr>
          <w:rFonts w:cs="Arial"/>
          <w:sz w:val="21"/>
          <w:szCs w:val="21"/>
        </w:rPr>
        <w:t>    2.</w:t>
      </w:r>
      <w:r>
        <w:rPr>
          <w:rFonts w:hint="eastAsia" w:cs="Arial"/>
          <w:sz w:val="21"/>
          <w:szCs w:val="21"/>
        </w:rPr>
        <w:t>落实政府采购政策需满足的资格要求：无</w:t>
      </w:r>
    </w:p>
    <w:p>
      <w:pPr>
        <w:pStyle w:val="31"/>
        <w:spacing w:before="75" w:after="75" w:line="380" w:lineRule="exact"/>
        <w:rPr>
          <w:rFonts w:cs="Arial"/>
          <w:sz w:val="21"/>
          <w:szCs w:val="21"/>
        </w:rPr>
      </w:pPr>
      <w:r>
        <w:rPr>
          <w:rFonts w:cs="Arial"/>
          <w:sz w:val="21"/>
          <w:szCs w:val="21"/>
        </w:rPr>
        <w:t>    3.本项目的特定资格要求：</w:t>
      </w:r>
      <w:r>
        <w:rPr>
          <w:rFonts w:hint="eastAsia" w:cs="Arial"/>
          <w:sz w:val="21"/>
          <w:szCs w:val="21"/>
        </w:rPr>
        <w:t>无。</w:t>
      </w:r>
      <w:r>
        <w:rPr>
          <w:rFonts w:cs="Arial"/>
          <w:sz w:val="21"/>
          <w:szCs w:val="21"/>
        </w:rPr>
        <w:t> </w:t>
      </w:r>
    </w:p>
    <w:p>
      <w:pPr>
        <w:pStyle w:val="31"/>
        <w:spacing w:before="255" w:after="255" w:line="380" w:lineRule="exact"/>
        <w:jc w:val="both"/>
        <w:rPr>
          <w:rFonts w:cs="Arial"/>
          <w:sz w:val="21"/>
          <w:szCs w:val="21"/>
        </w:rPr>
      </w:pPr>
      <w:r>
        <w:rPr>
          <w:rStyle w:val="37"/>
          <w:rFonts w:cs="Arial"/>
          <w:sz w:val="21"/>
          <w:szCs w:val="21"/>
        </w:rPr>
        <w:t>三、获取招标文件</w:t>
      </w:r>
    </w:p>
    <w:p>
      <w:pPr>
        <w:pStyle w:val="31"/>
        <w:spacing w:before="75" w:after="75" w:line="380" w:lineRule="exact"/>
        <w:rPr>
          <w:rFonts w:cs="Arial"/>
          <w:sz w:val="21"/>
          <w:szCs w:val="21"/>
        </w:rPr>
      </w:pPr>
      <w:r>
        <w:rPr>
          <w:rFonts w:cs="Arial"/>
          <w:color w:val="auto"/>
          <w:sz w:val="21"/>
          <w:szCs w:val="21"/>
        </w:rPr>
        <w:t>    时间：</w:t>
      </w:r>
      <w:r>
        <w:rPr>
          <w:rFonts w:hint="eastAsia" w:cs="Arial"/>
          <w:color w:val="auto"/>
          <w:sz w:val="21"/>
          <w:szCs w:val="21"/>
          <w:u w:val="single"/>
        </w:rPr>
        <w:t>/至2022年8月19日，每天上午00:00至12:00 ，下午12:00至23:59（北京时间，</w:t>
      </w:r>
      <w:r>
        <w:rPr>
          <w:rFonts w:hint="eastAsia" w:cs="Arial"/>
          <w:sz w:val="21"/>
          <w:szCs w:val="21"/>
          <w:u w:val="single"/>
        </w:rPr>
        <w:t>线上获取法定节假日均可，线下获取文件法定节假日除外）</w:t>
      </w:r>
    </w:p>
    <w:p>
      <w:pPr>
        <w:pStyle w:val="31"/>
        <w:spacing w:before="75" w:after="75" w:line="380" w:lineRule="exact"/>
        <w:ind w:firstLine="315"/>
        <w:rPr>
          <w:rFonts w:cs="Arial"/>
          <w:sz w:val="21"/>
          <w:szCs w:val="21"/>
        </w:rPr>
      </w:pPr>
      <w:r>
        <w:rPr>
          <w:rFonts w:cs="Arial"/>
          <w:sz w:val="21"/>
          <w:szCs w:val="21"/>
        </w:rPr>
        <w:t>地点（网址）：</w:t>
      </w:r>
      <w:r>
        <w:rPr>
          <w:rStyle w:val="43"/>
          <w:rFonts w:hint="eastAsia" w:cs="Arial"/>
          <w:sz w:val="21"/>
          <w:szCs w:val="21"/>
        </w:rPr>
        <w:t>政采云平台（http://zfcg.czt.zj.gov.cn）</w:t>
      </w:r>
    </w:p>
    <w:p>
      <w:pPr>
        <w:pStyle w:val="31"/>
        <w:spacing w:before="75" w:after="75" w:line="380" w:lineRule="exact"/>
        <w:ind w:firstLine="315"/>
        <w:rPr>
          <w:rFonts w:cs="Arial"/>
          <w:sz w:val="21"/>
          <w:szCs w:val="21"/>
        </w:rPr>
      </w:pPr>
      <w:r>
        <w:rPr>
          <w:rFonts w:cs="Arial"/>
          <w:sz w:val="21"/>
          <w:szCs w:val="21"/>
        </w:rPr>
        <w:t>方式：</w:t>
      </w:r>
      <w:r>
        <w:rPr>
          <w:rFonts w:hint="eastAsia"/>
          <w:sz w:val="21"/>
          <w:szCs w:val="21"/>
        </w:rPr>
        <w:t>供应商登录政采云平台https://www.zcygov.cn/在线申请获取采购文件（进入“项目采购”应用，在获取采购文件菜单中选择项目，申请获取采购文件）</w:t>
      </w:r>
      <w:r>
        <w:rPr>
          <w:sz w:val="21"/>
          <w:szCs w:val="21"/>
        </w:rPr>
        <w:t>。</w:t>
      </w:r>
    </w:p>
    <w:p>
      <w:pPr>
        <w:pStyle w:val="31"/>
        <w:spacing w:before="75" w:after="75" w:line="380" w:lineRule="exact"/>
        <w:rPr>
          <w:rFonts w:cs="Arial"/>
          <w:sz w:val="21"/>
          <w:szCs w:val="21"/>
        </w:rPr>
      </w:pPr>
      <w:r>
        <w:rPr>
          <w:rFonts w:cs="Arial"/>
          <w:sz w:val="21"/>
          <w:szCs w:val="21"/>
        </w:rPr>
        <w:t>    售价（元）：</w:t>
      </w:r>
      <w:r>
        <w:rPr>
          <w:sz w:val="21"/>
          <w:szCs w:val="21"/>
        </w:rPr>
        <w:t xml:space="preserve"> 0</w:t>
      </w:r>
    </w:p>
    <w:p>
      <w:pPr>
        <w:pStyle w:val="31"/>
        <w:spacing w:before="255" w:after="255" w:line="380" w:lineRule="exact"/>
        <w:jc w:val="both"/>
        <w:rPr>
          <w:rFonts w:cs="Arial"/>
          <w:sz w:val="21"/>
          <w:szCs w:val="21"/>
        </w:rPr>
      </w:pPr>
      <w:r>
        <w:rPr>
          <w:rStyle w:val="37"/>
          <w:rFonts w:cs="Arial"/>
          <w:sz w:val="21"/>
          <w:szCs w:val="21"/>
        </w:rPr>
        <w:t>四、提交投标文件截止时间、开标时间和地点</w:t>
      </w:r>
    </w:p>
    <w:p>
      <w:pPr>
        <w:pStyle w:val="31"/>
        <w:spacing w:before="75" w:after="75" w:line="380" w:lineRule="exact"/>
        <w:rPr>
          <w:rFonts w:cs="Arial"/>
          <w:color w:val="auto"/>
          <w:sz w:val="21"/>
          <w:szCs w:val="21"/>
        </w:rPr>
      </w:pPr>
      <w:r>
        <w:rPr>
          <w:rFonts w:cs="Arial"/>
          <w:color w:val="auto"/>
          <w:sz w:val="21"/>
          <w:szCs w:val="21"/>
        </w:rPr>
        <w:t> </w:t>
      </w:r>
      <w:r>
        <w:rPr>
          <w:rFonts w:hint="eastAsia" w:cs="Arial"/>
          <w:color w:val="auto"/>
          <w:sz w:val="21"/>
          <w:szCs w:val="21"/>
        </w:rPr>
        <w:t xml:space="preserve">  提交投标文件截止时间：2022年</w:t>
      </w:r>
      <w:r>
        <w:rPr>
          <w:rFonts w:hint="eastAsia" w:cs="Arial"/>
          <w:color w:val="auto"/>
          <w:sz w:val="21"/>
          <w:szCs w:val="21"/>
          <w:lang w:val="en-US" w:eastAsia="zh-CN"/>
        </w:rPr>
        <w:t>8</w:t>
      </w:r>
      <w:r>
        <w:rPr>
          <w:rFonts w:hint="eastAsia" w:cs="Arial"/>
          <w:color w:val="auto"/>
          <w:sz w:val="21"/>
          <w:szCs w:val="21"/>
        </w:rPr>
        <w:t>月</w:t>
      </w:r>
      <w:r>
        <w:rPr>
          <w:rFonts w:hint="eastAsia" w:cs="Arial"/>
          <w:color w:val="auto"/>
          <w:sz w:val="21"/>
          <w:szCs w:val="21"/>
          <w:lang w:val="en-US" w:eastAsia="zh-CN"/>
        </w:rPr>
        <w:t>19</w:t>
      </w:r>
      <w:r>
        <w:rPr>
          <w:rFonts w:hint="eastAsia" w:cs="Arial"/>
          <w:color w:val="auto"/>
          <w:sz w:val="21"/>
          <w:szCs w:val="21"/>
        </w:rPr>
        <w:t>日 14：</w:t>
      </w:r>
      <w:r>
        <w:rPr>
          <w:rFonts w:hint="eastAsia" w:cs="Arial"/>
          <w:color w:val="auto"/>
          <w:sz w:val="21"/>
          <w:szCs w:val="21"/>
          <w:lang w:val="en-US" w:eastAsia="zh-CN"/>
        </w:rPr>
        <w:t>0</w:t>
      </w:r>
      <w:r>
        <w:rPr>
          <w:rFonts w:hint="eastAsia" w:cs="Arial"/>
          <w:color w:val="auto"/>
          <w:sz w:val="21"/>
          <w:szCs w:val="21"/>
        </w:rPr>
        <w:t>0（北京时间）</w:t>
      </w:r>
    </w:p>
    <w:p>
      <w:pPr>
        <w:pStyle w:val="31"/>
        <w:spacing w:before="75" w:after="75" w:line="380" w:lineRule="exact"/>
        <w:rPr>
          <w:rFonts w:cs="Arial"/>
          <w:color w:val="auto"/>
          <w:sz w:val="21"/>
          <w:szCs w:val="21"/>
        </w:rPr>
      </w:pPr>
      <w:r>
        <w:rPr>
          <w:rFonts w:hint="eastAsia" w:cs="Arial"/>
          <w:color w:val="auto"/>
          <w:sz w:val="21"/>
          <w:szCs w:val="21"/>
        </w:rPr>
        <w:t xml:space="preserve">    投标地点（网址）：“政采云”平台电子投标 </w:t>
      </w:r>
    </w:p>
    <w:p>
      <w:pPr>
        <w:pStyle w:val="31"/>
        <w:spacing w:before="75" w:after="75" w:line="380" w:lineRule="exact"/>
        <w:rPr>
          <w:rFonts w:cs="Arial"/>
          <w:color w:val="auto"/>
          <w:sz w:val="21"/>
          <w:szCs w:val="21"/>
        </w:rPr>
      </w:pPr>
      <w:r>
        <w:rPr>
          <w:rFonts w:hint="eastAsia" w:cs="Arial"/>
          <w:color w:val="auto"/>
          <w:sz w:val="21"/>
          <w:szCs w:val="21"/>
        </w:rPr>
        <w:t xml:space="preserve">    开标时间：2022年</w:t>
      </w:r>
      <w:r>
        <w:rPr>
          <w:rFonts w:hint="eastAsia" w:cs="Arial"/>
          <w:color w:val="auto"/>
          <w:sz w:val="21"/>
          <w:szCs w:val="21"/>
          <w:lang w:val="en-US" w:eastAsia="zh-CN"/>
        </w:rPr>
        <w:t>8</w:t>
      </w:r>
      <w:r>
        <w:rPr>
          <w:rFonts w:hint="eastAsia" w:cs="Arial"/>
          <w:color w:val="auto"/>
          <w:sz w:val="21"/>
          <w:szCs w:val="21"/>
        </w:rPr>
        <w:t>月</w:t>
      </w:r>
      <w:r>
        <w:rPr>
          <w:rFonts w:hint="eastAsia" w:cs="Arial"/>
          <w:color w:val="auto"/>
          <w:sz w:val="21"/>
          <w:szCs w:val="21"/>
          <w:lang w:val="en-US" w:eastAsia="zh-CN"/>
        </w:rPr>
        <w:t>19</w:t>
      </w:r>
      <w:r>
        <w:rPr>
          <w:rFonts w:hint="eastAsia" w:cs="Arial"/>
          <w:color w:val="auto"/>
          <w:sz w:val="21"/>
          <w:szCs w:val="21"/>
        </w:rPr>
        <w:t>日14：</w:t>
      </w:r>
      <w:r>
        <w:rPr>
          <w:rFonts w:hint="eastAsia" w:cs="Arial"/>
          <w:color w:val="auto"/>
          <w:sz w:val="21"/>
          <w:szCs w:val="21"/>
          <w:lang w:val="en-US" w:eastAsia="zh-CN"/>
        </w:rPr>
        <w:t>0</w:t>
      </w:r>
      <w:r>
        <w:rPr>
          <w:rFonts w:hint="eastAsia" w:cs="Arial"/>
          <w:color w:val="auto"/>
          <w:sz w:val="21"/>
          <w:szCs w:val="21"/>
        </w:rPr>
        <w:t>0（北京时间）</w:t>
      </w:r>
    </w:p>
    <w:p>
      <w:pPr>
        <w:pStyle w:val="31"/>
        <w:spacing w:before="75" w:after="75" w:line="380" w:lineRule="exact"/>
        <w:rPr>
          <w:rFonts w:cs="Arial"/>
          <w:sz w:val="21"/>
          <w:szCs w:val="21"/>
        </w:rPr>
      </w:pPr>
      <w:r>
        <w:rPr>
          <w:rFonts w:hint="eastAsia" w:cs="Arial"/>
          <w:color w:val="auto"/>
          <w:sz w:val="21"/>
          <w:szCs w:val="21"/>
        </w:rPr>
        <w:t xml:space="preserve">    </w:t>
      </w:r>
      <w:r>
        <w:rPr>
          <w:rFonts w:hint="eastAsia" w:cs="Arial"/>
          <w:sz w:val="21"/>
          <w:szCs w:val="21"/>
        </w:rPr>
        <w:t>开标地点（网址）：“政采云”平台电子投标</w:t>
      </w:r>
    </w:p>
    <w:p>
      <w:pPr>
        <w:pStyle w:val="31"/>
        <w:spacing w:before="75" w:after="75" w:line="380" w:lineRule="exact"/>
        <w:rPr>
          <w:rFonts w:cs="Arial"/>
          <w:sz w:val="21"/>
          <w:szCs w:val="21"/>
        </w:rPr>
      </w:pPr>
      <w:r>
        <w:rPr>
          <w:rStyle w:val="37"/>
          <w:rFonts w:cs="Arial"/>
          <w:sz w:val="21"/>
          <w:szCs w:val="21"/>
        </w:rPr>
        <w:t>五、公告期限</w:t>
      </w:r>
    </w:p>
    <w:p>
      <w:pPr>
        <w:pStyle w:val="31"/>
        <w:spacing w:before="75" w:after="75" w:line="380" w:lineRule="exact"/>
        <w:rPr>
          <w:rFonts w:cs="Arial"/>
          <w:sz w:val="21"/>
          <w:szCs w:val="21"/>
        </w:rPr>
      </w:pPr>
      <w:r>
        <w:rPr>
          <w:rFonts w:cs="Arial"/>
          <w:sz w:val="21"/>
          <w:szCs w:val="21"/>
        </w:rPr>
        <w:t>    自本公告发布之日起5个工作日。</w:t>
      </w:r>
    </w:p>
    <w:p>
      <w:pPr>
        <w:pStyle w:val="31"/>
        <w:spacing w:before="255" w:after="255" w:line="380" w:lineRule="exact"/>
        <w:jc w:val="both"/>
        <w:rPr>
          <w:rFonts w:cs="Arial"/>
          <w:sz w:val="21"/>
          <w:szCs w:val="21"/>
        </w:rPr>
      </w:pPr>
      <w:r>
        <w:rPr>
          <w:rStyle w:val="37"/>
          <w:rFonts w:cs="Arial"/>
          <w:sz w:val="21"/>
          <w:szCs w:val="21"/>
        </w:rPr>
        <w:t>六、其他补充事宜</w:t>
      </w:r>
    </w:p>
    <w:p>
      <w:pPr>
        <w:pStyle w:val="31"/>
        <w:spacing w:before="75" w:after="75" w:line="380" w:lineRule="exact"/>
        <w:ind w:firstLine="420" w:firstLineChars="200"/>
        <w:rPr>
          <w:rFonts w:cs="Arial"/>
          <w:sz w:val="21"/>
          <w:szCs w:val="21"/>
        </w:rPr>
      </w:pPr>
      <w:r>
        <w:rPr>
          <w:rFonts w:hint="eastAsia" w:cs="Arial"/>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1"/>
        <w:spacing w:before="75" w:after="75" w:line="380" w:lineRule="exact"/>
        <w:ind w:firstLine="420" w:firstLineChars="200"/>
        <w:rPr>
          <w:rFonts w:cs="Arial"/>
          <w:sz w:val="21"/>
          <w:szCs w:val="21"/>
        </w:rPr>
      </w:pPr>
      <w:r>
        <w:rPr>
          <w:rFonts w:hint="eastAsia" w:cs="Arial"/>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1"/>
        <w:spacing w:before="75" w:after="75" w:line="380" w:lineRule="exact"/>
        <w:ind w:firstLine="420" w:firstLineChars="200"/>
        <w:rPr>
          <w:rFonts w:cs="Arial"/>
          <w:sz w:val="21"/>
          <w:szCs w:val="21"/>
        </w:rPr>
      </w:pPr>
      <w:r>
        <w:rPr>
          <w:rFonts w:hint="eastAsia" w:cs="Arial"/>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spacing w:before="75" w:after="75" w:line="380" w:lineRule="exact"/>
        <w:ind w:firstLine="420" w:firstLineChars="200"/>
        <w:rPr>
          <w:rFonts w:cs="Arial"/>
          <w:sz w:val="21"/>
          <w:szCs w:val="21"/>
        </w:rPr>
      </w:pPr>
      <w:r>
        <w:rPr>
          <w:rFonts w:hint="eastAsia" w:cs="Arial"/>
          <w:sz w:val="21"/>
          <w:szCs w:val="21"/>
        </w:rPr>
        <w:t>4.其他事项：</w:t>
      </w:r>
    </w:p>
    <w:p>
      <w:pPr>
        <w:pStyle w:val="31"/>
        <w:spacing w:before="75" w:after="75" w:line="380" w:lineRule="exact"/>
        <w:rPr>
          <w:rFonts w:cs="Arial"/>
          <w:sz w:val="21"/>
          <w:szCs w:val="21"/>
        </w:rPr>
      </w:pPr>
      <w:r>
        <w:rPr>
          <w:rFonts w:cs="Arial"/>
          <w:sz w:val="21"/>
          <w:szCs w:val="21"/>
        </w:rPr>
        <w:t xml:space="preserve">  </w:t>
      </w:r>
      <w:r>
        <w:rPr>
          <w:rFonts w:hint="eastAsia" w:cs="Arial"/>
          <w:sz w:val="21"/>
          <w:szCs w:val="21"/>
        </w:rPr>
        <w:t xml:space="preserve"> 1.本采购项目，中标单位与采购人签订的政府采购合同适用于桐乡市政府采购贷款政策，简称“政采贷”，具体内容可参阅各银行政府采购贷款流程：http://tx.jxzbtb.cn/zxfw/005010/20191217/106895f3-0871-4959-804d-30ac7ef5274a.html</w:t>
      </w:r>
    </w:p>
    <w:p>
      <w:pPr>
        <w:pStyle w:val="31"/>
        <w:spacing w:before="75" w:after="75" w:line="380" w:lineRule="exact"/>
        <w:ind w:firstLine="420"/>
        <w:rPr>
          <w:rFonts w:cs="Arial"/>
          <w:sz w:val="21"/>
          <w:szCs w:val="21"/>
        </w:rPr>
      </w:pPr>
      <w:r>
        <w:rPr>
          <w:rFonts w:hint="eastAsia" w:cs="Arial"/>
          <w:sz w:val="21"/>
          <w:szCs w:val="21"/>
        </w:rPr>
        <w:t>2.</w:t>
      </w:r>
      <w:r>
        <w:rPr>
          <w:rFonts w:cs="Arial"/>
          <w:sz w:val="21"/>
          <w:szCs w:val="21"/>
        </w:rPr>
        <w:t>投标说明：</w:t>
      </w:r>
    </w:p>
    <w:p>
      <w:pPr>
        <w:pStyle w:val="31"/>
        <w:spacing w:before="75" w:after="75" w:line="380" w:lineRule="exact"/>
        <w:ind w:firstLine="420"/>
        <w:rPr>
          <w:rFonts w:cs="Arial"/>
          <w:sz w:val="21"/>
          <w:szCs w:val="21"/>
        </w:rPr>
      </w:pPr>
      <w:r>
        <w:rPr>
          <w:rFonts w:hint="eastAsia" w:cs="Arial"/>
          <w:sz w:val="21"/>
          <w:szCs w:val="21"/>
        </w:rPr>
        <w:t>2</w:t>
      </w:r>
      <w:r>
        <w:rPr>
          <w:rFonts w:cs="Arial"/>
          <w:sz w:val="21"/>
          <w:szCs w:val="21"/>
        </w:rPr>
        <w:t>.</w:t>
      </w:r>
      <w:r>
        <w:rPr>
          <w:rFonts w:hint="eastAsia" w:cs="Arial"/>
          <w:sz w:val="21"/>
          <w:szCs w:val="21"/>
        </w:rPr>
        <w:t>1</w:t>
      </w:r>
      <w:r>
        <w:rPr>
          <w:rFonts w:cs="Arial"/>
          <w:sz w:val="21"/>
          <w:szCs w:val="21"/>
        </w:rPr>
        <w:t>、本项目按照《浙江省财政厅关于印发</w:t>
      </w:r>
      <w:r>
        <w:rPr>
          <w:rFonts w:hint="eastAsia" w:cs="Arial"/>
          <w:sz w:val="21"/>
          <w:szCs w:val="21"/>
        </w:rPr>
        <w:t>浙江政府采购</w:t>
      </w:r>
      <w:r>
        <w:rPr>
          <w:rFonts w:cs="Arial"/>
          <w:sz w:val="21"/>
          <w:szCs w:val="21"/>
        </w:rPr>
        <w:t>项电子交易管理暂行办法的通知》实行电子交易。</w:t>
      </w:r>
    </w:p>
    <w:p>
      <w:pPr>
        <w:pStyle w:val="31"/>
        <w:spacing w:before="75" w:after="75" w:line="380" w:lineRule="exact"/>
        <w:ind w:firstLine="420"/>
        <w:rPr>
          <w:rFonts w:cs="Arial"/>
          <w:sz w:val="21"/>
          <w:szCs w:val="21"/>
        </w:rPr>
      </w:pPr>
      <w:r>
        <w:rPr>
          <w:rFonts w:hint="eastAsia" w:cs="Arial"/>
          <w:sz w:val="21"/>
          <w:szCs w:val="21"/>
        </w:rPr>
        <w:t>2</w:t>
      </w:r>
      <w:r>
        <w:rPr>
          <w:rFonts w:cs="Arial"/>
          <w:sz w:val="21"/>
          <w:szCs w:val="21"/>
        </w:rPr>
        <w:t>.2、供应商注册</w:t>
      </w:r>
    </w:p>
    <w:p>
      <w:pPr>
        <w:pStyle w:val="31"/>
        <w:spacing w:before="75" w:after="75" w:line="380" w:lineRule="exact"/>
        <w:ind w:firstLine="420"/>
        <w:rPr>
          <w:rFonts w:cs="Arial"/>
          <w:sz w:val="21"/>
          <w:szCs w:val="21"/>
        </w:rPr>
      </w:pPr>
      <w:r>
        <w:rPr>
          <w:rFonts w:hint="eastAsia" w:cs="Arial"/>
          <w:sz w:val="21"/>
          <w:szCs w:val="21"/>
        </w:rPr>
        <w:t>2</w:t>
      </w:r>
      <w:r>
        <w:rPr>
          <w:rFonts w:cs="Arial"/>
          <w:sz w:val="21"/>
          <w:szCs w:val="21"/>
        </w:rPr>
        <w:t>.2.1、注册网址：</w:t>
      </w:r>
    </w:p>
    <w:p>
      <w:pPr>
        <w:pStyle w:val="31"/>
        <w:spacing w:before="75" w:after="75" w:line="380" w:lineRule="exact"/>
        <w:ind w:firstLine="420"/>
        <w:rPr>
          <w:rFonts w:cs="Arial"/>
          <w:sz w:val="21"/>
          <w:szCs w:val="21"/>
        </w:rPr>
      </w:pPr>
      <w:r>
        <w:rPr>
          <w:rFonts w:cs="Arial"/>
          <w:sz w:val="21"/>
          <w:szCs w:val="21"/>
        </w:rPr>
        <w:t>浙江政府采购网：</w:t>
      </w:r>
      <w:r>
        <w:fldChar w:fldCharType="begin"/>
      </w:r>
      <w:r>
        <w:instrText xml:space="preserve"> HYPERLINK "https://middle.zcygov.cn/settle-front/" \l "/registry" </w:instrText>
      </w:r>
      <w:r>
        <w:fldChar w:fldCharType="separate"/>
      </w:r>
      <w:r>
        <w:rPr>
          <w:rStyle w:val="40"/>
          <w:rFonts w:cs="Arial"/>
          <w:sz w:val="21"/>
          <w:szCs w:val="21"/>
        </w:rPr>
        <w:t>https://middle.zcygov.cn/settle-front/#/registry</w:t>
      </w:r>
      <w:r>
        <w:rPr>
          <w:rStyle w:val="40"/>
          <w:rFonts w:cs="Arial"/>
          <w:sz w:val="21"/>
          <w:szCs w:val="21"/>
        </w:rPr>
        <w:fldChar w:fldCharType="end"/>
      </w:r>
    </w:p>
    <w:p>
      <w:pPr>
        <w:pStyle w:val="31"/>
        <w:spacing w:before="75" w:after="75" w:line="380" w:lineRule="exact"/>
        <w:ind w:firstLine="420"/>
        <w:rPr>
          <w:rFonts w:cs="Arial"/>
          <w:sz w:val="21"/>
          <w:szCs w:val="21"/>
        </w:rPr>
      </w:pPr>
      <w:r>
        <w:rPr>
          <w:rFonts w:hint="eastAsia" w:cs="Arial"/>
          <w:sz w:val="21"/>
          <w:szCs w:val="21"/>
        </w:rPr>
        <w:t>2</w:t>
      </w:r>
      <w:r>
        <w:rPr>
          <w:rFonts w:cs="Arial"/>
          <w:sz w:val="21"/>
          <w:szCs w:val="21"/>
        </w:rPr>
        <w:t>.2.2、供应商按照《</w:t>
      </w:r>
      <w:r>
        <w:rPr>
          <w:rFonts w:hint="eastAsia" w:cs="Arial"/>
          <w:sz w:val="21"/>
          <w:szCs w:val="21"/>
        </w:rPr>
        <w:t>浙江政府采购</w:t>
      </w:r>
      <w:r>
        <w:rPr>
          <w:rFonts w:cs="Arial"/>
          <w:sz w:val="21"/>
          <w:szCs w:val="21"/>
        </w:rPr>
        <w:t>供应商注册和诚信管理暂行办法》要求执行。</w:t>
      </w:r>
    </w:p>
    <w:p>
      <w:pPr>
        <w:pStyle w:val="31"/>
        <w:spacing w:before="75" w:after="75" w:line="380" w:lineRule="exact"/>
        <w:ind w:firstLine="420"/>
        <w:rPr>
          <w:rFonts w:cs="Arial"/>
          <w:sz w:val="21"/>
          <w:szCs w:val="21"/>
        </w:rPr>
      </w:pPr>
      <w:r>
        <w:rPr>
          <w:rFonts w:hint="eastAsia" w:cs="Arial"/>
          <w:sz w:val="21"/>
          <w:szCs w:val="21"/>
        </w:rPr>
        <w:t>3</w:t>
      </w:r>
      <w:r>
        <w:rPr>
          <w:rFonts w:cs="Arial"/>
          <w:sz w:val="21"/>
          <w:szCs w:val="21"/>
        </w:rPr>
        <w:t>、投标文件制作注意事项</w:t>
      </w:r>
    </w:p>
    <w:p>
      <w:pPr>
        <w:pStyle w:val="31"/>
        <w:spacing w:before="75" w:after="75" w:line="380" w:lineRule="exact"/>
        <w:ind w:firstLine="420"/>
        <w:rPr>
          <w:rFonts w:cs="Arial"/>
          <w:sz w:val="21"/>
          <w:szCs w:val="21"/>
        </w:rPr>
      </w:pPr>
      <w:r>
        <w:rPr>
          <w:rFonts w:hint="eastAsia" w:cs="Arial"/>
          <w:sz w:val="21"/>
          <w:szCs w:val="21"/>
        </w:rPr>
        <w:t>3</w:t>
      </w:r>
      <w:r>
        <w:rPr>
          <w:rFonts w:cs="Arial"/>
          <w:sz w:val="21"/>
          <w:szCs w:val="21"/>
        </w:rPr>
        <w:t>.1、供应商将政采云电子交易客户端下载、安装完成后，可通过账号密码或CA登录客户端进行投标文件制作。</w:t>
      </w:r>
      <w:r>
        <w:rPr>
          <w:rFonts w:cs="Arial"/>
          <w:sz w:val="21"/>
          <w:szCs w:val="21"/>
        </w:rPr>
        <w:br w:type="textWrapping"/>
      </w:r>
      <w:r>
        <w:rPr>
          <w:rFonts w:cs="Arial"/>
          <w:sz w:val="21"/>
          <w:szCs w:val="21"/>
        </w:rPr>
        <w:t>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pStyle w:val="31"/>
        <w:spacing w:before="75" w:after="75" w:line="380" w:lineRule="exact"/>
        <w:ind w:firstLine="420"/>
        <w:rPr>
          <w:rFonts w:cs="Arial"/>
          <w:sz w:val="21"/>
          <w:szCs w:val="21"/>
        </w:rPr>
      </w:pPr>
      <w:r>
        <w:rPr>
          <w:rFonts w:hint="eastAsia" w:cs="Arial"/>
          <w:sz w:val="21"/>
          <w:szCs w:val="21"/>
        </w:rPr>
        <w:t>3</w:t>
      </w:r>
      <w:r>
        <w:rPr>
          <w:rFonts w:cs="Arial"/>
          <w:sz w:val="21"/>
          <w:szCs w:val="21"/>
        </w:rPr>
        <w:t>.2、电子交易操作指南：</w:t>
      </w:r>
      <w:r>
        <w:fldChar w:fldCharType="begin"/>
      </w:r>
      <w:r>
        <w:instrText xml:space="preserve"> HYPERLINK "https://help.zcygov.cn/web/site_2/2018/12-28/2573.html" </w:instrText>
      </w:r>
      <w:r>
        <w:fldChar w:fldCharType="separate"/>
      </w:r>
      <w:r>
        <w:rPr>
          <w:rStyle w:val="40"/>
          <w:rFonts w:cs="Arial"/>
          <w:sz w:val="21"/>
          <w:szCs w:val="21"/>
        </w:rPr>
        <w:t>https://help.zcygov.cn/web/site_2/2018/12-28/2573.html</w:t>
      </w:r>
      <w:r>
        <w:rPr>
          <w:rStyle w:val="40"/>
          <w:rFonts w:cs="Arial"/>
          <w:sz w:val="21"/>
          <w:szCs w:val="21"/>
        </w:rPr>
        <w:fldChar w:fldCharType="end"/>
      </w:r>
      <w:r>
        <w:rPr>
          <w:rFonts w:cs="Arial"/>
          <w:sz w:val="21"/>
          <w:szCs w:val="21"/>
        </w:rPr>
        <w:br w:type="textWrapping"/>
      </w:r>
      <w:r>
        <w:rPr>
          <w:rFonts w:cs="Arial"/>
          <w:sz w:val="21"/>
          <w:szCs w:val="21"/>
        </w:rPr>
        <w:t>《CA申领操作指南》：</w:t>
      </w:r>
      <w:r>
        <w:fldChar w:fldCharType="begin"/>
      </w:r>
      <w:r>
        <w:instrText xml:space="preserve"> HYPERLINK "https://help.zcygov.cn/web/site_2/2018/11-29/2452.html" \t "_blank" </w:instrText>
      </w:r>
      <w:r>
        <w:fldChar w:fldCharType="separate"/>
      </w:r>
      <w:r>
        <w:rPr>
          <w:rStyle w:val="40"/>
          <w:rFonts w:cs="Arial"/>
          <w:sz w:val="21"/>
          <w:szCs w:val="21"/>
        </w:rPr>
        <w:t>https://help.zcygov.cn/web/site_2/2018/11-29/2452.html</w:t>
      </w:r>
      <w:r>
        <w:rPr>
          <w:rStyle w:val="40"/>
          <w:rFonts w:cs="Arial"/>
          <w:sz w:val="21"/>
          <w:szCs w:val="21"/>
        </w:rPr>
        <w:fldChar w:fldCharType="end"/>
      </w:r>
      <w:r>
        <w:rPr>
          <w:rFonts w:cs="Arial"/>
          <w:sz w:val="21"/>
          <w:szCs w:val="21"/>
        </w:rPr>
        <w:br w:type="textWrapping"/>
      </w:r>
      <w:r>
        <w:rPr>
          <w:rFonts w:cs="Arial"/>
          <w:sz w:val="21"/>
          <w:szCs w:val="21"/>
        </w:rPr>
        <w:t>《CA管理操作指南》：</w:t>
      </w:r>
      <w:r>
        <w:fldChar w:fldCharType="begin"/>
      </w:r>
      <w:r>
        <w:instrText xml:space="preserve"> HYPERLINK "https://help.zcygov.cn/web/site_2/2019/08-20/3405.html" \t "_blank" </w:instrText>
      </w:r>
      <w:r>
        <w:fldChar w:fldCharType="separate"/>
      </w:r>
      <w:r>
        <w:rPr>
          <w:rStyle w:val="40"/>
          <w:rFonts w:cs="Arial"/>
          <w:sz w:val="21"/>
          <w:szCs w:val="21"/>
        </w:rPr>
        <w:t>https://help.zcygov.cn/web/site_2/2019/08-20/3405.html</w:t>
      </w:r>
      <w:r>
        <w:rPr>
          <w:rStyle w:val="40"/>
          <w:rFonts w:cs="Arial"/>
          <w:sz w:val="21"/>
          <w:szCs w:val="21"/>
        </w:rPr>
        <w:fldChar w:fldCharType="end"/>
      </w:r>
      <w:r>
        <w:rPr>
          <w:rFonts w:cs="Arial"/>
          <w:sz w:val="21"/>
          <w:szCs w:val="21"/>
        </w:rPr>
        <w:br w:type="textWrapping"/>
      </w:r>
      <w:r>
        <w:rPr>
          <w:rFonts w:cs="Arial"/>
          <w:sz w:val="21"/>
          <w:szCs w:val="21"/>
        </w:rPr>
        <w:t>《CA驱动和申领流程》</w:t>
      </w:r>
      <w:r>
        <w:fldChar w:fldCharType="begin"/>
      </w:r>
      <w:r>
        <w:instrText xml:space="preserve"> HYPERLINK "http://zfcg.czt.zj.gov.cn/bidClientTemplate/2019-05-27/12945.html" \t "_blank" </w:instrText>
      </w:r>
      <w:r>
        <w:fldChar w:fldCharType="separate"/>
      </w:r>
      <w:r>
        <w:rPr>
          <w:rStyle w:val="40"/>
          <w:rFonts w:cs="Arial"/>
          <w:sz w:val="21"/>
          <w:szCs w:val="21"/>
        </w:rPr>
        <w:t>http://zfcg.czt.zj.gov.cn/bidClientTemplate/2019-05-27/12945.html</w:t>
      </w:r>
      <w:r>
        <w:rPr>
          <w:rStyle w:val="40"/>
          <w:rFonts w:cs="Arial"/>
          <w:sz w:val="21"/>
          <w:szCs w:val="21"/>
        </w:rPr>
        <w:fldChar w:fldCharType="end"/>
      </w:r>
      <w:r>
        <w:rPr>
          <w:rFonts w:cs="Arial"/>
          <w:sz w:val="21"/>
          <w:szCs w:val="21"/>
        </w:rPr>
        <w:br w:type="textWrapping"/>
      </w:r>
      <w:r>
        <w:rPr>
          <w:rFonts w:cs="Arial"/>
          <w:sz w:val="21"/>
          <w:szCs w:val="21"/>
        </w:rPr>
        <w:t>注：ＣＡ证书遗失补办、延期、解锁、质保等业务可以在联连客户端上进行操作；使用政采云投标客户端时，建议使用WIN7及以上操作系统。</w:t>
      </w:r>
    </w:p>
    <w:p>
      <w:pPr>
        <w:pStyle w:val="31"/>
        <w:spacing w:before="75" w:after="75" w:line="380" w:lineRule="exact"/>
        <w:ind w:firstLine="420"/>
        <w:rPr>
          <w:rFonts w:cs="Arial"/>
          <w:sz w:val="21"/>
          <w:szCs w:val="21"/>
        </w:rPr>
      </w:pPr>
      <w:r>
        <w:rPr>
          <w:rFonts w:hint="eastAsia" w:cs="Arial"/>
          <w:sz w:val="21"/>
          <w:szCs w:val="21"/>
        </w:rPr>
        <w:t>4</w:t>
      </w:r>
      <w:r>
        <w:rPr>
          <w:rFonts w:cs="Arial"/>
          <w:sz w:val="21"/>
          <w:szCs w:val="21"/>
        </w:rPr>
        <w:t>、政采云咨询电话：400-881-7190；</w:t>
      </w:r>
    </w:p>
    <w:p>
      <w:pPr>
        <w:pStyle w:val="31"/>
        <w:spacing w:before="75" w:after="75" w:line="380" w:lineRule="exact"/>
        <w:ind w:firstLine="420"/>
        <w:rPr>
          <w:rFonts w:cs="Arial"/>
          <w:sz w:val="21"/>
          <w:szCs w:val="21"/>
        </w:rPr>
      </w:pPr>
      <w:r>
        <w:rPr>
          <w:rFonts w:cs="Arial"/>
          <w:sz w:val="21"/>
          <w:szCs w:val="21"/>
        </w:rPr>
        <w:t>政采云平台服务中心：</w:t>
      </w:r>
      <w:r>
        <w:fldChar w:fldCharType="begin"/>
      </w:r>
      <w:r>
        <w:instrText xml:space="preserve"> HYPERLINK "https://service.zcygov.cn/" \l "/" \t "_blank" </w:instrText>
      </w:r>
      <w:r>
        <w:fldChar w:fldCharType="separate"/>
      </w:r>
      <w:r>
        <w:rPr>
          <w:rStyle w:val="40"/>
          <w:rFonts w:cs="Arial"/>
          <w:sz w:val="21"/>
          <w:szCs w:val="21"/>
        </w:rPr>
        <w:t>https://service.zcygov.cn/#/</w:t>
      </w:r>
      <w:r>
        <w:rPr>
          <w:rStyle w:val="40"/>
          <w:rFonts w:cs="Arial"/>
          <w:sz w:val="21"/>
          <w:szCs w:val="21"/>
        </w:rPr>
        <w:fldChar w:fldCharType="end"/>
      </w:r>
    </w:p>
    <w:p>
      <w:pPr>
        <w:pStyle w:val="31"/>
        <w:spacing w:before="75" w:after="75" w:line="380" w:lineRule="exact"/>
        <w:ind w:firstLine="420"/>
        <w:rPr>
          <w:rFonts w:cs="Arial"/>
          <w:sz w:val="21"/>
          <w:szCs w:val="21"/>
        </w:rPr>
      </w:pPr>
      <w:r>
        <w:rPr>
          <w:rFonts w:hint="eastAsia" w:cs="Arial"/>
          <w:sz w:val="21"/>
          <w:szCs w:val="21"/>
        </w:rPr>
        <w:t>5</w:t>
      </w:r>
      <w:r>
        <w:rPr>
          <w:rFonts w:cs="Arial"/>
          <w:sz w:val="21"/>
          <w:szCs w:val="21"/>
        </w:rPr>
        <w:t>、汇信（ＣＡ）客服电话：400-888-4636</w:t>
      </w:r>
    </w:p>
    <w:p>
      <w:pPr>
        <w:pStyle w:val="31"/>
        <w:spacing w:before="75" w:after="75" w:line="380" w:lineRule="exact"/>
        <w:ind w:firstLine="420"/>
        <w:rPr>
          <w:rFonts w:cs="Arial"/>
          <w:sz w:val="21"/>
          <w:szCs w:val="21"/>
        </w:rPr>
      </w:pPr>
      <w:r>
        <w:rPr>
          <w:rFonts w:hint="eastAsia" w:cs="Arial"/>
          <w:sz w:val="21"/>
          <w:szCs w:val="21"/>
        </w:rPr>
        <w:t>6</w:t>
      </w:r>
      <w:r>
        <w:rPr>
          <w:rFonts w:cs="Arial"/>
          <w:sz w:val="21"/>
          <w:szCs w:val="21"/>
        </w:rPr>
        <w:t>、投标文件提交注意事项：</w:t>
      </w:r>
    </w:p>
    <w:p>
      <w:pPr>
        <w:pStyle w:val="31"/>
        <w:spacing w:before="75" w:after="75" w:line="380" w:lineRule="exact"/>
        <w:ind w:firstLine="420"/>
        <w:rPr>
          <w:rFonts w:cs="Arial"/>
          <w:sz w:val="21"/>
          <w:szCs w:val="21"/>
        </w:rPr>
      </w:pPr>
      <w:r>
        <w:rPr>
          <w:rFonts w:hAnsi="Arial" w:cs="Arial"/>
          <w:sz w:val="21"/>
          <w:szCs w:val="21"/>
        </w:rPr>
        <w:t>​</w:t>
      </w:r>
      <w:r>
        <w:rPr>
          <w:rFonts w:hint="eastAsia" w:cs="Arial"/>
          <w:sz w:val="21"/>
          <w:szCs w:val="21"/>
        </w:rPr>
        <w:t>6</w:t>
      </w:r>
      <w:r>
        <w:rPr>
          <w:rFonts w:cs="Arial"/>
          <w:sz w:val="21"/>
          <w:szCs w:val="21"/>
        </w:rPr>
        <w:t xml:space="preserve">.1、供应商进行电子投标应安装客户端软件，并按照招标文件和电子交易平台的要求编制并加密投标文件。供应商未按规定加密的投标文件，代理机构应当拒收。 </w:t>
      </w:r>
    </w:p>
    <w:p>
      <w:pPr>
        <w:pStyle w:val="31"/>
        <w:spacing w:before="75" w:after="75" w:line="380" w:lineRule="exact"/>
        <w:ind w:firstLine="630" w:firstLineChars="300"/>
        <w:rPr>
          <w:rFonts w:cs="Arial"/>
          <w:sz w:val="21"/>
          <w:szCs w:val="21"/>
        </w:rPr>
      </w:pPr>
      <w:r>
        <w:rPr>
          <w:rFonts w:hint="eastAsia" w:cs="Arial"/>
          <w:sz w:val="21"/>
          <w:szCs w:val="21"/>
        </w:rPr>
        <w:t>6</w:t>
      </w:r>
      <w:r>
        <w:rPr>
          <w:rFonts w:cs="Arial"/>
          <w:sz w:val="21"/>
          <w:szCs w:val="21"/>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pPr>
        <w:pStyle w:val="31"/>
        <w:spacing w:before="75" w:after="75" w:line="380" w:lineRule="exact"/>
        <w:ind w:firstLine="630" w:firstLineChars="300"/>
        <w:rPr>
          <w:rFonts w:cs="Arial"/>
          <w:sz w:val="21"/>
          <w:szCs w:val="21"/>
        </w:rPr>
      </w:pPr>
      <w:r>
        <w:rPr>
          <w:rFonts w:hint="eastAsia" w:cs="Arial"/>
          <w:sz w:val="21"/>
          <w:szCs w:val="21"/>
        </w:rPr>
        <w:t>6</w:t>
      </w:r>
      <w:r>
        <w:rPr>
          <w:rFonts w:cs="Arial"/>
          <w:sz w:val="21"/>
          <w:szCs w:val="21"/>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cs="Arial"/>
          <w:sz w:val="21"/>
          <w:szCs w:val="21"/>
        </w:rPr>
        <w:t>桐乡市梧桐街道振兴东路（东）303号东湖金悦8幢（金悦财富中心）6楼浙江同诚建设管理有限公司</w:t>
      </w:r>
      <w:r>
        <w:rPr>
          <w:rFonts w:cs="Arial"/>
          <w:sz w:val="21"/>
          <w:szCs w:val="21"/>
        </w:rPr>
        <w:t>，</w:t>
      </w:r>
      <w:r>
        <w:rPr>
          <w:rFonts w:hint="eastAsia" w:cs="Arial"/>
          <w:sz w:val="21"/>
          <w:szCs w:val="21"/>
        </w:rPr>
        <w:t>陈钇溪15988182454</w:t>
      </w:r>
      <w:r>
        <w:rPr>
          <w:rFonts w:cs="Arial"/>
          <w:sz w:val="21"/>
          <w:szCs w:val="21"/>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cs="Arial"/>
          <w:sz w:val="21"/>
          <w:szCs w:val="21"/>
        </w:rPr>
        <w:t>1476830064@qq.com</w:t>
      </w:r>
      <w:r>
        <w:rPr>
          <w:rFonts w:cs="Arial"/>
          <w:sz w:val="21"/>
          <w:szCs w:val="21"/>
        </w:rPr>
        <w:t>），以便代理机构查收快递。如供应商选择快递费到付，将被拒收。 </w:t>
      </w:r>
    </w:p>
    <w:p>
      <w:pPr>
        <w:pStyle w:val="31"/>
        <w:spacing w:before="75" w:after="75" w:line="380" w:lineRule="exact"/>
        <w:ind w:firstLine="420"/>
        <w:rPr>
          <w:rFonts w:cs="Arial"/>
          <w:sz w:val="21"/>
          <w:szCs w:val="21"/>
        </w:rPr>
      </w:pPr>
      <w:r>
        <w:rPr>
          <w:rFonts w:cs="Arial"/>
          <w:sz w:val="21"/>
          <w:szCs w:val="21"/>
        </w:rPr>
        <w:t>“备份投标文件”是指与“电子加密投标文件”同时生成的数据电文形式的电子文件（备份标书），其他方式编制的备份投标文件视为无效备份投标文件。</w:t>
      </w:r>
    </w:p>
    <w:p>
      <w:pPr>
        <w:pStyle w:val="31"/>
        <w:spacing w:before="75" w:after="75" w:line="380" w:lineRule="exact"/>
        <w:ind w:firstLine="420"/>
        <w:rPr>
          <w:rFonts w:cs="Arial"/>
          <w:sz w:val="21"/>
          <w:szCs w:val="21"/>
        </w:rPr>
      </w:pPr>
      <w:r>
        <w:rPr>
          <w:rFonts w:hint="eastAsia" w:cs="Arial"/>
          <w:sz w:val="21"/>
          <w:szCs w:val="21"/>
        </w:rPr>
        <w:t>6</w:t>
      </w:r>
      <w:r>
        <w:rPr>
          <w:rFonts w:cs="Arial"/>
          <w:sz w:val="21"/>
          <w:szCs w:val="21"/>
        </w:rPr>
        <w:t>.4、备份电子标文件制作为非强制性，但如遇因应商电子投标文件解密失败等情况造成无效标，后果由供应商自负。　　</w:t>
      </w:r>
    </w:p>
    <w:p>
      <w:pPr>
        <w:pStyle w:val="31"/>
        <w:spacing w:before="75" w:after="75" w:line="380" w:lineRule="exact"/>
        <w:ind w:firstLine="420"/>
        <w:rPr>
          <w:rFonts w:cs="Arial"/>
          <w:sz w:val="21"/>
          <w:szCs w:val="21"/>
        </w:rPr>
      </w:pPr>
      <w:r>
        <w:rPr>
          <w:rStyle w:val="37"/>
          <w:rFonts w:cs="Arial"/>
          <w:sz w:val="21"/>
          <w:szCs w:val="21"/>
        </w:rPr>
        <w:t>七、对本次招标提出询问、质疑、投诉，请按以下方式联系。</w:t>
      </w:r>
      <w:r>
        <w:rPr>
          <w:rFonts w:cs="Arial"/>
          <w:sz w:val="21"/>
          <w:szCs w:val="21"/>
        </w:rPr>
        <w:t>　　　　　　　　　　　　</w:t>
      </w:r>
    </w:p>
    <w:p>
      <w:pPr>
        <w:pStyle w:val="31"/>
        <w:spacing w:before="75" w:after="75" w:line="380" w:lineRule="exact"/>
        <w:rPr>
          <w:rFonts w:cs="Arial"/>
          <w:sz w:val="21"/>
          <w:szCs w:val="21"/>
        </w:rPr>
      </w:pPr>
      <w:r>
        <w:rPr>
          <w:rFonts w:cs="Arial"/>
          <w:sz w:val="21"/>
          <w:szCs w:val="21"/>
        </w:rPr>
        <w:t>    1.采购人信息</w:t>
      </w:r>
    </w:p>
    <w:p>
      <w:pPr>
        <w:pStyle w:val="31"/>
        <w:spacing w:before="75" w:after="75" w:line="380" w:lineRule="exact"/>
        <w:rPr>
          <w:rFonts w:cs="Arial"/>
          <w:sz w:val="21"/>
          <w:szCs w:val="21"/>
        </w:rPr>
      </w:pPr>
      <w:r>
        <w:rPr>
          <w:rFonts w:cs="Arial"/>
          <w:sz w:val="21"/>
          <w:szCs w:val="21"/>
        </w:rPr>
        <w:t>    名    称：</w:t>
      </w:r>
      <w:r>
        <w:rPr>
          <w:rFonts w:hint="eastAsia" w:cs="Arial"/>
          <w:sz w:val="21"/>
          <w:szCs w:val="21"/>
          <w:u w:val="single"/>
        </w:rPr>
        <w:t>桐乡市世界互联网大会承办工作委员会</w:t>
      </w:r>
      <w:r>
        <w:rPr>
          <w:rFonts w:cs="Arial"/>
          <w:sz w:val="21"/>
          <w:szCs w:val="21"/>
        </w:rPr>
        <w:t>　　　　　　　　　</w:t>
      </w:r>
    </w:p>
    <w:p>
      <w:pPr>
        <w:pStyle w:val="31"/>
        <w:spacing w:before="75" w:after="75" w:line="380" w:lineRule="exact"/>
        <w:rPr>
          <w:rStyle w:val="43"/>
          <w:color w:val="auto"/>
          <w:sz w:val="21"/>
          <w:szCs w:val="21"/>
          <w:u w:val="single"/>
        </w:rPr>
      </w:pPr>
      <w:r>
        <w:rPr>
          <w:rFonts w:cs="Arial"/>
          <w:color w:val="auto"/>
          <w:sz w:val="21"/>
          <w:szCs w:val="21"/>
        </w:rPr>
        <w:t>    地    址：</w:t>
      </w:r>
      <w:r>
        <w:rPr>
          <w:rFonts w:hint="eastAsia" w:cs="Arial"/>
          <w:color w:val="auto"/>
          <w:sz w:val="21"/>
          <w:szCs w:val="21"/>
          <w:u w:val="single"/>
        </w:rPr>
        <w:t xml:space="preserve">桐乡市乌镇镇昭明路165号 </w:t>
      </w:r>
    </w:p>
    <w:p>
      <w:pPr>
        <w:pStyle w:val="31"/>
        <w:spacing w:before="75" w:after="75" w:line="380" w:lineRule="exact"/>
        <w:rPr>
          <w:rFonts w:cs="Arial"/>
          <w:color w:val="auto"/>
          <w:sz w:val="21"/>
          <w:szCs w:val="21"/>
        </w:rPr>
      </w:pPr>
      <w:r>
        <w:rPr>
          <w:rFonts w:cs="Arial"/>
          <w:color w:val="auto"/>
          <w:sz w:val="21"/>
          <w:szCs w:val="21"/>
        </w:rPr>
        <w:t>    传    真：</w:t>
      </w:r>
      <w:r>
        <w:rPr>
          <w:rFonts w:cs="Arial"/>
          <w:color w:val="auto"/>
          <w:sz w:val="21"/>
          <w:szCs w:val="21"/>
          <w:u w:val="single"/>
        </w:rPr>
        <w:t> </w:t>
      </w:r>
      <w:r>
        <w:rPr>
          <w:rStyle w:val="43"/>
          <w:rFonts w:cs="Arial"/>
          <w:color w:val="auto"/>
          <w:sz w:val="21"/>
          <w:szCs w:val="21"/>
          <w:u w:val="single"/>
        </w:rPr>
        <w:t>/</w:t>
      </w:r>
      <w:r>
        <w:rPr>
          <w:rFonts w:cs="Arial"/>
          <w:color w:val="auto"/>
          <w:sz w:val="21"/>
          <w:szCs w:val="21"/>
          <w:u w:val="single"/>
        </w:rPr>
        <w:t>  　　</w:t>
      </w:r>
    </w:p>
    <w:p>
      <w:pPr>
        <w:pStyle w:val="31"/>
        <w:spacing w:before="75" w:after="75" w:line="380" w:lineRule="exact"/>
        <w:rPr>
          <w:rFonts w:cs="Arial"/>
          <w:color w:val="auto"/>
          <w:sz w:val="21"/>
          <w:szCs w:val="21"/>
        </w:rPr>
      </w:pPr>
      <w:r>
        <w:rPr>
          <w:rFonts w:cs="Arial"/>
          <w:color w:val="auto"/>
          <w:sz w:val="21"/>
          <w:szCs w:val="21"/>
        </w:rPr>
        <w:t>    项目联系人（询问）</w:t>
      </w:r>
      <w:r>
        <w:rPr>
          <w:rStyle w:val="43"/>
          <w:rFonts w:hint="eastAsia" w:cs="Arial"/>
          <w:color w:val="auto"/>
          <w:sz w:val="21"/>
          <w:szCs w:val="21"/>
          <w:u w:val="single"/>
        </w:rPr>
        <w:t>：  苏</w:t>
      </w:r>
      <w:r>
        <w:rPr>
          <w:rStyle w:val="43"/>
          <w:rFonts w:hint="eastAsia" w:cs="Arial"/>
          <w:color w:val="auto"/>
          <w:sz w:val="21"/>
          <w:szCs w:val="21"/>
          <w:u w:val="single"/>
          <w:lang w:val="en-US" w:eastAsia="zh-CN"/>
        </w:rPr>
        <w:t>先生</w:t>
      </w:r>
      <w:r>
        <w:rPr>
          <w:rStyle w:val="43"/>
          <w:rFonts w:hint="eastAsia" w:cs="Arial"/>
          <w:color w:val="auto"/>
          <w:sz w:val="21"/>
          <w:szCs w:val="21"/>
          <w:u w:val="single"/>
        </w:rPr>
        <w:t xml:space="preserve">    　</w:t>
      </w:r>
      <w:r>
        <w:rPr>
          <w:rFonts w:cs="Arial"/>
          <w:color w:val="auto"/>
          <w:sz w:val="21"/>
          <w:szCs w:val="21"/>
        </w:rPr>
        <w:t>　　　　　　　　　</w:t>
      </w:r>
    </w:p>
    <w:p>
      <w:pPr>
        <w:pStyle w:val="31"/>
        <w:spacing w:before="75" w:after="75" w:line="380" w:lineRule="exact"/>
        <w:ind w:firstLine="630"/>
        <w:rPr>
          <w:rFonts w:cs="Arial"/>
          <w:color w:val="auto"/>
          <w:sz w:val="21"/>
          <w:szCs w:val="21"/>
        </w:rPr>
      </w:pPr>
      <w:r>
        <w:rPr>
          <w:rFonts w:cs="Arial"/>
          <w:color w:val="auto"/>
          <w:sz w:val="21"/>
          <w:szCs w:val="21"/>
        </w:rPr>
        <w:t>项目联系方式（询问）：</w:t>
      </w:r>
      <w:r>
        <w:rPr>
          <w:rFonts w:hint="eastAsia" w:cs="Arial"/>
          <w:color w:val="auto"/>
          <w:sz w:val="21"/>
          <w:szCs w:val="21"/>
          <w:u w:val="single"/>
        </w:rPr>
        <w:t>0573-88149170</w:t>
      </w:r>
      <w:r>
        <w:rPr>
          <w:rFonts w:cs="Arial"/>
          <w:color w:val="auto"/>
          <w:sz w:val="21"/>
          <w:szCs w:val="21"/>
          <w:u w:val="single"/>
          <w:shd w:val="clear" w:color="auto" w:fill="F7F7F7"/>
        </w:rPr>
        <w:br w:type="textWrapping"/>
      </w:r>
      <w:r>
        <w:rPr>
          <w:rFonts w:cs="Arial"/>
          <w:color w:val="auto"/>
          <w:sz w:val="21"/>
          <w:szCs w:val="21"/>
        </w:rPr>
        <w:t>    质疑联系人：</w:t>
      </w:r>
      <w:r>
        <w:rPr>
          <w:rFonts w:hint="eastAsia" w:cs="Arial"/>
          <w:color w:val="auto"/>
          <w:sz w:val="21"/>
          <w:szCs w:val="21"/>
          <w:u w:val="single"/>
          <w:lang w:val="en-US" w:eastAsia="zh-CN"/>
        </w:rPr>
        <w:t>谢先生</w:t>
      </w:r>
      <w:r>
        <w:rPr>
          <w:rStyle w:val="43"/>
          <w:color w:val="auto"/>
          <w:sz w:val="21"/>
          <w:szCs w:val="21"/>
          <w:u w:val="single"/>
        </w:rPr>
        <w:t> </w:t>
      </w:r>
    </w:p>
    <w:p>
      <w:pPr>
        <w:pStyle w:val="31"/>
        <w:spacing w:before="75" w:after="75" w:line="380" w:lineRule="exact"/>
        <w:rPr>
          <w:rFonts w:cs="Arial"/>
          <w:color w:val="auto"/>
          <w:sz w:val="21"/>
          <w:szCs w:val="21"/>
        </w:rPr>
      </w:pPr>
      <w:r>
        <w:rPr>
          <w:rFonts w:cs="Arial"/>
          <w:color w:val="auto"/>
          <w:sz w:val="21"/>
          <w:szCs w:val="21"/>
        </w:rPr>
        <w:t>    质疑联系方式：</w:t>
      </w:r>
      <w:r>
        <w:rPr>
          <w:rFonts w:hint="eastAsia" w:cs="Arial"/>
          <w:i w:val="0"/>
          <w:iCs w:val="0"/>
          <w:color w:val="auto"/>
          <w:sz w:val="21"/>
          <w:szCs w:val="21"/>
          <w:u w:val="single"/>
        </w:rPr>
        <w:t>0573-88149170</w:t>
      </w:r>
      <w:r>
        <w:rPr>
          <w:rFonts w:cs="Arial"/>
          <w:i w:val="0"/>
          <w:iCs w:val="0"/>
          <w:color w:val="auto"/>
          <w:sz w:val="21"/>
          <w:szCs w:val="21"/>
          <w:u w:val="single"/>
        </w:rPr>
        <w:t> 　　</w:t>
      </w:r>
      <w:r>
        <w:rPr>
          <w:rFonts w:cs="Arial"/>
          <w:color w:val="auto"/>
          <w:sz w:val="21"/>
          <w:szCs w:val="21"/>
        </w:rPr>
        <w:t>　　　　　　　　</w:t>
      </w:r>
    </w:p>
    <w:p>
      <w:pPr>
        <w:pStyle w:val="31"/>
        <w:spacing w:before="75" w:after="75" w:line="380" w:lineRule="exact"/>
        <w:rPr>
          <w:rFonts w:cs="Arial"/>
          <w:color w:val="auto"/>
          <w:sz w:val="21"/>
          <w:szCs w:val="21"/>
        </w:rPr>
      </w:pPr>
      <w:r>
        <w:rPr>
          <w:rFonts w:cs="Arial"/>
          <w:color w:val="auto"/>
          <w:sz w:val="21"/>
          <w:szCs w:val="21"/>
        </w:rPr>
        <w:t>  2.采购代理机构信息</w:t>
      </w:r>
    </w:p>
    <w:p>
      <w:pPr>
        <w:pStyle w:val="31"/>
        <w:spacing w:before="75" w:after="75" w:line="380" w:lineRule="exact"/>
        <w:rPr>
          <w:rFonts w:cs="Arial"/>
          <w:sz w:val="21"/>
          <w:szCs w:val="21"/>
        </w:rPr>
      </w:pPr>
      <w:r>
        <w:rPr>
          <w:rFonts w:cs="Arial"/>
          <w:sz w:val="21"/>
          <w:szCs w:val="21"/>
        </w:rPr>
        <w:t>    名    称： </w:t>
      </w:r>
      <w:r>
        <w:rPr>
          <w:rStyle w:val="43"/>
          <w:rFonts w:hint="eastAsia" w:cs="Arial"/>
          <w:sz w:val="21"/>
          <w:szCs w:val="21"/>
          <w:u w:val="single"/>
        </w:rPr>
        <w:t>浙江同诚建设管理有限公司</w:t>
      </w:r>
      <w:r>
        <w:rPr>
          <w:rFonts w:cs="Arial"/>
          <w:sz w:val="21"/>
          <w:szCs w:val="21"/>
          <w:u w:val="single"/>
        </w:rPr>
        <w:t> </w:t>
      </w:r>
      <w:r>
        <w:rPr>
          <w:rFonts w:cs="Arial"/>
          <w:sz w:val="21"/>
          <w:szCs w:val="21"/>
        </w:rPr>
        <w:t>　　　　　　　　　　　</w:t>
      </w:r>
    </w:p>
    <w:p>
      <w:pPr>
        <w:pStyle w:val="31"/>
        <w:spacing w:before="75" w:after="75" w:line="380" w:lineRule="exact"/>
        <w:rPr>
          <w:rFonts w:cs="Arial"/>
          <w:sz w:val="21"/>
          <w:szCs w:val="21"/>
        </w:rPr>
      </w:pPr>
      <w:r>
        <w:rPr>
          <w:rFonts w:cs="Arial"/>
          <w:sz w:val="21"/>
          <w:szCs w:val="21"/>
        </w:rPr>
        <w:t>    地    址： </w:t>
      </w:r>
      <w:r>
        <w:rPr>
          <w:rStyle w:val="43"/>
          <w:rFonts w:hint="eastAsia" w:cs="Arial"/>
          <w:sz w:val="21"/>
          <w:szCs w:val="21"/>
          <w:u w:val="single"/>
        </w:rPr>
        <w:t>桐乡市梧桐街道振兴东路（东）303号东湖金悦8幢（金悦财富中心）6楼</w:t>
      </w:r>
      <w:r>
        <w:rPr>
          <w:rFonts w:cs="Arial"/>
          <w:sz w:val="21"/>
          <w:szCs w:val="21"/>
          <w:u w:val="single"/>
        </w:rPr>
        <w:t> </w:t>
      </w:r>
    </w:p>
    <w:p>
      <w:pPr>
        <w:pStyle w:val="31"/>
        <w:spacing w:before="75" w:after="75" w:line="380" w:lineRule="exact"/>
        <w:rPr>
          <w:rFonts w:cs="Arial"/>
          <w:sz w:val="21"/>
          <w:szCs w:val="21"/>
        </w:rPr>
      </w:pPr>
      <w:r>
        <w:rPr>
          <w:rFonts w:cs="Arial"/>
          <w:sz w:val="21"/>
          <w:szCs w:val="21"/>
        </w:rPr>
        <w:t>    传    真：</w:t>
      </w:r>
      <w:r>
        <w:rPr>
          <w:rFonts w:cs="Arial"/>
          <w:sz w:val="21"/>
          <w:szCs w:val="21"/>
          <w:u w:val="single"/>
        </w:rPr>
        <w:t> </w:t>
      </w:r>
      <w:r>
        <w:rPr>
          <w:rStyle w:val="43"/>
          <w:rFonts w:cs="Arial"/>
          <w:sz w:val="21"/>
          <w:szCs w:val="21"/>
          <w:u w:val="single"/>
        </w:rPr>
        <w:t>0573-</w:t>
      </w:r>
      <w:r>
        <w:rPr>
          <w:rStyle w:val="43"/>
          <w:rFonts w:hint="eastAsia" w:cs="Arial"/>
          <w:sz w:val="21"/>
          <w:szCs w:val="21"/>
          <w:u w:val="single"/>
        </w:rPr>
        <w:t>88028957</w:t>
      </w:r>
      <w:r>
        <w:rPr>
          <w:rFonts w:cs="Arial"/>
          <w:sz w:val="21"/>
          <w:szCs w:val="21"/>
          <w:u w:val="single"/>
        </w:rPr>
        <w:t>  　</w:t>
      </w:r>
    </w:p>
    <w:p>
      <w:pPr>
        <w:pStyle w:val="31"/>
        <w:spacing w:before="75" w:after="75" w:line="380" w:lineRule="exact"/>
        <w:rPr>
          <w:rFonts w:cs="Arial"/>
          <w:sz w:val="21"/>
          <w:szCs w:val="21"/>
        </w:rPr>
      </w:pPr>
      <w:r>
        <w:rPr>
          <w:rFonts w:cs="Arial"/>
          <w:sz w:val="21"/>
          <w:szCs w:val="21"/>
        </w:rPr>
        <w:t>    项目联系人（询问）：</w:t>
      </w:r>
      <w:r>
        <w:rPr>
          <w:rStyle w:val="43"/>
          <w:rFonts w:hint="eastAsia" w:cs="Arial"/>
          <w:sz w:val="21"/>
          <w:szCs w:val="21"/>
          <w:u w:val="single"/>
        </w:rPr>
        <w:t>赵女士</w:t>
      </w:r>
      <w:r>
        <w:rPr>
          <w:rFonts w:cs="Arial"/>
          <w:sz w:val="21"/>
          <w:szCs w:val="21"/>
          <w:u w:val="single"/>
        </w:rPr>
        <w:t> 　 </w:t>
      </w:r>
      <w:r>
        <w:rPr>
          <w:rFonts w:cs="Arial"/>
          <w:sz w:val="21"/>
          <w:szCs w:val="21"/>
        </w:rPr>
        <w:t>  　　　　　　　　　　　</w:t>
      </w:r>
    </w:p>
    <w:p>
      <w:pPr>
        <w:pStyle w:val="31"/>
        <w:spacing w:before="75" w:after="75" w:line="380" w:lineRule="exact"/>
        <w:rPr>
          <w:rFonts w:cs="Arial"/>
          <w:sz w:val="21"/>
          <w:szCs w:val="21"/>
        </w:rPr>
      </w:pPr>
      <w:r>
        <w:rPr>
          <w:rFonts w:cs="Arial"/>
          <w:sz w:val="21"/>
          <w:szCs w:val="21"/>
        </w:rPr>
        <w:t>    项目联系方式（询问）：</w:t>
      </w:r>
      <w:r>
        <w:rPr>
          <w:rFonts w:cs="Arial"/>
          <w:sz w:val="21"/>
          <w:szCs w:val="21"/>
          <w:u w:val="single"/>
        </w:rPr>
        <w:t> </w:t>
      </w:r>
      <w:r>
        <w:rPr>
          <w:rStyle w:val="43"/>
          <w:rFonts w:cs="Arial"/>
          <w:sz w:val="21"/>
          <w:szCs w:val="21"/>
          <w:u w:val="single"/>
        </w:rPr>
        <w:t xml:space="preserve">0573-88028957  </w:t>
      </w:r>
    </w:p>
    <w:p>
      <w:pPr>
        <w:pStyle w:val="31"/>
        <w:spacing w:before="75" w:after="75" w:line="380" w:lineRule="exact"/>
        <w:rPr>
          <w:rFonts w:cs="Arial"/>
          <w:sz w:val="21"/>
          <w:szCs w:val="21"/>
        </w:rPr>
      </w:pPr>
      <w:r>
        <w:rPr>
          <w:rFonts w:cs="Arial"/>
          <w:sz w:val="21"/>
          <w:szCs w:val="21"/>
        </w:rPr>
        <w:t>    质疑联系人：</w:t>
      </w:r>
      <w:r>
        <w:rPr>
          <w:rFonts w:cs="Arial"/>
          <w:sz w:val="21"/>
          <w:szCs w:val="21"/>
          <w:u w:val="single"/>
        </w:rPr>
        <w:t> </w:t>
      </w:r>
      <w:r>
        <w:rPr>
          <w:rStyle w:val="43"/>
          <w:rFonts w:hint="eastAsia" w:cs="Arial"/>
          <w:sz w:val="21"/>
          <w:szCs w:val="21"/>
          <w:u w:val="single"/>
        </w:rPr>
        <w:t xml:space="preserve">金炜玮 </w:t>
      </w:r>
      <w:r>
        <w:rPr>
          <w:rFonts w:cs="Arial"/>
          <w:sz w:val="21"/>
          <w:szCs w:val="21"/>
          <w:u w:val="single"/>
        </w:rPr>
        <w:t> </w:t>
      </w:r>
    </w:p>
    <w:p>
      <w:pPr>
        <w:pStyle w:val="31"/>
        <w:spacing w:before="75" w:after="75" w:line="380" w:lineRule="exact"/>
        <w:ind w:firstLine="630"/>
        <w:rPr>
          <w:rFonts w:cs="Arial"/>
          <w:sz w:val="21"/>
          <w:szCs w:val="21"/>
        </w:rPr>
      </w:pPr>
      <w:r>
        <w:rPr>
          <w:rFonts w:cs="Arial"/>
          <w:sz w:val="21"/>
          <w:szCs w:val="21"/>
        </w:rPr>
        <w:t>质疑联系方式：</w:t>
      </w:r>
      <w:r>
        <w:rPr>
          <w:rFonts w:cs="Arial"/>
          <w:sz w:val="21"/>
          <w:szCs w:val="21"/>
          <w:u w:val="single"/>
        </w:rPr>
        <w:t>  </w:t>
      </w:r>
      <w:r>
        <w:rPr>
          <w:rStyle w:val="43"/>
          <w:rFonts w:cs="Arial"/>
          <w:sz w:val="21"/>
          <w:szCs w:val="21"/>
          <w:u w:val="single"/>
        </w:rPr>
        <w:t>0573-88028957 </w:t>
      </w:r>
      <w:r>
        <w:rPr>
          <w:rFonts w:cs="Arial"/>
          <w:sz w:val="21"/>
          <w:szCs w:val="21"/>
        </w:rPr>
        <w:t>　</w:t>
      </w:r>
    </w:p>
    <w:p>
      <w:pPr>
        <w:pStyle w:val="31"/>
        <w:spacing w:before="75" w:after="75" w:line="380" w:lineRule="exact"/>
        <w:ind w:firstLine="420" w:firstLineChars="200"/>
        <w:rPr>
          <w:rFonts w:cs="Arial"/>
          <w:sz w:val="21"/>
          <w:szCs w:val="21"/>
        </w:rPr>
      </w:pPr>
      <w:r>
        <w:rPr>
          <w:rFonts w:cs="Arial"/>
          <w:sz w:val="21"/>
          <w:szCs w:val="21"/>
        </w:rPr>
        <w:t>3.同级政府采购监督管理部门</w:t>
      </w:r>
    </w:p>
    <w:p>
      <w:pPr>
        <w:pStyle w:val="31"/>
        <w:spacing w:before="75" w:after="75" w:line="380" w:lineRule="exact"/>
        <w:rPr>
          <w:rFonts w:cs="Arial"/>
          <w:sz w:val="21"/>
          <w:szCs w:val="21"/>
        </w:rPr>
      </w:pPr>
      <w:r>
        <w:rPr>
          <w:rFonts w:cs="Arial"/>
          <w:sz w:val="21"/>
          <w:szCs w:val="21"/>
        </w:rPr>
        <w:t>    名    称： </w:t>
      </w:r>
      <w:r>
        <w:rPr>
          <w:rStyle w:val="43"/>
          <w:rFonts w:hint="eastAsia" w:cs="Arial"/>
          <w:sz w:val="21"/>
          <w:szCs w:val="21"/>
          <w:u w:val="single"/>
        </w:rPr>
        <w:t>桐乡市财政局政府采购监管科</w:t>
      </w:r>
      <w:r>
        <w:rPr>
          <w:rFonts w:cs="Arial"/>
          <w:sz w:val="21"/>
          <w:szCs w:val="21"/>
          <w:u w:val="single"/>
        </w:rPr>
        <w:t> </w:t>
      </w:r>
    </w:p>
    <w:p>
      <w:pPr>
        <w:pStyle w:val="31"/>
        <w:spacing w:before="75" w:after="75" w:line="380" w:lineRule="exact"/>
        <w:rPr>
          <w:rFonts w:cs="Arial"/>
          <w:sz w:val="21"/>
          <w:szCs w:val="21"/>
        </w:rPr>
      </w:pPr>
      <w:r>
        <w:rPr>
          <w:rFonts w:cs="Arial"/>
          <w:sz w:val="21"/>
          <w:szCs w:val="21"/>
        </w:rPr>
        <w:t>    地    址： </w:t>
      </w:r>
      <w:r>
        <w:rPr>
          <w:rStyle w:val="43"/>
          <w:rFonts w:hint="eastAsia" w:cs="Arial"/>
          <w:sz w:val="21"/>
          <w:szCs w:val="21"/>
          <w:u w:val="single"/>
        </w:rPr>
        <w:t>桐乡市梧桐街道茅盾西路2号</w:t>
      </w:r>
    </w:p>
    <w:p>
      <w:pPr>
        <w:pStyle w:val="31"/>
        <w:spacing w:before="75" w:after="75" w:line="380" w:lineRule="exact"/>
        <w:rPr>
          <w:rFonts w:cs="Arial"/>
          <w:sz w:val="21"/>
          <w:szCs w:val="21"/>
        </w:rPr>
      </w:pPr>
      <w:r>
        <w:rPr>
          <w:rFonts w:cs="Arial"/>
          <w:sz w:val="21"/>
          <w:szCs w:val="21"/>
        </w:rPr>
        <w:t>    传    真： </w:t>
      </w:r>
      <w:r>
        <w:rPr>
          <w:rStyle w:val="43"/>
          <w:rFonts w:hint="eastAsia" w:cs="Arial"/>
          <w:sz w:val="21"/>
          <w:szCs w:val="21"/>
          <w:u w:val="single"/>
        </w:rPr>
        <w:t xml:space="preserve">            /              </w:t>
      </w:r>
    </w:p>
    <w:p>
      <w:pPr>
        <w:pStyle w:val="31"/>
        <w:spacing w:before="75" w:after="75" w:line="380" w:lineRule="exact"/>
        <w:rPr>
          <w:rFonts w:cs="Arial"/>
          <w:sz w:val="21"/>
          <w:szCs w:val="21"/>
        </w:rPr>
      </w:pPr>
      <w:r>
        <w:rPr>
          <w:rFonts w:cs="Arial"/>
          <w:sz w:val="21"/>
          <w:szCs w:val="21"/>
        </w:rPr>
        <w:t>    联系人 ： </w:t>
      </w:r>
      <w:r>
        <w:rPr>
          <w:rStyle w:val="43"/>
          <w:rFonts w:hint="eastAsia" w:cs="Arial"/>
          <w:sz w:val="21"/>
          <w:szCs w:val="21"/>
          <w:u w:val="single"/>
        </w:rPr>
        <w:t xml:space="preserve">沈先生 </w:t>
      </w:r>
      <w:r>
        <w:rPr>
          <w:rFonts w:cs="Arial"/>
          <w:sz w:val="21"/>
          <w:szCs w:val="21"/>
          <w:u w:val="single"/>
        </w:rPr>
        <w:t>　</w:t>
      </w:r>
    </w:p>
    <w:p>
      <w:pPr>
        <w:pStyle w:val="31"/>
        <w:spacing w:before="75" w:after="75" w:line="380" w:lineRule="exact"/>
        <w:ind w:firstLine="630"/>
        <w:rPr>
          <w:rFonts w:cs="Arial"/>
          <w:sz w:val="21"/>
          <w:szCs w:val="21"/>
        </w:rPr>
      </w:pPr>
      <w:r>
        <w:rPr>
          <w:rFonts w:cs="Arial"/>
          <w:sz w:val="21"/>
          <w:szCs w:val="21"/>
        </w:rPr>
        <w:t>监督投诉电话：</w:t>
      </w:r>
      <w:r>
        <w:rPr>
          <w:rStyle w:val="43"/>
          <w:rFonts w:cs="Arial"/>
          <w:sz w:val="21"/>
          <w:szCs w:val="21"/>
          <w:u w:val="single"/>
        </w:rPr>
        <w:t xml:space="preserve">0573-88022840 </w:t>
      </w:r>
      <w:r>
        <w:rPr>
          <w:rFonts w:cs="Arial"/>
          <w:sz w:val="21"/>
          <w:szCs w:val="21"/>
        </w:rPr>
        <w:t>　</w:t>
      </w:r>
    </w:p>
    <w:p/>
    <w:p/>
    <w:p>
      <w:pPr>
        <w:wordWrap w:val="0"/>
        <w:spacing w:line="360" w:lineRule="auto"/>
        <w:rPr>
          <w:rFonts w:ascii="宋体" w:hAnsi="宋体"/>
          <w:szCs w:val="21"/>
        </w:rPr>
      </w:pPr>
    </w:p>
    <w:p>
      <w:pPr>
        <w:pStyle w:val="5"/>
        <w:spacing w:line="300" w:lineRule="auto"/>
        <w:jc w:val="center"/>
        <w:rPr>
          <w:sz w:val="28"/>
        </w:rPr>
      </w:pPr>
      <w:r>
        <w:rPr>
          <w:rFonts w:hint="eastAsia"/>
          <w:sz w:val="28"/>
        </w:rPr>
        <w:br w:type="page"/>
      </w:r>
      <w:bookmarkStart w:id="34" w:name="_Toc18375"/>
      <w:r>
        <w:rPr>
          <w:rFonts w:hint="eastAsia"/>
          <w:sz w:val="28"/>
        </w:rPr>
        <w:t>第二章</w:t>
      </w:r>
      <w:r>
        <w:rPr>
          <w:rFonts w:hint="eastAsia"/>
          <w:sz w:val="28"/>
          <w:lang w:val="en-US" w:eastAsia="zh-CN"/>
        </w:rPr>
        <w:t xml:space="preserve"> </w:t>
      </w:r>
      <w:r>
        <w:rPr>
          <w:rFonts w:hint="eastAsia"/>
          <w:sz w:val="28"/>
        </w:rPr>
        <w:t>招标需求</w:t>
      </w:r>
      <w:bookmarkEnd w:id="34"/>
    </w:p>
    <w:p>
      <w:pPr>
        <w:keepNext/>
        <w:keepLines/>
        <w:snapToGrid w:val="0"/>
        <w:spacing w:before="120" w:after="120" w:line="460" w:lineRule="exact"/>
        <w:ind w:firstLine="310" w:firstLineChars="147"/>
        <w:jc w:val="left"/>
        <w:outlineLvl w:val="0"/>
        <w:rPr>
          <w:rFonts w:ascii="宋体" w:hAnsi="宋体"/>
          <w:b/>
          <w:bCs/>
          <w:snapToGrid w:val="0"/>
          <w:kern w:val="44"/>
          <w:szCs w:val="21"/>
        </w:rPr>
      </w:pPr>
      <w:bookmarkStart w:id="35" w:name="_Toc55498408"/>
      <w:r>
        <w:rPr>
          <w:rFonts w:hint="eastAsia" w:ascii="宋体" w:hAnsi="宋体"/>
          <w:b/>
          <w:bCs/>
          <w:snapToGrid w:val="0"/>
          <w:kern w:val="44"/>
          <w:szCs w:val="21"/>
        </w:rPr>
        <w:t>（一）</w:t>
      </w:r>
      <w:bookmarkEnd w:id="35"/>
      <w:r>
        <w:rPr>
          <w:rFonts w:hint="eastAsia" w:ascii="宋体" w:hAnsi="宋体"/>
          <w:b/>
          <w:bCs/>
          <w:snapToGrid w:val="0"/>
          <w:kern w:val="44"/>
          <w:szCs w:val="21"/>
        </w:rPr>
        <w:t>技术参数要求</w:t>
      </w:r>
    </w:p>
    <w:p>
      <w:pPr>
        <w:spacing w:line="440" w:lineRule="exact"/>
        <w:ind w:firstLine="420" w:firstLineChars="200"/>
        <w:rPr>
          <w:rFonts w:ascii="宋体" w:hAnsi="宋体" w:cs="黑体"/>
          <w:szCs w:val="21"/>
        </w:rPr>
      </w:pPr>
      <w:r>
        <w:rPr>
          <w:rFonts w:ascii="宋体" w:hAnsi="宋体" w:cs="黑体"/>
          <w:szCs w:val="21"/>
        </w:rPr>
        <w:t>（一）智慧会务指挥平台升级。</w:t>
      </w:r>
    </w:p>
    <w:p>
      <w:pPr>
        <w:spacing w:line="440" w:lineRule="exact"/>
        <w:ind w:firstLine="420" w:firstLineChars="200"/>
        <w:rPr>
          <w:rFonts w:ascii="宋体" w:hAnsi="宋体" w:cs="仿宋_GB2312"/>
          <w:szCs w:val="21"/>
        </w:rPr>
      </w:pPr>
      <w:r>
        <w:rPr>
          <w:rFonts w:ascii="宋体" w:hAnsi="宋体" w:cs="黑体"/>
          <w:szCs w:val="21"/>
        </w:rPr>
        <w:t>根据筹备、报到、会议、会后各个阶段工作特点，构建线上线下协同指挥体系。一方面为高层领导提供准确的信息反馈与多层次的数据展示，协助掌握大会情况，支撑决策；一方面帮助工作人员实时掌握工作进度，应急联动。</w:t>
      </w:r>
    </w:p>
    <w:p>
      <w:pPr>
        <w:spacing w:line="440" w:lineRule="exact"/>
        <w:ind w:firstLine="420" w:firstLineChars="200"/>
        <w:rPr>
          <w:rFonts w:ascii="宋体" w:hAnsi="宋体" w:cs="仿宋_GB2312"/>
          <w:szCs w:val="21"/>
        </w:rPr>
      </w:pPr>
      <w:r>
        <w:rPr>
          <w:rFonts w:ascii="宋体" w:hAnsi="宋体" w:cs="黑体"/>
          <w:szCs w:val="21"/>
        </w:rPr>
        <w:t>1、建立快速指挥调度模块。通过分级展示浙江承办工作架构下各工作部工作组的职责分工与筹办事项进度，提供指令下达和工作报告上传功能，供领导参阅研判。</w:t>
      </w:r>
    </w:p>
    <w:p>
      <w:pPr>
        <w:spacing w:line="440" w:lineRule="exact"/>
        <w:ind w:firstLine="420" w:firstLineChars="200"/>
        <w:rPr>
          <w:rFonts w:ascii="宋体" w:hAnsi="宋体" w:cs="仿宋_GB2312"/>
          <w:szCs w:val="21"/>
        </w:rPr>
      </w:pPr>
      <w:r>
        <w:rPr>
          <w:rFonts w:ascii="宋体" w:hAnsi="宋体" w:cs="黑体"/>
          <w:szCs w:val="21"/>
        </w:rPr>
        <w:t>2、数据集成与输出。根据办内指挥系统情况，将大会相关情况信息集成到办内指挥系统中。优化完善后台各个模块数据更新功能，配置互联网之光博览会、直通乌镇大赛、数字共富专题、网络传播指数、线上嘉宾、视频会议等其他系统的数据端口，支持数据流同步，按需优化数据可视功能。</w:t>
      </w:r>
    </w:p>
    <w:p>
      <w:pPr>
        <w:spacing w:line="440" w:lineRule="exact"/>
        <w:ind w:firstLine="420" w:firstLineChars="200"/>
        <w:rPr>
          <w:rFonts w:ascii="宋体" w:hAnsi="宋体" w:cs="仿宋_GB2312"/>
          <w:szCs w:val="21"/>
        </w:rPr>
      </w:pPr>
      <w:r>
        <w:rPr>
          <w:rFonts w:ascii="宋体" w:hAnsi="宋体" w:cs="黑体"/>
          <w:szCs w:val="21"/>
        </w:rPr>
        <w:t>3、现有模块优化。根据今年大会重点工作对现有系统各模块显示内容进行进一步细化，实现包括嘉宾历年参会情况、分论坛历年分布、活动推进、重要嘉宾报到、参加活动等各项内容的详细数据展示功能。</w:t>
      </w:r>
    </w:p>
    <w:p>
      <w:pPr>
        <w:spacing w:line="440" w:lineRule="exact"/>
        <w:ind w:firstLine="420" w:firstLineChars="200"/>
        <w:rPr>
          <w:rFonts w:ascii="宋体" w:hAnsi="宋体" w:cs="黑体"/>
          <w:szCs w:val="21"/>
        </w:rPr>
      </w:pPr>
      <w:r>
        <w:rPr>
          <w:rFonts w:ascii="宋体" w:hAnsi="宋体" w:cs="黑体"/>
          <w:szCs w:val="21"/>
        </w:rPr>
        <w:t>4、多端适配。基于指挥体系架构需求和</w:t>
      </w:r>
      <w:r>
        <w:rPr>
          <w:rFonts w:hint="eastAsia" w:ascii="宋体" w:hAnsi="宋体" w:cs="黑体"/>
          <w:szCs w:val="21"/>
          <w:lang w:eastAsia="zh-CN"/>
        </w:rPr>
        <w:t>实际</w:t>
      </w:r>
      <w:r>
        <w:rPr>
          <w:rFonts w:ascii="宋体" w:hAnsi="宋体" w:cs="黑体"/>
          <w:szCs w:val="21"/>
        </w:rPr>
        <w:t>办公特点，面向不同权限级别的工作人员适配会务保障核心功能，满足多端协同使用需要。</w:t>
      </w:r>
    </w:p>
    <w:p>
      <w:pPr>
        <w:spacing w:line="440" w:lineRule="exact"/>
        <w:ind w:firstLine="420" w:firstLineChars="200"/>
        <w:rPr>
          <w:rFonts w:ascii="宋体" w:hAnsi="宋体" w:cs="仿宋_GB2312"/>
          <w:szCs w:val="21"/>
        </w:rPr>
      </w:pPr>
    </w:p>
    <w:p>
      <w:pPr>
        <w:numPr>
          <w:ilvl w:val="0"/>
          <w:numId w:val="1"/>
        </w:numPr>
        <w:spacing w:line="440" w:lineRule="exact"/>
        <w:ind w:firstLine="420" w:firstLineChars="200"/>
        <w:rPr>
          <w:rFonts w:ascii="宋体" w:hAnsi="宋体" w:cs="黑体"/>
          <w:szCs w:val="21"/>
        </w:rPr>
      </w:pPr>
      <w:r>
        <w:rPr>
          <w:rFonts w:ascii="宋体" w:hAnsi="宋体" w:cs="黑体"/>
          <w:szCs w:val="21"/>
        </w:rPr>
        <w:t>嘉宾接待管理模块优化。</w:t>
      </w:r>
    </w:p>
    <w:p>
      <w:pPr>
        <w:spacing w:line="440" w:lineRule="exact"/>
        <w:rPr>
          <w:rFonts w:ascii="宋体" w:hAnsi="宋体" w:cs="仿宋_GB2312"/>
          <w:szCs w:val="21"/>
        </w:rPr>
      </w:pPr>
      <w:r>
        <w:rPr>
          <w:rFonts w:ascii="宋体" w:hAnsi="宋体" w:cs="黑体"/>
          <w:szCs w:val="21"/>
        </w:rPr>
        <w:t xml:space="preserve">    根据今年大会重要嘉宾接待业务流程进行改造，为大会指挥、接待、食宿、车辆提供及时、准确的数据支撑，实现vip嘉宾全流程管理与志愿者（COO）线上分配，助力接待管理工作的高效开展，提升重要嘉宾参会体验和服务。</w:t>
      </w:r>
    </w:p>
    <w:p>
      <w:pPr>
        <w:spacing w:line="440" w:lineRule="exact"/>
        <w:ind w:firstLine="420" w:firstLineChars="200"/>
        <w:rPr>
          <w:rFonts w:ascii="宋体" w:hAnsi="宋体" w:cs="仿宋_GB2312"/>
          <w:szCs w:val="21"/>
        </w:rPr>
      </w:pPr>
      <w:r>
        <w:rPr>
          <w:rFonts w:ascii="宋体" w:hAnsi="宋体" w:cs="黑体"/>
          <w:szCs w:val="21"/>
        </w:rPr>
        <w:t>1、扩展、集成重要嘉宾活动、论坛、行程、往届参加情况等全要素会务信息。根据权限管理机制，支持基于各项数据字段的便捷查询、筛选及导出功能，提供嘉宾信息检索阅览功能。</w:t>
      </w:r>
    </w:p>
    <w:p>
      <w:pPr>
        <w:spacing w:line="440" w:lineRule="exact"/>
        <w:ind w:firstLine="420" w:firstLineChars="200"/>
        <w:rPr>
          <w:rFonts w:ascii="宋体" w:hAnsi="宋体" w:cs="仿宋_GB2312"/>
          <w:szCs w:val="21"/>
        </w:rPr>
      </w:pPr>
      <w:r>
        <w:rPr>
          <w:rFonts w:ascii="宋体" w:hAnsi="宋体" w:cs="黑体"/>
          <w:szCs w:val="21"/>
        </w:rPr>
        <w:t>2、为后台数据维护提供便捷修改、导出、更新、提醒发送等功能，并以操作日志等方式进行工作留痕。</w:t>
      </w:r>
    </w:p>
    <w:p>
      <w:pPr>
        <w:spacing w:line="440" w:lineRule="exact"/>
        <w:ind w:firstLine="420" w:firstLineChars="200"/>
        <w:rPr>
          <w:rFonts w:ascii="宋体" w:hAnsi="宋体" w:cs="仿宋_GB2312"/>
          <w:szCs w:val="21"/>
        </w:rPr>
      </w:pPr>
      <w:r>
        <w:rPr>
          <w:rFonts w:ascii="宋体" w:hAnsi="宋体" w:cs="黑体"/>
          <w:szCs w:val="21"/>
        </w:rPr>
        <w:t>3、建立对重要嘉宾信息更新的督办保障，优化一对一志愿者（COO）</w:t>
      </w:r>
      <w:r>
        <w:rPr>
          <w:rFonts w:hint="eastAsia" w:ascii="宋体" w:hAnsi="宋体" w:cs="黑体"/>
          <w:szCs w:val="21"/>
        </w:rPr>
        <w:t>、服务人员等</w:t>
      </w:r>
      <w:r>
        <w:rPr>
          <w:rFonts w:ascii="宋体" w:hAnsi="宋体" w:cs="黑体"/>
          <w:szCs w:val="21"/>
        </w:rPr>
        <w:t>线上分配与调整功能，确保嘉宾人数、参会情况等信息准确，对重要嘉宾信息进行实时同步、协同维护与勘误催办。</w:t>
      </w:r>
    </w:p>
    <w:p>
      <w:pPr>
        <w:numPr>
          <w:ilvl w:val="0"/>
          <w:numId w:val="1"/>
        </w:numPr>
        <w:spacing w:line="440" w:lineRule="exact"/>
        <w:ind w:firstLine="420" w:firstLineChars="200"/>
        <w:rPr>
          <w:rFonts w:ascii="宋体" w:hAnsi="宋体" w:cs="黑体"/>
          <w:szCs w:val="21"/>
        </w:rPr>
      </w:pPr>
      <w:r>
        <w:rPr>
          <w:rFonts w:ascii="宋体" w:hAnsi="宋体" w:cs="黑体"/>
          <w:szCs w:val="21"/>
        </w:rPr>
        <w:t>工作联系单模块优化。</w:t>
      </w:r>
    </w:p>
    <w:p>
      <w:pPr>
        <w:spacing w:line="440" w:lineRule="exact"/>
        <w:ind w:left="420" w:leftChars="200"/>
        <w:rPr>
          <w:rFonts w:ascii="宋体" w:hAnsi="宋体" w:cs="仿宋_GB2312"/>
          <w:szCs w:val="21"/>
        </w:rPr>
      </w:pPr>
      <w:r>
        <w:rPr>
          <w:rFonts w:ascii="宋体" w:hAnsi="宋体" w:cs="黑体"/>
          <w:szCs w:val="21"/>
        </w:rPr>
        <w:t xml:space="preserve"> 增加工作单流转、抄送等功能，提升指挥效率和业务流程协同办理的时效性。 </w:t>
      </w:r>
    </w:p>
    <w:p>
      <w:pPr>
        <w:spacing w:line="440" w:lineRule="exact"/>
        <w:ind w:firstLine="420" w:firstLineChars="200"/>
        <w:rPr>
          <w:rFonts w:ascii="宋体" w:hAnsi="宋体" w:cs="仿宋_GB2312"/>
          <w:szCs w:val="21"/>
        </w:rPr>
      </w:pPr>
      <w:r>
        <w:rPr>
          <w:rFonts w:ascii="宋体" w:hAnsi="宋体" w:cs="黑体"/>
          <w:szCs w:val="21"/>
        </w:rPr>
        <w:t>1、优化催办、督办功能的信息流转规则，强化指挥端对各工作节点的指挥介入能力，辅助后台进行决策支撑与信息维护。</w:t>
      </w:r>
    </w:p>
    <w:p>
      <w:pPr>
        <w:spacing w:line="440" w:lineRule="exact"/>
        <w:ind w:firstLine="420" w:firstLineChars="200"/>
        <w:rPr>
          <w:rFonts w:ascii="宋体" w:hAnsi="宋体" w:cs="仿宋_GB2312"/>
          <w:szCs w:val="21"/>
        </w:rPr>
      </w:pPr>
      <w:r>
        <w:rPr>
          <w:rFonts w:ascii="宋体" w:hAnsi="宋体" w:cs="黑体"/>
          <w:szCs w:val="21"/>
        </w:rPr>
        <w:t>2、根据权限管理机制细化联系单功能，支持联系单点对点抄送、工作部内全员阅览、传阅留痕等功能。</w:t>
      </w:r>
    </w:p>
    <w:p>
      <w:pPr>
        <w:spacing w:line="440" w:lineRule="exact"/>
        <w:ind w:firstLine="420" w:firstLineChars="200"/>
        <w:rPr>
          <w:rFonts w:ascii="宋体" w:hAnsi="宋体" w:cs="黑体"/>
          <w:szCs w:val="21"/>
        </w:rPr>
      </w:pPr>
      <w:r>
        <w:rPr>
          <w:rFonts w:hint="eastAsia" w:ascii="宋体" w:hAnsi="宋体" w:cs="黑体"/>
          <w:szCs w:val="21"/>
          <w:lang w:eastAsia="zh-CN"/>
        </w:rPr>
        <w:t>3</w:t>
      </w:r>
      <w:r>
        <w:rPr>
          <w:rFonts w:ascii="宋体" w:hAnsi="宋体" w:cs="黑体"/>
          <w:szCs w:val="21"/>
        </w:rPr>
        <w:t>、强化联系单后台管理功能，支持发起端根据往年高频事项对联系单内容按标签进行分类，后台对联系单按类归并管理。</w:t>
      </w:r>
    </w:p>
    <w:p>
      <w:pPr>
        <w:spacing w:line="440" w:lineRule="exact"/>
        <w:ind w:firstLine="420" w:firstLineChars="200"/>
        <w:rPr>
          <w:rFonts w:ascii="宋体" w:hAnsi="宋体" w:cs="仿宋_GB2312"/>
          <w:szCs w:val="21"/>
        </w:rPr>
      </w:pPr>
      <w:r>
        <w:rPr>
          <w:rFonts w:ascii="宋体" w:hAnsi="宋体" w:cs="黑体"/>
          <w:szCs w:val="21"/>
        </w:rPr>
        <w:t>（四）系统保障及第三方测评</w:t>
      </w:r>
    </w:p>
    <w:p>
      <w:pPr>
        <w:spacing w:line="440" w:lineRule="exact"/>
        <w:ind w:firstLine="420" w:firstLineChars="200"/>
        <w:rPr>
          <w:rFonts w:ascii="宋体" w:hAnsi="宋体" w:cs="黑体"/>
          <w:szCs w:val="21"/>
        </w:rPr>
      </w:pPr>
      <w:r>
        <w:rPr>
          <w:rFonts w:ascii="宋体" w:hAnsi="宋体" w:cs="黑体"/>
          <w:szCs w:val="21"/>
        </w:rPr>
        <w:t>1、强化系统安全。对敏感数据采用国密算法，在导出时进行二次校验；所有导出操作保留强可读性日志记录，提供追溯手段；对应用开展多批次源码检测、渗透测试、安全加固、安全监控、应急响应、系统重保等系统安全运行保障服务，在运行中对系统安全情况进行7*24小时监控，确保系统安全稳定运行。</w:t>
      </w:r>
    </w:p>
    <w:p>
      <w:pPr>
        <w:spacing w:line="440" w:lineRule="exact"/>
        <w:ind w:firstLine="420" w:firstLineChars="200"/>
        <w:rPr>
          <w:rFonts w:ascii="宋体" w:hAnsi="宋体" w:cs="黑体"/>
          <w:szCs w:val="21"/>
        </w:rPr>
      </w:pPr>
      <w:r>
        <w:rPr>
          <w:rFonts w:ascii="宋体" w:hAnsi="宋体" w:cs="黑体"/>
          <w:szCs w:val="21"/>
        </w:rPr>
        <w:t>2、功能和等保复评。完成系统第三方功能测评和等保三级复评工作，视</w:t>
      </w:r>
      <w:r>
        <w:rPr>
          <w:rFonts w:hint="eastAsia" w:ascii="宋体" w:hAnsi="宋体" w:cs="黑体"/>
          <w:szCs w:val="21"/>
          <w:lang w:eastAsia="zh-CN"/>
        </w:rPr>
        <w:t>条件允许</w:t>
      </w:r>
      <w:r>
        <w:rPr>
          <w:rFonts w:ascii="宋体" w:hAnsi="宋体" w:cs="黑体"/>
          <w:szCs w:val="21"/>
        </w:rPr>
        <w:t>通过密评。</w:t>
      </w:r>
    </w:p>
    <w:p>
      <w:pPr>
        <w:spacing w:line="440" w:lineRule="exact"/>
        <w:ind w:firstLine="420" w:firstLineChars="200"/>
        <w:rPr>
          <w:rFonts w:ascii="宋体" w:hAnsi="宋体" w:cs="黑体"/>
          <w:szCs w:val="21"/>
        </w:rPr>
      </w:pPr>
      <w:r>
        <w:rPr>
          <w:rFonts w:ascii="宋体" w:hAnsi="宋体" w:cs="黑体"/>
          <w:szCs w:val="21"/>
        </w:rPr>
        <w:t>3、资源租用。将云资源环境部署在省政务云，提供系统运行所需的硬件资源和安全产品，包括应用服务器、数据服务器、文件存储服务器、负载均衡服务器、短信包套餐，以及云防火墙、堡垒机、Web网页防火墙、高防IP、安全审计等相关资源服务。</w:t>
      </w:r>
    </w:p>
    <w:p>
      <w:pPr>
        <w:spacing w:line="440" w:lineRule="exact"/>
        <w:ind w:firstLine="420" w:firstLineChars="200"/>
        <w:rPr>
          <w:rFonts w:ascii="宋体" w:hAnsi="宋体" w:cs="仿宋_GB2312"/>
          <w:szCs w:val="21"/>
        </w:rPr>
      </w:pPr>
      <w:r>
        <w:rPr>
          <w:rFonts w:ascii="宋体" w:hAnsi="宋体" w:cs="仿宋_GB2312"/>
          <w:szCs w:val="21"/>
        </w:rPr>
        <w:t>（五）优化会场资源管理模块</w:t>
      </w:r>
    </w:p>
    <w:p>
      <w:pPr>
        <w:spacing w:line="440" w:lineRule="exact"/>
        <w:rPr>
          <w:rFonts w:ascii="宋体" w:hAnsi="宋体" w:cs="黑体"/>
          <w:szCs w:val="21"/>
        </w:rPr>
      </w:pPr>
      <w:r>
        <w:rPr>
          <w:rFonts w:ascii="宋体" w:hAnsi="宋体" w:cs="黑体"/>
          <w:szCs w:val="21"/>
        </w:rPr>
        <w:t xml:space="preserve">   1、优化会场资源管理，在系统能实现统筹所有会议相关场所的精细化管理，支持各类条件的检索、筛选和导出。</w:t>
      </w:r>
    </w:p>
    <w:p>
      <w:pPr>
        <w:pStyle w:val="2"/>
      </w:pPr>
      <w:r>
        <w:rPr>
          <w:rFonts w:ascii="宋体" w:hAnsi="宋体" w:cs="黑体"/>
          <w:szCs w:val="21"/>
        </w:rPr>
        <w:t xml:space="preserve">   2、多用户的管理和权限设置</w:t>
      </w:r>
    </w:p>
    <w:p>
      <w:pPr>
        <w:spacing w:line="440" w:lineRule="exact"/>
        <w:ind w:firstLine="420" w:firstLineChars="200"/>
        <w:rPr>
          <w:rFonts w:ascii="宋体" w:hAnsi="宋体" w:cs="仿宋_GB2312"/>
          <w:szCs w:val="21"/>
        </w:rPr>
      </w:pPr>
      <w:r>
        <w:rPr>
          <w:rFonts w:ascii="宋体" w:hAnsi="宋体" w:cs="仿宋_GB2312"/>
          <w:szCs w:val="21"/>
        </w:rPr>
        <w:t>（六）技术支持和系统运维</w:t>
      </w:r>
    </w:p>
    <w:p>
      <w:pPr>
        <w:spacing w:line="440" w:lineRule="exact"/>
        <w:rPr>
          <w:rFonts w:ascii="宋体" w:hAnsi="宋体" w:cs="黑体"/>
          <w:szCs w:val="21"/>
        </w:rPr>
      </w:pPr>
      <w:r>
        <w:rPr>
          <w:rFonts w:ascii="宋体" w:hAnsi="宋体" w:cs="黑体"/>
          <w:szCs w:val="21"/>
        </w:rPr>
        <w:t xml:space="preserve">   1、系统技术支持。通过线上+线下相结合的方式提供系统各应用数据处理和初始化、用户培训、系统使用答疑、异常问题处理、系统运行监控等服务。</w:t>
      </w:r>
    </w:p>
    <w:p>
      <w:pPr>
        <w:pStyle w:val="2"/>
      </w:pPr>
      <w:r>
        <w:rPr>
          <w:rFonts w:ascii="宋体" w:hAnsi="宋体" w:cs="黑体"/>
          <w:szCs w:val="21"/>
        </w:rPr>
        <w:t xml:space="preserve">   2、</w:t>
      </w:r>
      <w:r>
        <w:rPr>
          <w:rFonts w:ascii="宋体" w:hAnsi="宋体" w:cs="仿宋_GB2312"/>
          <w:szCs w:val="21"/>
        </w:rPr>
        <w:t>根据甲方要求提供系统运维</w:t>
      </w:r>
    </w:p>
    <w:p>
      <w:pPr>
        <w:pStyle w:val="3"/>
      </w:pPr>
    </w:p>
    <w:p/>
    <w:p>
      <w:pPr>
        <w:keepNext/>
        <w:keepLines/>
        <w:snapToGrid w:val="0"/>
        <w:spacing w:before="120" w:after="120" w:line="460" w:lineRule="exact"/>
        <w:jc w:val="left"/>
        <w:outlineLvl w:val="0"/>
        <w:rPr>
          <w:rFonts w:ascii="宋体" w:hAnsi="宋体"/>
          <w:b/>
          <w:bCs/>
          <w:snapToGrid w:val="0"/>
          <w:kern w:val="44"/>
          <w:szCs w:val="21"/>
          <w:highlight w:val="none"/>
        </w:rPr>
      </w:pPr>
      <w:r>
        <w:rPr>
          <w:rFonts w:hint="eastAsia" w:ascii="宋体" w:hAnsi="宋体"/>
          <w:b/>
          <w:bCs/>
          <w:snapToGrid w:val="0"/>
          <w:kern w:val="44"/>
          <w:szCs w:val="21"/>
        </w:rPr>
        <w:t>（二）服务期与售后服务要求</w:t>
      </w:r>
    </w:p>
    <w:p>
      <w:pPr>
        <w:spacing w:line="46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1.服务期：</w:t>
      </w:r>
      <w:r>
        <w:rPr>
          <w:rFonts w:ascii="宋体" w:hAnsi="宋体"/>
          <w:snapToGrid w:val="0"/>
          <w:kern w:val="0"/>
          <w:szCs w:val="21"/>
          <w:highlight w:val="none"/>
        </w:rPr>
        <w:t>2022年</w:t>
      </w:r>
      <w:r>
        <w:rPr>
          <w:rFonts w:hint="eastAsia" w:ascii="宋体" w:hAnsi="宋体"/>
          <w:snapToGrid w:val="0"/>
          <w:kern w:val="0"/>
          <w:szCs w:val="21"/>
          <w:highlight w:val="none"/>
        </w:rPr>
        <w:t>世界互联网大会前完成平台升级并交付甲方使用。</w:t>
      </w:r>
    </w:p>
    <w:p>
      <w:pPr>
        <w:spacing w:line="460" w:lineRule="exact"/>
        <w:ind w:firstLine="420" w:firstLineChars="200"/>
        <w:rPr>
          <w:rFonts w:ascii="宋体" w:hAnsi="宋体"/>
          <w:snapToGrid w:val="0"/>
          <w:kern w:val="0"/>
          <w:szCs w:val="21"/>
        </w:rPr>
      </w:pPr>
      <w:r>
        <w:rPr>
          <w:rFonts w:hint="eastAsia" w:ascii="宋体" w:hAnsi="宋体"/>
          <w:snapToGrid w:val="0"/>
          <w:kern w:val="0"/>
          <w:szCs w:val="21"/>
          <w:highlight w:val="none"/>
        </w:rPr>
        <w:t>2.大会期间</w:t>
      </w:r>
      <w:r>
        <w:rPr>
          <w:rFonts w:ascii="宋体" w:hAnsi="宋体"/>
          <w:snapToGrid w:val="0"/>
          <w:kern w:val="0"/>
          <w:szCs w:val="21"/>
          <w:highlight w:val="none"/>
        </w:rPr>
        <w:t>（会前20天，会后10天）</w:t>
      </w:r>
      <w:r>
        <w:rPr>
          <w:rFonts w:hint="eastAsia" w:ascii="宋体" w:hAnsi="宋体"/>
          <w:snapToGrid w:val="0"/>
          <w:kern w:val="0"/>
          <w:szCs w:val="21"/>
          <w:highlight w:val="none"/>
        </w:rPr>
        <w:t>提供不少于2人的7</w:t>
      </w:r>
      <w:r>
        <w:rPr>
          <w:rFonts w:ascii="宋体" w:hAnsi="宋体"/>
          <w:snapToGrid w:val="0"/>
          <w:kern w:val="0"/>
          <w:szCs w:val="21"/>
          <w:highlight w:val="none"/>
        </w:rPr>
        <w:t>×</w:t>
      </w:r>
      <w:r>
        <w:rPr>
          <w:rFonts w:hint="eastAsia" w:ascii="宋体" w:hAnsi="宋体"/>
          <w:snapToGrid w:val="0"/>
          <w:kern w:val="0"/>
          <w:szCs w:val="21"/>
          <w:highlight w:val="none"/>
        </w:rPr>
        <w:t>24小时运行维护现场保障服务，具体服务内容要求在招标文件中作为</w:t>
      </w:r>
      <w:r>
        <w:rPr>
          <w:rFonts w:hint="eastAsia" w:ascii="宋体" w:hAnsi="宋体"/>
          <w:snapToGrid w:val="0"/>
          <w:kern w:val="0"/>
          <w:szCs w:val="21"/>
        </w:rPr>
        <w:t>单独章节承诺。</w:t>
      </w:r>
    </w:p>
    <w:p>
      <w:pPr>
        <w:spacing w:line="460" w:lineRule="exact"/>
        <w:ind w:firstLine="420" w:firstLineChars="200"/>
        <w:rPr>
          <w:rFonts w:ascii="宋体" w:hAnsi="宋体"/>
          <w:snapToGrid w:val="0"/>
          <w:kern w:val="0"/>
          <w:szCs w:val="21"/>
        </w:rPr>
      </w:pPr>
      <w:r>
        <w:rPr>
          <w:rFonts w:hint="eastAsia" w:ascii="宋体" w:hAnsi="宋体"/>
          <w:snapToGrid w:val="0"/>
          <w:kern w:val="0"/>
          <w:szCs w:val="21"/>
        </w:rPr>
        <w:t>3.本项目免费质保期为一年，自项目验收合格之日起计算，免费维保期内能够及时处理所有可能发生的故障及甲方要求系统的一般性修改和国家相关政策性调整后的修改等；提供7×24小时的热线技术服务；系统运行中出现问题，技术人员应在1小时内响应、2小时内到达现场，重大技术问题应在48小时内给予解决；在质保期内，丙方应对货物出现的质量及安全问题负责处理解决并承担一切费用。</w:t>
      </w:r>
    </w:p>
    <w:p>
      <w:pPr>
        <w:spacing w:line="300" w:lineRule="auto"/>
        <w:contextualSpacing/>
        <w:rPr>
          <w:rFonts w:ascii="宋体" w:hAnsi="宋体" w:cs="宋体"/>
          <w:bCs/>
          <w:szCs w:val="21"/>
          <w:highlight w:val="yellow"/>
        </w:rPr>
      </w:pPr>
    </w:p>
    <w:p>
      <w:pPr>
        <w:keepNext/>
        <w:keepLines/>
        <w:snapToGrid w:val="0"/>
        <w:spacing w:before="120" w:after="120" w:line="460" w:lineRule="exact"/>
        <w:jc w:val="left"/>
        <w:outlineLvl w:val="0"/>
        <w:rPr>
          <w:rFonts w:ascii="宋体" w:hAnsi="宋体"/>
          <w:b/>
          <w:bCs/>
          <w:snapToGrid w:val="0"/>
          <w:kern w:val="44"/>
          <w:szCs w:val="21"/>
        </w:rPr>
      </w:pPr>
      <w:r>
        <w:rPr>
          <w:rFonts w:hint="eastAsia" w:ascii="宋体" w:hAnsi="宋体"/>
          <w:b/>
          <w:bCs/>
          <w:snapToGrid w:val="0"/>
          <w:kern w:val="44"/>
          <w:szCs w:val="21"/>
        </w:rPr>
        <w:t>（三）报价要求和付款方式</w:t>
      </w:r>
    </w:p>
    <w:p>
      <w:pPr>
        <w:snapToGrid w:val="0"/>
        <w:spacing w:line="460" w:lineRule="exact"/>
        <w:ind w:firstLine="420" w:firstLineChars="200"/>
        <w:rPr>
          <w:rFonts w:ascii="宋体" w:hAnsi="宋体"/>
          <w:snapToGrid w:val="0"/>
          <w:color w:val="auto"/>
          <w:kern w:val="0"/>
          <w:szCs w:val="21"/>
        </w:rPr>
      </w:pPr>
      <w:r>
        <w:rPr>
          <w:rFonts w:hint="eastAsia" w:ascii="宋体" w:hAnsi="宋体"/>
          <w:snapToGrid w:val="0"/>
          <w:kern w:val="0"/>
          <w:szCs w:val="21"/>
        </w:rPr>
        <w:t>1.投标人应根据平台升级及现场服务保</w:t>
      </w:r>
      <w:r>
        <w:rPr>
          <w:rFonts w:hint="eastAsia" w:ascii="宋体" w:hAnsi="宋体"/>
          <w:snapToGrid w:val="0"/>
          <w:color w:val="auto"/>
          <w:kern w:val="0"/>
          <w:szCs w:val="21"/>
        </w:rPr>
        <w:t>障等要求，计算各项成本、税收，加上合理利润后形成项目总费用进行投标报价，该投标报价为一次性固定总价，招标人不再另行支付额外费用。</w:t>
      </w:r>
    </w:p>
    <w:p>
      <w:pPr>
        <w:snapToGrid w:val="0"/>
        <w:spacing w:line="46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2.在合同生效以及具备实施条件后7个工作日内支付合同价的60%作为预付款</w:t>
      </w:r>
      <w:r>
        <w:rPr>
          <w:rFonts w:ascii="宋体" w:hAnsi="宋体"/>
          <w:snapToGrid w:val="0"/>
          <w:color w:val="auto"/>
          <w:kern w:val="0"/>
          <w:szCs w:val="21"/>
        </w:rPr>
        <w:t>，</w:t>
      </w:r>
      <w:r>
        <w:rPr>
          <w:rFonts w:hint="eastAsia" w:ascii="宋体" w:hAnsi="宋体"/>
          <w:snapToGrid w:val="0"/>
          <w:color w:val="auto"/>
          <w:kern w:val="0"/>
          <w:szCs w:val="21"/>
        </w:rPr>
        <w:t>系统平台升级完成并通过论坛现场运行正常且项目正式验收通过后支付合同总价的40%。</w:t>
      </w:r>
    </w:p>
    <w:p>
      <w:pPr>
        <w:pStyle w:val="2"/>
        <w:rPr>
          <w:color w:val="auto"/>
          <w:highlight w:val="yellow"/>
        </w:rPr>
      </w:pPr>
    </w:p>
    <w:p>
      <w:pPr>
        <w:pStyle w:val="5"/>
        <w:spacing w:line="240" w:lineRule="auto"/>
        <w:jc w:val="center"/>
      </w:pPr>
      <w:r>
        <w:rPr>
          <w:rFonts w:hint="eastAsia"/>
          <w:color w:val="FF0000"/>
        </w:rPr>
        <w:br w:type="page"/>
      </w:r>
      <w:bookmarkStart w:id="36" w:name="_Toc12521"/>
      <w:r>
        <w:rPr>
          <w:rFonts w:hint="eastAsia"/>
        </w:rPr>
        <w:t>第三章投标人须知</w:t>
      </w:r>
      <w:bookmarkEnd w:id="36"/>
    </w:p>
    <w:p>
      <w:pPr>
        <w:snapToGrid w:val="0"/>
        <w:ind w:left="238"/>
        <w:jc w:val="center"/>
        <w:outlineLvl w:val="1"/>
        <w:rPr>
          <w:rFonts w:ascii="宋体" w:hAnsi="宋体"/>
          <w:b/>
          <w:sz w:val="24"/>
        </w:rPr>
      </w:pPr>
      <w:bookmarkStart w:id="37" w:name="_Toc509308051"/>
      <w:bookmarkStart w:id="38" w:name="_Toc488072174"/>
      <w:bookmarkStart w:id="39" w:name="_Toc7365"/>
      <w:bookmarkStart w:id="40" w:name="_Toc488072261"/>
      <w:bookmarkStart w:id="41" w:name="_Toc509308131"/>
      <w:r>
        <w:rPr>
          <w:rFonts w:hint="eastAsia" w:ascii="宋体" w:hAnsi="宋体"/>
          <w:b/>
          <w:sz w:val="24"/>
        </w:rPr>
        <w:t>前附表</w:t>
      </w:r>
      <w:bookmarkEnd w:id="37"/>
      <w:bookmarkEnd w:id="38"/>
      <w:bookmarkEnd w:id="39"/>
      <w:bookmarkEnd w:id="40"/>
      <w:bookmarkEnd w:id="41"/>
    </w:p>
    <w:tbl>
      <w:tblPr>
        <w:tblStyle w:val="34"/>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
        <w:gridCol w:w="83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序号</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rPr>
            </w:pPr>
            <w:r>
              <w:rPr>
                <w:rFonts w:ascii="宋体" w:hAnsi="宋体"/>
                <w:szCs w:val="21"/>
              </w:rPr>
              <w:t>1</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1050" w:hanging="1050" w:hangingChars="500"/>
              <w:rPr>
                <w:rFonts w:ascii="宋体" w:hAnsi="宋体"/>
                <w:szCs w:val="21"/>
              </w:rPr>
            </w:pPr>
            <w:r>
              <w:rPr>
                <w:rFonts w:hint="eastAsia" w:ascii="宋体" w:hAnsi="宋体"/>
                <w:szCs w:val="21"/>
              </w:rPr>
              <w:t>项目名称：世界互联</w:t>
            </w:r>
            <w:bookmarkStart w:id="272" w:name="_GoBack"/>
            <w:bookmarkEnd w:id="272"/>
            <w:r>
              <w:rPr>
                <w:rFonts w:hint="eastAsia" w:ascii="宋体" w:hAnsi="宋体"/>
                <w:szCs w:val="21"/>
              </w:rPr>
              <w:t>网大会智慧指挥平台升级和运维项目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rPr>
            </w:pPr>
            <w:r>
              <w:rPr>
                <w:rFonts w:ascii="宋体" w:hAnsi="宋体"/>
                <w:szCs w:val="21"/>
              </w:rPr>
              <w:t>2</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szCs w:val="21"/>
              </w:rPr>
            </w:pPr>
            <w:r>
              <w:rPr>
                <w:rFonts w:hint="eastAsia" w:ascii="宋体" w:hAnsi="宋体"/>
                <w:szCs w:val="21"/>
              </w:rPr>
              <w:t>招标编号：同诚-政府采购（2022）</w:t>
            </w:r>
            <w:r>
              <w:rPr>
                <w:rFonts w:hint="eastAsia" w:ascii="宋体" w:hAnsi="宋体"/>
                <w:szCs w:val="21"/>
                <w:lang w:val="en-US" w:eastAsia="zh-CN"/>
              </w:rPr>
              <w:t>36</w:t>
            </w:r>
            <w:r>
              <w:rPr>
                <w:rFonts w:hint="eastAsia" w:ascii="宋体" w:hAnsi="宋体"/>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rPr>
            </w:pPr>
            <w:r>
              <w:rPr>
                <w:rFonts w:ascii="宋体" w:hAnsi="宋体"/>
                <w:szCs w:val="21"/>
              </w:rPr>
              <w:t>3</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宋体" w:hAnsi="宋体" w:eastAsia="宋体"/>
                <w:szCs w:val="21"/>
                <w:lang w:val="en-US" w:eastAsia="zh-CN"/>
              </w:rPr>
            </w:pPr>
            <w:r>
              <w:rPr>
                <w:rFonts w:hint="eastAsia" w:ascii="宋体" w:hAnsi="宋体"/>
                <w:szCs w:val="21"/>
              </w:rPr>
              <w:t>投标报价及费用：1.本项目投标应以人民币报价；2.不论投标结果如何，投标人均应自行承担所有与投标有关的全部费；</w:t>
            </w:r>
            <w:r>
              <w:rPr>
                <w:rFonts w:hint="eastAsia" w:ascii="宋体" w:hAnsi="宋体"/>
                <w:b/>
                <w:bCs/>
                <w:szCs w:val="21"/>
                <w:lang w:val="en-US" w:eastAsia="zh-CN"/>
              </w:rPr>
              <w:t>3.</w:t>
            </w:r>
            <w:r>
              <w:rPr>
                <w:rFonts w:hint="eastAsia" w:ascii="宋体" w:hAnsi="宋体"/>
                <w:b/>
                <w:szCs w:val="21"/>
              </w:rPr>
              <w:t>本项目招标代理费由中标单位支付给本项目招标代理机构，收费标准详见招标文件。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rPr>
            </w:pPr>
            <w:r>
              <w:rPr>
                <w:rFonts w:hint="eastAsia" w:ascii="宋体" w:hAnsi="宋体"/>
                <w:szCs w:val="21"/>
              </w:rPr>
              <w:t>4</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szCs w:val="21"/>
              </w:rPr>
            </w:pPr>
            <w:r>
              <w:rPr>
                <w:rFonts w:hint="eastAsia" w:ascii="宋体" w:hAnsi="宋体"/>
                <w:szCs w:val="21"/>
              </w:rPr>
              <w:t>最高投标限价：200万元（贰佰万元整）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rPr>
            </w:pPr>
            <w:r>
              <w:rPr>
                <w:rFonts w:ascii="宋体" w:hAnsi="宋体"/>
                <w:szCs w:val="21"/>
              </w:rPr>
              <w:t>5</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szCs w:val="21"/>
              </w:rPr>
            </w:pPr>
            <w:r>
              <w:rPr>
                <w:rFonts w:hint="eastAsia" w:ascii="宋体" w:hAnsi="宋体"/>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szCs w:val="21"/>
              </w:rPr>
            </w:pPr>
            <w:r>
              <w:rPr>
                <w:rFonts w:ascii="宋体" w:hAnsi="宋体"/>
                <w:szCs w:val="21"/>
              </w:rPr>
              <w:t>6</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szCs w:val="21"/>
              </w:rPr>
            </w:pPr>
            <w:r>
              <w:rPr>
                <w:rFonts w:hint="eastAsia" w:ascii="宋体" w:hAnsi="宋体"/>
                <w:szCs w:val="21"/>
              </w:rPr>
              <w:t>现场踏勘：自行踏勘（费用自理）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7</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ascii="宋体" w:hAnsi="宋体"/>
                <w:szCs w:val="21"/>
              </w:rPr>
            </w:pPr>
            <w:r>
              <w:rPr>
                <w:rFonts w:hint="eastAsia" w:ascii="宋体" w:hAnsi="宋体"/>
                <w:szCs w:val="21"/>
              </w:rPr>
              <w:t>演示时间及地点：</w:t>
            </w:r>
            <w:r>
              <w:rPr>
                <w:rFonts w:hint="eastAsia" w:ascii="宋体" w:hAnsi="宋体"/>
                <w:b/>
                <w:szCs w:val="21"/>
              </w:rPr>
              <w:t>投标人将演示内容制作成视频，放置在U盘中在投标截止时间前送至开标地点，时间20分钟以内。</w:t>
            </w:r>
            <w:r>
              <w:rPr>
                <w:rFonts w:hint="eastAsia" w:ascii="宋体" w:hAnsi="宋体"/>
                <w:szCs w:val="21"/>
              </w:rPr>
              <w:t>邮寄地址：桐乡市梧桐街道振兴东路（东）303号东湖金悦8幢（金悦财富中心）6楼浙江同诚建设管理有限公司（陈钇溪  电话：15988182454）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8</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ascii="宋体" w:hAnsi="宋体"/>
                <w:szCs w:val="21"/>
              </w:rPr>
            </w:pPr>
            <w:r>
              <w:rPr>
                <w:rFonts w:hint="eastAsia" w:ascii="宋体" w:hAnsi="宋体"/>
                <w:szCs w:val="21"/>
              </w:rPr>
              <w:t>投标文件组成：完整的《投标文件》由</w:t>
            </w:r>
            <w:r>
              <w:rPr>
                <w:rFonts w:hint="eastAsia" w:ascii="宋体" w:hAnsi="宋体"/>
                <w:b/>
                <w:szCs w:val="21"/>
              </w:rPr>
              <w:t>资格文件、技术及商务文件及投标报价三部份组成。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9</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ascii="宋体" w:hAnsi="宋体"/>
                <w:szCs w:val="21"/>
              </w:rPr>
            </w:pPr>
            <w:r>
              <w:rPr>
                <w:rFonts w:hint="eastAsia" w:ascii="宋体" w:hAnsi="宋体"/>
                <w:szCs w:val="21"/>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10</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ascii="宋体" w:hAnsi="宋体"/>
                <w:szCs w:val="21"/>
              </w:rPr>
            </w:pPr>
            <w:r>
              <w:rPr>
                <w:rFonts w:hint="eastAsia" w:ascii="宋体" w:hAnsi="宋体"/>
                <w:szCs w:val="21"/>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11</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ascii="宋体" w:hAnsi="宋体"/>
                <w:szCs w:val="21"/>
              </w:rPr>
            </w:pPr>
            <w:r>
              <w:rPr>
                <w:rFonts w:hint="eastAsia" w:ascii="宋体" w:hAnsi="宋体"/>
                <w:szCs w:val="21"/>
              </w:rPr>
              <w:t>投标文件的形式：</w:t>
            </w:r>
            <w:r>
              <w:rPr>
                <w:rFonts w:hint="eastAsia" w:ascii="宋体" w:hAnsi="宋体" w:eastAsia="MS Mincho" w:cs="MS Mincho"/>
                <w:szCs w:val="21"/>
              </w:rPr>
              <w:t>☑</w:t>
            </w:r>
            <w:r>
              <w:rPr>
                <w:rFonts w:hint="eastAsia" w:ascii="宋体" w:hAnsi="宋体"/>
                <w:szCs w:val="21"/>
              </w:rPr>
              <w:t>电子投标文件（包括“电子加密投标文件”和“备份投标文件”，在投标文件编制完成后同时生成）；</w:t>
            </w:r>
          </w:p>
          <w:p>
            <w:pPr>
              <w:autoSpaceDE w:val="0"/>
              <w:autoSpaceDN w:val="0"/>
              <w:snapToGrid w:val="0"/>
              <w:spacing w:line="420" w:lineRule="exact"/>
              <w:textAlignment w:val="bottom"/>
              <w:rPr>
                <w:rFonts w:ascii="宋体" w:hAnsi="宋体"/>
                <w:szCs w:val="21"/>
              </w:rPr>
            </w:pPr>
            <w:r>
              <w:rPr>
                <w:rFonts w:hint="eastAsia" w:ascii="宋体" w:hAnsi="宋体"/>
                <w:szCs w:val="21"/>
              </w:rPr>
              <w:t>（1）“电子加密投标文件”是指通过“政采云电子交易客户端”完成投标文件编制后生成并加密的数据电文形式的投标文件。</w:t>
            </w:r>
          </w:p>
          <w:p>
            <w:pPr>
              <w:autoSpaceDE w:val="0"/>
              <w:autoSpaceDN w:val="0"/>
              <w:snapToGrid w:val="0"/>
              <w:spacing w:line="420" w:lineRule="exact"/>
              <w:textAlignment w:val="bottom"/>
              <w:rPr>
                <w:rFonts w:ascii="宋体" w:hAnsi="宋体"/>
                <w:szCs w:val="21"/>
              </w:rPr>
            </w:pPr>
            <w:r>
              <w:rPr>
                <w:rFonts w:hint="eastAsia" w:ascii="宋体" w:hAnsi="宋体"/>
                <w:szCs w:val="21"/>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12</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ascii="宋体" w:hAnsi="宋体"/>
                <w:szCs w:val="21"/>
              </w:rPr>
            </w:pPr>
            <w:r>
              <w:rPr>
                <w:rFonts w:hint="eastAsia" w:ascii="宋体" w:hAnsi="宋体"/>
                <w:szCs w:val="21"/>
              </w:rPr>
              <w:t>投标文件份数：（1）“电子加密投标文件”：在线上传递交、一份。（2）“备份投标文件”：密封包装后（邮寄形式）投标截止时间前递交、一份（邮寄地址：桐乡市梧桐街道振兴东路（东）303号东湖金悦8幢（金悦财富中心）6楼浙江同诚建设管理有限公司（陈钇溪  电话：15988182454）。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13</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ascii="宋体" w:hAnsi="宋体"/>
                <w:szCs w:val="21"/>
              </w:rPr>
            </w:pPr>
            <w:r>
              <w:rPr>
                <w:rFonts w:hint="eastAsia" w:ascii="宋体" w:hAnsi="宋体"/>
                <w:szCs w:val="21"/>
              </w:rPr>
              <w:t>投标文件的上传和递交：</w:t>
            </w:r>
          </w:p>
          <w:p>
            <w:pPr>
              <w:autoSpaceDE w:val="0"/>
              <w:autoSpaceDN w:val="0"/>
              <w:snapToGrid w:val="0"/>
              <w:spacing w:line="420" w:lineRule="exact"/>
              <w:textAlignment w:val="bottom"/>
              <w:rPr>
                <w:rFonts w:ascii="宋体" w:hAnsi="宋体"/>
                <w:szCs w:val="21"/>
              </w:rPr>
            </w:pPr>
            <w:r>
              <w:rPr>
                <w:rFonts w:hint="eastAsia" w:ascii="宋体" w:hAnsi="宋体"/>
                <w:szCs w:val="21"/>
              </w:rPr>
              <w:t>（1）</w:t>
            </w:r>
            <w:r>
              <w:rPr>
                <w:rFonts w:hint="eastAsia" w:ascii="宋体" w:hAnsi="宋体"/>
                <w:b/>
                <w:szCs w:val="21"/>
              </w:rPr>
              <w:t>“电子加密投标文件”的上传、递交</w:t>
            </w:r>
            <w:r>
              <w:rPr>
                <w:rFonts w:hint="eastAsia" w:ascii="宋体" w:hAnsi="宋体"/>
                <w:szCs w:val="21"/>
              </w:rPr>
              <w:t>：</w:t>
            </w:r>
          </w:p>
          <w:p>
            <w:pPr>
              <w:autoSpaceDE w:val="0"/>
              <w:autoSpaceDN w:val="0"/>
              <w:snapToGrid w:val="0"/>
              <w:spacing w:line="420" w:lineRule="exact"/>
              <w:textAlignment w:val="bottom"/>
              <w:rPr>
                <w:rFonts w:ascii="宋体" w:hAnsi="宋体"/>
                <w:szCs w:val="21"/>
              </w:rPr>
            </w:pPr>
            <w:r>
              <w:rPr>
                <w:rFonts w:hint="eastAsia" w:ascii="宋体" w:hAnsi="宋体"/>
                <w:szCs w:val="21"/>
              </w:rPr>
              <w:t>a.投标供应商应在投标截止时间前将“电子加密投标文件”成功上传递交至“政府采购云平台”，否则投标无效。</w:t>
            </w:r>
          </w:p>
          <w:p>
            <w:pPr>
              <w:autoSpaceDE w:val="0"/>
              <w:autoSpaceDN w:val="0"/>
              <w:snapToGrid w:val="0"/>
              <w:spacing w:line="420" w:lineRule="exact"/>
              <w:textAlignment w:val="bottom"/>
              <w:rPr>
                <w:rFonts w:ascii="宋体" w:hAnsi="宋体"/>
                <w:szCs w:val="21"/>
              </w:rPr>
            </w:pPr>
            <w:r>
              <w:rPr>
                <w:rFonts w:hint="eastAsia" w:ascii="宋体" w:hAnsi="宋体"/>
                <w:szCs w:val="21"/>
              </w:rPr>
              <w:t>b.“电子加密投标文件”成功上传递交后，供应商可自行打印投标文件接收回执。</w:t>
            </w:r>
          </w:p>
          <w:p>
            <w:pPr>
              <w:autoSpaceDE w:val="0"/>
              <w:autoSpaceDN w:val="0"/>
              <w:snapToGrid w:val="0"/>
              <w:spacing w:line="420" w:lineRule="exact"/>
              <w:textAlignment w:val="bottom"/>
              <w:rPr>
                <w:rFonts w:ascii="宋体" w:hAnsi="宋体"/>
                <w:szCs w:val="21"/>
              </w:rPr>
            </w:pPr>
            <w:r>
              <w:rPr>
                <w:rFonts w:hint="eastAsia" w:ascii="宋体" w:hAnsi="宋体"/>
                <w:szCs w:val="21"/>
              </w:rPr>
              <w:t>（2）</w:t>
            </w:r>
            <w:r>
              <w:rPr>
                <w:rFonts w:hint="eastAsia" w:ascii="宋体" w:hAnsi="宋体"/>
                <w:b/>
                <w:szCs w:val="21"/>
              </w:rPr>
              <w:t>“备份投标文件”的密封包装、递交</w:t>
            </w:r>
            <w:r>
              <w:rPr>
                <w:rFonts w:hint="eastAsia" w:ascii="宋体" w:hAnsi="宋体"/>
                <w:szCs w:val="21"/>
              </w:rPr>
              <w:t>：</w:t>
            </w:r>
          </w:p>
          <w:p>
            <w:pPr>
              <w:autoSpaceDE w:val="0"/>
              <w:autoSpaceDN w:val="0"/>
              <w:snapToGrid w:val="0"/>
              <w:spacing w:line="420" w:lineRule="exact"/>
              <w:textAlignment w:val="bottom"/>
              <w:rPr>
                <w:rFonts w:ascii="宋体" w:hAnsi="宋体"/>
                <w:szCs w:val="21"/>
              </w:rPr>
            </w:pPr>
            <w:r>
              <w:rPr>
                <w:rFonts w:hint="eastAsia" w:ascii="宋体" w:hAnsi="宋体"/>
                <w:szCs w:val="21"/>
              </w:rPr>
              <w:t>a.投标供应商在“政府采购云平台”完成“电子加密投标文件”的上传递交后，还可以（邮寄形式）在投标截止时间前递交以介质（U盘）存储的 “备份投标文件”（一份）；</w:t>
            </w:r>
          </w:p>
          <w:p>
            <w:pPr>
              <w:autoSpaceDE w:val="0"/>
              <w:autoSpaceDN w:val="0"/>
              <w:snapToGrid w:val="0"/>
              <w:spacing w:line="420" w:lineRule="exact"/>
              <w:textAlignment w:val="bottom"/>
              <w:rPr>
                <w:rFonts w:ascii="宋体" w:hAnsi="宋体"/>
                <w:szCs w:val="21"/>
              </w:rPr>
            </w:pPr>
            <w:r>
              <w:rPr>
                <w:rFonts w:hint="eastAsia" w:ascii="宋体" w:hAnsi="宋体"/>
                <w:szCs w:val="21"/>
              </w:rPr>
              <w:t>b.“备份投标文件”应当密封包装，并在包装上标注投标项目名称、投标单位名称并加盖公章。没有密封包装或者逾期邮寄送达至上述邮寄地点的“备份投标文件”将不予接收；</w:t>
            </w:r>
          </w:p>
          <w:p>
            <w:pPr>
              <w:autoSpaceDE w:val="0"/>
              <w:autoSpaceDN w:val="0"/>
              <w:snapToGrid w:val="0"/>
              <w:spacing w:line="420" w:lineRule="exact"/>
              <w:textAlignment w:val="bottom"/>
              <w:rPr>
                <w:rFonts w:ascii="宋体" w:hAnsi="宋体"/>
                <w:szCs w:val="21"/>
              </w:rPr>
            </w:pPr>
            <w:r>
              <w:rPr>
                <w:rFonts w:hint="eastAsia" w:ascii="宋体" w:hAnsi="宋体"/>
                <w:szCs w:val="21"/>
              </w:rPr>
              <w:t>c.</w:t>
            </w:r>
            <w:r>
              <w:rPr>
                <w:rFonts w:hint="eastAsia" w:ascii="宋体" w:hAnsi="宋体"/>
                <w:b/>
                <w:szCs w:val="21"/>
                <w:u w:val="singl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14</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ascii="宋体" w:hAnsi="宋体"/>
                <w:szCs w:val="21"/>
              </w:rPr>
            </w:pPr>
            <w:r>
              <w:rPr>
                <w:rFonts w:hint="eastAsia" w:ascii="宋体" w:hAnsi="宋体"/>
                <w:szCs w:val="21"/>
              </w:rPr>
              <w:t>电子加密投标文件的解密和异常情况处理：</w:t>
            </w:r>
          </w:p>
          <w:p>
            <w:pPr>
              <w:autoSpaceDE w:val="0"/>
              <w:autoSpaceDN w:val="0"/>
              <w:snapToGrid w:val="0"/>
              <w:spacing w:line="420" w:lineRule="exact"/>
              <w:textAlignment w:val="bottom"/>
              <w:rPr>
                <w:rFonts w:ascii="宋体" w:hAnsi="宋体"/>
                <w:b/>
                <w:szCs w:val="21"/>
              </w:rPr>
            </w:pPr>
            <w:r>
              <w:rPr>
                <w:rFonts w:hint="eastAsia" w:ascii="宋体" w:hAnsi="宋体"/>
                <w:szCs w:val="21"/>
              </w:rPr>
              <w:t>（1）</w:t>
            </w:r>
            <w:r>
              <w:rPr>
                <w:rFonts w:hint="eastAsia" w:ascii="宋体" w:hAnsi="宋体"/>
                <w:b/>
                <w:szCs w:val="21"/>
              </w:rPr>
              <w:t>开标后，采购组织机构将向各投标供应商发出“电子加密投标文件”的解密通知，各投标供应商代表应当在接到解密通知后30分钟内自行完成“电子加密投标文件”的在线解密。</w:t>
            </w:r>
          </w:p>
          <w:p>
            <w:pPr>
              <w:autoSpaceDE w:val="0"/>
              <w:autoSpaceDN w:val="0"/>
              <w:snapToGrid w:val="0"/>
              <w:spacing w:line="420" w:lineRule="exact"/>
              <w:textAlignment w:val="bottom"/>
              <w:rPr>
                <w:rFonts w:ascii="宋体" w:hAnsi="宋体"/>
                <w:szCs w:val="21"/>
              </w:rPr>
            </w:pPr>
            <w:r>
              <w:rPr>
                <w:rFonts w:hint="eastAsia" w:ascii="宋体" w:hAnsi="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snapToGrid w:val="0"/>
              <w:spacing w:line="420" w:lineRule="exact"/>
              <w:textAlignment w:val="bottom"/>
              <w:rPr>
                <w:rFonts w:ascii="宋体" w:hAnsi="宋体"/>
                <w:szCs w:val="21"/>
              </w:rPr>
            </w:pPr>
            <w:r>
              <w:rPr>
                <w:rFonts w:hint="eastAsia" w:ascii="宋体" w:hAnsi="宋体"/>
                <w:szCs w:val="21"/>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15</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color w:val="auto"/>
                <w:szCs w:val="21"/>
              </w:rPr>
            </w:pPr>
            <w:r>
              <w:rPr>
                <w:rFonts w:hint="eastAsia" w:ascii="宋体" w:hAnsi="宋体"/>
                <w:color w:val="auto"/>
                <w:szCs w:val="21"/>
              </w:rPr>
              <w:t>投标截止时间及地点：2022年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日14点</w:t>
            </w:r>
            <w:r>
              <w:rPr>
                <w:rFonts w:hint="eastAsia" w:ascii="宋体" w:hAnsi="宋体"/>
                <w:color w:val="auto"/>
                <w:szCs w:val="21"/>
                <w:lang w:val="en-US" w:eastAsia="zh-CN"/>
              </w:rPr>
              <w:t>0</w:t>
            </w:r>
            <w:r>
              <w:rPr>
                <w:rFonts w:hint="eastAsia" w:ascii="宋体" w:hAnsi="宋体"/>
                <w:color w:val="auto"/>
                <w:szCs w:val="21"/>
              </w:rPr>
              <w:t xml:space="preserve">0分   </w:t>
            </w:r>
          </w:p>
          <w:p>
            <w:pPr>
              <w:autoSpaceDE w:val="0"/>
              <w:autoSpaceDN w:val="0"/>
              <w:snapToGrid w:val="0"/>
              <w:spacing w:line="420" w:lineRule="exact"/>
              <w:textAlignment w:val="bottom"/>
              <w:rPr>
                <w:rFonts w:ascii="宋体" w:hAnsi="宋体"/>
                <w:color w:val="auto"/>
                <w:szCs w:val="21"/>
              </w:rPr>
            </w:pPr>
            <w:r>
              <w:rPr>
                <w:rFonts w:hint="eastAsia" w:ascii="宋体" w:hAnsi="宋体"/>
                <w:color w:val="auto"/>
                <w:szCs w:val="21"/>
              </w:rPr>
              <w:t xml:space="preserve">                    政采云线上投标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16</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cs="Arial"/>
                <w:color w:val="auto"/>
                <w:szCs w:val="21"/>
              </w:rPr>
            </w:pPr>
            <w:r>
              <w:rPr>
                <w:rFonts w:hint="eastAsia" w:ascii="宋体" w:hAnsi="宋体"/>
                <w:color w:val="auto"/>
                <w:szCs w:val="21"/>
              </w:rPr>
              <w:t>开标时间及地点：2022年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日14点</w:t>
            </w:r>
            <w:r>
              <w:rPr>
                <w:rFonts w:hint="eastAsia" w:ascii="宋体" w:hAnsi="宋体"/>
                <w:color w:val="auto"/>
                <w:szCs w:val="21"/>
                <w:lang w:val="en-US" w:eastAsia="zh-CN"/>
              </w:rPr>
              <w:t>0</w:t>
            </w:r>
            <w:r>
              <w:rPr>
                <w:rFonts w:hint="eastAsia" w:ascii="宋体" w:hAnsi="宋体"/>
                <w:color w:val="auto"/>
                <w:szCs w:val="21"/>
              </w:rPr>
              <w:t xml:space="preserve">0分   </w:t>
            </w:r>
          </w:p>
          <w:p>
            <w:pPr>
              <w:autoSpaceDE w:val="0"/>
              <w:autoSpaceDN w:val="0"/>
              <w:snapToGrid w:val="0"/>
              <w:spacing w:line="420" w:lineRule="exact"/>
              <w:textAlignment w:val="bottom"/>
              <w:rPr>
                <w:rFonts w:ascii="宋体" w:hAnsi="宋体"/>
                <w:color w:val="auto"/>
                <w:szCs w:val="21"/>
              </w:rPr>
            </w:pPr>
            <w:r>
              <w:rPr>
                <w:rFonts w:hint="eastAsia" w:ascii="宋体" w:hAnsi="宋体" w:cs="Arial"/>
                <w:color w:val="auto"/>
                <w:szCs w:val="21"/>
              </w:rPr>
              <w:t>桐乡市梧桐街道振兴东路（东）303号东湖金悦8幢（金悦财富中心）6楼浙江同诚建设管理有限公司开标室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17</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szCs w:val="21"/>
              </w:rPr>
            </w:pPr>
            <w:r>
              <w:rPr>
                <w:rFonts w:hint="eastAsia" w:ascii="宋体" w:hAnsi="宋体"/>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18</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szCs w:val="21"/>
              </w:rPr>
            </w:pPr>
            <w:r>
              <w:rPr>
                <w:rFonts w:hint="eastAsia" w:ascii="宋体" w:hAnsi="宋体"/>
                <w:szCs w:val="21"/>
              </w:rPr>
              <w:t>评标结果公告：评标结束后</w:t>
            </w:r>
            <w:r>
              <w:rPr>
                <w:rFonts w:ascii="宋体" w:hAnsi="宋体"/>
                <w:szCs w:val="21"/>
              </w:rPr>
              <w:t>2</w:t>
            </w:r>
            <w:r>
              <w:rPr>
                <w:rFonts w:hint="eastAsia" w:ascii="宋体" w:hAnsi="宋体"/>
                <w:szCs w:val="21"/>
              </w:rPr>
              <w:t>天内，评标结果公告于浙江政府采购网(</w:t>
            </w:r>
            <w:r>
              <w:fldChar w:fldCharType="begin"/>
            </w:r>
            <w:r>
              <w:instrText xml:space="preserve"> HYPERLINK "http://www.zjzfcg.gov.cn/new/" </w:instrText>
            </w:r>
            <w:r>
              <w:fldChar w:fldCharType="separate"/>
            </w:r>
            <w:r>
              <w:rPr>
                <w:rFonts w:ascii="宋体" w:hAnsi="宋体"/>
                <w:szCs w:val="21"/>
              </w:rPr>
              <w:t>http://www.zjzfcg.gov.cn/new/</w:t>
            </w:r>
            <w:r>
              <w:rPr>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19</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ascii="宋体" w:hAnsi="宋体"/>
                <w:szCs w:val="21"/>
              </w:rPr>
            </w:pPr>
            <w:r>
              <w:rPr>
                <w:rFonts w:hint="eastAsia" w:ascii="宋体" w:hAnsi="宋体"/>
                <w:szCs w:val="21"/>
              </w:rPr>
              <w:t>中标公告及中标通知书：中标公告发布于上述媒体，中标公告期限为1个工作日。在公告中标结果的同时，代理机构向中标人发出中标通知书。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20</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pPr>
            <w:r>
              <w:rPr>
                <w:rFonts w:hint="eastAsia" w:ascii="宋体" w:hAnsi="宋体"/>
                <w:szCs w:val="21"/>
              </w:rPr>
              <w:t>履约保证金</w:t>
            </w:r>
            <w:r>
              <w:rPr>
                <w:rFonts w:ascii="宋体" w:hAnsi="宋体"/>
                <w:szCs w:val="21"/>
              </w:rPr>
              <w:t xml:space="preserve">: </w:t>
            </w: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21</w:t>
            </w:r>
          </w:p>
        </w:tc>
        <w:tc>
          <w:tcPr>
            <w:tcW w:w="83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20" w:lineRule="exact"/>
              <w:textAlignment w:val="bottom"/>
              <w:rPr>
                <w:rFonts w:ascii="宋体" w:hAnsi="宋体"/>
                <w:szCs w:val="21"/>
              </w:rPr>
            </w:pPr>
            <w:r>
              <w:rPr>
                <w:rFonts w:hint="eastAsia" w:ascii="宋体" w:hAnsi="宋体"/>
                <w:szCs w:val="21"/>
              </w:rPr>
              <w:t>签订合同时间：中标通知书发出后30日内。建议采购人在对采购结果质疑期（自采购结果公告之日起七个工作日）后与中标人签订政府采购合同。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22</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szCs w:val="21"/>
              </w:rPr>
            </w:pPr>
            <w:r>
              <w:rPr>
                <w:rFonts w:hint="eastAsia" w:ascii="宋体" w:hAnsi="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szCs w:val="21"/>
              </w:rPr>
            </w:pPr>
            <w:r>
              <w:rPr>
                <w:rFonts w:hint="eastAsia" w:ascii="宋体" w:hAnsi="宋体"/>
                <w:szCs w:val="21"/>
              </w:rPr>
              <w:t>23</w:t>
            </w:r>
          </w:p>
        </w:tc>
        <w:tc>
          <w:tcPr>
            <w:tcW w:w="832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szCs w:val="21"/>
              </w:rPr>
            </w:pPr>
            <w:r>
              <w:rPr>
                <w:rFonts w:hint="eastAsia" w:ascii="宋体" w:hAnsi="宋体"/>
                <w:szCs w:val="21"/>
              </w:rPr>
              <w:t>解释：本招标文件的解释权属于采购人和招标代理单位。</w:t>
            </w:r>
          </w:p>
        </w:tc>
      </w:tr>
    </w:tbl>
    <w:p>
      <w:pPr>
        <w:pStyle w:val="19"/>
        <w:spacing w:before="120" w:after="120" w:line="360" w:lineRule="auto"/>
        <w:jc w:val="center"/>
        <w:outlineLvl w:val="1"/>
        <w:rPr>
          <w:rFonts w:hAnsi="宋体"/>
          <w:b/>
          <w:sz w:val="21"/>
          <w:szCs w:val="21"/>
        </w:rPr>
      </w:pPr>
      <w:bookmarkStart w:id="42" w:name="_Toc488072262"/>
      <w:bookmarkStart w:id="43" w:name="_Toc509308132"/>
      <w:bookmarkStart w:id="44" w:name="_Toc26842"/>
      <w:bookmarkStart w:id="45" w:name="_Toc509308052"/>
      <w:bookmarkStart w:id="46" w:name="_Toc488072175"/>
      <w:r>
        <w:rPr>
          <w:rFonts w:hint="eastAsia" w:hAnsi="宋体"/>
          <w:b/>
          <w:sz w:val="21"/>
          <w:szCs w:val="21"/>
        </w:rPr>
        <w:t>一 、总  则</w:t>
      </w:r>
      <w:bookmarkEnd w:id="42"/>
      <w:bookmarkEnd w:id="43"/>
      <w:bookmarkEnd w:id="44"/>
      <w:bookmarkEnd w:id="45"/>
      <w:bookmarkEnd w:id="46"/>
    </w:p>
    <w:p>
      <w:pPr>
        <w:snapToGrid w:val="0"/>
        <w:spacing w:line="360" w:lineRule="auto"/>
        <w:jc w:val="left"/>
        <w:rPr>
          <w:rFonts w:ascii="宋体" w:hAnsi="宋体"/>
          <w:b/>
          <w:szCs w:val="21"/>
        </w:rPr>
      </w:pPr>
      <w:bookmarkStart w:id="47" w:name="_Toc488072263"/>
      <w:bookmarkStart w:id="48" w:name="_Toc477785311"/>
      <w:bookmarkStart w:id="49" w:name="_Toc177824872"/>
      <w:bookmarkStart w:id="50" w:name="_Toc404289989"/>
      <w:bookmarkStart w:id="51" w:name="_Toc177870537"/>
      <w:bookmarkStart w:id="52" w:name="_Toc488072176"/>
      <w:bookmarkStart w:id="53" w:name="_Toc177824939"/>
      <w:bookmarkStart w:id="54" w:name="_Toc404289897"/>
      <w:bookmarkStart w:id="55" w:name="_Toc177825120"/>
      <w:r>
        <w:rPr>
          <w:rFonts w:hint="eastAsia" w:ascii="宋体" w:hAnsi="宋体"/>
          <w:b/>
          <w:szCs w:val="21"/>
        </w:rPr>
        <w:t>1. 适用范围</w:t>
      </w:r>
      <w:bookmarkEnd w:id="47"/>
      <w:bookmarkEnd w:id="48"/>
      <w:bookmarkEnd w:id="49"/>
      <w:bookmarkEnd w:id="50"/>
      <w:bookmarkEnd w:id="51"/>
      <w:bookmarkEnd w:id="52"/>
      <w:bookmarkEnd w:id="53"/>
      <w:bookmarkEnd w:id="54"/>
      <w:bookmarkEnd w:id="55"/>
    </w:p>
    <w:p>
      <w:pPr>
        <w:snapToGrid w:val="0"/>
        <w:spacing w:line="360" w:lineRule="auto"/>
        <w:jc w:val="left"/>
        <w:rPr>
          <w:rFonts w:ascii="宋体" w:hAnsi="宋体"/>
          <w:szCs w:val="21"/>
        </w:rPr>
      </w:pPr>
      <w:bookmarkStart w:id="56" w:name="_Toc488072177"/>
      <w:bookmarkStart w:id="57" w:name="_Toc404289990"/>
      <w:bookmarkStart w:id="58" w:name="_Toc477785312"/>
      <w:bookmarkStart w:id="59" w:name="_Toc177825121"/>
      <w:bookmarkStart w:id="60" w:name="_Toc488072264"/>
      <w:bookmarkStart w:id="61" w:name="_Toc177870538"/>
      <w:bookmarkStart w:id="62" w:name="_Toc177824940"/>
      <w:bookmarkStart w:id="63" w:name="_Toc177824873"/>
      <w:bookmarkStart w:id="64" w:name="_Toc404289898"/>
      <w:r>
        <w:rPr>
          <w:rFonts w:hint="eastAsia" w:ascii="宋体" w:hAnsi="宋体"/>
          <w:szCs w:val="21"/>
        </w:rPr>
        <w:t>1.1本招标文件适用于该项目的招标、投标、评标、定标、验收、合同履约、付款等行为（法律、法规另有规定的，从其规定）。</w:t>
      </w:r>
    </w:p>
    <w:p>
      <w:pPr>
        <w:snapToGrid w:val="0"/>
        <w:spacing w:line="360" w:lineRule="auto"/>
        <w:jc w:val="left"/>
        <w:outlineLvl w:val="1"/>
        <w:rPr>
          <w:rFonts w:ascii="宋体" w:hAnsi="宋体"/>
          <w:b/>
          <w:szCs w:val="21"/>
        </w:rPr>
      </w:pPr>
      <w:bookmarkStart w:id="65" w:name="_Toc509308053"/>
      <w:bookmarkStart w:id="66" w:name="_Toc1361"/>
      <w:bookmarkStart w:id="67" w:name="_Toc509308133"/>
      <w:r>
        <w:rPr>
          <w:rFonts w:hint="eastAsia" w:ascii="宋体" w:hAnsi="宋体"/>
          <w:b/>
          <w:szCs w:val="21"/>
        </w:rPr>
        <w:t>2.定义</w:t>
      </w:r>
      <w:bookmarkEnd w:id="56"/>
      <w:bookmarkEnd w:id="57"/>
      <w:bookmarkEnd w:id="58"/>
      <w:bookmarkEnd w:id="59"/>
      <w:bookmarkEnd w:id="60"/>
      <w:bookmarkEnd w:id="61"/>
      <w:bookmarkEnd w:id="62"/>
      <w:bookmarkEnd w:id="63"/>
      <w:bookmarkEnd w:id="64"/>
      <w:bookmarkEnd w:id="65"/>
      <w:bookmarkEnd w:id="66"/>
      <w:bookmarkEnd w:id="67"/>
    </w:p>
    <w:p>
      <w:pPr>
        <w:snapToGrid w:val="0"/>
        <w:spacing w:line="360" w:lineRule="auto"/>
        <w:jc w:val="left"/>
        <w:rPr>
          <w:rFonts w:ascii="宋体" w:hAnsi="宋体"/>
          <w:szCs w:val="21"/>
        </w:rPr>
      </w:pPr>
      <w:r>
        <w:rPr>
          <w:rFonts w:hint="eastAsia" w:ascii="宋体" w:hAnsi="宋体"/>
          <w:szCs w:val="21"/>
        </w:rPr>
        <w:t>2.1 “采购单位”系指组织本次招标的代理机构或采购人。</w:t>
      </w:r>
    </w:p>
    <w:p>
      <w:pPr>
        <w:snapToGrid w:val="0"/>
        <w:spacing w:line="360" w:lineRule="auto"/>
        <w:jc w:val="left"/>
        <w:rPr>
          <w:rFonts w:ascii="宋体" w:hAnsi="宋体"/>
          <w:szCs w:val="21"/>
        </w:rPr>
      </w:pPr>
      <w:r>
        <w:rPr>
          <w:rFonts w:hint="eastAsia" w:ascii="宋体" w:hAnsi="宋体"/>
          <w:szCs w:val="21"/>
        </w:rPr>
        <w:t>2.2 “投标人”系指向招标方提交投标文件的供应商。</w:t>
      </w:r>
    </w:p>
    <w:p>
      <w:pPr>
        <w:snapToGrid w:val="0"/>
        <w:spacing w:line="360" w:lineRule="auto"/>
        <w:jc w:val="left"/>
        <w:rPr>
          <w:rFonts w:ascii="宋体" w:hAnsi="宋体"/>
          <w:szCs w:val="21"/>
        </w:rPr>
      </w:pPr>
      <w:r>
        <w:rPr>
          <w:rFonts w:hint="eastAsia" w:ascii="宋体" w:hAnsi="宋体"/>
          <w:szCs w:val="21"/>
        </w:rPr>
        <w:t>2.3 “产品”系指供方按招标文件规定，须向采购人提供的一切设备、保险、税金、备品备件、工具、手册及其它有关技术资料和材料。</w:t>
      </w:r>
    </w:p>
    <w:p>
      <w:pPr>
        <w:snapToGrid w:val="0"/>
        <w:spacing w:line="360" w:lineRule="auto"/>
        <w:jc w:val="left"/>
        <w:rPr>
          <w:rFonts w:ascii="宋体" w:hAnsi="宋体"/>
          <w:szCs w:val="21"/>
        </w:rPr>
      </w:pPr>
      <w:r>
        <w:rPr>
          <w:rFonts w:hint="eastAsia" w:ascii="宋体" w:hAnsi="宋体"/>
          <w:szCs w:val="21"/>
        </w:rPr>
        <w:t>2.4 “服务”系指招标文件规定投标人须承担的安装、调试、技术协助、校准、培训、技术指导以及其他类似的义务。</w:t>
      </w:r>
    </w:p>
    <w:p>
      <w:pPr>
        <w:snapToGrid w:val="0"/>
        <w:spacing w:line="360" w:lineRule="auto"/>
        <w:jc w:val="left"/>
        <w:rPr>
          <w:rFonts w:ascii="宋体" w:hAnsi="宋体"/>
          <w:szCs w:val="21"/>
        </w:rPr>
      </w:pPr>
      <w:r>
        <w:rPr>
          <w:rFonts w:hint="eastAsia" w:ascii="宋体" w:hAnsi="宋体"/>
          <w:szCs w:val="21"/>
        </w:rPr>
        <w:t>2.5 “项目”系指投标人按招标文件规定向采购人提供的产品和服务。</w:t>
      </w:r>
    </w:p>
    <w:p>
      <w:pPr>
        <w:snapToGrid w:val="0"/>
        <w:spacing w:line="360" w:lineRule="auto"/>
        <w:jc w:val="left"/>
        <w:rPr>
          <w:rFonts w:ascii="宋体" w:hAnsi="宋体"/>
          <w:szCs w:val="21"/>
        </w:rPr>
      </w:pPr>
      <w:r>
        <w:rPr>
          <w:rFonts w:hint="eastAsia" w:ascii="宋体" w:hAnsi="宋体"/>
          <w:szCs w:val="21"/>
        </w:rPr>
        <w:t>2.6 “书面形式”包括信函、传真、电报、电子文档等。</w:t>
      </w:r>
    </w:p>
    <w:p>
      <w:pPr>
        <w:snapToGrid w:val="0"/>
        <w:spacing w:line="360" w:lineRule="auto"/>
        <w:jc w:val="left"/>
        <w:rPr>
          <w:rFonts w:ascii="宋体" w:hAnsi="宋体"/>
          <w:szCs w:val="21"/>
        </w:rPr>
      </w:pPr>
      <w:r>
        <w:rPr>
          <w:rFonts w:hint="eastAsia" w:ascii="宋体" w:hAnsi="宋体"/>
          <w:szCs w:val="21"/>
        </w:rPr>
        <w:t>2.7“★”系核心设备。</w:t>
      </w:r>
    </w:p>
    <w:p>
      <w:pPr>
        <w:snapToGrid w:val="0"/>
        <w:spacing w:line="360" w:lineRule="auto"/>
        <w:jc w:val="left"/>
        <w:outlineLvl w:val="1"/>
        <w:rPr>
          <w:rFonts w:ascii="宋体" w:hAnsi="宋体"/>
          <w:b/>
          <w:szCs w:val="21"/>
        </w:rPr>
      </w:pPr>
      <w:bookmarkStart w:id="68" w:name="_Toc404289899"/>
      <w:bookmarkStart w:id="69" w:name="_Toc177870539"/>
      <w:bookmarkStart w:id="70" w:name="_Toc509308134"/>
      <w:bookmarkStart w:id="71" w:name="_Toc488072178"/>
      <w:bookmarkStart w:id="72" w:name="_Toc24245"/>
      <w:bookmarkStart w:id="73" w:name="_Toc404289991"/>
      <w:bookmarkStart w:id="74" w:name="_Toc477785313"/>
      <w:bookmarkStart w:id="75" w:name="_Toc509308054"/>
      <w:bookmarkStart w:id="76" w:name="_Toc488072265"/>
      <w:r>
        <w:rPr>
          <w:rFonts w:hint="eastAsia" w:ascii="宋体" w:hAnsi="宋体"/>
          <w:b/>
          <w:szCs w:val="21"/>
        </w:rPr>
        <w:t>3.招标方式</w:t>
      </w:r>
      <w:bookmarkEnd w:id="68"/>
      <w:bookmarkEnd w:id="69"/>
      <w:bookmarkEnd w:id="70"/>
      <w:bookmarkEnd w:id="71"/>
      <w:bookmarkEnd w:id="72"/>
      <w:bookmarkEnd w:id="73"/>
      <w:bookmarkEnd w:id="74"/>
      <w:bookmarkEnd w:id="75"/>
      <w:bookmarkEnd w:id="76"/>
    </w:p>
    <w:p>
      <w:pPr>
        <w:snapToGrid w:val="0"/>
        <w:spacing w:line="360" w:lineRule="auto"/>
        <w:jc w:val="left"/>
        <w:rPr>
          <w:rFonts w:ascii="宋体" w:hAnsi="宋体"/>
          <w:szCs w:val="21"/>
        </w:rPr>
      </w:pPr>
      <w:r>
        <w:rPr>
          <w:rFonts w:hint="eastAsia" w:ascii="宋体" w:hAnsi="宋体"/>
          <w:szCs w:val="21"/>
        </w:rPr>
        <w:t>3.1 本次招标采用公开招标方式进行；</w:t>
      </w:r>
    </w:p>
    <w:p>
      <w:pPr>
        <w:snapToGrid w:val="0"/>
        <w:spacing w:line="360" w:lineRule="auto"/>
        <w:jc w:val="left"/>
        <w:rPr>
          <w:rFonts w:ascii="宋体" w:hAnsi="宋体"/>
          <w:szCs w:val="21"/>
        </w:rPr>
      </w:pPr>
      <w:r>
        <w:rPr>
          <w:rFonts w:hint="eastAsia" w:ascii="宋体" w:hAnsi="宋体"/>
          <w:szCs w:val="21"/>
        </w:rPr>
        <w:t>3.2本次招标设定上限价为预算价。</w:t>
      </w:r>
    </w:p>
    <w:p>
      <w:pPr>
        <w:snapToGrid w:val="0"/>
        <w:spacing w:line="360" w:lineRule="auto"/>
        <w:jc w:val="left"/>
        <w:outlineLvl w:val="1"/>
        <w:rPr>
          <w:rFonts w:ascii="宋体" w:hAnsi="宋体"/>
          <w:b/>
          <w:szCs w:val="21"/>
        </w:rPr>
      </w:pPr>
      <w:bookmarkStart w:id="77" w:name="_Toc488072266"/>
      <w:bookmarkStart w:id="78" w:name="_Toc177870540"/>
      <w:bookmarkStart w:id="79" w:name="_Toc488072179"/>
      <w:bookmarkStart w:id="80" w:name="_Toc177824941"/>
      <w:bookmarkStart w:id="81" w:name="_Toc29533"/>
      <w:bookmarkStart w:id="82" w:name="_Toc177824874"/>
      <w:bookmarkStart w:id="83" w:name="_Toc477785314"/>
      <w:bookmarkStart w:id="84" w:name="_Toc509308055"/>
      <w:bookmarkStart w:id="85" w:name="_Toc404289900"/>
      <w:bookmarkStart w:id="86" w:name="_Toc177825122"/>
      <w:bookmarkStart w:id="87" w:name="_Toc509308135"/>
      <w:bookmarkStart w:id="88" w:name="_Toc404289992"/>
      <w:r>
        <w:rPr>
          <w:rFonts w:hint="eastAsia" w:ascii="宋体" w:hAnsi="宋体"/>
          <w:b/>
          <w:szCs w:val="21"/>
        </w:rPr>
        <w:t>4.投标委托</w:t>
      </w:r>
      <w:bookmarkEnd w:id="77"/>
      <w:bookmarkEnd w:id="78"/>
      <w:bookmarkEnd w:id="79"/>
      <w:bookmarkEnd w:id="80"/>
      <w:bookmarkEnd w:id="81"/>
      <w:bookmarkEnd w:id="82"/>
      <w:bookmarkEnd w:id="83"/>
      <w:bookmarkEnd w:id="84"/>
      <w:bookmarkEnd w:id="85"/>
      <w:bookmarkEnd w:id="86"/>
      <w:bookmarkEnd w:id="87"/>
      <w:bookmarkEnd w:id="88"/>
    </w:p>
    <w:p>
      <w:pPr>
        <w:snapToGrid w:val="0"/>
        <w:spacing w:line="360" w:lineRule="auto"/>
        <w:jc w:val="left"/>
        <w:rPr>
          <w:rFonts w:ascii="宋体" w:hAnsi="宋体"/>
          <w:szCs w:val="21"/>
        </w:rPr>
      </w:pPr>
      <w:bookmarkStart w:id="89" w:name="_Toc477785315"/>
      <w:bookmarkStart w:id="90" w:name="_Toc177824875"/>
      <w:bookmarkStart w:id="91" w:name="_Toc509308056"/>
      <w:bookmarkStart w:id="92" w:name="_Toc404289993"/>
      <w:bookmarkStart w:id="93" w:name="_Toc509308136"/>
      <w:bookmarkStart w:id="94" w:name="_Toc404289901"/>
      <w:bookmarkStart w:id="95" w:name="_Toc488072180"/>
      <w:bookmarkStart w:id="96" w:name="_Toc177824942"/>
      <w:bookmarkStart w:id="97" w:name="_Toc488072267"/>
      <w:bookmarkStart w:id="98" w:name="_Toc177870541"/>
      <w:bookmarkStart w:id="99" w:name="_Toc177825123"/>
      <w:r>
        <w:rPr>
          <w:rFonts w:hint="eastAsia" w:ascii="宋体" w:hAnsi="宋体"/>
          <w:szCs w:val="21"/>
        </w:rPr>
        <w:t>投标人无需在开标当天到达开标现场。</w:t>
      </w:r>
    </w:p>
    <w:p>
      <w:pPr>
        <w:snapToGrid w:val="0"/>
        <w:spacing w:line="360" w:lineRule="auto"/>
        <w:jc w:val="left"/>
        <w:outlineLvl w:val="1"/>
        <w:rPr>
          <w:rFonts w:ascii="宋体" w:hAnsi="宋体"/>
          <w:b/>
          <w:szCs w:val="21"/>
        </w:rPr>
      </w:pPr>
      <w:bookmarkStart w:id="100" w:name="_Toc2909"/>
      <w:r>
        <w:rPr>
          <w:rFonts w:hint="eastAsia" w:ascii="宋体" w:hAnsi="宋体"/>
          <w:b/>
          <w:szCs w:val="21"/>
        </w:rPr>
        <w:t>5.投标费用</w:t>
      </w:r>
      <w:bookmarkEnd w:id="89"/>
      <w:bookmarkEnd w:id="90"/>
      <w:bookmarkEnd w:id="91"/>
      <w:bookmarkEnd w:id="92"/>
      <w:bookmarkEnd w:id="93"/>
      <w:bookmarkEnd w:id="94"/>
      <w:bookmarkEnd w:id="95"/>
      <w:bookmarkEnd w:id="96"/>
      <w:bookmarkEnd w:id="97"/>
      <w:bookmarkEnd w:id="98"/>
      <w:bookmarkEnd w:id="99"/>
      <w:bookmarkEnd w:id="100"/>
    </w:p>
    <w:p>
      <w:pPr>
        <w:snapToGrid w:val="0"/>
        <w:spacing w:line="360" w:lineRule="auto"/>
        <w:ind w:firstLine="315" w:firstLineChars="150"/>
        <w:jc w:val="left"/>
        <w:rPr>
          <w:rFonts w:ascii="宋体" w:hAnsi="宋体"/>
          <w:szCs w:val="21"/>
        </w:rPr>
      </w:pPr>
      <w:r>
        <w:rPr>
          <w:rFonts w:hint="eastAsia" w:ascii="宋体" w:hAnsi="宋体"/>
          <w:szCs w:val="21"/>
        </w:rPr>
        <w:t>不论投标结果如何，投标人均应自行承担所有与投标有关的全部费用。</w:t>
      </w:r>
    </w:p>
    <w:p>
      <w:pPr>
        <w:snapToGrid w:val="0"/>
        <w:spacing w:line="360" w:lineRule="auto"/>
        <w:jc w:val="left"/>
        <w:outlineLvl w:val="1"/>
        <w:rPr>
          <w:rFonts w:ascii="宋体" w:hAnsi="宋体"/>
          <w:b/>
          <w:szCs w:val="21"/>
        </w:rPr>
      </w:pPr>
      <w:bookmarkStart w:id="101" w:name="_Toc22571"/>
      <w:r>
        <w:rPr>
          <w:rFonts w:hint="eastAsia" w:ascii="宋体" w:hAnsi="宋体"/>
          <w:b/>
          <w:szCs w:val="21"/>
        </w:rPr>
        <w:t>6．联合体投标</w:t>
      </w:r>
      <w:bookmarkEnd w:id="101"/>
    </w:p>
    <w:p>
      <w:pPr>
        <w:snapToGrid w:val="0"/>
        <w:spacing w:line="360" w:lineRule="auto"/>
        <w:ind w:firstLine="315" w:firstLineChars="150"/>
        <w:jc w:val="left"/>
        <w:rPr>
          <w:rFonts w:ascii="宋体" w:hAnsi="宋体" w:cs="Arial"/>
          <w:szCs w:val="21"/>
        </w:rPr>
      </w:pPr>
      <w:r>
        <w:rPr>
          <w:rFonts w:hint="eastAsia" w:ascii="宋体" w:hAnsi="宋体" w:cs="Arial"/>
          <w:szCs w:val="21"/>
        </w:rPr>
        <w:t>本项目不接受联合体投标。</w:t>
      </w:r>
    </w:p>
    <w:p>
      <w:pPr>
        <w:snapToGrid w:val="0"/>
        <w:spacing w:line="360" w:lineRule="auto"/>
        <w:jc w:val="left"/>
        <w:outlineLvl w:val="1"/>
        <w:rPr>
          <w:rFonts w:ascii="宋体" w:hAnsi="宋体"/>
          <w:b/>
          <w:szCs w:val="21"/>
        </w:rPr>
      </w:pPr>
      <w:bookmarkStart w:id="102" w:name="_Toc12102"/>
      <w:bookmarkStart w:id="103" w:name="_Toc509308141"/>
      <w:bookmarkStart w:id="104" w:name="_Toc488072185"/>
      <w:bookmarkStart w:id="105" w:name="_Toc509308061"/>
      <w:bookmarkStart w:id="106" w:name="_Toc488072272"/>
      <w:bookmarkStart w:id="107" w:name="_Toc177870544"/>
      <w:r>
        <w:rPr>
          <w:rFonts w:hint="eastAsia" w:ascii="宋体" w:hAnsi="宋体"/>
          <w:b/>
          <w:szCs w:val="21"/>
        </w:rPr>
        <w:t>7.转包与分包</w:t>
      </w:r>
      <w:bookmarkEnd w:id="102"/>
    </w:p>
    <w:p>
      <w:pPr>
        <w:spacing w:line="360" w:lineRule="auto"/>
        <w:rPr>
          <w:rFonts w:ascii="宋体" w:hAnsi="宋体" w:cs="宋体"/>
          <w:kern w:val="0"/>
          <w:szCs w:val="21"/>
        </w:rPr>
      </w:pPr>
      <w:r>
        <w:rPr>
          <w:rFonts w:hint="eastAsia" w:ascii="宋体" w:hAnsi="宋体" w:cs="宋体"/>
          <w:kern w:val="0"/>
          <w:szCs w:val="21"/>
        </w:rPr>
        <w:t>7.1本项目不允许转包；</w:t>
      </w:r>
    </w:p>
    <w:p>
      <w:pPr>
        <w:spacing w:line="360" w:lineRule="auto"/>
        <w:rPr>
          <w:rFonts w:ascii="宋体" w:hAnsi="宋体" w:cs="宋体"/>
          <w:kern w:val="0"/>
          <w:szCs w:val="21"/>
        </w:rPr>
      </w:pPr>
      <w:r>
        <w:rPr>
          <w:rFonts w:hint="eastAsia" w:ascii="宋体" w:hAnsi="宋体" w:cs="宋体"/>
          <w:kern w:val="0"/>
          <w:szCs w:val="21"/>
        </w:rPr>
        <w:t>7.2本项目不允许分包。</w:t>
      </w:r>
    </w:p>
    <w:p>
      <w:pPr>
        <w:snapToGrid w:val="0"/>
        <w:spacing w:line="360" w:lineRule="auto"/>
        <w:jc w:val="left"/>
        <w:outlineLvl w:val="1"/>
        <w:rPr>
          <w:rFonts w:ascii="宋体" w:hAnsi="宋体"/>
          <w:b/>
          <w:szCs w:val="21"/>
        </w:rPr>
      </w:pPr>
      <w:bookmarkStart w:id="108" w:name="_Toc404289994"/>
      <w:bookmarkStart w:id="109" w:name="_Toc477785316"/>
      <w:bookmarkStart w:id="110" w:name="_Toc509308137"/>
      <w:bookmarkStart w:id="111" w:name="_Toc404289902"/>
      <w:bookmarkStart w:id="112" w:name="_Toc177870542"/>
      <w:bookmarkStart w:id="113" w:name="_Toc488072268"/>
      <w:bookmarkStart w:id="114" w:name="_Toc509308057"/>
      <w:bookmarkStart w:id="115" w:name="_Toc488072181"/>
      <w:bookmarkStart w:id="116" w:name="_Toc15765"/>
      <w:r>
        <w:rPr>
          <w:rFonts w:hint="eastAsia" w:ascii="宋体" w:hAnsi="宋体"/>
          <w:b/>
          <w:szCs w:val="21"/>
        </w:rPr>
        <w:t>8.特别说明：</w:t>
      </w:r>
      <w:bookmarkEnd w:id="108"/>
      <w:bookmarkEnd w:id="109"/>
      <w:bookmarkEnd w:id="110"/>
      <w:bookmarkEnd w:id="111"/>
      <w:bookmarkEnd w:id="112"/>
      <w:bookmarkEnd w:id="113"/>
      <w:bookmarkEnd w:id="114"/>
      <w:bookmarkEnd w:id="115"/>
      <w:bookmarkEnd w:id="116"/>
    </w:p>
    <w:p>
      <w:pPr>
        <w:pStyle w:val="19"/>
        <w:spacing w:before="120" w:after="120" w:line="360" w:lineRule="auto"/>
        <w:outlineLvl w:val="1"/>
        <w:rPr>
          <w:rFonts w:hAnsi="宋体"/>
          <w:sz w:val="21"/>
          <w:szCs w:val="21"/>
        </w:rPr>
      </w:pPr>
      <w:bookmarkStart w:id="117" w:name="_Toc13110"/>
      <w:bookmarkStart w:id="118" w:name="_Toc488072269"/>
      <w:bookmarkStart w:id="119" w:name="_Toc477785317"/>
      <w:bookmarkStart w:id="120" w:name="_Toc177870543"/>
      <w:bookmarkStart w:id="121" w:name="_Toc404289995"/>
      <w:bookmarkStart w:id="122" w:name="_Toc404289903"/>
      <w:bookmarkStart w:id="123" w:name="_Toc488072182"/>
      <w:bookmarkStart w:id="124" w:name="_Toc509308138"/>
      <w:bookmarkStart w:id="125" w:name="_Toc509308058"/>
      <w:r>
        <w:rPr>
          <w:rFonts w:hint="eastAsia" w:hAnsi="宋体"/>
          <w:sz w:val="21"/>
          <w:szCs w:val="21"/>
        </w:rPr>
        <w:t>8.1 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bookmarkEnd w:id="117"/>
    </w:p>
    <w:p>
      <w:pPr>
        <w:pStyle w:val="19"/>
        <w:spacing w:before="120" w:after="120" w:line="360" w:lineRule="auto"/>
        <w:outlineLvl w:val="1"/>
        <w:rPr>
          <w:rFonts w:hAnsi="宋体"/>
          <w:sz w:val="21"/>
          <w:szCs w:val="21"/>
        </w:rPr>
      </w:pPr>
      <w:bookmarkStart w:id="126" w:name="_Toc7765"/>
      <w:r>
        <w:rPr>
          <w:rFonts w:hint="eastAsia" w:hAnsi="宋体"/>
          <w:sz w:val="21"/>
          <w:szCs w:val="21"/>
        </w:rPr>
        <w:t>非单一产品采购项目，采购人应当根据采购项目技术构成、产品价格比重等合理确定核心产品，并在招标文件中载明。多家供应商提供的核心产品品牌相同的，按前两款规定处理。</w:t>
      </w:r>
      <w:bookmarkEnd w:id="126"/>
    </w:p>
    <w:p>
      <w:pPr>
        <w:pStyle w:val="19"/>
        <w:spacing w:before="120" w:after="120" w:line="360" w:lineRule="auto"/>
        <w:outlineLvl w:val="1"/>
        <w:rPr>
          <w:rFonts w:hAnsi="宋体"/>
          <w:sz w:val="21"/>
          <w:szCs w:val="21"/>
        </w:rPr>
      </w:pPr>
      <w:bookmarkStart w:id="127" w:name="_Toc12261"/>
      <w:r>
        <w:rPr>
          <w:rFonts w:hint="eastAsia" w:hAnsi="宋体"/>
          <w:sz w:val="21"/>
          <w:szCs w:val="21"/>
        </w:rPr>
        <w:t>8.2 供应商投标所使用的资格、信誉、荣誉、业绩与企业认证必须为本法人所拥有。供应商投标所使用的采购项目实施人员必须为本法人员工（或必须为本法人或控股公司正式员工）。</w:t>
      </w:r>
      <w:bookmarkEnd w:id="127"/>
    </w:p>
    <w:p>
      <w:pPr>
        <w:pStyle w:val="19"/>
        <w:spacing w:before="120" w:after="120" w:line="360" w:lineRule="auto"/>
        <w:outlineLvl w:val="1"/>
        <w:rPr>
          <w:rFonts w:hAnsi="宋体"/>
          <w:sz w:val="21"/>
          <w:szCs w:val="21"/>
        </w:rPr>
      </w:pPr>
      <w:bookmarkStart w:id="128" w:name="_Toc7581"/>
      <w:r>
        <w:rPr>
          <w:rFonts w:hint="eastAsia" w:hAnsi="宋体"/>
          <w:sz w:val="21"/>
          <w:szCs w:val="21"/>
        </w:rPr>
        <w:t>8.3 供应商应仔细阅读招标文件的所有内容，按照招标文件的要求提交投标文件，并对所提供的全部资料的真实性承担法律责任。</w:t>
      </w:r>
      <w:bookmarkEnd w:id="128"/>
    </w:p>
    <w:p>
      <w:pPr>
        <w:pStyle w:val="19"/>
        <w:spacing w:before="120" w:after="120" w:line="360" w:lineRule="auto"/>
        <w:outlineLvl w:val="1"/>
        <w:rPr>
          <w:rFonts w:hAnsi="宋体"/>
          <w:sz w:val="21"/>
          <w:szCs w:val="21"/>
        </w:rPr>
      </w:pPr>
      <w:bookmarkStart w:id="129" w:name="_Toc23467"/>
      <w:r>
        <w:rPr>
          <w:rFonts w:hint="eastAsia" w:hAnsi="宋体"/>
          <w:sz w:val="21"/>
          <w:szCs w:val="21"/>
        </w:rPr>
        <w:t>8.4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bookmarkEnd w:id="129"/>
    </w:p>
    <w:p>
      <w:pPr>
        <w:pStyle w:val="19"/>
        <w:spacing w:before="120" w:after="120" w:line="360" w:lineRule="auto"/>
        <w:outlineLvl w:val="1"/>
        <w:rPr>
          <w:rFonts w:hAnsi="宋体"/>
          <w:b/>
          <w:bCs/>
          <w:sz w:val="21"/>
          <w:szCs w:val="21"/>
        </w:rPr>
      </w:pPr>
      <w:bookmarkStart w:id="130" w:name="_Toc143"/>
      <w:r>
        <w:rPr>
          <w:rFonts w:hint="eastAsia" w:hAnsi="宋体"/>
          <w:b/>
          <w:bCs/>
          <w:sz w:val="21"/>
          <w:szCs w:val="21"/>
        </w:rPr>
        <w:t>9.质疑</w:t>
      </w:r>
      <w:bookmarkEnd w:id="118"/>
      <w:bookmarkEnd w:id="119"/>
      <w:bookmarkEnd w:id="120"/>
      <w:bookmarkEnd w:id="121"/>
      <w:bookmarkEnd w:id="122"/>
      <w:bookmarkEnd w:id="123"/>
      <w:r>
        <w:rPr>
          <w:rFonts w:hint="eastAsia" w:hAnsi="宋体"/>
          <w:b/>
          <w:bCs/>
          <w:sz w:val="21"/>
          <w:szCs w:val="21"/>
        </w:rPr>
        <w:t>和投诉</w:t>
      </w:r>
      <w:bookmarkEnd w:id="124"/>
      <w:bookmarkEnd w:id="125"/>
      <w:bookmarkEnd w:id="130"/>
    </w:p>
    <w:p>
      <w:pPr>
        <w:pStyle w:val="19"/>
        <w:spacing w:before="120" w:after="120" w:line="360" w:lineRule="auto"/>
        <w:outlineLvl w:val="1"/>
        <w:rPr>
          <w:rFonts w:hAnsi="宋体"/>
          <w:sz w:val="21"/>
          <w:szCs w:val="21"/>
        </w:rPr>
      </w:pPr>
      <w:bookmarkStart w:id="131" w:name="_Toc22181"/>
      <w:r>
        <w:rPr>
          <w:rFonts w:hint="eastAsia" w:hAnsi="宋体"/>
          <w:sz w:val="21"/>
          <w:szCs w:val="21"/>
        </w:rPr>
        <w:t>9.1 供应商认为采购文件、采购过程、中标或者成交结果使自己的权益受到损害的，可以在知道或者应知其权益受到损害之日起7个工作日内，以书面形式一次性向采购人、 采购代理机构提出针对同一采购程序环节的质疑。质疑供应商对采购人、 采购代理机构的答复不满意，或者采购人、采购代理机构未在规定时间内作出答复的，可以在答复期满后15个工作日内向规定的财政部门提起投诉。</w:t>
      </w:r>
      <w:bookmarkEnd w:id="131"/>
    </w:p>
    <w:p>
      <w:pPr>
        <w:pStyle w:val="19"/>
        <w:spacing w:before="120" w:after="120" w:line="360" w:lineRule="auto"/>
        <w:outlineLvl w:val="1"/>
        <w:rPr>
          <w:rFonts w:hAnsi="宋体"/>
          <w:sz w:val="21"/>
          <w:szCs w:val="21"/>
        </w:rPr>
      </w:pPr>
      <w:bookmarkStart w:id="132" w:name="_Toc8274"/>
      <w:r>
        <w:rPr>
          <w:rFonts w:hint="eastAsia" w:hAnsi="宋体"/>
          <w:sz w:val="21"/>
          <w:szCs w:val="21"/>
        </w:rPr>
        <w:t>9.</w:t>
      </w:r>
      <w:r>
        <w:rPr>
          <w:rFonts w:hAnsi="宋体"/>
          <w:sz w:val="21"/>
          <w:szCs w:val="21"/>
        </w:rPr>
        <w:t>4</w:t>
      </w:r>
      <w:r>
        <w:rPr>
          <w:rFonts w:hint="eastAsia" w:hAnsi="宋体"/>
          <w:sz w:val="21"/>
          <w:szCs w:val="21"/>
        </w:rPr>
        <w:t xml:space="preserve"> 质疑和投诉应当满足《政府采购质疑和投诉办法》（中华人民共和国财政部令第94号）要求。</w:t>
      </w:r>
      <w:bookmarkEnd w:id="132"/>
    </w:p>
    <w:p>
      <w:pPr>
        <w:pStyle w:val="19"/>
        <w:spacing w:before="120" w:after="120" w:line="360" w:lineRule="auto"/>
        <w:jc w:val="center"/>
        <w:outlineLvl w:val="1"/>
        <w:rPr>
          <w:rFonts w:hAnsi="宋体"/>
          <w:b/>
          <w:sz w:val="21"/>
          <w:szCs w:val="21"/>
        </w:rPr>
      </w:pPr>
      <w:bookmarkStart w:id="133" w:name="_Toc20722"/>
      <w:r>
        <w:rPr>
          <w:rFonts w:hint="eastAsia" w:hAnsi="宋体"/>
          <w:b/>
          <w:sz w:val="21"/>
          <w:szCs w:val="21"/>
        </w:rPr>
        <w:t>二 、招标文件</w:t>
      </w:r>
      <w:bookmarkEnd w:id="103"/>
      <w:bookmarkEnd w:id="104"/>
      <w:bookmarkEnd w:id="105"/>
      <w:bookmarkEnd w:id="106"/>
      <w:bookmarkEnd w:id="107"/>
      <w:bookmarkEnd w:id="133"/>
    </w:p>
    <w:p>
      <w:pPr>
        <w:spacing w:line="360" w:lineRule="auto"/>
        <w:jc w:val="left"/>
        <w:rPr>
          <w:rFonts w:ascii="宋体" w:hAnsi="宋体"/>
          <w:b/>
          <w:szCs w:val="21"/>
        </w:rPr>
      </w:pPr>
      <w:r>
        <w:rPr>
          <w:rFonts w:hint="eastAsia" w:ascii="宋体" w:hAnsi="宋体"/>
          <w:b/>
          <w:szCs w:val="21"/>
        </w:rPr>
        <w:t>1.招标文件的构成</w:t>
      </w:r>
    </w:p>
    <w:p>
      <w:pPr>
        <w:spacing w:line="360" w:lineRule="auto"/>
        <w:jc w:val="left"/>
        <w:rPr>
          <w:rFonts w:ascii="宋体" w:hAnsi="宋体"/>
          <w:szCs w:val="21"/>
        </w:rPr>
      </w:pPr>
      <w:r>
        <w:rPr>
          <w:rFonts w:hint="eastAsia" w:ascii="宋体" w:hAnsi="宋体"/>
          <w:szCs w:val="21"/>
        </w:rPr>
        <w:t>1.1招标公告</w:t>
      </w:r>
    </w:p>
    <w:p>
      <w:pPr>
        <w:spacing w:line="360" w:lineRule="auto"/>
        <w:jc w:val="left"/>
        <w:rPr>
          <w:rFonts w:ascii="宋体" w:hAnsi="宋体"/>
          <w:szCs w:val="21"/>
        </w:rPr>
      </w:pPr>
      <w:r>
        <w:rPr>
          <w:rFonts w:hint="eastAsia" w:ascii="宋体" w:hAnsi="宋体"/>
          <w:szCs w:val="21"/>
        </w:rPr>
        <w:t>1.2招标需求</w:t>
      </w:r>
    </w:p>
    <w:p>
      <w:pPr>
        <w:spacing w:line="360" w:lineRule="auto"/>
        <w:jc w:val="left"/>
        <w:rPr>
          <w:rFonts w:ascii="宋体" w:hAnsi="宋体"/>
          <w:szCs w:val="21"/>
        </w:rPr>
      </w:pPr>
      <w:r>
        <w:rPr>
          <w:rFonts w:hint="eastAsia" w:ascii="宋体" w:hAnsi="宋体"/>
          <w:szCs w:val="21"/>
        </w:rPr>
        <w:t>1.3投标人须知</w:t>
      </w:r>
    </w:p>
    <w:p>
      <w:pPr>
        <w:spacing w:line="360" w:lineRule="auto"/>
        <w:jc w:val="left"/>
        <w:rPr>
          <w:rFonts w:ascii="宋体" w:hAnsi="宋体"/>
          <w:szCs w:val="21"/>
        </w:rPr>
      </w:pPr>
      <w:r>
        <w:rPr>
          <w:rFonts w:hint="eastAsia" w:ascii="宋体" w:hAnsi="宋体"/>
          <w:szCs w:val="21"/>
        </w:rPr>
        <w:t>1.4合同主要条款</w:t>
      </w:r>
    </w:p>
    <w:p>
      <w:pPr>
        <w:spacing w:line="360" w:lineRule="auto"/>
        <w:jc w:val="left"/>
        <w:rPr>
          <w:rFonts w:ascii="宋体" w:hAnsi="宋体"/>
          <w:szCs w:val="21"/>
        </w:rPr>
      </w:pPr>
      <w:r>
        <w:rPr>
          <w:rFonts w:hint="eastAsia" w:ascii="宋体" w:hAnsi="宋体"/>
          <w:szCs w:val="21"/>
        </w:rPr>
        <w:t>1.5评标办法及标准</w:t>
      </w:r>
    </w:p>
    <w:p>
      <w:pPr>
        <w:spacing w:line="360" w:lineRule="auto"/>
        <w:jc w:val="left"/>
        <w:rPr>
          <w:rFonts w:ascii="宋体" w:hAnsi="宋体"/>
          <w:szCs w:val="21"/>
        </w:rPr>
      </w:pPr>
      <w:r>
        <w:rPr>
          <w:rFonts w:hint="eastAsia" w:ascii="宋体" w:hAnsi="宋体"/>
          <w:szCs w:val="21"/>
        </w:rPr>
        <w:t>1.6投标文件相关文件格式</w:t>
      </w:r>
    </w:p>
    <w:p>
      <w:pPr>
        <w:spacing w:line="360" w:lineRule="auto"/>
        <w:jc w:val="left"/>
        <w:rPr>
          <w:rFonts w:ascii="宋体" w:hAnsi="宋体"/>
          <w:b/>
          <w:szCs w:val="21"/>
        </w:rPr>
      </w:pPr>
      <w:r>
        <w:rPr>
          <w:rFonts w:hint="eastAsia" w:ascii="宋体" w:hAnsi="宋体"/>
          <w:b/>
          <w:szCs w:val="21"/>
        </w:rPr>
        <w:t>1.7本项目</w:t>
      </w:r>
      <w:r>
        <w:rPr>
          <w:rFonts w:ascii="宋体" w:hAnsi="宋体"/>
          <w:b/>
          <w:szCs w:val="21"/>
        </w:rPr>
        <w:t>招标文件</w:t>
      </w:r>
      <w:r>
        <w:rPr>
          <w:rFonts w:hint="eastAsia" w:ascii="宋体" w:hAnsi="宋体"/>
          <w:b/>
          <w:szCs w:val="21"/>
        </w:rPr>
        <w:t>的</w:t>
      </w:r>
      <w:r>
        <w:rPr>
          <w:rFonts w:ascii="宋体" w:hAnsi="宋体"/>
          <w:b/>
          <w:szCs w:val="21"/>
        </w:rPr>
        <w:t>澄清、答复、修改、补充的内容</w:t>
      </w:r>
      <w:r>
        <w:rPr>
          <w:rFonts w:hint="eastAsia" w:ascii="宋体" w:hAnsi="宋体"/>
          <w:b/>
          <w:szCs w:val="21"/>
        </w:rPr>
        <w:t>（所有内容将以电子文档形式上传于浙江政府采购网网站（</w:t>
      </w:r>
      <w:r>
        <w:fldChar w:fldCharType="begin"/>
      </w:r>
      <w:r>
        <w:instrText xml:space="preserve"> HYPERLINK "http://www.zjzfcg.gov.cn/new/" </w:instrText>
      </w:r>
      <w:r>
        <w:fldChar w:fldCharType="separate"/>
      </w:r>
      <w:r>
        <w:rPr>
          <w:rStyle w:val="40"/>
          <w:rFonts w:hint="eastAsia" w:ascii="宋体" w:hAnsi="宋体" w:cs="宋体"/>
          <w:color w:val="auto"/>
          <w:kern w:val="0"/>
          <w:sz w:val="24"/>
        </w:rPr>
        <w:t>http://www.zjzfcg.gov.cn/new/</w:t>
      </w:r>
      <w:r>
        <w:rPr>
          <w:rStyle w:val="40"/>
          <w:rFonts w:hint="eastAsia" w:ascii="宋体" w:hAnsi="宋体" w:cs="宋体"/>
          <w:color w:val="auto"/>
          <w:kern w:val="0"/>
          <w:sz w:val="24"/>
        </w:rPr>
        <w:fldChar w:fldCharType="end"/>
      </w:r>
      <w:r>
        <w:rPr>
          <w:rFonts w:hint="eastAsia" w:ascii="宋体" w:hAnsi="宋体"/>
          <w:b/>
          <w:szCs w:val="21"/>
        </w:rPr>
        <w:t>）。</w:t>
      </w:r>
      <w:r>
        <w:rPr>
          <w:rFonts w:ascii="宋体" w:hAnsi="宋体"/>
          <w:b/>
          <w:szCs w:val="21"/>
        </w:rPr>
        <w:t>澄清、答复、修改、补充的内容</w:t>
      </w:r>
      <w:r>
        <w:rPr>
          <w:rFonts w:hint="eastAsia" w:ascii="宋体" w:hAnsi="宋体"/>
          <w:b/>
          <w:szCs w:val="21"/>
        </w:rPr>
        <w:t>均作为招标文件的组成部分，具有约束作用。投标人必须自行下载。）</w:t>
      </w:r>
    </w:p>
    <w:p>
      <w:pPr>
        <w:spacing w:line="360" w:lineRule="auto"/>
        <w:jc w:val="left"/>
        <w:rPr>
          <w:rFonts w:ascii="宋体" w:hAnsi="宋体"/>
          <w:b/>
          <w:szCs w:val="21"/>
        </w:rPr>
      </w:pPr>
      <w:r>
        <w:rPr>
          <w:rFonts w:hint="eastAsia" w:ascii="宋体" w:hAnsi="宋体"/>
          <w:b/>
          <w:szCs w:val="21"/>
        </w:rPr>
        <w:t>2.存在的风险</w:t>
      </w:r>
    </w:p>
    <w:p>
      <w:pPr>
        <w:spacing w:line="360" w:lineRule="auto"/>
        <w:ind w:firstLine="420" w:firstLineChars="200"/>
        <w:jc w:val="left"/>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投标人没有按照招标文件要求提供全部资料，或者投标人没有对招标文件在各方面作出实质性响应是投标人的风险，并可能导致其投标无效。</w:t>
      </w:r>
    </w:p>
    <w:p>
      <w:pPr>
        <w:pStyle w:val="9"/>
        <w:widowControl w:val="0"/>
        <w:spacing w:after="120" w:line="360" w:lineRule="auto"/>
        <w:ind w:left="0" w:firstLine="0"/>
        <w:rPr>
          <w:rFonts w:ascii="宋体" w:hAnsi="宋体"/>
          <w:b/>
          <w:sz w:val="21"/>
          <w:szCs w:val="21"/>
        </w:rPr>
      </w:pPr>
      <w:r>
        <w:rPr>
          <w:rFonts w:hint="eastAsia" w:ascii="宋体" w:hAnsi="宋体"/>
          <w:b/>
          <w:sz w:val="21"/>
          <w:szCs w:val="21"/>
        </w:rPr>
        <w:t xml:space="preserve">3.招标文件的澄清与修改 </w:t>
      </w:r>
    </w:p>
    <w:p>
      <w:pPr>
        <w:pStyle w:val="19"/>
        <w:snapToGrid w:val="0"/>
        <w:spacing w:before="120" w:after="120" w:line="360" w:lineRule="auto"/>
        <w:ind w:firstLine="315" w:firstLineChars="150"/>
        <w:rPr>
          <w:rFonts w:hAnsi="宋体"/>
          <w:sz w:val="21"/>
          <w:szCs w:val="21"/>
        </w:rPr>
      </w:pPr>
      <w:bookmarkStart w:id="134" w:name="_Toc488072186"/>
      <w:bookmarkStart w:id="135" w:name="_Toc488072273"/>
      <w:r>
        <w:rPr>
          <w:rFonts w:hint="eastAsia" w:hAnsi="宋体"/>
          <w:sz w:val="21"/>
          <w:szCs w:val="21"/>
        </w:rPr>
        <w:t>3.</w:t>
      </w:r>
      <w:r>
        <w:rPr>
          <w:rFonts w:hAnsi="宋体"/>
          <w:sz w:val="21"/>
          <w:szCs w:val="21"/>
        </w:rPr>
        <w:t>1投标人应认真阅读本招标文件，发现其中有误或有不合理要求的，</w:t>
      </w:r>
      <w:r>
        <w:rPr>
          <w:rFonts w:hint="eastAsia" w:hAnsi="宋体"/>
          <w:sz w:val="21"/>
          <w:szCs w:val="21"/>
        </w:rPr>
        <w:t>可</w:t>
      </w:r>
      <w:r>
        <w:rPr>
          <w:rFonts w:hAnsi="宋体"/>
          <w:sz w:val="21"/>
          <w:szCs w:val="21"/>
        </w:rPr>
        <w:t>要求招标采购单位澄清。</w:t>
      </w:r>
      <w:r>
        <w:rPr>
          <w:rFonts w:hint="eastAsia" w:hAnsi="宋体"/>
          <w:sz w:val="21"/>
          <w:szCs w:val="21"/>
        </w:rPr>
        <w:t>招标采购单位</w:t>
      </w:r>
      <w:r>
        <w:rPr>
          <w:rFonts w:hAnsi="宋体"/>
          <w:sz w:val="21"/>
          <w:szCs w:val="21"/>
        </w:rPr>
        <w:t>对已发出的招标文件进行必要澄清</w:t>
      </w:r>
      <w:r>
        <w:rPr>
          <w:rFonts w:hint="eastAsia" w:hAnsi="宋体"/>
          <w:sz w:val="21"/>
          <w:szCs w:val="21"/>
        </w:rPr>
        <w:t>或者</w:t>
      </w:r>
      <w:r>
        <w:rPr>
          <w:rFonts w:hAnsi="宋体"/>
          <w:sz w:val="21"/>
          <w:szCs w:val="21"/>
        </w:rPr>
        <w:t>修改的，应当在招标文件要求提交投标文件截止</w:t>
      </w:r>
      <w:r>
        <w:rPr>
          <w:rFonts w:hint="eastAsia" w:hAnsi="宋体"/>
          <w:sz w:val="21"/>
          <w:szCs w:val="21"/>
        </w:rPr>
        <w:t>十</w:t>
      </w:r>
      <w:r>
        <w:rPr>
          <w:rFonts w:hAnsi="宋体"/>
          <w:sz w:val="21"/>
          <w:szCs w:val="21"/>
        </w:rPr>
        <w:t>五日前，在财政部门指定的政府采购信息发布媒体上发布更正公告，</w:t>
      </w:r>
      <w:r>
        <w:rPr>
          <w:rFonts w:hint="eastAsia" w:hAnsi="宋体"/>
          <w:sz w:val="21"/>
          <w:szCs w:val="21"/>
        </w:rPr>
        <w:t>投标人必须自行下载</w:t>
      </w:r>
      <w:r>
        <w:rPr>
          <w:rFonts w:hAnsi="宋体"/>
          <w:sz w:val="21"/>
          <w:szCs w:val="21"/>
        </w:rPr>
        <w:t>。</w:t>
      </w:r>
    </w:p>
    <w:p>
      <w:pPr>
        <w:pStyle w:val="19"/>
        <w:snapToGrid w:val="0"/>
        <w:spacing w:before="120" w:after="120" w:line="360" w:lineRule="auto"/>
        <w:ind w:firstLine="315" w:firstLineChars="150"/>
        <w:rPr>
          <w:rFonts w:hAnsi="宋体"/>
          <w:sz w:val="21"/>
          <w:szCs w:val="21"/>
        </w:rPr>
      </w:pPr>
      <w:r>
        <w:rPr>
          <w:rFonts w:hint="eastAsia" w:hAnsi="宋体"/>
          <w:sz w:val="21"/>
          <w:szCs w:val="21"/>
        </w:rPr>
        <w:t>3.</w:t>
      </w:r>
      <w:r>
        <w:rPr>
          <w:rFonts w:hAnsi="宋体"/>
          <w:sz w:val="21"/>
          <w:szCs w:val="21"/>
        </w:rPr>
        <w:t>2招标文件澄清</w:t>
      </w:r>
      <w:r>
        <w:rPr>
          <w:rFonts w:hint="eastAsia" w:hAnsi="宋体"/>
          <w:sz w:val="21"/>
          <w:szCs w:val="21"/>
        </w:rPr>
        <w:t>或者</w:t>
      </w:r>
      <w:r>
        <w:rPr>
          <w:rFonts w:hAnsi="宋体"/>
          <w:sz w:val="21"/>
          <w:szCs w:val="21"/>
        </w:rPr>
        <w:t>修改的内容为招标文件的组成部分。当招标文件与澄清</w:t>
      </w:r>
      <w:r>
        <w:rPr>
          <w:rFonts w:hint="eastAsia" w:hAnsi="宋体"/>
          <w:sz w:val="21"/>
          <w:szCs w:val="21"/>
        </w:rPr>
        <w:t>或者</w:t>
      </w:r>
      <w:r>
        <w:rPr>
          <w:rFonts w:hAnsi="宋体"/>
          <w:sz w:val="21"/>
          <w:szCs w:val="21"/>
        </w:rPr>
        <w:t>修改就同一内容的表述不一致时，以最后发出的文件为准。</w:t>
      </w:r>
    </w:p>
    <w:p>
      <w:pPr>
        <w:pStyle w:val="19"/>
        <w:snapToGrid w:val="0"/>
        <w:spacing w:before="120" w:after="120" w:line="360" w:lineRule="auto"/>
        <w:ind w:firstLine="315" w:firstLineChars="150"/>
        <w:rPr>
          <w:rFonts w:hAnsi="宋体"/>
          <w:sz w:val="21"/>
          <w:szCs w:val="21"/>
        </w:rPr>
      </w:pPr>
      <w:r>
        <w:rPr>
          <w:rFonts w:hint="eastAsia" w:hAnsi="宋体"/>
          <w:sz w:val="21"/>
          <w:szCs w:val="21"/>
        </w:rPr>
        <w:t>3.3对</w:t>
      </w:r>
      <w:r>
        <w:rPr>
          <w:rFonts w:hAnsi="宋体"/>
          <w:sz w:val="21"/>
          <w:szCs w:val="21"/>
        </w:rPr>
        <w:t>招标文件的澄清、答复、修改或补充都应该通过</w:t>
      </w:r>
      <w:r>
        <w:rPr>
          <w:rFonts w:hint="eastAsia" w:hAnsi="宋体"/>
          <w:sz w:val="21"/>
          <w:szCs w:val="21"/>
        </w:rPr>
        <w:t>采购机构</w:t>
      </w:r>
      <w:r>
        <w:rPr>
          <w:rFonts w:hAnsi="宋体"/>
          <w:sz w:val="21"/>
          <w:szCs w:val="21"/>
        </w:rPr>
        <w:t>以法定形式发布，采购人非通过本机构，不得擅自澄清、答复、修改或补充招标文件。</w:t>
      </w:r>
    </w:p>
    <w:p>
      <w:pPr>
        <w:pStyle w:val="19"/>
        <w:snapToGrid w:val="0"/>
        <w:spacing w:before="120" w:after="120" w:line="360" w:lineRule="auto"/>
        <w:ind w:firstLine="413" w:firstLineChars="196"/>
        <w:jc w:val="center"/>
        <w:outlineLvl w:val="1"/>
        <w:rPr>
          <w:rFonts w:hAnsi="宋体"/>
          <w:b/>
          <w:sz w:val="21"/>
          <w:szCs w:val="21"/>
        </w:rPr>
      </w:pPr>
      <w:bookmarkStart w:id="136" w:name="_Toc460"/>
      <w:bookmarkStart w:id="137" w:name="_Toc509308062"/>
      <w:bookmarkStart w:id="138" w:name="_Toc509308142"/>
      <w:r>
        <w:rPr>
          <w:rFonts w:hAnsi="宋体"/>
          <w:b/>
          <w:sz w:val="21"/>
          <w:szCs w:val="21"/>
        </w:rPr>
        <w:t>三、投标文件的编制</w:t>
      </w:r>
      <w:bookmarkEnd w:id="134"/>
      <w:bookmarkEnd w:id="135"/>
      <w:bookmarkEnd w:id="136"/>
      <w:bookmarkEnd w:id="137"/>
      <w:bookmarkEnd w:id="138"/>
    </w:p>
    <w:p>
      <w:pPr>
        <w:pStyle w:val="19"/>
        <w:snapToGrid w:val="0"/>
        <w:spacing w:before="120" w:after="120" w:line="360" w:lineRule="auto"/>
        <w:ind w:firstLine="413" w:firstLineChars="196"/>
        <w:jc w:val="left"/>
        <w:outlineLvl w:val="1"/>
        <w:rPr>
          <w:rFonts w:hAnsi="宋体"/>
          <w:b/>
          <w:sz w:val="21"/>
          <w:szCs w:val="21"/>
        </w:rPr>
      </w:pPr>
      <w:bookmarkStart w:id="139" w:name="_Toc9214"/>
      <w:r>
        <w:rPr>
          <w:rFonts w:hint="eastAsia" w:hAnsi="宋体"/>
          <w:b/>
          <w:sz w:val="21"/>
          <w:szCs w:val="21"/>
        </w:rPr>
        <w:t>本项目所涉投标文件格式详见第六章，未给出的格式请自拟。技术商务文件中不得出现报价，否则投标文件将被视为无效。</w:t>
      </w:r>
      <w:bookmarkEnd w:id="139"/>
    </w:p>
    <w:p>
      <w:pPr>
        <w:pStyle w:val="19"/>
        <w:snapToGrid w:val="0"/>
        <w:spacing w:before="120" w:after="120" w:line="360" w:lineRule="auto"/>
        <w:ind w:firstLine="316" w:firstLineChars="150"/>
        <w:rPr>
          <w:rFonts w:hAnsi="宋体"/>
          <w:b/>
          <w:sz w:val="21"/>
          <w:szCs w:val="21"/>
        </w:rPr>
      </w:pPr>
      <w:bookmarkStart w:id="140" w:name="_Toc33535357"/>
      <w:r>
        <w:rPr>
          <w:rFonts w:hint="eastAsia" w:hAnsi="宋体"/>
          <w:b/>
          <w:sz w:val="21"/>
          <w:szCs w:val="21"/>
        </w:rPr>
        <w:t>总体要求：</w:t>
      </w:r>
      <w:bookmarkEnd w:id="140"/>
    </w:p>
    <w:p>
      <w:pPr>
        <w:pStyle w:val="19"/>
        <w:snapToGrid w:val="0"/>
        <w:spacing w:before="120" w:after="120" w:line="360" w:lineRule="auto"/>
        <w:ind w:firstLine="315" w:firstLineChars="150"/>
        <w:rPr>
          <w:rFonts w:hAnsi="宋体"/>
          <w:sz w:val="21"/>
          <w:szCs w:val="21"/>
        </w:rPr>
      </w:pPr>
      <w:r>
        <w:rPr>
          <w:rFonts w:hint="eastAsia" w:hAnsi="宋体"/>
          <w:sz w:val="21"/>
          <w:szCs w:val="21"/>
        </w:rPr>
        <w:t>1.供应商</w:t>
      </w:r>
      <w:r>
        <w:rPr>
          <w:rFonts w:hAnsi="宋体"/>
          <w:sz w:val="21"/>
          <w:szCs w:val="21"/>
        </w:rPr>
        <w:t xml:space="preserve">应仔细阅读招标文件的所有内容，按本文件的要求提供投标文件，并保证所提供的全部资料的真实性，以使其投标文件对招标文件作出实质性响应，否则，投标文件可能视为无效投标文件。 </w:t>
      </w:r>
    </w:p>
    <w:p>
      <w:pPr>
        <w:pStyle w:val="19"/>
        <w:snapToGrid w:val="0"/>
        <w:spacing w:before="120" w:after="120" w:line="360" w:lineRule="auto"/>
        <w:ind w:firstLine="315" w:firstLineChars="150"/>
        <w:rPr>
          <w:rFonts w:hAnsi="宋体"/>
          <w:sz w:val="21"/>
          <w:szCs w:val="21"/>
        </w:rPr>
      </w:pPr>
      <w:r>
        <w:rPr>
          <w:rFonts w:hint="eastAsia" w:hAnsi="宋体"/>
          <w:sz w:val="21"/>
          <w:szCs w:val="21"/>
        </w:rPr>
        <w:t>2.投标文件及供应商与采购有关的来往通知，函件和文件均应使用中文。</w:t>
      </w:r>
    </w:p>
    <w:p>
      <w:pPr>
        <w:pStyle w:val="19"/>
        <w:snapToGrid w:val="0"/>
        <w:spacing w:before="120" w:after="120" w:line="360" w:lineRule="auto"/>
        <w:ind w:firstLine="315" w:firstLineChars="150"/>
        <w:rPr>
          <w:rFonts w:hAnsi="宋体"/>
          <w:sz w:val="21"/>
          <w:szCs w:val="21"/>
        </w:rPr>
      </w:pPr>
      <w:r>
        <w:rPr>
          <w:rFonts w:hint="eastAsia" w:hAnsi="宋体"/>
          <w:sz w:val="21"/>
          <w:szCs w:val="21"/>
        </w:rPr>
        <w:t>3.供应商应按本文件中提供的文件格式、内容和要求制作投标文件。</w:t>
      </w:r>
    </w:p>
    <w:p>
      <w:pPr>
        <w:pStyle w:val="19"/>
        <w:snapToGrid w:val="0"/>
        <w:spacing w:before="120" w:after="120" w:line="360" w:lineRule="auto"/>
        <w:ind w:firstLine="315" w:firstLineChars="150"/>
        <w:rPr>
          <w:rFonts w:hAnsi="宋体"/>
          <w:sz w:val="21"/>
          <w:szCs w:val="21"/>
        </w:rPr>
      </w:pPr>
      <w:r>
        <w:rPr>
          <w:rFonts w:hint="eastAsia" w:hAnsi="宋体"/>
          <w:sz w:val="21"/>
          <w:szCs w:val="21"/>
        </w:rPr>
        <w:t>4.投标文件的效力：</w:t>
      </w:r>
      <w:r>
        <w:rPr>
          <w:rFonts w:hint="eastAsia" w:hAnsi="宋体"/>
          <w:b/>
          <w:sz w:val="21"/>
          <w:szCs w:val="21"/>
        </w:rPr>
        <w:t>投标文件的启用，按先后顺位分别为电子投标文件、电子备份投标文件。</w:t>
      </w:r>
      <w:r>
        <w:rPr>
          <w:rFonts w:hint="eastAsia" w:hAnsi="宋体"/>
          <w:sz w:val="21"/>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60" w:lineRule="auto"/>
        <w:ind w:firstLine="411" w:firstLineChars="196"/>
        <w:jc w:val="left"/>
        <w:outlineLvl w:val="0"/>
        <w:rPr>
          <w:rFonts w:ascii="宋体" w:hAnsi="宋体"/>
          <w:szCs w:val="21"/>
        </w:rPr>
      </w:pPr>
      <w:bookmarkStart w:id="141" w:name="_Toc477785322"/>
      <w:bookmarkStart w:id="142" w:name="_Toc509308143"/>
      <w:bookmarkStart w:id="143" w:name="_Toc26711"/>
      <w:bookmarkStart w:id="144" w:name="_Toc404289998"/>
      <w:bookmarkStart w:id="145" w:name="_Toc488072187"/>
      <w:bookmarkStart w:id="146" w:name="_Toc509308063"/>
      <w:bookmarkStart w:id="147" w:name="_Toc404289906"/>
      <w:bookmarkStart w:id="148" w:name="_Toc488072274"/>
      <w:r>
        <w:rPr>
          <w:rFonts w:hint="eastAsia" w:ascii="宋体" w:hAnsi="宋体"/>
          <w:szCs w:val="21"/>
        </w:rPr>
        <w:t>（一）投标文件的组成</w:t>
      </w:r>
      <w:bookmarkEnd w:id="141"/>
      <w:bookmarkEnd w:id="142"/>
      <w:bookmarkEnd w:id="143"/>
      <w:bookmarkEnd w:id="144"/>
      <w:bookmarkEnd w:id="145"/>
      <w:bookmarkEnd w:id="146"/>
      <w:bookmarkEnd w:id="147"/>
      <w:bookmarkEnd w:id="148"/>
    </w:p>
    <w:p>
      <w:pPr>
        <w:spacing w:line="360" w:lineRule="auto"/>
        <w:ind w:firstLine="422" w:firstLineChars="200"/>
        <w:rPr>
          <w:rFonts w:ascii="宋体" w:hAnsi="宋体"/>
          <w:b/>
          <w:szCs w:val="21"/>
        </w:rPr>
      </w:pPr>
      <w:r>
        <w:rPr>
          <w:rFonts w:hint="eastAsia" w:ascii="宋体" w:hAnsi="宋体"/>
          <w:b/>
          <w:szCs w:val="21"/>
        </w:rPr>
        <w:t>包括电子投标文件和电子备份投标文件（选送），均由资格文件、技术及商务文件及投标报价文件三部份组成。</w:t>
      </w:r>
    </w:p>
    <w:p>
      <w:pPr>
        <w:spacing w:line="360" w:lineRule="auto"/>
        <w:ind w:firstLine="422" w:firstLineChars="200"/>
        <w:rPr>
          <w:rFonts w:ascii="宋体" w:hAnsi="宋体"/>
          <w:b/>
          <w:szCs w:val="21"/>
        </w:rPr>
      </w:pPr>
      <w:r>
        <w:rPr>
          <w:rFonts w:hint="eastAsia" w:ascii="宋体" w:hAnsi="宋体"/>
          <w:b/>
          <w:szCs w:val="21"/>
        </w:rPr>
        <w:t>1.资格文件：</w:t>
      </w:r>
    </w:p>
    <w:p>
      <w:pPr>
        <w:spacing w:line="360" w:lineRule="auto"/>
        <w:ind w:firstLine="420" w:firstLineChars="200"/>
        <w:rPr>
          <w:rFonts w:ascii="宋体" w:hAnsi="宋体"/>
          <w:szCs w:val="21"/>
        </w:rPr>
      </w:pPr>
      <w:r>
        <w:rPr>
          <w:rFonts w:hint="eastAsia" w:ascii="宋体" w:hAnsi="宋体"/>
          <w:szCs w:val="21"/>
        </w:rPr>
        <w:t>1.1资格文件封面及目录（附件1）；</w:t>
      </w:r>
    </w:p>
    <w:p>
      <w:pPr>
        <w:spacing w:line="360" w:lineRule="auto"/>
        <w:ind w:firstLine="420" w:firstLineChars="200"/>
        <w:rPr>
          <w:rFonts w:ascii="宋体" w:hAnsi="宋体"/>
          <w:szCs w:val="21"/>
        </w:rPr>
      </w:pPr>
      <w:r>
        <w:rPr>
          <w:rFonts w:hint="eastAsia" w:ascii="宋体" w:hAnsi="宋体"/>
          <w:szCs w:val="21"/>
        </w:rPr>
        <w:t>1.2投标人声明书（附件2）；</w:t>
      </w:r>
    </w:p>
    <w:p>
      <w:pPr>
        <w:spacing w:line="360" w:lineRule="auto"/>
        <w:ind w:firstLine="420" w:firstLineChars="200"/>
        <w:rPr>
          <w:rFonts w:ascii="宋体" w:hAnsi="宋体"/>
          <w:szCs w:val="21"/>
        </w:rPr>
      </w:pPr>
      <w:r>
        <w:rPr>
          <w:rFonts w:hint="eastAsia" w:ascii="宋体" w:hAnsi="宋体"/>
          <w:szCs w:val="21"/>
        </w:rPr>
        <w:t>1.3营业执照正本或副本复印件（盖单位公章）；</w:t>
      </w:r>
    </w:p>
    <w:p>
      <w:pPr>
        <w:spacing w:line="360" w:lineRule="auto"/>
        <w:ind w:firstLine="420" w:firstLineChars="200"/>
        <w:rPr>
          <w:rFonts w:ascii="宋体" w:hAnsi="宋体"/>
          <w:szCs w:val="21"/>
        </w:rPr>
      </w:pPr>
      <w:r>
        <w:rPr>
          <w:rFonts w:hint="eastAsia" w:ascii="宋体" w:hAnsi="宋体"/>
          <w:szCs w:val="21"/>
        </w:rPr>
        <w:t>1.4税务登记证正本或副本复印件（与营业执照合一的无需提供）（盖单位公章）；</w:t>
      </w:r>
    </w:p>
    <w:p>
      <w:pPr>
        <w:spacing w:line="360" w:lineRule="auto"/>
        <w:ind w:firstLine="420" w:firstLineChars="200"/>
        <w:rPr>
          <w:rFonts w:ascii="宋体" w:hAnsi="宋体"/>
          <w:szCs w:val="21"/>
        </w:rPr>
      </w:pPr>
      <w:r>
        <w:rPr>
          <w:rFonts w:hint="eastAsia" w:ascii="宋体" w:hAnsi="宋体"/>
          <w:szCs w:val="21"/>
        </w:rPr>
        <w:t>1.5法定代表人有效身份证件复印件；</w:t>
      </w:r>
    </w:p>
    <w:p>
      <w:pPr>
        <w:spacing w:line="360" w:lineRule="auto"/>
        <w:ind w:firstLine="420" w:firstLineChars="200"/>
        <w:rPr>
          <w:rFonts w:ascii="宋体" w:hAnsi="宋体"/>
          <w:szCs w:val="21"/>
        </w:rPr>
      </w:pPr>
      <w:r>
        <w:rPr>
          <w:rFonts w:hint="eastAsia" w:ascii="宋体" w:hAnsi="宋体"/>
          <w:szCs w:val="21"/>
        </w:rPr>
        <w:t>1.6法定代表人授权委托书（附件3）及授权代表有效身份证件复印件；</w:t>
      </w:r>
    </w:p>
    <w:p>
      <w:pPr>
        <w:spacing w:line="360" w:lineRule="auto"/>
        <w:ind w:firstLine="420" w:firstLineChars="200"/>
        <w:rPr>
          <w:rFonts w:ascii="宋体" w:hAnsi="宋体"/>
          <w:szCs w:val="21"/>
        </w:rPr>
      </w:pPr>
      <w:r>
        <w:rPr>
          <w:rFonts w:hint="eastAsia" w:ascii="宋体" w:hAnsi="宋体"/>
          <w:szCs w:val="21"/>
        </w:rPr>
        <w:t>1.7提供最近三个月（2022年4月、2022年5月、2022年6月）依法缴纳税收的证明（税费凭证复印件或依法免缴税费的证明复印件）；</w:t>
      </w:r>
    </w:p>
    <w:p>
      <w:pPr>
        <w:spacing w:line="360" w:lineRule="auto"/>
        <w:ind w:firstLine="420" w:firstLineChars="200"/>
        <w:rPr>
          <w:rFonts w:ascii="宋体" w:hAnsi="宋体"/>
          <w:szCs w:val="21"/>
        </w:rPr>
      </w:pPr>
      <w:r>
        <w:rPr>
          <w:rFonts w:hint="eastAsia" w:ascii="宋体" w:hAnsi="宋体"/>
          <w:szCs w:val="21"/>
        </w:rPr>
        <w:t>1.8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pPr>
        <w:spacing w:line="360" w:lineRule="auto"/>
        <w:ind w:firstLine="420" w:firstLineChars="200"/>
        <w:rPr>
          <w:rFonts w:ascii="宋体" w:hAnsi="宋体"/>
          <w:szCs w:val="21"/>
        </w:rPr>
      </w:pPr>
      <w:r>
        <w:rPr>
          <w:rFonts w:hint="eastAsia" w:ascii="宋体" w:hAnsi="宋体"/>
          <w:szCs w:val="21"/>
        </w:rPr>
        <w:t>1.9投标人认为需要提供的其他资料或招标公告资格要求中的其他资格材料。</w:t>
      </w:r>
    </w:p>
    <w:p>
      <w:pPr>
        <w:spacing w:line="360" w:lineRule="auto"/>
        <w:ind w:firstLine="422" w:firstLineChars="200"/>
        <w:rPr>
          <w:rFonts w:ascii="宋体" w:hAnsi="宋体"/>
          <w:b/>
          <w:szCs w:val="21"/>
        </w:rPr>
      </w:pPr>
      <w:r>
        <w:rPr>
          <w:rFonts w:hint="eastAsia" w:ascii="宋体" w:hAnsi="宋体"/>
          <w:b/>
          <w:szCs w:val="21"/>
        </w:rPr>
        <w:t>2．技术商务文件：</w:t>
      </w:r>
    </w:p>
    <w:p>
      <w:pPr>
        <w:spacing w:line="360" w:lineRule="auto"/>
        <w:ind w:firstLine="420" w:firstLineChars="200"/>
        <w:rPr>
          <w:rFonts w:ascii="宋体" w:hAnsi="宋体"/>
          <w:szCs w:val="21"/>
        </w:rPr>
      </w:pPr>
      <w:r>
        <w:rPr>
          <w:rFonts w:hint="eastAsia" w:ascii="宋体" w:hAnsi="宋体"/>
          <w:szCs w:val="21"/>
        </w:rPr>
        <w:t>2.1技术商务文件封面及目录（附件4）；</w:t>
      </w:r>
    </w:p>
    <w:p>
      <w:pPr>
        <w:spacing w:line="360" w:lineRule="auto"/>
        <w:ind w:firstLine="420" w:firstLineChars="200"/>
        <w:rPr>
          <w:rFonts w:ascii="宋体" w:hAnsi="宋体"/>
          <w:szCs w:val="21"/>
        </w:rPr>
      </w:pPr>
      <w:r>
        <w:rPr>
          <w:rFonts w:hint="eastAsia" w:ascii="宋体" w:hAnsi="宋体"/>
          <w:szCs w:val="21"/>
        </w:rPr>
        <w:t>2.2投标人基本情况表（附件5）；</w:t>
      </w:r>
    </w:p>
    <w:p>
      <w:pPr>
        <w:spacing w:line="360" w:lineRule="auto"/>
        <w:ind w:firstLine="420" w:firstLineChars="200"/>
        <w:rPr>
          <w:rFonts w:ascii="宋体" w:hAnsi="宋体"/>
          <w:szCs w:val="21"/>
        </w:rPr>
      </w:pPr>
      <w:r>
        <w:rPr>
          <w:rFonts w:hint="eastAsia" w:ascii="宋体" w:hAnsi="宋体"/>
          <w:szCs w:val="21"/>
        </w:rPr>
        <w:t>2.3本项目总体实施方案；</w:t>
      </w:r>
    </w:p>
    <w:p>
      <w:pPr>
        <w:spacing w:line="360" w:lineRule="auto"/>
        <w:ind w:firstLine="420" w:firstLineChars="200"/>
        <w:rPr>
          <w:rFonts w:ascii="宋体" w:hAnsi="宋体"/>
          <w:szCs w:val="21"/>
        </w:rPr>
      </w:pPr>
      <w:r>
        <w:rPr>
          <w:rFonts w:hint="eastAsia" w:ascii="宋体" w:hAnsi="宋体"/>
          <w:szCs w:val="21"/>
        </w:rPr>
        <w:t>2.4项目实施人员一览表（附件6）</w:t>
      </w:r>
    </w:p>
    <w:p>
      <w:pPr>
        <w:spacing w:line="360" w:lineRule="auto"/>
        <w:ind w:firstLine="420" w:firstLineChars="200"/>
        <w:rPr>
          <w:rFonts w:ascii="宋体" w:hAnsi="宋体"/>
          <w:szCs w:val="21"/>
        </w:rPr>
      </w:pPr>
      <w:r>
        <w:rPr>
          <w:rFonts w:hint="eastAsia" w:ascii="宋体" w:hAnsi="宋体"/>
          <w:szCs w:val="21"/>
        </w:rPr>
        <w:t>2.5项目售后服务方案；</w:t>
      </w:r>
    </w:p>
    <w:p>
      <w:pPr>
        <w:spacing w:line="360" w:lineRule="auto"/>
        <w:ind w:firstLine="420" w:firstLineChars="200"/>
        <w:rPr>
          <w:rFonts w:ascii="宋体" w:hAnsi="宋体"/>
          <w:szCs w:val="21"/>
        </w:rPr>
      </w:pPr>
      <w:r>
        <w:rPr>
          <w:rFonts w:hint="eastAsia" w:ascii="宋体" w:hAnsi="宋体"/>
          <w:szCs w:val="21"/>
        </w:rPr>
        <w:t>2.6同类案例证明（附件7）</w:t>
      </w:r>
    </w:p>
    <w:p>
      <w:pPr>
        <w:spacing w:line="360" w:lineRule="auto"/>
        <w:ind w:firstLine="420" w:firstLineChars="200"/>
        <w:rPr>
          <w:rFonts w:ascii="宋体" w:hAnsi="宋体"/>
          <w:szCs w:val="21"/>
        </w:rPr>
      </w:pPr>
      <w:r>
        <w:rPr>
          <w:rFonts w:hint="eastAsia" w:ascii="宋体" w:hAnsi="宋体"/>
          <w:szCs w:val="21"/>
        </w:rPr>
        <w:t>2.7服务承诺（附件8）；</w:t>
      </w:r>
    </w:p>
    <w:p>
      <w:pPr>
        <w:spacing w:line="360" w:lineRule="auto"/>
        <w:ind w:firstLine="420" w:firstLineChars="200"/>
        <w:rPr>
          <w:rFonts w:ascii="宋体" w:hAnsi="宋体"/>
          <w:szCs w:val="21"/>
        </w:rPr>
      </w:pPr>
      <w:r>
        <w:rPr>
          <w:rFonts w:hint="eastAsia" w:ascii="宋体" w:hAnsi="宋体"/>
          <w:szCs w:val="21"/>
        </w:rPr>
        <w:t>2.8招标文件需要的其他资料及投标人认为需要提供的其他内容（请参考评标办法中条款）。</w:t>
      </w:r>
    </w:p>
    <w:p>
      <w:pPr>
        <w:spacing w:line="360" w:lineRule="auto"/>
        <w:ind w:firstLine="422" w:firstLineChars="200"/>
        <w:rPr>
          <w:rFonts w:ascii="宋体" w:hAnsi="宋体"/>
          <w:b/>
          <w:szCs w:val="21"/>
        </w:rPr>
      </w:pPr>
      <w:r>
        <w:rPr>
          <w:rFonts w:hint="eastAsia" w:ascii="宋体" w:hAnsi="宋体"/>
          <w:b/>
          <w:szCs w:val="21"/>
        </w:rPr>
        <w:t>3．报价文件：</w:t>
      </w:r>
    </w:p>
    <w:p>
      <w:pPr>
        <w:spacing w:line="360" w:lineRule="auto"/>
        <w:ind w:firstLine="420" w:firstLineChars="200"/>
        <w:rPr>
          <w:rFonts w:ascii="宋体" w:hAnsi="宋体"/>
          <w:szCs w:val="21"/>
        </w:rPr>
      </w:pPr>
      <w:r>
        <w:rPr>
          <w:rFonts w:hint="eastAsia" w:ascii="宋体" w:hAnsi="宋体"/>
          <w:szCs w:val="21"/>
        </w:rPr>
        <w:t>3.1报价文件封面及目录（附件9）；</w:t>
      </w:r>
    </w:p>
    <w:p>
      <w:pPr>
        <w:spacing w:line="360" w:lineRule="auto"/>
        <w:ind w:firstLine="420" w:firstLineChars="200"/>
        <w:rPr>
          <w:rFonts w:ascii="宋体" w:hAnsi="宋体"/>
          <w:szCs w:val="21"/>
        </w:rPr>
      </w:pPr>
      <w:r>
        <w:rPr>
          <w:rFonts w:hint="eastAsia" w:ascii="宋体" w:hAnsi="宋体"/>
          <w:szCs w:val="21"/>
        </w:rPr>
        <w:t>3.2报价一览表（附件10）；</w:t>
      </w:r>
    </w:p>
    <w:p>
      <w:pPr>
        <w:spacing w:line="360" w:lineRule="auto"/>
        <w:ind w:firstLine="420" w:firstLineChars="200"/>
        <w:rPr>
          <w:rFonts w:ascii="宋体" w:hAnsi="宋体"/>
          <w:szCs w:val="21"/>
        </w:rPr>
      </w:pPr>
      <w:r>
        <w:rPr>
          <w:rFonts w:hint="eastAsia" w:ascii="宋体" w:hAnsi="宋体"/>
          <w:szCs w:val="21"/>
        </w:rPr>
        <w:t>3.3报价明细表（附件11）</w:t>
      </w:r>
    </w:p>
    <w:p>
      <w:pPr>
        <w:spacing w:line="360" w:lineRule="auto"/>
        <w:ind w:firstLine="420" w:firstLineChars="200"/>
        <w:rPr>
          <w:rFonts w:ascii="宋体" w:hAnsi="宋体"/>
          <w:szCs w:val="21"/>
        </w:rPr>
      </w:pPr>
      <w:r>
        <w:rPr>
          <w:rFonts w:hint="eastAsia" w:ascii="宋体" w:hAnsi="宋体"/>
          <w:szCs w:val="21"/>
        </w:rPr>
        <w:t>3.4中小企业声明函（附件12）（如有）；</w:t>
      </w:r>
    </w:p>
    <w:p>
      <w:pPr>
        <w:spacing w:line="360" w:lineRule="auto"/>
        <w:ind w:firstLine="420" w:firstLineChars="200"/>
        <w:rPr>
          <w:rFonts w:ascii="宋体" w:hAnsi="宋体"/>
          <w:szCs w:val="21"/>
        </w:rPr>
      </w:pPr>
      <w:r>
        <w:rPr>
          <w:rFonts w:hint="eastAsia" w:ascii="宋体" w:hAnsi="宋体"/>
          <w:szCs w:val="21"/>
        </w:rPr>
        <w:t xml:space="preserve">3.5提供监狱、戒毒企业或残疾人福利性单位的相应证明（盖单位公章）（附件13）（如有）； </w:t>
      </w:r>
    </w:p>
    <w:p>
      <w:pPr>
        <w:spacing w:line="360" w:lineRule="auto"/>
        <w:ind w:firstLine="420" w:firstLineChars="200"/>
        <w:rPr>
          <w:rFonts w:ascii="宋体" w:hAnsi="宋体"/>
          <w:szCs w:val="21"/>
        </w:rPr>
      </w:pPr>
      <w:r>
        <w:rPr>
          <w:rFonts w:hint="eastAsia" w:ascii="宋体" w:hAnsi="宋体"/>
          <w:szCs w:val="21"/>
        </w:rPr>
        <w:t>3.6投标人针对报价需要说明的其他文件和说明。</w:t>
      </w:r>
    </w:p>
    <w:p>
      <w:pPr>
        <w:spacing w:line="360" w:lineRule="auto"/>
        <w:jc w:val="left"/>
        <w:outlineLvl w:val="0"/>
        <w:rPr>
          <w:rFonts w:ascii="宋体" w:hAnsi="宋体"/>
          <w:b/>
          <w:szCs w:val="21"/>
        </w:rPr>
      </w:pPr>
      <w:bookmarkStart w:id="149" w:name="_Toc32497"/>
      <w:r>
        <w:rPr>
          <w:rFonts w:hint="eastAsia" w:ascii="宋体" w:hAnsi="宋体"/>
          <w:b/>
          <w:szCs w:val="21"/>
        </w:rPr>
        <w:t>（二）投标文件的语言及计量</w:t>
      </w:r>
      <w:bookmarkEnd w:id="149"/>
    </w:p>
    <w:p>
      <w:pPr>
        <w:snapToGrid w:val="0"/>
        <w:spacing w:line="360" w:lineRule="auto"/>
        <w:jc w:val="left"/>
        <w:rPr>
          <w:rFonts w:ascii="宋体" w:hAnsi="宋体"/>
          <w:szCs w:val="21"/>
        </w:rPr>
      </w:pPr>
      <w:r>
        <w:rPr>
          <w:rFonts w:hint="eastAsia" w:ascii="宋体" w:hAnsi="宋体"/>
          <w:szCs w:val="21"/>
        </w:rPr>
        <w:t>1.</w:t>
      </w:r>
      <w:r>
        <w:rPr>
          <w:rFonts w:ascii="宋体" w:hAnsi="宋体"/>
          <w:szCs w:val="21"/>
        </w:rPr>
        <w:t xml:space="preserve"> 投标文件以及投标</w:t>
      </w:r>
      <w:r>
        <w:rPr>
          <w:rFonts w:hint="eastAsia" w:ascii="宋体" w:hAnsi="宋体"/>
          <w:szCs w:val="21"/>
        </w:rPr>
        <w:t>人</w:t>
      </w:r>
      <w:r>
        <w:rPr>
          <w:rFonts w:ascii="宋体" w:hAnsi="宋体"/>
          <w:szCs w:val="21"/>
        </w:rPr>
        <w:t>与</w:t>
      </w:r>
      <w:r>
        <w:rPr>
          <w:rFonts w:hint="eastAsia" w:ascii="宋体" w:hAnsi="宋体"/>
          <w:szCs w:val="21"/>
        </w:rPr>
        <w:t>采购单位</w:t>
      </w:r>
      <w:r>
        <w:rPr>
          <w:rFonts w:ascii="宋体" w:hAnsi="宋体"/>
          <w:szCs w:val="21"/>
        </w:rPr>
        <w:t>就有关投标事宜的所有来往函电，均应以中文汉语书写。除签名、盖章、专用名称等特殊情形外，以中文汉语以外的文字表述的投标文件视同未提供。</w:t>
      </w:r>
    </w:p>
    <w:p>
      <w:pPr>
        <w:snapToGrid w:val="0"/>
        <w:spacing w:line="360" w:lineRule="auto"/>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spacing w:line="360" w:lineRule="auto"/>
        <w:jc w:val="left"/>
        <w:outlineLvl w:val="0"/>
        <w:rPr>
          <w:rFonts w:ascii="宋体" w:hAnsi="宋体"/>
          <w:b/>
          <w:szCs w:val="21"/>
        </w:rPr>
      </w:pPr>
      <w:bookmarkStart w:id="150" w:name="_Toc177824945"/>
      <w:bookmarkStart w:id="151" w:name="_Toc509308064"/>
      <w:bookmarkStart w:id="152" w:name="_Toc509308144"/>
      <w:bookmarkStart w:id="153" w:name="_Toc177825126"/>
      <w:bookmarkStart w:id="154" w:name="_Toc404289907"/>
      <w:bookmarkStart w:id="155" w:name="_Toc177870548"/>
      <w:bookmarkStart w:id="156" w:name="_Toc488072188"/>
      <w:bookmarkStart w:id="157" w:name="_Toc488072275"/>
      <w:bookmarkStart w:id="158" w:name="_Toc177824878"/>
      <w:bookmarkStart w:id="159" w:name="_Toc8932"/>
      <w:bookmarkStart w:id="160" w:name="_Toc404289999"/>
      <w:bookmarkStart w:id="161" w:name="_Toc477785323"/>
      <w:r>
        <w:rPr>
          <w:rFonts w:hint="eastAsia" w:ascii="宋体" w:hAnsi="宋体"/>
          <w:b/>
          <w:szCs w:val="21"/>
        </w:rPr>
        <w:t>（三） 投标报价</w:t>
      </w:r>
      <w:bookmarkEnd w:id="150"/>
      <w:bookmarkEnd w:id="151"/>
      <w:bookmarkEnd w:id="152"/>
      <w:bookmarkEnd w:id="153"/>
      <w:bookmarkEnd w:id="154"/>
      <w:bookmarkEnd w:id="155"/>
      <w:bookmarkEnd w:id="156"/>
      <w:bookmarkEnd w:id="157"/>
      <w:bookmarkEnd w:id="158"/>
      <w:bookmarkEnd w:id="159"/>
      <w:bookmarkEnd w:id="160"/>
      <w:bookmarkEnd w:id="161"/>
    </w:p>
    <w:p>
      <w:pPr>
        <w:pStyle w:val="9"/>
        <w:spacing w:after="120" w:line="360" w:lineRule="auto"/>
        <w:ind w:left="170" w:firstLine="0"/>
        <w:rPr>
          <w:rFonts w:ascii="宋体" w:hAnsi="宋体"/>
          <w:kern w:val="2"/>
          <w:sz w:val="21"/>
          <w:szCs w:val="21"/>
        </w:rPr>
      </w:pPr>
      <w:r>
        <w:rPr>
          <w:rFonts w:hint="eastAsia" w:ascii="宋体" w:hAnsi="宋体"/>
          <w:kern w:val="2"/>
          <w:sz w:val="21"/>
          <w:szCs w:val="21"/>
        </w:rPr>
        <w:t>1.投标报价应按招标文件中相关附表格式填写。</w:t>
      </w:r>
    </w:p>
    <w:p>
      <w:pPr>
        <w:pStyle w:val="9"/>
        <w:spacing w:after="120" w:line="360" w:lineRule="auto"/>
        <w:ind w:left="170" w:firstLine="0"/>
        <w:rPr>
          <w:rFonts w:ascii="宋体" w:hAnsi="宋体"/>
          <w:kern w:val="2"/>
          <w:sz w:val="21"/>
          <w:szCs w:val="21"/>
        </w:rPr>
      </w:pPr>
      <w:r>
        <w:rPr>
          <w:rFonts w:hint="eastAsia" w:ascii="宋体" w:hAnsi="宋体"/>
          <w:kern w:val="2"/>
          <w:sz w:val="21"/>
          <w:szCs w:val="21"/>
        </w:rPr>
        <w:t>2.投标报价是履行合同的最终价格，包括提供相关服务的管理、设备、人员、耗材、利润、税金等全部费用。</w:t>
      </w:r>
    </w:p>
    <w:p>
      <w:pPr>
        <w:pStyle w:val="9"/>
        <w:spacing w:after="120" w:line="360" w:lineRule="auto"/>
        <w:ind w:left="170" w:firstLine="0"/>
        <w:rPr>
          <w:rFonts w:ascii="宋体" w:hAnsi="宋体"/>
          <w:b/>
          <w:sz w:val="21"/>
          <w:szCs w:val="21"/>
        </w:rPr>
      </w:pPr>
      <w:r>
        <w:rPr>
          <w:rFonts w:hint="eastAsia" w:ascii="宋体" w:hAnsi="宋体"/>
          <w:kern w:val="2"/>
          <w:sz w:val="21"/>
          <w:szCs w:val="21"/>
        </w:rPr>
        <w:t>3.投标文件只允许有一个报价，有选择的或有条件的报价将不予接受。</w:t>
      </w:r>
    </w:p>
    <w:p>
      <w:pPr>
        <w:spacing w:line="360" w:lineRule="auto"/>
        <w:jc w:val="left"/>
        <w:outlineLvl w:val="0"/>
        <w:rPr>
          <w:rFonts w:ascii="宋体" w:hAnsi="宋体"/>
          <w:b/>
          <w:szCs w:val="21"/>
        </w:rPr>
      </w:pPr>
      <w:bookmarkStart w:id="162" w:name="_Toc1976"/>
      <w:r>
        <w:rPr>
          <w:rFonts w:hint="eastAsia" w:ascii="宋体" w:hAnsi="宋体"/>
          <w:b/>
          <w:szCs w:val="21"/>
        </w:rPr>
        <w:t>（四）投标文件的有效期</w:t>
      </w:r>
      <w:bookmarkEnd w:id="162"/>
    </w:p>
    <w:p>
      <w:pPr>
        <w:spacing w:line="360" w:lineRule="auto"/>
        <w:ind w:firstLine="210" w:firstLineChars="100"/>
        <w:rPr>
          <w:rFonts w:ascii="宋体" w:hAnsi="宋体"/>
          <w:szCs w:val="21"/>
        </w:rPr>
      </w:pPr>
      <w:bookmarkStart w:id="163" w:name="_Toc485990656"/>
      <w:bookmarkStart w:id="164" w:name="_Toc488072277"/>
      <w:bookmarkStart w:id="165" w:name="_Toc488072283"/>
      <w:bookmarkStart w:id="166" w:name="_Toc177870551"/>
      <w:bookmarkStart w:id="167" w:name="_Toc177824948"/>
      <w:bookmarkStart w:id="168" w:name="_Toc177825129"/>
      <w:bookmarkStart w:id="169" w:name="_Toc177824881"/>
      <w:bookmarkStart w:id="170" w:name="_Toc509308065"/>
      <w:bookmarkStart w:id="171" w:name="_Toc477785326"/>
      <w:bookmarkStart w:id="172" w:name="_Toc404290002"/>
      <w:bookmarkStart w:id="173" w:name="_Toc509308145"/>
      <w:bookmarkStart w:id="174" w:name="_Toc404289910"/>
      <w:r>
        <w:rPr>
          <w:rFonts w:ascii="宋体" w:hAnsi="宋体"/>
          <w:szCs w:val="21"/>
        </w:rPr>
        <w:t>1</w:t>
      </w:r>
      <w:r>
        <w:rPr>
          <w:rFonts w:hint="eastAsia" w:ascii="宋体" w:hAnsi="宋体"/>
          <w:szCs w:val="21"/>
        </w:rPr>
        <w:t>.</w:t>
      </w:r>
      <w:r>
        <w:rPr>
          <w:rFonts w:ascii="宋体" w:hAnsi="宋体"/>
          <w:szCs w:val="21"/>
        </w:rPr>
        <w:t>自投标截止日起</w:t>
      </w:r>
      <w:r>
        <w:rPr>
          <w:rFonts w:hint="eastAsia" w:ascii="宋体" w:hAnsi="宋体"/>
          <w:szCs w:val="21"/>
          <w:u w:val="single"/>
        </w:rPr>
        <w:t>90</w:t>
      </w:r>
      <w:r>
        <w:rPr>
          <w:rFonts w:ascii="宋体" w:hAnsi="宋体"/>
          <w:szCs w:val="21"/>
        </w:rPr>
        <w:t>天投标</w:t>
      </w:r>
      <w:r>
        <w:rPr>
          <w:rFonts w:hint="eastAsia" w:ascii="宋体" w:hAnsi="宋体"/>
          <w:szCs w:val="21"/>
        </w:rPr>
        <w:t>文件</w:t>
      </w:r>
      <w:r>
        <w:rPr>
          <w:rFonts w:ascii="宋体" w:hAnsi="宋体"/>
          <w:szCs w:val="21"/>
        </w:rPr>
        <w:t>应保持有效。有效期</w:t>
      </w:r>
      <w:r>
        <w:rPr>
          <w:rFonts w:hint="eastAsia" w:ascii="宋体" w:hAnsi="宋体"/>
          <w:szCs w:val="21"/>
        </w:rPr>
        <w:t>不足</w:t>
      </w:r>
      <w:r>
        <w:rPr>
          <w:rFonts w:ascii="宋体" w:hAnsi="宋体"/>
          <w:szCs w:val="21"/>
        </w:rPr>
        <w:t>的投标</w:t>
      </w:r>
      <w:r>
        <w:rPr>
          <w:rFonts w:hint="eastAsia" w:ascii="宋体" w:hAnsi="宋体"/>
          <w:szCs w:val="21"/>
        </w:rPr>
        <w:t>文件</w:t>
      </w:r>
      <w:r>
        <w:rPr>
          <w:rFonts w:ascii="宋体" w:hAnsi="宋体"/>
          <w:szCs w:val="21"/>
        </w:rPr>
        <w:t>将被拒绝。</w:t>
      </w:r>
    </w:p>
    <w:p>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w:t>
      </w:r>
      <w:r>
        <w:rPr>
          <w:rFonts w:ascii="宋体" w:hAnsi="宋体"/>
          <w:szCs w:val="21"/>
        </w:rPr>
        <w:t>在特殊情况下，</w:t>
      </w:r>
      <w:r>
        <w:rPr>
          <w:rFonts w:hint="eastAsia" w:ascii="宋体" w:hAnsi="宋体"/>
          <w:szCs w:val="21"/>
        </w:rPr>
        <w:t>采购单位</w:t>
      </w:r>
      <w:r>
        <w:rPr>
          <w:rFonts w:ascii="宋体" w:hAnsi="宋体"/>
          <w:szCs w:val="21"/>
        </w:rPr>
        <w:t>可与投标人协商延长投标书的有效期，这种要求和答复均以书面形式进行。</w:t>
      </w:r>
    </w:p>
    <w:p>
      <w:pPr>
        <w:spacing w:line="360" w:lineRule="auto"/>
        <w:ind w:firstLine="210" w:firstLineChars="100"/>
        <w:rPr>
          <w:rFonts w:ascii="宋体" w:hAnsi="宋体"/>
          <w:szCs w:val="21"/>
        </w:rPr>
      </w:pPr>
      <w:bookmarkStart w:id="175" w:name="_Toc406402993"/>
      <w:bookmarkStart w:id="176" w:name="_Toc385854149"/>
      <w:bookmarkStart w:id="177" w:name="_Toc406402949"/>
      <w:bookmarkStart w:id="178" w:name="_Toc385854103"/>
      <w:bookmarkStart w:id="179" w:name="_Toc402963087"/>
      <w:bookmarkStart w:id="180" w:name="_Toc402963120"/>
      <w:r>
        <w:rPr>
          <w:rFonts w:hint="eastAsia" w:ascii="宋体" w:hAnsi="宋体"/>
          <w:szCs w:val="21"/>
        </w:rPr>
        <w:t>3.</w:t>
      </w:r>
      <w:r>
        <w:rPr>
          <w:rFonts w:ascii="宋体" w:hAnsi="宋体"/>
          <w:szCs w:val="21"/>
        </w:rPr>
        <w:t>中标人的投标文件自开标之日起至合同履行完毕止均应保持有效。</w:t>
      </w:r>
      <w:bookmarkEnd w:id="175"/>
      <w:bookmarkEnd w:id="176"/>
      <w:bookmarkEnd w:id="177"/>
      <w:bookmarkEnd w:id="178"/>
      <w:bookmarkEnd w:id="179"/>
      <w:bookmarkEnd w:id="180"/>
    </w:p>
    <w:bookmarkEnd w:id="163"/>
    <w:bookmarkEnd w:id="164"/>
    <w:p>
      <w:pPr>
        <w:snapToGrid w:val="0"/>
        <w:spacing w:line="360" w:lineRule="auto"/>
        <w:jc w:val="left"/>
        <w:outlineLvl w:val="0"/>
        <w:rPr>
          <w:rFonts w:ascii="宋体" w:hAnsi="宋体"/>
          <w:b/>
          <w:szCs w:val="21"/>
        </w:rPr>
      </w:pPr>
      <w:bookmarkStart w:id="181" w:name="_Toc3943"/>
      <w:r>
        <w:rPr>
          <w:rFonts w:hint="eastAsia" w:ascii="宋体" w:hAnsi="宋体"/>
          <w:b/>
          <w:szCs w:val="21"/>
        </w:rPr>
        <w:t>（五） 投标文件的签署和份数</w:t>
      </w:r>
      <w:bookmarkEnd w:id="165"/>
      <w:bookmarkEnd w:id="166"/>
      <w:bookmarkEnd w:id="167"/>
      <w:bookmarkEnd w:id="168"/>
      <w:bookmarkEnd w:id="169"/>
      <w:bookmarkEnd w:id="170"/>
      <w:bookmarkEnd w:id="171"/>
      <w:bookmarkEnd w:id="172"/>
      <w:bookmarkEnd w:id="173"/>
      <w:bookmarkEnd w:id="174"/>
      <w:bookmarkEnd w:id="181"/>
    </w:p>
    <w:p>
      <w:pPr>
        <w:spacing w:line="360" w:lineRule="auto"/>
        <w:ind w:firstLine="210" w:firstLineChars="100"/>
        <w:rPr>
          <w:rFonts w:ascii="宋体" w:hAnsi="宋体"/>
          <w:szCs w:val="21"/>
        </w:rPr>
      </w:pPr>
      <w:bookmarkStart w:id="182" w:name="_Toc404289911"/>
      <w:bookmarkStart w:id="183" w:name="_Toc477785327"/>
      <w:bookmarkStart w:id="184" w:name="_Toc404290003"/>
      <w:bookmarkStart w:id="185" w:name="_Toc488072284"/>
      <w:r>
        <w:rPr>
          <w:rFonts w:hint="eastAsia" w:ascii="宋体" w:hAnsi="宋体"/>
          <w:szCs w:val="21"/>
        </w:rPr>
        <w:t xml:space="preserve">  投标文件的形式：☑电子投标文件（包括“电子加密投标文件”和“备份投标文件”，在投标文件编制完成后同时生成）；</w:t>
      </w:r>
    </w:p>
    <w:p>
      <w:pPr>
        <w:spacing w:line="360" w:lineRule="auto"/>
        <w:ind w:firstLine="210" w:firstLineChars="100"/>
        <w:rPr>
          <w:rFonts w:ascii="宋体" w:hAnsi="宋体"/>
          <w:szCs w:val="21"/>
        </w:rPr>
      </w:pPr>
      <w:r>
        <w:rPr>
          <w:rFonts w:hint="eastAsia" w:ascii="宋体" w:hAnsi="宋体"/>
          <w:szCs w:val="21"/>
        </w:rPr>
        <w:t xml:space="preserve">  （1）“电子加密投标文件”是指通过“政采云电子交易客户端”完成投标文件编制后生成并加密的数据电文形式的投标文件。</w:t>
      </w:r>
    </w:p>
    <w:p>
      <w:pPr>
        <w:spacing w:line="360" w:lineRule="auto"/>
        <w:ind w:firstLine="210" w:firstLineChars="100"/>
        <w:rPr>
          <w:rFonts w:ascii="宋体" w:hAnsi="宋体"/>
          <w:szCs w:val="21"/>
        </w:rPr>
      </w:pPr>
      <w:r>
        <w:rPr>
          <w:rFonts w:hint="eastAsia" w:ascii="宋体" w:hAnsi="宋体"/>
          <w:szCs w:val="21"/>
        </w:rPr>
        <w:t xml:space="preserve">  （2）“备份投标文件”是指与“电子加密投标文件”同时生成的数据电文形式的电子文件（备份标书），其他方式编制的备份投标文件视为无效备份投标文件。</w:t>
      </w:r>
    </w:p>
    <w:p>
      <w:pPr>
        <w:spacing w:line="360" w:lineRule="auto"/>
        <w:jc w:val="left"/>
        <w:outlineLvl w:val="0"/>
        <w:rPr>
          <w:rFonts w:ascii="宋体" w:hAnsi="宋体"/>
          <w:b/>
          <w:szCs w:val="21"/>
        </w:rPr>
      </w:pPr>
      <w:bookmarkStart w:id="186" w:name="_Toc7496"/>
      <w:r>
        <w:rPr>
          <w:rFonts w:hint="eastAsia" w:ascii="宋体" w:hAnsi="宋体"/>
          <w:b/>
          <w:szCs w:val="21"/>
        </w:rPr>
        <w:t>（六）投标文件的上传和递交</w:t>
      </w:r>
      <w:bookmarkEnd w:id="186"/>
    </w:p>
    <w:p>
      <w:pPr>
        <w:spacing w:line="360" w:lineRule="auto"/>
        <w:ind w:firstLine="210" w:firstLineChars="100"/>
        <w:rPr>
          <w:rFonts w:ascii="宋体" w:hAnsi="宋体"/>
          <w:szCs w:val="21"/>
        </w:rPr>
      </w:pPr>
      <w:bookmarkStart w:id="187" w:name="_Toc509308066"/>
      <w:bookmarkStart w:id="188" w:name="_Toc509308146"/>
      <w:r>
        <w:rPr>
          <w:rFonts w:hint="eastAsia" w:ascii="宋体" w:hAnsi="宋体"/>
          <w:szCs w:val="21"/>
        </w:rPr>
        <w:t>1）“电子加密投标文件”的上传、递交：</w:t>
      </w:r>
    </w:p>
    <w:p>
      <w:pPr>
        <w:spacing w:line="360" w:lineRule="auto"/>
        <w:ind w:firstLine="210" w:firstLineChars="100"/>
        <w:rPr>
          <w:rFonts w:ascii="宋体" w:hAnsi="宋体"/>
          <w:szCs w:val="21"/>
        </w:rPr>
      </w:pPr>
      <w:r>
        <w:rPr>
          <w:rFonts w:hint="eastAsia" w:ascii="宋体" w:hAnsi="宋体"/>
          <w:szCs w:val="21"/>
        </w:rPr>
        <w:t>a.投标供应商应在投标截止时间前将“电子加密投标文件”成功上传递交至“政府采购云平台”，否则投标无效。</w:t>
      </w:r>
    </w:p>
    <w:p>
      <w:pPr>
        <w:spacing w:line="360" w:lineRule="auto"/>
        <w:ind w:firstLine="210" w:firstLineChars="100"/>
        <w:rPr>
          <w:rFonts w:ascii="宋体" w:hAnsi="宋体"/>
          <w:szCs w:val="21"/>
        </w:rPr>
      </w:pPr>
      <w:r>
        <w:rPr>
          <w:rFonts w:hint="eastAsia" w:ascii="宋体" w:hAnsi="宋体"/>
          <w:szCs w:val="21"/>
        </w:rPr>
        <w:t>b.“电子加密投标文件”成功上传递交后，供应商可自行打印投标文件接收回执。</w:t>
      </w:r>
    </w:p>
    <w:p>
      <w:pPr>
        <w:spacing w:line="360" w:lineRule="auto"/>
        <w:ind w:firstLine="210" w:firstLineChars="100"/>
        <w:rPr>
          <w:rFonts w:ascii="宋体" w:hAnsi="宋体"/>
          <w:szCs w:val="21"/>
        </w:rPr>
      </w:pPr>
      <w:r>
        <w:rPr>
          <w:rFonts w:hint="eastAsia" w:ascii="宋体" w:hAnsi="宋体"/>
          <w:szCs w:val="21"/>
        </w:rPr>
        <w:t>（2）“备份投标文件”的密封包装、递交：</w:t>
      </w:r>
    </w:p>
    <w:p>
      <w:pPr>
        <w:spacing w:line="360" w:lineRule="auto"/>
        <w:ind w:firstLine="210" w:firstLineChars="100"/>
        <w:rPr>
          <w:rFonts w:ascii="宋体" w:hAnsi="宋体"/>
          <w:szCs w:val="21"/>
        </w:rPr>
      </w:pPr>
      <w:r>
        <w:rPr>
          <w:rFonts w:hint="eastAsia" w:ascii="宋体" w:hAnsi="宋体"/>
          <w:szCs w:val="21"/>
        </w:rPr>
        <w:t>a.投标供应商在“政府采购云平台”完成“电子加密投标文件”的上传递交后，还可以（邮寄形式）在投标截止时间前递交以介质（U盘）存储的 “备份投标文件”（一份）；</w:t>
      </w:r>
    </w:p>
    <w:p>
      <w:pPr>
        <w:spacing w:line="360" w:lineRule="auto"/>
        <w:ind w:firstLine="210" w:firstLineChars="100"/>
        <w:rPr>
          <w:rFonts w:ascii="宋体" w:hAnsi="宋体"/>
          <w:szCs w:val="21"/>
        </w:rPr>
      </w:pPr>
      <w:r>
        <w:rPr>
          <w:rFonts w:hint="eastAsia" w:ascii="宋体" w:hAnsi="宋体"/>
          <w:szCs w:val="21"/>
        </w:rPr>
        <w:t>b.“备份投标文件”应当密封包装，并在包装上标注投标项目名称、投标单位名称并加盖公章。没有密封包装或者逾期邮寄送达至邮寄接收地点的“备份投标文件”将不予接收；</w:t>
      </w:r>
    </w:p>
    <w:p>
      <w:pPr>
        <w:spacing w:line="360" w:lineRule="auto"/>
        <w:ind w:firstLine="210" w:firstLineChars="100"/>
        <w:rPr>
          <w:rFonts w:ascii="宋体" w:hAnsi="宋体"/>
          <w:szCs w:val="21"/>
        </w:rPr>
      </w:pPr>
      <w:r>
        <w:rPr>
          <w:rFonts w:hint="eastAsia" w:ascii="宋体" w:hAnsi="宋体"/>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360" w:lineRule="auto"/>
        <w:jc w:val="left"/>
        <w:outlineLvl w:val="0"/>
        <w:rPr>
          <w:rFonts w:ascii="宋体" w:hAnsi="宋体"/>
          <w:b/>
          <w:szCs w:val="21"/>
        </w:rPr>
      </w:pPr>
      <w:bookmarkStart w:id="189" w:name="_Toc28297"/>
      <w:r>
        <w:rPr>
          <w:rFonts w:hint="eastAsia" w:ascii="宋体" w:hAnsi="宋体"/>
          <w:b/>
          <w:szCs w:val="21"/>
        </w:rPr>
        <w:t>（七）投标无效的情形</w:t>
      </w:r>
      <w:bookmarkEnd w:id="182"/>
      <w:bookmarkEnd w:id="183"/>
      <w:bookmarkEnd w:id="184"/>
      <w:bookmarkEnd w:id="185"/>
      <w:bookmarkEnd w:id="187"/>
      <w:bookmarkEnd w:id="188"/>
      <w:bookmarkEnd w:id="189"/>
    </w:p>
    <w:p>
      <w:pPr>
        <w:spacing w:line="360" w:lineRule="auto"/>
        <w:ind w:firstLine="420" w:firstLineChars="200"/>
        <w:rPr>
          <w:rFonts w:ascii="宋体" w:hAnsi="宋体"/>
          <w:bCs/>
          <w:szCs w:val="21"/>
        </w:rPr>
      </w:pPr>
      <w:bookmarkStart w:id="190" w:name="_Toc488072286"/>
      <w:r>
        <w:rPr>
          <w:rFonts w:hint="eastAsia" w:ascii="宋体" w:hAnsi="宋体"/>
          <w:bCs/>
          <w:szCs w:val="21"/>
        </w:rPr>
        <w:t>根据《政府采购货物和服务招标投标管理办法》有下列情形之一的，视为投标人串通投标：</w:t>
      </w:r>
    </w:p>
    <w:p>
      <w:pPr>
        <w:spacing w:line="360" w:lineRule="auto"/>
        <w:ind w:firstLine="420" w:firstLineChars="200"/>
        <w:rPr>
          <w:rFonts w:ascii="宋体" w:hAnsi="宋体"/>
          <w:szCs w:val="21"/>
        </w:rPr>
      </w:pPr>
      <w:r>
        <w:rPr>
          <w:rFonts w:hint="eastAsia" w:ascii="宋体" w:hAnsi="宋体"/>
          <w:szCs w:val="21"/>
        </w:rPr>
        <w:t>（1）不同投标人的投标文件由同一单位或者个人编制；</w:t>
      </w:r>
    </w:p>
    <w:p>
      <w:pPr>
        <w:spacing w:line="360" w:lineRule="auto"/>
        <w:ind w:firstLine="420" w:firstLineChars="200"/>
        <w:rPr>
          <w:rFonts w:ascii="宋体" w:hAnsi="宋体"/>
          <w:szCs w:val="21"/>
        </w:rPr>
      </w:pPr>
      <w:r>
        <w:rPr>
          <w:rFonts w:hint="eastAsia" w:ascii="宋体" w:hAnsi="宋体"/>
          <w:szCs w:val="21"/>
        </w:rPr>
        <w:t>（2）不同投标人委托同一单位或者个人办理投标事宜；</w:t>
      </w:r>
    </w:p>
    <w:p>
      <w:pPr>
        <w:spacing w:line="360" w:lineRule="auto"/>
        <w:ind w:firstLine="420" w:firstLineChars="200"/>
        <w:rPr>
          <w:rFonts w:ascii="宋体" w:hAnsi="宋体"/>
          <w:szCs w:val="21"/>
        </w:rPr>
      </w:pPr>
      <w:r>
        <w:rPr>
          <w:rFonts w:hint="eastAsia" w:ascii="宋体" w:hAnsi="宋体"/>
          <w:szCs w:val="21"/>
        </w:rPr>
        <w:t>（3）不同投标人的投标文件载明的项目管理成员或者联系人员为同一人；</w:t>
      </w:r>
    </w:p>
    <w:p>
      <w:pPr>
        <w:spacing w:line="360" w:lineRule="auto"/>
        <w:ind w:firstLine="420" w:firstLineChars="200"/>
        <w:rPr>
          <w:rFonts w:ascii="宋体" w:hAnsi="宋体"/>
          <w:szCs w:val="21"/>
        </w:rPr>
      </w:pPr>
      <w:r>
        <w:rPr>
          <w:rFonts w:hint="eastAsia" w:ascii="宋体" w:hAnsi="宋体"/>
          <w:szCs w:val="21"/>
        </w:rPr>
        <w:t>（4）不同投标人的投标文件异常一致或者投标报价呈规律性差异；</w:t>
      </w:r>
    </w:p>
    <w:p>
      <w:pPr>
        <w:spacing w:line="360" w:lineRule="auto"/>
        <w:ind w:firstLine="420" w:firstLineChars="200"/>
        <w:rPr>
          <w:rFonts w:ascii="宋体" w:hAnsi="宋体"/>
          <w:szCs w:val="21"/>
        </w:rPr>
      </w:pPr>
      <w:r>
        <w:rPr>
          <w:rFonts w:hint="eastAsia" w:ascii="宋体" w:hAnsi="宋体"/>
          <w:szCs w:val="21"/>
        </w:rPr>
        <w:t>（5）不同投标人的投标文件相互混装；</w:t>
      </w:r>
    </w:p>
    <w:p>
      <w:pPr>
        <w:spacing w:line="360" w:lineRule="auto"/>
        <w:ind w:firstLine="422" w:firstLineChars="200"/>
        <w:rPr>
          <w:rFonts w:ascii="宋体" w:hAnsi="宋体"/>
          <w:b/>
          <w:szCs w:val="21"/>
        </w:rPr>
      </w:pPr>
      <w:r>
        <w:rPr>
          <w:rFonts w:hint="eastAsia" w:ascii="宋体" w:hAnsi="宋体"/>
          <w:b/>
          <w:bCs/>
          <w:szCs w:val="21"/>
        </w:rPr>
        <w:t>1.</w:t>
      </w:r>
      <w:r>
        <w:rPr>
          <w:rFonts w:hint="eastAsia" w:ascii="宋体" w:hAnsi="宋体"/>
          <w:b/>
          <w:szCs w:val="21"/>
        </w:rPr>
        <w:t>采购单位按照投标人提供的资格文件按以下原则对投标人的资格符合性进行审查，</w:t>
      </w:r>
      <w:r>
        <w:rPr>
          <w:rFonts w:ascii="宋体" w:hAnsi="宋体"/>
          <w:b/>
          <w:bCs/>
          <w:szCs w:val="21"/>
        </w:rPr>
        <w:t>如发现下列情形之一的，投标文件将被视为无效：</w:t>
      </w:r>
    </w:p>
    <w:p>
      <w:pPr>
        <w:spacing w:line="360" w:lineRule="auto"/>
        <w:ind w:firstLine="420" w:firstLineChars="200"/>
        <w:rPr>
          <w:rFonts w:ascii="宋体" w:hAnsi="宋体"/>
          <w:szCs w:val="21"/>
        </w:rPr>
      </w:pPr>
      <w:r>
        <w:rPr>
          <w:rFonts w:hint="eastAsia" w:ascii="宋体" w:hAnsi="宋体"/>
          <w:szCs w:val="21"/>
        </w:rPr>
        <w:t>1.1资格文件缺少规定份数或缺少招标文件中资格文件第1.2条至第1.9条所列内容之一的；</w:t>
      </w:r>
    </w:p>
    <w:p>
      <w:pPr>
        <w:spacing w:line="360" w:lineRule="auto"/>
        <w:ind w:firstLine="420" w:firstLineChars="200"/>
        <w:rPr>
          <w:rFonts w:ascii="宋体" w:hAnsi="宋体"/>
          <w:szCs w:val="21"/>
        </w:rPr>
      </w:pPr>
      <w:r>
        <w:rPr>
          <w:rFonts w:hint="eastAsia" w:ascii="宋体" w:hAnsi="宋体"/>
          <w:szCs w:val="21"/>
        </w:rPr>
        <w:t>1.2投标人提供的有关资料或原件被确认是不真实的；</w:t>
      </w:r>
    </w:p>
    <w:p>
      <w:pPr>
        <w:spacing w:line="360" w:lineRule="auto"/>
        <w:ind w:firstLine="420" w:firstLineChars="200"/>
        <w:rPr>
          <w:rFonts w:ascii="宋体" w:hAnsi="宋体"/>
          <w:szCs w:val="21"/>
        </w:rPr>
      </w:pPr>
      <w:r>
        <w:rPr>
          <w:rFonts w:hint="eastAsia" w:ascii="宋体" w:hAnsi="宋体"/>
          <w:szCs w:val="21"/>
        </w:rPr>
        <w:t>1.3投标人的资格文件有串通投标情形之一的；</w:t>
      </w:r>
    </w:p>
    <w:p>
      <w:pPr>
        <w:spacing w:line="360" w:lineRule="auto"/>
        <w:ind w:firstLine="420" w:firstLineChars="200"/>
        <w:rPr>
          <w:rFonts w:ascii="宋体" w:hAnsi="宋体"/>
          <w:szCs w:val="21"/>
        </w:rPr>
      </w:pPr>
      <w:r>
        <w:rPr>
          <w:rFonts w:hint="eastAsia" w:ascii="宋体" w:hAnsi="宋体"/>
          <w:szCs w:val="21"/>
        </w:rPr>
        <w:t>1.4资格文件未按招标文件规定要求进行签字或盖章的；</w:t>
      </w:r>
    </w:p>
    <w:p>
      <w:pPr>
        <w:spacing w:line="360" w:lineRule="auto"/>
        <w:ind w:firstLine="420" w:firstLineChars="200"/>
        <w:rPr>
          <w:rFonts w:ascii="宋体" w:hAnsi="宋体"/>
          <w:szCs w:val="21"/>
        </w:rPr>
      </w:pPr>
      <w:r>
        <w:rPr>
          <w:rFonts w:hint="eastAsia" w:ascii="宋体" w:hAnsi="宋体"/>
          <w:szCs w:val="21"/>
        </w:rPr>
        <w:t>1.5电子投标文件解密失败的，且未在规定时间内提交备份投标文件的；</w:t>
      </w:r>
    </w:p>
    <w:p>
      <w:pPr>
        <w:spacing w:line="360" w:lineRule="auto"/>
        <w:ind w:firstLine="420" w:firstLineChars="200"/>
        <w:rPr>
          <w:rFonts w:ascii="宋体" w:hAnsi="宋体"/>
          <w:szCs w:val="21"/>
        </w:rPr>
      </w:pPr>
      <w:r>
        <w:rPr>
          <w:rFonts w:hint="eastAsia" w:ascii="宋体" w:hAnsi="宋体"/>
          <w:szCs w:val="21"/>
        </w:rPr>
        <w:t>1.6投标人有违法、违规行为影响本次采购公平、公正的；</w:t>
      </w:r>
    </w:p>
    <w:p>
      <w:pPr>
        <w:spacing w:line="360" w:lineRule="auto"/>
        <w:ind w:firstLine="420" w:firstLineChars="200"/>
        <w:rPr>
          <w:rFonts w:ascii="宋体" w:hAnsi="宋体"/>
          <w:szCs w:val="21"/>
        </w:rPr>
      </w:pPr>
      <w:r>
        <w:rPr>
          <w:rFonts w:hint="eastAsia" w:ascii="宋体" w:hAnsi="宋体"/>
          <w:szCs w:val="21"/>
        </w:rPr>
        <w:t>1.7按照“信用中国”网站（www.creditchina.gov.cn）、中国政府采购网（www.ccgp.gov.cn）两个网站信用信息记录查询，投标人有列入失信被执行人、重大税收违法案件当事人名单、政府采购严重违法失信行为记录名单情况的。</w:t>
      </w:r>
    </w:p>
    <w:p>
      <w:pPr>
        <w:spacing w:line="360" w:lineRule="auto"/>
        <w:ind w:firstLine="422" w:firstLineChars="200"/>
        <w:rPr>
          <w:rFonts w:ascii="宋体" w:hAnsi="宋体"/>
          <w:b/>
          <w:bCs/>
          <w:szCs w:val="21"/>
        </w:rPr>
      </w:pPr>
      <w:r>
        <w:rPr>
          <w:rFonts w:hint="eastAsia" w:ascii="宋体" w:hAnsi="宋体"/>
          <w:b/>
          <w:bCs/>
          <w:szCs w:val="21"/>
        </w:rPr>
        <w:t>2.</w:t>
      </w:r>
      <w:r>
        <w:rPr>
          <w:rFonts w:ascii="宋体" w:hAnsi="宋体"/>
          <w:b/>
          <w:bCs/>
          <w:szCs w:val="21"/>
        </w:rPr>
        <w:t>在符合性审查和商务评审时，如发现下列情形之一的，投标文件将被视为无效：</w:t>
      </w:r>
    </w:p>
    <w:p>
      <w:pPr>
        <w:spacing w:line="360" w:lineRule="auto"/>
        <w:ind w:firstLine="420" w:firstLineChars="200"/>
        <w:rPr>
          <w:rFonts w:ascii="宋体" w:hAnsi="宋体"/>
          <w:szCs w:val="21"/>
        </w:rPr>
      </w:pPr>
      <w:r>
        <w:rPr>
          <w:rFonts w:hint="eastAsia" w:ascii="宋体" w:hAnsi="宋体"/>
          <w:szCs w:val="21"/>
        </w:rPr>
        <w:t>2.1在技术商务文件中出现报价的；</w:t>
      </w:r>
    </w:p>
    <w:p>
      <w:pPr>
        <w:spacing w:line="360" w:lineRule="auto"/>
        <w:ind w:firstLine="420" w:firstLineChars="200"/>
        <w:rPr>
          <w:rFonts w:ascii="宋体" w:hAnsi="宋体"/>
          <w:szCs w:val="21"/>
        </w:rPr>
      </w:pPr>
      <w:r>
        <w:rPr>
          <w:rFonts w:hint="eastAsia" w:ascii="宋体" w:hAnsi="宋体"/>
          <w:szCs w:val="21"/>
        </w:rPr>
        <w:t>2.2投标人未对标项内的所有内容进行投标的；</w:t>
      </w:r>
    </w:p>
    <w:p>
      <w:pPr>
        <w:spacing w:line="360" w:lineRule="auto"/>
        <w:ind w:firstLine="420" w:firstLineChars="200"/>
        <w:rPr>
          <w:rFonts w:ascii="宋体" w:hAnsi="宋体"/>
          <w:szCs w:val="21"/>
        </w:rPr>
      </w:pPr>
      <w:r>
        <w:rPr>
          <w:rFonts w:hint="eastAsia" w:ascii="宋体" w:hAnsi="宋体"/>
          <w:szCs w:val="21"/>
        </w:rPr>
        <w:t>2.3技术商务文件缺少规定份数的；</w:t>
      </w:r>
    </w:p>
    <w:p>
      <w:pPr>
        <w:spacing w:line="360" w:lineRule="auto"/>
        <w:ind w:firstLine="420" w:firstLineChars="200"/>
        <w:rPr>
          <w:rFonts w:ascii="宋体" w:hAnsi="宋体"/>
          <w:szCs w:val="21"/>
        </w:rPr>
      </w:pPr>
      <w:r>
        <w:rPr>
          <w:rFonts w:hint="eastAsia" w:ascii="宋体" w:hAnsi="宋体"/>
          <w:szCs w:val="21"/>
        </w:rPr>
        <w:t>2.4技术商务文件缺少《投标人基本情况表》的；</w:t>
      </w:r>
    </w:p>
    <w:p>
      <w:pPr>
        <w:spacing w:line="360" w:lineRule="auto"/>
        <w:ind w:firstLine="420" w:firstLineChars="200"/>
        <w:rPr>
          <w:rFonts w:ascii="宋体" w:hAnsi="宋体"/>
          <w:szCs w:val="21"/>
        </w:rPr>
      </w:pPr>
      <w:r>
        <w:rPr>
          <w:rFonts w:hint="eastAsia" w:ascii="宋体" w:hAnsi="宋体"/>
          <w:szCs w:val="21"/>
        </w:rPr>
        <w:t>2.5投标人提供的有关资料被确认是不真实的</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2.6投标人的技术商务文件有串通投标情形之一的；</w:t>
      </w:r>
    </w:p>
    <w:p>
      <w:pPr>
        <w:spacing w:line="360" w:lineRule="auto"/>
        <w:ind w:firstLine="420" w:firstLineChars="200"/>
        <w:rPr>
          <w:rFonts w:ascii="宋体" w:hAnsi="宋体"/>
          <w:szCs w:val="21"/>
        </w:rPr>
      </w:pPr>
      <w:r>
        <w:rPr>
          <w:rFonts w:hint="eastAsia" w:ascii="宋体" w:hAnsi="宋体"/>
          <w:szCs w:val="21"/>
        </w:rPr>
        <w:t>2.7技术商务文件未按招标文件规定要求进行签字或盖章的；</w:t>
      </w:r>
    </w:p>
    <w:p>
      <w:pPr>
        <w:spacing w:line="360" w:lineRule="auto"/>
        <w:ind w:firstLine="420" w:firstLineChars="200"/>
        <w:rPr>
          <w:rFonts w:ascii="宋体" w:hAnsi="宋体"/>
          <w:szCs w:val="21"/>
        </w:rPr>
      </w:pPr>
      <w:r>
        <w:rPr>
          <w:rFonts w:hint="eastAsia" w:ascii="宋体" w:hAnsi="宋体"/>
          <w:szCs w:val="21"/>
        </w:rPr>
        <w:t>2.8投标人未按招标文件更正公告编制投标文件的；</w:t>
      </w:r>
    </w:p>
    <w:p>
      <w:pPr>
        <w:spacing w:line="360" w:lineRule="auto"/>
        <w:ind w:firstLine="420" w:firstLineChars="200"/>
        <w:rPr>
          <w:rFonts w:ascii="宋体" w:hAnsi="宋体"/>
          <w:szCs w:val="21"/>
        </w:rPr>
      </w:pPr>
      <w:r>
        <w:rPr>
          <w:rFonts w:hint="eastAsia" w:ascii="宋体" w:hAnsi="宋体"/>
          <w:szCs w:val="21"/>
        </w:rPr>
        <w:t>2.9经评标委员会审核，投标人所投内容不符合实质性采购要求的。</w:t>
      </w:r>
    </w:p>
    <w:p>
      <w:pPr>
        <w:spacing w:line="360" w:lineRule="auto"/>
        <w:ind w:firstLine="422" w:firstLineChars="200"/>
        <w:rPr>
          <w:rFonts w:ascii="宋体" w:hAnsi="宋体"/>
          <w:b/>
          <w:bCs/>
          <w:szCs w:val="21"/>
        </w:rPr>
      </w:pPr>
      <w:r>
        <w:rPr>
          <w:rFonts w:hint="eastAsia" w:ascii="宋体" w:hAnsi="宋体"/>
          <w:b/>
          <w:bCs/>
          <w:szCs w:val="21"/>
        </w:rPr>
        <w:t>3.</w:t>
      </w:r>
      <w:r>
        <w:rPr>
          <w:rFonts w:ascii="宋体" w:hAnsi="宋体"/>
          <w:b/>
          <w:bCs/>
          <w:szCs w:val="21"/>
        </w:rPr>
        <w:t>在技术评审时，如发现下列情形之一的，投标文件将被视为无效：</w:t>
      </w:r>
    </w:p>
    <w:p>
      <w:pPr>
        <w:spacing w:line="360" w:lineRule="auto"/>
        <w:ind w:firstLine="420" w:firstLineChars="200"/>
        <w:rPr>
          <w:rFonts w:ascii="宋体" w:hAnsi="宋体"/>
          <w:szCs w:val="21"/>
        </w:rPr>
      </w:pPr>
      <w:r>
        <w:rPr>
          <w:rFonts w:hint="eastAsia" w:ascii="宋体" w:hAnsi="宋体"/>
          <w:szCs w:val="21"/>
        </w:rPr>
        <w:t>3.1</w:t>
      </w:r>
      <w:r>
        <w:rPr>
          <w:rFonts w:ascii="宋体" w:hAnsi="宋体"/>
          <w:szCs w:val="21"/>
        </w:rPr>
        <w:t>未提供或未如实提供投标货物的技术参数，或者投标文件标明的响应或偏离与事实不符或虚假投标的；</w:t>
      </w:r>
    </w:p>
    <w:p>
      <w:pPr>
        <w:spacing w:line="360" w:lineRule="auto"/>
        <w:ind w:firstLine="420" w:firstLineChars="200"/>
        <w:rPr>
          <w:rFonts w:ascii="宋体" w:hAnsi="宋体"/>
          <w:szCs w:val="21"/>
        </w:rPr>
      </w:pPr>
      <w:r>
        <w:rPr>
          <w:rFonts w:hint="eastAsia" w:ascii="宋体" w:hAnsi="宋体"/>
          <w:szCs w:val="21"/>
        </w:rPr>
        <w:t>3.2经评标委员会审核，投标人所投内容不符合实质性采购要求的；</w:t>
      </w:r>
    </w:p>
    <w:p>
      <w:pPr>
        <w:spacing w:line="360" w:lineRule="auto"/>
        <w:ind w:firstLine="420" w:firstLineChars="200"/>
        <w:rPr>
          <w:rFonts w:ascii="宋体" w:hAnsi="宋体"/>
          <w:szCs w:val="21"/>
        </w:rPr>
      </w:pPr>
      <w:r>
        <w:rPr>
          <w:rFonts w:hint="eastAsia" w:ascii="宋体" w:hAnsi="宋体"/>
          <w:szCs w:val="21"/>
        </w:rPr>
        <w:t>3.3投标人的技术商务文件有串通投标情形之一的；</w:t>
      </w:r>
    </w:p>
    <w:p>
      <w:pPr>
        <w:spacing w:line="360" w:lineRule="auto"/>
        <w:ind w:firstLine="420" w:firstLineChars="200"/>
        <w:rPr>
          <w:rFonts w:ascii="宋体" w:hAnsi="宋体"/>
          <w:szCs w:val="21"/>
        </w:rPr>
      </w:pPr>
      <w:r>
        <w:rPr>
          <w:rFonts w:hint="eastAsia" w:ascii="宋体" w:hAnsi="宋体"/>
          <w:szCs w:val="21"/>
        </w:rPr>
        <w:t>3.4</w:t>
      </w:r>
      <w:r>
        <w:rPr>
          <w:rFonts w:ascii="宋体" w:hAnsi="宋体"/>
          <w:szCs w:val="21"/>
        </w:rPr>
        <w:t>投标技术方案不明确，存在一个或一个以上备选（替代）投标方案的</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3.5投标人的资格要求不符合招标文件及更正补充公告的要求。</w:t>
      </w:r>
    </w:p>
    <w:p>
      <w:pPr>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在报价评审时，如发现下列情形之一的，投标文件将被视为无效：</w:t>
      </w:r>
    </w:p>
    <w:p>
      <w:pPr>
        <w:spacing w:line="360" w:lineRule="auto"/>
        <w:ind w:firstLine="420" w:firstLineChars="200"/>
        <w:rPr>
          <w:rFonts w:ascii="宋体" w:hAnsi="宋体"/>
          <w:szCs w:val="21"/>
        </w:rPr>
      </w:pPr>
      <w:r>
        <w:rPr>
          <w:rFonts w:hint="eastAsia" w:ascii="宋体" w:hAnsi="宋体"/>
          <w:szCs w:val="21"/>
        </w:rPr>
        <w:t>4.1</w:t>
      </w:r>
      <w:r>
        <w:rPr>
          <w:rFonts w:ascii="宋体" w:hAnsi="宋体"/>
          <w:szCs w:val="21"/>
        </w:rPr>
        <w:t>未采用人民币报价或者未按照招标文件标明的币种报价的；</w:t>
      </w:r>
    </w:p>
    <w:p>
      <w:pPr>
        <w:spacing w:line="360" w:lineRule="auto"/>
        <w:ind w:firstLine="420" w:firstLineChars="200"/>
        <w:rPr>
          <w:rFonts w:ascii="宋体" w:hAnsi="宋体"/>
          <w:szCs w:val="21"/>
        </w:rPr>
      </w:pPr>
      <w:r>
        <w:rPr>
          <w:rFonts w:hint="eastAsia" w:ascii="宋体" w:hAnsi="宋体"/>
          <w:szCs w:val="21"/>
        </w:rPr>
        <w:t>4.2投标人的报价文件有串通投标情形之一的；</w:t>
      </w:r>
    </w:p>
    <w:p>
      <w:pPr>
        <w:spacing w:line="360" w:lineRule="auto"/>
        <w:ind w:firstLine="420" w:firstLineChars="200"/>
        <w:rPr>
          <w:rFonts w:ascii="宋体" w:hAnsi="宋体"/>
          <w:szCs w:val="21"/>
        </w:rPr>
      </w:pPr>
      <w:r>
        <w:rPr>
          <w:rFonts w:hint="eastAsia" w:ascii="宋体" w:hAnsi="宋体"/>
          <w:szCs w:val="21"/>
        </w:rPr>
        <w:t>4.3报价文件缺少《报价一览表》</w:t>
      </w:r>
      <w:r>
        <w:rPr>
          <w:rFonts w:hint="eastAsia" w:ascii="宋体" w:hAnsi="宋体"/>
          <w:szCs w:val="21"/>
          <w:lang w:eastAsia="zh-CN"/>
        </w:rPr>
        <w:t>、《</w:t>
      </w:r>
      <w:r>
        <w:rPr>
          <w:rFonts w:hint="eastAsia" w:ascii="宋体" w:hAnsi="宋体"/>
          <w:szCs w:val="21"/>
          <w:lang w:val="en-US" w:eastAsia="zh-CN"/>
        </w:rPr>
        <w:t>报价明细表</w:t>
      </w:r>
      <w:r>
        <w:rPr>
          <w:rFonts w:hint="eastAsia" w:ascii="宋体" w:hAnsi="宋体"/>
          <w:szCs w:val="21"/>
          <w:lang w:eastAsia="zh-CN"/>
        </w:rPr>
        <w:t>》</w:t>
      </w:r>
      <w:r>
        <w:rPr>
          <w:rFonts w:hint="eastAsia" w:ascii="宋体" w:hAnsi="宋体"/>
          <w:szCs w:val="21"/>
        </w:rPr>
        <w:t>的；</w:t>
      </w:r>
    </w:p>
    <w:p>
      <w:pPr>
        <w:spacing w:line="360" w:lineRule="auto"/>
        <w:ind w:firstLine="420" w:firstLineChars="200"/>
        <w:rPr>
          <w:rFonts w:ascii="宋体" w:hAnsi="宋体"/>
          <w:szCs w:val="21"/>
        </w:rPr>
      </w:pPr>
      <w:r>
        <w:rPr>
          <w:rFonts w:hint="eastAsia" w:ascii="宋体" w:hAnsi="宋体"/>
          <w:szCs w:val="21"/>
        </w:rPr>
        <w:t>4.4《报价一览表》</w:t>
      </w:r>
      <w:r>
        <w:rPr>
          <w:rFonts w:hint="eastAsia" w:ascii="宋体" w:hAnsi="宋体"/>
          <w:szCs w:val="21"/>
          <w:lang w:eastAsia="zh-CN"/>
        </w:rPr>
        <w:t>、《</w:t>
      </w:r>
      <w:r>
        <w:rPr>
          <w:rFonts w:hint="eastAsia" w:ascii="宋体" w:hAnsi="宋体"/>
          <w:szCs w:val="21"/>
          <w:lang w:val="en-US" w:eastAsia="zh-CN"/>
        </w:rPr>
        <w:t>报价明细表</w:t>
      </w:r>
      <w:r>
        <w:rPr>
          <w:rFonts w:hint="eastAsia" w:ascii="宋体" w:hAnsi="宋体"/>
          <w:szCs w:val="21"/>
          <w:lang w:eastAsia="zh-CN"/>
        </w:rPr>
        <w:t>》</w:t>
      </w:r>
      <w:r>
        <w:rPr>
          <w:rFonts w:hint="eastAsia" w:ascii="宋体" w:hAnsi="宋体"/>
          <w:szCs w:val="21"/>
        </w:rPr>
        <w:t>填写不完整的；</w:t>
      </w:r>
    </w:p>
    <w:p>
      <w:pPr>
        <w:spacing w:line="360" w:lineRule="auto"/>
        <w:ind w:firstLine="420" w:firstLineChars="200"/>
        <w:rPr>
          <w:rFonts w:ascii="宋体" w:hAnsi="宋体"/>
          <w:szCs w:val="21"/>
        </w:rPr>
      </w:pPr>
      <w:r>
        <w:rPr>
          <w:rFonts w:hint="eastAsia" w:ascii="宋体" w:hAnsi="宋体"/>
          <w:szCs w:val="21"/>
        </w:rPr>
        <w:t>4.5报价文件未按招标文件规定要求进行签字或盖章的；</w:t>
      </w:r>
    </w:p>
    <w:p>
      <w:pPr>
        <w:spacing w:line="360" w:lineRule="auto"/>
        <w:ind w:firstLine="420" w:firstLineChars="200"/>
        <w:rPr>
          <w:rFonts w:ascii="宋体" w:hAnsi="宋体"/>
          <w:szCs w:val="21"/>
        </w:rPr>
      </w:pPr>
      <w:r>
        <w:rPr>
          <w:rFonts w:hint="eastAsia" w:ascii="宋体" w:hAnsi="宋体"/>
          <w:szCs w:val="21"/>
        </w:rPr>
        <w:t>4.6投标报价（单价或总价）明显高于市场价或低于成本价，且不能提供证明材料说明原因的；</w:t>
      </w:r>
    </w:p>
    <w:p>
      <w:pPr>
        <w:spacing w:line="360" w:lineRule="auto"/>
        <w:ind w:firstLine="420" w:firstLineChars="200"/>
        <w:rPr>
          <w:rFonts w:ascii="宋体" w:hAnsi="宋体"/>
          <w:szCs w:val="21"/>
        </w:rPr>
      </w:pPr>
      <w:r>
        <w:rPr>
          <w:rFonts w:hint="eastAsia" w:ascii="宋体" w:hAnsi="宋体"/>
          <w:szCs w:val="21"/>
        </w:rPr>
        <w:t>4.7投标人报价（单价或总价）超过预算金额或</w:t>
      </w:r>
      <w:r>
        <w:rPr>
          <w:rFonts w:ascii="宋体" w:hAnsi="宋体"/>
          <w:szCs w:val="21"/>
        </w:rPr>
        <w:t>最高限价</w:t>
      </w:r>
      <w:r>
        <w:rPr>
          <w:rFonts w:hint="eastAsia" w:ascii="宋体" w:hAnsi="宋体"/>
          <w:szCs w:val="21"/>
        </w:rPr>
        <w:t>的；</w:t>
      </w:r>
    </w:p>
    <w:p>
      <w:pPr>
        <w:spacing w:line="360" w:lineRule="auto"/>
        <w:ind w:firstLine="420" w:firstLineChars="200"/>
        <w:rPr>
          <w:rFonts w:ascii="宋体" w:hAnsi="宋体"/>
          <w:szCs w:val="21"/>
        </w:rPr>
      </w:pPr>
      <w:r>
        <w:rPr>
          <w:rFonts w:hint="eastAsia" w:ascii="宋体" w:hAnsi="宋体"/>
          <w:szCs w:val="21"/>
        </w:rPr>
        <w:t>4.8经评标委员会审核，投标人所投内容不符合实质性采购要求的；</w:t>
      </w:r>
    </w:p>
    <w:p>
      <w:pPr>
        <w:spacing w:line="360" w:lineRule="auto"/>
        <w:ind w:firstLine="420" w:firstLineChars="200"/>
        <w:rPr>
          <w:rFonts w:ascii="宋体" w:hAnsi="宋体"/>
          <w:szCs w:val="21"/>
        </w:rPr>
      </w:pPr>
      <w:r>
        <w:rPr>
          <w:rFonts w:hint="eastAsia" w:ascii="宋体" w:hAnsi="宋体"/>
          <w:szCs w:val="21"/>
        </w:rPr>
        <w:t>4.9投标人拒绝按招标文件</w:t>
      </w:r>
      <w:r>
        <w:rPr>
          <w:rFonts w:ascii="宋体" w:hAnsi="宋体"/>
          <w:szCs w:val="21"/>
        </w:rPr>
        <w:t>错误</w:t>
      </w:r>
      <w:r>
        <w:rPr>
          <w:rFonts w:hint="eastAsia" w:ascii="宋体" w:hAnsi="宋体"/>
          <w:szCs w:val="21"/>
        </w:rPr>
        <w:t xml:space="preserve">修正原则对投标文件进行修改的。                                                                                              </w:t>
      </w:r>
    </w:p>
    <w:p>
      <w:pPr>
        <w:spacing w:line="360" w:lineRule="auto"/>
        <w:ind w:firstLine="422" w:firstLineChars="200"/>
        <w:rPr>
          <w:rFonts w:ascii="宋体" w:hAnsi="宋体"/>
          <w:b/>
          <w:szCs w:val="21"/>
        </w:rPr>
      </w:pPr>
      <w:r>
        <w:rPr>
          <w:rFonts w:hint="eastAsia" w:ascii="宋体" w:hAnsi="宋体"/>
          <w:b/>
          <w:szCs w:val="21"/>
        </w:rPr>
        <w:t>5.</w:t>
      </w:r>
      <w:r>
        <w:rPr>
          <w:rFonts w:ascii="宋体" w:hAnsi="宋体"/>
          <w:b/>
          <w:szCs w:val="21"/>
        </w:rPr>
        <w:t>被拒绝的投标文件为无效。</w:t>
      </w:r>
    </w:p>
    <w:p>
      <w:pPr>
        <w:pStyle w:val="15"/>
        <w:adjustRightInd w:val="0"/>
        <w:snapToGrid w:val="0"/>
        <w:spacing w:line="360" w:lineRule="auto"/>
        <w:ind w:firstLine="0"/>
        <w:jc w:val="center"/>
        <w:outlineLvl w:val="1"/>
        <w:rPr>
          <w:rFonts w:hAnsi="宋体"/>
          <w:b/>
          <w:snapToGrid w:val="0"/>
          <w:sz w:val="21"/>
          <w:szCs w:val="21"/>
        </w:rPr>
      </w:pPr>
      <w:bookmarkStart w:id="191" w:name="_Toc509308067"/>
      <w:bookmarkStart w:id="192" w:name="_Toc3338"/>
      <w:bookmarkStart w:id="193" w:name="_Toc509308147"/>
      <w:r>
        <w:rPr>
          <w:rFonts w:hint="eastAsia" w:hAnsi="宋体"/>
          <w:b/>
          <w:sz w:val="21"/>
          <w:szCs w:val="21"/>
        </w:rPr>
        <w:t>四、开标</w:t>
      </w:r>
      <w:bookmarkEnd w:id="190"/>
      <w:bookmarkEnd w:id="191"/>
      <w:bookmarkEnd w:id="192"/>
      <w:bookmarkEnd w:id="193"/>
    </w:p>
    <w:p>
      <w:pPr>
        <w:pStyle w:val="19"/>
        <w:spacing w:before="120" w:after="120" w:line="360" w:lineRule="auto"/>
        <w:ind w:left="632" w:hanging="632" w:hangingChars="300"/>
        <w:rPr>
          <w:rFonts w:hAnsi="宋体"/>
          <w:b/>
          <w:sz w:val="21"/>
          <w:szCs w:val="21"/>
        </w:rPr>
      </w:pPr>
      <w:r>
        <w:rPr>
          <w:rFonts w:hint="eastAsia" w:hAnsi="宋体"/>
          <w:b/>
          <w:sz w:val="21"/>
          <w:szCs w:val="21"/>
        </w:rPr>
        <w:t>1.开标准备</w:t>
      </w:r>
    </w:p>
    <w:p>
      <w:pPr>
        <w:spacing w:line="360" w:lineRule="auto"/>
        <w:rPr>
          <w:rFonts w:ascii="宋体" w:hAnsi="宋体"/>
          <w:bCs/>
          <w:szCs w:val="21"/>
        </w:rPr>
      </w:pPr>
      <w:r>
        <w:rPr>
          <w:rFonts w:hint="eastAsia" w:ascii="宋体" w:hAnsi="宋体"/>
          <w:szCs w:val="21"/>
        </w:rPr>
        <w:t>招标人将在规定的时间和地点进行开标，</w:t>
      </w:r>
      <w:r>
        <w:rPr>
          <w:rFonts w:hint="eastAsia" w:ascii="宋体" w:hAnsi="宋体"/>
          <w:b/>
          <w:szCs w:val="21"/>
          <w:u w:val="single"/>
        </w:rPr>
        <w:t>投标人的法定代表人或其授权代表须准备好可上网的电脑及CA（无须到现场）</w:t>
      </w:r>
      <w:r>
        <w:rPr>
          <w:rFonts w:hint="eastAsia" w:ascii="宋体" w:hAnsi="宋体"/>
          <w:szCs w:val="21"/>
        </w:rPr>
        <w:t>。</w:t>
      </w:r>
    </w:p>
    <w:p>
      <w:pPr>
        <w:pStyle w:val="19"/>
        <w:spacing w:before="120" w:after="120" w:line="360" w:lineRule="auto"/>
        <w:ind w:left="632" w:hanging="632" w:hangingChars="300"/>
        <w:rPr>
          <w:rFonts w:hAnsi="宋体"/>
          <w:b/>
          <w:sz w:val="21"/>
          <w:szCs w:val="21"/>
        </w:rPr>
      </w:pPr>
      <w:r>
        <w:rPr>
          <w:rFonts w:hint="eastAsia" w:hAnsi="宋体"/>
          <w:b/>
          <w:sz w:val="21"/>
          <w:szCs w:val="21"/>
        </w:rPr>
        <w:t>2.采购单位职责</w:t>
      </w:r>
    </w:p>
    <w:p>
      <w:pPr>
        <w:spacing w:line="360" w:lineRule="auto"/>
        <w:rPr>
          <w:rFonts w:ascii="宋体" w:hAnsi="宋体"/>
          <w:bCs/>
          <w:szCs w:val="21"/>
        </w:rPr>
      </w:pPr>
      <w:r>
        <w:rPr>
          <w:rFonts w:hint="eastAsia" w:ascii="宋体" w:hAnsi="宋体"/>
          <w:szCs w:val="21"/>
        </w:rPr>
        <w:t>采购单位</w:t>
      </w:r>
      <w:r>
        <w:rPr>
          <w:rFonts w:hint="eastAsia" w:ascii="宋体" w:hAnsi="宋体"/>
          <w:bCs/>
          <w:szCs w:val="21"/>
        </w:rPr>
        <w:t>负责组织评标工作，并履行下列职责：</w:t>
      </w:r>
    </w:p>
    <w:p>
      <w:pPr>
        <w:spacing w:line="360" w:lineRule="auto"/>
        <w:rPr>
          <w:rFonts w:ascii="宋体" w:hAnsi="宋体"/>
          <w:szCs w:val="21"/>
        </w:rPr>
      </w:pPr>
      <w:r>
        <w:rPr>
          <w:rFonts w:hint="eastAsia" w:ascii="宋体" w:hAnsi="宋体"/>
          <w:szCs w:val="21"/>
        </w:rPr>
        <w:t>1．核对评审专家身份和采购人代表授权函，对评审专家在政府采购活动中的职责履行情况予以记录，并及时将有关违法违规行为向财政部门报告；</w:t>
      </w:r>
    </w:p>
    <w:p>
      <w:pPr>
        <w:spacing w:line="360" w:lineRule="auto"/>
        <w:rPr>
          <w:rFonts w:ascii="宋体" w:hAnsi="宋体"/>
          <w:szCs w:val="21"/>
        </w:rPr>
      </w:pPr>
      <w:r>
        <w:rPr>
          <w:rFonts w:hint="eastAsia" w:ascii="宋体" w:hAnsi="宋体"/>
          <w:szCs w:val="21"/>
        </w:rPr>
        <w:t>2．宣布评标纪律;</w:t>
      </w:r>
    </w:p>
    <w:p>
      <w:pPr>
        <w:spacing w:line="360" w:lineRule="auto"/>
        <w:rPr>
          <w:rFonts w:ascii="宋体" w:hAnsi="宋体"/>
          <w:szCs w:val="21"/>
        </w:rPr>
      </w:pPr>
      <w:r>
        <w:rPr>
          <w:rFonts w:hint="eastAsia" w:ascii="宋体" w:hAnsi="宋体"/>
          <w:szCs w:val="21"/>
        </w:rPr>
        <w:t>3．公布投标人名单，告知评审专家应当回避的情形；</w:t>
      </w:r>
    </w:p>
    <w:p>
      <w:pPr>
        <w:spacing w:line="360" w:lineRule="auto"/>
        <w:rPr>
          <w:rFonts w:ascii="宋体" w:hAnsi="宋体"/>
          <w:szCs w:val="21"/>
        </w:rPr>
      </w:pPr>
      <w:r>
        <w:rPr>
          <w:rFonts w:hint="eastAsia" w:ascii="宋体" w:hAnsi="宋体"/>
          <w:szCs w:val="21"/>
        </w:rPr>
        <w:t>4．组织评标委员会推选评标组长，采购人代表不得担任组长；</w:t>
      </w:r>
    </w:p>
    <w:p>
      <w:pPr>
        <w:spacing w:line="360" w:lineRule="auto"/>
        <w:rPr>
          <w:rFonts w:ascii="宋体" w:hAnsi="宋体"/>
          <w:szCs w:val="21"/>
        </w:rPr>
      </w:pPr>
      <w:r>
        <w:rPr>
          <w:rFonts w:hint="eastAsia" w:ascii="宋体" w:hAnsi="宋体"/>
          <w:szCs w:val="21"/>
        </w:rPr>
        <w:t>5．在评标期间采取必要的通讯管理措施，保证评标活动不受外界干扰；</w:t>
      </w:r>
    </w:p>
    <w:p>
      <w:pPr>
        <w:spacing w:line="360" w:lineRule="auto"/>
        <w:rPr>
          <w:rFonts w:ascii="宋体" w:hAnsi="宋体"/>
          <w:szCs w:val="21"/>
        </w:rPr>
      </w:pPr>
      <w:r>
        <w:rPr>
          <w:rFonts w:hint="eastAsia" w:ascii="宋体" w:hAnsi="宋体"/>
          <w:szCs w:val="21"/>
        </w:rPr>
        <w:t>6．根据评标委员会的要求介绍政府采购相关政策法规、招标文件；</w:t>
      </w:r>
    </w:p>
    <w:p>
      <w:pPr>
        <w:spacing w:line="360" w:lineRule="auto"/>
        <w:rPr>
          <w:rFonts w:ascii="宋体" w:hAnsi="宋体"/>
          <w:szCs w:val="21"/>
        </w:rPr>
      </w:pPr>
      <w:r>
        <w:rPr>
          <w:rFonts w:hint="eastAsia" w:ascii="宋体" w:hAnsi="宋体"/>
          <w:szCs w:val="21"/>
        </w:rPr>
        <w:t>7．维护评标秩序，监督评标委员会依照招标文件规定的评标程序、方法和标准进行独立评审，及时制止和纠正采购人代表、评审专家的倾向性言论或者违法违规行为；</w:t>
      </w:r>
    </w:p>
    <w:p>
      <w:pPr>
        <w:spacing w:line="360" w:lineRule="auto"/>
        <w:rPr>
          <w:rFonts w:ascii="宋体" w:hAnsi="宋体"/>
          <w:szCs w:val="21"/>
        </w:rPr>
      </w:pPr>
      <w:r>
        <w:rPr>
          <w:rFonts w:hint="eastAsia" w:ascii="宋体" w:hAnsi="宋体"/>
          <w:szCs w:val="21"/>
        </w:rPr>
        <w:t>8．核对评标结果，有《财政部令第87号》第六十四条规定情形的，要求评标委员会复核或者书面说明理由，评标委员会拒绝的，应予记录并向本级财政部门报告；</w:t>
      </w:r>
    </w:p>
    <w:p>
      <w:pPr>
        <w:spacing w:line="360" w:lineRule="auto"/>
        <w:rPr>
          <w:rFonts w:ascii="宋体" w:hAnsi="宋体"/>
          <w:szCs w:val="21"/>
        </w:rPr>
      </w:pPr>
      <w:r>
        <w:rPr>
          <w:rFonts w:hint="eastAsia" w:ascii="宋体" w:hAnsi="宋体"/>
          <w:szCs w:val="21"/>
        </w:rPr>
        <w:t>9．评审工作完成后，按照规定向评审专家支付劳务报酬和异地评审差旅费，不得向评审专家以外的其他人员支付评审劳务报酬；</w:t>
      </w:r>
    </w:p>
    <w:p>
      <w:pPr>
        <w:spacing w:line="360" w:lineRule="auto"/>
        <w:rPr>
          <w:rFonts w:ascii="宋体" w:hAnsi="宋体"/>
          <w:szCs w:val="21"/>
        </w:rPr>
      </w:pPr>
      <w:r>
        <w:rPr>
          <w:rFonts w:hint="eastAsia" w:ascii="宋体" w:hAnsi="宋体"/>
          <w:szCs w:val="21"/>
        </w:rPr>
        <w:t>10．处理与评标有关的其他事项。</w:t>
      </w:r>
    </w:p>
    <w:p>
      <w:pPr>
        <w:pStyle w:val="19"/>
        <w:spacing w:before="120" w:after="120" w:line="360" w:lineRule="auto"/>
        <w:rPr>
          <w:rFonts w:hAnsi="宋体"/>
          <w:b/>
          <w:sz w:val="21"/>
          <w:szCs w:val="21"/>
        </w:rPr>
      </w:pPr>
      <w:r>
        <w:rPr>
          <w:rFonts w:hint="eastAsia" w:hAnsi="宋体"/>
          <w:b/>
          <w:sz w:val="21"/>
          <w:szCs w:val="21"/>
        </w:rPr>
        <w:t>3 开标及评审程序</w:t>
      </w:r>
    </w:p>
    <w:p>
      <w:pPr>
        <w:pStyle w:val="19"/>
        <w:spacing w:before="120" w:after="120" w:line="360" w:lineRule="auto"/>
        <w:rPr>
          <w:rFonts w:hAnsi="宋体"/>
          <w:b/>
          <w:sz w:val="21"/>
          <w:szCs w:val="21"/>
        </w:rPr>
      </w:pPr>
      <w:r>
        <w:rPr>
          <w:rFonts w:hint="eastAsia" w:hAnsi="宋体"/>
          <w:b/>
          <w:sz w:val="21"/>
          <w:szCs w:val="21"/>
        </w:rPr>
        <w:t>1.投标文件的开启与效力</w:t>
      </w:r>
    </w:p>
    <w:p>
      <w:pPr>
        <w:pStyle w:val="19"/>
        <w:spacing w:before="120" w:after="120" w:line="360" w:lineRule="auto"/>
        <w:rPr>
          <w:rFonts w:hAnsi="宋体"/>
          <w:sz w:val="21"/>
          <w:szCs w:val="21"/>
        </w:rPr>
      </w:pPr>
      <w:r>
        <w:rPr>
          <w:rFonts w:hint="eastAsia" w:hAnsi="宋体"/>
          <w:sz w:val="21"/>
          <w:szCs w:val="21"/>
        </w:rPr>
        <w:t>本项目原则上采用政采云电子招投标开标及评审程序，但有下情形之一的，按以下情况处理：</w:t>
      </w:r>
    </w:p>
    <w:p>
      <w:pPr>
        <w:pStyle w:val="19"/>
        <w:spacing w:before="120" w:after="120" w:line="360" w:lineRule="auto"/>
        <w:rPr>
          <w:rFonts w:hAnsi="宋体"/>
          <w:sz w:val="21"/>
          <w:szCs w:val="21"/>
        </w:rPr>
      </w:pPr>
      <w:r>
        <w:rPr>
          <w:rFonts w:hint="eastAsia" w:hAnsi="宋体"/>
          <w:sz w:val="21"/>
          <w:szCs w:val="21"/>
        </w:rPr>
        <w:t>1.1若投标人在规定时间内无法解密或解密失败，将开启投标人递交的电子备份投标文件，上传至政采云平台项目采购模块，以完成开标，电子投标文件自动失效。</w:t>
      </w:r>
    </w:p>
    <w:p>
      <w:pPr>
        <w:pStyle w:val="19"/>
        <w:spacing w:before="120" w:after="120" w:line="360" w:lineRule="auto"/>
        <w:rPr>
          <w:rFonts w:hAnsi="宋体"/>
          <w:sz w:val="21"/>
          <w:szCs w:val="21"/>
        </w:rPr>
      </w:pPr>
      <w:r>
        <w:rPr>
          <w:rFonts w:hint="eastAsia" w:hAnsi="宋体"/>
          <w:sz w:val="21"/>
          <w:szCs w:val="21"/>
        </w:rPr>
        <w:t>1.2投标文件的启用，按先后顺位分别为电子投标文件、电子备份投标文件。在下一顺位的投标文件启用时，前一顺位的投标文件自动失效。电子投标文件按要求解密成功的，备份投标文件不予退回。</w:t>
      </w:r>
    </w:p>
    <w:p>
      <w:pPr>
        <w:pStyle w:val="19"/>
        <w:spacing w:before="120" w:after="120" w:line="360" w:lineRule="auto"/>
        <w:rPr>
          <w:rFonts w:hAnsi="宋体"/>
          <w:sz w:val="21"/>
          <w:szCs w:val="21"/>
        </w:rPr>
      </w:pPr>
      <w:r>
        <w:rPr>
          <w:rFonts w:hint="eastAsia" w:hAnsi="宋体"/>
          <w:sz w:val="21"/>
          <w:szCs w:val="21"/>
        </w:rPr>
        <w:t>2.电子招投标开标及评审程序</w:t>
      </w:r>
    </w:p>
    <w:p>
      <w:pPr>
        <w:pStyle w:val="19"/>
        <w:spacing w:before="120" w:after="120" w:line="360" w:lineRule="auto"/>
        <w:rPr>
          <w:rFonts w:hAnsi="宋体"/>
          <w:b/>
          <w:sz w:val="21"/>
          <w:szCs w:val="21"/>
        </w:rPr>
      </w:pPr>
      <w:r>
        <w:rPr>
          <w:rFonts w:hint="eastAsia" w:hAnsi="宋体"/>
          <w:b/>
          <w:sz w:val="21"/>
          <w:szCs w:val="21"/>
        </w:rPr>
        <w:t>2.1投标截止时间后，投标人登录政采云平台，用“项目采购-开标评标”功能对电子投标文件进行在线解密。在线解密电子投标文件时间为开标时间起30分钟内。</w:t>
      </w:r>
    </w:p>
    <w:p>
      <w:pPr>
        <w:pStyle w:val="19"/>
        <w:spacing w:before="120" w:after="120" w:line="360" w:lineRule="auto"/>
        <w:rPr>
          <w:rFonts w:hAnsi="宋体"/>
          <w:sz w:val="21"/>
          <w:szCs w:val="21"/>
        </w:rPr>
      </w:pPr>
      <w:r>
        <w:rPr>
          <w:rFonts w:hint="eastAsia" w:hAnsi="宋体"/>
          <w:sz w:val="21"/>
          <w:szCs w:val="21"/>
        </w:rPr>
        <w:t>2.2采购人对资格文件进行评审；</w:t>
      </w:r>
    </w:p>
    <w:p>
      <w:pPr>
        <w:pStyle w:val="19"/>
        <w:spacing w:before="120" w:after="120" w:line="360" w:lineRule="auto"/>
        <w:rPr>
          <w:rFonts w:hAnsi="宋体"/>
          <w:sz w:val="21"/>
          <w:szCs w:val="21"/>
        </w:rPr>
      </w:pPr>
      <w:r>
        <w:rPr>
          <w:rFonts w:hint="eastAsia" w:hAnsi="宋体"/>
          <w:sz w:val="21"/>
          <w:szCs w:val="21"/>
        </w:rPr>
        <w:t>2.3评标委员会对技术商务文件进行评审；</w:t>
      </w:r>
    </w:p>
    <w:p>
      <w:pPr>
        <w:pStyle w:val="19"/>
        <w:spacing w:before="120" w:after="120" w:line="360" w:lineRule="auto"/>
        <w:rPr>
          <w:rFonts w:hAnsi="宋体"/>
          <w:sz w:val="21"/>
          <w:szCs w:val="21"/>
        </w:rPr>
      </w:pPr>
      <w:r>
        <w:rPr>
          <w:rFonts w:hint="eastAsia" w:hAnsi="宋体"/>
          <w:sz w:val="21"/>
          <w:szCs w:val="21"/>
        </w:rPr>
        <w:t>2.4在系统上统一开启报价信息；</w:t>
      </w:r>
    </w:p>
    <w:p>
      <w:pPr>
        <w:pStyle w:val="19"/>
        <w:spacing w:before="120" w:after="120" w:line="360" w:lineRule="auto"/>
        <w:rPr>
          <w:rFonts w:hAnsi="宋体"/>
          <w:sz w:val="21"/>
          <w:szCs w:val="21"/>
        </w:rPr>
      </w:pPr>
      <w:r>
        <w:rPr>
          <w:rFonts w:hint="eastAsia" w:hAnsi="宋体"/>
          <w:sz w:val="21"/>
          <w:szCs w:val="21"/>
        </w:rPr>
        <w:t>2.5评标委员会对报价进行评审；</w:t>
      </w:r>
    </w:p>
    <w:p>
      <w:pPr>
        <w:pStyle w:val="19"/>
        <w:spacing w:before="120" w:after="120" w:line="360" w:lineRule="auto"/>
        <w:rPr>
          <w:rFonts w:hAnsi="宋体"/>
          <w:sz w:val="21"/>
          <w:szCs w:val="21"/>
        </w:rPr>
      </w:pPr>
      <w:r>
        <w:rPr>
          <w:rFonts w:hint="eastAsia" w:hAnsi="宋体"/>
          <w:sz w:val="21"/>
          <w:szCs w:val="21"/>
        </w:rPr>
        <w:t>2.6评标委员会按评标原则推荐中标候选人同时起草评标报告。</w:t>
      </w:r>
    </w:p>
    <w:p>
      <w:pPr>
        <w:pStyle w:val="19"/>
        <w:spacing w:before="120" w:after="120" w:line="360" w:lineRule="auto"/>
        <w:rPr>
          <w:rFonts w:hAnsi="宋体"/>
          <w:b/>
          <w:sz w:val="21"/>
          <w:szCs w:val="21"/>
        </w:rPr>
      </w:pPr>
      <w:r>
        <w:rPr>
          <w:rFonts w:hint="eastAsia" w:hAnsi="宋体"/>
          <w:b/>
          <w:sz w:val="21"/>
          <w:szCs w:val="21"/>
        </w:rPr>
        <w:t>特别说明：政采云平台如对电子化开标及评审程序有调整的，按调整后的程序操作。</w:t>
      </w:r>
    </w:p>
    <w:p>
      <w:pPr>
        <w:pStyle w:val="19"/>
        <w:spacing w:before="120" w:after="120" w:line="360" w:lineRule="auto"/>
        <w:rPr>
          <w:rFonts w:hAnsi="宋体"/>
          <w:sz w:val="21"/>
          <w:szCs w:val="21"/>
        </w:rPr>
      </w:pPr>
    </w:p>
    <w:p>
      <w:pPr>
        <w:pStyle w:val="19"/>
        <w:spacing w:before="120" w:after="120" w:line="360" w:lineRule="auto"/>
        <w:ind w:left="632" w:hanging="632" w:hangingChars="300"/>
        <w:jc w:val="center"/>
        <w:outlineLvl w:val="1"/>
        <w:rPr>
          <w:rFonts w:hAnsi="宋体"/>
          <w:b/>
          <w:sz w:val="21"/>
          <w:szCs w:val="21"/>
        </w:rPr>
      </w:pPr>
      <w:bookmarkStart w:id="194" w:name="_Toc12777"/>
      <w:bookmarkStart w:id="195" w:name="_Toc509308148"/>
      <w:bookmarkStart w:id="196" w:name="_Toc509308068"/>
      <w:bookmarkStart w:id="197" w:name="_Toc488072287"/>
      <w:r>
        <w:rPr>
          <w:rFonts w:hint="eastAsia" w:hAnsi="宋体"/>
          <w:b/>
          <w:sz w:val="21"/>
          <w:szCs w:val="21"/>
        </w:rPr>
        <w:t>五、评标</w:t>
      </w:r>
      <w:bookmarkEnd w:id="194"/>
      <w:bookmarkEnd w:id="195"/>
      <w:bookmarkEnd w:id="196"/>
      <w:bookmarkEnd w:id="197"/>
    </w:p>
    <w:p>
      <w:pPr>
        <w:pStyle w:val="19"/>
        <w:spacing w:before="120" w:after="120" w:line="360" w:lineRule="auto"/>
        <w:ind w:left="632" w:hanging="632" w:hangingChars="300"/>
        <w:rPr>
          <w:rFonts w:hAnsi="宋体"/>
          <w:b/>
          <w:sz w:val="21"/>
          <w:szCs w:val="21"/>
        </w:rPr>
      </w:pPr>
      <w:r>
        <w:rPr>
          <w:rFonts w:hint="eastAsia" w:hAnsi="宋体"/>
          <w:b/>
          <w:sz w:val="21"/>
          <w:szCs w:val="21"/>
        </w:rPr>
        <w:t>1  组建评标委员会</w:t>
      </w:r>
    </w:p>
    <w:p>
      <w:pPr>
        <w:pStyle w:val="19"/>
        <w:spacing w:before="120" w:after="120" w:line="360" w:lineRule="auto"/>
        <w:ind w:left="630" w:hanging="630" w:hangingChars="300"/>
        <w:rPr>
          <w:rFonts w:hAnsi="宋体"/>
          <w:sz w:val="21"/>
          <w:szCs w:val="21"/>
        </w:rPr>
      </w:pPr>
      <w:r>
        <w:rPr>
          <w:rFonts w:hint="eastAsia" w:hAnsi="宋体"/>
          <w:sz w:val="21"/>
          <w:szCs w:val="21"/>
        </w:rPr>
        <w:t>本项目评标委员会由政府采购评审专家4人和采购人代表1人，共5人组成。</w:t>
      </w:r>
    </w:p>
    <w:p>
      <w:pPr>
        <w:widowControl/>
        <w:shd w:val="clear" w:color="auto" w:fill="FFFFFF"/>
        <w:spacing w:line="360" w:lineRule="auto"/>
        <w:jc w:val="left"/>
        <w:rPr>
          <w:rFonts w:ascii="宋体" w:hAnsi="宋体"/>
          <w:szCs w:val="21"/>
        </w:rPr>
      </w:pPr>
      <w:r>
        <w:rPr>
          <w:rFonts w:hint="eastAsia" w:ascii="宋体" w:hAnsi="宋体"/>
          <w:szCs w:val="21"/>
        </w:rPr>
        <w:t>评标委员会负责具体评标事务，并独立履行下列职责：</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1.1审查、评价投标文件是否符合招标文件的商务、技术等实质性要求;</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1.2要求投标人对投标文件有关事项作出澄清或者说明;</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1.3对投标文件进行比较和评价;</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1.4确定中标候选人名单，以及根据采购人委托直接确定中标人;</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1.5向采购人、代理机构或者有关部门报告评标中发现的违法行为。</w:t>
      </w:r>
    </w:p>
    <w:p>
      <w:pPr>
        <w:widowControl/>
        <w:shd w:val="clear" w:color="auto" w:fill="FFFFFF"/>
        <w:spacing w:line="360" w:lineRule="auto"/>
        <w:ind w:firstLine="420" w:firstLineChars="200"/>
        <w:jc w:val="left"/>
        <w:rPr>
          <w:rFonts w:ascii="宋体" w:hAnsi="宋体"/>
          <w:szCs w:val="21"/>
        </w:rPr>
      </w:pPr>
      <w:r>
        <w:rPr>
          <w:rFonts w:hint="eastAsia" w:ascii="宋体" w:hAnsi="宋体"/>
          <w:szCs w:val="21"/>
        </w:rPr>
        <w:t>除采购人代表、评标现场组织人员外，采购人的其他工作人员以及与评标工作无关的人员不得进入评标现场。</w:t>
      </w:r>
    </w:p>
    <w:p>
      <w:pPr>
        <w:pStyle w:val="19"/>
        <w:spacing w:before="120" w:after="120" w:line="360" w:lineRule="auto"/>
        <w:ind w:left="632" w:hanging="632" w:hangingChars="300"/>
        <w:rPr>
          <w:rFonts w:hAnsi="宋体"/>
          <w:b/>
          <w:sz w:val="21"/>
          <w:szCs w:val="21"/>
        </w:rPr>
      </w:pPr>
      <w:r>
        <w:rPr>
          <w:rFonts w:hint="eastAsia" w:hAnsi="宋体"/>
          <w:b/>
          <w:sz w:val="21"/>
          <w:szCs w:val="21"/>
        </w:rPr>
        <w:t>2 评标的方式</w:t>
      </w:r>
    </w:p>
    <w:p>
      <w:pPr>
        <w:pStyle w:val="19"/>
        <w:spacing w:before="120" w:after="120" w:line="360" w:lineRule="auto"/>
        <w:ind w:left="630" w:hanging="630" w:hangingChars="300"/>
        <w:rPr>
          <w:rFonts w:hAnsi="宋体"/>
          <w:sz w:val="21"/>
          <w:szCs w:val="21"/>
        </w:rPr>
      </w:pPr>
      <w:r>
        <w:rPr>
          <w:rFonts w:hint="eastAsia" w:hAnsi="宋体"/>
          <w:sz w:val="21"/>
          <w:szCs w:val="21"/>
        </w:rPr>
        <w:t>2.1  本采购项目采用不公开方式评标，评标的依据为招标文件和投标文件。</w:t>
      </w:r>
    </w:p>
    <w:p>
      <w:pPr>
        <w:pStyle w:val="19"/>
        <w:spacing w:before="120" w:after="120" w:line="360" w:lineRule="auto"/>
        <w:ind w:left="632" w:hanging="632" w:hangingChars="300"/>
        <w:rPr>
          <w:rFonts w:hAnsi="宋体"/>
          <w:b/>
          <w:sz w:val="21"/>
          <w:szCs w:val="21"/>
        </w:rPr>
      </w:pPr>
      <w:r>
        <w:rPr>
          <w:rFonts w:hint="eastAsia" w:hAnsi="宋体"/>
          <w:b/>
          <w:sz w:val="21"/>
          <w:szCs w:val="21"/>
        </w:rPr>
        <w:t xml:space="preserve">3  </w:t>
      </w:r>
      <w:r>
        <w:rPr>
          <w:rFonts w:hint="eastAsia" w:hAnsi="宋体"/>
          <w:b/>
          <w:bCs/>
          <w:sz w:val="21"/>
          <w:szCs w:val="21"/>
        </w:rPr>
        <w:t>评标程序</w:t>
      </w:r>
    </w:p>
    <w:p>
      <w:pPr>
        <w:spacing w:line="360" w:lineRule="auto"/>
        <w:rPr>
          <w:rFonts w:ascii="宋体" w:hAnsi="宋体"/>
          <w:szCs w:val="21"/>
        </w:rPr>
      </w:pPr>
      <w:r>
        <w:rPr>
          <w:rFonts w:hint="eastAsia" w:ascii="宋体" w:hAnsi="宋体"/>
          <w:szCs w:val="21"/>
        </w:rPr>
        <w:t>3.1形式审查:评标委员会将审查投标文件是否真实、完整,总体编排是否有序,文件签署是否正确等。</w:t>
      </w:r>
    </w:p>
    <w:p>
      <w:pPr>
        <w:spacing w:line="360" w:lineRule="auto"/>
        <w:rPr>
          <w:rFonts w:ascii="宋体" w:hAnsi="宋体"/>
          <w:szCs w:val="21"/>
        </w:rPr>
      </w:pPr>
      <w:r>
        <w:rPr>
          <w:rFonts w:hint="eastAsia" w:ascii="宋体" w:hAnsi="宋体"/>
          <w:szCs w:val="21"/>
        </w:rPr>
        <w:t>3.2实质审查与比较。</w:t>
      </w:r>
    </w:p>
    <w:p>
      <w:pPr>
        <w:snapToGrid w:val="0"/>
        <w:spacing w:line="360" w:lineRule="auto"/>
        <w:ind w:firstLine="420" w:firstLineChars="200"/>
        <w:rPr>
          <w:rFonts w:ascii="宋体" w:hAnsi="宋体"/>
          <w:szCs w:val="21"/>
        </w:rPr>
      </w:pPr>
      <w:r>
        <w:rPr>
          <w:rFonts w:hint="eastAsia" w:ascii="宋体" w:hAnsi="宋体"/>
          <w:szCs w:val="21"/>
        </w:rPr>
        <w:t>3.2.1</w:t>
      </w:r>
      <w:r>
        <w:rPr>
          <w:rFonts w:ascii="宋体" w:hAnsi="宋体"/>
          <w:szCs w:val="21"/>
        </w:rPr>
        <w:t>评标委员会审查投标文件的实质性内容是否符合招标文件的实质性要求</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3.2.2</w:t>
      </w:r>
      <w:r>
        <w:rPr>
          <w:rFonts w:ascii="宋体" w:hAnsi="宋体"/>
          <w:szCs w:val="21"/>
        </w:rPr>
        <w:t>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rPr>
          <w:rFonts w:ascii="宋体" w:hAnsi="宋体"/>
          <w:szCs w:val="21"/>
        </w:rPr>
      </w:pPr>
      <w:r>
        <w:rPr>
          <w:rFonts w:ascii="宋体" w:hAnsi="宋体"/>
          <w:szCs w:val="21"/>
        </w:rPr>
        <w:t>询标</w:t>
      </w:r>
      <w:r>
        <w:rPr>
          <w:rFonts w:hint="eastAsia" w:ascii="宋体" w:hAnsi="宋体"/>
          <w:szCs w:val="21"/>
        </w:rPr>
        <w:t>时，投标人代表未到场或者拒绝澄清或者澄清的内容改变了投标文件的实质性内容的，评标委员会有权对该投标文件作出不利于投标人的评判。</w:t>
      </w:r>
    </w:p>
    <w:p>
      <w:pPr>
        <w:spacing w:line="360" w:lineRule="auto"/>
        <w:ind w:firstLine="420" w:firstLineChars="200"/>
        <w:rPr>
          <w:rFonts w:ascii="宋体" w:hAnsi="宋体"/>
          <w:szCs w:val="21"/>
        </w:rPr>
      </w:pPr>
      <w:r>
        <w:rPr>
          <w:rFonts w:hint="eastAsia" w:ascii="宋体" w:hAnsi="宋体"/>
          <w:szCs w:val="21"/>
        </w:rPr>
        <w:t>3.2.3</w:t>
      </w:r>
      <w:r>
        <w:rPr>
          <w:rFonts w:ascii="宋体" w:hAnsi="宋体"/>
          <w:szCs w:val="21"/>
        </w:rPr>
        <w:t>各投标人的</w:t>
      </w:r>
      <w:r>
        <w:rPr>
          <w:rFonts w:hint="eastAsia" w:ascii="宋体" w:hAnsi="宋体"/>
          <w:szCs w:val="21"/>
        </w:rPr>
        <w:t>技术分按照评标委员会成员的独立评分结果汇后的算术平均分计算</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3.2.4代理机构人员协助</w:t>
      </w:r>
      <w:r>
        <w:rPr>
          <w:rFonts w:ascii="宋体" w:hAnsi="宋体"/>
          <w:szCs w:val="21"/>
        </w:rPr>
        <w:t>评标委员会根据</w:t>
      </w:r>
      <w:r>
        <w:rPr>
          <w:rFonts w:hint="eastAsia" w:ascii="宋体" w:hAnsi="宋体"/>
          <w:szCs w:val="21"/>
        </w:rPr>
        <w:t>本项目的评分标准操作政府采购业务系统，</w:t>
      </w:r>
      <w:r>
        <w:rPr>
          <w:rFonts w:ascii="宋体" w:hAnsi="宋体"/>
          <w:szCs w:val="21"/>
        </w:rPr>
        <w:t>计算各投标人的商务报价得分</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3.2.5</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最终得分、性价比、评标价等</w:t>
      </w:r>
      <w:r>
        <w:rPr>
          <w:rFonts w:ascii="宋体" w:hAnsi="宋体"/>
          <w:szCs w:val="21"/>
        </w:rPr>
        <w:t>。评标委员会按评标原则推荐中标候选人同时起草评标报告。</w:t>
      </w:r>
    </w:p>
    <w:p>
      <w:pPr>
        <w:spacing w:line="360" w:lineRule="auto"/>
        <w:rPr>
          <w:rFonts w:ascii="宋体" w:hAnsi="宋体"/>
          <w:b/>
          <w:szCs w:val="21"/>
        </w:rPr>
      </w:pPr>
      <w:r>
        <w:rPr>
          <w:rFonts w:hint="eastAsia" w:ascii="宋体" w:hAnsi="宋体"/>
          <w:b/>
          <w:szCs w:val="21"/>
        </w:rPr>
        <w:t>4.澄清问题的形式</w:t>
      </w:r>
    </w:p>
    <w:p>
      <w:pPr>
        <w:spacing w:line="360" w:lineRule="auto"/>
        <w:ind w:firstLine="420" w:firstLineChars="200"/>
        <w:rPr>
          <w:rFonts w:ascii="宋体" w:hAnsi="宋体"/>
          <w:szCs w:val="21"/>
        </w:rPr>
      </w:pPr>
      <w:r>
        <w:rPr>
          <w:rFonts w:hint="eastAsia" w:ascii="宋体" w:hAnsi="宋体"/>
          <w:szCs w:val="21"/>
        </w:rPr>
        <w:t>对于投标文件中含义不明确、同类问题表述不一致或者有明显文字和计算错误的内容，评标委员会应当要求投标人作出必要的澄清、说明或者补正。</w:t>
      </w:r>
      <w:r>
        <w:rPr>
          <w:rFonts w:hint="eastAsia" w:ascii="宋体" w:hAnsi="宋体"/>
          <w:b/>
          <w:szCs w:val="21"/>
        </w:rPr>
        <w:t>评标现场采用通讯手段进行沟通，法定代表人或授权代表需在开评标当天保持通讯畅通，由于投标人通讯原因造成无法联系的、投标人代表拒绝澄清或澄清的内容改变了投标文件的实质性内容的，评标委员会有权作出不利于投标人的评审，后果由投标人自行承担</w:t>
      </w:r>
      <w:r>
        <w:rPr>
          <w:rFonts w:hint="eastAsia" w:ascii="宋体" w:hAnsi="宋体"/>
          <w:szCs w:val="21"/>
        </w:rPr>
        <w:t>。如需采用纸质澄清或错误修正的，投标人应在纸质文件上澄清或错误修正后加盖单位公章传真至0573-88028957或拍照（扫描）发送至邮箱1476830064@qq.com。</w:t>
      </w:r>
    </w:p>
    <w:p>
      <w:pPr>
        <w:pStyle w:val="19"/>
        <w:spacing w:before="120" w:after="120" w:line="360" w:lineRule="auto"/>
        <w:ind w:left="632" w:hanging="632" w:hangingChars="300"/>
        <w:rPr>
          <w:rFonts w:hAnsi="宋体"/>
          <w:b/>
          <w:sz w:val="21"/>
          <w:szCs w:val="21"/>
        </w:rPr>
      </w:pPr>
      <w:r>
        <w:rPr>
          <w:rFonts w:hint="eastAsia" w:hAnsi="宋体"/>
          <w:b/>
          <w:sz w:val="21"/>
          <w:szCs w:val="21"/>
        </w:rPr>
        <w:t>5. 错误修正</w:t>
      </w:r>
    </w:p>
    <w:p>
      <w:pPr>
        <w:pStyle w:val="19"/>
        <w:spacing w:before="120" w:after="120" w:line="240" w:lineRule="auto"/>
        <w:ind w:left="689" w:leftChars="228" w:hanging="210" w:hangingChars="100"/>
        <w:rPr>
          <w:rFonts w:hAnsi="宋体"/>
          <w:sz w:val="21"/>
          <w:szCs w:val="21"/>
        </w:rPr>
      </w:pPr>
      <w:r>
        <w:rPr>
          <w:rFonts w:hint="eastAsia" w:hAnsi="宋体"/>
          <w:sz w:val="21"/>
          <w:szCs w:val="21"/>
        </w:rPr>
        <w:t>投标文件如果出现计算或表达上的错误，修正错误的原则如下：</w:t>
      </w:r>
    </w:p>
    <w:p>
      <w:pPr>
        <w:ind w:firstLine="420" w:firstLineChars="200"/>
        <w:rPr>
          <w:rFonts w:ascii="宋体" w:hAnsi="宋体"/>
          <w:szCs w:val="21"/>
        </w:rPr>
      </w:pPr>
      <w:r>
        <w:rPr>
          <w:rFonts w:hint="eastAsia" w:ascii="宋体" w:hAnsi="宋体"/>
          <w:szCs w:val="21"/>
        </w:rPr>
        <w:t>5.1开标时，投标文件中开标报价一览表</w:t>
      </w:r>
      <w:r>
        <w:rPr>
          <w:rFonts w:ascii="宋体" w:hAnsi="宋体"/>
          <w:szCs w:val="21"/>
        </w:rPr>
        <w:t>内容与投标报价表中明细表内容不一致的，以</w:t>
      </w:r>
      <w:r>
        <w:rPr>
          <w:rFonts w:hint="eastAsia" w:ascii="宋体" w:hAnsi="宋体"/>
          <w:szCs w:val="21"/>
        </w:rPr>
        <w:t>开标报价一览表</w:t>
      </w:r>
      <w:r>
        <w:rPr>
          <w:rFonts w:ascii="宋体" w:hAnsi="宋体"/>
          <w:szCs w:val="21"/>
        </w:rPr>
        <w:t>为准。</w:t>
      </w:r>
    </w:p>
    <w:p>
      <w:pPr>
        <w:pStyle w:val="19"/>
        <w:spacing w:before="120" w:after="120" w:line="240" w:lineRule="auto"/>
        <w:ind w:firstLine="420" w:firstLineChars="200"/>
        <w:rPr>
          <w:rFonts w:hAnsi="宋体"/>
          <w:sz w:val="21"/>
          <w:szCs w:val="21"/>
        </w:rPr>
      </w:pPr>
      <w:r>
        <w:rPr>
          <w:rFonts w:hint="eastAsia" w:hAnsi="宋体"/>
          <w:sz w:val="21"/>
          <w:szCs w:val="21"/>
        </w:rPr>
        <w:t>5.2投标文件的大写金额和小写金额不一致的，以大写金额为准；</w:t>
      </w:r>
    </w:p>
    <w:p>
      <w:pPr>
        <w:pStyle w:val="19"/>
        <w:spacing w:before="120" w:after="120" w:line="240" w:lineRule="auto"/>
        <w:ind w:firstLine="420" w:firstLineChars="200"/>
        <w:rPr>
          <w:rFonts w:hAnsi="宋体"/>
          <w:sz w:val="21"/>
          <w:szCs w:val="21"/>
        </w:rPr>
      </w:pPr>
      <w:r>
        <w:rPr>
          <w:rFonts w:hint="eastAsia" w:hAnsi="宋体"/>
          <w:sz w:val="21"/>
          <w:szCs w:val="21"/>
        </w:rPr>
        <w:t>5.3总价金额与按单价汇总金额不一致的，以单价金额计算结果为准；</w:t>
      </w:r>
    </w:p>
    <w:p>
      <w:pPr>
        <w:pStyle w:val="19"/>
        <w:spacing w:before="120" w:after="120" w:line="240" w:lineRule="auto"/>
        <w:ind w:firstLine="420" w:firstLineChars="200"/>
        <w:rPr>
          <w:rFonts w:hAnsi="宋体"/>
          <w:sz w:val="21"/>
          <w:szCs w:val="21"/>
        </w:rPr>
      </w:pPr>
      <w:r>
        <w:rPr>
          <w:rFonts w:hint="eastAsia" w:hAnsi="宋体"/>
          <w:sz w:val="21"/>
          <w:szCs w:val="21"/>
        </w:rPr>
        <w:t>5.4对不同文字文本投标文件的解释发生异议的，以中文文本为准。</w:t>
      </w:r>
    </w:p>
    <w:p>
      <w:pPr>
        <w:pStyle w:val="19"/>
        <w:spacing w:before="120" w:after="120" w:line="240" w:lineRule="auto"/>
        <w:ind w:firstLine="420" w:firstLineChars="200"/>
        <w:rPr>
          <w:rFonts w:hAnsi="宋体"/>
          <w:sz w:val="21"/>
          <w:szCs w:val="21"/>
        </w:rPr>
      </w:pPr>
      <w:r>
        <w:rPr>
          <w:rFonts w:hint="eastAsia" w:hAnsi="宋体"/>
          <w:sz w:val="21"/>
          <w:szCs w:val="21"/>
        </w:rPr>
        <w:t>5.5投标人系统报价与电子投标文件报价不一致的，以电子投标文件报价为准。</w:t>
      </w:r>
    </w:p>
    <w:p>
      <w:pPr>
        <w:pStyle w:val="19"/>
        <w:spacing w:before="120" w:after="120" w:line="240" w:lineRule="auto"/>
        <w:ind w:firstLine="420" w:firstLineChars="200"/>
        <w:rPr>
          <w:rFonts w:hAnsi="宋体"/>
          <w:sz w:val="21"/>
          <w:szCs w:val="21"/>
        </w:rPr>
      </w:pPr>
      <w:r>
        <w:rPr>
          <w:rFonts w:hint="eastAsia" w:hAnsi="宋体"/>
          <w:sz w:val="21"/>
          <w:szCs w:val="21"/>
        </w:rPr>
        <w:t>按上述修正错误的原则及方法调整或修正投标文件的投标报价，投标人同意后，调整后的投标报价对投标人起约束作用。</w:t>
      </w:r>
    </w:p>
    <w:p>
      <w:pPr>
        <w:pStyle w:val="19"/>
        <w:spacing w:before="120" w:after="120" w:line="360" w:lineRule="auto"/>
        <w:rPr>
          <w:rFonts w:hAnsi="宋体"/>
          <w:b/>
          <w:sz w:val="21"/>
          <w:szCs w:val="21"/>
        </w:rPr>
      </w:pPr>
      <w:r>
        <w:rPr>
          <w:rFonts w:hint="eastAsia" w:hAnsi="宋体"/>
          <w:b/>
          <w:sz w:val="21"/>
          <w:szCs w:val="21"/>
        </w:rPr>
        <w:t>6. 评标过程的保密性</w:t>
      </w:r>
    </w:p>
    <w:p>
      <w:pPr>
        <w:pStyle w:val="19"/>
        <w:spacing w:before="120" w:after="120" w:line="360" w:lineRule="auto"/>
        <w:ind w:firstLine="420" w:firstLineChars="200"/>
        <w:rPr>
          <w:rFonts w:hAnsi="宋体"/>
          <w:sz w:val="21"/>
          <w:szCs w:val="21"/>
        </w:rPr>
      </w:pPr>
      <w:r>
        <w:rPr>
          <w:rFonts w:hint="eastAsia" w:hAnsi="宋体"/>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p>
    <w:p>
      <w:pPr>
        <w:pStyle w:val="19"/>
        <w:tabs>
          <w:tab w:val="left" w:pos="630"/>
        </w:tabs>
        <w:spacing w:before="120" w:after="120" w:line="360" w:lineRule="auto"/>
        <w:rPr>
          <w:rFonts w:hAnsi="宋体"/>
          <w:b/>
          <w:sz w:val="21"/>
          <w:szCs w:val="21"/>
        </w:rPr>
      </w:pPr>
      <w:r>
        <w:rPr>
          <w:rFonts w:hint="eastAsia" w:hAnsi="宋体"/>
          <w:b/>
          <w:sz w:val="21"/>
          <w:szCs w:val="21"/>
        </w:rPr>
        <w:t>7. 评标原则和评标办法</w:t>
      </w:r>
    </w:p>
    <w:p>
      <w:pPr>
        <w:pStyle w:val="19"/>
        <w:spacing w:before="120" w:after="120" w:line="360" w:lineRule="auto"/>
        <w:ind w:firstLine="420" w:firstLineChars="200"/>
        <w:rPr>
          <w:rFonts w:hAnsi="宋体"/>
          <w:sz w:val="21"/>
          <w:szCs w:val="21"/>
        </w:rPr>
      </w:pPr>
      <w:r>
        <w:rPr>
          <w:rFonts w:hint="eastAsia" w:hAnsi="宋体"/>
          <w:sz w:val="21"/>
          <w:szCs w:val="21"/>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pStyle w:val="19"/>
        <w:spacing w:before="120" w:after="120" w:line="360" w:lineRule="auto"/>
        <w:ind w:firstLine="420" w:firstLineChars="200"/>
        <w:rPr>
          <w:rFonts w:hAnsi="宋体"/>
          <w:sz w:val="21"/>
          <w:szCs w:val="21"/>
        </w:rPr>
      </w:pPr>
      <w:r>
        <w:rPr>
          <w:rFonts w:hint="eastAsia" w:hAnsi="宋体"/>
          <w:sz w:val="21"/>
          <w:szCs w:val="21"/>
        </w:rPr>
        <w:t>7.2 评标办法。本项目的具体评标办法详见第四章的《评标办法》。</w:t>
      </w:r>
    </w:p>
    <w:p>
      <w:pPr>
        <w:pStyle w:val="19"/>
        <w:spacing w:before="120" w:after="120" w:line="360" w:lineRule="auto"/>
        <w:rPr>
          <w:rFonts w:hAnsi="宋体"/>
          <w:b/>
          <w:sz w:val="21"/>
          <w:szCs w:val="21"/>
        </w:rPr>
      </w:pPr>
      <w:r>
        <w:rPr>
          <w:rFonts w:hint="eastAsia" w:hAnsi="宋体"/>
          <w:b/>
          <w:sz w:val="21"/>
          <w:szCs w:val="21"/>
        </w:rPr>
        <w:t>8.</w:t>
      </w:r>
      <w:r>
        <w:rPr>
          <w:rFonts w:hAnsi="宋体"/>
          <w:b/>
          <w:sz w:val="21"/>
          <w:szCs w:val="21"/>
        </w:rPr>
        <w:t>评标过程的监控</w:t>
      </w:r>
    </w:p>
    <w:p>
      <w:pPr>
        <w:spacing w:line="360" w:lineRule="auto"/>
        <w:ind w:firstLine="420" w:firstLineChars="200"/>
      </w:pPr>
      <w:bookmarkStart w:id="198" w:name="_Toc488072288"/>
      <w:r>
        <w:t>本项目评标过程实行全程录音、录像监控</w:t>
      </w:r>
      <w:r>
        <w:rPr>
          <w:rFonts w:hint="eastAsia"/>
        </w:rPr>
        <w:t>，</w:t>
      </w:r>
      <w:r>
        <w:rPr>
          <w:rFonts w:hint="eastAsia" w:ascii="宋体" w:hAnsi="宋体"/>
          <w:szCs w:val="21"/>
        </w:rPr>
        <w:t>采购单位</w:t>
      </w:r>
      <w:r>
        <w:rPr>
          <w:rFonts w:hint="eastAsia"/>
        </w:rPr>
        <w:t>现场监督员</w:t>
      </w:r>
      <w:r>
        <w:t>进行现场监督</w:t>
      </w:r>
      <w:r>
        <w:rPr>
          <w:rFonts w:hint="eastAsia"/>
        </w:rPr>
        <w:t>。</w:t>
      </w:r>
      <w:r>
        <w:t>投标人在评标过程中所进行的</w:t>
      </w:r>
      <w:r>
        <w:rPr>
          <w:rFonts w:hint="eastAsia"/>
        </w:rPr>
        <w:t>试</w:t>
      </w:r>
      <w:r>
        <w:t>图影响评标结果的不公正活动，可能导致其投标被拒绝。</w:t>
      </w:r>
    </w:p>
    <w:p>
      <w:pPr>
        <w:pStyle w:val="19"/>
        <w:spacing w:before="120" w:after="120" w:line="360" w:lineRule="auto"/>
        <w:jc w:val="center"/>
        <w:outlineLvl w:val="1"/>
        <w:rPr>
          <w:rFonts w:hAnsi="宋体"/>
          <w:b/>
          <w:szCs w:val="21"/>
        </w:rPr>
      </w:pPr>
      <w:bookmarkStart w:id="199" w:name="_Toc509308069"/>
      <w:bookmarkStart w:id="200" w:name="_Toc23697"/>
      <w:bookmarkStart w:id="201" w:name="_Toc509308149"/>
      <w:r>
        <w:rPr>
          <w:rFonts w:hint="eastAsia" w:hAnsi="宋体"/>
          <w:b/>
          <w:szCs w:val="21"/>
        </w:rPr>
        <w:t>六、定标</w:t>
      </w:r>
      <w:bookmarkEnd w:id="198"/>
      <w:bookmarkEnd w:id="199"/>
      <w:bookmarkEnd w:id="200"/>
      <w:bookmarkEnd w:id="201"/>
    </w:p>
    <w:p>
      <w:pPr>
        <w:pStyle w:val="10"/>
        <w:spacing w:line="360" w:lineRule="auto"/>
        <w:ind w:firstLine="0" w:firstLineChars="0"/>
        <w:rPr>
          <w:rFonts w:ascii="宋体" w:hAnsi="宋体"/>
          <w:szCs w:val="21"/>
        </w:rPr>
      </w:pPr>
      <w:r>
        <w:rPr>
          <w:rFonts w:hint="eastAsia" w:ascii="宋体" w:hAnsi="宋体"/>
          <w:szCs w:val="21"/>
        </w:rPr>
        <w:t>1.中标人确定</w:t>
      </w:r>
    </w:p>
    <w:p>
      <w:pPr>
        <w:snapToGrid w:val="0"/>
        <w:spacing w:line="360" w:lineRule="auto"/>
        <w:ind w:firstLine="420" w:firstLineChars="200"/>
        <w:rPr>
          <w:rFonts w:ascii="宋体" w:hAnsi="宋体"/>
          <w:szCs w:val="21"/>
        </w:rPr>
      </w:pPr>
      <w:bookmarkStart w:id="202" w:name="_Toc488072289"/>
      <w:r>
        <w:rPr>
          <w:rFonts w:hint="eastAsia" w:ascii="宋体" w:hAnsi="宋体"/>
          <w:szCs w:val="21"/>
        </w:rPr>
        <w:t>1.1评标结束后，采购单位当场宣布评审结果</w:t>
      </w:r>
      <w:r>
        <w:rPr>
          <w:rFonts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1.2评审结果经采购人确认后，采购单位向中标人签发《中标通知书》，同时在指定媒体上公告采购结果，该采购结果公告作为向投标人发出的书面通知</w:t>
      </w:r>
      <w:r>
        <w:rPr>
          <w:rFonts w:ascii="宋体" w:hAnsi="宋体"/>
          <w:szCs w:val="21"/>
        </w:rPr>
        <w:t>。</w:t>
      </w:r>
    </w:p>
    <w:p>
      <w:pPr>
        <w:snapToGrid w:val="0"/>
        <w:spacing w:line="360" w:lineRule="auto"/>
        <w:ind w:firstLine="420" w:firstLineChars="200"/>
        <w:rPr>
          <w:rFonts w:ascii="宋体" w:hAnsi="宋体"/>
          <w:szCs w:val="21"/>
        </w:rPr>
      </w:pPr>
      <w:r>
        <w:rPr>
          <w:rFonts w:hint="eastAsia"/>
        </w:rPr>
        <w:t>如有投标人对评审结果提出质疑的，采购人可在质疑处理完毕后确定中标人；如在质疑期内查实中标人有违反有关法律法规和本项目招标文件规定和要求的，则取消该投标人的中标资格，中标人改为综合得分第二名的投标人，或重新组织采购。</w:t>
      </w:r>
    </w:p>
    <w:p>
      <w:pPr>
        <w:pStyle w:val="19"/>
        <w:spacing w:before="120" w:after="120" w:line="360" w:lineRule="auto"/>
        <w:jc w:val="center"/>
        <w:outlineLvl w:val="1"/>
        <w:rPr>
          <w:rFonts w:hAnsi="宋体"/>
          <w:b/>
          <w:szCs w:val="21"/>
        </w:rPr>
      </w:pPr>
      <w:bookmarkStart w:id="203" w:name="_Toc509308070"/>
      <w:bookmarkStart w:id="204" w:name="_Toc380"/>
      <w:bookmarkStart w:id="205" w:name="_Toc509308150"/>
      <w:r>
        <w:rPr>
          <w:rFonts w:hint="eastAsia" w:hAnsi="宋体"/>
          <w:b/>
          <w:szCs w:val="21"/>
        </w:rPr>
        <w:t>七、合同授予</w:t>
      </w:r>
      <w:bookmarkEnd w:id="202"/>
      <w:bookmarkEnd w:id="203"/>
      <w:bookmarkEnd w:id="204"/>
      <w:bookmarkEnd w:id="205"/>
    </w:p>
    <w:p>
      <w:pPr>
        <w:pStyle w:val="10"/>
        <w:spacing w:line="360" w:lineRule="auto"/>
        <w:ind w:firstLine="0" w:firstLineChars="0"/>
        <w:rPr>
          <w:rFonts w:ascii="宋体" w:hAnsi="宋体"/>
          <w:szCs w:val="21"/>
        </w:rPr>
      </w:pPr>
      <w:r>
        <w:rPr>
          <w:rFonts w:hint="eastAsia" w:ascii="宋体" w:hAnsi="宋体"/>
          <w:szCs w:val="21"/>
        </w:rPr>
        <w:t>1.签订合同</w:t>
      </w:r>
    </w:p>
    <w:p>
      <w:pPr>
        <w:pStyle w:val="10"/>
        <w:spacing w:line="360" w:lineRule="auto"/>
        <w:ind w:firstLine="0" w:firstLineChars="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  采购人与</w:t>
      </w:r>
      <w:r>
        <w:rPr>
          <w:rFonts w:ascii="宋体" w:hAnsi="宋体"/>
          <w:szCs w:val="21"/>
        </w:rPr>
        <w:t>中标人应</w:t>
      </w:r>
      <w:r>
        <w:rPr>
          <w:rFonts w:hint="eastAsia" w:ascii="宋体" w:hAnsi="宋体"/>
          <w:szCs w:val="21"/>
        </w:rPr>
        <w:t>当在《</w:t>
      </w:r>
      <w:r>
        <w:rPr>
          <w:rFonts w:ascii="宋体" w:hAnsi="宋体"/>
          <w:szCs w:val="21"/>
        </w:rPr>
        <w:t>中标通知书</w:t>
      </w:r>
      <w:r>
        <w:rPr>
          <w:rFonts w:hint="eastAsia" w:ascii="宋体" w:hAnsi="宋体"/>
          <w:szCs w:val="21"/>
        </w:rPr>
        <w:t>》发出之日起30日内签订政府采购合同。同时，采购单位对合同内容进行审查，如发现与采购结果和投标承诺内容不一致的，将予以纠正。</w:t>
      </w:r>
    </w:p>
    <w:p>
      <w:pPr>
        <w:pStyle w:val="10"/>
        <w:spacing w:line="360"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2  《中标通知书》、招标文件、投标文件等采购文件将作为签订合同（协议）的依据。</w:t>
      </w:r>
    </w:p>
    <w:p>
      <w:pPr>
        <w:spacing w:line="360" w:lineRule="auto"/>
        <w:rPr>
          <w:rFonts w:ascii="宋体" w:hAnsi="宋体"/>
          <w:szCs w:val="21"/>
        </w:rPr>
      </w:pPr>
      <w:r>
        <w:rPr>
          <w:rFonts w:hint="eastAsia" w:ascii="宋体" w:hAnsi="宋体"/>
        </w:rPr>
        <w:t xml:space="preserve">1.3  </w:t>
      </w:r>
      <w:r>
        <w:rPr>
          <w:rFonts w:ascii="宋体" w:hAnsi="宋体"/>
        </w:rPr>
        <w:t>中标人</w:t>
      </w:r>
      <w:r>
        <w:rPr>
          <w:rFonts w:hint="eastAsia" w:ascii="宋体" w:hAnsi="宋体"/>
        </w:rPr>
        <w:t>拒交履约保证金、拒签合同或放弃中标</w:t>
      </w:r>
      <w:r>
        <w:rPr>
          <w:rFonts w:ascii="宋体" w:hAnsi="宋体"/>
        </w:rPr>
        <w:t>的</w:t>
      </w:r>
      <w:r>
        <w:rPr>
          <w:rFonts w:hint="eastAsia" w:ascii="宋体" w:hAnsi="宋体"/>
        </w:rPr>
        <w:t>，</w:t>
      </w:r>
      <w:r>
        <w:rPr>
          <w:rFonts w:ascii="宋体" w:hAnsi="宋体"/>
        </w:rPr>
        <w:t>将被</w:t>
      </w:r>
      <w:r>
        <w:rPr>
          <w:rFonts w:hint="eastAsia" w:ascii="宋体" w:hAnsi="宋体"/>
        </w:rPr>
        <w:t>取消中标资格并追究其法律责任，中标人改为综合得分第二名的投标人，或重新组织采购</w:t>
      </w:r>
      <w:r>
        <w:rPr>
          <w:rFonts w:ascii="宋体" w:hAnsi="宋体"/>
        </w:rPr>
        <w:t>。</w:t>
      </w:r>
    </w:p>
    <w:p>
      <w:pPr>
        <w:pStyle w:val="10"/>
        <w:spacing w:line="360" w:lineRule="auto"/>
        <w:ind w:firstLine="0" w:firstLineChars="0"/>
        <w:rPr>
          <w:rFonts w:ascii="宋体" w:hAnsi="宋体"/>
          <w:szCs w:val="21"/>
        </w:rPr>
      </w:pPr>
      <w:r>
        <w:rPr>
          <w:rFonts w:hint="eastAsia" w:ascii="宋体" w:hAnsi="宋体"/>
          <w:szCs w:val="21"/>
        </w:rPr>
        <w:t>2.履约保证金</w:t>
      </w:r>
    </w:p>
    <w:p>
      <w:pPr>
        <w:pStyle w:val="10"/>
        <w:spacing w:line="360" w:lineRule="auto"/>
        <w:ind w:firstLine="0" w:firstLineChars="0"/>
        <w:rPr>
          <w:rFonts w:ascii="宋体" w:hAnsi="宋体"/>
          <w:szCs w:val="21"/>
        </w:rPr>
      </w:pPr>
      <w:r>
        <w:rPr>
          <w:rFonts w:hint="eastAsia" w:ascii="宋体" w:hAnsi="宋体"/>
          <w:szCs w:val="21"/>
        </w:rPr>
        <w:t>2.1  签订合同前，中标人应按代理机构根据招标文件确定的履约保证金的金额，向采购人交纳履约保证金</w:t>
      </w:r>
    </w:p>
    <w:p>
      <w:pPr>
        <w:pStyle w:val="10"/>
        <w:spacing w:line="360" w:lineRule="auto"/>
        <w:ind w:firstLine="0" w:firstLineChars="0"/>
      </w:pPr>
      <w:r>
        <w:rPr>
          <w:rFonts w:hint="eastAsia"/>
        </w:rPr>
        <w:t>2.2  签订合同后，如中标供应商不按双方签订合同约定履约，则没收其全部履约保证金，履约保证金不足以赔偿损失的，按实际损失赔偿。</w:t>
      </w:r>
    </w:p>
    <w:p>
      <w:pPr>
        <w:pStyle w:val="10"/>
        <w:spacing w:line="360" w:lineRule="auto"/>
        <w:ind w:firstLine="0" w:firstLineChars="0"/>
      </w:pPr>
    </w:p>
    <w:p>
      <w:pPr>
        <w:pStyle w:val="19"/>
        <w:spacing w:before="120" w:after="120" w:line="360" w:lineRule="auto"/>
        <w:jc w:val="center"/>
        <w:outlineLvl w:val="1"/>
        <w:rPr>
          <w:rFonts w:hAnsi="宋体"/>
          <w:b/>
          <w:szCs w:val="21"/>
        </w:rPr>
      </w:pPr>
      <w:bookmarkStart w:id="206" w:name="_Toc1545"/>
      <w:r>
        <w:rPr>
          <w:rFonts w:hint="eastAsia" w:hAnsi="宋体"/>
          <w:b/>
          <w:szCs w:val="21"/>
        </w:rPr>
        <w:t>八</w:t>
      </w:r>
      <w:r>
        <w:rPr>
          <w:rFonts w:hAnsi="宋体"/>
          <w:b/>
          <w:szCs w:val="21"/>
        </w:rPr>
        <w:t>、</w:t>
      </w:r>
      <w:r>
        <w:rPr>
          <w:rFonts w:hint="eastAsia" w:hAnsi="宋体"/>
          <w:b/>
          <w:szCs w:val="21"/>
        </w:rPr>
        <w:t>中标服务费</w:t>
      </w:r>
      <w:bookmarkEnd w:id="206"/>
    </w:p>
    <w:p>
      <w:pPr>
        <w:pStyle w:val="10"/>
        <w:spacing w:line="360" w:lineRule="auto"/>
        <w:rPr>
          <w:rFonts w:ascii="宋体" w:hAnsi="宋体"/>
          <w:szCs w:val="21"/>
        </w:rPr>
      </w:pPr>
      <w:r>
        <w:rPr>
          <w:rFonts w:hint="eastAsia" w:ascii="宋体" w:hAnsi="宋体"/>
          <w:szCs w:val="21"/>
        </w:rPr>
        <w:t>1.根据“财政部关于印发《政府采购代理机构管理暂行办法》的通知，财库〔2018〕2号”规定，招标代理机构向中标人收取中标服务费。</w:t>
      </w:r>
      <w:r>
        <w:rPr>
          <w:rFonts w:hint="eastAsia" w:ascii="宋体" w:hAnsi="宋体"/>
          <w:szCs w:val="21"/>
        </w:rPr>
        <w:br w:type="textWrapping"/>
      </w:r>
      <w:r>
        <w:rPr>
          <w:rFonts w:hint="eastAsia" w:ascii="宋体" w:hAnsi="宋体"/>
          <w:szCs w:val="21"/>
        </w:rPr>
        <w:t xml:space="preserve">    2.中标人应在收取《中标通知书》时向采购代理机构交纳中标服务费，中标服务费人民币</w:t>
      </w:r>
      <w:r>
        <w:rPr>
          <w:rFonts w:hint="eastAsia" w:ascii="宋体" w:hAnsi="宋体"/>
          <w:szCs w:val="21"/>
          <w:lang w:val="en-US" w:eastAsia="zh-CN"/>
        </w:rPr>
        <w:t>15640</w:t>
      </w:r>
      <w:r>
        <w:rPr>
          <w:rFonts w:hint="eastAsia" w:ascii="宋体" w:hAnsi="宋体"/>
          <w:szCs w:val="21"/>
        </w:rPr>
        <w:t>元（大写：</w:t>
      </w:r>
      <w:r>
        <w:rPr>
          <w:rFonts w:hint="eastAsia" w:ascii="宋体" w:hAnsi="宋体"/>
          <w:szCs w:val="21"/>
          <w:lang w:val="en-US" w:eastAsia="zh-CN"/>
        </w:rPr>
        <w:t>壹万伍仟陆佰肆拾</w:t>
      </w:r>
      <w:r>
        <w:rPr>
          <w:rFonts w:hint="eastAsia" w:ascii="宋体" w:hAnsi="宋体"/>
          <w:szCs w:val="21"/>
        </w:rPr>
        <w:t>元整）。</w:t>
      </w:r>
    </w:p>
    <w:p>
      <w:pPr>
        <w:pStyle w:val="10"/>
        <w:spacing w:line="360" w:lineRule="auto"/>
        <w:rPr>
          <w:rFonts w:ascii="宋体" w:hAnsi="宋体"/>
          <w:szCs w:val="21"/>
        </w:rPr>
      </w:pPr>
      <w:r>
        <w:rPr>
          <w:rFonts w:hint="eastAsia" w:ascii="宋体" w:hAnsi="宋体"/>
          <w:szCs w:val="21"/>
        </w:rPr>
        <w:t>3.服务费的货币为人民币。</w:t>
      </w:r>
    </w:p>
    <w:p>
      <w:pPr>
        <w:pStyle w:val="10"/>
        <w:spacing w:line="360" w:lineRule="auto"/>
        <w:rPr>
          <w:rFonts w:ascii="宋体" w:hAnsi="宋体"/>
          <w:szCs w:val="21"/>
        </w:rPr>
      </w:pPr>
      <w:r>
        <w:rPr>
          <w:rFonts w:hint="eastAsia" w:ascii="宋体" w:hAnsi="宋体"/>
          <w:szCs w:val="21"/>
        </w:rPr>
        <w:t>4.服务费支付方式：一次性以银行划账、电汇、汇票或支票的形式支付。</w:t>
      </w:r>
    </w:p>
    <w:p>
      <w:pPr>
        <w:pStyle w:val="10"/>
        <w:spacing w:line="360" w:lineRule="auto"/>
        <w:rPr>
          <w:rFonts w:ascii="宋体" w:hAnsi="宋体"/>
          <w:szCs w:val="21"/>
        </w:rPr>
      </w:pPr>
      <w:r>
        <w:rPr>
          <w:rFonts w:hint="eastAsia" w:ascii="宋体" w:hAnsi="宋体"/>
          <w:szCs w:val="21"/>
        </w:rPr>
        <w:t>5.服务费以银行划账方式按下列要求提交：</w:t>
      </w:r>
    </w:p>
    <w:p>
      <w:pPr>
        <w:pStyle w:val="10"/>
        <w:spacing w:line="360" w:lineRule="auto"/>
        <w:rPr>
          <w:rFonts w:ascii="宋体" w:hAnsi="宋体"/>
          <w:szCs w:val="21"/>
        </w:rPr>
      </w:pPr>
      <w:r>
        <w:rPr>
          <w:rFonts w:hint="eastAsia" w:ascii="宋体" w:hAnsi="宋体"/>
          <w:szCs w:val="21"/>
        </w:rPr>
        <w:t>收款人：浙江同诚建设管理有限公司</w:t>
      </w:r>
    </w:p>
    <w:p>
      <w:pPr>
        <w:pStyle w:val="10"/>
        <w:spacing w:line="360" w:lineRule="auto"/>
        <w:rPr>
          <w:rFonts w:ascii="宋体" w:hAnsi="宋体"/>
          <w:szCs w:val="21"/>
        </w:rPr>
      </w:pPr>
      <w:r>
        <w:rPr>
          <w:rFonts w:hint="eastAsia" w:ascii="宋体" w:hAnsi="宋体"/>
          <w:szCs w:val="21"/>
        </w:rPr>
        <w:t>户名：浙江同诚建设管理有限公司</w:t>
      </w:r>
    </w:p>
    <w:p>
      <w:pPr>
        <w:pStyle w:val="10"/>
        <w:spacing w:line="360" w:lineRule="auto"/>
        <w:rPr>
          <w:rFonts w:ascii="宋体" w:hAnsi="宋体"/>
          <w:szCs w:val="21"/>
        </w:rPr>
      </w:pPr>
      <w:r>
        <w:rPr>
          <w:rFonts w:hint="eastAsia" w:ascii="宋体" w:hAnsi="宋体"/>
          <w:szCs w:val="21"/>
        </w:rPr>
        <w:t>开户银行：中国建设银行股份有限公司桐乡幸福支行</w:t>
      </w:r>
    </w:p>
    <w:p>
      <w:pPr>
        <w:pStyle w:val="10"/>
        <w:spacing w:line="360" w:lineRule="auto"/>
        <w:rPr>
          <w:rFonts w:ascii="宋体" w:hAnsi="宋体"/>
          <w:szCs w:val="21"/>
        </w:rPr>
      </w:pPr>
      <w:r>
        <w:rPr>
          <w:rFonts w:hint="eastAsia" w:ascii="宋体" w:hAnsi="宋体"/>
          <w:szCs w:val="21"/>
        </w:rPr>
        <w:t>账号：33050163726700000167</w:t>
      </w:r>
    </w:p>
    <w:p>
      <w:pPr>
        <w:pStyle w:val="10"/>
        <w:spacing w:line="360" w:lineRule="auto"/>
        <w:rPr>
          <w:rFonts w:ascii="宋体" w:hAnsi="宋体"/>
          <w:szCs w:val="21"/>
        </w:rPr>
      </w:pPr>
      <w:r>
        <w:rPr>
          <w:rFonts w:hint="eastAsia" w:ascii="宋体" w:hAnsi="宋体"/>
          <w:szCs w:val="21"/>
        </w:rPr>
        <w:t>6.服务费支付时间：服务费必须在中标人领取《中标通知书》时一次性付清，如果中标人未能按时交纳服务费，采购代理机构/采购人保留取消其中标资格并追究其法律责任的权利。</w:t>
      </w:r>
    </w:p>
    <w:p>
      <w:pPr>
        <w:pStyle w:val="10"/>
        <w:spacing w:line="360" w:lineRule="auto"/>
        <w:rPr>
          <w:rFonts w:ascii="宋体" w:hAnsi="宋体"/>
          <w:szCs w:val="21"/>
        </w:rPr>
      </w:pPr>
      <w:r>
        <w:rPr>
          <w:rFonts w:hint="eastAsia" w:ascii="宋体" w:hAnsi="宋体"/>
          <w:szCs w:val="21"/>
        </w:rPr>
        <w:t>7.服务费不在投标报价中单列。</w:t>
      </w: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pStyle w:val="10"/>
        <w:spacing w:line="360" w:lineRule="auto"/>
        <w:ind w:firstLine="0" w:firstLineChars="0"/>
      </w:pPr>
    </w:p>
    <w:p>
      <w:pPr>
        <w:rPr>
          <w:rFonts w:hint="eastAsia"/>
        </w:rPr>
      </w:pPr>
      <w:bookmarkStart w:id="207" w:name="_Toc4612"/>
      <w:r>
        <w:rPr>
          <w:rFonts w:hint="eastAsia"/>
        </w:rPr>
        <w:br w:type="page"/>
      </w:r>
    </w:p>
    <w:p>
      <w:pPr>
        <w:pStyle w:val="5"/>
        <w:jc w:val="center"/>
      </w:pPr>
      <w:r>
        <w:rPr>
          <w:rFonts w:hint="eastAsia"/>
        </w:rPr>
        <w:t>第四章</w:t>
      </w:r>
      <w:r>
        <w:rPr>
          <w:rFonts w:hint="eastAsia"/>
          <w:lang w:val="en-US" w:eastAsia="zh-CN"/>
        </w:rPr>
        <w:t xml:space="preserve"> </w:t>
      </w:r>
      <w:r>
        <w:rPr>
          <w:rFonts w:hint="eastAsia"/>
        </w:rPr>
        <w:t>评标办法</w:t>
      </w:r>
      <w:bookmarkEnd w:id="207"/>
    </w:p>
    <w:p>
      <w:pPr>
        <w:spacing w:line="360" w:lineRule="auto"/>
        <w:ind w:firstLine="420"/>
        <w:rPr>
          <w:rFonts w:ascii="宋体" w:hAnsi="宋体"/>
          <w:szCs w:val="21"/>
        </w:rPr>
      </w:pPr>
      <w:r>
        <w:rPr>
          <w:rFonts w:hint="eastAsia" w:ascii="宋体" w:hAnsi="宋体"/>
          <w:szCs w:val="21"/>
        </w:rPr>
        <w:t>为公正、公平、科学地选择中标人，根据《中华人民共和国政府采购法》等有关法律法规的规定，并结合本项目的实际，制定本办法。</w:t>
      </w:r>
    </w:p>
    <w:p>
      <w:pPr>
        <w:spacing w:line="360" w:lineRule="auto"/>
        <w:ind w:firstLine="411" w:firstLineChars="196"/>
        <w:rPr>
          <w:rFonts w:ascii="宋体" w:hAnsi="宋体"/>
          <w:szCs w:val="21"/>
        </w:rPr>
      </w:pPr>
      <w:r>
        <w:rPr>
          <w:rFonts w:hint="eastAsia" w:ascii="宋体" w:hAnsi="宋体"/>
          <w:szCs w:val="21"/>
        </w:rPr>
        <w:t>一、总则</w:t>
      </w:r>
    </w:p>
    <w:p>
      <w:pPr>
        <w:spacing w:line="360" w:lineRule="auto"/>
        <w:ind w:firstLine="420" w:firstLineChars="200"/>
        <w:rPr>
          <w:rFonts w:ascii="宋体" w:hAnsi="宋体" w:cs="Arial"/>
          <w:szCs w:val="21"/>
        </w:rPr>
      </w:pPr>
      <w:r>
        <w:rPr>
          <w:rFonts w:hint="eastAsia" w:ascii="宋体" w:hAnsi="宋体" w:cs="Arial"/>
          <w:szCs w:val="21"/>
        </w:rPr>
        <w:t>本次评标采用综合评分法，总分为100分，其中价格分10分、技术商务分90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spacing w:line="360" w:lineRule="auto"/>
        <w:ind w:firstLine="420" w:firstLineChars="200"/>
        <w:rPr>
          <w:rFonts w:ascii="宋体" w:hAnsi="宋体"/>
          <w:bCs/>
          <w:szCs w:val="21"/>
        </w:rPr>
      </w:pPr>
      <w:r>
        <w:rPr>
          <w:rFonts w:hint="eastAsia" w:ascii="宋体" w:hAnsi="宋体"/>
          <w:szCs w:val="21"/>
        </w:rPr>
        <w:t>投标人评标</w:t>
      </w:r>
      <w:r>
        <w:rPr>
          <w:rFonts w:hint="eastAsia" w:ascii="宋体" w:hAnsi="宋体"/>
          <w:bCs/>
          <w:szCs w:val="21"/>
        </w:rPr>
        <w:t>综合得分=价格分+技术商务分</w:t>
      </w:r>
    </w:p>
    <w:p>
      <w:pPr>
        <w:spacing w:line="360" w:lineRule="auto"/>
        <w:ind w:firstLine="420" w:firstLineChars="200"/>
        <w:rPr>
          <w:rFonts w:ascii="宋体" w:hAnsi="宋体"/>
          <w:szCs w:val="21"/>
        </w:rPr>
      </w:pPr>
      <w:r>
        <w:rPr>
          <w:rFonts w:hint="eastAsia" w:ascii="宋体" w:hAnsi="宋体"/>
          <w:szCs w:val="21"/>
        </w:rPr>
        <w:t>二、评标内容及标准</w:t>
      </w:r>
    </w:p>
    <w:p>
      <w:pPr>
        <w:pStyle w:val="15"/>
        <w:spacing w:line="360" w:lineRule="auto"/>
        <w:ind w:firstLine="0"/>
        <w:rPr>
          <w:rFonts w:hAnsi="宋体"/>
          <w:b/>
          <w:bCs/>
          <w:sz w:val="21"/>
          <w:szCs w:val="21"/>
        </w:rPr>
      </w:pPr>
      <w:r>
        <w:rPr>
          <w:rFonts w:hAnsi="宋体"/>
          <w:b/>
          <w:sz w:val="21"/>
          <w:szCs w:val="21"/>
        </w:rPr>
        <w:t>（一）</w:t>
      </w:r>
      <w:r>
        <w:rPr>
          <w:rFonts w:hAnsi="宋体"/>
          <w:b/>
          <w:bCs/>
          <w:sz w:val="21"/>
          <w:szCs w:val="21"/>
        </w:rPr>
        <w:t>价格分（</w:t>
      </w:r>
      <w:r>
        <w:rPr>
          <w:rFonts w:hint="eastAsia" w:hAnsi="宋体"/>
          <w:b/>
          <w:bCs/>
          <w:sz w:val="21"/>
          <w:szCs w:val="21"/>
        </w:rPr>
        <w:t>10</w:t>
      </w:r>
      <w:r>
        <w:rPr>
          <w:rFonts w:hAnsi="宋体"/>
          <w:b/>
          <w:bCs/>
          <w:sz w:val="21"/>
          <w:szCs w:val="21"/>
        </w:rPr>
        <w:t>分）</w:t>
      </w:r>
    </w:p>
    <w:p>
      <w:pPr>
        <w:pStyle w:val="15"/>
        <w:spacing w:line="360" w:lineRule="auto"/>
        <w:ind w:firstLine="490" w:firstLineChars="243"/>
        <w:rPr>
          <w:rFonts w:hAnsi="宋体" w:cs="Arial"/>
          <w:spacing w:val="0"/>
          <w:sz w:val="21"/>
          <w:szCs w:val="21"/>
        </w:rPr>
      </w:pPr>
      <w:r>
        <w:rPr>
          <w:rFonts w:hint="eastAsia" w:hAnsi="宋体" w:cs="Arial"/>
          <w:sz w:val="21"/>
          <w:szCs w:val="21"/>
        </w:rPr>
        <w:t>1.</w:t>
      </w:r>
      <w:r>
        <w:rPr>
          <w:rFonts w:hint="eastAsia" w:hAnsi="宋体" w:cs="Arial"/>
          <w:spacing w:val="0"/>
          <w:sz w:val="21"/>
          <w:szCs w:val="21"/>
        </w:rPr>
        <w:t>在评审时，对小型和微型企业的投标报价给予20%的扣除，取扣除后的价格作为最终投标报价（此最终投标报价仅作为价格分计算）。投标人属于小型和微型企业的，投标文件中必须提供《中小企业声明函》(注：未提供以上材料的，不给予价格扣除）。</w:t>
      </w:r>
    </w:p>
    <w:p>
      <w:pPr>
        <w:pStyle w:val="15"/>
        <w:spacing w:line="360" w:lineRule="auto"/>
        <w:ind w:firstLine="510" w:firstLineChars="243"/>
        <w:rPr>
          <w:rFonts w:hAnsi="宋体" w:cs="Arial"/>
          <w:spacing w:val="0"/>
          <w:sz w:val="21"/>
          <w:szCs w:val="21"/>
        </w:rPr>
      </w:pPr>
      <w:r>
        <w:rPr>
          <w:rFonts w:hint="eastAsia" w:hAnsi="宋体" w:cs="Arial"/>
          <w:spacing w:val="0"/>
          <w:sz w:val="21"/>
          <w:szCs w:val="21"/>
        </w:rPr>
        <w:t>根据财库[2014]68号和财库[2017]141号的相关规定，在政府采购活动中，投标人属于监狱和戒毒企业或残疾人福利性单位，且投标文件中提供相应证明材料的视同小型、微型企业，享受评审中价格扣除政策。”(注：未提供以上材料的，均不给予价格扣除）。</w:t>
      </w:r>
    </w:p>
    <w:p>
      <w:pPr>
        <w:snapToGrid w:val="0"/>
        <w:spacing w:line="360" w:lineRule="auto"/>
        <w:ind w:firstLine="420" w:firstLineChars="200"/>
        <w:rPr>
          <w:rFonts w:ascii="宋体" w:hAnsi="宋体" w:cs="Arial"/>
          <w:szCs w:val="21"/>
        </w:rPr>
      </w:pPr>
      <w:r>
        <w:rPr>
          <w:rFonts w:hint="eastAsia" w:ascii="宋体" w:hAnsi="宋体" w:cs="Arial"/>
          <w:szCs w:val="21"/>
        </w:rPr>
        <w:t>2.价格分采用低价优先法计算，即满足招标文件要求且投标价格最低的投标报价为评标基准价，投标人的价格分按照下列公式计算：</w:t>
      </w:r>
    </w:p>
    <w:p>
      <w:pPr>
        <w:snapToGrid w:val="0"/>
        <w:spacing w:line="360" w:lineRule="auto"/>
        <w:ind w:firstLine="420" w:firstLineChars="200"/>
        <w:rPr>
          <w:rFonts w:ascii="宋体" w:hAnsi="宋体" w:cs="Arial"/>
          <w:szCs w:val="21"/>
        </w:rPr>
      </w:pPr>
      <w:r>
        <w:rPr>
          <w:rFonts w:hint="eastAsia" w:ascii="宋体" w:hAnsi="宋体" w:cs="Arial"/>
          <w:szCs w:val="21"/>
        </w:rPr>
        <w:t>价格分=（评标基准价/投标报价）×10%×100</w:t>
      </w:r>
    </w:p>
    <w:p>
      <w:pPr>
        <w:pStyle w:val="15"/>
        <w:spacing w:line="360" w:lineRule="auto"/>
        <w:ind w:firstLine="405"/>
      </w:pPr>
      <w:r>
        <w:rPr>
          <w:rFonts w:hint="eastAsia" w:hAnsi="宋体" w:cs="Arial"/>
          <w:spacing w:val="0"/>
          <w:sz w:val="21"/>
          <w:szCs w:val="21"/>
        </w:rPr>
        <w:t>3.投标人的投标报价超过采购人设定的最高投标限价，将作为无效标。</w:t>
      </w:r>
    </w:p>
    <w:p>
      <w:pPr>
        <w:spacing w:line="353"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（二）技术商务分(90分)</w:t>
      </w:r>
    </w:p>
    <w:tbl>
      <w:tblPr>
        <w:tblStyle w:val="34"/>
        <w:tblW w:w="9038" w:type="dxa"/>
        <w:tblInd w:w="0" w:type="dxa"/>
        <w:tblLayout w:type="fixed"/>
        <w:tblCellMar>
          <w:top w:w="0" w:type="dxa"/>
          <w:left w:w="108" w:type="dxa"/>
          <w:bottom w:w="0" w:type="dxa"/>
          <w:right w:w="108" w:type="dxa"/>
        </w:tblCellMar>
      </w:tblPr>
      <w:tblGrid>
        <w:gridCol w:w="1383"/>
        <w:gridCol w:w="6522"/>
        <w:gridCol w:w="1133"/>
      </w:tblGrid>
      <w:tr>
        <w:tblPrEx>
          <w:tblCellMar>
            <w:top w:w="0" w:type="dxa"/>
            <w:left w:w="108" w:type="dxa"/>
            <w:bottom w:w="0" w:type="dxa"/>
            <w:right w:w="108" w:type="dxa"/>
          </w:tblCellMar>
        </w:tblPrEx>
        <w:trPr>
          <w:trHeight w:val="774"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b/>
                <w:bCs/>
                <w:color w:val="000000"/>
                <w:szCs w:val="21"/>
              </w:rPr>
            </w:pPr>
            <w:r>
              <w:rPr>
                <w:rFonts w:hint="eastAsia" w:ascii="宋体" w:hAnsi="宋体" w:cs="宋体"/>
                <w:color w:val="000000"/>
                <w:kern w:val="0"/>
                <w:sz w:val="24"/>
              </w:rPr>
              <w:t>评标项目</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kern w:val="0"/>
                <w:szCs w:val="21"/>
              </w:rPr>
              <w:t>评分细则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kern w:val="0"/>
                <w:szCs w:val="21"/>
              </w:rPr>
              <w:t>满分</w:t>
            </w:r>
          </w:p>
        </w:tc>
      </w:tr>
      <w:tr>
        <w:tblPrEx>
          <w:tblCellMar>
            <w:top w:w="0" w:type="dxa"/>
            <w:left w:w="108" w:type="dxa"/>
            <w:bottom w:w="0" w:type="dxa"/>
            <w:right w:w="108" w:type="dxa"/>
          </w:tblCellMar>
        </w:tblPrEx>
        <w:trPr>
          <w:trHeight w:val="908" w:hRule="atLeast"/>
        </w:trPr>
        <w:tc>
          <w:tcPr>
            <w:tcW w:w="138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资信实力</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提供2019年1月1日起至今具有国家级大会保障服务类似项目（合同名称中包含“国际会议”、“中国某某大会”、“会务服务系统”、“会议注册平</w:t>
            </w:r>
            <w:r>
              <w:rPr>
                <w:rFonts w:hint="eastAsia" w:cs="仿宋" w:asciiTheme="minorEastAsia" w:hAnsiTheme="minorEastAsia" w:eastAsiaTheme="minorEastAsia"/>
                <w:color w:val="000000"/>
                <w:szCs w:val="21"/>
                <w:highlight w:val="none"/>
              </w:rPr>
              <w:t>台”等）建设实施类似项目业绩，以项目合同为准（否则视为无效业绩）。每提供一份得0.5分，满分1分。【</w:t>
            </w:r>
            <w:r>
              <w:rPr>
                <w:rFonts w:hint="eastAsia" w:cs="仿宋" w:asciiTheme="minorEastAsia" w:hAnsiTheme="minorEastAsia" w:eastAsiaTheme="minorEastAsia"/>
                <w:color w:val="000000"/>
                <w:szCs w:val="21"/>
              </w:rPr>
              <w:t>提供合同等证明资料扫描件并加盖公章，不提供不得分】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0-1</w:t>
            </w:r>
          </w:p>
        </w:tc>
      </w:tr>
      <w:tr>
        <w:tblPrEx>
          <w:tblCellMar>
            <w:top w:w="0" w:type="dxa"/>
            <w:left w:w="108" w:type="dxa"/>
            <w:bottom w:w="0" w:type="dxa"/>
            <w:right w:w="108" w:type="dxa"/>
          </w:tblCellMar>
        </w:tblPrEx>
        <w:trPr>
          <w:trHeight w:val="90" w:hRule="atLeast"/>
        </w:trPr>
        <w:tc>
          <w:tcPr>
            <w:tcW w:w="1383" w:type="dxa"/>
            <w:vMerge w:val="continue"/>
            <w:tcBorders>
              <w:left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投标人具有《国家信息安全测评信息安全服务资质证书》，二级（含）以上的得1分，须提供证书扫描件并加盖公章，不提供则不得分。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0-1</w:t>
            </w:r>
          </w:p>
        </w:tc>
      </w:tr>
      <w:tr>
        <w:tblPrEx>
          <w:tblCellMar>
            <w:top w:w="0" w:type="dxa"/>
            <w:left w:w="108" w:type="dxa"/>
            <w:bottom w:w="0" w:type="dxa"/>
            <w:right w:w="108" w:type="dxa"/>
          </w:tblCellMar>
        </w:tblPrEx>
        <w:trPr>
          <w:trHeight w:val="744" w:hRule="atLeast"/>
        </w:trPr>
        <w:tc>
          <w:tcPr>
            <w:tcW w:w="1383" w:type="dxa"/>
            <w:vMerge w:val="continue"/>
            <w:tcBorders>
              <w:left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投标人具有CMMI标准评估认证的：软件能力成熟度模型集成3级（CMMI3）或以上资质的。提供证书扫描件并加盖公章的得1分，不提供则不得分。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0-1</w:t>
            </w:r>
          </w:p>
        </w:tc>
      </w:tr>
      <w:tr>
        <w:tblPrEx>
          <w:tblCellMar>
            <w:top w:w="0" w:type="dxa"/>
            <w:left w:w="108" w:type="dxa"/>
            <w:bottom w:w="0" w:type="dxa"/>
            <w:right w:w="108" w:type="dxa"/>
          </w:tblCellMar>
        </w:tblPrEx>
        <w:trPr>
          <w:trHeight w:val="908" w:hRule="atLeast"/>
        </w:trPr>
        <w:tc>
          <w:tcPr>
            <w:tcW w:w="1383" w:type="dxa"/>
            <w:vMerge w:val="continue"/>
            <w:tcBorders>
              <w:left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投标人具有《信息系统灾难备份与恢复服务资质》，一级（含）以上的得1分，须提供证书扫描件并加盖公章不提供则不得分。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0-1</w:t>
            </w:r>
          </w:p>
        </w:tc>
      </w:tr>
      <w:tr>
        <w:tblPrEx>
          <w:tblCellMar>
            <w:top w:w="0" w:type="dxa"/>
            <w:left w:w="108" w:type="dxa"/>
            <w:bottom w:w="0" w:type="dxa"/>
            <w:right w:w="108" w:type="dxa"/>
          </w:tblCellMar>
        </w:tblPrEx>
        <w:trPr>
          <w:trHeight w:val="950" w:hRule="atLeast"/>
        </w:trPr>
        <w:tc>
          <w:tcPr>
            <w:tcW w:w="1383" w:type="dxa"/>
            <w:vMerge w:val="continue"/>
            <w:tcBorders>
              <w:left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投标人</w:t>
            </w:r>
            <w:r>
              <w:rPr>
                <w:rFonts w:cs="仿宋" w:asciiTheme="minorEastAsia" w:hAnsiTheme="minorEastAsia" w:eastAsiaTheme="minorEastAsia"/>
                <w:color w:val="000000"/>
                <w:szCs w:val="21"/>
              </w:rPr>
              <w:t>具有《信息安全等级保护安全建设服务机构能力评估合格证书》</w:t>
            </w:r>
            <w:r>
              <w:rPr>
                <w:rFonts w:hint="eastAsia" w:cs="仿宋" w:asciiTheme="minorEastAsia" w:hAnsiTheme="minorEastAsia" w:eastAsiaTheme="minorEastAsia"/>
                <w:color w:val="000000"/>
                <w:szCs w:val="21"/>
              </w:rPr>
              <w:t>的得1分</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须提供证书扫描件并加盖公章</w:t>
            </w:r>
            <w:r>
              <w:rPr>
                <w:rFonts w:cs="仿宋" w:asciiTheme="minorEastAsia" w:hAnsiTheme="minorEastAsia" w:eastAsiaTheme="minorEastAsia"/>
                <w:color w:val="000000"/>
                <w:szCs w:val="21"/>
              </w:rPr>
              <w:t>，</w:t>
            </w:r>
            <w:r>
              <w:rPr>
                <w:rFonts w:hint="eastAsia" w:cs="仿宋" w:asciiTheme="minorEastAsia" w:hAnsiTheme="minorEastAsia" w:eastAsiaTheme="minorEastAsia"/>
                <w:color w:val="000000"/>
                <w:szCs w:val="21"/>
              </w:rPr>
              <w:t>不提供则不得分。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0-1</w:t>
            </w:r>
          </w:p>
        </w:tc>
      </w:tr>
      <w:tr>
        <w:tblPrEx>
          <w:tblCellMar>
            <w:top w:w="0" w:type="dxa"/>
            <w:left w:w="108" w:type="dxa"/>
            <w:bottom w:w="0" w:type="dxa"/>
            <w:right w:w="108" w:type="dxa"/>
          </w:tblCellMar>
        </w:tblPrEx>
        <w:trPr>
          <w:trHeight w:val="694" w:hRule="atLeast"/>
        </w:trPr>
        <w:tc>
          <w:tcPr>
            <w:tcW w:w="1383" w:type="dxa"/>
            <w:vMerge w:val="continue"/>
            <w:tcBorders>
              <w:left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投标人具有《信息技术服务运行维护标准符合性证书》的得1分。须提供证书扫描件并加盖公章，不提供则不得分。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0-1</w:t>
            </w:r>
          </w:p>
        </w:tc>
      </w:tr>
      <w:tr>
        <w:tblPrEx>
          <w:tblCellMar>
            <w:top w:w="0" w:type="dxa"/>
            <w:left w:w="108" w:type="dxa"/>
            <w:bottom w:w="0" w:type="dxa"/>
            <w:right w:w="108" w:type="dxa"/>
          </w:tblCellMar>
        </w:tblPrEx>
        <w:trPr>
          <w:trHeight w:val="989" w:hRule="atLeast"/>
        </w:trPr>
        <w:tc>
          <w:tcPr>
            <w:tcW w:w="1383" w:type="dxa"/>
            <w:vMerge w:val="continue"/>
            <w:tcBorders>
              <w:left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投标人具有《软件企业认定证书》的得1分，须提供证书扫描件并加盖公章，不提供则不得分。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0-1</w:t>
            </w:r>
          </w:p>
        </w:tc>
      </w:tr>
      <w:tr>
        <w:tblPrEx>
          <w:tblCellMar>
            <w:top w:w="0" w:type="dxa"/>
            <w:left w:w="108" w:type="dxa"/>
            <w:bottom w:w="0" w:type="dxa"/>
            <w:right w:w="108" w:type="dxa"/>
          </w:tblCellMar>
        </w:tblPrEx>
        <w:trPr>
          <w:trHeight w:val="908" w:hRule="atLeast"/>
        </w:trPr>
        <w:tc>
          <w:tcPr>
            <w:tcW w:w="1383" w:type="dxa"/>
            <w:vMerge w:val="continue"/>
            <w:tcBorders>
              <w:left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具备质量管理体系认证、环境管理体系认证、职业健康管理体系认证、信息安全管理体系认证、服务管理体系认证，每具备一个的1分，最高得3分。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0-3</w:t>
            </w:r>
          </w:p>
        </w:tc>
      </w:tr>
      <w:tr>
        <w:tblPrEx>
          <w:tblCellMar>
            <w:top w:w="0" w:type="dxa"/>
            <w:left w:w="108" w:type="dxa"/>
            <w:bottom w:w="0" w:type="dxa"/>
            <w:right w:w="108" w:type="dxa"/>
          </w:tblCellMar>
        </w:tblPrEx>
        <w:trPr>
          <w:trHeight w:val="1217"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偏离情况</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根据各投标人对招标文件中“技术参数要求”的各项内容响应情况，全部满足的得20分；响应有负偏离的，每负偏离一项扣1分，扣完为止，正偏离不加分。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0-20</w:t>
            </w:r>
          </w:p>
        </w:tc>
      </w:tr>
      <w:tr>
        <w:tblPrEx>
          <w:tblCellMar>
            <w:top w:w="0" w:type="dxa"/>
            <w:left w:w="108" w:type="dxa"/>
            <w:bottom w:w="0" w:type="dxa"/>
            <w:right w:w="108" w:type="dxa"/>
          </w:tblCellMar>
        </w:tblPrEx>
        <w:trPr>
          <w:trHeight w:val="989"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设计思路</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pPr>
            <w:r>
              <w:rPr>
                <w:rFonts w:hint="eastAsia"/>
              </w:rPr>
              <w:t>设计思路需要包括现状与</w:t>
            </w:r>
            <w:r>
              <w:t>升级</w:t>
            </w:r>
            <w:r>
              <w:rPr>
                <w:rFonts w:hint="eastAsia"/>
              </w:rPr>
              <w:t>必要性，项目业务分析与设计、项目数据架构设计、应用架构设计、技术架构设计、安全系统设计、项目建设与运行管理、人员配置与培训等。根据设计方案，由评委进行评分。提供的设计思路完整、详细、具体、可行性强的得3.1-6分，提供的设计思路不够周全详细、具体、完善、可行性一般的得1.1-3分，提供的设计思路不周全详细、具体、可行性较差的得0.1-1分，未提供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0-6</w:t>
            </w:r>
          </w:p>
        </w:tc>
      </w:tr>
      <w:tr>
        <w:tblPrEx>
          <w:tblCellMar>
            <w:top w:w="0" w:type="dxa"/>
            <w:left w:w="108" w:type="dxa"/>
            <w:bottom w:w="0" w:type="dxa"/>
            <w:right w:w="108" w:type="dxa"/>
          </w:tblCellMar>
        </w:tblPrEx>
        <w:trPr>
          <w:trHeight w:val="989"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数据架构设计</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针对采购人所需的数据架构设计合理、符合需求。由评委进行评分。提供的方案完整、详细、具体、可行性强的得2.1-4分，提供的方案不够周全详细、具体、完善、可行性一般的得1.1-2分，提供的方案不周全详细、具体、可行性较差的得0.1-1分，未提供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0-4</w:t>
            </w:r>
          </w:p>
        </w:tc>
      </w:tr>
      <w:tr>
        <w:tblPrEx>
          <w:tblCellMar>
            <w:top w:w="0" w:type="dxa"/>
            <w:left w:w="108" w:type="dxa"/>
            <w:bottom w:w="0" w:type="dxa"/>
            <w:right w:w="108" w:type="dxa"/>
          </w:tblCellMar>
        </w:tblPrEx>
        <w:trPr>
          <w:trHeight w:val="841"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技术架构设计</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rPr>
              <w:t>针对采购人所需的技术架构设计合理、符合需求，由评委进行评分。提供的方案完整、详细、具体、可行性强的得2.1-4分，提供的方案不够周全详细、具体、完善、可行性一般的得1.1-2分，提供的方案不周全详细、具体、可行性较差的得0.1-1分，未提供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0-4</w:t>
            </w:r>
          </w:p>
        </w:tc>
      </w:tr>
      <w:tr>
        <w:tblPrEx>
          <w:tblCellMar>
            <w:top w:w="0" w:type="dxa"/>
            <w:left w:w="108" w:type="dxa"/>
            <w:bottom w:w="0" w:type="dxa"/>
            <w:right w:w="108" w:type="dxa"/>
          </w:tblCellMar>
        </w:tblPrEx>
        <w:trPr>
          <w:trHeight w:val="90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安全</w:t>
            </w:r>
            <w:r>
              <w:rPr>
                <w:rFonts w:cs="仿宋" w:asciiTheme="minorEastAsia" w:hAnsiTheme="minorEastAsia" w:eastAsiaTheme="minorEastAsia"/>
                <w:color w:val="000000"/>
                <w:szCs w:val="21"/>
              </w:rPr>
              <w:t>系统</w:t>
            </w:r>
            <w:r>
              <w:rPr>
                <w:rFonts w:hint="eastAsia" w:cs="仿宋" w:asciiTheme="minorEastAsia" w:hAnsiTheme="minorEastAsia" w:eastAsiaTheme="minorEastAsia"/>
                <w:color w:val="000000"/>
                <w:szCs w:val="21"/>
              </w:rPr>
              <w:t>设计</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针对采购人所需的安全系统设计合理、符合需求，由评委进行评分。提供的方案完整、详细、具体、可行性强的得2.1-4分，提供的方案不够周全详细、具体、完善、可行性一般的得1.1-2分，提供的方案不周全详细、具体、可行性较差的得0.1-1分，未提供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0-4</w:t>
            </w:r>
          </w:p>
        </w:tc>
      </w:tr>
      <w:tr>
        <w:tblPrEx>
          <w:tblCellMar>
            <w:top w:w="0" w:type="dxa"/>
            <w:left w:w="108" w:type="dxa"/>
            <w:bottom w:w="0" w:type="dxa"/>
            <w:right w:w="108" w:type="dxa"/>
          </w:tblCellMar>
        </w:tblPrEx>
        <w:trPr>
          <w:trHeight w:val="123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项目业务</w:t>
            </w:r>
            <w:r>
              <w:rPr>
                <w:rFonts w:cs="仿宋" w:asciiTheme="minorEastAsia" w:hAnsiTheme="minorEastAsia" w:eastAsiaTheme="minorEastAsia"/>
                <w:color w:val="000000"/>
                <w:szCs w:val="21"/>
              </w:rPr>
              <w:t>分析与</w:t>
            </w:r>
            <w:r>
              <w:rPr>
                <w:rFonts w:hint="eastAsia" w:cs="仿宋" w:asciiTheme="minorEastAsia" w:hAnsiTheme="minorEastAsia" w:eastAsiaTheme="minorEastAsia"/>
                <w:color w:val="000000"/>
                <w:szCs w:val="21"/>
              </w:rPr>
              <w:t>设计</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 w:asciiTheme="minorEastAsia" w:hAnsiTheme="minorEastAsia" w:eastAsiaTheme="minorEastAsia"/>
                <w:szCs w:val="21"/>
              </w:rPr>
            </w:pPr>
            <w:r>
              <w:rPr>
                <w:rFonts w:hint="eastAsia" w:cs="仿宋" w:asciiTheme="minorEastAsia" w:hAnsiTheme="minorEastAsia" w:eastAsiaTheme="minorEastAsia"/>
                <w:szCs w:val="21"/>
              </w:rPr>
              <w:t>系统支持业务分析与设计。由评委进行评分。提供的方案完整、详细、具体、可行性强的得2.1-4分，提供的方案不够周全详细、具体、完善、可行性一般的得1.1-2分，提供的方案不周全详细、具体、可行性较差的得0.1-1分，未提供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0-4</w:t>
            </w:r>
          </w:p>
        </w:tc>
      </w:tr>
      <w:tr>
        <w:tblPrEx>
          <w:tblCellMar>
            <w:top w:w="0" w:type="dxa"/>
            <w:left w:w="108" w:type="dxa"/>
            <w:bottom w:w="0" w:type="dxa"/>
            <w:right w:w="108" w:type="dxa"/>
          </w:tblCellMar>
        </w:tblPrEx>
        <w:trPr>
          <w:trHeight w:val="1114"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应用架构设计</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 w:asciiTheme="minorEastAsia" w:hAnsiTheme="minorEastAsia" w:eastAsiaTheme="minorEastAsia"/>
                <w:szCs w:val="21"/>
              </w:rPr>
            </w:pPr>
            <w:r>
              <w:rPr>
                <w:rFonts w:hint="eastAsia" w:cs="仿宋" w:asciiTheme="minorEastAsia" w:hAnsiTheme="minorEastAsia" w:eastAsiaTheme="minorEastAsia"/>
                <w:szCs w:val="21"/>
              </w:rPr>
              <w:t>针对采购人所需的应用架构设计合理、符合需求，包括应用系统总体结构、应用模块设计、应用模块逻辑关系设计、应用支撑层设计等，层次清晰、逻辑连贯清楚。由评委进行评分。提供的方案完整、详细、具体、可行性强的得2.1-4分，提供的方案不够周全详细、具体、完善、可行性一般的得1.1-2分，提供的方案不周全详细、具体、可行性较差的得0.1-1分，未提供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0-4</w:t>
            </w:r>
          </w:p>
        </w:tc>
      </w:tr>
      <w:tr>
        <w:tblPrEx>
          <w:tblCellMar>
            <w:top w:w="0" w:type="dxa"/>
            <w:left w:w="108" w:type="dxa"/>
            <w:bottom w:w="0" w:type="dxa"/>
            <w:right w:w="108" w:type="dxa"/>
          </w:tblCellMar>
        </w:tblPrEx>
        <w:trPr>
          <w:trHeight w:val="844"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项目建设与运行管理</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方案能深刻分析会务管理各阶段工作内容与规范流程，详细梳理各阶段主次流程。由评委进行评分。提供的方案完整、详细、具体、可行性强的得</w:t>
            </w:r>
            <w:r>
              <w:rPr>
                <w:rFonts w:hint="eastAsia" w:cs="仿宋" w:asciiTheme="minorEastAsia" w:hAnsiTheme="minorEastAsia" w:eastAsiaTheme="minorEastAsia"/>
                <w:color w:val="000000"/>
                <w:szCs w:val="21"/>
                <w:lang w:val="en-US" w:eastAsia="zh-CN"/>
              </w:rPr>
              <w:t>2.1-</w:t>
            </w:r>
            <w:r>
              <w:rPr>
                <w:rFonts w:hint="eastAsia" w:cs="仿宋" w:asciiTheme="minorEastAsia" w:hAnsiTheme="minorEastAsia" w:eastAsiaTheme="minorEastAsia"/>
                <w:color w:val="000000"/>
                <w:szCs w:val="21"/>
              </w:rPr>
              <w:t>4分，提供的方案不够周全详细、具体、完善、可行性一般的得</w:t>
            </w:r>
            <w:r>
              <w:rPr>
                <w:rFonts w:hint="eastAsia" w:cs="仿宋" w:asciiTheme="minorEastAsia" w:hAnsiTheme="minorEastAsia" w:eastAsiaTheme="minorEastAsia"/>
                <w:color w:val="000000"/>
                <w:szCs w:val="21"/>
                <w:lang w:val="en-US" w:eastAsia="zh-CN"/>
              </w:rPr>
              <w:t>1.1-</w:t>
            </w:r>
            <w:r>
              <w:rPr>
                <w:rFonts w:hint="eastAsia" w:cs="仿宋" w:asciiTheme="minorEastAsia" w:hAnsiTheme="minorEastAsia" w:eastAsiaTheme="minorEastAsia"/>
                <w:color w:val="000000"/>
                <w:szCs w:val="21"/>
              </w:rPr>
              <w:t>2分，提供的方案不周全详细、具体、可行性较差的得</w:t>
            </w:r>
            <w:r>
              <w:rPr>
                <w:rFonts w:hint="eastAsia" w:cs="仿宋" w:asciiTheme="minorEastAsia" w:hAnsiTheme="minorEastAsia" w:eastAsiaTheme="minorEastAsia"/>
                <w:color w:val="000000"/>
                <w:szCs w:val="21"/>
                <w:lang w:val="en-US" w:eastAsia="zh-CN"/>
              </w:rPr>
              <w:t>0.1-</w:t>
            </w:r>
            <w:r>
              <w:rPr>
                <w:rFonts w:hint="eastAsia" w:cs="仿宋" w:asciiTheme="minorEastAsia" w:hAnsiTheme="minorEastAsia" w:eastAsiaTheme="minorEastAsia"/>
                <w:color w:val="000000"/>
                <w:szCs w:val="21"/>
              </w:rPr>
              <w:t>1分，未提供的不得分。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0-4</w:t>
            </w:r>
          </w:p>
        </w:tc>
      </w:tr>
      <w:tr>
        <w:tblPrEx>
          <w:tblCellMar>
            <w:top w:w="0" w:type="dxa"/>
            <w:left w:w="108" w:type="dxa"/>
            <w:bottom w:w="0" w:type="dxa"/>
            <w:right w:w="108" w:type="dxa"/>
          </w:tblCellMar>
        </w:tblPrEx>
        <w:trPr>
          <w:trHeight w:val="976"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人员配置与培训</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针对采购人所需的人员配置与培训设计合理、符合需求。由评委进行评分。提供的方案完整、详细、具体、可行性强的得</w:t>
            </w:r>
            <w:r>
              <w:rPr>
                <w:rFonts w:hint="eastAsia" w:cs="仿宋" w:asciiTheme="minorEastAsia" w:hAnsiTheme="minorEastAsia" w:eastAsiaTheme="minorEastAsia"/>
                <w:color w:val="000000"/>
                <w:szCs w:val="21"/>
                <w:lang w:val="en-US" w:eastAsia="zh-CN"/>
              </w:rPr>
              <w:t>2.1-</w:t>
            </w:r>
            <w:r>
              <w:rPr>
                <w:rFonts w:hint="eastAsia" w:cs="仿宋" w:asciiTheme="minorEastAsia" w:hAnsiTheme="minorEastAsia" w:eastAsiaTheme="minorEastAsia"/>
                <w:color w:val="000000"/>
                <w:szCs w:val="21"/>
              </w:rPr>
              <w:t>4分，提供的方案不够周全详细、具体、完善、可行性一般的得</w:t>
            </w:r>
            <w:r>
              <w:rPr>
                <w:rFonts w:hint="eastAsia" w:cs="仿宋" w:asciiTheme="minorEastAsia" w:hAnsiTheme="minorEastAsia" w:eastAsiaTheme="minorEastAsia"/>
                <w:color w:val="000000"/>
                <w:szCs w:val="21"/>
                <w:lang w:val="en-US" w:eastAsia="zh-CN"/>
              </w:rPr>
              <w:t>1.1-</w:t>
            </w:r>
            <w:r>
              <w:rPr>
                <w:rFonts w:hint="eastAsia" w:cs="仿宋" w:asciiTheme="minorEastAsia" w:hAnsiTheme="minorEastAsia" w:eastAsiaTheme="minorEastAsia"/>
                <w:color w:val="000000"/>
                <w:szCs w:val="21"/>
              </w:rPr>
              <w:t>2分，提供的方案不周全详细、具体、可行性较差的得</w:t>
            </w:r>
            <w:r>
              <w:rPr>
                <w:rFonts w:hint="eastAsia" w:cs="仿宋" w:asciiTheme="minorEastAsia" w:hAnsiTheme="minorEastAsia" w:eastAsiaTheme="minorEastAsia"/>
                <w:color w:val="000000"/>
                <w:szCs w:val="21"/>
                <w:lang w:val="en-US" w:eastAsia="zh-CN"/>
              </w:rPr>
              <w:t>0.1-</w:t>
            </w:r>
            <w:r>
              <w:rPr>
                <w:rFonts w:hint="eastAsia" w:cs="仿宋" w:asciiTheme="minorEastAsia" w:hAnsiTheme="minorEastAsia" w:eastAsiaTheme="minorEastAsia"/>
                <w:color w:val="000000"/>
                <w:szCs w:val="21"/>
              </w:rPr>
              <w:t>1分，未提供的不得分。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0-4</w:t>
            </w:r>
          </w:p>
        </w:tc>
      </w:tr>
      <w:tr>
        <w:tblPrEx>
          <w:tblCellMar>
            <w:top w:w="0" w:type="dxa"/>
            <w:left w:w="108" w:type="dxa"/>
            <w:bottom w:w="0" w:type="dxa"/>
            <w:right w:w="108" w:type="dxa"/>
          </w:tblCellMar>
        </w:tblPrEx>
        <w:trPr>
          <w:trHeight w:val="1286"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应用环境迁移</w:t>
            </w:r>
            <w:r>
              <w:rPr>
                <w:rFonts w:cs="仿宋" w:asciiTheme="minorEastAsia" w:hAnsiTheme="minorEastAsia" w:eastAsiaTheme="minorEastAsia"/>
                <w:color w:val="000000"/>
                <w:szCs w:val="21"/>
              </w:rPr>
              <w:t>部分</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详尽描述系统迁移方案。提供的方案完整、详细、具体、可行性强的得</w:t>
            </w:r>
            <w:r>
              <w:rPr>
                <w:rFonts w:hint="eastAsia" w:cs="仿宋" w:asciiTheme="minorEastAsia" w:hAnsiTheme="minorEastAsia" w:eastAsiaTheme="minorEastAsia"/>
                <w:color w:val="000000"/>
                <w:szCs w:val="21"/>
                <w:lang w:val="en-US" w:eastAsia="zh-CN"/>
              </w:rPr>
              <w:t>3.1-</w:t>
            </w:r>
            <w:r>
              <w:rPr>
                <w:rFonts w:hint="eastAsia" w:cs="仿宋" w:asciiTheme="minorEastAsia" w:hAnsiTheme="minorEastAsia" w:eastAsiaTheme="minorEastAsia"/>
                <w:color w:val="000000"/>
                <w:szCs w:val="21"/>
              </w:rPr>
              <w:t>6分，提供的方案不够周全详细、具体、完善、可行性一般的得</w:t>
            </w:r>
            <w:r>
              <w:rPr>
                <w:rFonts w:hint="eastAsia" w:cs="仿宋" w:asciiTheme="minorEastAsia" w:hAnsiTheme="minorEastAsia" w:eastAsiaTheme="minorEastAsia"/>
                <w:color w:val="000000"/>
                <w:szCs w:val="21"/>
                <w:lang w:val="en-US" w:eastAsia="zh-CN"/>
              </w:rPr>
              <w:t>1.1-</w:t>
            </w:r>
            <w:r>
              <w:rPr>
                <w:rFonts w:hint="eastAsia" w:cs="仿宋" w:asciiTheme="minorEastAsia" w:hAnsiTheme="minorEastAsia" w:eastAsiaTheme="minorEastAsia"/>
                <w:color w:val="000000"/>
                <w:szCs w:val="21"/>
              </w:rPr>
              <w:t>3分，提供的方案不周全详细、具体、可行性较差的得</w:t>
            </w:r>
            <w:r>
              <w:rPr>
                <w:rFonts w:hint="eastAsia" w:cs="仿宋" w:asciiTheme="minorEastAsia" w:hAnsiTheme="minorEastAsia" w:eastAsiaTheme="minorEastAsia"/>
                <w:color w:val="000000"/>
                <w:szCs w:val="21"/>
                <w:lang w:val="en-US" w:eastAsia="zh-CN"/>
              </w:rPr>
              <w:t>0.1-</w:t>
            </w:r>
            <w:r>
              <w:rPr>
                <w:rFonts w:hint="eastAsia" w:cs="仿宋" w:asciiTheme="minorEastAsia" w:hAnsiTheme="minorEastAsia" w:eastAsiaTheme="minorEastAsia"/>
                <w:color w:val="000000"/>
                <w:szCs w:val="21"/>
              </w:rPr>
              <w:t>1分，未提供的不得分。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0-6</w:t>
            </w:r>
          </w:p>
        </w:tc>
      </w:tr>
      <w:tr>
        <w:tblPrEx>
          <w:tblCellMar>
            <w:top w:w="0" w:type="dxa"/>
            <w:left w:w="108" w:type="dxa"/>
            <w:bottom w:w="0" w:type="dxa"/>
            <w:right w:w="108" w:type="dxa"/>
          </w:tblCellMar>
        </w:tblPrEx>
        <w:trPr>
          <w:trHeight w:val="167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cs="仿宋" w:asciiTheme="minorEastAsia" w:hAnsiTheme="minorEastAsia" w:eastAsiaTheme="minorEastAsia"/>
                <w:color w:val="000000"/>
                <w:szCs w:val="21"/>
              </w:rPr>
              <w:t>指挥平台升级 部分</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详尽描述展示指挥系统功能</w:t>
            </w:r>
            <w:r>
              <w:rPr>
                <w:rFonts w:cs="仿宋" w:asciiTheme="minorEastAsia" w:hAnsiTheme="minorEastAsia" w:eastAsiaTheme="minorEastAsia"/>
                <w:color w:val="000000"/>
                <w:szCs w:val="21"/>
              </w:rPr>
              <w:t>升级</w:t>
            </w:r>
            <w:r>
              <w:rPr>
                <w:rFonts w:hint="eastAsia" w:cs="仿宋" w:asciiTheme="minorEastAsia" w:hAnsiTheme="minorEastAsia" w:eastAsiaTheme="minorEastAsia"/>
                <w:color w:val="000000"/>
                <w:szCs w:val="21"/>
              </w:rPr>
              <w:t>改造。提供的方案完整、详细、具体、可行性强，支持工作指挥、报告参阅、数据报送管理功能演示或者能提供页面原型的得</w:t>
            </w:r>
            <w:r>
              <w:rPr>
                <w:rFonts w:hint="eastAsia" w:cs="仿宋" w:asciiTheme="minorEastAsia" w:hAnsiTheme="minorEastAsia" w:eastAsiaTheme="minorEastAsia"/>
                <w:color w:val="000000"/>
                <w:szCs w:val="21"/>
                <w:lang w:val="en-US" w:eastAsia="zh-CN"/>
              </w:rPr>
              <w:t>3.1-</w:t>
            </w:r>
            <w:r>
              <w:rPr>
                <w:rFonts w:hint="eastAsia" w:cs="仿宋" w:asciiTheme="minorEastAsia" w:hAnsiTheme="minorEastAsia" w:eastAsiaTheme="minorEastAsia"/>
                <w:color w:val="000000"/>
                <w:szCs w:val="21"/>
              </w:rPr>
              <w:t>8分，提供的方案完整、详细、具体、可行性强，但不提供系统功能演示的得</w:t>
            </w:r>
            <w:r>
              <w:rPr>
                <w:rFonts w:hint="eastAsia" w:cs="仿宋" w:asciiTheme="minorEastAsia" w:hAnsiTheme="minorEastAsia" w:eastAsiaTheme="minorEastAsia"/>
                <w:color w:val="000000"/>
                <w:szCs w:val="21"/>
                <w:lang w:val="en-US" w:eastAsia="zh-CN"/>
              </w:rPr>
              <w:t>0.1-</w:t>
            </w:r>
            <w:r>
              <w:rPr>
                <w:rFonts w:hint="eastAsia" w:cs="仿宋" w:asciiTheme="minorEastAsia" w:hAnsiTheme="minorEastAsia" w:eastAsiaTheme="minorEastAsia"/>
                <w:color w:val="000000"/>
                <w:szCs w:val="21"/>
              </w:rPr>
              <w:t>3分，方案不周全详细、具体、可行性较差且未提供系统功能演示的不得分。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0-8</w:t>
            </w:r>
          </w:p>
        </w:tc>
      </w:tr>
      <w:tr>
        <w:tblPrEx>
          <w:tblCellMar>
            <w:top w:w="0" w:type="dxa"/>
            <w:left w:w="108" w:type="dxa"/>
            <w:bottom w:w="0" w:type="dxa"/>
            <w:right w:w="108" w:type="dxa"/>
          </w:tblCellMar>
        </w:tblPrEx>
        <w:trPr>
          <w:trHeight w:val="1217"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cs="仿宋" w:asciiTheme="minorEastAsia" w:hAnsiTheme="minorEastAsia" w:eastAsiaTheme="minorEastAsia"/>
                <w:color w:val="000000"/>
                <w:szCs w:val="21"/>
              </w:rPr>
              <w:t>嘉宾接待管理模块优化 部分</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详尽描述展示嘉宾接待管理系统功能</w:t>
            </w:r>
            <w:r>
              <w:rPr>
                <w:rFonts w:cs="仿宋" w:asciiTheme="minorEastAsia" w:hAnsiTheme="minorEastAsia" w:eastAsiaTheme="minorEastAsia"/>
                <w:color w:val="000000"/>
                <w:szCs w:val="21"/>
              </w:rPr>
              <w:t>升级</w:t>
            </w:r>
            <w:r>
              <w:rPr>
                <w:rFonts w:hint="eastAsia" w:cs="仿宋" w:asciiTheme="minorEastAsia" w:hAnsiTheme="minorEastAsia" w:eastAsiaTheme="minorEastAsia"/>
                <w:color w:val="000000"/>
                <w:szCs w:val="21"/>
              </w:rPr>
              <w:t>改造。提供的方案完整、详细、具体、可行性强，支持重要嘉宾管理、嘉宾分组、服务人员管理、嘉宾参会信息管理、信息分类汇总</w:t>
            </w:r>
            <w:r>
              <w:rPr>
                <w:rFonts w:cs="仿宋" w:asciiTheme="minorEastAsia" w:hAnsiTheme="minorEastAsia" w:eastAsiaTheme="minorEastAsia"/>
                <w:color w:val="000000"/>
                <w:szCs w:val="21"/>
              </w:rPr>
              <w:t>，数据导出等</w:t>
            </w:r>
            <w:r>
              <w:rPr>
                <w:rFonts w:hint="eastAsia" w:cs="仿宋" w:asciiTheme="minorEastAsia" w:hAnsiTheme="minorEastAsia" w:eastAsiaTheme="minorEastAsia"/>
                <w:color w:val="000000"/>
                <w:szCs w:val="21"/>
              </w:rPr>
              <w:t>功能演示的得</w:t>
            </w:r>
            <w:r>
              <w:rPr>
                <w:rFonts w:hint="eastAsia" w:cs="仿宋" w:asciiTheme="minorEastAsia" w:hAnsiTheme="minorEastAsia" w:eastAsiaTheme="minorEastAsia"/>
                <w:color w:val="000000"/>
                <w:szCs w:val="21"/>
                <w:lang w:val="en-US" w:eastAsia="zh-CN"/>
              </w:rPr>
              <w:t>3.1-</w:t>
            </w:r>
            <w:r>
              <w:rPr>
                <w:rFonts w:hint="eastAsia" w:cs="仿宋" w:asciiTheme="minorEastAsia" w:hAnsiTheme="minorEastAsia" w:eastAsiaTheme="minorEastAsia"/>
                <w:color w:val="000000"/>
                <w:szCs w:val="21"/>
              </w:rPr>
              <w:t>6分，提供的方案完整、详细、具体、可行性强，但不提供系统功能演示的得</w:t>
            </w:r>
            <w:r>
              <w:rPr>
                <w:rFonts w:hint="eastAsia" w:cs="仿宋" w:asciiTheme="minorEastAsia" w:hAnsiTheme="minorEastAsia" w:eastAsiaTheme="minorEastAsia"/>
                <w:color w:val="000000"/>
                <w:szCs w:val="21"/>
                <w:lang w:val="en-US" w:eastAsia="zh-CN"/>
              </w:rPr>
              <w:t>0.1-</w:t>
            </w:r>
            <w:r>
              <w:rPr>
                <w:rFonts w:hint="eastAsia" w:cs="仿宋" w:asciiTheme="minorEastAsia" w:hAnsiTheme="minorEastAsia" w:eastAsiaTheme="minorEastAsia"/>
                <w:color w:val="000000"/>
                <w:szCs w:val="21"/>
              </w:rPr>
              <w:t>3分，方案不周全详细、具体、可行性较差且未提供系统功能演示的不得分。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0-6</w:t>
            </w:r>
          </w:p>
        </w:tc>
      </w:tr>
      <w:tr>
        <w:tblPrEx>
          <w:tblCellMar>
            <w:top w:w="0" w:type="dxa"/>
            <w:left w:w="108" w:type="dxa"/>
            <w:bottom w:w="0" w:type="dxa"/>
            <w:right w:w="108" w:type="dxa"/>
          </w:tblCellMar>
        </w:tblPrEx>
        <w:trPr>
          <w:trHeight w:val="1217"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cs="仿宋" w:asciiTheme="minorEastAsia" w:hAnsiTheme="minorEastAsia" w:eastAsiaTheme="minorEastAsia"/>
                <w:color w:val="000000"/>
                <w:szCs w:val="21"/>
              </w:rPr>
              <w:t>工作联系单模块优化部分</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rPr>
              <w:t>详尽描述工作联系单系统功能</w:t>
            </w:r>
            <w:r>
              <w:t>升级</w:t>
            </w:r>
            <w:r>
              <w:rPr>
                <w:rFonts w:hint="eastAsia"/>
              </w:rPr>
              <w:t>改造。提供的方案完整、详细、具体、可行性强的得</w:t>
            </w:r>
            <w:r>
              <w:rPr>
                <w:rFonts w:hint="eastAsia"/>
                <w:lang w:val="en-US" w:eastAsia="zh-CN"/>
              </w:rPr>
              <w:t>3.1-</w:t>
            </w:r>
            <w:r>
              <w:rPr>
                <w:rFonts w:hint="eastAsia"/>
              </w:rPr>
              <w:t>6分，提供的方案不够周全详细、具体、完善、可行性一般的得</w:t>
            </w:r>
            <w:r>
              <w:rPr>
                <w:rFonts w:hint="eastAsia"/>
                <w:lang w:val="en-US" w:eastAsia="zh-CN"/>
              </w:rPr>
              <w:t>1.1-</w:t>
            </w:r>
            <w:r>
              <w:rPr>
                <w:rFonts w:hint="eastAsia"/>
              </w:rPr>
              <w:t>3分，提供的方案不周全详细、具体、可行性较差的得</w:t>
            </w:r>
            <w:r>
              <w:rPr>
                <w:rFonts w:hint="eastAsia"/>
                <w:lang w:val="en-US" w:eastAsia="zh-CN"/>
              </w:rPr>
              <w:t>0.1-</w:t>
            </w:r>
            <w:r>
              <w:rPr>
                <w:rFonts w:hint="eastAsia"/>
              </w:rPr>
              <w:t>1分，未提供的不得分。</w:t>
            </w:r>
          </w:p>
          <w:p>
            <w:pPr>
              <w:pStyle w:val="2"/>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0-6</w:t>
            </w:r>
          </w:p>
        </w:tc>
      </w:tr>
    </w:tbl>
    <w:p>
      <w:pPr>
        <w:pStyle w:val="2"/>
        <w:rPr>
          <w:rFonts w:asciiTheme="minorEastAsia" w:hAnsiTheme="minorEastAsia" w:eastAsiaTheme="minorEastAsia"/>
          <w:szCs w:val="21"/>
        </w:rPr>
      </w:pPr>
      <w:r>
        <w:rPr>
          <w:rFonts w:asciiTheme="minorEastAsia" w:hAnsiTheme="minorEastAsia" w:eastAsiaTheme="minorEastAsia"/>
          <w:szCs w:val="21"/>
        </w:rPr>
        <w:t>注：</w:t>
      </w:r>
      <w:r>
        <w:rPr>
          <w:rFonts w:asciiTheme="minorEastAsia" w:hAnsiTheme="minorEastAsia" w:eastAsiaTheme="minorEastAsia"/>
          <w:b/>
          <w:szCs w:val="21"/>
        </w:rPr>
        <w:t>需演示的内容</w:t>
      </w:r>
      <w:r>
        <w:rPr>
          <w:rFonts w:hint="eastAsia" w:ascii="宋体" w:hAnsi="宋体"/>
          <w:b/>
          <w:szCs w:val="21"/>
        </w:rPr>
        <w:t>投标人将演示内容制作成视频，放置在U盘中在投标截止时间前送至开标地点，时间20分钟以内。</w:t>
      </w:r>
    </w:p>
    <w:p>
      <w:pPr>
        <w:pStyle w:val="3"/>
        <w:rPr>
          <w:rFonts w:asciiTheme="minorEastAsia" w:hAnsiTheme="minorEastAsia" w:eastAsiaTheme="minorEastAsia"/>
          <w:szCs w:val="21"/>
        </w:rPr>
      </w:pPr>
    </w:p>
    <w:p/>
    <w:p>
      <w:pPr>
        <w:pStyle w:val="2"/>
      </w:pPr>
    </w:p>
    <w:p>
      <w:pPr>
        <w:pStyle w:val="3"/>
      </w:pPr>
    </w:p>
    <w:p/>
    <w:p>
      <w:pPr>
        <w:pStyle w:val="2"/>
      </w:pPr>
    </w:p>
    <w:p>
      <w:pPr>
        <w:pStyle w:val="3"/>
      </w:pPr>
    </w:p>
    <w:p/>
    <w:p>
      <w:pPr>
        <w:pStyle w:val="2"/>
      </w:pPr>
    </w:p>
    <w:p>
      <w:pPr>
        <w:pStyle w:val="3"/>
      </w:pPr>
    </w:p>
    <w:p/>
    <w:p>
      <w:pPr>
        <w:pStyle w:val="5"/>
        <w:spacing w:line="360" w:lineRule="auto"/>
        <w:jc w:val="center"/>
      </w:pPr>
      <w:bookmarkStart w:id="208" w:name="_Toc22725"/>
      <w:r>
        <w:rPr>
          <w:rFonts w:hint="eastAsia"/>
        </w:rPr>
        <w:t>第五章政府采购合同</w:t>
      </w:r>
      <w:bookmarkEnd w:id="208"/>
    </w:p>
    <w:p>
      <w:pPr>
        <w:spacing w:line="360" w:lineRule="auto"/>
        <w:jc w:val="center"/>
        <w:outlineLvl w:val="0"/>
        <w:rPr>
          <w:rFonts w:ascii="宋体" w:hAnsi="宋体"/>
          <w:b/>
          <w:szCs w:val="21"/>
        </w:rPr>
      </w:pPr>
      <w:bookmarkStart w:id="209" w:name="_Toc30950"/>
      <w:r>
        <w:rPr>
          <w:rFonts w:hint="eastAsia" w:ascii="宋体" w:hAnsi="宋体"/>
          <w:b/>
          <w:szCs w:val="21"/>
        </w:rPr>
        <w:t>一、通用必备条款部份</w:t>
      </w:r>
      <w:bookmarkEnd w:id="209"/>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招标编号：同诚-政府采购（2022）</w:t>
      </w:r>
      <w:r>
        <w:rPr>
          <w:rFonts w:hint="eastAsia" w:ascii="宋体" w:hAnsi="宋体" w:cs="Arial"/>
          <w:kern w:val="0"/>
          <w:szCs w:val="21"/>
          <w:lang w:val="en-US" w:eastAsia="zh-CN"/>
        </w:rPr>
        <w:t>36</w:t>
      </w:r>
      <w:r>
        <w:rPr>
          <w:rFonts w:hint="eastAsia" w:ascii="宋体" w:hAnsi="宋体" w:cs="Arial"/>
          <w:kern w:val="0"/>
          <w:szCs w:val="21"/>
        </w:rPr>
        <w:t>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合同编号：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 xml:space="preserve">政府采购计划（预算）确认书号：临[2022]4807号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采购人（以下称甲方）：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代理机构：浙江同诚建设管理有限公司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Arial"/>
          <w:kern w:val="0"/>
          <w:szCs w:val="21"/>
        </w:rPr>
      </w:pPr>
      <w:r>
        <w:rPr>
          <w:rFonts w:hint="eastAsia" w:ascii="宋体" w:hAnsi="宋体" w:cs="Arial"/>
          <w:kern w:val="0"/>
          <w:szCs w:val="21"/>
        </w:rPr>
        <w:t>根据《中华人民共和国政府采购法》、《中华人民共和国民法典》等法律法规的规定，甲乙双方按照</w:t>
      </w:r>
      <w:r>
        <w:rPr>
          <w:rFonts w:hint="eastAsia" w:ascii="宋体" w:hAnsi="宋体"/>
          <w:szCs w:val="21"/>
          <w:u w:val="single"/>
        </w:rPr>
        <w:t xml:space="preserve">世界互联网大会智慧指挥平台升级和运维项目 </w:t>
      </w:r>
      <w:r>
        <w:rPr>
          <w:rFonts w:hint="eastAsia" w:ascii="宋体" w:hAnsi="宋体" w:cs="Arial"/>
          <w:kern w:val="0"/>
          <w:szCs w:val="21"/>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b/>
          <w:kern w:val="0"/>
          <w:szCs w:val="21"/>
        </w:rPr>
      </w:pPr>
      <w:r>
        <w:rPr>
          <w:rFonts w:hint="eastAsia" w:ascii="宋体" w:hAnsi="宋体" w:cs="Arial"/>
          <w:b/>
          <w:kern w:val="0"/>
          <w:szCs w:val="21"/>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（2）采购文件与采购响应文件；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组成本合同的所有文件必须为书面形式。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具体见采购文件与采购响应文件。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第三条 合同价款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1.本合同项下货物（服务）总价款为（大写）</w:t>
      </w:r>
      <w:r>
        <w:rPr>
          <w:rFonts w:hint="eastAsia" w:ascii="宋体" w:hAnsi="宋体" w:cs="Arial"/>
          <w:kern w:val="0"/>
          <w:szCs w:val="21"/>
          <w:u w:val="single"/>
        </w:rPr>
        <w:t>____                  ___</w:t>
      </w:r>
      <w:r>
        <w:rPr>
          <w:rFonts w:hint="eastAsia" w:ascii="宋体" w:hAnsi="宋体" w:cs="Arial"/>
          <w:kern w:val="0"/>
          <w:szCs w:val="21"/>
        </w:rPr>
        <w:t>__人民币，分项价款在“投标报价表”中明确。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2.本合同总价款含所有税费。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3.本合同付款方式为以下第_________项：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（1）本合同项下的采购资金系甲方自行支付；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（2）本合同项下的采购资金须财政直接支付；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4.本合同项下的采购资金付款进度按招投标文件规定，未规定时按以下第_________项支付：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（1）一次性付款：乙方合同履行达到__</w:t>
      </w:r>
      <w:r>
        <w:rPr>
          <w:rFonts w:hint="eastAsia" w:ascii="宋体" w:hAnsi="宋体" w:cs="Arial"/>
          <w:kern w:val="0"/>
          <w:szCs w:val="21"/>
          <w:u w:val="single"/>
        </w:rPr>
        <w:t>_      ___</w:t>
      </w:r>
      <w:r>
        <w:rPr>
          <w:rFonts w:hint="eastAsia" w:ascii="宋体" w:hAnsi="宋体" w:cs="Arial"/>
          <w:kern w:val="0"/>
          <w:szCs w:val="21"/>
        </w:rPr>
        <w:t>___（条件）时，一次性付款；</w:t>
      </w:r>
    </w:p>
    <w:p>
      <w:pPr>
        <w:adjustRightInd w:val="0"/>
        <w:snapToGrid w:val="0"/>
        <w:spacing w:line="420" w:lineRule="exact"/>
        <w:ind w:left="403" w:leftChars="192"/>
        <w:rPr>
          <w:rFonts w:ascii="宋体" w:hAnsi="宋体" w:cs="Arial"/>
          <w:kern w:val="0"/>
          <w:szCs w:val="21"/>
        </w:rPr>
      </w:pPr>
      <w:r>
        <w:rPr>
          <w:rFonts w:hint="eastAsia" w:ascii="宋体" w:hAnsi="宋体" w:cs="Arial"/>
          <w:kern w:val="0"/>
          <w:szCs w:val="21"/>
        </w:rPr>
        <w:t>（2）分期付款：_</w:t>
      </w:r>
      <w:r>
        <w:rPr>
          <w:rFonts w:hint="eastAsia" w:ascii="宋体" w:hAnsi="宋体" w:cs="Arial"/>
          <w:kern w:val="0"/>
          <w:szCs w:val="21"/>
          <w:u w:val="single"/>
        </w:rPr>
        <w:t>__                                            __</w:t>
      </w:r>
      <w:r>
        <w:rPr>
          <w:rFonts w:hint="eastAsia" w:ascii="宋体" w:hAnsi="宋体" w:cs="Arial"/>
          <w:kern w:val="0"/>
          <w:szCs w:val="21"/>
        </w:rPr>
        <w:t>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kern w:val="0"/>
          <w:szCs w:val="21"/>
        </w:rPr>
        <w:t>按以下第__2_项处理：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1.本项目设置履约保证金，具体见采购文件与采购响应文件。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kern w:val="0"/>
          <w:szCs w:val="21"/>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第五条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除《政府采购法》第19条、第50条第二款规定的情形外，本合同一经签订，甲乙双方不得擅自终止合同或对合同实质性条款进行变更。确有特殊情况的，须经同级财政部门批准。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第六条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第七条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1.因履行本合同引起的或与本合同有关的争议，甲、乙双方应首先通过友好协商解决，如果协商不能解决争议，则采取以下第____2___种方式解决争议：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（1）向_</w:t>
      </w:r>
      <w:r>
        <w:rPr>
          <w:rFonts w:hint="eastAsia" w:ascii="宋体" w:hAnsi="宋体" w:cs="Arial"/>
          <w:kern w:val="0"/>
          <w:szCs w:val="21"/>
          <w:u w:val="single"/>
        </w:rPr>
        <w:t>__              ___</w:t>
      </w:r>
      <w:r>
        <w:rPr>
          <w:rFonts w:hint="eastAsia" w:ascii="宋体" w:hAnsi="宋体" w:cs="Arial"/>
          <w:kern w:val="0"/>
          <w:szCs w:val="21"/>
        </w:rPr>
        <w:t>___仲裁委员申请仲裁；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b/>
          <w:kern w:val="0"/>
          <w:szCs w:val="21"/>
        </w:rPr>
        <w:t xml:space="preserve">第八条 </w:t>
      </w:r>
      <w:r>
        <w:fldChar w:fldCharType="begin"/>
      </w:r>
      <w:r>
        <w:instrText xml:space="preserve"> HYPERLINK "http://www.86exp.com/hetong/" </w:instrText>
      </w:r>
      <w:r>
        <w:fldChar w:fldCharType="separate"/>
      </w:r>
      <w:r>
        <w:rPr>
          <w:rFonts w:hint="eastAsia" w:ascii="宋体" w:hAnsi="宋体" w:cs="Arial"/>
          <w:b/>
          <w:kern w:val="0"/>
          <w:szCs w:val="21"/>
        </w:rPr>
        <w:t>合同</w:t>
      </w:r>
      <w:r>
        <w:rPr>
          <w:rFonts w:hint="eastAsia" w:ascii="宋体" w:hAnsi="宋体" w:cs="Arial"/>
          <w:b/>
          <w:kern w:val="0"/>
          <w:szCs w:val="21"/>
        </w:rPr>
        <w:fldChar w:fldCharType="end"/>
      </w:r>
      <w:r>
        <w:rPr>
          <w:rFonts w:hint="eastAsia" w:ascii="宋体" w:hAnsi="宋体" w:cs="Arial"/>
          <w:b/>
          <w:kern w:val="0"/>
          <w:szCs w:val="21"/>
        </w:rPr>
        <w:t>生效及其他</w:t>
      </w:r>
      <w:r>
        <w:rPr>
          <w:rFonts w:hint="eastAsia" w:ascii="宋体" w:hAnsi="宋体" w:cs="Arial"/>
          <w:kern w:val="0"/>
          <w:szCs w:val="21"/>
        </w:rPr>
        <w:br w:type="textWrapping"/>
      </w:r>
      <w:r>
        <w:rPr>
          <w:rFonts w:hint="eastAsia" w:ascii="宋体" w:hAnsi="宋体" w:cs="Arial"/>
          <w:kern w:val="0"/>
          <w:szCs w:val="21"/>
        </w:rPr>
        <w:t>1.合同经甲、乙双方代表签章后即行生效。</w:t>
      </w:r>
      <w:r>
        <w:rPr>
          <w:rFonts w:hint="eastAsia" w:ascii="宋体" w:hAnsi="宋体" w:cs="Arial"/>
          <w:kern w:val="0"/>
          <w:szCs w:val="21"/>
        </w:rPr>
        <w:br w:type="textWrapping"/>
      </w:r>
      <w:r>
        <w:rPr>
          <w:rFonts w:hint="eastAsia" w:ascii="宋体" w:hAnsi="宋体" w:cs="Arial"/>
          <w:kern w:val="0"/>
          <w:szCs w:val="21"/>
        </w:rPr>
        <w:t>2.本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一式五份，甲乙双方各执二份，一份交采购代理机构存档。</w:t>
      </w:r>
      <w:r>
        <w:rPr>
          <w:rFonts w:hint="eastAsia" w:ascii="宋体" w:hAnsi="宋体" w:cs="Arial"/>
          <w:kern w:val="0"/>
          <w:szCs w:val="21"/>
        </w:rPr>
        <w:br w:type="textWrapping"/>
      </w:r>
      <w:r>
        <w:rPr>
          <w:rFonts w:hint="eastAsia" w:ascii="宋体" w:hAnsi="宋体" w:cs="Arial"/>
          <w:kern w:val="0"/>
          <w:szCs w:val="21"/>
        </w:rPr>
        <w:t>3.本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应按照中华人民共和国的现行法律进行解释。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jc w:val="left"/>
        <w:rPr>
          <w:rFonts w:ascii="宋体" w:hAnsi="宋体" w:cs="Arial"/>
          <w:kern w:val="0"/>
          <w:szCs w:val="21"/>
        </w:rPr>
      </w:pPr>
    </w:p>
    <w:p>
      <w:pPr>
        <w:spacing w:line="360" w:lineRule="auto"/>
        <w:jc w:val="center"/>
        <w:outlineLvl w:val="0"/>
        <w:rPr>
          <w:rFonts w:ascii="宋体" w:hAnsi="宋体"/>
          <w:b/>
          <w:szCs w:val="21"/>
        </w:rPr>
      </w:pPr>
      <w:bookmarkStart w:id="210" w:name="_Toc509308073"/>
      <w:bookmarkStart w:id="211" w:name="_Toc509308153"/>
      <w:bookmarkStart w:id="212" w:name="_Toc25344"/>
      <w:r>
        <w:rPr>
          <w:rFonts w:hint="eastAsia" w:ascii="宋体" w:hAnsi="宋体"/>
          <w:b/>
          <w:szCs w:val="21"/>
        </w:rPr>
        <w:t>二、特殊专用条款部分</w:t>
      </w:r>
      <w:bookmarkEnd w:id="210"/>
      <w:bookmarkEnd w:id="211"/>
      <w:bookmarkEnd w:id="212"/>
    </w:p>
    <w:p>
      <w:pPr>
        <w:autoSpaceDE w:val="0"/>
        <w:autoSpaceDN w:val="0"/>
        <w:adjustRightInd w:val="0"/>
        <w:jc w:val="left"/>
        <w:rPr>
          <w:rFonts w:ascii="宋体" w:hAnsi="宋体" w:eastAsia="仿宋_GB2312"/>
          <w:szCs w:val="21"/>
        </w:rPr>
      </w:pP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甲方：                           乙方：</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地址：                           地址：</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法定代表人：                     法定代表人：</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签订地点：                       签订地点：</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签订日期：年月日                 签订日期：年月日</w:t>
      </w:r>
    </w:p>
    <w:p>
      <w:pPr>
        <w:pStyle w:val="22"/>
        <w:rPr>
          <w:rFonts w:ascii="宋体" w:hAnsi="宋体"/>
          <w:lang w:val="en-US"/>
        </w:rPr>
      </w:pPr>
    </w:p>
    <w:p>
      <w:pPr>
        <w:pStyle w:val="22"/>
        <w:rPr>
          <w:rFonts w:ascii="宋体" w:hAnsi="宋体"/>
          <w:lang w:val="en-US"/>
        </w:rPr>
      </w:pP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鉴证方：</w:t>
      </w:r>
      <w:r>
        <w:rPr>
          <w:rFonts w:hint="eastAsia" w:ascii="宋体" w:hAnsi="宋体" w:cs="宋体"/>
          <w:kern w:val="0"/>
          <w:szCs w:val="21"/>
        </w:rPr>
        <w:t>浙江同诚建设管理有限公司</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 xml:space="preserve">地址：                           </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 xml:space="preserve">经办人：                     </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 xml:space="preserve">签订地点：                      </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 xml:space="preserve">签订日期：年月日               </w:t>
      </w:r>
    </w:p>
    <w:p>
      <w:pPr>
        <w:pStyle w:val="22"/>
        <w:ind w:firstLine="420" w:firstLineChars="200"/>
        <w:rPr>
          <w:rFonts w:ascii="宋体" w:hAnsi="宋体"/>
          <w:lang w:val="en-US"/>
        </w:rPr>
      </w:pPr>
    </w:p>
    <w:p>
      <w:pPr>
        <w:pStyle w:val="19"/>
        <w:spacing w:before="120" w:after="120" w:line="360" w:lineRule="auto"/>
        <w:rPr>
          <w:rFonts w:hAnsi="宋体"/>
          <w:bCs/>
          <w:sz w:val="21"/>
          <w:szCs w:val="21"/>
        </w:rPr>
        <w:sectPr>
          <w:footerReference r:id="rId8" w:type="first"/>
          <w:footerReference r:id="rId6" w:type="default"/>
          <w:footerReference r:id="rId7" w:type="even"/>
          <w:pgSz w:w="11906" w:h="16838"/>
          <w:pgMar w:top="1440" w:right="1247" w:bottom="1440" w:left="1474" w:header="851" w:footer="851" w:gutter="0"/>
          <w:cols w:space="720" w:num="1"/>
          <w:docGrid w:linePitch="312" w:charSpace="0"/>
        </w:sectPr>
      </w:pPr>
    </w:p>
    <w:p>
      <w:pPr>
        <w:pStyle w:val="5"/>
        <w:spacing w:line="360" w:lineRule="auto"/>
        <w:jc w:val="center"/>
      </w:pPr>
      <w:bookmarkStart w:id="213" w:name="_Toc3626"/>
      <w:bookmarkStart w:id="214" w:name="_Toc507404972"/>
      <w:bookmarkStart w:id="215" w:name="_Toc406403000"/>
      <w:r>
        <w:rPr>
          <w:rFonts w:hint="eastAsia"/>
        </w:rPr>
        <w:t>第六章　投标文件格式</w:t>
      </w:r>
      <w:bookmarkEnd w:id="213"/>
      <w:bookmarkEnd w:id="214"/>
      <w:bookmarkEnd w:id="215"/>
    </w:p>
    <w:p>
      <w:pPr>
        <w:pStyle w:val="5"/>
        <w:spacing w:line="320" w:lineRule="exact"/>
        <w:rPr>
          <w:rFonts w:ascii="宋体" w:hAnsi="宋体"/>
          <w:sz w:val="24"/>
        </w:rPr>
      </w:pPr>
      <w:bookmarkStart w:id="216" w:name="_Toc424545666"/>
      <w:bookmarkStart w:id="217" w:name="_Toc509308156"/>
      <w:bookmarkStart w:id="218" w:name="_Toc13687"/>
      <w:bookmarkStart w:id="219" w:name="_Toc503877073"/>
      <w:bookmarkStart w:id="220" w:name="_Toc178668984"/>
      <w:r>
        <w:rPr>
          <w:rFonts w:hint="eastAsia" w:ascii="宋体" w:hAnsi="宋体"/>
          <w:sz w:val="24"/>
        </w:rPr>
        <w:t>附件1： 资格文件封面格式及目录</w:t>
      </w:r>
      <w:bookmarkEnd w:id="216"/>
      <w:bookmarkEnd w:id="217"/>
      <w:bookmarkEnd w:id="218"/>
      <w:bookmarkEnd w:id="219"/>
    </w:p>
    <w:p>
      <w:pPr>
        <w:pStyle w:val="19"/>
        <w:snapToGrid w:val="0"/>
        <w:spacing w:before="120" w:after="120"/>
        <w:rPr>
          <w:rFonts w:hAnsi="宋体"/>
          <w:sz w:val="32"/>
          <w:szCs w:val="32"/>
        </w:rPr>
      </w:pPr>
      <w:r>
        <w:rPr>
          <w:rFonts w:hint="eastAsia" w:hAnsi="宋体"/>
          <w:bCs/>
          <w:sz w:val="32"/>
          <w:szCs w:val="32"/>
        </w:rPr>
        <w:t xml:space="preserve"> 正本或副本</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firstLine="3360" w:firstLineChars="1050"/>
        <w:rPr>
          <w:rFonts w:ascii="宋体" w:hAnsi="宋体"/>
          <w:sz w:val="32"/>
          <w:szCs w:val="32"/>
        </w:rPr>
      </w:pPr>
      <w:r>
        <w:rPr>
          <w:rFonts w:hint="eastAsia" w:ascii="宋体" w:hAnsi="宋体"/>
          <w:sz w:val="32"/>
          <w:szCs w:val="32"/>
        </w:rPr>
        <w:t>项目编号： ××××</w:t>
      </w:r>
    </w:p>
    <w:p>
      <w:pPr>
        <w:spacing w:after="100" w:afterAutospacing="1" w:line="800" w:lineRule="exact"/>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资</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格</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500" w:lineRule="exact"/>
        <w:ind w:right="532" w:firstLine="640" w:firstLineChars="200"/>
        <w:rPr>
          <w:rFonts w:ascii="宋体" w:hAnsi="宋体"/>
          <w:sz w:val="32"/>
          <w:szCs w:val="32"/>
        </w:rPr>
      </w:pPr>
      <w:r>
        <w:rPr>
          <w:rFonts w:hint="eastAsia" w:ascii="宋体" w:hAnsi="宋体"/>
          <w:sz w:val="32"/>
          <w:szCs w:val="32"/>
        </w:rPr>
        <w:t>投标人全称（公章）：</w:t>
      </w:r>
    </w:p>
    <w:p>
      <w:pPr>
        <w:wordWrap w:val="0"/>
        <w:spacing w:line="500" w:lineRule="exact"/>
        <w:ind w:right="-108" w:firstLine="640" w:firstLineChars="200"/>
        <w:rPr>
          <w:rFonts w:ascii="宋体" w:hAnsi="宋体"/>
          <w:sz w:val="32"/>
          <w:szCs w:val="32"/>
        </w:rPr>
      </w:pPr>
      <w:r>
        <w:rPr>
          <w:rFonts w:hint="eastAsia" w:ascii="宋体" w:hAnsi="宋体"/>
          <w:sz w:val="32"/>
          <w:szCs w:val="32"/>
        </w:rPr>
        <w:t>地    址：</w:t>
      </w:r>
    </w:p>
    <w:p>
      <w:pPr>
        <w:wordWrap w:val="0"/>
        <w:spacing w:line="500" w:lineRule="exact"/>
        <w:ind w:right="-108" w:firstLine="640" w:firstLineChars="200"/>
        <w:rPr>
          <w:rFonts w:ascii="宋体" w:hAnsi="宋体"/>
          <w:sz w:val="32"/>
          <w:szCs w:val="32"/>
        </w:rPr>
      </w:pPr>
      <w:r>
        <w:rPr>
          <w:rFonts w:hint="eastAsia" w:ascii="宋体" w:hAnsi="宋体"/>
          <w:sz w:val="32"/>
          <w:szCs w:val="32"/>
        </w:rPr>
        <w:t>时    间：</w:t>
      </w:r>
    </w:p>
    <w:p>
      <w:pPr>
        <w:wordWrap w:val="0"/>
        <w:spacing w:line="500" w:lineRule="exact"/>
        <w:ind w:right="-108" w:firstLine="720" w:firstLineChars="200"/>
        <w:rPr>
          <w:rFonts w:ascii="宋体" w:hAnsi="宋体"/>
          <w:sz w:val="36"/>
          <w:szCs w:val="36"/>
        </w:rPr>
      </w:pPr>
    </w:p>
    <w:p>
      <w:pPr>
        <w:pStyle w:val="20"/>
        <w:snapToGrid w:val="0"/>
        <w:ind w:left="5250"/>
        <w:rPr>
          <w:rFonts w:ascii="宋体" w:hAnsi="宋体"/>
          <w:sz w:val="36"/>
          <w:szCs w:val="36"/>
        </w:rPr>
      </w:pPr>
    </w:p>
    <w:p>
      <w:pPr>
        <w:pStyle w:val="20"/>
        <w:snapToGrid w:val="0"/>
        <w:ind w:left="3360" w:leftChars="1600"/>
        <w:rPr>
          <w:rFonts w:ascii="宋体" w:hAnsi="宋体"/>
          <w:b/>
          <w:sz w:val="36"/>
          <w:szCs w:val="36"/>
        </w:rPr>
      </w:pPr>
      <w:r>
        <w:rPr>
          <w:rFonts w:hint="eastAsia" w:ascii="宋体" w:hAnsi="宋体"/>
          <w:b/>
          <w:sz w:val="36"/>
          <w:szCs w:val="36"/>
        </w:rPr>
        <w:t>资格文件目录</w:t>
      </w:r>
    </w:p>
    <w:p>
      <w:pPr>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1投标人声明书（附件2）；</w:t>
      </w:r>
    </w:p>
    <w:p>
      <w:pPr>
        <w:spacing w:line="400" w:lineRule="exact"/>
        <w:ind w:firstLine="420" w:firstLineChars="200"/>
        <w:rPr>
          <w:rFonts w:ascii="宋体" w:hAnsi="宋体"/>
          <w:szCs w:val="21"/>
        </w:rPr>
      </w:pPr>
      <w:r>
        <w:rPr>
          <w:rFonts w:hint="eastAsia" w:ascii="宋体" w:hAnsi="宋体"/>
          <w:szCs w:val="21"/>
        </w:rPr>
        <w:t>2营业执照正本或副本复印件（盖单位公章）；</w:t>
      </w:r>
    </w:p>
    <w:p>
      <w:pPr>
        <w:spacing w:line="400" w:lineRule="exact"/>
        <w:ind w:firstLine="420" w:firstLineChars="200"/>
        <w:rPr>
          <w:rFonts w:ascii="宋体" w:hAnsi="宋体"/>
          <w:szCs w:val="21"/>
        </w:rPr>
      </w:pPr>
      <w:r>
        <w:rPr>
          <w:rFonts w:hint="eastAsia" w:ascii="宋体" w:hAnsi="宋体"/>
          <w:szCs w:val="21"/>
        </w:rPr>
        <w:t>3税务登记证正本或副本复印件（与营业执照合一的无需提供）（盖单位公章）；</w:t>
      </w:r>
    </w:p>
    <w:p>
      <w:pPr>
        <w:spacing w:line="400" w:lineRule="exact"/>
        <w:ind w:firstLine="420" w:firstLineChars="200"/>
        <w:rPr>
          <w:rFonts w:ascii="宋体" w:hAnsi="宋体"/>
          <w:szCs w:val="21"/>
        </w:rPr>
      </w:pPr>
      <w:r>
        <w:rPr>
          <w:rFonts w:hint="eastAsia" w:ascii="宋体" w:hAnsi="宋体"/>
          <w:szCs w:val="21"/>
        </w:rPr>
        <w:t>4法定代表人有效身份证件复印件；</w:t>
      </w:r>
    </w:p>
    <w:p>
      <w:pPr>
        <w:spacing w:line="400" w:lineRule="exact"/>
        <w:ind w:firstLine="420" w:firstLineChars="200"/>
        <w:rPr>
          <w:rFonts w:ascii="宋体" w:hAnsi="宋体"/>
          <w:szCs w:val="21"/>
        </w:rPr>
      </w:pPr>
      <w:r>
        <w:rPr>
          <w:rFonts w:hint="eastAsia" w:ascii="宋体" w:hAnsi="宋体"/>
          <w:szCs w:val="21"/>
        </w:rPr>
        <w:t>5法定代表人授权委托书（附件3）及授权代表有效身份证件复印件；</w:t>
      </w:r>
    </w:p>
    <w:p>
      <w:pPr>
        <w:spacing w:line="400" w:lineRule="exact"/>
        <w:ind w:firstLine="420" w:firstLineChars="200"/>
        <w:rPr>
          <w:rFonts w:ascii="宋体" w:hAnsi="宋体"/>
          <w:szCs w:val="21"/>
        </w:rPr>
      </w:pPr>
      <w:r>
        <w:rPr>
          <w:rFonts w:hint="eastAsia" w:ascii="宋体" w:hAnsi="宋体"/>
          <w:szCs w:val="21"/>
        </w:rPr>
        <w:t>6提供最近三个月（2022年4月、2022年5月、2022年6月）依法缴纳税收的证明（税费凭证复印件或依法免缴税费的证明复印件）；</w:t>
      </w:r>
    </w:p>
    <w:p>
      <w:pPr>
        <w:spacing w:line="400" w:lineRule="exact"/>
        <w:ind w:firstLine="420" w:firstLineChars="200"/>
        <w:rPr>
          <w:rFonts w:ascii="宋体" w:hAnsi="宋体"/>
          <w:szCs w:val="21"/>
        </w:rPr>
      </w:pPr>
      <w:r>
        <w:rPr>
          <w:rFonts w:hint="eastAsia" w:ascii="宋体" w:hAnsi="宋体"/>
          <w:szCs w:val="21"/>
        </w:rPr>
        <w:t>7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pPr>
        <w:spacing w:line="400" w:lineRule="exact"/>
        <w:ind w:firstLine="420" w:firstLineChars="200"/>
        <w:rPr>
          <w:rFonts w:ascii="宋体" w:hAnsi="宋体"/>
          <w:szCs w:val="21"/>
        </w:rPr>
      </w:pPr>
      <w:r>
        <w:rPr>
          <w:rFonts w:hint="eastAsia" w:ascii="宋体" w:hAnsi="宋体"/>
          <w:szCs w:val="21"/>
        </w:rPr>
        <w:t>8投标人认为需要提供的其他资料或招标公告资格要求中的其他资格材料。</w:t>
      </w:r>
    </w:p>
    <w:p>
      <w:pPr>
        <w:spacing w:line="400" w:lineRule="exact"/>
        <w:ind w:left="735"/>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220"/>
    <w:p>
      <w:pPr>
        <w:rPr>
          <w:rFonts w:ascii="宋体" w:hAnsi="宋体"/>
        </w:rPr>
      </w:pPr>
      <w:bookmarkStart w:id="221" w:name="_Toc417633389"/>
    </w:p>
    <w:p>
      <w:pPr>
        <w:pStyle w:val="5"/>
        <w:spacing w:line="320" w:lineRule="exact"/>
        <w:rPr>
          <w:rFonts w:ascii="宋体" w:hAnsi="宋体"/>
        </w:rPr>
      </w:pPr>
      <w:r>
        <w:rPr>
          <w:rFonts w:ascii="宋体" w:hAnsi="宋体"/>
          <w:sz w:val="24"/>
        </w:rPr>
        <w:br w:type="page"/>
      </w:r>
      <w:bookmarkStart w:id="222" w:name="_Toc503877074"/>
      <w:bookmarkStart w:id="223" w:name="_Toc509308157"/>
      <w:bookmarkStart w:id="224" w:name="_Toc21924"/>
      <w:r>
        <w:rPr>
          <w:rFonts w:hint="eastAsia" w:ascii="宋体" w:hAnsi="宋体"/>
          <w:sz w:val="24"/>
        </w:rPr>
        <w:t>附件2： 投标人声明书</w:t>
      </w:r>
      <w:bookmarkEnd w:id="222"/>
      <w:bookmarkEnd w:id="223"/>
      <w:bookmarkEnd w:id="224"/>
    </w:p>
    <w:p>
      <w:pPr>
        <w:pStyle w:val="31"/>
        <w:spacing w:line="432" w:lineRule="auto"/>
        <w:jc w:val="center"/>
        <w:rPr>
          <w:b/>
          <w:bCs/>
          <w:sz w:val="36"/>
          <w:szCs w:val="36"/>
        </w:rPr>
      </w:pPr>
      <w:r>
        <w:rPr>
          <w:b/>
          <w:bCs/>
          <w:sz w:val="36"/>
          <w:szCs w:val="36"/>
        </w:rPr>
        <w:t>投标人声明书</w:t>
      </w:r>
    </w:p>
    <w:p>
      <w:pPr>
        <w:pStyle w:val="31"/>
        <w:spacing w:line="432" w:lineRule="auto"/>
      </w:pPr>
      <w:r>
        <w:rPr>
          <w:rFonts w:hint="eastAsia"/>
        </w:rPr>
        <w:t>浙江同诚建设管理有限公司</w:t>
      </w:r>
      <w:r>
        <w:t>：</w:t>
      </w:r>
    </w:p>
    <w:p>
      <w:pPr>
        <w:spacing w:line="600" w:lineRule="exact"/>
        <w:ind w:firstLine="482"/>
        <w:rPr>
          <w:rFonts w:ascii="宋体" w:hAnsi="宋体"/>
          <w:sz w:val="24"/>
        </w:rPr>
      </w:pPr>
      <w:r>
        <w:rPr>
          <w:rFonts w:ascii="宋体" w:hAnsi="宋体"/>
          <w:sz w:val="24"/>
        </w:rPr>
        <w:t>本单位自愿参加</w:t>
      </w:r>
      <w:r>
        <w:rPr>
          <w:rFonts w:ascii="宋体" w:hAnsi="宋体"/>
          <w:sz w:val="24"/>
          <w:u w:val="single"/>
        </w:rPr>
        <w:t> </w:t>
      </w:r>
      <w:r>
        <w:rPr>
          <w:rFonts w:ascii="宋体" w:hAnsi="宋体"/>
          <w:sz w:val="24"/>
        </w:rPr>
        <w:t>项目（编号：）的投标，并</w:t>
      </w:r>
      <w:r>
        <w:rPr>
          <w:rFonts w:hint="eastAsia" w:ascii="宋体" w:hAnsi="宋体"/>
          <w:sz w:val="24"/>
        </w:rPr>
        <w:t>声明如下：</w:t>
      </w:r>
    </w:p>
    <w:p>
      <w:pPr>
        <w:spacing w:line="600" w:lineRule="exact"/>
        <w:ind w:firstLine="482"/>
        <w:rPr>
          <w:rFonts w:ascii="宋体" w:hAnsi="宋体"/>
          <w:sz w:val="24"/>
        </w:rPr>
      </w:pPr>
      <w:r>
        <w:rPr>
          <w:rFonts w:hint="eastAsia" w:ascii="宋体" w:hAnsi="宋体"/>
          <w:sz w:val="24"/>
        </w:rPr>
        <w:t>1.</w:t>
      </w:r>
      <w:r>
        <w:rPr>
          <w:rFonts w:ascii="宋体" w:hAnsi="宋体"/>
          <w:sz w:val="24"/>
        </w:rPr>
        <w:t>保证投标文件中所列举的投标报价及相关文件和</w:t>
      </w:r>
      <w:r>
        <w:rPr>
          <w:rFonts w:hint="eastAsia" w:ascii="宋体" w:hAnsi="宋体"/>
          <w:sz w:val="24"/>
        </w:rPr>
        <w:t>投标人</w:t>
      </w:r>
      <w:r>
        <w:rPr>
          <w:rFonts w:ascii="宋体" w:hAnsi="宋体"/>
          <w:sz w:val="24"/>
        </w:rPr>
        <w:t>基本情况资料是真实的、合法的。</w:t>
      </w:r>
    </w:p>
    <w:p>
      <w:pPr>
        <w:spacing w:line="600" w:lineRule="exact"/>
        <w:ind w:firstLine="482"/>
        <w:rPr>
          <w:rFonts w:ascii="宋体" w:hAnsi="宋体"/>
          <w:sz w:val="24"/>
        </w:rPr>
      </w:pPr>
      <w:r>
        <w:rPr>
          <w:rFonts w:hint="eastAsia" w:ascii="宋体" w:hAnsi="宋体"/>
          <w:sz w:val="24"/>
        </w:rPr>
        <w:t>2.</w:t>
      </w:r>
      <w:r>
        <w:rPr>
          <w:rFonts w:ascii="宋体" w:hAnsi="宋体"/>
          <w:sz w:val="24"/>
        </w:rPr>
        <w:t>同意此次采购招标文件中的各项内容。</w:t>
      </w:r>
    </w:p>
    <w:p>
      <w:pPr>
        <w:spacing w:line="600" w:lineRule="exact"/>
        <w:ind w:firstLine="482"/>
        <w:rPr>
          <w:rFonts w:ascii="宋体" w:hAnsi="宋体"/>
          <w:sz w:val="24"/>
        </w:rPr>
      </w:pPr>
      <w:r>
        <w:rPr>
          <w:rFonts w:hint="eastAsia" w:ascii="宋体" w:hAnsi="宋体"/>
          <w:sz w:val="24"/>
        </w:rPr>
        <w:t>3.参加政府采购活动前3年内在经营活动中没有因违法经营受到刑事处罚或者责令停产停业、吊销许可证或者执照、较大数额罚款等行政处罚的重大违法记录。</w:t>
      </w:r>
    </w:p>
    <w:p>
      <w:pPr>
        <w:spacing w:line="600" w:lineRule="exact"/>
        <w:ind w:firstLine="482"/>
        <w:rPr>
          <w:rFonts w:ascii="宋体" w:hAnsi="宋体"/>
          <w:sz w:val="24"/>
        </w:rPr>
      </w:pPr>
      <w:r>
        <w:rPr>
          <w:rFonts w:hint="eastAsia" w:ascii="宋体" w:hAnsi="宋体"/>
          <w:sz w:val="24"/>
        </w:rPr>
        <w:t>4.未为本项目提供整体设计、规范编制或者项目管理、监理、检测等服务。</w:t>
      </w:r>
    </w:p>
    <w:p>
      <w:pPr>
        <w:spacing w:line="600" w:lineRule="exact"/>
        <w:ind w:firstLine="482"/>
        <w:rPr>
          <w:rFonts w:ascii="宋体" w:hAnsi="宋体"/>
          <w:sz w:val="24"/>
        </w:rPr>
      </w:pPr>
      <w:r>
        <w:rPr>
          <w:rFonts w:hint="eastAsia" w:ascii="宋体" w:hAnsi="宋体"/>
          <w:sz w:val="24"/>
        </w:rPr>
        <w:t>5.本单位负责人为同一人或存在直接控股、管理关系的供应商未参加本项目的政府采购活动。</w:t>
      </w:r>
    </w:p>
    <w:p>
      <w:pPr>
        <w:spacing w:line="600" w:lineRule="exact"/>
        <w:ind w:firstLine="482"/>
        <w:rPr>
          <w:rFonts w:ascii="宋体" w:hAnsi="宋体"/>
          <w:sz w:val="24"/>
        </w:rPr>
      </w:pPr>
      <w:r>
        <w:rPr>
          <w:rFonts w:hint="eastAsia" w:ascii="宋体" w:hAnsi="宋体"/>
          <w:sz w:val="24"/>
        </w:rPr>
        <w:t>6.未组成其他联合体参加本项目的政府采购活动。（联合体投标的，</w:t>
      </w:r>
      <w:r>
        <w:rPr>
          <w:rFonts w:ascii="宋体" w:hAnsi="宋体"/>
          <w:sz w:val="24"/>
        </w:rPr>
        <w:t>联合体各方不以自己名义单独</w:t>
      </w:r>
      <w:r>
        <w:rPr>
          <w:rFonts w:hint="eastAsia" w:ascii="宋体" w:hAnsi="宋体"/>
          <w:sz w:val="24"/>
        </w:rPr>
        <w:t>、未</w:t>
      </w:r>
      <w:r>
        <w:rPr>
          <w:rFonts w:ascii="宋体" w:hAnsi="宋体"/>
          <w:sz w:val="24"/>
        </w:rPr>
        <w:t>组成或参加其他联合体</w:t>
      </w:r>
      <w:r>
        <w:rPr>
          <w:rFonts w:hint="eastAsia" w:ascii="宋体" w:hAnsi="宋体"/>
          <w:sz w:val="24"/>
        </w:rPr>
        <w:t>参加本项目的采购活动。）</w:t>
      </w:r>
    </w:p>
    <w:p>
      <w:pPr>
        <w:spacing w:line="600" w:lineRule="exact"/>
        <w:ind w:firstLine="482"/>
        <w:rPr>
          <w:rFonts w:ascii="宋体" w:hAnsi="宋体"/>
          <w:b/>
          <w:sz w:val="24"/>
        </w:rPr>
      </w:pPr>
    </w:p>
    <w:p>
      <w:pPr>
        <w:spacing w:line="320" w:lineRule="exact"/>
        <w:rPr>
          <w:rFonts w:ascii="宋体" w:hAnsi="宋体"/>
          <w:b/>
          <w:sz w:val="24"/>
        </w:rPr>
      </w:pPr>
    </w:p>
    <w:p>
      <w:pPr>
        <w:spacing w:line="320" w:lineRule="exact"/>
        <w:rPr>
          <w:rFonts w:ascii="宋体" w:hAnsi="宋体"/>
          <w:b/>
          <w:sz w:val="24"/>
        </w:rPr>
      </w:pPr>
    </w:p>
    <w:p>
      <w:pPr>
        <w:spacing w:line="320" w:lineRule="exact"/>
        <w:rPr>
          <w:rFonts w:ascii="宋体" w:hAnsi="宋体"/>
          <w:b/>
          <w:sz w:val="24"/>
        </w:rPr>
      </w:pPr>
    </w:p>
    <w:p>
      <w:pPr>
        <w:spacing w:line="320" w:lineRule="exact"/>
        <w:rPr>
          <w:rFonts w:ascii="宋体" w:hAnsi="宋体"/>
          <w:b/>
          <w:sz w:val="24"/>
        </w:rPr>
      </w:pPr>
      <w:r>
        <w:rPr>
          <w:rFonts w:hint="eastAsia" w:ascii="宋体" w:hAnsi="宋体"/>
          <w:b/>
          <w:sz w:val="24"/>
        </w:rPr>
        <w:t>投标人（公章）：</w:t>
      </w:r>
    </w:p>
    <w:p>
      <w:pPr>
        <w:spacing w:line="320" w:lineRule="exact"/>
        <w:rPr>
          <w:rFonts w:ascii="宋体" w:hAnsi="宋体"/>
          <w:b/>
          <w:sz w:val="24"/>
        </w:rPr>
      </w:pPr>
    </w:p>
    <w:p>
      <w:pPr>
        <w:spacing w:line="320" w:lineRule="exact"/>
        <w:rPr>
          <w:rFonts w:ascii="宋体" w:hAnsi="宋体"/>
          <w:sz w:val="24"/>
        </w:rPr>
      </w:pPr>
      <w:r>
        <w:rPr>
          <w:rFonts w:hint="eastAsia" w:ascii="宋体" w:hAnsi="宋体"/>
          <w:b/>
          <w:sz w:val="24"/>
        </w:rPr>
        <w:t xml:space="preserve">法定代表人或授权代表（签字或盖章）： </w:t>
      </w:r>
    </w:p>
    <w:p>
      <w:pPr>
        <w:spacing w:line="320" w:lineRule="exact"/>
        <w:rPr>
          <w:rFonts w:ascii="宋体" w:hAnsi="宋体"/>
          <w:b/>
          <w:sz w:val="24"/>
        </w:rPr>
      </w:pPr>
    </w:p>
    <w:p>
      <w:pPr>
        <w:spacing w:line="480" w:lineRule="auto"/>
        <w:rPr>
          <w:rFonts w:ascii="宋体" w:hAnsi="宋体"/>
          <w:b/>
          <w:sz w:val="24"/>
        </w:rPr>
      </w:pPr>
      <w:r>
        <w:rPr>
          <w:rFonts w:hint="eastAsia" w:ascii="宋体" w:hAnsi="宋体"/>
          <w:b/>
          <w:sz w:val="24"/>
        </w:rPr>
        <w:t>日期：  　年　月　日</w:t>
      </w:r>
    </w:p>
    <w:p>
      <w:pPr>
        <w:spacing w:line="320" w:lineRule="exact"/>
        <w:rPr>
          <w:rFonts w:ascii="宋体" w:hAnsi="宋体"/>
          <w:b/>
          <w:sz w:val="24"/>
        </w:rPr>
      </w:pPr>
    </w:p>
    <w:p>
      <w:pPr>
        <w:pStyle w:val="2"/>
        <w:rPr>
          <w:rFonts w:ascii="宋体" w:hAnsi="宋体"/>
          <w:b/>
          <w:sz w:val="24"/>
        </w:rPr>
      </w:pPr>
    </w:p>
    <w:p>
      <w:pPr>
        <w:pStyle w:val="3"/>
      </w:pPr>
    </w:p>
    <w:p>
      <w:pPr>
        <w:spacing w:line="320" w:lineRule="exact"/>
        <w:rPr>
          <w:rFonts w:ascii="宋体" w:hAnsi="宋体"/>
          <w:b/>
          <w:sz w:val="24"/>
        </w:rPr>
      </w:pPr>
    </w:p>
    <w:p>
      <w:pPr>
        <w:pStyle w:val="5"/>
        <w:spacing w:line="320" w:lineRule="exact"/>
        <w:rPr>
          <w:rFonts w:ascii="宋体" w:hAnsi="宋体"/>
          <w:sz w:val="24"/>
        </w:rPr>
      </w:pPr>
      <w:bookmarkStart w:id="225" w:name="_Toc509308158"/>
      <w:bookmarkStart w:id="226" w:name="_Toc503877075"/>
      <w:bookmarkStart w:id="227" w:name="_Toc417633391"/>
      <w:bookmarkStart w:id="228" w:name="_Toc178668986"/>
      <w:bookmarkStart w:id="229" w:name="_Toc16784"/>
      <w:r>
        <w:rPr>
          <w:rFonts w:hint="eastAsia" w:ascii="宋体" w:hAnsi="宋体"/>
          <w:sz w:val="24"/>
        </w:rPr>
        <w:t>附件3： 法定代表人授权委托书</w:t>
      </w:r>
      <w:bookmarkEnd w:id="225"/>
      <w:bookmarkEnd w:id="226"/>
      <w:bookmarkEnd w:id="227"/>
      <w:bookmarkEnd w:id="228"/>
      <w:bookmarkEnd w:id="229"/>
    </w:p>
    <w:p>
      <w:pPr>
        <w:overflowPunct w:val="0"/>
        <w:spacing w:line="320" w:lineRule="exact"/>
        <w:jc w:val="center"/>
        <w:rPr>
          <w:rFonts w:ascii="宋体" w:hAnsi="宋体"/>
          <w:b/>
          <w:bCs/>
          <w:sz w:val="36"/>
        </w:rPr>
      </w:pPr>
    </w:p>
    <w:p>
      <w:pPr>
        <w:widowControl/>
        <w:spacing w:line="400" w:lineRule="exact"/>
        <w:jc w:val="center"/>
        <w:rPr>
          <w:rFonts w:ascii="宋体" w:hAnsi="宋体"/>
          <w:b/>
          <w:sz w:val="36"/>
          <w:szCs w:val="36"/>
        </w:rPr>
      </w:pPr>
      <w:r>
        <w:rPr>
          <w:rFonts w:hint="eastAsia" w:ascii="宋体" w:hAnsi="宋体"/>
          <w:b/>
          <w:sz w:val="36"/>
          <w:szCs w:val="36"/>
        </w:rPr>
        <w:t>法定代表人授权委托书</w:t>
      </w:r>
    </w:p>
    <w:p>
      <w:pPr>
        <w:overflowPunct w:val="0"/>
        <w:spacing w:line="320" w:lineRule="exact"/>
        <w:jc w:val="center"/>
        <w:rPr>
          <w:rFonts w:ascii="宋体" w:hAnsi="宋体"/>
          <w:sz w:val="28"/>
        </w:rPr>
      </w:pPr>
    </w:p>
    <w:p>
      <w:pPr>
        <w:spacing w:line="320" w:lineRule="exact"/>
        <w:ind w:firstLine="480"/>
        <w:rPr>
          <w:rFonts w:ascii="宋体" w:hAnsi="宋体"/>
          <w:sz w:val="24"/>
        </w:rPr>
      </w:pPr>
    </w:p>
    <w:p>
      <w:pPr>
        <w:spacing w:line="400" w:lineRule="exact"/>
        <w:rPr>
          <w:rFonts w:ascii="宋体" w:hAnsi="宋体"/>
          <w:sz w:val="24"/>
        </w:rPr>
      </w:pPr>
      <w:r>
        <w:rPr>
          <w:rFonts w:hint="eastAsia" w:ascii="宋体" w:hAnsi="宋体"/>
          <w:sz w:val="24"/>
        </w:rPr>
        <w:t>致</w:t>
      </w:r>
      <w:r>
        <w:rPr>
          <w:rFonts w:hint="eastAsia" w:ascii="宋体" w:hAnsi="宋体"/>
          <w:sz w:val="24"/>
          <w:u w:val="single"/>
        </w:rPr>
        <w:t>浙江同诚建设管理有限公司</w:t>
      </w:r>
      <w:r>
        <w:rPr>
          <w:rFonts w:hint="eastAsia" w:ascii="宋体" w:hAnsi="宋体"/>
          <w:sz w:val="24"/>
        </w:rPr>
        <w:t>：</w:t>
      </w:r>
    </w:p>
    <w:p>
      <w:pPr>
        <w:spacing w:line="600" w:lineRule="exact"/>
        <w:ind w:firstLine="482"/>
        <w:rPr>
          <w:rFonts w:ascii="宋体" w:hAnsi="宋体"/>
          <w:sz w:val="24"/>
        </w:rPr>
      </w:pPr>
      <w:r>
        <w:rPr>
          <w:rFonts w:hint="eastAsia" w:ascii="宋体" w:hAnsi="宋体"/>
          <w:sz w:val="24"/>
        </w:rPr>
        <w:t>我</w:t>
      </w:r>
      <w:r>
        <w:rPr>
          <w:rFonts w:hint="eastAsia" w:ascii="宋体" w:hAnsi="宋体"/>
          <w:sz w:val="24"/>
          <w:u w:val="single"/>
        </w:rPr>
        <w:t>_____ __</w:t>
      </w:r>
      <w:r>
        <w:rPr>
          <w:rFonts w:hint="eastAsia" w:ascii="宋体" w:hAnsi="宋体"/>
          <w:sz w:val="24"/>
        </w:rPr>
        <w:t>（姓名）系_</w:t>
      </w:r>
      <w:r>
        <w:rPr>
          <w:rFonts w:hint="eastAsia" w:ascii="宋体" w:hAnsi="宋体"/>
          <w:sz w:val="24"/>
          <w:u w:val="single"/>
        </w:rPr>
        <w:t>_____      _       __</w:t>
      </w:r>
      <w:r>
        <w:rPr>
          <w:rFonts w:hint="eastAsia" w:ascii="宋体" w:hAnsi="宋体"/>
          <w:sz w:val="24"/>
        </w:rPr>
        <w:t>（投标人名称）的法定代表人，现授权委托本单位在职职工（姓名）以我方的名义参加（项目编号）</w:t>
      </w:r>
    </w:p>
    <w:p>
      <w:pPr>
        <w:spacing w:line="600" w:lineRule="exact"/>
        <w:rPr>
          <w:rFonts w:ascii="宋体" w:hAnsi="宋体"/>
          <w:sz w:val="24"/>
          <w:u w:val="single"/>
        </w:rPr>
      </w:pPr>
      <w:r>
        <w:rPr>
          <w:rFonts w:hint="eastAsia" w:ascii="宋体" w:hAnsi="宋体"/>
          <w:sz w:val="24"/>
        </w:rPr>
        <w:t>(项目名称)的投标活动，并代表我方全权办理针对上述项目的投标、开标、评标、签约等具体事务和签署相关文件。</w:t>
      </w:r>
    </w:p>
    <w:p>
      <w:pPr>
        <w:spacing w:line="600" w:lineRule="exact"/>
        <w:ind w:firstLine="482"/>
        <w:rPr>
          <w:rFonts w:ascii="宋体" w:hAnsi="宋体"/>
          <w:sz w:val="24"/>
        </w:rPr>
      </w:pPr>
      <w:r>
        <w:rPr>
          <w:rFonts w:hint="eastAsia" w:ascii="宋体" w:hAnsi="宋体"/>
          <w:sz w:val="24"/>
        </w:rPr>
        <w:t>我方对被授权人的签名事项负全部责任。</w:t>
      </w:r>
    </w:p>
    <w:p>
      <w:pPr>
        <w:spacing w:line="600" w:lineRule="exact"/>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spacing w:line="600" w:lineRule="exact"/>
        <w:ind w:firstLine="482"/>
        <w:rPr>
          <w:rFonts w:ascii="宋体" w:hAnsi="宋体"/>
          <w:sz w:val="24"/>
        </w:rPr>
      </w:pPr>
      <w:r>
        <w:rPr>
          <w:rFonts w:hint="eastAsia" w:ascii="宋体" w:hAnsi="宋体"/>
          <w:sz w:val="24"/>
        </w:rPr>
        <w:t>被授权人无转委托权，特此委托。</w:t>
      </w:r>
    </w:p>
    <w:p>
      <w:pPr>
        <w:spacing w:line="400" w:lineRule="exact"/>
        <w:ind w:firstLine="480"/>
        <w:rPr>
          <w:rFonts w:ascii="宋体" w:hAnsi="宋体"/>
          <w:sz w:val="24"/>
        </w:rPr>
      </w:pPr>
    </w:p>
    <w:p>
      <w:pPr>
        <w:spacing w:line="600" w:lineRule="exact"/>
        <w:ind w:firstLine="482"/>
        <w:rPr>
          <w:rFonts w:ascii="宋体" w:hAnsi="宋体"/>
          <w:sz w:val="24"/>
        </w:rPr>
      </w:pPr>
      <w:r>
        <w:rPr>
          <w:rFonts w:hint="eastAsia" w:ascii="宋体" w:hAnsi="宋体"/>
          <w:sz w:val="24"/>
        </w:rPr>
        <w:t xml:space="preserve">被授权人（签字或盖章）：                   法定代表人(签字或盖章)：    </w:t>
      </w:r>
    </w:p>
    <w:p>
      <w:pPr>
        <w:spacing w:line="600" w:lineRule="exact"/>
        <w:ind w:firstLine="482"/>
        <w:rPr>
          <w:rFonts w:ascii="宋体" w:hAnsi="宋体"/>
          <w:sz w:val="24"/>
        </w:rPr>
      </w:pPr>
      <w:r>
        <w:rPr>
          <w:rFonts w:hint="eastAsia" w:ascii="宋体" w:hAnsi="宋体"/>
          <w:sz w:val="24"/>
        </w:rPr>
        <w:t xml:space="preserve">职务：                                    职务：           </w:t>
      </w:r>
    </w:p>
    <w:p>
      <w:pPr>
        <w:spacing w:line="600" w:lineRule="exact"/>
        <w:ind w:firstLine="482"/>
        <w:rPr>
          <w:rFonts w:ascii="宋体" w:hAnsi="宋体"/>
          <w:sz w:val="24"/>
        </w:rPr>
      </w:pPr>
      <w:r>
        <w:rPr>
          <w:rFonts w:hint="eastAsia" w:ascii="宋体" w:hAnsi="宋体"/>
          <w:sz w:val="24"/>
        </w:rPr>
        <w:t xml:space="preserve">被授权人身份证号码：                                            </w:t>
      </w:r>
    </w:p>
    <w:p>
      <w:pPr>
        <w:spacing w:line="600" w:lineRule="exact"/>
        <w:ind w:firstLine="480"/>
        <w:rPr>
          <w:rFonts w:ascii="宋体" w:hAnsi="宋体"/>
          <w:sz w:val="24"/>
        </w:rPr>
      </w:pPr>
      <w:r>
        <w:rPr>
          <w:rFonts w:hint="eastAsia" w:ascii="宋体" w:hAnsi="宋体"/>
          <w:sz w:val="24"/>
        </w:rPr>
        <w:t>手机：</w:t>
      </w:r>
    </w:p>
    <w:p>
      <w:pPr>
        <w:spacing w:line="320" w:lineRule="exact"/>
        <w:ind w:firstLine="480"/>
        <w:rPr>
          <w:rFonts w:ascii="宋体" w:hAnsi="宋体"/>
          <w:sz w:val="24"/>
        </w:rPr>
      </w:pPr>
    </w:p>
    <w:p>
      <w:pPr>
        <w:spacing w:line="320" w:lineRule="exact"/>
        <w:ind w:firstLine="480"/>
        <w:rPr>
          <w:rFonts w:ascii="宋体" w:hAnsi="宋体"/>
          <w:sz w:val="24"/>
        </w:rPr>
      </w:pPr>
    </w:p>
    <w:p>
      <w:pPr>
        <w:spacing w:line="320" w:lineRule="exact"/>
        <w:ind w:firstLine="480"/>
        <w:rPr>
          <w:rFonts w:ascii="宋体" w:hAnsi="宋体"/>
          <w:sz w:val="24"/>
        </w:rPr>
      </w:pPr>
    </w:p>
    <w:p>
      <w:pPr>
        <w:spacing w:line="320" w:lineRule="exact"/>
        <w:rPr>
          <w:rFonts w:ascii="宋体" w:hAnsi="宋体"/>
          <w:b/>
          <w:bCs/>
          <w:sz w:val="24"/>
        </w:rPr>
      </w:pPr>
      <w:r>
        <w:rPr>
          <w:rFonts w:hint="eastAsia" w:ascii="宋体" w:hAnsi="宋体"/>
          <w:b/>
          <w:bCs/>
          <w:sz w:val="24"/>
        </w:rPr>
        <w:t>投标人（公章）：</w:t>
      </w:r>
    </w:p>
    <w:p>
      <w:pPr>
        <w:spacing w:line="320" w:lineRule="exact"/>
        <w:ind w:firstLine="480"/>
        <w:rPr>
          <w:rFonts w:ascii="宋体" w:hAnsi="宋体"/>
          <w:b/>
          <w:bCs/>
          <w:sz w:val="24"/>
        </w:rPr>
      </w:pPr>
    </w:p>
    <w:p>
      <w:pPr>
        <w:spacing w:line="320" w:lineRule="exact"/>
        <w:rPr>
          <w:rFonts w:ascii="宋体" w:hAnsi="宋体"/>
          <w:b/>
          <w:bCs/>
          <w:sz w:val="24"/>
        </w:rPr>
      </w:pPr>
    </w:p>
    <w:p>
      <w:pPr>
        <w:spacing w:line="320" w:lineRule="exact"/>
        <w:rPr>
          <w:rFonts w:ascii="宋体" w:hAnsi="宋体"/>
          <w:b/>
          <w:bCs/>
          <w:sz w:val="24"/>
        </w:rPr>
      </w:pPr>
    </w:p>
    <w:p>
      <w:pPr>
        <w:spacing w:line="320" w:lineRule="exact"/>
        <w:rPr>
          <w:rFonts w:ascii="宋体" w:hAnsi="宋体"/>
          <w:b/>
          <w:bCs/>
          <w:sz w:val="24"/>
        </w:rPr>
      </w:pPr>
      <w:r>
        <w:rPr>
          <w:rFonts w:hint="eastAsia" w:ascii="宋体" w:hAnsi="宋体"/>
          <w:b/>
          <w:bCs/>
          <w:sz w:val="24"/>
        </w:rPr>
        <w:t>日期：    年    月    日</w:t>
      </w:r>
    </w:p>
    <w:p>
      <w:pPr>
        <w:spacing w:line="320" w:lineRule="exact"/>
        <w:rPr>
          <w:rFonts w:ascii="宋体" w:hAnsi="宋体"/>
          <w:b/>
          <w:sz w:val="24"/>
        </w:rPr>
      </w:pPr>
    </w:p>
    <w:p>
      <w:pPr>
        <w:pStyle w:val="5"/>
        <w:spacing w:line="320" w:lineRule="exact"/>
        <w:rPr>
          <w:rFonts w:ascii="宋体" w:hAnsi="宋体"/>
          <w:sz w:val="24"/>
          <w:szCs w:val="24"/>
        </w:rPr>
      </w:pPr>
      <w:r>
        <w:rPr>
          <w:rFonts w:ascii="宋体" w:hAnsi="宋体"/>
          <w:b w:val="0"/>
          <w:sz w:val="24"/>
        </w:rPr>
        <w:br w:type="page"/>
      </w:r>
      <w:bookmarkStart w:id="230" w:name="_Toc503877077"/>
      <w:bookmarkStart w:id="231" w:name="_Toc509308159"/>
      <w:bookmarkStart w:id="232" w:name="_Toc11362"/>
      <w:r>
        <w:rPr>
          <w:rFonts w:hint="eastAsia" w:ascii="宋体" w:hAnsi="宋体"/>
          <w:sz w:val="24"/>
          <w:szCs w:val="24"/>
        </w:rPr>
        <w:t>附件4： 技术商务文件封面格式及目录</w:t>
      </w:r>
      <w:bookmarkEnd w:id="230"/>
      <w:bookmarkEnd w:id="231"/>
      <w:bookmarkEnd w:id="232"/>
    </w:p>
    <w:p>
      <w:pPr>
        <w:pStyle w:val="19"/>
        <w:snapToGrid w:val="0"/>
        <w:spacing w:before="120" w:after="120"/>
        <w:jc w:val="right"/>
        <w:rPr>
          <w:rFonts w:hAnsi="宋体"/>
          <w:bCs/>
          <w:sz w:val="30"/>
          <w:szCs w:val="30"/>
        </w:rPr>
      </w:pPr>
      <w:r>
        <w:rPr>
          <w:rFonts w:hint="eastAsia" w:hAnsi="宋体"/>
          <w:bCs/>
          <w:sz w:val="30"/>
          <w:szCs w:val="30"/>
        </w:rPr>
        <w:t>正本或副本</w:t>
      </w:r>
    </w:p>
    <w:p>
      <w:pPr>
        <w:snapToGrid w:val="0"/>
        <w:spacing w:beforeLines="50" w:after="50"/>
        <w:rPr>
          <w:rFonts w:ascii="宋体" w:hAnsi="宋体"/>
          <w:bCs/>
          <w:sz w:val="30"/>
          <w:szCs w:val="30"/>
        </w:rPr>
      </w:pPr>
    </w:p>
    <w:p>
      <w:pPr>
        <w:ind w:right="-110"/>
        <w:jc w:val="center"/>
        <w:rPr>
          <w:rFonts w:ascii="宋体" w:hAnsi="宋体"/>
          <w:spacing w:val="40"/>
          <w:sz w:val="36"/>
          <w:szCs w:val="36"/>
        </w:rPr>
      </w:pPr>
      <w:r>
        <w:rPr>
          <w:rFonts w:hint="eastAsia" w:ascii="宋体" w:hAnsi="宋体"/>
          <w:spacing w:val="40"/>
          <w:sz w:val="36"/>
          <w:szCs w:val="36"/>
        </w:rPr>
        <w:t>项目名称：×××</w:t>
      </w:r>
    </w:p>
    <w:p>
      <w:pPr>
        <w:spacing w:beforeLines="100" w:line="240" w:lineRule="atLeast"/>
        <w:ind w:right="-108"/>
        <w:jc w:val="center"/>
        <w:rPr>
          <w:rFonts w:ascii="宋体" w:hAnsi="宋体"/>
          <w:sz w:val="36"/>
          <w:szCs w:val="36"/>
        </w:rPr>
      </w:pPr>
      <w:r>
        <w:rPr>
          <w:rFonts w:hint="eastAsia" w:ascii="宋体" w:hAnsi="宋体"/>
          <w:sz w:val="36"/>
          <w:szCs w:val="36"/>
        </w:rPr>
        <w:t>项目编号： ××××</w:t>
      </w:r>
    </w:p>
    <w:p>
      <w:pPr>
        <w:spacing w:after="100" w:afterAutospacing="1" w:line="800" w:lineRule="exact"/>
        <w:ind w:right="-108"/>
        <w:jc w:val="center"/>
        <w:rPr>
          <w:rFonts w:ascii="宋体" w:hAnsi="宋体"/>
          <w:b/>
          <w:spacing w:val="40"/>
          <w:sz w:val="84"/>
          <w:szCs w:val="84"/>
        </w:rPr>
      </w:pPr>
    </w:p>
    <w:p>
      <w:pPr>
        <w:spacing w:after="100" w:afterAutospacing="1" w:line="800" w:lineRule="exact"/>
        <w:ind w:right="-108"/>
        <w:jc w:val="center"/>
        <w:rPr>
          <w:rFonts w:ascii="宋体" w:hAnsi="宋体"/>
          <w:b/>
          <w:spacing w:val="40"/>
          <w:sz w:val="84"/>
          <w:szCs w:val="84"/>
        </w:rPr>
      </w:pP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技</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术</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商</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务</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件</w:t>
      </w:r>
    </w:p>
    <w:p>
      <w:pPr>
        <w:spacing w:line="600" w:lineRule="exact"/>
        <w:ind w:right="532" w:firstLine="720" w:firstLineChars="200"/>
        <w:rPr>
          <w:rFonts w:ascii="宋体" w:hAnsi="宋体"/>
          <w:sz w:val="36"/>
          <w:szCs w:val="36"/>
        </w:rPr>
      </w:pPr>
    </w:p>
    <w:p>
      <w:pPr>
        <w:spacing w:line="600" w:lineRule="exact"/>
        <w:ind w:right="532" w:firstLine="720" w:firstLineChars="200"/>
        <w:rPr>
          <w:rFonts w:ascii="宋体" w:hAnsi="宋体"/>
          <w:sz w:val="36"/>
          <w:szCs w:val="36"/>
        </w:rPr>
      </w:pPr>
    </w:p>
    <w:p>
      <w:pPr>
        <w:spacing w:line="600" w:lineRule="exact"/>
        <w:ind w:right="532" w:firstLine="640" w:firstLineChars="200"/>
        <w:rPr>
          <w:rFonts w:ascii="宋体" w:hAnsi="宋体"/>
          <w:sz w:val="32"/>
          <w:szCs w:val="32"/>
        </w:rPr>
      </w:pPr>
      <w:r>
        <w:rPr>
          <w:rFonts w:hint="eastAsia" w:ascii="宋体" w:hAnsi="宋体"/>
          <w:sz w:val="32"/>
          <w:szCs w:val="32"/>
        </w:rPr>
        <w:t>投标人全称（公章）：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pacing w:line="600" w:lineRule="exact"/>
        <w:ind w:right="532" w:firstLine="720" w:firstLineChars="200"/>
        <w:rPr>
          <w:rFonts w:ascii="宋体" w:hAnsi="宋体"/>
          <w:sz w:val="36"/>
          <w:szCs w:val="36"/>
        </w:rPr>
      </w:pPr>
    </w:p>
    <w:p>
      <w:pPr>
        <w:snapToGrid w:val="0"/>
        <w:spacing w:before="50" w:after="50"/>
        <w:rPr>
          <w:rFonts w:ascii="宋体" w:hAnsi="宋体"/>
          <w:b/>
          <w:bCs/>
          <w:sz w:val="36"/>
          <w:szCs w:val="36"/>
        </w:rPr>
      </w:pPr>
      <w:r>
        <w:rPr>
          <w:rFonts w:hint="eastAsia" w:ascii="宋体" w:hAnsi="宋体"/>
          <w:b/>
          <w:bCs/>
          <w:sz w:val="36"/>
          <w:szCs w:val="36"/>
        </w:rPr>
        <w:t>技术商务文件目录</w:t>
      </w:r>
    </w:p>
    <w:p>
      <w:pPr>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1投标人基本情况表（附件5）；</w:t>
      </w:r>
    </w:p>
    <w:p>
      <w:pPr>
        <w:spacing w:line="400" w:lineRule="exact"/>
        <w:ind w:firstLine="420" w:firstLineChars="200"/>
        <w:rPr>
          <w:rFonts w:ascii="宋体" w:hAnsi="宋体"/>
          <w:szCs w:val="21"/>
        </w:rPr>
      </w:pPr>
      <w:r>
        <w:rPr>
          <w:rFonts w:hint="eastAsia" w:ascii="宋体" w:hAnsi="宋体"/>
          <w:szCs w:val="21"/>
        </w:rPr>
        <w:t>2本项目总体实施方案；</w:t>
      </w:r>
    </w:p>
    <w:p>
      <w:pPr>
        <w:spacing w:line="400" w:lineRule="exact"/>
        <w:ind w:firstLine="420" w:firstLineChars="200"/>
        <w:rPr>
          <w:rFonts w:ascii="宋体" w:hAnsi="宋体"/>
          <w:szCs w:val="21"/>
        </w:rPr>
      </w:pPr>
      <w:r>
        <w:rPr>
          <w:rFonts w:hint="eastAsia" w:ascii="宋体" w:hAnsi="宋体"/>
          <w:szCs w:val="21"/>
        </w:rPr>
        <w:t>3项目实施人员一览表（附件6）</w:t>
      </w:r>
    </w:p>
    <w:p>
      <w:pPr>
        <w:spacing w:line="400" w:lineRule="exact"/>
        <w:ind w:firstLine="420" w:firstLineChars="200"/>
        <w:rPr>
          <w:rFonts w:ascii="宋体" w:hAnsi="宋体"/>
          <w:szCs w:val="21"/>
        </w:rPr>
      </w:pPr>
      <w:r>
        <w:rPr>
          <w:rFonts w:hint="eastAsia" w:ascii="宋体" w:hAnsi="宋体"/>
          <w:szCs w:val="21"/>
        </w:rPr>
        <w:t>4项目售后服务方案；</w:t>
      </w:r>
    </w:p>
    <w:p>
      <w:pPr>
        <w:spacing w:line="400" w:lineRule="exact"/>
        <w:ind w:firstLine="420" w:firstLineChars="200"/>
        <w:rPr>
          <w:rFonts w:ascii="宋体" w:hAnsi="宋体"/>
          <w:szCs w:val="21"/>
        </w:rPr>
      </w:pPr>
      <w:r>
        <w:rPr>
          <w:rFonts w:hint="eastAsia" w:ascii="宋体" w:hAnsi="宋体"/>
          <w:szCs w:val="21"/>
        </w:rPr>
        <w:t>5同类案例证明（附件7）</w:t>
      </w:r>
    </w:p>
    <w:p>
      <w:pPr>
        <w:spacing w:line="400" w:lineRule="exact"/>
        <w:ind w:firstLine="420" w:firstLineChars="200"/>
        <w:rPr>
          <w:rFonts w:ascii="宋体" w:hAnsi="宋体"/>
          <w:szCs w:val="21"/>
        </w:rPr>
      </w:pPr>
      <w:r>
        <w:rPr>
          <w:rFonts w:hint="eastAsia" w:ascii="宋体" w:hAnsi="宋体"/>
          <w:szCs w:val="21"/>
        </w:rPr>
        <w:t>6服务承诺（附件8）；</w:t>
      </w:r>
    </w:p>
    <w:p>
      <w:pPr>
        <w:spacing w:line="400" w:lineRule="exact"/>
        <w:ind w:firstLine="420" w:firstLineChars="200"/>
        <w:rPr>
          <w:rFonts w:ascii="宋体" w:hAnsi="宋体"/>
          <w:bCs/>
          <w:szCs w:val="21"/>
        </w:rPr>
      </w:pPr>
      <w:r>
        <w:rPr>
          <w:rFonts w:hint="eastAsia" w:ascii="宋体" w:hAnsi="宋体"/>
          <w:szCs w:val="21"/>
        </w:rPr>
        <w:t>7招标文件需要的其他资料及投标人认为需要提供的其他内容。</w:t>
      </w:r>
    </w:p>
    <w:p>
      <w:pPr>
        <w:snapToGrid w:val="0"/>
        <w:spacing w:before="50" w:afterLines="50" w:line="460" w:lineRule="exact"/>
        <w:rPr>
          <w:rFonts w:ascii="宋体" w:hAnsi="宋体"/>
        </w:rPr>
      </w:pPr>
    </w:p>
    <w:p>
      <w:pPr>
        <w:spacing w:line="480" w:lineRule="auto"/>
        <w:rPr>
          <w:rFonts w:ascii="宋体" w:hAnsi="宋体"/>
          <w:b/>
          <w:sz w:val="24"/>
        </w:rPr>
        <w:sectPr>
          <w:pgSz w:w="11906" w:h="16838"/>
          <w:pgMar w:top="1134" w:right="1247" w:bottom="1134" w:left="1474" w:header="851" w:footer="851" w:gutter="0"/>
          <w:cols w:space="720" w:num="1"/>
          <w:docGrid w:linePitch="312" w:charSpace="0"/>
        </w:sectPr>
      </w:pPr>
    </w:p>
    <w:p>
      <w:pPr>
        <w:pStyle w:val="5"/>
        <w:spacing w:line="320" w:lineRule="exact"/>
        <w:rPr>
          <w:rFonts w:ascii="宋体" w:hAnsi="宋体"/>
          <w:sz w:val="24"/>
        </w:rPr>
      </w:pPr>
      <w:bookmarkStart w:id="233" w:name="_Toc503877078"/>
      <w:bookmarkStart w:id="234" w:name="_Toc509308160"/>
      <w:bookmarkStart w:id="235" w:name="_Toc25698"/>
      <w:bookmarkStart w:id="236" w:name="_Toc427154795"/>
      <w:r>
        <w:rPr>
          <w:rFonts w:hint="eastAsia" w:ascii="宋体" w:hAnsi="宋体"/>
          <w:sz w:val="24"/>
        </w:rPr>
        <w:t>附件5： 投标人基本情况表</w:t>
      </w:r>
      <w:bookmarkEnd w:id="233"/>
      <w:bookmarkEnd w:id="234"/>
      <w:bookmarkEnd w:id="235"/>
    </w:p>
    <w:p>
      <w:pPr>
        <w:widowControl/>
        <w:spacing w:line="400" w:lineRule="exact"/>
        <w:jc w:val="center"/>
        <w:rPr>
          <w:rFonts w:ascii="宋体" w:hAnsi="宋体"/>
          <w:b/>
          <w:sz w:val="36"/>
          <w:szCs w:val="36"/>
        </w:rPr>
      </w:pPr>
      <w:r>
        <w:rPr>
          <w:rFonts w:hint="eastAsia" w:ascii="宋体" w:hAnsi="宋体"/>
          <w:b/>
          <w:sz w:val="36"/>
          <w:szCs w:val="36"/>
        </w:rPr>
        <w:t>投标人基本情况表</w:t>
      </w:r>
    </w:p>
    <w:tbl>
      <w:tblPr>
        <w:tblStyle w:val="34"/>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营业执照号码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spacing w:line="240" w:lineRule="exact"/>
              <w:ind w:right="-89"/>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320" w:lineRule="exact"/>
              <w:ind w:left="-38" w:leftChars="-51" w:hanging="69" w:hangingChars="33"/>
              <w:jc w:val="center"/>
              <w:rPr>
                <w:rFonts w:ascii="宋体" w:hAnsi="宋体"/>
                <w:bCs/>
                <w:szCs w:val="21"/>
              </w:rPr>
            </w:pPr>
            <w:r>
              <w:rPr>
                <w:rFonts w:hint="eastAsia" w:ascii="宋体" w:hAnsi="宋体"/>
                <w:bCs/>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Cs w:val="21"/>
              </w:rPr>
            </w:pPr>
            <w:r>
              <w:rPr>
                <w:rFonts w:hint="eastAsia" w:ascii="宋体" w:hAnsi="宋体"/>
                <w:bCs/>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所获资质</w:t>
            </w:r>
          </w:p>
          <w:p>
            <w:pPr>
              <w:spacing w:line="320" w:lineRule="exact"/>
              <w:jc w:val="center"/>
              <w:rPr>
                <w:rFonts w:ascii="宋体" w:hAnsi="宋体"/>
                <w:szCs w:val="21"/>
              </w:rPr>
            </w:pPr>
            <w:r>
              <w:rPr>
                <w:rFonts w:hint="eastAsia" w:ascii="宋体" w:hAnsi="宋体"/>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bCs/>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Cs/>
                <w:szCs w:val="21"/>
              </w:rPr>
            </w:pPr>
            <w:r>
              <w:rPr>
                <w:rFonts w:hint="eastAsia" w:ascii="宋体" w:hAnsi="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pPr>
              <w:pStyle w:val="15"/>
              <w:tabs>
                <w:tab w:val="left" w:pos="1800"/>
                <w:tab w:val="left" w:pos="1980"/>
              </w:tabs>
              <w:spacing w:line="240" w:lineRule="exact"/>
              <w:ind w:firstLine="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bCs/>
                <w:szCs w:val="21"/>
              </w:rPr>
            </w:pPr>
          </w:p>
        </w:tc>
      </w:tr>
    </w:tbl>
    <w:p>
      <w:pPr>
        <w:spacing w:line="320" w:lineRule="exact"/>
        <w:ind w:firstLine="90"/>
        <w:rPr>
          <w:rFonts w:ascii="宋体" w:hAnsi="宋体"/>
          <w:sz w:val="18"/>
          <w:szCs w:val="18"/>
        </w:rPr>
      </w:pPr>
      <w:r>
        <w:rPr>
          <w:rFonts w:hint="eastAsia" w:ascii="宋体" w:hAnsi="宋体"/>
          <w:sz w:val="18"/>
          <w:szCs w:val="18"/>
        </w:rPr>
        <w:t>注：1.表格内容不够,可另附页。</w:t>
      </w:r>
    </w:p>
    <w:p>
      <w:pPr>
        <w:spacing w:line="320" w:lineRule="exact"/>
        <w:ind w:firstLine="435"/>
        <w:rPr>
          <w:rFonts w:ascii="宋体" w:hAnsi="宋体"/>
          <w:sz w:val="18"/>
          <w:szCs w:val="18"/>
        </w:rPr>
      </w:pPr>
      <w:r>
        <w:rPr>
          <w:rFonts w:hint="eastAsia" w:ascii="宋体" w:hAnsi="宋体"/>
          <w:sz w:val="18"/>
          <w:szCs w:val="18"/>
        </w:rPr>
        <w:t>2.所获认证证书、荣誉资料的复印件附后。</w:t>
      </w:r>
    </w:p>
    <w:p>
      <w:pPr>
        <w:spacing w:line="320" w:lineRule="exact"/>
        <w:rPr>
          <w:rFonts w:ascii="宋体" w:hAnsi="宋体"/>
          <w:b/>
          <w:sz w:val="24"/>
        </w:rPr>
      </w:pPr>
    </w:p>
    <w:p>
      <w:pPr>
        <w:spacing w:line="320" w:lineRule="exact"/>
        <w:rPr>
          <w:rFonts w:ascii="宋体" w:hAnsi="宋体"/>
          <w:b/>
          <w:sz w:val="24"/>
        </w:rPr>
      </w:pPr>
    </w:p>
    <w:p>
      <w:pPr>
        <w:spacing w:line="320" w:lineRule="exact"/>
        <w:rPr>
          <w:rFonts w:ascii="宋体" w:hAnsi="宋体"/>
          <w:b/>
          <w:sz w:val="24"/>
        </w:rPr>
      </w:pPr>
    </w:p>
    <w:p>
      <w:pPr>
        <w:spacing w:line="320" w:lineRule="exact"/>
        <w:ind w:firstLine="480"/>
        <w:rPr>
          <w:rFonts w:ascii="宋体" w:hAnsi="宋体"/>
          <w:b/>
          <w:sz w:val="24"/>
        </w:rPr>
      </w:pPr>
      <w:r>
        <w:rPr>
          <w:rFonts w:hint="eastAsia" w:ascii="宋体" w:hAnsi="宋体"/>
          <w:b/>
          <w:sz w:val="24"/>
        </w:rPr>
        <w:t>投标人（公章）：</w:t>
      </w:r>
    </w:p>
    <w:p>
      <w:pPr>
        <w:spacing w:line="320" w:lineRule="exact"/>
        <w:ind w:firstLine="480"/>
        <w:rPr>
          <w:rFonts w:ascii="宋体" w:hAnsi="宋体"/>
          <w:b/>
          <w:sz w:val="24"/>
        </w:rPr>
      </w:pPr>
    </w:p>
    <w:p>
      <w:pPr>
        <w:spacing w:line="320" w:lineRule="exact"/>
        <w:ind w:firstLine="480"/>
        <w:rPr>
          <w:rFonts w:ascii="宋体" w:hAnsi="宋体"/>
          <w:b/>
          <w:sz w:val="24"/>
        </w:rPr>
      </w:pPr>
      <w:r>
        <w:rPr>
          <w:rFonts w:hint="eastAsia" w:ascii="宋体" w:hAnsi="宋体"/>
          <w:b/>
          <w:sz w:val="24"/>
        </w:rPr>
        <w:t xml:space="preserve">法定代表人或授权代表（签字或盖章）： </w:t>
      </w:r>
    </w:p>
    <w:p>
      <w:pPr>
        <w:spacing w:line="320" w:lineRule="exact"/>
        <w:ind w:firstLine="480"/>
        <w:rPr>
          <w:rFonts w:ascii="宋体" w:hAnsi="宋体"/>
          <w:b/>
          <w:sz w:val="24"/>
        </w:rPr>
      </w:pPr>
    </w:p>
    <w:p>
      <w:pPr>
        <w:spacing w:line="320" w:lineRule="exact"/>
        <w:ind w:firstLine="480"/>
        <w:rPr>
          <w:rFonts w:ascii="宋体" w:hAnsi="宋体"/>
          <w:b/>
          <w:sz w:val="24"/>
        </w:rPr>
      </w:pPr>
      <w:r>
        <w:rPr>
          <w:rFonts w:hint="eastAsia" w:ascii="宋体" w:hAnsi="宋体"/>
          <w:b/>
          <w:sz w:val="24"/>
        </w:rPr>
        <w:t>日期：  　年　月　日</w:t>
      </w:r>
    </w:p>
    <w:bookmarkEnd w:id="221"/>
    <w:bookmarkEnd w:id="236"/>
    <w:p>
      <w:bookmarkStart w:id="237" w:name="_Toc417633393"/>
      <w:bookmarkStart w:id="238" w:name="_Toc256155373"/>
      <w:bookmarkStart w:id="239" w:name="_Toc202174499"/>
      <w:bookmarkStart w:id="240" w:name="_Toc180565966"/>
      <w:bookmarkStart w:id="241" w:name="_Toc170554915"/>
      <w:bookmarkStart w:id="242" w:name="_Toc503877081"/>
      <w:bookmarkStart w:id="243" w:name="_Toc189451713"/>
      <w:bookmarkStart w:id="244" w:name="_Toc156101628"/>
      <w:bookmarkStart w:id="245" w:name="_Toc178668988"/>
      <w:bookmarkStart w:id="246" w:name="_Toc146533811"/>
    </w:p>
    <w:p/>
    <w:p>
      <w:pPr>
        <w:pStyle w:val="5"/>
        <w:spacing w:line="320" w:lineRule="exact"/>
        <w:rPr>
          <w:rFonts w:ascii="宋体" w:hAnsi="宋体"/>
          <w:sz w:val="24"/>
        </w:rPr>
      </w:pPr>
      <w:bookmarkStart w:id="247" w:name="_Toc1647"/>
      <w:bookmarkStart w:id="248" w:name="_Toc509308161"/>
      <w:r>
        <w:rPr>
          <w:rFonts w:hint="eastAsia" w:ascii="宋体" w:hAnsi="宋体"/>
          <w:sz w:val="24"/>
        </w:rPr>
        <w:t>附件6：项目实施人员一览表</w:t>
      </w:r>
      <w:bookmarkEnd w:id="237"/>
      <w:bookmarkEnd w:id="238"/>
      <w:bookmarkEnd w:id="239"/>
      <w:bookmarkEnd w:id="240"/>
      <w:bookmarkEnd w:id="241"/>
      <w:bookmarkEnd w:id="242"/>
      <w:bookmarkEnd w:id="243"/>
      <w:bookmarkEnd w:id="247"/>
      <w:bookmarkEnd w:id="248"/>
    </w:p>
    <w:tbl>
      <w:tblPr>
        <w:tblStyle w:val="34"/>
        <w:tblW w:w="82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966"/>
        <w:gridCol w:w="1276"/>
        <w:gridCol w:w="155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序号</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岗位</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职称</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1</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2</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3</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b/>
                <w:bCs/>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4</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5</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6</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7</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8</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9</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10</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r>
              <w:rPr>
                <w:rFonts w:hint="eastAsia" w:ascii="宋体" w:hAnsi="宋体" w:cs="Arial"/>
                <w:szCs w:val="21"/>
              </w:rPr>
              <w:t>11</w:t>
            </w:r>
          </w:p>
        </w:tc>
        <w:tc>
          <w:tcPr>
            <w:tcW w:w="29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vAlign w:val="center"/>
          </w:tcPr>
          <w:p>
            <w:pPr>
              <w:adjustRightInd w:val="0"/>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b/>
                <w:szCs w:val="21"/>
              </w:rPr>
            </w:pPr>
            <w:r>
              <w:rPr>
                <w:rFonts w:hint="eastAsia" w:ascii="宋体" w:hAnsi="宋体" w:cs="Arial"/>
                <w:b/>
                <w:szCs w:val="21"/>
              </w:rPr>
              <w:t>合计总人数</w:t>
            </w:r>
          </w:p>
        </w:tc>
        <w:tc>
          <w:tcPr>
            <w:tcW w:w="127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Arial"/>
                <w:szCs w:val="21"/>
              </w:rPr>
            </w:pPr>
          </w:p>
        </w:tc>
      </w:tr>
    </w:tbl>
    <w:p>
      <w:pPr>
        <w:adjustRightInd w:val="0"/>
        <w:snapToGrid w:val="0"/>
        <w:spacing w:line="360" w:lineRule="auto"/>
        <w:ind w:left="900"/>
        <w:jc w:val="left"/>
        <w:rPr>
          <w:rFonts w:ascii="宋体" w:hAnsi="宋体"/>
          <w:szCs w:val="21"/>
        </w:rPr>
      </w:pPr>
    </w:p>
    <w:p>
      <w:pPr>
        <w:spacing w:line="320" w:lineRule="exact"/>
        <w:ind w:firstLine="90"/>
        <w:rPr>
          <w:rFonts w:ascii="宋体" w:hAnsi="宋体"/>
          <w:szCs w:val="21"/>
        </w:rPr>
      </w:pPr>
      <w:r>
        <w:rPr>
          <w:rFonts w:hint="eastAsia" w:ascii="宋体" w:hAnsi="宋体"/>
          <w:szCs w:val="21"/>
        </w:rPr>
        <w:t>注：1.表格内容不够,可另附页。</w:t>
      </w:r>
    </w:p>
    <w:p>
      <w:pPr>
        <w:spacing w:line="320" w:lineRule="exact"/>
        <w:ind w:firstLine="435"/>
        <w:rPr>
          <w:rFonts w:ascii="宋体" w:hAnsi="宋体"/>
          <w:szCs w:val="21"/>
        </w:rPr>
      </w:pPr>
      <w:r>
        <w:rPr>
          <w:rFonts w:hint="eastAsia" w:ascii="宋体" w:hAnsi="宋体"/>
          <w:szCs w:val="21"/>
        </w:rPr>
        <w:t>2.相关人员各类资质证书、认证证书、荣誉资料的复印件附后。</w:t>
      </w:r>
    </w:p>
    <w:p>
      <w:pPr>
        <w:spacing w:line="320" w:lineRule="exact"/>
        <w:rPr>
          <w:rFonts w:ascii="宋体" w:hAnsi="宋体"/>
          <w:b/>
          <w:sz w:val="24"/>
        </w:rPr>
      </w:pPr>
    </w:p>
    <w:p>
      <w:pPr>
        <w:spacing w:line="360" w:lineRule="auto"/>
        <w:rPr>
          <w:rFonts w:ascii="宋体" w:hAnsi="宋体"/>
          <w:szCs w:val="21"/>
        </w:rPr>
      </w:pPr>
    </w:p>
    <w:p>
      <w:pPr>
        <w:spacing w:line="360" w:lineRule="auto"/>
        <w:ind w:firstLine="500" w:firstLineChars="200"/>
        <w:rPr>
          <w:rFonts w:ascii="宋体" w:hAnsi="宋体"/>
          <w:spacing w:val="20"/>
          <w:szCs w:val="21"/>
          <w:u w:val="single"/>
        </w:rPr>
      </w:pPr>
    </w:p>
    <w:p>
      <w:pPr>
        <w:spacing w:line="480" w:lineRule="auto"/>
        <w:rPr>
          <w:rFonts w:ascii="宋体" w:hAnsi="宋体"/>
          <w:b/>
          <w:sz w:val="24"/>
        </w:rPr>
      </w:pPr>
      <w:r>
        <w:rPr>
          <w:rFonts w:hint="eastAsia" w:ascii="宋体" w:hAnsi="宋体"/>
          <w:b/>
          <w:sz w:val="24"/>
        </w:rPr>
        <w:t>投标人（公章）：</w:t>
      </w:r>
    </w:p>
    <w:p>
      <w:pPr>
        <w:spacing w:line="480" w:lineRule="auto"/>
        <w:rPr>
          <w:rFonts w:ascii="宋体" w:hAnsi="宋体"/>
          <w:b/>
          <w:sz w:val="24"/>
        </w:rPr>
      </w:pPr>
      <w:r>
        <w:rPr>
          <w:rFonts w:hint="eastAsia" w:ascii="宋体" w:hAnsi="宋体"/>
          <w:b/>
          <w:sz w:val="24"/>
        </w:rPr>
        <w:t>法定代表人或授权代表（签字或盖章）：</w:t>
      </w:r>
    </w:p>
    <w:p>
      <w:pPr>
        <w:spacing w:line="480" w:lineRule="auto"/>
        <w:rPr>
          <w:rFonts w:ascii="宋体" w:hAnsi="宋体"/>
          <w:b/>
          <w:sz w:val="24"/>
        </w:rPr>
      </w:pPr>
      <w:r>
        <w:rPr>
          <w:rFonts w:hint="eastAsia" w:ascii="宋体" w:hAnsi="宋体"/>
          <w:b/>
          <w:sz w:val="24"/>
        </w:rPr>
        <w:t>日期：  　年　月　日</w:t>
      </w:r>
    </w:p>
    <w:p>
      <w:pPr>
        <w:adjustRightInd w:val="0"/>
        <w:snapToGrid w:val="0"/>
        <w:spacing w:line="360" w:lineRule="auto"/>
        <w:jc w:val="left"/>
        <w:rPr>
          <w:rFonts w:ascii="宋体" w:hAnsi="宋体"/>
          <w:b/>
          <w:szCs w:val="21"/>
        </w:rPr>
      </w:pPr>
      <w:bookmarkStart w:id="249" w:name="_Toc503877082"/>
      <w:bookmarkStart w:id="250" w:name="_Toc417633394"/>
      <w:bookmarkStart w:id="251" w:name="_Toc202174500"/>
      <w:bookmarkStart w:id="252" w:name="_Toc256155374"/>
    </w:p>
    <w:p>
      <w:pPr>
        <w:adjustRightInd w:val="0"/>
        <w:snapToGrid w:val="0"/>
        <w:spacing w:line="360" w:lineRule="auto"/>
        <w:jc w:val="left"/>
        <w:rPr>
          <w:rFonts w:ascii="宋体" w:hAnsi="宋体"/>
          <w:b/>
          <w:szCs w:val="21"/>
        </w:rPr>
      </w:pPr>
    </w:p>
    <w:p>
      <w:pPr>
        <w:adjustRightInd w:val="0"/>
        <w:snapToGrid w:val="0"/>
        <w:spacing w:line="360" w:lineRule="auto"/>
        <w:jc w:val="left"/>
        <w:rPr>
          <w:rFonts w:ascii="宋体" w:hAnsi="宋体"/>
          <w:b/>
          <w:szCs w:val="21"/>
        </w:rPr>
      </w:pPr>
    </w:p>
    <w:p>
      <w:pPr>
        <w:adjustRightInd w:val="0"/>
        <w:snapToGrid w:val="0"/>
        <w:spacing w:line="360" w:lineRule="auto"/>
        <w:jc w:val="left"/>
        <w:rPr>
          <w:rFonts w:ascii="宋体" w:hAnsi="宋体"/>
          <w:b/>
          <w:szCs w:val="21"/>
        </w:rPr>
      </w:pPr>
    </w:p>
    <w:p>
      <w:pPr>
        <w:adjustRightInd w:val="0"/>
        <w:snapToGrid w:val="0"/>
        <w:spacing w:line="360" w:lineRule="auto"/>
        <w:jc w:val="left"/>
        <w:rPr>
          <w:rFonts w:ascii="宋体" w:hAnsi="宋体"/>
          <w:b/>
          <w:szCs w:val="21"/>
        </w:rPr>
      </w:pPr>
    </w:p>
    <w:p>
      <w:pPr>
        <w:adjustRightInd w:val="0"/>
        <w:snapToGrid w:val="0"/>
        <w:spacing w:line="360" w:lineRule="auto"/>
        <w:jc w:val="left"/>
        <w:rPr>
          <w:rFonts w:ascii="宋体" w:hAnsi="宋体"/>
          <w:b/>
          <w:szCs w:val="21"/>
        </w:rPr>
      </w:pPr>
    </w:p>
    <w:p>
      <w:pPr>
        <w:pStyle w:val="5"/>
        <w:spacing w:line="320" w:lineRule="exact"/>
        <w:rPr>
          <w:rFonts w:ascii="宋体" w:hAnsi="宋体"/>
          <w:sz w:val="24"/>
        </w:rPr>
      </w:pPr>
      <w:bookmarkStart w:id="253" w:name="_Toc509308162"/>
      <w:bookmarkStart w:id="254" w:name="_Toc26573"/>
      <w:r>
        <w:rPr>
          <w:rFonts w:hint="eastAsia" w:ascii="宋体" w:hAnsi="宋体"/>
          <w:sz w:val="24"/>
        </w:rPr>
        <w:t>附件7：</w:t>
      </w:r>
      <w:bookmarkEnd w:id="253"/>
      <w:r>
        <w:rPr>
          <w:rFonts w:hint="eastAsia" w:ascii="宋体" w:hAnsi="宋体"/>
          <w:sz w:val="24"/>
        </w:rPr>
        <w:t>同类案例证明</w:t>
      </w:r>
      <w:bookmarkEnd w:id="254"/>
    </w:p>
    <w:p>
      <w:pPr>
        <w:adjustRightInd w:val="0"/>
        <w:snapToGrid w:val="0"/>
        <w:spacing w:line="360" w:lineRule="auto"/>
        <w:jc w:val="left"/>
        <w:rPr>
          <w:rFonts w:ascii="宋体" w:hAnsi="宋体"/>
          <w:szCs w:val="21"/>
        </w:rPr>
      </w:pPr>
    </w:p>
    <w:tbl>
      <w:tblPr>
        <w:tblStyle w:val="34"/>
        <w:tblW w:w="8817"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72"/>
        <w:gridCol w:w="2083"/>
        <w:gridCol w:w="1155"/>
        <w:gridCol w:w="1258"/>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rPr>
                <w:rFonts w:ascii="宋体" w:hAnsi="宋体"/>
                <w:szCs w:val="21"/>
              </w:rPr>
            </w:pPr>
            <w:r>
              <w:rPr>
                <w:rFonts w:hint="eastAsia" w:ascii="宋体" w:hAnsi="宋体"/>
                <w:szCs w:val="21"/>
              </w:rPr>
              <w:t>项目名称</w:t>
            </w:r>
          </w:p>
        </w:tc>
        <w:tc>
          <w:tcPr>
            <w:tcW w:w="1172" w:type="dxa"/>
            <w:vAlign w:val="center"/>
          </w:tcPr>
          <w:p>
            <w:pPr>
              <w:spacing w:line="360" w:lineRule="auto"/>
              <w:rPr>
                <w:rFonts w:ascii="宋体" w:hAnsi="宋体"/>
                <w:szCs w:val="21"/>
              </w:rPr>
            </w:pPr>
            <w:r>
              <w:rPr>
                <w:rFonts w:hint="eastAsia" w:ascii="宋体" w:hAnsi="宋体"/>
                <w:szCs w:val="21"/>
              </w:rPr>
              <w:t>项目类型</w:t>
            </w:r>
          </w:p>
        </w:tc>
        <w:tc>
          <w:tcPr>
            <w:tcW w:w="2083" w:type="dxa"/>
            <w:vAlign w:val="center"/>
          </w:tcPr>
          <w:p>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项目金额（</w:t>
            </w:r>
            <w:r>
              <w:rPr>
                <w:rFonts w:hint="eastAsia" w:ascii="宋体" w:hAnsi="宋体"/>
                <w:szCs w:val="21"/>
              </w:rPr>
              <w:t>万元）</w:t>
            </w:r>
          </w:p>
        </w:tc>
        <w:tc>
          <w:tcPr>
            <w:tcW w:w="1155" w:type="dxa"/>
            <w:vAlign w:val="center"/>
          </w:tcPr>
          <w:p>
            <w:pPr>
              <w:spacing w:line="360" w:lineRule="auto"/>
              <w:rPr>
                <w:rFonts w:ascii="宋体" w:hAnsi="宋体"/>
                <w:szCs w:val="21"/>
              </w:rPr>
            </w:pPr>
            <w:r>
              <w:rPr>
                <w:rFonts w:hint="eastAsia" w:ascii="宋体" w:hAnsi="宋体"/>
                <w:szCs w:val="21"/>
              </w:rPr>
              <w:t>实施时间</w:t>
            </w:r>
          </w:p>
        </w:tc>
        <w:tc>
          <w:tcPr>
            <w:tcW w:w="1258" w:type="dxa"/>
            <w:vAlign w:val="center"/>
          </w:tcPr>
          <w:p>
            <w:pPr>
              <w:spacing w:line="360" w:lineRule="auto"/>
              <w:rPr>
                <w:rFonts w:ascii="宋体" w:hAnsi="宋体"/>
                <w:szCs w:val="21"/>
              </w:rPr>
            </w:pPr>
            <w:r>
              <w:rPr>
                <w:rFonts w:ascii="宋体" w:hAnsi="宋体"/>
                <w:spacing w:val="20"/>
                <w:szCs w:val="21"/>
              </w:rPr>
              <w:t>联系人</w:t>
            </w:r>
          </w:p>
        </w:tc>
        <w:tc>
          <w:tcPr>
            <w:tcW w:w="1679" w:type="dxa"/>
            <w:vAlign w:val="center"/>
          </w:tcPr>
          <w:p>
            <w:pPr>
              <w:spacing w:line="360" w:lineRule="auto"/>
              <w:rPr>
                <w:rFonts w:ascii="宋体" w:hAnsi="宋体"/>
                <w:szCs w:val="21"/>
              </w:rPr>
            </w:pPr>
            <w:r>
              <w:rPr>
                <w:rFonts w:ascii="宋体" w:hAnsi="宋体"/>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pPr>
              <w:spacing w:line="360" w:lineRule="auto"/>
              <w:ind w:firstLine="525" w:firstLineChars="250"/>
              <w:rPr>
                <w:rFonts w:ascii="宋体" w:hAnsi="宋体"/>
                <w:szCs w:val="21"/>
              </w:rPr>
            </w:pPr>
          </w:p>
        </w:tc>
        <w:tc>
          <w:tcPr>
            <w:tcW w:w="1172" w:type="dxa"/>
            <w:vAlign w:val="center"/>
          </w:tcPr>
          <w:p>
            <w:pPr>
              <w:spacing w:line="360" w:lineRule="auto"/>
              <w:ind w:firstLine="525" w:firstLineChars="250"/>
              <w:rPr>
                <w:rFonts w:ascii="宋体" w:hAnsi="宋体"/>
                <w:szCs w:val="21"/>
              </w:rPr>
            </w:pPr>
          </w:p>
        </w:tc>
        <w:tc>
          <w:tcPr>
            <w:tcW w:w="2083" w:type="dxa"/>
            <w:vAlign w:val="center"/>
          </w:tcPr>
          <w:p>
            <w:pPr>
              <w:spacing w:line="360" w:lineRule="auto"/>
              <w:ind w:firstLine="525" w:firstLineChars="250"/>
              <w:rPr>
                <w:rFonts w:ascii="宋体" w:hAnsi="宋体"/>
                <w:szCs w:val="21"/>
              </w:rPr>
            </w:pPr>
          </w:p>
        </w:tc>
        <w:tc>
          <w:tcPr>
            <w:tcW w:w="1155" w:type="dxa"/>
            <w:vAlign w:val="center"/>
          </w:tcPr>
          <w:p>
            <w:pPr>
              <w:spacing w:line="360" w:lineRule="auto"/>
              <w:ind w:firstLine="525" w:firstLineChars="250"/>
              <w:rPr>
                <w:rFonts w:ascii="宋体" w:hAnsi="宋体"/>
                <w:szCs w:val="21"/>
              </w:rPr>
            </w:pPr>
          </w:p>
        </w:tc>
        <w:tc>
          <w:tcPr>
            <w:tcW w:w="1258" w:type="dxa"/>
            <w:vAlign w:val="center"/>
          </w:tcPr>
          <w:p>
            <w:pPr>
              <w:spacing w:line="360" w:lineRule="auto"/>
              <w:ind w:firstLine="525" w:firstLineChars="250"/>
              <w:rPr>
                <w:rFonts w:ascii="宋体" w:hAnsi="宋体"/>
                <w:szCs w:val="21"/>
              </w:rPr>
            </w:pPr>
          </w:p>
        </w:tc>
        <w:tc>
          <w:tcPr>
            <w:tcW w:w="1679" w:type="dxa"/>
            <w:vAlign w:val="center"/>
          </w:tcPr>
          <w:p>
            <w:pPr>
              <w:spacing w:line="360" w:lineRule="auto"/>
              <w:ind w:firstLine="525" w:firstLineChars="250"/>
              <w:rPr>
                <w:rFonts w:ascii="宋体" w:hAnsi="宋体"/>
                <w:szCs w:val="21"/>
              </w:rPr>
            </w:pPr>
          </w:p>
        </w:tc>
      </w:tr>
    </w:tbl>
    <w:p>
      <w:pPr>
        <w:spacing w:line="360" w:lineRule="auto"/>
        <w:jc w:val="center"/>
        <w:rPr>
          <w:rFonts w:ascii="宋体" w:hAnsi="宋体"/>
          <w:b/>
          <w:szCs w:val="21"/>
        </w:rPr>
      </w:pPr>
    </w:p>
    <w:p>
      <w:pPr>
        <w:spacing w:line="360" w:lineRule="auto"/>
        <w:rPr>
          <w:rFonts w:ascii="宋体" w:hAnsi="宋体"/>
          <w:szCs w:val="21"/>
        </w:rPr>
      </w:pPr>
      <w:r>
        <w:rPr>
          <w:rFonts w:hint="eastAsia" w:ascii="宋体" w:hAnsi="宋体"/>
          <w:szCs w:val="21"/>
        </w:rPr>
        <w:t>注：提供相关证明材料（合同等）</w:t>
      </w:r>
    </w:p>
    <w:p>
      <w:pPr>
        <w:spacing w:line="360" w:lineRule="auto"/>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ind w:firstLine="500" w:firstLineChars="200"/>
        <w:rPr>
          <w:rFonts w:ascii="宋体" w:hAnsi="宋体"/>
          <w:spacing w:val="20"/>
          <w:szCs w:val="21"/>
          <w:u w:val="single"/>
        </w:rPr>
      </w:pPr>
    </w:p>
    <w:p>
      <w:pPr>
        <w:spacing w:line="480" w:lineRule="auto"/>
        <w:rPr>
          <w:rFonts w:ascii="宋体" w:hAnsi="宋体"/>
          <w:b/>
          <w:sz w:val="24"/>
        </w:rPr>
      </w:pPr>
      <w:r>
        <w:rPr>
          <w:rFonts w:hint="eastAsia" w:ascii="宋体" w:hAnsi="宋体"/>
          <w:b/>
          <w:sz w:val="24"/>
        </w:rPr>
        <w:t>投标人（公章）：</w:t>
      </w:r>
    </w:p>
    <w:p>
      <w:pPr>
        <w:spacing w:line="480" w:lineRule="auto"/>
        <w:rPr>
          <w:rFonts w:ascii="宋体" w:hAnsi="宋体"/>
          <w:b/>
          <w:sz w:val="24"/>
        </w:rPr>
      </w:pPr>
      <w:r>
        <w:rPr>
          <w:rFonts w:hint="eastAsia" w:ascii="宋体" w:hAnsi="宋体"/>
          <w:b/>
          <w:sz w:val="24"/>
        </w:rPr>
        <w:t>法定代表人或授权代表（签字或盖章）：</w:t>
      </w:r>
    </w:p>
    <w:p>
      <w:pPr>
        <w:spacing w:line="480" w:lineRule="auto"/>
        <w:rPr>
          <w:rFonts w:ascii="宋体" w:hAnsi="宋体"/>
          <w:b/>
          <w:sz w:val="24"/>
        </w:rPr>
      </w:pPr>
      <w:r>
        <w:rPr>
          <w:rFonts w:hint="eastAsia" w:ascii="宋体" w:hAnsi="宋体"/>
          <w:b/>
          <w:sz w:val="24"/>
        </w:rPr>
        <w:t>日期：  　年　月　日</w:t>
      </w:r>
    </w:p>
    <w:p>
      <w:pPr>
        <w:adjustRightInd w:val="0"/>
        <w:snapToGrid w:val="0"/>
        <w:spacing w:line="360" w:lineRule="auto"/>
        <w:rPr>
          <w:rFonts w:ascii="宋体" w:hAnsi="宋体"/>
          <w:b/>
          <w:szCs w:val="21"/>
        </w:rPr>
      </w:pPr>
    </w:p>
    <w:p/>
    <w:p/>
    <w:p/>
    <w:p/>
    <w:p/>
    <w:p>
      <w:pPr>
        <w:pStyle w:val="5"/>
        <w:spacing w:line="320" w:lineRule="exact"/>
        <w:rPr>
          <w:rFonts w:ascii="宋体" w:hAnsi="宋体"/>
          <w:sz w:val="24"/>
        </w:rPr>
      </w:pPr>
      <w:bookmarkStart w:id="255" w:name="_Toc15376"/>
      <w:bookmarkStart w:id="256" w:name="_Toc509308163"/>
      <w:r>
        <w:rPr>
          <w:rFonts w:hint="eastAsia" w:ascii="宋体" w:hAnsi="宋体"/>
          <w:sz w:val="24"/>
        </w:rPr>
        <w:t>附件8： 服务</w:t>
      </w:r>
      <w:bookmarkEnd w:id="244"/>
      <w:r>
        <w:rPr>
          <w:rFonts w:hint="eastAsia" w:ascii="宋体" w:hAnsi="宋体"/>
          <w:sz w:val="24"/>
        </w:rPr>
        <w:t>承诺</w:t>
      </w:r>
      <w:bookmarkEnd w:id="245"/>
      <w:bookmarkEnd w:id="249"/>
      <w:bookmarkEnd w:id="250"/>
      <w:bookmarkEnd w:id="251"/>
      <w:bookmarkEnd w:id="252"/>
      <w:bookmarkEnd w:id="255"/>
      <w:bookmarkEnd w:id="256"/>
    </w:p>
    <w:bookmarkEnd w:id="246"/>
    <w:p>
      <w:pPr>
        <w:jc w:val="center"/>
        <w:rPr>
          <w:rFonts w:ascii="宋体" w:hAnsi="宋体"/>
          <w:b/>
          <w:bCs/>
          <w:sz w:val="36"/>
          <w:szCs w:val="36"/>
        </w:rPr>
      </w:pPr>
      <w:r>
        <w:rPr>
          <w:rFonts w:hint="eastAsia" w:ascii="宋体" w:hAnsi="宋体"/>
          <w:b/>
          <w:bCs/>
          <w:sz w:val="36"/>
          <w:szCs w:val="36"/>
        </w:rPr>
        <w:t>服务承诺</w:t>
      </w:r>
    </w:p>
    <w:p>
      <w:pPr>
        <w:tabs>
          <w:tab w:val="left" w:pos="525"/>
        </w:tabs>
        <w:spacing w:line="380" w:lineRule="exact"/>
        <w:ind w:firstLine="420" w:firstLineChars="200"/>
        <w:rPr>
          <w:rFonts w:ascii="宋体" w:hAnsi="宋体"/>
          <w:szCs w:val="21"/>
        </w:rPr>
      </w:pPr>
      <w:r>
        <w:rPr>
          <w:rFonts w:hint="eastAsia" w:ascii="宋体" w:hAnsi="宋体"/>
          <w:szCs w:val="21"/>
        </w:rPr>
        <w:t>1.我单位承诺，一旦我方中标，我们将根据招标文件的规定，提供不低于招标文件要求的服务和相关规定。</w:t>
      </w:r>
    </w:p>
    <w:p>
      <w:pPr>
        <w:tabs>
          <w:tab w:val="left" w:pos="525"/>
        </w:tabs>
        <w:spacing w:line="380" w:lineRule="exact"/>
        <w:ind w:firstLine="420" w:firstLineChars="200"/>
        <w:rPr>
          <w:rFonts w:ascii="宋体" w:hAnsi="宋体"/>
          <w:szCs w:val="21"/>
        </w:rPr>
      </w:pPr>
      <w:r>
        <w:rPr>
          <w:rFonts w:hint="eastAsia" w:ascii="宋体" w:hAnsi="宋体"/>
          <w:szCs w:val="21"/>
        </w:rPr>
        <w:t>2.其他服务承诺：</w:t>
      </w:r>
    </w:p>
    <w:p>
      <w:pPr>
        <w:spacing w:line="360" w:lineRule="exact"/>
        <w:ind w:firstLine="561"/>
        <w:rPr>
          <w:rFonts w:ascii="宋体" w:hAnsi="宋体"/>
          <w:szCs w:val="21"/>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ind w:firstLine="561"/>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600" w:lineRule="exact"/>
        <w:rPr>
          <w:rFonts w:ascii="宋体" w:hAnsi="宋体"/>
          <w:b/>
          <w:sz w:val="24"/>
        </w:rPr>
      </w:pPr>
      <w:r>
        <w:rPr>
          <w:rFonts w:hint="eastAsia" w:ascii="宋体" w:hAnsi="宋体"/>
          <w:b/>
          <w:sz w:val="24"/>
        </w:rPr>
        <w:t>投标人（公章）：</w:t>
      </w:r>
    </w:p>
    <w:p>
      <w:pPr>
        <w:spacing w:line="600" w:lineRule="exact"/>
        <w:rPr>
          <w:rFonts w:ascii="宋体" w:hAnsi="宋体"/>
          <w:b/>
          <w:spacing w:val="4"/>
          <w:sz w:val="24"/>
        </w:rPr>
      </w:pPr>
      <w:r>
        <w:rPr>
          <w:rFonts w:hint="eastAsia" w:ascii="宋体" w:hAnsi="宋体"/>
          <w:b/>
          <w:sz w:val="24"/>
        </w:rPr>
        <w:t>法定代表人或</w:t>
      </w:r>
      <w:r>
        <w:rPr>
          <w:rFonts w:hint="eastAsia" w:ascii="宋体" w:hAnsi="宋体"/>
          <w:b/>
          <w:spacing w:val="4"/>
          <w:sz w:val="24"/>
        </w:rPr>
        <w:t>授权代表</w:t>
      </w:r>
      <w:r>
        <w:rPr>
          <w:rFonts w:hint="eastAsia" w:ascii="宋体" w:hAnsi="宋体"/>
          <w:b/>
          <w:sz w:val="24"/>
        </w:rPr>
        <w:t xml:space="preserve">（签字或盖章）：         </w:t>
      </w:r>
    </w:p>
    <w:p>
      <w:pPr>
        <w:spacing w:line="600" w:lineRule="exact"/>
        <w:rPr>
          <w:rFonts w:ascii="宋体" w:hAnsi="宋体"/>
          <w:b/>
          <w:sz w:val="24"/>
        </w:rPr>
      </w:pPr>
      <w:r>
        <w:rPr>
          <w:rFonts w:hint="eastAsia" w:ascii="宋体" w:hAnsi="宋体"/>
          <w:b/>
          <w:sz w:val="24"/>
        </w:rPr>
        <w:t>日  期：  年　 月　 日</w:t>
      </w:r>
    </w:p>
    <w:p>
      <w:pPr>
        <w:pStyle w:val="5"/>
        <w:spacing w:line="320" w:lineRule="exact"/>
        <w:rPr>
          <w:rFonts w:ascii="宋体" w:hAnsi="宋体"/>
        </w:rPr>
      </w:pPr>
      <w:r>
        <w:rPr>
          <w:rFonts w:ascii="宋体" w:hAnsi="宋体"/>
          <w:b w:val="0"/>
          <w:sz w:val="24"/>
        </w:rPr>
        <w:br w:type="page"/>
      </w:r>
      <w:bookmarkStart w:id="257" w:name="_Toc503877084"/>
      <w:bookmarkStart w:id="258" w:name="_Toc10598"/>
      <w:r>
        <w:rPr>
          <w:rFonts w:hint="eastAsia" w:ascii="宋体" w:hAnsi="宋体"/>
          <w:sz w:val="24"/>
        </w:rPr>
        <w:t>附件9： 报价文件封面格式及目录</w:t>
      </w:r>
      <w:bookmarkEnd w:id="257"/>
      <w:bookmarkEnd w:id="258"/>
    </w:p>
    <w:p>
      <w:pPr>
        <w:pStyle w:val="19"/>
        <w:snapToGrid w:val="0"/>
        <w:spacing w:before="120" w:after="120"/>
        <w:rPr>
          <w:rFonts w:hAnsi="宋体"/>
          <w:sz w:val="30"/>
          <w:szCs w:val="30"/>
        </w:rPr>
      </w:pPr>
      <w:r>
        <w:rPr>
          <w:rFonts w:hint="eastAsia" w:hAnsi="宋体"/>
          <w:bCs/>
          <w:sz w:val="30"/>
          <w:szCs w:val="30"/>
        </w:rPr>
        <w:t xml:space="preserve">                                             正本或副本</w:t>
      </w:r>
    </w:p>
    <w:p>
      <w:pPr>
        <w:ind w:right="-110"/>
        <w:jc w:val="center"/>
        <w:rPr>
          <w:rFonts w:ascii="宋体" w:hAnsi="宋体"/>
          <w:spacing w:val="40"/>
          <w:sz w:val="52"/>
          <w:szCs w:val="52"/>
        </w:rPr>
      </w:pPr>
      <w:r>
        <w:rPr>
          <w:rFonts w:hint="eastAsia" w:ascii="宋体" w:hAnsi="宋体"/>
          <w:spacing w:val="40"/>
          <w:sz w:val="52"/>
          <w:szCs w:val="52"/>
        </w:rPr>
        <w:t>项目名称：×××</w:t>
      </w:r>
    </w:p>
    <w:p>
      <w:pPr>
        <w:spacing w:beforeLines="100" w:line="240" w:lineRule="atLeast"/>
        <w:ind w:right="-108"/>
        <w:jc w:val="center"/>
        <w:rPr>
          <w:rFonts w:ascii="宋体" w:hAnsi="宋体"/>
          <w:sz w:val="36"/>
          <w:szCs w:val="36"/>
        </w:rPr>
      </w:pPr>
      <w:r>
        <w:rPr>
          <w:rFonts w:hint="eastAsia" w:ascii="宋体" w:hAnsi="宋体"/>
          <w:sz w:val="36"/>
          <w:szCs w:val="36"/>
        </w:rPr>
        <w:t>项目编号：</w:t>
      </w:r>
      <w:r>
        <w:rPr>
          <w:rFonts w:hint="eastAsia" w:ascii="宋体" w:hAnsi="宋体"/>
          <w:spacing w:val="40"/>
          <w:sz w:val="52"/>
          <w:szCs w:val="52"/>
        </w:rPr>
        <w:t>×××</w:t>
      </w:r>
    </w:p>
    <w:p>
      <w:pPr>
        <w:spacing w:after="100" w:afterAutospacing="1" w:line="800" w:lineRule="exact"/>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500" w:lineRule="exact"/>
        <w:ind w:right="532" w:firstLine="720" w:firstLineChars="200"/>
        <w:rPr>
          <w:rFonts w:ascii="宋体" w:hAnsi="宋体"/>
          <w:sz w:val="36"/>
          <w:szCs w:val="36"/>
        </w:rPr>
      </w:pPr>
      <w:r>
        <w:rPr>
          <w:rFonts w:hint="eastAsia" w:ascii="宋体" w:hAnsi="宋体"/>
          <w:sz w:val="36"/>
          <w:szCs w:val="36"/>
        </w:rPr>
        <w:t>投标人全称（公章）：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pPr>
        <w:wordWrap w:val="0"/>
        <w:spacing w:line="500" w:lineRule="exact"/>
        <w:ind w:right="-108" w:firstLine="720" w:firstLineChars="200"/>
        <w:rPr>
          <w:rFonts w:ascii="宋体" w:hAnsi="宋体"/>
          <w:sz w:val="36"/>
          <w:szCs w:val="36"/>
        </w:rPr>
      </w:pPr>
    </w:p>
    <w:p>
      <w:pPr>
        <w:pStyle w:val="20"/>
        <w:snapToGrid w:val="0"/>
        <w:ind w:left="5250"/>
        <w:rPr>
          <w:rFonts w:ascii="宋体" w:hAnsi="宋体"/>
          <w:sz w:val="36"/>
          <w:szCs w:val="36"/>
        </w:rPr>
      </w:pPr>
    </w:p>
    <w:p>
      <w:pPr>
        <w:pStyle w:val="20"/>
        <w:snapToGrid w:val="0"/>
        <w:ind w:left="2520" w:leftChars="1200" w:firstLine="708" w:firstLineChars="196"/>
        <w:rPr>
          <w:rFonts w:ascii="宋体" w:hAnsi="宋体"/>
          <w:b/>
          <w:sz w:val="36"/>
          <w:szCs w:val="36"/>
        </w:rPr>
      </w:pPr>
      <w:r>
        <w:rPr>
          <w:rFonts w:hint="eastAsia" w:ascii="宋体" w:hAnsi="宋体"/>
          <w:b/>
          <w:sz w:val="36"/>
          <w:szCs w:val="36"/>
        </w:rPr>
        <w:t>报价文件目录</w:t>
      </w:r>
    </w:p>
    <w:p>
      <w:pPr>
        <w:rPr>
          <w:rFonts w:ascii="宋体" w:hAnsi="宋体"/>
        </w:rPr>
      </w:pPr>
    </w:p>
    <w:p>
      <w:pPr>
        <w:spacing w:line="400" w:lineRule="exact"/>
        <w:ind w:firstLine="420" w:firstLineChars="200"/>
        <w:rPr>
          <w:rFonts w:ascii="宋体" w:hAnsi="宋体"/>
          <w:szCs w:val="21"/>
        </w:rPr>
      </w:pPr>
    </w:p>
    <w:p>
      <w:pPr>
        <w:numPr>
          <w:ilvl w:val="0"/>
          <w:numId w:val="2"/>
        </w:numPr>
        <w:spacing w:line="400" w:lineRule="exact"/>
        <w:rPr>
          <w:rFonts w:ascii="宋体" w:hAnsi="宋体"/>
        </w:rPr>
      </w:pPr>
      <w:r>
        <w:rPr>
          <w:rFonts w:hint="eastAsia" w:ascii="宋体" w:hAnsi="宋体"/>
        </w:rPr>
        <w:t>报价一览表（见附件10）；</w:t>
      </w:r>
    </w:p>
    <w:p>
      <w:pPr>
        <w:numPr>
          <w:ilvl w:val="0"/>
          <w:numId w:val="2"/>
        </w:numPr>
        <w:spacing w:line="400" w:lineRule="exact"/>
        <w:rPr>
          <w:rFonts w:ascii="宋体" w:hAnsi="宋体"/>
        </w:rPr>
      </w:pPr>
      <w:r>
        <w:rPr>
          <w:rFonts w:hint="eastAsia" w:ascii="宋体" w:hAnsi="宋体"/>
        </w:rPr>
        <w:t>2报价明细表（附件11）；</w:t>
      </w:r>
    </w:p>
    <w:p>
      <w:pPr>
        <w:numPr>
          <w:ilvl w:val="0"/>
          <w:numId w:val="2"/>
        </w:numPr>
        <w:spacing w:line="400" w:lineRule="exact"/>
        <w:rPr>
          <w:rFonts w:ascii="宋体" w:hAnsi="宋体"/>
          <w:szCs w:val="21"/>
        </w:rPr>
      </w:pPr>
      <w:r>
        <w:rPr>
          <w:rFonts w:hint="eastAsia" w:ascii="宋体" w:hAnsi="宋体"/>
          <w:szCs w:val="21"/>
        </w:rPr>
        <w:t>中小企业声明函（附件12）；</w:t>
      </w:r>
    </w:p>
    <w:p>
      <w:pPr>
        <w:numPr>
          <w:ilvl w:val="0"/>
          <w:numId w:val="2"/>
        </w:numPr>
        <w:spacing w:line="400" w:lineRule="exact"/>
        <w:rPr>
          <w:rFonts w:ascii="宋体" w:hAnsi="宋体"/>
          <w:szCs w:val="21"/>
        </w:rPr>
      </w:pPr>
      <w:r>
        <w:rPr>
          <w:rFonts w:hint="eastAsia" w:ascii="宋体" w:hAnsi="宋体"/>
          <w:szCs w:val="21"/>
        </w:rPr>
        <w:t>提供监狱和戒毒企业或残疾人福利性单位的相应证明（盖单位公章）（附件13）（如有）；</w:t>
      </w:r>
    </w:p>
    <w:p>
      <w:pPr>
        <w:numPr>
          <w:ilvl w:val="0"/>
          <w:numId w:val="2"/>
        </w:numPr>
        <w:spacing w:line="360" w:lineRule="auto"/>
        <w:rPr>
          <w:rFonts w:ascii="宋体" w:hAnsi="宋体"/>
          <w:szCs w:val="21"/>
        </w:rPr>
      </w:pPr>
      <w:r>
        <w:rPr>
          <w:rFonts w:hint="eastAsia" w:ascii="宋体" w:hAnsi="宋体"/>
          <w:szCs w:val="21"/>
        </w:rPr>
        <w:t>投标人针对报价需要说明的其他文件和说明（如有）。</w:t>
      </w:r>
    </w:p>
    <w:p>
      <w:pPr>
        <w:spacing w:line="400" w:lineRule="exact"/>
        <w:ind w:left="1095"/>
        <w:rPr>
          <w:rFonts w:ascii="宋体" w:hAnsi="宋体"/>
          <w:szCs w:val="21"/>
        </w:rPr>
      </w:pPr>
    </w:p>
    <w:p>
      <w:pPr>
        <w:pStyle w:val="19"/>
        <w:snapToGrid w:val="0"/>
        <w:spacing w:before="120" w:after="120"/>
        <w:rPr>
          <w:rFonts w:hAnsi="宋体"/>
          <w:sz w:val="30"/>
          <w:szCs w:val="30"/>
        </w:rPr>
      </w:pPr>
    </w:p>
    <w:p>
      <w:pPr>
        <w:pStyle w:val="19"/>
        <w:snapToGrid w:val="0"/>
        <w:spacing w:before="120" w:after="120"/>
        <w:rPr>
          <w:rFonts w:hAnsi="宋体"/>
          <w:sz w:val="30"/>
          <w:szCs w:val="30"/>
        </w:rPr>
      </w:pPr>
    </w:p>
    <w:p>
      <w:pPr>
        <w:pStyle w:val="19"/>
        <w:snapToGrid w:val="0"/>
        <w:spacing w:before="120" w:after="120"/>
        <w:rPr>
          <w:rFonts w:hAnsi="宋体"/>
          <w:sz w:val="30"/>
          <w:szCs w:val="30"/>
        </w:rPr>
      </w:pPr>
    </w:p>
    <w:p>
      <w:pPr>
        <w:pStyle w:val="19"/>
        <w:snapToGrid w:val="0"/>
        <w:spacing w:before="120" w:after="120"/>
        <w:rPr>
          <w:rFonts w:hAnsi="宋体"/>
          <w:sz w:val="30"/>
          <w:szCs w:val="30"/>
        </w:rPr>
      </w:pPr>
    </w:p>
    <w:p>
      <w:pPr>
        <w:pStyle w:val="19"/>
        <w:snapToGrid w:val="0"/>
        <w:spacing w:before="120" w:after="120"/>
        <w:rPr>
          <w:rFonts w:hAnsi="宋体"/>
          <w:sz w:val="30"/>
          <w:szCs w:val="30"/>
        </w:rPr>
      </w:pPr>
    </w:p>
    <w:p>
      <w:pPr>
        <w:pStyle w:val="19"/>
        <w:snapToGrid w:val="0"/>
        <w:spacing w:before="120" w:after="120"/>
        <w:rPr>
          <w:rFonts w:hAnsi="宋体"/>
          <w:sz w:val="30"/>
          <w:szCs w:val="3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5"/>
        <w:spacing w:line="320" w:lineRule="exact"/>
        <w:rPr>
          <w:rFonts w:ascii="宋体" w:hAnsi="宋体"/>
          <w:sz w:val="24"/>
        </w:rPr>
      </w:pPr>
      <w:bookmarkStart w:id="259" w:name="_Toc509308166"/>
      <w:bookmarkStart w:id="260" w:name="_Toc26999"/>
      <w:bookmarkStart w:id="261" w:name="_Toc503877085"/>
      <w:r>
        <w:rPr>
          <w:rFonts w:hint="eastAsia" w:ascii="宋体" w:hAnsi="宋体"/>
          <w:sz w:val="24"/>
        </w:rPr>
        <w:t>附件10： 报价一览表</w:t>
      </w:r>
      <w:bookmarkEnd w:id="259"/>
      <w:bookmarkEnd w:id="260"/>
      <w:bookmarkEnd w:id="261"/>
    </w:p>
    <w:p>
      <w:pPr>
        <w:rPr>
          <w:rFonts w:ascii="宋体" w:hAnsi="宋体"/>
          <w:b/>
          <w:sz w:val="36"/>
          <w:szCs w:val="36"/>
        </w:rPr>
      </w:pPr>
    </w:p>
    <w:p>
      <w:pPr>
        <w:jc w:val="center"/>
        <w:rPr>
          <w:rFonts w:ascii="宋体" w:hAnsi="宋体"/>
          <w:b/>
          <w:sz w:val="36"/>
          <w:szCs w:val="36"/>
        </w:rPr>
      </w:pPr>
      <w:r>
        <w:rPr>
          <w:rFonts w:hint="eastAsia" w:ascii="宋体" w:hAnsi="宋体"/>
          <w:b/>
          <w:sz w:val="36"/>
          <w:szCs w:val="36"/>
        </w:rPr>
        <w:t>报价一览表</w:t>
      </w:r>
    </w:p>
    <w:p>
      <w:pPr>
        <w:spacing w:line="240" w:lineRule="exact"/>
        <w:rPr>
          <w:rFonts w:ascii="宋体" w:hAnsi="宋体"/>
          <w:b/>
          <w:bCs/>
          <w:sz w:val="28"/>
          <w:szCs w:val="28"/>
        </w:rPr>
      </w:pPr>
    </w:p>
    <w:p>
      <w:pPr>
        <w:spacing w:beforeLines="50" w:afterLines="50" w:line="360" w:lineRule="auto"/>
        <w:rPr>
          <w:rFonts w:ascii="宋体" w:hAnsi="宋体" w:cs="仿宋_GB2312"/>
          <w:szCs w:val="21"/>
          <w:lang w:val="zh-CN"/>
        </w:rPr>
      </w:pPr>
      <w:r>
        <w:rPr>
          <w:rFonts w:hint="eastAsia" w:ascii="宋体" w:hAnsi="宋体" w:cs="仿宋_GB2312"/>
          <w:szCs w:val="21"/>
          <w:lang w:val="zh-CN"/>
        </w:rPr>
        <w:t>项目名称：世界互联网大会智慧指挥平台升级和运维项目</w:t>
      </w:r>
    </w:p>
    <w:tbl>
      <w:tblPr>
        <w:tblStyle w:val="34"/>
        <w:tblW w:w="878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969"/>
        <w:gridCol w:w="39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851" w:type="dxa"/>
            <w:tcBorders>
              <w:top w:val="single" w:color="auto" w:sz="12" w:space="0"/>
              <w:left w:val="single" w:color="auto" w:sz="12" w:space="0"/>
              <w:bottom w:val="single" w:color="auto" w:sz="6" w:space="0"/>
              <w:right w:val="single" w:color="auto" w:sz="6" w:space="0"/>
            </w:tcBorders>
            <w:vAlign w:val="center"/>
          </w:tcPr>
          <w:p>
            <w:pPr>
              <w:adjustRightInd w:val="0"/>
              <w:spacing w:line="360" w:lineRule="auto"/>
              <w:jc w:val="center"/>
              <w:rPr>
                <w:rFonts w:ascii="宋体" w:hAnsi="宋体" w:cs="Arial"/>
                <w:szCs w:val="21"/>
              </w:rPr>
            </w:pPr>
            <w:r>
              <w:rPr>
                <w:rFonts w:hint="eastAsia" w:ascii="宋体" w:hAnsi="宋体" w:cs="Arial"/>
                <w:szCs w:val="21"/>
              </w:rPr>
              <w:t>序号</w:t>
            </w:r>
          </w:p>
        </w:tc>
        <w:tc>
          <w:tcPr>
            <w:tcW w:w="3969" w:type="dxa"/>
            <w:tcBorders>
              <w:top w:val="single" w:color="auto" w:sz="12" w:space="0"/>
              <w:left w:val="single" w:color="auto" w:sz="6" w:space="0"/>
              <w:bottom w:val="single" w:color="auto" w:sz="6" w:space="0"/>
              <w:right w:val="single" w:color="auto" w:sz="4" w:space="0"/>
            </w:tcBorders>
            <w:vAlign w:val="center"/>
          </w:tcPr>
          <w:p>
            <w:pPr>
              <w:jc w:val="center"/>
            </w:pPr>
            <w:r>
              <w:rPr>
                <w:rFonts w:hint="eastAsia"/>
              </w:rPr>
              <w:t>名称</w:t>
            </w:r>
          </w:p>
        </w:tc>
        <w:tc>
          <w:tcPr>
            <w:tcW w:w="3969" w:type="dxa"/>
            <w:tcBorders>
              <w:top w:val="single" w:color="auto" w:sz="12" w:space="0"/>
              <w:left w:val="single" w:color="auto" w:sz="4" w:space="0"/>
              <w:bottom w:val="single" w:color="auto" w:sz="6" w:space="0"/>
              <w:right w:val="single" w:color="auto" w:sz="12" w:space="0"/>
            </w:tcBorders>
            <w:vAlign w:val="center"/>
          </w:tcPr>
          <w:p>
            <w:pPr>
              <w:jc w:val="center"/>
            </w:pPr>
            <w:r>
              <w:rPr>
                <w:rFonts w:hint="eastAsia"/>
              </w:rPr>
              <w:t>总价（万元）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firstLine="210" w:firstLineChars="100"/>
              <w:rPr>
                <w:rFonts w:ascii="宋体" w:hAnsi="宋体" w:cs="Arial"/>
                <w:szCs w:val="21"/>
              </w:rPr>
            </w:pPr>
            <w:r>
              <w:rPr>
                <w:rFonts w:hint="eastAsia" w:ascii="宋体" w:hAnsi="宋体" w:cs="Arial"/>
                <w:szCs w:val="21"/>
              </w:rPr>
              <w:t>1</w:t>
            </w:r>
          </w:p>
        </w:tc>
        <w:tc>
          <w:tcPr>
            <w:tcW w:w="396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仿宋_GB2312"/>
                <w:szCs w:val="21"/>
                <w:lang w:val="zh-CN"/>
              </w:rPr>
            </w:pPr>
            <w:r>
              <w:rPr>
                <w:rFonts w:hint="eastAsia" w:ascii="宋体" w:hAnsi="宋体" w:cs="仿宋_GB2312"/>
                <w:szCs w:val="21"/>
                <w:lang w:val="zh-CN"/>
              </w:rPr>
              <w:t>世界互联网大会智慧指挥平台升级和运维项目</w:t>
            </w:r>
          </w:p>
        </w:tc>
        <w:tc>
          <w:tcPr>
            <w:tcW w:w="3969" w:type="dxa"/>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789" w:type="dxa"/>
            <w:gridSpan w:val="3"/>
            <w:tcBorders>
              <w:top w:val="single" w:color="auto" w:sz="6" w:space="0"/>
              <w:left w:val="single" w:color="auto" w:sz="12" w:space="0"/>
              <w:right w:val="single" w:color="auto" w:sz="12" w:space="0"/>
            </w:tcBorders>
            <w:vAlign w:val="center"/>
          </w:tcPr>
          <w:p>
            <w:pPr>
              <w:adjustRightInd w:val="0"/>
              <w:spacing w:line="360" w:lineRule="auto"/>
              <w:jc w:val="left"/>
              <w:rPr>
                <w:rFonts w:ascii="宋体" w:hAnsi="宋体" w:cs="Arial"/>
                <w:szCs w:val="21"/>
              </w:rPr>
            </w:pPr>
            <w:r>
              <w:rPr>
                <w:rFonts w:hint="eastAsia" w:ascii="宋体" w:hAnsi="宋体" w:cs="Arial"/>
                <w:szCs w:val="21"/>
              </w:rPr>
              <w:t>投标报价（合计）：                    万元</w:t>
            </w:r>
          </w:p>
        </w:tc>
      </w:tr>
    </w:tbl>
    <w:p>
      <w:pPr>
        <w:adjustRightInd w:val="0"/>
        <w:spacing w:line="360" w:lineRule="auto"/>
        <w:rPr>
          <w:rFonts w:ascii="宋体" w:hAnsi="宋体" w:cs="Arial"/>
          <w:szCs w:val="21"/>
        </w:rPr>
      </w:pPr>
      <w:r>
        <w:rPr>
          <w:rFonts w:hint="eastAsia" w:ascii="宋体" w:hAnsi="宋体" w:cs="Arial"/>
          <w:bCs/>
          <w:szCs w:val="21"/>
        </w:rPr>
        <w:t>注</w:t>
      </w:r>
      <w:r>
        <w:rPr>
          <w:rFonts w:hint="eastAsia" w:ascii="宋体" w:hAnsi="宋体" w:cs="Arial"/>
          <w:szCs w:val="21"/>
        </w:rPr>
        <w:t>：1.投标报价是履行合同的最终价格，有关本项目所需的一切费用均计入报价。招标文件未列明，而投标人认为必需的费用也需列入报价。投标人在投标报价中应充分考虑所有可能发生的费用，否则</w:t>
      </w:r>
      <w:r>
        <w:rPr>
          <w:rFonts w:hint="eastAsia" w:ascii="宋体" w:hAnsi="宋体"/>
          <w:szCs w:val="21"/>
        </w:rPr>
        <w:t>采购单位</w:t>
      </w:r>
      <w:r>
        <w:rPr>
          <w:rFonts w:hint="eastAsia" w:ascii="宋体" w:hAnsi="宋体" w:cs="Arial"/>
          <w:szCs w:val="21"/>
        </w:rPr>
        <w:t>将视投标总价中已包括所有费用。</w:t>
      </w:r>
    </w:p>
    <w:p>
      <w:pPr>
        <w:spacing w:line="720" w:lineRule="auto"/>
        <w:rPr>
          <w:rFonts w:ascii="宋体" w:hAnsi="宋体" w:cs="Arial"/>
          <w:szCs w:val="21"/>
        </w:rPr>
      </w:pPr>
    </w:p>
    <w:p>
      <w:pPr>
        <w:spacing w:line="720" w:lineRule="auto"/>
        <w:rPr>
          <w:rFonts w:ascii="宋体" w:hAnsi="宋体"/>
          <w:b/>
          <w:sz w:val="24"/>
        </w:rPr>
      </w:pPr>
      <w:r>
        <w:rPr>
          <w:rFonts w:hint="eastAsia" w:ascii="宋体" w:hAnsi="宋体"/>
          <w:b/>
          <w:sz w:val="24"/>
        </w:rPr>
        <w:t>投标人（公章）：</w:t>
      </w:r>
    </w:p>
    <w:p>
      <w:pPr>
        <w:spacing w:line="720" w:lineRule="auto"/>
        <w:rPr>
          <w:rFonts w:ascii="宋体" w:hAnsi="宋体"/>
          <w:b/>
          <w:sz w:val="24"/>
        </w:rPr>
      </w:pPr>
      <w:r>
        <w:rPr>
          <w:rFonts w:hint="eastAsia" w:ascii="宋体" w:hAnsi="宋体"/>
          <w:b/>
          <w:sz w:val="24"/>
        </w:rPr>
        <w:t xml:space="preserve">法定代表人或授权代表（签字或盖章）：  </w:t>
      </w:r>
    </w:p>
    <w:p>
      <w:pPr>
        <w:spacing w:line="600" w:lineRule="exact"/>
        <w:rPr>
          <w:rFonts w:ascii="宋体" w:hAnsi="宋体"/>
          <w:b/>
          <w:sz w:val="24"/>
        </w:rPr>
      </w:pPr>
      <w:r>
        <w:rPr>
          <w:rFonts w:hint="eastAsia" w:ascii="宋体" w:hAnsi="宋体"/>
          <w:b/>
          <w:sz w:val="24"/>
        </w:rPr>
        <w:t>日 期：    年  月  日</w:t>
      </w:r>
    </w:p>
    <w:p>
      <w:pPr>
        <w:pStyle w:val="2"/>
      </w:pPr>
    </w:p>
    <w:p>
      <w:pPr>
        <w:pStyle w:val="3"/>
      </w:pPr>
    </w:p>
    <w:p/>
    <w:p>
      <w:pPr>
        <w:pStyle w:val="2"/>
      </w:pPr>
    </w:p>
    <w:p>
      <w:pPr>
        <w:pStyle w:val="3"/>
      </w:pPr>
    </w:p>
    <w:p/>
    <w:p>
      <w:pPr>
        <w:pStyle w:val="2"/>
      </w:pPr>
    </w:p>
    <w:p>
      <w:pPr>
        <w:pStyle w:val="3"/>
      </w:pPr>
    </w:p>
    <w:p/>
    <w:p>
      <w:pPr>
        <w:pStyle w:val="2"/>
      </w:pPr>
    </w:p>
    <w:p>
      <w:pPr>
        <w:pStyle w:val="3"/>
      </w:pPr>
    </w:p>
    <w:p>
      <w:pPr>
        <w:rPr>
          <w:szCs w:val="20"/>
        </w:rPr>
      </w:pPr>
      <w:r>
        <w:br w:type="page"/>
      </w:r>
    </w:p>
    <w:p>
      <w:pPr>
        <w:pStyle w:val="3"/>
      </w:pPr>
    </w:p>
    <w:p>
      <w:pPr>
        <w:widowControl/>
        <w:jc w:val="left"/>
        <w:rPr>
          <w:rFonts w:ascii="宋体" w:hAnsi="宋体"/>
          <w:b/>
          <w:sz w:val="24"/>
        </w:rPr>
      </w:pPr>
      <w:bookmarkStart w:id="262" w:name="_Toc436056818"/>
      <w:bookmarkStart w:id="263" w:name="_Toc503877083"/>
      <w:bookmarkStart w:id="264" w:name="_Toc15555"/>
      <w:bookmarkStart w:id="265" w:name="_Toc496018166"/>
      <w:bookmarkStart w:id="266" w:name="_Toc436057730"/>
      <w:bookmarkStart w:id="267" w:name="_Toc509308164"/>
      <w:bookmarkStart w:id="268" w:name="_Toc436212970"/>
      <w:bookmarkStart w:id="269" w:name="_Toc32186"/>
      <w:r>
        <w:rPr>
          <w:rFonts w:hint="eastAsia" w:ascii="宋体" w:hAnsi="宋体"/>
          <w:b/>
          <w:sz w:val="24"/>
        </w:rPr>
        <w:t>附件11： 报价明细表</w:t>
      </w:r>
    </w:p>
    <w:p>
      <w:pPr>
        <w:jc w:val="center"/>
        <w:rPr>
          <w:rFonts w:ascii="宋体" w:hAnsi="宋体"/>
          <w:b/>
          <w:sz w:val="36"/>
          <w:szCs w:val="36"/>
        </w:rPr>
      </w:pPr>
      <w:r>
        <w:rPr>
          <w:rFonts w:hint="eastAsia" w:ascii="宋体" w:hAnsi="宋体"/>
          <w:b/>
          <w:sz w:val="36"/>
          <w:szCs w:val="36"/>
        </w:rPr>
        <w:t>报价明细表</w:t>
      </w:r>
    </w:p>
    <w:p>
      <w:pPr>
        <w:spacing w:line="240" w:lineRule="exact"/>
        <w:rPr>
          <w:rFonts w:ascii="宋体" w:hAnsi="宋体"/>
          <w:b/>
          <w:bCs/>
          <w:sz w:val="28"/>
          <w:szCs w:val="28"/>
        </w:rPr>
      </w:pPr>
    </w:p>
    <w:p>
      <w:pPr>
        <w:spacing w:beforeLines="50" w:afterLines="50" w:line="360" w:lineRule="auto"/>
        <w:rPr>
          <w:rFonts w:ascii="宋体" w:hAnsi="宋体" w:cs="仿宋_GB2312"/>
          <w:szCs w:val="21"/>
          <w:lang w:val="zh-CN"/>
        </w:rPr>
      </w:pPr>
      <w:r>
        <w:rPr>
          <w:rFonts w:hint="eastAsia" w:ascii="宋体" w:hAnsi="宋体" w:cs="仿宋_GB2312"/>
          <w:szCs w:val="21"/>
          <w:lang w:val="zh-CN"/>
        </w:rPr>
        <w:t>项目名称：世界互联网大会智慧指挥平台升级和运维项目</w:t>
      </w:r>
    </w:p>
    <w:tbl>
      <w:tblPr>
        <w:tblStyle w:val="34"/>
        <w:tblW w:w="878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969"/>
        <w:gridCol w:w="39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851" w:type="dxa"/>
            <w:tcBorders>
              <w:top w:val="single" w:color="auto" w:sz="12" w:space="0"/>
              <w:left w:val="single" w:color="auto" w:sz="12" w:space="0"/>
              <w:bottom w:val="single" w:color="auto" w:sz="6" w:space="0"/>
              <w:right w:val="single" w:color="auto" w:sz="6" w:space="0"/>
            </w:tcBorders>
            <w:vAlign w:val="center"/>
          </w:tcPr>
          <w:p>
            <w:pPr>
              <w:adjustRightInd w:val="0"/>
              <w:spacing w:line="360" w:lineRule="auto"/>
              <w:jc w:val="center"/>
              <w:rPr>
                <w:rFonts w:ascii="宋体" w:hAnsi="宋体" w:cs="Arial"/>
                <w:szCs w:val="21"/>
              </w:rPr>
            </w:pPr>
            <w:r>
              <w:rPr>
                <w:rFonts w:hint="eastAsia" w:ascii="宋体" w:hAnsi="宋体" w:cs="Arial"/>
                <w:szCs w:val="21"/>
              </w:rPr>
              <w:t>序号</w:t>
            </w:r>
          </w:p>
        </w:tc>
        <w:tc>
          <w:tcPr>
            <w:tcW w:w="3969" w:type="dxa"/>
            <w:tcBorders>
              <w:top w:val="single" w:color="auto" w:sz="12" w:space="0"/>
              <w:left w:val="single" w:color="auto" w:sz="6" w:space="0"/>
              <w:bottom w:val="single" w:color="auto" w:sz="6" w:space="0"/>
              <w:right w:val="single" w:color="auto" w:sz="4" w:space="0"/>
            </w:tcBorders>
            <w:vAlign w:val="center"/>
          </w:tcPr>
          <w:p>
            <w:pPr>
              <w:jc w:val="center"/>
            </w:pPr>
            <w:r>
              <w:rPr>
                <w:rFonts w:hint="eastAsia"/>
              </w:rPr>
              <w:t>名称</w:t>
            </w:r>
          </w:p>
        </w:tc>
        <w:tc>
          <w:tcPr>
            <w:tcW w:w="3969" w:type="dxa"/>
            <w:tcBorders>
              <w:top w:val="single" w:color="auto" w:sz="12" w:space="0"/>
              <w:left w:val="single" w:color="auto" w:sz="4" w:space="0"/>
              <w:bottom w:val="single" w:color="auto" w:sz="6" w:space="0"/>
              <w:right w:val="single" w:color="auto" w:sz="12" w:space="0"/>
            </w:tcBorders>
            <w:vAlign w:val="center"/>
          </w:tcPr>
          <w:p>
            <w:pPr>
              <w:jc w:val="center"/>
            </w:pPr>
            <w:r>
              <w:rPr>
                <w:rFonts w:hint="eastAsia"/>
              </w:rPr>
              <w:t>报价（</w:t>
            </w:r>
            <w:r>
              <w:rPr>
                <w:rFonts w:hint="eastAsia"/>
                <w:lang w:val="en-US" w:eastAsia="zh-CN"/>
              </w:rPr>
              <w:t>万</w:t>
            </w:r>
            <w:r>
              <w:rPr>
                <w:rFonts w:hint="eastAsia"/>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67" w:hRule="atLeast"/>
        </w:trPr>
        <w:tc>
          <w:tcPr>
            <w:tcW w:w="851"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firstLine="210" w:firstLineChars="100"/>
              <w:rPr>
                <w:rFonts w:ascii="宋体" w:hAnsi="宋体" w:cs="Arial"/>
                <w:szCs w:val="21"/>
              </w:rPr>
            </w:pPr>
            <w:r>
              <w:rPr>
                <w:rFonts w:hint="eastAsia" w:ascii="宋体" w:hAnsi="宋体" w:cs="Arial"/>
                <w:szCs w:val="21"/>
              </w:rPr>
              <w:t>1</w:t>
            </w:r>
          </w:p>
        </w:tc>
        <w:tc>
          <w:tcPr>
            <w:tcW w:w="396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仿宋_GB2312"/>
                <w:szCs w:val="21"/>
                <w:lang w:val="zh-CN"/>
              </w:rPr>
            </w:pPr>
            <w:r>
              <w:rPr>
                <w:rFonts w:hint="eastAsia" w:ascii="宋体" w:hAnsi="宋体" w:cs="仿宋_GB2312"/>
                <w:szCs w:val="21"/>
                <w:lang w:val="zh-CN"/>
              </w:rPr>
              <w:t>页面布局优化调整</w:t>
            </w:r>
          </w:p>
        </w:tc>
        <w:tc>
          <w:tcPr>
            <w:tcW w:w="3969" w:type="dxa"/>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firstLine="210" w:firstLineChars="100"/>
              <w:rPr>
                <w:rFonts w:ascii="宋体" w:hAnsi="宋体" w:cs="Arial"/>
                <w:szCs w:val="21"/>
              </w:rPr>
            </w:pPr>
            <w:r>
              <w:rPr>
                <w:rFonts w:hint="eastAsia" w:ascii="宋体" w:hAnsi="宋体" w:cs="Arial"/>
                <w:szCs w:val="21"/>
              </w:rPr>
              <w:t>2</w:t>
            </w:r>
          </w:p>
        </w:tc>
        <w:tc>
          <w:tcPr>
            <w:tcW w:w="396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仿宋_GB2312"/>
                <w:szCs w:val="21"/>
                <w:lang w:val="zh-CN"/>
              </w:rPr>
            </w:pPr>
            <w:r>
              <w:rPr>
                <w:rFonts w:hint="eastAsia" w:ascii="宋体" w:hAnsi="宋体" w:cs="仿宋_GB2312"/>
                <w:szCs w:val="21"/>
              </w:rPr>
              <w:t>指挥功能优化升级</w:t>
            </w:r>
          </w:p>
        </w:tc>
        <w:tc>
          <w:tcPr>
            <w:tcW w:w="3969" w:type="dxa"/>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firstLine="210" w:firstLineChars="100"/>
              <w:rPr>
                <w:rFonts w:ascii="宋体" w:hAnsi="宋体" w:cs="Arial"/>
                <w:szCs w:val="21"/>
              </w:rPr>
            </w:pPr>
            <w:r>
              <w:rPr>
                <w:rFonts w:hint="eastAsia" w:ascii="宋体" w:hAnsi="宋体" w:cs="Arial"/>
                <w:szCs w:val="21"/>
              </w:rPr>
              <w:t>3</w:t>
            </w:r>
          </w:p>
        </w:tc>
        <w:tc>
          <w:tcPr>
            <w:tcW w:w="396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仿宋_GB2312"/>
                <w:szCs w:val="21"/>
                <w:lang w:val="zh-CN"/>
              </w:rPr>
            </w:pPr>
            <w:r>
              <w:rPr>
                <w:rFonts w:hint="eastAsia" w:ascii="宋体" w:hAnsi="宋体" w:cs="仿宋_GB2312"/>
                <w:szCs w:val="21"/>
              </w:rPr>
              <w:t>嘉宾管理优化升级</w:t>
            </w:r>
          </w:p>
        </w:tc>
        <w:tc>
          <w:tcPr>
            <w:tcW w:w="3969" w:type="dxa"/>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firstLine="210" w:firstLineChars="100"/>
              <w:rPr>
                <w:rFonts w:ascii="宋体" w:hAnsi="宋体" w:cs="Arial"/>
                <w:szCs w:val="21"/>
              </w:rPr>
            </w:pPr>
            <w:r>
              <w:rPr>
                <w:rFonts w:hint="eastAsia" w:ascii="宋体" w:hAnsi="宋体" w:cs="Arial"/>
                <w:szCs w:val="21"/>
              </w:rPr>
              <w:t>4</w:t>
            </w:r>
          </w:p>
        </w:tc>
        <w:tc>
          <w:tcPr>
            <w:tcW w:w="396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仿宋_GB2312"/>
                <w:szCs w:val="21"/>
                <w:lang w:val="zh-CN"/>
              </w:rPr>
            </w:pPr>
            <w:r>
              <w:rPr>
                <w:rFonts w:hint="eastAsia" w:ascii="宋体" w:hAnsi="宋体" w:cs="仿宋_GB2312"/>
                <w:szCs w:val="21"/>
                <w:lang w:val="zh-CN"/>
              </w:rPr>
              <w:t>网络安全系统部署</w:t>
            </w:r>
          </w:p>
        </w:tc>
        <w:tc>
          <w:tcPr>
            <w:tcW w:w="3969" w:type="dxa"/>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firstLine="210" w:firstLineChars="100"/>
              <w:rPr>
                <w:rFonts w:ascii="宋体" w:hAnsi="宋体" w:cs="Arial"/>
                <w:szCs w:val="21"/>
              </w:rPr>
            </w:pPr>
            <w:r>
              <w:rPr>
                <w:rFonts w:hint="eastAsia" w:ascii="宋体" w:hAnsi="宋体" w:cs="Arial"/>
                <w:szCs w:val="21"/>
              </w:rPr>
              <w:t>5</w:t>
            </w:r>
          </w:p>
        </w:tc>
        <w:tc>
          <w:tcPr>
            <w:tcW w:w="396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仿宋_GB2312"/>
                <w:szCs w:val="21"/>
                <w:lang w:val="zh-CN"/>
              </w:rPr>
            </w:pPr>
            <w:r>
              <w:rPr>
                <w:rFonts w:hint="eastAsia" w:ascii="宋体" w:hAnsi="宋体" w:cs="仿宋_GB2312"/>
                <w:szCs w:val="21"/>
                <w:lang w:val="zh-CN"/>
              </w:rPr>
              <w:t>联系单优化升级</w:t>
            </w:r>
          </w:p>
        </w:tc>
        <w:tc>
          <w:tcPr>
            <w:tcW w:w="3969" w:type="dxa"/>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firstLine="210" w:firstLineChars="100"/>
              <w:rPr>
                <w:rFonts w:ascii="宋体" w:hAnsi="宋体" w:cs="Arial"/>
                <w:szCs w:val="21"/>
              </w:rPr>
            </w:pPr>
            <w:r>
              <w:rPr>
                <w:rFonts w:hint="eastAsia" w:ascii="宋体" w:hAnsi="宋体" w:cs="Arial"/>
                <w:szCs w:val="21"/>
              </w:rPr>
              <w:t>6</w:t>
            </w:r>
          </w:p>
        </w:tc>
        <w:tc>
          <w:tcPr>
            <w:tcW w:w="396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仿宋_GB2312"/>
                <w:szCs w:val="21"/>
                <w:lang w:val="zh-CN"/>
              </w:rPr>
            </w:pPr>
            <w:r>
              <w:rPr>
                <w:rFonts w:hint="eastAsia" w:ascii="宋体" w:hAnsi="宋体" w:cs="仿宋_GB2312"/>
                <w:szCs w:val="21"/>
                <w:lang w:val="zh-CN"/>
              </w:rPr>
              <w:t>优化会场资源管理模块</w:t>
            </w:r>
          </w:p>
        </w:tc>
        <w:tc>
          <w:tcPr>
            <w:tcW w:w="3969" w:type="dxa"/>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firstLine="210" w:firstLineChars="100"/>
              <w:rPr>
                <w:rFonts w:ascii="宋体" w:hAnsi="宋体" w:cs="Arial"/>
                <w:szCs w:val="21"/>
              </w:rPr>
            </w:pPr>
            <w:r>
              <w:rPr>
                <w:rFonts w:hint="eastAsia" w:ascii="宋体" w:hAnsi="宋体" w:cs="Arial"/>
                <w:szCs w:val="21"/>
              </w:rPr>
              <w:t>7</w:t>
            </w:r>
          </w:p>
        </w:tc>
        <w:tc>
          <w:tcPr>
            <w:tcW w:w="396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仿宋_GB2312"/>
                <w:szCs w:val="21"/>
                <w:lang w:val="zh-CN"/>
              </w:rPr>
            </w:pPr>
            <w:r>
              <w:rPr>
                <w:rFonts w:hint="eastAsia" w:ascii="宋体" w:hAnsi="宋体" w:cs="仿宋_GB2312"/>
                <w:szCs w:val="21"/>
              </w:rPr>
              <w:t>安全资源、网络资源</w:t>
            </w:r>
          </w:p>
        </w:tc>
        <w:tc>
          <w:tcPr>
            <w:tcW w:w="3969" w:type="dxa"/>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ind w:firstLine="210" w:firstLineChars="100"/>
              <w:rPr>
                <w:rFonts w:ascii="宋体" w:hAnsi="宋体" w:cs="Arial"/>
                <w:szCs w:val="21"/>
              </w:rPr>
            </w:pPr>
            <w:r>
              <w:rPr>
                <w:rFonts w:hint="eastAsia" w:ascii="宋体" w:hAnsi="宋体" w:cs="Arial"/>
                <w:szCs w:val="21"/>
              </w:rPr>
              <w:t>8</w:t>
            </w:r>
          </w:p>
        </w:tc>
        <w:tc>
          <w:tcPr>
            <w:tcW w:w="396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仿宋_GB2312"/>
                <w:szCs w:val="21"/>
                <w:lang w:val="zh-CN"/>
              </w:rPr>
            </w:pPr>
            <w:r>
              <w:rPr>
                <w:rFonts w:hint="eastAsia" w:ascii="宋体" w:hAnsi="宋体" w:cs="仿宋_GB2312"/>
                <w:szCs w:val="21"/>
                <w:lang w:val="zh-CN"/>
              </w:rPr>
              <w:t>系统运维以及后续服务</w:t>
            </w:r>
          </w:p>
        </w:tc>
        <w:tc>
          <w:tcPr>
            <w:tcW w:w="3969" w:type="dxa"/>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2" w:hRule="atLeast"/>
        </w:trPr>
        <w:tc>
          <w:tcPr>
            <w:tcW w:w="8789" w:type="dxa"/>
            <w:gridSpan w:val="3"/>
            <w:tcBorders>
              <w:top w:val="single" w:color="auto" w:sz="6" w:space="0"/>
              <w:left w:val="single" w:color="auto" w:sz="12" w:space="0"/>
              <w:right w:val="single" w:color="auto" w:sz="12" w:space="0"/>
            </w:tcBorders>
            <w:vAlign w:val="center"/>
          </w:tcPr>
          <w:p>
            <w:pPr>
              <w:adjustRightInd w:val="0"/>
              <w:spacing w:line="360" w:lineRule="auto"/>
              <w:jc w:val="left"/>
              <w:rPr>
                <w:rFonts w:ascii="宋体" w:hAnsi="宋体" w:cs="Arial"/>
                <w:szCs w:val="21"/>
              </w:rPr>
            </w:pPr>
            <w:r>
              <w:rPr>
                <w:rFonts w:hint="eastAsia" w:ascii="宋体" w:hAnsi="宋体" w:cs="Arial"/>
                <w:szCs w:val="21"/>
              </w:rPr>
              <w:t>投标报价（合计）：                    万元</w:t>
            </w:r>
          </w:p>
        </w:tc>
      </w:tr>
    </w:tbl>
    <w:p>
      <w:pPr>
        <w:spacing w:line="720" w:lineRule="auto"/>
        <w:rPr>
          <w:rFonts w:ascii="宋体" w:hAnsi="宋体"/>
          <w:b/>
          <w:sz w:val="24"/>
        </w:rPr>
      </w:pPr>
      <w:r>
        <w:rPr>
          <w:rFonts w:hint="eastAsia" w:ascii="宋体" w:hAnsi="宋体"/>
          <w:b/>
          <w:sz w:val="24"/>
        </w:rPr>
        <w:t>投标人（公章）：</w:t>
      </w:r>
    </w:p>
    <w:p>
      <w:pPr>
        <w:spacing w:line="720" w:lineRule="auto"/>
        <w:rPr>
          <w:rFonts w:ascii="宋体" w:hAnsi="宋体"/>
          <w:b/>
          <w:sz w:val="24"/>
        </w:rPr>
      </w:pPr>
      <w:r>
        <w:rPr>
          <w:rFonts w:hint="eastAsia" w:ascii="宋体" w:hAnsi="宋体"/>
          <w:b/>
          <w:sz w:val="24"/>
        </w:rPr>
        <w:t xml:space="preserve">法定代表人或授权代表（签字或盖章）：  </w:t>
      </w:r>
    </w:p>
    <w:p>
      <w:pPr>
        <w:spacing w:line="600" w:lineRule="exact"/>
        <w:rPr>
          <w:rFonts w:ascii="宋体" w:hAnsi="宋体"/>
          <w:b/>
          <w:sz w:val="24"/>
        </w:rPr>
      </w:pPr>
      <w:r>
        <w:rPr>
          <w:rFonts w:hint="eastAsia" w:ascii="宋体" w:hAnsi="宋体"/>
          <w:b/>
          <w:sz w:val="24"/>
        </w:rPr>
        <w:t>日 期：    年  月  日</w:t>
      </w:r>
    </w:p>
    <w:p>
      <w:pPr>
        <w:widowControl/>
        <w:jc w:val="left"/>
        <w:rPr>
          <w:rFonts w:ascii="宋体" w:hAnsi="宋体"/>
          <w:sz w:val="24"/>
        </w:rPr>
      </w:pPr>
      <w:r>
        <w:rPr>
          <w:rFonts w:ascii="宋体" w:hAnsi="宋体"/>
          <w:sz w:val="24"/>
        </w:rPr>
        <w:br w:type="page"/>
      </w:r>
    </w:p>
    <w:p>
      <w:pPr>
        <w:pStyle w:val="2"/>
      </w:pPr>
    </w:p>
    <w:p>
      <w:pPr>
        <w:pStyle w:val="5"/>
        <w:spacing w:line="320" w:lineRule="exact"/>
        <w:rPr>
          <w:rFonts w:ascii="宋体" w:hAnsi="宋体"/>
          <w:sz w:val="24"/>
        </w:rPr>
      </w:pPr>
      <w:r>
        <w:rPr>
          <w:rFonts w:hint="eastAsia" w:ascii="宋体" w:hAnsi="宋体"/>
          <w:sz w:val="24"/>
        </w:rPr>
        <w:t>附件12：</w:t>
      </w:r>
      <w:bookmarkEnd w:id="262"/>
      <w:bookmarkEnd w:id="263"/>
      <w:bookmarkEnd w:id="264"/>
      <w:bookmarkEnd w:id="265"/>
      <w:bookmarkEnd w:id="266"/>
      <w:bookmarkEnd w:id="267"/>
      <w:bookmarkEnd w:id="268"/>
      <w:r>
        <w:rPr>
          <w:rFonts w:hint="eastAsia" w:ascii="宋体" w:hAnsi="宋体"/>
          <w:sz w:val="24"/>
        </w:rPr>
        <w:t>中小企业声明函（如有）</w:t>
      </w:r>
      <w:bookmarkEnd w:id="269"/>
    </w:p>
    <w:p>
      <w:pPr>
        <w:widowControl/>
        <w:spacing w:line="400" w:lineRule="exact"/>
        <w:jc w:val="center"/>
        <w:rPr>
          <w:rFonts w:ascii="宋体" w:hAnsi="宋体"/>
          <w:b/>
          <w:sz w:val="36"/>
          <w:szCs w:val="36"/>
        </w:rPr>
      </w:pPr>
    </w:p>
    <w:p>
      <w:pPr>
        <w:widowControl/>
        <w:spacing w:line="400" w:lineRule="exact"/>
        <w:jc w:val="center"/>
        <w:rPr>
          <w:rFonts w:ascii="宋体" w:hAnsi="宋体"/>
          <w:b/>
          <w:sz w:val="36"/>
          <w:szCs w:val="36"/>
        </w:rPr>
      </w:pPr>
      <w:r>
        <w:rPr>
          <w:rFonts w:hint="eastAsia" w:ascii="宋体" w:hAnsi="宋体"/>
          <w:b/>
          <w:sz w:val="36"/>
          <w:szCs w:val="36"/>
        </w:rPr>
        <w:t>中小企业声明函（服务）</w:t>
      </w:r>
    </w:p>
    <w:p>
      <w:pPr>
        <w:pStyle w:val="93"/>
        <w:overflowPunct w:val="0"/>
        <w:spacing w:line="600" w:lineRule="exact"/>
        <w:ind w:firstLine="480" w:firstLineChars="200"/>
        <w:rPr>
          <w:rFonts w:ascii="宋体" w:hAnsi="宋体"/>
          <w:sz w:val="24"/>
          <w:szCs w:val="24"/>
        </w:rPr>
      </w:pPr>
    </w:p>
    <w:p>
      <w:pPr>
        <w:widowControl/>
        <w:spacing w:line="360" w:lineRule="auto"/>
        <w:ind w:firstLine="560" w:firstLineChars="200"/>
        <w:jc w:val="left"/>
        <w:rPr>
          <w:rFonts w:ascii="宋体" w:hAnsi="宋体" w:cs="宋体"/>
          <w:sz w:val="28"/>
          <w:szCs w:val="28"/>
        </w:rPr>
      </w:pPr>
      <w:bookmarkStart w:id="270" w:name="_Toc509308165"/>
      <w:r>
        <w:rPr>
          <w:rFonts w:hint="eastAsia" w:ascii="宋体" w:hAnsi="宋体" w:cs="宋体"/>
          <w:sz w:val="28"/>
          <w:szCs w:val="28"/>
        </w:rPr>
        <w:t>本公司（联合体）郑重声明，根据《政府采购促进中小企业发展管理办法》（财库（2020）46号）的规定，本公司（联合体）参加</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（项目名称） </w:t>
      </w:r>
      <w:r>
        <w:rPr>
          <w:rFonts w:hint="eastAsia" w:ascii="宋体" w:hAnsi="宋体" w:cs="宋体"/>
          <w:sz w:val="28"/>
          <w:szCs w:val="28"/>
        </w:rPr>
        <w:t>采购活动，服务全部由符合政策要求的中小企业承接。相关企业（含联合体中的中小企业、签订分包意向协议的中小企业）的具体情况如下：</w:t>
      </w:r>
    </w:p>
    <w:p>
      <w:pPr>
        <w:widowControl/>
        <w:spacing w:line="360" w:lineRule="auto"/>
        <w:jc w:val="left"/>
        <w:rPr>
          <w:rFonts w:ascii="宋体" w:hAnsi="宋体" w:cs="宋体"/>
          <w:sz w:val="28"/>
          <w:szCs w:val="28"/>
        </w:rPr>
      </w:pPr>
      <w:r>
        <w:rPr>
          <w:rFonts w:hint="eastAsia" w:ascii="宋体" w:hAnsi="宋体" w:cs="宋体"/>
          <w:sz w:val="28"/>
          <w:szCs w:val="28"/>
        </w:rPr>
        <w:t xml:space="preserve">    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 xml:space="preserve"> 软件和信息技术服务业 </w:t>
      </w:r>
      <w:r>
        <w:rPr>
          <w:rFonts w:hint="eastAsia" w:ascii="宋体" w:hAnsi="宋体" w:cs="宋体"/>
          <w:sz w:val="28"/>
          <w:szCs w:val="28"/>
        </w:rPr>
        <w:t>；承建（承接）企业为</w:t>
      </w:r>
      <w:r>
        <w:rPr>
          <w:rFonts w:hint="eastAsia" w:ascii="宋体" w:hAnsi="宋体" w:cs="宋体"/>
          <w:sz w:val="28"/>
          <w:szCs w:val="28"/>
          <w:u w:val="single"/>
        </w:rPr>
        <w:t>（企业名称）</w:t>
      </w:r>
      <w:r>
        <w:rPr>
          <w:rFonts w:hint="eastAsia" w:ascii="宋体" w:hAnsi="宋体" w:cs="宋体"/>
          <w:sz w:val="28"/>
          <w:szCs w:val="28"/>
        </w:rPr>
        <w:t>，从业人员人，营业收入为万元，资产总额为万元</w:t>
      </w:r>
      <w:r>
        <w:rPr>
          <w:rFonts w:hint="eastAsia" w:ascii="宋体" w:hAnsi="宋体" w:cs="宋体"/>
          <w:sz w:val="28"/>
          <w:szCs w:val="28"/>
          <w:vertAlign w:val="superscript"/>
        </w:rPr>
        <w:t>1</w:t>
      </w:r>
      <w:r>
        <w:rPr>
          <w:rFonts w:hint="eastAsia" w:ascii="宋体" w:hAnsi="宋体" w:cs="宋体"/>
          <w:sz w:val="28"/>
          <w:szCs w:val="28"/>
        </w:rPr>
        <w:t>，属于</w:t>
      </w:r>
      <w:r>
        <w:rPr>
          <w:rFonts w:hint="eastAsia" w:ascii="宋体" w:hAnsi="宋体" w:cs="宋体"/>
          <w:sz w:val="28"/>
          <w:szCs w:val="28"/>
          <w:u w:val="single"/>
        </w:rPr>
        <w:t>（中型企业、小型企业、微型企业）</w:t>
      </w:r>
      <w:r>
        <w:rPr>
          <w:rFonts w:hint="eastAsia" w:ascii="宋体" w:hAnsi="宋体" w:cs="宋体"/>
          <w:sz w:val="28"/>
          <w:szCs w:val="28"/>
        </w:rPr>
        <w:t>；</w:t>
      </w:r>
    </w:p>
    <w:p>
      <w:pPr>
        <w:widowControl/>
        <w:spacing w:line="360" w:lineRule="auto"/>
        <w:jc w:val="left"/>
        <w:rPr>
          <w:rFonts w:ascii="宋体" w:hAnsi="宋体" w:cs="宋体"/>
          <w:sz w:val="28"/>
          <w:szCs w:val="28"/>
        </w:rPr>
      </w:pPr>
      <w:r>
        <w:rPr>
          <w:rFonts w:hint="eastAsia" w:ascii="宋体" w:hAnsi="宋体" w:cs="宋体"/>
          <w:sz w:val="28"/>
          <w:szCs w:val="28"/>
        </w:rPr>
        <w:t xml:space="preserve">    2.</w:t>
      </w:r>
    </w:p>
    <w:p>
      <w:pPr>
        <w:widowControl/>
        <w:spacing w:line="360" w:lineRule="auto"/>
        <w:jc w:val="left"/>
        <w:rPr>
          <w:rFonts w:ascii="宋体" w:hAnsi="宋体" w:cs="宋体"/>
          <w:sz w:val="28"/>
          <w:szCs w:val="28"/>
        </w:rPr>
      </w:pPr>
      <w:r>
        <w:rPr>
          <w:rFonts w:hint="eastAsia" w:ascii="宋体" w:hAnsi="宋体" w:cs="宋体"/>
          <w:sz w:val="28"/>
          <w:szCs w:val="28"/>
        </w:rPr>
        <w:t xml:space="preserve">     ……</w:t>
      </w:r>
    </w:p>
    <w:p>
      <w:pPr>
        <w:widowControl/>
        <w:spacing w:line="360" w:lineRule="auto"/>
        <w:ind w:firstLine="560"/>
        <w:jc w:val="left"/>
        <w:rPr>
          <w:rFonts w:ascii="宋体" w:hAnsi="宋体" w:cs="宋体"/>
          <w:sz w:val="28"/>
          <w:szCs w:val="28"/>
        </w:rPr>
      </w:pPr>
      <w:r>
        <w:rPr>
          <w:rFonts w:hint="eastAsia" w:ascii="宋体" w:hAnsi="宋体" w:cs="宋体"/>
          <w:sz w:val="28"/>
          <w:szCs w:val="28"/>
        </w:rPr>
        <w:t xml:space="preserve"> 以上企业，不属于大企业的分支机构，不存在控股股东为大企业的情形，也不存在与大企业的负责人为同一人的情形。</w:t>
      </w:r>
    </w:p>
    <w:p>
      <w:pPr>
        <w:widowControl/>
        <w:spacing w:line="360" w:lineRule="auto"/>
        <w:ind w:firstLine="560"/>
        <w:jc w:val="left"/>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widowControl/>
        <w:spacing w:line="360" w:lineRule="auto"/>
        <w:ind w:firstLine="560"/>
        <w:jc w:val="left"/>
        <w:rPr>
          <w:rFonts w:ascii="宋体" w:hAnsi="宋体" w:cs="宋体"/>
          <w:sz w:val="28"/>
          <w:szCs w:val="28"/>
        </w:rPr>
      </w:pPr>
      <w:r>
        <w:rPr>
          <w:rFonts w:hint="eastAsia" w:ascii="宋体" w:hAnsi="宋体" w:cs="宋体"/>
          <w:sz w:val="28"/>
          <w:szCs w:val="28"/>
        </w:rPr>
        <w:t xml:space="preserve">                              企业名称（盖章）：</w:t>
      </w:r>
    </w:p>
    <w:p>
      <w:pPr>
        <w:widowControl/>
        <w:spacing w:line="360" w:lineRule="auto"/>
        <w:ind w:firstLine="560"/>
        <w:jc w:val="right"/>
        <w:rPr>
          <w:rFonts w:ascii="宋体" w:hAnsi="宋体" w:cs="宋体"/>
          <w:sz w:val="28"/>
          <w:szCs w:val="28"/>
        </w:rPr>
      </w:pPr>
    </w:p>
    <w:p>
      <w:pPr>
        <w:widowControl/>
        <w:spacing w:line="360" w:lineRule="auto"/>
        <w:ind w:firstLine="560"/>
        <w:jc w:val="center"/>
        <w:rPr>
          <w:rFonts w:ascii="宋体" w:hAnsi="宋体" w:cs="宋体"/>
          <w:sz w:val="28"/>
          <w:szCs w:val="28"/>
        </w:rPr>
      </w:pPr>
      <w:r>
        <w:rPr>
          <w:rFonts w:hint="eastAsia" w:ascii="宋体" w:hAnsi="宋体" w:cs="宋体"/>
          <w:sz w:val="28"/>
          <w:szCs w:val="28"/>
        </w:rPr>
        <w:t xml:space="preserve">          日 期：</w:t>
      </w:r>
    </w:p>
    <w:p>
      <w:pPr>
        <w:jc w:val="left"/>
        <w:rPr>
          <w:rFonts w:ascii="宋体" w:hAnsi="宋体" w:cs="宋体"/>
          <w:b/>
          <w:bCs/>
          <w:szCs w:val="21"/>
        </w:rPr>
      </w:pPr>
    </w:p>
    <w:p>
      <w:pPr>
        <w:spacing w:line="360" w:lineRule="auto"/>
        <w:ind w:firstLine="560"/>
        <w:rPr>
          <w:rFonts w:ascii="宋体" w:hAnsi="宋体" w:cs="宋体"/>
          <w:sz w:val="22"/>
          <w:szCs w:val="22"/>
        </w:rPr>
      </w:pPr>
      <w:r>
        <w:rPr>
          <w:rFonts w:hint="eastAsia" w:ascii="宋体" w:hAnsi="宋体" w:cs="宋体"/>
          <w:sz w:val="22"/>
          <w:szCs w:val="22"/>
        </w:rPr>
        <w:t>注：1.从业人员、营业收入、资产总额填报上一年度数据，无上一年度数据的新成立企业可不填报。</w:t>
      </w:r>
    </w:p>
    <w:p>
      <w:pPr>
        <w:spacing w:line="360" w:lineRule="auto"/>
        <w:ind w:firstLine="560"/>
        <w:rPr>
          <w:rFonts w:ascii="宋体" w:hAnsi="宋体" w:cs="宋体"/>
          <w:sz w:val="22"/>
          <w:szCs w:val="22"/>
        </w:rPr>
      </w:pPr>
      <w:r>
        <w:rPr>
          <w:rFonts w:hint="eastAsia" w:ascii="宋体" w:hAnsi="宋体" w:cs="宋体"/>
          <w:sz w:val="22"/>
          <w:szCs w:val="22"/>
        </w:rPr>
        <w:t>2.供应商中小企业划分标准按照《关于印发中小企业划型标准规定的通知》（工信部联企业[2011]300号）中“（十二）软件和信息技术服务业”条款确定。</w:t>
      </w:r>
    </w:p>
    <w:p>
      <w:pPr>
        <w:pStyle w:val="5"/>
        <w:spacing w:line="320" w:lineRule="exact"/>
        <w:rPr>
          <w:rFonts w:ascii="宋体" w:hAnsi="宋体"/>
          <w:sz w:val="24"/>
        </w:rPr>
      </w:pPr>
      <w:r>
        <w:rPr>
          <w:rFonts w:hint="eastAsia" w:ascii="宋体" w:hAnsi="宋体"/>
          <w:sz w:val="24"/>
        </w:rPr>
        <w:br w:type="page"/>
      </w:r>
      <w:bookmarkStart w:id="271" w:name="_Toc15743"/>
      <w:r>
        <w:rPr>
          <w:rFonts w:hint="eastAsia" w:ascii="宋体" w:hAnsi="宋体"/>
          <w:sz w:val="24"/>
        </w:rPr>
        <w:t>附件13、监狱、戒毒企业或残疾人福利性单位</w:t>
      </w:r>
      <w:bookmarkEnd w:id="270"/>
      <w:r>
        <w:rPr>
          <w:rFonts w:hint="eastAsia" w:ascii="宋体" w:hAnsi="宋体"/>
          <w:sz w:val="24"/>
        </w:rPr>
        <w:t>证明文件</w:t>
      </w:r>
      <w:bookmarkEnd w:id="271"/>
    </w:p>
    <w:p>
      <w:pPr>
        <w:rPr>
          <w:rFonts w:ascii="宋体" w:hAnsi="宋体"/>
          <w:sz w:val="24"/>
        </w:rPr>
      </w:pPr>
    </w:p>
    <w:p>
      <w:pPr>
        <w:widowControl/>
        <w:spacing w:line="400" w:lineRule="exact"/>
        <w:jc w:val="center"/>
        <w:rPr>
          <w:rFonts w:ascii="宋体" w:hAnsi="宋体"/>
          <w:b/>
          <w:sz w:val="36"/>
          <w:szCs w:val="36"/>
        </w:rPr>
      </w:pPr>
      <w:r>
        <w:rPr>
          <w:rFonts w:hint="eastAsia" w:ascii="宋体" w:hAnsi="宋体"/>
          <w:b/>
          <w:sz w:val="36"/>
          <w:szCs w:val="36"/>
        </w:rPr>
        <w:t>监狱、戒毒企业或残疾人福利性单位证明文件</w:t>
      </w:r>
    </w:p>
    <w:p>
      <w:pPr>
        <w:widowControl/>
        <w:spacing w:line="400" w:lineRule="exact"/>
        <w:jc w:val="center"/>
        <w:rPr>
          <w:rFonts w:ascii="宋体" w:hAnsi="宋体"/>
          <w:b/>
          <w:sz w:val="36"/>
          <w:szCs w:val="36"/>
        </w:rPr>
      </w:pPr>
      <w:r>
        <w:rPr>
          <w:rFonts w:hint="eastAsia" w:ascii="宋体" w:hAnsi="宋体"/>
          <w:b/>
          <w:sz w:val="36"/>
          <w:szCs w:val="36"/>
        </w:rPr>
        <w:t>格式自拟</w:t>
      </w:r>
    </w:p>
    <w:p>
      <w:pPr>
        <w:pStyle w:val="93"/>
        <w:overflowPunct w:val="0"/>
        <w:spacing w:line="600" w:lineRule="exact"/>
        <w:ind w:firstLine="480" w:firstLineChars="200"/>
        <w:rPr>
          <w:rFonts w:ascii="宋体" w:hAnsi="宋体"/>
          <w:sz w:val="24"/>
          <w:szCs w:val="24"/>
        </w:rPr>
      </w:pPr>
      <w:r>
        <w:rPr>
          <w:rFonts w:hint="eastAsia" w:ascii="宋体" w:hAnsi="宋体"/>
          <w:sz w:val="24"/>
          <w:szCs w:val="24"/>
        </w:rPr>
        <w:t>        </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720" w:lineRule="auto"/>
        <w:rPr>
          <w:rFonts w:ascii="宋体" w:hAnsi="宋体"/>
          <w:b/>
          <w:sz w:val="24"/>
        </w:rPr>
      </w:pPr>
    </w:p>
    <w:p>
      <w:pPr>
        <w:spacing w:line="720" w:lineRule="auto"/>
        <w:rPr>
          <w:rFonts w:ascii="宋体" w:hAnsi="宋体"/>
          <w:b/>
          <w:sz w:val="24"/>
        </w:rPr>
      </w:pPr>
    </w:p>
    <w:p>
      <w:pPr>
        <w:spacing w:line="720" w:lineRule="auto"/>
        <w:rPr>
          <w:rFonts w:ascii="宋体" w:hAnsi="宋体"/>
          <w:b/>
          <w:sz w:val="24"/>
        </w:rPr>
      </w:pPr>
    </w:p>
    <w:p>
      <w:pPr>
        <w:spacing w:line="720" w:lineRule="auto"/>
        <w:rPr>
          <w:rFonts w:ascii="宋体" w:hAnsi="宋体"/>
          <w:b/>
          <w:sz w:val="24"/>
        </w:rPr>
      </w:pPr>
    </w:p>
    <w:p>
      <w:pPr>
        <w:spacing w:line="720" w:lineRule="auto"/>
        <w:rPr>
          <w:rFonts w:ascii="宋体" w:hAnsi="宋体"/>
          <w:b/>
          <w:sz w:val="24"/>
        </w:rPr>
      </w:pPr>
    </w:p>
    <w:p>
      <w:pPr>
        <w:spacing w:line="720" w:lineRule="auto"/>
        <w:rPr>
          <w:rFonts w:ascii="宋体" w:hAnsi="宋体"/>
          <w:b/>
          <w:sz w:val="24"/>
        </w:rPr>
      </w:pPr>
    </w:p>
    <w:p>
      <w:pPr>
        <w:spacing w:line="720" w:lineRule="auto"/>
        <w:rPr>
          <w:rFonts w:ascii="宋体" w:hAnsi="宋体"/>
          <w:b/>
          <w:sz w:val="24"/>
        </w:rPr>
      </w:pPr>
    </w:p>
    <w:p>
      <w:pPr>
        <w:spacing w:line="720" w:lineRule="auto"/>
        <w:rPr>
          <w:rFonts w:ascii="宋体" w:hAnsi="宋体"/>
          <w:b/>
          <w:sz w:val="24"/>
        </w:rPr>
      </w:pPr>
    </w:p>
    <w:p>
      <w:pPr>
        <w:spacing w:line="720" w:lineRule="auto"/>
        <w:jc w:val="center"/>
        <w:rPr>
          <w:rFonts w:ascii="宋体" w:hAnsi="宋体"/>
          <w:b/>
          <w:sz w:val="32"/>
        </w:rPr>
      </w:pPr>
      <w:r>
        <w:rPr>
          <w:rFonts w:hint="eastAsia" w:ascii="宋体" w:hAnsi="宋体"/>
          <w:b/>
          <w:sz w:val="24"/>
          <w:szCs w:val="21"/>
        </w:rPr>
        <w:t>投标人针对报价需要说明的其他文件和说明（如有）</w:t>
      </w:r>
    </w:p>
    <w:p>
      <w:pPr>
        <w:spacing w:line="720" w:lineRule="auto"/>
        <w:rPr>
          <w:rFonts w:ascii="宋体" w:hAnsi="宋体"/>
          <w:b/>
          <w:sz w:val="24"/>
        </w:rPr>
      </w:pPr>
    </w:p>
    <w:p>
      <w:pPr>
        <w:spacing w:line="720" w:lineRule="auto"/>
        <w:rPr>
          <w:rFonts w:ascii="宋体" w:hAnsi="宋体"/>
          <w:b/>
          <w:sz w:val="24"/>
        </w:rPr>
      </w:pPr>
    </w:p>
    <w:p>
      <w:pPr>
        <w:spacing w:line="720" w:lineRule="auto"/>
        <w:rPr>
          <w:rFonts w:ascii="宋体" w:hAnsi="宋体"/>
          <w:b/>
          <w:sz w:val="24"/>
        </w:rPr>
      </w:pPr>
    </w:p>
    <w:sectPr>
      <w:headerReference r:id="rId9" w:type="first"/>
      <w:footerReference r:id="rId11" w:type="first"/>
      <w:footerReference r:id="rId10" w:type="even"/>
      <w:pgSz w:w="11906" w:h="16838"/>
      <w:pgMar w:top="1474" w:right="1247" w:bottom="1247"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ind w:right="360"/>
      <w:rPr>
        <w:rStyle w:val="38"/>
      </w:rPr>
    </w:pPr>
  </w:p>
  <w:p>
    <w:pPr>
      <w:pStyle w:val="24"/>
      <w:ind w:right="-55"/>
      <w:rPr>
        <w:rFonts w:ascii="宋体" w:hAnsi="宋体"/>
        <w:sz w:val="21"/>
        <w:szCs w:val="21"/>
      </w:rPr>
    </w:pPr>
    <w:r>
      <w:rPr>
        <w:rFonts w:hint="eastAsia" w:ascii="宋体" w:hAnsi="宋体"/>
        <w:sz w:val="21"/>
        <w:szCs w:val="21"/>
      </w:rPr>
      <w:t xml:space="preserve">浙江同诚建设管理有限公司               </w:t>
    </w:r>
    <w:r>
      <w:rPr>
        <w:rFonts w:ascii="宋体" w:hAnsi="宋体"/>
        <w:sz w:val="21"/>
        <w:szCs w:val="21"/>
      </w:rPr>
      <w:fldChar w:fldCharType="begin"/>
    </w:r>
    <w:r>
      <w:rPr>
        <w:rStyle w:val="38"/>
        <w:rFonts w:ascii="宋体" w:hAnsi="宋体"/>
        <w:sz w:val="21"/>
        <w:szCs w:val="21"/>
      </w:rPr>
      <w:instrText xml:space="preserve"> PAGE </w:instrText>
    </w:r>
    <w:r>
      <w:rPr>
        <w:rFonts w:ascii="宋体" w:hAnsi="宋体"/>
        <w:sz w:val="21"/>
        <w:szCs w:val="21"/>
      </w:rPr>
      <w:fldChar w:fldCharType="separate"/>
    </w:r>
    <w:r>
      <w:rPr>
        <w:rStyle w:val="38"/>
        <w:rFonts w:ascii="宋体" w:hAnsi="宋体"/>
        <w:sz w:val="21"/>
        <w:szCs w:val="21"/>
      </w:rPr>
      <w:t>1</w:t>
    </w:r>
    <w:r>
      <w:rPr>
        <w:rFonts w:ascii="宋体" w:hAnsi="宋体"/>
        <w:sz w:val="21"/>
        <w:szCs w:val="21"/>
      </w:rPr>
      <w:fldChar w:fldCharType="end"/>
    </w:r>
    <w:r>
      <w:rPr>
        <w:rStyle w:val="38"/>
        <w:rFonts w:hint="eastAsia" w:ascii="宋体" w:hAnsi="宋体"/>
        <w:sz w:val="21"/>
        <w:szCs w:val="21"/>
      </w:rPr>
      <w:t xml:space="preserve">            电话（传真）0573-88028957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720" w:firstLine="210" w:firstLineChars="100"/>
      <w:rPr>
        <w:rFonts w:ascii="宋体" w:hAnsi="宋体"/>
        <w:sz w:val="21"/>
        <w:szCs w:val="21"/>
      </w:rPr>
    </w:pPr>
    <w:r>
      <w:rPr>
        <w:rFonts w:hint="eastAsia" w:ascii="宋体" w:hAnsi="宋体"/>
        <w:sz w:val="21"/>
        <w:szCs w:val="21"/>
      </w:rPr>
      <w:t xml:space="preserve">浙江同诚建设管理有限公司              </w:t>
    </w:r>
    <w:r>
      <w:rPr>
        <w:rFonts w:ascii="宋体" w:hAnsi="宋体"/>
        <w:sz w:val="21"/>
        <w:szCs w:val="21"/>
      </w:rPr>
      <w:fldChar w:fldCharType="begin"/>
    </w:r>
    <w:r>
      <w:rPr>
        <w:rStyle w:val="38"/>
        <w:rFonts w:ascii="宋体" w:hAnsi="宋体"/>
        <w:sz w:val="21"/>
        <w:szCs w:val="21"/>
      </w:rPr>
      <w:instrText xml:space="preserve"> PAGE </w:instrText>
    </w:r>
    <w:r>
      <w:rPr>
        <w:rFonts w:ascii="宋体" w:hAnsi="宋体"/>
        <w:sz w:val="21"/>
        <w:szCs w:val="21"/>
      </w:rPr>
      <w:fldChar w:fldCharType="separate"/>
    </w:r>
    <w:r>
      <w:rPr>
        <w:rStyle w:val="38"/>
        <w:rFonts w:ascii="宋体" w:hAnsi="宋体"/>
        <w:sz w:val="21"/>
        <w:szCs w:val="21"/>
      </w:rPr>
      <w:t>3</w:t>
    </w:r>
    <w:r>
      <w:rPr>
        <w:rFonts w:ascii="宋体" w:hAnsi="宋体"/>
        <w:sz w:val="21"/>
        <w:szCs w:val="21"/>
      </w:rPr>
      <w:fldChar w:fldCharType="end"/>
    </w:r>
    <w:r>
      <w:rPr>
        <w:rStyle w:val="38"/>
        <w:rFonts w:hint="eastAsia" w:ascii="宋体" w:hAnsi="宋体"/>
        <w:sz w:val="21"/>
        <w:szCs w:val="21"/>
      </w:rPr>
      <w:t xml:space="preserve">               电话（传真）0573-88028957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8"/>
      </w:rPr>
    </w:pPr>
    <w:r>
      <w:fldChar w:fldCharType="begin"/>
    </w:r>
    <w:r>
      <w:rPr>
        <w:rStyle w:val="38"/>
      </w:rPr>
      <w:instrText xml:space="preserve">PAGE  </w:instrText>
    </w:r>
    <w:r>
      <w:fldChar w:fldCharType="end"/>
    </w:r>
  </w:p>
  <w:p>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8"/>
      </w:rPr>
    </w:pPr>
    <w:r>
      <w:fldChar w:fldCharType="begin"/>
    </w:r>
    <w:r>
      <w:rPr>
        <w:rStyle w:val="38"/>
      </w:rPr>
      <w:instrText xml:space="preserve">PAGE  </w:instrText>
    </w:r>
    <w:r>
      <w:fldChar w:fldCharType="end"/>
    </w:r>
  </w:p>
  <w:p>
    <w:pPr>
      <w:pStyle w:val="2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55"/>
      <w:jc w:val="right"/>
      <w:rPr>
        <w:rFonts w:ascii="宋体" w:hAnsi="宋体"/>
        <w:sz w:val="52"/>
        <w:szCs w:val="52"/>
      </w:rPr>
    </w:pPr>
    <w:r>
      <w:rPr>
        <w:rFonts w:hint="eastAsia" w:ascii="宋体" w:hAnsi="宋体"/>
        <w:sz w:val="21"/>
        <w:szCs w:val="21"/>
      </w:rPr>
      <w:t xml:space="preserve">                  世界互联网大会智慧指挥平台升级和运维项目</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A7AE2"/>
    <w:multiLevelType w:val="multilevel"/>
    <w:tmpl w:val="204A7AE2"/>
    <w:lvl w:ilvl="0" w:tentative="0">
      <w:start w:val="1"/>
      <w:numFmt w:val="decimal"/>
      <w:lvlText w:val="%1"/>
      <w:lvlJc w:val="left"/>
      <w:pPr>
        <w:tabs>
          <w:tab w:val="left" w:pos="1095"/>
        </w:tabs>
        <w:ind w:left="1095" w:hanging="360"/>
      </w:pPr>
      <w:rPr>
        <w:rFonts w:hint="default" w:ascii="Times New Roman" w:hAnsi="Times New Roman"/>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
    <w:nsid w:val="55FF5A46"/>
    <w:multiLevelType w:val="singleLevel"/>
    <w:tmpl w:val="55FF5A4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98864C9"/>
    <w:rsid w:val="54A0261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iPriority="99"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4"/>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Lines="100" w:line="415" w:lineRule="auto"/>
      <w:outlineLvl w:val="2"/>
    </w:pPr>
    <w:rPr>
      <w:b/>
      <w:bCs/>
      <w:sz w:val="28"/>
      <w:szCs w:val="32"/>
    </w:rPr>
  </w:style>
  <w:style w:type="paragraph" w:styleId="7">
    <w:name w:val="heading 4"/>
    <w:basedOn w:val="1"/>
    <w:next w:val="1"/>
    <w:qFormat/>
    <w:uiPriority w:val="0"/>
    <w:pPr>
      <w:keepNext/>
      <w:keepLines/>
      <w:spacing w:beforeLines="100" w:line="360" w:lineRule="auto"/>
      <w:outlineLvl w:val="3"/>
    </w:pPr>
    <w:rPr>
      <w:rFonts w:ascii="Arial" w:hAnsi="Arial"/>
      <w:b/>
      <w:bCs/>
      <w:sz w:val="24"/>
      <w:szCs w:val="28"/>
    </w:rPr>
  </w:style>
  <w:style w:type="paragraph" w:styleId="8">
    <w:name w:val="heading 6"/>
    <w:basedOn w:val="1"/>
    <w:next w:val="1"/>
    <w:link w:val="71"/>
    <w:qFormat/>
    <w:uiPriority w:val="0"/>
    <w:pPr>
      <w:keepNext/>
      <w:keepLines/>
      <w:spacing w:before="240" w:after="64" w:line="320" w:lineRule="auto"/>
      <w:outlineLvl w:val="5"/>
    </w:pPr>
    <w:rPr>
      <w:rFonts w:ascii="Arial" w:hAnsi="Arial" w:eastAsia="黑体"/>
      <w:b/>
      <w:bCs/>
      <w:sz w:val="24"/>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pPr>
    <w:rPr>
      <w:szCs w:val="20"/>
    </w:rPr>
  </w:style>
  <w:style w:type="paragraph" w:styleId="9">
    <w:name w:val="List Number"/>
    <w:basedOn w:val="1"/>
    <w:qFormat/>
    <w:uiPriority w:val="0"/>
    <w:pPr>
      <w:widowControl/>
      <w:tabs>
        <w:tab w:val="left" w:pos="360"/>
        <w:tab w:val="left" w:pos="454"/>
      </w:tabs>
      <w:spacing w:afterLines="50"/>
      <w:ind w:left="454" w:hanging="284"/>
      <w:jc w:val="left"/>
    </w:pPr>
    <w:rPr>
      <w:kern w:val="0"/>
      <w:sz w:val="24"/>
      <w:szCs w:val="20"/>
    </w:rPr>
  </w:style>
  <w:style w:type="paragraph" w:styleId="10">
    <w:name w:val="Normal Indent"/>
    <w:basedOn w:val="1"/>
    <w:link w:val="51"/>
    <w:qFormat/>
    <w:uiPriority w:val="0"/>
    <w:pPr>
      <w:ind w:firstLine="420" w:firstLineChars="200"/>
    </w:p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52"/>
    <w:unhideWhenUsed/>
    <w:qFormat/>
    <w:uiPriority w:val="99"/>
    <w:rPr>
      <w:rFonts w:ascii="宋体"/>
      <w:sz w:val="18"/>
      <w:szCs w:val="18"/>
    </w:rPr>
  </w:style>
  <w:style w:type="paragraph" w:styleId="13">
    <w:name w:val="annotation text"/>
    <w:basedOn w:val="1"/>
    <w:semiHidden/>
    <w:qFormat/>
    <w:uiPriority w:val="0"/>
    <w:pPr>
      <w:jc w:val="left"/>
    </w:pPr>
  </w:style>
  <w:style w:type="paragraph" w:styleId="14">
    <w:name w:val="Body Text 3"/>
    <w:basedOn w:val="1"/>
    <w:link w:val="47"/>
    <w:qFormat/>
    <w:uiPriority w:val="0"/>
    <w:pPr>
      <w:spacing w:after="120"/>
    </w:pPr>
    <w:rPr>
      <w:sz w:val="16"/>
      <w:szCs w:val="16"/>
    </w:rPr>
  </w:style>
  <w:style w:type="paragraph" w:styleId="15">
    <w:name w:val="Body Text Indent"/>
    <w:basedOn w:val="1"/>
    <w:link w:val="70"/>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pPr>
  </w:style>
  <w:style w:type="paragraph" w:styleId="17">
    <w:name w:val="toc 5"/>
    <w:basedOn w:val="1"/>
    <w:next w:val="1"/>
    <w:qFormat/>
    <w:uiPriority w:val="0"/>
    <w:pPr>
      <w:ind w:left="1680" w:leftChars="800"/>
    </w:pPr>
    <w:rPr>
      <w:szCs w:val="22"/>
    </w:rPr>
  </w:style>
  <w:style w:type="paragraph" w:styleId="18">
    <w:name w:val="toc 3"/>
    <w:basedOn w:val="1"/>
    <w:next w:val="1"/>
    <w:qFormat/>
    <w:uiPriority w:val="39"/>
    <w:pPr>
      <w:ind w:left="840" w:leftChars="400"/>
    </w:pPr>
  </w:style>
  <w:style w:type="paragraph" w:styleId="19">
    <w:name w:val="Plain Text"/>
    <w:basedOn w:val="1"/>
    <w:next w:val="1"/>
    <w:link w:val="53"/>
    <w:qFormat/>
    <w:uiPriority w:val="0"/>
    <w:pPr>
      <w:spacing w:beforeLines="50" w:afterLines="50" w:line="400" w:lineRule="atLeast"/>
    </w:pPr>
    <w:rPr>
      <w:rFonts w:ascii="宋体" w:hAnsi="Courier New"/>
      <w:sz w:val="24"/>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endnote text"/>
    <w:basedOn w:val="1"/>
    <w:unhideWhenUsed/>
    <w:qFormat/>
    <w:uiPriority w:val="99"/>
    <w:pPr>
      <w:snapToGrid w:val="0"/>
    </w:pPr>
    <w:rPr>
      <w:rFonts w:cs="宋体"/>
      <w:lang w:val="zh-CN"/>
    </w:rPr>
  </w:style>
  <w:style w:type="paragraph" w:styleId="23">
    <w:name w:val="Balloon Text"/>
    <w:basedOn w:val="1"/>
    <w:link w:val="56"/>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302"/>
      </w:tabs>
    </w:pPr>
    <w:rPr>
      <w:rFonts w:ascii="宋体" w:hAnsi="宋体"/>
      <w:b/>
      <w:color w:val="000000"/>
      <w:sz w:val="28"/>
      <w:szCs w:val="28"/>
    </w:rPr>
  </w:style>
  <w:style w:type="paragraph" w:styleId="27">
    <w:name w:val="Subtitle"/>
    <w:basedOn w:val="1"/>
    <w:next w:val="1"/>
    <w:link w:val="63"/>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link w:val="46"/>
    <w:qFormat/>
    <w:uiPriority w:val="0"/>
    <w:pPr>
      <w:ind w:left="200" w:hanging="200" w:hangingChars="200"/>
    </w:pPr>
  </w:style>
  <w:style w:type="paragraph" w:styleId="29">
    <w:name w:val="toc 2"/>
    <w:basedOn w:val="1"/>
    <w:next w:val="1"/>
    <w:qFormat/>
    <w:uiPriority w:val="39"/>
    <w:pPr>
      <w:tabs>
        <w:tab w:val="right" w:leader="dot" w:pos="8302"/>
      </w:tabs>
      <w:ind w:left="420" w:hanging="420" w:hangingChars="140"/>
    </w:pPr>
    <w:rPr>
      <w:rFonts w:ascii="宋体" w:hAnsi="宋体"/>
      <w:color w:val="000000"/>
      <w:sz w:val="30"/>
      <w:szCs w:val="30"/>
    </w:rPr>
  </w:style>
  <w:style w:type="paragraph" w:styleId="30">
    <w:name w:val="Body Text 2"/>
    <w:basedOn w:val="1"/>
    <w:qFormat/>
    <w:uiPriority w:val="0"/>
    <w:pPr>
      <w:spacing w:after="120" w:line="480" w:lineRule="auto"/>
    </w:pPr>
  </w:style>
  <w:style w:type="paragraph" w:styleId="31">
    <w:name w:val="Normal (Web)"/>
    <w:basedOn w:val="1"/>
    <w:qFormat/>
    <w:uiPriority w:val="0"/>
    <w:pPr>
      <w:widowControl/>
      <w:jc w:val="left"/>
    </w:pPr>
    <w:rPr>
      <w:rFonts w:ascii="宋体" w:hAnsi="宋体" w:cs="宋体"/>
      <w:kern w:val="0"/>
      <w:sz w:val="24"/>
    </w:rPr>
  </w:style>
  <w:style w:type="paragraph" w:styleId="32">
    <w:name w:val="Title"/>
    <w:basedOn w:val="1"/>
    <w:next w:val="1"/>
    <w:link w:val="77"/>
    <w:qFormat/>
    <w:uiPriority w:val="0"/>
    <w:pPr>
      <w:spacing w:before="240" w:after="60"/>
      <w:jc w:val="center"/>
      <w:outlineLvl w:val="0"/>
    </w:pPr>
    <w:rPr>
      <w:rFonts w:ascii="Cambria" w:hAnsi="Cambria"/>
      <w:b/>
      <w:bCs/>
      <w:sz w:val="32"/>
      <w:szCs w:val="32"/>
    </w:rPr>
  </w:style>
  <w:style w:type="paragraph" w:styleId="33">
    <w:name w:val="annotation subject"/>
    <w:basedOn w:val="13"/>
    <w:next w:val="13"/>
    <w:semiHidden/>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Emphasis"/>
    <w:qFormat/>
    <w:uiPriority w:val="0"/>
    <w:rPr>
      <w:color w:val="CC0000"/>
    </w:rPr>
  </w:style>
  <w:style w:type="character" w:styleId="40">
    <w:name w:val="Hyperlink"/>
    <w:qFormat/>
    <w:uiPriority w:val="99"/>
    <w:rPr>
      <w:color w:val="0000FF"/>
      <w:u w:val="single"/>
    </w:rPr>
  </w:style>
  <w:style w:type="character" w:styleId="41">
    <w:name w:val="annotation reference"/>
    <w:semiHidden/>
    <w:qFormat/>
    <w:uiPriority w:val="0"/>
    <w:rPr>
      <w:sz w:val="21"/>
      <w:szCs w:val="21"/>
    </w:rPr>
  </w:style>
  <w:style w:type="character" w:customStyle="1" w:styleId="42">
    <w:name w:val="样式 小四"/>
    <w:qFormat/>
    <w:uiPriority w:val="0"/>
    <w:rPr>
      <w:rFonts w:eastAsia="宋体"/>
      <w:sz w:val="24"/>
    </w:rPr>
  </w:style>
  <w:style w:type="character" w:customStyle="1" w:styleId="43">
    <w:name w:val="bookmark-item"/>
    <w:basedOn w:val="36"/>
    <w:qFormat/>
    <w:uiPriority w:val="0"/>
  </w:style>
  <w:style w:type="character" w:customStyle="1" w:styleId="44">
    <w:name w:val="htd0"/>
    <w:basedOn w:val="36"/>
    <w:qFormat/>
    <w:uiPriority w:val="0"/>
  </w:style>
  <w:style w:type="character" w:customStyle="1" w:styleId="45">
    <w:name w:val="sub"/>
    <w:basedOn w:val="36"/>
    <w:qFormat/>
    <w:uiPriority w:val="0"/>
  </w:style>
  <w:style w:type="character" w:customStyle="1" w:styleId="46">
    <w:name w:val="列表 Char"/>
    <w:link w:val="28"/>
    <w:qFormat/>
    <w:uiPriority w:val="0"/>
    <w:rPr>
      <w:rFonts w:eastAsia="宋体"/>
      <w:kern w:val="2"/>
      <w:sz w:val="21"/>
      <w:szCs w:val="24"/>
      <w:lang w:val="en-US" w:eastAsia="zh-CN" w:bidi="ar-SA"/>
    </w:rPr>
  </w:style>
  <w:style w:type="character" w:customStyle="1" w:styleId="47">
    <w:name w:val="正文文本 3 Char"/>
    <w:link w:val="14"/>
    <w:qFormat/>
    <w:uiPriority w:val="0"/>
    <w:rPr>
      <w:kern w:val="2"/>
      <w:sz w:val="16"/>
      <w:szCs w:val="16"/>
    </w:rPr>
  </w:style>
  <w:style w:type="character" w:customStyle="1" w:styleId="48">
    <w:name w:val="标书-正文 Char"/>
    <w:link w:val="49"/>
    <w:qFormat/>
    <w:uiPriority w:val="0"/>
    <w:rPr>
      <w:rFonts w:ascii="Arial" w:hAnsi="Arial"/>
      <w:kern w:val="2"/>
      <w:sz w:val="24"/>
    </w:rPr>
  </w:style>
  <w:style w:type="paragraph" w:customStyle="1" w:styleId="49">
    <w:name w:val="标书-正文"/>
    <w:basedOn w:val="1"/>
    <w:link w:val="48"/>
    <w:qFormat/>
    <w:uiPriority w:val="0"/>
    <w:pPr>
      <w:widowControl/>
      <w:spacing w:before="56" w:after="113" w:line="360" w:lineRule="auto"/>
      <w:ind w:firstLine="200" w:firstLineChars="200"/>
    </w:pPr>
    <w:rPr>
      <w:rFonts w:ascii="Arial" w:hAnsi="Arial"/>
      <w:sz w:val="24"/>
      <w:szCs w:val="20"/>
    </w:rPr>
  </w:style>
  <w:style w:type="character" w:customStyle="1" w:styleId="50">
    <w:name w:val="apple-style-span"/>
    <w:basedOn w:val="36"/>
    <w:qFormat/>
    <w:uiPriority w:val="0"/>
  </w:style>
  <w:style w:type="character" w:customStyle="1" w:styleId="51">
    <w:name w:val="正文缩进 Char"/>
    <w:link w:val="10"/>
    <w:qFormat/>
    <w:uiPriority w:val="0"/>
    <w:rPr>
      <w:kern w:val="2"/>
      <w:sz w:val="21"/>
      <w:szCs w:val="24"/>
    </w:rPr>
  </w:style>
  <w:style w:type="character" w:customStyle="1" w:styleId="52">
    <w:name w:val="文档结构图 Char"/>
    <w:link w:val="12"/>
    <w:qFormat/>
    <w:uiPriority w:val="99"/>
    <w:rPr>
      <w:rFonts w:ascii="宋体" w:hAnsi="Calibri"/>
      <w:kern w:val="2"/>
      <w:sz w:val="18"/>
      <w:szCs w:val="18"/>
    </w:rPr>
  </w:style>
  <w:style w:type="character" w:customStyle="1" w:styleId="53">
    <w:name w:val="纯文本 Char2"/>
    <w:link w:val="19"/>
    <w:qFormat/>
    <w:uiPriority w:val="0"/>
    <w:rPr>
      <w:rFonts w:ascii="宋体" w:hAnsi="Courier New" w:eastAsia="宋体"/>
      <w:kern w:val="2"/>
      <w:sz w:val="24"/>
      <w:szCs w:val="24"/>
      <w:lang w:val="en-US" w:eastAsia="zh-CN" w:bidi="ar-SA"/>
    </w:rPr>
  </w:style>
  <w:style w:type="character" w:customStyle="1" w:styleId="54">
    <w:name w:val="正 Char"/>
    <w:link w:val="55"/>
    <w:qFormat/>
    <w:uiPriority w:val="0"/>
    <w:rPr>
      <w:kern w:val="2"/>
      <w:sz w:val="24"/>
      <w:szCs w:val="24"/>
      <w:lang w:val="en-US" w:eastAsia="zh-CN" w:bidi="ar-SA"/>
    </w:rPr>
  </w:style>
  <w:style w:type="paragraph" w:customStyle="1" w:styleId="55">
    <w:name w:val="正"/>
    <w:link w:val="54"/>
    <w:qFormat/>
    <w:uiPriority w:val="0"/>
    <w:pPr>
      <w:widowControl w:val="0"/>
      <w:spacing w:line="360" w:lineRule="auto"/>
      <w:ind w:firstLine="480" w:firstLineChars="200"/>
      <w:contextualSpacing/>
      <w:jc w:val="both"/>
    </w:pPr>
    <w:rPr>
      <w:rFonts w:ascii="Calibri" w:hAnsi="Calibri" w:eastAsia="宋体" w:cs="Times New Roman"/>
      <w:kern w:val="2"/>
      <w:sz w:val="24"/>
      <w:szCs w:val="24"/>
      <w:lang w:val="en-US" w:eastAsia="zh-CN" w:bidi="ar-SA"/>
    </w:rPr>
  </w:style>
  <w:style w:type="character" w:customStyle="1" w:styleId="56">
    <w:name w:val="批注框文本 Char"/>
    <w:link w:val="23"/>
    <w:qFormat/>
    <w:locked/>
    <w:uiPriority w:val="0"/>
    <w:rPr>
      <w:kern w:val="2"/>
      <w:sz w:val="18"/>
      <w:szCs w:val="18"/>
    </w:rPr>
  </w:style>
  <w:style w:type="character" w:customStyle="1" w:styleId="57">
    <w:name w:val="普通文字 Char Char3"/>
    <w:qFormat/>
    <w:uiPriority w:val="0"/>
    <w:rPr>
      <w:rFonts w:ascii="宋体" w:hAnsi="Courier New"/>
      <w:kern w:val="2"/>
      <w:sz w:val="24"/>
      <w:szCs w:val="24"/>
    </w:rPr>
  </w:style>
  <w:style w:type="character" w:customStyle="1" w:styleId="58">
    <w:name w:val="large1"/>
    <w:qFormat/>
    <w:uiPriority w:val="0"/>
    <w:rPr>
      <w:rFonts w:hint="eastAsia" w:ascii="宋体" w:hAnsi="宋体" w:eastAsia="宋体"/>
      <w:sz w:val="21"/>
      <w:szCs w:val="21"/>
    </w:rPr>
  </w:style>
  <w:style w:type="character" w:customStyle="1" w:styleId="59">
    <w:name w:val="段 Char"/>
    <w:link w:val="60"/>
    <w:qFormat/>
    <w:locked/>
    <w:uiPriority w:val="0"/>
    <w:rPr>
      <w:rFonts w:ascii="宋体"/>
      <w:sz w:val="21"/>
      <w:lang w:val="en-US" w:eastAsia="zh-CN" w:bidi="ar-SA"/>
    </w:rPr>
  </w:style>
  <w:style w:type="paragraph" w:customStyle="1" w:styleId="60">
    <w:name w:val="段"/>
    <w:link w:val="59"/>
    <w:qFormat/>
    <w:uiPriority w:val="0"/>
    <w:pPr>
      <w:autoSpaceDE w:val="0"/>
      <w:autoSpaceDN w:val="0"/>
      <w:spacing w:before="100" w:line="500" w:lineRule="exact"/>
      <w:ind w:firstLine="200" w:firstLineChars="200"/>
      <w:jc w:val="both"/>
    </w:pPr>
    <w:rPr>
      <w:rFonts w:ascii="宋体" w:hAnsi="Calibri" w:eastAsia="宋体" w:cs="Times New Roman"/>
      <w:sz w:val="21"/>
      <w:lang w:val="en-US" w:eastAsia="zh-CN" w:bidi="ar-SA"/>
    </w:rPr>
  </w:style>
  <w:style w:type="character" w:customStyle="1" w:styleId="61">
    <w:name w:val="正文文本缩进 Char"/>
    <w:qFormat/>
    <w:locked/>
    <w:uiPriority w:val="0"/>
    <w:rPr>
      <w:rFonts w:ascii="宋体" w:hAnsi="Courier New"/>
      <w:spacing w:val="-4"/>
      <w:kern w:val="2"/>
      <w:sz w:val="18"/>
    </w:rPr>
  </w:style>
  <w:style w:type="character" w:customStyle="1" w:styleId="62">
    <w:name w:val="页眉 Char"/>
    <w:link w:val="25"/>
    <w:qFormat/>
    <w:uiPriority w:val="99"/>
    <w:rPr>
      <w:kern w:val="2"/>
      <w:sz w:val="18"/>
      <w:szCs w:val="18"/>
    </w:rPr>
  </w:style>
  <w:style w:type="character" w:customStyle="1" w:styleId="63">
    <w:name w:val="副标题 Char"/>
    <w:link w:val="27"/>
    <w:qFormat/>
    <w:uiPriority w:val="0"/>
    <w:rPr>
      <w:rFonts w:ascii="Cambria" w:hAnsi="Cambria" w:cs="Times New Roman"/>
      <w:b/>
      <w:bCs/>
      <w:kern w:val="28"/>
      <w:sz w:val="32"/>
      <w:szCs w:val="32"/>
    </w:rPr>
  </w:style>
  <w:style w:type="character" w:customStyle="1" w:styleId="64">
    <w:name w:val="标题 2 Char1"/>
    <w:link w:val="5"/>
    <w:semiHidden/>
    <w:qFormat/>
    <w:uiPriority w:val="0"/>
    <w:rPr>
      <w:rFonts w:ascii="Cambria" w:hAnsi="Cambria" w:eastAsia="宋体" w:cs="Times New Roman"/>
      <w:b/>
      <w:bCs/>
      <w:kern w:val="2"/>
      <w:sz w:val="32"/>
      <w:szCs w:val="32"/>
    </w:rPr>
  </w:style>
  <w:style w:type="character" w:customStyle="1" w:styleId="65">
    <w:name w:val="标题 2 Char"/>
    <w:semiHidden/>
    <w:qFormat/>
    <w:uiPriority w:val="0"/>
    <w:rPr>
      <w:rFonts w:ascii="Cambria" w:hAnsi="Cambria" w:eastAsia="宋体" w:cs="Times New Roman"/>
      <w:b/>
      <w:bCs/>
      <w:kern w:val="2"/>
      <w:sz w:val="32"/>
      <w:szCs w:val="32"/>
    </w:rPr>
  </w:style>
  <w:style w:type="character" w:customStyle="1" w:styleId="66">
    <w:name w:val="样式 标题 3 + 小四 Char Char"/>
    <w:qFormat/>
    <w:uiPriority w:val="0"/>
    <w:rPr>
      <w:rFonts w:ascii="宋体" w:hAnsi="宋体" w:eastAsia="宋体" w:cs="Arial"/>
      <w:b/>
      <w:bCs/>
      <w:smallCaps/>
      <w:kern w:val="2"/>
      <w:sz w:val="24"/>
      <w:szCs w:val="24"/>
      <w:lang w:val="en-US" w:eastAsia="zh-CN"/>
    </w:rPr>
  </w:style>
  <w:style w:type="character" w:customStyle="1" w:styleId="67">
    <w:name w:val="纯文本 Char1"/>
    <w:qFormat/>
    <w:uiPriority w:val="0"/>
    <w:rPr>
      <w:rFonts w:ascii="Century Gothic" w:hAnsi="楷体_GB2312" w:eastAsia="Century Gothic" w:cs="楷体_GB2312"/>
      <w:kern w:val="2"/>
      <w:sz w:val="21"/>
      <w:szCs w:val="21"/>
      <w:lang w:val="en-US" w:eastAsia="zh-CN" w:bidi="ar-SA"/>
    </w:rPr>
  </w:style>
  <w:style w:type="character" w:customStyle="1" w:styleId="68">
    <w:name w:val="正文2 Char Char"/>
    <w:link w:val="69"/>
    <w:qFormat/>
    <w:uiPriority w:val="0"/>
    <w:rPr>
      <w:kern w:val="2"/>
      <w:sz w:val="24"/>
    </w:rPr>
  </w:style>
  <w:style w:type="paragraph" w:customStyle="1" w:styleId="69">
    <w:name w:val="正文2"/>
    <w:basedOn w:val="1"/>
    <w:link w:val="68"/>
    <w:qFormat/>
    <w:uiPriority w:val="0"/>
    <w:pPr>
      <w:spacing w:before="156" w:line="360" w:lineRule="auto"/>
      <w:ind w:firstLine="510" w:firstLineChars="200"/>
    </w:pPr>
    <w:rPr>
      <w:sz w:val="24"/>
      <w:szCs w:val="20"/>
    </w:rPr>
  </w:style>
  <w:style w:type="character" w:customStyle="1" w:styleId="70">
    <w:name w:val="正文文本缩进 Char1"/>
    <w:link w:val="15"/>
    <w:qFormat/>
    <w:locked/>
    <w:uiPriority w:val="0"/>
    <w:rPr>
      <w:rFonts w:ascii="宋体" w:hAnsi="Courier New"/>
      <w:spacing w:val="-4"/>
      <w:kern w:val="2"/>
      <w:sz w:val="18"/>
    </w:rPr>
  </w:style>
  <w:style w:type="character" w:customStyle="1" w:styleId="71">
    <w:name w:val="标题 6 Char"/>
    <w:link w:val="8"/>
    <w:qFormat/>
    <w:uiPriority w:val="0"/>
    <w:rPr>
      <w:rFonts w:ascii="Arial" w:hAnsi="Arial" w:eastAsia="黑体"/>
      <w:b/>
      <w:bCs/>
      <w:kern w:val="2"/>
      <w:sz w:val="24"/>
      <w:szCs w:val="24"/>
      <w:lang w:val="en-US" w:eastAsia="zh-CN" w:bidi="ar-SA"/>
    </w:rPr>
  </w:style>
  <w:style w:type="character" w:customStyle="1" w:styleId="72">
    <w:name w:val="列出段落 Char"/>
    <w:link w:val="73"/>
    <w:qFormat/>
    <w:locked/>
    <w:uiPriority w:val="34"/>
    <w:rPr>
      <w:rFonts w:eastAsia="宋体"/>
      <w:kern w:val="2"/>
      <w:sz w:val="21"/>
      <w:szCs w:val="24"/>
      <w:lang w:val="en-US" w:eastAsia="zh-CN" w:bidi="ar-SA"/>
    </w:rPr>
  </w:style>
  <w:style w:type="paragraph" w:customStyle="1" w:styleId="73">
    <w:name w:val="列出段落1"/>
    <w:basedOn w:val="1"/>
    <w:link w:val="72"/>
    <w:qFormat/>
    <w:uiPriority w:val="34"/>
    <w:pPr>
      <w:ind w:firstLine="420" w:firstLineChars="200"/>
    </w:pPr>
  </w:style>
  <w:style w:type="character" w:customStyle="1" w:styleId="74">
    <w:name w:val="纯文本 Char"/>
    <w:qFormat/>
    <w:uiPriority w:val="0"/>
    <w:rPr>
      <w:rFonts w:ascii="宋体" w:hAnsi="Courier New" w:eastAsia="宋体"/>
      <w:kern w:val="2"/>
      <w:sz w:val="24"/>
      <w:szCs w:val="24"/>
      <w:lang w:val="en-US" w:eastAsia="zh-CN" w:bidi="ar-SA"/>
    </w:rPr>
  </w:style>
  <w:style w:type="character" w:customStyle="1" w:styleId="75">
    <w:name w:val="ces正文 Char"/>
    <w:link w:val="76"/>
    <w:qFormat/>
    <w:uiPriority w:val="0"/>
    <w:rPr>
      <w:rFonts w:ascii="Calibri" w:hAnsi="Calibri"/>
      <w:sz w:val="24"/>
      <w:szCs w:val="24"/>
    </w:rPr>
  </w:style>
  <w:style w:type="paragraph" w:customStyle="1" w:styleId="76">
    <w:name w:val="ces正文"/>
    <w:basedOn w:val="1"/>
    <w:link w:val="75"/>
    <w:qFormat/>
    <w:uiPriority w:val="0"/>
    <w:pPr>
      <w:spacing w:line="360" w:lineRule="auto"/>
      <w:ind w:firstLine="480" w:firstLineChars="200"/>
    </w:pPr>
    <w:rPr>
      <w:kern w:val="0"/>
      <w:sz w:val="24"/>
    </w:rPr>
  </w:style>
  <w:style w:type="character" w:customStyle="1" w:styleId="77">
    <w:name w:val="标题 Char"/>
    <w:link w:val="32"/>
    <w:qFormat/>
    <w:uiPriority w:val="0"/>
    <w:rPr>
      <w:rFonts w:ascii="Cambria" w:hAnsi="Cambria"/>
      <w:b/>
      <w:bCs/>
      <w:kern w:val="2"/>
      <w:sz w:val="32"/>
      <w:szCs w:val="32"/>
    </w:rPr>
  </w:style>
  <w:style w:type="paragraph" w:customStyle="1" w:styleId="78">
    <w:name w:val="List Paragraph"/>
    <w:basedOn w:val="1"/>
    <w:qFormat/>
    <w:uiPriority w:val="34"/>
    <w:pPr>
      <w:ind w:firstLine="420" w:firstLineChars="200"/>
    </w:pPr>
    <w:rPr>
      <w:szCs w:val="22"/>
    </w:rPr>
  </w:style>
  <w:style w:type="paragraph" w:customStyle="1" w:styleId="79">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0">
    <w:name w:val="Char1 Char Char Char"/>
    <w:basedOn w:val="1"/>
    <w:qFormat/>
    <w:uiPriority w:val="0"/>
    <w:rPr>
      <w:rFonts w:ascii="Tahoma" w:hAnsi="Tahoma"/>
      <w:sz w:val="24"/>
      <w:szCs w:val="20"/>
    </w:rPr>
  </w:style>
  <w:style w:type="paragraph" w:customStyle="1" w:styleId="81">
    <w:name w:val="正文－恩普"/>
    <w:basedOn w:val="10"/>
    <w:qFormat/>
    <w:uiPriority w:val="0"/>
    <w:pPr>
      <w:widowControl/>
      <w:spacing w:line="360" w:lineRule="auto"/>
      <w:ind w:firstLine="480"/>
      <w:jc w:val="left"/>
    </w:pPr>
    <w:rPr>
      <w:kern w:val="0"/>
      <w:sz w:val="24"/>
      <w:szCs w:val="20"/>
    </w:rPr>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paragraph" w:customStyle="1" w:styleId="83">
    <w:name w:val="编号"/>
    <w:basedOn w:val="1"/>
    <w:qFormat/>
    <w:uiPriority w:val="0"/>
    <w:pPr>
      <w:spacing w:line="360" w:lineRule="auto"/>
      <w:contextualSpacing/>
    </w:pPr>
    <w:rPr>
      <w:sz w:val="24"/>
    </w:rPr>
  </w:style>
  <w:style w:type="paragraph" w:customStyle="1" w:styleId="84">
    <w:name w:val="Char"/>
    <w:basedOn w:val="1"/>
    <w:qFormat/>
    <w:uiPriority w:val="0"/>
    <w:rPr>
      <w:rFonts w:ascii="仿宋_GB2312" w:eastAsia="仿宋_GB2312"/>
      <w:b/>
      <w:sz w:val="32"/>
      <w:szCs w:val="32"/>
    </w:rPr>
  </w:style>
  <w:style w:type="paragraph" w:customStyle="1" w:styleId="8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6">
    <w:name w:val="列出段落2"/>
    <w:basedOn w:val="1"/>
    <w:qFormat/>
    <w:uiPriority w:val="0"/>
    <w:pPr>
      <w:ind w:firstLine="420" w:firstLineChars="200"/>
    </w:pPr>
    <w:rPr>
      <w:kern w:val="0"/>
      <w:sz w:val="20"/>
      <w:szCs w:val="20"/>
    </w:rPr>
  </w:style>
  <w:style w:type="paragraph" w:customStyle="1" w:styleId="87">
    <w:name w:val="正文段"/>
    <w:basedOn w:val="1"/>
    <w:qFormat/>
    <w:uiPriority w:val="0"/>
    <w:pPr>
      <w:widowControl/>
      <w:snapToGrid w:val="0"/>
      <w:spacing w:afterLines="50"/>
      <w:ind w:firstLine="200" w:firstLineChars="200"/>
    </w:pPr>
    <w:rPr>
      <w:kern w:val="0"/>
      <w:sz w:val="24"/>
      <w:szCs w:val="20"/>
    </w:rPr>
  </w:style>
  <w:style w:type="paragraph" w:customStyle="1" w:styleId="88">
    <w:name w:val="纯文本1"/>
    <w:basedOn w:val="1"/>
    <w:qFormat/>
    <w:uiPriority w:val="0"/>
    <w:pPr>
      <w:adjustRightInd w:val="0"/>
      <w:textAlignment w:val="baseline"/>
    </w:pPr>
    <w:rPr>
      <w:rFonts w:ascii="宋体" w:hAnsi="Courier New" w:eastAsia="楷体_GB2312"/>
      <w:sz w:val="26"/>
      <w:szCs w:val="20"/>
    </w:rPr>
  </w:style>
  <w:style w:type="paragraph" w:customStyle="1" w:styleId="89">
    <w:name w:val="*正文"/>
    <w:basedOn w:val="1"/>
    <w:qFormat/>
    <w:uiPriority w:val="0"/>
    <w:pPr>
      <w:spacing w:line="360" w:lineRule="auto"/>
      <w:ind w:firstLine="480" w:firstLineChars="200"/>
    </w:pPr>
    <w:rPr>
      <w:rFonts w:cs="仿宋_GB2312"/>
      <w:sz w:val="24"/>
    </w:rPr>
  </w:style>
  <w:style w:type="paragraph" w:customStyle="1" w:styleId="90">
    <w:name w:val="表内文字"/>
    <w:basedOn w:val="1"/>
    <w:qFormat/>
    <w:uiPriority w:val="0"/>
    <w:pPr>
      <w:jc w:val="center"/>
    </w:pPr>
    <w:rPr>
      <w:rFonts w:ascii="仿宋_GB2312" w:eastAsia="仿宋_GB2312"/>
      <w:sz w:val="24"/>
    </w:rPr>
  </w:style>
  <w:style w:type="paragraph" w:customStyle="1" w:styleId="91">
    <w:name w:val="Char Char Char Char"/>
    <w:basedOn w:val="1"/>
    <w:qFormat/>
    <w:uiPriority w:val="0"/>
    <w:rPr>
      <w:rFonts w:ascii="黑体" w:eastAsia="黑体"/>
      <w:kern w:val="0"/>
      <w:sz w:val="24"/>
      <w:szCs w:val="20"/>
    </w:rPr>
  </w:style>
  <w:style w:type="paragraph" w:customStyle="1" w:styleId="92">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3">
    <w:name w:val="简单回函地址"/>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21301</Words>
  <Characters>22998</Characters>
  <Lines>185</Lines>
  <Paragraphs>52</Paragraphs>
  <TotalTime>0</TotalTime>
  <ScaleCrop>false</ScaleCrop>
  <LinksUpToDate>false</LinksUpToDate>
  <CharactersWithSpaces>24286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2021-05-07T08:37:00Z</dcterms:created>
  <dc:creator>lsl</dc:creator>
  <cp:lastModifiedBy>ʚ ɞ</cp:lastModifiedBy>
  <cp:lastPrinted>2020-06-11T03:18:00Z</cp:lastPrinted>
  <dcterms:modified xsi:type="dcterms:W3CDTF">2022-07-29T11:46:19Z</dcterms:modified>
  <dc:title>秀洲区妇保院保洁项目招标文件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A5AE37C76B7749C7AAFE0AA08BFE2D1F</vt:lpwstr>
  </property>
  <property fmtid="{D5CDD505-2E9C-101B-9397-08002B2CF9AE}" pid="4" name="woTemplateTypoMode">
    <vt:lpwstr>web</vt:lpwstr>
  </property>
  <property fmtid="{D5CDD505-2E9C-101B-9397-08002B2CF9AE}" pid="5" name="woTemplate">
    <vt:i4>1</vt:i4>
  </property>
</Properties>
</file>