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Chars="-135" w:right="-483" w:rightChars="-227" w:hanging="453" w:hangingChars="94"/>
        <w:jc w:val="center"/>
        <w:rPr>
          <w:rFonts w:hint="eastAsia" w:ascii="宋体" w:hAnsi="宋体" w:cs="宋体"/>
          <w:b/>
          <w:bCs/>
          <w:kern w:val="36"/>
          <w:sz w:val="48"/>
          <w:szCs w:val="48"/>
        </w:rPr>
      </w:pPr>
    </w:p>
    <w:p>
      <w:pPr>
        <w:pStyle w:val="13"/>
        <w:rPr>
          <w:rFonts w:hint="eastAsia"/>
        </w:rPr>
      </w:pPr>
    </w:p>
    <w:p>
      <w:pPr>
        <w:widowControl/>
        <w:spacing w:line="360" w:lineRule="auto"/>
        <w:ind w:leftChars="-135" w:right="-483" w:rightChars="-227" w:hanging="415" w:hangingChars="94"/>
        <w:jc w:val="center"/>
        <w:rPr>
          <w:rFonts w:hint="eastAsia" w:ascii="宋体" w:hAnsi="宋体" w:eastAsia="宋体" w:cs="宋体"/>
          <w:b/>
          <w:bCs/>
          <w:kern w:val="36"/>
          <w:sz w:val="44"/>
          <w:szCs w:val="44"/>
          <w:lang w:eastAsia="zh-CN"/>
        </w:rPr>
      </w:pPr>
      <w:r>
        <w:rPr>
          <w:rFonts w:hint="eastAsia" w:ascii="宋体" w:hAnsi="宋体" w:cs="宋体"/>
          <w:b/>
          <w:bCs/>
          <w:kern w:val="36"/>
          <w:sz w:val="44"/>
          <w:szCs w:val="44"/>
          <w:lang w:eastAsia="zh-CN"/>
        </w:rPr>
        <w:t>2024年西塘桥街道公共环境病媒生物防治服务</w:t>
      </w:r>
    </w:p>
    <w:p>
      <w:pPr>
        <w:widowControl/>
        <w:spacing w:line="360" w:lineRule="auto"/>
        <w:ind w:leftChars="-135" w:right="-483" w:rightChars="-227" w:hanging="284" w:hangingChars="94"/>
        <w:jc w:val="center"/>
        <w:rPr>
          <w:rFonts w:hint="eastAsia" w:ascii="宋体" w:hAnsi="宋体" w:cs="宋体"/>
          <w:b/>
          <w:bCs/>
          <w:kern w:val="36"/>
          <w:sz w:val="30"/>
          <w:szCs w:val="30"/>
        </w:rPr>
      </w:pPr>
    </w:p>
    <w:p>
      <w:pPr>
        <w:pStyle w:val="13"/>
        <w:rPr>
          <w:rFonts w:hint="eastAsia" w:ascii="宋体" w:hAnsi="宋体" w:cs="宋体"/>
          <w:b/>
          <w:bCs/>
          <w:kern w:val="36"/>
          <w:sz w:val="30"/>
          <w:szCs w:val="30"/>
        </w:rPr>
      </w:pPr>
    </w:p>
    <w:p>
      <w:pPr>
        <w:rPr>
          <w:rFonts w:hint="eastAsia" w:ascii="宋体" w:hAnsi="宋体" w:cs="宋体"/>
          <w:b/>
          <w:bCs/>
          <w:kern w:val="36"/>
          <w:sz w:val="30"/>
          <w:szCs w:val="30"/>
        </w:rPr>
      </w:pPr>
    </w:p>
    <w:p>
      <w:pPr>
        <w:pStyle w:val="13"/>
        <w:rPr>
          <w:rFonts w:hint="eastAsia"/>
        </w:rPr>
      </w:pPr>
    </w:p>
    <w:p>
      <w:pPr>
        <w:snapToGrid w:val="0"/>
        <w:spacing w:line="360" w:lineRule="auto"/>
        <w:jc w:val="center"/>
        <w:rPr>
          <w:rFonts w:hint="eastAsia" w:ascii="宋体" w:hAnsi="宋体" w:cs="宋体"/>
          <w:b/>
          <w:bCs/>
          <w:w w:val="95"/>
          <w:sz w:val="48"/>
          <w:szCs w:val="48"/>
        </w:rPr>
      </w:pPr>
      <w:r>
        <w:rPr>
          <w:rFonts w:hint="eastAsia" w:ascii="宋体" w:hAnsi="宋体" w:cs="宋体"/>
          <w:b/>
          <w:bCs/>
          <w:w w:val="95"/>
          <w:sz w:val="48"/>
          <w:szCs w:val="48"/>
        </w:rPr>
        <w:t>竞争性磋商文件</w:t>
      </w:r>
    </w:p>
    <w:p>
      <w:pPr>
        <w:snapToGrid w:val="0"/>
        <w:ind w:firstLine="1653" w:firstLineChars="615"/>
        <w:rPr>
          <w:rFonts w:hint="eastAsia" w:ascii="宋体" w:hAnsi="宋体" w:cs="宋体"/>
          <w:b/>
          <w:bCs/>
          <w:w w:val="95"/>
          <w:sz w:val="28"/>
          <w:szCs w:val="28"/>
        </w:rPr>
      </w:pPr>
    </w:p>
    <w:p>
      <w:pPr>
        <w:snapToGrid w:val="0"/>
        <w:ind w:firstLine="1653" w:firstLineChars="615"/>
        <w:rPr>
          <w:rFonts w:hint="eastAsia" w:ascii="宋体" w:hAnsi="宋体" w:cs="宋体"/>
          <w:b/>
          <w:bCs/>
          <w:w w:val="95"/>
          <w:sz w:val="28"/>
          <w:szCs w:val="28"/>
        </w:rPr>
      </w:pPr>
    </w:p>
    <w:p>
      <w:pPr>
        <w:snapToGrid w:val="0"/>
        <w:ind w:firstLine="1770" w:firstLineChars="615"/>
        <w:rPr>
          <w:rFonts w:hint="eastAsia" w:ascii="宋体" w:hAnsi="宋体" w:cs="宋体"/>
          <w:b/>
          <w:bCs/>
          <w:w w:val="95"/>
          <w:sz w:val="30"/>
          <w:szCs w:val="30"/>
        </w:rPr>
      </w:pPr>
    </w:p>
    <w:p>
      <w:pPr>
        <w:snapToGrid w:val="0"/>
        <w:ind w:firstLine="1770" w:firstLineChars="615"/>
        <w:rPr>
          <w:rFonts w:hint="eastAsia" w:ascii="宋体" w:hAnsi="宋体" w:cs="宋体"/>
          <w:b/>
          <w:bCs/>
          <w:w w:val="95"/>
          <w:sz w:val="30"/>
          <w:szCs w:val="30"/>
        </w:rPr>
      </w:pPr>
    </w:p>
    <w:p>
      <w:pPr>
        <w:snapToGrid w:val="0"/>
        <w:ind w:firstLine="1770" w:firstLineChars="615"/>
        <w:rPr>
          <w:rFonts w:hint="eastAsia" w:ascii="宋体" w:hAnsi="宋体" w:cs="宋体"/>
          <w:b/>
          <w:bCs/>
          <w:w w:val="95"/>
          <w:sz w:val="30"/>
          <w:szCs w:val="30"/>
        </w:rPr>
      </w:pPr>
    </w:p>
    <w:p>
      <w:pPr>
        <w:spacing w:line="480" w:lineRule="auto"/>
        <w:ind w:firstLine="1060" w:firstLineChars="350"/>
        <w:rPr>
          <w:rFonts w:hint="eastAsia" w:ascii="宋体" w:hAnsi="宋体" w:cs="宋体"/>
          <w:b/>
          <w:sz w:val="30"/>
          <w:szCs w:val="30"/>
          <w:lang w:eastAsia="zh-CN"/>
        </w:rPr>
      </w:pPr>
      <w:r>
        <w:rPr>
          <w:rFonts w:hint="eastAsia" w:ascii="宋体" w:hAnsi="宋体" w:cs="宋体"/>
          <w:b/>
          <w:sz w:val="30"/>
          <w:szCs w:val="30"/>
        </w:rPr>
        <w:t>项目编号：</w:t>
      </w:r>
      <w:r>
        <w:rPr>
          <w:rFonts w:hint="eastAsia" w:ascii="宋体" w:hAnsi="宋体" w:cs="宋体"/>
          <w:b/>
          <w:sz w:val="30"/>
          <w:szCs w:val="30"/>
          <w:lang w:eastAsia="zh-CN"/>
        </w:rPr>
        <w:t>嘉鼎晟采〔2024〕027号</w:t>
      </w:r>
    </w:p>
    <w:p>
      <w:pPr>
        <w:spacing w:line="480" w:lineRule="auto"/>
        <w:ind w:firstLine="1060" w:firstLineChars="350"/>
        <w:rPr>
          <w:rFonts w:hint="eastAsia" w:ascii="宋体" w:hAnsi="宋体" w:cs="宋体"/>
          <w:b/>
          <w:sz w:val="30"/>
          <w:szCs w:val="30"/>
        </w:rPr>
      </w:pPr>
      <w:r>
        <w:rPr>
          <w:rFonts w:hint="eastAsia" w:ascii="宋体" w:hAnsi="宋体" w:cs="宋体"/>
          <w:b/>
          <w:sz w:val="30"/>
          <w:szCs w:val="30"/>
        </w:rPr>
        <w:t>采购方式：竞争性磋商</w:t>
      </w:r>
    </w:p>
    <w:p>
      <w:pPr>
        <w:spacing w:line="480" w:lineRule="auto"/>
        <w:ind w:firstLine="1060" w:firstLineChars="350"/>
        <w:rPr>
          <w:rFonts w:hint="eastAsia" w:ascii="宋体" w:hAnsi="宋体" w:eastAsia="宋体" w:cs="宋体"/>
          <w:b/>
          <w:sz w:val="30"/>
          <w:szCs w:val="30"/>
          <w:lang w:eastAsia="zh-CN"/>
        </w:rPr>
      </w:pPr>
      <w:r>
        <w:rPr>
          <w:rFonts w:hint="eastAsia" w:ascii="宋体" w:hAnsi="宋体" w:cs="宋体"/>
          <w:b/>
          <w:sz w:val="30"/>
          <w:szCs w:val="30"/>
        </w:rPr>
        <w:t>采购单位：</w:t>
      </w:r>
      <w:r>
        <w:rPr>
          <w:rFonts w:hint="eastAsia" w:ascii="宋体" w:hAnsi="宋体" w:cs="宋体"/>
          <w:b/>
          <w:sz w:val="30"/>
          <w:szCs w:val="30"/>
          <w:lang w:eastAsia="zh-CN"/>
        </w:rPr>
        <w:t>浙江省海盐经济开发区管理委员会</w:t>
      </w:r>
    </w:p>
    <w:p>
      <w:pPr>
        <w:spacing w:line="480" w:lineRule="auto"/>
        <w:ind w:firstLine="1060" w:firstLineChars="350"/>
        <w:rPr>
          <w:rFonts w:hint="eastAsia" w:ascii="宋体" w:hAnsi="宋体" w:eastAsia="宋体" w:cs="宋体"/>
          <w:b/>
          <w:sz w:val="30"/>
          <w:szCs w:val="30"/>
          <w:lang w:eastAsia="zh-CN"/>
        </w:rPr>
      </w:pPr>
      <w:r>
        <w:rPr>
          <w:rFonts w:hint="eastAsia" w:ascii="宋体" w:hAnsi="宋体" w:cs="宋体"/>
          <w:b/>
          <w:sz w:val="30"/>
          <w:szCs w:val="30"/>
        </w:rPr>
        <w:t>代理机构：</w:t>
      </w:r>
      <w:r>
        <w:rPr>
          <w:rFonts w:hint="eastAsia" w:ascii="宋体" w:hAnsi="宋体" w:cs="宋体"/>
          <w:b/>
          <w:sz w:val="30"/>
          <w:szCs w:val="30"/>
          <w:lang w:eastAsia="zh-CN"/>
        </w:rPr>
        <w:t>嘉兴鼎晟工程管理有限公司</w:t>
      </w:r>
    </w:p>
    <w:p>
      <w:pPr>
        <w:spacing w:line="480" w:lineRule="auto"/>
        <w:ind w:firstLine="2878" w:firstLineChars="950"/>
        <w:rPr>
          <w:rFonts w:hint="eastAsia"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hint="eastAsia" w:ascii="宋体" w:hAnsi="宋体" w:cs="宋体"/>
          <w:b/>
          <w:sz w:val="30"/>
          <w:szCs w:val="30"/>
          <w:lang w:val="en-US" w:eastAsia="zh-CN"/>
        </w:rPr>
        <w:t>04</w:t>
      </w:r>
      <w:r>
        <w:rPr>
          <w:rFonts w:hint="eastAsia" w:ascii="宋体" w:hAnsi="宋体" w:cs="宋体"/>
          <w:b/>
          <w:sz w:val="30"/>
          <w:szCs w:val="30"/>
        </w:rPr>
        <w:t>月</w:t>
      </w:r>
      <w:r>
        <w:rPr>
          <w:rFonts w:hint="eastAsia" w:ascii="宋体" w:hAnsi="宋体" w:cs="宋体"/>
          <w:b/>
          <w:sz w:val="30"/>
          <w:szCs w:val="30"/>
          <w:lang w:val="en-US" w:eastAsia="zh-CN"/>
        </w:rPr>
        <w:t>01</w:t>
      </w:r>
      <w:r>
        <w:rPr>
          <w:rFonts w:hint="eastAsia" w:ascii="宋体" w:hAnsi="宋体" w:cs="宋体"/>
          <w:b/>
          <w:sz w:val="30"/>
          <w:szCs w:val="30"/>
        </w:rPr>
        <w:t>日</w:t>
      </w:r>
    </w:p>
    <w:p>
      <w:pPr>
        <w:rPr>
          <w:rFonts w:ascii="Arial" w:hAnsi="Arial" w:cs="Arial"/>
          <w:b/>
          <w:sz w:val="40"/>
          <w:szCs w:val="32"/>
        </w:rPr>
      </w:pPr>
      <w:r>
        <w:rPr>
          <w:rFonts w:ascii="Arial" w:hAnsi="Arial" w:cs="Arial"/>
          <w:b/>
          <w:sz w:val="40"/>
          <w:szCs w:val="32"/>
        </w:rPr>
        <w:br w:type="page"/>
      </w:r>
    </w:p>
    <w:p>
      <w:pPr>
        <w:spacing w:line="276" w:lineRule="auto"/>
        <w:jc w:val="center"/>
        <w:rPr>
          <w:rFonts w:ascii="Arial" w:hAnsi="Arial" w:cs="Arial"/>
          <w:b/>
          <w:sz w:val="40"/>
          <w:szCs w:val="32"/>
        </w:rPr>
      </w:pPr>
      <w:r>
        <w:rPr>
          <w:rFonts w:ascii="Arial" w:hAnsi="Arial" w:cs="Arial"/>
          <w:b/>
          <w:sz w:val="40"/>
          <w:szCs w:val="32"/>
        </w:rPr>
        <w:t>目</w:t>
      </w:r>
      <w:r>
        <w:rPr>
          <w:rFonts w:hint="eastAsia" w:ascii="Arial" w:hAnsi="Arial" w:cs="Arial"/>
          <w:b/>
          <w:sz w:val="40"/>
          <w:szCs w:val="32"/>
          <w:lang w:val="en-US" w:eastAsia="zh-CN"/>
        </w:rPr>
        <w:t xml:space="preserve">  </w:t>
      </w:r>
      <w:r>
        <w:rPr>
          <w:rFonts w:ascii="Arial" w:hAnsi="Arial" w:cs="Arial"/>
          <w:b/>
          <w:sz w:val="40"/>
          <w:szCs w:val="32"/>
        </w:rPr>
        <w:t>录</w:t>
      </w:r>
    </w:p>
    <w:p>
      <w:pPr>
        <w:spacing w:line="276" w:lineRule="auto"/>
        <w:jc w:val="center"/>
        <w:rPr>
          <w:rFonts w:ascii="Arial" w:hAnsi="Arial" w:cs="Arial"/>
          <w:b/>
          <w:sz w:val="40"/>
          <w:szCs w:val="32"/>
        </w:rPr>
      </w:pPr>
    </w:p>
    <w:p>
      <w:pPr>
        <w:pStyle w:val="21"/>
        <w:tabs>
          <w:tab w:val="right" w:leader="dot" w:pos="9015"/>
          <w:tab w:val="clear" w:pos="8948"/>
        </w:tabs>
      </w:pPr>
      <w:r>
        <w:rPr>
          <w:rFonts w:cs="Arial"/>
          <w:b w:val="0"/>
          <w:kern w:val="2"/>
          <w:sz w:val="28"/>
          <w:szCs w:val="28"/>
        </w:rPr>
        <w:fldChar w:fldCharType="begin"/>
      </w:r>
      <w:r>
        <w:rPr>
          <w:rFonts w:cs="Arial"/>
          <w:b w:val="0"/>
          <w:kern w:val="2"/>
          <w:sz w:val="28"/>
          <w:szCs w:val="28"/>
        </w:rPr>
        <w:instrText xml:space="preserve"> TOC \o "1-3" \h \z \u </w:instrText>
      </w:r>
      <w:r>
        <w:rPr>
          <w:rFonts w:cs="Arial"/>
          <w:b w:val="0"/>
          <w:kern w:val="2"/>
          <w:sz w:val="28"/>
          <w:szCs w:val="28"/>
        </w:rPr>
        <w:fldChar w:fldCharType="separate"/>
      </w:r>
      <w:r>
        <w:rPr>
          <w:rFonts w:cs="Arial"/>
          <w:kern w:val="2"/>
          <w:szCs w:val="28"/>
        </w:rPr>
        <w:fldChar w:fldCharType="begin"/>
      </w:r>
      <w:r>
        <w:rPr>
          <w:rFonts w:cs="Arial"/>
          <w:kern w:val="2"/>
          <w:szCs w:val="28"/>
        </w:rPr>
        <w:instrText xml:space="preserve"> HYPERLINK \l _Toc16313 </w:instrText>
      </w:r>
      <w:r>
        <w:rPr>
          <w:rFonts w:cs="Arial"/>
          <w:kern w:val="2"/>
          <w:szCs w:val="28"/>
        </w:rPr>
        <w:fldChar w:fldCharType="separate"/>
      </w:r>
      <w:r>
        <w:rPr>
          <w:rFonts w:ascii="Arial" w:hAnsi="Arial" w:cs="Arial"/>
          <w:szCs w:val="36"/>
        </w:rPr>
        <w:t>第一部分采购公告</w:t>
      </w:r>
      <w:r>
        <w:tab/>
      </w:r>
      <w:r>
        <w:fldChar w:fldCharType="begin"/>
      </w:r>
      <w:r>
        <w:instrText xml:space="preserve"> PAGEREF _Toc16313 \h </w:instrText>
      </w:r>
      <w:r>
        <w:fldChar w:fldCharType="separate"/>
      </w:r>
      <w:r>
        <w:t>3</w:t>
      </w:r>
      <w:r>
        <w:fldChar w:fldCharType="end"/>
      </w:r>
      <w:r>
        <w:rPr>
          <w:rFonts w:cs="Arial"/>
          <w:kern w:val="2"/>
          <w:szCs w:val="28"/>
        </w:rPr>
        <w:fldChar w:fldCharType="end"/>
      </w:r>
    </w:p>
    <w:p>
      <w:pPr>
        <w:pStyle w:val="21"/>
        <w:tabs>
          <w:tab w:val="right" w:leader="dot" w:pos="9015"/>
          <w:tab w:val="clear" w:pos="8948"/>
        </w:tabs>
      </w:pPr>
      <w:r>
        <w:rPr>
          <w:rFonts w:cs="Arial"/>
          <w:kern w:val="2"/>
        </w:rPr>
        <w:fldChar w:fldCharType="begin"/>
      </w:r>
      <w:r>
        <w:rPr>
          <w:rFonts w:cs="Arial"/>
          <w:kern w:val="2"/>
        </w:rPr>
        <w:instrText xml:space="preserve"> HYPERLINK \l _Toc29022 </w:instrText>
      </w:r>
      <w:r>
        <w:rPr>
          <w:rFonts w:cs="Arial"/>
          <w:kern w:val="2"/>
        </w:rPr>
        <w:fldChar w:fldCharType="separate"/>
      </w:r>
      <w:r>
        <w:rPr>
          <w:rFonts w:ascii="Arial" w:hAnsi="Arial" w:cs="Arial"/>
          <w:szCs w:val="36"/>
        </w:rPr>
        <w:t>第二部分</w:t>
      </w:r>
      <w:r>
        <w:rPr>
          <w:rFonts w:hint="eastAsia" w:ascii="Arial" w:hAnsi="Arial" w:cs="Arial"/>
          <w:szCs w:val="36"/>
          <w:lang w:val="en-US" w:eastAsia="zh-CN"/>
        </w:rPr>
        <w:t xml:space="preserve"> </w:t>
      </w:r>
      <w:r>
        <w:rPr>
          <w:rFonts w:ascii="Arial" w:hAnsi="Arial" w:cs="Arial"/>
          <w:szCs w:val="36"/>
        </w:rPr>
        <w:t>竞争性磋商供应商须知</w:t>
      </w:r>
      <w:r>
        <w:tab/>
      </w:r>
      <w:r>
        <w:fldChar w:fldCharType="begin"/>
      </w:r>
      <w:r>
        <w:instrText xml:space="preserve"> PAGEREF _Toc29022 \h </w:instrText>
      </w:r>
      <w:r>
        <w:fldChar w:fldCharType="separate"/>
      </w:r>
      <w:r>
        <w:t>9</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_Toc25460 </w:instrText>
      </w:r>
      <w:r>
        <w:rPr>
          <w:rFonts w:cs="Arial"/>
          <w:kern w:val="2"/>
        </w:rPr>
        <w:fldChar w:fldCharType="separate"/>
      </w:r>
      <w:r>
        <w:rPr>
          <w:rFonts w:ascii="Arial" w:hAnsi="Arial" w:cs="Arial"/>
          <w:szCs w:val="24"/>
        </w:rPr>
        <w:t>（一）</w:t>
      </w:r>
      <w:r>
        <w:rPr>
          <w:rFonts w:ascii="Arial" w:hAnsi="Arial" w:cs="Arial"/>
          <w:bCs w:val="0"/>
          <w:szCs w:val="24"/>
        </w:rPr>
        <w:t>竞争性磋商须知前附表</w:t>
      </w:r>
      <w:r>
        <w:tab/>
      </w:r>
      <w:r>
        <w:fldChar w:fldCharType="begin"/>
      </w:r>
      <w:r>
        <w:instrText xml:space="preserve"> PAGEREF _Toc25460 \h </w:instrText>
      </w:r>
      <w:r>
        <w:fldChar w:fldCharType="separate"/>
      </w:r>
      <w:r>
        <w:t>9</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_Toc14803 </w:instrText>
      </w:r>
      <w:r>
        <w:rPr>
          <w:rFonts w:cs="Arial"/>
          <w:kern w:val="2"/>
        </w:rPr>
        <w:fldChar w:fldCharType="separate"/>
      </w:r>
      <w:r>
        <w:rPr>
          <w:rFonts w:hint="eastAsia" w:ascii="Arial" w:hAnsi="Arial" w:cs="Arial"/>
          <w:bCs w:val="0"/>
          <w:szCs w:val="24"/>
        </w:rPr>
        <w:t>（二）总则</w:t>
      </w:r>
      <w:r>
        <w:tab/>
      </w:r>
      <w:r>
        <w:fldChar w:fldCharType="begin"/>
      </w:r>
      <w:r>
        <w:instrText xml:space="preserve"> PAGEREF _Toc14803 \h </w:instrText>
      </w:r>
      <w:r>
        <w:fldChar w:fldCharType="separate"/>
      </w:r>
      <w:r>
        <w:t>12</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_Toc11201 </w:instrText>
      </w:r>
      <w:r>
        <w:rPr>
          <w:rFonts w:cs="Arial"/>
          <w:kern w:val="2"/>
        </w:rPr>
        <w:fldChar w:fldCharType="separate"/>
      </w:r>
      <w:r>
        <w:rPr>
          <w:rFonts w:hint="eastAsia" w:ascii="Arial" w:hAnsi="Arial" w:cs="Arial"/>
          <w:bCs w:val="0"/>
          <w:szCs w:val="24"/>
        </w:rPr>
        <w:t>（三）竞争性磋商文件说明</w:t>
      </w:r>
      <w:r>
        <w:tab/>
      </w:r>
      <w:r>
        <w:fldChar w:fldCharType="begin"/>
      </w:r>
      <w:r>
        <w:instrText xml:space="preserve"> PAGEREF _Toc11201 \h </w:instrText>
      </w:r>
      <w:r>
        <w:fldChar w:fldCharType="separate"/>
      </w:r>
      <w:r>
        <w:t>13</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_Toc17929 </w:instrText>
      </w:r>
      <w:r>
        <w:rPr>
          <w:rFonts w:cs="Arial"/>
          <w:kern w:val="2"/>
        </w:rPr>
        <w:fldChar w:fldCharType="separate"/>
      </w:r>
      <w:r>
        <w:rPr>
          <w:rFonts w:hint="eastAsia" w:ascii="Arial" w:hAnsi="Arial" w:cs="Arial"/>
          <w:bCs w:val="0"/>
          <w:szCs w:val="24"/>
        </w:rPr>
        <w:t>（四）竞争性磋商响应文件的编制</w:t>
      </w:r>
      <w:r>
        <w:tab/>
      </w:r>
      <w:r>
        <w:fldChar w:fldCharType="begin"/>
      </w:r>
      <w:r>
        <w:instrText xml:space="preserve"> PAGEREF _Toc17929 \h </w:instrText>
      </w:r>
      <w:r>
        <w:fldChar w:fldCharType="separate"/>
      </w:r>
      <w:r>
        <w:t>14</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_Toc31082 </w:instrText>
      </w:r>
      <w:r>
        <w:rPr>
          <w:rFonts w:cs="Arial"/>
          <w:kern w:val="2"/>
        </w:rPr>
        <w:fldChar w:fldCharType="separate"/>
      </w:r>
      <w:r>
        <w:rPr>
          <w:rFonts w:hint="eastAsia" w:ascii="Arial" w:hAnsi="Arial" w:cs="Arial"/>
          <w:bCs w:val="0"/>
          <w:szCs w:val="24"/>
        </w:rPr>
        <w:t>（五）竞争性磋商响应文件的递交</w:t>
      </w:r>
      <w:r>
        <w:tab/>
      </w:r>
      <w:r>
        <w:fldChar w:fldCharType="begin"/>
      </w:r>
      <w:r>
        <w:instrText xml:space="preserve"> PAGEREF _Toc31082 \h </w:instrText>
      </w:r>
      <w:r>
        <w:fldChar w:fldCharType="separate"/>
      </w:r>
      <w:r>
        <w:t>17</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_Toc8521 </w:instrText>
      </w:r>
      <w:r>
        <w:rPr>
          <w:rFonts w:cs="Arial"/>
          <w:kern w:val="2"/>
        </w:rPr>
        <w:fldChar w:fldCharType="separate"/>
      </w:r>
      <w:r>
        <w:rPr>
          <w:rFonts w:hint="eastAsia" w:ascii="Arial" w:hAnsi="Arial" w:cs="Arial"/>
          <w:bCs w:val="0"/>
          <w:szCs w:val="24"/>
        </w:rPr>
        <w:t>（六）竞争性磋商与评审</w:t>
      </w:r>
      <w:r>
        <w:tab/>
      </w:r>
      <w:r>
        <w:fldChar w:fldCharType="begin"/>
      </w:r>
      <w:r>
        <w:instrText xml:space="preserve"> PAGEREF _Toc8521 \h </w:instrText>
      </w:r>
      <w:r>
        <w:fldChar w:fldCharType="separate"/>
      </w:r>
      <w:r>
        <w:t>17</w:t>
      </w:r>
      <w:r>
        <w:fldChar w:fldCharType="end"/>
      </w:r>
      <w:r>
        <w:rPr>
          <w:rFonts w:cs="Arial"/>
          <w:kern w:val="2"/>
        </w:rPr>
        <w:fldChar w:fldCharType="end"/>
      </w:r>
    </w:p>
    <w:p>
      <w:pPr>
        <w:pStyle w:val="8"/>
        <w:tabs>
          <w:tab w:val="right" w:leader="dot" w:pos="9015"/>
          <w:tab w:val="clear" w:pos="8948"/>
        </w:tabs>
      </w:pPr>
      <w:r>
        <w:rPr>
          <w:rFonts w:cs="Arial"/>
          <w:kern w:val="2"/>
        </w:rPr>
        <w:fldChar w:fldCharType="begin"/>
      </w:r>
      <w:r>
        <w:rPr>
          <w:rFonts w:cs="Arial"/>
          <w:kern w:val="2"/>
        </w:rPr>
        <w:instrText xml:space="preserve"> HYPERLINK \l _Toc18842 </w:instrText>
      </w:r>
      <w:r>
        <w:rPr>
          <w:rFonts w:cs="Arial"/>
          <w:kern w:val="2"/>
        </w:rPr>
        <w:fldChar w:fldCharType="separate"/>
      </w:r>
      <w:r>
        <w:rPr>
          <w:rFonts w:hint="eastAsia" w:ascii="Arial" w:hAnsi="Arial" w:cs="Arial"/>
          <w:bCs w:val="0"/>
          <w:szCs w:val="24"/>
        </w:rPr>
        <w:t>（七）授予合同</w:t>
      </w:r>
      <w:r>
        <w:tab/>
      </w:r>
      <w:r>
        <w:fldChar w:fldCharType="begin"/>
      </w:r>
      <w:r>
        <w:instrText xml:space="preserve"> PAGEREF _Toc18842 \h </w:instrText>
      </w:r>
      <w:r>
        <w:fldChar w:fldCharType="separate"/>
      </w:r>
      <w:r>
        <w:t>21</w:t>
      </w:r>
      <w:r>
        <w:fldChar w:fldCharType="end"/>
      </w:r>
      <w:r>
        <w:rPr>
          <w:rFonts w:cs="Arial"/>
          <w:kern w:val="2"/>
        </w:rPr>
        <w:fldChar w:fldCharType="end"/>
      </w:r>
    </w:p>
    <w:p>
      <w:pPr>
        <w:pStyle w:val="21"/>
        <w:tabs>
          <w:tab w:val="right" w:leader="dot" w:pos="9015"/>
          <w:tab w:val="clear" w:pos="8948"/>
        </w:tabs>
      </w:pPr>
      <w:r>
        <w:rPr>
          <w:rFonts w:cs="Arial"/>
          <w:kern w:val="2"/>
        </w:rPr>
        <w:fldChar w:fldCharType="begin"/>
      </w:r>
      <w:r>
        <w:rPr>
          <w:rFonts w:cs="Arial"/>
          <w:kern w:val="2"/>
        </w:rPr>
        <w:instrText xml:space="preserve"> HYPERLINK \l _Toc32524 </w:instrText>
      </w:r>
      <w:r>
        <w:rPr>
          <w:rFonts w:cs="Arial"/>
          <w:kern w:val="2"/>
        </w:rPr>
        <w:fldChar w:fldCharType="separate"/>
      </w:r>
      <w:r>
        <w:rPr>
          <w:rFonts w:hint="eastAsia" w:ascii="Arial" w:hAnsi="Arial" w:cs="Arial"/>
          <w:szCs w:val="32"/>
        </w:rPr>
        <w:t xml:space="preserve">第三部分 </w:t>
      </w:r>
      <w:r>
        <w:rPr>
          <w:rFonts w:hint="eastAsia" w:ascii="Arial" w:hAnsi="Arial" w:cs="Arial"/>
          <w:szCs w:val="32"/>
          <w:highlight w:val="none"/>
        </w:rPr>
        <w:t>项目采购需求</w:t>
      </w:r>
      <w:r>
        <w:tab/>
      </w:r>
      <w:r>
        <w:fldChar w:fldCharType="begin"/>
      </w:r>
      <w:r>
        <w:instrText xml:space="preserve"> PAGEREF _Toc32524 \h </w:instrText>
      </w:r>
      <w:r>
        <w:fldChar w:fldCharType="separate"/>
      </w:r>
      <w:r>
        <w:t>24</w:t>
      </w:r>
      <w:r>
        <w:fldChar w:fldCharType="end"/>
      </w:r>
      <w:r>
        <w:rPr>
          <w:rFonts w:cs="Arial"/>
          <w:kern w:val="2"/>
        </w:rPr>
        <w:fldChar w:fldCharType="end"/>
      </w:r>
    </w:p>
    <w:p>
      <w:pPr>
        <w:pStyle w:val="21"/>
        <w:tabs>
          <w:tab w:val="right" w:leader="dot" w:pos="9015"/>
          <w:tab w:val="clear" w:pos="8948"/>
        </w:tabs>
      </w:pPr>
      <w:r>
        <w:rPr>
          <w:rFonts w:cs="Arial"/>
          <w:kern w:val="2"/>
        </w:rPr>
        <w:fldChar w:fldCharType="begin"/>
      </w:r>
      <w:r>
        <w:rPr>
          <w:rFonts w:cs="Arial"/>
          <w:kern w:val="2"/>
        </w:rPr>
        <w:instrText xml:space="preserve"> HYPERLINK \l _Toc26868 </w:instrText>
      </w:r>
      <w:r>
        <w:rPr>
          <w:rFonts w:cs="Arial"/>
          <w:kern w:val="2"/>
        </w:rPr>
        <w:fldChar w:fldCharType="separate"/>
      </w:r>
      <w:r>
        <w:rPr>
          <w:rFonts w:hint="eastAsia" w:ascii="Arial" w:hAnsi="Arial" w:cs="Arial"/>
          <w:szCs w:val="36"/>
        </w:rPr>
        <w:t>第四部分</w:t>
      </w:r>
      <w:r>
        <w:rPr>
          <w:rFonts w:hint="eastAsia" w:ascii="Arial" w:hAnsi="Arial" w:cs="Arial"/>
          <w:szCs w:val="36"/>
          <w:lang w:val="en-US" w:eastAsia="zh-CN"/>
        </w:rPr>
        <w:t xml:space="preserve"> </w:t>
      </w:r>
      <w:r>
        <w:rPr>
          <w:rFonts w:hint="eastAsia" w:ascii="Arial" w:hAnsi="Arial" w:cs="Arial"/>
          <w:szCs w:val="36"/>
        </w:rPr>
        <w:t>合同条款</w:t>
      </w:r>
      <w:r>
        <w:tab/>
      </w:r>
      <w:r>
        <w:fldChar w:fldCharType="begin"/>
      </w:r>
      <w:r>
        <w:instrText xml:space="preserve"> PAGEREF _Toc26868 \h </w:instrText>
      </w:r>
      <w:r>
        <w:fldChar w:fldCharType="separate"/>
      </w:r>
      <w:r>
        <w:t>28</w:t>
      </w:r>
      <w:r>
        <w:fldChar w:fldCharType="end"/>
      </w:r>
      <w:r>
        <w:rPr>
          <w:rFonts w:cs="Arial"/>
          <w:kern w:val="2"/>
        </w:rPr>
        <w:fldChar w:fldCharType="end"/>
      </w:r>
    </w:p>
    <w:p>
      <w:pPr>
        <w:pStyle w:val="21"/>
        <w:tabs>
          <w:tab w:val="right" w:leader="dot" w:pos="9015"/>
          <w:tab w:val="clear" w:pos="8948"/>
        </w:tabs>
      </w:pPr>
      <w:r>
        <w:rPr>
          <w:rFonts w:cs="Arial"/>
          <w:kern w:val="2"/>
        </w:rPr>
        <w:fldChar w:fldCharType="begin"/>
      </w:r>
      <w:r>
        <w:rPr>
          <w:rFonts w:cs="Arial"/>
          <w:kern w:val="2"/>
        </w:rPr>
        <w:instrText xml:space="preserve"> HYPERLINK \l _Toc3126 </w:instrText>
      </w:r>
      <w:r>
        <w:rPr>
          <w:rFonts w:cs="Arial"/>
          <w:kern w:val="2"/>
        </w:rPr>
        <w:fldChar w:fldCharType="separate"/>
      </w:r>
      <w:r>
        <w:rPr>
          <w:rFonts w:hint="eastAsia" w:ascii="Arial" w:hAnsi="Arial" w:cs="Arial"/>
          <w:szCs w:val="36"/>
          <w:highlight w:val="none"/>
        </w:rPr>
        <w:t>第五部分</w:t>
      </w:r>
      <w:r>
        <w:rPr>
          <w:rFonts w:hint="eastAsia" w:ascii="Arial" w:hAnsi="Arial" w:cs="Arial"/>
          <w:szCs w:val="36"/>
          <w:highlight w:val="none"/>
          <w:lang w:val="en-US" w:eastAsia="zh-CN"/>
        </w:rPr>
        <w:t xml:space="preserve"> </w:t>
      </w:r>
      <w:r>
        <w:rPr>
          <w:rFonts w:hint="eastAsia" w:ascii="Arial" w:hAnsi="Arial" w:cs="Arial"/>
          <w:szCs w:val="36"/>
          <w:highlight w:val="none"/>
        </w:rPr>
        <w:t>竞争性</w:t>
      </w:r>
      <w:r>
        <w:rPr>
          <w:rFonts w:hint="eastAsia" w:ascii="Arial" w:hAnsi="Arial" w:cs="Arial"/>
          <w:szCs w:val="36"/>
        </w:rPr>
        <w:t>磋商评定办法</w:t>
      </w:r>
      <w:r>
        <w:tab/>
      </w:r>
      <w:r>
        <w:fldChar w:fldCharType="begin"/>
      </w:r>
      <w:r>
        <w:instrText xml:space="preserve"> PAGEREF _Toc3126 \h </w:instrText>
      </w:r>
      <w:r>
        <w:fldChar w:fldCharType="separate"/>
      </w:r>
      <w:r>
        <w:t>36</w:t>
      </w:r>
      <w:r>
        <w:fldChar w:fldCharType="end"/>
      </w:r>
      <w:r>
        <w:rPr>
          <w:rFonts w:cs="Arial"/>
          <w:kern w:val="2"/>
        </w:rPr>
        <w:fldChar w:fldCharType="end"/>
      </w:r>
    </w:p>
    <w:p>
      <w:pPr>
        <w:pStyle w:val="21"/>
        <w:tabs>
          <w:tab w:val="right" w:leader="dot" w:pos="9015"/>
          <w:tab w:val="clear" w:pos="8948"/>
        </w:tabs>
      </w:pPr>
      <w:r>
        <w:rPr>
          <w:rFonts w:cs="Arial"/>
          <w:kern w:val="2"/>
        </w:rPr>
        <w:fldChar w:fldCharType="begin"/>
      </w:r>
      <w:r>
        <w:rPr>
          <w:rFonts w:cs="Arial"/>
          <w:kern w:val="2"/>
        </w:rPr>
        <w:instrText xml:space="preserve"> HYPERLINK \l _Toc16495 </w:instrText>
      </w:r>
      <w:r>
        <w:rPr>
          <w:rFonts w:cs="Arial"/>
          <w:kern w:val="2"/>
        </w:rPr>
        <w:fldChar w:fldCharType="separate"/>
      </w:r>
      <w:r>
        <w:rPr>
          <w:rFonts w:hint="eastAsia" w:ascii="Arial" w:hAnsi="Arial" w:cs="Arial"/>
          <w:szCs w:val="36"/>
        </w:rPr>
        <w:t>第六部分</w:t>
      </w:r>
      <w:r>
        <w:rPr>
          <w:rFonts w:hint="eastAsia" w:ascii="Arial" w:hAnsi="Arial" w:cs="Arial"/>
          <w:szCs w:val="36"/>
          <w:lang w:val="en-US" w:eastAsia="zh-CN"/>
        </w:rPr>
        <w:t xml:space="preserve"> </w:t>
      </w:r>
      <w:r>
        <w:rPr>
          <w:rFonts w:hint="eastAsia" w:ascii="Arial" w:hAnsi="Arial" w:cs="Arial"/>
          <w:szCs w:val="36"/>
        </w:rPr>
        <w:t>竞争性磋商响应文件格式</w:t>
      </w:r>
      <w:r>
        <w:tab/>
      </w:r>
      <w:r>
        <w:fldChar w:fldCharType="begin"/>
      </w:r>
      <w:r>
        <w:instrText xml:space="preserve"> PAGEREF _Toc16495 \h </w:instrText>
      </w:r>
      <w:r>
        <w:fldChar w:fldCharType="separate"/>
      </w:r>
      <w:r>
        <w:t>47</w:t>
      </w:r>
      <w:r>
        <w:fldChar w:fldCharType="end"/>
      </w:r>
      <w:r>
        <w:rPr>
          <w:rFonts w:cs="Arial"/>
          <w:kern w:val="2"/>
        </w:rPr>
        <w:fldChar w:fldCharType="end"/>
      </w:r>
    </w:p>
    <w:p>
      <w:pPr>
        <w:pStyle w:val="21"/>
        <w:spacing w:line="276" w:lineRule="auto"/>
        <w:rPr>
          <w:rFonts w:cs="Arial"/>
          <w:kern w:val="2"/>
        </w:rPr>
      </w:pPr>
      <w:r>
        <w:rPr>
          <w:rFonts w:cs="Arial"/>
          <w:kern w:val="2"/>
        </w:rPr>
        <w:fldChar w:fldCharType="end"/>
      </w:r>
    </w:p>
    <w:p>
      <w:pPr>
        <w:spacing w:line="276" w:lineRule="auto"/>
        <w:rPr>
          <w:rFonts w:ascii="Arial" w:hAnsi="Arial" w:cs="Arial"/>
        </w:rPr>
        <w:sectPr>
          <w:headerReference r:id="rId3" w:type="default"/>
          <w:footerReference r:id="rId5" w:type="default"/>
          <w:headerReference r:id="rId4" w:type="even"/>
          <w:footerReference r:id="rId6" w:type="even"/>
          <w:pgSz w:w="11849" w:h="16781"/>
          <w:pgMar w:top="1417" w:right="1417" w:bottom="1417" w:left="1417" w:header="850" w:footer="992" w:gutter="0"/>
          <w:pgBorders>
            <w:top w:val="none" w:sz="0" w:space="0"/>
            <w:left w:val="none" w:sz="0" w:space="0"/>
            <w:bottom w:val="none" w:sz="0" w:space="0"/>
            <w:right w:val="none" w:sz="0" w:space="0"/>
          </w:pgBorders>
          <w:pgNumType w:start="1"/>
          <w:cols w:space="0" w:num="1"/>
          <w:rtlGutter w:val="0"/>
          <w:docGrid w:type="linesAndChars" w:linePitch="324" w:charSpace="819"/>
        </w:sectPr>
      </w:pPr>
    </w:p>
    <w:p>
      <w:pPr>
        <w:pStyle w:val="3"/>
        <w:keepNext w:val="0"/>
        <w:keepLines w:val="0"/>
        <w:pageBreakBefore/>
        <w:spacing w:beforeLines="50" w:afterLines="50" w:line="276" w:lineRule="auto"/>
        <w:jc w:val="center"/>
        <w:rPr>
          <w:rFonts w:ascii="Arial" w:hAnsi="Arial" w:cs="Arial"/>
          <w:sz w:val="28"/>
          <w:szCs w:val="36"/>
        </w:rPr>
      </w:pPr>
      <w:bookmarkStart w:id="0" w:name="_Toc16313"/>
      <w:r>
        <w:rPr>
          <w:rFonts w:ascii="Arial" w:hAnsi="Arial" w:cs="Arial"/>
          <w:sz w:val="28"/>
          <w:szCs w:val="36"/>
        </w:rPr>
        <w:t>第一部分采购公告</w:t>
      </w:r>
      <w:bookmarkEnd w:id="0"/>
    </w:p>
    <w:tbl>
      <w:tblPr>
        <w:tblStyle w:val="2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6" w:type="dxa"/>
            <w:noWrap w:val="0"/>
            <w:vAlign w:val="top"/>
          </w:tcPr>
          <w:p>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both"/>
              <w:textAlignment w:val="auto"/>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both"/>
              <w:textAlignment w:val="auto"/>
              <w:rPr>
                <w:rFonts w:hint="eastAsia" w:ascii="宋体" w:hAnsi="宋体" w:cs="宋体"/>
                <w:sz w:val="21"/>
                <w:szCs w:val="21"/>
                <w:vertAlign w:val="baseline"/>
              </w:rPr>
            </w:pPr>
            <w:r>
              <w:rPr>
                <w:rFonts w:hint="eastAsia" w:ascii="仿宋" w:hAnsi="仿宋" w:eastAsia="仿宋" w:cs="仿宋"/>
                <w:i w:val="0"/>
                <w:iCs w:val="0"/>
                <w:caps w:val="0"/>
                <w:color w:val="000000"/>
                <w:spacing w:val="0"/>
                <w:sz w:val="27"/>
                <w:szCs w:val="27"/>
              </w:rPr>
              <w:t>   </w:t>
            </w:r>
            <w:r>
              <w:rPr>
                <w:rFonts w:ascii="仿宋" w:hAnsi="仿宋" w:eastAsia="仿宋" w:cs="仿宋"/>
                <w:i w:val="0"/>
                <w:iCs w:val="0"/>
                <w:caps w:val="0"/>
                <w:color w:val="000000"/>
                <w:spacing w:val="0"/>
                <w:sz w:val="27"/>
                <w:szCs w:val="27"/>
              </w:rPr>
              <w:t>2024年西塘桥街道公共环境病媒生物防治服务项目</w:t>
            </w:r>
            <w:r>
              <w:rPr>
                <w:rFonts w:hint="eastAsia" w:ascii="仿宋" w:hAnsi="仿宋" w:eastAsia="仿宋" w:cs="仿宋"/>
                <w:i w:val="0"/>
                <w:iCs w:val="0"/>
                <w:caps w:val="0"/>
                <w:color w:val="000000"/>
                <w:spacing w:val="0"/>
                <w:sz w:val="27"/>
                <w:szCs w:val="27"/>
              </w:rPr>
              <w:t>采购项目的潜在供应商应在政采云平台线上获取获取（下载）采购文件，并于2024年05月08日 09:00（北京时间）前提交（上传）响应文件。</w:t>
            </w:r>
          </w:p>
        </w:tc>
      </w:tr>
    </w:tbl>
    <w:p>
      <w:pPr>
        <w:pStyle w:val="100"/>
        <w:spacing w:after="0" w:afterLines="0" w:line="360" w:lineRule="auto"/>
        <w:ind w:firstLine="420"/>
        <w:jc w:val="left"/>
        <w:rPr>
          <w:rFonts w:hint="eastAsia" w:ascii="宋体" w:hAnsi="宋体" w:cs="宋体"/>
          <w:sz w:val="21"/>
          <w:szCs w:val="21"/>
        </w:rPr>
      </w:pP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30"/>
          <w:rFonts w:ascii="黑体" w:hAnsi="宋体" w:eastAsia="黑体" w:cs="黑体"/>
          <w:i w:val="0"/>
          <w:iCs w:val="0"/>
          <w:caps w:val="0"/>
          <w:color w:val="000000"/>
          <w:spacing w:val="0"/>
          <w:sz w:val="27"/>
          <w:szCs w:val="27"/>
        </w:rPr>
        <w:t>一、项目基本情况</w:t>
      </w:r>
    </w:p>
    <w:p>
      <w:pPr>
        <w:pStyle w:val="24"/>
        <w:keepNext w:val="0"/>
        <w:keepLines w:val="0"/>
        <w:widowControl/>
        <w:suppressLineNumbers w:val="0"/>
        <w:spacing w:before="75" w:beforeAutospacing="0" w:after="75" w:afterAutospacing="0" w:line="300" w:lineRule="atLeast"/>
        <w:ind w:left="0" w:right="0"/>
      </w:pPr>
      <w:r>
        <w:rPr>
          <w:rFonts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rPr>
        <w:t>嘉鼎晟采〔2024〕027号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项目名称：2024年西塘桥街道公共环境病媒生物防治服务项目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预算金额（元）：400000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最高限价（元）：400000 </w:t>
      </w:r>
      <w:r>
        <w:rPr>
          <w:rFonts w:hint="eastAsia" w:ascii="仿宋" w:hAnsi="仿宋" w:eastAsia="仿宋" w:cs="仿宋"/>
          <w:i w:val="0"/>
          <w:iCs w:val="0"/>
          <w:caps w:val="0"/>
          <w:color w:val="000000"/>
          <w:spacing w:val="0"/>
          <w:sz w:val="24"/>
          <w:szCs w:val="24"/>
        </w:rPr>
        <w:t>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数量：不限       </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预算金额（元）：400000 </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单位：个 </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简要规格描述：详见采购文件 </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备注： </w:t>
      </w:r>
    </w:p>
    <w:p>
      <w:pPr>
        <w:pStyle w:val="24"/>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spacing w:val="0"/>
          <w:sz w:val="27"/>
          <w:szCs w:val="27"/>
        </w:rPr>
      </w:pPr>
      <w:bookmarkStart w:id="50" w:name="_GoBack"/>
      <w:bookmarkEnd w:id="50"/>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1，自合同签订之日起1年 </w:t>
      </w:r>
      <w:r>
        <w:rPr>
          <w:rFonts w:hint="eastAsia" w:ascii="仿宋" w:hAnsi="仿宋" w:eastAsia="仿宋" w:cs="仿宋"/>
          <w:i w:val="0"/>
          <w:iCs w:val="0"/>
          <w:caps w:val="0"/>
          <w:color w:val="000000"/>
          <w:spacing w:val="0"/>
          <w:sz w:val="24"/>
          <w:szCs w:val="24"/>
        </w:rPr>
        <w:t>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30"/>
          <w:rFonts w:ascii="黑体" w:hAnsi="宋体" w:eastAsia="黑体" w:cs="黑体"/>
          <w:i w:val="0"/>
          <w:iCs w:val="0"/>
          <w:caps w:val="0"/>
          <w:color w:val="000000"/>
          <w:spacing w:val="0"/>
          <w:sz w:val="27"/>
          <w:szCs w:val="27"/>
        </w:rPr>
        <w:t>二、申请人的资格要求：</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2.落实政府采购政策需满足的资格要求：标项1：中小企业/小微企业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【标项1】无 </w:t>
      </w: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30"/>
          <w:rFonts w:ascii="黑体" w:hAnsi="宋体" w:eastAsia="黑体" w:cs="黑体"/>
          <w:i w:val="0"/>
          <w:iCs w:val="0"/>
          <w:caps w:val="0"/>
          <w:color w:val="000000"/>
          <w:spacing w:val="0"/>
          <w:sz w:val="27"/>
          <w:szCs w:val="27"/>
        </w:rPr>
        <w:t>三、获取（下载）采购文件</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时间：/至2024年05月08日，每天上午00:00至12:00，下午12:00至23:59（北京时间，线上获取法定节假日均可，线下获取文件法定节假日除外）</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30"/>
          <w:rFonts w:ascii="黑体" w:hAnsi="宋体" w:eastAsia="黑体" w:cs="黑体"/>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截止时间：2024年05月08日 09:00（北京时间）</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地点（网址）：请登录政采云投标客户端投标 </w:t>
      </w: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30"/>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开启时间：2024年05月08日 09:00 （北京时间）</w:t>
      </w:r>
    </w:p>
    <w:p>
      <w:pPr>
        <w:pStyle w:val="2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地点（网址）：海盐县武原街道新桥南路41号 </w:t>
      </w: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30"/>
          <w:rFonts w:ascii="黑体" w:hAnsi="宋体" w:eastAsia="黑体" w:cs="黑体"/>
          <w:i w:val="0"/>
          <w:iCs w:val="0"/>
          <w:caps w:val="0"/>
          <w:color w:val="000000"/>
          <w:spacing w:val="0"/>
          <w:sz w:val="27"/>
          <w:szCs w:val="27"/>
        </w:rPr>
        <w:t>六、公告期限</w:t>
      </w:r>
    </w:p>
    <w:p>
      <w:pPr>
        <w:pStyle w:val="24"/>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自本公告发布之日起3个工作日。</w:t>
      </w:r>
    </w:p>
    <w:p>
      <w:pPr>
        <w:pStyle w:val="24"/>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30"/>
          <w:rFonts w:ascii="黑体" w:hAnsi="宋体" w:eastAsia="黑体" w:cs="黑体"/>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pPr>
        <w:pStyle w:val="24"/>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i w:val="0"/>
          <w:iCs w:val="0"/>
          <w:caps w:val="0"/>
          <w:color w:val="000000"/>
          <w:spacing w:val="0"/>
          <w:sz w:val="27"/>
          <w:szCs w:val="27"/>
          <w:shd w:val="clear" w:fill="FFFFFF"/>
        </w:rPr>
        <w:t>对采购文件需求的以书面形式向采购人提出质疑，对其他内容的以书面形式向采购人和采购代理机构提出质疑。</w:t>
      </w:r>
      <w:r>
        <w:rPr>
          <w:rFonts w:hint="eastAsia" w:ascii="仿宋" w:hAnsi="仿宋" w:eastAsia="仿宋" w:cs="仿宋"/>
          <w:i w:val="0"/>
          <w:iCs w:val="0"/>
          <w:caps w:val="0"/>
          <w:color w:val="000000"/>
          <w:spacing w:val="0"/>
          <w:sz w:val="27"/>
          <w:szCs w:val="27"/>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2.其他事项：1.《浙江省财政厅关于进一步发挥政府采购政策功能全力推动经济稳进提质的通知》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其他事项：本采购项目，中标单位与采购人签订的政府采购合同适用于嘉兴市政府采购贷款政策，简称“政采贷”，具体内容可参阅政府采购贷款流程：http://www.jxzbtb.cn/zxfw/005012/20191016/7e541bf4-ad29-4286-ace8-d12c1b2c54fc.html</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5.投标说明：</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5.1本项目按照《浙江省财政厅关于印发浙江省政府采购项目电子交易管理暂行办法的通知》实行电子交易。</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5.2供应商注册</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5.2.1注册网址：浙江政府采购网：https://middle.zcygov.cn/settle-front/#/registry</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5.2.2供应商按照《浙江省政府采购供应商注册和诚信管理暂行办法》要求执行。</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6.投标文件制作注意事项</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6.1供应商将政采云电子交易客户端下载、安装完成后，可通过账号密码或CA登录客户端进行投标文件制作。注：供应商先要申领CA，拿到CA后需要在政采云平台进行绑定，CA相关操作可参考《CA申领操作指南》和《CA管理操作指南》。完成CA数字证书办理在资料齐全的情况下预计7个工作日左右，建议供应商获取招标文件后立即办理。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6.2电子交易操作指南：https://helpcenter.zcygov.cn/document/#/document/dashboard?siteCode=beijing</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注：ＣＡ证书遗失补办、延期、解锁、质保等业务可以在联连客户端上进行操作；使用政采云投标客户端时，建议使用WIN7及以上操作系统。</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7.投标文件提交注意事项：</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7.1供应商进行电子投标应安装客户端软件，并按照招标文件和电子交易平台的要求编制并加密投标文件。供应商未按规定加密的投标文件，代理机构应当拒收。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7.3为确保采购项目顺利实施，避免因解密失败导致供应商投标无效，供应商在电子交易平台传输提交投标文件后，将政采云平台上最后生成的具备电子签章的备份电子投标文件（文件后缀名为.bfbs）1份在投标截止时间前，发送至邮箱851490373@qq.com。</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7.4备份电子投标文件为非强制性要求，但如遇因供应商电子投标文件解密失败等情况造成无效标，后果由供应商自负。      </w:t>
      </w:r>
    </w:p>
    <w:p>
      <w:pPr>
        <w:pStyle w:val="24"/>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30"/>
          <w:rFonts w:ascii="黑体" w:hAnsi="宋体" w:eastAsia="黑体" w:cs="黑体"/>
          <w:i w:val="0"/>
          <w:iCs w:val="0"/>
          <w:caps w:val="0"/>
          <w:color w:val="000000"/>
          <w:spacing w:val="0"/>
          <w:sz w:val="27"/>
          <w:szCs w:val="27"/>
        </w:rPr>
        <w:t>八、凡对本次招标提出询问、质疑、投诉，请按以下方式联系</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称：海盐县经济开发区管委会（西塘桥街道）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址：海盐县西塘桥街道海港大道1816号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项目联系人（询问）：狄娅菲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项目联系方式（询问）：0573-86800769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质疑联系人：狄娅菲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质疑联系方式：0573-86800769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称：嘉兴鼎晟工程管理有限公司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址：海盐县武原街道新桥南路41号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项目联系人（询问）：张达锋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项目联系方式（询问）：0573-86116950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质疑联系人：周明珍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质疑联系方式：0573-86116950 </w:t>
      </w:r>
    </w:p>
    <w:p>
      <w:pPr>
        <w:pStyle w:val="2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 </w:t>
      </w:r>
      <w:r>
        <w:rPr>
          <w:rStyle w:val="43"/>
          <w:rFonts w:hint="eastAsia" w:ascii="仿宋" w:hAnsi="仿宋" w:eastAsia="仿宋" w:cs="仿宋"/>
          <w:i w:val="0"/>
          <w:iCs w:val="0"/>
          <w:caps w:val="0"/>
          <w:color w:val="000000"/>
          <w:spacing w:val="0"/>
          <w:sz w:val="27"/>
          <w:szCs w:val="27"/>
        </w:rPr>
        <w:t>同级政府采购监督管理部门</w:t>
      </w:r>
    </w:p>
    <w:p>
      <w:pPr>
        <w:pStyle w:val="24"/>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称：海盐县财政局政府采购监管科  </w:t>
      </w:r>
    </w:p>
    <w:p>
      <w:pPr>
        <w:pStyle w:val="24"/>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址：海盐县武原街道新桥北路168号</w:t>
      </w:r>
    </w:p>
    <w:p>
      <w:pPr>
        <w:pStyle w:val="24"/>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传    真：</w:t>
      </w:r>
    </w:p>
    <w:p>
      <w:pPr>
        <w:pStyle w:val="24"/>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联 系 人：张科 </w:t>
      </w:r>
    </w:p>
    <w:p>
      <w:pPr>
        <w:pStyle w:val="24"/>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监督投诉电话：0573-86122512</w:t>
      </w:r>
    </w:p>
    <w:p>
      <w:pPr>
        <w:keepNext w:val="0"/>
        <w:keepLines w:val="0"/>
        <w:widowControl/>
        <w:suppressLineNumbers w:val="0"/>
        <w:jc w:val="left"/>
      </w:pPr>
      <w:r>
        <w:rPr>
          <w:rFonts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pStyle w:val="24"/>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pPr>
        <w:pStyle w:val="24"/>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CA问题联系电话（人工）：汇信CA 400-888-4636；天谷CA 400-087-8198。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
      <w:pPr>
        <w:pStyle w:val="3"/>
        <w:keepNext w:val="0"/>
        <w:keepLines w:val="0"/>
        <w:pageBreakBefore/>
        <w:spacing w:beforeLines="100" w:afterLines="100" w:line="240" w:lineRule="auto"/>
        <w:jc w:val="center"/>
        <w:rPr>
          <w:rFonts w:ascii="Arial" w:hAnsi="Arial" w:cs="Arial"/>
          <w:sz w:val="28"/>
          <w:szCs w:val="36"/>
        </w:rPr>
      </w:pPr>
      <w:bookmarkStart w:id="1" w:name="_Toc29022"/>
      <w:r>
        <w:rPr>
          <w:rFonts w:ascii="Arial" w:hAnsi="Arial" w:cs="Arial"/>
          <w:sz w:val="28"/>
          <w:szCs w:val="36"/>
        </w:rPr>
        <w:t>第二部分</w:t>
      </w:r>
      <w:r>
        <w:rPr>
          <w:rFonts w:hint="eastAsia" w:ascii="Arial" w:hAnsi="Arial" w:cs="Arial"/>
          <w:sz w:val="28"/>
          <w:szCs w:val="36"/>
          <w:lang w:val="en-US" w:eastAsia="zh-CN"/>
        </w:rPr>
        <w:t xml:space="preserve"> </w:t>
      </w:r>
      <w:r>
        <w:rPr>
          <w:rFonts w:ascii="Arial" w:hAnsi="Arial" w:cs="Arial"/>
          <w:sz w:val="28"/>
          <w:szCs w:val="36"/>
        </w:rPr>
        <w:t>竞争性磋商供应商须知</w:t>
      </w:r>
      <w:bookmarkEnd w:id="1"/>
    </w:p>
    <w:p>
      <w:pPr>
        <w:pStyle w:val="4"/>
        <w:spacing w:beforeLines="50" w:afterLines="50" w:line="240" w:lineRule="auto"/>
        <w:jc w:val="center"/>
        <w:rPr>
          <w:rFonts w:ascii="Arial" w:hAnsi="Arial" w:cs="Arial"/>
          <w:bCs w:val="0"/>
          <w:sz w:val="24"/>
          <w:szCs w:val="24"/>
        </w:rPr>
      </w:pPr>
      <w:bookmarkStart w:id="2" w:name="_Toc25460"/>
      <w:r>
        <w:rPr>
          <w:rFonts w:ascii="Arial" w:hAnsi="Arial" w:cs="Arial"/>
          <w:sz w:val="24"/>
          <w:szCs w:val="24"/>
        </w:rPr>
        <w:t>（一）</w:t>
      </w:r>
      <w:r>
        <w:rPr>
          <w:rFonts w:ascii="Arial" w:hAnsi="Arial" w:cs="Arial"/>
          <w:bCs w:val="0"/>
          <w:sz w:val="24"/>
          <w:szCs w:val="24"/>
        </w:rPr>
        <w:t>竞争性磋商须知前附表</w:t>
      </w:r>
      <w:bookmarkEnd w:id="2"/>
    </w:p>
    <w:tbl>
      <w:tblPr>
        <w:tblStyle w:val="27"/>
        <w:tblW w:w="9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28"/>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项号</w:t>
            </w:r>
          </w:p>
        </w:tc>
        <w:tc>
          <w:tcPr>
            <w:tcW w:w="192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653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30" w:type="dxa"/>
            <w:vAlign w:val="center"/>
          </w:tcPr>
          <w:p>
            <w:pP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2024年西塘桥街道公共环境病媒生物防治服务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530" w:type="dxa"/>
            <w:vAlign w:val="center"/>
          </w:tcPr>
          <w:p>
            <w:pP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嘉鼎晟采〔2024〕027号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2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530" w:type="dxa"/>
            <w:vAlign w:val="center"/>
          </w:tcPr>
          <w:p>
            <w:pPr>
              <w:spacing w:line="276" w:lineRule="auto"/>
              <w:rPr>
                <w:rFonts w:hint="eastAsia" w:ascii="宋体" w:hAnsi="宋体" w:eastAsia="宋体" w:cs="宋体"/>
                <w:color w:val="auto"/>
                <w:sz w:val="24"/>
                <w:szCs w:val="24"/>
              </w:rPr>
            </w:pPr>
            <w:r>
              <w:rPr>
                <w:rFonts w:hint="eastAsia" w:ascii="宋体" w:hAnsi="宋体" w:eastAsia="宋体" w:cs="宋体"/>
                <w:color w:val="auto"/>
                <w:sz w:val="24"/>
                <w:szCs w:val="24"/>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20" w:type="dxa"/>
            <w:vAlign w:val="center"/>
          </w:tcPr>
          <w:p>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530" w:type="dxa"/>
            <w:vAlign w:val="center"/>
          </w:tcPr>
          <w:p>
            <w:pPr>
              <w:adjustRightIn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名称：</w:t>
            </w:r>
            <w:r>
              <w:rPr>
                <w:rFonts w:hint="eastAsia" w:ascii="宋体" w:hAnsi="宋体" w:cs="宋体"/>
                <w:color w:val="auto"/>
                <w:sz w:val="24"/>
                <w:szCs w:val="24"/>
                <w:lang w:eastAsia="zh-CN"/>
              </w:rPr>
              <w:t>浙江省海盐经济开发区管理委员会</w:t>
            </w:r>
            <w:r>
              <w:rPr>
                <w:rFonts w:hint="eastAsia" w:ascii="宋体" w:hAnsi="宋体" w:eastAsia="宋体" w:cs="宋体"/>
                <w:color w:val="auto"/>
                <w:sz w:val="24"/>
                <w:szCs w:val="24"/>
                <w:lang w:eastAsia="zh-CN"/>
              </w:rPr>
              <w:t xml:space="preserve"> </w:t>
            </w:r>
          </w:p>
          <w:p>
            <w:pPr>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狄工</w:t>
            </w:r>
          </w:p>
          <w:p>
            <w:pPr>
              <w:adjustRightInd w:val="0"/>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lang w:eastAsia="zh-CN"/>
              </w:rPr>
              <w:t>联系电话：0573-86800050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20" w:type="dxa"/>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530" w:type="dxa"/>
            <w:vAlign w:val="center"/>
          </w:tcPr>
          <w:p>
            <w:pPr>
              <w:adjustRightIn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嘉兴鼎晟工程管理有限公司</w:t>
            </w:r>
          </w:p>
          <w:p>
            <w:pPr>
              <w:adjustRightIn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张达锋</w:t>
            </w:r>
          </w:p>
          <w:p>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0573-86116950</w:t>
            </w:r>
            <w:r>
              <w:rPr>
                <w:rFonts w:hint="eastAsia" w:ascii="宋体" w:hAnsi="宋体" w:eastAsia="宋体" w:cs="宋体"/>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6530" w:type="dxa"/>
            <w:vAlign w:val="center"/>
          </w:tcPr>
          <w:p>
            <w:pPr>
              <w:rPr>
                <w:rFonts w:hint="eastAsia" w:ascii="宋体" w:hAnsi="宋体" w:eastAsia="宋体" w:cs="宋体"/>
                <w:color w:val="auto"/>
                <w:sz w:val="24"/>
                <w:szCs w:val="24"/>
              </w:rPr>
            </w:pPr>
            <w:r>
              <w:rPr>
                <w:rFonts w:hint="eastAsia" w:ascii="宋体" w:hAnsi="宋体" w:cs="宋体"/>
                <w:color w:val="auto"/>
                <w:sz w:val="24"/>
                <w:szCs w:val="24"/>
                <w:lang w:eastAsia="zh-CN"/>
              </w:rPr>
              <w:t>2024年西塘桥街道公共环境病媒生物防治服务</w:t>
            </w:r>
            <w:r>
              <w:rPr>
                <w:rFonts w:hint="eastAsia" w:ascii="宋体" w:hAnsi="宋体" w:eastAsia="宋体" w:cs="宋体"/>
                <w:color w:val="auto"/>
                <w:sz w:val="24"/>
                <w:szCs w:val="24"/>
              </w:rPr>
              <w:t>，详见本磋商文件</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竞争性磋商供应商</w:t>
            </w:r>
          </w:p>
          <w:p>
            <w:pPr>
              <w:jc w:val="center"/>
              <w:rPr>
                <w:rFonts w:hint="eastAsia" w:ascii="宋体" w:hAnsi="宋体" w:eastAsia="宋体" w:cs="宋体"/>
                <w:sz w:val="24"/>
                <w:szCs w:val="24"/>
              </w:rPr>
            </w:pPr>
            <w:r>
              <w:rPr>
                <w:rFonts w:hint="eastAsia" w:ascii="宋体" w:hAnsi="宋体" w:eastAsia="宋体" w:cs="宋体"/>
                <w:sz w:val="24"/>
                <w:szCs w:val="24"/>
              </w:rPr>
              <w:t>资格要求</w:t>
            </w:r>
          </w:p>
        </w:tc>
        <w:tc>
          <w:tcPr>
            <w:tcW w:w="6530" w:type="dxa"/>
            <w:vAlign w:val="center"/>
          </w:tcPr>
          <w:p>
            <w:pPr>
              <w:spacing w:line="336" w:lineRule="auto"/>
              <w:rPr>
                <w:rFonts w:hint="eastAsia" w:ascii="宋体" w:hAnsi="宋体" w:eastAsia="宋体" w:cs="宋体"/>
                <w:color w:val="auto"/>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w:t>
            </w:r>
            <w:r>
              <w:rPr>
                <w:rFonts w:hint="eastAsia" w:ascii="宋体" w:hAnsi="宋体" w:eastAsia="宋体" w:cs="宋体"/>
                <w:color w:val="auto"/>
                <w:sz w:val="24"/>
                <w:szCs w:val="24"/>
              </w:rPr>
              <w:t>违法案件当事人名单、政府采购严重违法失信行为记录名单。</w:t>
            </w:r>
          </w:p>
          <w:p>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落实政府采购政策需满足的资格要求：</w:t>
            </w:r>
            <w:r>
              <w:rPr>
                <w:rFonts w:hint="eastAsia" w:ascii="宋体" w:hAnsi="宋体" w:eastAsia="宋体" w:cs="宋体"/>
                <w:color w:val="auto"/>
                <w:sz w:val="24"/>
                <w:szCs w:val="24"/>
                <w:u w:val="single"/>
                <w:lang w:eastAsia="zh-CN"/>
              </w:rPr>
              <w:t>供应商为中小企业/小微企业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w:t>
            </w:r>
          </w:p>
          <w:p>
            <w:pPr>
              <w:spacing w:line="336" w:lineRule="auto"/>
              <w:rPr>
                <w:rFonts w:hint="eastAsia" w:ascii="宋体" w:hAnsi="宋体" w:eastAsia="宋体" w:cs="宋体"/>
                <w:sz w:val="24"/>
                <w:szCs w:val="24"/>
                <w:lang w:eastAsia="zh-CN"/>
              </w:rPr>
            </w:pPr>
            <w:r>
              <w:rPr>
                <w:rFonts w:hint="eastAsia" w:ascii="宋体" w:hAnsi="宋体" w:eastAsia="宋体" w:cs="宋体"/>
                <w:sz w:val="24"/>
                <w:szCs w:val="24"/>
                <w:highlight w:val="none"/>
              </w:rPr>
              <w:t>3.本项目的特定资格要求：</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920" w:type="dxa"/>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530" w:type="dxa"/>
            <w:vAlign w:val="center"/>
          </w:tcPr>
          <w:p>
            <w:pPr>
              <w:adjustRightInd w:val="0"/>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lang w:eastAsia="zh-CN"/>
              </w:rPr>
              <w:instrText xml:space="preserve">,</w:instrText>
            </w:r>
            <w:r>
              <w:rPr>
                <w:rFonts w:hint="eastAsia" w:ascii="宋体" w:hAnsi="宋体" w:eastAsia="宋体" w:cs="宋体"/>
                <w:b/>
                <w:position w:val="2"/>
                <w:sz w:val="24"/>
                <w:szCs w:val="24"/>
                <w:lang w:eastAsia="zh-CN"/>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不接受</w:t>
            </w:r>
          </w:p>
          <w:p>
            <w:pPr>
              <w:adjustRightInd w:val="0"/>
              <w:rPr>
                <w:rFonts w:hint="eastAsia" w:ascii="宋体" w:hAnsi="宋体" w:eastAsia="宋体" w:cs="宋体"/>
                <w:i/>
                <w:sz w:val="24"/>
                <w:szCs w:val="24"/>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eq \o\ac(□)</w:instrText>
            </w:r>
            <w:r>
              <w:rPr>
                <w:rFonts w:hint="eastAsia" w:ascii="宋体" w:hAnsi="宋体" w:eastAsia="宋体" w:cs="宋体"/>
                <w:b/>
                <w:sz w:val="24"/>
                <w:szCs w:val="24"/>
                <w:highlight w:val="none"/>
              </w:rPr>
              <w:fldChar w:fldCharType="end"/>
            </w:r>
            <w:r>
              <w:rPr>
                <w:rFonts w:hint="eastAsia" w:ascii="宋体" w:hAnsi="宋体" w:eastAsia="宋体" w:cs="宋体"/>
                <w:sz w:val="24"/>
                <w:szCs w:val="24"/>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920" w:type="dxa"/>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530" w:type="dxa"/>
            <w:vAlign w:val="center"/>
          </w:tcPr>
          <w:p>
            <w:pPr>
              <w:adjustRightInd w:val="0"/>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p>
            <w:pPr>
              <w:adjustRightInd w:val="0"/>
              <w:rPr>
                <w:rFonts w:hint="eastAsia" w:ascii="宋体" w:hAnsi="宋体" w:eastAsia="宋体" w:cs="宋体"/>
                <w:i/>
                <w:sz w:val="24"/>
                <w:szCs w:val="24"/>
              </w:rPr>
            </w:pPr>
            <w:r>
              <w:rPr>
                <w:rFonts w:hint="eastAsia" w:ascii="宋体" w:hAnsi="宋体" w:eastAsia="宋体" w:cs="宋体"/>
                <w:sz w:val="24"/>
                <w:szCs w:val="24"/>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20" w:type="dxa"/>
            <w:vAlign w:val="center"/>
          </w:tcPr>
          <w:p>
            <w:pPr>
              <w:adjustRightIn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530" w:type="dxa"/>
            <w:vAlign w:val="center"/>
          </w:tcPr>
          <w:p>
            <w:pPr>
              <w:adjustRightInd w:val="0"/>
              <w:spacing w:line="276"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sz w:val="24"/>
                <w:szCs w:val="24"/>
              </w:rPr>
              <w:fldChar w:fldCharType="end"/>
            </w:r>
            <w:r>
              <w:rPr>
                <w:rFonts w:hint="eastAsia" w:ascii="宋体" w:hAnsi="宋体" w:eastAsia="宋体" w:cs="宋体"/>
                <w:sz w:val="24"/>
                <w:szCs w:val="24"/>
              </w:rPr>
              <w:t>不允许</w:t>
            </w:r>
          </w:p>
          <w:p>
            <w:pPr>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920" w:type="dxa"/>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报价货币</w:t>
            </w:r>
          </w:p>
        </w:tc>
        <w:tc>
          <w:tcPr>
            <w:tcW w:w="6530" w:type="dxa"/>
            <w:vAlign w:val="center"/>
          </w:tcPr>
          <w:p>
            <w:pPr>
              <w:adjustRightInd w:val="0"/>
              <w:rPr>
                <w:rFonts w:hint="eastAsia" w:ascii="宋体" w:hAnsi="宋体" w:eastAsia="宋体" w:cs="宋体"/>
                <w:sz w:val="24"/>
                <w:szCs w:val="24"/>
              </w:rPr>
            </w:pPr>
            <w:r>
              <w:rPr>
                <w:rFonts w:hint="eastAsia" w:ascii="宋体" w:hAnsi="宋体" w:eastAsia="宋体" w:cs="宋体"/>
                <w:sz w:val="24"/>
                <w:szCs w:val="24"/>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920" w:type="dxa"/>
            <w:vAlign w:val="center"/>
          </w:tcPr>
          <w:p>
            <w:pPr>
              <w:adjustRightInd w:val="0"/>
              <w:jc w:val="center"/>
              <w:rPr>
                <w:rFonts w:hint="eastAsia" w:ascii="宋体" w:hAnsi="宋体" w:eastAsia="宋体" w:cs="宋体"/>
                <w:sz w:val="24"/>
                <w:szCs w:val="24"/>
                <w:lang w:eastAsia="zh-CN"/>
              </w:rPr>
            </w:pPr>
            <w:r>
              <w:rPr>
                <w:rFonts w:hint="eastAsia" w:ascii="宋体" w:hAnsi="宋体" w:cs="宋体"/>
                <w:sz w:val="24"/>
                <w:szCs w:val="24"/>
                <w:lang w:eastAsia="zh-CN"/>
              </w:rPr>
              <w:t>最高限价</w:t>
            </w:r>
          </w:p>
        </w:tc>
        <w:tc>
          <w:tcPr>
            <w:tcW w:w="6530" w:type="dxa"/>
            <w:vAlign w:val="center"/>
          </w:tcPr>
          <w:p>
            <w:pPr>
              <w:adjustRightInd w:val="0"/>
              <w:rPr>
                <w:rFonts w:hint="default" w:ascii="宋体" w:hAnsi="宋体" w:eastAsia="宋体" w:cs="宋体"/>
                <w:sz w:val="24"/>
                <w:szCs w:val="24"/>
                <w:lang w:val="en-US" w:eastAsia="zh-CN"/>
              </w:rPr>
            </w:pPr>
            <w:r>
              <w:rPr>
                <w:rFonts w:hint="eastAsia" w:ascii="宋体" w:hAnsi="宋体" w:cs="宋体"/>
                <w:sz w:val="24"/>
                <w:szCs w:val="24"/>
                <w:highlight w:val="none"/>
                <w:lang w:eastAsia="zh-CN"/>
              </w:rPr>
              <w:t>项目最高限价为</w:t>
            </w:r>
            <w:r>
              <w:rPr>
                <w:rFonts w:hint="eastAsia" w:ascii="宋体" w:hAnsi="宋体" w:cs="宋体"/>
                <w:sz w:val="24"/>
                <w:szCs w:val="24"/>
                <w:highlight w:val="none"/>
                <w:lang w:val="en-US" w:eastAsia="zh-CN"/>
              </w:rPr>
              <w:t>40万元（其中消杀最高限价为30万元，设备最高限价为10万元）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竞争性磋商纸质响应文件份数</w:t>
            </w:r>
          </w:p>
        </w:tc>
        <w:tc>
          <w:tcPr>
            <w:tcW w:w="6530" w:type="dxa"/>
            <w:vAlign w:val="center"/>
          </w:tcPr>
          <w:p>
            <w:pPr>
              <w:pStyle w:val="21"/>
              <w:jc w:val="both"/>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竞争性磋商有效期</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提交竞争性磋商响应文件截止日起60天。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签字或盖章要求</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竞争性磋商响应文件中需签字或盖章的地方均加盖竞争性磋商供应商单位全称的公章，不得使用投标专用章、合同章等类似图章代替，并经法定代表人或其委托代理人签字或盖章，否则作无效标处理。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密封、装订要求</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竞争性磋商样品</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sz w:val="24"/>
                <w:szCs w:val="24"/>
              </w:rPr>
              <w:fldChar w:fldCharType="end"/>
            </w:r>
            <w:r>
              <w:rPr>
                <w:rFonts w:hint="eastAsia" w:ascii="宋体" w:hAnsi="宋体" w:eastAsia="宋体" w:cs="宋体"/>
                <w:sz w:val="24"/>
                <w:szCs w:val="24"/>
              </w:rPr>
              <w:t>不需要</w:t>
            </w:r>
          </w:p>
          <w:p>
            <w:pPr>
              <w:rPr>
                <w:rFonts w:hint="eastAsia" w:ascii="宋体" w:hAnsi="宋体" w:eastAsia="宋体" w:cs="宋体"/>
                <w:sz w:val="24"/>
                <w:szCs w:val="24"/>
              </w:rPr>
            </w:pPr>
            <w:r>
              <w:rPr>
                <w:rFonts w:hint="eastAsia" w:ascii="宋体" w:hAnsi="宋体" w:eastAsia="宋体" w:cs="宋体"/>
                <w:sz w:val="24"/>
                <w:szCs w:val="24"/>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不设保证金。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1920" w:type="dxa"/>
            <w:vAlign w:val="center"/>
          </w:tcPr>
          <w:p>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履约担保</w:t>
            </w:r>
          </w:p>
        </w:tc>
        <w:tc>
          <w:tcPr>
            <w:tcW w:w="6530" w:type="dxa"/>
            <w:vAlign w:val="center"/>
          </w:tcPr>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eq \o\ac(□</w:instrText>
            </w:r>
            <w:r>
              <w:rPr>
                <w:rFonts w:hint="eastAsia" w:ascii="宋体" w:hAnsi="宋体" w:eastAsia="宋体" w:cs="宋体"/>
                <w:b/>
                <w:bCs/>
                <w:sz w:val="24"/>
                <w:szCs w:val="24"/>
                <w:highlight w:val="none"/>
                <w:lang w:eastAsia="zh-CN"/>
              </w:rPr>
              <w:instrText xml:space="preserve">,</w:instrText>
            </w:r>
            <w:r>
              <w:rPr>
                <w:rFonts w:hint="eastAsia" w:ascii="宋体" w:hAnsi="宋体" w:eastAsia="宋体" w:cs="宋体"/>
                <w:b/>
                <w:bCs/>
                <w:position w:val="2"/>
                <w:sz w:val="24"/>
                <w:szCs w:val="24"/>
                <w:highlight w:val="none"/>
                <w:lang w:eastAsia="zh-CN"/>
              </w:rPr>
              <w:instrText xml:space="preserve">√</w:instrText>
            </w:r>
            <w:r>
              <w:rPr>
                <w:rFonts w:hint="eastAsia" w:ascii="宋体" w:hAnsi="宋体" w:eastAsia="宋体" w:cs="宋体"/>
                <w:b/>
                <w:bCs/>
                <w:sz w:val="24"/>
                <w:szCs w:val="24"/>
                <w:highlight w:val="none"/>
              </w:rPr>
              <w:instrText xml:space="preserve">)</w:instrText>
            </w:r>
            <w:r>
              <w:rPr>
                <w:rFonts w:hint="eastAsia" w:ascii="宋体" w:hAnsi="宋体" w:eastAsia="宋体" w:cs="宋体"/>
                <w:b/>
                <w:bCs/>
                <w:sz w:val="24"/>
                <w:szCs w:val="24"/>
                <w:highlight w:val="none"/>
              </w:rPr>
              <w:fldChar w:fldCharType="end"/>
            </w:r>
            <w:r>
              <w:rPr>
                <w:rFonts w:hint="eastAsia" w:ascii="宋体" w:hAnsi="宋体" w:eastAsia="宋体" w:cs="宋体"/>
                <w:sz w:val="24"/>
                <w:szCs w:val="24"/>
                <w:highlight w:val="none"/>
              </w:rPr>
              <w:t>不需要</w:t>
            </w:r>
          </w:p>
          <w:p>
            <w:pPr>
              <w:adjustRightInd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eq \o\ac(□)</w:instrText>
            </w:r>
            <w:r>
              <w:rPr>
                <w:rFonts w:hint="eastAsia" w:ascii="宋体" w:hAnsi="宋体" w:eastAsia="宋体" w:cs="宋体"/>
                <w:b/>
                <w:bCs/>
                <w:sz w:val="24"/>
                <w:szCs w:val="24"/>
                <w:highlight w:val="none"/>
              </w:rPr>
              <w:fldChar w:fldCharType="end"/>
            </w:r>
            <w:r>
              <w:rPr>
                <w:rFonts w:hint="eastAsia" w:ascii="宋体" w:hAnsi="宋体" w:eastAsia="宋体" w:cs="宋体"/>
                <w:sz w:val="24"/>
                <w:szCs w:val="24"/>
                <w:highlight w:val="none"/>
              </w:rPr>
              <w:t>需要同采购人缴纳人民币</w:t>
            </w:r>
            <w:r>
              <w:rPr>
                <w:rFonts w:hint="eastAsia" w:ascii="宋体" w:hAnsi="宋体" w:eastAsia="宋体" w:cs="宋体"/>
                <w:b/>
                <w:sz w:val="24"/>
                <w:szCs w:val="24"/>
                <w:highlight w:val="none"/>
                <w:u w:val="single"/>
                <w:lang w:val="en-US" w:eastAsia="zh-CN"/>
              </w:rPr>
              <w:t>/</w:t>
            </w:r>
            <w:r>
              <w:rPr>
                <w:rFonts w:hint="eastAsia" w:ascii="宋体" w:hAnsi="宋体" w:eastAsia="宋体" w:cs="宋体"/>
                <w:sz w:val="24"/>
                <w:szCs w:val="24"/>
                <w:highlight w:val="none"/>
              </w:rPr>
              <w:t>的履约保证金（现金或银行保函），在项目服务期满后</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个工作日内无息退还。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竞争性磋商报名时间及获取方式</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竞争性磋商报名时间：磋商公告发布之日起至投标截止时间；</w:t>
            </w:r>
          </w:p>
          <w:p>
            <w:pPr>
              <w:rPr>
                <w:rFonts w:hint="eastAsia" w:ascii="宋体" w:hAnsi="宋体" w:eastAsia="宋体" w:cs="宋体"/>
                <w:sz w:val="24"/>
                <w:szCs w:val="24"/>
              </w:rPr>
            </w:pPr>
            <w:r>
              <w:rPr>
                <w:rFonts w:hint="eastAsia" w:ascii="宋体" w:hAnsi="宋体" w:eastAsia="宋体" w:cs="宋体"/>
                <w:sz w:val="24"/>
                <w:szCs w:val="24"/>
              </w:rPr>
              <w:t>获取方式：在线下载获取。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1920" w:type="dxa"/>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竞争性磋商响应文件递交方式及截止时间</w:t>
            </w:r>
          </w:p>
        </w:tc>
        <w:tc>
          <w:tcPr>
            <w:tcW w:w="6530" w:type="dxa"/>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竞争性磋商响应文件递交方式：</w:t>
            </w:r>
            <w:r>
              <w:rPr>
                <w:rFonts w:hint="eastAsia" w:ascii="宋体" w:hAnsi="宋体" w:eastAsia="宋体" w:cs="宋体"/>
                <w:color w:val="auto"/>
                <w:sz w:val="24"/>
                <w:szCs w:val="24"/>
                <w:u w:val="single"/>
              </w:rPr>
              <w:t>通过“政府采购云平台”实行在线投标响应</w:t>
            </w:r>
            <w:r>
              <w:rPr>
                <w:rFonts w:hint="eastAsia" w:ascii="宋体" w:hAnsi="宋体" w:eastAsia="宋体" w:cs="宋体"/>
                <w:color w:val="auto"/>
                <w:sz w:val="24"/>
                <w:szCs w:val="24"/>
              </w:rPr>
              <w:t>。截止上传时间：2024年05月08日 09:00</w:t>
            </w:r>
            <w:r>
              <w:rPr>
                <w:rFonts w:hint="eastAsia" w:ascii="宋体" w:hAnsi="宋体" w:eastAsia="宋体" w:cs="宋体"/>
                <w:color w:val="auto"/>
                <w:kern w:val="0"/>
                <w:sz w:val="24"/>
                <w:szCs w:val="24"/>
                <w:lang w:val="en-US" w:eastAsia="zh-CN" w:bidi="ar-SA"/>
              </w:rPr>
              <w:t>（北京时间）</w:t>
            </w:r>
          </w:p>
          <w:p>
            <w:pPr>
              <w:rPr>
                <w:rFonts w:hint="eastAsia" w:ascii="宋体" w:hAnsi="宋体" w:eastAsia="宋体" w:cs="宋体"/>
                <w:color w:val="auto"/>
                <w:sz w:val="24"/>
                <w:szCs w:val="24"/>
              </w:rPr>
            </w:pPr>
            <w:r>
              <w:rPr>
                <w:rFonts w:hint="eastAsia" w:ascii="宋体" w:hAnsi="宋体" w:eastAsia="宋体" w:cs="宋体"/>
                <w:color w:val="auto"/>
                <w:sz w:val="24"/>
                <w:szCs w:val="24"/>
              </w:rPr>
              <w:t>“电子加密投标文件”的上传、递交：</w:t>
            </w:r>
          </w:p>
          <w:p>
            <w:pPr>
              <w:rPr>
                <w:rFonts w:hint="eastAsia" w:ascii="宋体" w:hAnsi="宋体" w:eastAsia="宋体" w:cs="宋体"/>
                <w:color w:val="auto"/>
                <w:sz w:val="24"/>
                <w:szCs w:val="24"/>
              </w:rPr>
            </w:pPr>
            <w:r>
              <w:rPr>
                <w:rFonts w:hint="eastAsia" w:ascii="宋体" w:hAnsi="宋体" w:eastAsia="宋体" w:cs="宋体"/>
                <w:color w:val="auto"/>
                <w:sz w:val="24"/>
                <w:szCs w:val="24"/>
              </w:rPr>
              <w:t>（1）投标供应商应在投标截止时间前将“电子加密投标文件”成功上传递交至“政府采购云平台”，否则投标无效。</w:t>
            </w:r>
          </w:p>
          <w:p>
            <w:pPr>
              <w:rPr>
                <w:rFonts w:hint="eastAsia" w:ascii="宋体" w:hAnsi="宋体" w:eastAsia="宋体" w:cs="宋体"/>
                <w:b/>
                <w:color w:val="auto"/>
                <w:sz w:val="24"/>
                <w:szCs w:val="24"/>
              </w:rPr>
            </w:pPr>
            <w:r>
              <w:rPr>
                <w:rFonts w:hint="eastAsia" w:ascii="宋体" w:hAnsi="宋体" w:eastAsia="宋体" w:cs="宋体"/>
                <w:color w:val="auto"/>
                <w:sz w:val="24"/>
                <w:szCs w:val="24"/>
              </w:rPr>
              <w:t>（2）“电子加密投标文件”成功上传递交后，供应商可自行打印投标文件接收回执。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22</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竞争性磋商开始时间</w:t>
            </w:r>
            <w:r>
              <w:rPr>
                <w:rFonts w:hint="eastAsia" w:ascii="宋体" w:hAnsi="宋体" w:eastAsia="宋体" w:cs="宋体"/>
                <w:sz w:val="24"/>
                <w:szCs w:val="24"/>
                <w:lang w:eastAsia="zh-CN"/>
              </w:rPr>
              <w:t>和</w:t>
            </w:r>
            <w:r>
              <w:rPr>
                <w:rFonts w:hint="eastAsia" w:ascii="宋体" w:hAnsi="宋体" w:eastAsia="宋体" w:cs="宋体"/>
                <w:sz w:val="24"/>
                <w:szCs w:val="24"/>
              </w:rPr>
              <w:t>地点</w:t>
            </w:r>
          </w:p>
        </w:tc>
        <w:tc>
          <w:tcPr>
            <w:tcW w:w="6530"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竞争性磋商开始时间：</w:t>
            </w:r>
            <w:r>
              <w:rPr>
                <w:rFonts w:hint="eastAsia" w:ascii="宋体" w:hAnsi="宋体" w:cs="宋体"/>
                <w:color w:val="auto"/>
                <w:kern w:val="0"/>
                <w:sz w:val="24"/>
                <w:szCs w:val="24"/>
                <w:lang w:val="en-US" w:eastAsia="zh-CN" w:bidi="ar-SA"/>
              </w:rPr>
              <w:t>同</w:t>
            </w:r>
            <w:r>
              <w:rPr>
                <w:rFonts w:hint="eastAsia" w:ascii="宋体" w:hAnsi="宋体" w:eastAsia="宋体" w:cs="宋体"/>
                <w:sz w:val="24"/>
                <w:szCs w:val="24"/>
              </w:rPr>
              <w:t>响应文件递交截止时间</w:t>
            </w:r>
          </w:p>
          <w:p>
            <w:pPr>
              <w:rPr>
                <w:rFonts w:hint="eastAsia" w:ascii="宋体" w:hAnsi="宋体" w:eastAsia="宋体" w:cs="宋体"/>
                <w:color w:val="auto"/>
                <w:sz w:val="24"/>
                <w:szCs w:val="24"/>
              </w:rPr>
            </w:pPr>
            <w:r>
              <w:rPr>
                <w:rFonts w:hint="eastAsia" w:ascii="宋体" w:hAnsi="宋体" w:eastAsia="宋体" w:cs="宋体"/>
                <w:color w:val="auto"/>
                <w:sz w:val="24"/>
                <w:szCs w:val="24"/>
              </w:rPr>
              <w:t>竞争性磋商地点：</w:t>
            </w:r>
            <w:r>
              <w:rPr>
                <w:rFonts w:hint="eastAsia" w:ascii="宋体" w:hAnsi="宋体" w:eastAsia="宋体" w:cs="宋体"/>
                <w:color w:val="auto"/>
                <w:sz w:val="24"/>
                <w:szCs w:val="24"/>
                <w:lang w:eastAsia="zh-CN"/>
              </w:rPr>
              <w:t>嘉兴鼎晟工程管理有限公司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海盐县武原街道新桥南路</w:t>
            </w:r>
            <w:r>
              <w:rPr>
                <w:rFonts w:hint="eastAsia" w:ascii="宋体" w:hAnsi="宋体" w:eastAsia="宋体" w:cs="宋体"/>
                <w:color w:val="auto"/>
                <w:sz w:val="24"/>
                <w:szCs w:val="24"/>
                <w:lang w:val="en-US" w:eastAsia="zh-CN"/>
              </w:rPr>
              <w:t>41号402</w:t>
            </w:r>
            <w:r>
              <w:rPr>
                <w:rFonts w:hint="eastAsia" w:ascii="宋体" w:hAnsi="宋体" w:eastAsia="宋体" w:cs="宋体"/>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23</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w:t>
            </w:r>
          </w:p>
          <w:p>
            <w:pPr>
              <w:jc w:val="center"/>
              <w:rPr>
                <w:rFonts w:hint="eastAsia" w:ascii="宋体" w:hAnsi="宋体" w:eastAsia="宋体" w:cs="宋体"/>
                <w:sz w:val="24"/>
                <w:szCs w:val="24"/>
              </w:rPr>
            </w:pPr>
            <w:r>
              <w:rPr>
                <w:rFonts w:hint="eastAsia" w:ascii="宋体" w:hAnsi="宋体" w:eastAsia="宋体" w:cs="宋体"/>
                <w:sz w:val="24"/>
                <w:szCs w:val="24"/>
              </w:rPr>
              <w:t>开标程序</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（1）开标后，采购组织机构将向各投标供应商发出“电子加密投标文件”的解密通知，各投标供应商代表应当在接到解密通知后30分钟内自行完成“电子加密投标文件”的在线解密。</w:t>
            </w:r>
          </w:p>
          <w:p>
            <w:pPr>
              <w:rPr>
                <w:rFonts w:hint="eastAsia" w:ascii="宋体" w:hAnsi="宋体" w:eastAsia="宋体" w:cs="宋体"/>
                <w:sz w:val="24"/>
                <w:szCs w:val="24"/>
              </w:rPr>
            </w:pPr>
            <w:r>
              <w:rPr>
                <w:rFonts w:hint="eastAsia" w:ascii="宋体" w:hAnsi="宋体" w:eastAsia="宋体" w:cs="宋体"/>
                <w:sz w:val="24"/>
                <w:szCs w:val="24"/>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pPr>
              <w:rPr>
                <w:rFonts w:hint="eastAsia" w:ascii="宋体" w:hAnsi="宋体" w:eastAsia="宋体" w:cs="宋体"/>
                <w:sz w:val="24"/>
                <w:szCs w:val="24"/>
              </w:rPr>
            </w:pPr>
            <w:r>
              <w:rPr>
                <w:rFonts w:hint="eastAsia" w:ascii="宋体" w:hAnsi="宋体" w:eastAsia="宋体" w:cs="宋体"/>
                <w:sz w:val="24"/>
                <w:szCs w:val="24"/>
              </w:rPr>
              <w:t>（3）投标截止时间前，投标供应商仅递交了“备份投标文件”而未将电子加密投标文件上传至“政府采购云平台”的，投标无效。</w:t>
            </w:r>
          </w:p>
          <w:p>
            <w:pPr>
              <w:rPr>
                <w:rFonts w:hint="eastAsia" w:ascii="宋体" w:hAnsi="宋体" w:eastAsia="宋体" w:cs="宋体"/>
                <w:sz w:val="24"/>
                <w:szCs w:val="24"/>
              </w:rPr>
            </w:pPr>
            <w:r>
              <w:rPr>
                <w:rFonts w:hint="eastAsia" w:ascii="宋体" w:hAnsi="宋体" w:eastAsia="宋体" w:cs="宋体"/>
                <w:sz w:val="24"/>
                <w:szCs w:val="24"/>
              </w:rPr>
              <w:t>（4）投标截止时间前，投标供应商未递交“备份投标文件”而将电子加密投标文件上传至“政府采购云平台”并成功解密的，投标有效。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24</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竞争性磋商小组的组建</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竞争性磋商小组的构成：由</w:t>
            </w:r>
            <w:r>
              <w:rPr>
                <w:rFonts w:hint="eastAsia" w:ascii="宋体" w:hAnsi="宋体" w:eastAsia="宋体" w:cs="宋体"/>
                <w:sz w:val="24"/>
                <w:szCs w:val="24"/>
                <w:highlight w:val="none"/>
              </w:rPr>
              <w:t>采购人代表1名</w:t>
            </w:r>
            <w:r>
              <w:rPr>
                <w:rFonts w:hint="eastAsia" w:ascii="宋体" w:hAnsi="宋体" w:eastAsia="宋体" w:cs="宋体"/>
                <w:sz w:val="24"/>
                <w:szCs w:val="24"/>
              </w:rPr>
              <w:t>以及有关技术、经济等方面的专家2名，共3人组成；</w:t>
            </w:r>
          </w:p>
          <w:p>
            <w:pPr>
              <w:rPr>
                <w:rFonts w:hint="eastAsia" w:ascii="宋体" w:hAnsi="宋体" w:eastAsia="宋体" w:cs="宋体"/>
                <w:sz w:val="24"/>
                <w:szCs w:val="24"/>
              </w:rPr>
            </w:pPr>
            <w:r>
              <w:rPr>
                <w:rFonts w:hint="eastAsia" w:ascii="宋体" w:hAnsi="宋体" w:eastAsia="宋体" w:cs="宋体"/>
                <w:sz w:val="24"/>
                <w:szCs w:val="24"/>
              </w:rPr>
              <w:t>评审专家确定方式：按相关规定执行。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8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c>
          <w:tcPr>
            <w:tcW w:w="19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质疑</w:t>
            </w:r>
          </w:p>
        </w:tc>
        <w:tc>
          <w:tcPr>
            <w:tcW w:w="6530" w:type="dxa"/>
            <w:vAlign w:val="center"/>
          </w:tcPr>
          <w:p>
            <w:pPr>
              <w:rPr>
                <w:rFonts w:hint="eastAsia" w:ascii="宋体" w:hAnsi="宋体" w:eastAsia="宋体" w:cs="宋体"/>
                <w:sz w:val="24"/>
                <w:szCs w:val="24"/>
              </w:rPr>
            </w:pPr>
            <w:r>
              <w:rPr>
                <w:rFonts w:hint="eastAsia" w:ascii="宋体" w:hAnsi="宋体" w:eastAsia="宋体" w:cs="宋体"/>
                <w:sz w:val="24"/>
                <w:szCs w:val="24"/>
              </w:rPr>
              <w:t>供应商认为磋商文件、磋商过程和成交、成交结果使自己的权益受到损害的，可以在知道或者应知其权益受到损害之日起七个工作日内，以书面形式向采购人、采购代理机构提出质疑。</w:t>
            </w:r>
          </w:p>
          <w:p>
            <w:pPr>
              <w:rPr>
                <w:rFonts w:hint="eastAsia" w:ascii="宋体" w:hAnsi="宋体" w:eastAsia="宋体" w:cs="宋体"/>
                <w:sz w:val="24"/>
                <w:szCs w:val="24"/>
              </w:rPr>
            </w:pPr>
            <w:r>
              <w:rPr>
                <w:rFonts w:hint="eastAsia" w:ascii="宋体" w:hAnsi="宋体" w:eastAsia="宋体" w:cs="宋体"/>
                <w:sz w:val="24"/>
                <w:szCs w:val="24"/>
              </w:rPr>
              <w:t>（一）对可以质疑的磋商文件提出质疑的，为收到磋商文件之日或者磋商文件公告期限届满之日；</w:t>
            </w:r>
          </w:p>
          <w:p>
            <w:pPr>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pPr>
              <w:rPr>
                <w:rFonts w:hint="eastAsia" w:ascii="宋体" w:hAnsi="宋体" w:eastAsia="宋体" w:cs="宋体"/>
                <w:sz w:val="24"/>
                <w:szCs w:val="24"/>
              </w:rPr>
            </w:pPr>
            <w:r>
              <w:rPr>
                <w:rFonts w:hint="eastAsia" w:ascii="宋体" w:hAnsi="宋体" w:eastAsia="宋体" w:cs="宋体"/>
                <w:sz w:val="24"/>
                <w:szCs w:val="24"/>
              </w:rPr>
              <w:t>（三）对成交结果提出质疑的，为成交结果公告期限届满之日。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17" w:hRule="atLeast"/>
          <w:jc w:val="center"/>
        </w:trPr>
        <w:tc>
          <w:tcPr>
            <w:tcW w:w="82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27</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投诉</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质疑供应商对采购人、采购代理机构的答复不满意或者采购人、采购代理机构未在规定的时间内作出答复的，可以在答复期满后十五个工作日内向同级政府采购监督部门投诉。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82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28</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1.磋商供应商如发现磋商文件及其评审办法中歧视性不公正条款或违法违规等内容时，请于答疑截止日期前同时向采购人、采购代理机构反映，逾期不得再对磋商文件的条款提出质疑。</w:t>
            </w:r>
          </w:p>
          <w:p>
            <w:pPr>
              <w:rPr>
                <w:rFonts w:hint="eastAsia" w:ascii="宋体" w:hAnsi="宋体" w:eastAsia="宋体" w:cs="宋体"/>
                <w:sz w:val="24"/>
                <w:szCs w:val="24"/>
              </w:rPr>
            </w:pPr>
            <w:r>
              <w:rPr>
                <w:rFonts w:hint="eastAsia" w:ascii="宋体" w:hAnsi="宋体" w:eastAsia="宋体" w:cs="宋体"/>
                <w:sz w:val="24"/>
                <w:szCs w:val="24"/>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rPr>
                <w:rFonts w:hint="eastAsia" w:ascii="宋体" w:hAnsi="宋体" w:eastAsia="宋体" w:cs="宋体"/>
                <w:sz w:val="24"/>
                <w:szCs w:val="24"/>
              </w:rPr>
            </w:pPr>
            <w:r>
              <w:rPr>
                <w:rFonts w:hint="eastAsia" w:ascii="宋体" w:hAnsi="宋体" w:eastAsia="宋体" w:cs="宋体"/>
                <w:sz w:val="24"/>
                <w:szCs w:val="24"/>
              </w:rPr>
              <w:t>3．质疑、投诉人未按前列序号第26条规定进行质疑、投诉（申诉）、举报等，均属于扰乱市场不良行为，直至公示。</w:t>
            </w:r>
          </w:p>
          <w:p>
            <w:pPr>
              <w:rPr>
                <w:rFonts w:hint="eastAsia" w:ascii="宋体" w:hAnsi="宋体" w:eastAsia="宋体" w:cs="宋体"/>
                <w:sz w:val="24"/>
                <w:szCs w:val="24"/>
              </w:rPr>
            </w:pPr>
            <w:r>
              <w:rPr>
                <w:rFonts w:hint="eastAsia" w:ascii="宋体" w:hAnsi="宋体" w:eastAsia="宋体" w:cs="宋体"/>
                <w:sz w:val="24"/>
                <w:szCs w:val="24"/>
              </w:rPr>
              <w:t>4.磋商文件中凡标注“▲”的条款均为实质性要求，未响应的响应文件将作无效标处理。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828"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6530" w:type="dxa"/>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是否允许采购进口产品：否。</w:t>
            </w:r>
          </w:p>
          <w:p>
            <w:pPr>
              <w:rPr>
                <w:rFonts w:hint="eastAsia" w:ascii="宋体" w:hAnsi="宋体" w:eastAsia="宋体" w:cs="宋体"/>
                <w:sz w:val="24"/>
                <w:szCs w:val="24"/>
              </w:rPr>
            </w:pPr>
            <w:r>
              <w:rPr>
                <w:rFonts w:hint="eastAsia" w:ascii="宋体" w:hAnsi="宋体" w:eastAsia="宋体" w:cs="宋体"/>
                <w:sz w:val="24"/>
                <w:szCs w:val="24"/>
              </w:rPr>
              <w:t>本项目不适用节能产品条款。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828"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920"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6530" w:type="dxa"/>
            <w:tcBorders>
              <w:top w:val="single" w:color="auto" w:sz="4" w:space="0"/>
              <w:left w:val="single" w:color="auto" w:sz="4" w:space="0"/>
              <w:bottom w:val="single" w:color="auto" w:sz="12" w:space="0"/>
              <w:right w:val="single" w:color="auto" w:sz="1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3" w:name="_Toc14803"/>
      <w:r>
        <w:rPr>
          <w:rFonts w:hint="eastAsia" w:ascii="Arial" w:hAnsi="Arial" w:cs="Arial"/>
          <w:bCs w:val="0"/>
          <w:sz w:val="24"/>
          <w:szCs w:val="24"/>
        </w:rPr>
        <w:t>（二）总则</w:t>
      </w:r>
      <w:bookmarkEnd w:id="3"/>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1.1本次竞争性磋商工作是按照《中华人民共和国政府采购法》、浙江省及项目所在地的有关政府采购规定，结合本项目的实际，组织和实施。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1.2资金来源：已落实。</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2.定义及解释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2.1采购人：</w:t>
      </w:r>
      <w:r>
        <w:rPr>
          <w:rFonts w:hint="eastAsia"/>
          <w:sz w:val="24"/>
          <w:szCs w:val="24"/>
          <w:lang w:eastAsia="zh-CN"/>
        </w:rPr>
        <w:t>浙江省海盐经济开发区管理委员会</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2.2采购代理机构：嘉兴鼎晟工程管理有限公司；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2.3竞争性磋商供应商：竞争性磋商供应商是响应采购、参加竞争性磋商竞争的依法成立的的供应商；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2.4成交供应商：系指在本次竞争性磋商中成交的竞争性磋商供应商；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2.5竞争性磋商小组：竞争性磋商小组是依《政府采购法》组建的专门负责采购评审工作的临时性机构；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2.6日期：指公历日；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2.7合同：指由采购所产生的合同或合约文件；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2.8“书面形式”是指任何手写的、打印的或印刷的文件，包括电报和传真发送。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3.合格的竞争性磋商供应商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3.2落实政府采购政策需满足的资格要求：</w:t>
      </w:r>
      <w:r>
        <w:rPr>
          <w:rFonts w:hint="eastAsia"/>
          <w:sz w:val="24"/>
          <w:szCs w:val="24"/>
          <w:u w:val="single"/>
        </w:rPr>
        <w:t>供应商为中小企业/小微企业</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3.3本项目的特定资格要求：</w:t>
      </w:r>
      <w:r>
        <w:rPr>
          <w:rFonts w:hint="eastAsia"/>
          <w:sz w:val="24"/>
          <w:szCs w:val="24"/>
          <w:u w:val="single"/>
        </w:rPr>
        <w:t>/</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4.保密与披露事项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4.1竞争性磋商供应商不得串通，以不正当的手段妨碍排挤其他竞争性磋商供应商，扰乱市场，破坏公平竞争原则。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4.2竞争性磋商供应商自获取竞争性磋商文件之日起，须承诺承担本竞争性磋商项目下保密义务，不得将因本次竞争性磋商获得的信息向第三方外传。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4.3采购代理机构有权将竞争性磋商供应商提供的所有资料向其他政府部门或有关的非政府机构负责评审标书的人员或与评审有关的人员披露。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4.4采购代理机构有权在认为适当时，或在任何第三者提出要求（书面或其他方式）时，无须事先征求成交供应商同意而披露关于已订立合约的资料、成交供应商的名称及地址、成交服务的有关信息以及合约条款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5.竞争性磋商费用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5.1竞争性磋商供应商应承担所有与编写和提交竞争性磋商响应文件有关的费用，不论竞争性磋商的结果如何，采购代理机构和采购人在任何情况下均无义务和责任承担这些费用。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6.现场踏勘：/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7.竞争性磋商委托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如竞争性磋商供应商代表不是法定代表人，须持有《法定代表人授权委托书》。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4" w:name="_Toc11201"/>
      <w:r>
        <w:rPr>
          <w:rFonts w:hint="eastAsia" w:ascii="Arial" w:hAnsi="Arial" w:cs="Arial"/>
          <w:bCs w:val="0"/>
          <w:sz w:val="24"/>
          <w:szCs w:val="24"/>
        </w:rPr>
        <w:t>（三）竞争性磋商文件说明</w:t>
      </w:r>
      <w:bookmarkEnd w:id="4"/>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8.竞争性磋商文件构成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8.1竞争性磋商文件是用以阐明所需货物、服务，以及竞争性磋商、竞争性磋商程序和相应的合同条款。“竞争性磋商文件”由下述部分组成：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第一部分采购公告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第二部分竞争性磋商供应商须知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第三部分竞争性磋商内容及技术要求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第四部分合同条款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第五部分评定办法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第六部分参考格式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8.2本竞争性磋商文件要求竞争性磋商供应商作出实质性响应的有关技术和商务条款，将在该条款前以“▲” 醒目标识。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9.竞争性磋商文件的澄清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9.1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5" w:name="_Toc17929"/>
      <w:r>
        <w:rPr>
          <w:rFonts w:hint="eastAsia" w:ascii="Arial" w:hAnsi="Arial" w:cs="Arial"/>
          <w:bCs w:val="0"/>
          <w:sz w:val="24"/>
          <w:szCs w:val="24"/>
        </w:rPr>
        <w:t>（四）竞争性磋商响应文件的编制</w:t>
      </w:r>
      <w:bookmarkEnd w:id="5"/>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10.竞争性磋商响应文件的说明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10.1竞争性磋商响应文件应字迹清楚、内容齐全、不得涂改。如有修改，修改处须有法定代表人或其同一授权代表签章。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10.2投标人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无效。</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11.竞争性磋商响应文件的组成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11.1竞争性磋商供应商编写的竞争性磋商响应文件应包括资格文件、资信商务及技术文件和投标报价文件组成：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w:t>
      </w:r>
      <w:r>
        <w:rPr>
          <w:rFonts w:hint="eastAsia"/>
          <w:sz w:val="24"/>
          <w:szCs w:val="24"/>
        </w:rPr>
        <w:t>1.资格文件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（2）落实政府采购政策需满足的资格要求：中小企业/小微企业 。</w:t>
      </w:r>
      <w:r>
        <w:rPr>
          <w:rFonts w:hint="eastAsia"/>
          <w:sz w:val="24"/>
          <w:szCs w:val="24"/>
          <w:lang w:eastAsia="zh-CN"/>
        </w:rPr>
        <w:t>附：</w:t>
      </w:r>
      <w:r>
        <w:rPr>
          <w:rFonts w:hint="eastAsia"/>
          <w:sz w:val="24"/>
          <w:szCs w:val="24"/>
        </w:rPr>
        <w:t xml:space="preserve">中小企业声明函、残疾人福利性单位声明函及其他符合政策性加分条件的承诺函或证明材料。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（3）本项目的特定资格要求：</w:t>
      </w:r>
      <w:r>
        <w:rPr>
          <w:rFonts w:hint="eastAsia"/>
          <w:sz w:val="24"/>
          <w:szCs w:val="24"/>
          <w:u w:val="single"/>
        </w:rPr>
        <w:t>/</w:t>
      </w:r>
      <w:r>
        <w:rPr>
          <w:rFonts w:hint="eastAsia"/>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w:t>
      </w:r>
      <w:r>
        <w:rPr>
          <w:rFonts w:hint="eastAsia"/>
          <w:sz w:val="24"/>
          <w:szCs w:val="24"/>
        </w:rPr>
        <w:t>2.资信商务及技术文件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11.1.2.1</w:t>
      </w:r>
      <w:r>
        <w:rPr>
          <w:rFonts w:hint="eastAsia"/>
          <w:sz w:val="24"/>
          <w:szCs w:val="24"/>
        </w:rPr>
        <w:t>资信商务部分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（1）投标声明书；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（2）法定代表人授权委托书；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（3）营业执照副本复印件;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（4）类似案例成功的业绩（投标人同类项目实施情况一览表、业绩证明）；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（5）投标人情况介绍；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（6）商务响应表；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（7）未尽事宜请各供应商按评分细则制作资信商务部分。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11.1.2.</w:t>
      </w:r>
      <w:r>
        <w:rPr>
          <w:rFonts w:hint="eastAsia"/>
          <w:sz w:val="24"/>
          <w:szCs w:val="24"/>
        </w:rPr>
        <w:t>2.技术文件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（1）对本项目总体要求的理解；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（2）针对本项目的服务方案；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（3）保证本项目有效实施的人员配置；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（4）投标人需要说明的其他文件和说明（格式自拟）；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（5）未尽事宜请各投标人按评分细则制作技术部分。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11.1.3.</w:t>
      </w:r>
      <w:r>
        <w:rPr>
          <w:rFonts w:hint="eastAsia"/>
          <w:sz w:val="24"/>
          <w:szCs w:val="24"/>
        </w:rPr>
        <w:t>报价文件：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（1）投标函（格式见附件）；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（2）投标报价明细表（格式自拟）；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（3）投标人针对报价需要说明的其他文件和说明（格式自拟）；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）开标一览表（格式见附件）。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▲注：法定代表人授权委托书、投标声明书、投标函、开标一览表必须由法定代表人（或者被授权代表）签名且加盖单位公章。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12.竞争性磋商响应格式填写说明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12.1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12.2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13.竞争性磋商有效期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13.1▲提交竞争性磋商响应文件截止日起60天，竞争性磋商响应文件应保持有效。竞争性磋商有效期比规定期限短的将被视为非响应竞争性磋商而予以否决。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13.2特殊情况下，采购代理机构可于竞争性磋商有效期满之前要求竞争性磋商供应商同意延长有效期，要求与答复均应为书面形式。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14.竞争性磋商报价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14.1竞争性磋商供应商提供的货物和服务价格应该用人民币表示。竞争性磋商报价应包括完成供货和服务所需的一切费用。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14.2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14.3最后的竞争性磋商报价需低于首次报价。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15.竞争性磋商响应文件的式样和签署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15.1竞争性磋商响应文件的内容是属于供应商自己制作的均须用不褪色墨水书写或打印，并在“竞争性磋商文件格式”规定处由供应商的法定代表人或其授权代表印章（或签字或电子章）。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15.2竞争性磋商响应文件不得涂改和增删，如有修改错漏处，必须由同一签署人签字或盖章。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15.3供应商或采购组织单位有下列情形之一的，应按串通行为认定：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（1）不同供应商的竞争性磋商响应文件由同一单位或人员编制的；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（2）不同供应商委托同一单位或人员办理投标事宜的；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（3）不同供应商的竞争性磋商响应文件中的内容出现非正常的一致，或者报价细目呈明显规律性变化，或在完全可比的情况下投标总价均高于市场平均价的；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（4）不同供应商的竞争性磋商响应文件载明的项目管理或实施人员出现同一单位的工作人员或同一人的；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（5）不同供应商的授权代表为同一单位的工作人员的；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（6）不同供应商的竞争性磋商响应文件相互混装，或在一个供应商的竞争性磋商响应文件内遗留有其他供应商的签名、盖章等不属于本供应商参加政府采购必需的信息资料的；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（7）采购响应截止时间后，采购组织单位协助供应商撤换或更改竞争性磋商响应文件的；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（8）采购组织单位泄露有意向参加政府采购的供应商名称、数量等应当保密的事项的；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（9）不同供应商之间私下达成书面或口头协议，指定一家供应商成交或轮流成交的；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（10）法律、法规或规章规定的其他串通行为。</w:t>
      </w:r>
    </w:p>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6" w:name="_Toc31082"/>
      <w:r>
        <w:rPr>
          <w:rFonts w:hint="eastAsia" w:ascii="Arial" w:hAnsi="Arial" w:cs="Arial"/>
          <w:bCs w:val="0"/>
          <w:sz w:val="24"/>
          <w:szCs w:val="24"/>
        </w:rPr>
        <w:t>（五）竞争性磋商响应文件的递交</w:t>
      </w:r>
      <w:bookmarkEnd w:id="6"/>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16.竞争性磋商响应文件的密封和标记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16.1竞争性磋商响应文件封面上写明竞争性磋商项目名称、编号、供应商名称、地址、邮政编码、电话、联系人。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17.竞争性磋商截止时间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17.1本次采购的竞争性磋商开始时间及竞争性磋商响应文件递交截止时间：见本竞争性磋商文件“采购公告”。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17.2在推迟了竞争性磋商开始时间的情况下，采购代理机构、采购人和竞争性磋商供应商受制约的所有权利和义务均应延长至新的截止时间。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18.竞争性磋商响应文件有下列情形之一的，采购代理机构不予受理：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18.1竞争性磋商响应文件逾期上传系统的；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18.2竞争性磋商响应文件未按竞争性磋商文件要求签署、盖章的。</w:t>
      </w:r>
    </w:p>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7" w:name="_Toc8521"/>
      <w:r>
        <w:rPr>
          <w:rFonts w:hint="eastAsia" w:ascii="Arial" w:hAnsi="Arial" w:cs="Arial"/>
          <w:bCs w:val="0"/>
          <w:sz w:val="24"/>
          <w:szCs w:val="24"/>
        </w:rPr>
        <w:t>（六）竞争性磋商与评审</w:t>
      </w:r>
      <w:bookmarkEnd w:id="7"/>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19.竞争性磋商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19.1竞争性磋商时间和地点：见本竞争性磋商文件“采购公告”。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19.2采购代理机构组织和主持竞争性磋商会议，业主代表及纪检监督人员参加竞争性磋商会议并签名报到以证明其出席。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20.竞争性磋商小组的组建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20.1本次采购依法组建竞争性磋商小组。竞争性磋商小组由采购人的代表1名和2名有关专家共3人组成。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21.竞争性磋商工作程序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21.1竞争性磋商响应文件在规定时间递交后，竞争性磋商小组根据竞争性磋商文件首先审查竞争性磋商响应文件提供的资格证明文件是否齐全、是否满足竞争性磋商文件的报价资格要求等；其次审查竞争性磋商响应文件提交的内容是否完整，是否按竞争性磋商文件的要求作出了相应的响应。</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21.2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21.3竞争性磋商文件有实质性变动的（包括竞争性磋商内容及合同主要条款、评定成交标准），竞争性磋商小组应当在竞争性磋商供应商下轮报价前通知所有参加竞争性磋商的竞争性磋商供应商。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21.4本次竞争性磋商允许两次报价，竞争性磋商响应文件为首次报价。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21.5竞争性磋商结束后，竞争性磋商小组应当要求合格通过的竞争性磋商供应商在规定时间（30分钟）内根据商谈内容进行第二次报价（即最后报价），竞争性磋商供应商的报价原则上不得高于上轮的报价（竞争性磋商内容变更的除外），可与上轮报价相同；未报价者，视同与上轮报价相同。竞争性磋商供应商的</w:t>
      </w:r>
      <w:r>
        <w:rPr>
          <w:rFonts w:hint="eastAsia"/>
          <w:sz w:val="24"/>
          <w:szCs w:val="24"/>
          <w:lang w:eastAsia="zh-CN"/>
        </w:rPr>
        <w:t>第二次报价后，</w:t>
      </w:r>
      <w:r>
        <w:rPr>
          <w:rFonts w:hint="eastAsia"/>
          <w:sz w:val="24"/>
          <w:szCs w:val="24"/>
        </w:rPr>
        <w:t>报价明细表中各项报价均按同比例下调</w:t>
      </w:r>
      <w:r>
        <w:rPr>
          <w:rFonts w:hint="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21.6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否决改变，经竞争性磋商小组取得一致意见后，可确定拒绝该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21.7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22.评审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22.1在竞争性磋商时下列情况按照无效报价处理：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22.1.1</w:t>
      </w:r>
      <w:r>
        <w:rPr>
          <w:rFonts w:hint="eastAsia"/>
          <w:sz w:val="24"/>
          <w:szCs w:val="24"/>
        </w:rPr>
        <w:t>在符合性审查和商务评审时，如发现下列情形之一的，投标文件将被视为无效：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资信商务及技术文件中出现报价的；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资格证明文件不全的，或者不符合招标文件标明的资格要求的；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投标文件无法定代表人签字（或盖章）,或未提供法定代表人授权委托书、投标声明书或者填写项目不齐全的；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 xml:space="preserve">投标代表人未能出具身份证明或与法定代表人授权委托人身份不符的；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投标文件格式不规范、项目不齐全或者内容虚假的；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投标文件的实质性内容未使用中文表述、意思表述不明确、前后矛盾或者使用计量单位不符合招标文件要求的（经评标委员会认定并允许其当场更正的笔误除外）；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投标有效期、交货时间、质保期等商务条款不能满足招标文件要求的；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未实质性响应招标文件要求或者投标文件有招标方不能接受的附加条件的；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22.1.2</w:t>
      </w:r>
      <w:r>
        <w:rPr>
          <w:rFonts w:hint="eastAsia"/>
          <w:sz w:val="24"/>
          <w:szCs w:val="24"/>
        </w:rPr>
        <w:t>在技术评审时，如发现下列情形之一的，投标文件将被视为无效：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未提供或未如实提供投标</w:t>
      </w:r>
      <w:r>
        <w:rPr>
          <w:rFonts w:hint="eastAsia"/>
          <w:sz w:val="24"/>
          <w:szCs w:val="24"/>
          <w:lang w:eastAsia="zh-CN"/>
        </w:rPr>
        <w:t>服务要求</w:t>
      </w:r>
      <w:r>
        <w:rPr>
          <w:rFonts w:hint="eastAsia"/>
          <w:sz w:val="24"/>
          <w:szCs w:val="24"/>
        </w:rPr>
        <w:t>，或者投标文件标明的响应或偏离与事实不符或虚假投标的；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明显不符合招标文件要求的，或者与招标文件中标“▲”的技术指标、主要功能项目发生实质性偏离的；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投标技术方案不明确，存在一个或一个以上备选（替代）投标方案的；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与其他参加本次投标供应商的投标文件（技术文件）的文字表述内容相同连续20行以上或者差错相同2处以上的；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22.1.3</w:t>
      </w:r>
      <w:r>
        <w:rPr>
          <w:rFonts w:hint="eastAsia"/>
          <w:sz w:val="24"/>
          <w:szCs w:val="24"/>
        </w:rPr>
        <w:t>在报价评审时，如发现下列情形之一的，投标文件将被视为无效：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未采用人民币报价或者未按照招标文件标明的币种报价的；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报价超出最高限价，或者超出采购预算金额(自主创新产品除外)，采购人不能支付的；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投标报价具有选择性，或者开标价格与投标文件承诺的优惠（折扣）价格不一致的；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投标报价明细表总额与开标一览表总价不一致，且高于总价5％的；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22.2竞争性磋商小组将根据各竞争性磋商供应商的最后报价和承诺，按评定办法计算综合得分，按综合得分由高到低排序，排序第一的为预选成交供应商，其余有效供应商按综合得分由高到低排序。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23.成交供应商的确定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23.1采购代理机构按竞争性磋商小组的评审结果，确定预选成交供应商为成交供应商，当预选成交供应商因故不能成交时，可以确定综合得分排名第二的备选成交供应商为成交供应商，当其因故不能成交时，可以确定综合得分排名第三的备选成交供应商为成交供应商，以此类推。报价超过采购预算资金的除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23.2采购代理机构将在 “浙江政府采购网”（网址：www.zjzfcg.gov.cn）上发布《成交结果公告》。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24.评审过程保密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24.1竞争性磋商之后，直到授予竞争性磋商供应商合同止，凡是属于审查、澄清、评价和比较竞争性磋商的有关资料以及授标意向等，均不得向竞争性磋商供应商或其他无关的人员透露。</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25.否决任何或所有竞争性磋商的权利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25.1竞争性磋商小组经评审，认为所有竞争性磋商都不符合竞争性磋商文件要求的，可以否决所有竞争性磋商。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25.2如果成交预选供应商不能按照竞争性磋商文件要求及其竞争性磋商响应文件的承诺签订合同或其竞争性磋商响应文件与事实不符，影响采购的公平公开及合同的实施，采购人有权在授予合同前任何时候依照法定程序将合同授予成交备选供应商。如果成交备选供应商仍无法签订合同，采购人将依法不接受或否决任何竞争性磋商，并宣布采购无效，对受影响的竞争性磋商供应商不承担任何责任，也无义务向受影响的竞争性磋商供应商解释采取这一行动的理由。</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26.质疑与投诉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26.1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26.2本项目采购结果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26.3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（1）质疑受理机构：嘉兴鼎晟工程管理有限公司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受理电话：</w:t>
      </w:r>
      <w:r>
        <w:rPr>
          <w:rFonts w:hint="eastAsia"/>
          <w:sz w:val="24"/>
          <w:szCs w:val="24"/>
          <w:lang w:eastAsia="zh-CN"/>
        </w:rPr>
        <w:t>0573-86116950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（2）投诉受理机构：海盐县财政局政府采购监管科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投诉电话：0573-86122512</w:t>
      </w:r>
    </w:p>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ascii="Arial" w:hAnsi="Arial" w:cs="Arial"/>
          <w:bCs w:val="0"/>
          <w:sz w:val="24"/>
          <w:szCs w:val="24"/>
        </w:rPr>
      </w:pPr>
      <w:bookmarkStart w:id="8" w:name="_Toc18842"/>
      <w:r>
        <w:rPr>
          <w:rFonts w:hint="eastAsia" w:ascii="Arial" w:hAnsi="Arial" w:cs="Arial"/>
          <w:bCs w:val="0"/>
          <w:sz w:val="24"/>
          <w:szCs w:val="24"/>
        </w:rPr>
        <w:t>（七）授予合同</w:t>
      </w:r>
      <w:bookmarkEnd w:id="8"/>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27.合同授予标准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27.1最终审查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竞争性磋商结束后，采购代理机构将对竞争性磋商供应商进行最终审查。最终审查的主要内容是：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1）竞争性磋商供应商的资质、业务能力、信誉及以往政府采购活动中的业绩和表现；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2）竞争性磋商供应商履行合同的能力。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27.2最终审查工作如需成交供应商配合，成交供应商必须接受。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27.3成交供应商如未能通过最终审查，采购代理机构将视具体情况，提出具体限时整改要求，成交供应商如未能达到整改要求，其成交资格将被取消。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27.4采购代理机构将合同授予获接受竞争性磋商的竞争性磋商供应商。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28.成交通知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28.1在竞争性磋商有效期期满之前，采购代理机构将用书面形式向获接受的成交供应商发出书面的《成交通知书》。《成交通知书》将是合同的一个组成部分。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29.签订合同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29.1成交供应商按《成交通知书》指定的时间、地点与采购人直接签订合同。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29.2竞争性磋商文件、成交供应商的竞争性磋商响应文件及其澄清文件等，均为签订经济合同的依据。成交供应商自接到成交通知书后30天内与采购人签订合同。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29.3成交供应商不遵守竞争性磋商文件的要约、承诺，擅自修改报价或在接到成交通知书30天内，借故拖延、拒签合同者，采购代理机构即可取消该单位的成交权，另选其它竞争性磋商供应商成交。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30.采购结果通知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采购代理机构在发出《成交通知书》的同时在 “浙江省政府采购网”（网址：www.zjzfcg.gov.cn）发布成交公告。</w:t>
      </w:r>
    </w:p>
    <w:p>
      <w:pPr>
        <w:pStyle w:val="4"/>
        <w:pageBreakBefore w:val="0"/>
        <w:widowControl/>
        <w:kinsoku/>
        <w:wordWrap/>
        <w:overflowPunct/>
        <w:topLinePunct w:val="0"/>
        <w:autoSpaceDE/>
        <w:autoSpaceDN/>
        <w:bidi w:val="0"/>
        <w:adjustRightInd/>
        <w:snapToGrid/>
        <w:spacing w:beforeLines="50" w:afterLines="50" w:line="360" w:lineRule="auto"/>
        <w:jc w:val="center"/>
        <w:textAlignment w:val="auto"/>
        <w:rPr>
          <w:rFonts w:hint="eastAsia" w:eastAsia="宋体"/>
          <w:b/>
          <w:bCs/>
          <w:sz w:val="24"/>
          <w:szCs w:val="24"/>
          <w:lang w:eastAsia="zh-CN"/>
        </w:rPr>
      </w:pPr>
      <w:r>
        <w:rPr>
          <w:rFonts w:hint="eastAsia" w:ascii="Arial" w:hAnsi="Arial" w:cs="Arial"/>
          <w:bCs w:val="0"/>
          <w:sz w:val="24"/>
          <w:szCs w:val="24"/>
        </w:rPr>
        <w:t>（</w:t>
      </w:r>
      <w:r>
        <w:rPr>
          <w:rFonts w:hint="eastAsia" w:ascii="Arial" w:hAnsi="Arial" w:cs="Arial"/>
          <w:bCs w:val="0"/>
          <w:sz w:val="24"/>
          <w:szCs w:val="24"/>
          <w:lang w:eastAsia="zh-CN"/>
        </w:rPr>
        <w:t>八</w:t>
      </w:r>
      <w:r>
        <w:rPr>
          <w:rFonts w:hint="eastAsia" w:ascii="Arial" w:hAnsi="Arial" w:cs="Arial"/>
          <w:bCs w:val="0"/>
          <w:sz w:val="24"/>
          <w:szCs w:val="24"/>
        </w:rPr>
        <w:t>）</w:t>
      </w:r>
      <w:r>
        <w:rPr>
          <w:rFonts w:hint="eastAsia" w:ascii="Arial" w:hAnsi="Arial" w:cs="Arial"/>
          <w:bCs w:val="0"/>
          <w:sz w:val="24"/>
          <w:szCs w:val="24"/>
          <w:lang w:eastAsia="zh-CN"/>
        </w:rPr>
        <w:t>其他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31.中小企业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1、根据《政府采购促进中小企业发展管理办法》（财库〔2020〕46号）及《中小企业划型标准规定》（工信部联企业〔2011〕300号），本采购标的对应的中小企业划分标准所属行业为：</w:t>
      </w:r>
      <w:r>
        <w:rPr>
          <w:rFonts w:hint="eastAsia"/>
          <w:sz w:val="24"/>
          <w:szCs w:val="24"/>
          <w:u w:val="single"/>
        </w:rPr>
        <w:t>其他未列明行业</w:t>
      </w:r>
      <w:r>
        <w:rPr>
          <w:rFonts w:hint="eastAsia"/>
          <w:sz w:val="24"/>
          <w:szCs w:val="24"/>
        </w:rPr>
        <w:t>（划分标准见附件A）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2、小微企业有关政策：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按照《财政部、司法部关于政府采购支持监狱企业发展有关问题的通知》（财库〔2014〕68 号）之规定，监狱企业视同小型、微型企业。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按照《财政部民政部中国残疾人联合会关于促进残疾人就业政府采购政策的通知》(财库[2017]141号)之规定残疾人福利性单位视同小型、微型企业，结合《浙江省财政厅关于进一步发挥政府采购政策功能全力推动经济稳进提质的通知》(浙财采监〔2022〕3号)，残疾人福利性单位本身为小微企业的不得重复用享受优惠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欲享受政策优惠的且属于小微型企业的须提交声明函、属于残疾人福利性单位且须提交声明函、属于监狱企业的应提供由省级以上监狱管理局、戒毒管理局（含新疆生产建设兵团）出具的属于监狱企业的证明文件。否则不认定为小微企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32.代理服务费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1、中标供应商须向采购代理机构交纳招标代理费；由中标供应商领取中标通知书时支付；请各投标单位报价时考虑该项费用。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2、服务费的货币为人民币</w:t>
      </w:r>
      <w:r>
        <w:rPr>
          <w:rFonts w:hint="eastAsia"/>
          <w:sz w:val="24"/>
          <w:szCs w:val="24"/>
          <w:lang w:eastAsia="zh-CN"/>
        </w:rPr>
        <w:t>，</w:t>
      </w:r>
      <w:r>
        <w:rPr>
          <w:rFonts w:hint="eastAsia"/>
          <w:sz w:val="24"/>
          <w:szCs w:val="24"/>
          <w:u w:val="single"/>
          <w:lang w:val="en-US" w:eastAsia="zh-CN"/>
        </w:rPr>
        <w:t>6000元</w:t>
      </w:r>
      <w:r>
        <w:rPr>
          <w:rFonts w:hint="eastAsia"/>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3、服务费支付方式：一次性以银行划账、电汇、汇票或支票的形式支付。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4、服务费以银行划账方式按下列要求提交：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收款人：嘉兴鼎晟工程管理有限公司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户</w:t>
      </w:r>
      <w:r>
        <w:rPr>
          <w:rFonts w:hint="eastAsia"/>
          <w:sz w:val="24"/>
          <w:szCs w:val="24"/>
          <w:lang w:val="en-US" w:eastAsia="zh-CN"/>
        </w:rPr>
        <w:t xml:space="preserve">  </w:t>
      </w:r>
      <w:r>
        <w:rPr>
          <w:rFonts w:hint="eastAsia"/>
          <w:sz w:val="24"/>
          <w:szCs w:val="24"/>
        </w:rPr>
        <w:t>名：嘉兴鼎晟工程管理有限公司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开户银行：中信银行嘉兴海盐支行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账</w:t>
      </w:r>
      <w:r>
        <w:rPr>
          <w:rFonts w:hint="eastAsia"/>
          <w:sz w:val="24"/>
          <w:szCs w:val="24"/>
          <w:lang w:val="en-US" w:eastAsia="zh-CN"/>
        </w:rPr>
        <w:t xml:space="preserve">  </w:t>
      </w:r>
      <w:r>
        <w:rPr>
          <w:rFonts w:hint="eastAsia"/>
          <w:sz w:val="24"/>
          <w:szCs w:val="24"/>
        </w:rPr>
        <w:t>号：8110801012502778819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5、服务费支付时间：服务费必须在中标人领取《中标通知书》时一次性付清，如果中标人未能按时交纳服务费，采购代理机构/采购人保留取消其中标资格并追究其法律责任的权利。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6、服务费不在投标报价中单列。</w:t>
      </w:r>
    </w:p>
    <w:p>
      <w:pPr>
        <w:keepNext w:val="0"/>
        <w:keepLines w:val="0"/>
        <w:pageBreakBefore w:val="0"/>
        <w:widowControl/>
        <w:kinsoku/>
        <w:wordWrap/>
        <w:overflowPunct/>
        <w:topLinePunct w:val="0"/>
        <w:autoSpaceDE/>
        <w:autoSpaceDN/>
        <w:bidi w:val="0"/>
        <w:adjustRightInd/>
        <w:snapToGrid/>
        <w:ind w:firstLine="420" w:firstLineChars="200"/>
        <w:textAlignment w:val="auto"/>
      </w:pPr>
    </w:p>
    <w:p>
      <w:pPr>
        <w:pStyle w:val="3"/>
        <w:keepNext w:val="0"/>
        <w:keepLines w:val="0"/>
        <w:pageBreakBefore/>
        <w:numPr>
          <w:ilvl w:val="0"/>
          <w:numId w:val="2"/>
        </w:numPr>
        <w:spacing w:beforeLines="100" w:afterLines="100" w:line="240" w:lineRule="auto"/>
        <w:jc w:val="center"/>
        <w:rPr>
          <w:rFonts w:hint="eastAsia" w:ascii="Arial" w:hAnsi="Arial" w:cs="Arial"/>
          <w:b w:val="0"/>
          <w:bCs/>
          <w:color w:val="auto"/>
          <w:sz w:val="32"/>
          <w:szCs w:val="32"/>
          <w:highlight w:val="none"/>
        </w:rPr>
      </w:pPr>
      <w:r>
        <w:rPr>
          <w:rFonts w:hint="eastAsia" w:ascii="Arial" w:hAnsi="Arial" w:cs="Arial"/>
          <w:b w:val="0"/>
          <w:bCs/>
          <w:color w:val="auto"/>
          <w:sz w:val="32"/>
          <w:szCs w:val="32"/>
          <w:highlight w:val="none"/>
          <w:lang w:val="en-US" w:eastAsia="zh-CN"/>
        </w:rPr>
        <w:t xml:space="preserve"> </w:t>
      </w:r>
      <w:bookmarkStart w:id="9" w:name="_Toc32524"/>
      <w:r>
        <w:rPr>
          <w:rFonts w:hint="eastAsia" w:ascii="Arial" w:hAnsi="Arial" w:cs="Arial"/>
          <w:b w:val="0"/>
          <w:bCs/>
          <w:color w:val="auto"/>
          <w:sz w:val="32"/>
          <w:szCs w:val="32"/>
          <w:highlight w:val="none"/>
        </w:rPr>
        <w:t>项目采购需求</w:t>
      </w:r>
      <w:bookmarkEnd w:id="9"/>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val="0"/>
          <w:sz w:val="24"/>
          <w:szCs w:val="24"/>
          <w:highlight w:val="none"/>
        </w:rPr>
      </w:pPr>
      <w:r>
        <w:rPr>
          <w:rFonts w:hint="eastAsia"/>
          <w:b/>
          <w:bCs w:val="0"/>
          <w:sz w:val="24"/>
          <w:szCs w:val="24"/>
          <w:highlight w:val="none"/>
        </w:rPr>
        <w:t>一、项目概况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本次采购项目为西塘桥街道</w:t>
      </w:r>
      <w:r>
        <w:rPr>
          <w:rFonts w:hint="eastAsia"/>
          <w:sz w:val="24"/>
          <w:szCs w:val="24"/>
          <w:highlight w:val="none"/>
          <w:lang w:val="en-US" w:eastAsia="zh-CN"/>
        </w:rPr>
        <w:t>下辖7个城市社区（包括东海社区、滨海社区、清湖社区、新港社区、海湾社区、海城社区、海景社区）</w:t>
      </w:r>
      <w:r>
        <w:rPr>
          <w:rFonts w:hint="eastAsia"/>
          <w:sz w:val="24"/>
          <w:szCs w:val="24"/>
          <w:highlight w:val="none"/>
        </w:rPr>
        <w:t>公共环境病媒生物防制服务</w:t>
      </w:r>
      <w:r>
        <w:rPr>
          <w:rFonts w:hint="eastAsia"/>
          <w:sz w:val="24"/>
          <w:szCs w:val="24"/>
          <w:highlight w:val="none"/>
          <w:lang w:eastAsia="zh-CN"/>
        </w:rPr>
        <w:t>（</w:t>
      </w:r>
      <w:r>
        <w:rPr>
          <w:rFonts w:hint="eastAsia"/>
          <w:sz w:val="24"/>
          <w:szCs w:val="24"/>
          <w:highlight w:val="none"/>
          <w:lang w:val="en-US" w:eastAsia="zh-CN"/>
        </w:rPr>
        <w:t>另含1年内建设新增的社区公共环境</w:t>
      </w:r>
      <w:r>
        <w:rPr>
          <w:rFonts w:hint="eastAsia"/>
          <w:sz w:val="24"/>
          <w:szCs w:val="24"/>
          <w:highlight w:val="none"/>
          <w:lang w:eastAsia="zh-CN"/>
        </w:rPr>
        <w:t>），</w:t>
      </w:r>
      <w:r>
        <w:rPr>
          <w:rFonts w:hint="eastAsia"/>
          <w:sz w:val="24"/>
          <w:szCs w:val="24"/>
          <w:highlight w:val="none"/>
          <w:lang w:val="en-US" w:eastAsia="zh-CN"/>
        </w:rPr>
        <w:t>服务频次：4月-11月每月四次，12月-3月每月两次</w:t>
      </w:r>
      <w:r>
        <w:rPr>
          <w:rFonts w:hint="eastAsia"/>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rPr>
        <w:t>二、采购内容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1.公共环境（包括社区范围内的八小行业，所有楼房屋顶、楼道、遮雨档板、车库车棚、棚顶跳台、窨缸窨井、下水道、绿地花坛，公共厕所、垃圾中转站、公园、垃圾箱房等公用部位环境，社区内的河道、溪流、池塘及景观水池等各类水体、大型蓄水池、电缆沟等包括封闭式小区）灭鼠、蚊蝇和蟑螂的孳生消杀控制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2.公共环境病媒生物控制所需药物及投放、喷洒及环境处理；社区除四害技防设施的增补、清理与维护；各片区备检点小餐饮三防设施及城郊结合部重点场所三防设施的增补、清理与维护。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3.配合街道做好突发应急事件环境消杀及市、区、街道爱卫办组织的其它除四害活动（包括要求承担的公益性服务）。</w:t>
      </w:r>
    </w:p>
    <w:p>
      <w:pPr>
        <w:pStyle w:val="102"/>
        <w:pageBreakBefore w:val="0"/>
        <w:widowControl w:val="0"/>
        <w:kinsoku/>
        <w:wordWrap/>
        <w:overflowPunct/>
        <w:topLinePunct w:val="0"/>
        <w:autoSpaceDE/>
        <w:autoSpaceDN/>
        <w:bidi w:val="0"/>
        <w:adjustRightInd/>
        <w:snapToGrid/>
        <w:spacing w:line="360" w:lineRule="auto"/>
        <w:ind w:firstLine="480" w:firstLineChars="200"/>
        <w:rPr>
          <w:rFonts w:hint="default"/>
          <w:highlight w:val="none"/>
          <w:lang w:val="en-US" w:eastAsia="zh-CN"/>
        </w:rPr>
      </w:pPr>
      <w:r>
        <w:rPr>
          <w:rFonts w:hint="eastAsia" w:ascii="Times New Roman" w:hAnsi="Times New Roman" w:eastAsia="宋体" w:cs="Times New Roman"/>
          <w:b w:val="0"/>
          <w:bCs w:val="0"/>
          <w:kern w:val="0"/>
          <w:sz w:val="24"/>
          <w:szCs w:val="24"/>
          <w:highlight w:val="none"/>
          <w:lang w:val="en-US" w:eastAsia="zh-CN" w:bidi="ar-SA"/>
        </w:rPr>
        <w:t>4.协助街道加强除四害宣传教育，制定员工培训计划，开展各项活动，采取拍摄制作图文并茂、通俗易懂的宣传资料等方式向市民群众进行除害防病知识宣传。提高全民对做好除害防病工作重要性和必要性的认识，使之社区全覆盖、家喻户晓、人人明白、全民参与。</w:t>
      </w:r>
    </w:p>
    <w:p>
      <w:pPr>
        <w:pStyle w:val="102"/>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5.向所服务社区低保户等困难家庭户无偿提供家庭用灭幛、灭鼠药等除"四害"药品及技术指导，向所服务社区居民家庭无偿提供除"四害"技术指导。</w:t>
      </w:r>
    </w:p>
    <w:p>
      <w:pPr>
        <w:pStyle w:val="102"/>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6.中标单位的消杀人员应定期到街道公共服务管理办公室、社区居委会报到（应定有固定作业人员3人），向分管人员汇报工作计划，并服从分配的具体工作任务。</w:t>
      </w:r>
    </w:p>
    <w:p>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7.每季度一次孳生地（如鼠洞、严重卫生死角等）调查，收集和处理死老鼠等。</w:t>
      </w:r>
    </w:p>
    <w:p>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8.做好服务区域的</w:t>
      </w:r>
      <w:r>
        <w:rPr>
          <w:rFonts w:hint="eastAsia" w:eastAsia="宋体" w:cs="Times New Roman"/>
          <w:b w:val="0"/>
          <w:bCs w:val="0"/>
          <w:kern w:val="0"/>
          <w:sz w:val="24"/>
          <w:szCs w:val="24"/>
          <w:highlight w:val="none"/>
          <w:lang w:val="en-US" w:eastAsia="zh-CN" w:bidi="ar-SA"/>
        </w:rPr>
        <w:t>“</w:t>
      </w:r>
      <w:r>
        <w:rPr>
          <w:rFonts w:hint="eastAsia" w:ascii="Times New Roman" w:hAnsi="Times New Roman" w:eastAsia="宋体" w:cs="Times New Roman"/>
          <w:b w:val="0"/>
          <w:bCs w:val="0"/>
          <w:kern w:val="0"/>
          <w:sz w:val="24"/>
          <w:szCs w:val="24"/>
          <w:highlight w:val="none"/>
          <w:lang w:val="en-US" w:eastAsia="zh-CN" w:bidi="ar-SA"/>
        </w:rPr>
        <w:t>四害</w:t>
      </w:r>
      <w:r>
        <w:rPr>
          <w:rFonts w:hint="eastAsia" w:eastAsia="宋体" w:cs="Times New Roman"/>
          <w:b w:val="0"/>
          <w:bCs w:val="0"/>
          <w:kern w:val="0"/>
          <w:sz w:val="24"/>
          <w:szCs w:val="24"/>
          <w:highlight w:val="none"/>
          <w:lang w:val="en-US" w:eastAsia="zh-CN" w:bidi="ar-SA"/>
        </w:rPr>
        <w:t>”</w:t>
      </w:r>
      <w:r>
        <w:rPr>
          <w:rFonts w:hint="eastAsia" w:ascii="Times New Roman" w:hAnsi="Times New Roman" w:eastAsia="宋体" w:cs="Times New Roman"/>
          <w:b w:val="0"/>
          <w:bCs w:val="0"/>
          <w:kern w:val="0"/>
          <w:sz w:val="24"/>
          <w:szCs w:val="24"/>
          <w:highlight w:val="none"/>
          <w:lang w:val="en-US" w:eastAsia="zh-CN" w:bidi="ar-SA"/>
        </w:rPr>
        <w:t>密度监测，并做好整改工作。鼠、蟑每单月15日开展一次，蚊、蝇每年4-10月15日开展一次，按月上报小结，按季上报分析报告，按年度上报工作总结。</w:t>
      </w:r>
    </w:p>
    <w:p>
      <w:pPr>
        <w:pageBreakBefore w:val="0"/>
        <w:widowControl w:val="0"/>
        <w:kinsoku/>
        <w:wordWrap/>
        <w:overflowPunct/>
        <w:topLinePunct w:val="0"/>
        <w:autoSpaceDE/>
        <w:autoSpaceDN/>
        <w:bidi w:val="0"/>
        <w:adjustRightInd/>
        <w:snapToGrid/>
        <w:spacing w:beforeLines="0" w:line="360" w:lineRule="auto"/>
        <w:ind w:firstLine="480"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9.消杀工作之前，先告之采购单位，认真听取其建议</w:t>
      </w:r>
      <w:r>
        <w:rPr>
          <w:rFonts w:hint="eastAsia" w:cs="Times New Roman"/>
          <w:b w:val="0"/>
          <w:bCs w:val="0"/>
          <w:kern w:val="0"/>
          <w:sz w:val="24"/>
          <w:szCs w:val="24"/>
          <w:highlight w:val="none"/>
          <w:lang w:val="en-US" w:eastAsia="zh-CN" w:bidi="ar-SA"/>
        </w:rPr>
        <w:t>，并做好公示公告，告知小区居民</w:t>
      </w:r>
      <w:r>
        <w:rPr>
          <w:rFonts w:hint="eastAsia" w:ascii="Times New Roman" w:hAnsi="Times New Roman" w:eastAsia="宋体" w:cs="Times New Roman"/>
          <w:b w:val="0"/>
          <w:bCs w:val="0"/>
          <w:kern w:val="0"/>
          <w:sz w:val="24"/>
          <w:szCs w:val="24"/>
          <w:highlight w:val="none"/>
          <w:lang w:val="en-US" w:eastAsia="zh-CN" w:bidi="ar-SA"/>
        </w:rPr>
        <w:t>；服务后进行复查，及时查补遗漏，清理好现场工作器械和药物。</w:t>
      </w:r>
    </w:p>
    <w:p>
      <w:pPr>
        <w:ind w:firstLine="480" w:firstLineChars="200"/>
        <w:outlineLvl w:val="9"/>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10.本合同新增设备：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4611"/>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74"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序号</w:t>
            </w:r>
          </w:p>
        </w:tc>
        <w:tc>
          <w:tcPr>
            <w:tcW w:w="4611"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内容</w:t>
            </w:r>
          </w:p>
        </w:tc>
        <w:tc>
          <w:tcPr>
            <w:tcW w:w="2843"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74" w:type="dxa"/>
            <w:vAlign w:val="center"/>
          </w:tcPr>
          <w:p>
            <w:pPr>
              <w:pStyle w:val="4"/>
              <w:widowControl w:val="0"/>
              <w:jc w:val="center"/>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1</w:t>
            </w:r>
          </w:p>
        </w:tc>
        <w:tc>
          <w:tcPr>
            <w:tcW w:w="4611"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鼠饵站</w:t>
            </w:r>
          </w:p>
        </w:tc>
        <w:tc>
          <w:tcPr>
            <w:tcW w:w="2843" w:type="dxa"/>
            <w:vAlign w:val="center"/>
          </w:tcPr>
          <w:p>
            <w:pPr>
              <w:pStyle w:val="4"/>
              <w:widowControl w:val="0"/>
              <w:jc w:val="center"/>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4" w:type="dxa"/>
            <w:vAlign w:val="center"/>
          </w:tcPr>
          <w:p>
            <w:pPr>
              <w:pStyle w:val="4"/>
              <w:widowControl w:val="0"/>
              <w:jc w:val="center"/>
              <w:rPr>
                <w:rFonts w:hint="default" w:ascii="Times New Roman" w:hAnsi="Times New Roman"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2</w:t>
            </w:r>
          </w:p>
        </w:tc>
        <w:tc>
          <w:tcPr>
            <w:tcW w:w="4611"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插地式捕蝇笼</w:t>
            </w:r>
          </w:p>
        </w:tc>
        <w:tc>
          <w:tcPr>
            <w:tcW w:w="2843" w:type="dxa"/>
            <w:vAlign w:val="center"/>
          </w:tcPr>
          <w:p>
            <w:pPr>
              <w:pStyle w:val="4"/>
              <w:widowControl w:val="0"/>
              <w:jc w:val="center"/>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vAlign w:val="center"/>
          </w:tcPr>
          <w:p>
            <w:pPr>
              <w:pStyle w:val="4"/>
              <w:widowControl w:val="0"/>
              <w:jc w:val="center"/>
              <w:rPr>
                <w:rFonts w:hint="default" w:ascii="Times New Roman" w:hAnsi="Times New Roman"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3</w:t>
            </w:r>
          </w:p>
        </w:tc>
        <w:tc>
          <w:tcPr>
            <w:tcW w:w="4611"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在下水道主管网安装挡鼠网，</w:t>
            </w:r>
            <w:r>
              <w:rPr>
                <w:rFonts w:hint="eastAsia" w:ascii="Times New Roman" w:hAnsi="Times New Roman" w:cs="Times New Roman"/>
                <w:b w:val="0"/>
                <w:bCs w:val="0"/>
                <w:kern w:val="0"/>
                <w:sz w:val="24"/>
                <w:szCs w:val="24"/>
                <w:highlight w:val="none"/>
                <w:lang w:val="en-US" w:eastAsia="zh-CN" w:bidi="ar-SA"/>
              </w:rPr>
              <w:t>档鼠网宽度为1.2米</w:t>
            </w:r>
          </w:p>
        </w:tc>
        <w:tc>
          <w:tcPr>
            <w:tcW w:w="2843" w:type="dxa"/>
            <w:vAlign w:val="center"/>
          </w:tcPr>
          <w:p>
            <w:pPr>
              <w:pStyle w:val="4"/>
              <w:widowControl w:val="0"/>
              <w:jc w:val="center"/>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70米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4" w:type="dxa"/>
            <w:vAlign w:val="center"/>
          </w:tcPr>
          <w:p>
            <w:pPr>
              <w:pStyle w:val="4"/>
              <w:widowControl w:val="0"/>
              <w:jc w:val="center"/>
              <w:rPr>
                <w:rFonts w:hint="default" w:ascii="Times New Roman" w:hAnsi="Times New Roman"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4</w:t>
            </w:r>
          </w:p>
        </w:tc>
        <w:tc>
          <w:tcPr>
            <w:tcW w:w="4611" w:type="dxa"/>
            <w:vAlign w:val="center"/>
          </w:tcPr>
          <w:p>
            <w:pPr>
              <w:pStyle w:val="4"/>
              <w:widowControl w:val="0"/>
              <w:jc w:val="center"/>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lang w:val="en-US" w:eastAsia="zh-CN" w:bidi="ar-SA"/>
              </w:rPr>
              <w:t>户</w:t>
            </w:r>
            <w:r>
              <w:rPr>
                <w:rFonts w:hint="eastAsia" w:ascii="Times New Roman" w:hAnsi="Times New Roman" w:eastAsia="宋体" w:cs="Times New Roman"/>
                <w:b w:val="0"/>
                <w:bCs w:val="0"/>
                <w:kern w:val="0"/>
                <w:sz w:val="24"/>
                <w:szCs w:val="24"/>
                <w:highlight w:val="none"/>
                <w:lang w:val="en-US" w:eastAsia="zh-CN" w:bidi="ar-SA"/>
              </w:rPr>
              <w:t>外捕蝇灯</w:t>
            </w:r>
          </w:p>
        </w:tc>
        <w:tc>
          <w:tcPr>
            <w:tcW w:w="2843" w:type="dxa"/>
            <w:vAlign w:val="center"/>
          </w:tcPr>
          <w:p>
            <w:pPr>
              <w:pStyle w:val="4"/>
              <w:widowControl w:val="0"/>
              <w:jc w:val="center"/>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4台</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eastAsia="宋体"/>
          <w:b/>
          <w:bCs/>
          <w:sz w:val="24"/>
          <w:szCs w:val="24"/>
          <w:highlight w:val="none"/>
          <w:lang w:eastAsia="zh-CN"/>
        </w:rPr>
      </w:pPr>
      <w:r>
        <w:rPr>
          <w:rFonts w:hint="eastAsia"/>
          <w:b/>
          <w:bCs/>
          <w:sz w:val="24"/>
          <w:szCs w:val="24"/>
          <w:highlight w:val="none"/>
          <w:lang w:eastAsia="zh-CN"/>
        </w:rPr>
        <w:t>此项为设备报价，设备最高限价为10万元，在报价中单列，最终按实际发生的结算。</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rPr>
        <w:t>三、服务期限：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highlight w:val="none"/>
        </w:rPr>
      </w:pPr>
      <w:r>
        <w:rPr>
          <w:rFonts w:hint="eastAsia"/>
          <w:sz w:val="24"/>
          <w:szCs w:val="24"/>
          <w:highlight w:val="none"/>
        </w:rPr>
        <w:t>合同签订之日起</w:t>
      </w:r>
      <w:r>
        <w:rPr>
          <w:rFonts w:hint="eastAsia"/>
          <w:sz w:val="24"/>
          <w:szCs w:val="24"/>
          <w:highlight w:val="none"/>
          <w:lang w:val="en-US" w:eastAsia="zh-CN"/>
        </w:rPr>
        <w:t>1年完成病媒生物控制工作</w:t>
      </w:r>
      <w:r>
        <w:rPr>
          <w:rFonts w:hint="eastAsia"/>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rPr>
        <w:t>四、服务费用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sz w:val="24"/>
          <w:szCs w:val="24"/>
          <w:highlight w:val="none"/>
        </w:rPr>
        <w:t>投标人的最终报价应包括所有消杀服务所需的药物、器械、人工、运杂、税金、</w:t>
      </w:r>
      <w:r>
        <w:rPr>
          <w:rFonts w:hint="eastAsia"/>
          <w:sz w:val="24"/>
          <w:szCs w:val="24"/>
          <w:highlight w:val="none"/>
          <w:lang w:val="en-US" w:eastAsia="zh-CN"/>
        </w:rPr>
        <w:t>设备、</w:t>
      </w:r>
      <w:r>
        <w:rPr>
          <w:rFonts w:hint="eastAsia"/>
          <w:sz w:val="24"/>
          <w:szCs w:val="24"/>
          <w:highlight w:val="none"/>
        </w:rPr>
        <w:t>相关服务承诺等各项可能涉及的费用。</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lang w:val="en-US" w:eastAsia="zh-CN"/>
        </w:rPr>
      </w:pPr>
      <w:r>
        <w:rPr>
          <w:rFonts w:hint="eastAsia"/>
          <w:b/>
          <w:bCs/>
          <w:sz w:val="24"/>
          <w:szCs w:val="24"/>
          <w:highlight w:val="none"/>
          <w:lang w:val="en-US" w:eastAsia="zh-CN"/>
        </w:rPr>
        <w:t>供应商工作要求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1.供应商病媒生物防制药物需选用符合国家规定要求的药物，选用高效低毒杀虫、灭鼠剂，进货渠道正规，所有农药登记证，符合“三证要求”，严禁使用国家禁用药物，并在街道爱卫办备案。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2.供应商安排的有害生物防制服务</w:t>
      </w:r>
      <w:r>
        <w:rPr>
          <w:rFonts w:hint="eastAsia" w:ascii="Times New Roman" w:hAnsi="Times New Roman" w:eastAsia="宋体" w:cs="Times New Roman"/>
          <w:b w:val="0"/>
          <w:bCs w:val="0"/>
          <w:sz w:val="24"/>
          <w:szCs w:val="24"/>
          <w:highlight w:val="none"/>
          <w:lang w:val="en-US" w:eastAsia="zh-CN" w:bidi="ar-SA"/>
        </w:rPr>
        <w:t>作业人员</w:t>
      </w:r>
      <w:r>
        <w:rPr>
          <w:rFonts w:hint="eastAsia" w:cs="Times New Roman"/>
          <w:b w:val="0"/>
          <w:bCs w:val="0"/>
          <w:sz w:val="24"/>
          <w:szCs w:val="24"/>
          <w:highlight w:val="none"/>
          <w:lang w:val="en-US" w:eastAsia="zh-CN" w:bidi="ar-SA"/>
        </w:rPr>
        <w:t>需</w:t>
      </w:r>
      <w:r>
        <w:rPr>
          <w:rFonts w:hint="eastAsia" w:ascii="Times New Roman" w:hAnsi="Times New Roman" w:eastAsia="宋体" w:cs="Times New Roman"/>
          <w:b w:val="0"/>
          <w:bCs w:val="0"/>
          <w:sz w:val="24"/>
          <w:szCs w:val="24"/>
          <w:highlight w:val="none"/>
          <w:lang w:val="en-US" w:eastAsia="zh-CN" w:bidi="ar-SA"/>
        </w:rPr>
        <w:t>具备病媒生物服务资质，拥有有害生物防治员证或除四害科技协会颁发的从业资格证。</w:t>
      </w:r>
      <w:r>
        <w:rPr>
          <w:rFonts w:hint="eastAsia"/>
          <w:sz w:val="24"/>
          <w:szCs w:val="24"/>
          <w:highlight w:val="none"/>
          <w:lang w:val="en-US" w:eastAsia="zh-CN"/>
        </w:rPr>
        <w:t>有害生物防制服务单位</w:t>
      </w:r>
      <w:r>
        <w:rPr>
          <w:rFonts w:hint="eastAsia" w:ascii="Times New Roman" w:hAnsi="Times New Roman" w:eastAsia="宋体" w:cs="Times New Roman"/>
          <w:b w:val="0"/>
          <w:bCs w:val="0"/>
          <w:sz w:val="24"/>
          <w:szCs w:val="24"/>
          <w:highlight w:val="none"/>
          <w:lang w:val="en-US" w:eastAsia="zh-CN" w:bidi="ar-SA"/>
        </w:rPr>
        <w:t>作业人员</w:t>
      </w:r>
      <w:r>
        <w:rPr>
          <w:rFonts w:hint="eastAsia" w:cs="Times New Roman"/>
          <w:b w:val="0"/>
          <w:bCs w:val="0"/>
          <w:sz w:val="24"/>
          <w:szCs w:val="24"/>
          <w:highlight w:val="none"/>
          <w:lang w:val="en-US" w:eastAsia="zh-CN" w:bidi="ar-SA"/>
        </w:rPr>
        <w:t>，需在街道爱卫办登记备案，中途变更重新登记备案。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3.供应商应科学规范的使用要求，确保人、禽的安全；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4.供应商应向承包片区的社区居民公示公司名称、负责人、联系电话，以及街道爱卫办监督电话（应在小区楼道、社区告示栏等处上墙公示基本信息）。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5.供应商在作业后提交作业记录单（需经社区和街道签字确认），每月30日应向街道提供本月密度监测报表、作业记录单和工作小结、下月月工作计划。每季度季末提交</w:t>
      </w:r>
      <w:r>
        <w:rPr>
          <w:rFonts w:hint="eastAsia" w:ascii="Times New Roman" w:hAnsi="Times New Roman" w:eastAsia="宋体" w:cs="Times New Roman"/>
          <w:b w:val="0"/>
          <w:bCs w:val="0"/>
          <w:kern w:val="0"/>
          <w:sz w:val="24"/>
          <w:szCs w:val="24"/>
          <w:highlight w:val="none"/>
          <w:lang w:val="en-US" w:eastAsia="zh-CN" w:bidi="ar-SA"/>
        </w:rPr>
        <w:t>孳生地调查</w:t>
      </w:r>
      <w:r>
        <w:rPr>
          <w:rFonts w:hint="eastAsia" w:cs="Times New Roman"/>
          <w:b w:val="0"/>
          <w:bCs w:val="0"/>
          <w:kern w:val="0"/>
          <w:sz w:val="24"/>
          <w:szCs w:val="24"/>
          <w:highlight w:val="none"/>
          <w:lang w:val="en-US" w:eastAsia="zh-CN" w:bidi="ar-SA"/>
        </w:rPr>
        <w:t>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6.资料管理：供应商每次作业均需在作业联系单载明用药名称、浓度、用量，并按照《创建国家卫生城市工作档案基本资料参考目录》、《浙江省病媒生物控制水平评估认可管理办法》、《嘉兴市镇区病媒生物控制水平评估认可管理办法》的要求，完善病媒生物防制工作的相关资料，确保街道后续病媒生物A级街道复评资料满足相关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、质量要求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1.服务质量达到《中华人民共和国国家标准》（GB／[T27770－27773]—2011〔鼠、蚊、蝇、蟑螂〕）规定标准A级控制水平</w:t>
      </w:r>
      <w:r>
        <w:rPr>
          <w:rFonts w:hint="eastAsia"/>
          <w:sz w:val="24"/>
          <w:szCs w:val="24"/>
          <w:highlight w:val="none"/>
          <w:lang w:eastAsia="zh-CN"/>
        </w:rPr>
        <w:t>，</w:t>
      </w:r>
      <w:r>
        <w:rPr>
          <w:rFonts w:hint="eastAsia"/>
          <w:sz w:val="24"/>
          <w:szCs w:val="24"/>
          <w:highlight w:val="none"/>
          <w:lang w:val="en-US" w:eastAsia="zh-CN"/>
        </w:rPr>
        <w:t>持续巩固街道病媒A级创建成果</w:t>
      </w:r>
      <w:r>
        <w:rPr>
          <w:rFonts w:hint="eastAsia"/>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具体如下：</w:t>
      </w:r>
    </w:p>
    <w:p>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《中华人民共和国国家标准》（GB／[T27770－27773]—2011〔鼠、蚊、蝇、蟑螂〕）摘录：</w:t>
      </w:r>
    </w:p>
    <w:p>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鼠密度控制水平A级</w:t>
      </w:r>
    </w:p>
    <w:p>
      <w:pPr>
        <w:pStyle w:val="16"/>
        <w:snapToGrid w:val="0"/>
        <w:spacing w:before="120" w:after="120" w:line="360" w:lineRule="auto"/>
        <w:ind w:left="315" w:firstLine="360" w:firstLineChars="150"/>
        <w:rPr>
          <w:rFonts w:hint="eastAsia" w:hAnsi="宋体"/>
          <w:sz w:val="24"/>
          <w:szCs w:val="24"/>
          <w:highlight w:val="none"/>
        </w:rPr>
      </w:pPr>
      <w:r>
        <w:rPr>
          <w:rFonts w:hint="eastAsia" w:hAnsi="宋体"/>
          <w:sz w:val="24"/>
          <w:szCs w:val="24"/>
          <w:highlight w:val="none"/>
        </w:rPr>
        <w:t>防鼠设施合格率≥97%； 室内鼠迹阳性率≤1%；   外环境鼠路径指数≤1。</w:t>
      </w:r>
    </w:p>
    <w:p>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 xml:space="preserve">   </w:t>
      </w:r>
      <w:r>
        <w:rPr>
          <w:rFonts w:hint="eastAsia" w:hAnsi="宋体"/>
          <w:sz w:val="24"/>
          <w:szCs w:val="24"/>
          <w:highlight w:val="none"/>
          <w:lang w:val="en-US" w:eastAsia="zh-CN"/>
        </w:rPr>
        <w:t>(</w:t>
      </w:r>
      <w:r>
        <w:rPr>
          <w:rFonts w:hint="eastAsia" w:hAnsi="宋体"/>
          <w:sz w:val="24"/>
          <w:szCs w:val="24"/>
          <w:highlight w:val="none"/>
        </w:rPr>
        <w:t>2</w:t>
      </w:r>
      <w:r>
        <w:rPr>
          <w:rFonts w:hint="eastAsia" w:hAnsi="宋体"/>
          <w:sz w:val="24"/>
          <w:szCs w:val="24"/>
          <w:highlight w:val="none"/>
          <w:lang w:val="en-US" w:eastAsia="zh-CN"/>
        </w:rPr>
        <w:t>)</w:t>
      </w:r>
      <w:r>
        <w:rPr>
          <w:rFonts w:hint="eastAsia" w:hAnsi="宋体"/>
          <w:sz w:val="24"/>
          <w:szCs w:val="24"/>
          <w:highlight w:val="none"/>
        </w:rPr>
        <w:t>蚊虫密度控制水平A级</w:t>
      </w:r>
    </w:p>
    <w:p>
      <w:pPr>
        <w:pStyle w:val="16"/>
        <w:snapToGrid w:val="0"/>
        <w:spacing w:before="120" w:after="120" w:line="360" w:lineRule="auto"/>
        <w:ind w:left="573" w:hanging="648" w:hangingChars="270"/>
        <w:rPr>
          <w:rFonts w:hint="eastAsia" w:hAnsi="宋体"/>
          <w:sz w:val="24"/>
          <w:szCs w:val="24"/>
          <w:highlight w:val="none"/>
        </w:rPr>
      </w:pPr>
      <w:r>
        <w:rPr>
          <w:rFonts w:hint="eastAsia" w:hAnsi="宋体"/>
          <w:sz w:val="24"/>
          <w:szCs w:val="24"/>
          <w:highlight w:val="none"/>
        </w:rPr>
        <w:t xml:space="preserve">     小型积水蚊虫路径指数≤0.1；大中型水体蚊虫采样勺指数≤1%，平均每阳性勺少于3只蚊幼虫和蛹；外环境蚊虫停落指数≤0.5。</w:t>
      </w:r>
    </w:p>
    <w:p>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蝇密度控制水平A级</w:t>
      </w:r>
    </w:p>
    <w:p>
      <w:pPr>
        <w:pStyle w:val="16"/>
        <w:snapToGrid w:val="0"/>
        <w:spacing w:before="120" w:after="120" w:line="360" w:lineRule="auto"/>
        <w:ind w:left="315" w:firstLine="360" w:firstLineChars="150"/>
        <w:rPr>
          <w:rFonts w:hint="eastAsia" w:hAnsi="宋体"/>
          <w:sz w:val="24"/>
          <w:szCs w:val="24"/>
          <w:highlight w:val="none"/>
        </w:rPr>
      </w:pPr>
      <w:r>
        <w:rPr>
          <w:rFonts w:hint="eastAsia" w:hAnsi="宋体"/>
          <w:sz w:val="24"/>
          <w:szCs w:val="24"/>
          <w:highlight w:val="none"/>
        </w:rPr>
        <w:t>防蝇设施合格率≥98%；</w:t>
      </w:r>
    </w:p>
    <w:p>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 xml:space="preserve">      生产销售直接入口食品的场所不得有蝇，室内不得存在蝇类孳生地；</w:t>
      </w:r>
    </w:p>
    <w:p>
      <w:pPr>
        <w:pStyle w:val="16"/>
        <w:snapToGrid w:val="0"/>
        <w:spacing w:before="120" w:after="120" w:line="360" w:lineRule="auto"/>
        <w:ind w:left="315" w:leftChars="150" w:firstLine="360" w:firstLineChars="150"/>
        <w:rPr>
          <w:rFonts w:hint="eastAsia" w:hAnsi="宋体"/>
          <w:sz w:val="24"/>
          <w:szCs w:val="24"/>
          <w:highlight w:val="none"/>
        </w:rPr>
      </w:pPr>
      <w:r>
        <w:rPr>
          <w:rFonts w:hint="eastAsia" w:hAnsi="宋体"/>
          <w:sz w:val="24"/>
          <w:szCs w:val="24"/>
          <w:highlight w:val="none"/>
        </w:rPr>
        <w:t>室内有蝇房间阳性率≤3%，阳性间蝇密度≤3只/间；室外蝇类孳生地阳性率≤1%；</w:t>
      </w:r>
    </w:p>
    <w:p>
      <w:pPr>
        <w:pStyle w:val="16"/>
        <w:snapToGrid w:val="0"/>
        <w:spacing w:before="120" w:after="120" w:line="360" w:lineRule="auto"/>
        <w:ind w:left="361" w:hanging="408" w:hangingChars="170"/>
        <w:rPr>
          <w:rFonts w:hint="eastAsia" w:hAnsi="宋体"/>
          <w:sz w:val="24"/>
          <w:szCs w:val="24"/>
          <w:highlight w:val="none"/>
        </w:rPr>
      </w:pPr>
      <w:r>
        <w:rPr>
          <w:rFonts w:hint="eastAsia" w:hAnsi="宋体"/>
          <w:sz w:val="24"/>
          <w:szCs w:val="24"/>
          <w:highlight w:val="none"/>
        </w:rPr>
        <w:t>　　</w:t>
      </w:r>
      <w:r>
        <w:rPr>
          <w:rFonts w:hint="eastAsia" w:hAnsi="宋体"/>
          <w:sz w:val="24"/>
          <w:szCs w:val="24"/>
          <w:highlight w:val="none"/>
          <w:lang w:val="en-US" w:eastAsia="zh-CN"/>
        </w:rPr>
        <w:t>(4)</w:t>
      </w:r>
      <w:r>
        <w:rPr>
          <w:rFonts w:hint="eastAsia" w:hAnsi="宋体"/>
          <w:sz w:val="24"/>
          <w:szCs w:val="24"/>
          <w:highlight w:val="none"/>
        </w:rPr>
        <w:t>蟑螂密度控制水平A级</w:t>
      </w:r>
    </w:p>
    <w:p>
      <w:pPr>
        <w:spacing w:line="360" w:lineRule="auto"/>
        <w:rPr>
          <w:rFonts w:hint="eastAsia" w:hAnsi="宋体"/>
          <w:sz w:val="24"/>
          <w:szCs w:val="24"/>
          <w:highlight w:val="none"/>
        </w:rPr>
      </w:pPr>
      <w:r>
        <w:rPr>
          <w:rFonts w:hint="eastAsia" w:hAnsi="宋体"/>
          <w:sz w:val="24"/>
          <w:szCs w:val="24"/>
          <w:highlight w:val="none"/>
        </w:rPr>
        <w:t xml:space="preserve">      蜚蠊成若虫侵害率≤1%，平均每阳性间（处）成若虫数小蠊≤5只，大蠊≤2只；</w:t>
      </w:r>
    </w:p>
    <w:p>
      <w:pPr>
        <w:spacing w:line="360" w:lineRule="auto"/>
        <w:ind w:firstLine="720" w:firstLineChars="300"/>
        <w:rPr>
          <w:rFonts w:hint="eastAsia" w:hAnsi="宋体"/>
          <w:sz w:val="24"/>
          <w:szCs w:val="24"/>
          <w:highlight w:val="none"/>
        </w:rPr>
      </w:pPr>
      <w:r>
        <w:rPr>
          <w:rFonts w:hint="eastAsia" w:hAnsi="宋体"/>
          <w:sz w:val="24"/>
          <w:szCs w:val="24"/>
          <w:highlight w:val="none"/>
        </w:rPr>
        <w:t>蟑螂卵鞘密度查获率≤1%，平均每阳性间（处）卵鞘数≤2只/间）；</w:t>
      </w:r>
    </w:p>
    <w:p>
      <w:pPr>
        <w:spacing w:line="400" w:lineRule="exact"/>
        <w:ind w:firstLine="720" w:firstLineChars="300"/>
        <w:rPr>
          <w:rFonts w:hint="default"/>
          <w:highlight w:val="none"/>
          <w:lang w:val="en-US" w:eastAsia="zh-CN"/>
        </w:rPr>
      </w:pPr>
      <w:r>
        <w:rPr>
          <w:rFonts w:hint="eastAsia" w:hAnsi="宋体"/>
          <w:sz w:val="24"/>
          <w:szCs w:val="24"/>
          <w:highlight w:val="none"/>
        </w:rPr>
        <w:t>蟑迹查获率≤3%</w:t>
      </w:r>
      <w:r>
        <w:rPr>
          <w:rFonts w:hint="eastAsia" w:hAnsi="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群众</w:t>
      </w:r>
      <w:r>
        <w:rPr>
          <w:rFonts w:hint="eastAsia"/>
          <w:sz w:val="24"/>
          <w:szCs w:val="24"/>
          <w:highlight w:val="none"/>
        </w:rPr>
        <w:t>满意率达90%（含）以上；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highlight w:val="none"/>
          <w:lang w:eastAsia="zh-CN"/>
        </w:rPr>
      </w:pPr>
      <w:r>
        <w:rPr>
          <w:rFonts w:hint="eastAsia"/>
          <w:sz w:val="24"/>
          <w:szCs w:val="24"/>
          <w:highlight w:val="none"/>
        </w:rPr>
        <w:t>3.</w:t>
      </w:r>
      <w:r>
        <w:rPr>
          <w:rFonts w:hint="eastAsia" w:eastAsia="宋体"/>
          <w:sz w:val="24"/>
          <w:szCs w:val="24"/>
          <w:highlight w:val="none"/>
        </w:rPr>
        <w:t>确保病媒生物防制工作</w:t>
      </w:r>
      <w:r>
        <w:rPr>
          <w:rFonts w:hint="eastAsia" w:eastAsia="宋体"/>
          <w:sz w:val="24"/>
          <w:szCs w:val="24"/>
          <w:highlight w:val="none"/>
          <w:lang w:val="en-US" w:eastAsia="zh-CN"/>
        </w:rPr>
        <w:t>通过县城区病媒生物B级复评</w:t>
      </w:r>
      <w:r>
        <w:rPr>
          <w:rFonts w:hint="eastAsia" w:eastAsia="宋体"/>
          <w:sz w:val="24"/>
          <w:szCs w:val="24"/>
          <w:highlight w:val="none"/>
        </w:rPr>
        <w:t>和</w:t>
      </w:r>
      <w:r>
        <w:rPr>
          <w:rFonts w:hint="eastAsia"/>
          <w:sz w:val="24"/>
          <w:szCs w:val="24"/>
          <w:highlight w:val="none"/>
          <w:lang w:val="en-US" w:eastAsia="zh-CN"/>
        </w:rPr>
        <w:t>街道</w:t>
      </w:r>
      <w:r>
        <w:rPr>
          <w:rFonts w:hint="eastAsia" w:eastAsia="宋体"/>
          <w:sz w:val="24"/>
          <w:szCs w:val="24"/>
          <w:highlight w:val="none"/>
        </w:rPr>
        <w:t>病媒生物</w:t>
      </w:r>
      <w:r>
        <w:rPr>
          <w:rFonts w:hint="eastAsia"/>
          <w:sz w:val="24"/>
          <w:szCs w:val="24"/>
          <w:highlight w:val="none"/>
          <w:lang w:val="en-US" w:eastAsia="zh-CN"/>
        </w:rPr>
        <w:t>A级持续巩固</w:t>
      </w:r>
      <w:r>
        <w:rPr>
          <w:rFonts w:hint="eastAsia" w:eastAsia="宋体"/>
          <w:sz w:val="24"/>
          <w:szCs w:val="24"/>
          <w:highlight w:val="none"/>
        </w:rPr>
        <w:t>，在上级检查中不失责任分。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highlight w:val="none"/>
        </w:rPr>
      </w:pPr>
      <w:r>
        <w:rPr>
          <w:rFonts w:hint="eastAsia"/>
          <w:b/>
          <w:bCs/>
          <w:sz w:val="24"/>
          <w:szCs w:val="24"/>
          <w:highlight w:val="none"/>
          <w:lang w:val="en-US" w:eastAsia="zh-CN"/>
        </w:rPr>
        <w:t>七</w:t>
      </w:r>
      <w:r>
        <w:rPr>
          <w:rFonts w:hint="eastAsia"/>
          <w:b/>
          <w:bCs/>
          <w:sz w:val="24"/>
          <w:szCs w:val="24"/>
          <w:highlight w:val="none"/>
        </w:rPr>
        <w:t>、考核要求：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1.根据考核内容（具体考核内容详见附件），街道爱卫办每季度抽查一次承包区内蚊蝇鼠消杀情况和孳生地控制情况，每年组织一次年终综合考核。社区每月一次日常巡查，日常巡查有害生物防制服务单位对窨井、垃圾箱等处成蝇、成蚊控制情况，本辖区内的消杀工作进行现场检查核实。在4月、11月鼠类繁殖高峰，5～6月、9～10月蚊蝇繁殖高峰时节，街道爱卫办联合社区要增加检查频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2.群众满意度调查：根据《公共环境病媒生物防制工作群众调查表》，每季至少调查访问100名居民（其中街道爱卫办访问20名，每个社区访问15名），听取、收集居民意见，以了解群众的满意度。</w:t>
      </w:r>
    </w:p>
    <w:p>
      <w:pPr>
        <w:pStyle w:val="16"/>
        <w:spacing w:line="360" w:lineRule="auto"/>
        <w:ind w:firstLine="410" w:firstLineChars="171"/>
        <w:jc w:val="left"/>
        <w:rPr>
          <w:rFonts w:hint="eastAsia" w:ascii="Times New Roman" w:hAnsi="Times New Roman" w:eastAsia="宋体" w:cs="Times New Roman"/>
          <w:kern w:val="0"/>
          <w:sz w:val="24"/>
          <w:szCs w:val="24"/>
          <w:highlight w:val="none"/>
          <w:lang w:val="en-US" w:eastAsia="zh-CN" w:bidi="ar-SA"/>
        </w:rPr>
      </w:pPr>
      <w:r>
        <w:rPr>
          <w:rFonts w:hint="eastAsia"/>
          <w:sz w:val="24"/>
          <w:szCs w:val="24"/>
          <w:highlight w:val="none"/>
          <w:lang w:val="en-US" w:eastAsia="zh-CN"/>
        </w:rPr>
        <w:t>3.</w:t>
      </w:r>
      <w:r>
        <w:rPr>
          <w:rFonts w:hint="eastAsia" w:ascii="Times New Roman" w:hAnsi="Times New Roman" w:cs="Times New Roman"/>
          <w:kern w:val="0"/>
          <w:sz w:val="24"/>
          <w:szCs w:val="24"/>
          <w:highlight w:val="none"/>
          <w:lang w:val="en-US" w:eastAsia="zh-CN" w:bidi="ar-SA"/>
        </w:rPr>
        <w:t>付款方式</w:t>
      </w:r>
      <w:r>
        <w:rPr>
          <w:rFonts w:hint="eastAsia" w:ascii="Times New Roman" w:hAnsi="Times New Roman" w:eastAsia="宋体" w:cs="Times New Roman"/>
          <w:kern w:val="0"/>
          <w:sz w:val="24"/>
          <w:szCs w:val="24"/>
          <w:highlight w:val="none"/>
          <w:lang w:val="en-US" w:eastAsia="zh-CN" w:bidi="ar-SA"/>
        </w:rPr>
        <w:t>：根据工作实绩进行考核，灭鼠、灭蝇、灭蚊现场技术考核结果占总分值（100分）的60%，日常工作检查结果占20%，群众满意度调查结果占20%，以考核结果按季核发经费。对于达到质量要求的项目，每季全额支付；如乙方未按实施方案、技术方案要求执行, 未达到质量要求的项目，</w:t>
      </w:r>
      <w:r>
        <w:rPr>
          <w:rFonts w:hint="eastAsia" w:ascii="Times New Roman" w:hAnsi="Times New Roman" w:cs="Times New Roman"/>
          <w:kern w:val="0"/>
          <w:sz w:val="24"/>
          <w:szCs w:val="24"/>
          <w:highlight w:val="none"/>
          <w:lang w:val="en-US" w:eastAsia="zh-CN" w:bidi="ar-SA"/>
        </w:rPr>
        <w:t>或在甲方上级检查时影响甲方成绩的，</w:t>
      </w:r>
      <w:r>
        <w:rPr>
          <w:rFonts w:hint="eastAsia" w:ascii="Times New Roman" w:hAnsi="Times New Roman" w:eastAsia="宋体" w:cs="Times New Roman"/>
          <w:kern w:val="0"/>
          <w:sz w:val="24"/>
          <w:szCs w:val="24"/>
          <w:highlight w:val="none"/>
          <w:lang w:val="en-US" w:eastAsia="zh-CN" w:bidi="ar-SA"/>
        </w:rPr>
        <w:t>甲方即时提出警告、限期改正，在限期内整改落实后，</w:t>
      </w:r>
      <w:r>
        <w:rPr>
          <w:rFonts w:hint="eastAsia" w:ascii="Times New Roman" w:hAnsi="Times New Roman" w:cs="Times New Roman"/>
          <w:kern w:val="0"/>
          <w:sz w:val="24"/>
          <w:szCs w:val="24"/>
          <w:highlight w:val="none"/>
          <w:lang w:val="en-US" w:eastAsia="zh-CN" w:bidi="ar-SA"/>
        </w:rPr>
        <w:t>按每季原定金额的80%支付</w:t>
      </w:r>
      <w:r>
        <w:rPr>
          <w:rFonts w:hint="eastAsia" w:ascii="Times New Roman" w:hAnsi="Times New Roman" w:eastAsia="宋体" w:cs="Times New Roman"/>
          <w:kern w:val="0"/>
          <w:sz w:val="24"/>
          <w:szCs w:val="24"/>
          <w:highlight w:val="none"/>
          <w:lang w:val="en-US" w:eastAsia="zh-CN" w:bidi="ar-SA"/>
        </w:rPr>
        <w:t>；若经警告后未在限期内改正，或中标方中途自行退出，或确认其不能达到要求的,甲方可即时与乙方解除合同。若因乙方原因导致进入年度考核黑榜，则不得参加下年度投标。</w:t>
      </w:r>
    </w:p>
    <w:p>
      <w:pPr>
        <w:pStyle w:val="16"/>
        <w:spacing w:line="360" w:lineRule="auto"/>
        <w:ind w:firstLine="410" w:firstLineChars="171"/>
        <w:jc w:val="left"/>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cs="Times New Roman"/>
          <w:kern w:val="0"/>
          <w:sz w:val="24"/>
          <w:szCs w:val="24"/>
          <w:highlight w:val="none"/>
          <w:lang w:val="en-US" w:eastAsia="zh-CN" w:bidi="ar-SA"/>
        </w:rPr>
        <w:t>4</w:t>
      </w:r>
      <w:r>
        <w:rPr>
          <w:rFonts w:hint="eastAsia" w:ascii="Times New Roman" w:hAnsi="Times New Roman" w:eastAsia="宋体" w:cs="Times New Roman"/>
          <w:kern w:val="0"/>
          <w:sz w:val="24"/>
          <w:szCs w:val="24"/>
          <w:highlight w:val="none"/>
          <w:lang w:val="en-US" w:eastAsia="zh-CN" w:bidi="ar-SA"/>
        </w:rPr>
        <w:t>.</w:t>
      </w:r>
      <w:r>
        <w:rPr>
          <w:rFonts w:hint="eastAsia"/>
          <w:sz w:val="24"/>
          <w:szCs w:val="24"/>
          <w:highlight w:val="none"/>
          <w:lang w:val="en-US" w:eastAsia="zh-CN"/>
        </w:rPr>
        <w:t>县爱卫办每年4-11月对各个镇（街道）BI（布雷图）指数进行监测评价，对检测结果得分排名，在本年度综合排名为末尾排名的，在第四季度付款时扣除中标合同金额中消杀金额的5%。</w:t>
      </w:r>
    </w:p>
    <w:p>
      <w:pPr>
        <w:pStyle w:val="16"/>
        <w:spacing w:line="360" w:lineRule="auto"/>
        <w:ind w:firstLine="410" w:firstLineChars="171"/>
        <w:jc w:val="left"/>
        <w:rPr>
          <w:rFonts w:hint="default"/>
          <w:sz w:val="24"/>
          <w:szCs w:val="24"/>
          <w:highlight w:val="none"/>
          <w:lang w:val="en-US" w:eastAsia="zh-CN"/>
        </w:rPr>
      </w:pPr>
      <w:r>
        <w:rPr>
          <w:rFonts w:hint="eastAsia"/>
          <w:sz w:val="24"/>
          <w:szCs w:val="24"/>
          <w:highlight w:val="none"/>
          <w:lang w:val="en-US" w:eastAsia="zh-CN"/>
        </w:rPr>
        <w:t>5.</w:t>
      </w:r>
      <w:r>
        <w:rPr>
          <w:rFonts w:hint="eastAsia" w:ascii="Times New Roman" w:hAnsi="Times New Roman" w:eastAsia="宋体" w:cs="Times New Roman"/>
          <w:kern w:val="0"/>
          <w:sz w:val="24"/>
          <w:szCs w:val="24"/>
          <w:highlight w:val="none"/>
          <w:lang w:val="en-US" w:eastAsia="zh-CN" w:bidi="ar-SA"/>
        </w:rPr>
        <w:t>经费核发：第一、二季度在预付款中按考核后的支付金额扣除，第三季度按考核后的支付金额在扣除预付款后不够的部分转账支付，第四季度根据年终综合考核结果进行转账支付。</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sz w:val="24"/>
          <w:szCs w:val="24"/>
          <w:highlight w:val="none"/>
          <w:lang w:val="en-US" w:eastAsia="zh-CN"/>
        </w:rPr>
      </w:pPr>
      <w:r>
        <w:rPr>
          <w:rFonts w:hint="eastAsia"/>
          <w:b/>
          <w:bCs/>
          <w:sz w:val="24"/>
          <w:szCs w:val="24"/>
          <w:highlight w:val="none"/>
          <w:lang w:val="en-US" w:eastAsia="zh-CN"/>
        </w:rPr>
        <w:t>八</w:t>
      </w:r>
      <w:r>
        <w:rPr>
          <w:rFonts w:hint="eastAsia"/>
          <w:b/>
          <w:bCs/>
          <w:sz w:val="24"/>
          <w:szCs w:val="24"/>
          <w:highlight w:val="none"/>
        </w:rPr>
        <w:t>、风险承担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1、采购人会同西塘桥街道爱卫办将对病媒生物防制服务质量进行全过程监控，供应商工作人员日常工作不到位、不达标、或有违约现象，将依据合同约定，作出相应的违约处理与处罚。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2、供应商未按质量要求执行，采购人可以书面形式提出警告；若情节严重，确认中标人未达到合同规定的质量要求的，即时终止合同。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3、供应商工作人员在岗履行工作职责期间，发生自身的人身伤害、伤亡，由中标人负责处理并承担经济和道义上的责任，采购人不承担任何责任。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4、供应商违反国家相关法规，与聘用人员发生纠纷，均由中标人负责凋解与处理，采购人不承担任何责任。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5、供应商在病媒生物防制服务中违反国家相关法规或行业规范，因过失造成</w:t>
      </w:r>
      <w:r>
        <w:rPr>
          <w:rFonts w:hint="eastAsia"/>
          <w:sz w:val="24"/>
          <w:szCs w:val="24"/>
          <w:highlight w:val="none"/>
          <w:lang w:val="en-US" w:eastAsia="zh-CN"/>
        </w:rPr>
        <w:t>人、禽中毒责任事件</w:t>
      </w:r>
      <w:r>
        <w:rPr>
          <w:rFonts w:hint="eastAsia"/>
          <w:sz w:val="24"/>
          <w:szCs w:val="24"/>
          <w:highlight w:val="none"/>
        </w:rPr>
        <w:t>，均由供应商负责处理并承担经济和道义上的责任，采购人不承担任何责任。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b w:val="0"/>
          <w:bCs w:val="0"/>
          <w:highlight w:val="none"/>
          <w:lang w:val="en-US" w:eastAsia="zh-CN"/>
        </w:rPr>
      </w:pPr>
      <w:r>
        <w:rPr>
          <w:rFonts w:hint="eastAsia"/>
          <w:b w:val="0"/>
          <w:bCs w:val="0"/>
          <w:sz w:val="24"/>
          <w:szCs w:val="24"/>
          <w:highlight w:val="none"/>
          <w:lang w:val="en-US" w:eastAsia="zh-CN"/>
        </w:rPr>
        <w:t>6、中标后，供应商不得转包；如转包，立即解除合同。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Ansi="宋体"/>
          <w:b/>
          <w:sz w:val="24"/>
          <w:szCs w:val="24"/>
          <w:highlight w:val="none"/>
        </w:rPr>
      </w:pPr>
      <w:bookmarkStart w:id="10" w:name="_Toc26868"/>
      <w:r>
        <w:rPr>
          <w:rFonts w:hint="eastAsia" w:hAnsi="宋体"/>
          <w:b/>
          <w:sz w:val="24"/>
          <w:szCs w:val="24"/>
          <w:highlight w:val="none"/>
        </w:rPr>
        <w:t>八、</w:t>
      </w:r>
      <w:r>
        <w:rPr>
          <w:rFonts w:hAnsi="宋体"/>
          <w:b/>
          <w:sz w:val="24"/>
          <w:szCs w:val="24"/>
          <w:highlight w:val="none"/>
        </w:rPr>
        <w:t>商务</w:t>
      </w:r>
      <w:r>
        <w:rPr>
          <w:rFonts w:hint="eastAsia" w:ascii="Times New Roman" w:hAnsi="Times New Roman" w:eastAsia="宋体" w:cs="Times New Roman"/>
          <w:b/>
          <w:bCs/>
          <w:sz w:val="24"/>
          <w:szCs w:val="24"/>
          <w:highlight w:val="none"/>
        </w:rPr>
        <w:t>资信</w:t>
      </w:r>
      <w:r>
        <w:rPr>
          <w:rFonts w:hAnsi="宋体"/>
          <w:b/>
          <w:sz w:val="24"/>
          <w:szCs w:val="24"/>
          <w:highlight w:val="none"/>
        </w:rPr>
        <w:t>要求</w:t>
      </w:r>
      <w:r>
        <w:rPr>
          <w:rFonts w:hint="eastAsia" w:hAnsi="宋体"/>
          <w:b/>
          <w:sz w:val="24"/>
          <w:szCs w:val="24"/>
          <w:highlight w:val="none"/>
        </w:rPr>
        <w:t>表</w:t>
      </w:r>
    </w:p>
    <w:tbl>
      <w:tblPr>
        <w:tblStyle w:val="27"/>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rPr>
                <w:rFonts w:hAnsi="宋体"/>
                <w:sz w:val="24"/>
                <w:szCs w:val="24"/>
                <w:highlight w:val="none"/>
              </w:rPr>
            </w:pPr>
            <w:r>
              <w:rPr>
                <w:rFonts w:hint="eastAsia" w:hAnsi="宋体"/>
                <w:sz w:val="24"/>
                <w:szCs w:val="24"/>
                <w:highlight w:val="none"/>
              </w:rPr>
              <w:t>服务时间及地点</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val="0"/>
              <w:spacing w:before="120" w:after="120"/>
              <w:ind w:firstLine="480" w:firstLineChars="200"/>
              <w:textAlignment w:val="auto"/>
              <w:rPr>
                <w:rFonts w:hAnsi="宋体"/>
                <w:sz w:val="24"/>
                <w:szCs w:val="24"/>
                <w:highlight w:val="none"/>
              </w:rPr>
            </w:pPr>
            <w:r>
              <w:rPr>
                <w:rFonts w:hint="eastAsia" w:hAnsi="宋体"/>
                <w:sz w:val="24"/>
                <w:szCs w:val="24"/>
                <w:highlight w:val="none"/>
              </w:rPr>
              <w:t>服务时间:根据实际情况，采购人安排的时间，详情在合同中规定。</w:t>
            </w:r>
          </w:p>
          <w:p>
            <w:pPr>
              <w:pStyle w:val="16"/>
              <w:keepNext w:val="0"/>
              <w:keepLines w:val="0"/>
              <w:pageBreakBefore w:val="0"/>
              <w:widowControl w:val="0"/>
              <w:kinsoku/>
              <w:wordWrap/>
              <w:overflowPunct/>
              <w:topLinePunct w:val="0"/>
              <w:autoSpaceDE/>
              <w:autoSpaceDN/>
              <w:bidi w:val="0"/>
              <w:adjustRightInd/>
              <w:snapToGrid w:val="0"/>
              <w:spacing w:before="120" w:after="120"/>
              <w:ind w:firstLine="480" w:firstLineChars="200"/>
              <w:textAlignment w:val="auto"/>
              <w:rPr>
                <w:rFonts w:hAnsi="宋体"/>
                <w:sz w:val="24"/>
                <w:szCs w:val="24"/>
                <w:highlight w:val="none"/>
              </w:rPr>
            </w:pPr>
            <w:r>
              <w:rPr>
                <w:rFonts w:hint="eastAsia" w:hAnsi="宋体"/>
                <w:sz w:val="24"/>
                <w:szCs w:val="24"/>
                <w:highlight w:val="none"/>
              </w:rPr>
              <w:t>服务地点：上文所含区域。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rPr>
                <w:rFonts w:hAnsi="宋体"/>
                <w:sz w:val="24"/>
                <w:szCs w:val="24"/>
                <w:highlight w:val="none"/>
              </w:rPr>
            </w:pPr>
            <w:r>
              <w:rPr>
                <w:rFonts w:hint="eastAsia" w:hAnsi="宋体"/>
                <w:sz w:val="24"/>
                <w:szCs w:val="24"/>
                <w:highlight w:val="none"/>
              </w:rPr>
              <w:t>付款条件</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410" w:firstLineChars="171"/>
              <w:jc w:val="left"/>
              <w:rPr>
                <w:rFonts w:hAnsi="宋体"/>
                <w:sz w:val="24"/>
                <w:szCs w:val="24"/>
                <w:highlight w:val="none"/>
              </w:rPr>
            </w:pPr>
            <w:r>
              <w:rPr>
                <w:rFonts w:hint="eastAsia" w:hAnsi="宋体"/>
                <w:color w:val="auto"/>
                <w:sz w:val="24"/>
                <w:szCs w:val="24"/>
                <w:highlight w:val="none"/>
                <w:lang w:eastAsia="zh-CN"/>
              </w:rPr>
              <w:t>合同生效以及具备实施条件后7个工作日内支付签订合同后支付合同价的70％，</w:t>
            </w:r>
            <w:r>
              <w:rPr>
                <w:rFonts w:hint="eastAsia" w:ascii="Times New Roman" w:hAnsi="Times New Roman" w:eastAsia="宋体" w:cs="Times New Roman"/>
                <w:kern w:val="0"/>
                <w:sz w:val="24"/>
                <w:szCs w:val="24"/>
                <w:highlight w:val="none"/>
                <w:lang w:val="en-US" w:eastAsia="zh-CN" w:bidi="ar-SA"/>
              </w:rPr>
              <w:t>第一、二季度在预付款中按考核后的支付金额扣除，第三季度按考核后的支付金额在扣除预付款后不够的部分转账支付，第四季度根据年终综合考核结果进行转账支付。</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hint="default" w:hAnsi="宋体" w:eastAsia="宋体"/>
          <w:b/>
          <w:sz w:val="24"/>
          <w:szCs w:val="24"/>
          <w:highlight w:val="none"/>
          <w:lang w:val="en-US" w:eastAsia="zh-CN"/>
        </w:rPr>
      </w:pPr>
      <w:r>
        <w:rPr>
          <w:rFonts w:hint="eastAsia" w:hAnsi="宋体"/>
          <w:b/>
          <w:sz w:val="24"/>
          <w:szCs w:val="24"/>
          <w:highlight w:val="none"/>
        </w:rPr>
        <w:t>九、与本</w:t>
      </w:r>
      <w:r>
        <w:rPr>
          <w:rFonts w:hint="eastAsia" w:ascii="Times New Roman" w:hAnsi="Times New Roman" w:eastAsia="宋体" w:cs="Times New Roman"/>
          <w:b/>
          <w:bCs/>
          <w:sz w:val="24"/>
          <w:szCs w:val="24"/>
          <w:highlight w:val="none"/>
        </w:rPr>
        <w:t>项目</w:t>
      </w:r>
      <w:r>
        <w:rPr>
          <w:rFonts w:hint="eastAsia" w:hAnsi="宋体"/>
          <w:b/>
          <w:sz w:val="24"/>
          <w:szCs w:val="24"/>
          <w:highlight w:val="none"/>
        </w:rPr>
        <w:t>有关的文件</w:t>
      </w:r>
      <w:r>
        <w:rPr>
          <w:rFonts w:hint="eastAsia" w:hAnsi="宋体"/>
          <w:b/>
          <w:sz w:val="24"/>
          <w:szCs w:val="24"/>
          <w:highlight w:val="none"/>
          <w:lang w:eastAsia="zh-CN"/>
        </w:rPr>
        <w:t>（</w:t>
      </w:r>
      <w:r>
        <w:rPr>
          <w:rFonts w:hint="eastAsia" w:hAnsi="宋体"/>
          <w:b/>
          <w:sz w:val="24"/>
          <w:szCs w:val="24"/>
          <w:highlight w:val="none"/>
          <w:lang w:val="en-US" w:eastAsia="zh-CN"/>
        </w:rPr>
        <w:t>未指定的样式另行指定</w:t>
      </w:r>
      <w:r>
        <w:rPr>
          <w:rFonts w:hint="eastAsia" w:hAnsi="宋体"/>
          <w:b/>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附件1考核评估评分标准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附件2</w:t>
      </w:r>
      <w:r>
        <w:rPr>
          <w:rFonts w:hint="eastAsia"/>
          <w:sz w:val="24"/>
          <w:szCs w:val="24"/>
          <w:highlight w:val="none"/>
        </w:rPr>
        <w:t>病媒生物防制</w:t>
      </w:r>
      <w:r>
        <w:rPr>
          <w:rFonts w:hint="eastAsia"/>
          <w:sz w:val="24"/>
          <w:szCs w:val="24"/>
          <w:highlight w:val="none"/>
          <w:lang w:val="en-US" w:eastAsia="zh-CN"/>
        </w:rPr>
        <w:t>工作</w:t>
      </w:r>
      <w:r>
        <w:rPr>
          <w:rFonts w:hint="eastAsia"/>
          <w:sz w:val="24"/>
          <w:szCs w:val="24"/>
          <w:highlight w:val="none"/>
        </w:rPr>
        <w:t>消杀服务群众满意度调查表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附件3 社区公共环境</w:t>
      </w:r>
      <w:r>
        <w:rPr>
          <w:rFonts w:hint="eastAsia"/>
          <w:sz w:val="24"/>
          <w:szCs w:val="24"/>
          <w:highlight w:val="none"/>
        </w:rPr>
        <w:t>病媒生物防制</w:t>
      </w:r>
      <w:r>
        <w:rPr>
          <w:rFonts w:hint="eastAsia"/>
          <w:sz w:val="24"/>
          <w:szCs w:val="24"/>
          <w:highlight w:val="none"/>
          <w:lang w:val="en-US" w:eastAsia="zh-CN"/>
        </w:rPr>
        <w:t>工作</w:t>
      </w:r>
      <w:r>
        <w:rPr>
          <w:rFonts w:hint="eastAsia"/>
          <w:sz w:val="24"/>
          <w:szCs w:val="24"/>
          <w:highlight w:val="none"/>
        </w:rPr>
        <w:t>消杀服务现场检查记录表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附件4 各社区公共卫生环境基本情况表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附件5 西塘桥街道公共厕所明细表</w:t>
      </w:r>
    </w:p>
    <w:p>
      <w:pPr>
        <w:rPr>
          <w:rFonts w:hint="eastAsia"/>
          <w:sz w:val="24"/>
          <w:szCs w:val="24"/>
          <w:highlight w:val="none"/>
          <w:lang w:val="en-US" w:eastAsia="zh-CN"/>
        </w:rPr>
      </w:pPr>
      <w:r>
        <w:rPr>
          <w:rFonts w:hint="eastAsia"/>
          <w:sz w:val="24"/>
          <w:szCs w:val="24"/>
          <w:highlight w:val="none"/>
          <w:lang w:val="en-US" w:eastAsia="zh-CN"/>
        </w:rPr>
        <w:br w:type="page"/>
      </w:r>
    </w:p>
    <w:p>
      <w:pPr>
        <w:pStyle w:val="4"/>
        <w:jc w:val="both"/>
        <w:rPr>
          <w:rFonts w:hint="default"/>
          <w:sz w:val="24"/>
          <w:szCs w:val="24"/>
          <w:lang w:val="en-US" w:eastAsia="zh-CN"/>
        </w:rPr>
      </w:pPr>
      <w:r>
        <w:rPr>
          <w:rFonts w:hint="eastAsia"/>
          <w:sz w:val="24"/>
          <w:szCs w:val="24"/>
          <w:lang w:val="en-US" w:eastAsia="zh-CN"/>
        </w:rPr>
        <w:t>附件1</w:t>
      </w:r>
    </w:p>
    <w:p>
      <w:pPr>
        <w:spacing w:line="360" w:lineRule="auto"/>
        <w:ind w:firstLine="420"/>
        <w:jc w:val="center"/>
        <w:rPr>
          <w:rFonts w:ascii="微软雅黑" w:hAnsi="微软雅黑" w:eastAsia="微软雅黑" w:cs="微软雅黑"/>
          <w:b/>
          <w:sz w:val="30"/>
          <w:szCs w:val="30"/>
        </w:rPr>
      </w:pPr>
      <w:r>
        <w:rPr>
          <w:rFonts w:hint="eastAsia" w:ascii="微软雅黑" w:hAnsi="微软雅黑" w:eastAsia="微软雅黑" w:cs="微软雅黑"/>
          <w:b/>
          <w:sz w:val="30"/>
          <w:szCs w:val="30"/>
        </w:rPr>
        <w:t>现场考核评估评分标准</w:t>
      </w:r>
    </w:p>
    <w:p>
      <w:pPr>
        <w:pStyle w:val="16"/>
        <w:snapToGrid w:val="0"/>
        <w:spacing w:line="360" w:lineRule="auto"/>
        <w:ind w:left="357" w:hanging="408" w:hangingChars="170"/>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一、</w:t>
      </w:r>
      <w:r>
        <w:rPr>
          <w:rFonts w:hint="eastAsia" w:ascii="微软雅黑" w:hAnsi="微软雅黑" w:eastAsia="微软雅黑" w:cs="微软雅黑"/>
          <w:b/>
          <w:sz w:val="24"/>
          <w:szCs w:val="24"/>
          <w:lang w:val="en-US" w:eastAsia="zh-CN"/>
        </w:rPr>
        <w:t>灭鼠</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25分</w:t>
      </w:r>
      <w:r>
        <w:rPr>
          <w:rFonts w:hint="eastAsia" w:ascii="微软雅黑" w:hAnsi="微软雅黑" w:eastAsia="微软雅黑" w:cs="微软雅黑"/>
          <w:b/>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根据《中华人民共和国国家标准》（病媒生物密度控制水平 鼠类(GB/T 27770-2011)，达到鼠密度控制水平A级</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微软雅黑" w:hAnsi="微软雅黑" w:eastAsia="微软雅黑" w:cs="微软雅黑"/>
          <w:highlight w:val="yellow"/>
        </w:rPr>
      </w:pPr>
      <w:r>
        <w:rPr>
          <w:rFonts w:hint="eastAsia" w:ascii="宋体" w:hAnsi="宋体" w:eastAsia="宋体"/>
          <w:sz w:val="24"/>
          <w:szCs w:val="24"/>
          <w:lang w:val="en-US" w:eastAsia="zh-CN"/>
        </w:rPr>
        <w:t>防鼠设施合格率≥97%； 室内鼠迹阳性率≤1%；   外环境鼠路径指数≤1。</w:t>
      </w:r>
    </w:p>
    <w:p>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二、灭蚊</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15分</w:t>
      </w:r>
      <w:r>
        <w:rPr>
          <w:rFonts w:hint="eastAsia" w:ascii="微软雅黑" w:hAnsi="微软雅黑" w:eastAsia="微软雅黑" w:cs="微软雅黑"/>
          <w:b/>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根据《中华人民共和国国家标准》（病媒生物密度控制水平 蚊虫(GB/T 27771-2011)，达到蚊密度控制水平A级</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小型积水蚊虫路径指数≤0.1；大中型水体蚊虫采样勺指数≤1%，平均每阳性勺少于3只蚊幼虫和蛹；外环境蚊虫停落指数≤0.5。</w:t>
      </w:r>
    </w:p>
    <w:p>
      <w:pPr>
        <w:pStyle w:val="17"/>
        <w:rPr>
          <w:rFonts w:hint="eastAsia"/>
          <w:lang w:eastAsia="zh-CN"/>
        </w:rPr>
      </w:pPr>
    </w:p>
    <w:p>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三、灭蝇</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20分</w:t>
      </w:r>
      <w:r>
        <w:rPr>
          <w:rFonts w:hint="eastAsia" w:ascii="微软雅黑" w:hAnsi="微软雅黑" w:eastAsia="微软雅黑" w:cs="微软雅黑"/>
          <w:b/>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根据《中华人民共和国国家标准》（病媒生物密度控制水平 蝇类(GB/T 27772-2011)，达到蝇密度控制水平A级</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防蝇设施合格率≥98%；生产销售直接入口食品的场所不得有蝇，室内不得存在蝇类孳生地；室内有蝇房间阳性率≤3%，阳性间蝇密度≤3只/间；室外蝇类孳生地阳性率≤1%；</w:t>
      </w:r>
    </w:p>
    <w:p>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四、满意度调查</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20分</w:t>
      </w:r>
      <w:r>
        <w:rPr>
          <w:rFonts w:hint="eastAsia" w:ascii="微软雅黑" w:hAnsi="微软雅黑" w:eastAsia="微软雅黑" w:cs="微软雅黑"/>
          <w:b/>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按问卷调查表平均分折分，满意率达90%及以上得满分20分；满意率每下降5%（不足5%按5%计算），扣2分，70%以下不得分。</w:t>
      </w:r>
    </w:p>
    <w:p>
      <w:pPr>
        <w:pStyle w:val="16"/>
        <w:snapToGrid w:val="0"/>
        <w:spacing w:line="360" w:lineRule="auto"/>
        <w:ind w:left="357" w:hanging="408" w:hangingChars="170"/>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rPr>
        <w:t>五、日常工作检查</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20分</w:t>
      </w:r>
      <w:r>
        <w:rPr>
          <w:rFonts w:hint="eastAsia" w:ascii="微软雅黑" w:hAnsi="微软雅黑" w:eastAsia="微软雅黑" w:cs="微软雅黑"/>
          <w:b/>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eastAsia="宋体"/>
          <w:sz w:val="24"/>
          <w:szCs w:val="24"/>
          <w:lang w:val="en-US" w:eastAsia="zh-CN"/>
        </w:rPr>
        <w:sectPr>
          <w:footerReference r:id="rId9" w:type="first"/>
          <w:footerReference r:id="rId7" w:type="default"/>
          <w:footerReference r:id="rId8" w:type="even"/>
          <w:pgSz w:w="11906" w:h="16838"/>
          <w:pgMar w:top="1440" w:right="1797" w:bottom="1440" w:left="1797" w:header="851" w:footer="851" w:gutter="0"/>
          <w:cols w:space="720" w:num="1"/>
          <w:docGrid w:linePitch="312" w:charSpace="0"/>
        </w:sectPr>
      </w:pPr>
      <w:r>
        <w:rPr>
          <w:rFonts w:hint="eastAsia" w:hAnsi="宋体"/>
          <w:sz w:val="24"/>
          <w:szCs w:val="24"/>
          <w:lang w:val="en-US" w:eastAsia="zh-CN"/>
        </w:rPr>
        <w:t>各社区每月进行日常检查，</w:t>
      </w:r>
      <w:r>
        <w:rPr>
          <w:rFonts w:hint="eastAsia" w:ascii="宋体" w:hAnsi="宋体" w:eastAsia="宋体"/>
          <w:sz w:val="24"/>
          <w:szCs w:val="24"/>
          <w:lang w:val="en-US" w:eastAsia="zh-CN"/>
        </w:rPr>
        <w:t>根据日常检查结果，酌情扣分，满分20分。</w:t>
      </w:r>
    </w:p>
    <w:p>
      <w:pPr>
        <w:rPr>
          <w:rFonts w:hint="eastAsia"/>
          <w:b/>
          <w:lang w:val="en-US" w:eastAsia="zh-CN"/>
        </w:rPr>
      </w:pPr>
      <w:r>
        <w:rPr>
          <w:rFonts w:hint="eastAsia"/>
          <w:b/>
          <w:lang w:val="en-US" w:eastAsia="zh-CN"/>
        </w:rPr>
        <w:t>附件2</w:t>
      </w:r>
    </w:p>
    <w:p>
      <w:pPr>
        <w:rPr>
          <w:rFonts w:hint="eastAsia"/>
          <w:b/>
          <w:lang w:val="en-US" w:eastAsia="zh-CN"/>
        </w:rPr>
      </w:pPr>
    </w:p>
    <w:p>
      <w:pPr>
        <w:spacing w:line="400" w:lineRule="exact"/>
        <w:jc w:val="center"/>
        <w:rPr>
          <w:rFonts w:hint="eastAsia" w:ascii="宋体" w:hAnsi="宋体"/>
          <w:b/>
          <w:spacing w:val="30"/>
          <w:sz w:val="28"/>
        </w:rPr>
      </w:pPr>
      <w:r>
        <w:rPr>
          <w:rFonts w:hint="eastAsia" w:ascii="宋体" w:hAnsi="宋体"/>
          <w:b/>
          <w:spacing w:val="30"/>
          <w:sz w:val="28"/>
        </w:rPr>
        <w:t>病媒生物防制</w:t>
      </w:r>
      <w:r>
        <w:rPr>
          <w:rFonts w:hint="eastAsia" w:ascii="宋体" w:hAnsi="宋体"/>
          <w:b/>
          <w:spacing w:val="30"/>
          <w:sz w:val="28"/>
          <w:lang w:val="en-US" w:eastAsia="zh-CN"/>
        </w:rPr>
        <w:t>工作</w:t>
      </w:r>
      <w:r>
        <w:rPr>
          <w:rFonts w:hint="eastAsia" w:ascii="宋体" w:hAnsi="宋体"/>
          <w:b/>
          <w:spacing w:val="30"/>
          <w:sz w:val="28"/>
        </w:rPr>
        <w:t>消杀服务群众满意度调查表</w:t>
      </w:r>
    </w:p>
    <w:p>
      <w:pPr>
        <w:spacing w:line="400" w:lineRule="exact"/>
        <w:jc w:val="center"/>
        <w:rPr>
          <w:rFonts w:hint="eastAsia" w:ascii="宋体" w:hAnsi="宋体"/>
          <w:b/>
          <w:spacing w:val="30"/>
          <w:sz w:val="28"/>
        </w:rPr>
      </w:pPr>
    </w:p>
    <w:p>
      <w:pPr>
        <w:ind w:firstLine="424" w:firstLineChars="2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西塘桥街道</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社区                                                        </w:t>
      </w:r>
    </w:p>
    <w:p>
      <w:pPr>
        <w:ind w:firstLine="424" w:firstLineChars="200"/>
        <w:rPr>
          <w:rFonts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1127125</wp:posOffset>
                </wp:positionH>
                <wp:positionV relativeFrom="paragraph">
                  <wp:posOffset>16510</wp:posOffset>
                </wp:positionV>
                <wp:extent cx="830580" cy="11430"/>
                <wp:effectExtent l="0" t="4445" r="7620" b="12700"/>
                <wp:wrapNone/>
                <wp:docPr id="10" name="直接连接符 10"/>
                <wp:cNvGraphicFramePr/>
                <a:graphic xmlns:a="http://schemas.openxmlformats.org/drawingml/2006/main">
                  <a:graphicData uri="http://schemas.microsoft.com/office/word/2010/wordprocessingShape">
                    <wps:wsp>
                      <wps:cNvCnPr/>
                      <wps:spPr>
                        <a:xfrm>
                          <a:off x="0" y="0"/>
                          <a:ext cx="83058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8.75pt;margin-top:1.3pt;height:0.9pt;width:65.4pt;z-index:251662336;mso-width-relative:page;mso-height-relative:page;" filled="f" stroked="t" coordsize="21600,21600" o:gfxdata="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KyvMtUAAAAHAQAADwAAAAAAAAABACAAAAAiAAAAZHJzL2Rvd25yZXYu&#10;eG1sUEsBAhQAFAAAAAgAh07iQMkgGfT+AQAA9wMAAA4AAAAAAAAAAQAgAAAAJAEAAGRycy9lMm9E&#10;b2MueG1sUEsFBgAAAAAGAAYAWQEAAJQFAAAAAA==&#10;">
                <v:fill on="f" focussize="0,0"/>
                <v:stroke color="#000000" joinstyle="round"/>
                <v:imagedata o:title=""/>
                <o:lock v:ext="edit" aspectratio="f"/>
              </v:line>
            </w:pict>
          </mc:Fallback>
        </mc:AlternateContent>
      </w:r>
    </w:p>
    <w:tbl>
      <w:tblPr>
        <w:tblStyle w:val="27"/>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2520"/>
        <w:gridCol w:w="2806"/>
        <w:gridCol w:w="2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28" w:type="dxa"/>
            <w:noWrap w:val="0"/>
            <w:vAlign w:val="center"/>
          </w:tcPr>
          <w:p>
            <w:pPr>
              <w:spacing w:line="360" w:lineRule="auto"/>
              <w:jc w:val="center"/>
              <w:rPr>
                <w:rFonts w:ascii="宋体" w:hAnsi="宋体"/>
                <w:szCs w:val="21"/>
              </w:rPr>
            </w:pPr>
            <w:r>
              <w:rPr>
                <w:rFonts w:hint="eastAsia" w:ascii="宋体" w:hAnsi="宋体"/>
                <w:szCs w:val="21"/>
              </w:rPr>
              <w:t>评价项目</w:t>
            </w:r>
          </w:p>
        </w:tc>
        <w:tc>
          <w:tcPr>
            <w:tcW w:w="7990" w:type="dxa"/>
            <w:gridSpan w:val="3"/>
            <w:noWrap w:val="0"/>
            <w:vAlign w:val="center"/>
          </w:tcPr>
          <w:p>
            <w:pPr>
              <w:spacing w:line="360" w:lineRule="auto"/>
              <w:jc w:val="center"/>
              <w:rPr>
                <w:rFonts w:ascii="宋体" w:hAnsi="宋体"/>
                <w:szCs w:val="21"/>
              </w:rPr>
            </w:pPr>
            <w:r>
              <w:rPr>
                <w:rFonts w:hint="eastAsia" w:ascii="宋体" w:hAnsi="宋体"/>
                <w:szCs w:val="21"/>
              </w:rPr>
              <w:t>评价结论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pPr>
              <w:spacing w:line="360" w:lineRule="auto"/>
              <w:jc w:val="center"/>
              <w:rPr>
                <w:rFonts w:ascii="宋体" w:hAnsi="宋体"/>
                <w:szCs w:val="21"/>
              </w:rPr>
            </w:pPr>
            <w:r>
              <w:rPr>
                <w:rFonts w:hint="eastAsia" w:ascii="宋体" w:hAnsi="宋体"/>
                <w:szCs w:val="21"/>
              </w:rPr>
              <w:t>灭鼠效果</w:t>
            </w:r>
          </w:p>
        </w:tc>
        <w:tc>
          <w:tcPr>
            <w:tcW w:w="2520" w:type="dxa"/>
            <w:noWrap w:val="0"/>
            <w:vAlign w:val="center"/>
          </w:tcPr>
          <w:p>
            <w:pPr>
              <w:spacing w:line="360" w:lineRule="auto"/>
              <w:jc w:val="center"/>
              <w:rPr>
                <w:rFonts w:ascii="宋体" w:hAnsi="宋体"/>
                <w:szCs w:val="21"/>
              </w:rPr>
            </w:pPr>
            <w:r>
              <w:rPr>
                <w:rFonts w:hint="eastAsia" w:ascii="宋体" w:hAnsi="宋体"/>
                <w:szCs w:val="21"/>
              </w:rPr>
              <w:t>好</w:t>
            </w:r>
          </w:p>
        </w:tc>
        <w:tc>
          <w:tcPr>
            <w:tcW w:w="2806" w:type="dxa"/>
            <w:noWrap w:val="0"/>
            <w:vAlign w:val="center"/>
          </w:tcPr>
          <w:p>
            <w:pPr>
              <w:spacing w:line="360" w:lineRule="auto"/>
              <w:jc w:val="center"/>
              <w:rPr>
                <w:rFonts w:ascii="宋体" w:hAnsi="宋体"/>
                <w:szCs w:val="21"/>
              </w:rPr>
            </w:pPr>
            <w:r>
              <w:rPr>
                <w:rFonts w:hint="eastAsia" w:ascii="宋体" w:hAnsi="宋体"/>
                <w:szCs w:val="21"/>
              </w:rPr>
              <w:t>一般</w:t>
            </w:r>
          </w:p>
        </w:tc>
        <w:tc>
          <w:tcPr>
            <w:tcW w:w="2664" w:type="dxa"/>
            <w:noWrap w:val="0"/>
            <w:vAlign w:val="center"/>
          </w:tcPr>
          <w:p>
            <w:pPr>
              <w:spacing w:line="360" w:lineRule="auto"/>
              <w:jc w:val="center"/>
              <w:rPr>
                <w:rFonts w:ascii="宋体" w:hAnsi="宋体"/>
                <w:szCs w:val="21"/>
              </w:rPr>
            </w:pPr>
            <w:r>
              <w:rPr>
                <w:rFonts w:hint="eastAsia" w:ascii="宋体" w:hAnsi="宋体"/>
                <w:szCs w:val="21"/>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pPr>
              <w:spacing w:line="360" w:lineRule="auto"/>
              <w:jc w:val="center"/>
              <w:rPr>
                <w:rFonts w:ascii="宋体" w:hAnsi="宋体"/>
                <w:szCs w:val="21"/>
              </w:rPr>
            </w:pPr>
            <w:r>
              <w:rPr>
                <w:rFonts w:hint="eastAsia" w:ascii="宋体" w:hAnsi="宋体"/>
                <w:szCs w:val="21"/>
              </w:rPr>
              <w:t>灭蚊效果</w:t>
            </w:r>
          </w:p>
        </w:tc>
        <w:tc>
          <w:tcPr>
            <w:tcW w:w="2520" w:type="dxa"/>
            <w:noWrap w:val="0"/>
            <w:vAlign w:val="center"/>
          </w:tcPr>
          <w:p>
            <w:pPr>
              <w:spacing w:line="360" w:lineRule="auto"/>
              <w:jc w:val="center"/>
              <w:rPr>
                <w:rFonts w:ascii="宋体" w:hAnsi="宋体"/>
                <w:szCs w:val="21"/>
              </w:rPr>
            </w:pPr>
            <w:r>
              <w:rPr>
                <w:rFonts w:hint="eastAsia" w:ascii="宋体" w:hAnsi="宋体"/>
                <w:szCs w:val="21"/>
              </w:rPr>
              <w:t>好</w:t>
            </w:r>
          </w:p>
        </w:tc>
        <w:tc>
          <w:tcPr>
            <w:tcW w:w="2806" w:type="dxa"/>
            <w:noWrap w:val="0"/>
            <w:vAlign w:val="center"/>
          </w:tcPr>
          <w:p>
            <w:pPr>
              <w:spacing w:line="360" w:lineRule="auto"/>
              <w:jc w:val="center"/>
              <w:rPr>
                <w:rFonts w:ascii="宋体" w:hAnsi="宋体"/>
                <w:szCs w:val="21"/>
              </w:rPr>
            </w:pPr>
            <w:r>
              <w:rPr>
                <w:rFonts w:hint="eastAsia" w:ascii="宋体" w:hAnsi="宋体"/>
                <w:szCs w:val="21"/>
              </w:rPr>
              <w:t>一般</w:t>
            </w:r>
          </w:p>
        </w:tc>
        <w:tc>
          <w:tcPr>
            <w:tcW w:w="2664" w:type="dxa"/>
            <w:noWrap w:val="0"/>
            <w:vAlign w:val="center"/>
          </w:tcPr>
          <w:p>
            <w:pPr>
              <w:spacing w:line="360" w:lineRule="auto"/>
              <w:jc w:val="center"/>
              <w:rPr>
                <w:rFonts w:ascii="宋体" w:hAnsi="宋体"/>
                <w:szCs w:val="21"/>
              </w:rPr>
            </w:pPr>
            <w:r>
              <w:rPr>
                <w:rFonts w:hint="eastAsia" w:ascii="宋体" w:hAnsi="宋体"/>
                <w:szCs w:val="21"/>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pPr>
              <w:spacing w:line="360" w:lineRule="auto"/>
              <w:jc w:val="center"/>
              <w:rPr>
                <w:rFonts w:ascii="宋体" w:hAnsi="宋体"/>
                <w:szCs w:val="21"/>
              </w:rPr>
            </w:pPr>
            <w:r>
              <w:rPr>
                <w:rFonts w:hint="eastAsia" w:ascii="宋体" w:hAnsi="宋体"/>
                <w:szCs w:val="21"/>
              </w:rPr>
              <w:t>灭蝇效果</w:t>
            </w:r>
          </w:p>
        </w:tc>
        <w:tc>
          <w:tcPr>
            <w:tcW w:w="2520" w:type="dxa"/>
            <w:noWrap w:val="0"/>
            <w:vAlign w:val="center"/>
          </w:tcPr>
          <w:p>
            <w:pPr>
              <w:spacing w:line="360" w:lineRule="auto"/>
              <w:jc w:val="center"/>
              <w:rPr>
                <w:rFonts w:ascii="宋体" w:hAnsi="宋体"/>
                <w:szCs w:val="21"/>
              </w:rPr>
            </w:pPr>
            <w:r>
              <w:rPr>
                <w:rFonts w:hint="eastAsia" w:ascii="宋体" w:hAnsi="宋体"/>
                <w:szCs w:val="21"/>
              </w:rPr>
              <w:t>好</w:t>
            </w:r>
          </w:p>
        </w:tc>
        <w:tc>
          <w:tcPr>
            <w:tcW w:w="2806" w:type="dxa"/>
            <w:noWrap w:val="0"/>
            <w:vAlign w:val="center"/>
          </w:tcPr>
          <w:p>
            <w:pPr>
              <w:spacing w:line="360" w:lineRule="auto"/>
              <w:jc w:val="center"/>
              <w:rPr>
                <w:rFonts w:ascii="宋体" w:hAnsi="宋体"/>
                <w:szCs w:val="21"/>
              </w:rPr>
            </w:pPr>
            <w:r>
              <w:rPr>
                <w:rFonts w:hint="eastAsia" w:ascii="宋体" w:hAnsi="宋体"/>
                <w:szCs w:val="21"/>
              </w:rPr>
              <w:t>一般</w:t>
            </w:r>
          </w:p>
        </w:tc>
        <w:tc>
          <w:tcPr>
            <w:tcW w:w="2664" w:type="dxa"/>
            <w:noWrap w:val="0"/>
            <w:vAlign w:val="center"/>
          </w:tcPr>
          <w:p>
            <w:pPr>
              <w:spacing w:line="360" w:lineRule="auto"/>
              <w:jc w:val="center"/>
              <w:rPr>
                <w:rFonts w:ascii="宋体" w:hAnsi="宋体"/>
                <w:szCs w:val="21"/>
              </w:rPr>
            </w:pPr>
            <w:r>
              <w:rPr>
                <w:rFonts w:hint="eastAsia" w:ascii="宋体" w:hAnsi="宋体"/>
                <w:szCs w:val="21"/>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pPr>
              <w:spacing w:line="400" w:lineRule="exact"/>
              <w:jc w:val="center"/>
              <w:rPr>
                <w:rFonts w:ascii="宋体" w:hAnsi="宋体"/>
                <w:szCs w:val="21"/>
              </w:rPr>
            </w:pPr>
            <w:r>
              <w:rPr>
                <w:rFonts w:hint="eastAsia" w:ascii="宋体" w:hAnsi="宋体"/>
                <w:szCs w:val="21"/>
              </w:rPr>
              <w:t>对消杀人员服务态度的评价</w:t>
            </w:r>
          </w:p>
        </w:tc>
        <w:tc>
          <w:tcPr>
            <w:tcW w:w="2520" w:type="dxa"/>
            <w:noWrap w:val="0"/>
            <w:vAlign w:val="center"/>
          </w:tcPr>
          <w:p>
            <w:pPr>
              <w:spacing w:line="360" w:lineRule="auto"/>
              <w:jc w:val="center"/>
              <w:rPr>
                <w:rFonts w:ascii="宋体" w:hAnsi="宋体"/>
                <w:szCs w:val="21"/>
              </w:rPr>
            </w:pPr>
            <w:r>
              <w:rPr>
                <w:rFonts w:hint="eastAsia" w:ascii="宋体" w:hAnsi="宋体"/>
                <w:szCs w:val="21"/>
              </w:rPr>
              <w:t>满意</w:t>
            </w:r>
          </w:p>
        </w:tc>
        <w:tc>
          <w:tcPr>
            <w:tcW w:w="2806" w:type="dxa"/>
            <w:noWrap w:val="0"/>
            <w:vAlign w:val="center"/>
          </w:tcPr>
          <w:p>
            <w:pPr>
              <w:spacing w:line="360" w:lineRule="auto"/>
              <w:jc w:val="center"/>
              <w:rPr>
                <w:rFonts w:ascii="宋体" w:hAnsi="宋体"/>
                <w:szCs w:val="21"/>
              </w:rPr>
            </w:pPr>
            <w:r>
              <w:rPr>
                <w:rFonts w:hint="eastAsia" w:ascii="宋体" w:hAnsi="宋体"/>
                <w:szCs w:val="21"/>
              </w:rPr>
              <w:t>基本满意</w:t>
            </w:r>
          </w:p>
        </w:tc>
        <w:tc>
          <w:tcPr>
            <w:tcW w:w="2664" w:type="dxa"/>
            <w:noWrap w:val="0"/>
            <w:vAlign w:val="center"/>
          </w:tcPr>
          <w:p>
            <w:pPr>
              <w:spacing w:line="360" w:lineRule="auto"/>
              <w:jc w:val="center"/>
              <w:rPr>
                <w:rFonts w:ascii="宋体" w:hAnsi="宋体"/>
                <w:szCs w:val="21"/>
              </w:rPr>
            </w:pPr>
            <w:r>
              <w:rPr>
                <w:rFonts w:hint="eastAsia" w:ascii="宋体" w:hAnsi="宋体"/>
                <w:szCs w:val="21"/>
              </w:rPr>
              <w:t>不满意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noWrap w:val="0"/>
            <w:vAlign w:val="center"/>
          </w:tcPr>
          <w:p>
            <w:pPr>
              <w:spacing w:line="360" w:lineRule="auto"/>
              <w:jc w:val="center"/>
              <w:rPr>
                <w:rFonts w:ascii="宋体" w:hAnsi="宋体"/>
                <w:szCs w:val="21"/>
              </w:rPr>
            </w:pPr>
            <w:r>
              <w:rPr>
                <w:rFonts w:hint="eastAsia" w:ascii="宋体" w:hAnsi="宋体"/>
                <w:szCs w:val="21"/>
              </w:rPr>
              <w:t>总体评价</w:t>
            </w:r>
          </w:p>
        </w:tc>
        <w:tc>
          <w:tcPr>
            <w:tcW w:w="2520" w:type="dxa"/>
            <w:noWrap w:val="0"/>
            <w:vAlign w:val="center"/>
          </w:tcPr>
          <w:p>
            <w:pPr>
              <w:spacing w:line="360" w:lineRule="auto"/>
              <w:jc w:val="center"/>
              <w:rPr>
                <w:rFonts w:ascii="宋体" w:hAnsi="宋体"/>
                <w:szCs w:val="21"/>
              </w:rPr>
            </w:pPr>
            <w:r>
              <w:rPr>
                <w:rFonts w:hint="eastAsia" w:ascii="宋体" w:hAnsi="宋体"/>
                <w:szCs w:val="21"/>
              </w:rPr>
              <w:t>满意</w:t>
            </w:r>
          </w:p>
        </w:tc>
        <w:tc>
          <w:tcPr>
            <w:tcW w:w="2806" w:type="dxa"/>
            <w:noWrap w:val="0"/>
            <w:vAlign w:val="center"/>
          </w:tcPr>
          <w:p>
            <w:pPr>
              <w:spacing w:line="360" w:lineRule="auto"/>
              <w:jc w:val="center"/>
              <w:rPr>
                <w:rFonts w:ascii="宋体" w:hAnsi="宋体"/>
                <w:szCs w:val="21"/>
              </w:rPr>
            </w:pPr>
            <w:r>
              <w:rPr>
                <w:rFonts w:hint="eastAsia" w:ascii="宋体" w:hAnsi="宋体"/>
                <w:szCs w:val="21"/>
              </w:rPr>
              <w:t>基本满意</w:t>
            </w:r>
          </w:p>
        </w:tc>
        <w:tc>
          <w:tcPr>
            <w:tcW w:w="2664" w:type="dxa"/>
            <w:noWrap w:val="0"/>
            <w:vAlign w:val="center"/>
          </w:tcPr>
          <w:p>
            <w:pPr>
              <w:spacing w:line="360" w:lineRule="auto"/>
              <w:jc w:val="center"/>
              <w:rPr>
                <w:rFonts w:ascii="宋体" w:hAnsi="宋体"/>
                <w:szCs w:val="21"/>
              </w:rPr>
            </w:pPr>
            <w:r>
              <w:rPr>
                <w:rFonts w:hint="eastAsia" w:ascii="宋体" w:hAnsi="宋体"/>
                <w:szCs w:val="21"/>
              </w:rPr>
              <w:t>不满意</w:t>
            </w:r>
          </w:p>
        </w:tc>
      </w:tr>
    </w:tbl>
    <w:p>
      <w:pPr>
        <w:pStyle w:val="14"/>
        <w:tabs>
          <w:tab w:val="left" w:pos="900"/>
        </w:tabs>
        <w:autoSpaceDE/>
        <w:autoSpaceDN/>
        <w:adjustRightInd/>
        <w:spacing w:line="400" w:lineRule="exact"/>
        <w:ind w:firstLine="301"/>
        <w:rPr>
          <w:rFonts w:ascii="宋体" w:hAnsi="宋体" w:eastAsia="宋体"/>
          <w:sz w:val="21"/>
          <w:szCs w:val="21"/>
          <w:lang w:val="en-US"/>
        </w:rPr>
      </w:pPr>
      <w:r>
        <w:rPr>
          <w:rFonts w:ascii="宋体" w:hAnsi="宋体" w:eastAsia="宋体"/>
          <w:sz w:val="21"/>
          <w:szCs w:val="21"/>
          <w:lang w:val="en-US"/>
        </w:rPr>
        <w:t>注：好：鼠、</w:t>
      </w:r>
      <w:r>
        <w:rPr>
          <w:rFonts w:hint="eastAsia" w:ascii="宋体" w:hAnsi="宋体"/>
          <w:sz w:val="21"/>
          <w:szCs w:val="21"/>
          <w:lang w:val="en-US" w:eastAsia="zh-CN"/>
        </w:rPr>
        <w:t>蚊</w:t>
      </w:r>
      <w:r>
        <w:rPr>
          <w:rFonts w:ascii="宋体" w:hAnsi="宋体" w:eastAsia="宋体"/>
          <w:sz w:val="21"/>
          <w:szCs w:val="21"/>
          <w:lang w:val="en-US"/>
        </w:rPr>
        <w:t>、蝇明显减少；一般：鼠、</w:t>
      </w:r>
      <w:r>
        <w:rPr>
          <w:rFonts w:hint="eastAsia" w:ascii="宋体" w:hAnsi="宋体"/>
          <w:sz w:val="21"/>
          <w:szCs w:val="21"/>
          <w:lang w:val="en-US" w:eastAsia="zh-CN"/>
        </w:rPr>
        <w:t>蚊</w:t>
      </w:r>
      <w:r>
        <w:rPr>
          <w:rFonts w:ascii="宋体" w:hAnsi="宋体" w:eastAsia="宋体"/>
          <w:sz w:val="21"/>
          <w:szCs w:val="21"/>
          <w:lang w:val="en-US"/>
        </w:rPr>
        <w:t>、蝇略有减少；差：鼠、</w:t>
      </w:r>
      <w:r>
        <w:rPr>
          <w:rFonts w:hint="eastAsia" w:ascii="宋体" w:hAnsi="宋体"/>
          <w:sz w:val="21"/>
          <w:szCs w:val="21"/>
          <w:lang w:val="en-US" w:eastAsia="zh-CN"/>
        </w:rPr>
        <w:t>蚊</w:t>
      </w:r>
      <w:r>
        <w:rPr>
          <w:rFonts w:ascii="宋体" w:hAnsi="宋体" w:eastAsia="宋体"/>
          <w:sz w:val="21"/>
          <w:szCs w:val="21"/>
          <w:lang w:val="en-US"/>
        </w:rPr>
        <w:t>、蝇较往年差别不大。请在评价结论处打“√”表示。</w:t>
      </w:r>
    </w:p>
    <w:p>
      <w:pPr>
        <w:pStyle w:val="14"/>
        <w:tabs>
          <w:tab w:val="left" w:pos="900"/>
        </w:tabs>
        <w:autoSpaceDE/>
        <w:autoSpaceDN/>
        <w:adjustRightInd/>
        <w:spacing w:line="400" w:lineRule="exact"/>
        <w:ind w:firstLine="301"/>
        <w:rPr>
          <w:rFonts w:ascii="宋体" w:hAnsi="宋体" w:eastAsia="宋体"/>
          <w:sz w:val="21"/>
          <w:szCs w:val="21"/>
          <w:lang w:val="en-US"/>
        </w:rPr>
      </w:pPr>
      <w:r>
        <w:rPr>
          <w:rFonts w:hint="eastAsia" w:ascii="宋体" w:hAnsi="宋体" w:eastAsia="宋体"/>
          <w:sz w:val="21"/>
          <w:szCs w:val="21"/>
          <w:lang w:val="en-US"/>
        </w:rPr>
        <w:t>建议意见：</w:t>
      </w:r>
    </w:p>
    <w:p>
      <w:pPr>
        <w:spacing w:line="480" w:lineRule="auto"/>
        <w:ind w:firstLine="424" w:firstLineChars="200"/>
        <w:rPr>
          <w:rFonts w:ascii="宋体" w:hAnsi="宋体"/>
          <w:szCs w:val="21"/>
        </w:rPr>
      </w:pPr>
    </w:p>
    <w:p>
      <w:pPr>
        <w:rPr>
          <w:rFonts w:hint="eastAsia" w:ascii="宋体" w:hAnsi="宋体"/>
          <w:szCs w:val="21"/>
        </w:rPr>
      </w:pPr>
      <w:r>
        <w:rPr>
          <w:rFonts w:ascii="宋体" w:hAnsi="宋体"/>
          <w:szCs w:val="21"/>
        </w:rPr>
        <w:t xml:space="preserve">  </w:t>
      </w:r>
      <w:r>
        <w:rPr>
          <w:rFonts w:hint="eastAsia" w:ascii="宋体" w:hAnsi="宋体"/>
          <w:szCs w:val="21"/>
        </w:rPr>
        <w:t>调查单位：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调查人：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调查时间：</w:t>
      </w:r>
    </w:p>
    <w:p>
      <w:pPr>
        <w:rPr>
          <w:rFonts w:hint="eastAsia" w:ascii="宋体" w:hAnsi="宋体"/>
          <w:szCs w:val="21"/>
        </w:rPr>
      </w:pPr>
    </w:p>
    <w:p>
      <w:pPr>
        <w:rPr>
          <w:rFonts w:hint="eastAsia" w:ascii="宋体" w:hAnsi="宋体"/>
          <w:szCs w:val="21"/>
        </w:rPr>
      </w:pPr>
    </w:p>
    <w:p>
      <w:pPr>
        <w:pStyle w:val="14"/>
        <w:tabs>
          <w:tab w:val="left" w:pos="900"/>
        </w:tabs>
        <w:ind w:firstLine="0"/>
        <w:rPr>
          <w:rFonts w:hint="eastAsia"/>
        </w:rPr>
        <w:sectPr>
          <w:headerReference r:id="rId10" w:type="default"/>
          <w:footerReference r:id="rId11" w:type="default"/>
          <w:pgSz w:w="16783" w:h="11850" w:orient="landscape"/>
          <w:pgMar w:top="1134" w:right="1020" w:bottom="1134" w:left="1020" w:header="851" w:footer="992" w:gutter="0"/>
          <w:cols w:space="720" w:num="1"/>
          <w:docGrid w:type="linesAndChars" w:linePitch="320" w:charSpace="482"/>
        </w:sectPr>
      </w:pPr>
      <w:r>
        <w:rPr>
          <w:rFonts w:hint="eastAsia" w:ascii="宋体" w:hAnsi="宋体" w:eastAsia="宋体" w:cs="宋体"/>
          <w:b/>
          <w:bCs/>
          <w:sz w:val="21"/>
          <w:szCs w:val="21"/>
        </w:rPr>
        <w:t>备注：此表由</w:t>
      </w:r>
      <w:r>
        <w:rPr>
          <w:rFonts w:hint="eastAsia" w:ascii="宋体" w:hAnsi="宋体" w:cs="宋体"/>
          <w:b/>
          <w:bCs/>
          <w:sz w:val="21"/>
          <w:szCs w:val="21"/>
          <w:lang w:val="en-US" w:eastAsia="zh-CN"/>
        </w:rPr>
        <w:t>街道、</w:t>
      </w:r>
      <w:r>
        <w:rPr>
          <w:rFonts w:hint="eastAsia" w:ascii="宋体" w:hAnsi="宋体" w:eastAsia="宋体" w:cs="宋体"/>
          <w:b/>
          <w:bCs/>
          <w:sz w:val="21"/>
          <w:szCs w:val="21"/>
        </w:rPr>
        <w:t>社区调查使用，每次调查重点行业业主不少于</w:t>
      </w:r>
      <w:r>
        <w:rPr>
          <w:rFonts w:hint="eastAsia" w:ascii="宋体" w:hAnsi="宋体" w:eastAsia="宋体" w:cs="宋体"/>
          <w:b/>
          <w:bCs/>
          <w:sz w:val="21"/>
          <w:szCs w:val="21"/>
          <w:lang w:val="en-US"/>
        </w:rPr>
        <w:t>10人，</w:t>
      </w:r>
      <w:r>
        <w:rPr>
          <w:rFonts w:hint="eastAsia" w:ascii="宋体" w:hAnsi="宋体" w:cs="宋体"/>
          <w:b/>
          <w:bCs/>
          <w:sz w:val="21"/>
          <w:szCs w:val="21"/>
          <w:lang w:val="en-US" w:eastAsia="zh-CN"/>
        </w:rPr>
        <w:t>社区</w:t>
      </w:r>
      <w:r>
        <w:rPr>
          <w:rFonts w:hint="eastAsia" w:ascii="宋体" w:hAnsi="宋体" w:eastAsia="宋体" w:cs="宋体"/>
          <w:b/>
          <w:bCs/>
          <w:sz w:val="21"/>
          <w:szCs w:val="21"/>
          <w:lang w:val="en-US"/>
        </w:rPr>
        <w:t>将调查结果汇总后报送街道爱卫办。</w:t>
      </w:r>
    </w:p>
    <w:p>
      <w:pPr>
        <w:rPr>
          <w:rFonts w:hint="eastAsia" w:ascii="宋体" w:hAnsi="宋体" w:eastAsia="宋体"/>
          <w:b/>
          <w:kern w:val="0"/>
          <w:szCs w:val="21"/>
          <w:lang w:val="en-US" w:eastAsia="zh-CN"/>
        </w:rPr>
      </w:pPr>
      <w:r>
        <w:rPr>
          <w:rFonts w:hint="eastAsia" w:ascii="宋体" w:hAnsi="宋体"/>
          <w:b/>
          <w:szCs w:val="21"/>
        </w:rPr>
        <w:t>附件</w:t>
      </w:r>
      <w:r>
        <w:rPr>
          <w:rFonts w:hint="eastAsia" w:ascii="宋体" w:hAnsi="宋体"/>
          <w:b/>
          <w:szCs w:val="21"/>
          <w:lang w:val="en-US" w:eastAsia="zh-CN"/>
        </w:rPr>
        <w:t>3</w:t>
      </w:r>
    </w:p>
    <w:p>
      <w:pPr>
        <w:ind w:firstLine="1272" w:firstLineChars="600"/>
        <w:rPr>
          <w:rFonts w:ascii="宋体" w:hAnsi="宋体"/>
          <w:szCs w:val="21"/>
        </w:rPr>
      </w:pPr>
    </w:p>
    <w:p>
      <w:pPr>
        <w:spacing w:line="400" w:lineRule="exact"/>
        <w:jc w:val="center"/>
        <w:rPr>
          <w:rFonts w:hint="eastAsia" w:ascii="宋体" w:hAnsi="宋体"/>
          <w:b/>
          <w:spacing w:val="30"/>
          <w:sz w:val="28"/>
        </w:rPr>
      </w:pPr>
    </w:p>
    <w:p>
      <w:pPr>
        <w:spacing w:line="400" w:lineRule="exact"/>
        <w:jc w:val="center"/>
        <w:rPr>
          <w:rFonts w:hint="eastAsia" w:ascii="宋体" w:hAnsi="宋体"/>
          <w:b/>
          <w:spacing w:val="30"/>
          <w:sz w:val="28"/>
        </w:rPr>
      </w:pPr>
      <w:r>
        <w:rPr>
          <w:rFonts w:hint="eastAsia" w:ascii="宋体" w:hAnsi="宋体"/>
          <w:b/>
          <w:spacing w:val="30"/>
          <w:sz w:val="28"/>
          <w:lang w:val="en-US" w:eastAsia="zh-CN"/>
        </w:rPr>
        <w:t>社区公共环境</w:t>
      </w:r>
      <w:r>
        <w:rPr>
          <w:rFonts w:hint="eastAsia" w:ascii="宋体" w:hAnsi="宋体"/>
          <w:b/>
          <w:spacing w:val="30"/>
          <w:sz w:val="28"/>
        </w:rPr>
        <w:t>病媒生物防制</w:t>
      </w:r>
      <w:r>
        <w:rPr>
          <w:rFonts w:hint="eastAsia" w:ascii="宋体" w:hAnsi="宋体"/>
          <w:b/>
          <w:spacing w:val="30"/>
          <w:sz w:val="28"/>
          <w:lang w:val="en-US" w:eastAsia="zh-CN"/>
        </w:rPr>
        <w:t>工作</w:t>
      </w:r>
      <w:r>
        <w:rPr>
          <w:rFonts w:hint="eastAsia" w:ascii="宋体" w:hAnsi="宋体"/>
          <w:b/>
          <w:spacing w:val="30"/>
          <w:sz w:val="28"/>
        </w:rPr>
        <w:t>消杀服务现场检查记录表</w:t>
      </w:r>
    </w:p>
    <w:tbl>
      <w:tblPr>
        <w:tblStyle w:val="27"/>
        <w:tblW w:w="118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56"/>
        <w:gridCol w:w="1005"/>
        <w:gridCol w:w="865"/>
        <w:gridCol w:w="1027"/>
        <w:gridCol w:w="1131"/>
        <w:gridCol w:w="1085"/>
        <w:gridCol w:w="1592"/>
        <w:gridCol w:w="1142"/>
        <w:gridCol w:w="946"/>
        <w:gridCol w:w="1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日期</w:t>
            </w:r>
          </w:p>
        </w:tc>
        <w:tc>
          <w:tcPr>
            <w:tcW w:w="19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鼠</w:t>
            </w:r>
          </w:p>
        </w:tc>
        <w:tc>
          <w:tcPr>
            <w:tcW w:w="41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蚊</w:t>
            </w:r>
          </w:p>
        </w:tc>
        <w:tc>
          <w:tcPr>
            <w:tcW w:w="471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szCs w:val="21"/>
              </w:rPr>
              <w:t>阳性</w:t>
            </w:r>
          </w:p>
          <w:p>
            <w:pPr>
              <w:adjustRightInd w:val="0"/>
              <w:snapToGrid w:val="0"/>
              <w:jc w:val="center"/>
              <w:rPr>
                <w:rFonts w:ascii="宋体" w:hAnsi="宋体"/>
                <w:szCs w:val="21"/>
              </w:rPr>
            </w:pPr>
            <w:r>
              <w:rPr>
                <w:rFonts w:hint="eastAsia" w:ascii="宋体" w:hAnsi="宋体"/>
                <w:szCs w:val="21"/>
              </w:rPr>
              <w:t>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地点</w:t>
            </w:r>
          </w:p>
        </w:tc>
        <w:tc>
          <w:tcPr>
            <w:tcW w:w="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成蚊</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地点</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孑孓孳生</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地点</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成蝇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地点</w:t>
            </w:r>
          </w:p>
        </w:tc>
        <w:tc>
          <w:tcPr>
            <w:tcW w:w="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蛆蛹孳生</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5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3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Cs w:val="21"/>
              </w:rPr>
            </w:pPr>
          </w:p>
        </w:tc>
      </w:tr>
    </w:tbl>
    <w:p>
      <w:pPr>
        <w:ind w:firstLine="1272" w:firstLineChars="600"/>
        <w:rPr>
          <w:rFonts w:hint="eastAsia" w:ascii="宋体" w:hAnsi="宋体"/>
          <w:szCs w:val="21"/>
        </w:rPr>
      </w:pPr>
    </w:p>
    <w:p>
      <w:pPr>
        <w:rPr>
          <w:rFonts w:hint="eastAsia" w:ascii="宋体" w:hAnsi="宋体"/>
          <w:szCs w:val="21"/>
        </w:rPr>
      </w:pPr>
      <w:r>
        <w:rPr>
          <w:rFonts w:hint="eastAsia" w:ascii="宋体" w:hAnsi="宋体"/>
          <w:szCs w:val="21"/>
        </w:rPr>
        <w:t>　　　　　　　检查单位：</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检查人员：</w:t>
      </w:r>
      <w:r>
        <w:rPr>
          <w:rFonts w:ascii="宋体" w:hAnsi="宋体"/>
          <w:szCs w:val="21"/>
        </w:rPr>
        <w:t xml:space="preserve"> </w:t>
      </w:r>
      <w:r>
        <w:rPr>
          <w:rFonts w:hint="eastAsia" w:ascii="宋体" w:hAnsi="宋体"/>
          <w:szCs w:val="21"/>
        </w:rPr>
        <w:t xml:space="preserve">                        检查日期：</w:t>
      </w:r>
    </w:p>
    <w:p>
      <w:pPr>
        <w:jc w:val="center"/>
        <w:rPr>
          <w:rFonts w:hint="eastAsia" w:ascii="宋体" w:hAnsi="宋体"/>
          <w:b/>
          <w:kern w:val="0"/>
          <w:szCs w:val="21"/>
        </w:rPr>
      </w:pPr>
    </w:p>
    <w:p>
      <w:pPr>
        <w:rPr>
          <w:rFonts w:hint="eastAsia" w:ascii="Times New Roman" w:eastAsia="宋体"/>
          <w:b/>
        </w:rPr>
      </w:pPr>
      <w:r>
        <w:rPr>
          <w:rFonts w:hint="eastAsia" w:ascii="Times New Roman" w:eastAsia="宋体"/>
          <w:b/>
        </w:rPr>
        <w:br w:type="page"/>
      </w:r>
    </w:p>
    <w:p>
      <w:pPr>
        <w:rPr>
          <w:rFonts w:hint="eastAsia" w:ascii="宋体" w:hAnsi="宋体"/>
          <w:b/>
          <w:szCs w:val="21"/>
          <w:lang w:val="en-US" w:eastAsia="zh-CN"/>
        </w:rPr>
      </w:pPr>
      <w:r>
        <w:rPr>
          <w:rFonts w:hint="eastAsia" w:ascii="宋体" w:hAnsi="宋体"/>
          <w:b/>
          <w:szCs w:val="21"/>
        </w:rPr>
        <w:t>附件</w:t>
      </w:r>
      <w:r>
        <w:rPr>
          <w:rFonts w:hint="eastAsia" w:ascii="宋体" w:hAnsi="宋体"/>
          <w:b/>
          <w:szCs w:val="21"/>
          <w:lang w:val="en-US" w:eastAsia="zh-CN"/>
        </w:rPr>
        <w:t xml:space="preserve">4  </w:t>
      </w:r>
    </w:p>
    <w:tbl>
      <w:tblPr>
        <w:tblStyle w:val="27"/>
        <w:tblW w:w="13442" w:type="dxa"/>
        <w:tblInd w:w="0" w:type="dxa"/>
        <w:shd w:val="clear" w:color="auto" w:fill="auto"/>
        <w:tblLayout w:type="fixed"/>
        <w:tblCellMar>
          <w:top w:w="0" w:type="dxa"/>
          <w:left w:w="0" w:type="dxa"/>
          <w:bottom w:w="0" w:type="dxa"/>
          <w:right w:w="0" w:type="dxa"/>
        </w:tblCellMar>
      </w:tblPr>
      <w:tblGrid>
        <w:gridCol w:w="1072"/>
        <w:gridCol w:w="2770"/>
        <w:gridCol w:w="2111"/>
        <w:gridCol w:w="3281"/>
        <w:gridCol w:w="1332"/>
        <w:gridCol w:w="2876"/>
      </w:tblGrid>
      <w:tr>
        <w:tblPrEx>
          <w:shd w:val="clear" w:color="auto" w:fill="auto"/>
          <w:tblCellMar>
            <w:top w:w="0" w:type="dxa"/>
            <w:left w:w="0" w:type="dxa"/>
            <w:bottom w:w="0" w:type="dxa"/>
            <w:right w:w="0" w:type="dxa"/>
          </w:tblCellMar>
        </w:tblPrEx>
        <w:trPr>
          <w:trHeight w:val="380" w:hRule="atLeast"/>
        </w:trPr>
        <w:tc>
          <w:tcPr>
            <w:tcW w:w="1344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各社区公共卫生环境基本情况表</w:t>
            </w:r>
          </w:p>
        </w:tc>
      </w:tr>
      <w:tr>
        <w:tblPrEx>
          <w:tblCellMar>
            <w:top w:w="0" w:type="dxa"/>
            <w:left w:w="0" w:type="dxa"/>
            <w:bottom w:w="0" w:type="dxa"/>
            <w:right w:w="0" w:type="dxa"/>
          </w:tblCellMar>
        </w:tblPrEx>
        <w:trPr>
          <w:trHeight w:val="570"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社区名称</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小区名称（含单位宿舍，不包括公司的宿舍）</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垃圾分类房（座）</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垃圾桶/垃圾箱投放点（个）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楼幢（幢）</w:t>
            </w:r>
          </w:p>
        </w:tc>
        <w:tc>
          <w:tcPr>
            <w:tcW w:w="287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东海社区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东海花苑南区</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排屋、自建房单列为一幢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东海花苑北区</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排屋、自建房单列为一幢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碧桂园</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易购商住楼</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西塘景苑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长浜花苑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新安花苑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桂雨江南</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海湾社区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港湾花苑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海港花苑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创业公寓</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安心公寓</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两创中心</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清湖社区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东港北苑一、二区排屋</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东港北苑三区排屋</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东港佳苑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锦绣苑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花王名都排屋</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花王名都高层</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大树花苑排屋</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大树花苑多层</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胜丰佳苑</w:t>
            </w:r>
          </w:p>
        </w:tc>
        <w:tc>
          <w:tcPr>
            <w:tcW w:w="211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8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老集镇老房子</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老街上自建房单列为一幢</w:t>
            </w: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海城社区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姚家花苑西区</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姚家花苑东区</w:t>
            </w: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排屋单列为一幢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场前佳苑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新城花苑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海景社区</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中王里东区、西区</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自建房4户为一幢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海景北苑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排屋6户为一幢</w:t>
            </w: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海景雅苑</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春风桃源里</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rPr>
        <w:sectPr>
          <w:pgSz w:w="16783" w:h="11850" w:orient="landscape"/>
          <w:pgMar w:top="1134" w:right="1020" w:bottom="1134" w:left="1020" w:header="851" w:footer="992" w:gutter="0"/>
          <w:cols w:space="720" w:num="1"/>
          <w:docGrid w:type="linesAndChars" w:linePitch="320" w:charSpace="482"/>
        </w:sectPr>
      </w:pPr>
    </w:p>
    <w:p>
      <w:pPr>
        <w:rPr>
          <w:rFonts w:hint="eastAsia" w:ascii="宋体" w:hAnsi="宋体"/>
          <w:b/>
          <w:szCs w:val="21"/>
          <w:lang w:val="en-US" w:eastAsia="zh-CN"/>
        </w:rPr>
      </w:pPr>
      <w:r>
        <w:rPr>
          <w:rFonts w:hint="eastAsia" w:ascii="宋体" w:hAnsi="宋体"/>
          <w:b/>
          <w:szCs w:val="21"/>
        </w:rPr>
        <w:t>附件</w:t>
      </w:r>
      <w:r>
        <w:rPr>
          <w:rFonts w:hint="eastAsia" w:ascii="宋体" w:hAnsi="宋体"/>
          <w:b/>
          <w:szCs w:val="21"/>
          <w:lang w:val="en-US" w:eastAsia="zh-CN"/>
        </w:rPr>
        <w:t xml:space="preserve">5  </w:t>
      </w:r>
    </w:p>
    <w:p>
      <w:pPr>
        <w:rPr>
          <w:rFonts w:hint="default"/>
          <w:lang w:val="en-US" w:eastAsia="zh-CN"/>
        </w:rPr>
      </w:pPr>
    </w:p>
    <w:tbl>
      <w:tblPr>
        <w:tblStyle w:val="27"/>
        <w:tblW w:w="9225" w:type="dxa"/>
        <w:tblInd w:w="0" w:type="dxa"/>
        <w:shd w:val="clear" w:color="auto" w:fill="auto"/>
        <w:tblLayout w:type="fixed"/>
        <w:tblCellMar>
          <w:top w:w="0" w:type="dxa"/>
          <w:left w:w="0" w:type="dxa"/>
          <w:bottom w:w="0" w:type="dxa"/>
          <w:right w:w="0" w:type="dxa"/>
        </w:tblCellMar>
      </w:tblPr>
      <w:tblGrid>
        <w:gridCol w:w="1080"/>
        <w:gridCol w:w="2655"/>
        <w:gridCol w:w="1635"/>
        <w:gridCol w:w="990"/>
        <w:gridCol w:w="1500"/>
        <w:gridCol w:w="1365"/>
      </w:tblGrid>
      <w:tr>
        <w:tblPrEx>
          <w:shd w:val="clear" w:color="auto" w:fill="auto"/>
          <w:tblCellMar>
            <w:top w:w="0" w:type="dxa"/>
            <w:left w:w="0" w:type="dxa"/>
            <w:bottom w:w="0" w:type="dxa"/>
            <w:right w:w="0" w:type="dxa"/>
          </w:tblCellMar>
        </w:tblPrEx>
        <w:trPr>
          <w:trHeight w:val="375" w:hRule="atLeast"/>
        </w:trPr>
        <w:tc>
          <w:tcPr>
            <w:tcW w:w="922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西塘桥街道公共厕所明细表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w:t>
            </w:r>
            <w:r>
              <w:rPr>
                <w:rFonts w:hint="eastAsia" w:ascii="宋体" w:hAnsi="宋体" w:cs="宋体"/>
                <w:i w:val="0"/>
                <w:color w:val="000000"/>
                <w:kern w:val="0"/>
                <w:sz w:val="24"/>
                <w:szCs w:val="24"/>
                <w:u w:val="none"/>
                <w:lang w:val="en-US" w:eastAsia="zh-CN" w:bidi="ar"/>
              </w:rPr>
              <w:t>（社区）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属性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年份</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新海社区泾海路</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郭家埭</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姚家花苑公厕</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西塘顾家头（敬老院）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西塘西李家村（桥下）</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文体中心东侧</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中央公园</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清湖社区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一百丈厕所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曙光</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大树底厕所（农行）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曙光</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姚家路东（易购）</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复兴公寓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王庄新社区（停车场）</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2017年交</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碧桂园厕所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2019年底</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儿童公园（移动塔）</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新港花苑厕所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场前大王庙老厕所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胜丰佳苑东侧厕所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科普公园驿站厕所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2021年2月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姚家路西路厕所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清湖社区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西塘路场前泾厕所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海景社区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法制公园厕所</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滨海社区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创业公寓</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海湾社区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春风桃源里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海景社区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小区里面</w:t>
            </w:r>
          </w:p>
        </w:tc>
      </w:tr>
    </w:tbl>
    <w:p>
      <w:pPr>
        <w:pStyle w:val="4"/>
        <w:rPr>
          <w:rFonts w:hint="default"/>
          <w:lang w:val="en-US" w:eastAsia="zh-CN"/>
        </w:rPr>
        <w:sectPr>
          <w:pgSz w:w="11850" w:h="16783"/>
          <w:pgMar w:top="1020" w:right="1134" w:bottom="1020" w:left="1134" w:header="851" w:footer="992" w:gutter="0"/>
          <w:cols w:space="720" w:num="1"/>
          <w:docGrid w:type="linesAndChars" w:linePitch="320" w:charSpace="482"/>
        </w:sectPr>
      </w:pPr>
    </w:p>
    <w:p>
      <w:pPr>
        <w:pStyle w:val="3"/>
        <w:keepNext w:val="0"/>
        <w:keepLines w:val="0"/>
        <w:pageBreakBefore/>
        <w:spacing w:beforeLines="100" w:afterLines="100" w:line="240" w:lineRule="auto"/>
        <w:jc w:val="center"/>
        <w:rPr>
          <w:rFonts w:ascii="Arial" w:hAnsi="Arial" w:cs="Arial"/>
          <w:sz w:val="28"/>
          <w:szCs w:val="36"/>
        </w:rPr>
      </w:pPr>
      <w:r>
        <w:rPr>
          <w:rFonts w:hint="eastAsia" w:ascii="Arial" w:hAnsi="Arial" w:cs="Arial"/>
          <w:sz w:val="28"/>
          <w:szCs w:val="36"/>
        </w:rPr>
        <w:t>第四部分</w:t>
      </w:r>
      <w:r>
        <w:rPr>
          <w:rFonts w:hint="eastAsia" w:ascii="Arial" w:hAnsi="Arial" w:cs="Arial"/>
          <w:sz w:val="28"/>
          <w:szCs w:val="36"/>
          <w:lang w:val="en-US" w:eastAsia="zh-CN"/>
        </w:rPr>
        <w:t xml:space="preserve">  </w:t>
      </w:r>
      <w:r>
        <w:rPr>
          <w:rFonts w:hint="eastAsia" w:ascii="Arial" w:hAnsi="Arial" w:cs="Arial"/>
          <w:sz w:val="28"/>
          <w:szCs w:val="36"/>
        </w:rPr>
        <w:t>合同条款</w:t>
      </w:r>
      <w:bookmarkEnd w:id="10"/>
    </w:p>
    <w:p>
      <w:pPr>
        <w:autoSpaceDE w:val="0"/>
        <w:autoSpaceDN w:val="0"/>
        <w:adjustRightInd w:val="0"/>
        <w:spacing w:line="360" w:lineRule="auto"/>
        <w:jc w:val="center"/>
        <w:rPr>
          <w:rFonts w:hint="eastAsia" w:ascii="宋体" w:hAnsi="宋体" w:cs="宋体"/>
          <w:b/>
          <w:kern w:val="0"/>
          <w:szCs w:val="21"/>
        </w:rPr>
      </w:pPr>
      <w:bookmarkStart w:id="11" w:name="_Toc342403721"/>
      <w:r>
        <w:rPr>
          <w:rFonts w:hint="eastAsia" w:ascii="宋体" w:hAnsi="宋体" w:cs="宋体"/>
          <w:b/>
          <w:szCs w:val="21"/>
        </w:rPr>
        <w:t>（供参考，双方在签订合同时可根据实际情况作相应修改）</w:t>
      </w:r>
      <w:bookmarkEnd w:id="11"/>
    </w:p>
    <w:p>
      <w:pPr>
        <w:tabs>
          <w:tab w:val="left" w:pos="180"/>
          <w:tab w:val="left" w:pos="360"/>
          <w:tab w:val="left" w:pos="540"/>
        </w:tabs>
        <w:ind w:firstLine="476" w:firstLineChars="225"/>
        <w:jc w:val="center"/>
        <w:rPr>
          <w:rFonts w:hint="eastAsia" w:ascii="宋体" w:hAnsi="宋体" w:cs="宋体"/>
          <w:szCs w:val="21"/>
        </w:rPr>
      </w:pPr>
      <w:r>
        <w:rPr>
          <w:rFonts w:hint="eastAsia" w:ascii="宋体" w:hAnsi="宋体" w:cs="宋体"/>
          <w:szCs w:val="21"/>
        </w:rPr>
        <w:t>海盐县政府购买服务合同</w:t>
      </w:r>
    </w:p>
    <w:p>
      <w:pPr>
        <w:keepNext w:val="0"/>
        <w:keepLines w:val="0"/>
        <w:pageBreakBefore w:val="0"/>
        <w:tabs>
          <w:tab w:val="left" w:pos="180"/>
          <w:tab w:val="left" w:pos="360"/>
          <w:tab w:val="left" w:pos="540"/>
        </w:tabs>
        <w:kinsoku/>
        <w:wordWrap/>
        <w:overflowPunct/>
        <w:topLinePunct w:val="0"/>
        <w:autoSpaceDE/>
        <w:autoSpaceDN/>
        <w:bidi w:val="0"/>
        <w:adjustRightInd/>
        <w:spacing w:line="360" w:lineRule="auto"/>
        <w:ind w:left="0" w:leftChars="0" w:firstLine="544" w:firstLineChars="225"/>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甲  方：</w:t>
      </w:r>
      <w:r>
        <w:rPr>
          <w:rFonts w:hint="eastAsia" w:ascii="宋体" w:hAnsi="宋体" w:cs="宋体"/>
          <w:color w:val="000000"/>
          <w:sz w:val="24"/>
          <w:szCs w:val="24"/>
          <w:lang w:eastAsia="zh-CN"/>
        </w:rPr>
        <w:t xml:space="preserve">浙江省海盐经济开发区管理委员会 </w:t>
      </w:r>
    </w:p>
    <w:p>
      <w:pPr>
        <w:keepNext w:val="0"/>
        <w:keepLines w:val="0"/>
        <w:pageBreakBefore w:val="0"/>
        <w:tabs>
          <w:tab w:val="left" w:pos="180"/>
          <w:tab w:val="left" w:pos="360"/>
          <w:tab w:val="left" w:pos="540"/>
        </w:tabs>
        <w:kinsoku/>
        <w:wordWrap/>
        <w:overflowPunct/>
        <w:topLinePunct w:val="0"/>
        <w:autoSpaceDE/>
        <w:autoSpaceDN/>
        <w:bidi w:val="0"/>
        <w:adjustRightInd/>
        <w:spacing w:line="360" w:lineRule="auto"/>
        <w:ind w:left="0" w:leftChars="0" w:firstLine="544" w:firstLineChars="225"/>
        <w:textAlignment w:val="auto"/>
        <w:rPr>
          <w:rFonts w:hint="eastAsia" w:ascii="宋体" w:hAnsi="宋体" w:cs="宋体"/>
          <w:color w:val="000000"/>
          <w:sz w:val="24"/>
          <w:szCs w:val="24"/>
        </w:rPr>
      </w:pPr>
      <w:r>
        <w:rPr>
          <w:rFonts w:hint="eastAsia" w:ascii="宋体" w:hAnsi="宋体" w:cs="宋体"/>
          <w:color w:val="000000"/>
          <w:sz w:val="24"/>
          <w:szCs w:val="24"/>
        </w:rPr>
        <w:t>乙  方：</w:t>
      </w:r>
    </w:p>
    <w:p>
      <w:pPr>
        <w:keepNext w:val="0"/>
        <w:keepLines w:val="0"/>
        <w:pageBreakBefore w:val="0"/>
        <w:tabs>
          <w:tab w:val="left" w:pos="180"/>
          <w:tab w:val="left" w:pos="360"/>
          <w:tab w:val="left" w:pos="540"/>
        </w:tabs>
        <w:kinsoku/>
        <w:wordWrap/>
        <w:overflowPunct/>
        <w:topLinePunct w:val="0"/>
        <w:autoSpaceDE/>
        <w:autoSpaceDN/>
        <w:bidi w:val="0"/>
        <w:adjustRightInd/>
        <w:spacing w:line="360" w:lineRule="auto"/>
        <w:ind w:left="0" w:leftChars="0" w:firstLine="544" w:firstLineChars="225"/>
        <w:textAlignment w:val="auto"/>
        <w:rPr>
          <w:rFonts w:hint="eastAsia" w:ascii="宋体" w:hAnsi="宋体" w:cs="宋体"/>
          <w:color w:val="000000"/>
          <w:sz w:val="24"/>
          <w:szCs w:val="24"/>
        </w:rPr>
      </w:pPr>
      <w:r>
        <w:rPr>
          <w:rFonts w:hint="eastAsia" w:ascii="宋体" w:hAnsi="宋体" w:cs="宋体"/>
          <w:color w:val="000000"/>
          <w:sz w:val="24"/>
          <w:szCs w:val="24"/>
        </w:rPr>
        <w:t>经公开招标，确定乙方为</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HYPERLINK "https://bidding.zcygov.cn/xmgl/projectQuery/queryDetail?projectUuid=5d642867c3a3f0d5&amp;utm=bidding-entrust-front.62f570f9.0.0.c451ad501e3111ebbd1609eeea210666" \t "https://www.zcygov.cn/bidding-entrust/" \l "/purchaseFileMake/_blank"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lang w:eastAsia="zh-CN"/>
        </w:rPr>
        <w:t>2024年西塘桥街道公共环境病媒生物防治服务</w:t>
      </w:r>
      <w:r>
        <w:rPr>
          <w:rFonts w:hint="eastAsia" w:ascii="宋体" w:hAnsi="宋体" w:cs="宋体"/>
          <w:color w:val="000000"/>
          <w:sz w:val="24"/>
          <w:szCs w:val="24"/>
          <w:u w:val="single"/>
        </w:rPr>
        <w:fldChar w:fldCharType="end"/>
      </w:r>
      <w:r>
        <w:rPr>
          <w:rFonts w:hint="eastAsia" w:ascii="宋体" w:hAnsi="宋体" w:cs="宋体"/>
          <w:color w:val="000000"/>
          <w:sz w:val="24"/>
          <w:szCs w:val="24"/>
        </w:rPr>
        <w:t>中标单位，根据</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HYPERLINK "https://bidding.zcygov.cn/xmgl/projectQuery/queryDetail?projectUuid=5d642867c3a3f0d5&amp;utm=bidding-entrust-front.62f570f9.0.0.c451ad501e3111ebbd1609eeea210666" \t "https://www.zcygov.cn/bidding-entrust/" \l "/purchaseFileMake/_blank"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lang w:eastAsia="zh-CN"/>
        </w:rPr>
        <w:t>2024年西塘桥街道公共环境病媒生物防治服务</w:t>
      </w:r>
      <w:r>
        <w:rPr>
          <w:rFonts w:hint="eastAsia" w:ascii="宋体" w:hAnsi="宋体" w:cs="宋体"/>
          <w:color w:val="000000"/>
          <w:sz w:val="24"/>
          <w:szCs w:val="24"/>
          <w:u w:val="single"/>
        </w:rPr>
        <w:fldChar w:fldCharType="end"/>
      </w:r>
      <w:r>
        <w:rPr>
          <w:rFonts w:hint="eastAsia" w:ascii="宋体" w:hAnsi="宋体" w:cs="宋体"/>
          <w:color w:val="000000"/>
          <w:sz w:val="24"/>
          <w:szCs w:val="24"/>
        </w:rPr>
        <w:t>招投标内容，结合海盐实际，经甲、乙双方协商，达成以下条款：</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bookmarkStart w:id="12" w:name="_Toc3126"/>
      <w:r>
        <w:rPr>
          <w:rFonts w:hint="eastAsia" w:ascii="宋体" w:hAnsi="宋体" w:cs="Arial"/>
          <w:b/>
          <w:kern w:val="0"/>
          <w:sz w:val="24"/>
          <w:szCs w:val="24"/>
        </w:rPr>
        <w:t>第一条 合同组成</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本次政府采购活动的相关文件为本合同的组成部分，这些文件包括但不限于：</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（1）本合同文本；</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（2）采购文件与采购响应文件；</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（3）中标或成交通知书；</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组成本合同的所有文件必须为书面形式。政府采购合同备案时，须提供以上（1）、（3）两项，如由社会中介机构代理，须提供代理协议，合同如有变更的，须提供变更协议。</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第二条 合同标的与相关属性</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1、本次采购的是</w:t>
      </w:r>
      <w:r>
        <w:rPr>
          <w:rFonts w:hint="eastAsia" w:ascii="宋体" w:hAnsi="宋体" w:cs="Arial"/>
          <w:sz w:val="24"/>
          <w:szCs w:val="24"/>
          <w:u w:val="single"/>
        </w:rPr>
        <w:t>灭鼠、灭蚊、灭蝇、灭蟑螂相关消杀服务</w:t>
      </w:r>
      <w:r>
        <w:rPr>
          <w:rFonts w:hint="eastAsia" w:ascii="宋体" w:hAnsi="宋体" w:cs="Arial"/>
          <w:kern w:val="0"/>
          <w:sz w:val="24"/>
          <w:szCs w:val="24"/>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2、乙方是否属于中小微企业：□是□否</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第三条 合同价款</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1、本合同项下总价款为（大写）</w:t>
      </w:r>
      <w:r>
        <w:rPr>
          <w:rFonts w:hint="eastAsia" w:ascii="宋体" w:hAnsi="宋体" w:cs="Arial"/>
          <w:kern w:val="0"/>
          <w:sz w:val="24"/>
          <w:szCs w:val="24"/>
          <w:u w:val="single"/>
        </w:rPr>
        <w:t xml:space="preserve">              </w:t>
      </w:r>
      <w:r>
        <w:rPr>
          <w:rFonts w:hint="eastAsia" w:ascii="宋体" w:hAnsi="宋体" w:cs="Arial"/>
          <w:kern w:val="0"/>
          <w:sz w:val="24"/>
          <w:szCs w:val="24"/>
        </w:rPr>
        <w:t>人民币。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w:t>
      </w:r>
      <w:r>
        <w:rPr>
          <w:rFonts w:hint="eastAsia" w:hAnsi="宋体"/>
          <w:sz w:val="24"/>
          <w:szCs w:val="24"/>
        </w:rPr>
        <w:t>合同价格为</w:t>
      </w:r>
      <w:r>
        <w:rPr>
          <w:rFonts w:hAnsi="宋体"/>
          <w:sz w:val="24"/>
          <w:szCs w:val="24"/>
        </w:rPr>
        <w:t>履行合同的最终价格，</w:t>
      </w:r>
      <w:r>
        <w:rPr>
          <w:rFonts w:hint="eastAsia" w:hAnsi="宋体"/>
          <w:sz w:val="24"/>
          <w:szCs w:val="24"/>
        </w:rPr>
        <w:t>应包括招标文件中所要求的</w:t>
      </w:r>
      <w:r>
        <w:rPr>
          <w:rFonts w:hAnsi="宋体"/>
          <w:sz w:val="24"/>
          <w:szCs w:val="24"/>
        </w:rPr>
        <w:t>承包</w:t>
      </w:r>
      <w:r>
        <w:rPr>
          <w:rFonts w:hint="eastAsia" w:hAnsi="宋体"/>
          <w:sz w:val="24"/>
          <w:szCs w:val="24"/>
        </w:rPr>
        <w:t>服务范围内所有消杀服务所需的药物、器械、人工、运杂、税金（包含关税</w:t>
      </w:r>
      <w:r>
        <w:rPr>
          <w:rFonts w:hint="eastAsia" w:hAnsi="宋体"/>
          <w:sz w:val="24"/>
          <w:szCs w:val="24"/>
          <w:lang w:eastAsia="zh-CN"/>
        </w:rPr>
        <w:t>，</w:t>
      </w:r>
      <w:r>
        <w:rPr>
          <w:rFonts w:hint="eastAsia" w:hAnsi="宋体"/>
          <w:sz w:val="24"/>
          <w:szCs w:val="24"/>
        </w:rPr>
        <w:t>由供应商承担的）、相关服务承诺等各项可能涉及的费用。以及</w:t>
      </w:r>
      <w:r>
        <w:rPr>
          <w:rFonts w:hAnsi="宋体"/>
          <w:sz w:val="24"/>
          <w:szCs w:val="24"/>
        </w:rPr>
        <w:t>完成合同所需的一切本身和不可或缺的所有工作开支、政策性文件规定及合同包含的所有风险、责任等各项全部费用并承担一切风险责任</w:t>
      </w:r>
      <w:r>
        <w:rPr>
          <w:rFonts w:hint="eastAsia" w:hAnsi="宋体"/>
          <w:sz w:val="24"/>
          <w:szCs w:val="24"/>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3、本合同付款方式为以下第</w:t>
      </w:r>
      <w:r>
        <w:rPr>
          <w:rFonts w:hint="eastAsia" w:ascii="宋体" w:hAnsi="宋体" w:cs="Arial"/>
          <w:kern w:val="0"/>
          <w:sz w:val="24"/>
          <w:szCs w:val="24"/>
          <w:u w:val="single"/>
        </w:rPr>
        <w:t xml:space="preserve">   （1）   </w:t>
      </w:r>
      <w:r>
        <w:rPr>
          <w:rFonts w:hint="eastAsia" w:ascii="宋体" w:hAnsi="宋体" w:cs="Arial"/>
          <w:kern w:val="0"/>
          <w:sz w:val="24"/>
          <w:szCs w:val="24"/>
        </w:rPr>
        <w:t>项：</w:t>
      </w:r>
    </w:p>
    <w:p>
      <w:pPr>
        <w:keepNext w:val="0"/>
        <w:keepLines w:val="0"/>
        <w:pageBreakBefore w:val="0"/>
        <w:kinsoku/>
        <w:wordWrap/>
        <w:overflowPunct/>
        <w:topLinePunct w:val="0"/>
        <w:autoSpaceDE/>
        <w:autoSpaceDN/>
        <w:bidi w:val="0"/>
        <w:adjustRightInd/>
        <w:spacing w:line="360" w:lineRule="auto"/>
        <w:ind w:left="0" w:leftChars="0" w:firstLine="473" w:firstLineChars="196"/>
        <w:textAlignment w:val="auto"/>
        <w:rPr>
          <w:rFonts w:hint="eastAsia" w:ascii="宋体" w:hAnsi="宋体" w:cs="Arial"/>
          <w:kern w:val="0"/>
          <w:sz w:val="24"/>
          <w:szCs w:val="24"/>
        </w:rPr>
      </w:pPr>
      <w:r>
        <w:rPr>
          <w:rFonts w:hint="eastAsia" w:ascii="宋体" w:hAnsi="宋体" w:cs="Arial"/>
          <w:kern w:val="0"/>
          <w:sz w:val="24"/>
          <w:szCs w:val="24"/>
        </w:rPr>
        <w:t>（1）本合同项下的采购资金系甲方自行支付，付款程序为</w:t>
      </w:r>
      <w:r>
        <w:rPr>
          <w:rFonts w:hint="eastAsia" w:ascii="宋体" w:hAnsi="宋体" w:cs="Arial"/>
          <w:color w:val="auto"/>
          <w:kern w:val="0"/>
          <w:sz w:val="24"/>
          <w:szCs w:val="24"/>
          <w:u w:val="single"/>
          <w:lang w:val="en-US" w:eastAsia="zh-CN"/>
        </w:rPr>
        <w:t>合同生效以及具备实施条件后7个工作日内支付签订合同后支付合同价的70％，第一、二季度在预付款中按考核后的支付金额扣除，第三季度按考核后的支付金额在扣除预付款后不够的部分转账支付，第四季度根据年终综合考核结果进行转账支付</w:t>
      </w:r>
      <w:r>
        <w:rPr>
          <w:rFonts w:hint="eastAsia" w:ascii="宋体" w:hAnsi="宋体" w:cs="Arial"/>
          <w:kern w:val="0"/>
          <w:sz w:val="24"/>
          <w:szCs w:val="24"/>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（2）本合同项下的采购资金须财政直接支付，付款程序为</w:t>
      </w:r>
      <w:r>
        <w:rPr>
          <w:rFonts w:hint="eastAsia" w:ascii="宋体" w:hAnsi="宋体" w:cs="Arial"/>
          <w:kern w:val="0"/>
          <w:sz w:val="24"/>
          <w:szCs w:val="24"/>
          <w:u w:val="single"/>
        </w:rPr>
        <w:t xml:space="preserve">                    </w:t>
      </w:r>
      <w:r>
        <w:rPr>
          <w:rFonts w:hint="eastAsia" w:ascii="宋体" w:hAnsi="宋体" w:cs="Arial"/>
          <w:kern w:val="0"/>
          <w:sz w:val="24"/>
          <w:szCs w:val="24"/>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（3）其他方式：</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4、本合同项下的采购资金付款进度按招投标文件规定，未规定时按以下第</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2</w:t>
      </w:r>
      <w:r>
        <w:rPr>
          <w:rFonts w:hint="eastAsia" w:ascii="宋体" w:hAnsi="宋体" w:cs="Arial"/>
          <w:kern w:val="0"/>
          <w:sz w:val="24"/>
          <w:szCs w:val="24"/>
          <w:u w:val="single"/>
        </w:rPr>
        <w:t xml:space="preserve">）    </w:t>
      </w:r>
      <w:r>
        <w:rPr>
          <w:rFonts w:hint="eastAsia" w:ascii="宋体" w:hAnsi="宋体" w:cs="Arial"/>
          <w:kern w:val="0"/>
          <w:sz w:val="24"/>
          <w:szCs w:val="24"/>
        </w:rPr>
        <w:t xml:space="preserve"> 项支付：</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（1）一次性付款：乙方合同履行达到</w:t>
      </w:r>
      <w:r>
        <w:rPr>
          <w:rFonts w:hint="eastAsia" w:ascii="宋体" w:hAnsi="宋体" w:cs="Arial"/>
          <w:kern w:val="0"/>
          <w:sz w:val="24"/>
          <w:szCs w:val="24"/>
          <w:u w:val="single"/>
          <w:lang w:val="en-US" w:eastAsia="zh-CN"/>
        </w:rPr>
        <w:t xml:space="preserve"> / </w:t>
      </w:r>
      <w:r>
        <w:rPr>
          <w:rFonts w:hint="eastAsia" w:ascii="宋体" w:hAnsi="宋体" w:cs="Arial"/>
          <w:kern w:val="0"/>
          <w:sz w:val="24"/>
          <w:szCs w:val="24"/>
        </w:rPr>
        <w:t>（条件）时，一次性付款；</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（2）分期</w:t>
      </w:r>
      <w:r>
        <w:rPr>
          <w:rFonts w:hint="eastAsia" w:ascii="宋体" w:hAnsi="宋体" w:cs="Arial"/>
          <w:kern w:val="0"/>
          <w:sz w:val="24"/>
          <w:szCs w:val="24"/>
          <w:highlight w:val="none"/>
        </w:rPr>
        <w:t>付款</w:t>
      </w:r>
      <w:r>
        <w:rPr>
          <w:rFonts w:hint="eastAsia" w:ascii="宋体" w:hAnsi="宋体" w:cs="Arial"/>
          <w:kern w:val="0"/>
          <w:sz w:val="24"/>
          <w:szCs w:val="24"/>
          <w:highlight w:val="none"/>
          <w:lang w:eastAsia="zh-CN"/>
        </w:rPr>
        <w:t>：</w:t>
      </w:r>
      <w:r>
        <w:rPr>
          <w:rFonts w:hint="eastAsia" w:ascii="宋体" w:hAnsi="宋体" w:cs="Arial"/>
          <w:color w:val="auto"/>
          <w:kern w:val="0"/>
          <w:sz w:val="24"/>
          <w:szCs w:val="24"/>
          <w:highlight w:val="none"/>
          <w:u w:val="single"/>
          <w:lang w:val="en-US" w:eastAsia="zh-CN"/>
        </w:rPr>
        <w:t>合同生效以及具备实施条件后7个工作日内支付签订合同后支付合同价的70％，第一、二季度在预付款中按考核后的支付金额扣除，第三季度按考核后的支付金额在扣除预付款后不够的部分转账支付，第四季度根据年终综合考核结果进行转账支付。</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第四条 履约保证金</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kern w:val="0"/>
          <w:sz w:val="24"/>
          <w:szCs w:val="24"/>
        </w:rPr>
        <w:t>按以下第</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2</w:t>
      </w:r>
      <w:r>
        <w:rPr>
          <w:rFonts w:hint="eastAsia" w:ascii="宋体" w:hAnsi="宋体" w:cs="Arial"/>
          <w:kern w:val="0"/>
          <w:sz w:val="24"/>
          <w:szCs w:val="24"/>
          <w:u w:val="single"/>
        </w:rPr>
        <w:t xml:space="preserve">)  </w:t>
      </w:r>
      <w:r>
        <w:rPr>
          <w:rFonts w:hint="eastAsia" w:ascii="宋体" w:hAnsi="宋体" w:cs="Arial"/>
          <w:kern w:val="0"/>
          <w:sz w:val="24"/>
          <w:szCs w:val="24"/>
        </w:rPr>
        <w:t>项处理：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1、本项目设置履约保证金，乙方应于</w:t>
      </w:r>
      <w:r>
        <w:rPr>
          <w:rFonts w:hint="eastAsia" w:ascii="宋体" w:hAnsi="宋体"/>
          <w:sz w:val="24"/>
          <w:szCs w:val="24"/>
          <w:u w:val="single"/>
        </w:rPr>
        <w:t>中标通知书发出7日内</w:t>
      </w:r>
      <w:r>
        <w:rPr>
          <w:rFonts w:hint="eastAsia" w:ascii="宋体" w:hAnsi="宋体" w:cs="Arial"/>
          <w:kern w:val="0"/>
          <w:sz w:val="24"/>
          <w:szCs w:val="24"/>
        </w:rPr>
        <w:t>（时间）向甲方提交履约保证金</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w:t>
      </w:r>
      <w:r>
        <w:rPr>
          <w:rFonts w:hint="eastAsia" w:ascii="宋体" w:hAnsi="宋体" w:cs="Arial"/>
          <w:kern w:val="0"/>
          <w:sz w:val="24"/>
          <w:szCs w:val="24"/>
          <w:u w:val="single"/>
        </w:rPr>
        <w:t xml:space="preserve">  </w:t>
      </w:r>
      <w:r>
        <w:rPr>
          <w:rFonts w:hint="eastAsia" w:ascii="宋体" w:hAnsi="宋体" w:cs="Arial"/>
          <w:kern w:val="0"/>
          <w:sz w:val="24"/>
          <w:szCs w:val="24"/>
        </w:rPr>
        <w:t>元。履约保证金在</w:t>
      </w:r>
      <w:r>
        <w:rPr>
          <w:rFonts w:hint="eastAsia" w:ascii="宋体" w:hAnsi="宋体"/>
          <w:sz w:val="24"/>
          <w:szCs w:val="24"/>
        </w:rPr>
        <w:t>合同履行完毕后，一次性无息退还。</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kern w:val="0"/>
          <w:sz w:val="24"/>
          <w:szCs w:val="24"/>
        </w:rPr>
        <w:t>2、本项目不设置履约保证金</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第五条 合同的变更和终止</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除《政府采购法》第49条、第50条第二款规定的情形外，本合同一经签订，甲乙双方不得擅自终止合同或对合同实质性条款进行变更。确有特殊情况的，须经同级财政部门备案同意，如果第三方评估不达标或考核不通过即终止合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第六条 合同的转让与分包</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乙方不得擅自部分或全部转让其应履行的合同义务。乙方分包的，应经过甲方书面同意。</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第七条 违约责任</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1、乙方未按</w:t>
      </w:r>
      <w:r>
        <w:rPr>
          <w:rFonts w:hint="eastAsia" w:ascii="宋体" w:hAnsi="宋体" w:cs="Arial"/>
          <w:kern w:val="0"/>
          <w:sz w:val="24"/>
          <w:szCs w:val="24"/>
          <w:lang w:eastAsia="zh-CN"/>
        </w:rPr>
        <w:t>采购内容要求</w:t>
      </w:r>
      <w:r>
        <w:rPr>
          <w:rFonts w:hint="eastAsia" w:ascii="宋体" w:hAnsi="宋体" w:cs="Arial"/>
          <w:kern w:val="0"/>
          <w:sz w:val="24"/>
          <w:szCs w:val="24"/>
        </w:rPr>
        <w:t>执行，甲方可以书面形式提出警告；若情节严重，确认乙方未达到承包质量要求的，即时终止合同，支付违约金人民币</w:t>
      </w:r>
      <w:r>
        <w:rPr>
          <w:rFonts w:hint="eastAsia" w:ascii="宋体" w:hAnsi="宋体" w:cs="Arial"/>
          <w:kern w:val="0"/>
          <w:sz w:val="24"/>
          <w:szCs w:val="24"/>
          <w:lang w:val="en-US" w:eastAsia="zh-CN"/>
        </w:rPr>
        <w:t>20</w:t>
      </w:r>
      <w:r>
        <w:rPr>
          <w:rFonts w:hint="eastAsia" w:ascii="宋体" w:hAnsi="宋体" w:cs="Arial"/>
          <w:kern w:val="0"/>
          <w:sz w:val="24"/>
          <w:szCs w:val="24"/>
        </w:rPr>
        <w:t>000元。</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甲方每季度考核，乙方未能达到承包质量要求的，给予书面警告、并限期改正，在限期内整改达到合同要求的，扣当季承包金额的2-8%；未在限期内改正，或经两次整改后仍不能达到合同要求的，即时终止合同，余下部分不再执行，支付违约金人民币</w:t>
      </w:r>
      <w:r>
        <w:rPr>
          <w:rFonts w:hint="eastAsia" w:ascii="宋体" w:hAnsi="宋体" w:cs="Arial"/>
          <w:kern w:val="0"/>
          <w:sz w:val="24"/>
          <w:szCs w:val="24"/>
          <w:lang w:val="en-US" w:eastAsia="zh-CN"/>
        </w:rPr>
        <w:t>20</w:t>
      </w:r>
      <w:r>
        <w:rPr>
          <w:rFonts w:hint="eastAsia" w:ascii="宋体" w:hAnsi="宋体" w:cs="Arial"/>
          <w:kern w:val="0"/>
          <w:sz w:val="24"/>
          <w:szCs w:val="24"/>
        </w:rPr>
        <w:t>000元。</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kern w:val="0"/>
          <w:sz w:val="24"/>
          <w:szCs w:val="24"/>
        </w:rPr>
        <w:t>3、甲方不按第</w:t>
      </w:r>
      <w:r>
        <w:rPr>
          <w:rFonts w:hint="eastAsia" w:ascii="宋体" w:hAnsi="宋体" w:cs="Arial"/>
          <w:kern w:val="0"/>
          <w:sz w:val="24"/>
          <w:szCs w:val="24"/>
          <w:lang w:eastAsia="zh-CN"/>
        </w:rPr>
        <w:t>四</w:t>
      </w:r>
      <w:r>
        <w:rPr>
          <w:rFonts w:hint="eastAsia" w:ascii="宋体" w:hAnsi="宋体" w:cs="Arial"/>
          <w:kern w:val="0"/>
          <w:sz w:val="24"/>
          <w:szCs w:val="24"/>
        </w:rPr>
        <w:t>条</w:t>
      </w:r>
      <w:r>
        <w:rPr>
          <w:rFonts w:hint="eastAsia" w:ascii="宋体" w:hAnsi="宋体" w:cs="Arial"/>
          <w:kern w:val="0"/>
          <w:sz w:val="24"/>
          <w:szCs w:val="24"/>
          <w:lang w:eastAsia="zh-CN"/>
        </w:rPr>
        <w:t>第</w:t>
      </w:r>
      <w:r>
        <w:rPr>
          <w:rFonts w:hint="eastAsia" w:ascii="宋体" w:hAnsi="宋体" w:cs="Arial"/>
          <w:kern w:val="0"/>
          <w:sz w:val="24"/>
          <w:szCs w:val="24"/>
          <w:lang w:val="en-US" w:eastAsia="zh-CN"/>
        </w:rPr>
        <w:t>3款项</w:t>
      </w:r>
      <w:r>
        <w:rPr>
          <w:rFonts w:hint="eastAsia" w:ascii="宋体" w:hAnsi="宋体" w:cs="Arial"/>
          <w:kern w:val="0"/>
          <w:sz w:val="24"/>
          <w:szCs w:val="24"/>
        </w:rPr>
        <w:t>规定执行，乙方有权向甲方提出要求，也可向甲方上级部门申诉，督促甲方执行。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第八条 不可抗力事件处理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、在合同有效期内，任何一方因不可抗力事件导致不能履行合同的，合同履行期可延长，其延长期与不可抗力影响期相同。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ascii="宋体" w:hAnsi="宋体" w:cs="Arial"/>
          <w:kern w:val="0"/>
          <w:sz w:val="24"/>
          <w:szCs w:val="24"/>
        </w:rPr>
      </w:pPr>
      <w:r>
        <w:rPr>
          <w:rFonts w:ascii="宋体" w:hAnsi="宋体" w:cs="Arial"/>
          <w:kern w:val="0"/>
          <w:sz w:val="24"/>
          <w:szCs w:val="24"/>
        </w:rPr>
        <w:t>2</w:t>
      </w:r>
      <w:r>
        <w:rPr>
          <w:rFonts w:hint="eastAsia" w:ascii="宋体" w:hAnsi="宋体" w:cs="Arial"/>
          <w:kern w:val="0"/>
          <w:sz w:val="24"/>
          <w:szCs w:val="24"/>
        </w:rPr>
        <w:t>、不可抗力事件发生后，应立即通知对方，并寄送有关权威机构出具的证明。</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rPr>
        <w:t>、不可抗力事件延续</w:t>
      </w:r>
      <w:r>
        <w:rPr>
          <w:rFonts w:ascii="宋体" w:hAnsi="宋体" w:cs="Arial"/>
          <w:kern w:val="0"/>
          <w:sz w:val="24"/>
          <w:szCs w:val="24"/>
        </w:rPr>
        <w:t>120</w:t>
      </w:r>
      <w:r>
        <w:rPr>
          <w:rFonts w:hint="eastAsia" w:ascii="宋体" w:hAnsi="宋体" w:cs="Arial"/>
          <w:kern w:val="0"/>
          <w:sz w:val="24"/>
          <w:szCs w:val="24"/>
        </w:rPr>
        <w:t>天以上，双方应通过友好协商，确定是否继续履行合同。</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第九条 争议的解决</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1、因履行本合同引起的或与本合同有关的争议，甲、乙双方应首先通过友好协商解决，如果协商不能解决争议，则采取以下第</w:t>
      </w:r>
      <w:r>
        <w:rPr>
          <w:rFonts w:hint="eastAsia" w:ascii="宋体" w:hAnsi="宋体" w:cs="Arial"/>
          <w:kern w:val="0"/>
          <w:sz w:val="24"/>
          <w:szCs w:val="24"/>
          <w:u w:val="single"/>
        </w:rPr>
        <w:t>（1）</w:t>
      </w:r>
      <w:r>
        <w:rPr>
          <w:rFonts w:hint="eastAsia" w:ascii="宋体" w:hAnsi="宋体" w:cs="Arial"/>
          <w:kern w:val="0"/>
          <w:sz w:val="24"/>
          <w:szCs w:val="24"/>
        </w:rPr>
        <w:t>种方式解决争议：</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（1）向甲方所在地有管辖权的人民法院提起诉讼；</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（2）向</w:t>
      </w:r>
      <w:r>
        <w:rPr>
          <w:rFonts w:hint="eastAsia" w:ascii="宋体" w:hAnsi="宋体" w:cs="Arial"/>
          <w:kern w:val="0"/>
          <w:sz w:val="24"/>
          <w:szCs w:val="24"/>
          <w:u w:val="single"/>
        </w:rPr>
        <w:t xml:space="preserve">         </w:t>
      </w:r>
      <w:r>
        <w:rPr>
          <w:rFonts w:hint="eastAsia" w:ascii="宋体" w:hAnsi="宋体" w:cs="Arial"/>
          <w:kern w:val="0"/>
          <w:sz w:val="24"/>
          <w:szCs w:val="24"/>
        </w:rPr>
        <w:t>仲裁委员申请仲裁。</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第十条 合同备案及其他</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kern w:val="0"/>
          <w:sz w:val="24"/>
          <w:szCs w:val="24"/>
        </w:rPr>
      </w:pPr>
      <w:r>
        <w:rPr>
          <w:rFonts w:hint="eastAsia" w:ascii="宋体" w:hAnsi="宋体" w:cs="Arial"/>
          <w:kern w:val="0"/>
          <w:sz w:val="24"/>
          <w:szCs w:val="24"/>
        </w:rPr>
        <w:t>本合同一式</w:t>
      </w:r>
      <w:r>
        <w:rPr>
          <w:rFonts w:hint="eastAsia" w:ascii="宋体" w:hAnsi="宋体" w:cs="Arial"/>
          <w:kern w:val="0"/>
          <w:sz w:val="24"/>
          <w:szCs w:val="24"/>
          <w:u w:val="single"/>
        </w:rPr>
        <w:t xml:space="preserve"> </w:t>
      </w:r>
      <w:r>
        <w:rPr>
          <w:rFonts w:hint="eastAsia" w:ascii="宋体" w:hAnsi="宋体" w:cs="Arial"/>
          <w:kern w:val="0"/>
          <w:sz w:val="24"/>
          <w:szCs w:val="24"/>
          <w:u w:val="single"/>
          <w:lang w:eastAsia="zh-CN"/>
        </w:rPr>
        <w:t>五</w:t>
      </w:r>
      <w:r>
        <w:rPr>
          <w:rFonts w:hint="eastAsia" w:ascii="宋体" w:hAnsi="宋体" w:cs="Arial"/>
          <w:kern w:val="0"/>
          <w:sz w:val="24"/>
          <w:szCs w:val="24"/>
        </w:rPr>
        <w:t>份，甲乙双方各执</w:t>
      </w:r>
      <w:r>
        <w:rPr>
          <w:rFonts w:hint="eastAsia" w:ascii="宋体" w:hAnsi="宋体" w:cs="Arial"/>
          <w:kern w:val="0"/>
          <w:sz w:val="24"/>
          <w:szCs w:val="24"/>
          <w:u w:val="single"/>
        </w:rPr>
        <w:t xml:space="preserve"> 贰 </w:t>
      </w:r>
      <w:r>
        <w:rPr>
          <w:rFonts w:hint="eastAsia" w:ascii="宋体" w:hAnsi="宋体" w:cs="Arial"/>
          <w:kern w:val="0"/>
          <w:sz w:val="24"/>
          <w:szCs w:val="24"/>
        </w:rPr>
        <w:t>份，</w:t>
      </w:r>
      <w:r>
        <w:rPr>
          <w:rFonts w:hint="eastAsia" w:ascii="宋体" w:hAnsi="宋体" w:cs="Arial"/>
          <w:kern w:val="0"/>
          <w:sz w:val="24"/>
          <w:szCs w:val="24"/>
          <w:lang w:eastAsia="zh-CN"/>
        </w:rPr>
        <w:t>壹</w:t>
      </w:r>
      <w:r>
        <w:rPr>
          <w:rFonts w:hint="eastAsia" w:ascii="宋体" w:hAnsi="宋体" w:cs="Arial"/>
          <w:kern w:val="0"/>
          <w:sz w:val="24"/>
          <w:szCs w:val="24"/>
        </w:rPr>
        <w:t>份送</w:t>
      </w:r>
      <w:r>
        <w:rPr>
          <w:rFonts w:hint="eastAsia" w:ascii="宋体" w:hAnsi="宋体" w:cs="Arial"/>
          <w:kern w:val="0"/>
          <w:sz w:val="24"/>
          <w:szCs w:val="24"/>
          <w:lang w:eastAsia="zh-CN"/>
        </w:rPr>
        <w:t>代理机构</w:t>
      </w:r>
      <w:r>
        <w:rPr>
          <w:rFonts w:hint="eastAsia" w:ascii="宋体" w:hAnsi="宋体" w:cs="Arial"/>
          <w:kern w:val="0"/>
          <w:sz w:val="24"/>
          <w:szCs w:val="24"/>
        </w:rPr>
        <w:t>备案。</w:t>
      </w:r>
    </w:p>
    <w:p>
      <w:pPr>
        <w:keepNext w:val="0"/>
        <w:keepLines w:val="0"/>
        <w:pageBreakBefore w:val="0"/>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jc w:val="center"/>
        <w:textAlignment w:val="auto"/>
        <w:rPr>
          <w:rFonts w:hint="eastAsia" w:ascii="宋体" w:hAnsi="宋体" w:cs="Arial"/>
          <w:b/>
          <w:kern w:val="0"/>
          <w:sz w:val="24"/>
          <w:szCs w:val="24"/>
        </w:rPr>
      </w:pPr>
      <w:r>
        <w:rPr>
          <w:rFonts w:hint="eastAsia" w:ascii="宋体" w:hAnsi="宋体" w:cs="Arial"/>
          <w:b/>
          <w:kern w:val="0"/>
          <w:sz w:val="24"/>
          <w:szCs w:val="24"/>
        </w:rPr>
        <w:t>特殊专用条款部分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第十一条 承包范围</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rPr>
      </w:pPr>
      <w:r>
        <w:rPr>
          <w:rFonts w:hint="eastAsia"/>
          <w:sz w:val="24"/>
          <w:szCs w:val="24"/>
          <w:highlight w:val="none"/>
        </w:rPr>
        <w:t>本次采购项目为西塘桥街道</w:t>
      </w:r>
      <w:r>
        <w:rPr>
          <w:rFonts w:hint="eastAsia"/>
          <w:sz w:val="24"/>
          <w:szCs w:val="24"/>
          <w:highlight w:val="none"/>
          <w:lang w:val="en-US" w:eastAsia="zh-CN"/>
        </w:rPr>
        <w:t>下辖7个城市社区（包括东海社区、滨海社区、清湖社区、新港社区、海湾社区、海城社区、海景社区）</w:t>
      </w:r>
      <w:r>
        <w:rPr>
          <w:rFonts w:hint="eastAsia"/>
          <w:sz w:val="24"/>
          <w:szCs w:val="24"/>
          <w:highlight w:val="none"/>
        </w:rPr>
        <w:t>公共环境病媒生物防制服务</w:t>
      </w:r>
      <w:r>
        <w:rPr>
          <w:rFonts w:hint="eastAsia"/>
          <w:sz w:val="24"/>
          <w:szCs w:val="24"/>
          <w:highlight w:val="none"/>
          <w:lang w:eastAsia="zh-CN"/>
        </w:rPr>
        <w:t>（</w:t>
      </w:r>
      <w:r>
        <w:rPr>
          <w:rFonts w:hint="eastAsia"/>
          <w:sz w:val="24"/>
          <w:szCs w:val="24"/>
          <w:highlight w:val="none"/>
          <w:lang w:val="en-US" w:eastAsia="zh-CN"/>
        </w:rPr>
        <w:t>另含1年内建设新增的社区公共环境</w:t>
      </w:r>
      <w:r>
        <w:rPr>
          <w:rFonts w:hint="eastAsia"/>
          <w:sz w:val="24"/>
          <w:szCs w:val="24"/>
          <w:highlight w:val="none"/>
          <w:lang w:eastAsia="zh-CN"/>
        </w:rPr>
        <w:t>），</w:t>
      </w:r>
      <w:r>
        <w:rPr>
          <w:rFonts w:hint="eastAsia"/>
          <w:sz w:val="24"/>
          <w:szCs w:val="24"/>
          <w:highlight w:val="none"/>
          <w:lang w:val="en-US" w:eastAsia="zh-CN"/>
        </w:rPr>
        <w:t>服务频次：4月-11月每月四次，12月-3月每月两次</w:t>
      </w:r>
      <w:r>
        <w:rPr>
          <w:rFonts w:hint="eastAsia"/>
          <w:sz w:val="24"/>
          <w:szCs w:val="24"/>
          <w:highlight w:val="none"/>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第十二条</w:t>
      </w:r>
      <w:r>
        <w:rPr>
          <w:rFonts w:hint="eastAsia" w:ascii="宋体" w:hAnsi="宋体" w:cs="Arial"/>
          <w:b/>
          <w:kern w:val="0"/>
          <w:sz w:val="24"/>
          <w:szCs w:val="24"/>
          <w:highlight w:val="none"/>
        </w:rPr>
        <w:t xml:space="preserve"> 承包内容</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1.公共环境（包括社区范围内的八小行业，所有楼房屋顶、楼道、遮雨档板、车库车棚、棚顶跳台、窨缸窨井、下水道、绿地花坛，公共厕所、垃圾中转站、公园、垃圾箱房等公用部位环境，社区内的河道、溪流、池塘及景观水池等各类水体、大型蓄水池、电缆沟等包括封闭式小区）灭鼠、蚊蝇和蟑螂的孳生消杀控制工作。</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2.公共环境病媒生物控制所需药物及投放、喷洒及环境处理；社区除四害技防设施的增补、清理与维护；各片区备检点小餐饮三防设施及城郊结合部重点场所三防设施的增补、清理与维护。</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val="en-US" w:eastAsia="zh-CN"/>
        </w:rPr>
      </w:pPr>
      <w:r>
        <w:rPr>
          <w:rFonts w:hint="eastAsia" w:eastAsia="宋体"/>
          <w:sz w:val="24"/>
          <w:szCs w:val="24"/>
          <w:highlight w:val="none"/>
          <w:lang w:val="en-US" w:eastAsia="zh-CN"/>
        </w:rPr>
        <w:t>3.配合街道做好突发应急事件环境消杀及市、区、街道爱卫办组织的其它除四害活动（包括要求承担的公益性服务）。</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4.协助街道加强除四害宣传教育，制定员工培训计划，开展各项活动，采取拍摄制作图文并茂、通俗易懂的宣传资料等方式向市民群众进行除害防病知识宣传。提高全民对做好除害防病工作重要性和必要性的认识，使之社区全覆盖、家喻户晓、人人明白、全民参与。</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5.向所服务社区低保户等困难家庭户无偿提供家庭用灭幛、灭鼠药等除"四害"药品及技术指导，向所服务社区居民家庭无偿提供除"四害"技术指导。</w:t>
      </w:r>
    </w:p>
    <w:p>
      <w:pPr>
        <w:pStyle w:val="102"/>
        <w:pageBreakBefore w:val="0"/>
        <w:widowControl w:val="0"/>
        <w:kinsoku/>
        <w:wordWrap/>
        <w:overflowPunct/>
        <w:topLinePunct w:val="0"/>
        <w:autoSpaceDE/>
        <w:autoSpaceDN/>
        <w:bidi w:val="0"/>
        <w:adjustRightInd/>
        <w:snapToGrid/>
        <w:spacing w:line="360" w:lineRule="auto"/>
        <w:ind w:firstLine="484" w:firstLineChars="200"/>
        <w:rPr>
          <w:rFonts w:hint="default"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6.</w:t>
      </w:r>
      <w:r>
        <w:rPr>
          <w:rFonts w:hint="eastAsia" w:eastAsia="宋体" w:cs="Times New Roman"/>
          <w:b w:val="0"/>
          <w:bCs w:val="0"/>
          <w:kern w:val="0"/>
          <w:sz w:val="24"/>
          <w:szCs w:val="24"/>
          <w:highlight w:val="none"/>
          <w:lang w:val="en-US" w:eastAsia="zh-CN" w:bidi="ar-SA"/>
        </w:rPr>
        <w:t>供应商</w:t>
      </w:r>
      <w:r>
        <w:rPr>
          <w:rFonts w:hint="eastAsia" w:ascii="Times New Roman" w:hAnsi="Times New Roman" w:eastAsia="宋体" w:cs="Times New Roman"/>
          <w:b w:val="0"/>
          <w:bCs w:val="0"/>
          <w:kern w:val="0"/>
          <w:sz w:val="24"/>
          <w:szCs w:val="24"/>
          <w:highlight w:val="none"/>
          <w:lang w:val="en-US" w:eastAsia="zh-CN" w:bidi="ar-SA"/>
        </w:rPr>
        <w:t>的消杀人员应定期到街道公共服务管理办公室、社区居委会报到（应定有固定作业人员3人），向分管人员汇报工作计划，并服从分配的具体工作任务。</w:t>
      </w:r>
    </w:p>
    <w:p>
      <w:pPr>
        <w:pageBreakBefore w:val="0"/>
        <w:widowControl w:val="0"/>
        <w:kinsoku/>
        <w:wordWrap/>
        <w:overflowPunct/>
        <w:topLinePunct w:val="0"/>
        <w:autoSpaceDE/>
        <w:autoSpaceDN/>
        <w:bidi w:val="0"/>
        <w:adjustRightInd/>
        <w:snapToGrid/>
        <w:spacing w:beforeLines="0" w:line="360" w:lineRule="auto"/>
        <w:ind w:firstLine="484"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7.每季度一次孳生地（如鼠洞、严重卫生死角等）调查，收集和处理死老鼠等。</w:t>
      </w:r>
    </w:p>
    <w:p>
      <w:pPr>
        <w:pageBreakBefore w:val="0"/>
        <w:widowControl w:val="0"/>
        <w:kinsoku/>
        <w:wordWrap/>
        <w:overflowPunct/>
        <w:topLinePunct w:val="0"/>
        <w:autoSpaceDE/>
        <w:autoSpaceDN/>
        <w:bidi w:val="0"/>
        <w:adjustRightInd/>
        <w:snapToGrid/>
        <w:spacing w:beforeLines="0" w:line="360" w:lineRule="auto"/>
        <w:ind w:firstLine="484"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8.做好服务区域的</w:t>
      </w:r>
      <w:r>
        <w:rPr>
          <w:rFonts w:hint="eastAsia" w:eastAsia="宋体" w:cs="Times New Roman"/>
          <w:b w:val="0"/>
          <w:bCs w:val="0"/>
          <w:kern w:val="0"/>
          <w:sz w:val="24"/>
          <w:szCs w:val="24"/>
          <w:highlight w:val="none"/>
          <w:lang w:val="en-US" w:eastAsia="zh-CN" w:bidi="ar-SA"/>
        </w:rPr>
        <w:t>“</w:t>
      </w:r>
      <w:r>
        <w:rPr>
          <w:rFonts w:hint="eastAsia" w:ascii="Times New Roman" w:hAnsi="Times New Roman" w:eastAsia="宋体" w:cs="Times New Roman"/>
          <w:b w:val="0"/>
          <w:bCs w:val="0"/>
          <w:kern w:val="0"/>
          <w:sz w:val="24"/>
          <w:szCs w:val="24"/>
          <w:highlight w:val="none"/>
          <w:lang w:val="en-US" w:eastAsia="zh-CN" w:bidi="ar-SA"/>
        </w:rPr>
        <w:t>四害</w:t>
      </w:r>
      <w:r>
        <w:rPr>
          <w:rFonts w:hint="eastAsia" w:eastAsia="宋体" w:cs="Times New Roman"/>
          <w:b w:val="0"/>
          <w:bCs w:val="0"/>
          <w:kern w:val="0"/>
          <w:sz w:val="24"/>
          <w:szCs w:val="24"/>
          <w:highlight w:val="none"/>
          <w:lang w:val="en-US" w:eastAsia="zh-CN" w:bidi="ar-SA"/>
        </w:rPr>
        <w:t>”</w:t>
      </w:r>
      <w:r>
        <w:rPr>
          <w:rFonts w:hint="eastAsia" w:ascii="Times New Roman" w:hAnsi="Times New Roman" w:eastAsia="宋体" w:cs="Times New Roman"/>
          <w:b w:val="0"/>
          <w:bCs w:val="0"/>
          <w:kern w:val="0"/>
          <w:sz w:val="24"/>
          <w:szCs w:val="24"/>
          <w:highlight w:val="none"/>
          <w:lang w:val="en-US" w:eastAsia="zh-CN" w:bidi="ar-SA"/>
        </w:rPr>
        <w:t>密度监测，并做好整改工作。鼠、蟑每单月15日开展一次，蚊、蝇每年 4-10月15日开展一次，按月上报小结，按季上报分析报告，按年度上报工作总结。</w:t>
      </w:r>
    </w:p>
    <w:p>
      <w:pPr>
        <w:pageBreakBefore w:val="0"/>
        <w:widowControl w:val="0"/>
        <w:kinsoku/>
        <w:wordWrap/>
        <w:overflowPunct/>
        <w:topLinePunct w:val="0"/>
        <w:autoSpaceDE/>
        <w:autoSpaceDN/>
        <w:bidi w:val="0"/>
        <w:adjustRightInd/>
        <w:snapToGrid/>
        <w:spacing w:beforeLines="0" w:line="360" w:lineRule="auto"/>
        <w:ind w:firstLine="484" w:firstLineChars="200"/>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9.消杀工作之前，先告之采购单位，认真听取其建议</w:t>
      </w:r>
      <w:r>
        <w:rPr>
          <w:rFonts w:hint="eastAsia" w:cs="Times New Roman"/>
          <w:b w:val="0"/>
          <w:bCs w:val="0"/>
          <w:kern w:val="0"/>
          <w:sz w:val="24"/>
          <w:szCs w:val="24"/>
          <w:highlight w:val="none"/>
          <w:lang w:val="en-US" w:eastAsia="zh-CN" w:bidi="ar-SA"/>
        </w:rPr>
        <w:t>，并做好公示公告，告知小区居民</w:t>
      </w:r>
      <w:r>
        <w:rPr>
          <w:rFonts w:hint="eastAsia" w:ascii="Times New Roman" w:hAnsi="Times New Roman" w:eastAsia="宋体" w:cs="Times New Roman"/>
          <w:b w:val="0"/>
          <w:bCs w:val="0"/>
          <w:kern w:val="0"/>
          <w:sz w:val="24"/>
          <w:szCs w:val="24"/>
          <w:highlight w:val="none"/>
          <w:lang w:val="en-US" w:eastAsia="zh-CN" w:bidi="ar-SA"/>
        </w:rPr>
        <w:t>；服务后进行复查，及时查补遗漏，清理好现场工作器械和药物。</w:t>
      </w:r>
    </w:p>
    <w:p>
      <w:pPr>
        <w:ind w:firstLine="484" w:firstLineChars="200"/>
        <w:outlineLvl w:val="9"/>
        <w:rPr>
          <w:rFonts w:hint="eastAsia" w:ascii="Times New Roman" w:hAnsi="Times New Roman" w:eastAsia="宋体" w:cs="Times New Roman"/>
          <w:b w:val="0"/>
          <w:bCs w:val="0"/>
          <w:kern w:val="0"/>
          <w:sz w:val="24"/>
          <w:szCs w:val="24"/>
          <w:highlight w:val="no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10.本合同新增设备：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4611"/>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序号</w:t>
            </w:r>
          </w:p>
        </w:tc>
        <w:tc>
          <w:tcPr>
            <w:tcW w:w="4611"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内容</w:t>
            </w:r>
          </w:p>
        </w:tc>
        <w:tc>
          <w:tcPr>
            <w:tcW w:w="2843"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1</w:t>
            </w:r>
          </w:p>
        </w:tc>
        <w:tc>
          <w:tcPr>
            <w:tcW w:w="4611"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鼠饵站</w:t>
            </w:r>
          </w:p>
        </w:tc>
        <w:tc>
          <w:tcPr>
            <w:tcW w:w="2843"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2</w:t>
            </w:r>
          </w:p>
        </w:tc>
        <w:tc>
          <w:tcPr>
            <w:tcW w:w="4611"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插地式捕蝇笼</w:t>
            </w:r>
          </w:p>
        </w:tc>
        <w:tc>
          <w:tcPr>
            <w:tcW w:w="2843"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3</w:t>
            </w:r>
          </w:p>
        </w:tc>
        <w:tc>
          <w:tcPr>
            <w:tcW w:w="4611"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在下水道主管网安装挡鼠网，</w:t>
            </w:r>
            <w:r>
              <w:rPr>
                <w:rFonts w:hint="eastAsia" w:ascii="Times New Roman" w:hAnsi="Times New Roman" w:cs="Times New Roman"/>
                <w:b w:val="0"/>
                <w:bCs w:val="0"/>
                <w:kern w:val="0"/>
                <w:sz w:val="24"/>
                <w:szCs w:val="24"/>
                <w:highlight w:val="none"/>
                <w:lang w:val="en-US" w:eastAsia="zh-CN" w:bidi="ar-SA"/>
              </w:rPr>
              <w:t>档鼠网宽度为1.2米</w:t>
            </w:r>
          </w:p>
        </w:tc>
        <w:tc>
          <w:tcPr>
            <w:tcW w:w="2843"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70米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4</w:t>
            </w:r>
          </w:p>
        </w:tc>
        <w:tc>
          <w:tcPr>
            <w:tcW w:w="4611"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eastAsia="宋体" w:cs="Times New Roman"/>
                <w:b w:val="0"/>
                <w:bCs w:val="0"/>
                <w:kern w:val="0"/>
                <w:sz w:val="24"/>
                <w:szCs w:val="24"/>
                <w:highlight w:val="none"/>
                <w:lang w:val="en-US" w:eastAsia="zh-CN" w:bidi="ar-SA"/>
              </w:rPr>
              <w:t>外捕蝇灯</w:t>
            </w:r>
          </w:p>
        </w:tc>
        <w:tc>
          <w:tcPr>
            <w:tcW w:w="2843" w:type="dxa"/>
            <w:vAlign w:val="center"/>
          </w:tcPr>
          <w:p>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default" w:ascii="Times New Roman" w:hAnsi="Times New Roman" w:eastAsia="宋体" w:cs="Times New Roman"/>
                <w:b w:val="0"/>
                <w:bCs w:val="0"/>
                <w:kern w:val="0"/>
                <w:sz w:val="24"/>
                <w:szCs w:val="24"/>
                <w:highlight w:val="none"/>
                <w:vertAlign w:val="baseline"/>
                <w:lang w:val="en-US" w:eastAsia="zh-CN" w:bidi="ar-SA"/>
              </w:rPr>
            </w:pPr>
            <w:r>
              <w:rPr>
                <w:rFonts w:hint="eastAsia" w:ascii="Times New Roman" w:hAnsi="Times New Roman" w:cs="Times New Roman"/>
                <w:b w:val="0"/>
                <w:bCs w:val="0"/>
                <w:kern w:val="0"/>
                <w:sz w:val="24"/>
                <w:szCs w:val="24"/>
                <w:highlight w:val="none"/>
                <w:vertAlign w:val="baseline"/>
                <w:lang w:val="en-US" w:eastAsia="zh-CN" w:bidi="ar-SA"/>
              </w:rPr>
              <w:t>4台</w:t>
            </w:r>
          </w:p>
        </w:tc>
      </w:tr>
    </w:tbl>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default" w:ascii="宋体" w:hAnsi="宋体" w:eastAsia="宋体" w:cs="Arial"/>
          <w:b/>
          <w:kern w:val="0"/>
          <w:sz w:val="24"/>
          <w:szCs w:val="24"/>
          <w:lang w:val="en-US" w:eastAsia="zh-CN"/>
        </w:rPr>
      </w:pPr>
      <w:r>
        <w:rPr>
          <w:rFonts w:hint="eastAsia" w:ascii="宋体" w:hAnsi="宋体" w:cs="Arial"/>
          <w:b/>
          <w:kern w:val="0"/>
          <w:sz w:val="24"/>
          <w:szCs w:val="24"/>
        </w:rPr>
        <w:t xml:space="preserve">第十三条 </w:t>
      </w:r>
      <w:r>
        <w:rPr>
          <w:rFonts w:hint="eastAsia" w:ascii="宋体" w:hAnsi="宋体" w:cs="Arial"/>
          <w:b/>
          <w:kern w:val="0"/>
          <w:sz w:val="24"/>
          <w:szCs w:val="24"/>
          <w:highlight w:val="none"/>
        </w:rPr>
        <w:t>承包期限：</w:t>
      </w:r>
      <w:r>
        <w:rPr>
          <w:rFonts w:hint="eastAsia" w:ascii="宋体" w:hAnsi="宋体" w:cs="Arial"/>
          <w:b/>
          <w:kern w:val="0"/>
          <w:sz w:val="24"/>
          <w:szCs w:val="24"/>
          <w:highlight w:val="none"/>
          <w:lang w:eastAsia="zh-CN"/>
        </w:rPr>
        <w:t>合同签订之日起</w:t>
      </w:r>
      <w:r>
        <w:rPr>
          <w:rFonts w:hint="eastAsia" w:ascii="宋体" w:hAnsi="宋体" w:cs="Arial"/>
          <w:b/>
          <w:kern w:val="0"/>
          <w:sz w:val="24"/>
          <w:szCs w:val="24"/>
          <w:highlight w:val="none"/>
          <w:lang w:val="en-US" w:eastAsia="zh-CN"/>
        </w:rPr>
        <w:t>1年</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第十四条 承包质量要求</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rPr>
      </w:pPr>
      <w:r>
        <w:rPr>
          <w:rFonts w:hint="eastAsia"/>
          <w:sz w:val="24"/>
          <w:szCs w:val="24"/>
          <w:highlight w:val="none"/>
        </w:rPr>
        <w:t>1.服务质量达到《中华人民共和国国家标准》（GB／[T27770－27773]—2011〔鼠、蚊、蝇、蟑螂〕）规定标准A级控制水平</w:t>
      </w:r>
      <w:r>
        <w:rPr>
          <w:rFonts w:hint="eastAsia"/>
          <w:sz w:val="24"/>
          <w:szCs w:val="24"/>
          <w:highlight w:val="none"/>
          <w:lang w:eastAsia="zh-CN"/>
        </w:rPr>
        <w:t>，</w:t>
      </w:r>
      <w:r>
        <w:rPr>
          <w:rFonts w:hint="eastAsia"/>
          <w:sz w:val="24"/>
          <w:szCs w:val="24"/>
          <w:highlight w:val="none"/>
          <w:lang w:val="en-US" w:eastAsia="zh-CN"/>
        </w:rPr>
        <w:t>持续巩固街道病媒A级创建成果</w:t>
      </w:r>
      <w:r>
        <w:rPr>
          <w:rFonts w:hint="eastAsia"/>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lang w:val="en-US" w:eastAsia="zh-CN"/>
        </w:rPr>
      </w:pPr>
      <w:r>
        <w:rPr>
          <w:rFonts w:hint="eastAsia"/>
          <w:sz w:val="24"/>
          <w:szCs w:val="24"/>
          <w:highlight w:val="none"/>
          <w:lang w:val="en-US" w:eastAsia="zh-CN"/>
        </w:rPr>
        <w:t>具体如下：</w:t>
      </w:r>
    </w:p>
    <w:p>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《中华人民共和国国家标准》（GB／[T27770－27773]—2011〔鼠、蚊、蝇、蟑螂〕）摘录：</w:t>
      </w:r>
    </w:p>
    <w:p>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鼠密度控制水平A级</w:t>
      </w:r>
    </w:p>
    <w:p>
      <w:pPr>
        <w:pStyle w:val="16"/>
        <w:snapToGrid w:val="0"/>
        <w:spacing w:before="120" w:after="120" w:line="360" w:lineRule="auto"/>
        <w:ind w:left="315" w:firstLine="363" w:firstLineChars="150"/>
        <w:rPr>
          <w:rFonts w:hint="eastAsia" w:hAnsi="宋体"/>
          <w:sz w:val="24"/>
          <w:szCs w:val="24"/>
          <w:highlight w:val="none"/>
        </w:rPr>
      </w:pPr>
      <w:r>
        <w:rPr>
          <w:rFonts w:hint="eastAsia" w:hAnsi="宋体"/>
          <w:sz w:val="24"/>
          <w:szCs w:val="24"/>
          <w:highlight w:val="none"/>
        </w:rPr>
        <w:t>防鼠设施合格率≥97%； 室内鼠迹阳性率≤1%；   外环境鼠路径指数≤1。</w:t>
      </w:r>
    </w:p>
    <w:p>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 xml:space="preserve">   </w:t>
      </w:r>
      <w:r>
        <w:rPr>
          <w:rFonts w:hint="eastAsia" w:hAnsi="宋体"/>
          <w:sz w:val="24"/>
          <w:szCs w:val="24"/>
          <w:highlight w:val="none"/>
          <w:lang w:val="en-US" w:eastAsia="zh-CN"/>
        </w:rPr>
        <w:t>(</w:t>
      </w:r>
      <w:r>
        <w:rPr>
          <w:rFonts w:hint="eastAsia" w:hAnsi="宋体"/>
          <w:sz w:val="24"/>
          <w:szCs w:val="24"/>
          <w:highlight w:val="none"/>
        </w:rPr>
        <w:t>2</w:t>
      </w:r>
      <w:r>
        <w:rPr>
          <w:rFonts w:hint="eastAsia" w:hAnsi="宋体"/>
          <w:sz w:val="24"/>
          <w:szCs w:val="24"/>
          <w:highlight w:val="none"/>
          <w:lang w:val="en-US" w:eastAsia="zh-CN"/>
        </w:rPr>
        <w:t>)</w:t>
      </w:r>
      <w:r>
        <w:rPr>
          <w:rFonts w:hint="eastAsia" w:hAnsi="宋体"/>
          <w:sz w:val="24"/>
          <w:szCs w:val="24"/>
          <w:highlight w:val="none"/>
        </w:rPr>
        <w:t>蚊虫密度控制水平A级</w:t>
      </w:r>
    </w:p>
    <w:p>
      <w:pPr>
        <w:pStyle w:val="16"/>
        <w:snapToGrid w:val="0"/>
        <w:spacing w:before="120" w:after="120" w:line="360" w:lineRule="auto"/>
        <w:ind w:left="573" w:hanging="653" w:hangingChars="270"/>
        <w:rPr>
          <w:rFonts w:hint="eastAsia" w:hAnsi="宋体"/>
          <w:sz w:val="24"/>
          <w:szCs w:val="24"/>
          <w:highlight w:val="none"/>
        </w:rPr>
      </w:pPr>
      <w:r>
        <w:rPr>
          <w:rFonts w:hint="eastAsia" w:hAnsi="宋体"/>
          <w:sz w:val="24"/>
          <w:szCs w:val="24"/>
          <w:highlight w:val="none"/>
        </w:rPr>
        <w:t xml:space="preserve">     小型积水蚊虫路径指数≤0.1；大中型水体蚊虫采样勺指数≤1%，平均每阳性勺少于3只蚊幼虫和蛹；外环境蚊虫停落指数≤0.5。</w:t>
      </w:r>
    </w:p>
    <w:p>
      <w:pPr>
        <w:pStyle w:val="16"/>
        <w:numPr>
          <w:ilvl w:val="0"/>
          <w:numId w:val="0"/>
        </w:numPr>
        <w:snapToGrid w:val="0"/>
        <w:spacing w:before="120" w:after="120" w:line="360" w:lineRule="auto"/>
        <w:ind w:left="315" w:leftChars="0"/>
        <w:rPr>
          <w:rFonts w:hint="eastAsia"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蝇密度控制水平A级</w:t>
      </w:r>
    </w:p>
    <w:p>
      <w:pPr>
        <w:pStyle w:val="16"/>
        <w:snapToGrid w:val="0"/>
        <w:spacing w:before="120" w:after="120" w:line="360" w:lineRule="auto"/>
        <w:ind w:left="315" w:firstLine="363" w:firstLineChars="150"/>
        <w:rPr>
          <w:rFonts w:hint="eastAsia" w:hAnsi="宋体"/>
          <w:sz w:val="24"/>
          <w:szCs w:val="24"/>
          <w:highlight w:val="none"/>
        </w:rPr>
      </w:pPr>
      <w:r>
        <w:rPr>
          <w:rFonts w:hint="eastAsia" w:hAnsi="宋体"/>
          <w:sz w:val="24"/>
          <w:szCs w:val="24"/>
          <w:highlight w:val="none"/>
        </w:rPr>
        <w:t>防蝇设施合格率≥98%；</w:t>
      </w:r>
    </w:p>
    <w:p>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 xml:space="preserve">      生产销售直接入口食品的场所不得有蝇，室内不得存在蝇类孳生地；</w:t>
      </w:r>
    </w:p>
    <w:p>
      <w:pPr>
        <w:pStyle w:val="16"/>
        <w:snapToGrid w:val="0"/>
        <w:spacing w:before="120" w:after="120" w:line="360" w:lineRule="auto"/>
        <w:ind w:left="318" w:leftChars="150" w:firstLine="363" w:firstLineChars="150"/>
        <w:rPr>
          <w:rFonts w:hint="eastAsia" w:hAnsi="宋体"/>
          <w:sz w:val="24"/>
          <w:szCs w:val="24"/>
          <w:highlight w:val="none"/>
        </w:rPr>
      </w:pPr>
      <w:r>
        <w:rPr>
          <w:rFonts w:hint="eastAsia" w:hAnsi="宋体"/>
          <w:sz w:val="24"/>
          <w:szCs w:val="24"/>
          <w:highlight w:val="none"/>
        </w:rPr>
        <w:t>室内有蝇房间阳性率≤3%，阳性间蝇密度≤3只/间；室外蝇类孳生地阳性率≤1%；</w:t>
      </w:r>
    </w:p>
    <w:p>
      <w:pPr>
        <w:pStyle w:val="16"/>
        <w:snapToGrid w:val="0"/>
        <w:spacing w:before="120" w:after="120" w:line="360" w:lineRule="auto"/>
        <w:ind w:left="361" w:hanging="411" w:hangingChars="170"/>
        <w:rPr>
          <w:rFonts w:hint="eastAsia" w:hAnsi="宋体"/>
          <w:sz w:val="24"/>
          <w:szCs w:val="24"/>
          <w:highlight w:val="none"/>
        </w:rPr>
      </w:pPr>
      <w:r>
        <w:rPr>
          <w:rFonts w:hint="eastAsia" w:hAnsi="宋体"/>
          <w:sz w:val="24"/>
          <w:szCs w:val="24"/>
          <w:highlight w:val="none"/>
        </w:rPr>
        <w:t>　　</w:t>
      </w:r>
      <w:r>
        <w:rPr>
          <w:rFonts w:hint="eastAsia" w:hAnsi="宋体"/>
          <w:sz w:val="24"/>
          <w:szCs w:val="24"/>
          <w:highlight w:val="none"/>
          <w:lang w:val="en-US" w:eastAsia="zh-CN"/>
        </w:rPr>
        <w:t>(4)</w:t>
      </w:r>
      <w:r>
        <w:rPr>
          <w:rFonts w:hint="eastAsia" w:hAnsi="宋体"/>
          <w:sz w:val="24"/>
          <w:szCs w:val="24"/>
          <w:highlight w:val="none"/>
        </w:rPr>
        <w:t>蟑螂密度控制水平A级</w:t>
      </w:r>
    </w:p>
    <w:p>
      <w:pPr>
        <w:spacing w:line="360" w:lineRule="auto"/>
        <w:rPr>
          <w:rFonts w:hint="eastAsia" w:hAnsi="宋体"/>
          <w:sz w:val="24"/>
          <w:szCs w:val="24"/>
          <w:highlight w:val="none"/>
        </w:rPr>
      </w:pPr>
      <w:r>
        <w:rPr>
          <w:rFonts w:hint="eastAsia" w:hAnsi="宋体"/>
          <w:sz w:val="24"/>
          <w:szCs w:val="24"/>
          <w:highlight w:val="none"/>
        </w:rPr>
        <w:t xml:space="preserve">      蜚蠊成若虫侵害率≤1%，平均每阳性间（处）成若虫数小蠊≤5只，大蠊≤2只；</w:t>
      </w:r>
    </w:p>
    <w:p>
      <w:pPr>
        <w:spacing w:line="360" w:lineRule="auto"/>
        <w:ind w:firstLine="726" w:firstLineChars="300"/>
        <w:rPr>
          <w:rFonts w:hint="eastAsia" w:hAnsi="宋体"/>
          <w:sz w:val="24"/>
          <w:szCs w:val="24"/>
          <w:highlight w:val="none"/>
        </w:rPr>
      </w:pPr>
      <w:r>
        <w:rPr>
          <w:rFonts w:hint="eastAsia" w:hAnsi="宋体"/>
          <w:sz w:val="24"/>
          <w:szCs w:val="24"/>
          <w:highlight w:val="none"/>
        </w:rPr>
        <w:t>蟑螂卵鞘密度查获率≤1%，平均每阳性间（处）卵鞘数≤2只/间）；</w:t>
      </w:r>
    </w:p>
    <w:p>
      <w:pPr>
        <w:spacing w:line="400" w:lineRule="exact"/>
        <w:ind w:firstLine="726" w:firstLineChars="300"/>
        <w:rPr>
          <w:rFonts w:hint="default"/>
          <w:highlight w:val="none"/>
          <w:lang w:val="en-US" w:eastAsia="zh-CN"/>
        </w:rPr>
      </w:pPr>
      <w:r>
        <w:rPr>
          <w:rFonts w:hint="eastAsia" w:hAnsi="宋体"/>
          <w:sz w:val="24"/>
          <w:szCs w:val="24"/>
          <w:highlight w:val="none"/>
        </w:rPr>
        <w:t>蟑迹查获率≤3%</w:t>
      </w:r>
      <w:r>
        <w:rPr>
          <w:rFonts w:hint="eastAsia" w:hAnsi="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群众</w:t>
      </w:r>
      <w:r>
        <w:rPr>
          <w:rFonts w:hint="eastAsia"/>
          <w:sz w:val="24"/>
          <w:szCs w:val="24"/>
          <w:highlight w:val="none"/>
        </w:rPr>
        <w:t>满意率达90%（含）以上；</w:t>
      </w:r>
    </w:p>
    <w:p>
      <w:pPr>
        <w:keepNext w:val="0"/>
        <w:keepLines w:val="0"/>
        <w:pageBreakBefore w:val="0"/>
        <w:widowControl/>
        <w:kinsoku/>
        <w:wordWrap/>
        <w:overflowPunct/>
        <w:topLinePunct w:val="0"/>
        <w:autoSpaceDE/>
        <w:autoSpaceDN/>
        <w:bidi w:val="0"/>
        <w:adjustRightInd/>
        <w:snapToGrid/>
        <w:spacing w:line="360" w:lineRule="auto"/>
        <w:ind w:firstLine="484" w:firstLineChars="200"/>
        <w:textAlignment w:val="auto"/>
        <w:rPr>
          <w:rFonts w:hint="eastAsia" w:eastAsia="宋体"/>
          <w:sz w:val="24"/>
          <w:szCs w:val="24"/>
          <w:highlight w:val="none"/>
          <w:lang w:eastAsia="zh-CN"/>
        </w:rPr>
      </w:pPr>
      <w:r>
        <w:rPr>
          <w:rFonts w:hint="eastAsia"/>
          <w:sz w:val="24"/>
          <w:szCs w:val="24"/>
          <w:highlight w:val="none"/>
        </w:rPr>
        <w:t>3.</w:t>
      </w:r>
      <w:r>
        <w:rPr>
          <w:rFonts w:hint="eastAsia" w:eastAsia="宋体"/>
          <w:sz w:val="24"/>
          <w:szCs w:val="24"/>
          <w:highlight w:val="none"/>
        </w:rPr>
        <w:t>确保病媒生物防制工作</w:t>
      </w:r>
      <w:r>
        <w:rPr>
          <w:rFonts w:hint="eastAsia" w:eastAsia="宋体"/>
          <w:sz w:val="24"/>
          <w:szCs w:val="24"/>
          <w:highlight w:val="none"/>
          <w:lang w:val="en-US" w:eastAsia="zh-CN"/>
        </w:rPr>
        <w:t>通过县城区病媒生物B级复评</w:t>
      </w:r>
      <w:r>
        <w:rPr>
          <w:rFonts w:hint="eastAsia" w:eastAsia="宋体"/>
          <w:sz w:val="24"/>
          <w:szCs w:val="24"/>
          <w:highlight w:val="none"/>
        </w:rPr>
        <w:t>和</w:t>
      </w:r>
      <w:r>
        <w:rPr>
          <w:rFonts w:hint="eastAsia"/>
          <w:sz w:val="24"/>
          <w:szCs w:val="24"/>
          <w:highlight w:val="none"/>
          <w:lang w:val="en-US" w:eastAsia="zh-CN"/>
        </w:rPr>
        <w:t>街道</w:t>
      </w:r>
      <w:r>
        <w:rPr>
          <w:rFonts w:hint="eastAsia" w:eastAsia="宋体"/>
          <w:sz w:val="24"/>
          <w:szCs w:val="24"/>
          <w:highlight w:val="none"/>
        </w:rPr>
        <w:t>病媒生物</w:t>
      </w:r>
      <w:r>
        <w:rPr>
          <w:rFonts w:hint="eastAsia"/>
          <w:sz w:val="24"/>
          <w:szCs w:val="24"/>
          <w:highlight w:val="none"/>
          <w:lang w:val="en-US" w:eastAsia="zh-CN"/>
        </w:rPr>
        <w:t>A级持续巩固</w:t>
      </w:r>
      <w:r>
        <w:rPr>
          <w:rFonts w:hint="eastAsia" w:eastAsia="宋体"/>
          <w:sz w:val="24"/>
          <w:szCs w:val="24"/>
          <w:highlight w:val="none"/>
        </w:rPr>
        <w:t>，在上级检查中不失责任分。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第十五条 结算</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default" w:ascii="宋体" w:hAnsi="宋体" w:cs="Arial"/>
          <w:bCs/>
          <w:kern w:val="0"/>
          <w:sz w:val="24"/>
          <w:szCs w:val="24"/>
          <w:lang w:val="en-US"/>
        </w:rPr>
      </w:pPr>
      <w:r>
        <w:rPr>
          <w:rFonts w:hint="eastAsia" w:ascii="宋体" w:hAnsi="宋体" w:cs="Arial"/>
          <w:bCs/>
          <w:kern w:val="0"/>
          <w:sz w:val="24"/>
          <w:szCs w:val="24"/>
        </w:rPr>
        <w:t>1、</w:t>
      </w:r>
      <w:r>
        <w:rPr>
          <w:rFonts w:hint="eastAsia" w:ascii="宋体" w:hAnsi="宋体" w:cs="Arial"/>
          <w:color w:val="auto"/>
          <w:kern w:val="0"/>
          <w:sz w:val="24"/>
          <w:szCs w:val="24"/>
          <w:u w:val="single"/>
          <w:lang w:val="en-US" w:eastAsia="zh-CN"/>
        </w:rPr>
        <w:t>合</w:t>
      </w:r>
      <w:r>
        <w:rPr>
          <w:rFonts w:hint="eastAsia" w:ascii="宋体" w:hAnsi="宋体" w:cs="Arial"/>
          <w:color w:val="auto"/>
          <w:kern w:val="0"/>
          <w:sz w:val="24"/>
          <w:szCs w:val="24"/>
          <w:highlight w:val="none"/>
          <w:u w:val="single"/>
          <w:lang w:val="en-US" w:eastAsia="zh-CN"/>
        </w:rPr>
        <w:t xml:space="preserve">同生效以及具备实施条件后7个工作日内支付签订合同后支付合同价的70％，第一、二季度在预付款中按考核后的支付金额扣除，第三季度按考核后的支付金额在扣除预付款后不够的部分转账支付，第四季度根据年终综合考核结果进行转账支付。 </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Cs/>
          <w:kern w:val="0"/>
          <w:sz w:val="24"/>
          <w:szCs w:val="24"/>
        </w:rPr>
      </w:pPr>
      <w:r>
        <w:rPr>
          <w:rFonts w:hint="eastAsia" w:ascii="宋体" w:hAnsi="宋体" w:cs="Arial"/>
          <w:bCs/>
          <w:kern w:val="0"/>
          <w:sz w:val="24"/>
          <w:szCs w:val="24"/>
        </w:rPr>
        <w:t>2、对突发应急事件消杀和其他公益性消杀，费用另行结算。</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
          <w:kern w:val="0"/>
          <w:sz w:val="24"/>
          <w:szCs w:val="24"/>
        </w:rPr>
      </w:pPr>
      <w:r>
        <w:rPr>
          <w:rFonts w:hint="eastAsia" w:ascii="宋体" w:hAnsi="宋体" w:cs="Arial"/>
          <w:b/>
          <w:kern w:val="0"/>
          <w:sz w:val="24"/>
          <w:szCs w:val="24"/>
        </w:rPr>
        <w:t>第十六条 甲方职责</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rPr>
      </w:pPr>
      <w:r>
        <w:rPr>
          <w:rFonts w:hint="eastAsia" w:hAnsi="宋体"/>
          <w:sz w:val="24"/>
          <w:szCs w:val="24"/>
        </w:rPr>
        <w:t>1、负责督促街道办落实承包范围内公共环境环卫基础设施建设、维护，保持环境清洁卫生。</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rPr>
      </w:pPr>
      <w:r>
        <w:rPr>
          <w:rFonts w:hint="eastAsia" w:hAnsi="宋体"/>
          <w:sz w:val="24"/>
          <w:szCs w:val="24"/>
        </w:rPr>
        <w:t>2、负责督促街道办落实开展对社区居民的病媒生物防制工作的宣传。</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hAnsi="宋体"/>
          <w:sz w:val="24"/>
          <w:szCs w:val="24"/>
        </w:rPr>
      </w:pPr>
      <w:r>
        <w:rPr>
          <w:rFonts w:hint="eastAsia" w:hAnsi="宋体"/>
          <w:sz w:val="24"/>
          <w:szCs w:val="24"/>
        </w:rPr>
        <w:t>3、负责督促乙方落实病媒生物防制消杀服务措施。</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ind w:left="0" w:leftChars="0" w:firstLine="484" w:firstLineChars="200"/>
        <w:jc w:val="left"/>
        <w:textAlignment w:val="auto"/>
        <w:rPr>
          <w:rFonts w:hint="eastAsia" w:ascii="宋体" w:hAnsi="宋体" w:cs="Arial"/>
          <w:bCs/>
          <w:kern w:val="0"/>
          <w:sz w:val="24"/>
          <w:szCs w:val="24"/>
        </w:rPr>
      </w:pPr>
    </w:p>
    <w:p>
      <w:pPr>
        <w:pStyle w:val="16"/>
        <w:keepNext w:val="0"/>
        <w:keepLines w:val="0"/>
        <w:pageBreakBefore w:val="0"/>
        <w:kinsoku/>
        <w:wordWrap/>
        <w:overflowPunct/>
        <w:topLinePunct w:val="0"/>
        <w:autoSpaceDE/>
        <w:autoSpaceDN/>
        <w:bidi w:val="0"/>
        <w:adjustRightInd/>
        <w:snapToGrid w:val="0"/>
        <w:spacing w:line="360" w:lineRule="auto"/>
        <w:ind w:left="242" w:leftChars="0" w:hanging="242" w:hangingChars="100"/>
        <w:textAlignment w:val="auto"/>
        <w:rPr>
          <w:rFonts w:hAnsi="宋体"/>
          <w:sz w:val="24"/>
          <w:szCs w:val="24"/>
        </w:rPr>
      </w:pPr>
      <w:r>
        <w:rPr>
          <w:rFonts w:hAnsi="宋体"/>
          <w:sz w:val="24"/>
          <w:szCs w:val="24"/>
        </w:rPr>
        <w:t>甲方：</w:t>
      </w:r>
      <w:r>
        <w:rPr>
          <w:rFonts w:hint="eastAsia" w:hAnsi="宋体"/>
          <w:sz w:val="24"/>
          <w:szCs w:val="24"/>
        </w:rPr>
        <w:t xml:space="preserve">                                </w:t>
      </w:r>
      <w:r>
        <w:rPr>
          <w:rFonts w:hAnsi="宋体"/>
          <w:sz w:val="24"/>
          <w:szCs w:val="24"/>
        </w:rPr>
        <w:t>乙方：</w:t>
      </w:r>
    </w:p>
    <w:p>
      <w:pPr>
        <w:pStyle w:val="16"/>
        <w:keepNext w:val="0"/>
        <w:keepLines w:val="0"/>
        <w:pageBreakBefore w:val="0"/>
        <w:kinsoku/>
        <w:wordWrap/>
        <w:overflowPunct/>
        <w:topLinePunct w:val="0"/>
        <w:autoSpaceDE/>
        <w:autoSpaceDN/>
        <w:bidi w:val="0"/>
        <w:adjustRightInd/>
        <w:snapToGrid w:val="0"/>
        <w:spacing w:line="360" w:lineRule="auto"/>
        <w:ind w:left="0" w:leftChars="0"/>
        <w:textAlignment w:val="auto"/>
        <w:rPr>
          <w:rFonts w:hAnsi="宋体"/>
          <w:sz w:val="24"/>
          <w:szCs w:val="24"/>
        </w:rPr>
      </w:pPr>
      <w:r>
        <w:rPr>
          <w:rFonts w:hAnsi="宋体"/>
          <w:sz w:val="24"/>
          <w:szCs w:val="24"/>
        </w:rPr>
        <w:t>地址：</w:t>
      </w:r>
      <w:r>
        <w:rPr>
          <w:rFonts w:hint="eastAsia" w:hAnsi="宋体"/>
          <w:sz w:val="24"/>
          <w:szCs w:val="24"/>
        </w:rPr>
        <w:t xml:space="preserve">                                </w:t>
      </w:r>
      <w:r>
        <w:rPr>
          <w:rFonts w:hAnsi="宋体"/>
          <w:sz w:val="24"/>
          <w:szCs w:val="24"/>
        </w:rPr>
        <w:t>地址：</w:t>
      </w:r>
    </w:p>
    <w:p>
      <w:pPr>
        <w:pStyle w:val="16"/>
        <w:keepNext w:val="0"/>
        <w:keepLines w:val="0"/>
        <w:pageBreakBefore w:val="0"/>
        <w:kinsoku/>
        <w:wordWrap/>
        <w:overflowPunct/>
        <w:topLinePunct w:val="0"/>
        <w:autoSpaceDE/>
        <w:autoSpaceDN/>
        <w:bidi w:val="0"/>
        <w:adjustRightInd/>
        <w:snapToGrid w:val="0"/>
        <w:spacing w:line="360" w:lineRule="auto"/>
        <w:ind w:left="0" w:leftChars="0"/>
        <w:textAlignment w:val="auto"/>
        <w:rPr>
          <w:rFonts w:hAnsi="宋体"/>
          <w:sz w:val="24"/>
          <w:szCs w:val="24"/>
        </w:rPr>
      </w:pPr>
      <w:r>
        <w:rPr>
          <w:rFonts w:hAnsi="宋体"/>
          <w:sz w:val="24"/>
          <w:szCs w:val="24"/>
        </w:rPr>
        <w:t>法定代表人：</w:t>
      </w:r>
      <w:r>
        <w:rPr>
          <w:rFonts w:hint="eastAsia" w:hAnsi="宋体"/>
          <w:sz w:val="24"/>
          <w:szCs w:val="24"/>
        </w:rPr>
        <w:t xml:space="preserve">                          </w:t>
      </w:r>
      <w:r>
        <w:rPr>
          <w:rFonts w:hAnsi="宋体"/>
          <w:sz w:val="24"/>
          <w:szCs w:val="24"/>
        </w:rPr>
        <w:t>法定代表人</w:t>
      </w:r>
      <w:r>
        <w:rPr>
          <w:rFonts w:hint="eastAsia" w:hAnsi="宋体"/>
          <w:sz w:val="24"/>
          <w:szCs w:val="24"/>
        </w:rPr>
        <w:t>（或授权委托人）</w:t>
      </w:r>
      <w:r>
        <w:rPr>
          <w:rFonts w:hAnsi="宋体"/>
          <w:sz w:val="24"/>
          <w:szCs w:val="24"/>
        </w:rPr>
        <w:t>：</w:t>
      </w:r>
    </w:p>
    <w:p>
      <w:pPr>
        <w:pStyle w:val="16"/>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eastAsia"/>
          <w:sz w:val="24"/>
          <w:szCs w:val="24"/>
          <w:lang w:val="zh-CN"/>
        </w:rPr>
      </w:pPr>
      <w:r>
        <w:rPr>
          <w:rFonts w:hAnsi="宋体"/>
          <w:sz w:val="24"/>
          <w:szCs w:val="24"/>
        </w:rPr>
        <w:t>签订地点：</w:t>
      </w:r>
      <w:r>
        <w:rPr>
          <w:rFonts w:hint="eastAsia" w:hAnsi="宋体"/>
          <w:sz w:val="24"/>
          <w:szCs w:val="24"/>
        </w:rPr>
        <w:t xml:space="preserve">                            </w:t>
      </w:r>
      <w:r>
        <w:rPr>
          <w:rFonts w:hAnsi="宋体"/>
          <w:sz w:val="24"/>
          <w:szCs w:val="24"/>
        </w:rPr>
        <w:t>签订日期：</w:t>
      </w:r>
      <w:r>
        <w:rPr>
          <w:rFonts w:hint="eastAsia" w:hAnsi="宋体"/>
          <w:sz w:val="24"/>
          <w:szCs w:val="24"/>
        </w:rPr>
        <w:t xml:space="preserve">  </w:t>
      </w:r>
      <w:r>
        <w:rPr>
          <w:rFonts w:hAnsi="宋体"/>
          <w:sz w:val="24"/>
          <w:szCs w:val="24"/>
        </w:rPr>
        <w:t>年</w:t>
      </w:r>
      <w:r>
        <w:rPr>
          <w:rFonts w:hint="eastAsia" w:hAnsi="宋体"/>
          <w:sz w:val="24"/>
          <w:szCs w:val="24"/>
        </w:rPr>
        <w:t xml:space="preserve">   </w:t>
      </w:r>
      <w:r>
        <w:rPr>
          <w:rFonts w:hAnsi="宋体"/>
          <w:sz w:val="24"/>
          <w:szCs w:val="24"/>
        </w:rPr>
        <w:t>月</w:t>
      </w:r>
      <w:r>
        <w:rPr>
          <w:rFonts w:hint="eastAsia" w:hAnsi="宋体"/>
          <w:sz w:val="24"/>
          <w:szCs w:val="24"/>
        </w:rPr>
        <w:t xml:space="preserve">  </w:t>
      </w:r>
      <w:r>
        <w:rPr>
          <w:rFonts w:hAnsi="宋体"/>
          <w:sz w:val="24"/>
          <w:szCs w:val="24"/>
        </w:rPr>
        <w:t>日</w:t>
      </w:r>
    </w:p>
    <w:p>
      <w:pPr>
        <w:keepNext w:val="0"/>
        <w:keepLines w:val="0"/>
        <w:pageBreakBefore w:val="0"/>
        <w:kinsoku/>
        <w:wordWrap/>
        <w:overflowPunct/>
        <w:topLinePunct w:val="0"/>
        <w:autoSpaceDE/>
        <w:autoSpaceDN/>
        <w:bidi w:val="0"/>
        <w:adjustRightInd/>
        <w:spacing w:line="360" w:lineRule="auto"/>
        <w:ind w:left="0" w:leftChars="0"/>
        <w:textAlignment w:val="auto"/>
        <w:rPr>
          <w:rFonts w:hint="eastAsia"/>
          <w:sz w:val="32"/>
          <w:szCs w:val="32"/>
          <w:lang w:val="zh-CN"/>
        </w:rPr>
      </w:pPr>
    </w:p>
    <w:p>
      <w:pPr>
        <w:pStyle w:val="14"/>
        <w:rPr>
          <w:rFonts w:hint="eastAsia"/>
          <w:lang w:val="zh-CN"/>
        </w:rPr>
        <w:sectPr>
          <w:pgSz w:w="11850" w:h="16783"/>
          <w:pgMar w:top="1020" w:right="1134" w:bottom="1020" w:left="1134" w:header="851" w:footer="992" w:gutter="0"/>
          <w:cols w:space="720" w:num="1"/>
          <w:docGrid w:type="linesAndChars" w:linePitch="320" w:charSpace="482"/>
        </w:sectPr>
      </w:pPr>
    </w:p>
    <w:tbl>
      <w:tblPr>
        <w:tblStyle w:val="27"/>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pPr>
              <w:widowControl/>
              <w:jc w:val="center"/>
              <w:rPr>
                <w:rFonts w:ascii="宋体" w:hAnsi="宋体" w:cs="宋体"/>
                <w:b/>
                <w:bCs/>
                <w:kern w:val="0"/>
                <w:sz w:val="48"/>
                <w:szCs w:val="48"/>
              </w:rPr>
            </w:pPr>
            <w:r>
              <w:rPr>
                <w:rFonts w:hint="eastAsia" w:ascii="宋体" w:hAnsi="宋体" w:cs="宋体"/>
                <w:b/>
                <w:bCs/>
                <w:kern w:val="0"/>
                <w:sz w:val="48"/>
                <w:szCs w:val="48"/>
              </w:rPr>
              <w:t>政 府 采 购 项 目 验 收 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按照《政府采购委托汇总确认书》第         号，采购编号：                 ,合同号：             </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kern w:val="0"/>
                <w:sz w:val="26"/>
                <w:szCs w:val="26"/>
              </w:rPr>
            </w:pPr>
            <w:r>
              <w:rPr>
                <w:rFonts w:hint="eastAsia" w:ascii="宋体" w:hAnsi="宋体" w:cs="宋体"/>
                <w:kern w:val="0"/>
                <w:sz w:val="26"/>
                <w:szCs w:val="26"/>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采购货物（服务，工程）名称</w:t>
            </w:r>
          </w:p>
        </w:tc>
        <w:tc>
          <w:tcPr>
            <w:tcW w:w="48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规格、型号</w:t>
            </w:r>
          </w:p>
        </w:tc>
        <w:tc>
          <w:tcPr>
            <w:tcW w:w="128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采购人</w:t>
            </w:r>
            <w:r>
              <w:rPr>
                <w:rFonts w:hint="eastAsia" w:ascii="宋体" w:hAnsi="宋体" w:cs="宋体"/>
                <w:kern w:val="0"/>
                <w:sz w:val="28"/>
                <w:szCs w:val="28"/>
              </w:rPr>
              <w:br w:type="textWrapping"/>
            </w:r>
            <w:r>
              <w:rPr>
                <w:rFonts w:hint="eastAsia" w:ascii="宋体" w:hAnsi="宋体" w:cs="宋体"/>
                <w:kern w:val="0"/>
                <w:sz w:val="28"/>
                <w:szCs w:val="28"/>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7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kern w:val="0"/>
                <w:sz w:val="26"/>
                <w:szCs w:val="26"/>
              </w:rPr>
            </w:pPr>
            <w:r>
              <w:rPr>
                <w:rFonts w:hint="eastAsia" w:ascii="宋体" w:hAnsi="宋体" w:cs="宋体"/>
                <w:kern w:val="0"/>
                <w:sz w:val="26"/>
                <w:szCs w:val="26"/>
              </w:rPr>
              <w:t>人民币</w:t>
            </w:r>
            <w:r>
              <w:rPr>
                <w:rFonts w:hint="eastAsia" w:ascii="宋体" w:hAnsi="宋体" w:cs="宋体"/>
                <w:kern w:val="0"/>
                <w:sz w:val="26"/>
                <w:szCs w:val="26"/>
                <w:u w:val="single"/>
              </w:rPr>
              <w:t xml:space="preserve">                 </w:t>
            </w:r>
            <w:r>
              <w:rPr>
                <w:rFonts w:hint="eastAsia" w:ascii="宋体" w:hAnsi="宋体" w:cs="宋体"/>
                <w:kern w:val="0"/>
                <w:sz w:val="26"/>
                <w:szCs w:val="26"/>
              </w:rPr>
              <w:t xml:space="preserve">元整。       ￥: </w:t>
            </w:r>
            <w:r>
              <w:rPr>
                <w:rFonts w:hint="eastAsia" w:ascii="宋体" w:hAnsi="宋体" w:cs="宋体"/>
                <w:kern w:val="0"/>
                <w:sz w:val="26"/>
                <w:szCs w:val="26"/>
                <w:u w:val="single"/>
              </w:rPr>
              <w:t xml:space="preserve">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供货单位（盖章）：</w:t>
            </w:r>
          </w:p>
        </w:tc>
        <w:tc>
          <w:tcPr>
            <w:tcW w:w="4840" w:type="dxa"/>
            <w:tcBorders>
              <w:top w:val="nil"/>
              <w:left w:val="nil"/>
              <w:bottom w:val="nil"/>
              <w:right w:val="nil"/>
            </w:tcBorders>
            <w:noWrap w:val="0"/>
            <w:vAlign w:val="bottom"/>
          </w:tcPr>
          <w:p>
            <w:pPr>
              <w:widowControl/>
              <w:jc w:val="right"/>
              <w:rPr>
                <w:rFonts w:ascii="宋体" w:hAnsi="宋体" w:eastAsia="黑体" w:cs="宋体"/>
                <w:b/>
                <w:bCs/>
                <w:kern w:val="0"/>
                <w:sz w:val="24"/>
              </w:rPr>
            </w:pPr>
            <w:r>
              <w:rPr>
                <w:rFonts w:hint="eastAsia" w:ascii="宋体" w:hAnsi="宋体" w:cs="宋体"/>
                <w:kern w:val="0"/>
                <w:sz w:val="24"/>
              </w:rPr>
              <w:t>采购人（盖章）:</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经办项目负责人：</w:t>
            </w:r>
          </w:p>
        </w:tc>
        <w:tc>
          <w:tcPr>
            <w:tcW w:w="4840" w:type="dxa"/>
            <w:tcBorders>
              <w:top w:val="nil"/>
              <w:left w:val="nil"/>
              <w:bottom w:val="nil"/>
              <w:right w:val="nil"/>
            </w:tcBorders>
            <w:noWrap w:val="0"/>
            <w:vAlign w:val="bottom"/>
          </w:tcPr>
          <w:p>
            <w:pPr>
              <w:widowControl/>
              <w:jc w:val="right"/>
              <w:rPr>
                <w:rFonts w:ascii="宋体" w:hAnsi="宋体" w:cs="宋体"/>
                <w:kern w:val="0"/>
                <w:sz w:val="24"/>
              </w:rPr>
            </w:pPr>
            <w:r>
              <w:rPr>
                <w:rFonts w:hint="eastAsia" w:ascii="宋体" w:hAnsi="宋体" w:cs="宋体"/>
                <w:kern w:val="0"/>
                <w:sz w:val="24"/>
              </w:rPr>
              <w:t>项目验收组组长：</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联系电话：</w:t>
            </w:r>
          </w:p>
        </w:tc>
        <w:tc>
          <w:tcPr>
            <w:tcW w:w="4840" w:type="dxa"/>
            <w:tcBorders>
              <w:top w:val="nil"/>
              <w:left w:val="nil"/>
              <w:bottom w:val="nil"/>
              <w:right w:val="nil"/>
            </w:tcBorders>
            <w:noWrap w:val="0"/>
            <w:vAlign w:val="bottom"/>
          </w:tcPr>
          <w:p>
            <w:pPr>
              <w:widowControl/>
              <w:jc w:val="right"/>
              <w:rPr>
                <w:rFonts w:ascii="宋体" w:hAnsi="宋体" w:cs="宋体"/>
                <w:kern w:val="0"/>
                <w:sz w:val="24"/>
              </w:rPr>
            </w:pPr>
            <w:r>
              <w:rPr>
                <w:rFonts w:hint="eastAsia" w:ascii="宋体" w:hAnsi="宋体" w:cs="宋体"/>
                <w:kern w:val="0"/>
                <w:sz w:val="24"/>
              </w:rPr>
              <w:t>联系电话：</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开户银行：</w:t>
            </w:r>
          </w:p>
        </w:tc>
        <w:tc>
          <w:tcPr>
            <w:tcW w:w="4840" w:type="dxa"/>
            <w:tcBorders>
              <w:top w:val="nil"/>
              <w:left w:val="nil"/>
              <w:bottom w:val="nil"/>
              <w:right w:val="nil"/>
            </w:tcBorders>
            <w:noWrap w:val="0"/>
            <w:vAlign w:val="bottom"/>
          </w:tcPr>
          <w:p>
            <w:pPr>
              <w:widowControl/>
              <w:jc w:val="right"/>
              <w:rPr>
                <w:rFonts w:ascii="宋体" w:hAnsi="宋体" w:cs="宋体"/>
                <w:kern w:val="0"/>
                <w:sz w:val="24"/>
              </w:rPr>
            </w:pPr>
            <w:r>
              <w:rPr>
                <w:rFonts w:hint="eastAsia" w:ascii="宋体" w:hAnsi="宋体" w:cs="宋体"/>
                <w:kern w:val="0"/>
                <w:sz w:val="24"/>
              </w:rPr>
              <w:t>项目验收组成员（签名）：</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pPr>
              <w:widowControl/>
              <w:rPr>
                <w:rFonts w:ascii="宋体" w:hAnsi="宋体" w:cs="宋体"/>
                <w:kern w:val="0"/>
                <w:sz w:val="24"/>
              </w:rPr>
            </w:pPr>
            <w:r>
              <w:rPr>
                <w:rFonts w:hint="eastAsia" w:ascii="宋体" w:hAnsi="宋体" w:cs="宋体"/>
                <w:kern w:val="0"/>
                <w:sz w:val="24"/>
              </w:rPr>
              <w:t>银行帐号：</w:t>
            </w:r>
          </w:p>
        </w:tc>
        <w:tc>
          <w:tcPr>
            <w:tcW w:w="4840" w:type="dxa"/>
            <w:tcBorders>
              <w:top w:val="nil"/>
              <w:left w:val="nil"/>
              <w:bottom w:val="single" w:color="auto" w:sz="4" w:space="0"/>
              <w:right w:val="nil"/>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ascii="宋体" w:hAnsi="宋体" w:cs="宋体"/>
                <w:kern w:val="0"/>
                <w:sz w:val="24"/>
              </w:rPr>
            </w:pPr>
            <w:r>
              <w:rPr>
                <w:rFonts w:hint="eastAsia" w:ascii="宋体" w:hAnsi="宋体" w:cs="宋体"/>
                <w:kern w:val="0"/>
                <w:sz w:val="24"/>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本单一式五联：第一联采购人留存，第二联作为财政支付凭证，第三联供货单位留存，第四联采购机构存档备查，第五联采购办存档备查。</w:t>
            </w:r>
          </w:p>
        </w:tc>
      </w:tr>
    </w:tbl>
    <w:p>
      <w:pPr>
        <w:pStyle w:val="14"/>
        <w:tabs>
          <w:tab w:val="left" w:pos="900"/>
        </w:tabs>
        <w:rPr>
          <w:rFonts w:hint="eastAsia"/>
        </w:rPr>
        <w:sectPr>
          <w:pgSz w:w="16783" w:h="11850" w:orient="landscape"/>
          <w:pgMar w:top="1134" w:right="1020" w:bottom="1134" w:left="1020" w:header="851" w:footer="992" w:gutter="0"/>
          <w:cols w:space="720" w:num="1"/>
          <w:docGrid w:type="linesAndChars" w:linePitch="320" w:charSpace="482"/>
        </w:sectPr>
      </w:pPr>
    </w:p>
    <w:p>
      <w:pPr>
        <w:pStyle w:val="3"/>
        <w:keepNext w:val="0"/>
        <w:keepLines w:val="0"/>
        <w:pageBreakBefore/>
        <w:spacing w:beforeLines="100" w:afterLines="100" w:line="240" w:lineRule="auto"/>
        <w:jc w:val="center"/>
        <w:rPr>
          <w:rFonts w:ascii="Arial" w:hAnsi="Arial" w:cs="Arial"/>
          <w:sz w:val="28"/>
          <w:szCs w:val="36"/>
        </w:rPr>
      </w:pPr>
      <w:r>
        <w:rPr>
          <w:rFonts w:hint="eastAsia" w:ascii="Arial" w:hAnsi="Arial" w:cs="Arial"/>
          <w:color w:val="auto"/>
          <w:sz w:val="28"/>
          <w:szCs w:val="36"/>
          <w:highlight w:val="none"/>
        </w:rPr>
        <w:t>第五部分</w:t>
      </w:r>
      <w:r>
        <w:rPr>
          <w:rFonts w:hint="eastAsia" w:ascii="Arial" w:hAnsi="Arial" w:cs="Arial"/>
          <w:color w:val="auto"/>
          <w:sz w:val="28"/>
          <w:szCs w:val="36"/>
          <w:highlight w:val="none"/>
          <w:lang w:val="en-US" w:eastAsia="zh-CN"/>
        </w:rPr>
        <w:t xml:space="preserve"> </w:t>
      </w:r>
      <w:r>
        <w:rPr>
          <w:rFonts w:hint="eastAsia" w:ascii="Arial" w:hAnsi="Arial" w:cs="Arial"/>
          <w:color w:val="auto"/>
          <w:sz w:val="28"/>
          <w:szCs w:val="36"/>
          <w:highlight w:val="none"/>
        </w:rPr>
        <w:t>竞争性</w:t>
      </w:r>
      <w:r>
        <w:rPr>
          <w:rFonts w:hint="eastAsia" w:ascii="Arial" w:hAnsi="Arial" w:cs="Arial"/>
          <w:sz w:val="28"/>
          <w:szCs w:val="36"/>
        </w:rPr>
        <w:t>磋商评定办法</w:t>
      </w:r>
      <w:bookmarkEnd w:id="12"/>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根据《中华人民共和国政府采购法》和本项目竞争性磋商文件，按照公平、公正、科学、择优的原则选择成交单位，特制定本办法。</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
          <w:bCs/>
          <w:kern w:val="28"/>
          <w:szCs w:val="21"/>
        </w:rPr>
      </w:pPr>
      <w:r>
        <w:rPr>
          <w:rFonts w:hint="default" w:ascii="Times New Roman" w:hAnsi="Times New Roman" w:cs="Times New Roman"/>
          <w:b/>
          <w:bCs/>
          <w:kern w:val="28"/>
          <w:szCs w:val="21"/>
        </w:rPr>
        <w:t>一、 评定原则</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
          <w:bCs/>
          <w:kern w:val="28"/>
          <w:szCs w:val="21"/>
        </w:rPr>
      </w:pPr>
      <w:r>
        <w:rPr>
          <w:rFonts w:hint="default" w:ascii="Times New Roman" w:hAnsi="Times New Roman" w:cs="Times New Roman"/>
          <w:b/>
          <w:bCs/>
          <w:kern w:val="28"/>
          <w:szCs w:val="21"/>
        </w:rPr>
        <w:t>二、评标组织</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经资格性检查，竞争性磋商期间出现符合专业条件的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
          <w:szCs w:val="21"/>
        </w:rPr>
      </w:pPr>
      <w:r>
        <w:rPr>
          <w:rFonts w:hint="default" w:ascii="Times New Roman" w:hAnsi="Times New Roman" w:cs="Times New Roman"/>
          <w:b/>
          <w:szCs w:val="21"/>
        </w:rPr>
        <w:t>三、磋商流程</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1</w:t>
      </w:r>
      <w:r>
        <w:rPr>
          <w:rFonts w:hint="eastAsia" w:ascii="Times New Roman" w:hAnsi="Times New Roman" w:cs="Times New Roman"/>
          <w:bCs/>
          <w:kern w:val="28"/>
          <w:szCs w:val="21"/>
          <w:lang w:val="en-US" w:eastAsia="zh-CN"/>
        </w:rPr>
        <w:t>.</w:t>
      </w:r>
      <w:r>
        <w:rPr>
          <w:rFonts w:hint="default" w:ascii="Times New Roman" w:hAnsi="Times New Roman" w:cs="Times New Roman"/>
          <w:bCs/>
          <w:kern w:val="28"/>
          <w:szCs w:val="21"/>
        </w:rPr>
        <w:t>主持人宣布磋商的有关事项；</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bookmarkStart w:id="13" w:name="_Toc182848998"/>
      <w:r>
        <w:rPr>
          <w:rFonts w:hint="default" w:ascii="Times New Roman" w:hAnsi="Times New Roman" w:cs="Times New Roman"/>
          <w:bCs/>
          <w:kern w:val="28"/>
          <w:szCs w:val="21"/>
        </w:rPr>
        <w:t>2</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工作人员</w:t>
      </w:r>
      <w:bookmarkEnd w:id="13"/>
      <w:r>
        <w:rPr>
          <w:rFonts w:hint="default" w:ascii="Times New Roman" w:hAnsi="Times New Roman" w:cs="Times New Roman"/>
          <w:bCs/>
          <w:kern w:val="28"/>
          <w:szCs w:val="21"/>
        </w:rPr>
        <w:t>开启磋商响应文件，供应商应在收到解密提示后30分钟内解密；</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3</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磋商小组对所提交的磋商响应资信及商务、技术文件进行审查，审查结束后，由主持人在线公布无效磋商响应方名单、磋商响应无效的原因、标项废标情况；</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4</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磋商小组视情况与各磋商响应方就公司情况、项目需求、售后服务、价格构成、供货时间、付款方式等要素分别进行磋商。逐家磋商一次为一个轮次，磋商轮次由磋商小组视情况决定。</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5</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6</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磋商小组根据评审方法对各磋商响应方的资信及商务、技术情况进行评审打分。系统按照磋商小组独立评定结果进行算术平均值计算。</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7</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主持人宣布磋商最终报价评审的有关事项。</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8</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磋商结束后，系统公布有效磋商响应方的总得分结果和推荐的中标候选人。</w:t>
      </w:r>
    </w:p>
    <w:p>
      <w:pPr>
        <w:keepNext w:val="0"/>
        <w:keepLines w:val="0"/>
        <w:pageBreakBefore w:val="0"/>
        <w:kinsoku/>
        <w:wordWrap/>
        <w:overflowPunct/>
        <w:topLinePunct w:val="0"/>
        <w:autoSpaceDE/>
        <w:autoSpaceDN/>
        <w:bidi w:val="0"/>
        <w:adjustRightInd/>
        <w:snapToGrid/>
        <w:spacing w:line="360" w:lineRule="auto"/>
        <w:ind w:firstLine="428"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9</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pPr>
        <w:keepNext w:val="0"/>
        <w:keepLines w:val="0"/>
        <w:pageBreakBefore w:val="0"/>
        <w:widowControl w:val="0"/>
        <w:kinsoku/>
        <w:wordWrap/>
        <w:overflowPunct/>
        <w:topLinePunct w:val="0"/>
        <w:autoSpaceDE/>
        <w:autoSpaceDN/>
        <w:bidi w:val="0"/>
        <w:adjustRightInd/>
        <w:snapToGrid/>
        <w:spacing w:line="360" w:lineRule="auto"/>
        <w:ind w:firstLine="418" w:firstLineChars="196"/>
        <w:jc w:val="both"/>
        <w:textAlignment w:val="auto"/>
        <w:outlineLvl w:val="9"/>
        <w:rPr>
          <w:rFonts w:hint="default" w:ascii="Times New Roman" w:hAnsi="Times New Roman" w:cs="Times New Roman"/>
          <w:b/>
          <w:bCs/>
          <w:szCs w:val="21"/>
          <w:highlight w:val="none"/>
        </w:rPr>
      </w:pPr>
      <w:bookmarkStart w:id="14" w:name="_Toc27912"/>
      <w:bookmarkStart w:id="15" w:name="_Toc11298"/>
      <w:bookmarkStart w:id="16" w:name="_Toc423610067"/>
      <w:r>
        <w:rPr>
          <w:rFonts w:hint="default" w:ascii="Times New Roman" w:hAnsi="Times New Roman" w:cs="Times New Roman"/>
          <w:b/>
          <w:bCs/>
          <w:szCs w:val="21"/>
          <w:highlight w:val="none"/>
        </w:rPr>
        <w:t>四、竞争性磋商评标办法</w:t>
      </w:r>
      <w:bookmarkEnd w:id="14"/>
      <w:bookmarkEnd w:id="15"/>
      <w:bookmarkEnd w:id="16"/>
    </w:p>
    <w:p>
      <w:pPr>
        <w:keepNext w:val="0"/>
        <w:keepLines w:val="0"/>
        <w:pageBreakBefore w:val="0"/>
        <w:kinsoku/>
        <w:wordWrap/>
        <w:overflowPunct/>
        <w:topLinePunct w:val="0"/>
        <w:autoSpaceDE/>
        <w:autoSpaceDN/>
        <w:bidi w:val="0"/>
        <w:adjustRightInd/>
        <w:snapToGrid/>
        <w:spacing w:line="360" w:lineRule="auto"/>
        <w:ind w:firstLine="420"/>
        <w:textAlignment w:val="auto"/>
        <w:outlineLvl w:val="9"/>
        <w:rPr>
          <w:rFonts w:hint="default" w:ascii="Times New Roman" w:hAnsi="Times New Roman" w:cs="Times New Roman"/>
          <w:szCs w:val="21"/>
        </w:rPr>
      </w:pPr>
      <w:bookmarkStart w:id="17" w:name="_Toc423610068"/>
      <w:bookmarkStart w:id="18" w:name="_Toc26970"/>
      <w:bookmarkStart w:id="19" w:name="_Toc31540"/>
      <w:r>
        <w:rPr>
          <w:rFonts w:hint="default" w:ascii="Times New Roman" w:hAnsi="Times New Roman" w:cs="Times New Roman"/>
          <w:szCs w:val="21"/>
        </w:rPr>
        <w:t>（一）本评标办法采用百分制综合评估法。</w:t>
      </w:r>
      <w:r>
        <w:rPr>
          <w:rFonts w:hint="default" w:ascii="Times New Roman" w:hAnsi="Times New Roman" w:cs="Times New Roman"/>
          <w:szCs w:val="21"/>
          <w:lang w:val="en-US" w:eastAsia="zh-CN"/>
        </w:rPr>
        <w:t>总分100分，</w:t>
      </w:r>
      <w:r>
        <w:rPr>
          <w:rFonts w:hint="default" w:ascii="Times New Roman" w:hAnsi="Times New Roman" w:cs="Times New Roman"/>
          <w:szCs w:val="21"/>
          <w:highlight w:val="none"/>
          <w:lang w:val="en-US" w:eastAsia="zh-CN"/>
        </w:rPr>
        <w:t>其中</w:t>
      </w:r>
      <w:r>
        <w:rPr>
          <w:rFonts w:hint="default" w:ascii="Times New Roman" w:hAnsi="Times New Roman" w:cs="Times New Roman"/>
          <w:szCs w:val="21"/>
          <w:highlight w:val="none"/>
        </w:rPr>
        <w:t>资信技术</w:t>
      </w:r>
      <w:r>
        <w:rPr>
          <w:rFonts w:hint="eastAsia" w:cs="Times New Roman"/>
          <w:szCs w:val="21"/>
          <w:highlight w:val="none"/>
          <w:lang w:val="en-US" w:eastAsia="zh-CN"/>
        </w:rPr>
        <w:t>90</w:t>
      </w:r>
      <w:r>
        <w:rPr>
          <w:rFonts w:hint="default" w:ascii="Times New Roman" w:hAnsi="Times New Roman" w:cs="Times New Roman"/>
          <w:szCs w:val="21"/>
          <w:highlight w:val="none"/>
        </w:rPr>
        <w:t>分，报价</w:t>
      </w:r>
      <w:r>
        <w:rPr>
          <w:rFonts w:hint="eastAsia" w:cs="Times New Roman"/>
          <w:szCs w:val="21"/>
          <w:highlight w:val="none"/>
          <w:lang w:val="en-US" w:eastAsia="zh-CN"/>
        </w:rPr>
        <w:t>10</w:t>
      </w:r>
      <w:r>
        <w:rPr>
          <w:rFonts w:hint="default" w:ascii="Times New Roman" w:hAnsi="Times New Roman" w:cs="Times New Roman"/>
          <w:szCs w:val="21"/>
          <w:highlight w:val="none"/>
        </w:rPr>
        <w:t>分。</w:t>
      </w:r>
      <w:r>
        <w:rPr>
          <w:rFonts w:hint="default" w:ascii="Times New Roman" w:hAnsi="Times New Roman" w:cs="Times New Roman"/>
          <w:szCs w:val="21"/>
        </w:rPr>
        <w:t>最大限度地满足采购需求中规定的各项综合评价标准且综合得分最高的投标人，将被推荐为排序第一的中标候选人。</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313" w:firstLineChars="147"/>
        <w:jc w:val="both"/>
        <w:textAlignment w:val="auto"/>
        <w:outlineLvl w:val="9"/>
        <w:rPr>
          <w:rFonts w:hint="default" w:ascii="Times New Roman" w:hAnsi="Times New Roman" w:cs="Times New Roman"/>
          <w:szCs w:val="21"/>
        </w:rPr>
      </w:pPr>
      <w:bookmarkStart w:id="20" w:name="_Toc19850"/>
      <w:bookmarkStart w:id="21" w:name="_Toc32438"/>
      <w:bookmarkStart w:id="22" w:name="_Toc423610113"/>
      <w:r>
        <w:rPr>
          <w:rFonts w:hint="default" w:ascii="Times New Roman" w:hAnsi="Times New Roman" w:cs="Times New Roman"/>
          <w:szCs w:val="21"/>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下述评分项缺项按0分计。</w:t>
      </w:r>
      <w:bookmarkEnd w:id="20"/>
      <w:bookmarkEnd w:id="21"/>
    </w:p>
    <w:bookmarkEnd w:id="22"/>
    <w:p>
      <w:pPr>
        <w:keepNext w:val="0"/>
        <w:keepLines w:val="0"/>
        <w:pageBreakBefore w:val="0"/>
        <w:tabs>
          <w:tab w:val="left" w:pos="0"/>
        </w:tabs>
        <w:kinsoku/>
        <w:wordWrap/>
        <w:overflowPunct/>
        <w:topLinePunct w:val="0"/>
        <w:autoSpaceDE/>
        <w:autoSpaceDN/>
        <w:bidi w:val="0"/>
        <w:spacing w:line="360" w:lineRule="auto"/>
        <w:ind w:firstLine="428" w:firstLineChars="200"/>
        <w:textAlignment w:val="auto"/>
        <w:rPr>
          <w:rFonts w:hint="eastAsia" w:ascii="宋体" w:hAnsi="宋体" w:cs="宋体"/>
          <w:b/>
          <w:color w:val="000000"/>
          <w:szCs w:val="21"/>
          <w:highlight w:val="none"/>
        </w:rPr>
      </w:pPr>
      <w:bookmarkStart w:id="23" w:name="_Toc32402"/>
      <w:bookmarkStart w:id="24" w:name="_Toc22781"/>
      <w:r>
        <w:rPr>
          <w:rFonts w:hint="eastAsia" w:ascii="宋体" w:hAnsi="宋体" w:cs="宋体"/>
          <w:b/>
          <w:color w:val="000000"/>
          <w:szCs w:val="21"/>
          <w:highlight w:val="none"/>
        </w:rPr>
        <w:t>（一）价格部分（</w:t>
      </w:r>
      <w:r>
        <w:rPr>
          <w:rFonts w:hint="eastAsia" w:ascii="宋体" w:hAnsi="宋体" w:cs="宋体"/>
          <w:b/>
          <w:color w:val="000000"/>
          <w:szCs w:val="21"/>
          <w:highlight w:val="none"/>
          <w:lang w:val="en-US" w:eastAsia="zh-CN"/>
        </w:rPr>
        <w:t>20</w:t>
      </w:r>
      <w:r>
        <w:rPr>
          <w:rFonts w:hint="eastAsia" w:ascii="宋体" w:hAnsi="宋体" w:cs="宋体"/>
          <w:b/>
          <w:color w:val="000000"/>
          <w:szCs w:val="21"/>
          <w:highlight w:val="none"/>
        </w:rPr>
        <w:t>分）</w:t>
      </w:r>
    </w:p>
    <w:p>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
          <w:bCs w:val="0"/>
          <w:color w:val="000000"/>
          <w:szCs w:val="21"/>
          <w:lang w:val="en-US" w:eastAsia="zh-CN"/>
        </w:rPr>
        <w:t>消杀</w:t>
      </w:r>
      <w:r>
        <w:rPr>
          <w:rFonts w:hint="eastAsia" w:ascii="宋体" w:hAnsi="宋体" w:cs="宋体"/>
          <w:b/>
          <w:bCs w:val="0"/>
          <w:color w:val="000000"/>
          <w:szCs w:val="21"/>
        </w:rPr>
        <w:t>报价分</w:t>
      </w:r>
      <w:r>
        <w:rPr>
          <w:rFonts w:hint="eastAsia" w:ascii="宋体" w:hAnsi="宋体" w:cs="宋体"/>
          <w:bCs/>
          <w:color w:val="000000"/>
          <w:szCs w:val="21"/>
        </w:rPr>
        <w:t>采用低价优先法计算，即满足磋商文件要求且最终报价最低的</w:t>
      </w:r>
      <w:r>
        <w:rPr>
          <w:rFonts w:hint="eastAsia" w:ascii="宋体" w:hAnsi="宋体" w:cs="宋体"/>
          <w:b/>
          <w:bCs w:val="0"/>
          <w:color w:val="000000"/>
          <w:szCs w:val="21"/>
          <w:lang w:eastAsia="zh-CN"/>
        </w:rPr>
        <w:t>消杀</w:t>
      </w:r>
      <w:r>
        <w:rPr>
          <w:rFonts w:hint="eastAsia" w:ascii="宋体" w:hAnsi="宋体" w:cs="宋体"/>
          <w:b/>
          <w:bCs w:val="0"/>
          <w:color w:val="000000"/>
          <w:szCs w:val="21"/>
        </w:rPr>
        <w:t>报价</w:t>
      </w:r>
      <w:r>
        <w:rPr>
          <w:rFonts w:hint="eastAsia" w:ascii="宋体" w:hAnsi="宋体" w:cs="宋体"/>
          <w:bCs/>
          <w:color w:val="000000"/>
          <w:szCs w:val="21"/>
        </w:rPr>
        <w:t>为评标基准价，得满分</w:t>
      </w:r>
      <w:r>
        <w:rPr>
          <w:rFonts w:hint="eastAsia" w:ascii="宋体" w:hAnsi="宋体" w:cs="宋体"/>
          <w:bCs/>
          <w:color w:val="000000"/>
          <w:szCs w:val="21"/>
          <w:lang w:val="en-US" w:eastAsia="zh-CN"/>
        </w:rPr>
        <w:t>10</w:t>
      </w:r>
      <w:r>
        <w:rPr>
          <w:rFonts w:hint="eastAsia" w:ascii="宋体" w:hAnsi="宋体" w:cs="宋体"/>
          <w:bCs/>
          <w:color w:val="000000"/>
          <w:szCs w:val="21"/>
        </w:rPr>
        <w:t>分，其他响应供应商的价格分按照下列公式计算：</w:t>
      </w:r>
      <w:r>
        <w:rPr>
          <w:rFonts w:hint="eastAsia" w:ascii="宋体" w:hAnsi="宋体" w:cs="宋体"/>
          <w:b/>
          <w:bCs w:val="0"/>
          <w:color w:val="000000"/>
          <w:szCs w:val="21"/>
          <w:lang w:eastAsia="zh-CN"/>
        </w:rPr>
        <w:t>消杀</w:t>
      </w:r>
      <w:r>
        <w:rPr>
          <w:rFonts w:hint="eastAsia" w:ascii="宋体" w:hAnsi="宋体" w:cs="宋体"/>
          <w:b/>
          <w:bCs w:val="0"/>
          <w:color w:val="000000"/>
          <w:szCs w:val="21"/>
        </w:rPr>
        <w:t>价格</w:t>
      </w:r>
      <w:r>
        <w:rPr>
          <w:rFonts w:hint="eastAsia" w:ascii="宋体" w:hAnsi="宋体" w:cs="宋体"/>
          <w:bCs/>
          <w:color w:val="000000"/>
          <w:szCs w:val="21"/>
        </w:rPr>
        <w:t>分=（评标基准价/</w:t>
      </w:r>
      <w:r>
        <w:rPr>
          <w:rFonts w:hint="eastAsia" w:ascii="宋体" w:hAnsi="宋体" w:cs="宋体"/>
          <w:b/>
          <w:bCs w:val="0"/>
          <w:color w:val="000000"/>
          <w:szCs w:val="21"/>
          <w:lang w:eastAsia="zh-CN"/>
        </w:rPr>
        <w:t>消杀</w:t>
      </w:r>
      <w:r>
        <w:rPr>
          <w:rFonts w:hint="eastAsia" w:ascii="宋体" w:hAnsi="宋体" w:cs="宋体"/>
          <w:b/>
          <w:bCs w:val="0"/>
          <w:color w:val="000000"/>
          <w:szCs w:val="21"/>
        </w:rPr>
        <w:t>投标报价</w:t>
      </w:r>
      <w:r>
        <w:rPr>
          <w:rFonts w:hint="eastAsia" w:ascii="宋体" w:hAnsi="宋体" w:cs="宋体"/>
          <w:bCs/>
          <w:color w:val="000000"/>
          <w:szCs w:val="21"/>
        </w:rPr>
        <w:t>）×</w:t>
      </w:r>
      <w:r>
        <w:rPr>
          <w:rFonts w:hint="eastAsia" w:ascii="宋体" w:hAnsi="宋体" w:cs="宋体"/>
          <w:bCs/>
          <w:color w:val="000000"/>
          <w:szCs w:val="21"/>
          <w:lang w:val="en-US" w:eastAsia="zh-CN"/>
        </w:rPr>
        <w:t>10</w:t>
      </w:r>
      <w:r>
        <w:rPr>
          <w:rFonts w:hint="eastAsia" w:ascii="宋体" w:hAnsi="宋体" w:cs="宋体"/>
          <w:bCs/>
          <w:color w:val="000000"/>
          <w:szCs w:val="21"/>
        </w:rPr>
        <w:t>。</w:t>
      </w:r>
    </w:p>
    <w:p>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cs="宋体"/>
          <w:bCs/>
          <w:color w:val="000000"/>
          <w:szCs w:val="21"/>
        </w:rPr>
      </w:pPr>
      <w:r>
        <w:rPr>
          <w:rFonts w:hint="eastAsia" w:ascii="宋体" w:hAnsi="宋体" w:cs="宋体"/>
          <w:bCs/>
          <w:color w:val="000000"/>
          <w:szCs w:val="21"/>
          <w:lang w:val="en-US" w:eastAsia="zh-CN"/>
        </w:rPr>
        <w:t>2、</w:t>
      </w:r>
      <w:r>
        <w:rPr>
          <w:rFonts w:hint="eastAsia" w:ascii="宋体" w:hAnsi="宋体" w:cs="宋体"/>
          <w:b/>
          <w:bCs w:val="0"/>
          <w:color w:val="000000"/>
          <w:szCs w:val="21"/>
          <w:lang w:val="en-US" w:eastAsia="zh-CN"/>
        </w:rPr>
        <w:t>设备</w:t>
      </w:r>
      <w:r>
        <w:rPr>
          <w:rFonts w:hint="eastAsia" w:ascii="宋体" w:hAnsi="宋体" w:cs="宋体"/>
          <w:b/>
          <w:bCs w:val="0"/>
          <w:color w:val="000000"/>
          <w:szCs w:val="21"/>
        </w:rPr>
        <w:t>报价分</w:t>
      </w:r>
      <w:r>
        <w:rPr>
          <w:rFonts w:hint="eastAsia" w:ascii="宋体" w:hAnsi="宋体" w:cs="宋体"/>
          <w:bCs/>
          <w:color w:val="000000"/>
          <w:szCs w:val="21"/>
        </w:rPr>
        <w:t>采用低价优先法计算，即满足磋商文件要求且最终报价最低的</w:t>
      </w:r>
      <w:r>
        <w:rPr>
          <w:rFonts w:hint="eastAsia" w:ascii="宋体" w:hAnsi="宋体" w:cs="宋体"/>
          <w:b/>
          <w:bCs w:val="0"/>
          <w:color w:val="000000"/>
          <w:szCs w:val="21"/>
          <w:lang w:eastAsia="zh-CN"/>
        </w:rPr>
        <w:t>设备</w:t>
      </w:r>
      <w:r>
        <w:rPr>
          <w:rFonts w:hint="eastAsia" w:ascii="宋体" w:hAnsi="宋体" w:cs="宋体"/>
          <w:b/>
          <w:bCs w:val="0"/>
          <w:color w:val="000000"/>
          <w:szCs w:val="21"/>
        </w:rPr>
        <w:t>报价</w:t>
      </w:r>
      <w:r>
        <w:rPr>
          <w:rFonts w:hint="eastAsia" w:ascii="宋体" w:hAnsi="宋体" w:cs="宋体"/>
          <w:bCs/>
          <w:color w:val="000000"/>
          <w:szCs w:val="21"/>
        </w:rPr>
        <w:t>为评标基准价，得满分</w:t>
      </w:r>
      <w:r>
        <w:rPr>
          <w:rFonts w:hint="eastAsia" w:ascii="宋体" w:hAnsi="宋体" w:cs="宋体"/>
          <w:bCs/>
          <w:color w:val="000000"/>
          <w:szCs w:val="21"/>
          <w:lang w:val="en-US" w:eastAsia="zh-CN"/>
        </w:rPr>
        <w:t>10</w:t>
      </w:r>
      <w:r>
        <w:rPr>
          <w:rFonts w:hint="eastAsia" w:ascii="宋体" w:hAnsi="宋体" w:cs="宋体"/>
          <w:bCs/>
          <w:color w:val="000000"/>
          <w:szCs w:val="21"/>
        </w:rPr>
        <w:t>分，其他响应供应商的价格分按照下列公式计算：</w:t>
      </w:r>
      <w:r>
        <w:rPr>
          <w:rFonts w:hint="eastAsia" w:ascii="宋体" w:hAnsi="宋体" w:cs="宋体"/>
          <w:b/>
          <w:bCs w:val="0"/>
          <w:color w:val="000000"/>
          <w:szCs w:val="21"/>
          <w:lang w:eastAsia="zh-CN"/>
        </w:rPr>
        <w:t>设备</w:t>
      </w:r>
      <w:r>
        <w:rPr>
          <w:rFonts w:hint="eastAsia" w:ascii="宋体" w:hAnsi="宋体" w:cs="宋体"/>
          <w:b/>
          <w:bCs w:val="0"/>
          <w:color w:val="000000"/>
          <w:szCs w:val="21"/>
        </w:rPr>
        <w:t>价格分</w:t>
      </w:r>
      <w:r>
        <w:rPr>
          <w:rFonts w:hint="eastAsia" w:ascii="宋体" w:hAnsi="宋体" w:cs="宋体"/>
          <w:bCs/>
          <w:color w:val="000000"/>
          <w:szCs w:val="21"/>
        </w:rPr>
        <w:t>=（评标基准价/</w:t>
      </w:r>
      <w:r>
        <w:rPr>
          <w:rFonts w:hint="eastAsia" w:ascii="宋体" w:hAnsi="宋体" w:cs="宋体"/>
          <w:b/>
          <w:bCs w:val="0"/>
          <w:color w:val="000000"/>
          <w:szCs w:val="21"/>
          <w:lang w:eastAsia="zh-CN"/>
        </w:rPr>
        <w:t>设备</w:t>
      </w:r>
      <w:r>
        <w:rPr>
          <w:rFonts w:hint="eastAsia" w:ascii="宋体" w:hAnsi="宋体" w:cs="宋体"/>
          <w:b/>
          <w:bCs w:val="0"/>
          <w:color w:val="000000"/>
          <w:szCs w:val="21"/>
        </w:rPr>
        <w:t>投标报价</w:t>
      </w:r>
      <w:r>
        <w:rPr>
          <w:rFonts w:hint="eastAsia" w:ascii="宋体" w:hAnsi="宋体" w:cs="宋体"/>
          <w:bCs/>
          <w:color w:val="000000"/>
          <w:szCs w:val="21"/>
        </w:rPr>
        <w:t>）×</w:t>
      </w:r>
      <w:r>
        <w:rPr>
          <w:rFonts w:hint="eastAsia" w:ascii="宋体" w:hAnsi="宋体" w:cs="宋体"/>
          <w:bCs/>
          <w:color w:val="000000"/>
          <w:szCs w:val="21"/>
          <w:lang w:val="en-US" w:eastAsia="zh-CN"/>
        </w:rPr>
        <w:t>10</w:t>
      </w:r>
      <w:r>
        <w:rPr>
          <w:rFonts w:hint="eastAsia" w:ascii="宋体" w:hAnsi="宋体" w:cs="宋体"/>
          <w:bCs/>
          <w:color w:val="000000"/>
          <w:szCs w:val="21"/>
        </w:rPr>
        <w:t>。</w:t>
      </w:r>
    </w:p>
    <w:p>
      <w:pPr>
        <w:pStyle w:val="14"/>
        <w:rPr>
          <w:rFonts w:hint="default" w:eastAsia="宋体"/>
          <w:b/>
          <w:bCs w:val="0"/>
          <w:lang w:val="en-US" w:eastAsia="zh-CN"/>
        </w:rPr>
      </w:pPr>
      <w:r>
        <w:rPr>
          <w:rFonts w:hint="eastAsia" w:ascii="宋体" w:hAnsi="宋体" w:cs="宋体"/>
          <w:b/>
          <w:bCs w:val="0"/>
          <w:color w:val="000000"/>
          <w:szCs w:val="21"/>
          <w:lang w:eastAsia="zh-CN"/>
        </w:rPr>
        <w:t>价格分为消杀报价分</w:t>
      </w:r>
      <w:r>
        <w:rPr>
          <w:rFonts w:hint="eastAsia" w:ascii="宋体" w:hAnsi="宋体" w:cs="宋体"/>
          <w:b/>
          <w:bCs w:val="0"/>
          <w:color w:val="000000"/>
          <w:szCs w:val="21"/>
          <w:lang w:val="en-US" w:eastAsia="zh-CN"/>
        </w:rPr>
        <w:t>+设备报价分。</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Cs/>
          <w:color w:val="000000"/>
          <w:szCs w:val="21"/>
          <w:lang w:val="zh-CN"/>
        </w:rPr>
      </w:pPr>
      <w:r>
        <w:rPr>
          <w:rFonts w:hint="eastAsia" w:ascii="宋体" w:hAnsi="宋体" w:cs="宋体"/>
          <w:bCs/>
          <w:color w:val="000000"/>
          <w:szCs w:val="21"/>
          <w:lang w:val="zh-CN"/>
        </w:rPr>
        <w:t>报价的合理性：分析总报价及各个分项报价是否合理，报价范围是否完整，有否重大错漏项，磋商小组认为投标报价出现异常时，有权要求响应供应商在磋商期间对投标报价的详细组成等事项作出解释和澄清，并确认其投标报价是否有效。</w:t>
      </w:r>
    </w:p>
    <w:p>
      <w:pPr>
        <w:numPr>
          <w:ilvl w:val="0"/>
          <w:numId w:val="0"/>
        </w:numPr>
        <w:spacing w:line="400" w:lineRule="exact"/>
        <w:ind w:firstLine="428" w:firstLineChars="200"/>
        <w:rPr>
          <w:rFonts w:hint="eastAsia" w:ascii="宋体" w:hAnsi="宋体" w:cs="宋体"/>
          <w:b/>
          <w:bCs/>
          <w:color w:val="000000"/>
          <w:szCs w:val="21"/>
          <w:highlight w:val="yellow"/>
        </w:rPr>
      </w:pP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二</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rPr>
        <w:t>资信技术分（</w:t>
      </w:r>
      <w:r>
        <w:rPr>
          <w:rFonts w:hint="eastAsia" w:ascii="宋体" w:hAnsi="宋体" w:cs="宋体"/>
          <w:b/>
          <w:bCs/>
          <w:color w:val="000000"/>
          <w:szCs w:val="21"/>
          <w:highlight w:val="none"/>
          <w:lang w:val="en-US" w:eastAsia="zh-CN"/>
        </w:rPr>
        <w:t>80</w:t>
      </w:r>
      <w:r>
        <w:rPr>
          <w:rFonts w:hint="eastAsia" w:ascii="宋体" w:hAnsi="宋体" w:cs="宋体"/>
          <w:b/>
          <w:bCs/>
          <w:color w:val="000000"/>
          <w:szCs w:val="21"/>
          <w:highlight w:val="none"/>
        </w:rPr>
        <w:t>分）</w:t>
      </w:r>
    </w:p>
    <w:tbl>
      <w:tblPr>
        <w:tblStyle w:val="2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796"/>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资质证书情况</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投标人具有注册或服务所在地卫生主管部门备案的确认书且同时具有市级及以上病媒生物消杀专业机构资质证书甲级的得1分，乙级不得分；有国家有害生物防制服务机构服务能力证书A级和有市级有害生物防制服务机构服务能力证书特级各加1分。</w:t>
            </w:r>
          </w:p>
          <w:p>
            <w:pPr>
              <w:numPr>
                <w:ilvl w:val="0"/>
                <w:numId w:val="0"/>
              </w:numP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注：以投标文件所附备案确认书、资质证书复印件为评分依据。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从业人员持证上岗</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0-3分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须固定3名消杀人员，拟派作业人员持有职业鉴定技术中心颁发或浙江省“除四害”科技协会颁发的培训合格证，每一个得1分，最高3分。</w:t>
            </w:r>
          </w:p>
          <w:p>
            <w:pPr>
              <w:numPr>
                <w:ilvl w:val="0"/>
                <w:numId w:val="0"/>
              </w:numPr>
              <w:jc w:val="both"/>
              <w:rPr>
                <w:rFonts w:hint="default"/>
                <w:highlight w:val="none"/>
                <w:lang w:val="en-US" w:eastAsia="zh-CN"/>
              </w:rPr>
            </w:pPr>
            <w:r>
              <w:rPr>
                <w:rFonts w:hint="eastAsia" w:ascii="宋体" w:hAnsi="宋体" w:eastAsia="宋体" w:cs="宋体"/>
                <w:color w:val="000000"/>
                <w:sz w:val="24"/>
                <w:szCs w:val="24"/>
                <w:highlight w:val="none"/>
                <w:lang w:val="en-US" w:eastAsia="zh-CN"/>
              </w:rPr>
              <w:t>注：以投标文件所附从业人员上岗证、近6个月在职社保缴纳证明材料复印件为评分依据；若作业人员为退休返聘人员，提供1月前意外险复印件为评分依据，每片区消杀人员重复不得分。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项目管理人员</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0-3分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项目管理人员具有中级及以上“有害生物防制员”证书，从事本专业工作5年以上工作经验的得3分，从事本专业工作3年以上5年以下的得2分，低于3年的得1分。</w:t>
            </w:r>
          </w:p>
          <w:p>
            <w:pPr>
              <w:numPr>
                <w:ilvl w:val="0"/>
                <w:numId w:val="0"/>
              </w:numPr>
              <w:jc w:val="both"/>
              <w:rPr>
                <w:rFonts w:hint="default"/>
                <w:highlight w:val="none"/>
                <w:lang w:val="en-US" w:eastAsia="zh-CN"/>
              </w:rPr>
            </w:pPr>
            <w:r>
              <w:rPr>
                <w:rFonts w:hint="eastAsia" w:ascii="宋体" w:hAnsi="宋体" w:eastAsia="宋体" w:cs="宋体"/>
                <w:color w:val="000000"/>
                <w:sz w:val="24"/>
                <w:szCs w:val="24"/>
                <w:highlight w:val="none"/>
                <w:lang w:val="en-US" w:eastAsia="zh-CN"/>
              </w:rPr>
              <w:t>注：以项目管理人员从业上岗证、近6个月在职社保缴纳证明材料复印件为依据。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投标人综合实力</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0-3分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依据投标人提供相关资料关于政府国卫创建巩固、病媒生物创建、登革热应急消杀等指令性任务、配合社区参加各项公益活动等进行评定。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服务业绩</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0-2分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根据投标提供2021年1月1日至今已完成的政府公共环境项目案例，提供合同复印件，每个得1分，最高2分；需提供合同复印件（以签订合同时间为准，提供合同复印件）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技术方案</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0-25分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（1）社区、建筑、外环境的特点认识情况（6-10分）依据投标文件所体现的相关内容，横向比较后进行评分。各投标文件所附外环境调查报告横向比较后进行评分。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（2）防治对象、种类、孳生地调查、密度监测控制方法（0-5分）依据投标文件所体现的相关内容，横向比较后进行评分。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（3）技术方案的可操作性情况（0-5分）各投标文件所附技术方案横向比较后进行评分。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（4）选择药物的合理性，对不同环境的用药措施及方法的可行性（0-3分）</w:t>
            </w:r>
          </w:p>
          <w:p>
            <w:pPr>
              <w:numPr>
                <w:ilvl w:val="0"/>
                <w:numId w:val="0"/>
              </w:numPr>
              <w:jc w:val="both"/>
              <w:rPr>
                <w:rFonts w:hint="eastAsia"/>
                <w:highlight w:val="none"/>
                <w:lang w:val="en-US" w:eastAsia="zh-CN"/>
              </w:rPr>
            </w:pPr>
            <w:r>
              <w:rPr>
                <w:rFonts w:hint="eastAsia" w:ascii="宋体" w:hAnsi="宋体" w:cs="宋体"/>
                <w:color w:val="000000"/>
                <w:sz w:val="24"/>
                <w:szCs w:val="24"/>
                <w:highlight w:val="none"/>
                <w:lang w:val="en-US" w:eastAsia="zh-CN"/>
              </w:rPr>
              <w:t>（5）所采取的技术和方法对外环境的适应情况（0-2分）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实施方案</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0-20分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（1）对完成病媒生物防制工作总体思路是否正确，实施细则是否完善（0-5分）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（2）对病媒生物防制工作特点的认识情况（0-3分）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（3）对每种害虫防治的周期安排是否合理（0-4分）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（4）对每种害虫密度监测计划安排、监测方法是否科学合理（0-3分）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（5）人员组织和设备安排是否合理（0-5分）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设施设备</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0-5分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（1）配备超低容量喷雾器1台得0.5分，每增加1台增加0.5分，本项目最高得2分，（0-2分）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（2）配备热烟雾机1台的得1分，每增加1台增加1分，本项最多得2分，没有不得分（0-2分）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（3）配备工具车1辆，没有不得分（0-1分）</w:t>
            </w:r>
          </w:p>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注：以上设备须为自有设备，须提供相关设备采购发票及采购合同、车辆行驶证，不提供不得分。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人员、安全、质量管理制度</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0-6分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依据投标文件所提供的人员、安全、质量管理制度的相关内容进行评审，每项2分。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突发事件应急措施、其他活动配合措施</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0-5分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依据投标文件所提供的突发事件应急措施、其他活动配合措施的相关内容，进行评分。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场所情况</w:t>
            </w:r>
          </w:p>
        </w:tc>
        <w:tc>
          <w:tcPr>
            <w:tcW w:w="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0-5分</w:t>
            </w:r>
          </w:p>
        </w:tc>
        <w:tc>
          <w:tcPr>
            <w:tcW w:w="65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有就近固定的工作场所和独立的药械库房；通风条件良好，防火防盗措施落实；药械存放整齐、有序；符合安全存放要求；药械出入有存档。</w:t>
            </w:r>
          </w:p>
          <w:p>
            <w:pPr>
              <w:numPr>
                <w:ilvl w:val="0"/>
                <w:numId w:val="0"/>
              </w:numPr>
              <w:jc w:val="both"/>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注：以图片证明及文字描述为评分依据,标注场所所在地。</w:t>
            </w:r>
          </w:p>
        </w:tc>
      </w:tr>
    </w:tbl>
    <w:p>
      <w:pPr>
        <w:spacing w:line="400" w:lineRule="exact"/>
        <w:ind w:firstLine="568" w:firstLineChars="200"/>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注：以上资料均需加盖单位公章。</w:t>
      </w:r>
    </w:p>
    <w:p>
      <w:pPr>
        <w:spacing w:line="400" w:lineRule="exact"/>
        <w:ind w:firstLine="428" w:firstLineChars="200"/>
        <w:rPr>
          <w:rFonts w:hint="default" w:ascii="宋体" w:hAnsi="宋体" w:cs="宋体"/>
          <w:b/>
          <w:bCs/>
          <w:color w:val="000000"/>
          <w:szCs w:val="21"/>
        </w:rPr>
      </w:pPr>
      <w:r>
        <w:rPr>
          <w:rFonts w:hint="default" w:ascii="宋体" w:hAnsi="宋体" w:cs="宋体"/>
          <w:b/>
          <w:bCs/>
          <w:color w:val="000000"/>
          <w:szCs w:val="21"/>
        </w:rPr>
        <w:t>（三）评标委员会按综合得分高低顺序排列，综合得分</w:t>
      </w:r>
      <w:r>
        <w:rPr>
          <w:rFonts w:hint="eastAsia" w:ascii="宋体" w:hAnsi="宋体" w:cs="宋体"/>
          <w:b/>
          <w:bCs/>
          <w:color w:val="000000"/>
          <w:szCs w:val="21"/>
          <w:lang w:eastAsia="zh-CN"/>
        </w:rPr>
        <w:t>最高</w:t>
      </w:r>
      <w:r>
        <w:rPr>
          <w:rFonts w:hint="default" w:ascii="宋体" w:hAnsi="宋体" w:cs="宋体"/>
          <w:b/>
          <w:bCs/>
          <w:color w:val="000000"/>
          <w:szCs w:val="21"/>
        </w:rPr>
        <w:t>供应商作为推荐中标候选人，并提交评标报告。得分相同的，按投标报价由低到高顺序排列。得分相同报价也相同的，由评委投票决定排序。</w:t>
      </w:r>
      <w:bookmarkEnd w:id="23"/>
      <w:bookmarkEnd w:id="24"/>
    </w:p>
    <w:p>
      <w:pPr>
        <w:spacing w:line="400" w:lineRule="exact"/>
        <w:ind w:firstLine="428" w:firstLineChars="200"/>
        <w:rPr>
          <w:rFonts w:hint="default" w:ascii="宋体" w:hAnsi="宋体" w:cs="宋体"/>
          <w:b/>
          <w:bCs/>
          <w:color w:val="000000"/>
          <w:szCs w:val="21"/>
        </w:rPr>
      </w:pPr>
      <w:bookmarkStart w:id="25" w:name="_Toc10349"/>
      <w:bookmarkStart w:id="26" w:name="_Toc2138"/>
      <w:r>
        <w:rPr>
          <w:rFonts w:hint="default" w:ascii="宋体" w:hAnsi="宋体" w:cs="宋体"/>
          <w:b/>
          <w:bCs/>
          <w:color w:val="000000"/>
          <w:szCs w:val="21"/>
        </w:rPr>
        <w:t>（四）本办法解释权归采购人所有。</w:t>
      </w:r>
      <w:bookmarkEnd w:id="25"/>
      <w:bookmarkEnd w:id="26"/>
    </w:p>
    <w:p>
      <w:pPr>
        <w:widowControl w:val="0"/>
        <w:spacing w:line="420" w:lineRule="auto"/>
        <w:jc w:val="both"/>
        <w:outlineLvl w:val="9"/>
        <w:rPr>
          <w:rFonts w:ascii="宋体" w:hAnsi="宋体"/>
          <w:szCs w:val="21"/>
        </w:rPr>
      </w:pPr>
    </w:p>
    <w:p>
      <w:pPr>
        <w:pStyle w:val="3"/>
        <w:keepNext w:val="0"/>
        <w:keepLines w:val="0"/>
        <w:pageBreakBefore/>
        <w:spacing w:beforeLines="100" w:afterLines="100" w:line="240" w:lineRule="auto"/>
        <w:jc w:val="center"/>
        <w:rPr>
          <w:rFonts w:ascii="Arial" w:hAnsi="Arial" w:cs="Arial"/>
          <w:sz w:val="28"/>
          <w:szCs w:val="36"/>
        </w:rPr>
      </w:pPr>
      <w:bookmarkStart w:id="27" w:name="_Toc16495"/>
      <w:r>
        <w:rPr>
          <w:rFonts w:hint="eastAsia" w:ascii="Arial" w:hAnsi="Arial" w:cs="Arial"/>
          <w:sz w:val="28"/>
          <w:szCs w:val="36"/>
        </w:rPr>
        <w:t>第六部分</w:t>
      </w:r>
      <w:r>
        <w:rPr>
          <w:rFonts w:hint="eastAsia" w:ascii="Arial" w:hAnsi="Arial" w:cs="Arial"/>
          <w:sz w:val="28"/>
          <w:szCs w:val="36"/>
          <w:lang w:val="en-US" w:eastAsia="zh-CN"/>
        </w:rPr>
        <w:t xml:space="preserve"> </w:t>
      </w:r>
      <w:r>
        <w:rPr>
          <w:rFonts w:hint="eastAsia" w:ascii="Arial" w:hAnsi="Arial" w:cs="Arial"/>
          <w:sz w:val="28"/>
          <w:szCs w:val="36"/>
        </w:rPr>
        <w:t>竞争性磋商响应文件格式</w:t>
      </w:r>
      <w:bookmarkEnd w:id="27"/>
    </w:p>
    <w:p>
      <w:pPr>
        <w:snapToGrid w:val="0"/>
        <w:spacing w:beforeLines="200" w:afterLines="50"/>
        <w:jc w:val="center"/>
        <w:rPr>
          <w:rFonts w:ascii="Arial" w:hAnsi="Arial" w:cs="Arial"/>
          <w:b/>
          <w:bCs/>
          <w:sz w:val="28"/>
        </w:rPr>
      </w:pPr>
      <w:r>
        <w:rPr>
          <w:rFonts w:ascii="Arial" w:hAnsi="Arial" w:cs="Arial"/>
          <w:b/>
          <w:bCs/>
          <w:sz w:val="28"/>
        </w:rPr>
        <w:t>竞争性磋商供应商提交竞争性磋商响应文件须知</w:t>
      </w:r>
    </w:p>
    <w:p>
      <w:pPr>
        <w:snapToGrid w:val="0"/>
        <w:jc w:val="center"/>
        <w:rPr>
          <w:rFonts w:ascii="Arial" w:hAnsi="Arial" w:cs="Arial"/>
          <w:sz w:val="28"/>
          <w:szCs w:val="21"/>
        </w:rPr>
      </w:pPr>
    </w:p>
    <w:p>
      <w:pPr>
        <w:pStyle w:val="73"/>
        <w:numPr>
          <w:ilvl w:val="1"/>
          <w:numId w:val="5"/>
        </w:numPr>
        <w:snapToGrid w:val="0"/>
        <w:spacing w:line="360" w:lineRule="auto"/>
        <w:ind w:left="850" w:hanging="357" w:firstLineChars="0"/>
        <w:rPr>
          <w:rFonts w:ascii="Arial" w:hAnsi="Arial" w:cs="Arial"/>
          <w:szCs w:val="22"/>
        </w:rPr>
      </w:pPr>
      <w:r>
        <w:rPr>
          <w:rFonts w:ascii="Arial" w:hAnsi="Arial" w:cs="Arial"/>
          <w:szCs w:val="22"/>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pPr>
        <w:pStyle w:val="73"/>
        <w:numPr>
          <w:ilvl w:val="1"/>
          <w:numId w:val="5"/>
        </w:numPr>
        <w:snapToGrid w:val="0"/>
        <w:spacing w:line="360" w:lineRule="auto"/>
        <w:ind w:left="850" w:hanging="357" w:firstLineChars="0"/>
        <w:rPr>
          <w:rFonts w:ascii="Arial" w:hAnsi="Arial" w:cs="Arial"/>
          <w:szCs w:val="22"/>
        </w:rPr>
      </w:pPr>
      <w:r>
        <w:rPr>
          <w:rFonts w:ascii="Arial" w:hAnsi="Arial" w:cs="Arial"/>
          <w:szCs w:val="22"/>
        </w:rPr>
        <w:t>所附表格中要求回答的全部问题和/或信息都必须正面回答。</w:t>
      </w:r>
    </w:p>
    <w:p>
      <w:pPr>
        <w:pStyle w:val="73"/>
        <w:numPr>
          <w:ilvl w:val="1"/>
          <w:numId w:val="5"/>
        </w:numPr>
        <w:snapToGrid w:val="0"/>
        <w:spacing w:line="360" w:lineRule="auto"/>
        <w:ind w:left="850" w:hanging="357" w:firstLineChars="0"/>
        <w:rPr>
          <w:rFonts w:ascii="Arial" w:hAnsi="Arial" w:cs="Arial"/>
          <w:szCs w:val="22"/>
        </w:rPr>
      </w:pPr>
      <w:r>
        <w:rPr>
          <w:rFonts w:ascii="Arial" w:hAnsi="Arial" w:cs="Arial"/>
          <w:szCs w:val="22"/>
        </w:rPr>
        <w:t>本资格声明的签字人应保证全部声明和问题的回答是真实的和准确的。</w:t>
      </w:r>
    </w:p>
    <w:p>
      <w:pPr>
        <w:pStyle w:val="73"/>
        <w:numPr>
          <w:ilvl w:val="1"/>
          <w:numId w:val="5"/>
        </w:numPr>
        <w:snapToGrid w:val="0"/>
        <w:spacing w:line="360" w:lineRule="auto"/>
        <w:ind w:left="850" w:hanging="357" w:firstLineChars="0"/>
        <w:rPr>
          <w:rFonts w:ascii="Arial" w:hAnsi="Arial" w:cs="Arial"/>
          <w:szCs w:val="22"/>
        </w:rPr>
      </w:pPr>
      <w:r>
        <w:rPr>
          <w:rFonts w:ascii="Arial" w:hAnsi="Arial" w:cs="Arial"/>
          <w:szCs w:val="22"/>
        </w:rPr>
        <w:t>采购代理机构将应用竞争性磋商供应商提交的资料根据自己的判断和考虑决定竞争性磋商供应商履行合同的合格性及能力。</w:t>
      </w:r>
    </w:p>
    <w:p>
      <w:pPr>
        <w:pStyle w:val="73"/>
        <w:numPr>
          <w:ilvl w:val="1"/>
          <w:numId w:val="5"/>
        </w:numPr>
        <w:snapToGrid w:val="0"/>
        <w:spacing w:line="360" w:lineRule="auto"/>
        <w:ind w:left="850" w:hanging="357" w:firstLineChars="0"/>
        <w:rPr>
          <w:rFonts w:ascii="Arial" w:hAnsi="Arial" w:cs="Arial"/>
          <w:szCs w:val="22"/>
        </w:rPr>
      </w:pPr>
      <w:r>
        <w:rPr>
          <w:rFonts w:ascii="Arial" w:hAnsi="Arial" w:cs="Arial"/>
          <w:szCs w:val="22"/>
        </w:rPr>
        <w:t>竞争性磋商供应商提交的材料将被保密保存，但不退还。</w:t>
      </w:r>
    </w:p>
    <w:p>
      <w:pPr>
        <w:pStyle w:val="73"/>
        <w:numPr>
          <w:ilvl w:val="1"/>
          <w:numId w:val="5"/>
        </w:numPr>
        <w:snapToGrid w:val="0"/>
        <w:spacing w:line="360" w:lineRule="auto"/>
        <w:ind w:left="850" w:hanging="357" w:firstLineChars="0"/>
        <w:rPr>
          <w:rFonts w:ascii="Arial" w:hAnsi="Arial" w:cs="Arial"/>
        </w:rPr>
      </w:pPr>
      <w:r>
        <w:rPr>
          <w:rFonts w:ascii="Arial" w:hAnsi="Arial" w:cs="Arial"/>
          <w:szCs w:val="22"/>
        </w:rPr>
        <w:t>全部文件应按竞争性磋商供应商须知中规定的语言提交。</w:t>
      </w:r>
    </w:p>
    <w:p>
      <w:pPr>
        <w:pStyle w:val="73"/>
        <w:snapToGrid w:val="0"/>
        <w:spacing w:line="400" w:lineRule="exact"/>
        <w:ind w:left="851" w:firstLine="0" w:firstLineChars="0"/>
        <w:rPr>
          <w:rFonts w:ascii="Arial" w:hAnsi="Arial" w:cs="Arial"/>
        </w:rPr>
      </w:pPr>
    </w:p>
    <w:p>
      <w:pPr>
        <w:rPr>
          <w:rFonts w:ascii="Arial" w:hAnsi="Arial" w:cs="Arial"/>
          <w:szCs w:val="21"/>
        </w:rPr>
      </w:pPr>
    </w:p>
    <w:p>
      <w:pPr>
        <w:jc w:val="center"/>
        <w:outlineLvl w:val="1"/>
        <w:rPr>
          <w:b/>
          <w:sz w:val="28"/>
        </w:rPr>
        <w:sectPr>
          <w:headerReference r:id="rId12" w:type="default"/>
          <w:footerReference r:id="rId13" w:type="default"/>
          <w:pgSz w:w="11849" w:h="16781"/>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33" w:charSpace="950"/>
        </w:sectPr>
      </w:pPr>
    </w:p>
    <w:p>
      <w:pPr>
        <w:snapToGrid w:val="0"/>
        <w:spacing w:line="360" w:lineRule="auto"/>
        <w:jc w:val="center"/>
        <w:outlineLvl w:val="9"/>
        <w:rPr>
          <w:rFonts w:hint="eastAsia" w:ascii="宋体" w:hAnsi="宋体" w:cs="宋体"/>
          <w:b/>
          <w:bCs/>
          <w:szCs w:val="21"/>
        </w:rPr>
      </w:pPr>
      <w:bookmarkStart w:id="28" w:name="_Toc429468093"/>
      <w:bookmarkStart w:id="29" w:name="_Toc2408"/>
      <w:bookmarkStart w:id="30" w:name="_Toc13174"/>
      <w:bookmarkStart w:id="31" w:name="_Toc429468195"/>
      <w:bookmarkStart w:id="32" w:name="_Toc26186"/>
      <w:bookmarkStart w:id="33" w:name="_Toc4524"/>
      <w:bookmarkStart w:id="34" w:name="_Toc497722825"/>
      <w:bookmarkStart w:id="35" w:name="_Toc12361"/>
      <w:r>
        <w:rPr>
          <w:rFonts w:hint="eastAsia" w:ascii="宋体" w:hAnsi="宋体" w:cs="宋体"/>
          <w:b/>
          <w:bCs/>
          <w:szCs w:val="21"/>
        </w:rPr>
        <w:t>一、投标文件外层包装封面格式</w:t>
      </w:r>
      <w:bookmarkEnd w:id="28"/>
      <w:bookmarkEnd w:id="29"/>
      <w:bookmarkEnd w:id="30"/>
      <w:bookmarkEnd w:id="31"/>
      <w:bookmarkEnd w:id="32"/>
      <w:bookmarkEnd w:id="33"/>
      <w:bookmarkEnd w:id="34"/>
      <w:bookmarkEnd w:id="35"/>
    </w:p>
    <w:p>
      <w:pPr>
        <w:snapToGrid w:val="0"/>
        <w:spacing w:line="360" w:lineRule="auto"/>
        <w:rPr>
          <w:rFonts w:hint="eastAsia" w:ascii="宋体" w:hAnsi="宋体" w:cs="宋体"/>
          <w:b/>
          <w:color w:val="000000"/>
          <w:szCs w:val="21"/>
        </w:rPr>
      </w:pPr>
      <w:r>
        <w:rPr>
          <w:rFonts w:hint="eastAsia" w:ascii="宋体" w:hAnsi="宋体" w:cs="宋体"/>
          <w:b/>
          <w:color w:val="000000"/>
          <w:szCs w:val="21"/>
        </w:rPr>
        <w:t>1、所有投标文件的外包装封面格式：(可选用)</w:t>
      </w:r>
    </w:p>
    <w:p>
      <w:pPr>
        <w:snapToGrid w:val="0"/>
        <w:spacing w:line="360" w:lineRule="auto"/>
        <w:jc w:val="center"/>
        <w:rPr>
          <w:rFonts w:hint="eastAsia" w:ascii="宋体" w:hAnsi="宋体" w:cs="宋体"/>
          <w:bCs/>
          <w:color w:val="000000"/>
          <w:szCs w:val="21"/>
        </w:rPr>
      </w:pPr>
      <w:r>
        <w:rPr>
          <w:rFonts w:hint="eastAsia" w:ascii="宋体" w:hAnsi="宋体" w:cs="宋体"/>
          <w:b/>
          <w:bCs/>
          <w:color w:val="000000"/>
          <w:szCs w:val="21"/>
        </w:rPr>
        <w:t xml:space="preserve">                                            </w:t>
      </w:r>
    </w:p>
    <w:p>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投 标 文 件</w:t>
      </w:r>
    </w:p>
    <w:p>
      <w:pPr>
        <w:snapToGrid w:val="0"/>
        <w:spacing w:line="360" w:lineRule="auto"/>
        <w:rPr>
          <w:rFonts w:hint="eastAsia" w:ascii="宋体" w:hAnsi="宋体" w:cs="宋体"/>
          <w:bCs/>
          <w:color w:val="000000"/>
          <w:szCs w:val="21"/>
        </w:rPr>
      </w:pPr>
    </w:p>
    <w:p>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pPr>
        <w:pStyle w:val="7"/>
        <w:snapToGrid w:val="0"/>
        <w:spacing w:line="360" w:lineRule="auto"/>
        <w:ind w:firstLine="892" w:firstLineChars="425"/>
        <w:rPr>
          <w:rFonts w:hint="eastAsia" w:ascii="宋体" w:hAnsi="宋体" w:cs="宋体"/>
          <w:bCs/>
          <w:color w:val="000000"/>
          <w:szCs w:val="21"/>
        </w:rPr>
      </w:pPr>
      <w:r>
        <w:rPr>
          <w:rFonts w:hint="eastAsia" w:ascii="宋体" w:hAnsi="宋体" w:cs="宋体"/>
          <w:bCs/>
          <w:color w:val="000000"/>
          <w:szCs w:val="21"/>
        </w:rPr>
        <w:t>投标文件名称：</w:t>
      </w:r>
      <w:r>
        <w:rPr>
          <w:rFonts w:hint="eastAsia" w:ascii="宋体" w:hAnsi="宋体" w:cs="宋体"/>
          <w:bCs/>
          <w:color w:val="000000"/>
          <w:szCs w:val="21"/>
          <w:lang w:eastAsia="zh-CN"/>
        </w:rPr>
        <w:t>资格文件、</w:t>
      </w:r>
      <w:r>
        <w:rPr>
          <w:rFonts w:hint="eastAsia" w:ascii="宋体" w:hAnsi="宋体" w:cs="宋体"/>
          <w:bCs/>
          <w:color w:val="000000"/>
          <w:szCs w:val="21"/>
        </w:rPr>
        <w:t>资信商务及技术文件、报价文件</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pPr>
        <w:snapToGrid w:val="0"/>
        <w:spacing w:line="360" w:lineRule="auto"/>
        <w:ind w:firstLine="3570" w:firstLineChars="1700"/>
        <w:rPr>
          <w:rFonts w:hint="eastAsia" w:ascii="宋体" w:hAnsi="宋体" w:cs="宋体"/>
          <w:bCs/>
          <w:color w:val="000000"/>
          <w:szCs w:val="21"/>
        </w:rPr>
      </w:pPr>
    </w:p>
    <w:p>
      <w:pPr>
        <w:snapToGrid w:val="0"/>
        <w:spacing w:line="360" w:lineRule="auto"/>
        <w:ind w:firstLine="645"/>
        <w:jc w:val="center"/>
        <w:rPr>
          <w:rFonts w:hint="eastAsia" w:ascii="宋体" w:hAnsi="宋体" w:cs="宋体"/>
          <w:bCs/>
          <w:color w:val="000000"/>
          <w:szCs w:val="21"/>
        </w:rPr>
      </w:pPr>
      <w:r>
        <w:rPr>
          <w:rFonts w:hint="eastAsia" w:ascii="宋体" w:hAnsi="宋体" w:cs="宋体"/>
          <w:bCs/>
          <w:color w:val="000000"/>
          <w:szCs w:val="21"/>
        </w:rPr>
        <w:t xml:space="preserve">                        年  月  日</w:t>
      </w:r>
    </w:p>
    <w:p>
      <w:pPr>
        <w:snapToGrid w:val="0"/>
        <w:spacing w:line="360" w:lineRule="auto"/>
        <w:jc w:val="center"/>
        <w:rPr>
          <w:rFonts w:hint="eastAsia" w:ascii="宋体" w:hAnsi="宋体" w:cs="宋体"/>
          <w:b/>
          <w:bCs/>
          <w:color w:val="000000"/>
          <w:szCs w:val="21"/>
        </w:rPr>
      </w:pPr>
      <w:bookmarkStart w:id="36" w:name="_Toc429468094"/>
      <w:bookmarkStart w:id="37" w:name="_Toc497722826"/>
      <w:bookmarkStart w:id="38" w:name="_Toc443665448"/>
      <w:bookmarkStart w:id="39" w:name="_Toc429468196"/>
      <w:bookmarkStart w:id="40" w:name="_Toc443665765"/>
    </w:p>
    <w:p>
      <w:pPr>
        <w:snapToGrid w:val="0"/>
        <w:spacing w:line="360" w:lineRule="auto"/>
        <w:jc w:val="center"/>
        <w:rPr>
          <w:rFonts w:hint="eastAsia" w:ascii="宋体" w:hAnsi="宋体" w:cs="宋体"/>
          <w:b/>
          <w:bCs/>
          <w:color w:val="000000"/>
          <w:szCs w:val="21"/>
        </w:rPr>
      </w:pPr>
    </w:p>
    <w:bookmarkEnd w:id="36"/>
    <w:bookmarkEnd w:id="37"/>
    <w:bookmarkEnd w:id="38"/>
    <w:bookmarkEnd w:id="39"/>
    <w:bookmarkEnd w:id="40"/>
    <w:p>
      <w:pPr>
        <w:snapToGrid w:val="0"/>
        <w:spacing w:line="360" w:lineRule="auto"/>
        <w:rPr>
          <w:rFonts w:hint="eastAsia" w:ascii="宋体" w:hAnsi="宋体" w:cs="宋体"/>
          <w:b/>
          <w:bCs/>
          <w:color w:val="000000"/>
          <w:szCs w:val="21"/>
        </w:rPr>
      </w:pPr>
      <w:r>
        <w:rPr>
          <w:rFonts w:hint="eastAsia" w:ascii="宋体" w:hAnsi="宋体" w:cs="宋体"/>
          <w:b/>
          <w:color w:val="000000"/>
          <w:szCs w:val="21"/>
        </w:rPr>
        <w:t>2、</w:t>
      </w:r>
      <w:r>
        <w:rPr>
          <w:rFonts w:hint="eastAsia" w:ascii="宋体" w:hAnsi="宋体" w:cs="宋体"/>
          <w:b/>
          <w:color w:val="000000"/>
          <w:szCs w:val="21"/>
          <w:lang w:eastAsia="zh-CN"/>
        </w:rPr>
        <w:t>资格</w:t>
      </w:r>
      <w:r>
        <w:rPr>
          <w:rFonts w:hint="eastAsia" w:ascii="宋体" w:hAnsi="宋体" w:cs="宋体"/>
          <w:b/>
          <w:bCs/>
          <w:color w:val="000000"/>
          <w:szCs w:val="21"/>
        </w:rPr>
        <w:t>文件的封面格式：</w:t>
      </w:r>
    </w:p>
    <w:p>
      <w:pPr>
        <w:snapToGrid w:val="0"/>
        <w:spacing w:line="360" w:lineRule="auto"/>
        <w:jc w:val="center"/>
        <w:rPr>
          <w:rFonts w:hint="eastAsia" w:ascii="宋体" w:hAnsi="宋体" w:cs="宋体"/>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正本/或副本</w:t>
      </w:r>
    </w:p>
    <w:p>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lang w:eastAsia="zh-CN"/>
        </w:rPr>
        <w:t>资格</w:t>
      </w:r>
      <w:r>
        <w:rPr>
          <w:rFonts w:hint="eastAsia" w:ascii="宋体" w:hAnsi="宋体" w:cs="宋体"/>
          <w:bCs/>
          <w:color w:val="000000"/>
          <w:szCs w:val="21"/>
        </w:rPr>
        <w:t>文件</w:t>
      </w:r>
    </w:p>
    <w:p>
      <w:pPr>
        <w:snapToGrid w:val="0"/>
        <w:spacing w:line="360" w:lineRule="auto"/>
        <w:rPr>
          <w:rFonts w:hint="eastAsia" w:ascii="宋体" w:hAnsi="宋体" w:cs="宋体"/>
          <w:bCs/>
          <w:color w:val="000000"/>
          <w:szCs w:val="21"/>
        </w:rPr>
      </w:pPr>
    </w:p>
    <w:p>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pPr>
        <w:pStyle w:val="7"/>
        <w:snapToGrid w:val="0"/>
        <w:spacing w:line="360" w:lineRule="auto"/>
        <w:ind w:firstLine="873" w:firstLineChars="416"/>
        <w:rPr>
          <w:rFonts w:hint="eastAsia" w:ascii="宋体" w:hAnsi="宋体" w:cs="宋体"/>
          <w:color w:val="000000"/>
          <w:szCs w:val="21"/>
        </w:rPr>
      </w:pPr>
    </w:p>
    <w:p>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年  月  日</w:t>
      </w:r>
    </w:p>
    <w:p>
      <w:pPr>
        <w:snapToGrid w:val="0"/>
        <w:spacing w:line="360" w:lineRule="auto"/>
        <w:rPr>
          <w:rFonts w:hint="eastAsia" w:ascii="宋体" w:hAnsi="宋体" w:cs="宋体"/>
          <w:b/>
          <w:bCs/>
          <w:color w:val="000000"/>
          <w:szCs w:val="21"/>
        </w:rPr>
      </w:pPr>
      <w:r>
        <w:rPr>
          <w:rFonts w:hint="eastAsia" w:ascii="宋体" w:hAnsi="宋体" w:cs="宋体"/>
          <w:b/>
          <w:color w:val="000000"/>
          <w:szCs w:val="21"/>
          <w:lang w:val="en-US" w:eastAsia="zh-CN"/>
        </w:rPr>
        <w:t>3</w:t>
      </w:r>
      <w:r>
        <w:rPr>
          <w:rFonts w:hint="eastAsia" w:ascii="宋体" w:hAnsi="宋体" w:cs="宋体"/>
          <w:b/>
          <w:color w:val="000000"/>
          <w:szCs w:val="21"/>
        </w:rPr>
        <w:t>、资信商务及技术</w:t>
      </w:r>
      <w:r>
        <w:rPr>
          <w:rFonts w:hint="eastAsia" w:ascii="宋体" w:hAnsi="宋体" w:cs="宋体"/>
          <w:b/>
          <w:bCs/>
          <w:color w:val="000000"/>
          <w:szCs w:val="21"/>
        </w:rPr>
        <w:t>文件的封面格式：</w:t>
      </w:r>
    </w:p>
    <w:p>
      <w:pPr>
        <w:snapToGrid w:val="0"/>
        <w:spacing w:line="360" w:lineRule="auto"/>
        <w:jc w:val="center"/>
        <w:rPr>
          <w:rFonts w:hint="eastAsia" w:ascii="宋体" w:hAnsi="宋体" w:cs="宋体"/>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正本/或副本</w:t>
      </w:r>
    </w:p>
    <w:p>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资信商务及技术文件</w:t>
      </w:r>
    </w:p>
    <w:p>
      <w:pPr>
        <w:snapToGrid w:val="0"/>
        <w:spacing w:line="360" w:lineRule="auto"/>
        <w:rPr>
          <w:rFonts w:hint="eastAsia" w:ascii="宋体" w:hAnsi="宋体" w:cs="宋体"/>
          <w:bCs/>
          <w:color w:val="000000"/>
          <w:szCs w:val="21"/>
        </w:rPr>
      </w:pPr>
    </w:p>
    <w:p>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pPr>
        <w:pStyle w:val="7"/>
        <w:snapToGrid w:val="0"/>
        <w:spacing w:line="360" w:lineRule="auto"/>
        <w:ind w:firstLine="873" w:firstLineChars="416"/>
        <w:rPr>
          <w:rFonts w:hint="eastAsia" w:ascii="宋体" w:hAnsi="宋体" w:cs="宋体"/>
          <w:color w:val="000000"/>
          <w:szCs w:val="21"/>
        </w:rPr>
      </w:pPr>
    </w:p>
    <w:p>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年  月  日</w:t>
      </w:r>
    </w:p>
    <w:p>
      <w:pPr>
        <w:pStyle w:val="7"/>
        <w:snapToGrid w:val="0"/>
        <w:spacing w:line="360" w:lineRule="auto"/>
        <w:ind w:firstLine="873" w:firstLineChars="416"/>
        <w:rPr>
          <w:rFonts w:hint="eastAsia" w:ascii="宋体" w:hAnsi="宋体" w:cs="宋体"/>
          <w:color w:val="000000"/>
          <w:szCs w:val="21"/>
        </w:rPr>
      </w:pPr>
    </w:p>
    <w:p>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w:t>
      </w:r>
    </w:p>
    <w:p>
      <w:pPr>
        <w:snapToGrid w:val="0"/>
        <w:spacing w:line="360" w:lineRule="auto"/>
        <w:rPr>
          <w:rFonts w:hint="eastAsia" w:ascii="宋体" w:hAnsi="宋体" w:cs="宋体"/>
          <w:b/>
          <w:color w:val="000000"/>
          <w:szCs w:val="21"/>
        </w:rPr>
      </w:pPr>
    </w:p>
    <w:p>
      <w:pPr>
        <w:snapToGrid w:val="0"/>
        <w:spacing w:line="360" w:lineRule="auto"/>
        <w:rPr>
          <w:rFonts w:hint="eastAsia" w:ascii="宋体" w:hAnsi="宋体" w:cs="宋体"/>
          <w:b/>
          <w:color w:val="000000"/>
          <w:szCs w:val="21"/>
        </w:rPr>
      </w:pPr>
    </w:p>
    <w:p>
      <w:pPr>
        <w:snapToGrid w:val="0"/>
        <w:spacing w:line="360" w:lineRule="auto"/>
        <w:rPr>
          <w:rFonts w:hint="eastAsia" w:ascii="宋体" w:hAnsi="宋体" w:cs="宋体"/>
          <w:b/>
          <w:color w:val="000000"/>
          <w:szCs w:val="21"/>
        </w:rPr>
      </w:pPr>
      <w:r>
        <w:rPr>
          <w:rFonts w:hint="eastAsia" w:ascii="宋体" w:hAnsi="宋体" w:cs="宋体"/>
          <w:b/>
          <w:color w:val="000000"/>
          <w:szCs w:val="21"/>
          <w:lang w:val="en-US" w:eastAsia="zh-CN"/>
        </w:rPr>
        <w:t>4</w:t>
      </w:r>
      <w:r>
        <w:rPr>
          <w:rFonts w:hint="eastAsia" w:ascii="宋体" w:hAnsi="宋体" w:cs="宋体"/>
          <w:b/>
          <w:color w:val="000000"/>
          <w:szCs w:val="21"/>
        </w:rPr>
        <w:t xml:space="preserve">、报价文件封面格式： </w:t>
      </w:r>
    </w:p>
    <w:p>
      <w:pPr>
        <w:snapToGrid w:val="0"/>
        <w:spacing w:line="360" w:lineRule="auto"/>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正本/或副本</w:t>
      </w:r>
    </w:p>
    <w:p>
      <w:pPr>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报价文件</w:t>
      </w:r>
    </w:p>
    <w:p>
      <w:pPr>
        <w:snapToGrid w:val="0"/>
        <w:spacing w:line="360" w:lineRule="auto"/>
        <w:ind w:firstLine="934" w:firstLineChars="445"/>
        <w:rPr>
          <w:rFonts w:hint="eastAsia" w:ascii="宋体" w:hAnsi="宋体" w:cs="宋体"/>
          <w:bCs/>
          <w:color w:val="000000"/>
          <w:szCs w:val="21"/>
        </w:rPr>
      </w:pPr>
      <w:r>
        <w:rPr>
          <w:rFonts w:hint="eastAsia" w:ascii="宋体" w:hAnsi="宋体" w:cs="宋体"/>
          <w:bCs/>
          <w:color w:val="000000"/>
          <w:szCs w:val="21"/>
        </w:rPr>
        <w:t>项目名称：</w:t>
      </w:r>
    </w:p>
    <w:p>
      <w:pPr>
        <w:snapToGrid w:val="0"/>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 xml:space="preserve">     项目编号：      </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投标人名称：</w:t>
      </w:r>
    </w:p>
    <w:p>
      <w:pPr>
        <w:pStyle w:val="7"/>
        <w:snapToGrid w:val="0"/>
        <w:spacing w:line="360" w:lineRule="auto"/>
        <w:ind w:firstLine="873" w:firstLineChars="416"/>
        <w:rPr>
          <w:rFonts w:hint="eastAsia" w:ascii="宋体" w:hAnsi="宋体" w:cs="宋体"/>
          <w:bCs/>
          <w:color w:val="000000"/>
          <w:szCs w:val="21"/>
        </w:rPr>
      </w:pPr>
      <w:r>
        <w:rPr>
          <w:rFonts w:hint="eastAsia" w:ascii="宋体" w:hAnsi="宋体" w:cs="宋体"/>
          <w:bCs/>
          <w:color w:val="000000"/>
          <w:szCs w:val="21"/>
        </w:rPr>
        <w:t>投标人地址：</w:t>
      </w:r>
    </w:p>
    <w:p>
      <w:pPr>
        <w:pStyle w:val="7"/>
        <w:snapToGrid w:val="0"/>
        <w:spacing w:line="360" w:lineRule="auto"/>
        <w:ind w:firstLine="840" w:firstLineChars="400"/>
        <w:rPr>
          <w:rFonts w:hint="eastAsia" w:ascii="宋体" w:hAnsi="宋体" w:cs="宋体"/>
          <w:bCs/>
          <w:color w:val="000000"/>
          <w:szCs w:val="21"/>
        </w:rPr>
      </w:pPr>
      <w:r>
        <w:rPr>
          <w:rFonts w:hint="eastAsia" w:ascii="宋体" w:hAnsi="宋体" w:cs="宋体"/>
          <w:bCs/>
          <w:color w:val="000000"/>
          <w:szCs w:val="21"/>
        </w:rPr>
        <w:t>在  年  月  日  时  分之前不得启封</w:t>
      </w:r>
    </w:p>
    <w:p>
      <w:pPr>
        <w:pStyle w:val="7"/>
        <w:snapToGrid w:val="0"/>
        <w:spacing w:line="360" w:lineRule="auto"/>
        <w:ind w:firstLine="840" w:firstLineChars="400"/>
        <w:rPr>
          <w:rFonts w:hint="eastAsia" w:ascii="宋体" w:hAnsi="宋体" w:cs="宋体"/>
          <w:bCs/>
          <w:color w:val="000000"/>
          <w:szCs w:val="21"/>
        </w:rPr>
      </w:pPr>
    </w:p>
    <w:p>
      <w:pPr>
        <w:snapToGrid w:val="0"/>
        <w:spacing w:line="360" w:lineRule="auto"/>
        <w:ind w:firstLine="3570" w:firstLineChars="1700"/>
        <w:rPr>
          <w:rFonts w:hint="eastAsia" w:ascii="宋体" w:hAnsi="宋体" w:cs="宋体"/>
          <w:color w:val="000000"/>
          <w:szCs w:val="21"/>
        </w:rPr>
      </w:pPr>
    </w:p>
    <w:p>
      <w:pPr>
        <w:snapToGrid w:val="0"/>
        <w:spacing w:line="360" w:lineRule="auto"/>
        <w:ind w:firstLine="645"/>
        <w:jc w:val="center"/>
        <w:rPr>
          <w:rFonts w:hint="eastAsia" w:ascii="宋体" w:hAnsi="宋体" w:cs="宋体"/>
          <w:color w:val="000000"/>
          <w:szCs w:val="21"/>
        </w:rPr>
      </w:pPr>
      <w:r>
        <w:rPr>
          <w:rFonts w:hint="eastAsia" w:ascii="宋体" w:hAnsi="宋体" w:cs="宋体"/>
          <w:color w:val="000000"/>
          <w:szCs w:val="21"/>
        </w:rPr>
        <w:t xml:space="preserve">                        年  月  日</w:t>
      </w:r>
    </w:p>
    <w:p>
      <w:pPr>
        <w:snapToGrid w:val="0"/>
        <w:spacing w:line="360" w:lineRule="auto"/>
        <w:rPr>
          <w:rFonts w:hint="eastAsia" w:ascii="宋体" w:hAnsi="宋体" w:cs="宋体"/>
          <w:szCs w:val="21"/>
        </w:rPr>
      </w:pPr>
    </w:p>
    <w:p>
      <w:pPr>
        <w:snapToGrid w:val="0"/>
        <w:spacing w:line="360" w:lineRule="auto"/>
        <w:rPr>
          <w:rFonts w:hint="eastAsia" w:ascii="宋体" w:hAnsi="宋体" w:cs="宋体"/>
          <w:b/>
          <w:szCs w:val="21"/>
        </w:rPr>
      </w:pPr>
    </w:p>
    <w:p>
      <w:pPr>
        <w:snapToGrid w:val="0"/>
        <w:spacing w:line="360" w:lineRule="auto"/>
        <w:rPr>
          <w:rFonts w:hint="eastAsia" w:ascii="宋体" w:hAnsi="宋体" w:cs="宋体"/>
          <w:b/>
          <w:szCs w:val="21"/>
        </w:rPr>
      </w:pPr>
    </w:p>
    <w:p>
      <w:pPr>
        <w:snapToGrid w:val="0"/>
        <w:spacing w:line="360" w:lineRule="auto"/>
        <w:rPr>
          <w:rFonts w:hint="eastAsia" w:ascii="宋体" w:hAnsi="宋体" w:cs="宋体"/>
          <w:b/>
          <w:szCs w:val="21"/>
        </w:rPr>
      </w:pPr>
    </w:p>
    <w:p>
      <w:pPr>
        <w:snapToGrid w:val="0"/>
        <w:spacing w:line="360" w:lineRule="auto"/>
        <w:rPr>
          <w:rFonts w:hint="eastAsia" w:ascii="宋体" w:hAnsi="宋体" w:cs="宋体"/>
          <w:b/>
          <w:szCs w:val="21"/>
        </w:rPr>
      </w:pPr>
    </w:p>
    <w:p>
      <w:pPr>
        <w:snapToGrid w:val="0"/>
        <w:spacing w:line="360" w:lineRule="auto"/>
        <w:rPr>
          <w:rFonts w:hint="eastAsia" w:ascii="宋体" w:hAnsi="宋体" w:cs="宋体"/>
          <w:szCs w:val="21"/>
        </w:rPr>
      </w:pPr>
      <w:r>
        <w:rPr>
          <w:rFonts w:hint="eastAsia" w:ascii="宋体" w:hAnsi="宋体" w:cs="宋体"/>
          <w:b/>
          <w:szCs w:val="21"/>
        </w:rPr>
        <w:br w:type="page"/>
      </w:r>
      <w:r>
        <w:rPr>
          <w:rFonts w:hint="eastAsia" w:ascii="宋体" w:hAnsi="宋体" w:cs="宋体"/>
          <w:b/>
          <w:szCs w:val="21"/>
          <w:lang w:val="en-US" w:eastAsia="zh-CN"/>
        </w:rPr>
        <w:t>5</w:t>
      </w:r>
      <w:r>
        <w:rPr>
          <w:rFonts w:hint="eastAsia" w:ascii="宋体" w:hAnsi="宋体" w:cs="宋体"/>
          <w:b/>
          <w:szCs w:val="21"/>
        </w:rPr>
        <w:t>、资信商务及技术文件、投标报价文件目录</w:t>
      </w:r>
      <w:r>
        <w:rPr>
          <w:rFonts w:hint="eastAsia" w:ascii="宋体" w:hAnsi="宋体" w:cs="宋体"/>
          <w:b/>
          <w:bCs/>
          <w:szCs w:val="21"/>
        </w:rPr>
        <w:t>（请按照“第三章投标人须知，三、投标文件的编制”的顺序自行编制目录）</w:t>
      </w:r>
    </w:p>
    <w:p>
      <w:pPr>
        <w:snapToGrid w:val="0"/>
        <w:spacing w:line="360" w:lineRule="auto"/>
        <w:rPr>
          <w:rFonts w:hint="eastAsia" w:ascii="宋体" w:hAnsi="宋体" w:cs="宋体"/>
          <w:b/>
          <w:bCs/>
          <w:szCs w:val="21"/>
        </w:rPr>
      </w:pPr>
      <w:r>
        <w:rPr>
          <w:rFonts w:hint="eastAsia" w:ascii="宋体" w:hAnsi="宋体" w:cs="宋体"/>
          <w:b/>
          <w:bCs/>
          <w:szCs w:val="21"/>
        </w:rPr>
        <w:t>例如：</w:t>
      </w:r>
    </w:p>
    <w:p>
      <w:pPr>
        <w:snapToGrid w:val="0"/>
        <w:spacing w:line="360" w:lineRule="auto"/>
        <w:rPr>
          <w:rFonts w:hint="eastAsia" w:ascii="宋体" w:hAnsi="宋体" w:cs="宋体"/>
          <w:szCs w:val="21"/>
        </w:rPr>
      </w:pPr>
      <w:r>
        <w:rPr>
          <w:rFonts w:hint="eastAsia" w:ascii="宋体" w:hAnsi="宋体" w:cs="宋体"/>
          <w:b/>
          <w:bCs/>
          <w:szCs w:val="21"/>
        </w:rPr>
        <w:t>资信商务文件：</w:t>
      </w:r>
    </w:p>
    <w:p>
      <w:pPr>
        <w:snapToGrid w:val="0"/>
        <w:spacing w:line="360" w:lineRule="auto"/>
        <w:jc w:val="left"/>
        <w:rPr>
          <w:rFonts w:hint="eastAsia" w:ascii="宋体" w:hAnsi="宋体" w:cs="宋体"/>
          <w:szCs w:val="21"/>
        </w:rPr>
      </w:pPr>
      <w:r>
        <w:rPr>
          <w:rFonts w:hint="eastAsia" w:ascii="宋体" w:hAnsi="宋体" w:cs="宋体"/>
          <w:szCs w:val="21"/>
        </w:rPr>
        <w:t>（1）投标声明书 (格式见附件) ——————————————</w:t>
      </w:r>
    </w:p>
    <w:p>
      <w:pPr>
        <w:snapToGrid w:val="0"/>
        <w:spacing w:line="360" w:lineRule="auto"/>
        <w:jc w:val="left"/>
        <w:rPr>
          <w:rFonts w:hint="eastAsia" w:ascii="宋体" w:hAnsi="宋体" w:cs="宋体"/>
          <w:szCs w:val="21"/>
        </w:rPr>
        <w:sectPr>
          <w:footerReference r:id="rId14"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szCs w:val="21"/>
        </w:rPr>
        <w:t>（2）法定代表人授权委托书(格式见附件) ——————————</w:t>
      </w:r>
    </w:p>
    <w:p>
      <w:pPr>
        <w:snapToGrid w:val="0"/>
        <w:spacing w:line="360" w:lineRule="auto"/>
        <w:jc w:val="left"/>
        <w:rPr>
          <w:rFonts w:hint="eastAsia" w:ascii="宋体" w:hAnsi="宋体" w:cs="宋体"/>
          <w:b/>
          <w:szCs w:val="21"/>
        </w:rPr>
      </w:pPr>
      <w:r>
        <w:rPr>
          <w:rFonts w:hint="eastAsia" w:ascii="宋体" w:hAnsi="宋体" w:cs="宋体"/>
          <w:b/>
          <w:szCs w:val="21"/>
          <w:lang w:val="en-US" w:eastAsia="zh-CN"/>
        </w:rPr>
        <w:t>6</w:t>
      </w:r>
      <w:r>
        <w:rPr>
          <w:rFonts w:hint="eastAsia" w:ascii="宋体" w:hAnsi="宋体" w:cs="宋体"/>
          <w:b/>
          <w:szCs w:val="21"/>
        </w:rPr>
        <w:t>、投标声明书格式：</w:t>
      </w:r>
    </w:p>
    <w:p>
      <w:pPr>
        <w:snapToGrid w:val="0"/>
        <w:spacing w:line="360" w:lineRule="auto"/>
        <w:jc w:val="center"/>
        <w:rPr>
          <w:rFonts w:hint="eastAsia" w:ascii="宋体" w:hAnsi="宋体" w:cs="宋体"/>
          <w:szCs w:val="21"/>
        </w:rPr>
      </w:pPr>
      <w:r>
        <w:rPr>
          <w:rFonts w:hint="eastAsia" w:ascii="宋体" w:hAnsi="宋体" w:cs="宋体"/>
          <w:szCs w:val="21"/>
        </w:rPr>
        <w:t>投标声明书</w:t>
      </w: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（招标采购单位名称）：</w:t>
      </w:r>
    </w:p>
    <w:p>
      <w:pPr>
        <w:snapToGrid w:val="0"/>
        <w:spacing w:line="360" w:lineRule="auto"/>
        <w:ind w:firstLine="630" w:firstLineChars="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645"/>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项目的投标，为便于贵方公正、择优地确定中标人及其投标产品和服务，我方就本次投标有关事项郑重声明如下：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pPr>
        <w:snapToGrid w:val="0"/>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宋体" w:hAnsi="宋体" w:cs="宋体"/>
          <w:szCs w:val="21"/>
        </w:rPr>
      </w:pPr>
      <w:r>
        <w:rPr>
          <w:rFonts w:hint="eastAsia" w:ascii="宋体" w:hAnsi="宋体" w:cs="宋体"/>
          <w:spacing w:val="15"/>
          <w:kern w:val="0"/>
          <w:szCs w:val="21"/>
        </w:rPr>
        <w:t>3.我方此次向贵方提供的服务名称为</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hint="eastAsia" w:ascii="宋体" w:hAnsi="宋体" w:cs="宋体"/>
          <w:szCs w:val="21"/>
        </w:rPr>
      </w:pPr>
      <w:r>
        <w:rPr>
          <w:rFonts w:hint="eastAsia" w:ascii="宋体" w:hAnsi="宋体" w:cs="宋体"/>
          <w:szCs w:val="21"/>
        </w:rPr>
        <w:t>4.我方诚意提请贵方关注：近期有关该项目的售后服务等方面的重大决策和事项有：</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w:t>
      </w:r>
    </w:p>
    <w:p>
      <w:pPr>
        <w:pStyle w:val="14"/>
        <w:snapToGrid w:val="0"/>
        <w:spacing w:line="360" w:lineRule="auto"/>
        <w:ind w:firstLine="420" w:firstLineChars="200"/>
        <w:rPr>
          <w:rFonts w:hint="eastAsia" w:hAnsi="宋体" w:cs="宋体"/>
          <w:sz w:val="21"/>
          <w:szCs w:val="21"/>
        </w:rPr>
      </w:pPr>
      <w:r>
        <w:rPr>
          <w:rFonts w:hint="eastAsia" w:hAnsi="宋体" w:cs="宋体"/>
          <w:sz w:val="21"/>
          <w:szCs w:val="21"/>
        </w:rPr>
        <w:t>5.我方及由本人担任法定代表人的其他机构最近三年内被通报或者被处罚的违法行为有：</w:t>
      </w:r>
    </w:p>
    <w:p>
      <w:pPr>
        <w:snapToGrid w:val="0"/>
        <w:spacing w:line="360" w:lineRule="auto"/>
        <w:ind w:firstLine="420" w:firstLineChars="200"/>
        <w:rPr>
          <w:rFonts w:hint="eastAsia" w:ascii="宋体" w:hAnsi="宋体" w:cs="宋体"/>
          <w:szCs w:val="21"/>
          <w:u w:val="single"/>
        </w:rPr>
      </w:pPr>
      <w:r>
        <w:rPr>
          <w:rFonts w:hint="eastAsia" w:ascii="宋体" w:hAnsi="宋体" w:cs="宋体"/>
          <w:szCs w:val="21"/>
          <w:u w:val="single"/>
        </w:rPr>
        <w:t>　　　　　　　　　　　　　　　　　　　　　　</w:t>
      </w:r>
    </w:p>
    <w:p>
      <w:pPr>
        <w:snapToGrid w:val="0"/>
        <w:spacing w:line="360" w:lineRule="auto"/>
        <w:ind w:firstLine="420" w:firstLineChars="200"/>
        <w:rPr>
          <w:rFonts w:hint="eastAsia" w:ascii="宋体" w:hAnsi="宋体" w:cs="宋体"/>
          <w:szCs w:val="21"/>
        </w:rPr>
      </w:pPr>
      <w:r>
        <w:rPr>
          <w:rFonts w:hint="eastAsia" w:ascii="宋体" w:hAnsi="宋体" w:cs="宋体"/>
          <w:szCs w:val="21"/>
        </w:rPr>
        <w:t>6.以上事项如有虚假或隐瞒，我方愿意承担一切后果，并不再寻求任何旨在减轻或免除法律责任的辩解。</w:t>
      </w:r>
    </w:p>
    <w:p>
      <w:pPr>
        <w:pStyle w:val="101"/>
        <w:snapToGrid w:val="0"/>
        <w:spacing w:line="360" w:lineRule="auto"/>
        <w:ind w:firstLine="200"/>
        <w:rPr>
          <w:rFonts w:hint="eastAsia" w:ascii="宋体" w:hAnsi="宋体" w:cs="宋体"/>
          <w:sz w:val="21"/>
          <w:szCs w:val="21"/>
        </w:rPr>
      </w:pPr>
    </w:p>
    <w:p>
      <w:pPr>
        <w:snapToGrid w:val="0"/>
        <w:spacing w:line="360" w:lineRule="auto"/>
        <w:ind w:firstLine="200"/>
        <w:rPr>
          <w:rFonts w:hint="eastAsia"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pPr>
        <w:snapToGrid w:val="0"/>
        <w:spacing w:line="360" w:lineRule="auto"/>
        <w:ind w:firstLine="210" w:firstLineChars="100"/>
        <w:rPr>
          <w:rFonts w:hint="eastAsia" w:ascii="宋体" w:hAnsi="宋体" w:cs="宋体"/>
          <w:szCs w:val="21"/>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年    月    日</w:t>
      </w:r>
    </w:p>
    <w:p>
      <w:pPr>
        <w:snapToGrid w:val="0"/>
        <w:spacing w:line="360" w:lineRule="auto"/>
        <w:ind w:firstLine="4200" w:firstLineChars="2000"/>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7</w:t>
      </w:r>
      <w:r>
        <w:rPr>
          <w:rFonts w:hint="eastAsia" w:ascii="宋体" w:hAnsi="宋体" w:cs="宋体"/>
          <w:b/>
          <w:szCs w:val="21"/>
        </w:rPr>
        <w:t>、法定代表人授权委托书格式：</w:t>
      </w:r>
    </w:p>
    <w:p>
      <w:pPr>
        <w:snapToGrid w:val="0"/>
        <w:spacing w:line="360" w:lineRule="auto"/>
        <w:jc w:val="center"/>
        <w:rPr>
          <w:rFonts w:hint="eastAsia" w:ascii="宋体" w:hAnsi="宋体" w:cs="宋体"/>
          <w:szCs w:val="21"/>
        </w:rPr>
      </w:pPr>
    </w:p>
    <w:p>
      <w:pPr>
        <w:snapToGrid w:val="0"/>
        <w:spacing w:line="360" w:lineRule="auto"/>
        <w:jc w:val="center"/>
        <w:rPr>
          <w:rFonts w:hint="eastAsia" w:ascii="宋体" w:hAnsi="宋体" w:cs="宋体"/>
          <w:b/>
          <w:szCs w:val="21"/>
        </w:rPr>
      </w:pPr>
      <w:r>
        <w:rPr>
          <w:rFonts w:hint="eastAsia" w:ascii="宋体" w:hAnsi="宋体" w:cs="宋体"/>
          <w:b/>
          <w:szCs w:val="21"/>
        </w:rPr>
        <w:t>法定代表人授权委托书</w:t>
      </w:r>
    </w:p>
    <w:p>
      <w:pPr>
        <w:snapToGrid w:val="0"/>
        <w:spacing w:line="360" w:lineRule="auto"/>
        <w:rPr>
          <w:rFonts w:hint="eastAsia"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（招标采购单位名称）</w:t>
      </w:r>
      <w:r>
        <w:rPr>
          <w:rFonts w:hint="eastAsia" w:ascii="宋体" w:hAnsi="宋体" w:cs="宋体"/>
          <w:b/>
          <w:bCs/>
          <w:szCs w:val="21"/>
        </w:rPr>
        <w:t xml:space="preserve"> </w:t>
      </w:r>
      <w:r>
        <w:rPr>
          <w:rFonts w:hint="eastAsia" w:ascii="宋体" w:hAnsi="宋体" w:cs="宋体"/>
          <w:szCs w:val="21"/>
        </w:rPr>
        <w:t>：</w:t>
      </w:r>
    </w:p>
    <w:p>
      <w:pPr>
        <w:snapToGrid w:val="0"/>
        <w:spacing w:line="360" w:lineRule="auto"/>
        <w:ind w:firstLine="630" w:firstLineChars="3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rPr>
          <w:rFonts w:hint="eastAsia" w:ascii="宋体" w:hAnsi="宋体" w:cs="宋体"/>
          <w:szCs w:val="21"/>
        </w:rPr>
      </w:pPr>
      <w:r>
        <w:rPr>
          <w:rFonts w:hint="eastAsia" w:ascii="宋体" w:hAnsi="宋体" w:cs="宋体"/>
          <w:szCs w:val="21"/>
        </w:rPr>
        <w:t xml:space="preserve">    我方对被授权人的签名事项负全部责任。</w:t>
      </w:r>
    </w:p>
    <w:p>
      <w:pPr>
        <w:snapToGrid w:val="0"/>
        <w:spacing w:line="360" w:lineRule="auto"/>
        <w:ind w:firstLine="480"/>
        <w:rPr>
          <w:rFonts w:hint="eastAsia"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line="360" w:lineRule="auto"/>
        <w:ind w:firstLine="480"/>
        <w:rPr>
          <w:rFonts w:hint="eastAsia" w:ascii="宋体" w:hAnsi="宋体" w:cs="宋体"/>
          <w:szCs w:val="21"/>
        </w:rPr>
      </w:pPr>
      <w:r>
        <w:rPr>
          <w:rFonts w:hint="eastAsia" w:ascii="宋体" w:hAnsi="宋体" w:cs="宋体"/>
          <w:szCs w:val="21"/>
        </w:rPr>
        <w:t>被授权人无转委托权，特此委托。</w:t>
      </w: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法定代表人签名（或盖章）：</w:t>
      </w:r>
      <w:r>
        <w:rPr>
          <w:rFonts w:hint="eastAsia" w:ascii="宋体" w:hAnsi="宋体" w:cs="宋体"/>
          <w:szCs w:val="21"/>
          <w:u w:val="single"/>
        </w:rPr>
        <w:t xml:space="preserve">          </w:t>
      </w:r>
    </w:p>
    <w:p>
      <w:pPr>
        <w:snapToGrid w:val="0"/>
        <w:spacing w:line="360" w:lineRule="auto"/>
        <w:ind w:firstLine="840" w:firstLineChars="400"/>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napToGrid w:val="0"/>
        <w:spacing w:line="360" w:lineRule="auto"/>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auto"/>
        <w:rPr>
          <w:rFonts w:hint="eastAsia" w:ascii="宋体" w:hAnsi="宋体" w:cs="宋体"/>
          <w:szCs w:val="21"/>
        </w:rPr>
      </w:pPr>
      <w:r>
        <w:rPr>
          <w:rFonts w:hint="eastAsia" w:ascii="宋体" w:hAnsi="宋体" w:cs="宋体"/>
          <w:szCs w:val="21"/>
        </w:rPr>
        <w:t xml:space="preserve">                                   </w:t>
      </w:r>
    </w:p>
    <w:p>
      <w:pPr>
        <w:snapToGrid w:val="0"/>
        <w:spacing w:line="360" w:lineRule="auto"/>
        <w:ind w:firstLine="4830" w:firstLineChars="2300"/>
        <w:rPr>
          <w:rFonts w:hint="eastAsia" w:ascii="宋体" w:hAnsi="宋体" w:cs="宋体"/>
          <w:szCs w:val="21"/>
        </w:rPr>
      </w:pPr>
      <w:r>
        <w:rPr>
          <w:rFonts w:hint="eastAsia" w:ascii="宋体" w:hAnsi="宋体" w:cs="宋体"/>
          <w:szCs w:val="21"/>
        </w:rPr>
        <w:t xml:space="preserve">  投标人公章：</w:t>
      </w:r>
    </w:p>
    <w:p>
      <w:pPr>
        <w:snapToGrid w:val="0"/>
        <w:spacing w:line="360" w:lineRule="auto"/>
        <w:jc w:val="center"/>
        <w:rPr>
          <w:rFonts w:hint="eastAsia" w:ascii="宋体" w:hAnsi="宋体" w:cs="宋体"/>
          <w:szCs w:val="21"/>
        </w:rPr>
      </w:pPr>
      <w:r>
        <w:rPr>
          <w:rFonts w:hint="eastAsia" w:ascii="宋体" w:hAnsi="宋体" w:cs="宋体"/>
          <w:szCs w:val="21"/>
        </w:rPr>
        <w:t xml:space="preserve">                                        年    月    日</w:t>
      </w:r>
    </w:p>
    <w:p>
      <w:pPr>
        <w:snapToGrid w:val="0"/>
        <w:spacing w:line="360" w:lineRule="auto"/>
        <w:ind w:firstLine="3150" w:firstLineChars="1500"/>
        <w:rPr>
          <w:rFonts w:hint="eastAsia" w:ascii="宋体" w:hAnsi="宋体" w:cs="宋体"/>
          <w:szCs w:val="21"/>
        </w:rPr>
      </w:pPr>
    </w:p>
    <w:p>
      <w:pPr>
        <w:snapToGrid w:val="0"/>
        <w:spacing w:line="360" w:lineRule="auto"/>
        <w:rPr>
          <w:rFonts w:hint="eastAsia" w:ascii="宋体" w:hAnsi="宋体" w:cs="宋体"/>
          <w:szCs w:val="21"/>
        </w:rPr>
      </w:pPr>
      <w:r>
        <w:rPr>
          <w:rFonts w:hint="eastAsia" w:ascii="宋体" w:hAnsi="宋体" w:cs="宋体"/>
          <w:szCs w:val="21"/>
        </w:rPr>
        <w:t>法定代表人身份证复印件粘贴处（正反面）  被授权人身份证复印件粘贴处（正反面）</w:t>
      </w:r>
    </w:p>
    <w:p>
      <w:pPr>
        <w:snapToGrid w:val="0"/>
        <w:spacing w:line="360" w:lineRule="auto"/>
        <w:jc w:val="left"/>
        <w:rPr>
          <w:rFonts w:hint="eastAsia" w:ascii="宋体" w:hAnsi="宋体" w:cs="宋体"/>
          <w:szCs w:val="21"/>
        </w:rPr>
        <w:sectPr>
          <w:footerReference r:id="rId15"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line="360" w:lineRule="auto"/>
        <w:jc w:val="left"/>
        <w:rPr>
          <w:rFonts w:hint="eastAsia" w:ascii="宋体" w:hAnsi="宋体" w:cs="宋体"/>
          <w:b/>
          <w:szCs w:val="21"/>
        </w:rPr>
      </w:pPr>
      <w:r>
        <w:rPr>
          <w:rFonts w:hint="eastAsia" w:ascii="宋体" w:hAnsi="宋体" w:cs="宋体"/>
          <w:b/>
          <w:szCs w:val="21"/>
          <w:lang w:val="en-US" w:eastAsia="zh-CN"/>
        </w:rPr>
        <w:t>8</w:t>
      </w:r>
      <w:r>
        <w:rPr>
          <w:rFonts w:hint="eastAsia" w:ascii="宋体" w:hAnsi="宋体" w:cs="宋体"/>
          <w:b/>
          <w:szCs w:val="21"/>
        </w:rPr>
        <w:t>、投标人的类似成功案例的业绩证明文件：</w:t>
      </w:r>
    </w:p>
    <w:p>
      <w:pPr>
        <w:pStyle w:val="22"/>
        <w:snapToGrid w:val="0"/>
        <w:spacing w:line="360" w:lineRule="auto"/>
        <w:ind w:left="420" w:hanging="420"/>
        <w:rPr>
          <w:rFonts w:hint="eastAsia" w:ascii="宋体" w:hAnsi="宋体" w:cs="宋体"/>
          <w:szCs w:val="21"/>
        </w:rPr>
      </w:pPr>
      <w:r>
        <w:rPr>
          <w:rFonts w:hint="eastAsia" w:ascii="宋体" w:hAnsi="宋体" w:cs="宋体"/>
          <w:szCs w:val="21"/>
        </w:rPr>
        <w:t>投标人同类项目实施情况一览表格式：</w:t>
      </w:r>
    </w:p>
    <w:tbl>
      <w:tblPr>
        <w:tblStyle w:val="27"/>
        <w:tblW w:w="142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采购</w:t>
            </w:r>
          </w:p>
          <w:p>
            <w:pPr>
              <w:snapToGrid w:val="0"/>
              <w:spacing w:line="360" w:lineRule="auto"/>
              <w:jc w:val="center"/>
              <w:rPr>
                <w:rFonts w:hint="eastAsia" w:ascii="宋体" w:hAnsi="宋体" w:cs="宋体"/>
                <w:szCs w:val="21"/>
              </w:rPr>
            </w:pPr>
            <w:r>
              <w:rPr>
                <w:rFonts w:hint="eastAsia" w:ascii="宋体" w:hAnsi="宋体" w:cs="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合同</w:t>
            </w:r>
          </w:p>
          <w:p>
            <w:pPr>
              <w:snapToGrid w:val="0"/>
              <w:spacing w:line="360" w:lineRule="auto"/>
              <w:jc w:val="center"/>
              <w:rPr>
                <w:rFonts w:hint="eastAsia" w:ascii="宋体" w:hAnsi="宋体" w:cs="宋体"/>
                <w:szCs w:val="21"/>
              </w:rPr>
            </w:pPr>
            <w:r>
              <w:rPr>
                <w:rFonts w:hint="eastAsia" w:ascii="宋体" w:hAnsi="宋体" w:cs="宋体"/>
                <w:szCs w:val="21"/>
              </w:rPr>
              <w:t>金额</w:t>
            </w:r>
          </w:p>
          <w:p>
            <w:pPr>
              <w:snapToGrid w:val="0"/>
              <w:spacing w:line="360" w:lineRule="auto"/>
              <w:jc w:val="center"/>
              <w:rPr>
                <w:rFonts w:hint="eastAsia" w:ascii="宋体" w:hAnsi="宋体" w:cs="宋体"/>
                <w:szCs w:val="21"/>
              </w:rPr>
            </w:pPr>
            <w:r>
              <w:rPr>
                <w:rFonts w:hint="eastAsia" w:ascii="宋体" w:hAnsi="宋体" w:cs="宋体"/>
                <w:szCs w:val="21"/>
              </w:rPr>
              <w:t>（万元）</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附件页码</w:t>
            </w:r>
          </w:p>
        </w:tc>
        <w:tc>
          <w:tcPr>
            <w:tcW w:w="31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采购单位联系人及</w:t>
            </w:r>
          </w:p>
          <w:p>
            <w:pPr>
              <w:snapToGrid w:val="0"/>
              <w:spacing w:line="360" w:lineRule="auto"/>
              <w:jc w:val="center"/>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合同</w:t>
            </w:r>
          </w:p>
        </w:tc>
        <w:tc>
          <w:tcPr>
            <w:tcW w:w="31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宋体" w:hAnsi="宋体" w:cs="宋体"/>
                <w:szCs w:val="21"/>
              </w:rPr>
            </w:pPr>
          </w:p>
        </w:tc>
      </w:tr>
    </w:tbl>
    <w:p>
      <w:pPr>
        <w:pStyle w:val="9"/>
        <w:snapToGrid w:val="0"/>
        <w:spacing w:before="0" w:after="0" w:line="360" w:lineRule="auto"/>
        <w:rPr>
          <w:rFonts w:hint="eastAsia" w:ascii="宋体" w:hAnsi="宋体" w:eastAsia="宋体" w:cs="宋体"/>
          <w:sz w:val="21"/>
          <w:szCs w:val="21"/>
        </w:rPr>
      </w:pPr>
    </w:p>
    <w:p>
      <w:pPr>
        <w:pStyle w:val="9"/>
        <w:snapToGrid w:val="0"/>
        <w:spacing w:before="0" w:after="0" w:line="360" w:lineRule="auto"/>
        <w:rPr>
          <w:rFonts w:hint="eastAsia" w:ascii="宋体" w:hAnsi="宋体" w:eastAsia="宋体" w:cs="宋体"/>
          <w:sz w:val="21"/>
          <w:szCs w:val="21"/>
          <w:u w:val="single"/>
        </w:rPr>
      </w:pPr>
      <w:r>
        <w:rPr>
          <w:rFonts w:hint="eastAsia" w:ascii="宋体" w:hAnsi="宋体" w:eastAsia="宋体" w:cs="宋体"/>
          <w:sz w:val="21"/>
          <w:szCs w:val="21"/>
        </w:rPr>
        <w:t>法定代表人签字（或盖章）：</w:t>
      </w:r>
      <w:r>
        <w:rPr>
          <w:rFonts w:hint="eastAsia" w:ascii="宋体" w:hAnsi="宋体" w:eastAsia="宋体" w:cs="宋体"/>
          <w:sz w:val="21"/>
          <w:szCs w:val="21"/>
          <w:u w:val="single"/>
        </w:rPr>
        <w:t>　　　　　</w:t>
      </w:r>
    </w:p>
    <w:p>
      <w:pPr>
        <w:snapToGrid w:val="0"/>
        <w:spacing w:line="360" w:lineRule="auto"/>
        <w:jc w:val="left"/>
        <w:rPr>
          <w:rFonts w:hint="eastAsia" w:ascii="宋体" w:hAnsi="宋体" w:cs="宋体"/>
          <w:szCs w:val="21"/>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年    月  日</w:t>
      </w:r>
    </w:p>
    <w:p>
      <w:pPr>
        <w:snapToGrid w:val="0"/>
        <w:spacing w:line="360" w:lineRule="auto"/>
        <w:ind w:firstLine="420" w:firstLineChars="200"/>
        <w:jc w:val="left"/>
        <w:rPr>
          <w:rFonts w:hint="eastAsia" w:ascii="宋体" w:hAnsi="宋体" w:cs="宋体"/>
          <w:szCs w:val="21"/>
        </w:rPr>
      </w:pPr>
    </w:p>
    <w:p>
      <w:pPr>
        <w:snapToGrid w:val="0"/>
        <w:spacing w:line="360" w:lineRule="auto"/>
        <w:jc w:val="left"/>
        <w:rPr>
          <w:rFonts w:hint="eastAsia" w:ascii="宋体" w:hAnsi="宋体" w:cs="宋体"/>
          <w:szCs w:val="21"/>
        </w:rPr>
        <w:sectPr>
          <w:pgSz w:w="16838" w:h="11906" w:orient="landscape"/>
          <w:pgMar w:top="1797" w:right="1474" w:bottom="1797" w:left="1247"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line="360" w:lineRule="auto"/>
        <w:jc w:val="left"/>
        <w:rPr>
          <w:rFonts w:hint="eastAsia" w:ascii="宋体" w:hAnsi="宋体" w:cs="宋体"/>
          <w:b/>
          <w:szCs w:val="21"/>
        </w:rPr>
      </w:pPr>
      <w:r>
        <w:rPr>
          <w:rFonts w:hint="eastAsia" w:ascii="宋体" w:hAnsi="宋体" w:cs="宋体"/>
          <w:b/>
          <w:szCs w:val="21"/>
          <w:lang w:val="en-US" w:eastAsia="zh-CN"/>
        </w:rPr>
        <w:t>9</w:t>
      </w:r>
      <w:r>
        <w:rPr>
          <w:rFonts w:hint="eastAsia" w:ascii="宋体" w:hAnsi="宋体" w:cs="宋体"/>
          <w:b/>
          <w:szCs w:val="21"/>
        </w:rPr>
        <w:t>、商务响应表格式</w:t>
      </w:r>
    </w:p>
    <w:tbl>
      <w:tblPr>
        <w:tblStyle w:val="27"/>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2712"/>
        <w:gridCol w:w="1265"/>
        <w:gridCol w:w="3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项目</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招标文件要求</w:t>
            </w: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是否响应</w:t>
            </w: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服务要求</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付款条件</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r>
              <w:rPr>
                <w:rFonts w:hint="eastAsia" w:ascii="宋体" w:hAnsi="宋体" w:cs="宋体"/>
                <w:szCs w:val="21"/>
              </w:rPr>
              <w:t>…</w:t>
            </w:r>
          </w:p>
        </w:tc>
        <w:tc>
          <w:tcPr>
            <w:tcW w:w="271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2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303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bl>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pStyle w:val="16"/>
        <w:snapToGrid w:val="0"/>
        <w:spacing w:before="24" w:beforeLines="10" w:after="24" w:afterLines="10"/>
        <w:ind w:left="842" w:hanging="422"/>
        <w:rPr>
          <w:rFonts w:hint="eastAsia" w:hAnsi="宋体" w:cs="宋体"/>
          <w:b/>
          <w:sz w:val="21"/>
          <w:szCs w:val="21"/>
        </w:rPr>
      </w:pPr>
    </w:p>
    <w:p>
      <w:pPr>
        <w:pStyle w:val="16"/>
        <w:snapToGrid w:val="0"/>
        <w:spacing w:before="24" w:beforeLines="10" w:after="24" w:afterLines="10"/>
        <w:ind w:left="842" w:hanging="422"/>
        <w:rPr>
          <w:rFonts w:hint="eastAsia" w:hAnsi="宋体" w:cs="宋体"/>
          <w:b/>
          <w:sz w:val="21"/>
          <w:szCs w:val="21"/>
        </w:rPr>
      </w:pPr>
    </w:p>
    <w:p>
      <w:pPr>
        <w:pStyle w:val="16"/>
        <w:snapToGrid w:val="0"/>
        <w:spacing w:before="24" w:beforeLines="10" w:after="24" w:afterLines="10"/>
        <w:ind w:left="842" w:hanging="422"/>
        <w:rPr>
          <w:rFonts w:hint="eastAsia" w:hAnsi="宋体" w:cs="宋体"/>
          <w:b/>
          <w:sz w:val="21"/>
          <w:szCs w:val="21"/>
        </w:rPr>
      </w:pPr>
    </w:p>
    <w:p>
      <w:pPr>
        <w:pStyle w:val="16"/>
        <w:snapToGrid w:val="0"/>
        <w:spacing w:before="24" w:beforeLines="10" w:after="24" w:afterLines="10"/>
        <w:ind w:left="842" w:hanging="422"/>
        <w:rPr>
          <w:rFonts w:hint="eastAsia" w:hAnsi="宋体" w:cs="宋体"/>
          <w:b/>
          <w:sz w:val="21"/>
          <w:szCs w:val="21"/>
        </w:rPr>
      </w:pPr>
      <w:r>
        <w:rPr>
          <w:rFonts w:hint="eastAsia" w:hAnsi="宋体" w:cs="宋体"/>
          <w:b/>
          <w:sz w:val="21"/>
          <w:szCs w:val="21"/>
        </w:rPr>
        <w:br w:type="page"/>
      </w:r>
      <w:r>
        <w:rPr>
          <w:rFonts w:hint="eastAsia" w:hAnsi="宋体" w:cs="宋体"/>
          <w:b/>
          <w:sz w:val="21"/>
          <w:szCs w:val="21"/>
          <w:lang w:val="en-US" w:eastAsia="zh-CN"/>
        </w:rPr>
        <w:t>10</w:t>
      </w:r>
      <w:r>
        <w:rPr>
          <w:rFonts w:hint="eastAsia" w:hAnsi="宋体" w:cs="宋体"/>
          <w:b/>
          <w:sz w:val="21"/>
          <w:szCs w:val="21"/>
        </w:rPr>
        <w:t>、中小企业声明函</w:t>
      </w:r>
    </w:p>
    <w:p>
      <w:pPr>
        <w:keepNext w:val="0"/>
        <w:keepLines w:val="0"/>
        <w:pageBreakBefore w:val="0"/>
        <w:widowControl w:val="0"/>
        <w:kinsoku/>
        <w:wordWrap w:val="0"/>
        <w:overflowPunct w:val="0"/>
        <w:topLinePunct w:val="0"/>
        <w:autoSpaceDE w:val="0"/>
        <w:autoSpaceDN w:val="0"/>
        <w:bidi w:val="0"/>
        <w:snapToGrid w:val="0"/>
        <w:spacing w:before="50" w:after="156" w:afterLines="50"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32"/>
          <w:szCs w:val="32"/>
          <w:highlight w:val="none"/>
        </w:rPr>
        <w:t>中小企业声明函</w:t>
      </w:r>
      <w:r>
        <w:rPr>
          <w:rFonts w:hint="eastAsia" w:ascii="宋体" w:hAnsi="宋体" w:eastAsia="宋体" w:cs="宋体"/>
          <w:b/>
          <w:bCs/>
          <w:color w:val="000000"/>
          <w:sz w:val="32"/>
          <w:szCs w:val="32"/>
          <w:highlight w:val="none"/>
          <w:lang w:eastAsia="zh-CN"/>
        </w:rPr>
        <w:t>（工程、服务）</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（单位名称）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（标的名称）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lang w:val="en-US" w:eastAsia="zh-CN"/>
        </w:rPr>
        <w:t xml:space="preserve"> 其他未列明行业 </w:t>
      </w:r>
      <w:r>
        <w:rPr>
          <w:rFonts w:hint="eastAsia" w:ascii="宋体" w:hAnsi="宋体" w:eastAsia="宋体" w:cs="宋体"/>
          <w:color w:val="000000"/>
          <w:sz w:val="24"/>
          <w:szCs w:val="24"/>
          <w:highlight w:val="none"/>
        </w:rPr>
        <w:t>； 承建（承接）企业为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（企业名称）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，从业人员</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人，营业收入为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万元，资产总额为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万元 ，属于</w:t>
      </w:r>
      <w:r>
        <w:rPr>
          <w:rFonts w:hint="eastAsia" w:ascii="宋体" w:hAnsi="宋体" w:eastAsia="宋体" w:cs="宋体"/>
          <w:color w:val="000000"/>
          <w:sz w:val="24"/>
          <w:szCs w:val="24"/>
          <w:highlight w:val="none"/>
          <w:u w:val="single"/>
        </w:rPr>
        <w:t>（中型企业、小型企业、微型企业）</w:t>
      </w:r>
      <w:r>
        <w:rPr>
          <w:rFonts w:hint="eastAsia" w:ascii="宋体" w:hAnsi="宋体" w:eastAsia="宋体" w:cs="宋体"/>
          <w:color w:val="000000"/>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p>
    <w:p>
      <w:pPr>
        <w:keepNext w:val="0"/>
        <w:keepLines w:val="0"/>
        <w:pageBreakBefore w:val="0"/>
        <w:widowControl w:val="0"/>
        <w:kinsoku/>
        <w:wordWrap w:val="0"/>
        <w:overflowPunct w:val="0"/>
        <w:topLinePunct w:val="0"/>
        <w:autoSpaceDE w:val="0"/>
        <w:autoSpaceDN w:val="0"/>
        <w:bidi w:val="0"/>
        <w:adjustRightInd/>
        <w:snapToGrid/>
        <w:spacing w:before="95" w:beforeLines="3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本企业对上述声明内容的真实性负责。如有虚假，将依法承担相应责任。</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企业名称（盖章）：</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日期：</w:t>
      </w:r>
    </w:p>
    <w:p>
      <w:pPr>
        <w:keepNext w:val="0"/>
        <w:keepLines w:val="0"/>
        <w:pageBreakBefore w:val="0"/>
        <w:widowControl w:val="0"/>
        <w:kinsoku/>
        <w:wordWrap w:val="0"/>
        <w:overflowPunct w:val="0"/>
        <w:topLinePunct w:val="0"/>
        <w:autoSpaceDE w:val="0"/>
        <w:autoSpaceDN w:val="0"/>
        <w:bidi w:val="0"/>
        <w:snapToGrid w:val="0"/>
        <w:spacing w:line="400" w:lineRule="exact"/>
        <w:ind w:firstLine="0"/>
        <w:rPr>
          <w:rFonts w:hint="eastAsia" w:ascii="宋体" w:hAnsi="宋体" w:eastAsia="宋体" w:cs="宋体"/>
          <w:b/>
          <w:bCs w:val="0"/>
          <w:color w:val="000000"/>
          <w:sz w:val="24"/>
          <w:highlight w:val="none"/>
        </w:rPr>
      </w:pPr>
    </w:p>
    <w:p>
      <w:pPr>
        <w:keepNext w:val="0"/>
        <w:keepLines w:val="0"/>
        <w:pageBreakBefore w:val="0"/>
        <w:widowControl w:val="0"/>
        <w:kinsoku/>
        <w:wordWrap w:val="0"/>
        <w:overflowPunct w:val="0"/>
        <w:topLinePunct w:val="0"/>
        <w:autoSpaceDE w:val="0"/>
        <w:autoSpaceDN w:val="0"/>
        <w:bidi w:val="0"/>
        <w:snapToGrid w:val="0"/>
        <w:spacing w:line="400" w:lineRule="exact"/>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snapToGrid w:val="0"/>
        <w:spacing w:line="400" w:lineRule="exact"/>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注：</w:t>
      </w:r>
    </w:p>
    <w:p>
      <w:pPr>
        <w:keepNext w:val="0"/>
        <w:keepLines w:val="0"/>
        <w:pageBreakBefore w:val="0"/>
        <w:widowControl w:val="0"/>
        <w:kinsoku/>
        <w:wordWrap w:val="0"/>
        <w:overflowPunct/>
        <w:topLinePunct/>
        <w:autoSpaceDE/>
        <w:autoSpaceDN/>
        <w:bidi w:val="0"/>
        <w:snapToGrid w:val="0"/>
        <w:spacing w:line="360" w:lineRule="auto"/>
        <w:ind w:firstLine="48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1、</w:t>
      </w:r>
      <w:r>
        <w:rPr>
          <w:rFonts w:hint="eastAsia" w:ascii="宋体" w:hAnsi="宋体" w:eastAsia="宋体" w:cs="宋体"/>
          <w:b/>
          <w:bCs w:val="0"/>
          <w:color w:val="000000"/>
          <w:sz w:val="24"/>
          <w:highlight w:val="none"/>
        </w:rPr>
        <w:t>从业人员、营业收入、资产总额填报上一年度数据，无上一年度数据的新成立企业可不填报。</w:t>
      </w:r>
    </w:p>
    <w:p>
      <w:pPr>
        <w:keepNext w:val="0"/>
        <w:keepLines w:val="0"/>
        <w:pageBreakBefore w:val="0"/>
        <w:widowControl w:val="0"/>
        <w:kinsoku/>
        <w:wordWrap w:val="0"/>
        <w:overflowPunct/>
        <w:topLinePunct/>
        <w:autoSpaceDE/>
        <w:autoSpaceDN/>
        <w:bidi w:val="0"/>
        <w:snapToGrid w:val="0"/>
        <w:spacing w:line="360" w:lineRule="auto"/>
        <w:ind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val="en-US" w:eastAsia="zh-CN"/>
        </w:rPr>
        <w:t>2、</w:t>
      </w:r>
      <w:r>
        <w:rPr>
          <w:rFonts w:hint="eastAsia" w:ascii="宋体" w:hAnsi="宋体" w:eastAsia="宋体" w:cs="宋体"/>
          <w:b/>
          <w:bCs w:val="0"/>
          <w:color w:val="000000"/>
          <w:sz w:val="24"/>
          <w:highlight w:val="none"/>
          <w:lang w:eastAsia="zh-CN"/>
        </w:rPr>
        <w:t>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keepNext w:val="0"/>
        <w:keepLines w:val="0"/>
        <w:pageBreakBefore w:val="0"/>
        <w:widowControl w:val="0"/>
        <w:kinsoku/>
        <w:wordWrap w:val="0"/>
        <w:overflowPunct/>
        <w:topLinePunct/>
        <w:autoSpaceDE/>
        <w:autoSpaceDN/>
        <w:bidi w:val="0"/>
        <w:adjustRightInd/>
        <w:snapToGrid/>
        <w:spacing w:before="0" w:after="0" w:line="400" w:lineRule="exact"/>
        <w:ind w:left="0" w:leftChars="0" w:right="0" w:rightChars="0" w:firstLine="482" w:firstLineChars="200"/>
        <w:jc w:val="both"/>
        <w:textAlignment w:val="auto"/>
        <w:outlineLvl w:val="9"/>
        <w:rPr>
          <w:rFonts w:hint="eastAsia"/>
          <w:b/>
          <w:bCs w:val="0"/>
          <w:color w:val="000000"/>
          <w:lang w:val="en-US" w:eastAsia="zh-CN"/>
        </w:rPr>
      </w:pPr>
      <w:bookmarkStart w:id="41" w:name="_Toc18026"/>
      <w:r>
        <w:rPr>
          <w:rFonts w:hint="eastAsia" w:ascii="宋体" w:hAnsi="宋体" w:eastAsia="宋体" w:cs="宋体"/>
          <w:b/>
          <w:bCs w:val="0"/>
          <w:color w:val="000000"/>
          <w:sz w:val="24"/>
          <w:highlight w:val="none"/>
          <w:lang w:val="en-US" w:eastAsia="zh-CN"/>
        </w:rPr>
        <w:t>3、</w:t>
      </w:r>
      <w:r>
        <w:rPr>
          <w:rFonts w:ascii="宋体" w:hAnsi="宋体" w:eastAsia="宋体" w:cs="宋体"/>
          <w:b/>
          <w:bCs w:val="0"/>
          <w:color w:val="000000"/>
          <w:sz w:val="24"/>
          <w:szCs w:val="24"/>
        </w:rPr>
        <w:t>中小企业划型标准</w:t>
      </w:r>
      <w:r>
        <w:rPr>
          <w:rFonts w:hint="eastAsia" w:ascii="宋体" w:hAnsi="宋体" w:eastAsia="宋体" w:cs="宋体"/>
          <w:b/>
          <w:bCs w:val="0"/>
          <w:color w:val="000000"/>
          <w:sz w:val="24"/>
          <w:szCs w:val="24"/>
          <w:lang w:eastAsia="zh-CN"/>
        </w:rPr>
        <w:t>请按照《</w:t>
      </w:r>
      <w:r>
        <w:rPr>
          <w:rFonts w:ascii="宋体" w:hAnsi="宋体" w:eastAsia="宋体" w:cs="宋体"/>
          <w:b/>
          <w:bCs w:val="0"/>
          <w:color w:val="000000"/>
          <w:sz w:val="24"/>
          <w:szCs w:val="24"/>
        </w:rPr>
        <w:t xml:space="preserve">工信部联企业〔2011〕300号 </w:t>
      </w:r>
      <w:r>
        <w:rPr>
          <w:rFonts w:hint="eastAsia" w:ascii="宋体" w:hAnsi="宋体" w:eastAsia="宋体" w:cs="宋体"/>
          <w:b/>
          <w:bCs w:val="0"/>
          <w:color w:val="000000"/>
          <w:sz w:val="24"/>
          <w:szCs w:val="24"/>
          <w:lang w:eastAsia="zh-CN"/>
        </w:rPr>
        <w:t>》之</w:t>
      </w:r>
      <w:r>
        <w:rPr>
          <w:rFonts w:ascii="宋体" w:hAnsi="宋体" w:eastAsia="宋体" w:cs="宋体"/>
          <w:b/>
          <w:bCs w:val="0"/>
          <w:color w:val="000000"/>
          <w:sz w:val="24"/>
          <w:szCs w:val="24"/>
        </w:rPr>
        <w:t>规定</w:t>
      </w:r>
      <w:bookmarkEnd w:id="41"/>
    </w:p>
    <w:tbl>
      <w:tblPr>
        <w:tblStyle w:val="27"/>
        <w:tblW w:w="8683"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78"/>
        <w:gridCol w:w="1445"/>
        <w:gridCol w:w="1035"/>
        <w:gridCol w:w="1725"/>
        <w:gridCol w:w="153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78"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行业名称</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指标名称</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计量单位</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中型</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小型</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Style w:val="30"/>
                <w:rFonts w:hint="eastAsia" w:ascii="宋体" w:hAnsi="宋体" w:eastAsia="宋体" w:cs="宋体"/>
                <w:b/>
                <w:i w:val="0"/>
                <w:caps w:val="0"/>
                <w:color w:val="000000"/>
                <w:spacing w:val="0"/>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农、林、牧、渔业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500≤Y&lt;20000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50≤Y&lt;500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工业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20≤X&lt;300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2000≤Y&lt;40000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300≤Y&lt;2000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建筑业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6000≤Y&lt;80000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300≤Y&lt;6000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资产总额(Z)</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5000≤Z&lt;80000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300≤Z&lt;5000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批发业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20≤X&lt;200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5≤X&lt;20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5000≤Y&lt;40000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1000≤Y&lt;5000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零售业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50≤X&lt;300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10≤X&lt;50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500≤Y&lt;20000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100≤Y&lt;500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交通运输业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20≤X&lt;300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3000≤Y&lt;30000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200≤Y&lt;3000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仓储业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100≤X&lt;200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1000≤Y&lt;30000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100≤Y&lt;1000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邮政业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20≤X&lt;300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2000≤Y&lt;30000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100≤Y&lt;2000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住宿业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2000≤Y&lt;10000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100≤Y&lt;2000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餐饮业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2000≤Y&lt;10000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100≤Y&lt;2000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信息传输业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100≤X&lt;2000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1000≤Y&lt;100000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100≤Y&lt;1000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软件和信息技术服务业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1000≤Y&lt;10000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50≤Y&lt;1000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房地产开发经营</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1000≤Y&lt;200000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100≤Y&lt;1000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资产总额(Z)</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5000≤Z&lt;10000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2000≤Z&lt;5000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物业管理</w:t>
            </w:r>
          </w:p>
        </w:tc>
        <w:tc>
          <w:tcPr>
            <w:tcW w:w="1445"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300≤X&lt;1000</w:t>
            </w:r>
          </w:p>
        </w:tc>
        <w:tc>
          <w:tcPr>
            <w:tcW w:w="1537"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963"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auto"/>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营业收入(Y)</w:t>
            </w:r>
          </w:p>
        </w:tc>
        <w:tc>
          <w:tcPr>
            <w:tcW w:w="1035"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1000≤Y&lt;5000</w:t>
            </w:r>
          </w:p>
        </w:tc>
        <w:tc>
          <w:tcPr>
            <w:tcW w:w="1537"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500≤Y&lt;1000</w:t>
            </w:r>
          </w:p>
        </w:tc>
        <w:tc>
          <w:tcPr>
            <w:tcW w:w="963" w:type="dxa"/>
            <w:shd w:val="clear" w:color="auto" w:fill="auto"/>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restart"/>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租赁和商务服务业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000000"/>
                <w:spacing w:val="0"/>
                <w:sz w:val="21"/>
                <w:szCs w:val="21"/>
              </w:rPr>
            </w:pP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资产总额(Z)</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万元</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8000≤Z&lt;120000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100≤Z&lt;8000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8"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其他未列明行业</w:t>
            </w:r>
          </w:p>
        </w:tc>
        <w:tc>
          <w:tcPr>
            <w:tcW w:w="144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从业人员(X)</w:t>
            </w:r>
          </w:p>
        </w:tc>
        <w:tc>
          <w:tcPr>
            <w:tcW w:w="103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人</w:t>
            </w:r>
          </w:p>
        </w:tc>
        <w:tc>
          <w:tcPr>
            <w:tcW w:w="1725"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100≤X&lt;300</w:t>
            </w:r>
          </w:p>
        </w:tc>
        <w:tc>
          <w:tcPr>
            <w:tcW w:w="1537"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10≤X&lt;100</w:t>
            </w:r>
          </w:p>
        </w:tc>
        <w:tc>
          <w:tcPr>
            <w:tcW w:w="963" w:type="dxa"/>
            <w:shd w:val="clear" w:color="auto" w:fill="FFFFFF"/>
            <w:noWrap w:val="0"/>
            <w:tcMar>
              <w:top w:w="30" w:type="dxa"/>
              <w:left w:w="90" w:type="dxa"/>
              <w:bottom w:w="30" w:type="dxa"/>
              <w:right w:w="90" w:type="dxa"/>
            </w:tcMar>
            <w:vAlign w:val="center"/>
          </w:tcPr>
          <w:p>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000000"/>
                <w:sz w:val="21"/>
                <w:szCs w:val="21"/>
              </w:rPr>
            </w:pPr>
            <w:r>
              <w:rPr>
                <w:rFonts w:hint="eastAsia" w:ascii="宋体" w:hAnsi="宋体" w:eastAsia="宋体" w:cs="宋体"/>
                <w:i w:val="0"/>
                <w:caps w:val="0"/>
                <w:color w:val="000000"/>
                <w:spacing w:val="0"/>
                <w:sz w:val="21"/>
                <w:szCs w:val="21"/>
              </w:rPr>
              <w:t>X&lt;10</w:t>
            </w:r>
          </w:p>
        </w:tc>
      </w:tr>
    </w:tbl>
    <w:p>
      <w:pPr>
        <w:keepNext w:val="0"/>
        <w:keepLines w:val="0"/>
        <w:pageBreakBefore w:val="0"/>
        <w:widowControl w:val="0"/>
        <w:kinsoku/>
        <w:wordWrap w:val="0"/>
        <w:overflowPunct w:val="0"/>
        <w:topLinePunct w:val="0"/>
        <w:autoSpaceDE w:val="0"/>
        <w:autoSpaceDN w:val="0"/>
        <w:bidi w:val="0"/>
        <w:snapToGrid w:val="0"/>
        <w:spacing w:line="400" w:lineRule="exact"/>
        <w:ind w:firstLine="480"/>
        <w:rPr>
          <w:rFonts w:hint="eastAsia" w:ascii="宋体" w:hAnsi="宋体" w:eastAsia="宋体" w:cs="宋体"/>
          <w:b/>
          <w:bCs w:val="0"/>
          <w:color w:val="000000"/>
          <w:sz w:val="24"/>
          <w:highlight w:val="none"/>
          <w:lang w:eastAsia="zh-CN"/>
        </w:rPr>
      </w:pPr>
    </w:p>
    <w:p>
      <w:pPr>
        <w:pageBreakBefore w:val="0"/>
        <w:widowControl w:val="0"/>
        <w:wordWrap w:val="0"/>
        <w:topLinePunct w:val="0"/>
        <w:bidi w:val="0"/>
        <w:snapToGrid w:val="0"/>
        <w:spacing w:before="50" w:after="120" w:afterLines="50"/>
        <w:ind w:firstLine="241" w:firstLineChars="100"/>
        <w:rPr>
          <w:rFonts w:hint="eastAsia" w:ascii="宋体" w:hAnsi="宋体" w:eastAsia="宋体" w:cs="宋体"/>
          <w:b/>
          <w:color w:val="000000"/>
          <w:sz w:val="24"/>
          <w:highlight w:val="none"/>
          <w:lang w:val="en-US" w:eastAsia="zh-CN"/>
        </w:rPr>
      </w:pPr>
    </w:p>
    <w:p>
      <w:pPr>
        <w:widowControl/>
        <w:spacing w:line="360" w:lineRule="auto"/>
        <w:jc w:val="left"/>
        <w:rPr>
          <w:rFonts w:hint="eastAsia" w:ascii="宋体" w:hAnsi="宋体" w:eastAsia="宋体" w:cs="宋体"/>
          <w:b/>
          <w:color w:val="000000"/>
          <w:szCs w:val="21"/>
          <w:lang w:eastAsia="zh-CN"/>
        </w:rPr>
      </w:pPr>
      <w:r>
        <w:rPr>
          <w:rFonts w:hint="eastAsia" w:ascii="宋体" w:hAnsi="宋体" w:cs="宋体"/>
          <w:b/>
          <w:color w:val="000000"/>
          <w:szCs w:val="21"/>
        </w:rPr>
        <w:br w:type="page"/>
      </w:r>
      <w:r>
        <w:rPr>
          <w:rFonts w:hint="eastAsia" w:ascii="宋体" w:hAnsi="宋体" w:cs="宋体"/>
          <w:b/>
          <w:color w:val="000000"/>
          <w:szCs w:val="21"/>
        </w:rPr>
        <w:t>残疾人福利性单位声明函</w:t>
      </w:r>
      <w:r>
        <w:rPr>
          <w:rFonts w:hint="eastAsia" w:ascii="宋体" w:hAnsi="宋体" w:cs="宋体"/>
          <w:b/>
          <w:color w:val="000000"/>
          <w:szCs w:val="21"/>
          <w:lang w:eastAsia="zh-CN"/>
        </w:rPr>
        <w:t>和监狱企业证明</w:t>
      </w:r>
    </w:p>
    <w:p>
      <w:pPr>
        <w:widowControl/>
        <w:spacing w:line="360" w:lineRule="auto"/>
        <w:jc w:val="left"/>
        <w:rPr>
          <w:rFonts w:hint="eastAsia" w:ascii="宋体" w:hAnsi="宋体" w:cs="宋体"/>
          <w:color w:val="000000"/>
          <w:szCs w:val="21"/>
        </w:rPr>
      </w:pPr>
    </w:p>
    <w:p>
      <w:pPr>
        <w:widowControl/>
        <w:spacing w:line="360" w:lineRule="auto"/>
        <w:jc w:val="center"/>
        <w:rPr>
          <w:rFonts w:hint="eastAsia" w:ascii="宋体" w:hAnsi="宋体" w:cs="宋体"/>
          <w:b/>
          <w:color w:val="000000"/>
          <w:szCs w:val="21"/>
        </w:rPr>
      </w:pPr>
      <w:r>
        <w:rPr>
          <w:rFonts w:hint="eastAsia" w:ascii="宋体" w:hAnsi="宋体" w:cs="宋体"/>
          <w:b/>
          <w:color w:val="000000"/>
          <w:szCs w:val="21"/>
        </w:rPr>
        <w:t>残疾人福利性单位声明函</w:t>
      </w:r>
    </w:p>
    <w:p>
      <w:pPr>
        <w:widowControl/>
        <w:spacing w:line="360" w:lineRule="auto"/>
        <w:jc w:val="left"/>
        <w:rPr>
          <w:rFonts w:hint="eastAsia" w:ascii="宋体" w:hAnsi="宋体" w:cs="宋体"/>
          <w:color w:val="000000"/>
          <w:szCs w:val="21"/>
        </w:rPr>
      </w:pPr>
    </w:p>
    <w:p>
      <w:pPr>
        <w:widowControl/>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hint="eastAsia" w:ascii="宋体" w:hAnsi="宋体" w:cs="宋体"/>
          <w:color w:val="000000"/>
          <w:szCs w:val="21"/>
        </w:rPr>
      </w:pPr>
    </w:p>
    <w:p>
      <w:pPr>
        <w:widowControl/>
        <w:spacing w:line="360" w:lineRule="auto"/>
        <w:jc w:val="left"/>
        <w:rPr>
          <w:rFonts w:hint="eastAsia" w:ascii="宋体" w:hAnsi="宋体" w:cs="宋体"/>
          <w:color w:val="000000"/>
          <w:szCs w:val="21"/>
        </w:rPr>
      </w:pPr>
      <w:r>
        <w:rPr>
          <w:rFonts w:hint="eastAsia" w:ascii="宋体" w:hAnsi="宋体" w:cs="宋体"/>
          <w:color w:val="000000"/>
          <w:szCs w:val="21"/>
        </w:rPr>
        <w:t xml:space="preserve">  本单位对上述声明的真实性负责。如有虚假，将依法承担相应责任。</w:t>
      </w:r>
    </w:p>
    <w:p>
      <w:pPr>
        <w:widowControl/>
        <w:spacing w:line="360" w:lineRule="auto"/>
        <w:jc w:val="left"/>
        <w:rPr>
          <w:rFonts w:hint="eastAsia" w:ascii="宋体" w:hAnsi="宋体" w:cs="宋体"/>
          <w:color w:val="000000"/>
          <w:szCs w:val="21"/>
        </w:rPr>
      </w:pPr>
    </w:p>
    <w:p>
      <w:pPr>
        <w:widowControl/>
        <w:spacing w:line="360" w:lineRule="auto"/>
        <w:jc w:val="center"/>
        <w:rPr>
          <w:rFonts w:hint="eastAsia" w:ascii="宋体" w:hAnsi="宋体" w:cs="宋体"/>
          <w:color w:val="000000"/>
          <w:szCs w:val="21"/>
        </w:rPr>
      </w:pPr>
      <w:r>
        <w:rPr>
          <w:rFonts w:hint="eastAsia" w:ascii="宋体" w:hAnsi="宋体" w:cs="宋体"/>
          <w:color w:val="000000"/>
          <w:szCs w:val="21"/>
        </w:rPr>
        <w:t xml:space="preserve">          投标人（盖章）：</w:t>
      </w:r>
    </w:p>
    <w:p>
      <w:pPr>
        <w:widowControl/>
        <w:spacing w:line="360" w:lineRule="auto"/>
        <w:jc w:val="center"/>
        <w:rPr>
          <w:rFonts w:hint="eastAsia" w:ascii="宋体" w:hAnsi="宋体" w:cs="宋体"/>
          <w:color w:val="000000"/>
          <w:szCs w:val="21"/>
        </w:rPr>
      </w:pPr>
      <w:r>
        <w:rPr>
          <w:rFonts w:hint="eastAsia" w:ascii="宋体" w:hAnsi="宋体" w:cs="宋体"/>
          <w:color w:val="000000"/>
          <w:szCs w:val="21"/>
        </w:rPr>
        <w:t xml:space="preserve">                  日 期：</w:t>
      </w:r>
    </w:p>
    <w:p>
      <w:pPr>
        <w:pStyle w:val="12"/>
        <w:rPr>
          <w:rFonts w:hint="eastAsia" w:ascii="宋体" w:hAnsi="宋体" w:cs="宋体"/>
          <w:color w:val="000000"/>
          <w:szCs w:val="21"/>
        </w:rPr>
      </w:pPr>
    </w:p>
    <w:p>
      <w:pPr>
        <w:rPr>
          <w:rFonts w:hint="eastAsia" w:ascii="宋体" w:hAnsi="宋体" w:cs="宋体"/>
          <w:color w:val="000000"/>
          <w:szCs w:val="21"/>
        </w:rPr>
      </w:pPr>
    </w:p>
    <w:p>
      <w:pPr>
        <w:spacing w:line="360" w:lineRule="auto"/>
        <w:jc w:val="center"/>
        <w:outlineLvl w:val="9"/>
        <w:rPr>
          <w:rFonts w:hAnsi="宋体"/>
          <w:b/>
          <w:bCs/>
          <w:color w:val="000000"/>
          <w:sz w:val="21"/>
          <w:szCs w:val="21"/>
          <w:highlight w:val="none"/>
        </w:rPr>
      </w:pPr>
      <w:bookmarkStart w:id="42" w:name="_Toc27275"/>
      <w:r>
        <w:rPr>
          <w:rFonts w:hint="eastAsia" w:hAnsi="宋体"/>
          <w:b/>
          <w:bCs/>
          <w:color w:val="000000"/>
          <w:sz w:val="21"/>
          <w:szCs w:val="21"/>
          <w:highlight w:val="none"/>
        </w:rPr>
        <w:t>监狱企业证明</w:t>
      </w:r>
      <w:bookmarkEnd w:id="42"/>
    </w:p>
    <w:p>
      <w:pPr>
        <w:spacing w:line="360" w:lineRule="auto"/>
        <w:jc w:val="center"/>
        <w:rPr>
          <w:color w:val="000000"/>
          <w:sz w:val="21"/>
          <w:szCs w:val="21"/>
          <w:highlight w:val="none"/>
        </w:rPr>
      </w:pPr>
      <w:r>
        <w:rPr>
          <w:rFonts w:hint="eastAsia"/>
          <w:color w:val="000000"/>
          <w:sz w:val="21"/>
          <w:szCs w:val="21"/>
          <w:highlight w:val="none"/>
        </w:rPr>
        <w:t>（注：符合条件的监狱企业请提供本函，不符合的不提供本函）</w:t>
      </w:r>
    </w:p>
    <w:p>
      <w:pPr>
        <w:pStyle w:val="16"/>
        <w:snapToGrid w:val="0"/>
        <w:spacing w:before="120" w:beforeLines="50" w:line="360" w:lineRule="auto"/>
        <w:rPr>
          <w:rFonts w:hAnsi="宋体" w:cs="宋体"/>
          <w:color w:val="000000"/>
          <w:sz w:val="21"/>
          <w:szCs w:val="21"/>
          <w:highlight w:val="none"/>
        </w:rPr>
      </w:pPr>
    </w:p>
    <w:p>
      <w:pPr>
        <w:pStyle w:val="16"/>
        <w:snapToGrid w:val="0"/>
        <w:spacing w:before="120" w:beforeLines="50" w:line="360" w:lineRule="auto"/>
        <w:rPr>
          <w:rFonts w:hAnsi="宋体" w:cs="宋体"/>
          <w:color w:val="000000"/>
          <w:sz w:val="21"/>
          <w:szCs w:val="21"/>
          <w:highlight w:val="none"/>
        </w:rPr>
      </w:pPr>
      <w:r>
        <w:rPr>
          <w:rFonts w:hint="eastAsia" w:hAnsi="宋体" w:cs="宋体"/>
          <w:color w:val="000000"/>
          <w:sz w:val="21"/>
          <w:szCs w:val="21"/>
          <w:highlight w:val="none"/>
        </w:rPr>
        <w:t>省级以上监狱管理局、戒毒管理局（含新疆生产建设兵团）出具的属于监狱企业的证明文件。</w:t>
      </w:r>
    </w:p>
    <w:p>
      <w:pPr>
        <w:spacing w:line="400" w:lineRule="exact"/>
        <w:ind w:firstLine="630" w:firstLineChars="300"/>
        <w:rPr>
          <w:rFonts w:hint="eastAsia"/>
          <w:color w:val="000000"/>
          <w:sz w:val="21"/>
          <w:szCs w:val="21"/>
          <w:highlight w:val="none"/>
        </w:rPr>
      </w:pPr>
    </w:p>
    <w:p>
      <w:pPr>
        <w:widowControl w:val="0"/>
        <w:wordWrap w:val="0"/>
        <w:snapToGrid w:val="0"/>
        <w:spacing w:line="360" w:lineRule="auto"/>
        <w:ind w:firstLine="840" w:firstLineChars="400"/>
        <w:rPr>
          <w:rFonts w:hint="eastAsia" w:eastAsia="宋体"/>
          <w:color w:val="000000"/>
          <w:highlight w:val="none"/>
          <w:lang w:eastAsia="zh-CN"/>
        </w:rPr>
      </w:pPr>
      <w:r>
        <w:rPr>
          <w:rFonts w:hint="eastAsia"/>
          <w:color w:val="000000"/>
          <w:sz w:val="21"/>
          <w:szCs w:val="21"/>
          <w:highlight w:val="none"/>
        </w:rPr>
        <w:t>本单位对上述声明的真实性负责。如有虚假，将依法承担相应责任。</w:t>
      </w:r>
    </w:p>
    <w:p>
      <w:pPr>
        <w:pStyle w:val="72"/>
        <w:rPr>
          <w:rFonts w:hint="eastAsia"/>
          <w:color w:val="000000"/>
          <w:highlight w:val="none"/>
          <w:lang w:eastAsia="zh-CN"/>
        </w:rPr>
      </w:pPr>
    </w:p>
    <w:p>
      <w:pPr>
        <w:widowControl w:val="0"/>
        <w:wordWrap w:val="0"/>
        <w:snapToGrid w:val="0"/>
        <w:spacing w:line="360" w:lineRule="auto"/>
        <w:rPr>
          <w:rFonts w:hint="eastAsia"/>
          <w:color w:val="000000"/>
          <w:highlight w:val="none"/>
        </w:rPr>
      </w:pPr>
      <w:r>
        <w:rPr>
          <w:rFonts w:hint="eastAsia"/>
          <w:color w:val="000000"/>
          <w:highlight w:val="none"/>
        </w:rPr>
        <w:t xml:space="preserve">                                            </w:t>
      </w:r>
    </w:p>
    <w:p>
      <w:pPr>
        <w:widowControl w:val="0"/>
        <w:wordWrap w:val="0"/>
        <w:snapToGrid w:val="0"/>
        <w:spacing w:line="360" w:lineRule="auto"/>
        <w:rPr>
          <w:rFonts w:hint="eastAsia" w:eastAsia="宋体"/>
          <w:color w:val="000000"/>
          <w:highlight w:val="none"/>
          <w:lang w:eastAsia="zh-CN"/>
        </w:rPr>
      </w:pPr>
      <w:r>
        <w:rPr>
          <w:rFonts w:hint="eastAsia"/>
          <w:color w:val="000000"/>
          <w:highlight w:val="none"/>
        </w:rPr>
        <w:t xml:space="preserve">                                              单位名称（盖章）：</w:t>
      </w:r>
    </w:p>
    <w:p>
      <w:pPr>
        <w:spacing w:line="400" w:lineRule="exact"/>
        <w:ind w:firstLine="630" w:firstLineChars="300"/>
        <w:rPr>
          <w:rFonts w:hint="eastAsia"/>
          <w:color w:val="000000"/>
          <w:highlight w:val="none"/>
        </w:rPr>
      </w:pPr>
      <w:r>
        <w:rPr>
          <w:rFonts w:hint="eastAsia"/>
          <w:color w:val="000000"/>
          <w:highlight w:val="none"/>
        </w:rPr>
        <w:t xml:space="preserve">                                              日 期：  年  月  日</w:t>
      </w:r>
    </w:p>
    <w:p>
      <w:pPr>
        <w:spacing w:line="400" w:lineRule="exact"/>
        <w:ind w:firstLine="630" w:firstLineChars="300"/>
        <w:rPr>
          <w:rFonts w:hint="eastAsia"/>
          <w:color w:val="000000"/>
          <w:highlight w:val="none"/>
        </w:rPr>
      </w:pPr>
    </w:p>
    <w:p>
      <w:pPr>
        <w:pStyle w:val="12"/>
        <w:rPr>
          <w:rFonts w:hint="eastAsia"/>
          <w:color w:val="000000"/>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pPr>
        <w:snapToGrid w:val="0"/>
        <w:spacing w:line="360" w:lineRule="auto"/>
        <w:jc w:val="left"/>
        <w:rPr>
          <w:rFonts w:hint="eastAsia" w:ascii="宋体" w:hAnsi="宋体" w:cs="宋体"/>
          <w:b/>
          <w:szCs w:val="21"/>
        </w:rPr>
      </w:pPr>
      <w:r>
        <w:rPr>
          <w:rFonts w:hint="eastAsia" w:ascii="宋体" w:hAnsi="宋体" w:cs="宋体"/>
          <w:b/>
          <w:szCs w:val="21"/>
          <w:lang w:val="en-US" w:eastAsia="zh-CN"/>
        </w:rPr>
        <w:t>11</w:t>
      </w:r>
      <w:r>
        <w:rPr>
          <w:rFonts w:hint="eastAsia" w:ascii="宋体" w:hAnsi="宋体" w:cs="宋体"/>
          <w:b/>
          <w:szCs w:val="21"/>
        </w:rPr>
        <w:t>、项目实施人员一览表格式：</w:t>
      </w:r>
    </w:p>
    <w:p>
      <w:pPr>
        <w:snapToGrid w:val="0"/>
        <w:spacing w:line="360" w:lineRule="auto"/>
        <w:jc w:val="center"/>
        <w:rPr>
          <w:rFonts w:hint="eastAsia" w:ascii="宋体" w:hAnsi="宋体" w:cs="宋体"/>
          <w:b/>
          <w:szCs w:val="21"/>
        </w:rPr>
      </w:pPr>
      <w:r>
        <w:rPr>
          <w:rFonts w:hint="eastAsia" w:ascii="宋体" w:hAnsi="宋体" w:cs="宋体"/>
          <w:b/>
          <w:szCs w:val="21"/>
        </w:rPr>
        <w:t>项目实施人员（主要从业人员及其技术资格）一览表</w:t>
      </w:r>
    </w:p>
    <w:p>
      <w:pPr>
        <w:snapToGrid w:val="0"/>
        <w:spacing w:line="360" w:lineRule="auto"/>
        <w:rPr>
          <w:rFonts w:hint="eastAsia" w:ascii="宋体" w:hAnsi="宋体" w:cs="宋体"/>
          <w:szCs w:val="21"/>
        </w:rPr>
      </w:pPr>
      <w:r>
        <w:rPr>
          <w:rFonts w:hint="eastAsia" w:ascii="宋体" w:hAnsi="宋体" w:cs="宋体"/>
          <w:szCs w:val="21"/>
        </w:rPr>
        <w:t>标项：</w:t>
      </w:r>
      <w:r>
        <w:rPr>
          <w:rFonts w:hint="eastAsia" w:ascii="宋体" w:hAnsi="宋体" w:cs="宋体"/>
          <w:szCs w:val="21"/>
          <w:u w:val="single"/>
        </w:rPr>
        <w:t xml:space="preserve">              </w:t>
      </w:r>
    </w:p>
    <w:tbl>
      <w:tblPr>
        <w:tblStyle w:val="27"/>
        <w:tblW w:w="93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hint="eastAsia" w:ascii="宋体" w:hAnsi="宋体" w:cs="宋体"/>
                <w:szCs w:val="21"/>
              </w:rPr>
            </w:pPr>
            <w:r>
              <w:rPr>
                <w:rFonts w:hint="eastAsia" w:ascii="宋体" w:hAnsi="宋体" w:cs="宋体"/>
                <w:szCs w:val="21"/>
              </w:rPr>
              <w:t>姓名</w:t>
            </w:r>
          </w:p>
        </w:tc>
        <w:tc>
          <w:tcPr>
            <w:tcW w:w="1098"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hint="eastAsia" w:ascii="宋体" w:hAnsi="宋体" w:cs="宋体"/>
                <w:szCs w:val="21"/>
              </w:rPr>
            </w:pPr>
            <w:r>
              <w:rPr>
                <w:rFonts w:hint="eastAsia" w:ascii="宋体" w:hAnsi="宋体" w:cs="宋体"/>
                <w:szCs w:val="21"/>
              </w:rPr>
              <w:t>职务</w:t>
            </w:r>
          </w:p>
        </w:tc>
        <w:tc>
          <w:tcPr>
            <w:tcW w:w="1819"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hint="eastAsia" w:ascii="宋体" w:hAnsi="宋体" w:cs="宋体"/>
                <w:szCs w:val="21"/>
              </w:rPr>
            </w:pPr>
            <w:r>
              <w:rPr>
                <w:rFonts w:hint="eastAsia" w:ascii="宋体" w:hAnsi="宋体" w:cs="宋体"/>
                <w:szCs w:val="21"/>
              </w:rPr>
              <w:t>专业技术资格</w:t>
            </w:r>
          </w:p>
        </w:tc>
        <w:tc>
          <w:tcPr>
            <w:tcW w:w="1378"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hint="eastAsia" w:ascii="宋体" w:hAnsi="宋体" w:cs="宋体"/>
                <w:szCs w:val="21"/>
              </w:rPr>
            </w:pPr>
            <w:r>
              <w:rPr>
                <w:rFonts w:hint="eastAsia" w:ascii="宋体" w:hAnsi="宋体" w:cs="宋体"/>
                <w:szCs w:val="21"/>
              </w:rPr>
              <w:t>证书编号</w:t>
            </w:r>
          </w:p>
        </w:tc>
        <w:tc>
          <w:tcPr>
            <w:tcW w:w="1772"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hint="eastAsia" w:ascii="宋体" w:hAnsi="宋体" w:cs="宋体"/>
                <w:bCs/>
                <w:szCs w:val="21"/>
              </w:rPr>
            </w:pPr>
            <w:r>
              <w:rPr>
                <w:rFonts w:hint="eastAsia" w:ascii="宋体" w:hAnsi="宋体" w:cs="宋体"/>
                <w:bCs/>
                <w:szCs w:val="21"/>
              </w:rPr>
              <w:t>参加本单位工作时间</w:t>
            </w:r>
          </w:p>
        </w:tc>
        <w:tc>
          <w:tcPr>
            <w:tcW w:w="2166" w:type="dxa"/>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rPr>
                <w:rFonts w:hint="eastAsia" w:ascii="宋体" w:hAnsi="宋体" w:cs="宋体"/>
                <w:bCs/>
                <w:szCs w:val="21"/>
              </w:rPr>
            </w:pPr>
            <w:r>
              <w:rPr>
                <w:rFonts w:hint="eastAsia" w:ascii="宋体" w:hAnsi="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line="360" w:lineRule="auto"/>
              <w:ind w:left="5250"/>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81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zCs w:val="21"/>
              </w:rPr>
            </w:pPr>
          </w:p>
        </w:tc>
      </w:tr>
    </w:tbl>
    <w:p>
      <w:pPr>
        <w:snapToGrid w:val="0"/>
        <w:spacing w:line="360" w:lineRule="auto"/>
        <w:jc w:val="left"/>
        <w:rPr>
          <w:rFonts w:hint="eastAsia" w:ascii="宋体" w:hAnsi="宋体" w:cs="宋体"/>
          <w:szCs w:val="21"/>
        </w:rPr>
      </w:pPr>
      <w:r>
        <w:rPr>
          <w:rFonts w:hint="eastAsia" w:ascii="宋体" w:hAnsi="宋体" w:cs="宋体"/>
          <w:szCs w:val="21"/>
        </w:rPr>
        <w:t>注：在填写时，如本表格不适合投标单位的实际情况，可根据本表格式自行划表填写。</w:t>
      </w:r>
    </w:p>
    <w:p>
      <w:pPr>
        <w:snapToGrid w:val="0"/>
        <w:spacing w:line="360" w:lineRule="auto"/>
        <w:rPr>
          <w:rFonts w:hint="eastAsia" w:ascii="宋体" w:hAnsi="宋体" w:cs="宋体"/>
          <w:spacing w:val="20"/>
          <w:szCs w:val="21"/>
          <w:u w:val="single"/>
        </w:rPr>
      </w:pPr>
      <w:r>
        <w:rPr>
          <w:rFonts w:hint="eastAsia" w:ascii="宋体" w:hAnsi="宋体" w:cs="宋体"/>
          <w:spacing w:val="20"/>
          <w:szCs w:val="21"/>
        </w:rPr>
        <w:t>授权代表签名：</w:t>
      </w:r>
      <w:r>
        <w:rPr>
          <w:rFonts w:hint="eastAsia" w:ascii="宋体" w:hAnsi="宋体" w:cs="宋体"/>
          <w:spacing w:val="20"/>
          <w:szCs w:val="21"/>
          <w:u w:val="single"/>
        </w:rPr>
        <w:t xml:space="preserve">            </w:t>
      </w:r>
    </w:p>
    <w:p>
      <w:pPr>
        <w:snapToGrid w:val="0"/>
        <w:spacing w:line="360" w:lineRule="auto"/>
        <w:jc w:val="left"/>
        <w:rPr>
          <w:rFonts w:hint="eastAsia" w:ascii="宋体" w:hAnsi="宋体" w:cs="宋体"/>
          <w:spacing w:val="20"/>
          <w:szCs w:val="21"/>
          <w:u w:val="single"/>
        </w:rPr>
      </w:pPr>
      <w:r>
        <w:rPr>
          <w:rFonts w:hint="eastAsia" w:ascii="宋体" w:hAnsi="宋体" w:cs="宋体"/>
          <w:spacing w:val="20"/>
          <w:szCs w:val="21"/>
        </w:rPr>
        <w:t>投标人盖章：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pPr>
        <w:pStyle w:val="91"/>
        <w:spacing w:after="120" w:line="360" w:lineRule="auto"/>
        <w:ind w:firstLine="480"/>
        <w:rPr>
          <w:rFonts w:hint="eastAsia" w:hAnsi="宋体" w:eastAsia="宋体" w:cs="宋体"/>
          <w:b/>
          <w:sz w:val="21"/>
          <w:szCs w:val="21"/>
        </w:rPr>
      </w:pPr>
    </w:p>
    <w:p>
      <w:pPr>
        <w:pStyle w:val="91"/>
        <w:spacing w:after="120" w:line="360" w:lineRule="auto"/>
        <w:ind w:firstLine="480"/>
        <w:rPr>
          <w:rFonts w:hint="eastAsia" w:hAnsi="宋体" w:eastAsia="宋体" w:cs="宋体"/>
          <w:b/>
          <w:sz w:val="21"/>
          <w:szCs w:val="21"/>
        </w:rPr>
      </w:pPr>
    </w:p>
    <w:p>
      <w:pPr>
        <w:pStyle w:val="91"/>
        <w:spacing w:after="120" w:line="360" w:lineRule="auto"/>
        <w:ind w:firstLine="480"/>
        <w:rPr>
          <w:rFonts w:hint="eastAsia" w:hAnsi="宋体" w:eastAsia="宋体" w:cs="宋体"/>
          <w:b/>
          <w:sz w:val="21"/>
          <w:szCs w:val="21"/>
        </w:rPr>
      </w:pPr>
    </w:p>
    <w:p>
      <w:pPr>
        <w:pStyle w:val="91"/>
        <w:spacing w:after="120" w:line="360" w:lineRule="auto"/>
        <w:ind w:firstLine="480"/>
        <w:rPr>
          <w:rFonts w:hint="eastAsia" w:hAnsi="宋体" w:eastAsia="宋体" w:cs="宋体"/>
          <w:b/>
          <w:sz w:val="21"/>
          <w:szCs w:val="21"/>
        </w:rPr>
      </w:pPr>
    </w:p>
    <w:p>
      <w:pPr>
        <w:pStyle w:val="91"/>
        <w:spacing w:after="120" w:line="360" w:lineRule="auto"/>
        <w:ind w:firstLine="480"/>
        <w:rPr>
          <w:rFonts w:hint="eastAsia" w:hAnsi="宋体" w:eastAsia="宋体" w:cs="宋体"/>
          <w:b/>
          <w:sz w:val="21"/>
          <w:szCs w:val="21"/>
        </w:rPr>
      </w:pPr>
    </w:p>
    <w:p>
      <w:pPr>
        <w:pStyle w:val="91"/>
        <w:spacing w:after="120" w:line="360" w:lineRule="auto"/>
        <w:ind w:firstLine="480"/>
        <w:rPr>
          <w:rFonts w:hint="eastAsia" w:hAnsi="宋体" w:eastAsia="宋体" w:cs="宋体"/>
          <w:b/>
          <w:sz w:val="21"/>
          <w:szCs w:val="21"/>
        </w:rPr>
      </w:pPr>
    </w:p>
    <w:p>
      <w:pPr>
        <w:snapToGrid w:val="0"/>
        <w:spacing w:line="360" w:lineRule="auto"/>
        <w:jc w:val="left"/>
        <w:rPr>
          <w:rFonts w:hint="eastAsia" w:ascii="宋体" w:hAnsi="宋体" w:cs="宋体"/>
          <w:szCs w:val="21"/>
        </w:rPr>
      </w:pPr>
    </w:p>
    <w:p>
      <w:pPr>
        <w:snapToGrid w:val="0"/>
        <w:spacing w:line="360" w:lineRule="auto"/>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12、</w:t>
      </w:r>
      <w:r>
        <w:rPr>
          <w:rFonts w:hint="eastAsia" w:ascii="宋体" w:hAnsi="宋体" w:cs="宋体"/>
          <w:b/>
          <w:szCs w:val="21"/>
        </w:rPr>
        <w:t>投标函格式：</w:t>
      </w:r>
    </w:p>
    <w:p>
      <w:pPr>
        <w:snapToGrid w:val="0"/>
        <w:spacing w:line="360" w:lineRule="auto"/>
        <w:jc w:val="center"/>
        <w:rPr>
          <w:rFonts w:hint="eastAsia" w:ascii="宋体" w:hAnsi="宋体" w:cs="宋体"/>
          <w:b/>
          <w:szCs w:val="21"/>
        </w:rPr>
      </w:pPr>
      <w:r>
        <w:rPr>
          <w:rFonts w:hint="eastAsia" w:ascii="宋体" w:hAnsi="宋体" w:cs="宋体"/>
          <w:b/>
          <w:szCs w:val="21"/>
        </w:rPr>
        <w:t>投 标 函</w:t>
      </w: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（招标采购单位名称）：</w:t>
      </w:r>
    </w:p>
    <w:p>
      <w:pPr>
        <w:snapToGrid w:val="0"/>
        <w:spacing w:line="360" w:lineRule="auto"/>
        <w:ind w:firstLine="480"/>
        <w:rPr>
          <w:rFonts w:hint="eastAsia"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项目的招标公告/投标邀请书</w:t>
      </w:r>
    </w:p>
    <w:p>
      <w:pPr>
        <w:snapToGrid w:val="0"/>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（投标人名称）提交资信商务及技术文件、报价文件正本各一份、副本</w:t>
      </w:r>
      <w:r>
        <w:rPr>
          <w:rFonts w:hint="eastAsia" w:ascii="宋体" w:hAnsi="宋体" w:cs="宋体"/>
          <w:szCs w:val="21"/>
          <w:u w:val="single"/>
        </w:rPr>
        <w:t xml:space="preserve">      </w:t>
      </w:r>
      <w:r>
        <w:rPr>
          <w:rFonts w:hint="eastAsia" w:ascii="宋体" w:hAnsi="宋体" w:cs="宋体"/>
          <w:szCs w:val="21"/>
        </w:rPr>
        <w:t>份。</w:t>
      </w:r>
    </w:p>
    <w:p>
      <w:pPr>
        <w:snapToGrid w:val="0"/>
        <w:spacing w:line="360" w:lineRule="auto"/>
        <w:ind w:firstLine="420" w:firstLineChars="200"/>
        <w:rPr>
          <w:rFonts w:hint="eastAsia" w:ascii="宋体" w:hAnsi="宋体" w:cs="宋体"/>
          <w:szCs w:val="21"/>
        </w:rPr>
      </w:pPr>
      <w:r>
        <w:rPr>
          <w:rFonts w:hint="eastAsia" w:ascii="宋体" w:hAnsi="宋体" w:cs="宋体"/>
          <w:szCs w:val="21"/>
        </w:rPr>
        <w:t>据此函，签字代表宣布同意如下：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3.本投标有效期自开标日起 </w:t>
      </w:r>
      <w:r>
        <w:rPr>
          <w:rFonts w:hint="eastAsia" w:ascii="宋体" w:hAnsi="宋体" w:cs="宋体"/>
          <w:szCs w:val="21"/>
          <w:u w:val="single"/>
        </w:rPr>
        <w:t xml:space="preserve">      </w:t>
      </w:r>
      <w:r>
        <w:rPr>
          <w:rFonts w:hint="eastAsia" w:ascii="宋体" w:hAnsi="宋体" w:cs="宋体"/>
          <w:szCs w:val="21"/>
        </w:rPr>
        <w:t>个日。</w:t>
      </w:r>
    </w:p>
    <w:p>
      <w:pPr>
        <w:snapToGrid w:val="0"/>
        <w:spacing w:line="360" w:lineRule="auto"/>
        <w:ind w:firstLine="420" w:firstLineChars="200"/>
        <w:rPr>
          <w:rFonts w:hint="eastAsia"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hint="eastAsia" w:ascii="宋体" w:hAnsi="宋体" w:cs="宋体"/>
          <w:szCs w:val="21"/>
        </w:rPr>
      </w:pPr>
      <w:r>
        <w:rPr>
          <w:rFonts w:hint="eastAsia" w:ascii="宋体" w:hAnsi="宋体" w:cs="宋体"/>
          <w:szCs w:val="21"/>
        </w:rPr>
        <w:t>5.投标人同意按照贵方要求提供与投标有关的一切数据或资料。</w:t>
      </w:r>
    </w:p>
    <w:p>
      <w:pPr>
        <w:snapToGrid w:val="0"/>
        <w:spacing w:line="360" w:lineRule="auto"/>
        <w:ind w:firstLine="420" w:firstLineChars="200"/>
        <w:rPr>
          <w:rFonts w:hint="eastAsia" w:ascii="宋体" w:hAnsi="宋体" w:cs="宋体"/>
          <w:szCs w:val="21"/>
        </w:rPr>
      </w:pPr>
      <w:r>
        <w:rPr>
          <w:rFonts w:hint="eastAsia" w:ascii="宋体" w:hAnsi="宋体" w:cs="宋体"/>
          <w:szCs w:val="21"/>
        </w:rPr>
        <w:t>6.与本投标有关的一切正式往来信函请寄：</w:t>
      </w:r>
    </w:p>
    <w:p>
      <w:pPr>
        <w:snapToGrid w:val="0"/>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电话：______________</w:t>
      </w:r>
    </w:p>
    <w:p>
      <w:pPr>
        <w:snapToGrid w:val="0"/>
        <w:spacing w:line="360" w:lineRule="auto"/>
        <w:rPr>
          <w:rFonts w:hint="eastAsia" w:ascii="宋体" w:hAnsi="宋体" w:cs="宋体"/>
          <w:szCs w:val="21"/>
        </w:rPr>
      </w:pPr>
      <w:r>
        <w:rPr>
          <w:rFonts w:hint="eastAsia" w:ascii="宋体" w:hAnsi="宋体" w:cs="宋体"/>
          <w:szCs w:val="21"/>
        </w:rPr>
        <w:t xml:space="preserve">传真：______________投标人代表姓名 ___________  职务：_________  </w:t>
      </w:r>
    </w:p>
    <w:p>
      <w:pPr>
        <w:snapToGrid w:val="0"/>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投标人名称(公章):___________________</w:t>
      </w:r>
    </w:p>
    <w:p>
      <w:pPr>
        <w:snapToGrid w:val="0"/>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auto"/>
        <w:jc w:val="center"/>
        <w:rPr>
          <w:rFonts w:hint="eastAsia" w:ascii="宋体" w:hAnsi="宋体" w:cs="宋体"/>
          <w:szCs w:val="21"/>
        </w:rPr>
      </w:pPr>
    </w:p>
    <w:p>
      <w:pPr>
        <w:snapToGrid w:val="0"/>
        <w:spacing w:line="360" w:lineRule="auto"/>
        <w:jc w:val="center"/>
        <w:rPr>
          <w:rFonts w:hint="eastAsia" w:ascii="宋体" w:hAnsi="宋体" w:cs="宋体"/>
          <w:szCs w:val="21"/>
        </w:rPr>
      </w:pPr>
    </w:p>
    <w:p>
      <w:pPr>
        <w:snapToGrid w:val="0"/>
        <w:spacing w:line="360" w:lineRule="auto"/>
        <w:jc w:val="center"/>
        <w:rPr>
          <w:rFonts w:hint="eastAsia" w:ascii="宋体" w:hAnsi="宋体" w:cs="宋体"/>
          <w:szCs w:val="21"/>
        </w:rPr>
      </w:pPr>
      <w:r>
        <w:rPr>
          <w:rFonts w:hint="eastAsia" w:ascii="宋体" w:hAnsi="宋体" w:cs="宋体"/>
          <w:szCs w:val="21"/>
        </w:rPr>
        <w:t>授权代表签字:___________                      日期:_____年___月___日</w:t>
      </w: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jc w:val="left"/>
        <w:rPr>
          <w:rFonts w:hint="eastAsia" w:ascii="宋体" w:hAnsi="宋体" w:cs="宋体"/>
          <w:szCs w:val="21"/>
        </w:rPr>
      </w:pPr>
    </w:p>
    <w:p>
      <w:pPr>
        <w:snapToGrid w:val="0"/>
        <w:spacing w:line="360" w:lineRule="auto"/>
        <w:ind w:left="420" w:leftChars="200"/>
        <w:rPr>
          <w:rFonts w:hint="eastAsia" w:ascii="宋体" w:hAnsi="宋体" w:cs="宋体"/>
          <w:b/>
          <w:szCs w:val="21"/>
        </w:rPr>
      </w:pPr>
      <w:r>
        <w:rPr>
          <w:rFonts w:hint="eastAsia" w:ascii="宋体" w:hAnsi="宋体" w:cs="宋体"/>
          <w:b/>
          <w:szCs w:val="21"/>
        </w:rPr>
        <w:br w:type="page"/>
      </w:r>
      <w:r>
        <w:rPr>
          <w:rFonts w:hint="eastAsia" w:ascii="宋体" w:hAnsi="宋体" w:cs="宋体"/>
          <w:b/>
          <w:szCs w:val="21"/>
          <w:lang w:val="en-US" w:eastAsia="zh-CN"/>
        </w:rPr>
        <w:t>13</w:t>
      </w:r>
      <w:r>
        <w:rPr>
          <w:rFonts w:hint="eastAsia" w:ascii="宋体" w:hAnsi="宋体" w:cs="宋体"/>
          <w:b/>
          <w:szCs w:val="21"/>
        </w:rPr>
        <w:t>、开标一览表</w:t>
      </w:r>
    </w:p>
    <w:p>
      <w:pPr>
        <w:adjustRightInd w:val="0"/>
        <w:spacing w:line="360" w:lineRule="auto"/>
        <w:ind w:firstLine="1260" w:firstLineChars="600"/>
        <w:jc w:val="right"/>
        <w:rPr>
          <w:rFonts w:hint="eastAsia" w:ascii="宋体" w:hAnsi="宋体" w:cs="宋体"/>
          <w:bCs/>
          <w:szCs w:val="21"/>
        </w:rPr>
      </w:pPr>
      <w:r>
        <w:rPr>
          <w:rFonts w:hint="eastAsia" w:ascii="宋体" w:hAnsi="宋体" w:cs="宋体"/>
          <w:szCs w:val="21"/>
        </w:rPr>
        <w:t xml:space="preserve">     报价单位：</w:t>
      </w:r>
      <w:r>
        <w:rPr>
          <w:rFonts w:hint="eastAsia" w:ascii="宋体" w:hAnsi="宋体" w:cs="宋体"/>
          <w:bCs/>
          <w:szCs w:val="21"/>
        </w:rPr>
        <w:t>元人民币</w:t>
      </w:r>
    </w:p>
    <w:tbl>
      <w:tblPr>
        <w:tblStyle w:val="27"/>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09"/>
        <w:gridCol w:w="1035"/>
        <w:gridCol w:w="899"/>
        <w:gridCol w:w="986"/>
        <w:gridCol w:w="2134"/>
        <w:gridCol w:w="175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24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bCs/>
                <w:szCs w:val="21"/>
              </w:rPr>
            </w:pPr>
            <w:bookmarkStart w:id="43" w:name="OLE_LINK9"/>
            <w:r>
              <w:rPr>
                <w:rFonts w:hint="eastAsia" w:ascii="宋体" w:hAnsi="宋体" w:cs="宋体"/>
                <w:bCs/>
                <w:szCs w:val="21"/>
              </w:rPr>
              <w:t>序号</w:t>
            </w:r>
          </w:p>
        </w:tc>
        <w:tc>
          <w:tcPr>
            <w:tcW w:w="3344" w:type="dxa"/>
            <w:gridSpan w:val="2"/>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bCs/>
                <w:szCs w:val="21"/>
              </w:rPr>
            </w:pPr>
            <w:r>
              <w:rPr>
                <w:rFonts w:hint="eastAsia" w:ascii="宋体" w:hAnsi="宋体" w:cs="宋体"/>
                <w:bCs/>
                <w:szCs w:val="21"/>
              </w:rPr>
              <w:t>项目</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bCs/>
                <w:szCs w:val="21"/>
              </w:rPr>
            </w:pPr>
            <w:r>
              <w:rPr>
                <w:rFonts w:hint="eastAsia" w:ascii="宋体" w:hAnsi="宋体" w:cs="宋体"/>
                <w:bCs/>
                <w:szCs w:val="21"/>
              </w:rPr>
              <w:t>单位</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bCs/>
                <w:szCs w:val="21"/>
              </w:rPr>
            </w:pPr>
            <w:r>
              <w:rPr>
                <w:rFonts w:hint="eastAsia" w:ascii="宋体" w:hAnsi="宋体" w:cs="宋体"/>
                <w:bCs/>
                <w:szCs w:val="21"/>
              </w:rPr>
              <w:t>数量</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eastAsia="宋体" w:cs="宋体"/>
                <w:bCs/>
                <w:szCs w:val="21"/>
                <w:lang w:eastAsia="zh-CN"/>
              </w:rPr>
            </w:pPr>
            <w:r>
              <w:rPr>
                <w:rFonts w:hint="eastAsia" w:ascii="宋体" w:hAnsi="宋体" w:cs="宋体"/>
                <w:bCs/>
                <w:szCs w:val="21"/>
                <w:lang w:eastAsia="zh-CN"/>
              </w:rPr>
              <w:t>单价（元</w:t>
            </w:r>
            <w:r>
              <w:rPr>
                <w:rFonts w:hint="eastAsia" w:ascii="宋体" w:hAnsi="宋体" w:cs="宋体"/>
                <w:bCs/>
                <w:szCs w:val="21"/>
                <w:lang w:val="en-US" w:eastAsia="zh-CN"/>
              </w:rPr>
              <w:t>/年</w:t>
            </w:r>
            <w:r>
              <w:rPr>
                <w:rFonts w:hint="eastAsia" w:ascii="宋体" w:hAnsi="宋体" w:cs="宋体"/>
                <w:bCs/>
                <w:szCs w:val="21"/>
                <w:lang w:eastAsia="zh-CN"/>
              </w:rPr>
              <w:t>）</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eastAsia="宋体" w:cs="宋体"/>
                <w:szCs w:val="21"/>
                <w:lang w:eastAsia="zh-CN"/>
              </w:rPr>
            </w:pPr>
            <w:r>
              <w:rPr>
                <w:rFonts w:hint="eastAsia" w:ascii="宋体" w:hAnsi="宋体" w:cs="宋体"/>
                <w:szCs w:val="21"/>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598"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szCs w:val="21"/>
              </w:rPr>
            </w:pPr>
            <w:r>
              <w:rPr>
                <w:rFonts w:hint="eastAsia" w:ascii="宋体" w:hAnsi="宋体" w:cs="宋体"/>
                <w:szCs w:val="21"/>
              </w:rPr>
              <w:t>1</w:t>
            </w:r>
          </w:p>
        </w:tc>
        <w:tc>
          <w:tcPr>
            <w:tcW w:w="2309" w:type="dxa"/>
            <w:vMerge w:val="restart"/>
            <w:tcBorders>
              <w:top w:val="single" w:color="auto" w:sz="4" w:space="0"/>
              <w:left w:val="single" w:color="auto" w:sz="4" w:space="0"/>
              <w:right w:val="single" w:color="auto" w:sz="4" w:space="0"/>
            </w:tcBorders>
            <w:noWrap w:val="0"/>
            <w:vAlign w:val="center"/>
          </w:tcPr>
          <w:p>
            <w:pPr>
              <w:spacing w:before="50" w:line="360" w:lineRule="auto"/>
              <w:jc w:val="left"/>
              <w:rPr>
                <w:rFonts w:hint="eastAsia" w:ascii="宋体" w:hAnsi="宋体" w:eastAsia="宋体" w:cs="宋体"/>
                <w:b/>
                <w:bCs/>
                <w:szCs w:val="21"/>
                <w:lang w:eastAsia="zh-CN"/>
              </w:rPr>
            </w:pPr>
            <w:r>
              <w:rPr>
                <w:rFonts w:hint="eastAsia" w:ascii="宋体" w:hAnsi="宋体" w:cs="宋体"/>
                <w:bCs/>
                <w:lang w:eastAsia="zh-CN"/>
              </w:rPr>
              <w:t>2024年西塘桥街道公共环境病媒生物防治服务</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bCs/>
                <w:lang w:eastAsia="zh-CN"/>
              </w:rPr>
            </w:pPr>
            <w:r>
              <w:rPr>
                <w:rFonts w:hint="eastAsia" w:ascii="宋体" w:hAnsi="宋体" w:cs="宋体"/>
                <w:bCs/>
                <w:lang w:eastAsia="zh-CN"/>
              </w:rPr>
              <w:t>消杀</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eastAsia="宋体" w:cs="宋体"/>
                <w:b w:val="0"/>
                <w:bCs w:val="0"/>
                <w:szCs w:val="21"/>
                <w:lang w:eastAsia="zh-CN"/>
              </w:rPr>
            </w:pPr>
            <w:r>
              <w:rPr>
                <w:rFonts w:hint="eastAsia" w:ascii="宋体" w:hAnsi="宋体" w:cs="宋体"/>
                <w:b w:val="0"/>
                <w:bCs w:val="0"/>
                <w:szCs w:val="21"/>
                <w:lang w:eastAsia="zh-CN"/>
              </w:rPr>
              <w:t>项</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eastAsia="宋体" w:cs="宋体"/>
                <w:b w:val="0"/>
                <w:bCs w:val="0"/>
                <w:szCs w:val="21"/>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2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309" w:type="dxa"/>
            <w:vMerge w:val="continue"/>
            <w:tcBorders>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bCs/>
                <w:lang w:eastAsia="zh-CN"/>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bCs/>
                <w:lang w:eastAsia="zh-CN"/>
              </w:rPr>
            </w:pPr>
            <w:r>
              <w:rPr>
                <w:rFonts w:hint="eastAsia" w:ascii="宋体" w:hAnsi="宋体" w:cs="宋体"/>
                <w:bCs/>
                <w:lang w:eastAsia="zh-CN"/>
              </w:rPr>
              <w:t>设备</w:t>
            </w:r>
          </w:p>
        </w:tc>
        <w:tc>
          <w:tcPr>
            <w:tcW w:w="899"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b w:val="0"/>
                <w:bCs w:val="0"/>
                <w:szCs w:val="21"/>
                <w:lang w:eastAsia="zh-CN"/>
              </w:rPr>
            </w:pPr>
            <w:r>
              <w:rPr>
                <w:rFonts w:hint="eastAsia" w:ascii="宋体" w:hAnsi="宋体" w:cs="宋体"/>
                <w:b w:val="0"/>
                <w:bCs w:val="0"/>
                <w:szCs w:val="21"/>
                <w:lang w:eastAsia="zh-CN"/>
              </w:rPr>
              <w:t>项</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eastAsia="宋体" w:cs="宋体"/>
                <w:b w:val="0"/>
                <w:bCs w:val="0"/>
                <w:szCs w:val="21"/>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center"/>
              <w:rPr>
                <w:rFonts w:hint="eastAsia" w:ascii="宋体" w:hAnsi="宋体" w:cs="宋体"/>
                <w:bCs/>
                <w:szCs w:val="21"/>
              </w:rPr>
            </w:pPr>
            <w:r>
              <w:rPr>
                <w:rFonts w:hint="eastAsia" w:ascii="宋体" w:hAnsi="宋体" w:cs="宋体"/>
                <w:bCs/>
                <w:szCs w:val="21"/>
              </w:rPr>
              <w:t>总计</w:t>
            </w:r>
          </w:p>
        </w:tc>
        <w:tc>
          <w:tcPr>
            <w:tcW w:w="9119" w:type="dxa"/>
            <w:gridSpan w:val="7"/>
            <w:tcBorders>
              <w:top w:val="single" w:color="auto" w:sz="4" w:space="0"/>
              <w:left w:val="single" w:color="auto" w:sz="4" w:space="0"/>
              <w:bottom w:val="single" w:color="auto" w:sz="4" w:space="0"/>
              <w:right w:val="single" w:color="auto" w:sz="4" w:space="0"/>
            </w:tcBorders>
            <w:noWrap w:val="0"/>
            <w:vAlign w:val="center"/>
          </w:tcPr>
          <w:p>
            <w:pPr>
              <w:spacing w:before="50" w:line="360" w:lineRule="auto"/>
              <w:jc w:val="left"/>
              <w:rPr>
                <w:rFonts w:hint="eastAsia" w:ascii="宋体" w:hAnsi="宋体" w:cs="宋体"/>
                <w:szCs w:val="21"/>
              </w:rPr>
            </w:pPr>
            <w:r>
              <w:rPr>
                <w:rFonts w:hint="eastAsia" w:ascii="宋体" w:hAnsi="宋体" w:cs="宋体"/>
                <w:szCs w:val="21"/>
              </w:rPr>
              <w:t>大写：人民币                                         小写：</w:t>
            </w:r>
          </w:p>
        </w:tc>
      </w:tr>
      <w:bookmarkEnd w:id="43"/>
    </w:tbl>
    <w:p>
      <w:pPr>
        <w:snapToGrid w:val="0"/>
        <w:spacing w:line="360" w:lineRule="auto"/>
        <w:ind w:left="420" w:leftChars="200"/>
        <w:jc w:val="left"/>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cs="宋体"/>
          <w:szCs w:val="21"/>
        </w:rPr>
      </w:pPr>
      <w:r>
        <w:rPr>
          <w:rFonts w:hint="eastAsia" w:ascii="宋体" w:hAnsi="宋体" w:cs="宋体"/>
          <w:szCs w:val="21"/>
        </w:rPr>
        <w:t>2、▲报价应包括人工工资、机械设备、水费、电费、保险、税金、利润、项目报告的各项费用及成果鉴定验收会议发生的费用等为完成本项目所需的一切费用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817" w:rightChars="-389" w:firstLine="420" w:firstLineChars="200"/>
        <w:textAlignment w:val="auto"/>
        <w:rPr>
          <w:rFonts w:hint="eastAsia" w:ascii="宋体" w:hAnsi="宋体" w:cs="宋体"/>
          <w:szCs w:val="21"/>
        </w:rPr>
      </w:pPr>
      <w:r>
        <w:rPr>
          <w:rFonts w:hint="eastAsia" w:ascii="宋体" w:hAnsi="宋体" w:cs="宋体"/>
          <w:szCs w:val="21"/>
        </w:rPr>
        <w:t>3、▲以上报价不得超过上限价，任何超过上限价的报价均导致投标被否决。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817" w:rightChars="-389" w:firstLine="420" w:firstLineChars="200"/>
        <w:textAlignment w:val="auto"/>
        <w:rPr>
          <w:rFonts w:hint="eastAsia" w:eastAsia="宋体"/>
          <w:lang w:val="en-US" w:eastAsia="zh-CN"/>
        </w:rPr>
      </w:pPr>
      <w:r>
        <w:rPr>
          <w:rFonts w:hint="eastAsia" w:ascii="宋体" w:hAnsi="宋体" w:cs="宋体"/>
          <w:szCs w:val="21"/>
          <w:lang w:val="en-US" w:eastAsia="zh-CN"/>
        </w:rPr>
        <w:t>4、最终报价与开标一览表不一致时，单价按照同比例修正。</w:t>
      </w:r>
    </w:p>
    <w:p>
      <w:pPr>
        <w:snapToGrid w:val="0"/>
        <w:spacing w:line="360" w:lineRule="auto"/>
        <w:ind w:left="420" w:leftChars="200" w:right="-817" w:rightChars="-389"/>
        <w:jc w:val="left"/>
        <w:rPr>
          <w:rFonts w:hint="eastAsia" w:ascii="宋体" w:hAnsi="宋体" w:cs="宋体"/>
          <w:szCs w:val="21"/>
        </w:rPr>
      </w:pPr>
    </w:p>
    <w:p>
      <w:pPr>
        <w:snapToGrid w:val="0"/>
        <w:spacing w:line="360" w:lineRule="auto"/>
        <w:ind w:left="420" w:leftChars="200" w:right="-817" w:rightChars="-389"/>
        <w:jc w:val="left"/>
        <w:rPr>
          <w:rFonts w:hint="eastAsia" w:ascii="宋体" w:hAnsi="宋体" w:cs="宋体"/>
          <w:szCs w:val="21"/>
        </w:rPr>
      </w:pPr>
      <w:r>
        <w:rPr>
          <w:rFonts w:hint="eastAsia" w:ascii="宋体" w:hAnsi="宋体" w:cs="宋体"/>
          <w:szCs w:val="21"/>
        </w:rPr>
        <w:t xml:space="preserve">法定代表人或授权代表（签字或盖章）： </w:t>
      </w:r>
    </w:p>
    <w:p>
      <w:pPr>
        <w:snapToGrid w:val="0"/>
        <w:spacing w:line="360" w:lineRule="auto"/>
        <w:ind w:left="420" w:leftChars="200" w:right="-817" w:rightChars="-389"/>
        <w:jc w:val="left"/>
        <w:rPr>
          <w:rFonts w:hint="eastAsia" w:ascii="宋体" w:hAnsi="宋体" w:cs="宋体"/>
          <w:szCs w:val="21"/>
        </w:rPr>
      </w:pPr>
      <w:r>
        <w:rPr>
          <w:rFonts w:hint="eastAsia" w:ascii="宋体" w:hAnsi="宋体" w:cs="宋体"/>
          <w:szCs w:val="21"/>
        </w:rPr>
        <w:t xml:space="preserve">投标人名称（盖章）：                                          </w:t>
      </w:r>
    </w:p>
    <w:p>
      <w:pPr>
        <w:snapToGrid w:val="0"/>
        <w:spacing w:line="360" w:lineRule="auto"/>
        <w:ind w:left="420" w:leftChars="200"/>
        <w:jc w:val="center"/>
        <w:rPr>
          <w:rFonts w:hint="eastAsia" w:ascii="宋体" w:hAnsi="宋体" w:cs="宋体"/>
          <w:szCs w:val="21"/>
        </w:rPr>
      </w:pPr>
    </w:p>
    <w:p>
      <w:pPr>
        <w:snapToGrid w:val="0"/>
        <w:spacing w:line="360" w:lineRule="auto"/>
        <w:ind w:left="420" w:leftChars="200"/>
        <w:jc w:val="right"/>
        <w:rPr>
          <w:rFonts w:hint="eastAsia" w:ascii="宋体" w:hAnsi="宋体" w:cs="宋体"/>
          <w:szCs w:val="21"/>
        </w:rPr>
      </w:pPr>
      <w:r>
        <w:rPr>
          <w:rFonts w:hint="eastAsia" w:ascii="宋体" w:hAnsi="宋体" w:cs="宋体"/>
          <w:szCs w:val="21"/>
        </w:rPr>
        <w:t xml:space="preserve">  日期：    年   月   日</w:t>
      </w:r>
    </w:p>
    <w:p>
      <w:pPr>
        <w:outlineLvl w:val="9"/>
        <w:rPr>
          <w:rFonts w:hint="eastAsia" w:ascii="宋体" w:hAnsi="宋体" w:eastAsia="宋体" w:cs="宋体"/>
        </w:rPr>
      </w:pPr>
      <w:bookmarkStart w:id="44" w:name="_Toc28809"/>
      <w:bookmarkStart w:id="45" w:name="_Toc3477"/>
      <w:bookmarkStart w:id="46" w:name="_Toc11635"/>
      <w:bookmarkStart w:id="47" w:name="_Toc21723"/>
      <w:bookmarkStart w:id="48" w:name="_Toc12714"/>
      <w:bookmarkStart w:id="49" w:name="_Toc1764"/>
      <w:r>
        <w:rPr>
          <w:rFonts w:hint="eastAsia" w:ascii="宋体" w:hAnsi="宋体" w:eastAsia="宋体" w:cs="宋体"/>
          <w:kern w:val="0"/>
          <w:sz w:val="30"/>
          <w:szCs w:val="30"/>
        </w:rPr>
        <w:t>投标单位根据评标办法无格式的自拟，投标文件后附：评标办法索引表（格式自拟）</w:t>
      </w:r>
      <w:bookmarkEnd w:id="44"/>
      <w:bookmarkEnd w:id="45"/>
      <w:bookmarkEnd w:id="46"/>
      <w:bookmarkEnd w:id="47"/>
      <w:bookmarkEnd w:id="48"/>
      <w:bookmarkEnd w:id="49"/>
    </w:p>
    <w:p>
      <w:pPr>
        <w:snapToGrid w:val="0"/>
        <w:spacing w:line="360" w:lineRule="auto"/>
        <w:ind w:left="420" w:leftChars="200"/>
        <w:jc w:val="center"/>
        <w:rPr>
          <w:rFonts w:hint="eastAsia" w:ascii="宋体" w:hAnsi="宋体" w:cs="宋体"/>
          <w:szCs w:val="21"/>
        </w:rPr>
      </w:pPr>
    </w:p>
    <w:p>
      <w:pPr>
        <w:snapToGrid w:val="0"/>
        <w:spacing w:line="360" w:lineRule="auto"/>
        <w:ind w:left="420" w:leftChars="200"/>
        <w:jc w:val="center"/>
        <w:rPr>
          <w:rFonts w:hint="eastAsia" w:ascii="宋体" w:hAnsi="宋体" w:cs="宋体"/>
          <w:szCs w:val="21"/>
        </w:rPr>
      </w:pPr>
    </w:p>
    <w:p>
      <w:pPr>
        <w:snapToGrid w:val="0"/>
        <w:spacing w:line="360" w:lineRule="auto"/>
        <w:ind w:left="420" w:leftChars="200"/>
        <w:jc w:val="center"/>
        <w:rPr>
          <w:rFonts w:hint="eastAsia" w:ascii="宋体" w:hAnsi="宋体" w:cs="宋体"/>
          <w:b/>
          <w:szCs w:val="21"/>
        </w:rPr>
      </w:pPr>
    </w:p>
    <w:p/>
    <w:p>
      <w:pPr>
        <w:ind w:firstLine="4410" w:firstLineChars="2100"/>
        <w:jc w:val="both"/>
        <w:rPr>
          <w:sz w:val="21"/>
          <w:szCs w:val="21"/>
        </w:rPr>
      </w:pPr>
    </w:p>
    <w:sectPr>
      <w:headerReference r:id="rId16" w:type="first"/>
      <w:footerReference r:id="rId19" w:type="first"/>
      <w:footerReference r:id="rId17" w:type="default"/>
      <w:footerReference r:id="rId18"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moder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 w:name="Helvetica">
    <w:altName w:val="Arial"/>
    <w:panose1 w:val="020B0604020202020204"/>
    <w:charset w:val="00"/>
    <w:family w:val="modern"/>
    <w:pitch w:val="default"/>
    <w:sig w:usb0="00000000" w:usb1="00000000" w:usb2="00000009" w:usb3="00000000" w:csb0="000001FF" w:csb1="00000000"/>
  </w:font>
  <w:font w:name="仿宋_GB2312">
    <w:altName w:val="仿宋"/>
    <w:panose1 w:val="02010609030101010101"/>
    <w:charset w:val="86"/>
    <w:family w:val="roma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rPr>
                              <w:rStyle w:val="31"/>
                            </w:rPr>
                          </w:pPr>
                          <w:r>
                            <w:fldChar w:fldCharType="begin"/>
                          </w:r>
                          <w:r>
                            <w:rPr>
                              <w:rStyle w:val="31"/>
                            </w:rPr>
                            <w:instrText xml:space="preserve">PAGE  </w:instrText>
                          </w:r>
                          <w:r>
                            <w:fldChar w:fldCharType="separate"/>
                          </w:r>
                          <w:r>
                            <w:rPr>
                              <w:rStyle w:val="31"/>
                            </w:rP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19"/>
                      <w:rPr>
                        <w:rStyle w:val="31"/>
                      </w:rPr>
                    </w:pPr>
                    <w:r>
                      <w:fldChar w:fldCharType="begin"/>
                    </w:r>
                    <w:r>
                      <w:rPr>
                        <w:rStyle w:val="31"/>
                      </w:rPr>
                      <w:instrText xml:space="preserve">PAGE  </w:instrText>
                    </w:r>
                    <w:r>
                      <w:fldChar w:fldCharType="separate"/>
                    </w:r>
                    <w:r>
                      <w:rPr>
                        <w:rStyle w:val="31"/>
                      </w:rP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separate"/>
    </w:r>
    <w:r>
      <w:fldChar w:fldCharType="end"/>
    </w:r>
  </w:p>
  <w:p>
    <w:pPr>
      <w:pStyle w:val="19"/>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25</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442409"/>
    </w:sdtPr>
    <w:sdtContent>
      <w:p>
        <w:pPr>
          <w:pStyle w:val="19"/>
          <w:jc w:val="center"/>
        </w:pPr>
        <w:r>
          <w:fldChar w:fldCharType="begin"/>
        </w:r>
        <w:r>
          <w:instrText xml:space="preserve"> PAGE   \* MERGEFORMAT </w:instrText>
        </w:r>
        <w:r>
          <w:fldChar w:fldCharType="separate"/>
        </w:r>
        <w:r>
          <w:rPr>
            <w:lang w:val="zh-CN"/>
          </w:rPr>
          <w:t>62</w:t>
        </w:r>
        <w:r>
          <w:rPr>
            <w:lang w:val="zh-CN"/>
          </w:rPr>
          <w:fldChar w:fldCharType="end"/>
        </w:r>
      </w:p>
    </w:sdtContent>
  </w:sdt>
  <w:p>
    <w:pPr>
      <w:pStyle w:val="19"/>
      <w:ind w:right="720" w:firstLine="210" w:firstLineChars="100"/>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1"/>
      </w:rPr>
    </w:pPr>
    <w:r>
      <w:fldChar w:fldCharType="begin"/>
    </w:r>
    <w:r>
      <w:rPr>
        <w:rStyle w:val="31"/>
      </w:rPr>
      <w:instrText xml:space="preserve">PAGE  </w:instrText>
    </w:r>
    <w:r>
      <w:fldChar w:fldCharType="end"/>
    </w:r>
  </w:p>
  <w:p>
    <w:pPr>
      <w:pStyle w:val="1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4399"/>
        <w:tab w:val="clear" w:pos="4153"/>
      </w:tabs>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9"/>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NvyGmswBAACZAwAADgAAAAAAAAABACAAAAAfAQAAZHJzL2Uy&#10;b0RvYy54bWxQSwUGAAAAAAYABgBZAQAAXQUAAAAA&#10;">
              <v:fill on="f" focussize="0,0"/>
              <v:stroke on="f"/>
              <v:imagedata o:title=""/>
              <o:lock v:ext="edit" aspectratio="f"/>
              <v:textbox inset="0mm,0mm,0mm,0mm" style="mso-fit-shape-to-text:t;">
                <w:txbxContent>
                  <w:p>
                    <w:pPr>
                      <w:pStyle w:val="19"/>
                    </w:pP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31"/>
                            </w:rPr>
                          </w:pPr>
                          <w:r>
                            <w:fldChar w:fldCharType="begin"/>
                          </w:r>
                          <w:r>
                            <w:rPr>
                              <w:rStyle w:val="31"/>
                            </w:rPr>
                            <w:instrText xml:space="preserve">PAGE  </w:instrText>
                          </w:r>
                          <w:r>
                            <w:fldChar w:fldCharType="separate"/>
                          </w:r>
                          <w:r>
                            <w:rPr>
                              <w:rStyle w:val="31"/>
                            </w:rP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rPr>
                        <w:rStyle w:val="31"/>
                      </w:rPr>
                    </w:pPr>
                    <w:r>
                      <w:fldChar w:fldCharType="begin"/>
                    </w:r>
                    <w:r>
                      <w:rPr>
                        <w:rStyle w:val="31"/>
                      </w:rPr>
                      <w:instrText xml:space="preserve">PAGE  </w:instrText>
                    </w:r>
                    <w:r>
                      <w:fldChar w:fldCharType="separate"/>
                    </w:r>
                    <w:r>
                      <w:rPr>
                        <w:rStyle w:val="31"/>
                      </w:rP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ind w:right="360"/>
      <w:rPr>
        <w:rStyle w:val="31"/>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jc w:val="center"/>
                            <w:rPr>
                              <w:rStyle w:val="31"/>
                            </w:rPr>
                          </w:pPr>
                          <w:r>
                            <w:fldChar w:fldCharType="begin"/>
                          </w:r>
                          <w:r>
                            <w:rPr>
                              <w:rStyle w:val="31"/>
                            </w:rPr>
                            <w:instrText xml:space="preserve">PAGE  </w:instrText>
                          </w:r>
                          <w:r>
                            <w:fldChar w:fldCharType="separate"/>
                          </w:r>
                          <w:r>
                            <w:rPr>
                              <w:rStyle w:val="31"/>
                            </w:rP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19"/>
                      <w:jc w:val="center"/>
                      <w:rPr>
                        <w:rStyle w:val="31"/>
                      </w:rPr>
                    </w:pPr>
                    <w:r>
                      <w:fldChar w:fldCharType="begin"/>
                    </w:r>
                    <w:r>
                      <w:rPr>
                        <w:rStyle w:val="31"/>
                      </w:rPr>
                      <w:instrText xml:space="preserve">PAGE  </w:instrText>
                    </w:r>
                    <w:r>
                      <w:fldChar w:fldCharType="separate"/>
                    </w:r>
                    <w:r>
                      <w:rPr>
                        <w:rStyle w:val="31"/>
                      </w:rPr>
                      <w:t>21</w:t>
                    </w:r>
                    <w:r>
                      <w:fldChar w:fldCharType="end"/>
                    </w:r>
                  </w:p>
                </w:txbxContent>
              </v:textbox>
            </v:shape>
          </w:pict>
        </mc:Fallback>
      </mc:AlternateContent>
    </w:r>
  </w:p>
  <w:p>
    <w:pPr>
      <w:pStyle w:val="19"/>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ind w:right="360"/>
      <w:rPr>
        <w:rStyle w:val="31"/>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rPr>
                              <w:rStyle w:val="31"/>
                            </w:rPr>
                          </w:pPr>
                          <w:r>
                            <w:fldChar w:fldCharType="begin"/>
                          </w:r>
                          <w:r>
                            <w:rPr>
                              <w:rStyle w:val="31"/>
                            </w:rPr>
                            <w:instrText xml:space="preserve">PAGE  </w:instrText>
                          </w:r>
                          <w:r>
                            <w:fldChar w:fldCharType="separate"/>
                          </w:r>
                          <w:r>
                            <w:rPr>
                              <w:rStyle w:val="31"/>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19"/>
                      <w:rPr>
                        <w:rStyle w:val="31"/>
                      </w:rPr>
                    </w:pPr>
                    <w:r>
                      <w:fldChar w:fldCharType="begin"/>
                    </w:r>
                    <w:r>
                      <w:rPr>
                        <w:rStyle w:val="31"/>
                      </w:rPr>
                      <w:instrText xml:space="preserve">PAGE  </w:instrText>
                    </w:r>
                    <w:r>
                      <w:fldChar w:fldCharType="separate"/>
                    </w:r>
                    <w:r>
                      <w:rPr>
                        <w:rStyle w:val="31"/>
                      </w:rPr>
                      <w:t>34</w:t>
                    </w:r>
                    <w:r>
                      <w:fldChar w:fldCharType="end"/>
                    </w:r>
                  </w:p>
                </w:txbxContent>
              </v:textbox>
            </v:shape>
          </w:pict>
        </mc:Fallback>
      </mc:AlternateContent>
    </w:r>
  </w:p>
  <w:p>
    <w:pPr>
      <w:pStyle w:val="1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rPr>
        <w:rFonts w:ascii="宋体" w:hAnsi="宋体"/>
        <w:sz w:val="21"/>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E1EC"/>
    <w:multiLevelType w:val="singleLevel"/>
    <w:tmpl w:val="8863E1EC"/>
    <w:lvl w:ilvl="0" w:tentative="0">
      <w:start w:val="3"/>
      <w:numFmt w:val="chineseCounting"/>
      <w:suff w:val="space"/>
      <w:lvlText w:val="第%1部分"/>
      <w:lvlJc w:val="left"/>
      <w:rPr>
        <w:rFonts w:hint="eastAsia"/>
      </w:rPr>
    </w:lvl>
  </w:abstractNum>
  <w:abstractNum w:abstractNumId="1">
    <w:nsid w:val="2E42602A"/>
    <w:multiLevelType w:val="multilevel"/>
    <w:tmpl w:val="2E42602A"/>
    <w:lvl w:ilvl="0" w:tentative="0">
      <w:start w:val="1"/>
      <w:numFmt w:val="bullet"/>
      <w:pStyle w:val="94"/>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5C2DB612"/>
    <w:multiLevelType w:val="singleLevel"/>
    <w:tmpl w:val="5C2DB612"/>
    <w:lvl w:ilvl="0" w:tentative="0">
      <w:start w:val="2"/>
      <w:numFmt w:val="chineseCounting"/>
      <w:suff w:val="nothing"/>
      <w:lvlText w:val="%1、"/>
      <w:lvlJc w:val="left"/>
    </w:lvl>
  </w:abstractNum>
  <w:abstractNum w:abstractNumId="4">
    <w:nsid w:val="5E871470"/>
    <w:multiLevelType w:val="singleLevel"/>
    <w:tmpl w:val="5E871470"/>
    <w:lvl w:ilvl="0" w:tentative="0">
      <w:start w:val="5"/>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7"/>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OTFhYjU1ZjUxOTc1ZDlhOTk3MmUxZjdmNDUwN2UifQ=="/>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40AD"/>
    <w:rsid w:val="000843FC"/>
    <w:rsid w:val="0008640A"/>
    <w:rsid w:val="000868B3"/>
    <w:rsid w:val="000873FA"/>
    <w:rsid w:val="00091D85"/>
    <w:rsid w:val="000922D9"/>
    <w:rsid w:val="00097F5D"/>
    <w:rsid w:val="000A2709"/>
    <w:rsid w:val="000A2B9E"/>
    <w:rsid w:val="000B5B51"/>
    <w:rsid w:val="000C202B"/>
    <w:rsid w:val="000D251F"/>
    <w:rsid w:val="000D433F"/>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211B0"/>
    <w:rsid w:val="00123AFD"/>
    <w:rsid w:val="0012636D"/>
    <w:rsid w:val="00127E7B"/>
    <w:rsid w:val="00132D19"/>
    <w:rsid w:val="00134995"/>
    <w:rsid w:val="00135C11"/>
    <w:rsid w:val="00140AEB"/>
    <w:rsid w:val="00141FDE"/>
    <w:rsid w:val="00144B21"/>
    <w:rsid w:val="00146172"/>
    <w:rsid w:val="001461C5"/>
    <w:rsid w:val="001464E8"/>
    <w:rsid w:val="00146B19"/>
    <w:rsid w:val="00152B4A"/>
    <w:rsid w:val="00161395"/>
    <w:rsid w:val="00161AC5"/>
    <w:rsid w:val="00163E40"/>
    <w:rsid w:val="00164C2B"/>
    <w:rsid w:val="00164E7A"/>
    <w:rsid w:val="0017208E"/>
    <w:rsid w:val="00172A27"/>
    <w:rsid w:val="00175794"/>
    <w:rsid w:val="00176A8F"/>
    <w:rsid w:val="0017730C"/>
    <w:rsid w:val="0018645D"/>
    <w:rsid w:val="00186A81"/>
    <w:rsid w:val="001905C6"/>
    <w:rsid w:val="00194BDB"/>
    <w:rsid w:val="001968A0"/>
    <w:rsid w:val="001A34C4"/>
    <w:rsid w:val="001A6DFD"/>
    <w:rsid w:val="001A75F6"/>
    <w:rsid w:val="001B0FDB"/>
    <w:rsid w:val="001B1B9B"/>
    <w:rsid w:val="001B1C81"/>
    <w:rsid w:val="001B384C"/>
    <w:rsid w:val="001B7B42"/>
    <w:rsid w:val="001C6368"/>
    <w:rsid w:val="001E4693"/>
    <w:rsid w:val="001E78DF"/>
    <w:rsid w:val="001F071D"/>
    <w:rsid w:val="001F0B9C"/>
    <w:rsid w:val="001F213C"/>
    <w:rsid w:val="001F2C9A"/>
    <w:rsid w:val="001F3CC0"/>
    <w:rsid w:val="001F754A"/>
    <w:rsid w:val="00204470"/>
    <w:rsid w:val="0021083A"/>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61776"/>
    <w:rsid w:val="00262DDB"/>
    <w:rsid w:val="0027150E"/>
    <w:rsid w:val="00271BEF"/>
    <w:rsid w:val="002720B7"/>
    <w:rsid w:val="002721C7"/>
    <w:rsid w:val="00273406"/>
    <w:rsid w:val="00273C5D"/>
    <w:rsid w:val="00280723"/>
    <w:rsid w:val="002812EB"/>
    <w:rsid w:val="00283D68"/>
    <w:rsid w:val="00285C12"/>
    <w:rsid w:val="002931E1"/>
    <w:rsid w:val="00293284"/>
    <w:rsid w:val="00296FCA"/>
    <w:rsid w:val="002B62BD"/>
    <w:rsid w:val="002B746B"/>
    <w:rsid w:val="002B7E8E"/>
    <w:rsid w:val="002C126F"/>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D26"/>
    <w:rsid w:val="003B558A"/>
    <w:rsid w:val="003B5962"/>
    <w:rsid w:val="003C2BD8"/>
    <w:rsid w:val="003C59C4"/>
    <w:rsid w:val="003D5B7A"/>
    <w:rsid w:val="003E5038"/>
    <w:rsid w:val="003E6435"/>
    <w:rsid w:val="003E7A38"/>
    <w:rsid w:val="00402C9F"/>
    <w:rsid w:val="00410B25"/>
    <w:rsid w:val="00415F4C"/>
    <w:rsid w:val="00416ECC"/>
    <w:rsid w:val="00417A65"/>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55D7C"/>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C03F3"/>
    <w:rsid w:val="007C1F59"/>
    <w:rsid w:val="007C230D"/>
    <w:rsid w:val="007D0BE5"/>
    <w:rsid w:val="007D409D"/>
    <w:rsid w:val="007D43D9"/>
    <w:rsid w:val="007D44A6"/>
    <w:rsid w:val="007E0C50"/>
    <w:rsid w:val="007E2919"/>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0658"/>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B770E"/>
    <w:rsid w:val="009C0ADA"/>
    <w:rsid w:val="009C11B7"/>
    <w:rsid w:val="009C1E58"/>
    <w:rsid w:val="009C223A"/>
    <w:rsid w:val="009C2E20"/>
    <w:rsid w:val="009C7F73"/>
    <w:rsid w:val="009D0E0C"/>
    <w:rsid w:val="009D2707"/>
    <w:rsid w:val="009D742D"/>
    <w:rsid w:val="009E04AC"/>
    <w:rsid w:val="009E06AA"/>
    <w:rsid w:val="009E15AA"/>
    <w:rsid w:val="009E448F"/>
    <w:rsid w:val="009E60A5"/>
    <w:rsid w:val="009E6803"/>
    <w:rsid w:val="009E68D7"/>
    <w:rsid w:val="009F0DB0"/>
    <w:rsid w:val="009F29F1"/>
    <w:rsid w:val="00A03652"/>
    <w:rsid w:val="00A12219"/>
    <w:rsid w:val="00A12348"/>
    <w:rsid w:val="00A13798"/>
    <w:rsid w:val="00A202D8"/>
    <w:rsid w:val="00A2339F"/>
    <w:rsid w:val="00A323D1"/>
    <w:rsid w:val="00A36DE5"/>
    <w:rsid w:val="00A40D1A"/>
    <w:rsid w:val="00A453CD"/>
    <w:rsid w:val="00A458CE"/>
    <w:rsid w:val="00A50AFD"/>
    <w:rsid w:val="00A50B82"/>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248B"/>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D098E"/>
    <w:rsid w:val="00BD2829"/>
    <w:rsid w:val="00BD515C"/>
    <w:rsid w:val="00BD7EB7"/>
    <w:rsid w:val="00BE2684"/>
    <w:rsid w:val="00BE5303"/>
    <w:rsid w:val="00BE6B5A"/>
    <w:rsid w:val="00BE7108"/>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61FFD"/>
    <w:rsid w:val="00C743F2"/>
    <w:rsid w:val="00C749C1"/>
    <w:rsid w:val="00C777EF"/>
    <w:rsid w:val="00C87ACA"/>
    <w:rsid w:val="00C93C4D"/>
    <w:rsid w:val="00C96860"/>
    <w:rsid w:val="00C97857"/>
    <w:rsid w:val="00CA04B5"/>
    <w:rsid w:val="00CA43F1"/>
    <w:rsid w:val="00CB1222"/>
    <w:rsid w:val="00CC4560"/>
    <w:rsid w:val="00CC7720"/>
    <w:rsid w:val="00CD3536"/>
    <w:rsid w:val="00CD35C1"/>
    <w:rsid w:val="00CD6E27"/>
    <w:rsid w:val="00CE3D98"/>
    <w:rsid w:val="00CE5F76"/>
    <w:rsid w:val="00CF0921"/>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2F48"/>
    <w:rsid w:val="00EF34A1"/>
    <w:rsid w:val="00EF5F74"/>
    <w:rsid w:val="00EF7950"/>
    <w:rsid w:val="00F0184E"/>
    <w:rsid w:val="00F025B1"/>
    <w:rsid w:val="00F02A66"/>
    <w:rsid w:val="00F12467"/>
    <w:rsid w:val="00F14BB3"/>
    <w:rsid w:val="00F2799D"/>
    <w:rsid w:val="00F3403F"/>
    <w:rsid w:val="00F3563F"/>
    <w:rsid w:val="00F37F0C"/>
    <w:rsid w:val="00F431B9"/>
    <w:rsid w:val="00F43355"/>
    <w:rsid w:val="00F440A6"/>
    <w:rsid w:val="00F50CA9"/>
    <w:rsid w:val="00F57C4E"/>
    <w:rsid w:val="00F628AA"/>
    <w:rsid w:val="00F724F4"/>
    <w:rsid w:val="00F7329A"/>
    <w:rsid w:val="00F828B6"/>
    <w:rsid w:val="00F8439F"/>
    <w:rsid w:val="00F85D29"/>
    <w:rsid w:val="00F868B3"/>
    <w:rsid w:val="00F93416"/>
    <w:rsid w:val="00FA7DD3"/>
    <w:rsid w:val="00FB077E"/>
    <w:rsid w:val="00FB0E73"/>
    <w:rsid w:val="00FB1EAD"/>
    <w:rsid w:val="00FB5275"/>
    <w:rsid w:val="00FB5B94"/>
    <w:rsid w:val="00FC3D83"/>
    <w:rsid w:val="00FC72EA"/>
    <w:rsid w:val="00FD095B"/>
    <w:rsid w:val="00FD1DC8"/>
    <w:rsid w:val="00FD3ABE"/>
    <w:rsid w:val="00FD5AAB"/>
    <w:rsid w:val="00FD7D10"/>
    <w:rsid w:val="00FE5E3D"/>
    <w:rsid w:val="00FF2859"/>
    <w:rsid w:val="00FF31CD"/>
    <w:rsid w:val="01275761"/>
    <w:rsid w:val="012B1219"/>
    <w:rsid w:val="013B23E6"/>
    <w:rsid w:val="014A7C57"/>
    <w:rsid w:val="016F0A91"/>
    <w:rsid w:val="01762C0F"/>
    <w:rsid w:val="018E1EA2"/>
    <w:rsid w:val="019127B6"/>
    <w:rsid w:val="019D47B9"/>
    <w:rsid w:val="01A27D0B"/>
    <w:rsid w:val="01E3668E"/>
    <w:rsid w:val="022E6257"/>
    <w:rsid w:val="026305F6"/>
    <w:rsid w:val="02663C42"/>
    <w:rsid w:val="026F331C"/>
    <w:rsid w:val="027520D7"/>
    <w:rsid w:val="0275701E"/>
    <w:rsid w:val="030A7EAB"/>
    <w:rsid w:val="030B049D"/>
    <w:rsid w:val="030E471C"/>
    <w:rsid w:val="0318372E"/>
    <w:rsid w:val="03373C6A"/>
    <w:rsid w:val="03437FA3"/>
    <w:rsid w:val="0374413D"/>
    <w:rsid w:val="03774F35"/>
    <w:rsid w:val="039879E3"/>
    <w:rsid w:val="03A321E3"/>
    <w:rsid w:val="03AE60A2"/>
    <w:rsid w:val="03BD5AE4"/>
    <w:rsid w:val="03BE2B18"/>
    <w:rsid w:val="03D03373"/>
    <w:rsid w:val="03E94696"/>
    <w:rsid w:val="040C727D"/>
    <w:rsid w:val="04620439"/>
    <w:rsid w:val="047C504B"/>
    <w:rsid w:val="049716B3"/>
    <w:rsid w:val="04C74F7C"/>
    <w:rsid w:val="04CC1D57"/>
    <w:rsid w:val="04E411EF"/>
    <w:rsid w:val="04F05A45"/>
    <w:rsid w:val="050339CA"/>
    <w:rsid w:val="050E318E"/>
    <w:rsid w:val="052E1CCB"/>
    <w:rsid w:val="05556557"/>
    <w:rsid w:val="05644F36"/>
    <w:rsid w:val="057C1D39"/>
    <w:rsid w:val="05FD56D0"/>
    <w:rsid w:val="0620235A"/>
    <w:rsid w:val="06387AF4"/>
    <w:rsid w:val="064268D3"/>
    <w:rsid w:val="06626B46"/>
    <w:rsid w:val="06D80E87"/>
    <w:rsid w:val="06F1465C"/>
    <w:rsid w:val="07266E36"/>
    <w:rsid w:val="075F684B"/>
    <w:rsid w:val="07676055"/>
    <w:rsid w:val="07823A0B"/>
    <w:rsid w:val="078708B9"/>
    <w:rsid w:val="07A3112D"/>
    <w:rsid w:val="07E71CB2"/>
    <w:rsid w:val="07EA36D8"/>
    <w:rsid w:val="07F078BC"/>
    <w:rsid w:val="08256F5E"/>
    <w:rsid w:val="08303A92"/>
    <w:rsid w:val="08332FBB"/>
    <w:rsid w:val="08AD130B"/>
    <w:rsid w:val="08AD6BD5"/>
    <w:rsid w:val="08CF2C57"/>
    <w:rsid w:val="090B5543"/>
    <w:rsid w:val="0946740A"/>
    <w:rsid w:val="09812927"/>
    <w:rsid w:val="09904389"/>
    <w:rsid w:val="09B53863"/>
    <w:rsid w:val="09C757FE"/>
    <w:rsid w:val="09D00339"/>
    <w:rsid w:val="09EE244D"/>
    <w:rsid w:val="0A4725AB"/>
    <w:rsid w:val="0A4A5BF8"/>
    <w:rsid w:val="0AD211D1"/>
    <w:rsid w:val="0AE93662"/>
    <w:rsid w:val="0B076EEF"/>
    <w:rsid w:val="0B2B298E"/>
    <w:rsid w:val="0B4F3FD7"/>
    <w:rsid w:val="0BAF70CA"/>
    <w:rsid w:val="0C321039"/>
    <w:rsid w:val="0C4667E7"/>
    <w:rsid w:val="0C5E00BA"/>
    <w:rsid w:val="0C6D4FE5"/>
    <w:rsid w:val="0C701305"/>
    <w:rsid w:val="0C874EE1"/>
    <w:rsid w:val="0C9044F8"/>
    <w:rsid w:val="0CA00214"/>
    <w:rsid w:val="0D076022"/>
    <w:rsid w:val="0D555EA4"/>
    <w:rsid w:val="0D771665"/>
    <w:rsid w:val="0E6A142E"/>
    <w:rsid w:val="0E7E2789"/>
    <w:rsid w:val="0E9919B5"/>
    <w:rsid w:val="0ED31DEF"/>
    <w:rsid w:val="0EF47A70"/>
    <w:rsid w:val="0F135689"/>
    <w:rsid w:val="0F4368E2"/>
    <w:rsid w:val="0FD64E9F"/>
    <w:rsid w:val="0FD85A54"/>
    <w:rsid w:val="0FEE4B88"/>
    <w:rsid w:val="0FEF456D"/>
    <w:rsid w:val="0FFD2F87"/>
    <w:rsid w:val="100250BF"/>
    <w:rsid w:val="10081455"/>
    <w:rsid w:val="101F3682"/>
    <w:rsid w:val="10234A2C"/>
    <w:rsid w:val="10510DC1"/>
    <w:rsid w:val="10572E1C"/>
    <w:rsid w:val="10617D8B"/>
    <w:rsid w:val="107D48AD"/>
    <w:rsid w:val="10D40911"/>
    <w:rsid w:val="10D47789"/>
    <w:rsid w:val="1110299A"/>
    <w:rsid w:val="11211C93"/>
    <w:rsid w:val="112D74BE"/>
    <w:rsid w:val="118057AC"/>
    <w:rsid w:val="118A4194"/>
    <w:rsid w:val="119A5F77"/>
    <w:rsid w:val="11BC10B6"/>
    <w:rsid w:val="11C73FD2"/>
    <w:rsid w:val="11DE5594"/>
    <w:rsid w:val="11E626AA"/>
    <w:rsid w:val="12122705"/>
    <w:rsid w:val="122C3F45"/>
    <w:rsid w:val="1247170C"/>
    <w:rsid w:val="125C5D69"/>
    <w:rsid w:val="128B4DFC"/>
    <w:rsid w:val="12970D1A"/>
    <w:rsid w:val="12A84323"/>
    <w:rsid w:val="12DF0704"/>
    <w:rsid w:val="12F05FDF"/>
    <w:rsid w:val="1331507B"/>
    <w:rsid w:val="134228DB"/>
    <w:rsid w:val="136E2957"/>
    <w:rsid w:val="137D6D32"/>
    <w:rsid w:val="137F4B64"/>
    <w:rsid w:val="139A199E"/>
    <w:rsid w:val="13B3480E"/>
    <w:rsid w:val="13B711D0"/>
    <w:rsid w:val="13BF5D24"/>
    <w:rsid w:val="141B6A6D"/>
    <w:rsid w:val="143B213D"/>
    <w:rsid w:val="146C581E"/>
    <w:rsid w:val="14822C86"/>
    <w:rsid w:val="14BD05A7"/>
    <w:rsid w:val="14EC47FC"/>
    <w:rsid w:val="14F658C6"/>
    <w:rsid w:val="153100E0"/>
    <w:rsid w:val="153F4085"/>
    <w:rsid w:val="15604A58"/>
    <w:rsid w:val="15A3750D"/>
    <w:rsid w:val="161A2B3D"/>
    <w:rsid w:val="164F404C"/>
    <w:rsid w:val="164F4AE9"/>
    <w:rsid w:val="168611E2"/>
    <w:rsid w:val="16951897"/>
    <w:rsid w:val="16D43419"/>
    <w:rsid w:val="16D5710E"/>
    <w:rsid w:val="16DB7A1C"/>
    <w:rsid w:val="16E06C94"/>
    <w:rsid w:val="16EF32AE"/>
    <w:rsid w:val="16F92E7F"/>
    <w:rsid w:val="16FC0AD4"/>
    <w:rsid w:val="170117D4"/>
    <w:rsid w:val="170F26A3"/>
    <w:rsid w:val="173B001E"/>
    <w:rsid w:val="173E0892"/>
    <w:rsid w:val="173E3E7D"/>
    <w:rsid w:val="17521041"/>
    <w:rsid w:val="178A6818"/>
    <w:rsid w:val="17B678A0"/>
    <w:rsid w:val="182A380B"/>
    <w:rsid w:val="18303E4E"/>
    <w:rsid w:val="183B3024"/>
    <w:rsid w:val="184B770B"/>
    <w:rsid w:val="18884481"/>
    <w:rsid w:val="188F6EFF"/>
    <w:rsid w:val="189E73F3"/>
    <w:rsid w:val="18B947B7"/>
    <w:rsid w:val="18E66996"/>
    <w:rsid w:val="190B0DDA"/>
    <w:rsid w:val="193B33BD"/>
    <w:rsid w:val="19451B7E"/>
    <w:rsid w:val="1982059A"/>
    <w:rsid w:val="19D30A81"/>
    <w:rsid w:val="19D4161B"/>
    <w:rsid w:val="1A032CBF"/>
    <w:rsid w:val="1A24058E"/>
    <w:rsid w:val="1A562397"/>
    <w:rsid w:val="1A71322F"/>
    <w:rsid w:val="1A7647E7"/>
    <w:rsid w:val="1A7D432C"/>
    <w:rsid w:val="1A89451A"/>
    <w:rsid w:val="1A93207B"/>
    <w:rsid w:val="1AA93DAA"/>
    <w:rsid w:val="1AC11F06"/>
    <w:rsid w:val="1AC87762"/>
    <w:rsid w:val="1AE37446"/>
    <w:rsid w:val="1B2415D3"/>
    <w:rsid w:val="1B286622"/>
    <w:rsid w:val="1B3D52AC"/>
    <w:rsid w:val="1B9B4505"/>
    <w:rsid w:val="1BD96DDB"/>
    <w:rsid w:val="1BDD000E"/>
    <w:rsid w:val="1BF6798D"/>
    <w:rsid w:val="1C1C2D2B"/>
    <w:rsid w:val="1C567043"/>
    <w:rsid w:val="1C5A6AF0"/>
    <w:rsid w:val="1C866B04"/>
    <w:rsid w:val="1CAF5681"/>
    <w:rsid w:val="1CB312D8"/>
    <w:rsid w:val="1CEE1622"/>
    <w:rsid w:val="1D135ACD"/>
    <w:rsid w:val="1D197F5B"/>
    <w:rsid w:val="1D3D7EC4"/>
    <w:rsid w:val="1D4666F2"/>
    <w:rsid w:val="1D4B162F"/>
    <w:rsid w:val="1D7D3E0E"/>
    <w:rsid w:val="1D854DA5"/>
    <w:rsid w:val="1D904349"/>
    <w:rsid w:val="1DCC4875"/>
    <w:rsid w:val="1DD106B2"/>
    <w:rsid w:val="1DEA0D45"/>
    <w:rsid w:val="1DF63C75"/>
    <w:rsid w:val="1E236820"/>
    <w:rsid w:val="1E440E37"/>
    <w:rsid w:val="1E7C7CD7"/>
    <w:rsid w:val="1E7D213C"/>
    <w:rsid w:val="1E83436F"/>
    <w:rsid w:val="1EED1C96"/>
    <w:rsid w:val="1EF66935"/>
    <w:rsid w:val="1EFA5570"/>
    <w:rsid w:val="1F2F3AFD"/>
    <w:rsid w:val="1F3215D5"/>
    <w:rsid w:val="1F39529A"/>
    <w:rsid w:val="1F3A26D5"/>
    <w:rsid w:val="1F6130C4"/>
    <w:rsid w:val="1F7327F3"/>
    <w:rsid w:val="1FB82961"/>
    <w:rsid w:val="1FC54AD0"/>
    <w:rsid w:val="1FCD4EA9"/>
    <w:rsid w:val="1FD32DA6"/>
    <w:rsid w:val="20115AFA"/>
    <w:rsid w:val="201C7665"/>
    <w:rsid w:val="2031368A"/>
    <w:rsid w:val="20580C17"/>
    <w:rsid w:val="20910E0F"/>
    <w:rsid w:val="20A2041A"/>
    <w:rsid w:val="20A34ED2"/>
    <w:rsid w:val="20E24984"/>
    <w:rsid w:val="20F522FC"/>
    <w:rsid w:val="212174F9"/>
    <w:rsid w:val="216361B0"/>
    <w:rsid w:val="216910EC"/>
    <w:rsid w:val="21823A71"/>
    <w:rsid w:val="21974298"/>
    <w:rsid w:val="21B65500"/>
    <w:rsid w:val="21B751FF"/>
    <w:rsid w:val="21BA155E"/>
    <w:rsid w:val="21F570AD"/>
    <w:rsid w:val="22123C19"/>
    <w:rsid w:val="223E208E"/>
    <w:rsid w:val="2272763A"/>
    <w:rsid w:val="2277565C"/>
    <w:rsid w:val="227B3D63"/>
    <w:rsid w:val="22883877"/>
    <w:rsid w:val="229C1D23"/>
    <w:rsid w:val="22B365D8"/>
    <w:rsid w:val="23011885"/>
    <w:rsid w:val="23284CD5"/>
    <w:rsid w:val="23300BF7"/>
    <w:rsid w:val="23A13E17"/>
    <w:rsid w:val="23D14CF6"/>
    <w:rsid w:val="23D54CD4"/>
    <w:rsid w:val="23D73256"/>
    <w:rsid w:val="242C0D42"/>
    <w:rsid w:val="2482601E"/>
    <w:rsid w:val="248D49C9"/>
    <w:rsid w:val="24B81FC3"/>
    <w:rsid w:val="24E46F1D"/>
    <w:rsid w:val="24E5129C"/>
    <w:rsid w:val="255821DB"/>
    <w:rsid w:val="256B319A"/>
    <w:rsid w:val="2598673B"/>
    <w:rsid w:val="25C41259"/>
    <w:rsid w:val="25D23159"/>
    <w:rsid w:val="25ED3FA3"/>
    <w:rsid w:val="25F018F1"/>
    <w:rsid w:val="26307F40"/>
    <w:rsid w:val="26733C9C"/>
    <w:rsid w:val="26840B25"/>
    <w:rsid w:val="26A240AC"/>
    <w:rsid w:val="26E96021"/>
    <w:rsid w:val="27000ED6"/>
    <w:rsid w:val="2718689D"/>
    <w:rsid w:val="27201D62"/>
    <w:rsid w:val="2725254B"/>
    <w:rsid w:val="272E31BB"/>
    <w:rsid w:val="27421CD9"/>
    <w:rsid w:val="274A6102"/>
    <w:rsid w:val="27806CDB"/>
    <w:rsid w:val="279664C8"/>
    <w:rsid w:val="27B73BDA"/>
    <w:rsid w:val="28114D91"/>
    <w:rsid w:val="281815EA"/>
    <w:rsid w:val="281E515D"/>
    <w:rsid w:val="282A2EFA"/>
    <w:rsid w:val="284101E2"/>
    <w:rsid w:val="285A1030"/>
    <w:rsid w:val="2875217A"/>
    <w:rsid w:val="28893937"/>
    <w:rsid w:val="28A013AD"/>
    <w:rsid w:val="28A82660"/>
    <w:rsid w:val="28B80BC5"/>
    <w:rsid w:val="28D11EDB"/>
    <w:rsid w:val="28D76D98"/>
    <w:rsid w:val="28EA6ACC"/>
    <w:rsid w:val="29063EAA"/>
    <w:rsid w:val="29094780"/>
    <w:rsid w:val="2919115F"/>
    <w:rsid w:val="295608B0"/>
    <w:rsid w:val="297F55F6"/>
    <w:rsid w:val="29930F11"/>
    <w:rsid w:val="29B918CC"/>
    <w:rsid w:val="29BD20C6"/>
    <w:rsid w:val="29C55868"/>
    <w:rsid w:val="29EB38D5"/>
    <w:rsid w:val="29F5542C"/>
    <w:rsid w:val="2A1D07DB"/>
    <w:rsid w:val="2A64640A"/>
    <w:rsid w:val="2A7F60A5"/>
    <w:rsid w:val="2A830F86"/>
    <w:rsid w:val="2A93687D"/>
    <w:rsid w:val="2A950AF4"/>
    <w:rsid w:val="2A9A1E2C"/>
    <w:rsid w:val="2A9F5694"/>
    <w:rsid w:val="2AA37B19"/>
    <w:rsid w:val="2AA66A22"/>
    <w:rsid w:val="2AB6426C"/>
    <w:rsid w:val="2B0D4074"/>
    <w:rsid w:val="2B3D2E5A"/>
    <w:rsid w:val="2B5217A2"/>
    <w:rsid w:val="2B797C93"/>
    <w:rsid w:val="2B7A1F1F"/>
    <w:rsid w:val="2B9A264F"/>
    <w:rsid w:val="2BCB545A"/>
    <w:rsid w:val="2BCB7E65"/>
    <w:rsid w:val="2C5E1048"/>
    <w:rsid w:val="2C8D7E9A"/>
    <w:rsid w:val="2CAB751D"/>
    <w:rsid w:val="2CC061C3"/>
    <w:rsid w:val="2D60377E"/>
    <w:rsid w:val="2D6329A9"/>
    <w:rsid w:val="2D8642A7"/>
    <w:rsid w:val="2DAC0C1E"/>
    <w:rsid w:val="2DEF7334"/>
    <w:rsid w:val="2E05620B"/>
    <w:rsid w:val="2E112CF8"/>
    <w:rsid w:val="2E2472C0"/>
    <w:rsid w:val="2E411018"/>
    <w:rsid w:val="2E60483D"/>
    <w:rsid w:val="2E77608F"/>
    <w:rsid w:val="2EA94C95"/>
    <w:rsid w:val="2EB44415"/>
    <w:rsid w:val="2EB90B27"/>
    <w:rsid w:val="2EF04710"/>
    <w:rsid w:val="2F065D79"/>
    <w:rsid w:val="2F642A08"/>
    <w:rsid w:val="2FBE4E2B"/>
    <w:rsid w:val="2FD45881"/>
    <w:rsid w:val="30204B81"/>
    <w:rsid w:val="303D1BD7"/>
    <w:rsid w:val="30C44AAD"/>
    <w:rsid w:val="3115045E"/>
    <w:rsid w:val="314704CD"/>
    <w:rsid w:val="31644F41"/>
    <w:rsid w:val="31A00B57"/>
    <w:rsid w:val="31AC0DC2"/>
    <w:rsid w:val="31C3435E"/>
    <w:rsid w:val="31C76A7D"/>
    <w:rsid w:val="320504D2"/>
    <w:rsid w:val="326A1E77"/>
    <w:rsid w:val="326D2094"/>
    <w:rsid w:val="32732DF7"/>
    <w:rsid w:val="32A0644D"/>
    <w:rsid w:val="32A60981"/>
    <w:rsid w:val="32B0301E"/>
    <w:rsid w:val="32E77BD8"/>
    <w:rsid w:val="330864CC"/>
    <w:rsid w:val="33237E18"/>
    <w:rsid w:val="332A3795"/>
    <w:rsid w:val="3368186E"/>
    <w:rsid w:val="33784CD4"/>
    <w:rsid w:val="33875DE7"/>
    <w:rsid w:val="339D4735"/>
    <w:rsid w:val="339E298D"/>
    <w:rsid w:val="33B76DB5"/>
    <w:rsid w:val="33BA636C"/>
    <w:rsid w:val="34104BF8"/>
    <w:rsid w:val="345D5D99"/>
    <w:rsid w:val="34645984"/>
    <w:rsid w:val="34672804"/>
    <w:rsid w:val="347A44C1"/>
    <w:rsid w:val="348F0527"/>
    <w:rsid w:val="34AD3D69"/>
    <w:rsid w:val="351C7611"/>
    <w:rsid w:val="35463D89"/>
    <w:rsid w:val="35597028"/>
    <w:rsid w:val="35A748EC"/>
    <w:rsid w:val="3619454C"/>
    <w:rsid w:val="367B1593"/>
    <w:rsid w:val="36822F76"/>
    <w:rsid w:val="36A23F79"/>
    <w:rsid w:val="36A4524A"/>
    <w:rsid w:val="36B77B63"/>
    <w:rsid w:val="36C80A6B"/>
    <w:rsid w:val="36E815F6"/>
    <w:rsid w:val="36EB68C6"/>
    <w:rsid w:val="371D7242"/>
    <w:rsid w:val="379530B0"/>
    <w:rsid w:val="37C64260"/>
    <w:rsid w:val="37CA17EF"/>
    <w:rsid w:val="37E21516"/>
    <w:rsid w:val="381A6E91"/>
    <w:rsid w:val="38215F33"/>
    <w:rsid w:val="38293177"/>
    <w:rsid w:val="388C7258"/>
    <w:rsid w:val="38961FAC"/>
    <w:rsid w:val="38A75AD4"/>
    <w:rsid w:val="38BD38B5"/>
    <w:rsid w:val="38CB40F8"/>
    <w:rsid w:val="38CE1B13"/>
    <w:rsid w:val="38D3069F"/>
    <w:rsid w:val="38E73C59"/>
    <w:rsid w:val="38EE5B01"/>
    <w:rsid w:val="392806B2"/>
    <w:rsid w:val="3930052B"/>
    <w:rsid w:val="394B4123"/>
    <w:rsid w:val="39574E28"/>
    <w:rsid w:val="39875853"/>
    <w:rsid w:val="39974106"/>
    <w:rsid w:val="399B26DA"/>
    <w:rsid w:val="39A50914"/>
    <w:rsid w:val="39AA482D"/>
    <w:rsid w:val="39AE3D6B"/>
    <w:rsid w:val="39B94FA7"/>
    <w:rsid w:val="39DE364D"/>
    <w:rsid w:val="39E50678"/>
    <w:rsid w:val="3A000D6F"/>
    <w:rsid w:val="3A072C05"/>
    <w:rsid w:val="3A2B1759"/>
    <w:rsid w:val="3A340E0C"/>
    <w:rsid w:val="3A5475C9"/>
    <w:rsid w:val="3A623163"/>
    <w:rsid w:val="3A64110D"/>
    <w:rsid w:val="3A7633F1"/>
    <w:rsid w:val="3A880C39"/>
    <w:rsid w:val="3AB32AA6"/>
    <w:rsid w:val="3ABD61CF"/>
    <w:rsid w:val="3B031FCB"/>
    <w:rsid w:val="3B12399E"/>
    <w:rsid w:val="3BA26D92"/>
    <w:rsid w:val="3BB92AC4"/>
    <w:rsid w:val="3BD629DB"/>
    <w:rsid w:val="3BEE3DD2"/>
    <w:rsid w:val="3BF55114"/>
    <w:rsid w:val="3C0501F2"/>
    <w:rsid w:val="3C601004"/>
    <w:rsid w:val="3C9F4667"/>
    <w:rsid w:val="3CA61599"/>
    <w:rsid w:val="3CD042EF"/>
    <w:rsid w:val="3CE826A2"/>
    <w:rsid w:val="3CF71F22"/>
    <w:rsid w:val="3CF860A0"/>
    <w:rsid w:val="3D195B0D"/>
    <w:rsid w:val="3D20119A"/>
    <w:rsid w:val="3D4D190F"/>
    <w:rsid w:val="3D522044"/>
    <w:rsid w:val="3D5B544A"/>
    <w:rsid w:val="3DBF3F65"/>
    <w:rsid w:val="3DC611E1"/>
    <w:rsid w:val="3E1D0952"/>
    <w:rsid w:val="3E2C4BE1"/>
    <w:rsid w:val="3E2D75AB"/>
    <w:rsid w:val="3E8409D1"/>
    <w:rsid w:val="3E933BDB"/>
    <w:rsid w:val="3E9B2FAC"/>
    <w:rsid w:val="3EC01B26"/>
    <w:rsid w:val="3EC06FEE"/>
    <w:rsid w:val="3F2A14A9"/>
    <w:rsid w:val="40061C9A"/>
    <w:rsid w:val="4007793E"/>
    <w:rsid w:val="40986E62"/>
    <w:rsid w:val="40A85062"/>
    <w:rsid w:val="40BB69B2"/>
    <w:rsid w:val="40F8373D"/>
    <w:rsid w:val="40FB303F"/>
    <w:rsid w:val="40FC0E7C"/>
    <w:rsid w:val="41257D94"/>
    <w:rsid w:val="412E6E7D"/>
    <w:rsid w:val="413F08E3"/>
    <w:rsid w:val="415D2C2B"/>
    <w:rsid w:val="416F5C7F"/>
    <w:rsid w:val="417E204F"/>
    <w:rsid w:val="41A36D9E"/>
    <w:rsid w:val="41A73354"/>
    <w:rsid w:val="41B31CB0"/>
    <w:rsid w:val="41C20830"/>
    <w:rsid w:val="41D826B2"/>
    <w:rsid w:val="41E1736F"/>
    <w:rsid w:val="41E17F71"/>
    <w:rsid w:val="41EA3241"/>
    <w:rsid w:val="41FD78BA"/>
    <w:rsid w:val="4203620C"/>
    <w:rsid w:val="42085645"/>
    <w:rsid w:val="42387570"/>
    <w:rsid w:val="4251506E"/>
    <w:rsid w:val="4255456F"/>
    <w:rsid w:val="42785FB7"/>
    <w:rsid w:val="42B51AA1"/>
    <w:rsid w:val="42B533F0"/>
    <w:rsid w:val="42D45320"/>
    <w:rsid w:val="43140575"/>
    <w:rsid w:val="43416B84"/>
    <w:rsid w:val="43420D3E"/>
    <w:rsid w:val="435412BA"/>
    <w:rsid w:val="43574A95"/>
    <w:rsid w:val="43860D47"/>
    <w:rsid w:val="43B4696F"/>
    <w:rsid w:val="43E918C2"/>
    <w:rsid w:val="43F50DD2"/>
    <w:rsid w:val="44052591"/>
    <w:rsid w:val="444E1066"/>
    <w:rsid w:val="447874F5"/>
    <w:rsid w:val="4488654E"/>
    <w:rsid w:val="44AD37C2"/>
    <w:rsid w:val="44C270DD"/>
    <w:rsid w:val="44CF1CC4"/>
    <w:rsid w:val="44FE14DD"/>
    <w:rsid w:val="459A7AB5"/>
    <w:rsid w:val="45A41E47"/>
    <w:rsid w:val="45A83A3A"/>
    <w:rsid w:val="45C63F6B"/>
    <w:rsid w:val="45C9535A"/>
    <w:rsid w:val="45DE130F"/>
    <w:rsid w:val="45FD1C32"/>
    <w:rsid w:val="46126A91"/>
    <w:rsid w:val="46132D66"/>
    <w:rsid w:val="461D114A"/>
    <w:rsid w:val="46553F70"/>
    <w:rsid w:val="465D71DE"/>
    <w:rsid w:val="466F1F67"/>
    <w:rsid w:val="46715902"/>
    <w:rsid w:val="4676545F"/>
    <w:rsid w:val="46A23326"/>
    <w:rsid w:val="46D04CB2"/>
    <w:rsid w:val="46D71190"/>
    <w:rsid w:val="47070DC3"/>
    <w:rsid w:val="47480EF6"/>
    <w:rsid w:val="479B21B0"/>
    <w:rsid w:val="47C87B80"/>
    <w:rsid w:val="47DC0691"/>
    <w:rsid w:val="47DD7AD0"/>
    <w:rsid w:val="47E0151E"/>
    <w:rsid w:val="48650C15"/>
    <w:rsid w:val="4870267D"/>
    <w:rsid w:val="48981C49"/>
    <w:rsid w:val="48FB7925"/>
    <w:rsid w:val="4965186A"/>
    <w:rsid w:val="49692379"/>
    <w:rsid w:val="49887406"/>
    <w:rsid w:val="49A62143"/>
    <w:rsid w:val="49BD76DE"/>
    <w:rsid w:val="49E90461"/>
    <w:rsid w:val="4A0013A3"/>
    <w:rsid w:val="4A1E35B9"/>
    <w:rsid w:val="4A541FCC"/>
    <w:rsid w:val="4A8D1239"/>
    <w:rsid w:val="4A947588"/>
    <w:rsid w:val="4A9B7242"/>
    <w:rsid w:val="4AC705C3"/>
    <w:rsid w:val="4AD03930"/>
    <w:rsid w:val="4ADB6EF6"/>
    <w:rsid w:val="4AF4480D"/>
    <w:rsid w:val="4B431067"/>
    <w:rsid w:val="4B602106"/>
    <w:rsid w:val="4B880156"/>
    <w:rsid w:val="4B8A4B96"/>
    <w:rsid w:val="4BAC6006"/>
    <w:rsid w:val="4BD84517"/>
    <w:rsid w:val="4BE13907"/>
    <w:rsid w:val="4BEB429E"/>
    <w:rsid w:val="4BF51514"/>
    <w:rsid w:val="4C160978"/>
    <w:rsid w:val="4C263544"/>
    <w:rsid w:val="4C5F5F5D"/>
    <w:rsid w:val="4C6C56EC"/>
    <w:rsid w:val="4C866056"/>
    <w:rsid w:val="4C9B3AB5"/>
    <w:rsid w:val="4CB9218D"/>
    <w:rsid w:val="4CBA03DF"/>
    <w:rsid w:val="4CC21B78"/>
    <w:rsid w:val="4CC81ED1"/>
    <w:rsid w:val="4D0908F3"/>
    <w:rsid w:val="4D0A4797"/>
    <w:rsid w:val="4D101B26"/>
    <w:rsid w:val="4D325DBC"/>
    <w:rsid w:val="4DB31ECA"/>
    <w:rsid w:val="4DB7394C"/>
    <w:rsid w:val="4DF53AF8"/>
    <w:rsid w:val="4E21448E"/>
    <w:rsid w:val="4E2F0959"/>
    <w:rsid w:val="4E3446BB"/>
    <w:rsid w:val="4E3C76DF"/>
    <w:rsid w:val="4E58577B"/>
    <w:rsid w:val="4E5E1D31"/>
    <w:rsid w:val="4E6A7265"/>
    <w:rsid w:val="4E832BEF"/>
    <w:rsid w:val="4E8C7B5A"/>
    <w:rsid w:val="4E9F452F"/>
    <w:rsid w:val="4F1D2EA8"/>
    <w:rsid w:val="4F260218"/>
    <w:rsid w:val="4F323F7C"/>
    <w:rsid w:val="4F9D7B44"/>
    <w:rsid w:val="4F9F1B0F"/>
    <w:rsid w:val="4FAD3500"/>
    <w:rsid w:val="4FC11A45"/>
    <w:rsid w:val="50443274"/>
    <w:rsid w:val="50580146"/>
    <w:rsid w:val="50B91D73"/>
    <w:rsid w:val="50E377D9"/>
    <w:rsid w:val="51112015"/>
    <w:rsid w:val="51191FFF"/>
    <w:rsid w:val="514D099E"/>
    <w:rsid w:val="517A1653"/>
    <w:rsid w:val="51973AC3"/>
    <w:rsid w:val="51BE7671"/>
    <w:rsid w:val="52221F98"/>
    <w:rsid w:val="525E6FE1"/>
    <w:rsid w:val="526D11A3"/>
    <w:rsid w:val="52854FEC"/>
    <w:rsid w:val="52C91988"/>
    <w:rsid w:val="534470C7"/>
    <w:rsid w:val="53453594"/>
    <w:rsid w:val="53922B54"/>
    <w:rsid w:val="53BA0CC5"/>
    <w:rsid w:val="53CE30AB"/>
    <w:rsid w:val="53F87A3F"/>
    <w:rsid w:val="540006A2"/>
    <w:rsid w:val="5415239F"/>
    <w:rsid w:val="543224C9"/>
    <w:rsid w:val="54336CC9"/>
    <w:rsid w:val="54655D51"/>
    <w:rsid w:val="54990207"/>
    <w:rsid w:val="54AA0D3A"/>
    <w:rsid w:val="54F05465"/>
    <w:rsid w:val="54F53E45"/>
    <w:rsid w:val="550F2F8A"/>
    <w:rsid w:val="55142657"/>
    <w:rsid w:val="55162B19"/>
    <w:rsid w:val="551F5FB4"/>
    <w:rsid w:val="553E47CE"/>
    <w:rsid w:val="554F0C1F"/>
    <w:rsid w:val="5568038F"/>
    <w:rsid w:val="55BD0E57"/>
    <w:rsid w:val="55C30E9C"/>
    <w:rsid w:val="55FA7A9F"/>
    <w:rsid w:val="564318C1"/>
    <w:rsid w:val="56694D2B"/>
    <w:rsid w:val="568D5C1A"/>
    <w:rsid w:val="56A47A0A"/>
    <w:rsid w:val="56A812A9"/>
    <w:rsid w:val="56FE0C07"/>
    <w:rsid w:val="573C1866"/>
    <w:rsid w:val="57F20FC4"/>
    <w:rsid w:val="580F0C3C"/>
    <w:rsid w:val="58AB1524"/>
    <w:rsid w:val="58B54151"/>
    <w:rsid w:val="58B8779D"/>
    <w:rsid w:val="58C919AA"/>
    <w:rsid w:val="58FA344E"/>
    <w:rsid w:val="596C141E"/>
    <w:rsid w:val="59897E96"/>
    <w:rsid w:val="59BF1827"/>
    <w:rsid w:val="59E21771"/>
    <w:rsid w:val="59E9034B"/>
    <w:rsid w:val="59FB5B93"/>
    <w:rsid w:val="5A05778A"/>
    <w:rsid w:val="5A083723"/>
    <w:rsid w:val="5A315650"/>
    <w:rsid w:val="5A4879A5"/>
    <w:rsid w:val="5A547A46"/>
    <w:rsid w:val="5A5B45D0"/>
    <w:rsid w:val="5A845B89"/>
    <w:rsid w:val="5A94756C"/>
    <w:rsid w:val="5ABD593E"/>
    <w:rsid w:val="5B30574F"/>
    <w:rsid w:val="5B6B4F9B"/>
    <w:rsid w:val="5B94064E"/>
    <w:rsid w:val="5BEC795B"/>
    <w:rsid w:val="5C116E15"/>
    <w:rsid w:val="5C2B2713"/>
    <w:rsid w:val="5C606182"/>
    <w:rsid w:val="5C7659A5"/>
    <w:rsid w:val="5C87240B"/>
    <w:rsid w:val="5C8C51C9"/>
    <w:rsid w:val="5CD831D0"/>
    <w:rsid w:val="5CF74DCB"/>
    <w:rsid w:val="5D020F4B"/>
    <w:rsid w:val="5D1C19D8"/>
    <w:rsid w:val="5D8F563D"/>
    <w:rsid w:val="5DAB636B"/>
    <w:rsid w:val="5E0A34C5"/>
    <w:rsid w:val="5E106C49"/>
    <w:rsid w:val="5E2F4613"/>
    <w:rsid w:val="5E41474D"/>
    <w:rsid w:val="5E421925"/>
    <w:rsid w:val="5E886C8E"/>
    <w:rsid w:val="5E895323"/>
    <w:rsid w:val="5E8E5228"/>
    <w:rsid w:val="5F303FA8"/>
    <w:rsid w:val="5F89398B"/>
    <w:rsid w:val="5F960623"/>
    <w:rsid w:val="5FB42B98"/>
    <w:rsid w:val="5FB57681"/>
    <w:rsid w:val="5FC30F01"/>
    <w:rsid w:val="5FD30328"/>
    <w:rsid w:val="5FDE5550"/>
    <w:rsid w:val="5FE02CF0"/>
    <w:rsid w:val="5FE41DA4"/>
    <w:rsid w:val="5FE7257E"/>
    <w:rsid w:val="60034BF5"/>
    <w:rsid w:val="600D5478"/>
    <w:rsid w:val="60744F5F"/>
    <w:rsid w:val="6079516E"/>
    <w:rsid w:val="60C6179E"/>
    <w:rsid w:val="60DE6BD0"/>
    <w:rsid w:val="60E42AA1"/>
    <w:rsid w:val="61141E2A"/>
    <w:rsid w:val="611F3917"/>
    <w:rsid w:val="61351925"/>
    <w:rsid w:val="61402700"/>
    <w:rsid w:val="61571B4B"/>
    <w:rsid w:val="6189121C"/>
    <w:rsid w:val="61DD2D2F"/>
    <w:rsid w:val="62054E66"/>
    <w:rsid w:val="62150A70"/>
    <w:rsid w:val="621721D2"/>
    <w:rsid w:val="621E1A59"/>
    <w:rsid w:val="623B41A0"/>
    <w:rsid w:val="624E318C"/>
    <w:rsid w:val="62735759"/>
    <w:rsid w:val="629C4400"/>
    <w:rsid w:val="629D5835"/>
    <w:rsid w:val="629E1F95"/>
    <w:rsid w:val="62C12772"/>
    <w:rsid w:val="62CE781B"/>
    <w:rsid w:val="62E31181"/>
    <w:rsid w:val="62F11F34"/>
    <w:rsid w:val="633126B5"/>
    <w:rsid w:val="633B45FB"/>
    <w:rsid w:val="638906B4"/>
    <w:rsid w:val="63A4245C"/>
    <w:rsid w:val="63A63014"/>
    <w:rsid w:val="63D74ACB"/>
    <w:rsid w:val="63F36350"/>
    <w:rsid w:val="63F7561D"/>
    <w:rsid w:val="64682077"/>
    <w:rsid w:val="646C600B"/>
    <w:rsid w:val="64853918"/>
    <w:rsid w:val="64AD4CD5"/>
    <w:rsid w:val="64D272F5"/>
    <w:rsid w:val="64DD0CB7"/>
    <w:rsid w:val="65144C52"/>
    <w:rsid w:val="652B365C"/>
    <w:rsid w:val="65362175"/>
    <w:rsid w:val="65400A6D"/>
    <w:rsid w:val="65504137"/>
    <w:rsid w:val="65532D27"/>
    <w:rsid w:val="65613ED1"/>
    <w:rsid w:val="659307CB"/>
    <w:rsid w:val="65A821B8"/>
    <w:rsid w:val="65AC02A3"/>
    <w:rsid w:val="65B417D0"/>
    <w:rsid w:val="65BE0512"/>
    <w:rsid w:val="65BF2413"/>
    <w:rsid w:val="65DC2519"/>
    <w:rsid w:val="65F6402F"/>
    <w:rsid w:val="65FD1D56"/>
    <w:rsid w:val="6648074A"/>
    <w:rsid w:val="66A17AC3"/>
    <w:rsid w:val="66AD28B5"/>
    <w:rsid w:val="66AF21DF"/>
    <w:rsid w:val="66BA4709"/>
    <w:rsid w:val="66CF3A21"/>
    <w:rsid w:val="66E76CB7"/>
    <w:rsid w:val="66F11B68"/>
    <w:rsid w:val="6704617D"/>
    <w:rsid w:val="671D552C"/>
    <w:rsid w:val="672901E4"/>
    <w:rsid w:val="67366B0E"/>
    <w:rsid w:val="674F09BF"/>
    <w:rsid w:val="676A70D7"/>
    <w:rsid w:val="67AC117C"/>
    <w:rsid w:val="67BC62F7"/>
    <w:rsid w:val="67D8728E"/>
    <w:rsid w:val="67E04752"/>
    <w:rsid w:val="682664D1"/>
    <w:rsid w:val="682812C9"/>
    <w:rsid w:val="68294213"/>
    <w:rsid w:val="6831034A"/>
    <w:rsid w:val="688B1D44"/>
    <w:rsid w:val="68A546C1"/>
    <w:rsid w:val="68EF06C4"/>
    <w:rsid w:val="68EF06EF"/>
    <w:rsid w:val="690D7691"/>
    <w:rsid w:val="692813AE"/>
    <w:rsid w:val="693C3AD3"/>
    <w:rsid w:val="69AE4487"/>
    <w:rsid w:val="69CB7DB9"/>
    <w:rsid w:val="69DC6F7D"/>
    <w:rsid w:val="69DF74C2"/>
    <w:rsid w:val="69F8615D"/>
    <w:rsid w:val="69FD72F2"/>
    <w:rsid w:val="6A2D37A1"/>
    <w:rsid w:val="6A8E035E"/>
    <w:rsid w:val="6AA858C3"/>
    <w:rsid w:val="6AEB57B0"/>
    <w:rsid w:val="6AF74155"/>
    <w:rsid w:val="6B213DFE"/>
    <w:rsid w:val="6B281821"/>
    <w:rsid w:val="6B4355EC"/>
    <w:rsid w:val="6B49268B"/>
    <w:rsid w:val="6B607F4C"/>
    <w:rsid w:val="6B7B784A"/>
    <w:rsid w:val="6B8D23E5"/>
    <w:rsid w:val="6B945E48"/>
    <w:rsid w:val="6BEB4D8A"/>
    <w:rsid w:val="6BFE140E"/>
    <w:rsid w:val="6C007C1C"/>
    <w:rsid w:val="6C080B41"/>
    <w:rsid w:val="6C122E99"/>
    <w:rsid w:val="6C155165"/>
    <w:rsid w:val="6C704E5A"/>
    <w:rsid w:val="6CA15C1E"/>
    <w:rsid w:val="6CAC4088"/>
    <w:rsid w:val="6D1F4F99"/>
    <w:rsid w:val="6D2B4954"/>
    <w:rsid w:val="6D2D20B0"/>
    <w:rsid w:val="6D620DEE"/>
    <w:rsid w:val="6D6D3F5B"/>
    <w:rsid w:val="6D6E2515"/>
    <w:rsid w:val="6DA310EA"/>
    <w:rsid w:val="6DA41B6F"/>
    <w:rsid w:val="6DC04CD2"/>
    <w:rsid w:val="6DD32C57"/>
    <w:rsid w:val="6DD3498E"/>
    <w:rsid w:val="6DFA4C55"/>
    <w:rsid w:val="6E0A165C"/>
    <w:rsid w:val="6E186540"/>
    <w:rsid w:val="6E3B3CE2"/>
    <w:rsid w:val="6E8A0249"/>
    <w:rsid w:val="6E937920"/>
    <w:rsid w:val="6EEC7CDD"/>
    <w:rsid w:val="6F057709"/>
    <w:rsid w:val="6F0C1C24"/>
    <w:rsid w:val="6F0F5F11"/>
    <w:rsid w:val="6F130A6A"/>
    <w:rsid w:val="6F170419"/>
    <w:rsid w:val="6F4334F7"/>
    <w:rsid w:val="6F5079E2"/>
    <w:rsid w:val="6F697869"/>
    <w:rsid w:val="6FA4059D"/>
    <w:rsid w:val="6FB602B0"/>
    <w:rsid w:val="6FCF270C"/>
    <w:rsid w:val="70005716"/>
    <w:rsid w:val="702B71E2"/>
    <w:rsid w:val="7046560C"/>
    <w:rsid w:val="70894D24"/>
    <w:rsid w:val="709B37D5"/>
    <w:rsid w:val="70CD61BA"/>
    <w:rsid w:val="70E47EE3"/>
    <w:rsid w:val="70EF5CA0"/>
    <w:rsid w:val="70FB0EC8"/>
    <w:rsid w:val="710F11BD"/>
    <w:rsid w:val="711C24DA"/>
    <w:rsid w:val="711D4AD7"/>
    <w:rsid w:val="712B2DAA"/>
    <w:rsid w:val="71411491"/>
    <w:rsid w:val="715E48D9"/>
    <w:rsid w:val="716943CF"/>
    <w:rsid w:val="7198626C"/>
    <w:rsid w:val="71BA5C58"/>
    <w:rsid w:val="71BA7D3D"/>
    <w:rsid w:val="721970A7"/>
    <w:rsid w:val="72310CB1"/>
    <w:rsid w:val="72467253"/>
    <w:rsid w:val="728A2147"/>
    <w:rsid w:val="72EE6064"/>
    <w:rsid w:val="734E0107"/>
    <w:rsid w:val="73696DBB"/>
    <w:rsid w:val="736A172E"/>
    <w:rsid w:val="736B28E0"/>
    <w:rsid w:val="736F44A7"/>
    <w:rsid w:val="73825BA9"/>
    <w:rsid w:val="742B71C1"/>
    <w:rsid w:val="74760F37"/>
    <w:rsid w:val="74B135C7"/>
    <w:rsid w:val="74DB7270"/>
    <w:rsid w:val="750A360F"/>
    <w:rsid w:val="750D54B8"/>
    <w:rsid w:val="752F5288"/>
    <w:rsid w:val="75444108"/>
    <w:rsid w:val="754C7212"/>
    <w:rsid w:val="755359F6"/>
    <w:rsid w:val="75F05AFC"/>
    <w:rsid w:val="762725C7"/>
    <w:rsid w:val="76657226"/>
    <w:rsid w:val="769310C3"/>
    <w:rsid w:val="76A9197D"/>
    <w:rsid w:val="76B01F0C"/>
    <w:rsid w:val="76C54B95"/>
    <w:rsid w:val="76DF6898"/>
    <w:rsid w:val="77110B96"/>
    <w:rsid w:val="771148DC"/>
    <w:rsid w:val="7720599C"/>
    <w:rsid w:val="77242BC9"/>
    <w:rsid w:val="7758127B"/>
    <w:rsid w:val="778D527D"/>
    <w:rsid w:val="779455FA"/>
    <w:rsid w:val="77B1345C"/>
    <w:rsid w:val="77B8335A"/>
    <w:rsid w:val="77C01E1F"/>
    <w:rsid w:val="77D3401C"/>
    <w:rsid w:val="77E2703E"/>
    <w:rsid w:val="77EF532A"/>
    <w:rsid w:val="78057022"/>
    <w:rsid w:val="783424EA"/>
    <w:rsid w:val="7852547D"/>
    <w:rsid w:val="785978ED"/>
    <w:rsid w:val="7865656C"/>
    <w:rsid w:val="78E22364"/>
    <w:rsid w:val="791D5BC4"/>
    <w:rsid w:val="792D4391"/>
    <w:rsid w:val="793D61F5"/>
    <w:rsid w:val="795954E1"/>
    <w:rsid w:val="79CB5569"/>
    <w:rsid w:val="79ED6E4F"/>
    <w:rsid w:val="7A92579E"/>
    <w:rsid w:val="7ACA5CE8"/>
    <w:rsid w:val="7ACD260C"/>
    <w:rsid w:val="7AE237F5"/>
    <w:rsid w:val="7AE30703"/>
    <w:rsid w:val="7AEE6E4B"/>
    <w:rsid w:val="7AF266BA"/>
    <w:rsid w:val="7AF34FD9"/>
    <w:rsid w:val="7B091FD9"/>
    <w:rsid w:val="7B512CCA"/>
    <w:rsid w:val="7B670E83"/>
    <w:rsid w:val="7B7D1985"/>
    <w:rsid w:val="7B7F08C0"/>
    <w:rsid w:val="7BCF7C2C"/>
    <w:rsid w:val="7BF13797"/>
    <w:rsid w:val="7BF44604"/>
    <w:rsid w:val="7C084BE1"/>
    <w:rsid w:val="7C0B29FC"/>
    <w:rsid w:val="7C266648"/>
    <w:rsid w:val="7C596A1E"/>
    <w:rsid w:val="7C8B294F"/>
    <w:rsid w:val="7C9B3A9F"/>
    <w:rsid w:val="7D096B99"/>
    <w:rsid w:val="7D152224"/>
    <w:rsid w:val="7D3C25A3"/>
    <w:rsid w:val="7D4071CA"/>
    <w:rsid w:val="7D7E44F5"/>
    <w:rsid w:val="7D8D727A"/>
    <w:rsid w:val="7DE4561B"/>
    <w:rsid w:val="7E3A3E8C"/>
    <w:rsid w:val="7E6478FC"/>
    <w:rsid w:val="7E6C6F68"/>
    <w:rsid w:val="7E6E338C"/>
    <w:rsid w:val="7E881798"/>
    <w:rsid w:val="7EAD3464"/>
    <w:rsid w:val="7EED78F1"/>
    <w:rsid w:val="7F2D58D8"/>
    <w:rsid w:val="7F3614EC"/>
    <w:rsid w:val="7F484B27"/>
    <w:rsid w:val="7F4D0AA3"/>
    <w:rsid w:val="7F541E3D"/>
    <w:rsid w:val="7F6556D9"/>
    <w:rsid w:val="7F954211"/>
    <w:rsid w:val="7FE138D8"/>
    <w:rsid w:val="7FEC2F14"/>
    <w:rsid w:val="7FF37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3">
    <w:name w:val="heading 1"/>
    <w:basedOn w:val="1"/>
    <w:next w:val="1"/>
    <w:link w:val="54"/>
    <w:autoRedefine/>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57"/>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Lines="100" w:line="360" w:lineRule="auto"/>
      <w:outlineLvl w:val="3"/>
    </w:pPr>
    <w:rPr>
      <w:rFonts w:ascii="Arial" w:hAnsi="Arial"/>
      <w:b/>
      <w:bCs/>
      <w:sz w:val="24"/>
      <w:szCs w:val="28"/>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next w:val="8"/>
    <w:link w:val="50"/>
    <w:autoRedefine/>
    <w:qFormat/>
    <w:uiPriority w:val="0"/>
    <w:pPr>
      <w:ind w:firstLine="420"/>
    </w:pPr>
  </w:style>
  <w:style w:type="paragraph" w:styleId="8">
    <w:name w:val="toc 2"/>
    <w:basedOn w:val="1"/>
    <w:next w:val="1"/>
    <w:autoRedefine/>
    <w:qFormat/>
    <w:uiPriority w:val="39"/>
    <w:pPr>
      <w:tabs>
        <w:tab w:val="right" w:leader="middleDot" w:pos="8948"/>
      </w:tabs>
      <w:spacing w:before="60" w:after="60"/>
      <w:ind w:left="210"/>
    </w:pPr>
    <w:rPr>
      <w:smallCaps/>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Document Map"/>
    <w:basedOn w:val="1"/>
    <w:link w:val="52"/>
    <w:autoRedefine/>
    <w:unhideWhenUsed/>
    <w:qFormat/>
    <w:uiPriority w:val="0"/>
    <w:rPr>
      <w:rFonts w:ascii="宋体"/>
      <w:sz w:val="18"/>
      <w:szCs w:val="18"/>
    </w:rPr>
  </w:style>
  <w:style w:type="paragraph" w:styleId="11">
    <w:name w:val="annotation text"/>
    <w:basedOn w:val="1"/>
    <w:autoRedefine/>
    <w:qFormat/>
    <w:uiPriority w:val="0"/>
    <w:pPr>
      <w:jc w:val="left"/>
    </w:pPr>
  </w:style>
  <w:style w:type="paragraph" w:styleId="12">
    <w:name w:val="Body Text"/>
    <w:basedOn w:val="1"/>
    <w:next w:val="13"/>
    <w:link w:val="59"/>
    <w:autoRedefine/>
    <w:qFormat/>
    <w:uiPriority w:val="0"/>
    <w:pPr>
      <w:widowControl w:val="0"/>
      <w:spacing w:line="360" w:lineRule="auto"/>
      <w:jc w:val="both"/>
    </w:pPr>
    <w:rPr>
      <w:rFonts w:ascii="楷体_GB2312" w:eastAsia="楷体_GB2312"/>
      <w:kern w:val="2"/>
      <w:sz w:val="32"/>
    </w:rPr>
  </w:style>
  <w:style w:type="paragraph" w:styleId="13">
    <w:name w:val="Body Text First Indent"/>
    <w:basedOn w:val="12"/>
    <w:next w:val="1"/>
    <w:link w:val="49"/>
    <w:autoRedefine/>
    <w:qFormat/>
    <w:uiPriority w:val="0"/>
    <w:pPr>
      <w:widowControl/>
      <w:spacing w:after="120" w:line="240" w:lineRule="auto"/>
      <w:ind w:firstLine="420" w:firstLineChars="100"/>
      <w:jc w:val="left"/>
    </w:pPr>
    <w:rPr>
      <w:rFonts w:ascii="Times New Roman"/>
      <w:sz w:val="21"/>
    </w:rPr>
  </w:style>
  <w:style w:type="paragraph" w:styleId="14">
    <w:name w:val="Body Text Indent"/>
    <w:basedOn w:val="1"/>
    <w:next w:val="1"/>
    <w:autoRedefine/>
    <w:qFormat/>
    <w:uiPriority w:val="0"/>
    <w:pPr>
      <w:spacing w:after="120"/>
      <w:ind w:left="420" w:leftChars="200"/>
    </w:pPr>
  </w:style>
  <w:style w:type="paragraph" w:styleId="15">
    <w:name w:val="toc 3"/>
    <w:basedOn w:val="1"/>
    <w:next w:val="1"/>
    <w:autoRedefine/>
    <w:unhideWhenUsed/>
    <w:qFormat/>
    <w:uiPriority w:val="0"/>
    <w:pPr>
      <w:ind w:left="840" w:leftChars="400"/>
    </w:pPr>
  </w:style>
  <w:style w:type="paragraph" w:styleId="16">
    <w:name w:val="Plain Text"/>
    <w:basedOn w:val="1"/>
    <w:next w:val="17"/>
    <w:link w:val="62"/>
    <w:autoRedefine/>
    <w:qFormat/>
    <w:uiPriority w:val="0"/>
    <w:pPr>
      <w:widowControl w:val="0"/>
      <w:jc w:val="both"/>
    </w:pPr>
    <w:rPr>
      <w:rFonts w:ascii="宋体" w:hAnsi="Courier New"/>
      <w:kern w:val="2"/>
    </w:rPr>
  </w:style>
  <w:style w:type="paragraph" w:styleId="17">
    <w:name w:val="Date"/>
    <w:basedOn w:val="1"/>
    <w:next w:val="1"/>
    <w:autoRedefine/>
    <w:qFormat/>
    <w:uiPriority w:val="0"/>
    <w:pPr>
      <w:widowControl w:val="0"/>
      <w:jc w:val="both"/>
    </w:pPr>
    <w:rPr>
      <w:rFonts w:ascii="宋体"/>
      <w:sz w:val="24"/>
    </w:rPr>
  </w:style>
  <w:style w:type="paragraph" w:styleId="18">
    <w:name w:val="Balloon Text"/>
    <w:basedOn w:val="1"/>
    <w:link w:val="56"/>
    <w:autoRedefine/>
    <w:unhideWhenUsed/>
    <w:qFormat/>
    <w:uiPriority w:val="0"/>
    <w:rPr>
      <w:sz w:val="18"/>
      <w:szCs w:val="18"/>
    </w:rPr>
  </w:style>
  <w:style w:type="paragraph" w:styleId="19">
    <w:name w:val="footer"/>
    <w:basedOn w:val="1"/>
    <w:link w:val="58"/>
    <w:autoRedefine/>
    <w:qFormat/>
    <w:uiPriority w:val="0"/>
    <w:pPr>
      <w:tabs>
        <w:tab w:val="center" w:pos="4153"/>
        <w:tab w:val="right" w:pos="8306"/>
      </w:tabs>
      <w:snapToGrid w:val="0"/>
    </w:pPr>
    <w:rPr>
      <w:sz w:val="18"/>
    </w:rPr>
  </w:style>
  <w:style w:type="paragraph" w:styleId="20">
    <w:name w:val="header"/>
    <w:basedOn w:val="1"/>
    <w:link w:val="6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middleDot" w:pos="8948"/>
      </w:tabs>
    </w:pPr>
    <w:rPr>
      <w:rFonts w:ascii="宋体" w:hAnsi="宋体"/>
      <w:b/>
      <w:bCs/>
      <w:caps/>
      <w:szCs w:val="21"/>
    </w:rPr>
  </w:style>
  <w:style w:type="paragraph" w:styleId="22">
    <w:name w:val="List"/>
    <w:basedOn w:val="1"/>
    <w:autoRedefine/>
    <w:qFormat/>
    <w:uiPriority w:val="0"/>
    <w:pPr>
      <w:ind w:left="200" w:hanging="200" w:hangingChars="200"/>
    </w:pPr>
    <w:rPr>
      <w:sz w:val="28"/>
    </w:rPr>
  </w:style>
  <w:style w:type="paragraph" w:styleId="23">
    <w:name w:val="toc 6"/>
    <w:basedOn w:val="1"/>
    <w:next w:val="1"/>
    <w:autoRedefine/>
    <w:qFormat/>
    <w:uiPriority w:val="0"/>
    <w:pPr>
      <w:ind w:left="2100" w:leftChars="1000"/>
    </w:pPr>
    <w:rPr>
      <w:szCs w:val="22"/>
    </w:rPr>
  </w:style>
  <w:style w:type="paragraph" w:styleId="24">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5">
    <w:name w:val="Title"/>
    <w:basedOn w:val="1"/>
    <w:next w:val="1"/>
    <w:autoRedefine/>
    <w:qFormat/>
    <w:uiPriority w:val="0"/>
    <w:pPr>
      <w:pBdr>
        <w:top w:val="single" w:color="A7BFDE" w:sz="8" w:space="10"/>
        <w:bottom w:val="single" w:color="9BBB59" w:sz="24" w:space="15"/>
      </w:pBdr>
      <w:jc w:val="center"/>
    </w:pPr>
    <w:rPr>
      <w:rFonts w:ascii="宋体" w:hAnsi="Courier New" w:eastAsia="宋体" w:cs="Courier New"/>
      <w:sz w:val="21"/>
      <w:szCs w:val="21"/>
    </w:rPr>
  </w:style>
  <w:style w:type="paragraph" w:styleId="26">
    <w:name w:val="Body Text First Indent 2"/>
    <w:basedOn w:val="14"/>
    <w:next w:val="1"/>
    <w:autoRedefine/>
    <w:qFormat/>
    <w:uiPriority w:val="0"/>
    <w:pPr>
      <w:tabs>
        <w:tab w:val="left" w:pos="0"/>
        <w:tab w:val="left" w:pos="993"/>
        <w:tab w:val="left" w:pos="1134"/>
      </w:tabs>
      <w:ind w:left="0" w:leftChars="0" w:firstLine="42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0"/>
  </w:style>
  <w:style w:type="character" w:styleId="34">
    <w:name w:val="HTML Definition"/>
    <w:basedOn w:val="29"/>
    <w:autoRedefine/>
    <w:qFormat/>
    <w:uiPriority w:val="0"/>
  </w:style>
  <w:style w:type="character" w:styleId="35">
    <w:name w:val="HTML Typewriter"/>
    <w:basedOn w:val="29"/>
    <w:autoRedefine/>
    <w:qFormat/>
    <w:uiPriority w:val="0"/>
    <w:rPr>
      <w:rFonts w:ascii="monospace" w:hAnsi="monospace" w:eastAsia="monospace" w:cs="monospace"/>
      <w:sz w:val="20"/>
    </w:rPr>
  </w:style>
  <w:style w:type="character" w:styleId="36">
    <w:name w:val="HTML Acronym"/>
    <w:basedOn w:val="29"/>
    <w:autoRedefine/>
    <w:qFormat/>
    <w:uiPriority w:val="0"/>
  </w:style>
  <w:style w:type="character" w:styleId="37">
    <w:name w:val="HTML Variable"/>
    <w:basedOn w:val="29"/>
    <w:autoRedefine/>
    <w:qFormat/>
    <w:uiPriority w:val="0"/>
  </w:style>
  <w:style w:type="character" w:styleId="38">
    <w:name w:val="Hyperlink"/>
    <w:autoRedefine/>
    <w:qFormat/>
    <w:uiPriority w:val="99"/>
    <w:rPr>
      <w:color w:val="0000FF"/>
      <w:u w:val="single"/>
    </w:rPr>
  </w:style>
  <w:style w:type="character" w:styleId="39">
    <w:name w:val="HTML Code"/>
    <w:basedOn w:val="29"/>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29"/>
    <w:autoRedefine/>
    <w:qFormat/>
    <w:uiPriority w:val="0"/>
  </w:style>
  <w:style w:type="character" w:styleId="42">
    <w:name w:val="HTML Keyboard"/>
    <w:basedOn w:val="29"/>
    <w:autoRedefine/>
    <w:qFormat/>
    <w:uiPriority w:val="0"/>
    <w:rPr>
      <w:rFonts w:hint="default" w:ascii="monospace" w:hAnsi="monospace" w:eastAsia="monospace" w:cs="monospace"/>
      <w:sz w:val="20"/>
    </w:rPr>
  </w:style>
  <w:style w:type="character" w:styleId="43">
    <w:name w:val="HTML Sample"/>
    <w:basedOn w:val="29"/>
    <w:autoRedefine/>
    <w:qFormat/>
    <w:uiPriority w:val="0"/>
    <w:rPr>
      <w:rFonts w:hint="default" w:ascii="monospace" w:hAnsi="monospace" w:eastAsia="monospace" w:cs="monospace"/>
    </w:rPr>
  </w:style>
  <w:style w:type="paragraph" w:customStyle="1" w:styleId="44">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45">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46">
    <w:name w:val="标题 3 Char"/>
    <w:link w:val="5"/>
    <w:autoRedefine/>
    <w:qFormat/>
    <w:uiPriority w:val="0"/>
    <w:rPr>
      <w:rFonts w:eastAsia="宋体"/>
      <w:b/>
      <w:bCs/>
      <w:sz w:val="32"/>
      <w:szCs w:val="32"/>
      <w:lang w:bidi="ar-SA"/>
    </w:rPr>
  </w:style>
  <w:style w:type="character" w:customStyle="1" w:styleId="47">
    <w:name w:val="hang1"/>
    <w:basedOn w:val="29"/>
    <w:autoRedefine/>
    <w:qFormat/>
    <w:uiPriority w:val="0"/>
  </w:style>
  <w:style w:type="character" w:customStyle="1" w:styleId="48">
    <w:name w:val="font01"/>
    <w:basedOn w:val="29"/>
    <w:autoRedefine/>
    <w:qFormat/>
    <w:uiPriority w:val="0"/>
    <w:rPr>
      <w:rFonts w:hint="eastAsia" w:ascii="宋体" w:hAnsi="宋体" w:eastAsia="宋体" w:cs="宋体"/>
      <w:color w:val="000000"/>
      <w:sz w:val="22"/>
      <w:szCs w:val="22"/>
      <w:u w:val="none"/>
    </w:rPr>
  </w:style>
  <w:style w:type="character" w:customStyle="1" w:styleId="49">
    <w:name w:val="正文首行缩进 Char"/>
    <w:link w:val="13"/>
    <w:autoRedefine/>
    <w:qFormat/>
    <w:uiPriority w:val="0"/>
    <w:rPr>
      <w:rFonts w:eastAsia="楷体_GB2312"/>
      <w:kern w:val="2"/>
      <w:sz w:val="21"/>
      <w:lang w:bidi="ar-SA"/>
    </w:rPr>
  </w:style>
  <w:style w:type="character" w:customStyle="1" w:styleId="50">
    <w:name w:val="正文缩进 Char"/>
    <w:link w:val="7"/>
    <w:autoRedefine/>
    <w:qFormat/>
    <w:uiPriority w:val="0"/>
    <w:rPr>
      <w:rFonts w:eastAsia="宋体"/>
      <w:sz w:val="21"/>
      <w:lang w:bidi="ar-SA"/>
    </w:rPr>
  </w:style>
  <w:style w:type="character" w:customStyle="1" w:styleId="51">
    <w:name w:val="页眉 Char"/>
    <w:autoRedefine/>
    <w:qFormat/>
    <w:uiPriority w:val="0"/>
    <w:rPr>
      <w:kern w:val="2"/>
      <w:sz w:val="18"/>
      <w:szCs w:val="18"/>
    </w:rPr>
  </w:style>
  <w:style w:type="character" w:customStyle="1" w:styleId="52">
    <w:name w:val="文档结构图 Char"/>
    <w:link w:val="10"/>
    <w:autoRedefine/>
    <w:semiHidden/>
    <w:qFormat/>
    <w:uiPriority w:val="0"/>
    <w:rPr>
      <w:rFonts w:ascii="宋体" w:eastAsia="宋体"/>
      <w:sz w:val="18"/>
      <w:szCs w:val="18"/>
      <w:lang w:bidi="ar-SA"/>
    </w:rPr>
  </w:style>
  <w:style w:type="character" w:customStyle="1" w:styleId="53">
    <w:name w:val="apple-style-span"/>
    <w:autoRedefine/>
    <w:qFormat/>
    <w:uiPriority w:val="0"/>
  </w:style>
  <w:style w:type="character" w:customStyle="1" w:styleId="54">
    <w:name w:val="标题 1 Char"/>
    <w:link w:val="3"/>
    <w:autoRedefine/>
    <w:qFormat/>
    <w:uiPriority w:val="0"/>
    <w:rPr>
      <w:rFonts w:ascii="宋体" w:eastAsia="宋体"/>
      <w:b/>
      <w:kern w:val="44"/>
      <w:sz w:val="24"/>
      <w:lang w:bidi="ar-SA"/>
    </w:rPr>
  </w:style>
  <w:style w:type="character" w:customStyle="1" w:styleId="55">
    <w:name w:val="纯文本 Char Char Char Char Char Char Char Char Char Char Char Char Char Char3"/>
    <w:autoRedefine/>
    <w:qFormat/>
    <w:uiPriority w:val="0"/>
    <w:rPr>
      <w:rFonts w:ascii="宋体" w:hAnsi="Courier New"/>
      <w:sz w:val="18"/>
      <w:lang w:bidi="ar-SA"/>
    </w:rPr>
  </w:style>
  <w:style w:type="character" w:customStyle="1" w:styleId="56">
    <w:name w:val="批注框文本 Char"/>
    <w:link w:val="18"/>
    <w:autoRedefine/>
    <w:semiHidden/>
    <w:qFormat/>
    <w:uiPriority w:val="0"/>
    <w:rPr>
      <w:rFonts w:eastAsia="宋体"/>
      <w:sz w:val="18"/>
      <w:szCs w:val="18"/>
      <w:lang w:bidi="ar-SA"/>
    </w:rPr>
  </w:style>
  <w:style w:type="character" w:customStyle="1" w:styleId="57">
    <w:name w:val="标题 2 Char"/>
    <w:link w:val="4"/>
    <w:autoRedefine/>
    <w:semiHidden/>
    <w:qFormat/>
    <w:uiPriority w:val="0"/>
    <w:rPr>
      <w:rFonts w:ascii="Cambria" w:hAnsi="Cambria" w:eastAsia="宋体"/>
      <w:b/>
      <w:bCs/>
      <w:sz w:val="32"/>
      <w:szCs w:val="32"/>
      <w:lang w:bidi="ar-SA"/>
    </w:rPr>
  </w:style>
  <w:style w:type="character" w:customStyle="1" w:styleId="58">
    <w:name w:val="页脚 Char"/>
    <w:link w:val="19"/>
    <w:autoRedefine/>
    <w:qFormat/>
    <w:uiPriority w:val="0"/>
    <w:rPr>
      <w:rFonts w:eastAsia="宋体"/>
      <w:sz w:val="18"/>
      <w:lang w:bidi="ar-SA"/>
    </w:rPr>
  </w:style>
  <w:style w:type="character" w:customStyle="1" w:styleId="59">
    <w:name w:val="正文文本 Char"/>
    <w:link w:val="12"/>
    <w:autoRedefine/>
    <w:qFormat/>
    <w:uiPriority w:val="0"/>
    <w:rPr>
      <w:rFonts w:ascii="楷体_GB2312" w:eastAsia="楷体_GB2312"/>
      <w:kern w:val="2"/>
      <w:sz w:val="32"/>
      <w:lang w:bidi="ar-SA"/>
    </w:rPr>
  </w:style>
  <w:style w:type="character" w:customStyle="1" w:styleId="60">
    <w:name w:val="Normal Indent Char"/>
    <w:autoRedefine/>
    <w:qFormat/>
    <w:locked/>
    <w:uiPriority w:val="0"/>
    <w:rPr>
      <w:rFonts w:ascii="Calibri" w:hAnsi="Calibri" w:eastAsia="宋体"/>
      <w:kern w:val="2"/>
      <w:sz w:val="21"/>
    </w:rPr>
  </w:style>
  <w:style w:type="character" w:customStyle="1" w:styleId="61">
    <w:name w:val="页眉 Char1"/>
    <w:link w:val="20"/>
    <w:autoRedefine/>
    <w:qFormat/>
    <w:uiPriority w:val="0"/>
    <w:rPr>
      <w:rFonts w:eastAsia="宋体"/>
      <w:sz w:val="18"/>
      <w:szCs w:val="18"/>
      <w:lang w:bidi="ar-SA"/>
    </w:rPr>
  </w:style>
  <w:style w:type="character" w:customStyle="1" w:styleId="62">
    <w:name w:val="纯文本 Char"/>
    <w:link w:val="16"/>
    <w:autoRedefine/>
    <w:qFormat/>
    <w:uiPriority w:val="0"/>
    <w:rPr>
      <w:rFonts w:ascii="宋体" w:hAnsi="Courier New" w:eastAsia="宋体"/>
      <w:kern w:val="2"/>
      <w:sz w:val="21"/>
      <w:lang w:bidi="ar-SA"/>
    </w:rPr>
  </w:style>
  <w:style w:type="character" w:customStyle="1" w:styleId="63">
    <w:name w:val="neinongs1"/>
    <w:autoRedefine/>
    <w:qFormat/>
    <w:uiPriority w:val="0"/>
  </w:style>
  <w:style w:type="character" w:customStyle="1" w:styleId="64">
    <w:name w:val="NormalCharacter"/>
    <w:autoRedefine/>
    <w:semiHidden/>
    <w:qFormat/>
    <w:uiPriority w:val="0"/>
  </w:style>
  <w:style w:type="paragraph" w:customStyle="1" w:styleId="65">
    <w:name w:val="_Style 7"/>
    <w:basedOn w:val="12"/>
    <w:next w:val="13"/>
    <w:autoRedefine/>
    <w:qFormat/>
    <w:uiPriority w:val="0"/>
    <w:pPr>
      <w:widowControl/>
      <w:ind w:firstLine="420" w:firstLineChars="100"/>
      <w:jc w:val="left"/>
    </w:pPr>
    <w:rPr>
      <w:rFonts w:ascii="Times New Roman"/>
    </w:rPr>
  </w:style>
  <w:style w:type="paragraph" w:customStyle="1" w:styleId="66">
    <w:name w:val="纯文本1"/>
    <w:basedOn w:val="67"/>
    <w:autoRedefine/>
    <w:qFormat/>
    <w:uiPriority w:val="0"/>
    <w:pPr>
      <w:widowControl/>
      <w:jc w:val="left"/>
    </w:pPr>
    <w:rPr>
      <w:rFonts w:ascii="宋体" w:hAnsi="Courier New"/>
    </w:rPr>
  </w:style>
  <w:style w:type="paragraph" w:customStyle="1" w:styleId="67">
    <w:name w:val="正文1"/>
    <w:basedOn w:val="15"/>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
    <w:name w:val="Char Char Char Char Char Char Char"/>
    <w:basedOn w:val="1"/>
    <w:autoRedefine/>
    <w:qFormat/>
    <w:uiPriority w:val="0"/>
    <w:pPr>
      <w:widowControl w:val="0"/>
      <w:jc w:val="both"/>
    </w:pPr>
    <w:rPr>
      <w:rFonts w:ascii="仿宋_GB2312" w:eastAsia="仿宋_GB2312"/>
      <w:b/>
      <w:kern w:val="2"/>
      <w:sz w:val="32"/>
      <w:szCs w:val="32"/>
    </w:rPr>
  </w:style>
  <w:style w:type="paragraph" w:customStyle="1" w:styleId="69">
    <w:name w:val="List Paragraph"/>
    <w:basedOn w:val="1"/>
    <w:autoRedefine/>
    <w:qFormat/>
    <w:uiPriority w:val="99"/>
    <w:pPr>
      <w:ind w:firstLine="420" w:firstLineChars="200"/>
    </w:pPr>
  </w:style>
  <w:style w:type="paragraph" w:customStyle="1" w:styleId="70">
    <w:name w:val="正文首行缩进1"/>
    <w:basedOn w:val="12"/>
    <w:autoRedefine/>
    <w:qFormat/>
    <w:uiPriority w:val="0"/>
    <w:pPr>
      <w:spacing w:after="120" w:line="240" w:lineRule="auto"/>
      <w:ind w:firstLine="420" w:firstLineChars="100"/>
    </w:pPr>
    <w:rPr>
      <w:rFonts w:ascii="Times New Roman" w:eastAsia="宋体"/>
      <w:sz w:val="21"/>
      <w:szCs w:val="24"/>
    </w:rPr>
  </w:style>
  <w:style w:type="paragraph" w:customStyle="1" w:styleId="71">
    <w:name w:val="Body Text First Indent1"/>
    <w:basedOn w:val="12"/>
    <w:autoRedefine/>
    <w:qFormat/>
    <w:uiPriority w:val="99"/>
    <w:pPr>
      <w:adjustRightInd w:val="0"/>
      <w:spacing w:after="120"/>
      <w:ind w:firstLine="420"/>
      <w:textAlignment w:val="baseline"/>
    </w:pPr>
    <w:rPr>
      <w:sz w:val="24"/>
    </w:rPr>
  </w:style>
  <w:style w:type="paragraph" w:customStyle="1" w:styleId="72">
    <w:name w:val="表格文字"/>
    <w:basedOn w:val="1"/>
    <w:next w:val="12"/>
    <w:autoRedefine/>
    <w:qFormat/>
    <w:uiPriority w:val="0"/>
    <w:pPr>
      <w:widowControl w:val="0"/>
    </w:pPr>
    <w:rPr>
      <w:rFonts w:ascii="Calibri" w:hAnsi="Calibri"/>
      <w:kern w:val="21"/>
      <w:szCs w:val="21"/>
    </w:rPr>
  </w:style>
  <w:style w:type="paragraph" w:customStyle="1" w:styleId="73">
    <w:name w:val="列出段落1"/>
    <w:basedOn w:val="1"/>
    <w:autoRedefine/>
    <w:qFormat/>
    <w:uiPriority w:val="0"/>
    <w:pPr>
      <w:ind w:firstLine="420" w:firstLineChars="200"/>
    </w:pPr>
  </w:style>
  <w:style w:type="paragraph" w:customStyle="1" w:styleId="74">
    <w:name w:val="Char Char Char1 Char Char Char Char Char Char Char Char Char1"/>
    <w:basedOn w:val="1"/>
    <w:autoRedefine/>
    <w:qFormat/>
    <w:uiPriority w:val="0"/>
    <w:pPr>
      <w:spacing w:after="160" w:line="240" w:lineRule="exact"/>
    </w:pPr>
    <w:rPr>
      <w:kern w:val="2"/>
      <w:szCs w:val="24"/>
    </w:rPr>
  </w:style>
  <w:style w:type="paragraph" w:customStyle="1" w:styleId="75">
    <w:name w:val="Char Char Char"/>
    <w:basedOn w:val="1"/>
    <w:autoRedefine/>
    <w:qFormat/>
    <w:uiPriority w:val="0"/>
    <w:pPr>
      <w:widowControl w:val="0"/>
      <w:jc w:val="both"/>
    </w:pPr>
    <w:rPr>
      <w:kern w:val="2"/>
    </w:rPr>
  </w:style>
  <w:style w:type="paragraph" w:customStyle="1" w:styleId="76">
    <w:name w:val="正文11"/>
    <w:basedOn w:val="1"/>
    <w:autoRedefine/>
    <w:qFormat/>
    <w:uiPriority w:val="0"/>
    <w:pPr>
      <w:adjustRightInd w:val="0"/>
      <w:spacing w:line="318" w:lineRule="atLeast"/>
      <w:ind w:left="369" w:firstLine="369"/>
      <w:textAlignment w:val="baseline"/>
    </w:pPr>
    <w:rPr>
      <w:rFonts w:ascii="宋体"/>
    </w:rPr>
  </w:style>
  <w:style w:type="paragraph" w:customStyle="1" w:styleId="77">
    <w:name w:val="Char Char"/>
    <w:basedOn w:val="1"/>
    <w:autoRedefine/>
    <w:qFormat/>
    <w:uiPriority w:val="0"/>
    <w:pPr>
      <w:widowControl w:val="0"/>
      <w:jc w:val="both"/>
    </w:pPr>
    <w:rPr>
      <w:rFonts w:ascii="仿宋_GB2312" w:eastAsia="仿宋_GB2312"/>
      <w:b/>
      <w:kern w:val="2"/>
      <w:sz w:val="32"/>
      <w:szCs w:val="32"/>
    </w:rPr>
  </w:style>
  <w:style w:type="paragraph" w:customStyle="1" w:styleId="78">
    <w:name w:val="Char Char Char Char Char Char Char Char Char Char Char Char Char"/>
    <w:basedOn w:val="1"/>
    <w:autoRedefine/>
    <w:qFormat/>
    <w:uiPriority w:val="0"/>
    <w:pPr>
      <w:widowControl w:val="0"/>
      <w:jc w:val="both"/>
    </w:pPr>
    <w:rPr>
      <w:rFonts w:ascii="仿宋_GB2312" w:hAnsi="宋体" w:eastAsia="仿宋_GB2312" w:cs="宋体"/>
      <w:b/>
      <w:bCs/>
      <w:color w:val="000000"/>
      <w:szCs w:val="21"/>
    </w:rPr>
  </w:style>
  <w:style w:type="paragraph" w:customStyle="1" w:styleId="79">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样式 正文文本缩进 + 左  0 字符"/>
    <w:basedOn w:val="14"/>
    <w:autoRedefine/>
    <w:qFormat/>
    <w:uiPriority w:val="0"/>
    <w:pPr>
      <w:widowControl w:val="0"/>
      <w:spacing w:after="0" w:line="360" w:lineRule="auto"/>
      <w:ind w:left="0" w:leftChars="0" w:firstLine="250" w:firstLineChars="250"/>
      <w:jc w:val="both"/>
    </w:pPr>
    <w:rPr>
      <w:kern w:val="2"/>
      <w:sz w:val="24"/>
    </w:rPr>
  </w:style>
  <w:style w:type="paragraph" w:customStyle="1" w:styleId="82">
    <w:name w:val="Char Char1 Char Char Char Char Char Char"/>
    <w:basedOn w:val="1"/>
    <w:autoRedefine/>
    <w:qFormat/>
    <w:uiPriority w:val="0"/>
    <w:pPr>
      <w:widowControl w:val="0"/>
      <w:spacing w:line="600" w:lineRule="exact"/>
      <w:jc w:val="both"/>
    </w:pPr>
    <w:rPr>
      <w:rFonts w:ascii="ˎ̥" w:hAnsi="ˎ̥" w:cs="宋体"/>
    </w:rPr>
  </w:style>
  <w:style w:type="paragraph" w:customStyle="1" w:styleId="83">
    <w:name w:val="Indent a)"/>
    <w:basedOn w:val="1"/>
    <w:autoRedefine/>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84">
    <w:name w:val="投标正文"/>
    <w:basedOn w:val="1"/>
    <w:autoRedefine/>
    <w:qFormat/>
    <w:uiPriority w:val="0"/>
    <w:pPr>
      <w:spacing w:line="360" w:lineRule="auto"/>
      <w:ind w:left="102" w:firstLine="200" w:firstLineChars="200"/>
    </w:pPr>
    <w:rPr>
      <w:sz w:val="24"/>
    </w:rPr>
  </w:style>
  <w:style w:type="paragraph" w:customStyle="1" w:styleId="85">
    <w:name w:val="p0"/>
    <w:basedOn w:val="1"/>
    <w:autoRedefine/>
    <w:unhideWhenUsed/>
    <w:qFormat/>
    <w:uiPriority w:val="0"/>
    <w:pPr>
      <w:widowControl/>
      <w:spacing w:line="324" w:lineRule="auto"/>
    </w:pPr>
    <w:rPr>
      <w:rFonts w:hint="eastAsia" w:ascii="Times New Roman" w:hAnsi="Times New Roman" w:eastAsia="仿宋_GB2312"/>
      <w:sz w:val="24"/>
      <w:szCs w:val="20"/>
    </w:rPr>
  </w:style>
  <w:style w:type="paragraph" w:customStyle="1" w:styleId="86">
    <w:name w:val="*正文"/>
    <w:basedOn w:val="1"/>
    <w:autoRedefine/>
    <w:qFormat/>
    <w:uiPriority w:val="0"/>
    <w:pPr>
      <w:widowControl w:val="0"/>
      <w:ind w:firstLine="560" w:firstLineChars="200"/>
    </w:pPr>
    <w:rPr>
      <w:rFonts w:ascii="Times New Roman" w:hAnsi="Times New Roman" w:eastAsia="仿宋_GB2312" w:cs="仿宋_GB2312"/>
      <w:kern w:val="2"/>
      <w:sz w:val="28"/>
      <w:shd w:val="clear" w:color="auto" w:fill="FFFFFF"/>
    </w:rPr>
  </w:style>
  <w:style w:type="paragraph" w:customStyle="1" w:styleId="87">
    <w:name w:val="本文-正文"/>
    <w:basedOn w:val="1"/>
    <w:next w:val="1"/>
    <w:autoRedefine/>
    <w:qFormat/>
    <w:uiPriority w:val="0"/>
    <w:pPr>
      <w:widowControl w:val="0"/>
      <w:spacing w:line="360" w:lineRule="auto"/>
      <w:ind w:firstLine="200" w:firstLineChars="200"/>
      <w:jc w:val="both"/>
    </w:pPr>
    <w:rPr>
      <w:rFonts w:ascii="Times New Roman" w:hAnsi="Times New Roman" w:cs="Times New Roman"/>
      <w:kern w:val="2"/>
      <w:sz w:val="28"/>
    </w:rPr>
  </w:style>
  <w:style w:type="paragraph" w:customStyle="1" w:styleId="88">
    <w:name w:val="Normal Indent1"/>
    <w:basedOn w:val="1"/>
    <w:autoRedefine/>
    <w:qFormat/>
    <w:uiPriority w:val="0"/>
    <w:pPr>
      <w:ind w:firstLine="420"/>
    </w:pPr>
    <w:rPr>
      <w:rFonts w:ascii="Times New Roman" w:hAnsi="Times New Roman" w:eastAsia="宋体" w:cs="Times New Roman"/>
    </w:rPr>
  </w:style>
  <w:style w:type="paragraph" w:customStyle="1" w:styleId="89">
    <w:name w:val="Body text|1"/>
    <w:basedOn w:val="1"/>
    <w:autoRedefine/>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90">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1">
    <w:name w:val="Plain Text"/>
    <w:basedOn w:val="1"/>
    <w:autoRedefine/>
    <w:qFormat/>
    <w:uiPriority w:val="0"/>
    <w:pPr>
      <w:adjustRightInd w:val="0"/>
      <w:textAlignment w:val="baseline"/>
    </w:pPr>
    <w:rPr>
      <w:rFonts w:ascii="宋体" w:hAnsi="Courier New" w:eastAsia="楷体_GB2312"/>
      <w:sz w:val="26"/>
      <w:szCs w:val="20"/>
    </w:rPr>
  </w:style>
  <w:style w:type="character" w:customStyle="1" w:styleId="92">
    <w:name w:val="font11"/>
    <w:basedOn w:val="29"/>
    <w:autoRedefine/>
    <w:qFormat/>
    <w:uiPriority w:val="0"/>
    <w:rPr>
      <w:rFonts w:hint="eastAsia" w:ascii="宋体" w:hAnsi="宋体" w:eastAsia="宋体" w:cs="宋体"/>
      <w:b/>
      <w:color w:val="000000"/>
      <w:sz w:val="18"/>
      <w:szCs w:val="18"/>
      <w:u w:val="none"/>
    </w:rPr>
  </w:style>
  <w:style w:type="paragraph" w:customStyle="1" w:styleId="93">
    <w:name w:val=" Char Char Char1 Char Char Char Char Char Char Char Char Char1"/>
    <w:basedOn w:val="1"/>
    <w:autoRedefine/>
    <w:qFormat/>
    <w:uiPriority w:val="0"/>
    <w:pPr>
      <w:spacing w:after="160" w:line="240" w:lineRule="exact"/>
    </w:pPr>
    <w:rPr>
      <w:rFonts w:ascii="Times New Roman" w:hAnsi="Times New Roman" w:cs="Times New Roman"/>
      <w:kern w:val="2"/>
      <w:sz w:val="21"/>
    </w:rPr>
  </w:style>
  <w:style w:type="paragraph" w:customStyle="1" w:styleId="94">
    <w:name w:val="BZ_列举"/>
    <w:basedOn w:val="1"/>
    <w:autoRedefine/>
    <w:qFormat/>
    <w:uiPriority w:val="0"/>
    <w:pPr>
      <w:numPr>
        <w:ilvl w:val="0"/>
        <w:numId w:val="1"/>
      </w:numPr>
      <w:tabs>
        <w:tab w:val="left" w:pos="0"/>
      </w:tabs>
      <w:spacing w:line="360" w:lineRule="auto"/>
      <w:jc w:val="both"/>
    </w:pPr>
    <w:rPr>
      <w:rFonts w:ascii="Times New Roman" w:hAnsi="Times New Roman" w:cs="Times New Roman"/>
      <w:kern w:val="2"/>
    </w:rPr>
  </w:style>
  <w:style w:type="paragraph" w:customStyle="1" w:styleId="95">
    <w:name w:val="样式1"/>
    <w:basedOn w:val="1"/>
    <w:autoRedefine/>
    <w:qFormat/>
    <w:uiPriority w:val="0"/>
    <w:pPr>
      <w:spacing w:line="360" w:lineRule="exact"/>
      <w:ind w:firstLine="200" w:firstLineChars="200"/>
    </w:pPr>
    <w:rPr>
      <w:rFonts w:ascii="Arial" w:hAnsi="Arial"/>
    </w:rPr>
  </w:style>
  <w:style w:type="paragraph" w:customStyle="1" w:styleId="96">
    <w:name w:val="Table Text"/>
    <w:basedOn w:val="1"/>
    <w:autoRedefine/>
    <w:semiHidden/>
    <w:qFormat/>
    <w:uiPriority w:val="0"/>
    <w:rPr>
      <w:rFonts w:ascii="微软雅黑" w:hAnsi="微软雅黑" w:eastAsia="微软雅黑" w:cs="微软雅黑"/>
      <w:sz w:val="24"/>
      <w:szCs w:val="24"/>
      <w:lang w:val="en-US" w:eastAsia="en-US" w:bidi="ar-SA"/>
    </w:rPr>
  </w:style>
  <w:style w:type="paragraph" w:customStyle="1" w:styleId="97">
    <w:name w:val="正文_new"/>
    <w:basedOn w:val="1"/>
    <w:autoRedefine/>
    <w:qFormat/>
    <w:uiPriority w:val="0"/>
    <w:pPr>
      <w:adjustRightInd w:val="0"/>
      <w:snapToGrid w:val="0"/>
      <w:spacing w:line="360" w:lineRule="auto"/>
      <w:ind w:firstLine="480" w:firstLineChars="200"/>
    </w:pPr>
    <w:rPr>
      <w:rFonts w:ascii="Times New Roman" w:hAnsi="Times New Roman"/>
    </w:rPr>
  </w:style>
  <w:style w:type="paragraph" w:customStyle="1" w:styleId="98">
    <w:name w:val="正文2"/>
    <w:basedOn w:val="1"/>
    <w:autoRedefine/>
    <w:qFormat/>
    <w:uiPriority w:val="0"/>
    <w:pPr>
      <w:spacing w:before="156" w:after="100" w:afterAutospacing="1" w:line="360" w:lineRule="auto"/>
      <w:ind w:firstLine="510" w:firstLineChars="200"/>
    </w:pPr>
    <w:rPr>
      <w:rFonts w:cs="Calibri"/>
      <w:sz w:val="24"/>
    </w:rPr>
  </w:style>
  <w:style w:type="character" w:customStyle="1" w:styleId="99">
    <w:name w:val="font21"/>
    <w:basedOn w:val="29"/>
    <w:autoRedefine/>
    <w:qFormat/>
    <w:uiPriority w:val="0"/>
    <w:rPr>
      <w:rFonts w:hint="eastAsia" w:ascii="宋体" w:hAnsi="宋体" w:eastAsia="宋体" w:cs="宋体"/>
      <w:b/>
      <w:bCs/>
      <w:color w:val="000000"/>
      <w:sz w:val="20"/>
      <w:szCs w:val="20"/>
      <w:u w:val="none"/>
    </w:rPr>
  </w:style>
  <w:style w:type="paragraph" w:customStyle="1" w:styleId="100">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01">
    <w:name w:val="默认段落字体 Para Char Char Char Char Char Char Char Char Char1 Char Char Char Char"/>
    <w:basedOn w:val="1"/>
    <w:autoRedefine/>
    <w:qFormat/>
    <w:uiPriority w:val="0"/>
    <w:rPr>
      <w:rFonts w:ascii="Tahoma" w:hAnsi="Tahoma"/>
      <w:sz w:val="24"/>
      <w:szCs w:val="20"/>
    </w:rPr>
  </w:style>
  <w:style w:type="paragraph" w:customStyle="1" w:styleId="102">
    <w:name w:val="Heading5"/>
    <w:basedOn w:val="1"/>
    <w:next w:val="1"/>
    <w:autoRedefine/>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29448</Words>
  <Characters>31762</Characters>
  <Lines>1</Lines>
  <Paragraphs>1</Paragraphs>
  <TotalTime>50</TotalTime>
  <ScaleCrop>false</ScaleCrop>
  <LinksUpToDate>false</LinksUpToDate>
  <CharactersWithSpaces>35204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2022-08-01T07:05:00Z</dcterms:created>
  <dc:creator>王桢之</dc:creator>
  <cp:lastModifiedBy>莫然</cp:lastModifiedBy>
  <cp:lastPrinted>2024-04-28T06:24:00Z</cp:lastPrinted>
  <dcterms:modified xsi:type="dcterms:W3CDTF">2024-04-28T08:09:05Z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F9C80F65C4864ED2A839024BE66287B7_13</vt:lpwstr>
  </property>
</Properties>
</file>