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2" w:beforeLines="50"/>
        <w:jc w:val="center"/>
        <w:rPr>
          <w:rFonts w:hint="eastAsia" w:ascii="Arial" w:hAnsi="Arial" w:eastAsia="宋体" w:cs="Arial"/>
          <w:b/>
          <w:color w:val="auto"/>
          <w:sz w:val="44"/>
          <w:szCs w:val="44"/>
          <w:highlight w:val="none"/>
          <w:lang w:eastAsia="zh-CN"/>
        </w:rPr>
      </w:pPr>
      <w:r>
        <w:rPr>
          <w:rFonts w:hint="eastAsia"/>
          <w:b/>
          <w:color w:val="auto"/>
          <w:sz w:val="44"/>
          <w:szCs w:val="44"/>
          <w:highlight w:val="none"/>
          <w:lang w:eastAsia="zh-CN"/>
        </w:rPr>
        <w:t>海盐县不动产权籍调查及制图测绘项目</w:t>
      </w:r>
    </w:p>
    <w:p>
      <w:pPr>
        <w:rPr>
          <w:rFonts w:ascii="Arial" w:hAnsi="Arial" w:cs="Arial"/>
          <w:color w:val="auto"/>
          <w:sz w:val="72"/>
          <w:highlight w:val="none"/>
        </w:rPr>
      </w:pPr>
      <w:bookmarkStart w:id="0" w:name="_Hlt162751967"/>
      <w:bookmarkEnd w:id="0"/>
    </w:p>
    <w:p>
      <w:pPr>
        <w:ind w:firstLine="1771" w:firstLineChars="245"/>
        <w:rPr>
          <w:rFonts w:ascii="黑体" w:hAnsi="Arial" w:eastAsia="黑体" w:cs="Arial"/>
          <w:b/>
          <w:bCs/>
          <w:color w:val="auto"/>
          <w:sz w:val="72"/>
          <w:highlight w:val="none"/>
        </w:rPr>
      </w:pPr>
    </w:p>
    <w:p>
      <w:pPr>
        <w:ind w:firstLine="1771" w:firstLineChars="245"/>
        <w:rPr>
          <w:rFonts w:ascii="黑体" w:hAnsi="Arial" w:eastAsia="黑体" w:cs="Arial"/>
          <w:b/>
          <w:bCs/>
          <w:color w:val="auto"/>
          <w:sz w:val="72"/>
          <w:highlight w:val="none"/>
        </w:rPr>
      </w:pPr>
    </w:p>
    <w:p>
      <w:pPr>
        <w:jc w:val="center"/>
        <w:rPr>
          <w:rFonts w:ascii="宋体" w:hAnsi="宋体" w:cs="宋体"/>
          <w:b/>
          <w:bCs/>
          <w:color w:val="auto"/>
          <w:sz w:val="72"/>
          <w:highlight w:val="none"/>
        </w:rPr>
      </w:pPr>
      <w:r>
        <w:rPr>
          <w:rFonts w:hint="eastAsia" w:ascii="宋体" w:hAnsi="宋体" w:cs="宋体"/>
          <w:b/>
          <w:bCs/>
          <w:color w:val="auto"/>
          <w:sz w:val="72"/>
          <w:highlight w:val="none"/>
        </w:rPr>
        <w:t>竞争性磋商文件</w:t>
      </w:r>
    </w:p>
    <w:p>
      <w:pPr>
        <w:rPr>
          <w:rFonts w:ascii="Arial" w:hAnsi="Arial" w:cs="Arial"/>
          <w:color w:val="auto"/>
          <w:sz w:val="28"/>
          <w:highlight w:val="none"/>
        </w:rPr>
      </w:pPr>
    </w:p>
    <w:p>
      <w:pPr>
        <w:rPr>
          <w:rFonts w:ascii="Arial" w:hAnsi="Arial" w:cs="Arial"/>
          <w:color w:val="auto"/>
          <w:sz w:val="30"/>
          <w:highlight w:val="none"/>
        </w:rPr>
      </w:pPr>
    </w:p>
    <w:p>
      <w:pPr>
        <w:rPr>
          <w:rFonts w:ascii="Arial" w:hAnsi="Arial" w:cs="Arial"/>
          <w:color w:val="auto"/>
          <w:sz w:val="30"/>
          <w:highlight w:val="none"/>
        </w:rPr>
      </w:pPr>
    </w:p>
    <w:p>
      <w:pPr>
        <w:rPr>
          <w:rFonts w:ascii="Arial" w:hAnsi="Arial" w:cs="Arial"/>
          <w:color w:val="auto"/>
          <w:sz w:val="30"/>
          <w:highlight w:val="none"/>
        </w:rPr>
      </w:pPr>
    </w:p>
    <w:p>
      <w:pPr>
        <w:rPr>
          <w:rFonts w:ascii="Arial" w:hAnsi="Arial" w:cs="Arial"/>
          <w:color w:val="auto"/>
          <w:sz w:val="30"/>
          <w:highlight w:val="none"/>
        </w:rPr>
      </w:pPr>
    </w:p>
    <w:p>
      <w:pPr>
        <w:jc w:val="both"/>
        <w:rPr>
          <w:rFonts w:ascii="Arial" w:hAnsi="Arial" w:cs="Arial"/>
          <w:color w:val="auto"/>
          <w:sz w:val="30"/>
          <w:highlight w:val="none"/>
        </w:rPr>
      </w:pPr>
    </w:p>
    <w:p>
      <w:pPr>
        <w:rPr>
          <w:rFonts w:ascii="Arial" w:hAnsi="Arial" w:cs="Arial"/>
          <w:color w:val="auto"/>
          <w:sz w:val="30"/>
          <w:highlight w:val="none"/>
        </w:rPr>
      </w:pPr>
    </w:p>
    <w:p>
      <w:pPr>
        <w:adjustRightInd w:val="0"/>
        <w:snapToGrid w:val="0"/>
        <w:spacing w:line="480" w:lineRule="auto"/>
        <w:ind w:firstLine="299" w:firstLineChars="99"/>
        <w:jc w:val="center"/>
        <w:rPr>
          <w:rFonts w:hint="eastAsia" w:ascii="宋体" w:hAnsi="宋体" w:eastAsia="宋体" w:cs="宋体"/>
          <w:snapToGrid w:val="0"/>
          <w:color w:val="auto"/>
          <w:sz w:val="30"/>
          <w:szCs w:val="30"/>
          <w:highlight w:val="none"/>
          <w:u w:val="single"/>
          <w:lang w:eastAsia="zh-CN"/>
        </w:rPr>
      </w:pPr>
      <w:r>
        <w:rPr>
          <w:rFonts w:hint="eastAsia" w:ascii="宋体" w:hAnsi="宋体" w:eastAsia="宋体" w:cs="宋体"/>
          <w:snapToGrid w:val="0"/>
          <w:color w:val="auto"/>
          <w:sz w:val="30"/>
          <w:szCs w:val="30"/>
          <w:highlight w:val="none"/>
        </w:rPr>
        <w:t>项目编号：</w:t>
      </w:r>
      <w:r>
        <w:rPr>
          <w:rFonts w:hint="eastAsia" w:ascii="宋体" w:hAnsi="宋体" w:eastAsia="宋体" w:cs="宋体"/>
          <w:snapToGrid w:val="0"/>
          <w:color w:val="auto"/>
          <w:sz w:val="30"/>
          <w:szCs w:val="30"/>
          <w:highlight w:val="none"/>
          <w:u w:val="single"/>
          <w:lang w:eastAsia="zh-CN"/>
        </w:rPr>
        <w:t>浙均和（2025）D099号</w:t>
      </w:r>
    </w:p>
    <w:p>
      <w:pPr>
        <w:adjustRightInd w:val="0"/>
        <w:snapToGrid w:val="0"/>
        <w:spacing w:line="480" w:lineRule="auto"/>
        <w:ind w:firstLine="299" w:firstLineChars="99"/>
        <w:jc w:val="center"/>
        <w:rPr>
          <w:rFonts w:hint="eastAsia" w:ascii="宋体" w:hAnsi="宋体" w:eastAsia="宋体" w:cs="宋体"/>
          <w:snapToGrid w:val="0"/>
          <w:color w:val="auto"/>
          <w:sz w:val="30"/>
          <w:szCs w:val="30"/>
          <w:highlight w:val="none"/>
          <w:u w:val="single"/>
          <w:lang w:eastAsia="zh-CN"/>
        </w:rPr>
      </w:pPr>
      <w:r>
        <w:rPr>
          <w:rFonts w:hint="eastAsia" w:ascii="宋体" w:hAnsi="宋体" w:eastAsia="宋体" w:cs="宋体"/>
          <w:snapToGrid w:val="0"/>
          <w:color w:val="auto"/>
          <w:sz w:val="30"/>
          <w:szCs w:val="30"/>
          <w:highlight w:val="none"/>
        </w:rPr>
        <w:t>项目名称：</w:t>
      </w:r>
      <w:r>
        <w:rPr>
          <w:rFonts w:hint="eastAsia" w:ascii="宋体" w:hAnsi="宋体" w:eastAsia="宋体" w:cs="宋体"/>
          <w:snapToGrid w:val="0"/>
          <w:color w:val="auto"/>
          <w:sz w:val="30"/>
          <w:szCs w:val="30"/>
          <w:highlight w:val="none"/>
          <w:u w:val="single"/>
          <w:lang w:eastAsia="zh-CN"/>
        </w:rPr>
        <w:t>海盐县不动产权籍调查及制图测绘项目</w:t>
      </w:r>
    </w:p>
    <w:p>
      <w:pPr>
        <w:adjustRightInd w:val="0"/>
        <w:snapToGrid w:val="0"/>
        <w:spacing w:line="480" w:lineRule="auto"/>
        <w:ind w:left="1723" w:leftChars="98" w:hanging="1515" w:hangingChars="500"/>
        <w:jc w:val="center"/>
        <w:rPr>
          <w:rFonts w:hint="eastAsia" w:ascii="宋体" w:hAnsi="宋体" w:eastAsia="宋体" w:cs="宋体"/>
          <w:snapToGrid w:val="0"/>
          <w:color w:val="auto"/>
          <w:sz w:val="30"/>
          <w:szCs w:val="30"/>
          <w:highlight w:val="none"/>
          <w:u w:val="single"/>
        </w:rPr>
      </w:pPr>
      <w:r>
        <w:rPr>
          <w:rFonts w:hint="eastAsia" w:ascii="宋体" w:hAnsi="宋体" w:eastAsia="宋体" w:cs="宋体"/>
          <w:snapToGrid w:val="0"/>
          <w:color w:val="auto"/>
          <w:sz w:val="30"/>
          <w:szCs w:val="30"/>
          <w:highlight w:val="none"/>
        </w:rPr>
        <w:t>采 购 人：</w:t>
      </w:r>
      <w:r>
        <w:rPr>
          <w:rFonts w:hint="eastAsia" w:ascii="宋体" w:hAnsi="宋体" w:eastAsia="宋体" w:cs="宋体"/>
          <w:color w:val="auto"/>
          <w:sz w:val="30"/>
          <w:szCs w:val="30"/>
          <w:highlight w:val="none"/>
          <w:u w:val="single"/>
        </w:rPr>
        <w:t>海盐县自然资源和规划局</w:t>
      </w:r>
      <w:r>
        <w:rPr>
          <w:rFonts w:hint="eastAsia" w:ascii="宋体" w:hAnsi="宋体" w:eastAsia="宋体" w:cs="宋体"/>
          <w:snapToGrid w:val="0"/>
          <w:color w:val="auto"/>
          <w:sz w:val="30"/>
          <w:szCs w:val="30"/>
          <w:highlight w:val="none"/>
          <w:u w:val="single"/>
        </w:rPr>
        <w:t>（盖章）</w:t>
      </w:r>
    </w:p>
    <w:p>
      <w:pPr>
        <w:adjustRightInd w:val="0"/>
        <w:snapToGrid w:val="0"/>
        <w:spacing w:line="480" w:lineRule="auto"/>
        <w:ind w:left="1723" w:leftChars="98" w:hanging="1515" w:hangingChars="500"/>
        <w:jc w:val="center"/>
        <w:rPr>
          <w:rFonts w:hint="eastAsia" w:ascii="宋体" w:hAnsi="宋体" w:eastAsia="宋体" w:cs="宋体"/>
          <w:snapToGrid w:val="0"/>
          <w:color w:val="auto"/>
          <w:sz w:val="30"/>
          <w:szCs w:val="30"/>
          <w:highlight w:val="none"/>
        </w:rPr>
      </w:pPr>
      <w:r>
        <w:rPr>
          <w:rFonts w:hint="eastAsia" w:ascii="宋体" w:hAnsi="宋体" w:eastAsia="宋体" w:cs="宋体"/>
          <w:snapToGrid w:val="0"/>
          <w:color w:val="auto"/>
          <w:sz w:val="30"/>
          <w:szCs w:val="30"/>
          <w:highlight w:val="none"/>
        </w:rPr>
        <w:t>代理机构：</w:t>
      </w:r>
      <w:r>
        <w:rPr>
          <w:rFonts w:hint="eastAsia" w:ascii="宋体" w:hAnsi="宋体" w:eastAsia="宋体" w:cs="宋体"/>
          <w:snapToGrid w:val="0"/>
          <w:color w:val="auto"/>
          <w:sz w:val="30"/>
          <w:szCs w:val="30"/>
          <w:highlight w:val="none"/>
          <w:u w:val="single"/>
        </w:rPr>
        <w:t>浙江均和工程管理有限公司（盖章）</w:t>
      </w:r>
    </w:p>
    <w:p>
      <w:pPr>
        <w:rPr>
          <w:rFonts w:ascii="Arial" w:hAnsi="Arial" w:cs="Arial"/>
          <w:b/>
          <w:color w:val="auto"/>
          <w:sz w:val="30"/>
          <w:highlight w:val="none"/>
        </w:rPr>
      </w:pPr>
    </w:p>
    <w:p>
      <w:pPr>
        <w:ind w:firstLine="3472" w:firstLineChars="1146"/>
        <w:rPr>
          <w:rFonts w:ascii="Arial" w:hAnsi="Arial" w:cs="Arial"/>
          <w:b/>
          <w:color w:val="auto"/>
          <w:sz w:val="30"/>
          <w:highlight w:val="none"/>
        </w:rPr>
      </w:pPr>
      <w:r>
        <w:rPr>
          <w:rFonts w:hint="eastAsia" w:ascii="Arial" w:hAnsi="Arial" w:cs="Arial"/>
          <w:b/>
          <w:color w:val="auto"/>
          <w:sz w:val="30"/>
          <w:szCs w:val="30"/>
          <w:highlight w:val="none"/>
        </w:rPr>
        <w:t>二〇二五年</w:t>
      </w:r>
      <w:r>
        <w:rPr>
          <w:rFonts w:hint="eastAsia" w:ascii="Arial" w:hAnsi="Arial" w:cs="Arial"/>
          <w:b/>
          <w:color w:val="auto"/>
          <w:sz w:val="30"/>
          <w:szCs w:val="30"/>
          <w:highlight w:val="none"/>
          <w:lang w:val="en-US" w:eastAsia="zh-CN"/>
        </w:rPr>
        <w:t>六</w:t>
      </w:r>
      <w:r>
        <w:rPr>
          <w:rFonts w:hint="eastAsia" w:ascii="Arial" w:hAnsi="Arial" w:cs="Arial"/>
          <w:b/>
          <w:color w:val="auto"/>
          <w:sz w:val="30"/>
          <w:szCs w:val="30"/>
          <w:highlight w:val="none"/>
        </w:rPr>
        <w:t>月</w:t>
      </w:r>
    </w:p>
    <w:p>
      <w:pPr>
        <w:rPr>
          <w:rFonts w:ascii="Arial" w:hAnsi="Arial" w:cs="Arial"/>
          <w:color w:val="auto"/>
          <w:highlight w:val="none"/>
        </w:rPr>
        <w:sectPr>
          <w:pgSz w:w="11849" w:h="16781"/>
          <w:pgMar w:top="1417" w:right="1417" w:bottom="1417" w:left="1417" w:header="850" w:footer="992" w:gutter="0"/>
          <w:pgNumType w:start="1"/>
          <w:cols w:space="0" w:num="1"/>
          <w:docGrid w:type="linesAndChars" w:linePitch="324" w:charSpace="819"/>
        </w:sectPr>
      </w:pPr>
    </w:p>
    <w:p>
      <w:pPr>
        <w:spacing w:line="276" w:lineRule="auto"/>
        <w:jc w:val="center"/>
        <w:rPr>
          <w:rFonts w:ascii="Arial" w:hAnsi="Arial" w:cs="Arial"/>
          <w:b/>
          <w:color w:val="auto"/>
          <w:sz w:val="40"/>
          <w:szCs w:val="32"/>
          <w:highlight w:val="none"/>
        </w:rPr>
      </w:pPr>
      <w:r>
        <w:rPr>
          <w:rFonts w:ascii="Arial" w:hAnsi="Arial" w:cs="Arial"/>
          <w:b/>
          <w:color w:val="auto"/>
          <w:sz w:val="40"/>
          <w:szCs w:val="32"/>
          <w:highlight w:val="none"/>
        </w:rPr>
        <w:t>目录</w:t>
      </w:r>
    </w:p>
    <w:p>
      <w:pPr>
        <w:spacing w:line="276" w:lineRule="auto"/>
        <w:jc w:val="center"/>
        <w:rPr>
          <w:rFonts w:ascii="Arial" w:hAnsi="Arial" w:cs="Arial"/>
          <w:b/>
          <w:color w:val="auto"/>
          <w:sz w:val="40"/>
          <w:szCs w:val="32"/>
          <w:highlight w:val="none"/>
        </w:rPr>
      </w:pPr>
    </w:p>
    <w:p>
      <w:pPr>
        <w:pStyle w:val="26"/>
        <w:tabs>
          <w:tab w:val="right" w:leader="dot" w:pos="9070"/>
          <w:tab w:val="clear" w:pos="8948"/>
        </w:tabs>
        <w:spacing w:line="480" w:lineRule="auto"/>
        <w:rPr>
          <w:color w:val="auto"/>
          <w:sz w:val="28"/>
          <w:szCs w:val="28"/>
          <w:highlight w:val="none"/>
        </w:rPr>
      </w:pPr>
      <w:r>
        <w:rPr>
          <w:rFonts w:cs="Arial"/>
          <w:b w:val="0"/>
          <w:color w:val="auto"/>
          <w:kern w:val="2"/>
          <w:sz w:val="28"/>
          <w:szCs w:val="28"/>
          <w:highlight w:val="none"/>
        </w:rPr>
        <w:fldChar w:fldCharType="begin"/>
      </w:r>
      <w:r>
        <w:rPr>
          <w:rFonts w:cs="Arial"/>
          <w:b w:val="0"/>
          <w:color w:val="auto"/>
          <w:kern w:val="2"/>
          <w:sz w:val="28"/>
          <w:szCs w:val="28"/>
          <w:highlight w:val="none"/>
        </w:rPr>
        <w:instrText xml:space="preserve"> TOC \o "1-3" \h \z \u </w:instrText>
      </w:r>
      <w:r>
        <w:rPr>
          <w:rFonts w:cs="Arial"/>
          <w:b w:val="0"/>
          <w:color w:val="auto"/>
          <w:kern w:val="2"/>
          <w:sz w:val="28"/>
          <w:szCs w:val="28"/>
          <w:highlight w:val="none"/>
        </w:rPr>
        <w:fldChar w:fldCharType="separate"/>
      </w:r>
      <w:r>
        <w:rPr>
          <w:color w:val="auto"/>
          <w:sz w:val="28"/>
          <w:szCs w:val="28"/>
          <w:highlight w:val="none"/>
        </w:rPr>
        <w:fldChar w:fldCharType="begin"/>
      </w:r>
      <w:r>
        <w:rPr>
          <w:color w:val="auto"/>
          <w:sz w:val="28"/>
          <w:szCs w:val="28"/>
          <w:highlight w:val="none"/>
        </w:rPr>
        <w:instrText xml:space="preserve">TOC \o "1-1" \h \u </w:instrText>
      </w:r>
      <w:r>
        <w:rPr>
          <w:color w:val="auto"/>
          <w:sz w:val="28"/>
          <w:szCs w:val="28"/>
          <w:highlight w:val="none"/>
        </w:rPr>
        <w:fldChar w:fldCharType="separate"/>
      </w:r>
      <w:r>
        <w:rPr>
          <w:color w:val="auto"/>
          <w:sz w:val="28"/>
          <w:szCs w:val="28"/>
          <w:highlight w:val="none"/>
        </w:rPr>
        <w:fldChar w:fldCharType="begin"/>
      </w:r>
      <w:r>
        <w:rPr>
          <w:color w:val="auto"/>
          <w:sz w:val="28"/>
          <w:szCs w:val="28"/>
          <w:highlight w:val="none"/>
        </w:rPr>
        <w:instrText xml:space="preserve"> HYPERLINK \l _Toc1400 </w:instrText>
      </w:r>
      <w:r>
        <w:rPr>
          <w:color w:val="auto"/>
          <w:sz w:val="28"/>
          <w:szCs w:val="28"/>
          <w:highlight w:val="none"/>
        </w:rPr>
        <w:fldChar w:fldCharType="separate"/>
      </w:r>
      <w:r>
        <w:rPr>
          <w:rFonts w:hint="eastAsia"/>
          <w:color w:val="auto"/>
          <w:sz w:val="28"/>
          <w:szCs w:val="28"/>
          <w:highlight w:val="none"/>
        </w:rPr>
        <w:t>第一</w:t>
      </w:r>
      <w:r>
        <w:rPr>
          <w:rFonts w:hint="eastAsia"/>
          <w:color w:val="auto"/>
          <w:sz w:val="28"/>
          <w:szCs w:val="28"/>
          <w:highlight w:val="none"/>
          <w:lang w:val="en-US" w:eastAsia="zh-CN"/>
        </w:rPr>
        <w:t>部分</w:t>
      </w:r>
      <w:r>
        <w:rPr>
          <w:rFonts w:hint="eastAsia"/>
          <w:color w:val="auto"/>
          <w:sz w:val="28"/>
          <w:szCs w:val="28"/>
          <w:highlight w:val="none"/>
        </w:rPr>
        <w:t xml:space="preserve">  </w:t>
      </w:r>
      <w:r>
        <w:rPr>
          <w:rFonts w:hint="eastAsia"/>
          <w:color w:val="auto"/>
          <w:sz w:val="28"/>
          <w:szCs w:val="28"/>
          <w:highlight w:val="none"/>
          <w:lang w:eastAsia="zh-CN"/>
        </w:rPr>
        <w:t>采购公告</w:t>
      </w:r>
      <w:r>
        <w:rPr>
          <w:color w:val="auto"/>
          <w:sz w:val="28"/>
          <w:szCs w:val="28"/>
          <w:highlight w:val="none"/>
        </w:rPr>
        <w:tab/>
      </w:r>
      <w:r>
        <w:rPr>
          <w:rFonts w:hint="eastAsia"/>
          <w:color w:val="auto"/>
          <w:sz w:val="28"/>
          <w:szCs w:val="28"/>
          <w:highlight w:val="none"/>
          <w:lang w:val="en-US" w:eastAsia="zh-CN"/>
        </w:rPr>
        <w:t>2</w:t>
      </w:r>
      <w:r>
        <w:rPr>
          <w:color w:val="auto"/>
          <w:sz w:val="28"/>
          <w:szCs w:val="28"/>
          <w:highlight w:val="none"/>
        </w:rPr>
        <w:fldChar w:fldCharType="end"/>
      </w:r>
    </w:p>
    <w:p>
      <w:pPr>
        <w:pStyle w:val="26"/>
        <w:tabs>
          <w:tab w:val="right" w:leader="dot" w:pos="9070"/>
          <w:tab w:val="clear" w:pos="8948"/>
        </w:tabs>
        <w:spacing w:line="480" w:lineRule="auto"/>
        <w:rPr>
          <w:rFonts w:hint="eastAsia" w:eastAsia="宋体"/>
          <w:color w:val="auto"/>
          <w:sz w:val="28"/>
          <w:szCs w:val="28"/>
          <w:highlight w:val="none"/>
          <w:lang w:val="en-US" w:eastAsia="zh-CN"/>
        </w:rPr>
      </w:pPr>
      <w:r>
        <w:rPr>
          <w:color w:val="auto"/>
          <w:sz w:val="28"/>
          <w:szCs w:val="28"/>
          <w:highlight w:val="none"/>
        </w:rPr>
        <w:fldChar w:fldCharType="begin"/>
      </w:r>
      <w:r>
        <w:rPr>
          <w:color w:val="auto"/>
          <w:sz w:val="28"/>
          <w:szCs w:val="28"/>
          <w:highlight w:val="none"/>
        </w:rPr>
        <w:instrText xml:space="preserve"> HYPERLINK \l _Toc16205 </w:instrText>
      </w:r>
      <w:r>
        <w:rPr>
          <w:color w:val="auto"/>
          <w:sz w:val="28"/>
          <w:szCs w:val="28"/>
          <w:highlight w:val="none"/>
        </w:rPr>
        <w:fldChar w:fldCharType="separate"/>
      </w:r>
      <w:r>
        <w:rPr>
          <w:rFonts w:hint="eastAsia"/>
          <w:color w:val="auto"/>
          <w:sz w:val="28"/>
          <w:szCs w:val="28"/>
          <w:highlight w:val="none"/>
        </w:rPr>
        <w:t>第二</w:t>
      </w:r>
      <w:r>
        <w:rPr>
          <w:rFonts w:hint="eastAsia"/>
          <w:color w:val="auto"/>
          <w:sz w:val="28"/>
          <w:szCs w:val="28"/>
          <w:highlight w:val="none"/>
          <w:lang w:val="en-US" w:eastAsia="zh-CN"/>
        </w:rPr>
        <w:t>部分</w:t>
      </w:r>
      <w:r>
        <w:rPr>
          <w:rFonts w:hint="eastAsia"/>
          <w:color w:val="auto"/>
          <w:sz w:val="28"/>
          <w:szCs w:val="28"/>
          <w:highlight w:val="none"/>
        </w:rPr>
        <w:t xml:space="preserve">   供应商须知</w:t>
      </w:r>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6</w:t>
      </w:r>
    </w:p>
    <w:p>
      <w:pPr>
        <w:pStyle w:val="26"/>
        <w:tabs>
          <w:tab w:val="right" w:leader="dot" w:pos="9070"/>
          <w:tab w:val="clear" w:pos="8948"/>
        </w:tabs>
        <w:spacing w:line="480" w:lineRule="auto"/>
        <w:rPr>
          <w:rFonts w:hint="default" w:eastAsia="宋体"/>
          <w:color w:val="auto"/>
          <w:sz w:val="28"/>
          <w:szCs w:val="28"/>
          <w:highlight w:val="none"/>
          <w:lang w:val="en-US" w:eastAsia="zh-CN"/>
        </w:rPr>
      </w:pPr>
      <w:r>
        <w:rPr>
          <w:color w:val="auto"/>
          <w:sz w:val="28"/>
          <w:szCs w:val="28"/>
          <w:highlight w:val="none"/>
        </w:rPr>
        <w:fldChar w:fldCharType="begin"/>
      </w:r>
      <w:r>
        <w:rPr>
          <w:color w:val="auto"/>
          <w:sz w:val="28"/>
          <w:szCs w:val="28"/>
          <w:highlight w:val="none"/>
        </w:rPr>
        <w:instrText xml:space="preserve"> HYPERLINK \l _Toc18149 </w:instrText>
      </w:r>
      <w:r>
        <w:rPr>
          <w:color w:val="auto"/>
          <w:sz w:val="28"/>
          <w:szCs w:val="28"/>
          <w:highlight w:val="none"/>
        </w:rPr>
        <w:fldChar w:fldCharType="separate"/>
      </w:r>
      <w:r>
        <w:rPr>
          <w:rFonts w:hint="eastAsia"/>
          <w:color w:val="auto"/>
          <w:sz w:val="28"/>
          <w:szCs w:val="28"/>
          <w:highlight w:val="none"/>
        </w:rPr>
        <w:t>第三</w:t>
      </w:r>
      <w:r>
        <w:rPr>
          <w:rFonts w:hint="eastAsia"/>
          <w:color w:val="auto"/>
          <w:sz w:val="28"/>
          <w:szCs w:val="28"/>
          <w:highlight w:val="none"/>
          <w:lang w:val="en-US" w:eastAsia="zh-CN"/>
        </w:rPr>
        <w:t>部分</w:t>
      </w:r>
      <w:r>
        <w:rPr>
          <w:rFonts w:hint="eastAsia"/>
          <w:color w:val="auto"/>
          <w:sz w:val="28"/>
          <w:szCs w:val="28"/>
          <w:highlight w:val="none"/>
        </w:rPr>
        <w:t xml:space="preserve">   采购需求</w:t>
      </w:r>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20</w:t>
      </w:r>
      <w:bookmarkStart w:id="63" w:name="_GoBack"/>
      <w:bookmarkEnd w:id="63"/>
    </w:p>
    <w:p>
      <w:pPr>
        <w:pStyle w:val="26"/>
        <w:tabs>
          <w:tab w:val="right" w:leader="dot" w:pos="9070"/>
          <w:tab w:val="clear" w:pos="8948"/>
        </w:tabs>
        <w:spacing w:line="480" w:lineRule="auto"/>
        <w:rPr>
          <w:rFonts w:hint="default" w:eastAsia="宋体"/>
          <w:color w:val="auto"/>
          <w:sz w:val="28"/>
          <w:szCs w:val="28"/>
          <w:highlight w:val="none"/>
          <w:lang w:val="en-US" w:eastAsia="zh-CN"/>
        </w:rPr>
      </w:pPr>
      <w:r>
        <w:rPr>
          <w:color w:val="auto"/>
          <w:sz w:val="28"/>
          <w:szCs w:val="28"/>
          <w:highlight w:val="none"/>
        </w:rPr>
        <w:fldChar w:fldCharType="begin"/>
      </w:r>
      <w:r>
        <w:rPr>
          <w:color w:val="auto"/>
          <w:sz w:val="28"/>
          <w:szCs w:val="28"/>
          <w:highlight w:val="none"/>
        </w:rPr>
        <w:instrText xml:space="preserve"> HYPERLINK \l _Toc27309 </w:instrText>
      </w:r>
      <w:r>
        <w:rPr>
          <w:color w:val="auto"/>
          <w:sz w:val="28"/>
          <w:szCs w:val="28"/>
          <w:highlight w:val="none"/>
        </w:rPr>
        <w:fldChar w:fldCharType="separate"/>
      </w:r>
      <w:r>
        <w:rPr>
          <w:rFonts w:hint="eastAsia"/>
          <w:color w:val="auto"/>
          <w:sz w:val="28"/>
          <w:szCs w:val="28"/>
          <w:highlight w:val="none"/>
        </w:rPr>
        <w:t>第四</w:t>
      </w:r>
      <w:r>
        <w:rPr>
          <w:rFonts w:hint="eastAsia"/>
          <w:color w:val="auto"/>
          <w:sz w:val="28"/>
          <w:szCs w:val="28"/>
          <w:highlight w:val="none"/>
          <w:lang w:val="en-US" w:eastAsia="zh-CN"/>
        </w:rPr>
        <w:t>部分</w:t>
      </w:r>
      <w:r>
        <w:rPr>
          <w:rFonts w:hint="eastAsia"/>
          <w:color w:val="auto"/>
          <w:sz w:val="28"/>
          <w:szCs w:val="28"/>
          <w:highlight w:val="none"/>
        </w:rPr>
        <w:t xml:space="preserve">   评标办法及评分标准</w:t>
      </w:r>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22</w:t>
      </w:r>
    </w:p>
    <w:p>
      <w:pPr>
        <w:pStyle w:val="26"/>
        <w:tabs>
          <w:tab w:val="right" w:leader="dot" w:pos="9070"/>
          <w:tab w:val="clear" w:pos="8948"/>
        </w:tabs>
        <w:spacing w:line="480" w:lineRule="auto"/>
        <w:rPr>
          <w:rFonts w:hint="eastAsia"/>
          <w:color w:val="auto"/>
          <w:sz w:val="28"/>
          <w:szCs w:val="28"/>
          <w:highlight w:val="none"/>
          <w:lang w:val="en-US" w:eastAsia="zh-CN"/>
        </w:rPr>
      </w:pPr>
      <w:r>
        <w:rPr>
          <w:color w:val="auto"/>
          <w:sz w:val="28"/>
          <w:szCs w:val="28"/>
          <w:highlight w:val="none"/>
        </w:rPr>
        <w:fldChar w:fldCharType="begin"/>
      </w:r>
      <w:r>
        <w:rPr>
          <w:color w:val="auto"/>
          <w:sz w:val="28"/>
          <w:szCs w:val="28"/>
          <w:highlight w:val="none"/>
        </w:rPr>
        <w:instrText xml:space="preserve"> HYPERLINK \l _Toc6501 </w:instrText>
      </w:r>
      <w:r>
        <w:rPr>
          <w:color w:val="auto"/>
          <w:sz w:val="28"/>
          <w:szCs w:val="28"/>
          <w:highlight w:val="none"/>
        </w:rPr>
        <w:fldChar w:fldCharType="separate"/>
      </w:r>
      <w:r>
        <w:rPr>
          <w:rFonts w:hint="eastAsia"/>
          <w:color w:val="auto"/>
          <w:sz w:val="28"/>
          <w:szCs w:val="28"/>
          <w:highlight w:val="none"/>
        </w:rPr>
        <w:t>第五</w:t>
      </w:r>
      <w:r>
        <w:rPr>
          <w:rFonts w:hint="eastAsia"/>
          <w:color w:val="auto"/>
          <w:sz w:val="28"/>
          <w:szCs w:val="28"/>
          <w:highlight w:val="none"/>
          <w:lang w:val="en-US" w:eastAsia="zh-CN"/>
        </w:rPr>
        <w:t>部分</w:t>
      </w:r>
      <w:r>
        <w:rPr>
          <w:rFonts w:hint="eastAsia"/>
          <w:color w:val="auto"/>
          <w:sz w:val="28"/>
          <w:szCs w:val="28"/>
          <w:highlight w:val="none"/>
        </w:rPr>
        <w:t xml:space="preserve">   合同主要条款</w:t>
      </w:r>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26</w:t>
      </w:r>
    </w:p>
    <w:p>
      <w:pPr>
        <w:pStyle w:val="26"/>
        <w:tabs>
          <w:tab w:val="right" w:leader="dot" w:pos="9070"/>
          <w:tab w:val="clear" w:pos="8948"/>
        </w:tabs>
        <w:spacing w:line="480" w:lineRule="auto"/>
        <w:rPr>
          <w:rFonts w:hint="default" w:eastAsia="宋体"/>
          <w:color w:val="auto"/>
          <w:sz w:val="28"/>
          <w:szCs w:val="28"/>
          <w:highlight w:val="none"/>
          <w:lang w:val="en-US" w:eastAsia="zh-CN"/>
        </w:rPr>
      </w:pPr>
      <w:r>
        <w:rPr>
          <w:color w:val="auto"/>
          <w:sz w:val="28"/>
          <w:szCs w:val="28"/>
          <w:highlight w:val="none"/>
        </w:rPr>
        <w:fldChar w:fldCharType="begin"/>
      </w:r>
      <w:r>
        <w:rPr>
          <w:color w:val="auto"/>
          <w:sz w:val="28"/>
          <w:szCs w:val="28"/>
          <w:highlight w:val="none"/>
        </w:rPr>
        <w:instrText xml:space="preserve"> HYPERLINK \l _Toc13514 </w:instrText>
      </w:r>
      <w:r>
        <w:rPr>
          <w:color w:val="auto"/>
          <w:sz w:val="28"/>
          <w:szCs w:val="28"/>
          <w:highlight w:val="none"/>
        </w:rPr>
        <w:fldChar w:fldCharType="separate"/>
      </w:r>
      <w:r>
        <w:rPr>
          <w:rFonts w:hint="eastAsia"/>
          <w:color w:val="auto"/>
          <w:sz w:val="28"/>
          <w:szCs w:val="28"/>
          <w:highlight w:val="none"/>
        </w:rPr>
        <w:t>第六</w:t>
      </w:r>
      <w:r>
        <w:rPr>
          <w:rFonts w:hint="eastAsia"/>
          <w:color w:val="auto"/>
          <w:sz w:val="28"/>
          <w:szCs w:val="28"/>
          <w:highlight w:val="none"/>
          <w:lang w:val="en-US" w:eastAsia="zh-CN"/>
        </w:rPr>
        <w:t>部分</w:t>
      </w:r>
      <w:r>
        <w:rPr>
          <w:rFonts w:hint="eastAsia"/>
          <w:color w:val="auto"/>
          <w:sz w:val="28"/>
          <w:szCs w:val="28"/>
          <w:highlight w:val="none"/>
        </w:rPr>
        <w:t xml:space="preserve"> 　</w:t>
      </w:r>
      <w:r>
        <w:rPr>
          <w:rFonts w:ascii="Arial" w:hAnsi="Arial" w:cs="Arial"/>
          <w:color w:val="auto"/>
          <w:sz w:val="28"/>
          <w:szCs w:val="28"/>
          <w:highlight w:val="none"/>
        </w:rPr>
        <w:t>竞争性磋商响应文件格式</w:t>
      </w:r>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34</w:t>
      </w:r>
    </w:p>
    <w:p>
      <w:pPr>
        <w:pStyle w:val="26"/>
        <w:tabs>
          <w:tab w:val="right" w:leader="dot" w:pos="9070"/>
          <w:tab w:val="clear" w:pos="8948"/>
        </w:tabs>
        <w:snapToGrid w:val="0"/>
        <w:spacing w:line="360" w:lineRule="auto"/>
        <w:rPr>
          <w:color w:val="auto"/>
          <w:highlight w:val="none"/>
        </w:rPr>
      </w:pPr>
      <w:r>
        <w:rPr>
          <w:b/>
          <w:color w:val="auto"/>
          <w:sz w:val="28"/>
          <w:szCs w:val="28"/>
          <w:highlight w:val="none"/>
        </w:rPr>
        <w:fldChar w:fldCharType="end"/>
      </w:r>
    </w:p>
    <w:p>
      <w:pPr>
        <w:pStyle w:val="28"/>
        <w:tabs>
          <w:tab w:val="right" w:leader="dot" w:pos="9070"/>
          <w:tab w:val="clear" w:pos="8948"/>
        </w:tabs>
        <w:spacing w:after="81"/>
        <w:rPr>
          <w:color w:val="auto"/>
          <w:highlight w:val="none"/>
        </w:rPr>
      </w:pPr>
    </w:p>
    <w:p>
      <w:pPr>
        <w:pStyle w:val="26"/>
        <w:spacing w:line="276" w:lineRule="auto"/>
        <w:rPr>
          <w:rFonts w:cs="Arial"/>
          <w:color w:val="auto"/>
          <w:kern w:val="2"/>
          <w:highlight w:val="none"/>
        </w:rPr>
      </w:pPr>
      <w:r>
        <w:rPr>
          <w:rFonts w:cs="Arial"/>
          <w:color w:val="auto"/>
          <w:kern w:val="2"/>
          <w:highlight w:val="none"/>
        </w:rPr>
        <w:fldChar w:fldCharType="end"/>
      </w:r>
    </w:p>
    <w:p>
      <w:pPr>
        <w:spacing w:line="276" w:lineRule="auto"/>
        <w:rPr>
          <w:rFonts w:ascii="Arial" w:hAnsi="Arial" w:cs="Arial"/>
          <w:color w:val="auto"/>
          <w:highlight w:val="none"/>
        </w:rPr>
        <w:sectPr>
          <w:headerReference r:id="rId3" w:type="default"/>
          <w:footerReference r:id="rId5" w:type="default"/>
          <w:headerReference r:id="rId4" w:type="even"/>
          <w:footerReference r:id="rId6" w:type="even"/>
          <w:pgSz w:w="11849" w:h="16781"/>
          <w:pgMar w:top="1417" w:right="1417" w:bottom="1417" w:left="1417" w:header="850" w:footer="992" w:gutter="0"/>
          <w:pgNumType w:start="1"/>
          <w:cols w:space="0" w:num="1"/>
          <w:docGrid w:type="linesAndChars" w:linePitch="324" w:charSpace="819"/>
        </w:sectPr>
      </w:pPr>
    </w:p>
    <w:p>
      <w:pPr>
        <w:pStyle w:val="3"/>
        <w:keepNext w:val="0"/>
        <w:keepLines w:val="0"/>
        <w:pageBreakBefore/>
        <w:spacing w:before="162" w:beforeLines="50" w:after="162" w:afterLines="50" w:line="276" w:lineRule="auto"/>
        <w:jc w:val="center"/>
        <w:rPr>
          <w:rFonts w:ascii="Arial" w:hAnsi="Arial" w:cs="Arial"/>
          <w:color w:val="auto"/>
          <w:sz w:val="28"/>
          <w:szCs w:val="36"/>
          <w:highlight w:val="none"/>
        </w:rPr>
      </w:pPr>
      <w:bookmarkStart w:id="1" w:name="_Toc31463"/>
      <w:r>
        <w:rPr>
          <w:color w:val="auto"/>
          <w:sz w:val="28"/>
          <w:highlight w:val="none"/>
        </w:rPr>
        <mc:AlternateContent>
          <mc:Choice Requires="wps">
            <w:drawing>
              <wp:anchor distT="0" distB="0" distL="114300" distR="114300" simplePos="0" relativeHeight="251661312" behindDoc="1" locked="0" layoutInCell="1" allowOverlap="1">
                <wp:simplePos x="0" y="0"/>
                <wp:positionH relativeFrom="column">
                  <wp:posOffset>69215</wp:posOffset>
                </wp:positionH>
                <wp:positionV relativeFrom="paragraph">
                  <wp:posOffset>414655</wp:posOffset>
                </wp:positionV>
                <wp:extent cx="5713730" cy="1170940"/>
                <wp:effectExtent l="4445" t="4445" r="15875" b="5715"/>
                <wp:wrapTight wrapText="bothSides">
                  <wp:wrapPolygon>
                    <wp:start x="-17" y="-82"/>
                    <wp:lineTo x="-17" y="21354"/>
                    <wp:lineTo x="21516" y="21354"/>
                    <wp:lineTo x="21516" y="-82"/>
                    <wp:lineTo x="-17" y="-82"/>
                  </wp:wrapPolygon>
                </wp:wrapTight>
                <wp:docPr id="2" name="文本框 2"/>
                <wp:cNvGraphicFramePr/>
                <a:graphic xmlns:a="http://schemas.openxmlformats.org/drawingml/2006/main">
                  <a:graphicData uri="http://schemas.microsoft.com/office/word/2010/wordprocessingShape">
                    <wps:wsp>
                      <wps:cNvSpPr txBox="1"/>
                      <wps:spPr>
                        <a:xfrm>
                          <a:off x="996950" y="1315085"/>
                          <a:ext cx="5713730" cy="11709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29"/>
                              <w:rPr>
                                <w:rFonts w:ascii="宋体" w:hAnsi="宋体" w:eastAsia="宋体" w:cs="宋体"/>
                                <w:sz w:val="21"/>
                                <w:szCs w:val="21"/>
                              </w:rPr>
                            </w:pPr>
                            <w:r>
                              <w:rPr>
                                <w:rFonts w:hint="eastAsia" w:ascii="宋体" w:hAnsi="宋体" w:eastAsia="宋体" w:cs="宋体"/>
                                <w:sz w:val="21"/>
                                <w:szCs w:val="21"/>
                              </w:rPr>
                              <w:t>项目概况</w:t>
                            </w:r>
                          </w:p>
                          <w:p>
                            <w:pPr>
                              <w:ind w:firstLine="420" w:firstLineChars="200"/>
                              <w:rPr>
                                <w:color w:val="auto"/>
                              </w:rPr>
                            </w:pPr>
                            <w:r>
                              <w:rPr>
                                <w:rFonts w:hint="eastAsia"/>
                                <w:color w:val="auto"/>
                                <w:sz w:val="21"/>
                                <w:szCs w:val="21"/>
                                <w:highlight w:val="none"/>
                                <w:u w:val="single"/>
                                <w:lang w:eastAsia="zh-CN"/>
                              </w:rPr>
                              <w:t>海盐县不动产权籍调查及制图测绘项目</w:t>
                            </w:r>
                            <w:r>
                              <w:rPr>
                                <w:rFonts w:hint="eastAsia" w:cs="Arial"/>
                                <w:color w:val="auto"/>
                                <w:sz w:val="21"/>
                                <w:szCs w:val="21"/>
                                <w:highlight w:val="none"/>
                              </w:rPr>
                              <w:t>采购</w:t>
                            </w:r>
                            <w:r>
                              <w:rPr>
                                <w:rFonts w:cs="Arial"/>
                                <w:color w:val="auto"/>
                                <w:sz w:val="21"/>
                                <w:szCs w:val="21"/>
                                <w:highlight w:val="none"/>
                              </w:rPr>
                              <w:t>项目的潜在供应商应在</w:t>
                            </w:r>
                            <w:r>
                              <w:rPr>
                                <w:rFonts w:cs="Arial"/>
                                <w:color w:val="auto"/>
                                <w:sz w:val="21"/>
                                <w:szCs w:val="21"/>
                                <w:highlight w:val="none"/>
                                <w:u w:val="single"/>
                              </w:rPr>
                              <w:t>浙江政府采购网http://zfcg.czt.zj.gov.cn</w:t>
                            </w:r>
                            <w:r>
                              <w:rPr>
                                <w:rFonts w:cs="Arial"/>
                                <w:color w:val="auto"/>
                                <w:sz w:val="21"/>
                                <w:szCs w:val="21"/>
                                <w:highlight w:val="none"/>
                              </w:rPr>
                              <w:t>获取（下载）采购文件，并于</w:t>
                            </w:r>
                            <w:r>
                              <w:rPr>
                                <w:rFonts w:hint="eastAsia" w:cs="Arial"/>
                                <w:color w:val="auto"/>
                                <w:sz w:val="21"/>
                                <w:szCs w:val="21"/>
                                <w:highlight w:val="none"/>
                                <w:u w:val="single"/>
                                <w:lang w:eastAsia="zh-CN"/>
                              </w:rPr>
                              <w:t>2025年6月30日14:00 时</w:t>
                            </w:r>
                            <w:r>
                              <w:rPr>
                                <w:rFonts w:cs="Arial"/>
                                <w:color w:val="auto"/>
                                <w:sz w:val="21"/>
                                <w:szCs w:val="21"/>
                                <w:highlight w:val="none"/>
                              </w:rPr>
                              <w:t>（北京时间）前上传投标（</w:t>
                            </w:r>
                            <w:r>
                              <w:rPr>
                                <w:rFonts w:hint="eastAsia" w:cs="Arial"/>
                                <w:color w:val="auto"/>
                                <w:sz w:val="21"/>
                                <w:szCs w:val="21"/>
                                <w:highlight w:val="none"/>
                              </w:rPr>
                              <w:t>响应</w:t>
                            </w:r>
                            <w:r>
                              <w:rPr>
                                <w:rFonts w:cs="Arial"/>
                                <w:color w:val="auto"/>
                                <w:sz w:val="21"/>
                                <w:szCs w:val="21"/>
                                <w:highlight w:val="none"/>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5pt;margin-top:32.65pt;height:92.2pt;width:449.9pt;mso-wrap-distance-left:9pt;mso-wrap-distance-right:9pt;z-index:-251655168;mso-width-relative:page;mso-height-relative:page;" fillcolor="#FFFFFF [3201]" filled="t" stroked="t" coordsize="21600,21600" wrapcoords="-17 -82 -17 21354 21516 21354 21516 -82 -17 -82" o:gfxdata="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R/1e3WAAAACQEAAA8AAAAAAAAAAQAgAAAAIgAAAGRycy9kb3ducmV2LnhtbFBLAQIUABQA&#10;AAAIAIdO4kD+ag0QZAIAAMMEAAAOAAAAAAAAAAEAIAAAACUBAABkcnMvZTJvRG9jLnhtbFBLBQYA&#10;AAAABgAGAFkBAAD7BQAAAAA=&#10;">
                <v:fill on="t" focussize="0,0"/>
                <v:stroke weight="0.5pt" color="#000000 [3204]" joinstyle="round"/>
                <v:imagedata o:title=""/>
                <o:lock v:ext="edit" aspectratio="f"/>
                <v:textbox>
                  <w:txbxContent>
                    <w:p>
                      <w:pPr>
                        <w:pStyle w:val="29"/>
                        <w:rPr>
                          <w:rFonts w:ascii="宋体" w:hAnsi="宋体" w:eastAsia="宋体" w:cs="宋体"/>
                          <w:sz w:val="21"/>
                          <w:szCs w:val="21"/>
                        </w:rPr>
                      </w:pPr>
                      <w:r>
                        <w:rPr>
                          <w:rFonts w:hint="eastAsia" w:ascii="宋体" w:hAnsi="宋体" w:eastAsia="宋体" w:cs="宋体"/>
                          <w:sz w:val="21"/>
                          <w:szCs w:val="21"/>
                        </w:rPr>
                        <w:t>项目概况</w:t>
                      </w:r>
                    </w:p>
                    <w:p>
                      <w:pPr>
                        <w:ind w:firstLine="420" w:firstLineChars="200"/>
                        <w:rPr>
                          <w:color w:val="auto"/>
                        </w:rPr>
                      </w:pPr>
                      <w:r>
                        <w:rPr>
                          <w:rFonts w:hint="eastAsia"/>
                          <w:color w:val="auto"/>
                          <w:sz w:val="21"/>
                          <w:szCs w:val="21"/>
                          <w:highlight w:val="none"/>
                          <w:u w:val="single"/>
                          <w:lang w:eastAsia="zh-CN"/>
                        </w:rPr>
                        <w:t>海盐县不动产权籍调查及制图测绘项目</w:t>
                      </w:r>
                      <w:r>
                        <w:rPr>
                          <w:rFonts w:hint="eastAsia" w:cs="Arial"/>
                          <w:color w:val="auto"/>
                          <w:sz w:val="21"/>
                          <w:szCs w:val="21"/>
                          <w:highlight w:val="none"/>
                        </w:rPr>
                        <w:t>采购</w:t>
                      </w:r>
                      <w:r>
                        <w:rPr>
                          <w:rFonts w:cs="Arial"/>
                          <w:color w:val="auto"/>
                          <w:sz w:val="21"/>
                          <w:szCs w:val="21"/>
                          <w:highlight w:val="none"/>
                        </w:rPr>
                        <w:t>项目的潜在供应商应在</w:t>
                      </w:r>
                      <w:r>
                        <w:rPr>
                          <w:rFonts w:cs="Arial"/>
                          <w:color w:val="auto"/>
                          <w:sz w:val="21"/>
                          <w:szCs w:val="21"/>
                          <w:highlight w:val="none"/>
                          <w:u w:val="single"/>
                        </w:rPr>
                        <w:t>浙江政府采购网http://zfcg.czt.zj.gov.cn</w:t>
                      </w:r>
                      <w:r>
                        <w:rPr>
                          <w:rFonts w:cs="Arial"/>
                          <w:color w:val="auto"/>
                          <w:sz w:val="21"/>
                          <w:szCs w:val="21"/>
                          <w:highlight w:val="none"/>
                        </w:rPr>
                        <w:t>获取（下载）采购文件，并于</w:t>
                      </w:r>
                      <w:r>
                        <w:rPr>
                          <w:rFonts w:hint="eastAsia" w:cs="Arial"/>
                          <w:color w:val="auto"/>
                          <w:sz w:val="21"/>
                          <w:szCs w:val="21"/>
                          <w:highlight w:val="none"/>
                          <w:u w:val="single"/>
                          <w:lang w:eastAsia="zh-CN"/>
                        </w:rPr>
                        <w:t>2025年6月30日14:00 时</w:t>
                      </w:r>
                      <w:r>
                        <w:rPr>
                          <w:rFonts w:cs="Arial"/>
                          <w:color w:val="auto"/>
                          <w:sz w:val="21"/>
                          <w:szCs w:val="21"/>
                          <w:highlight w:val="none"/>
                        </w:rPr>
                        <w:t>（北京时间）前上传投标（</w:t>
                      </w:r>
                      <w:r>
                        <w:rPr>
                          <w:rFonts w:hint="eastAsia" w:cs="Arial"/>
                          <w:color w:val="auto"/>
                          <w:sz w:val="21"/>
                          <w:szCs w:val="21"/>
                          <w:highlight w:val="none"/>
                        </w:rPr>
                        <w:t>响应</w:t>
                      </w:r>
                      <w:r>
                        <w:rPr>
                          <w:rFonts w:cs="Arial"/>
                          <w:color w:val="auto"/>
                          <w:sz w:val="21"/>
                          <w:szCs w:val="21"/>
                          <w:highlight w:val="none"/>
                        </w:rPr>
                        <w:t>）文件。</w:t>
                      </w:r>
                    </w:p>
                  </w:txbxContent>
                </v:textbox>
                <w10:wrap type="tight"/>
              </v:shape>
            </w:pict>
          </mc:Fallback>
        </mc:AlternateContent>
      </w:r>
      <w:r>
        <w:rPr>
          <w:rFonts w:ascii="Arial" w:hAnsi="Arial" w:cs="Arial"/>
          <w:color w:val="auto"/>
          <w:sz w:val="28"/>
          <w:szCs w:val="36"/>
          <w:highlight w:val="none"/>
        </w:rPr>
        <w:t>第一部分</w:t>
      </w:r>
      <w:r>
        <w:rPr>
          <w:rFonts w:hint="eastAsia" w:ascii="Arial" w:hAnsi="Arial" w:cs="Arial"/>
          <w:color w:val="auto"/>
          <w:sz w:val="28"/>
          <w:szCs w:val="36"/>
          <w:highlight w:val="none"/>
          <w:lang w:val="en-US" w:eastAsia="zh-CN"/>
        </w:rPr>
        <w:t xml:space="preserve"> </w:t>
      </w:r>
      <w:r>
        <w:rPr>
          <w:rFonts w:ascii="Arial" w:hAnsi="Arial" w:cs="Arial"/>
          <w:color w:val="auto"/>
          <w:sz w:val="28"/>
          <w:szCs w:val="36"/>
          <w:highlight w:val="none"/>
        </w:rPr>
        <w:t>采购公告</w:t>
      </w:r>
      <w:bookmarkEnd w:id="1"/>
    </w:p>
    <w:p>
      <w:pPr>
        <w:pStyle w:val="29"/>
        <w:keepNext w:val="0"/>
        <w:keepLines w:val="0"/>
        <w:pageBreakBefore w:val="0"/>
        <w:kinsoku/>
        <w:topLinePunct w:val="0"/>
        <w:bidi w:val="0"/>
        <w:adjustRightInd w:val="0"/>
        <w:snapToGrid w:val="0"/>
        <w:spacing w:before="0" w:beforeAutospacing="0" w:after="81" w:afterAutospacing="0" w:line="440" w:lineRule="exact"/>
        <w:ind w:firstLine="426" w:firstLineChars="200"/>
        <w:textAlignment w:val="auto"/>
        <w:rPr>
          <w:rFonts w:ascii="Times New Roman" w:hAnsi="Times New Roman" w:eastAsia="宋体" w:cs="Arial"/>
          <w:b/>
          <w:bCs/>
          <w:color w:val="auto"/>
          <w:sz w:val="21"/>
          <w:highlight w:val="none"/>
        </w:rPr>
      </w:pPr>
      <w:r>
        <w:rPr>
          <w:rFonts w:hint="eastAsia" w:ascii="Times New Roman" w:hAnsi="Times New Roman" w:eastAsia="宋体" w:cs="Arial"/>
          <w:b/>
          <w:bCs/>
          <w:color w:val="auto"/>
          <w:sz w:val="21"/>
          <w:highlight w:val="none"/>
        </w:rPr>
        <w:t>一、项目基本情况</w:t>
      </w:r>
    </w:p>
    <w:p>
      <w:pPr>
        <w:pStyle w:val="17"/>
        <w:keepNext w:val="0"/>
        <w:keepLines w:val="0"/>
        <w:pageBreakBefore w:val="0"/>
        <w:widowControl/>
        <w:kinsoku/>
        <w:topLinePunct w:val="0"/>
        <w:bidi w:val="0"/>
        <w:adjustRightInd w:val="0"/>
        <w:snapToGrid w:val="0"/>
        <w:spacing w:line="440" w:lineRule="exact"/>
        <w:ind w:firstLine="426" w:firstLineChars="200"/>
        <w:jc w:val="left"/>
        <w:textAlignment w:val="auto"/>
        <w:rPr>
          <w:rFonts w:ascii="Times New Roman" w:hAnsi="Times New Roman" w:cs="Arial"/>
          <w:color w:val="auto"/>
          <w:kern w:val="0"/>
          <w:highlight w:val="none"/>
        </w:rPr>
      </w:pPr>
      <w:r>
        <w:rPr>
          <w:rFonts w:hint="eastAsia" w:ascii="Times New Roman" w:hAnsi="Times New Roman" w:cs="Arial"/>
          <w:color w:val="auto"/>
          <w:kern w:val="0"/>
          <w:highlight w:val="none"/>
        </w:rPr>
        <w:t>项目编号：</w:t>
      </w:r>
      <w:r>
        <w:rPr>
          <w:rFonts w:hint="eastAsia" w:ascii="Times New Roman" w:hAnsi="Times New Roman" w:cs="Arial"/>
          <w:color w:val="auto"/>
          <w:kern w:val="0"/>
          <w:highlight w:val="none"/>
          <w:lang w:eastAsia="zh-CN"/>
        </w:rPr>
        <w:t>浙均和（2025）D099号</w:t>
      </w:r>
      <w:r>
        <w:rPr>
          <w:rFonts w:hint="eastAsia" w:ascii="Times New Roman" w:hAnsi="Times New Roman" w:cs="Arial"/>
          <w:color w:val="auto"/>
          <w:kern w:val="0"/>
          <w:highlight w:val="none"/>
        </w:rPr>
        <w:t> </w:t>
      </w:r>
    </w:p>
    <w:p>
      <w:pPr>
        <w:pStyle w:val="17"/>
        <w:keepNext w:val="0"/>
        <w:keepLines w:val="0"/>
        <w:pageBreakBefore w:val="0"/>
        <w:widowControl/>
        <w:kinsoku/>
        <w:topLinePunct w:val="0"/>
        <w:bidi w:val="0"/>
        <w:adjustRightInd w:val="0"/>
        <w:snapToGrid w:val="0"/>
        <w:spacing w:line="440" w:lineRule="exact"/>
        <w:ind w:firstLine="426" w:firstLineChars="200"/>
        <w:jc w:val="left"/>
        <w:textAlignment w:val="auto"/>
        <w:rPr>
          <w:rFonts w:ascii="Times New Roman" w:hAnsi="Times New Roman" w:cs="Arial"/>
          <w:color w:val="auto"/>
          <w:kern w:val="0"/>
          <w:highlight w:val="none"/>
        </w:rPr>
      </w:pPr>
      <w:r>
        <w:rPr>
          <w:rFonts w:hint="eastAsia" w:ascii="Times New Roman" w:hAnsi="Times New Roman" w:cs="Arial"/>
          <w:color w:val="auto"/>
          <w:kern w:val="0"/>
          <w:highlight w:val="none"/>
        </w:rPr>
        <w:t>项目名称：</w:t>
      </w:r>
      <w:r>
        <w:rPr>
          <w:rFonts w:hint="eastAsia" w:ascii="Times New Roman" w:hAnsi="Times New Roman" w:cs="Arial"/>
          <w:color w:val="auto"/>
          <w:kern w:val="0"/>
          <w:highlight w:val="none"/>
          <w:lang w:eastAsia="zh-CN"/>
        </w:rPr>
        <w:t>海盐县不动产权籍调查及制图测绘项目</w:t>
      </w:r>
      <w:r>
        <w:rPr>
          <w:rFonts w:hint="eastAsia" w:ascii="Times New Roman" w:hAnsi="Times New Roman" w:cs="Arial"/>
          <w:color w:val="auto"/>
          <w:kern w:val="0"/>
          <w:highlight w:val="none"/>
        </w:rPr>
        <w:t> </w:t>
      </w:r>
    </w:p>
    <w:p>
      <w:pPr>
        <w:pStyle w:val="17"/>
        <w:keepNext w:val="0"/>
        <w:keepLines w:val="0"/>
        <w:pageBreakBefore w:val="0"/>
        <w:widowControl/>
        <w:kinsoku/>
        <w:topLinePunct w:val="0"/>
        <w:bidi w:val="0"/>
        <w:adjustRightInd w:val="0"/>
        <w:snapToGrid w:val="0"/>
        <w:spacing w:line="440" w:lineRule="exact"/>
        <w:ind w:firstLine="426" w:firstLineChars="200"/>
        <w:jc w:val="left"/>
        <w:textAlignment w:val="auto"/>
        <w:rPr>
          <w:rFonts w:ascii="Times New Roman" w:hAnsi="Times New Roman" w:cs="Arial"/>
          <w:color w:val="auto"/>
          <w:kern w:val="0"/>
          <w:highlight w:val="none"/>
        </w:rPr>
      </w:pPr>
      <w:r>
        <w:rPr>
          <w:rFonts w:hint="eastAsia" w:ascii="Times New Roman" w:hAnsi="Times New Roman" w:cs="Arial"/>
          <w:color w:val="auto"/>
          <w:kern w:val="0"/>
          <w:highlight w:val="none"/>
        </w:rPr>
        <w:t>采购方式：竞争性磋商 </w:t>
      </w:r>
    </w:p>
    <w:p>
      <w:pPr>
        <w:pStyle w:val="17"/>
        <w:keepNext w:val="0"/>
        <w:keepLines w:val="0"/>
        <w:pageBreakBefore w:val="0"/>
        <w:widowControl/>
        <w:kinsoku/>
        <w:topLinePunct w:val="0"/>
        <w:bidi w:val="0"/>
        <w:adjustRightInd w:val="0"/>
        <w:snapToGrid w:val="0"/>
        <w:spacing w:line="440" w:lineRule="exact"/>
        <w:ind w:firstLine="426" w:firstLineChars="200"/>
        <w:jc w:val="left"/>
        <w:textAlignment w:val="auto"/>
        <w:rPr>
          <w:rFonts w:ascii="Times New Roman" w:hAnsi="Times New Roman" w:cs="Arial"/>
          <w:color w:val="auto"/>
          <w:kern w:val="0"/>
          <w:highlight w:val="none"/>
        </w:rPr>
      </w:pPr>
      <w:r>
        <w:rPr>
          <w:rFonts w:hint="eastAsia" w:ascii="Times New Roman" w:hAnsi="Times New Roman" w:cs="Arial"/>
          <w:color w:val="auto"/>
          <w:kern w:val="0"/>
          <w:highlight w:val="none"/>
        </w:rPr>
        <w:t>预算金额（元）：</w:t>
      </w:r>
      <w:r>
        <w:rPr>
          <w:rFonts w:hint="eastAsia" w:ascii="Times New Roman" w:hAnsi="Times New Roman" w:cs="Arial"/>
          <w:color w:val="auto"/>
          <w:kern w:val="0"/>
          <w:highlight w:val="none"/>
          <w:lang w:val="en-US" w:eastAsia="zh-CN"/>
        </w:rPr>
        <w:t>900000</w:t>
      </w:r>
    </w:p>
    <w:p>
      <w:pPr>
        <w:pStyle w:val="17"/>
        <w:keepNext w:val="0"/>
        <w:keepLines w:val="0"/>
        <w:pageBreakBefore w:val="0"/>
        <w:widowControl/>
        <w:kinsoku/>
        <w:topLinePunct w:val="0"/>
        <w:bidi w:val="0"/>
        <w:adjustRightInd w:val="0"/>
        <w:snapToGrid w:val="0"/>
        <w:spacing w:line="440" w:lineRule="exact"/>
        <w:ind w:firstLine="426" w:firstLineChars="200"/>
        <w:jc w:val="left"/>
        <w:textAlignment w:val="auto"/>
        <w:rPr>
          <w:rFonts w:ascii="Times New Roman" w:hAnsi="Times New Roman" w:cs="Arial"/>
          <w:color w:val="auto"/>
          <w:kern w:val="0"/>
          <w:highlight w:val="none"/>
        </w:rPr>
      </w:pPr>
      <w:r>
        <w:rPr>
          <w:rFonts w:hint="eastAsia" w:ascii="Times New Roman" w:hAnsi="Times New Roman" w:cs="Arial"/>
          <w:color w:val="auto"/>
          <w:kern w:val="0"/>
          <w:highlight w:val="none"/>
        </w:rPr>
        <w:t>最高限价（元）：</w:t>
      </w:r>
      <w:r>
        <w:rPr>
          <w:rFonts w:hint="eastAsia" w:ascii="Times New Roman" w:hAnsi="Times New Roman" w:cs="Arial"/>
          <w:color w:val="auto"/>
          <w:kern w:val="0"/>
          <w:highlight w:val="none"/>
          <w:lang w:val="en-US" w:eastAsia="zh-CN"/>
        </w:rPr>
        <w:t>900000</w:t>
      </w:r>
    </w:p>
    <w:p>
      <w:pPr>
        <w:pStyle w:val="17"/>
        <w:keepNext w:val="0"/>
        <w:keepLines w:val="0"/>
        <w:pageBreakBefore w:val="0"/>
        <w:widowControl/>
        <w:kinsoku/>
        <w:topLinePunct w:val="0"/>
        <w:bidi w:val="0"/>
        <w:adjustRightInd w:val="0"/>
        <w:snapToGrid w:val="0"/>
        <w:spacing w:line="440" w:lineRule="exact"/>
        <w:ind w:firstLine="426" w:firstLineChars="200"/>
        <w:jc w:val="left"/>
        <w:textAlignment w:val="auto"/>
        <w:rPr>
          <w:rFonts w:ascii="Times New Roman" w:hAnsi="Times New Roman" w:cs="Arial"/>
          <w:color w:val="auto"/>
          <w:kern w:val="0"/>
          <w:highlight w:val="none"/>
        </w:rPr>
      </w:pPr>
      <w:r>
        <w:rPr>
          <w:rFonts w:hint="eastAsia" w:ascii="Times New Roman" w:hAnsi="Times New Roman" w:cs="Arial"/>
          <w:color w:val="auto"/>
          <w:kern w:val="0"/>
          <w:highlight w:val="none"/>
        </w:rPr>
        <w:t>采购需求：详见采购</w:t>
      </w:r>
      <w:r>
        <w:rPr>
          <w:rFonts w:hint="eastAsia" w:ascii="Times New Roman" w:hAnsi="Times New Roman" w:cs="Arial"/>
          <w:color w:val="auto"/>
          <w:kern w:val="0"/>
          <w:highlight w:val="none"/>
          <w:lang w:val="en-US" w:eastAsia="zh-CN"/>
        </w:rPr>
        <w:t>需求</w:t>
      </w:r>
      <w:r>
        <w:rPr>
          <w:rFonts w:hint="eastAsia" w:ascii="Times New Roman" w:hAnsi="Times New Roman" w:cs="Arial"/>
          <w:color w:val="auto"/>
          <w:kern w:val="0"/>
          <w:highlight w:val="none"/>
        </w:rPr>
        <w:t>。</w:t>
      </w:r>
    </w:p>
    <w:p>
      <w:pPr>
        <w:pStyle w:val="17"/>
        <w:keepNext w:val="0"/>
        <w:keepLines w:val="0"/>
        <w:pageBreakBefore w:val="0"/>
        <w:widowControl/>
        <w:kinsoku/>
        <w:topLinePunct w:val="0"/>
        <w:bidi w:val="0"/>
        <w:adjustRightInd w:val="0"/>
        <w:snapToGrid w:val="0"/>
        <w:spacing w:line="440" w:lineRule="exact"/>
        <w:ind w:firstLine="426" w:firstLineChars="200"/>
        <w:jc w:val="left"/>
        <w:textAlignment w:val="auto"/>
        <w:rPr>
          <w:rFonts w:ascii="Times New Roman" w:hAnsi="Times New Roman" w:cs="Arial"/>
          <w:color w:val="auto"/>
          <w:kern w:val="0"/>
          <w:highlight w:val="none"/>
        </w:rPr>
      </w:pPr>
      <w:r>
        <w:rPr>
          <w:rFonts w:hint="eastAsia" w:ascii="Times New Roman" w:hAnsi="Times New Roman" w:cs="Arial"/>
          <w:color w:val="auto"/>
          <w:kern w:val="0"/>
          <w:highlight w:val="none"/>
        </w:rPr>
        <w:t xml:space="preserve">     </w:t>
      </w:r>
    </w:p>
    <w:p>
      <w:pPr>
        <w:pStyle w:val="17"/>
        <w:keepNext w:val="0"/>
        <w:keepLines w:val="0"/>
        <w:pageBreakBefore w:val="0"/>
        <w:widowControl/>
        <w:kinsoku/>
        <w:topLinePunct w:val="0"/>
        <w:bidi w:val="0"/>
        <w:adjustRightInd w:val="0"/>
        <w:snapToGrid w:val="0"/>
        <w:spacing w:line="440" w:lineRule="exact"/>
        <w:ind w:firstLine="426" w:firstLineChars="200"/>
        <w:jc w:val="left"/>
        <w:textAlignment w:val="auto"/>
        <w:rPr>
          <w:rFonts w:ascii="Times New Roman" w:hAnsi="Times New Roman" w:cs="Arial"/>
          <w:color w:val="auto"/>
          <w:kern w:val="0"/>
          <w:highlight w:val="none"/>
        </w:rPr>
      </w:pPr>
      <w:r>
        <w:rPr>
          <w:rFonts w:hint="eastAsia" w:ascii="Times New Roman" w:hAnsi="Times New Roman" w:cs="Arial"/>
          <w:color w:val="auto"/>
          <w:kern w:val="0"/>
          <w:highlight w:val="none"/>
        </w:rPr>
        <w:t>数量：</w:t>
      </w:r>
      <w:r>
        <w:rPr>
          <w:rFonts w:hint="eastAsia" w:ascii="Times New Roman" w:hAnsi="Times New Roman" w:cs="Arial"/>
          <w:color w:val="auto"/>
          <w:kern w:val="0"/>
          <w:highlight w:val="none"/>
          <w:u w:val="none"/>
        </w:rPr>
        <w:t>1</w:t>
      </w:r>
      <w:r>
        <w:rPr>
          <w:rFonts w:hint="eastAsia" w:ascii="Times New Roman" w:hAnsi="Times New Roman" w:cs="Arial"/>
          <w:color w:val="auto"/>
          <w:kern w:val="0"/>
          <w:highlight w:val="none"/>
        </w:rPr>
        <w:t>           </w:t>
      </w:r>
    </w:p>
    <w:p>
      <w:pPr>
        <w:pStyle w:val="17"/>
        <w:keepNext w:val="0"/>
        <w:keepLines w:val="0"/>
        <w:pageBreakBefore w:val="0"/>
        <w:widowControl/>
        <w:kinsoku/>
        <w:topLinePunct w:val="0"/>
        <w:bidi w:val="0"/>
        <w:adjustRightInd w:val="0"/>
        <w:snapToGrid w:val="0"/>
        <w:spacing w:line="440" w:lineRule="exact"/>
        <w:ind w:firstLine="426" w:firstLineChars="200"/>
        <w:jc w:val="left"/>
        <w:textAlignment w:val="auto"/>
        <w:rPr>
          <w:rFonts w:ascii="Times New Roman" w:hAnsi="Times New Roman" w:cs="Arial"/>
          <w:color w:val="auto"/>
          <w:kern w:val="0"/>
          <w:highlight w:val="none"/>
        </w:rPr>
      </w:pPr>
      <w:r>
        <w:rPr>
          <w:rFonts w:hint="eastAsia" w:ascii="Times New Roman" w:hAnsi="Times New Roman" w:cs="Arial"/>
          <w:color w:val="auto"/>
          <w:kern w:val="0"/>
          <w:highlight w:val="none"/>
        </w:rPr>
        <w:t>预算金额（元）：</w:t>
      </w:r>
      <w:r>
        <w:rPr>
          <w:rFonts w:hint="eastAsia" w:ascii="Times New Roman" w:hAnsi="Times New Roman" w:cs="Arial"/>
          <w:color w:val="auto"/>
          <w:kern w:val="0"/>
          <w:highlight w:val="none"/>
          <w:lang w:val="en-US" w:eastAsia="zh-CN"/>
        </w:rPr>
        <w:t>900000</w:t>
      </w:r>
    </w:p>
    <w:p>
      <w:pPr>
        <w:pStyle w:val="17"/>
        <w:keepNext w:val="0"/>
        <w:keepLines w:val="0"/>
        <w:pageBreakBefore w:val="0"/>
        <w:widowControl/>
        <w:kinsoku/>
        <w:topLinePunct w:val="0"/>
        <w:bidi w:val="0"/>
        <w:adjustRightInd w:val="0"/>
        <w:snapToGrid w:val="0"/>
        <w:spacing w:line="440" w:lineRule="exact"/>
        <w:ind w:firstLine="426" w:firstLineChars="200"/>
        <w:jc w:val="left"/>
        <w:textAlignment w:val="auto"/>
        <w:rPr>
          <w:rFonts w:ascii="Times New Roman" w:hAnsi="Times New Roman" w:cs="Arial"/>
          <w:color w:val="auto"/>
          <w:kern w:val="0"/>
          <w:highlight w:val="none"/>
        </w:rPr>
      </w:pPr>
      <w:r>
        <w:rPr>
          <w:rFonts w:hint="eastAsia" w:ascii="Times New Roman" w:hAnsi="Times New Roman" w:cs="Arial"/>
          <w:color w:val="auto"/>
          <w:kern w:val="0"/>
          <w:highlight w:val="none"/>
        </w:rPr>
        <w:t>最高限价（元）：</w:t>
      </w:r>
      <w:r>
        <w:rPr>
          <w:rFonts w:hint="eastAsia" w:ascii="Times New Roman" w:hAnsi="Times New Roman" w:cs="Arial"/>
          <w:color w:val="auto"/>
          <w:kern w:val="0"/>
          <w:highlight w:val="none"/>
          <w:lang w:val="en-US" w:eastAsia="zh-CN"/>
        </w:rPr>
        <w:t>900000</w:t>
      </w:r>
    </w:p>
    <w:p>
      <w:pPr>
        <w:pStyle w:val="17"/>
        <w:keepNext w:val="0"/>
        <w:keepLines w:val="0"/>
        <w:pageBreakBefore w:val="0"/>
        <w:widowControl/>
        <w:kinsoku/>
        <w:topLinePunct w:val="0"/>
        <w:bidi w:val="0"/>
        <w:adjustRightInd w:val="0"/>
        <w:snapToGrid w:val="0"/>
        <w:spacing w:line="440" w:lineRule="exact"/>
        <w:ind w:firstLine="426" w:firstLineChars="200"/>
        <w:jc w:val="left"/>
        <w:textAlignment w:val="auto"/>
        <w:rPr>
          <w:rFonts w:ascii="Times New Roman" w:hAnsi="Times New Roman" w:cs="Arial"/>
          <w:color w:val="auto"/>
          <w:kern w:val="0"/>
          <w:highlight w:val="none"/>
        </w:rPr>
      </w:pPr>
      <w:r>
        <w:rPr>
          <w:rFonts w:hint="eastAsia" w:ascii="Times New Roman" w:hAnsi="Times New Roman" w:cs="Arial"/>
          <w:color w:val="auto"/>
          <w:kern w:val="0"/>
          <w:highlight w:val="none"/>
        </w:rPr>
        <w:t>单位：项</w:t>
      </w:r>
    </w:p>
    <w:p>
      <w:pPr>
        <w:pStyle w:val="17"/>
        <w:keepNext w:val="0"/>
        <w:keepLines w:val="0"/>
        <w:pageBreakBefore w:val="0"/>
        <w:widowControl/>
        <w:kinsoku/>
        <w:topLinePunct w:val="0"/>
        <w:bidi w:val="0"/>
        <w:adjustRightInd w:val="0"/>
        <w:snapToGrid w:val="0"/>
        <w:spacing w:line="440" w:lineRule="exact"/>
        <w:ind w:firstLine="426" w:firstLineChars="200"/>
        <w:jc w:val="left"/>
        <w:textAlignment w:val="auto"/>
        <w:rPr>
          <w:rFonts w:ascii="Times New Roman" w:hAnsi="Times New Roman" w:cs="Arial"/>
          <w:color w:val="auto"/>
          <w:kern w:val="0"/>
          <w:highlight w:val="none"/>
        </w:rPr>
      </w:pPr>
      <w:r>
        <w:rPr>
          <w:rFonts w:hint="eastAsia" w:ascii="Times New Roman" w:hAnsi="Times New Roman" w:cs="Arial"/>
          <w:color w:val="auto"/>
          <w:kern w:val="0"/>
          <w:highlight w:val="none"/>
        </w:rPr>
        <w:t>简要规格描述：具体详见采购文件第三部分采购需求。</w:t>
      </w:r>
    </w:p>
    <w:p>
      <w:pPr>
        <w:pStyle w:val="17"/>
        <w:keepNext w:val="0"/>
        <w:keepLines w:val="0"/>
        <w:pageBreakBefore w:val="0"/>
        <w:widowControl/>
        <w:kinsoku/>
        <w:topLinePunct w:val="0"/>
        <w:bidi w:val="0"/>
        <w:adjustRightInd w:val="0"/>
        <w:snapToGrid w:val="0"/>
        <w:spacing w:line="440" w:lineRule="exact"/>
        <w:ind w:firstLine="426" w:firstLineChars="200"/>
        <w:jc w:val="left"/>
        <w:textAlignment w:val="auto"/>
        <w:rPr>
          <w:rFonts w:ascii="Times New Roman" w:hAnsi="Times New Roman" w:cs="Arial"/>
          <w:color w:val="auto"/>
          <w:kern w:val="0"/>
          <w:highlight w:val="none"/>
        </w:rPr>
      </w:pPr>
      <w:r>
        <w:rPr>
          <w:rFonts w:hint="eastAsia" w:ascii="Times New Roman" w:hAnsi="Times New Roman" w:cs="Arial"/>
          <w:color w:val="auto"/>
          <w:kern w:val="0"/>
          <w:highlight w:val="none"/>
        </w:rPr>
        <w:t>备注：/</w:t>
      </w:r>
    </w:p>
    <w:p>
      <w:pPr>
        <w:pStyle w:val="17"/>
        <w:keepNext w:val="0"/>
        <w:keepLines w:val="0"/>
        <w:pageBreakBefore w:val="0"/>
        <w:widowControl/>
        <w:kinsoku/>
        <w:topLinePunct w:val="0"/>
        <w:bidi w:val="0"/>
        <w:adjustRightInd w:val="0"/>
        <w:snapToGrid w:val="0"/>
        <w:spacing w:line="440" w:lineRule="exact"/>
        <w:ind w:firstLine="426" w:firstLineChars="200"/>
        <w:jc w:val="left"/>
        <w:textAlignment w:val="auto"/>
        <w:rPr>
          <w:rFonts w:hint="eastAsia" w:ascii="Times New Roman" w:hAnsi="Times New Roman" w:eastAsia="宋体" w:cs="Arial"/>
          <w:color w:val="auto"/>
          <w:kern w:val="0"/>
          <w:highlight w:val="none"/>
          <w:lang w:eastAsia="zh-CN"/>
        </w:rPr>
      </w:pPr>
      <w:r>
        <w:rPr>
          <w:rFonts w:hint="eastAsia" w:ascii="Times New Roman" w:hAnsi="Times New Roman" w:cs="Arial"/>
          <w:color w:val="auto"/>
          <w:kern w:val="0"/>
          <w:highlight w:val="none"/>
        </w:rPr>
        <w:t>合同履约期限</w:t>
      </w:r>
      <w:r>
        <w:rPr>
          <w:rFonts w:hint="eastAsia" w:ascii="Times New Roman" w:hAnsi="Times New Roman" w:cs="Arial"/>
          <w:color w:val="auto"/>
          <w:kern w:val="0"/>
          <w:highlight w:val="none"/>
          <w:lang w:eastAsia="zh-CN"/>
        </w:rPr>
        <w:t>：自合同签订之日起至三年。</w:t>
      </w:r>
    </w:p>
    <w:p>
      <w:pPr>
        <w:pStyle w:val="17"/>
        <w:keepNext w:val="0"/>
        <w:keepLines w:val="0"/>
        <w:pageBreakBefore w:val="0"/>
        <w:widowControl/>
        <w:kinsoku/>
        <w:topLinePunct w:val="0"/>
        <w:bidi w:val="0"/>
        <w:adjustRightInd w:val="0"/>
        <w:snapToGrid w:val="0"/>
        <w:spacing w:line="440" w:lineRule="exact"/>
        <w:ind w:firstLine="426" w:firstLineChars="200"/>
        <w:jc w:val="left"/>
        <w:textAlignment w:val="auto"/>
        <w:rPr>
          <w:rFonts w:ascii="Times New Roman" w:hAnsi="Times New Roman" w:cs="Arial"/>
          <w:color w:val="auto"/>
          <w:kern w:val="0"/>
          <w:highlight w:val="none"/>
        </w:rPr>
      </w:pPr>
      <w:r>
        <w:rPr>
          <w:rFonts w:hint="eastAsia" w:ascii="Times New Roman" w:hAnsi="Times New Roman" w:cs="Arial"/>
          <w:color w:val="auto"/>
          <w:kern w:val="0"/>
          <w:highlight w:val="none"/>
        </w:rPr>
        <w:t>本项目（否）接受联合体投标。</w:t>
      </w:r>
    </w:p>
    <w:p>
      <w:pPr>
        <w:pStyle w:val="17"/>
        <w:keepNext w:val="0"/>
        <w:keepLines w:val="0"/>
        <w:pageBreakBefore w:val="0"/>
        <w:numPr>
          <w:ilvl w:val="0"/>
          <w:numId w:val="2"/>
        </w:numPr>
        <w:kinsoku/>
        <w:wordWrap/>
        <w:overflowPunct/>
        <w:topLinePunct w:val="0"/>
        <w:autoSpaceDE/>
        <w:autoSpaceDN/>
        <w:bidi w:val="0"/>
        <w:adjustRightInd w:val="0"/>
        <w:snapToGrid w:val="0"/>
        <w:spacing w:line="360" w:lineRule="auto"/>
        <w:ind w:firstLine="426" w:firstLineChars="200"/>
        <w:textAlignment w:val="auto"/>
        <w:rPr>
          <w:rFonts w:ascii="Times New Roman" w:hAnsi="Times New Roman" w:cs="Arial"/>
          <w:b/>
          <w:bCs/>
          <w:color w:val="auto"/>
          <w:kern w:val="0"/>
          <w:highlight w:val="none"/>
        </w:rPr>
      </w:pPr>
      <w:r>
        <w:rPr>
          <w:rFonts w:hint="eastAsia" w:ascii="Times New Roman" w:hAnsi="Times New Roman" w:cs="Arial"/>
          <w:b/>
          <w:bCs/>
          <w:color w:val="auto"/>
          <w:kern w:val="0"/>
          <w:highlight w:val="none"/>
        </w:rPr>
        <w:t>申请人的资格要求：</w:t>
      </w:r>
    </w:p>
    <w:p>
      <w:pPr>
        <w:keepNext w:val="0"/>
        <w:keepLines w:val="0"/>
        <w:pageBreakBefore w:val="0"/>
        <w:widowControl/>
        <w:kinsoku/>
        <w:wordWrap/>
        <w:overflowPunct/>
        <w:topLinePunct w:val="0"/>
        <w:autoSpaceDE/>
        <w:autoSpaceDN/>
        <w:bidi w:val="0"/>
        <w:adjustRightInd/>
        <w:snapToGrid/>
        <w:spacing w:line="360" w:lineRule="auto"/>
        <w:ind w:left="44" w:leftChars="21" w:right="60" w:firstLine="426" w:firstLineChars="200"/>
        <w:textAlignment w:val="auto"/>
        <w:rPr>
          <w:rFonts w:hint="eastAsia"/>
          <w:color w:val="auto"/>
          <w:sz w:val="21"/>
          <w:szCs w:val="21"/>
          <w:highlight w:val="none"/>
        </w:rPr>
      </w:pPr>
      <w:r>
        <w:rPr>
          <w:rFonts w:hint="eastAsia"/>
          <w:color w:val="auto"/>
          <w:sz w:val="21"/>
          <w:szCs w:val="21"/>
          <w:highlight w:val="none"/>
        </w:rPr>
        <w:t>1.满足《中华人民共和国政府采购法》第二十二条规定；</w:t>
      </w:r>
    </w:p>
    <w:p>
      <w:pPr>
        <w:keepNext w:val="0"/>
        <w:keepLines w:val="0"/>
        <w:pageBreakBefore w:val="0"/>
        <w:widowControl/>
        <w:kinsoku/>
        <w:wordWrap/>
        <w:overflowPunct/>
        <w:topLinePunct w:val="0"/>
        <w:autoSpaceDE/>
        <w:autoSpaceDN/>
        <w:bidi w:val="0"/>
        <w:adjustRightInd/>
        <w:snapToGrid/>
        <w:spacing w:line="360" w:lineRule="auto"/>
        <w:ind w:left="44" w:leftChars="21" w:right="60" w:firstLine="426" w:firstLineChars="200"/>
        <w:textAlignment w:val="auto"/>
        <w:rPr>
          <w:rFonts w:hint="eastAsia" w:eastAsia="宋体"/>
          <w:color w:val="auto"/>
          <w:sz w:val="21"/>
          <w:szCs w:val="21"/>
          <w:highlight w:val="none"/>
        </w:rPr>
      </w:pPr>
      <w:r>
        <w:rPr>
          <w:rFonts w:hint="eastAsia"/>
          <w:color w:val="auto"/>
          <w:sz w:val="21"/>
          <w:szCs w:val="21"/>
          <w:highlight w:val="none"/>
        </w:rPr>
        <w:t>2.符合浙财采监【2013】24号《关于规范政府采购供应商资格设定及资格审查的通知》第六条规定,未被“信用中国”（www.creditchina.gov.cn）、中国政府采购网（www.ccgp.gov.cn）列</w:t>
      </w:r>
      <w:r>
        <w:rPr>
          <w:rFonts w:hint="eastAsia" w:eastAsia="宋体"/>
          <w:color w:val="auto"/>
          <w:sz w:val="21"/>
          <w:szCs w:val="21"/>
          <w:highlight w:val="none"/>
        </w:rPr>
        <w:t>入失信被执行人、重大税收违法案件当事人名单、政府采购严重违法失信行为记录名单；</w:t>
      </w:r>
    </w:p>
    <w:p>
      <w:pPr>
        <w:keepNext w:val="0"/>
        <w:keepLines w:val="0"/>
        <w:pageBreakBefore w:val="0"/>
        <w:widowControl/>
        <w:kinsoku/>
        <w:wordWrap/>
        <w:overflowPunct/>
        <w:topLinePunct w:val="0"/>
        <w:autoSpaceDE/>
        <w:autoSpaceDN/>
        <w:bidi w:val="0"/>
        <w:adjustRightInd/>
        <w:snapToGrid/>
        <w:spacing w:line="360" w:lineRule="auto"/>
        <w:ind w:left="44" w:leftChars="21" w:right="60" w:firstLine="426" w:firstLineChars="200"/>
        <w:textAlignment w:val="auto"/>
        <w:rPr>
          <w:rFonts w:hint="eastAsia" w:eastAsia="宋体"/>
          <w:color w:val="auto"/>
          <w:sz w:val="21"/>
          <w:szCs w:val="21"/>
          <w:highlight w:val="none"/>
        </w:rPr>
      </w:pPr>
      <w:r>
        <w:rPr>
          <w:rFonts w:hint="eastAsia" w:eastAsia="宋体"/>
          <w:color w:val="auto"/>
          <w:sz w:val="21"/>
          <w:szCs w:val="21"/>
          <w:highlight w:val="none"/>
          <w:lang w:val="en-US" w:eastAsia="zh-CN"/>
        </w:rPr>
        <w:t>3</w:t>
      </w:r>
      <w:r>
        <w:rPr>
          <w:rFonts w:hint="eastAsia" w:eastAsia="宋体"/>
          <w:color w:val="auto"/>
          <w:sz w:val="21"/>
          <w:szCs w:val="21"/>
          <w:highlight w:val="none"/>
        </w:rPr>
        <w:t>.落实政府采购政策需满足的资格要求：供应商为中小企业/小微企业</w:t>
      </w:r>
      <w:r>
        <w:rPr>
          <w:rFonts w:hint="eastAsia" w:eastAsia="宋体"/>
          <w:color w:val="auto"/>
          <w:sz w:val="21"/>
          <w:szCs w:val="21"/>
          <w:highlight w:val="none"/>
          <w:lang w:eastAsia="zh-CN"/>
        </w:rPr>
        <w:t>（</w:t>
      </w:r>
      <w:r>
        <w:rPr>
          <w:rFonts w:hint="eastAsia" w:eastAsia="宋体"/>
          <w:color w:val="auto"/>
          <w:sz w:val="21"/>
          <w:szCs w:val="21"/>
          <w:highlight w:val="none"/>
        </w:rPr>
        <w:t>监狱企业、残疾人福利性单位视同为小微企业</w:t>
      </w:r>
      <w:r>
        <w:rPr>
          <w:rFonts w:hint="eastAsia" w:eastAsia="宋体"/>
          <w:color w:val="auto"/>
          <w:sz w:val="21"/>
          <w:szCs w:val="21"/>
          <w:highlight w:val="none"/>
          <w:lang w:eastAsia="zh-CN"/>
        </w:rPr>
        <w:t>）</w:t>
      </w:r>
      <w:r>
        <w:rPr>
          <w:rFonts w:hint="eastAsia" w:eastAsia="宋体"/>
          <w:color w:val="auto"/>
          <w:sz w:val="21"/>
          <w:szCs w:val="21"/>
          <w:highlight w:val="none"/>
        </w:rPr>
        <w:t>。 </w:t>
      </w:r>
    </w:p>
    <w:p>
      <w:pPr>
        <w:keepNext w:val="0"/>
        <w:keepLines w:val="0"/>
        <w:pageBreakBefore w:val="0"/>
        <w:widowControl/>
        <w:kinsoku/>
        <w:wordWrap/>
        <w:overflowPunct/>
        <w:topLinePunct w:val="0"/>
        <w:autoSpaceDE/>
        <w:autoSpaceDN/>
        <w:bidi w:val="0"/>
        <w:adjustRightInd/>
        <w:snapToGrid/>
        <w:spacing w:line="360" w:lineRule="auto"/>
        <w:ind w:left="44" w:leftChars="21" w:right="60" w:firstLine="426" w:firstLineChars="200"/>
        <w:textAlignment w:val="auto"/>
        <w:rPr>
          <w:rFonts w:hint="eastAsia" w:eastAsia="宋体"/>
          <w:color w:val="auto"/>
          <w:sz w:val="21"/>
          <w:szCs w:val="21"/>
          <w:highlight w:val="none"/>
        </w:rPr>
      </w:pPr>
      <w:r>
        <w:rPr>
          <w:rFonts w:hint="eastAsia" w:eastAsia="宋体"/>
          <w:color w:val="auto"/>
          <w:sz w:val="21"/>
          <w:szCs w:val="21"/>
          <w:highlight w:val="none"/>
          <w:lang w:val="en-US" w:eastAsia="zh-CN"/>
        </w:rPr>
        <w:t>4</w:t>
      </w:r>
      <w:r>
        <w:rPr>
          <w:rFonts w:hint="eastAsia" w:eastAsia="宋体"/>
          <w:color w:val="auto"/>
          <w:sz w:val="21"/>
          <w:szCs w:val="21"/>
          <w:highlight w:val="none"/>
        </w:rPr>
        <w:t>.</w:t>
      </w:r>
      <w:r>
        <w:rPr>
          <w:rFonts w:hint="eastAsia" w:eastAsia="宋体"/>
          <w:color w:val="auto"/>
          <w:sz w:val="21"/>
          <w:szCs w:val="21"/>
          <w:highlight w:val="none"/>
          <w:lang w:val="en-US" w:eastAsia="zh-CN"/>
        </w:rPr>
        <w:t>本项目的特定资格要求：具有乙级（含乙级）以上测绘资质，包含工程测量、界限与不动产专业。</w:t>
      </w:r>
    </w:p>
    <w:p>
      <w:pPr>
        <w:pStyle w:val="17"/>
        <w:keepNext w:val="0"/>
        <w:keepLines w:val="0"/>
        <w:pageBreakBefore w:val="0"/>
        <w:kinsoku/>
        <w:wordWrap/>
        <w:overflowPunct/>
        <w:topLinePunct w:val="0"/>
        <w:autoSpaceDE/>
        <w:autoSpaceDN/>
        <w:bidi w:val="0"/>
        <w:adjustRightInd w:val="0"/>
        <w:snapToGrid w:val="0"/>
        <w:spacing w:line="360" w:lineRule="auto"/>
        <w:ind w:firstLine="426" w:firstLineChars="200"/>
        <w:textAlignment w:val="auto"/>
        <w:rPr>
          <w:rFonts w:ascii="Times New Roman" w:hAnsi="Times New Roman" w:cs="Arial"/>
          <w:b/>
          <w:bCs/>
          <w:color w:val="auto"/>
          <w:kern w:val="0"/>
          <w:highlight w:val="none"/>
        </w:rPr>
      </w:pPr>
      <w:r>
        <w:rPr>
          <w:rFonts w:hint="eastAsia" w:ascii="Times New Roman" w:hAnsi="Times New Roman" w:cs="Arial"/>
          <w:b/>
          <w:bCs/>
          <w:color w:val="auto"/>
          <w:kern w:val="0"/>
          <w:highlight w:val="none"/>
        </w:rPr>
        <w:t>三、获取（下载）采购文件</w:t>
      </w:r>
    </w:p>
    <w:p>
      <w:pPr>
        <w:pStyle w:val="17"/>
        <w:keepNext w:val="0"/>
        <w:keepLines w:val="0"/>
        <w:pageBreakBefore w:val="0"/>
        <w:kinsoku/>
        <w:wordWrap/>
        <w:overflowPunct/>
        <w:topLinePunct w:val="0"/>
        <w:autoSpaceDE/>
        <w:autoSpaceDN/>
        <w:bidi w:val="0"/>
        <w:adjustRightInd w:val="0"/>
        <w:snapToGrid w:val="0"/>
        <w:spacing w:line="360" w:lineRule="auto"/>
        <w:ind w:firstLine="426" w:firstLineChars="200"/>
        <w:textAlignment w:val="auto"/>
        <w:rPr>
          <w:rFonts w:ascii="Times New Roman" w:hAnsi="Times New Roman" w:cs="Arial"/>
          <w:color w:val="auto"/>
          <w:kern w:val="0"/>
          <w:highlight w:val="none"/>
        </w:rPr>
      </w:pPr>
      <w:r>
        <w:rPr>
          <w:rFonts w:hint="eastAsia" w:ascii="Times New Roman" w:hAnsi="Times New Roman" w:cs="Arial"/>
          <w:color w:val="auto"/>
          <w:kern w:val="0"/>
          <w:highlight w:val="none"/>
        </w:rPr>
        <w:t>1.时间：/至</w:t>
      </w:r>
      <w:r>
        <w:rPr>
          <w:rFonts w:hint="eastAsia" w:ascii="Times New Roman" w:hAnsi="Times New Roman" w:cs="Arial"/>
          <w:color w:val="auto"/>
          <w:kern w:val="0"/>
          <w:highlight w:val="none"/>
          <w:lang w:eastAsia="zh-CN"/>
        </w:rPr>
        <w:t>2025年6月</w:t>
      </w:r>
      <w:r>
        <w:rPr>
          <w:rFonts w:hint="eastAsia" w:ascii="Times New Roman" w:hAnsi="Times New Roman" w:cs="Arial"/>
          <w:color w:val="auto"/>
          <w:kern w:val="0"/>
          <w:highlight w:val="none"/>
          <w:lang w:val="en-US" w:eastAsia="zh-CN"/>
        </w:rPr>
        <w:t>30</w:t>
      </w:r>
      <w:r>
        <w:rPr>
          <w:rFonts w:hint="eastAsia" w:ascii="Times New Roman" w:hAnsi="Times New Roman" w:cs="Arial"/>
          <w:color w:val="auto"/>
          <w:kern w:val="0"/>
          <w:highlight w:val="none"/>
          <w:lang w:eastAsia="zh-CN"/>
        </w:rPr>
        <w:t>日</w:t>
      </w:r>
      <w:r>
        <w:rPr>
          <w:rFonts w:hint="eastAsia" w:ascii="Times New Roman" w:hAnsi="Times New Roman" w:cs="Arial"/>
          <w:color w:val="auto"/>
          <w:kern w:val="0"/>
          <w:highlight w:val="none"/>
        </w:rPr>
        <w:t>，每天上午00:00至12:00，下午12:00至23:59（北京时间，线上获取法定节假日均可，线下获取文件法定节假日除外）</w:t>
      </w:r>
    </w:p>
    <w:p>
      <w:pPr>
        <w:pStyle w:val="17"/>
        <w:keepNext w:val="0"/>
        <w:keepLines w:val="0"/>
        <w:pageBreakBefore w:val="0"/>
        <w:kinsoku/>
        <w:wordWrap/>
        <w:overflowPunct/>
        <w:topLinePunct w:val="0"/>
        <w:autoSpaceDE/>
        <w:autoSpaceDN/>
        <w:bidi w:val="0"/>
        <w:adjustRightInd w:val="0"/>
        <w:snapToGrid w:val="0"/>
        <w:spacing w:line="360" w:lineRule="auto"/>
        <w:ind w:firstLine="426" w:firstLineChars="200"/>
        <w:textAlignment w:val="auto"/>
        <w:rPr>
          <w:rFonts w:ascii="Times New Roman" w:hAnsi="Times New Roman" w:cs="Arial"/>
          <w:color w:val="auto"/>
          <w:kern w:val="0"/>
          <w:highlight w:val="none"/>
        </w:rPr>
      </w:pPr>
      <w:r>
        <w:rPr>
          <w:rFonts w:hint="eastAsia" w:ascii="Times New Roman" w:hAnsi="Times New Roman" w:cs="Arial"/>
          <w:color w:val="auto"/>
          <w:kern w:val="0"/>
          <w:highlight w:val="none"/>
        </w:rPr>
        <w:t>2.地点（网址）：</w:t>
      </w:r>
      <w:r>
        <w:rPr>
          <w:rFonts w:ascii="Times New Roman" w:hAnsi="Times New Roman" w:cs="Arial"/>
          <w:color w:val="auto"/>
          <w:kern w:val="0"/>
          <w:highlight w:val="none"/>
        </w:rPr>
        <w:t>浙江政府采购网（http://zfcg.czt.zj.gov.cn）</w:t>
      </w:r>
      <w:r>
        <w:rPr>
          <w:rFonts w:hint="eastAsia" w:ascii="Times New Roman" w:hAnsi="Times New Roman" w:cs="Arial"/>
          <w:color w:val="auto"/>
          <w:kern w:val="0"/>
          <w:highlight w:val="none"/>
        </w:rPr>
        <w:t>  </w:t>
      </w:r>
    </w:p>
    <w:p>
      <w:pPr>
        <w:pStyle w:val="17"/>
        <w:keepNext w:val="0"/>
        <w:keepLines w:val="0"/>
        <w:pageBreakBefore w:val="0"/>
        <w:kinsoku/>
        <w:wordWrap/>
        <w:overflowPunct/>
        <w:topLinePunct w:val="0"/>
        <w:autoSpaceDE/>
        <w:autoSpaceDN/>
        <w:bidi w:val="0"/>
        <w:adjustRightInd w:val="0"/>
        <w:snapToGrid w:val="0"/>
        <w:spacing w:line="360" w:lineRule="auto"/>
        <w:ind w:firstLine="426" w:firstLineChars="200"/>
        <w:textAlignment w:val="auto"/>
        <w:rPr>
          <w:rFonts w:ascii="Times New Roman" w:hAnsi="Times New Roman" w:cs="Arial"/>
          <w:color w:val="auto"/>
          <w:kern w:val="0"/>
          <w:highlight w:val="none"/>
        </w:rPr>
      </w:pPr>
      <w:r>
        <w:rPr>
          <w:rFonts w:hint="eastAsia" w:ascii="Times New Roman" w:hAnsi="Times New Roman" w:cs="Arial"/>
          <w:color w:val="auto"/>
          <w:kern w:val="0"/>
          <w:highlight w:val="none"/>
        </w:rPr>
        <w:t>3.方式：</w:t>
      </w:r>
      <w:r>
        <w:rPr>
          <w:rFonts w:ascii="Times New Roman" w:hAnsi="Times New Roman" w:cs="Arial"/>
          <w:color w:val="auto"/>
          <w:kern w:val="0"/>
          <w:highlight w:val="none"/>
        </w:rPr>
        <w:t>供应商登录政采云平台https://www.zcygov.cn/在线申请获取采购文件（进入“项目采购”应用，在获取采购文件菜单中选择项目，申请获取采购文件）</w:t>
      </w:r>
      <w:r>
        <w:rPr>
          <w:rFonts w:hint="eastAsia" w:ascii="Times New Roman" w:hAnsi="Times New Roman" w:cs="Arial"/>
          <w:color w:val="auto"/>
          <w:kern w:val="0"/>
          <w:highlight w:val="none"/>
        </w:rPr>
        <w:t>  </w:t>
      </w:r>
    </w:p>
    <w:p>
      <w:pPr>
        <w:pStyle w:val="17"/>
        <w:keepNext w:val="0"/>
        <w:keepLines w:val="0"/>
        <w:pageBreakBefore w:val="0"/>
        <w:kinsoku/>
        <w:wordWrap/>
        <w:overflowPunct/>
        <w:topLinePunct w:val="0"/>
        <w:autoSpaceDE/>
        <w:autoSpaceDN/>
        <w:bidi w:val="0"/>
        <w:adjustRightInd w:val="0"/>
        <w:snapToGrid w:val="0"/>
        <w:spacing w:line="360" w:lineRule="auto"/>
        <w:ind w:firstLine="426" w:firstLineChars="200"/>
        <w:textAlignment w:val="auto"/>
        <w:rPr>
          <w:rFonts w:ascii="Times New Roman" w:hAnsi="Times New Roman" w:cs="Arial"/>
          <w:color w:val="auto"/>
          <w:kern w:val="0"/>
          <w:highlight w:val="none"/>
        </w:rPr>
      </w:pPr>
      <w:r>
        <w:rPr>
          <w:rFonts w:hint="eastAsia" w:ascii="Times New Roman" w:hAnsi="Times New Roman" w:cs="Arial"/>
          <w:color w:val="auto"/>
          <w:kern w:val="0"/>
          <w:highlight w:val="none"/>
        </w:rPr>
        <w:t>4.售价（元）：0 </w:t>
      </w:r>
    </w:p>
    <w:p>
      <w:pPr>
        <w:pStyle w:val="17"/>
        <w:keepNext w:val="0"/>
        <w:keepLines w:val="0"/>
        <w:pageBreakBefore w:val="0"/>
        <w:kinsoku/>
        <w:wordWrap/>
        <w:overflowPunct/>
        <w:topLinePunct w:val="0"/>
        <w:autoSpaceDE/>
        <w:autoSpaceDN/>
        <w:bidi w:val="0"/>
        <w:adjustRightInd w:val="0"/>
        <w:snapToGrid w:val="0"/>
        <w:spacing w:line="360" w:lineRule="auto"/>
        <w:ind w:firstLine="426" w:firstLineChars="200"/>
        <w:textAlignment w:val="auto"/>
        <w:rPr>
          <w:rFonts w:ascii="Times New Roman" w:hAnsi="Times New Roman" w:cs="Arial"/>
          <w:b/>
          <w:bCs/>
          <w:color w:val="auto"/>
          <w:kern w:val="0"/>
          <w:highlight w:val="none"/>
        </w:rPr>
      </w:pPr>
      <w:r>
        <w:rPr>
          <w:rFonts w:hint="eastAsia" w:ascii="Times New Roman" w:hAnsi="Times New Roman" w:cs="Arial"/>
          <w:b/>
          <w:bCs/>
          <w:color w:val="auto"/>
          <w:kern w:val="0"/>
          <w:highlight w:val="none"/>
        </w:rPr>
        <w:t>四、响应文件提交（上传） </w:t>
      </w:r>
    </w:p>
    <w:p>
      <w:pPr>
        <w:pStyle w:val="17"/>
        <w:keepNext w:val="0"/>
        <w:keepLines w:val="0"/>
        <w:pageBreakBefore w:val="0"/>
        <w:kinsoku/>
        <w:wordWrap/>
        <w:overflowPunct/>
        <w:topLinePunct w:val="0"/>
        <w:autoSpaceDE/>
        <w:autoSpaceDN/>
        <w:bidi w:val="0"/>
        <w:adjustRightInd w:val="0"/>
        <w:snapToGrid w:val="0"/>
        <w:spacing w:line="360" w:lineRule="auto"/>
        <w:ind w:firstLine="426" w:firstLineChars="200"/>
        <w:textAlignment w:val="auto"/>
        <w:rPr>
          <w:rFonts w:ascii="Times New Roman" w:hAnsi="Times New Roman" w:cs="Arial"/>
          <w:color w:val="auto"/>
          <w:kern w:val="0"/>
          <w:highlight w:val="none"/>
        </w:rPr>
      </w:pPr>
      <w:r>
        <w:rPr>
          <w:rFonts w:hint="eastAsia" w:ascii="Times New Roman" w:hAnsi="Times New Roman" w:cs="Arial"/>
          <w:color w:val="auto"/>
          <w:kern w:val="0"/>
          <w:highlight w:val="none"/>
        </w:rPr>
        <w:t>1. 截止时间：</w:t>
      </w:r>
      <w:r>
        <w:rPr>
          <w:rFonts w:hint="eastAsia" w:ascii="Times New Roman" w:hAnsi="Times New Roman" w:cs="Arial"/>
          <w:color w:val="auto"/>
          <w:kern w:val="0"/>
          <w:highlight w:val="none"/>
          <w:lang w:eastAsia="zh-CN"/>
        </w:rPr>
        <w:t>2025年6月30日14:00 时</w:t>
      </w:r>
      <w:r>
        <w:rPr>
          <w:rFonts w:hint="eastAsia" w:ascii="Times New Roman" w:hAnsi="Times New Roman" w:cs="Arial"/>
          <w:color w:val="auto"/>
          <w:kern w:val="0"/>
          <w:highlight w:val="none"/>
        </w:rPr>
        <w:t>（北京时间）</w:t>
      </w:r>
    </w:p>
    <w:p>
      <w:pPr>
        <w:pStyle w:val="17"/>
        <w:keepNext w:val="0"/>
        <w:keepLines w:val="0"/>
        <w:pageBreakBefore w:val="0"/>
        <w:kinsoku/>
        <w:wordWrap/>
        <w:overflowPunct/>
        <w:topLinePunct w:val="0"/>
        <w:autoSpaceDE/>
        <w:autoSpaceDN/>
        <w:bidi w:val="0"/>
        <w:adjustRightInd w:val="0"/>
        <w:snapToGrid w:val="0"/>
        <w:spacing w:line="360" w:lineRule="auto"/>
        <w:ind w:firstLine="426" w:firstLineChars="200"/>
        <w:textAlignment w:val="auto"/>
        <w:rPr>
          <w:rFonts w:ascii="Times New Roman" w:hAnsi="Times New Roman" w:cs="Arial"/>
          <w:color w:val="auto"/>
          <w:kern w:val="0"/>
          <w:highlight w:val="none"/>
        </w:rPr>
      </w:pPr>
      <w:r>
        <w:rPr>
          <w:rFonts w:hint="eastAsia" w:ascii="Times New Roman" w:hAnsi="Times New Roman" w:cs="Arial"/>
          <w:color w:val="auto"/>
          <w:kern w:val="0"/>
          <w:highlight w:val="none"/>
        </w:rPr>
        <w:t>2.地点（网址）：</w:t>
      </w:r>
      <w:r>
        <w:rPr>
          <w:rFonts w:ascii="Times New Roman" w:hAnsi="Times New Roman" w:cs="Arial"/>
          <w:color w:val="auto"/>
          <w:kern w:val="0"/>
          <w:highlight w:val="none"/>
        </w:rPr>
        <w:t>政采云https://login.zcygov.cn/在线递交。</w:t>
      </w:r>
    </w:p>
    <w:p>
      <w:pPr>
        <w:pStyle w:val="17"/>
        <w:keepNext w:val="0"/>
        <w:keepLines w:val="0"/>
        <w:pageBreakBefore w:val="0"/>
        <w:kinsoku/>
        <w:wordWrap/>
        <w:overflowPunct/>
        <w:topLinePunct w:val="0"/>
        <w:autoSpaceDE/>
        <w:autoSpaceDN/>
        <w:bidi w:val="0"/>
        <w:adjustRightInd w:val="0"/>
        <w:snapToGrid w:val="0"/>
        <w:spacing w:line="360" w:lineRule="auto"/>
        <w:ind w:firstLine="426" w:firstLineChars="200"/>
        <w:textAlignment w:val="auto"/>
        <w:rPr>
          <w:rFonts w:ascii="Times New Roman" w:hAnsi="Times New Roman" w:cs="Arial"/>
          <w:b/>
          <w:bCs/>
          <w:color w:val="auto"/>
          <w:kern w:val="0"/>
          <w:highlight w:val="none"/>
        </w:rPr>
      </w:pPr>
      <w:r>
        <w:rPr>
          <w:rFonts w:hint="eastAsia" w:ascii="Times New Roman" w:hAnsi="Times New Roman" w:cs="Arial"/>
          <w:b/>
          <w:bCs/>
          <w:color w:val="auto"/>
          <w:kern w:val="0"/>
          <w:highlight w:val="none"/>
        </w:rPr>
        <w:t>五、响应文件开启 </w:t>
      </w:r>
    </w:p>
    <w:p>
      <w:pPr>
        <w:pStyle w:val="17"/>
        <w:keepNext w:val="0"/>
        <w:keepLines w:val="0"/>
        <w:pageBreakBefore w:val="0"/>
        <w:kinsoku/>
        <w:wordWrap/>
        <w:overflowPunct/>
        <w:topLinePunct w:val="0"/>
        <w:autoSpaceDE/>
        <w:autoSpaceDN/>
        <w:bidi w:val="0"/>
        <w:adjustRightInd w:val="0"/>
        <w:snapToGrid w:val="0"/>
        <w:spacing w:line="360" w:lineRule="auto"/>
        <w:ind w:firstLine="426" w:firstLineChars="200"/>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1.开启时间：</w:t>
      </w:r>
      <w:r>
        <w:rPr>
          <w:rFonts w:hint="eastAsia" w:ascii="Times New Roman" w:hAnsi="Times New Roman" w:cs="Arial"/>
          <w:color w:val="auto"/>
          <w:kern w:val="0"/>
          <w:highlight w:val="none"/>
          <w:lang w:eastAsia="zh-CN"/>
        </w:rPr>
        <w:t>2025年6月30日14:00 时</w:t>
      </w:r>
      <w:r>
        <w:rPr>
          <w:rFonts w:hint="eastAsia" w:ascii="Times New Roman" w:hAnsi="Times New Roman" w:eastAsia="宋体" w:cs="Times New Roman"/>
          <w:color w:val="auto"/>
          <w:kern w:val="0"/>
          <w:sz w:val="21"/>
          <w:szCs w:val="21"/>
          <w:highlight w:val="none"/>
          <w:lang w:val="en-US" w:eastAsia="zh-CN" w:bidi="ar-SA"/>
        </w:rPr>
        <w:t>（北京时间）</w:t>
      </w:r>
    </w:p>
    <w:p>
      <w:pPr>
        <w:pStyle w:val="17"/>
        <w:keepNext w:val="0"/>
        <w:keepLines w:val="0"/>
        <w:pageBreakBefore w:val="0"/>
        <w:kinsoku/>
        <w:wordWrap/>
        <w:overflowPunct/>
        <w:topLinePunct w:val="0"/>
        <w:autoSpaceDE/>
        <w:autoSpaceDN/>
        <w:bidi w:val="0"/>
        <w:adjustRightInd w:val="0"/>
        <w:snapToGrid w:val="0"/>
        <w:spacing w:line="360" w:lineRule="auto"/>
        <w:ind w:firstLine="426" w:firstLineChars="200"/>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2.地点（网址）：政采云https://login.zcygov.cn/在线开启。 </w:t>
      </w:r>
    </w:p>
    <w:p>
      <w:pPr>
        <w:keepNext w:val="0"/>
        <w:keepLines w:val="0"/>
        <w:pageBreakBefore w:val="0"/>
        <w:kinsoku/>
        <w:wordWrap/>
        <w:overflowPunct/>
        <w:topLinePunct w:val="0"/>
        <w:autoSpaceDE/>
        <w:autoSpaceDN/>
        <w:bidi w:val="0"/>
        <w:spacing w:line="360" w:lineRule="auto"/>
        <w:ind w:firstLine="426" w:firstLineChars="200"/>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3.评审地点：浙江均和工程管理有限公司1801评标室（海盐县银都科技大厦18楼）。</w:t>
      </w:r>
    </w:p>
    <w:p>
      <w:pPr>
        <w:pStyle w:val="17"/>
        <w:keepNext w:val="0"/>
        <w:keepLines w:val="0"/>
        <w:pageBreakBefore w:val="0"/>
        <w:kinsoku/>
        <w:wordWrap/>
        <w:overflowPunct/>
        <w:topLinePunct w:val="0"/>
        <w:autoSpaceDE/>
        <w:autoSpaceDN/>
        <w:bidi w:val="0"/>
        <w:adjustRightInd w:val="0"/>
        <w:snapToGrid w:val="0"/>
        <w:spacing w:line="360" w:lineRule="auto"/>
        <w:ind w:firstLine="426" w:firstLineChars="200"/>
        <w:textAlignment w:val="auto"/>
        <w:rPr>
          <w:rFonts w:ascii="Times New Roman" w:hAnsi="Times New Roman" w:cs="Arial"/>
          <w:color w:val="auto"/>
          <w:kern w:val="0"/>
          <w:highlight w:val="none"/>
        </w:rPr>
      </w:pPr>
      <w:r>
        <w:rPr>
          <w:rFonts w:hint="eastAsia" w:ascii="Times New Roman" w:hAnsi="Times New Roman" w:cs="Arial"/>
          <w:b/>
          <w:bCs/>
          <w:color w:val="auto"/>
          <w:kern w:val="0"/>
          <w:highlight w:val="none"/>
        </w:rPr>
        <w:t>六、公告期限</w:t>
      </w:r>
    </w:p>
    <w:p>
      <w:pPr>
        <w:pStyle w:val="17"/>
        <w:keepNext w:val="0"/>
        <w:keepLines w:val="0"/>
        <w:pageBreakBefore w:val="0"/>
        <w:kinsoku/>
        <w:wordWrap/>
        <w:overflowPunct/>
        <w:topLinePunct w:val="0"/>
        <w:autoSpaceDE/>
        <w:autoSpaceDN/>
        <w:bidi w:val="0"/>
        <w:adjustRightInd w:val="0"/>
        <w:snapToGrid w:val="0"/>
        <w:spacing w:line="360" w:lineRule="auto"/>
        <w:ind w:firstLine="426" w:firstLineChars="200"/>
        <w:textAlignment w:val="auto"/>
        <w:rPr>
          <w:rFonts w:ascii="Times New Roman" w:hAnsi="Times New Roman" w:cs="Arial"/>
          <w:color w:val="auto"/>
          <w:kern w:val="0"/>
          <w:highlight w:val="none"/>
        </w:rPr>
      </w:pPr>
      <w:r>
        <w:rPr>
          <w:rFonts w:hint="eastAsia" w:ascii="Times New Roman" w:hAnsi="Times New Roman" w:cs="Arial"/>
          <w:color w:val="auto"/>
          <w:kern w:val="0"/>
          <w:highlight w:val="none"/>
        </w:rPr>
        <w:t>自本公告发布之日起3个工作日。</w:t>
      </w:r>
    </w:p>
    <w:p>
      <w:pPr>
        <w:pStyle w:val="29"/>
        <w:keepNext w:val="0"/>
        <w:keepLines w:val="0"/>
        <w:pageBreakBefore w:val="0"/>
        <w:kinsoku/>
        <w:wordWrap/>
        <w:overflowPunct/>
        <w:topLinePunct w:val="0"/>
        <w:autoSpaceDE/>
        <w:autoSpaceDN/>
        <w:bidi w:val="0"/>
        <w:adjustRightInd w:val="0"/>
        <w:snapToGrid w:val="0"/>
        <w:spacing w:before="0" w:beforeAutospacing="0" w:after="81" w:afterAutospacing="0" w:line="360" w:lineRule="auto"/>
        <w:ind w:firstLine="426" w:firstLineChars="200"/>
        <w:textAlignment w:val="auto"/>
        <w:rPr>
          <w:rFonts w:ascii="Times New Roman" w:hAnsi="Times New Roman" w:eastAsia="宋体" w:cs="Arial"/>
          <w:b/>
          <w:bCs/>
          <w:color w:val="auto"/>
          <w:sz w:val="21"/>
          <w:highlight w:val="none"/>
        </w:rPr>
      </w:pPr>
      <w:r>
        <w:rPr>
          <w:rFonts w:hint="eastAsia" w:ascii="Times New Roman" w:hAnsi="Times New Roman" w:eastAsia="宋体" w:cs="Arial"/>
          <w:b/>
          <w:bCs/>
          <w:color w:val="auto"/>
          <w:sz w:val="21"/>
          <w:highlight w:val="none"/>
        </w:rPr>
        <w:t>七、其他补充事宜 </w:t>
      </w:r>
    </w:p>
    <w:p>
      <w:pPr>
        <w:keepNext w:val="0"/>
        <w:keepLines w:val="0"/>
        <w:pageBreakBefore w:val="0"/>
        <w:widowControl/>
        <w:kinsoku/>
        <w:wordWrap/>
        <w:overflowPunct/>
        <w:topLinePunct w:val="0"/>
        <w:autoSpaceDE/>
        <w:autoSpaceDN/>
        <w:bidi w:val="0"/>
        <w:adjustRightInd/>
        <w:snapToGrid/>
        <w:spacing w:line="360" w:lineRule="auto"/>
        <w:ind w:firstLine="426" w:firstLineChars="200"/>
        <w:textAlignment w:val="auto"/>
        <w:rPr>
          <w:rFonts w:cs="Arial"/>
          <w:color w:val="auto"/>
          <w:sz w:val="21"/>
          <w:szCs w:val="21"/>
          <w:highlight w:val="none"/>
        </w:rPr>
      </w:pPr>
      <w:r>
        <w:rPr>
          <w:rFonts w:hint="eastAsia" w:cs="Arial"/>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w:t>
      </w:r>
      <w:r>
        <w:rPr>
          <w:rFonts w:hint="eastAsia" w:cs="Arial"/>
          <w:color w:val="auto"/>
          <w:sz w:val="21"/>
          <w:szCs w:val="21"/>
          <w:highlight w:val="none"/>
          <w:lang w:eastAsia="zh-CN"/>
        </w:rPr>
        <w:t>2023年</w:t>
      </w:r>
      <w:r>
        <w:rPr>
          <w:rFonts w:hint="eastAsia" w:cs="Arial"/>
          <w:color w:val="auto"/>
          <w:sz w:val="21"/>
          <w:szCs w:val="21"/>
          <w:highlight w:val="none"/>
        </w:rPr>
        <w:t>1月29日、</w:t>
      </w:r>
      <w:r>
        <w:rPr>
          <w:rFonts w:hint="eastAsia" w:cs="Arial"/>
          <w:color w:val="auto"/>
          <w:sz w:val="21"/>
          <w:szCs w:val="21"/>
          <w:highlight w:val="none"/>
          <w:lang w:eastAsia="zh-CN"/>
        </w:rPr>
        <w:t>2023年</w:t>
      </w:r>
      <w:r>
        <w:rPr>
          <w:rFonts w:hint="eastAsia" w:cs="Arial"/>
          <w:color w:val="auto"/>
          <w:sz w:val="21"/>
          <w:szCs w:val="21"/>
          <w:highlight w:val="none"/>
        </w:rPr>
        <w:t>2月1日、</w:t>
      </w:r>
      <w:r>
        <w:rPr>
          <w:rFonts w:hint="eastAsia" w:cs="Arial"/>
          <w:color w:val="auto"/>
          <w:sz w:val="21"/>
          <w:szCs w:val="21"/>
          <w:highlight w:val="none"/>
          <w:lang w:eastAsia="zh-CN"/>
        </w:rPr>
        <w:t>2023年</w:t>
      </w:r>
      <w:r>
        <w:rPr>
          <w:rFonts w:cs="Arial"/>
          <w:color w:val="auto"/>
          <w:sz w:val="21"/>
          <w:szCs w:val="21"/>
          <w:highlight w:val="none"/>
        </w:rPr>
        <w:t>7月1日</w:t>
      </w:r>
      <w:r>
        <w:rPr>
          <w:rFonts w:hint="eastAsia" w:cs="Arial"/>
          <w:color w:val="auto"/>
          <w:sz w:val="21"/>
          <w:szCs w:val="21"/>
          <w:highlight w:val="none"/>
        </w:rPr>
        <w:t>开始实施，此前有关规定与上述文件内容不一致的，按上述文件要求执行。</w:t>
      </w:r>
    </w:p>
    <w:p>
      <w:pPr>
        <w:keepNext w:val="0"/>
        <w:keepLines w:val="0"/>
        <w:pageBreakBefore w:val="0"/>
        <w:widowControl/>
        <w:kinsoku/>
        <w:wordWrap/>
        <w:overflowPunct/>
        <w:topLinePunct w:val="0"/>
        <w:autoSpaceDE/>
        <w:autoSpaceDN/>
        <w:bidi w:val="0"/>
        <w:adjustRightInd/>
        <w:snapToGrid/>
        <w:spacing w:line="360" w:lineRule="auto"/>
        <w:ind w:firstLine="426" w:firstLineChars="200"/>
        <w:textAlignment w:val="auto"/>
        <w:rPr>
          <w:rFonts w:cs="Arial"/>
          <w:color w:val="auto"/>
          <w:sz w:val="21"/>
          <w:szCs w:val="21"/>
          <w:highlight w:val="none"/>
        </w:rPr>
      </w:pPr>
      <w:r>
        <w:rPr>
          <w:rFonts w:hint="eastAsia" w:cs="Arial"/>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kinsoku/>
        <w:wordWrap/>
        <w:overflowPunct/>
        <w:topLinePunct w:val="0"/>
        <w:autoSpaceDE/>
        <w:autoSpaceDN/>
        <w:bidi w:val="0"/>
        <w:adjustRightInd/>
        <w:snapToGrid/>
        <w:spacing w:line="360" w:lineRule="auto"/>
        <w:ind w:firstLine="426" w:firstLineChars="200"/>
        <w:textAlignment w:val="auto"/>
        <w:rPr>
          <w:rFonts w:cs="Arial"/>
          <w:color w:val="auto"/>
          <w:sz w:val="21"/>
          <w:szCs w:val="21"/>
          <w:highlight w:val="none"/>
        </w:rPr>
      </w:pPr>
      <w:r>
        <w:rPr>
          <w:rFonts w:hint="eastAsia" w:cs="Arial"/>
          <w:color w:val="auto"/>
          <w:sz w:val="21"/>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在政采云平台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kinsoku/>
        <w:wordWrap/>
        <w:overflowPunct/>
        <w:topLinePunct w:val="0"/>
        <w:autoSpaceDE/>
        <w:autoSpaceDN/>
        <w:bidi w:val="0"/>
        <w:adjustRightInd/>
        <w:snapToGrid/>
        <w:spacing w:line="360" w:lineRule="auto"/>
        <w:ind w:firstLine="426" w:firstLineChars="200"/>
        <w:textAlignment w:val="auto"/>
        <w:rPr>
          <w:rFonts w:cs="Arial"/>
          <w:color w:val="auto"/>
          <w:sz w:val="21"/>
          <w:szCs w:val="21"/>
          <w:highlight w:val="none"/>
        </w:rPr>
      </w:pPr>
      <w:r>
        <w:rPr>
          <w:rFonts w:hint="eastAsia" w:cs="Arial"/>
          <w:color w:val="auto"/>
          <w:sz w:val="21"/>
          <w:szCs w:val="21"/>
          <w:highlight w:val="none"/>
        </w:rPr>
        <w:t>4.其他事项：</w:t>
      </w:r>
    </w:p>
    <w:p>
      <w:pPr>
        <w:keepNext w:val="0"/>
        <w:keepLines w:val="0"/>
        <w:pageBreakBefore w:val="0"/>
        <w:widowControl/>
        <w:kinsoku/>
        <w:wordWrap/>
        <w:overflowPunct/>
        <w:topLinePunct w:val="0"/>
        <w:autoSpaceDE/>
        <w:autoSpaceDN/>
        <w:bidi w:val="0"/>
        <w:adjustRightInd/>
        <w:snapToGrid/>
        <w:spacing w:line="360" w:lineRule="auto"/>
        <w:ind w:firstLine="426" w:firstLineChars="200"/>
        <w:textAlignment w:val="auto"/>
        <w:rPr>
          <w:rFonts w:cs="Arial"/>
          <w:color w:val="auto"/>
          <w:sz w:val="21"/>
          <w:szCs w:val="21"/>
          <w:highlight w:val="none"/>
        </w:rPr>
      </w:pPr>
      <w:r>
        <w:rPr>
          <w:rFonts w:hint="eastAsia" w:cs="Arial"/>
          <w:color w:val="auto"/>
          <w:sz w:val="21"/>
          <w:szCs w:val="21"/>
          <w:highlight w:val="none"/>
        </w:rPr>
        <w:t>（1）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pPr>
        <w:keepNext w:val="0"/>
        <w:keepLines w:val="0"/>
        <w:pageBreakBefore w:val="0"/>
        <w:widowControl/>
        <w:kinsoku/>
        <w:wordWrap/>
        <w:overflowPunct/>
        <w:topLinePunct w:val="0"/>
        <w:autoSpaceDE/>
        <w:autoSpaceDN/>
        <w:bidi w:val="0"/>
        <w:adjustRightInd/>
        <w:snapToGrid/>
        <w:spacing w:line="360" w:lineRule="auto"/>
        <w:ind w:firstLine="426" w:firstLineChars="200"/>
        <w:textAlignment w:val="auto"/>
        <w:rPr>
          <w:rFonts w:cs="Arial"/>
          <w:color w:val="auto"/>
          <w:sz w:val="21"/>
          <w:szCs w:val="21"/>
          <w:highlight w:val="none"/>
        </w:rPr>
      </w:pPr>
      <w:r>
        <w:rPr>
          <w:rFonts w:hint="eastAsia" w:cs="Arial"/>
          <w:color w:val="auto"/>
          <w:sz w:val="21"/>
          <w:szCs w:val="21"/>
          <w:highlight w:val="none"/>
        </w:rPr>
        <w:t>（2）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pPr>
        <w:keepNext w:val="0"/>
        <w:keepLines w:val="0"/>
        <w:pageBreakBefore w:val="0"/>
        <w:widowControl/>
        <w:kinsoku/>
        <w:wordWrap/>
        <w:overflowPunct/>
        <w:topLinePunct w:val="0"/>
        <w:autoSpaceDE/>
        <w:autoSpaceDN/>
        <w:bidi w:val="0"/>
        <w:adjustRightInd/>
        <w:snapToGrid/>
        <w:spacing w:line="360" w:lineRule="auto"/>
        <w:ind w:firstLine="426" w:firstLineChars="200"/>
        <w:textAlignment w:val="auto"/>
        <w:rPr>
          <w:rFonts w:cs="Arial"/>
          <w:color w:val="auto"/>
          <w:sz w:val="21"/>
          <w:szCs w:val="21"/>
          <w:highlight w:val="none"/>
        </w:rPr>
      </w:pPr>
      <w:r>
        <w:rPr>
          <w:rFonts w:hint="eastAsia" w:cs="Arial"/>
          <w:color w:val="auto"/>
          <w:sz w:val="21"/>
          <w:szCs w:val="21"/>
          <w:highlight w:val="none"/>
        </w:rPr>
        <w:t>（3）单位负责人为同一人或者存在直接控股、管理关系的不同供应商，不得同时参加同一合同项下的投标。</w:t>
      </w:r>
    </w:p>
    <w:p>
      <w:pPr>
        <w:keepNext w:val="0"/>
        <w:keepLines w:val="0"/>
        <w:pageBreakBefore w:val="0"/>
        <w:widowControl/>
        <w:kinsoku/>
        <w:wordWrap/>
        <w:overflowPunct/>
        <w:topLinePunct w:val="0"/>
        <w:autoSpaceDE/>
        <w:autoSpaceDN/>
        <w:bidi w:val="0"/>
        <w:adjustRightInd/>
        <w:snapToGrid/>
        <w:spacing w:line="360" w:lineRule="auto"/>
        <w:ind w:firstLine="426" w:firstLineChars="200"/>
        <w:textAlignment w:val="auto"/>
        <w:rPr>
          <w:rFonts w:cs="Arial"/>
          <w:color w:val="auto"/>
          <w:sz w:val="21"/>
          <w:szCs w:val="21"/>
          <w:highlight w:val="none"/>
        </w:rPr>
      </w:pPr>
      <w:r>
        <w:rPr>
          <w:rFonts w:hint="eastAsia" w:cs="Arial"/>
          <w:color w:val="auto"/>
          <w:sz w:val="21"/>
          <w:szCs w:val="21"/>
          <w:highlight w:val="none"/>
        </w:rPr>
        <w:t>（4）本项目采取电子招投标，电子招投标有关事项说明：</w:t>
      </w:r>
    </w:p>
    <w:p>
      <w:pPr>
        <w:keepNext w:val="0"/>
        <w:keepLines w:val="0"/>
        <w:pageBreakBefore w:val="0"/>
        <w:widowControl/>
        <w:kinsoku/>
        <w:wordWrap/>
        <w:overflowPunct/>
        <w:topLinePunct w:val="0"/>
        <w:autoSpaceDE/>
        <w:autoSpaceDN/>
        <w:bidi w:val="0"/>
        <w:adjustRightInd/>
        <w:snapToGrid/>
        <w:spacing w:line="360" w:lineRule="auto"/>
        <w:ind w:firstLine="639" w:firstLineChars="300"/>
        <w:textAlignment w:val="auto"/>
        <w:rPr>
          <w:rFonts w:cs="Arial"/>
          <w:color w:val="auto"/>
          <w:sz w:val="21"/>
          <w:szCs w:val="21"/>
          <w:highlight w:val="none"/>
        </w:rPr>
      </w:pPr>
      <w:r>
        <w:rPr>
          <w:rFonts w:hint="eastAsia" w:cs="Arial"/>
          <w:color w:val="auto"/>
          <w:sz w:val="21"/>
          <w:szCs w:val="21"/>
          <w:highlight w:val="none"/>
        </w:rPr>
        <w:t>A.本项目通过“浙江政府采购网（http://zfcg.czt.zj.gov.cn）”实行电子投标，供应商须安装客户端软件，并按照采购文件和电子交易平台的要求制作投标文件。</w:t>
      </w:r>
    </w:p>
    <w:p>
      <w:pPr>
        <w:keepNext w:val="0"/>
        <w:keepLines w:val="0"/>
        <w:pageBreakBefore w:val="0"/>
        <w:widowControl/>
        <w:kinsoku/>
        <w:wordWrap/>
        <w:overflowPunct/>
        <w:topLinePunct w:val="0"/>
        <w:autoSpaceDE/>
        <w:autoSpaceDN/>
        <w:bidi w:val="0"/>
        <w:adjustRightInd/>
        <w:snapToGrid/>
        <w:spacing w:line="360" w:lineRule="auto"/>
        <w:ind w:firstLine="426" w:firstLineChars="200"/>
        <w:textAlignment w:val="auto"/>
        <w:rPr>
          <w:rFonts w:cs="Arial"/>
          <w:color w:val="auto"/>
          <w:sz w:val="21"/>
          <w:szCs w:val="21"/>
          <w:highlight w:val="none"/>
        </w:rPr>
      </w:pPr>
      <w:r>
        <w:rPr>
          <w:rFonts w:hint="eastAsia" w:cs="Arial"/>
          <w:color w:val="auto"/>
          <w:sz w:val="21"/>
          <w:szCs w:val="21"/>
          <w:highlight w:val="none"/>
        </w:rPr>
        <w:t>客户端软件下载方式：供应商可通过“浙江政府采购网-下载专区-电子交易客户端”进行下载。</w:t>
      </w:r>
    </w:p>
    <w:p>
      <w:pPr>
        <w:keepNext w:val="0"/>
        <w:keepLines w:val="0"/>
        <w:pageBreakBefore w:val="0"/>
        <w:widowControl/>
        <w:kinsoku/>
        <w:wordWrap/>
        <w:overflowPunct/>
        <w:topLinePunct w:val="0"/>
        <w:autoSpaceDE/>
        <w:autoSpaceDN/>
        <w:bidi w:val="0"/>
        <w:adjustRightInd/>
        <w:snapToGrid/>
        <w:spacing w:line="360" w:lineRule="auto"/>
        <w:ind w:firstLine="426" w:firstLineChars="200"/>
        <w:textAlignment w:val="auto"/>
        <w:rPr>
          <w:rFonts w:cs="Arial"/>
          <w:color w:val="auto"/>
          <w:sz w:val="21"/>
          <w:szCs w:val="21"/>
          <w:highlight w:val="none"/>
        </w:rPr>
      </w:pPr>
      <w:r>
        <w:rPr>
          <w:rFonts w:hint="eastAsia" w:cs="Arial"/>
          <w:color w:val="auto"/>
          <w:sz w:val="21"/>
          <w:szCs w:val="21"/>
          <w:highlight w:val="none"/>
        </w:rPr>
        <w:t>B.供应商须申领CA，并在浙江政府采购网完成绑定方可进行投标文件的编制，CA相关操作可参考“浙江政府采购网-下载专区-电子交易客户端-CA驱动和申领流程”。</w:t>
      </w:r>
    </w:p>
    <w:p>
      <w:pPr>
        <w:keepNext w:val="0"/>
        <w:keepLines w:val="0"/>
        <w:pageBreakBefore w:val="0"/>
        <w:kinsoku/>
        <w:wordWrap/>
        <w:overflowPunct/>
        <w:topLinePunct w:val="0"/>
        <w:autoSpaceDE/>
        <w:autoSpaceDN/>
        <w:bidi w:val="0"/>
        <w:spacing w:line="360" w:lineRule="auto"/>
        <w:textAlignment w:val="auto"/>
        <w:rPr>
          <w:rFonts w:cs="Arial"/>
          <w:color w:val="auto"/>
          <w:sz w:val="21"/>
          <w:szCs w:val="21"/>
          <w:highlight w:val="none"/>
        </w:rPr>
      </w:pPr>
      <w:r>
        <w:rPr>
          <w:rFonts w:hint="eastAsia" w:cs="Arial"/>
          <w:color w:val="auto"/>
          <w:sz w:val="21"/>
          <w:szCs w:val="21"/>
          <w:highlight w:val="none"/>
        </w:rPr>
        <w:t>若对项目采购电子交易系统操作有疑问，可登录政采云。</w:t>
      </w:r>
    </w:p>
    <w:p>
      <w:pPr>
        <w:keepNext w:val="0"/>
        <w:keepLines w:val="0"/>
        <w:pageBreakBefore w:val="0"/>
        <w:kinsoku/>
        <w:wordWrap/>
        <w:overflowPunct/>
        <w:topLinePunct w:val="0"/>
        <w:autoSpaceDE/>
        <w:autoSpaceDN/>
        <w:bidi w:val="0"/>
        <w:spacing w:line="360" w:lineRule="auto"/>
        <w:ind w:firstLine="426" w:firstLineChars="200"/>
        <w:textAlignment w:val="auto"/>
        <w:rPr>
          <w:rFonts w:cs="Arial"/>
          <w:color w:val="auto"/>
          <w:sz w:val="21"/>
          <w:szCs w:val="21"/>
          <w:highlight w:val="none"/>
        </w:rPr>
      </w:pPr>
      <w:r>
        <w:rPr>
          <w:rFonts w:hint="eastAsia" w:cs="Arial"/>
          <w:color w:val="auto"/>
          <w:sz w:val="21"/>
          <w:szCs w:val="21"/>
          <w:highlight w:val="none"/>
        </w:rPr>
        <w:t>（5）本采购项目，中标单位与采购人签订的政府采购合同适用于嘉兴市政府采购贷款政策，简称“政采贷”，具体内容可参阅政府采购贷款流程：http：//www.jxzbtb.cn/zxfw/005012/20181016/7e541bf4-ad29-4286-ace8-d12c1b2c54fc.html。</w:t>
      </w:r>
    </w:p>
    <w:p>
      <w:pPr>
        <w:pStyle w:val="29"/>
        <w:keepNext w:val="0"/>
        <w:keepLines w:val="0"/>
        <w:pageBreakBefore w:val="0"/>
        <w:kinsoku/>
        <w:topLinePunct w:val="0"/>
        <w:bidi w:val="0"/>
        <w:adjustRightInd w:val="0"/>
        <w:snapToGrid w:val="0"/>
        <w:spacing w:before="0" w:beforeAutospacing="0" w:after="81" w:afterAutospacing="0" w:line="440" w:lineRule="exact"/>
        <w:ind w:firstLine="426" w:firstLineChars="200"/>
        <w:textAlignment w:val="auto"/>
        <w:rPr>
          <w:rFonts w:ascii="Times New Roman" w:hAnsi="Times New Roman"/>
          <w:b/>
          <w:bCs/>
          <w:color w:val="auto"/>
          <w:sz w:val="21"/>
          <w:szCs w:val="21"/>
          <w:highlight w:val="none"/>
        </w:rPr>
      </w:pPr>
      <w:r>
        <w:rPr>
          <w:rFonts w:ascii="Times New Roman" w:hAnsi="Times New Roman"/>
          <w:b/>
          <w:bCs/>
          <w:color w:val="auto"/>
          <w:sz w:val="21"/>
          <w:szCs w:val="21"/>
          <w:highlight w:val="none"/>
        </w:rPr>
        <w:t>八、凡对本次招标提出询问、质疑、投诉，请按以下方式联系</w:t>
      </w:r>
    </w:p>
    <w:p>
      <w:pPr>
        <w:spacing w:line="360" w:lineRule="auto"/>
        <w:ind w:firstLine="426" w:firstLineChars="200"/>
        <w:rPr>
          <w:rFonts w:hint="eastAsia"/>
          <w:color w:val="auto"/>
          <w:sz w:val="21"/>
          <w:szCs w:val="21"/>
          <w:highlight w:val="none"/>
        </w:rPr>
      </w:pPr>
      <w:r>
        <w:rPr>
          <w:rFonts w:hint="eastAsia"/>
          <w:color w:val="auto"/>
          <w:sz w:val="21"/>
          <w:szCs w:val="21"/>
          <w:highlight w:val="none"/>
        </w:rPr>
        <w:t>1.采购人信息</w:t>
      </w:r>
    </w:p>
    <w:p>
      <w:pPr>
        <w:spacing w:line="360" w:lineRule="auto"/>
        <w:ind w:firstLine="426" w:firstLineChars="200"/>
        <w:rPr>
          <w:rFonts w:hint="eastAsia"/>
          <w:color w:val="auto"/>
          <w:sz w:val="21"/>
          <w:szCs w:val="21"/>
          <w:highlight w:val="none"/>
        </w:rPr>
      </w:pPr>
      <w:r>
        <w:rPr>
          <w:rFonts w:hint="eastAsia"/>
          <w:color w:val="auto"/>
          <w:sz w:val="21"/>
          <w:szCs w:val="21"/>
          <w:highlight w:val="none"/>
        </w:rPr>
        <w:t>名    称：</w:t>
      </w:r>
      <w:r>
        <w:rPr>
          <w:rFonts w:hint="eastAsia"/>
          <w:color w:val="auto"/>
          <w:sz w:val="21"/>
          <w:szCs w:val="21"/>
          <w:highlight w:val="none"/>
          <w:u w:val="single"/>
        </w:rPr>
        <w:t>海盐县自然资源和规划局</w:t>
      </w:r>
    </w:p>
    <w:p>
      <w:pPr>
        <w:spacing w:line="360" w:lineRule="auto"/>
        <w:ind w:firstLine="426" w:firstLineChars="200"/>
        <w:rPr>
          <w:rFonts w:hint="eastAsia"/>
          <w:color w:val="auto"/>
          <w:sz w:val="21"/>
          <w:szCs w:val="21"/>
          <w:highlight w:val="none"/>
        </w:rPr>
      </w:pPr>
      <w:r>
        <w:rPr>
          <w:rFonts w:hint="eastAsia"/>
          <w:color w:val="auto"/>
          <w:sz w:val="21"/>
          <w:szCs w:val="21"/>
          <w:highlight w:val="none"/>
        </w:rPr>
        <w:t>地    址：</w:t>
      </w:r>
      <w:r>
        <w:rPr>
          <w:rFonts w:hint="eastAsia" w:ascii="宋体" w:hAnsi="宋体" w:eastAsia="宋体" w:cs="宋体"/>
          <w:color w:val="auto"/>
          <w:sz w:val="21"/>
          <w:szCs w:val="21"/>
          <w:highlight w:val="none"/>
          <w:u w:val="single"/>
          <w:lang w:val="en-US" w:eastAsia="zh-CN"/>
        </w:rPr>
        <w:t>海盐县武原街道枣园西路178号</w:t>
      </w:r>
    </w:p>
    <w:p>
      <w:pPr>
        <w:spacing w:line="360" w:lineRule="auto"/>
        <w:ind w:firstLine="426" w:firstLineChars="200"/>
        <w:rPr>
          <w:rFonts w:hint="eastAsia"/>
          <w:color w:val="auto"/>
          <w:sz w:val="21"/>
          <w:szCs w:val="21"/>
          <w:highlight w:val="none"/>
        </w:rPr>
      </w:pPr>
      <w:r>
        <w:rPr>
          <w:rFonts w:hint="eastAsia" w:ascii="宋体" w:hAnsi="宋体" w:eastAsia="宋体" w:cs="宋体"/>
          <w:color w:val="auto"/>
          <w:sz w:val="21"/>
          <w:szCs w:val="21"/>
          <w:highlight w:val="none"/>
        </w:rPr>
        <w:t>项目联系人（询问）</w:t>
      </w:r>
      <w:r>
        <w:rPr>
          <w:rFonts w:hint="eastAsia"/>
          <w:color w:val="auto"/>
          <w:sz w:val="21"/>
          <w:szCs w:val="21"/>
          <w:highlight w:val="none"/>
        </w:rPr>
        <w:t xml:space="preserve">： </w:t>
      </w:r>
      <w:r>
        <w:rPr>
          <w:rFonts w:hint="eastAsia"/>
          <w:color w:val="auto"/>
          <w:sz w:val="21"/>
          <w:szCs w:val="21"/>
          <w:highlight w:val="none"/>
          <w:u w:val="single"/>
          <w:lang w:eastAsia="zh-CN"/>
        </w:rPr>
        <w:t>黄工</w:t>
      </w:r>
      <w:r>
        <w:rPr>
          <w:rFonts w:hint="eastAsia" w:ascii="宋体" w:hAnsi="宋体" w:eastAsia="宋体" w:cs="宋体"/>
          <w:color w:val="auto"/>
          <w:sz w:val="21"/>
          <w:szCs w:val="21"/>
          <w:highlight w:val="none"/>
          <w:u w:val="single"/>
        </w:rPr>
        <w:t xml:space="preserve"> </w:t>
      </w:r>
      <w:r>
        <w:rPr>
          <w:rFonts w:hint="eastAsia"/>
          <w:color w:val="auto"/>
          <w:sz w:val="21"/>
          <w:szCs w:val="21"/>
          <w:highlight w:val="none"/>
        </w:rPr>
        <w:t xml:space="preserve">  </w:t>
      </w:r>
    </w:p>
    <w:p>
      <w:pPr>
        <w:spacing w:line="360" w:lineRule="auto"/>
        <w:ind w:firstLine="426"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项目联系方式（询问）</w:t>
      </w:r>
      <w:r>
        <w:rPr>
          <w:rFonts w:hint="eastAsia"/>
          <w:color w:val="auto"/>
          <w:sz w:val="21"/>
          <w:szCs w:val="21"/>
          <w:highlight w:val="none"/>
        </w:rPr>
        <w:t>：</w:t>
      </w:r>
      <w:r>
        <w:rPr>
          <w:rFonts w:hint="eastAsia" w:ascii="宋体" w:hAnsi="宋体" w:eastAsia="宋体" w:cs="宋体"/>
          <w:color w:val="auto"/>
          <w:sz w:val="21"/>
          <w:szCs w:val="21"/>
          <w:highlight w:val="none"/>
          <w:u w:val="single"/>
          <w:lang w:val="en-US" w:eastAsia="zh-CN"/>
        </w:rPr>
        <w:t>0573-86121902</w:t>
      </w:r>
    </w:p>
    <w:p>
      <w:pPr>
        <w:spacing w:line="360" w:lineRule="auto"/>
        <w:ind w:firstLine="426" w:firstLineChars="200"/>
        <w:rPr>
          <w:rFonts w:hint="eastAsia"/>
          <w:color w:val="auto"/>
          <w:sz w:val="21"/>
          <w:szCs w:val="21"/>
          <w:highlight w:val="none"/>
        </w:rPr>
      </w:pPr>
      <w:r>
        <w:rPr>
          <w:rFonts w:hint="eastAsia"/>
          <w:color w:val="auto"/>
          <w:sz w:val="21"/>
          <w:szCs w:val="21"/>
          <w:highlight w:val="none"/>
        </w:rPr>
        <w:t>质疑联系人：</w:t>
      </w:r>
      <w:r>
        <w:rPr>
          <w:rFonts w:hint="eastAsia"/>
          <w:color w:val="auto"/>
          <w:sz w:val="21"/>
          <w:szCs w:val="21"/>
          <w:highlight w:val="none"/>
          <w:u w:val="single"/>
          <w:lang w:eastAsia="zh-CN"/>
        </w:rPr>
        <w:t>黄工</w:t>
      </w:r>
      <w:r>
        <w:rPr>
          <w:rFonts w:hint="eastAsia"/>
          <w:color w:val="auto"/>
          <w:sz w:val="21"/>
          <w:szCs w:val="21"/>
          <w:highlight w:val="none"/>
        </w:rPr>
        <w:t> </w:t>
      </w:r>
    </w:p>
    <w:p>
      <w:pPr>
        <w:spacing w:line="360" w:lineRule="auto"/>
        <w:ind w:firstLine="426" w:firstLineChars="200"/>
        <w:rPr>
          <w:rFonts w:hint="eastAsia"/>
          <w:color w:val="auto"/>
          <w:sz w:val="21"/>
          <w:szCs w:val="21"/>
          <w:highlight w:val="none"/>
        </w:rPr>
      </w:pPr>
      <w:r>
        <w:rPr>
          <w:rFonts w:hint="eastAsia"/>
          <w:color w:val="auto"/>
          <w:sz w:val="21"/>
          <w:szCs w:val="21"/>
          <w:highlight w:val="none"/>
        </w:rPr>
        <w:t>质疑联系方式：</w:t>
      </w:r>
      <w:r>
        <w:rPr>
          <w:rFonts w:hint="eastAsia" w:ascii="宋体" w:hAnsi="宋体" w:eastAsia="宋体" w:cs="宋体"/>
          <w:color w:val="auto"/>
          <w:sz w:val="21"/>
          <w:szCs w:val="21"/>
          <w:highlight w:val="none"/>
          <w:u w:val="single"/>
          <w:lang w:val="en-US" w:eastAsia="zh-CN"/>
        </w:rPr>
        <w:t>0573-86121902</w:t>
      </w:r>
    </w:p>
    <w:p>
      <w:pPr>
        <w:spacing w:line="360" w:lineRule="auto"/>
        <w:ind w:firstLine="426" w:firstLineChars="200"/>
        <w:rPr>
          <w:rFonts w:hint="eastAsia"/>
          <w:color w:val="auto"/>
          <w:sz w:val="21"/>
          <w:szCs w:val="21"/>
          <w:highlight w:val="none"/>
        </w:rPr>
      </w:pPr>
      <w:r>
        <w:rPr>
          <w:rFonts w:hint="eastAsia"/>
          <w:color w:val="auto"/>
          <w:sz w:val="21"/>
          <w:szCs w:val="21"/>
          <w:highlight w:val="none"/>
        </w:rPr>
        <w:t>2.采购代理机构信息</w:t>
      </w:r>
    </w:p>
    <w:p>
      <w:pPr>
        <w:spacing w:line="360" w:lineRule="auto"/>
        <w:ind w:firstLine="426" w:firstLineChars="200"/>
        <w:rPr>
          <w:rFonts w:hint="eastAsia"/>
          <w:color w:val="auto"/>
          <w:sz w:val="21"/>
          <w:szCs w:val="21"/>
          <w:highlight w:val="none"/>
        </w:rPr>
      </w:pPr>
      <w:r>
        <w:rPr>
          <w:rFonts w:hint="eastAsia"/>
          <w:color w:val="auto"/>
          <w:sz w:val="21"/>
          <w:szCs w:val="21"/>
          <w:highlight w:val="none"/>
        </w:rPr>
        <w:t>名    称：</w:t>
      </w:r>
      <w:r>
        <w:rPr>
          <w:rFonts w:hint="eastAsia"/>
          <w:color w:val="auto"/>
          <w:sz w:val="21"/>
          <w:szCs w:val="21"/>
          <w:highlight w:val="none"/>
          <w:u w:val="single"/>
        </w:rPr>
        <w:t>浙江均和工程管理有限公司</w:t>
      </w:r>
    </w:p>
    <w:p>
      <w:pPr>
        <w:spacing w:line="360" w:lineRule="auto"/>
        <w:ind w:firstLine="426" w:firstLineChars="200"/>
        <w:rPr>
          <w:rFonts w:hint="eastAsia" w:ascii="宋体" w:hAnsi="宋体" w:eastAsia="宋体" w:cs="宋体"/>
          <w:color w:val="auto"/>
          <w:sz w:val="21"/>
          <w:szCs w:val="21"/>
          <w:highlight w:val="none"/>
          <w:u w:val="single"/>
          <w:lang w:val="en-US" w:eastAsia="zh-CN"/>
        </w:rPr>
      </w:pPr>
      <w:r>
        <w:rPr>
          <w:rFonts w:hint="eastAsia"/>
          <w:color w:val="auto"/>
          <w:sz w:val="21"/>
          <w:szCs w:val="21"/>
          <w:highlight w:val="none"/>
        </w:rPr>
        <w:t>地    址：</w:t>
      </w:r>
      <w:r>
        <w:rPr>
          <w:rFonts w:hint="eastAsia" w:ascii="宋体" w:hAnsi="宋体" w:eastAsia="宋体" w:cs="宋体"/>
          <w:color w:val="auto"/>
          <w:sz w:val="21"/>
          <w:szCs w:val="21"/>
          <w:highlight w:val="none"/>
          <w:u w:val="single"/>
          <w:lang w:val="en-US" w:eastAsia="zh-CN"/>
        </w:rPr>
        <w:t>海盐县科技城银都大厦18楼</w:t>
      </w:r>
    </w:p>
    <w:p>
      <w:pPr>
        <w:spacing w:line="360" w:lineRule="auto"/>
        <w:ind w:firstLine="426" w:firstLineChars="200"/>
        <w:rPr>
          <w:rFonts w:hint="eastAsia"/>
          <w:color w:val="auto"/>
          <w:sz w:val="21"/>
          <w:szCs w:val="21"/>
          <w:highlight w:val="none"/>
        </w:rPr>
      </w:pPr>
      <w:r>
        <w:rPr>
          <w:rFonts w:hint="eastAsia"/>
          <w:color w:val="auto"/>
          <w:sz w:val="21"/>
          <w:szCs w:val="21"/>
          <w:highlight w:val="none"/>
        </w:rPr>
        <w:t>项目联系人（询问）：</w:t>
      </w:r>
      <w:r>
        <w:rPr>
          <w:rFonts w:hint="eastAsia"/>
          <w:color w:val="auto"/>
          <w:sz w:val="21"/>
          <w:szCs w:val="21"/>
          <w:highlight w:val="none"/>
          <w:u w:val="single"/>
          <w:lang w:eastAsia="zh-CN"/>
        </w:rPr>
        <w:t>戴工</w:t>
      </w:r>
      <w:r>
        <w:rPr>
          <w:rFonts w:hint="eastAsia"/>
          <w:color w:val="auto"/>
          <w:sz w:val="21"/>
          <w:szCs w:val="21"/>
          <w:highlight w:val="none"/>
          <w:u w:val="single"/>
        </w:rPr>
        <w:t xml:space="preserve"> </w:t>
      </w:r>
      <w:r>
        <w:rPr>
          <w:rFonts w:hint="eastAsia"/>
          <w:color w:val="auto"/>
          <w:sz w:val="21"/>
          <w:szCs w:val="21"/>
          <w:highlight w:val="none"/>
        </w:rPr>
        <w:t xml:space="preserve">     </w:t>
      </w:r>
    </w:p>
    <w:p>
      <w:pPr>
        <w:spacing w:line="360" w:lineRule="auto"/>
        <w:ind w:firstLine="426" w:firstLineChars="200"/>
        <w:rPr>
          <w:rFonts w:hint="eastAsia" w:ascii="宋体" w:hAnsi="宋体" w:eastAsia="宋体" w:cs="宋体"/>
          <w:color w:val="auto"/>
          <w:sz w:val="21"/>
          <w:szCs w:val="21"/>
          <w:highlight w:val="none"/>
          <w:u w:val="single"/>
          <w:lang w:val="en-US" w:eastAsia="zh-CN"/>
        </w:rPr>
      </w:pPr>
      <w:r>
        <w:rPr>
          <w:rFonts w:hint="eastAsia"/>
          <w:color w:val="auto"/>
          <w:sz w:val="21"/>
          <w:szCs w:val="21"/>
          <w:highlight w:val="none"/>
        </w:rPr>
        <w:t>项目联系方式（询问）：</w:t>
      </w:r>
      <w:r>
        <w:rPr>
          <w:rFonts w:hint="eastAsia" w:ascii="宋体" w:hAnsi="宋体" w:eastAsia="宋体" w:cs="宋体"/>
          <w:color w:val="auto"/>
          <w:sz w:val="21"/>
          <w:szCs w:val="21"/>
          <w:highlight w:val="none"/>
          <w:u w:val="single"/>
          <w:lang w:val="en-US" w:eastAsia="zh-CN"/>
        </w:rPr>
        <w:t>0573-86177058</w:t>
      </w:r>
    </w:p>
    <w:p>
      <w:pPr>
        <w:spacing w:line="360" w:lineRule="auto"/>
        <w:ind w:firstLine="426" w:firstLineChars="200"/>
        <w:rPr>
          <w:rFonts w:hint="eastAsia" w:eastAsia="宋体"/>
          <w:color w:val="auto"/>
          <w:sz w:val="21"/>
          <w:szCs w:val="21"/>
          <w:highlight w:val="none"/>
          <w:lang w:eastAsia="zh-CN"/>
        </w:rPr>
      </w:pPr>
      <w:r>
        <w:rPr>
          <w:rFonts w:hint="eastAsia"/>
          <w:color w:val="auto"/>
          <w:sz w:val="21"/>
          <w:szCs w:val="21"/>
          <w:highlight w:val="none"/>
        </w:rPr>
        <w:t>质疑联系人：</w:t>
      </w:r>
      <w:r>
        <w:rPr>
          <w:rFonts w:hint="eastAsia"/>
          <w:color w:val="auto"/>
          <w:sz w:val="21"/>
          <w:szCs w:val="21"/>
          <w:highlight w:val="none"/>
          <w:u w:val="single"/>
          <w:lang w:eastAsia="zh-CN"/>
        </w:rPr>
        <w:t>谢工</w:t>
      </w:r>
    </w:p>
    <w:p>
      <w:pPr>
        <w:spacing w:line="360" w:lineRule="auto"/>
        <w:ind w:firstLine="426" w:firstLineChars="200"/>
        <w:rPr>
          <w:rFonts w:hint="eastAsia" w:ascii="宋体" w:hAnsi="宋体" w:eastAsia="宋体" w:cs="宋体"/>
          <w:color w:val="auto"/>
          <w:sz w:val="21"/>
          <w:szCs w:val="21"/>
          <w:highlight w:val="none"/>
          <w:u w:val="single"/>
          <w:lang w:val="en-US" w:eastAsia="zh-CN"/>
        </w:rPr>
      </w:pPr>
      <w:r>
        <w:rPr>
          <w:rFonts w:hint="eastAsia"/>
          <w:color w:val="auto"/>
          <w:sz w:val="21"/>
          <w:szCs w:val="21"/>
          <w:highlight w:val="none"/>
        </w:rPr>
        <w:t>质疑联系方式：</w:t>
      </w:r>
      <w:r>
        <w:rPr>
          <w:rFonts w:hint="eastAsia" w:ascii="宋体" w:hAnsi="宋体" w:eastAsia="宋体" w:cs="宋体"/>
          <w:color w:val="auto"/>
          <w:sz w:val="21"/>
          <w:szCs w:val="21"/>
          <w:highlight w:val="none"/>
          <w:u w:val="single"/>
          <w:lang w:val="en-US" w:eastAsia="zh-CN"/>
        </w:rPr>
        <w:t>0573-86177058</w:t>
      </w:r>
    </w:p>
    <w:p>
      <w:pPr>
        <w:spacing w:line="360" w:lineRule="auto"/>
        <w:ind w:firstLine="426" w:firstLineChars="200"/>
        <w:rPr>
          <w:rFonts w:hint="eastAsia"/>
          <w:color w:val="auto"/>
          <w:sz w:val="21"/>
          <w:szCs w:val="21"/>
          <w:highlight w:val="none"/>
        </w:rPr>
      </w:pPr>
      <w:r>
        <w:rPr>
          <w:rFonts w:hint="eastAsia"/>
          <w:color w:val="auto"/>
          <w:sz w:val="21"/>
          <w:szCs w:val="21"/>
          <w:highlight w:val="none"/>
        </w:rPr>
        <w:t>3.同级政府采购监督管理部门</w:t>
      </w:r>
    </w:p>
    <w:p>
      <w:pPr>
        <w:spacing w:line="360" w:lineRule="auto"/>
        <w:ind w:firstLine="426" w:firstLineChars="200"/>
        <w:rPr>
          <w:rFonts w:hint="eastAsia" w:eastAsia="宋体"/>
          <w:color w:val="auto"/>
          <w:sz w:val="21"/>
          <w:szCs w:val="21"/>
          <w:highlight w:val="none"/>
          <w:lang w:eastAsia="zh-CN"/>
        </w:rPr>
      </w:pPr>
      <w:r>
        <w:rPr>
          <w:rFonts w:hint="eastAsia"/>
          <w:color w:val="auto"/>
          <w:sz w:val="21"/>
          <w:szCs w:val="21"/>
          <w:highlight w:val="none"/>
        </w:rPr>
        <w:t>名    称：</w:t>
      </w:r>
      <w:r>
        <w:rPr>
          <w:rFonts w:hint="eastAsia"/>
          <w:color w:val="auto"/>
          <w:sz w:val="21"/>
          <w:szCs w:val="21"/>
          <w:highlight w:val="none"/>
          <w:u w:val="single"/>
          <w:lang w:eastAsia="zh-CN"/>
        </w:rPr>
        <w:t>海盐县财政局</w:t>
      </w:r>
    </w:p>
    <w:p>
      <w:pPr>
        <w:spacing w:line="360" w:lineRule="auto"/>
        <w:ind w:firstLine="426" w:firstLineChars="200"/>
        <w:rPr>
          <w:rFonts w:hint="eastAsia"/>
          <w:color w:val="auto"/>
          <w:sz w:val="21"/>
          <w:szCs w:val="21"/>
          <w:highlight w:val="none"/>
        </w:rPr>
      </w:pPr>
      <w:r>
        <w:rPr>
          <w:rFonts w:hint="eastAsia"/>
          <w:color w:val="auto"/>
          <w:sz w:val="21"/>
          <w:szCs w:val="21"/>
          <w:highlight w:val="none"/>
        </w:rPr>
        <w:t>地    址：</w:t>
      </w:r>
      <w:r>
        <w:rPr>
          <w:rFonts w:hint="eastAsia"/>
          <w:color w:val="auto"/>
          <w:sz w:val="21"/>
          <w:szCs w:val="21"/>
          <w:highlight w:val="none"/>
          <w:u w:val="single"/>
        </w:rPr>
        <w:t>海盐县武原街道新</w:t>
      </w:r>
      <w:r>
        <w:rPr>
          <w:rFonts w:hint="eastAsia"/>
          <w:color w:val="auto"/>
          <w:sz w:val="21"/>
          <w:szCs w:val="21"/>
          <w:highlight w:val="none"/>
          <w:u w:val="single"/>
          <w:lang w:val="en-US" w:eastAsia="zh-CN"/>
        </w:rPr>
        <w:t>桥北路168号</w:t>
      </w:r>
      <w:r>
        <w:rPr>
          <w:rFonts w:hint="eastAsia"/>
          <w:color w:val="auto"/>
          <w:sz w:val="21"/>
          <w:szCs w:val="21"/>
          <w:highlight w:val="none"/>
        </w:rPr>
        <w:t>　　　　　　　</w:t>
      </w:r>
    </w:p>
    <w:p>
      <w:pPr>
        <w:spacing w:line="360" w:lineRule="auto"/>
        <w:ind w:firstLine="426" w:firstLineChars="200"/>
        <w:rPr>
          <w:rFonts w:hint="eastAsia" w:ascii="宋体" w:hAnsi="宋体" w:eastAsia="宋体" w:cs="宋体"/>
          <w:color w:val="auto"/>
          <w:sz w:val="21"/>
          <w:szCs w:val="21"/>
          <w:highlight w:val="none"/>
          <w:u w:val="single"/>
          <w:lang w:eastAsia="zh-CN"/>
        </w:rPr>
      </w:pPr>
      <w:r>
        <w:rPr>
          <w:rFonts w:hint="eastAsia"/>
          <w:color w:val="auto"/>
          <w:sz w:val="21"/>
          <w:szCs w:val="21"/>
          <w:highlight w:val="none"/>
        </w:rPr>
        <w:t>联系人 ： </w:t>
      </w:r>
      <w:r>
        <w:rPr>
          <w:rFonts w:hint="eastAsia" w:ascii="宋体" w:hAnsi="宋体" w:eastAsia="宋体" w:cs="宋体"/>
          <w:color w:val="auto"/>
          <w:sz w:val="21"/>
          <w:szCs w:val="21"/>
          <w:highlight w:val="none"/>
          <w:u w:val="single"/>
          <w:lang w:eastAsia="zh-CN"/>
        </w:rPr>
        <w:t>采监科</w:t>
      </w:r>
    </w:p>
    <w:p>
      <w:pPr>
        <w:spacing w:line="360" w:lineRule="auto"/>
        <w:ind w:firstLine="426" w:firstLineChars="200"/>
        <w:rPr>
          <w:rFonts w:hint="eastAsia" w:ascii="宋体" w:hAnsi="宋体" w:eastAsia="宋体" w:cs="宋体"/>
          <w:color w:val="auto"/>
          <w:sz w:val="21"/>
          <w:szCs w:val="21"/>
          <w:highlight w:val="none"/>
          <w:u w:val="single"/>
          <w:lang w:val="en-US" w:eastAsia="zh-CN"/>
        </w:rPr>
      </w:pPr>
      <w:r>
        <w:rPr>
          <w:rFonts w:hint="eastAsia"/>
          <w:color w:val="auto"/>
          <w:sz w:val="21"/>
          <w:szCs w:val="21"/>
          <w:highlight w:val="none"/>
        </w:rPr>
        <w:t>监督投诉电话：</w:t>
      </w:r>
      <w:r>
        <w:rPr>
          <w:rFonts w:hint="eastAsia" w:ascii="宋体" w:hAnsi="宋体" w:eastAsia="宋体" w:cs="宋体"/>
          <w:color w:val="auto"/>
          <w:sz w:val="21"/>
          <w:szCs w:val="21"/>
          <w:highlight w:val="none"/>
          <w:u w:val="single"/>
          <w:lang w:val="en-US" w:eastAsia="zh-CN"/>
        </w:rPr>
        <w:t>0573-86122512　</w:t>
      </w:r>
    </w:p>
    <w:p>
      <w:pPr>
        <w:keepNext w:val="0"/>
        <w:keepLines w:val="0"/>
        <w:pageBreakBefore w:val="0"/>
        <w:widowControl/>
        <w:kinsoku/>
        <w:wordWrap/>
        <w:overflowPunct/>
        <w:topLinePunct w:val="0"/>
        <w:autoSpaceDE/>
        <w:autoSpaceDN/>
        <w:bidi w:val="0"/>
        <w:adjustRightInd/>
        <w:snapToGrid/>
        <w:spacing w:line="360" w:lineRule="auto"/>
        <w:ind w:firstLine="639" w:firstLineChars="300"/>
        <w:textAlignment w:val="auto"/>
        <w:rPr>
          <w:rFonts w:hint="eastAsia" w:ascii="Times New Roman" w:hAnsi="Times New Roman" w:eastAsia="宋体" w:cs="Arial"/>
          <w:color w:val="auto"/>
          <w:sz w:val="21"/>
          <w:szCs w:val="21"/>
          <w:highlight w:val="none"/>
          <w:lang w:val="en-US" w:eastAsia="zh-CN"/>
        </w:rPr>
      </w:pPr>
      <w:bookmarkStart w:id="2" w:name="_Toc6163"/>
      <w:r>
        <w:rPr>
          <w:rFonts w:hint="eastAsia" w:ascii="Times New Roman" w:hAnsi="Times New Roman" w:eastAsia="宋体" w:cs="Arial"/>
          <w:color w:val="auto"/>
          <w:sz w:val="21"/>
          <w:szCs w:val="21"/>
          <w:highlight w:val="none"/>
          <w:lang w:val="en-US" w:eastAsia="zh-CN"/>
        </w:rPr>
        <w:t xml:space="preserve">若对项目采购电子交易系统操作有疑问，可登录政采云（https://www.zcygov.cn/），点击右侧咨询小采，获取采小蜜智能服务管家帮助，或拨打政采云服务热线95763获取热线服务帮助。      </w:t>
      </w:r>
    </w:p>
    <w:p>
      <w:pPr>
        <w:keepNext w:val="0"/>
        <w:keepLines w:val="0"/>
        <w:pageBreakBefore w:val="0"/>
        <w:widowControl/>
        <w:kinsoku/>
        <w:wordWrap/>
        <w:overflowPunct/>
        <w:topLinePunct w:val="0"/>
        <w:autoSpaceDE/>
        <w:autoSpaceDN/>
        <w:bidi w:val="0"/>
        <w:adjustRightInd/>
        <w:snapToGrid/>
        <w:spacing w:line="360" w:lineRule="auto"/>
        <w:ind w:firstLine="639" w:firstLineChars="300"/>
        <w:textAlignment w:val="auto"/>
        <w:rPr>
          <w:rFonts w:hint="eastAsia" w:ascii="Times New Roman" w:hAnsi="Times New Roman" w:eastAsia="宋体" w:cs="Arial"/>
          <w:color w:val="auto"/>
          <w:sz w:val="21"/>
          <w:szCs w:val="21"/>
          <w:highlight w:val="none"/>
          <w:lang w:val="en-US" w:eastAsia="zh-CN"/>
        </w:rPr>
      </w:pPr>
      <w:r>
        <w:rPr>
          <w:rFonts w:hint="eastAsia" w:ascii="Times New Roman" w:hAnsi="Times New Roman" w:eastAsia="宋体" w:cs="Arial"/>
          <w:color w:val="auto"/>
          <w:sz w:val="21"/>
          <w:szCs w:val="21"/>
          <w:highlight w:val="none"/>
          <w:lang w:val="en-US" w:eastAsia="zh-CN"/>
        </w:rPr>
        <w:t>CA问题联系电话（人工）：汇信CA 400-888-4636；天谷CA 400-087-8198。</w:t>
      </w:r>
    </w:p>
    <w:p>
      <w:pPr>
        <w:keepNext w:val="0"/>
        <w:keepLines w:val="0"/>
        <w:pageBreakBefore w:val="0"/>
        <w:widowControl/>
        <w:kinsoku/>
        <w:wordWrap/>
        <w:overflowPunct/>
        <w:topLinePunct w:val="0"/>
        <w:autoSpaceDE/>
        <w:autoSpaceDN/>
        <w:bidi w:val="0"/>
        <w:adjustRightInd/>
        <w:snapToGrid/>
        <w:spacing w:line="360" w:lineRule="auto"/>
        <w:ind w:firstLine="639" w:firstLineChars="300"/>
        <w:textAlignment w:val="auto"/>
        <w:rPr>
          <w:rFonts w:hint="eastAsia" w:ascii="Times New Roman" w:hAnsi="Times New Roman" w:eastAsia="宋体" w:cs="Arial"/>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39" w:firstLineChars="300"/>
        <w:textAlignment w:val="auto"/>
        <w:rPr>
          <w:rFonts w:hint="eastAsia" w:ascii="Times New Roman" w:hAnsi="Times New Roman" w:eastAsia="宋体" w:cs="Arial"/>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39" w:firstLineChars="300"/>
        <w:textAlignment w:val="auto"/>
        <w:rPr>
          <w:rFonts w:hint="eastAsia" w:ascii="Times New Roman" w:hAnsi="Times New Roman" w:eastAsia="宋体" w:cs="Arial"/>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39" w:firstLineChars="300"/>
        <w:textAlignment w:val="auto"/>
        <w:rPr>
          <w:rFonts w:hint="eastAsia" w:ascii="Times New Roman" w:hAnsi="Times New Roman" w:eastAsia="宋体" w:cs="Arial"/>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39" w:firstLineChars="300"/>
        <w:textAlignment w:val="auto"/>
        <w:rPr>
          <w:rFonts w:hint="eastAsia" w:ascii="Times New Roman" w:hAnsi="Times New Roman" w:eastAsia="宋体" w:cs="Arial"/>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39" w:firstLineChars="300"/>
        <w:textAlignment w:val="auto"/>
        <w:rPr>
          <w:rFonts w:hint="eastAsia" w:ascii="Times New Roman" w:hAnsi="Times New Roman" w:eastAsia="宋体" w:cs="Arial"/>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39" w:firstLineChars="300"/>
        <w:textAlignment w:val="auto"/>
        <w:rPr>
          <w:rFonts w:hint="eastAsia" w:ascii="Times New Roman" w:hAnsi="Times New Roman" w:eastAsia="宋体" w:cs="Arial"/>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849" w:firstLineChars="300"/>
        <w:jc w:val="center"/>
        <w:textAlignment w:val="auto"/>
        <w:rPr>
          <w:rFonts w:ascii="Arial" w:hAnsi="Arial" w:cs="Arial"/>
          <w:b/>
          <w:bCs/>
          <w:color w:val="auto"/>
          <w:sz w:val="28"/>
          <w:szCs w:val="36"/>
          <w:highlight w:val="none"/>
        </w:rPr>
      </w:pPr>
      <w:r>
        <w:rPr>
          <w:rFonts w:ascii="Arial" w:hAnsi="Arial" w:cs="Arial"/>
          <w:b/>
          <w:bCs/>
          <w:color w:val="auto"/>
          <w:sz w:val="28"/>
          <w:szCs w:val="36"/>
          <w:highlight w:val="none"/>
        </w:rPr>
        <w:t>第二部分</w:t>
      </w:r>
      <w:r>
        <w:rPr>
          <w:rFonts w:hint="eastAsia" w:ascii="Arial" w:hAnsi="Arial" w:cs="Arial"/>
          <w:b/>
          <w:bCs/>
          <w:color w:val="auto"/>
          <w:sz w:val="28"/>
          <w:szCs w:val="36"/>
          <w:highlight w:val="none"/>
        </w:rPr>
        <w:t xml:space="preserve"> </w:t>
      </w:r>
      <w:r>
        <w:rPr>
          <w:rFonts w:ascii="Arial" w:hAnsi="Arial" w:cs="Arial"/>
          <w:b/>
          <w:bCs/>
          <w:color w:val="auto"/>
          <w:sz w:val="28"/>
          <w:szCs w:val="36"/>
          <w:highlight w:val="none"/>
        </w:rPr>
        <w:t>供应商须知</w:t>
      </w:r>
      <w:bookmarkEnd w:id="2"/>
    </w:p>
    <w:p>
      <w:pPr>
        <w:pStyle w:val="4"/>
        <w:spacing w:before="162" w:beforeLines="50" w:after="162" w:afterLines="50" w:line="240" w:lineRule="auto"/>
        <w:jc w:val="center"/>
        <w:rPr>
          <w:rFonts w:ascii="Arial" w:hAnsi="Arial" w:cs="Arial"/>
          <w:bCs w:val="0"/>
          <w:color w:val="auto"/>
          <w:sz w:val="24"/>
          <w:szCs w:val="24"/>
          <w:highlight w:val="none"/>
        </w:rPr>
      </w:pPr>
      <w:bookmarkStart w:id="3" w:name="_Toc9512"/>
      <w:r>
        <w:rPr>
          <w:rFonts w:ascii="Arial" w:hAnsi="Arial" w:cs="Arial"/>
          <w:color w:val="auto"/>
          <w:sz w:val="24"/>
          <w:szCs w:val="24"/>
          <w:highlight w:val="none"/>
        </w:rPr>
        <w:t>（一）</w:t>
      </w:r>
      <w:r>
        <w:rPr>
          <w:rFonts w:ascii="Arial" w:hAnsi="Arial" w:cs="Arial"/>
          <w:bCs w:val="0"/>
          <w:color w:val="auto"/>
          <w:sz w:val="24"/>
          <w:szCs w:val="24"/>
          <w:highlight w:val="none"/>
        </w:rPr>
        <w:t>竞争性磋商须知前附表</w:t>
      </w:r>
      <w:bookmarkEnd w:id="3"/>
    </w:p>
    <w:tbl>
      <w:tblPr>
        <w:tblStyle w:val="30"/>
        <w:tblW w:w="909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45"/>
        <w:gridCol w:w="1920"/>
        <w:gridCol w:w="65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vAlign w:val="center"/>
          </w:tcPr>
          <w:p>
            <w:pPr>
              <w:jc w:val="center"/>
              <w:rPr>
                <w:rFonts w:ascii="Arial" w:hAnsi="Arial" w:cs="Arial"/>
                <w:b/>
                <w:color w:val="auto"/>
                <w:szCs w:val="21"/>
                <w:highlight w:val="none"/>
              </w:rPr>
            </w:pPr>
            <w:r>
              <w:rPr>
                <w:rFonts w:ascii="Arial" w:hAnsi="Arial" w:cs="Arial"/>
                <w:b/>
                <w:color w:val="auto"/>
                <w:szCs w:val="21"/>
                <w:highlight w:val="none"/>
              </w:rPr>
              <w:t>项号</w:t>
            </w:r>
          </w:p>
        </w:tc>
        <w:tc>
          <w:tcPr>
            <w:tcW w:w="1920" w:type="dxa"/>
            <w:vAlign w:val="center"/>
          </w:tcPr>
          <w:p>
            <w:pPr>
              <w:jc w:val="center"/>
              <w:rPr>
                <w:rFonts w:ascii="Arial" w:hAnsi="Arial" w:cs="Arial"/>
                <w:b/>
                <w:color w:val="auto"/>
                <w:szCs w:val="21"/>
                <w:highlight w:val="none"/>
              </w:rPr>
            </w:pPr>
            <w:r>
              <w:rPr>
                <w:rFonts w:ascii="Arial" w:hAnsi="Arial" w:cs="Arial"/>
                <w:b/>
                <w:color w:val="auto"/>
                <w:szCs w:val="21"/>
                <w:highlight w:val="none"/>
              </w:rPr>
              <w:t>内容</w:t>
            </w:r>
          </w:p>
        </w:tc>
        <w:tc>
          <w:tcPr>
            <w:tcW w:w="6530" w:type="dxa"/>
            <w:vAlign w:val="center"/>
          </w:tcPr>
          <w:p>
            <w:pPr>
              <w:jc w:val="center"/>
              <w:rPr>
                <w:rFonts w:ascii="Arial" w:hAnsi="Arial" w:cs="Arial"/>
                <w:b/>
                <w:color w:val="auto"/>
                <w:szCs w:val="21"/>
                <w:highlight w:val="none"/>
              </w:rPr>
            </w:pPr>
            <w:r>
              <w:rPr>
                <w:rFonts w:ascii="Arial" w:hAnsi="Arial" w:cs="Arial"/>
                <w:b/>
                <w:color w:val="auto"/>
                <w:szCs w:val="21"/>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vAlign w:val="center"/>
          </w:tcPr>
          <w:p>
            <w:pPr>
              <w:jc w:val="center"/>
              <w:rPr>
                <w:rFonts w:ascii="Arial" w:hAnsi="Arial" w:cs="Arial"/>
                <w:color w:val="auto"/>
                <w:szCs w:val="21"/>
                <w:highlight w:val="none"/>
              </w:rPr>
            </w:pPr>
            <w:r>
              <w:rPr>
                <w:rFonts w:ascii="Arial" w:hAnsi="Arial" w:cs="Arial"/>
                <w:color w:val="auto"/>
                <w:szCs w:val="21"/>
                <w:highlight w:val="none"/>
              </w:rPr>
              <w:t>1</w:t>
            </w:r>
          </w:p>
        </w:tc>
        <w:tc>
          <w:tcPr>
            <w:tcW w:w="1920" w:type="dxa"/>
            <w:vAlign w:val="center"/>
          </w:tcPr>
          <w:p>
            <w:pPr>
              <w:jc w:val="center"/>
              <w:rPr>
                <w:rFonts w:ascii="宋体" w:hAnsi="宋体" w:cs="Arial"/>
                <w:color w:val="auto"/>
                <w:szCs w:val="21"/>
                <w:highlight w:val="none"/>
              </w:rPr>
            </w:pPr>
            <w:r>
              <w:rPr>
                <w:rFonts w:ascii="宋体" w:hAnsi="宋体" w:cs="Arial"/>
                <w:color w:val="auto"/>
                <w:szCs w:val="21"/>
                <w:highlight w:val="none"/>
              </w:rPr>
              <w:t>项目名称</w:t>
            </w:r>
          </w:p>
        </w:tc>
        <w:tc>
          <w:tcPr>
            <w:tcW w:w="6530" w:type="dxa"/>
            <w:vAlign w:val="center"/>
          </w:tcPr>
          <w:p>
            <w:pPr>
              <w:rPr>
                <w:rFonts w:hint="eastAsia" w:eastAsia="宋体"/>
                <w:color w:val="auto"/>
                <w:szCs w:val="21"/>
                <w:highlight w:val="none"/>
                <w:lang w:eastAsia="zh-CN"/>
              </w:rPr>
            </w:pPr>
            <w:r>
              <w:rPr>
                <w:rFonts w:hint="eastAsia"/>
                <w:color w:val="auto"/>
                <w:szCs w:val="21"/>
                <w:highlight w:val="none"/>
                <w:lang w:eastAsia="zh-CN"/>
              </w:rPr>
              <w:t>海盐县不动产权籍调查及制图测绘项目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vAlign w:val="center"/>
          </w:tcPr>
          <w:p>
            <w:pPr>
              <w:jc w:val="center"/>
              <w:rPr>
                <w:rFonts w:ascii="Arial" w:hAnsi="Arial" w:cs="Arial"/>
                <w:color w:val="auto"/>
                <w:szCs w:val="21"/>
                <w:highlight w:val="none"/>
              </w:rPr>
            </w:pPr>
            <w:r>
              <w:rPr>
                <w:rFonts w:ascii="Arial" w:hAnsi="Arial" w:cs="Arial"/>
                <w:color w:val="auto"/>
                <w:szCs w:val="21"/>
                <w:highlight w:val="none"/>
              </w:rPr>
              <w:t>2</w:t>
            </w:r>
          </w:p>
        </w:tc>
        <w:tc>
          <w:tcPr>
            <w:tcW w:w="1920" w:type="dxa"/>
            <w:vAlign w:val="center"/>
          </w:tcPr>
          <w:p>
            <w:pPr>
              <w:jc w:val="center"/>
              <w:rPr>
                <w:rFonts w:ascii="宋体" w:hAnsi="宋体" w:cs="Arial"/>
                <w:color w:val="auto"/>
                <w:szCs w:val="21"/>
                <w:highlight w:val="none"/>
              </w:rPr>
            </w:pPr>
            <w:r>
              <w:rPr>
                <w:rFonts w:ascii="宋体" w:hAnsi="宋体" w:cs="Arial"/>
                <w:color w:val="auto"/>
                <w:szCs w:val="21"/>
                <w:highlight w:val="none"/>
              </w:rPr>
              <w:t>项目编号</w:t>
            </w:r>
          </w:p>
        </w:tc>
        <w:tc>
          <w:tcPr>
            <w:tcW w:w="6530" w:type="dxa"/>
            <w:vAlign w:val="center"/>
          </w:tcPr>
          <w:p>
            <w:pPr>
              <w:rPr>
                <w:rFonts w:hint="eastAsia" w:eastAsia="宋体"/>
                <w:color w:val="auto"/>
                <w:szCs w:val="21"/>
                <w:highlight w:val="none"/>
                <w:lang w:eastAsia="zh-CN"/>
              </w:rPr>
            </w:pPr>
            <w:r>
              <w:rPr>
                <w:rFonts w:hint="eastAsia"/>
                <w:color w:val="auto"/>
                <w:szCs w:val="21"/>
                <w:highlight w:val="none"/>
                <w:lang w:eastAsia="zh-CN"/>
              </w:rPr>
              <w:t>浙均和（2025）D099号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vAlign w:val="center"/>
          </w:tcPr>
          <w:p>
            <w:pPr>
              <w:jc w:val="center"/>
              <w:rPr>
                <w:rFonts w:ascii="Arial" w:hAnsi="Arial" w:cs="Arial"/>
                <w:color w:val="auto"/>
                <w:szCs w:val="21"/>
                <w:highlight w:val="none"/>
              </w:rPr>
            </w:pPr>
            <w:r>
              <w:rPr>
                <w:rFonts w:hint="eastAsia" w:ascii="Arial" w:hAnsi="Arial" w:cs="Arial"/>
                <w:color w:val="auto"/>
                <w:szCs w:val="21"/>
                <w:highlight w:val="none"/>
              </w:rPr>
              <w:t>3</w:t>
            </w:r>
          </w:p>
        </w:tc>
        <w:tc>
          <w:tcPr>
            <w:tcW w:w="1920" w:type="dxa"/>
            <w:vAlign w:val="center"/>
          </w:tcPr>
          <w:p>
            <w:pPr>
              <w:jc w:val="center"/>
              <w:rPr>
                <w:rFonts w:ascii="宋体" w:hAnsi="宋体" w:cs="Arial"/>
                <w:color w:val="auto"/>
                <w:szCs w:val="21"/>
                <w:highlight w:val="none"/>
              </w:rPr>
            </w:pPr>
            <w:r>
              <w:rPr>
                <w:rFonts w:hint="eastAsia" w:ascii="宋体" w:hAnsi="宋体"/>
                <w:color w:val="auto"/>
                <w:szCs w:val="21"/>
                <w:highlight w:val="none"/>
              </w:rPr>
              <w:t>资金来源</w:t>
            </w:r>
          </w:p>
        </w:tc>
        <w:tc>
          <w:tcPr>
            <w:tcW w:w="6530" w:type="dxa"/>
            <w:vAlign w:val="center"/>
          </w:tcPr>
          <w:p>
            <w:pPr>
              <w:rPr>
                <w:color w:val="auto"/>
                <w:szCs w:val="21"/>
                <w:highlight w:val="none"/>
              </w:rPr>
            </w:pPr>
            <w:r>
              <w:rPr>
                <w:color w:val="auto"/>
                <w:szCs w:val="21"/>
                <w:highlight w:val="none"/>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vAlign w:val="center"/>
          </w:tcPr>
          <w:p>
            <w:pPr>
              <w:jc w:val="center"/>
              <w:rPr>
                <w:rFonts w:ascii="Arial" w:hAnsi="Arial" w:cs="Arial"/>
                <w:color w:val="auto"/>
                <w:szCs w:val="21"/>
                <w:highlight w:val="none"/>
              </w:rPr>
            </w:pPr>
            <w:r>
              <w:rPr>
                <w:rFonts w:ascii="Arial" w:hAnsi="Arial" w:cs="Arial"/>
                <w:color w:val="auto"/>
                <w:szCs w:val="21"/>
                <w:highlight w:val="none"/>
              </w:rPr>
              <w:t>4</w:t>
            </w:r>
          </w:p>
        </w:tc>
        <w:tc>
          <w:tcPr>
            <w:tcW w:w="1920" w:type="dxa"/>
            <w:vAlign w:val="center"/>
          </w:tcPr>
          <w:p>
            <w:pPr>
              <w:adjustRightInd w:val="0"/>
              <w:jc w:val="center"/>
              <w:rPr>
                <w:rFonts w:ascii="宋体" w:hAnsi="宋体" w:cs="Arial"/>
                <w:color w:val="auto"/>
                <w:szCs w:val="21"/>
                <w:highlight w:val="none"/>
              </w:rPr>
            </w:pPr>
            <w:r>
              <w:rPr>
                <w:rFonts w:ascii="宋体" w:hAnsi="宋体" w:cs="Arial"/>
                <w:color w:val="auto"/>
                <w:szCs w:val="21"/>
                <w:highlight w:val="none"/>
              </w:rPr>
              <w:t>采购人</w:t>
            </w:r>
          </w:p>
        </w:tc>
        <w:tc>
          <w:tcPr>
            <w:tcW w:w="6530" w:type="dxa"/>
            <w:vAlign w:val="center"/>
          </w:tcPr>
          <w:p>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名称：</w:t>
            </w:r>
            <w:r>
              <w:rPr>
                <w:rFonts w:hint="eastAsia" w:ascii="宋体" w:hAnsi="宋体" w:eastAsia="宋体" w:cs="宋体"/>
                <w:color w:val="auto"/>
                <w:sz w:val="21"/>
                <w:szCs w:val="21"/>
                <w:highlight w:val="none"/>
              </w:rPr>
              <w:t>海盐县自然资源和规划局</w:t>
            </w:r>
          </w:p>
          <w:p>
            <w:pPr>
              <w:spacing w:line="276"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联系人：黄工   </w:t>
            </w:r>
          </w:p>
          <w:p>
            <w:pPr>
              <w:adjustRightInd w:val="0"/>
              <w:rPr>
                <w:rFonts w:hint="eastAsia" w:eastAsia="宋体"/>
                <w:color w:val="auto"/>
                <w:szCs w:val="21"/>
                <w:highlight w:val="none"/>
                <w:lang w:eastAsia="zh-CN"/>
              </w:rPr>
            </w:pPr>
            <w:r>
              <w:rPr>
                <w:rFonts w:hint="eastAsia" w:ascii="宋体" w:hAnsi="宋体" w:eastAsia="宋体" w:cs="宋体"/>
                <w:color w:val="auto"/>
                <w:sz w:val="21"/>
                <w:szCs w:val="21"/>
                <w:highlight w:val="none"/>
                <w:lang w:eastAsia="zh-CN"/>
              </w:rPr>
              <w:t>联系电话：</w:t>
            </w:r>
            <w:r>
              <w:rPr>
                <w:rFonts w:hint="eastAsia" w:ascii="宋体" w:hAnsi="宋体" w:eastAsia="宋体" w:cs="宋体"/>
                <w:color w:val="auto"/>
                <w:sz w:val="21"/>
                <w:szCs w:val="21"/>
                <w:highlight w:val="none"/>
                <w:lang w:val="en-US" w:eastAsia="zh-CN"/>
              </w:rPr>
              <w:t>0573-86121902</w:t>
            </w:r>
            <w:r>
              <w:rPr>
                <w:rFonts w:hint="eastAsia" w:ascii="宋体" w:hAnsi="宋体" w:eastAsia="宋体" w:cs="宋体"/>
                <w:color w:val="auto"/>
                <w:sz w:val="21"/>
                <w:szCs w:val="21"/>
                <w:highlight w:val="none"/>
                <w:lang w:eastAsia="zh-CN"/>
              </w:rPr>
              <w:t xml:space="preserve">  </w:t>
            </w:r>
            <w:r>
              <w:rPr>
                <w:rFonts w:hint="eastAsia" w:ascii="Times New Roman" w:hAnsi="Times New Roman" w:eastAsia="宋体" w:cs="Times New Roman"/>
                <w:color w:val="auto"/>
                <w:szCs w:val="21"/>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00" w:hRule="atLeast"/>
          <w:jc w:val="center"/>
        </w:trPr>
        <w:tc>
          <w:tcPr>
            <w:tcW w:w="645" w:type="dxa"/>
            <w:vAlign w:val="center"/>
          </w:tcPr>
          <w:p>
            <w:pPr>
              <w:jc w:val="center"/>
              <w:rPr>
                <w:rFonts w:ascii="Arial" w:hAnsi="Arial" w:cs="Arial"/>
                <w:color w:val="auto"/>
                <w:szCs w:val="21"/>
                <w:highlight w:val="none"/>
              </w:rPr>
            </w:pPr>
            <w:r>
              <w:rPr>
                <w:rFonts w:hint="eastAsia" w:ascii="Arial" w:hAnsi="Arial" w:cs="Arial"/>
                <w:color w:val="auto"/>
                <w:szCs w:val="21"/>
                <w:highlight w:val="none"/>
              </w:rPr>
              <w:t>5</w:t>
            </w:r>
          </w:p>
        </w:tc>
        <w:tc>
          <w:tcPr>
            <w:tcW w:w="1920" w:type="dxa"/>
            <w:vAlign w:val="center"/>
          </w:tcPr>
          <w:p>
            <w:pPr>
              <w:adjustRightInd w:val="0"/>
              <w:jc w:val="center"/>
              <w:rPr>
                <w:rFonts w:ascii="宋体" w:hAnsi="宋体" w:cs="Arial"/>
                <w:color w:val="auto"/>
                <w:szCs w:val="21"/>
                <w:highlight w:val="none"/>
              </w:rPr>
            </w:pPr>
            <w:r>
              <w:rPr>
                <w:rFonts w:ascii="宋体" w:hAnsi="宋体" w:cs="Arial"/>
                <w:color w:val="auto"/>
                <w:szCs w:val="21"/>
                <w:highlight w:val="none"/>
              </w:rPr>
              <w:t>采购代理机构</w:t>
            </w:r>
          </w:p>
        </w:tc>
        <w:tc>
          <w:tcPr>
            <w:tcW w:w="6530" w:type="dxa"/>
            <w:vAlign w:val="center"/>
          </w:tcPr>
          <w:p>
            <w:pPr>
              <w:adjustRightIn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名称：浙江均和工程管理有限公司</w:t>
            </w:r>
          </w:p>
          <w:p>
            <w:pPr>
              <w:adjustRightInd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eastAsia="宋体" w:cs="宋体"/>
                <w:color w:val="auto"/>
                <w:sz w:val="21"/>
                <w:szCs w:val="21"/>
                <w:highlight w:val="none"/>
                <w:lang w:eastAsia="zh-CN"/>
              </w:rPr>
              <w:t>戴工</w:t>
            </w:r>
          </w:p>
          <w:p>
            <w:pPr>
              <w:adjustRightInd w:val="0"/>
              <w:rPr>
                <w:color w:val="auto"/>
                <w:szCs w:val="21"/>
                <w:highlight w:val="none"/>
              </w:rPr>
            </w:pPr>
            <w:r>
              <w:rPr>
                <w:rFonts w:hint="eastAsia" w:ascii="宋体" w:hAnsi="宋体" w:eastAsia="宋体" w:cs="宋体"/>
                <w:color w:val="auto"/>
                <w:sz w:val="21"/>
                <w:szCs w:val="21"/>
                <w:highlight w:val="none"/>
              </w:rPr>
              <w:t>联系电话：0573-86177058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80" w:hRule="atLeast"/>
          <w:jc w:val="center"/>
        </w:trPr>
        <w:tc>
          <w:tcPr>
            <w:tcW w:w="645" w:type="dxa"/>
            <w:vAlign w:val="center"/>
          </w:tcPr>
          <w:p>
            <w:pPr>
              <w:jc w:val="center"/>
              <w:rPr>
                <w:rFonts w:ascii="Arial" w:hAnsi="Arial" w:cs="Arial"/>
                <w:color w:val="auto"/>
                <w:szCs w:val="21"/>
                <w:highlight w:val="none"/>
              </w:rPr>
            </w:pPr>
            <w:r>
              <w:rPr>
                <w:rFonts w:hint="eastAsia" w:ascii="Arial" w:hAnsi="Arial" w:cs="Arial"/>
                <w:color w:val="auto"/>
                <w:szCs w:val="21"/>
                <w:highlight w:val="none"/>
              </w:rPr>
              <w:t>6</w:t>
            </w:r>
          </w:p>
        </w:tc>
        <w:tc>
          <w:tcPr>
            <w:tcW w:w="1920" w:type="dxa"/>
            <w:vAlign w:val="center"/>
          </w:tcPr>
          <w:p>
            <w:pPr>
              <w:jc w:val="center"/>
              <w:rPr>
                <w:rFonts w:ascii="宋体" w:hAnsi="宋体" w:cs="Arial"/>
                <w:color w:val="auto"/>
                <w:szCs w:val="21"/>
                <w:highlight w:val="none"/>
              </w:rPr>
            </w:pPr>
            <w:r>
              <w:rPr>
                <w:rFonts w:ascii="宋体" w:hAnsi="宋体" w:cs="Arial"/>
                <w:color w:val="auto"/>
                <w:szCs w:val="21"/>
                <w:highlight w:val="none"/>
              </w:rPr>
              <w:t>采购内容</w:t>
            </w:r>
          </w:p>
        </w:tc>
        <w:tc>
          <w:tcPr>
            <w:tcW w:w="6530" w:type="dxa"/>
            <w:vAlign w:val="center"/>
          </w:tcPr>
          <w:p>
            <w:pPr>
              <w:rPr>
                <w:rFonts w:ascii="宋体" w:hAnsi="宋体" w:cs="Arial"/>
                <w:color w:val="auto"/>
                <w:szCs w:val="21"/>
                <w:highlight w:val="none"/>
              </w:rPr>
            </w:pPr>
            <w:r>
              <w:rPr>
                <w:rFonts w:hint="eastAsia"/>
                <w:color w:val="auto"/>
                <w:szCs w:val="21"/>
                <w:highlight w:val="none"/>
                <w:lang w:eastAsia="zh-CN"/>
              </w:rPr>
              <w:t>海盐县不动产权籍调查及制图测绘项目</w:t>
            </w:r>
            <w:r>
              <w:rPr>
                <w:color w:val="auto"/>
                <w:szCs w:val="21"/>
                <w:highlight w:val="none"/>
              </w:rPr>
              <w:t>，详见本磋商文件第三部分。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31" w:hRule="atLeast"/>
          <w:jc w:val="center"/>
        </w:trPr>
        <w:tc>
          <w:tcPr>
            <w:tcW w:w="645" w:type="dxa"/>
            <w:vAlign w:val="center"/>
          </w:tcPr>
          <w:p>
            <w:pPr>
              <w:jc w:val="center"/>
              <w:rPr>
                <w:rFonts w:ascii="Arial" w:hAnsi="Arial" w:cs="Arial"/>
                <w:color w:val="auto"/>
                <w:szCs w:val="21"/>
                <w:highlight w:val="none"/>
              </w:rPr>
            </w:pPr>
            <w:r>
              <w:rPr>
                <w:rFonts w:hint="eastAsia" w:ascii="Arial" w:hAnsi="Arial" w:cs="Arial"/>
                <w:color w:val="auto"/>
                <w:szCs w:val="21"/>
                <w:highlight w:val="none"/>
              </w:rPr>
              <w:t>7</w:t>
            </w:r>
          </w:p>
        </w:tc>
        <w:tc>
          <w:tcPr>
            <w:tcW w:w="1920" w:type="dxa"/>
            <w:vAlign w:val="center"/>
          </w:tcPr>
          <w:p>
            <w:pPr>
              <w:jc w:val="center"/>
              <w:rPr>
                <w:rFonts w:ascii="宋体" w:hAnsi="宋体" w:cs="Arial"/>
                <w:color w:val="auto"/>
                <w:szCs w:val="21"/>
                <w:highlight w:val="none"/>
              </w:rPr>
            </w:pPr>
            <w:r>
              <w:rPr>
                <w:rFonts w:ascii="宋体" w:hAnsi="宋体" w:cs="Arial"/>
                <w:color w:val="auto"/>
                <w:szCs w:val="21"/>
                <w:highlight w:val="none"/>
              </w:rPr>
              <w:t>竞争性磋商供应商</w:t>
            </w:r>
          </w:p>
          <w:p>
            <w:pPr>
              <w:jc w:val="center"/>
              <w:rPr>
                <w:rFonts w:ascii="宋体" w:hAnsi="宋体" w:cs="Arial"/>
                <w:color w:val="auto"/>
                <w:szCs w:val="21"/>
                <w:highlight w:val="none"/>
              </w:rPr>
            </w:pPr>
            <w:r>
              <w:rPr>
                <w:rFonts w:ascii="宋体" w:hAnsi="宋体" w:cs="Arial"/>
                <w:color w:val="auto"/>
                <w:szCs w:val="21"/>
                <w:highlight w:val="none"/>
              </w:rPr>
              <w:t>资格要求</w:t>
            </w:r>
          </w:p>
        </w:tc>
        <w:tc>
          <w:tcPr>
            <w:tcW w:w="6530" w:type="dxa"/>
            <w:vAlign w:val="center"/>
          </w:tcPr>
          <w:p>
            <w:pPr>
              <w:rPr>
                <w:rFonts w:hAnsi="宋体"/>
                <w:color w:val="auto"/>
                <w:szCs w:val="21"/>
                <w:highlight w:val="none"/>
              </w:rPr>
            </w:pPr>
            <w:r>
              <w:rPr>
                <w:rFonts w:hint="eastAsia" w:hAnsi="宋体"/>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rPr>
                <w:rFonts w:hAnsi="宋体"/>
                <w:color w:val="auto"/>
                <w:szCs w:val="21"/>
                <w:highlight w:val="none"/>
              </w:rPr>
            </w:pPr>
            <w:r>
              <w:rPr>
                <w:rFonts w:hint="eastAsia" w:hAnsi="宋体"/>
                <w:color w:val="auto"/>
                <w:szCs w:val="21"/>
                <w:highlight w:val="none"/>
              </w:rPr>
              <w:t>2.落实政府采购政策需满足的资格要求：</w:t>
            </w:r>
            <w:r>
              <w:rPr>
                <w:rFonts w:hint="eastAsia" w:ascii="Times New Roman" w:hAnsi="Times New Roman" w:cs="Arial"/>
                <w:color w:val="auto"/>
                <w:kern w:val="0"/>
                <w:highlight w:val="none"/>
              </w:rPr>
              <w:t>供</w:t>
            </w:r>
            <w:r>
              <w:rPr>
                <w:rFonts w:hint="eastAsia" w:ascii="Times New Roman" w:hAnsi="Times New Roman" w:eastAsia="宋体" w:cs="Arial"/>
                <w:color w:val="auto"/>
                <w:kern w:val="0"/>
                <w:highlight w:val="none"/>
              </w:rPr>
              <w:t>应商为中小企业/小微企业</w:t>
            </w:r>
            <w:r>
              <w:rPr>
                <w:rFonts w:hint="eastAsia" w:ascii="Times New Roman" w:hAnsi="Times New Roman" w:eastAsia="宋体" w:cs="Arial"/>
                <w:color w:val="auto"/>
                <w:kern w:val="0"/>
                <w:highlight w:val="none"/>
                <w:lang w:eastAsia="zh-CN"/>
              </w:rPr>
              <w:t>（</w:t>
            </w:r>
            <w:r>
              <w:rPr>
                <w:rFonts w:hint="eastAsia" w:ascii="Times New Roman" w:hAnsi="Times New Roman" w:eastAsia="宋体" w:cs="Arial"/>
                <w:color w:val="auto"/>
                <w:kern w:val="0"/>
                <w:highlight w:val="none"/>
              </w:rPr>
              <w:t>监狱企业、残疾人福利性单位视同为小微企业</w:t>
            </w:r>
            <w:r>
              <w:rPr>
                <w:rFonts w:hint="eastAsia" w:ascii="Times New Roman" w:hAnsi="Times New Roman" w:eastAsia="宋体" w:cs="Arial"/>
                <w:color w:val="auto"/>
                <w:kern w:val="0"/>
                <w:highlight w:val="none"/>
                <w:lang w:eastAsia="zh-CN"/>
              </w:rPr>
              <w:t>）</w:t>
            </w:r>
            <w:r>
              <w:rPr>
                <w:rFonts w:hint="eastAsia" w:hAnsi="宋体"/>
                <w:color w:val="auto"/>
                <w:szCs w:val="21"/>
                <w:highlight w:val="none"/>
              </w:rPr>
              <w:t>。 </w:t>
            </w:r>
          </w:p>
          <w:p>
            <w:pPr>
              <w:pStyle w:val="17"/>
              <w:adjustRightInd w:val="0"/>
              <w:snapToGrid w:val="0"/>
              <w:spacing w:line="440" w:lineRule="exact"/>
              <w:rPr>
                <w:rFonts w:ascii="宋体" w:hAnsi="宋体"/>
                <w:color w:val="auto"/>
                <w:szCs w:val="21"/>
                <w:highlight w:val="none"/>
              </w:rPr>
            </w:pPr>
            <w:r>
              <w:rPr>
                <w:rFonts w:hint="eastAsia" w:hAnsi="宋体"/>
                <w:color w:val="auto"/>
                <w:szCs w:val="21"/>
                <w:highlight w:val="none"/>
              </w:rPr>
              <w:t>3.本项目的特定资格要求：</w:t>
            </w:r>
            <w:r>
              <w:rPr>
                <w:rFonts w:hint="eastAsia" w:ascii="Times New Roman" w:hAnsi="Times New Roman" w:cs="Arial"/>
                <w:color w:val="auto"/>
                <w:kern w:val="0"/>
                <w:highlight w:val="none"/>
              </w:rPr>
              <w:t>具有乙级（含乙级）以上测绘资质，包含工程测量、界限与不动产专业。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pPr>
              <w:jc w:val="center"/>
              <w:rPr>
                <w:rFonts w:ascii="Arial" w:hAnsi="Arial" w:cs="Arial"/>
                <w:color w:val="auto"/>
                <w:szCs w:val="21"/>
                <w:highlight w:val="none"/>
              </w:rPr>
            </w:pPr>
            <w:r>
              <w:rPr>
                <w:rFonts w:hint="eastAsia" w:ascii="Arial" w:hAnsi="Arial" w:cs="Arial"/>
                <w:color w:val="auto"/>
                <w:szCs w:val="21"/>
                <w:highlight w:val="none"/>
              </w:rPr>
              <w:t>8</w:t>
            </w:r>
          </w:p>
        </w:tc>
        <w:tc>
          <w:tcPr>
            <w:tcW w:w="1920" w:type="dxa"/>
            <w:vAlign w:val="center"/>
          </w:tcPr>
          <w:p>
            <w:pPr>
              <w:adjustRightInd w:val="0"/>
              <w:jc w:val="center"/>
              <w:rPr>
                <w:rFonts w:ascii="Arial" w:hAnsi="Arial" w:cs="Arial"/>
                <w:color w:val="auto"/>
                <w:szCs w:val="21"/>
                <w:highlight w:val="none"/>
              </w:rPr>
            </w:pPr>
            <w:r>
              <w:rPr>
                <w:rFonts w:ascii="Arial" w:hAnsi="Arial" w:cs="Arial"/>
                <w:color w:val="auto"/>
                <w:szCs w:val="21"/>
                <w:highlight w:val="none"/>
              </w:rPr>
              <w:t>是否接受联合体投标</w:t>
            </w:r>
          </w:p>
        </w:tc>
        <w:tc>
          <w:tcPr>
            <w:tcW w:w="6530" w:type="dxa"/>
            <w:vAlign w:val="center"/>
          </w:tcPr>
          <w:p>
            <w:pPr>
              <w:adjustRightInd w:val="0"/>
              <w:rPr>
                <w:rFonts w:ascii="Arial" w:hAnsi="Arial" w:cs="Arial"/>
                <w:color w:val="auto"/>
                <w:szCs w:val="21"/>
                <w:highlight w:val="none"/>
              </w:rPr>
            </w:pPr>
            <w:r>
              <w:rPr>
                <w:rFonts w:ascii="宋体" w:hAnsi="宋体"/>
                <w:b/>
                <w:color w:val="auto"/>
                <w:szCs w:val="21"/>
                <w:highlight w:val="none"/>
              </w:rPr>
              <w:fldChar w:fldCharType="begin"/>
            </w:r>
            <w:r>
              <w:rPr>
                <w:rFonts w:hint="eastAsia" w:ascii="宋体" w:hAnsi="宋体"/>
                <w:b/>
                <w:color w:val="auto"/>
                <w:szCs w:val="21"/>
                <w:highlight w:val="none"/>
              </w:rPr>
              <w:instrText xml:space="preserve">eq \o\ac(□,√)</w:instrText>
            </w:r>
            <w:r>
              <w:rPr>
                <w:rFonts w:ascii="宋体" w:hAnsi="宋体"/>
                <w:b/>
                <w:color w:val="auto"/>
                <w:szCs w:val="21"/>
                <w:highlight w:val="none"/>
              </w:rPr>
              <w:fldChar w:fldCharType="end"/>
            </w:r>
            <w:r>
              <w:rPr>
                <w:rFonts w:ascii="Arial" w:hAnsi="Arial" w:cs="Arial"/>
                <w:color w:val="auto"/>
                <w:szCs w:val="21"/>
                <w:highlight w:val="none"/>
              </w:rPr>
              <w:t>不接受</w:t>
            </w:r>
          </w:p>
          <w:p>
            <w:pPr>
              <w:adjustRightInd w:val="0"/>
              <w:rPr>
                <w:rFonts w:ascii="Arial" w:hAnsi="Arial" w:cs="Arial"/>
                <w:i/>
                <w:color w:val="auto"/>
                <w:szCs w:val="21"/>
                <w:highlight w:val="none"/>
              </w:rPr>
            </w:pPr>
            <w:r>
              <w:rPr>
                <w:rFonts w:ascii="宋体" w:hAnsi="宋体"/>
                <w:b/>
                <w:color w:val="auto"/>
                <w:szCs w:val="21"/>
                <w:highlight w:val="none"/>
              </w:rPr>
              <w:fldChar w:fldCharType="begin"/>
            </w:r>
            <w:r>
              <w:rPr>
                <w:rFonts w:hint="eastAsia" w:ascii="宋体" w:hAnsi="宋体"/>
                <w:b/>
                <w:color w:val="auto"/>
                <w:szCs w:val="21"/>
                <w:highlight w:val="none"/>
              </w:rPr>
              <w:instrText xml:space="preserve">eq \o\ac(□)</w:instrText>
            </w:r>
            <w:r>
              <w:rPr>
                <w:rFonts w:ascii="宋体" w:hAnsi="宋体"/>
                <w:b/>
                <w:color w:val="auto"/>
                <w:szCs w:val="21"/>
                <w:highlight w:val="none"/>
              </w:rPr>
              <w:fldChar w:fldCharType="end"/>
            </w:r>
            <w:r>
              <w:rPr>
                <w:rFonts w:ascii="Arial" w:hAnsi="Arial" w:cs="Arial"/>
                <w:color w:val="auto"/>
                <w:szCs w:val="21"/>
                <w:highlight w:val="none"/>
              </w:rPr>
              <w:t>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pPr>
              <w:jc w:val="center"/>
              <w:rPr>
                <w:rFonts w:ascii="Arial" w:hAnsi="Arial" w:cs="Arial"/>
                <w:color w:val="auto"/>
                <w:szCs w:val="21"/>
                <w:highlight w:val="none"/>
              </w:rPr>
            </w:pPr>
            <w:r>
              <w:rPr>
                <w:rFonts w:hint="eastAsia" w:ascii="Arial" w:hAnsi="Arial" w:cs="Arial"/>
                <w:color w:val="auto"/>
                <w:szCs w:val="21"/>
                <w:highlight w:val="none"/>
              </w:rPr>
              <w:t>9</w:t>
            </w:r>
          </w:p>
        </w:tc>
        <w:tc>
          <w:tcPr>
            <w:tcW w:w="1920" w:type="dxa"/>
            <w:vAlign w:val="center"/>
          </w:tcPr>
          <w:p>
            <w:pPr>
              <w:adjustRightInd w:val="0"/>
              <w:jc w:val="center"/>
              <w:rPr>
                <w:rFonts w:ascii="Arial" w:hAnsi="Arial" w:cs="Arial"/>
                <w:color w:val="auto"/>
                <w:szCs w:val="21"/>
                <w:highlight w:val="none"/>
              </w:rPr>
            </w:pPr>
            <w:r>
              <w:rPr>
                <w:rFonts w:ascii="Arial" w:hAnsi="Arial" w:cs="Arial"/>
                <w:color w:val="auto"/>
                <w:szCs w:val="21"/>
                <w:highlight w:val="none"/>
              </w:rPr>
              <w:t>踏勘现场</w:t>
            </w:r>
          </w:p>
        </w:tc>
        <w:tc>
          <w:tcPr>
            <w:tcW w:w="6530" w:type="dxa"/>
            <w:vAlign w:val="center"/>
          </w:tcPr>
          <w:p>
            <w:pPr>
              <w:adjustRightInd w:val="0"/>
              <w:rPr>
                <w:rFonts w:ascii="Arial" w:hAnsi="Arial" w:cs="Arial"/>
                <w:color w:val="auto"/>
                <w:szCs w:val="21"/>
                <w:highlight w:val="none"/>
              </w:rPr>
            </w:pPr>
            <w:r>
              <w:rPr>
                <w:rFonts w:ascii="宋体" w:hAnsi="宋体"/>
                <w:b/>
                <w:color w:val="auto"/>
                <w:szCs w:val="21"/>
                <w:highlight w:val="none"/>
              </w:rPr>
              <w:fldChar w:fldCharType="begin"/>
            </w:r>
            <w:r>
              <w:rPr>
                <w:rFonts w:hint="eastAsia" w:ascii="宋体" w:hAnsi="宋体"/>
                <w:b/>
                <w:color w:val="auto"/>
                <w:szCs w:val="21"/>
                <w:highlight w:val="none"/>
              </w:rPr>
              <w:instrText xml:space="preserve">eq \o\ac(□,√)</w:instrText>
            </w:r>
            <w:r>
              <w:rPr>
                <w:rFonts w:ascii="宋体" w:hAnsi="宋体"/>
                <w:b/>
                <w:color w:val="auto"/>
                <w:szCs w:val="21"/>
                <w:highlight w:val="none"/>
              </w:rPr>
              <w:fldChar w:fldCharType="end"/>
            </w:r>
            <w:r>
              <w:rPr>
                <w:rFonts w:ascii="Arial" w:hAnsi="Arial" w:cs="Arial"/>
                <w:color w:val="auto"/>
                <w:szCs w:val="21"/>
                <w:highlight w:val="none"/>
              </w:rPr>
              <w:t>不组织</w:t>
            </w:r>
          </w:p>
          <w:p>
            <w:pPr>
              <w:adjustRightInd w:val="0"/>
              <w:rPr>
                <w:rFonts w:ascii="Arial" w:hAnsi="Arial" w:cs="Arial"/>
                <w:i/>
                <w:color w:val="auto"/>
                <w:szCs w:val="21"/>
                <w:highlight w:val="none"/>
              </w:rPr>
            </w:pPr>
            <w:r>
              <w:rPr>
                <w:rFonts w:ascii="宋体" w:hAnsi="宋体"/>
                <w:color w:val="auto"/>
                <w:szCs w:val="21"/>
                <w:highlight w:val="none"/>
              </w:rPr>
              <w:t>□</w:t>
            </w:r>
            <w:r>
              <w:rPr>
                <w:rFonts w:ascii="Arial" w:hAnsi="Arial" w:cs="Arial"/>
                <w:color w:val="auto"/>
                <w:szCs w:val="21"/>
                <w:highlight w:val="none"/>
              </w:rPr>
              <w:t>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pPr>
              <w:jc w:val="center"/>
              <w:rPr>
                <w:rFonts w:ascii="Arial" w:hAnsi="Arial" w:cs="Arial"/>
                <w:color w:val="auto"/>
                <w:szCs w:val="21"/>
                <w:highlight w:val="none"/>
              </w:rPr>
            </w:pPr>
            <w:r>
              <w:rPr>
                <w:rFonts w:hint="eastAsia" w:ascii="Arial" w:hAnsi="Arial" w:cs="Arial"/>
                <w:color w:val="auto"/>
                <w:szCs w:val="21"/>
                <w:highlight w:val="none"/>
              </w:rPr>
              <w:t>10</w:t>
            </w:r>
          </w:p>
        </w:tc>
        <w:tc>
          <w:tcPr>
            <w:tcW w:w="1920" w:type="dxa"/>
            <w:vAlign w:val="center"/>
          </w:tcPr>
          <w:p>
            <w:pPr>
              <w:adjustRightInd w:val="0"/>
              <w:jc w:val="center"/>
              <w:rPr>
                <w:rFonts w:ascii="宋体" w:hAnsi="宋体"/>
                <w:color w:val="auto"/>
                <w:szCs w:val="21"/>
                <w:highlight w:val="none"/>
              </w:rPr>
            </w:pPr>
            <w:r>
              <w:rPr>
                <w:rFonts w:hint="eastAsia" w:ascii="宋体" w:hAnsi="宋体"/>
                <w:color w:val="auto"/>
                <w:szCs w:val="21"/>
                <w:highlight w:val="none"/>
              </w:rPr>
              <w:t>是否允许递交备选投标方案</w:t>
            </w:r>
          </w:p>
        </w:tc>
        <w:tc>
          <w:tcPr>
            <w:tcW w:w="6530" w:type="dxa"/>
            <w:vAlign w:val="center"/>
          </w:tcPr>
          <w:p>
            <w:pPr>
              <w:adjustRightInd w:val="0"/>
              <w:rPr>
                <w:rFonts w:ascii="宋体" w:hAnsi="宋体"/>
                <w:color w:val="auto"/>
                <w:szCs w:val="21"/>
                <w:highlight w:val="none"/>
              </w:rPr>
            </w:pPr>
            <w:r>
              <w:rPr>
                <w:rFonts w:ascii="宋体" w:hAnsi="宋体"/>
                <w:b/>
                <w:color w:val="auto"/>
                <w:szCs w:val="21"/>
                <w:highlight w:val="none"/>
              </w:rPr>
              <w:fldChar w:fldCharType="begin"/>
            </w:r>
            <w:r>
              <w:rPr>
                <w:rFonts w:hint="eastAsia" w:ascii="宋体" w:hAnsi="宋体"/>
                <w:b/>
                <w:color w:val="auto"/>
                <w:szCs w:val="21"/>
                <w:highlight w:val="none"/>
              </w:rPr>
              <w:instrText xml:space="preserve">eq \o\ac(□,√)</w:instrText>
            </w:r>
            <w:r>
              <w:rPr>
                <w:rFonts w:ascii="宋体" w:hAnsi="宋体"/>
                <w:b/>
                <w:color w:val="auto"/>
                <w:szCs w:val="21"/>
                <w:highlight w:val="none"/>
              </w:rPr>
              <w:fldChar w:fldCharType="end"/>
            </w:r>
            <w:r>
              <w:rPr>
                <w:rFonts w:hint="eastAsia" w:ascii="宋体" w:hAnsi="宋体"/>
                <w:color w:val="auto"/>
                <w:szCs w:val="21"/>
                <w:highlight w:val="none"/>
              </w:rPr>
              <w:t>不允许</w:t>
            </w:r>
          </w:p>
          <w:p>
            <w:pPr>
              <w:adjustRightInd w:val="0"/>
              <w:rPr>
                <w:rFonts w:ascii="宋体" w:hAnsi="宋体" w:cs="仿宋_GB2312"/>
                <w:color w:val="auto"/>
                <w:szCs w:val="21"/>
                <w:highlight w:val="none"/>
              </w:rPr>
            </w:pPr>
            <w:r>
              <w:rPr>
                <w:rFonts w:ascii="宋体" w:hAnsi="宋体"/>
                <w:color w:val="auto"/>
                <w:szCs w:val="21"/>
                <w:highlight w:val="none"/>
              </w:rPr>
              <w:t>□</w:t>
            </w:r>
            <w:r>
              <w:rPr>
                <w:rFonts w:hint="eastAsia" w:ascii="宋体" w:hAnsi="宋体"/>
                <w:color w:val="auto"/>
                <w:szCs w:val="21"/>
                <w:highlight w:val="none"/>
              </w:rPr>
              <w:t>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645" w:type="dxa"/>
            <w:vAlign w:val="center"/>
          </w:tcPr>
          <w:p>
            <w:pPr>
              <w:jc w:val="center"/>
              <w:rPr>
                <w:rFonts w:ascii="Arial" w:hAnsi="Arial" w:cs="Arial"/>
                <w:color w:val="auto"/>
                <w:szCs w:val="21"/>
                <w:highlight w:val="none"/>
              </w:rPr>
            </w:pPr>
            <w:r>
              <w:rPr>
                <w:rFonts w:hint="eastAsia" w:ascii="Arial" w:hAnsi="Arial" w:cs="Arial"/>
                <w:color w:val="auto"/>
                <w:szCs w:val="21"/>
                <w:highlight w:val="none"/>
              </w:rPr>
              <w:t>11</w:t>
            </w:r>
          </w:p>
        </w:tc>
        <w:tc>
          <w:tcPr>
            <w:tcW w:w="1920" w:type="dxa"/>
            <w:vAlign w:val="center"/>
          </w:tcPr>
          <w:p>
            <w:pPr>
              <w:adjustRightInd w:val="0"/>
              <w:jc w:val="center"/>
              <w:rPr>
                <w:rFonts w:ascii="Arial" w:hAnsi="Arial" w:cs="Arial"/>
                <w:color w:val="auto"/>
                <w:szCs w:val="21"/>
                <w:highlight w:val="none"/>
              </w:rPr>
            </w:pPr>
            <w:r>
              <w:rPr>
                <w:rFonts w:ascii="Arial" w:hAnsi="Arial" w:cs="Arial"/>
                <w:color w:val="auto"/>
                <w:szCs w:val="21"/>
                <w:highlight w:val="none"/>
              </w:rPr>
              <w:t>报价货币</w:t>
            </w:r>
          </w:p>
        </w:tc>
        <w:tc>
          <w:tcPr>
            <w:tcW w:w="6530" w:type="dxa"/>
            <w:vAlign w:val="center"/>
          </w:tcPr>
          <w:p>
            <w:pPr>
              <w:adjustRightInd w:val="0"/>
              <w:rPr>
                <w:rFonts w:ascii="Arial" w:hAnsi="Arial" w:cs="Arial"/>
                <w:color w:val="auto"/>
                <w:szCs w:val="21"/>
                <w:highlight w:val="none"/>
              </w:rPr>
            </w:pPr>
            <w:r>
              <w:rPr>
                <w:rFonts w:ascii="Arial" w:hAnsi="Arial" w:cs="Arial"/>
                <w:color w:val="auto"/>
                <w:szCs w:val="21"/>
                <w:highlight w:val="none"/>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645" w:type="dxa"/>
            <w:vAlign w:val="center"/>
          </w:tcPr>
          <w:p>
            <w:pPr>
              <w:jc w:val="center"/>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2</w:t>
            </w:r>
          </w:p>
        </w:tc>
        <w:tc>
          <w:tcPr>
            <w:tcW w:w="1920" w:type="dxa"/>
            <w:vAlign w:val="center"/>
          </w:tcPr>
          <w:p>
            <w:pPr>
              <w:adjustRightInd w:val="0"/>
              <w:jc w:val="center"/>
              <w:rPr>
                <w:rFonts w:ascii="Arial" w:hAnsi="Arial" w:cs="Arial"/>
                <w:color w:val="auto"/>
                <w:szCs w:val="21"/>
                <w:highlight w:val="none"/>
              </w:rPr>
            </w:pPr>
            <w:r>
              <w:rPr>
                <w:rFonts w:ascii="Arial" w:hAnsi="Arial" w:cs="Arial"/>
                <w:color w:val="auto"/>
                <w:szCs w:val="21"/>
                <w:highlight w:val="none"/>
              </w:rPr>
              <w:t>报价语言</w:t>
            </w:r>
          </w:p>
        </w:tc>
        <w:tc>
          <w:tcPr>
            <w:tcW w:w="6530" w:type="dxa"/>
            <w:vAlign w:val="center"/>
          </w:tcPr>
          <w:p>
            <w:pPr>
              <w:adjustRightInd w:val="0"/>
              <w:rPr>
                <w:rFonts w:ascii="Arial" w:hAnsi="Arial" w:cs="Arial"/>
                <w:color w:val="auto"/>
                <w:szCs w:val="21"/>
                <w:highlight w:val="none"/>
              </w:rPr>
            </w:pPr>
            <w:r>
              <w:rPr>
                <w:rFonts w:ascii="Arial" w:hAnsi="Arial" w:cs="Arial"/>
                <w:color w:val="auto"/>
                <w:szCs w:val="21"/>
                <w:highlight w:val="none"/>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645" w:type="dxa"/>
            <w:vAlign w:val="center"/>
          </w:tcPr>
          <w:p>
            <w:pPr>
              <w:jc w:val="center"/>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3</w:t>
            </w:r>
          </w:p>
        </w:tc>
        <w:tc>
          <w:tcPr>
            <w:tcW w:w="1920" w:type="dxa"/>
            <w:vAlign w:val="center"/>
          </w:tcPr>
          <w:p>
            <w:pPr>
              <w:jc w:val="center"/>
              <w:rPr>
                <w:rFonts w:ascii="Arial" w:hAnsi="Arial" w:cs="Arial"/>
                <w:color w:val="auto"/>
                <w:szCs w:val="21"/>
                <w:highlight w:val="none"/>
              </w:rPr>
            </w:pPr>
            <w:r>
              <w:rPr>
                <w:rFonts w:ascii="Arial" w:hAnsi="Arial" w:cs="Arial"/>
                <w:color w:val="auto"/>
                <w:szCs w:val="21"/>
                <w:highlight w:val="none"/>
              </w:rPr>
              <w:t>竞争性磋商</w:t>
            </w:r>
            <w:r>
              <w:rPr>
                <w:rFonts w:hint="eastAsia" w:ascii="Arial" w:hAnsi="Arial" w:cs="Arial"/>
                <w:color w:val="auto"/>
                <w:szCs w:val="21"/>
                <w:highlight w:val="none"/>
              </w:rPr>
              <w:t>纸质</w:t>
            </w:r>
            <w:r>
              <w:rPr>
                <w:rFonts w:ascii="Arial" w:hAnsi="Arial" w:cs="Arial"/>
                <w:color w:val="auto"/>
                <w:szCs w:val="21"/>
                <w:highlight w:val="none"/>
              </w:rPr>
              <w:t>响应文件份数</w:t>
            </w:r>
          </w:p>
        </w:tc>
        <w:tc>
          <w:tcPr>
            <w:tcW w:w="6530" w:type="dxa"/>
            <w:vAlign w:val="center"/>
          </w:tcPr>
          <w:p>
            <w:pPr>
              <w:pStyle w:val="26"/>
              <w:jc w:val="both"/>
              <w:rPr>
                <w:rFonts w:ascii="Arial" w:hAnsi="Arial" w:cs="Arial"/>
                <w:color w:val="auto"/>
                <w:highlight w:val="none"/>
              </w:rPr>
            </w:pPr>
            <w:r>
              <w:rPr>
                <w:rFonts w:hint="eastAsia" w:ascii="Arial" w:hAnsi="Arial" w:cs="Arial"/>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45" w:type="dxa"/>
            <w:vAlign w:val="center"/>
          </w:tcPr>
          <w:p>
            <w:pPr>
              <w:jc w:val="center"/>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4</w:t>
            </w:r>
          </w:p>
        </w:tc>
        <w:tc>
          <w:tcPr>
            <w:tcW w:w="1920" w:type="dxa"/>
            <w:vAlign w:val="center"/>
          </w:tcPr>
          <w:p>
            <w:pPr>
              <w:jc w:val="center"/>
              <w:rPr>
                <w:rFonts w:ascii="Arial" w:hAnsi="Arial" w:cs="Arial"/>
                <w:color w:val="auto"/>
                <w:szCs w:val="21"/>
                <w:highlight w:val="none"/>
              </w:rPr>
            </w:pPr>
            <w:r>
              <w:rPr>
                <w:rFonts w:ascii="Arial" w:hAnsi="Arial" w:cs="Arial"/>
                <w:color w:val="auto"/>
                <w:szCs w:val="21"/>
                <w:highlight w:val="none"/>
              </w:rPr>
              <w:t>竞争性磋商有效期</w:t>
            </w:r>
          </w:p>
        </w:tc>
        <w:tc>
          <w:tcPr>
            <w:tcW w:w="6530" w:type="dxa"/>
            <w:vAlign w:val="center"/>
          </w:tcPr>
          <w:p>
            <w:pPr>
              <w:rPr>
                <w:rFonts w:ascii="Arial" w:hAnsi="Arial" w:cs="Arial"/>
                <w:color w:val="auto"/>
                <w:szCs w:val="21"/>
                <w:highlight w:val="none"/>
              </w:rPr>
            </w:pPr>
            <w:r>
              <w:rPr>
                <w:rFonts w:ascii="Arial" w:hAnsi="Arial" w:cs="Arial"/>
                <w:color w:val="auto"/>
                <w:szCs w:val="21"/>
                <w:highlight w:val="none"/>
              </w:rPr>
              <w:t>提交竞争性磋商响应文件截止日起60天</w:t>
            </w:r>
            <w:r>
              <w:rPr>
                <w:rFonts w:hint="eastAsia" w:ascii="Arial" w:hAnsi="Arial" w:cs="Arial"/>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45" w:type="dxa"/>
            <w:vAlign w:val="center"/>
          </w:tcPr>
          <w:p>
            <w:pPr>
              <w:jc w:val="center"/>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5</w:t>
            </w:r>
          </w:p>
        </w:tc>
        <w:tc>
          <w:tcPr>
            <w:tcW w:w="1920" w:type="dxa"/>
            <w:vAlign w:val="center"/>
          </w:tcPr>
          <w:p>
            <w:pPr>
              <w:jc w:val="center"/>
              <w:rPr>
                <w:rFonts w:ascii="Arial" w:hAnsi="Arial" w:cs="Arial"/>
                <w:color w:val="auto"/>
                <w:szCs w:val="21"/>
                <w:highlight w:val="none"/>
              </w:rPr>
            </w:pPr>
            <w:r>
              <w:rPr>
                <w:rFonts w:ascii="Arial" w:hAnsi="Arial" w:cs="Arial"/>
                <w:color w:val="auto"/>
                <w:szCs w:val="21"/>
                <w:highlight w:val="none"/>
              </w:rPr>
              <w:t>签字或盖章要求</w:t>
            </w:r>
          </w:p>
        </w:tc>
        <w:tc>
          <w:tcPr>
            <w:tcW w:w="6530" w:type="dxa"/>
            <w:vAlign w:val="center"/>
          </w:tcPr>
          <w:p>
            <w:pPr>
              <w:rPr>
                <w:rFonts w:ascii="Arial" w:hAnsi="Arial" w:cs="Arial"/>
                <w:color w:val="auto"/>
                <w:szCs w:val="21"/>
                <w:highlight w:val="none"/>
              </w:rPr>
            </w:pPr>
            <w:r>
              <w:rPr>
                <w:rFonts w:hint="eastAsia" w:ascii="宋体" w:hAnsi="宋体"/>
                <w:color w:val="auto"/>
                <w:szCs w:val="21"/>
                <w:highlight w:val="none"/>
              </w:rPr>
              <w:t>竞争性磋商响应文件中需签字或盖章的地方均加盖竞争性磋商供应商单位全称的公章，不得使用投标专用章、合同章等类似图章代替，并经法定代表人或其委托代理人签字或盖章，</w:t>
            </w:r>
            <w:r>
              <w:rPr>
                <w:rFonts w:ascii="宋体" w:hAnsi="宋体"/>
                <w:color w:val="auto"/>
                <w:szCs w:val="21"/>
                <w:highlight w:val="none"/>
              </w:rPr>
              <w:t>否则作无效标处理</w:t>
            </w:r>
            <w:r>
              <w:rPr>
                <w:rFonts w:hint="eastAsia"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45" w:type="dxa"/>
            <w:vAlign w:val="center"/>
          </w:tcPr>
          <w:p>
            <w:pPr>
              <w:jc w:val="center"/>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6</w:t>
            </w:r>
          </w:p>
        </w:tc>
        <w:tc>
          <w:tcPr>
            <w:tcW w:w="1920" w:type="dxa"/>
            <w:vAlign w:val="center"/>
          </w:tcPr>
          <w:p>
            <w:pPr>
              <w:jc w:val="center"/>
              <w:rPr>
                <w:rFonts w:ascii="Arial" w:hAnsi="Arial" w:cs="Arial"/>
                <w:color w:val="auto"/>
                <w:szCs w:val="21"/>
                <w:highlight w:val="none"/>
              </w:rPr>
            </w:pPr>
            <w:r>
              <w:rPr>
                <w:rFonts w:ascii="Arial" w:hAnsi="Arial" w:cs="Arial"/>
                <w:color w:val="auto"/>
                <w:szCs w:val="21"/>
                <w:highlight w:val="none"/>
              </w:rPr>
              <w:t>密封、装订要求</w:t>
            </w:r>
          </w:p>
        </w:tc>
        <w:tc>
          <w:tcPr>
            <w:tcW w:w="6530" w:type="dxa"/>
            <w:vAlign w:val="center"/>
          </w:tcPr>
          <w:p>
            <w:pPr>
              <w:rPr>
                <w:rFonts w:ascii="Arial" w:hAnsi="Arial" w:cs="Arial"/>
                <w:color w:val="auto"/>
                <w:szCs w:val="21"/>
                <w:highlight w:val="none"/>
              </w:rPr>
            </w:pPr>
            <w:r>
              <w:rPr>
                <w:rFonts w:hint="eastAsia" w:ascii="Arial" w:hAnsi="Arial" w:cs="Arial"/>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51" w:hRule="atLeast"/>
          <w:jc w:val="center"/>
        </w:trPr>
        <w:tc>
          <w:tcPr>
            <w:tcW w:w="645" w:type="dxa"/>
            <w:vAlign w:val="center"/>
          </w:tcPr>
          <w:p>
            <w:pPr>
              <w:jc w:val="center"/>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7</w:t>
            </w:r>
          </w:p>
        </w:tc>
        <w:tc>
          <w:tcPr>
            <w:tcW w:w="1920" w:type="dxa"/>
            <w:vAlign w:val="center"/>
          </w:tcPr>
          <w:p>
            <w:pPr>
              <w:jc w:val="center"/>
              <w:rPr>
                <w:rFonts w:ascii="Arial" w:hAnsi="Arial" w:cs="Arial"/>
                <w:color w:val="auto"/>
                <w:szCs w:val="21"/>
                <w:highlight w:val="none"/>
              </w:rPr>
            </w:pPr>
            <w:r>
              <w:rPr>
                <w:rFonts w:ascii="Arial" w:hAnsi="Arial" w:cs="Arial"/>
                <w:color w:val="auto"/>
                <w:szCs w:val="21"/>
                <w:highlight w:val="none"/>
              </w:rPr>
              <w:t>竞争性磋商样品</w:t>
            </w:r>
          </w:p>
        </w:tc>
        <w:tc>
          <w:tcPr>
            <w:tcW w:w="6530" w:type="dxa"/>
            <w:vAlign w:val="center"/>
          </w:tcPr>
          <w:p>
            <w:pPr>
              <w:rPr>
                <w:rFonts w:ascii="Arial" w:hAnsi="Arial" w:cs="Arial"/>
                <w:color w:val="auto"/>
                <w:szCs w:val="21"/>
                <w:highlight w:val="none"/>
              </w:rPr>
            </w:pPr>
            <w:r>
              <w:rPr>
                <w:rFonts w:ascii="宋体" w:hAnsi="宋体"/>
                <w:color w:val="auto"/>
                <w:szCs w:val="21"/>
                <w:highlight w:val="none"/>
              </w:rPr>
              <w:fldChar w:fldCharType="begin"/>
            </w:r>
            <w:r>
              <w:rPr>
                <w:rFonts w:hint="eastAsia" w:ascii="宋体" w:hAnsi="宋体"/>
                <w:color w:val="auto"/>
                <w:szCs w:val="21"/>
                <w:highlight w:val="none"/>
              </w:rPr>
              <w:instrText xml:space="preserve">eq \o\ac(□,√)</w:instrText>
            </w:r>
            <w:r>
              <w:rPr>
                <w:rFonts w:ascii="宋体" w:hAnsi="宋体"/>
                <w:color w:val="auto"/>
                <w:szCs w:val="21"/>
                <w:highlight w:val="none"/>
              </w:rPr>
              <w:fldChar w:fldCharType="end"/>
            </w:r>
            <w:r>
              <w:rPr>
                <w:rFonts w:ascii="Arial" w:hAnsi="Arial" w:cs="Arial"/>
                <w:color w:val="auto"/>
                <w:szCs w:val="21"/>
                <w:highlight w:val="none"/>
              </w:rPr>
              <w:t>不需要</w:t>
            </w:r>
          </w:p>
          <w:p>
            <w:pPr>
              <w:rPr>
                <w:rFonts w:ascii="Arial" w:hAnsi="Arial" w:cs="Arial"/>
                <w:color w:val="auto"/>
                <w:szCs w:val="21"/>
                <w:highlight w:val="none"/>
              </w:rPr>
            </w:pPr>
            <w:r>
              <w:rPr>
                <w:rFonts w:ascii="宋体" w:hAnsi="宋体"/>
                <w:color w:val="auto"/>
                <w:szCs w:val="21"/>
                <w:highlight w:val="none"/>
              </w:rPr>
              <w:t>□</w:t>
            </w:r>
            <w:r>
              <w:rPr>
                <w:rFonts w:ascii="Arial" w:hAnsi="Arial" w:cs="Arial"/>
                <w:color w:val="auto"/>
                <w:szCs w:val="21"/>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53" w:hRule="atLeast"/>
          <w:jc w:val="center"/>
        </w:trPr>
        <w:tc>
          <w:tcPr>
            <w:tcW w:w="645" w:type="dxa"/>
            <w:vAlign w:val="center"/>
          </w:tcPr>
          <w:p>
            <w:pPr>
              <w:jc w:val="center"/>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8</w:t>
            </w:r>
          </w:p>
        </w:tc>
        <w:tc>
          <w:tcPr>
            <w:tcW w:w="1920" w:type="dxa"/>
            <w:vAlign w:val="center"/>
          </w:tcPr>
          <w:p>
            <w:pPr>
              <w:jc w:val="center"/>
              <w:rPr>
                <w:rFonts w:ascii="Arial" w:hAnsi="Arial" w:cs="Arial"/>
                <w:color w:val="auto"/>
                <w:szCs w:val="21"/>
                <w:highlight w:val="none"/>
              </w:rPr>
            </w:pPr>
            <w:r>
              <w:rPr>
                <w:rFonts w:hint="eastAsia" w:ascii="Arial" w:hAnsi="Arial" w:cs="Arial"/>
                <w:color w:val="auto"/>
                <w:szCs w:val="21"/>
                <w:highlight w:val="none"/>
              </w:rPr>
              <w:t>投标保证金</w:t>
            </w:r>
          </w:p>
        </w:tc>
        <w:tc>
          <w:tcPr>
            <w:tcW w:w="6530" w:type="dxa"/>
            <w:vAlign w:val="center"/>
          </w:tcPr>
          <w:p>
            <w:pPr>
              <w:rPr>
                <w:rFonts w:ascii="宋体" w:hAnsi="宋体" w:cs="Arial"/>
                <w:color w:val="auto"/>
                <w:szCs w:val="21"/>
                <w:highlight w:val="none"/>
              </w:rPr>
            </w:pPr>
            <w:r>
              <w:rPr>
                <w:rFonts w:hint="eastAsia" w:ascii="宋体" w:hAnsi="宋体" w:cs="Arial"/>
                <w:color w:val="auto"/>
                <w:szCs w:val="21"/>
                <w:highlight w:val="none"/>
              </w:rPr>
              <w:t>不设保证金。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645" w:type="dxa"/>
            <w:vAlign w:val="center"/>
          </w:tcPr>
          <w:p>
            <w:pPr>
              <w:jc w:val="center"/>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9</w:t>
            </w:r>
          </w:p>
        </w:tc>
        <w:tc>
          <w:tcPr>
            <w:tcW w:w="1920" w:type="dxa"/>
            <w:vAlign w:val="center"/>
          </w:tcPr>
          <w:p>
            <w:pPr>
              <w:adjustRightInd w:val="0"/>
              <w:jc w:val="center"/>
              <w:rPr>
                <w:rFonts w:ascii="Arial" w:hAnsi="Arial" w:cs="Arial"/>
                <w:color w:val="auto"/>
                <w:szCs w:val="21"/>
                <w:highlight w:val="none"/>
              </w:rPr>
            </w:pPr>
            <w:r>
              <w:rPr>
                <w:rFonts w:ascii="Arial" w:hAnsi="Arial" w:cs="Arial"/>
                <w:color w:val="auto"/>
                <w:szCs w:val="21"/>
                <w:highlight w:val="none"/>
              </w:rPr>
              <w:t>履约担保</w:t>
            </w:r>
          </w:p>
        </w:tc>
        <w:tc>
          <w:tcPr>
            <w:tcW w:w="6530" w:type="dxa"/>
            <w:vAlign w:val="center"/>
          </w:tcPr>
          <w:p>
            <w:pPr>
              <w:rPr>
                <w:rFonts w:ascii="宋体" w:hAnsi="宋体" w:cs="Arial"/>
                <w:color w:val="auto"/>
                <w:szCs w:val="21"/>
                <w:highlight w:val="none"/>
              </w:rPr>
            </w:pPr>
            <w:r>
              <w:rPr>
                <w:rFonts w:hint="eastAsia" w:ascii="宋体" w:hAnsi="宋体" w:cs="Arial"/>
                <w:color w:val="auto"/>
                <w:szCs w:val="21"/>
                <w:highlight w:val="none"/>
              </w:rPr>
              <w:fldChar w:fldCharType="begin"/>
            </w:r>
            <w:r>
              <w:rPr>
                <w:rFonts w:hint="eastAsia" w:ascii="宋体" w:hAnsi="宋体" w:cs="Arial"/>
                <w:color w:val="auto"/>
                <w:szCs w:val="21"/>
                <w:highlight w:val="none"/>
              </w:rPr>
              <w:instrText xml:space="preserve">eq \o\ac(□,√)</w:instrText>
            </w:r>
            <w:r>
              <w:rPr>
                <w:rFonts w:hint="eastAsia" w:ascii="宋体" w:hAnsi="宋体" w:cs="Arial"/>
                <w:color w:val="auto"/>
                <w:szCs w:val="21"/>
                <w:highlight w:val="none"/>
              </w:rPr>
              <w:fldChar w:fldCharType="end"/>
            </w:r>
            <w:r>
              <w:rPr>
                <w:rFonts w:hint="eastAsia" w:ascii="宋体" w:hAnsi="宋体" w:cs="Arial"/>
                <w:color w:val="auto"/>
                <w:szCs w:val="21"/>
                <w:highlight w:val="none"/>
              </w:rPr>
              <w:t>不需要</w:t>
            </w:r>
          </w:p>
          <w:p>
            <w:pPr>
              <w:rPr>
                <w:rFonts w:ascii="宋体" w:hAnsi="宋体" w:cs="Arial"/>
                <w:color w:val="auto"/>
                <w:szCs w:val="21"/>
                <w:highlight w:val="none"/>
              </w:rPr>
            </w:pPr>
            <w:r>
              <w:rPr>
                <w:rFonts w:hint="eastAsia" w:ascii="宋体" w:hAnsi="宋体" w:cs="Arial"/>
                <w:color w:val="auto"/>
                <w:szCs w:val="21"/>
                <w:highlight w:val="none"/>
              </w:rPr>
              <w:fldChar w:fldCharType="begin"/>
            </w:r>
            <w:r>
              <w:rPr>
                <w:rFonts w:hint="eastAsia" w:ascii="宋体" w:hAnsi="宋体" w:cs="Arial"/>
                <w:color w:val="auto"/>
                <w:szCs w:val="21"/>
                <w:highlight w:val="none"/>
              </w:rPr>
              <w:instrText xml:space="preserve">eq \o\ac(□)</w:instrText>
            </w:r>
            <w:r>
              <w:rPr>
                <w:rFonts w:hint="eastAsia" w:ascii="宋体" w:hAnsi="宋体" w:cs="Arial"/>
                <w:color w:val="auto"/>
                <w:szCs w:val="21"/>
                <w:highlight w:val="none"/>
              </w:rPr>
              <w:fldChar w:fldCharType="end"/>
            </w:r>
            <w:r>
              <w:rPr>
                <w:rFonts w:hint="eastAsia" w:ascii="宋体" w:hAnsi="宋体" w:cs="Arial"/>
                <w:color w:val="auto"/>
                <w:szCs w:val="21"/>
                <w:highlight w:val="none"/>
              </w:rPr>
              <w:t>需要同采购人缴纳人民币/的履约保证金（现金或银行保函），在项目服务期满后7个工作日内无息退还。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49" w:hRule="atLeast"/>
          <w:jc w:val="center"/>
        </w:trPr>
        <w:tc>
          <w:tcPr>
            <w:tcW w:w="645" w:type="dxa"/>
            <w:vAlign w:val="center"/>
          </w:tcPr>
          <w:p>
            <w:pPr>
              <w:jc w:val="center"/>
              <w:rPr>
                <w:rFonts w:ascii="Arial" w:hAnsi="Arial" w:cs="Arial"/>
                <w:color w:val="auto"/>
                <w:szCs w:val="21"/>
                <w:highlight w:val="none"/>
              </w:rPr>
            </w:pPr>
            <w:r>
              <w:rPr>
                <w:rFonts w:hint="eastAsia" w:ascii="Arial" w:hAnsi="Arial" w:cs="Arial"/>
                <w:color w:val="auto"/>
                <w:szCs w:val="21"/>
                <w:highlight w:val="none"/>
              </w:rPr>
              <w:t>20</w:t>
            </w:r>
          </w:p>
        </w:tc>
        <w:tc>
          <w:tcPr>
            <w:tcW w:w="1920" w:type="dxa"/>
            <w:vAlign w:val="center"/>
          </w:tcPr>
          <w:p>
            <w:pPr>
              <w:jc w:val="center"/>
              <w:rPr>
                <w:rFonts w:ascii="Arial" w:hAnsi="Arial" w:cs="Arial"/>
                <w:color w:val="auto"/>
                <w:szCs w:val="21"/>
                <w:highlight w:val="none"/>
              </w:rPr>
            </w:pPr>
            <w:r>
              <w:rPr>
                <w:rFonts w:ascii="Arial" w:hAnsi="Arial" w:cs="Arial"/>
                <w:color w:val="auto"/>
                <w:szCs w:val="21"/>
                <w:highlight w:val="none"/>
              </w:rPr>
              <w:t>竞争性磋商</w:t>
            </w:r>
            <w:r>
              <w:rPr>
                <w:rFonts w:hint="eastAsia" w:ascii="Arial" w:hAnsi="Arial" w:cs="Arial"/>
                <w:color w:val="auto"/>
                <w:szCs w:val="21"/>
                <w:highlight w:val="none"/>
              </w:rPr>
              <w:t>报名</w:t>
            </w:r>
            <w:r>
              <w:rPr>
                <w:rFonts w:ascii="Arial" w:hAnsi="Arial" w:cs="Arial"/>
                <w:color w:val="auto"/>
                <w:szCs w:val="21"/>
                <w:highlight w:val="none"/>
              </w:rPr>
              <w:t>时间及获取方式</w:t>
            </w:r>
          </w:p>
        </w:tc>
        <w:tc>
          <w:tcPr>
            <w:tcW w:w="6530" w:type="dxa"/>
            <w:vAlign w:val="center"/>
          </w:tcPr>
          <w:p>
            <w:pPr>
              <w:rPr>
                <w:rFonts w:ascii="Arial" w:hAnsi="Arial" w:cs="Arial"/>
                <w:color w:val="auto"/>
                <w:szCs w:val="21"/>
                <w:highlight w:val="none"/>
              </w:rPr>
            </w:pPr>
            <w:r>
              <w:rPr>
                <w:rFonts w:ascii="Arial" w:hAnsi="Arial" w:cs="Arial"/>
                <w:color w:val="auto"/>
                <w:szCs w:val="21"/>
                <w:highlight w:val="none"/>
              </w:rPr>
              <w:t>竞争性磋商</w:t>
            </w:r>
            <w:r>
              <w:rPr>
                <w:rFonts w:hint="eastAsia" w:ascii="Arial" w:hAnsi="Arial" w:cs="Arial"/>
                <w:color w:val="auto"/>
                <w:szCs w:val="21"/>
                <w:highlight w:val="none"/>
              </w:rPr>
              <w:t>报名</w:t>
            </w:r>
            <w:r>
              <w:rPr>
                <w:rFonts w:ascii="Arial" w:hAnsi="Arial" w:cs="Arial"/>
                <w:color w:val="auto"/>
                <w:szCs w:val="21"/>
                <w:highlight w:val="none"/>
              </w:rPr>
              <w:t>时间</w:t>
            </w:r>
            <w:r>
              <w:rPr>
                <w:rFonts w:hint="eastAsia" w:ascii="Arial" w:hAnsi="Arial" w:cs="Arial"/>
                <w:color w:val="auto"/>
                <w:szCs w:val="21"/>
                <w:highlight w:val="none"/>
              </w:rPr>
              <w:t>：</w:t>
            </w:r>
            <w:r>
              <w:rPr>
                <w:rFonts w:ascii="Arial" w:hAnsi="Arial" w:cs="Arial"/>
                <w:color w:val="auto"/>
                <w:szCs w:val="21"/>
                <w:highlight w:val="none"/>
              </w:rPr>
              <w:t>磋商公告发布之日起至</w:t>
            </w:r>
            <w:r>
              <w:rPr>
                <w:rFonts w:hint="eastAsia" w:ascii="Arial" w:hAnsi="Arial" w:cs="Arial"/>
                <w:color w:val="auto"/>
                <w:szCs w:val="21"/>
                <w:highlight w:val="none"/>
              </w:rPr>
              <w:t>投标截止时间；</w:t>
            </w:r>
          </w:p>
          <w:p>
            <w:pPr>
              <w:rPr>
                <w:rFonts w:ascii="Arial" w:hAnsi="Arial" w:cs="Arial"/>
                <w:color w:val="auto"/>
                <w:szCs w:val="21"/>
                <w:highlight w:val="none"/>
              </w:rPr>
            </w:pPr>
            <w:r>
              <w:rPr>
                <w:rFonts w:ascii="Arial" w:hAnsi="Arial" w:cs="Arial"/>
                <w:color w:val="auto"/>
                <w:szCs w:val="21"/>
                <w:highlight w:val="none"/>
              </w:rPr>
              <w:t>获取方式</w:t>
            </w:r>
            <w:r>
              <w:rPr>
                <w:rFonts w:hint="eastAsia" w:ascii="Arial" w:hAnsi="Arial" w:cs="Arial"/>
                <w:color w:val="auto"/>
                <w:szCs w:val="21"/>
                <w:highlight w:val="none"/>
              </w:rPr>
              <w:t>：在线下载获取。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45" w:type="dxa"/>
            <w:vAlign w:val="center"/>
          </w:tcPr>
          <w:p>
            <w:pPr>
              <w:jc w:val="center"/>
              <w:rPr>
                <w:rFonts w:ascii="Arial" w:hAnsi="Arial" w:cs="Arial"/>
                <w:color w:val="auto"/>
                <w:szCs w:val="21"/>
                <w:highlight w:val="none"/>
              </w:rPr>
            </w:pPr>
            <w:r>
              <w:rPr>
                <w:rFonts w:hint="eastAsia" w:ascii="Arial" w:hAnsi="Arial" w:cs="Arial"/>
                <w:color w:val="auto"/>
                <w:szCs w:val="21"/>
                <w:highlight w:val="none"/>
              </w:rPr>
              <w:t>21</w:t>
            </w:r>
          </w:p>
        </w:tc>
        <w:tc>
          <w:tcPr>
            <w:tcW w:w="1920" w:type="dxa"/>
            <w:vAlign w:val="center"/>
          </w:tcPr>
          <w:p>
            <w:pPr>
              <w:jc w:val="center"/>
              <w:rPr>
                <w:rFonts w:ascii="Arial" w:hAnsi="Arial" w:cs="Arial"/>
                <w:color w:val="auto"/>
                <w:szCs w:val="21"/>
                <w:highlight w:val="none"/>
              </w:rPr>
            </w:pPr>
            <w:r>
              <w:rPr>
                <w:rFonts w:hint="eastAsia" w:ascii="宋体" w:hAnsi="宋体"/>
                <w:color w:val="auto"/>
                <w:szCs w:val="21"/>
                <w:highlight w:val="none"/>
              </w:rPr>
              <w:t>竞争性磋商响应文件递交方式及截止时间</w:t>
            </w:r>
          </w:p>
        </w:tc>
        <w:tc>
          <w:tcPr>
            <w:tcW w:w="6530" w:type="dxa"/>
            <w:vAlign w:val="center"/>
          </w:tcPr>
          <w:p>
            <w:pPr>
              <w:rPr>
                <w:rFonts w:ascii="Arial" w:hAnsi="Arial" w:cs="Arial"/>
                <w:b/>
                <w:color w:val="auto"/>
                <w:szCs w:val="21"/>
                <w:highlight w:val="none"/>
              </w:rPr>
            </w:pPr>
            <w:r>
              <w:rPr>
                <w:rFonts w:hint="eastAsia" w:ascii="宋体" w:hAnsi="宋体"/>
                <w:color w:val="auto"/>
                <w:szCs w:val="21"/>
                <w:highlight w:val="none"/>
              </w:rPr>
              <w:t>竞争性磋商响应文件递交方式：</w:t>
            </w:r>
            <w:r>
              <w:rPr>
                <w:rFonts w:hint="eastAsia" w:ascii="宋体" w:hAnsi="宋体" w:cs="Arial"/>
                <w:color w:val="auto"/>
                <w:szCs w:val="21"/>
                <w:highlight w:val="none"/>
                <w:u w:val="single"/>
              </w:rPr>
              <w:t>通过“政府采购云平台</w:t>
            </w:r>
            <w:r>
              <w:rPr>
                <w:rFonts w:ascii="宋体" w:hAnsi="宋体" w:cs="Arial"/>
                <w:color w:val="auto"/>
                <w:szCs w:val="21"/>
                <w:highlight w:val="none"/>
                <w:u w:val="single"/>
              </w:rPr>
              <w:t>”</w:t>
            </w:r>
            <w:r>
              <w:rPr>
                <w:rFonts w:hint="eastAsia" w:ascii="宋体" w:hAnsi="宋体" w:cs="Arial"/>
                <w:color w:val="auto"/>
                <w:szCs w:val="21"/>
                <w:highlight w:val="none"/>
                <w:u w:val="single"/>
              </w:rPr>
              <w:t>实行在线投标响应</w:t>
            </w:r>
            <w:r>
              <w:rPr>
                <w:rFonts w:hint="eastAsia" w:ascii="Arial" w:hAnsi="Arial" w:cs="Arial"/>
                <w:color w:val="auto"/>
                <w:szCs w:val="21"/>
                <w:highlight w:val="none"/>
              </w:rPr>
              <w:t>。截止上传时间：</w:t>
            </w:r>
            <w:r>
              <w:rPr>
                <w:rFonts w:hint="eastAsia" w:cs="Arial"/>
                <w:color w:val="auto"/>
                <w:highlight w:val="none"/>
                <w:lang w:eastAsia="zh-CN"/>
              </w:rPr>
              <w:t>2025年6月30日14:00 时</w:t>
            </w:r>
            <w:r>
              <w:rPr>
                <w:rFonts w:hint="eastAsia" w:cs="Arial"/>
                <w:color w:val="auto"/>
                <w:highlight w:val="none"/>
              </w:rPr>
              <w:t>（北京时间）</w:t>
            </w:r>
          </w:p>
          <w:p>
            <w:pPr>
              <w:rPr>
                <w:color w:val="auto"/>
                <w:szCs w:val="21"/>
                <w:highlight w:val="none"/>
              </w:rPr>
            </w:pPr>
            <w:r>
              <w:rPr>
                <w:rFonts w:hint="eastAsia"/>
                <w:color w:val="auto"/>
                <w:szCs w:val="21"/>
                <w:highlight w:val="none"/>
              </w:rPr>
              <w:t>“电子加密投标文件”的上传、递交：</w:t>
            </w:r>
          </w:p>
          <w:p>
            <w:pPr>
              <w:rPr>
                <w:color w:val="auto"/>
                <w:szCs w:val="21"/>
                <w:highlight w:val="none"/>
              </w:rPr>
            </w:pPr>
            <w:r>
              <w:rPr>
                <w:color w:val="auto"/>
                <w:szCs w:val="21"/>
                <w:highlight w:val="none"/>
              </w:rPr>
              <w:t>（1）</w:t>
            </w:r>
            <w:r>
              <w:rPr>
                <w:rFonts w:hint="eastAsia"/>
                <w:color w:val="auto"/>
                <w:szCs w:val="21"/>
                <w:highlight w:val="none"/>
              </w:rPr>
              <w:t>投标供应商应在投标截止时间前将“电子加密投标文件”成功上传递交至“政府采购云平台”，否则投标无效。</w:t>
            </w:r>
          </w:p>
          <w:p>
            <w:pPr>
              <w:rPr>
                <w:rFonts w:ascii="Arial" w:hAnsi="Arial" w:cs="Arial"/>
                <w:b/>
                <w:color w:val="auto"/>
                <w:szCs w:val="21"/>
                <w:highlight w:val="none"/>
              </w:rPr>
            </w:pPr>
            <w:r>
              <w:rPr>
                <w:color w:val="auto"/>
                <w:szCs w:val="21"/>
                <w:highlight w:val="none"/>
              </w:rPr>
              <w:t>（2）</w:t>
            </w:r>
            <w:r>
              <w:rPr>
                <w:rFonts w:hint="eastAsia"/>
                <w:color w:val="auto"/>
                <w:szCs w:val="21"/>
                <w:highlight w:val="none"/>
              </w:rPr>
              <w:t>“电子加密投标文件”成功上传递交后，供应商可自行打印投标文件接收回执。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45" w:type="dxa"/>
            <w:vAlign w:val="center"/>
          </w:tcPr>
          <w:p>
            <w:pPr>
              <w:jc w:val="center"/>
              <w:rPr>
                <w:rFonts w:ascii="Arial" w:hAnsi="Arial" w:cs="Arial"/>
                <w:color w:val="auto"/>
                <w:szCs w:val="21"/>
                <w:highlight w:val="none"/>
              </w:rPr>
            </w:pPr>
            <w:r>
              <w:rPr>
                <w:rFonts w:hint="eastAsia" w:ascii="Arial" w:hAnsi="Arial" w:cs="Arial"/>
                <w:color w:val="auto"/>
                <w:szCs w:val="21"/>
                <w:highlight w:val="none"/>
              </w:rPr>
              <w:t>22</w:t>
            </w:r>
          </w:p>
        </w:tc>
        <w:tc>
          <w:tcPr>
            <w:tcW w:w="1920" w:type="dxa"/>
            <w:vAlign w:val="center"/>
          </w:tcPr>
          <w:p>
            <w:pPr>
              <w:jc w:val="center"/>
              <w:rPr>
                <w:rFonts w:ascii="Arial" w:hAnsi="Arial" w:cs="Arial"/>
                <w:color w:val="auto"/>
                <w:szCs w:val="21"/>
                <w:highlight w:val="none"/>
              </w:rPr>
            </w:pPr>
            <w:r>
              <w:rPr>
                <w:rFonts w:ascii="Arial" w:hAnsi="Arial" w:cs="Arial"/>
                <w:color w:val="auto"/>
                <w:szCs w:val="21"/>
                <w:highlight w:val="none"/>
              </w:rPr>
              <w:t>竞争性磋商开始时间</w:t>
            </w:r>
          </w:p>
          <w:p>
            <w:pPr>
              <w:jc w:val="center"/>
              <w:rPr>
                <w:rFonts w:ascii="Arial" w:hAnsi="Arial" w:cs="Arial"/>
                <w:color w:val="auto"/>
                <w:szCs w:val="21"/>
                <w:highlight w:val="none"/>
              </w:rPr>
            </w:pPr>
            <w:r>
              <w:rPr>
                <w:rFonts w:ascii="Arial" w:hAnsi="Arial" w:cs="Arial"/>
                <w:color w:val="auto"/>
                <w:szCs w:val="21"/>
                <w:highlight w:val="none"/>
              </w:rPr>
              <w:t>竞争性磋商地点</w:t>
            </w:r>
          </w:p>
        </w:tc>
        <w:tc>
          <w:tcPr>
            <w:tcW w:w="6530" w:type="dxa"/>
            <w:vAlign w:val="center"/>
          </w:tcPr>
          <w:p>
            <w:pPr>
              <w:rPr>
                <w:rFonts w:ascii="Arial" w:hAnsi="Arial" w:cs="Arial"/>
                <w:color w:val="auto"/>
                <w:szCs w:val="21"/>
                <w:highlight w:val="none"/>
              </w:rPr>
            </w:pPr>
            <w:r>
              <w:rPr>
                <w:rFonts w:ascii="Arial" w:hAnsi="Arial" w:cs="Arial"/>
                <w:color w:val="auto"/>
                <w:szCs w:val="21"/>
                <w:highlight w:val="none"/>
              </w:rPr>
              <w:t>竞争性磋商开始时间：</w:t>
            </w:r>
            <w:r>
              <w:rPr>
                <w:rFonts w:hint="eastAsia" w:cs="Arial"/>
                <w:color w:val="auto"/>
                <w:highlight w:val="none"/>
                <w:lang w:eastAsia="zh-CN"/>
              </w:rPr>
              <w:t>2025年6月30日14:00 时</w:t>
            </w:r>
            <w:r>
              <w:rPr>
                <w:rFonts w:hint="eastAsia" w:cs="Arial"/>
                <w:color w:val="auto"/>
                <w:highlight w:val="none"/>
              </w:rPr>
              <w:t>（北京时间）</w:t>
            </w:r>
          </w:p>
          <w:p>
            <w:pPr>
              <w:rPr>
                <w:rFonts w:ascii="Arial" w:hAnsi="Arial" w:cs="Arial"/>
                <w:color w:val="auto"/>
                <w:szCs w:val="21"/>
                <w:highlight w:val="none"/>
              </w:rPr>
            </w:pPr>
            <w:r>
              <w:rPr>
                <w:rFonts w:hint="eastAsia" w:ascii="宋体" w:hAnsi="宋体" w:eastAsia="宋体" w:cs="宋体"/>
                <w:color w:val="auto"/>
                <w:sz w:val="21"/>
                <w:szCs w:val="21"/>
                <w:highlight w:val="none"/>
              </w:rPr>
              <w:t>竞争性磋商地点：浙江均和工程管理有限公司</w:t>
            </w:r>
            <w:r>
              <w:rPr>
                <w:rFonts w:hint="eastAsia" w:eastAsia="宋体" w:cs="宋体"/>
                <w:color w:val="auto"/>
                <w:sz w:val="21"/>
                <w:szCs w:val="21"/>
                <w:highlight w:val="none"/>
                <w:lang w:val="en-US" w:eastAsia="zh-CN"/>
              </w:rPr>
              <w:t>1801</w:t>
            </w:r>
            <w:r>
              <w:rPr>
                <w:rFonts w:hint="eastAsia" w:ascii="宋体" w:hAnsi="宋体" w:eastAsia="宋体" w:cs="宋体"/>
                <w:color w:val="auto"/>
                <w:sz w:val="21"/>
                <w:szCs w:val="21"/>
                <w:highlight w:val="none"/>
              </w:rPr>
              <w:t>评标室（海盐县武原街道银都科技大厦</w:t>
            </w:r>
            <w:r>
              <w:rPr>
                <w:rFonts w:hint="eastAsia" w:eastAsia="宋体" w:cs="宋体"/>
                <w:color w:val="auto"/>
                <w:sz w:val="21"/>
                <w:szCs w:val="21"/>
                <w:highlight w:val="none"/>
                <w:lang w:val="en-US" w:eastAsia="zh-CN"/>
              </w:rPr>
              <w:t>1</w:t>
            </w:r>
            <w:r>
              <w:rPr>
                <w:rFonts w:hint="eastAsia" w:ascii="宋体" w:hAnsi="宋体" w:eastAsia="宋体" w:cs="宋体"/>
                <w:color w:val="auto"/>
                <w:sz w:val="21"/>
                <w:szCs w:val="21"/>
                <w:highlight w:val="none"/>
              </w:rPr>
              <w:t>8楼）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2" w:hRule="atLeast"/>
          <w:jc w:val="center"/>
        </w:trPr>
        <w:tc>
          <w:tcPr>
            <w:tcW w:w="645" w:type="dxa"/>
            <w:vAlign w:val="center"/>
          </w:tcPr>
          <w:p>
            <w:pPr>
              <w:jc w:val="center"/>
              <w:rPr>
                <w:rFonts w:ascii="Arial" w:hAnsi="Arial" w:cs="Arial"/>
                <w:color w:val="auto"/>
                <w:szCs w:val="21"/>
                <w:highlight w:val="none"/>
              </w:rPr>
            </w:pPr>
            <w:r>
              <w:rPr>
                <w:rFonts w:ascii="Arial" w:hAnsi="Arial" w:cs="Arial"/>
                <w:color w:val="auto"/>
                <w:szCs w:val="21"/>
                <w:highlight w:val="none"/>
              </w:rPr>
              <w:t>2</w:t>
            </w:r>
            <w:r>
              <w:rPr>
                <w:rFonts w:hint="eastAsia" w:ascii="Arial" w:hAnsi="Arial" w:cs="Arial"/>
                <w:color w:val="auto"/>
                <w:szCs w:val="21"/>
                <w:highlight w:val="none"/>
              </w:rPr>
              <w:t>3</w:t>
            </w:r>
          </w:p>
        </w:tc>
        <w:tc>
          <w:tcPr>
            <w:tcW w:w="1920" w:type="dxa"/>
            <w:vAlign w:val="center"/>
          </w:tcPr>
          <w:p>
            <w:pPr>
              <w:jc w:val="center"/>
              <w:rPr>
                <w:rFonts w:ascii="Arial" w:hAnsi="Arial" w:cs="Arial"/>
                <w:color w:val="auto"/>
                <w:szCs w:val="21"/>
                <w:highlight w:val="none"/>
              </w:rPr>
            </w:pPr>
            <w:r>
              <w:rPr>
                <w:rFonts w:ascii="Arial" w:hAnsi="Arial" w:cs="Arial"/>
                <w:color w:val="auto"/>
                <w:szCs w:val="21"/>
                <w:highlight w:val="none"/>
              </w:rPr>
              <w:t>竞争性磋商</w:t>
            </w:r>
          </w:p>
          <w:p>
            <w:pPr>
              <w:jc w:val="center"/>
              <w:rPr>
                <w:rFonts w:ascii="Arial" w:hAnsi="Arial" w:cs="Arial"/>
                <w:color w:val="auto"/>
                <w:szCs w:val="21"/>
                <w:highlight w:val="none"/>
              </w:rPr>
            </w:pPr>
            <w:r>
              <w:rPr>
                <w:rFonts w:ascii="Arial" w:hAnsi="Arial" w:cs="Arial"/>
                <w:color w:val="auto"/>
                <w:szCs w:val="21"/>
                <w:highlight w:val="none"/>
              </w:rPr>
              <w:t>开标程序</w:t>
            </w:r>
          </w:p>
        </w:tc>
        <w:tc>
          <w:tcPr>
            <w:tcW w:w="6530" w:type="dxa"/>
            <w:vAlign w:val="center"/>
          </w:tcPr>
          <w:p>
            <w:pPr>
              <w:rPr>
                <w:rFonts w:hint="eastAsia" w:ascii="宋体" w:hAnsi="宋体" w:eastAsia="宋体" w:cs="宋体"/>
                <w:color w:val="auto"/>
                <w:sz w:val="21"/>
                <w:szCs w:val="21"/>
                <w:highlight w:val="none"/>
              </w:rPr>
            </w:pPr>
            <w:r>
              <w:rPr>
                <w:rFonts w:hint="eastAsia"/>
                <w:color w:val="auto"/>
                <w:szCs w:val="21"/>
                <w:highlight w:val="none"/>
              </w:rPr>
              <w:t>（</w:t>
            </w:r>
            <w:r>
              <w:rPr>
                <w:rFonts w:hint="eastAsia" w:ascii="宋体" w:hAnsi="宋体" w:eastAsia="宋体" w:cs="宋体"/>
                <w:color w:val="auto"/>
                <w:sz w:val="21"/>
                <w:szCs w:val="21"/>
                <w:highlight w:val="none"/>
              </w:rPr>
              <w:t>1）开标后，采购组织机构将向各投标供应商发出“电子加密投标文件”的解密通知，各投标供应商代表应当在接到解密通知后30分钟内自行完成“电子加密投标文件”的在线解密。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通过“政府采购云平台”成功上传递交的“电子加密投标文件”无法按时解密，投标供应商如按规定递交了“备份投标文件存储的数据电文”的，以“备份投标文件存储的数据电文”为依据（由采购组织机构按“政府采购云平台”操作规范将“备份投标文件.bfbs”上传至“政府采购云平台”，上传成功后，“电子加密投标文件”自动失效），否则视为投标文件撤回。</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（3）投标截止时间前，投标供应商仅递交了“备份投标文件”而未将电子加密投标文件上传至“政府采购云平台”的，投标无效。</w:t>
            </w:r>
          </w:p>
          <w:p>
            <w:pPr>
              <w:rPr>
                <w:rFonts w:ascii="Arial" w:hAnsi="Arial" w:cs="Arial"/>
                <w:color w:val="auto"/>
                <w:szCs w:val="21"/>
                <w:highlight w:val="none"/>
              </w:rPr>
            </w:pPr>
            <w:r>
              <w:rPr>
                <w:rFonts w:hint="eastAsia" w:ascii="宋体" w:hAnsi="宋体" w:eastAsia="宋体" w:cs="宋体"/>
                <w:color w:val="auto"/>
                <w:sz w:val="21"/>
                <w:szCs w:val="21"/>
                <w:highlight w:val="none"/>
              </w:rPr>
              <w:t>（4）投标截止时间前，投标供应商未递交“备份投标文件”而将电子加密投标文件上传至“政府采购云平台”并成功解密的，投标有效。（</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color w:val="auto"/>
                <w:sz w:val="21"/>
                <w:szCs w:val="21"/>
                <w:highlight w:val="none"/>
              </w:rPr>
              <w:t>“备份投标文件.bfbs”在投标截止时间前发送至邮箱408215539@qq.com。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02" w:hRule="atLeast"/>
          <w:jc w:val="center"/>
        </w:trPr>
        <w:tc>
          <w:tcPr>
            <w:tcW w:w="645" w:type="dxa"/>
            <w:vAlign w:val="center"/>
          </w:tcPr>
          <w:p>
            <w:pPr>
              <w:jc w:val="center"/>
              <w:rPr>
                <w:rFonts w:ascii="Arial" w:hAnsi="Arial" w:cs="Arial"/>
                <w:color w:val="auto"/>
                <w:szCs w:val="21"/>
                <w:highlight w:val="none"/>
              </w:rPr>
            </w:pPr>
            <w:r>
              <w:rPr>
                <w:rFonts w:ascii="Arial" w:hAnsi="Arial" w:cs="Arial"/>
                <w:color w:val="auto"/>
                <w:szCs w:val="21"/>
                <w:highlight w:val="none"/>
              </w:rPr>
              <w:t>2</w:t>
            </w:r>
            <w:r>
              <w:rPr>
                <w:rFonts w:hint="eastAsia" w:ascii="Arial" w:hAnsi="Arial" w:cs="Arial"/>
                <w:color w:val="auto"/>
                <w:szCs w:val="21"/>
                <w:highlight w:val="none"/>
              </w:rPr>
              <w:t>4</w:t>
            </w:r>
          </w:p>
        </w:tc>
        <w:tc>
          <w:tcPr>
            <w:tcW w:w="1920" w:type="dxa"/>
            <w:vAlign w:val="center"/>
          </w:tcPr>
          <w:p>
            <w:pPr>
              <w:jc w:val="center"/>
              <w:rPr>
                <w:rFonts w:ascii="Arial" w:hAnsi="Arial" w:cs="Arial"/>
                <w:color w:val="auto"/>
                <w:szCs w:val="21"/>
                <w:highlight w:val="none"/>
              </w:rPr>
            </w:pPr>
            <w:r>
              <w:rPr>
                <w:rFonts w:ascii="Arial" w:hAnsi="Arial" w:cs="Arial"/>
                <w:color w:val="auto"/>
                <w:szCs w:val="21"/>
                <w:highlight w:val="none"/>
              </w:rPr>
              <w:t>竞争性磋商小组的组建</w:t>
            </w:r>
          </w:p>
        </w:tc>
        <w:tc>
          <w:tcPr>
            <w:tcW w:w="6530" w:type="dxa"/>
            <w:vAlign w:val="center"/>
          </w:tcPr>
          <w:p>
            <w:pPr>
              <w:rPr>
                <w:rFonts w:ascii="Arial" w:hAnsi="Arial" w:cs="Arial"/>
                <w:color w:val="auto"/>
                <w:szCs w:val="21"/>
                <w:highlight w:val="none"/>
              </w:rPr>
            </w:pPr>
            <w:r>
              <w:rPr>
                <w:rFonts w:ascii="Arial" w:hAnsi="Arial" w:cs="Arial"/>
                <w:color w:val="auto"/>
                <w:szCs w:val="21"/>
                <w:highlight w:val="none"/>
              </w:rPr>
              <w:t>竞争性磋商小组的构成：由采购人代表</w:t>
            </w:r>
            <w:r>
              <w:rPr>
                <w:rFonts w:hint="eastAsia" w:ascii="Arial" w:hAnsi="Arial" w:cs="Arial"/>
                <w:color w:val="auto"/>
                <w:szCs w:val="21"/>
                <w:highlight w:val="none"/>
              </w:rPr>
              <w:t>1名</w:t>
            </w:r>
            <w:r>
              <w:rPr>
                <w:rFonts w:ascii="Arial" w:hAnsi="Arial" w:cs="Arial"/>
                <w:color w:val="auto"/>
                <w:szCs w:val="21"/>
                <w:highlight w:val="none"/>
              </w:rPr>
              <w:t>以及有关技术、经济等方面的专家2</w:t>
            </w:r>
            <w:r>
              <w:rPr>
                <w:rFonts w:hint="eastAsia" w:ascii="Arial" w:hAnsi="Arial" w:cs="Arial"/>
                <w:color w:val="auto"/>
                <w:szCs w:val="21"/>
                <w:highlight w:val="none"/>
              </w:rPr>
              <w:t>名，共</w:t>
            </w:r>
            <w:r>
              <w:rPr>
                <w:rFonts w:ascii="Arial" w:hAnsi="Arial" w:cs="Arial"/>
                <w:color w:val="auto"/>
                <w:szCs w:val="21"/>
                <w:highlight w:val="none"/>
              </w:rPr>
              <w:t>3</w:t>
            </w:r>
            <w:r>
              <w:rPr>
                <w:rFonts w:hint="eastAsia" w:ascii="Arial" w:hAnsi="Arial" w:cs="Arial"/>
                <w:color w:val="auto"/>
                <w:szCs w:val="21"/>
                <w:highlight w:val="none"/>
              </w:rPr>
              <w:t>人</w:t>
            </w:r>
            <w:r>
              <w:rPr>
                <w:rFonts w:ascii="Arial" w:hAnsi="Arial" w:cs="Arial"/>
                <w:color w:val="auto"/>
                <w:szCs w:val="21"/>
                <w:highlight w:val="none"/>
              </w:rPr>
              <w:t>组成；</w:t>
            </w:r>
          </w:p>
          <w:p>
            <w:pPr>
              <w:rPr>
                <w:rFonts w:ascii="Arial" w:hAnsi="Arial" w:cs="Arial"/>
                <w:color w:val="auto"/>
                <w:szCs w:val="21"/>
                <w:highlight w:val="none"/>
              </w:rPr>
            </w:pPr>
            <w:r>
              <w:rPr>
                <w:rFonts w:ascii="Arial" w:hAnsi="Arial" w:cs="Arial"/>
                <w:color w:val="auto"/>
                <w:szCs w:val="21"/>
                <w:highlight w:val="none"/>
              </w:rPr>
              <w:t>评审专家确定方式：按相关规定</w:t>
            </w:r>
            <w:r>
              <w:rPr>
                <w:rFonts w:hint="eastAsia" w:ascii="Arial" w:hAnsi="Arial" w:cs="Arial"/>
                <w:color w:val="auto"/>
                <w:szCs w:val="21"/>
                <w:highlight w:val="none"/>
              </w:rPr>
              <w:t>执行</w:t>
            </w:r>
            <w:r>
              <w:rPr>
                <w:rFonts w:ascii="Arial" w:hAnsi="Arial" w:cs="Arial"/>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05" w:hRule="atLeast"/>
          <w:jc w:val="center"/>
        </w:trPr>
        <w:tc>
          <w:tcPr>
            <w:tcW w:w="645" w:type="dxa"/>
            <w:vAlign w:val="center"/>
          </w:tcPr>
          <w:p>
            <w:pPr>
              <w:jc w:val="center"/>
              <w:rPr>
                <w:rFonts w:ascii="Arial" w:hAnsi="Arial" w:cs="Arial"/>
                <w:color w:val="auto"/>
                <w:szCs w:val="21"/>
                <w:highlight w:val="none"/>
              </w:rPr>
            </w:pPr>
            <w:r>
              <w:rPr>
                <w:rFonts w:ascii="Arial" w:hAnsi="Arial" w:cs="Arial"/>
                <w:color w:val="auto"/>
                <w:szCs w:val="21"/>
                <w:highlight w:val="none"/>
              </w:rPr>
              <w:t>2</w:t>
            </w:r>
            <w:r>
              <w:rPr>
                <w:rFonts w:hint="eastAsia" w:ascii="Arial" w:hAnsi="Arial" w:cs="Arial"/>
                <w:color w:val="auto"/>
                <w:szCs w:val="21"/>
                <w:highlight w:val="none"/>
              </w:rPr>
              <w:t>5</w:t>
            </w:r>
          </w:p>
        </w:tc>
        <w:tc>
          <w:tcPr>
            <w:tcW w:w="1920" w:type="dxa"/>
            <w:vAlign w:val="center"/>
          </w:tcPr>
          <w:p>
            <w:pPr>
              <w:jc w:val="center"/>
              <w:rPr>
                <w:rFonts w:ascii="Arial" w:hAnsi="Arial" w:cs="Arial"/>
                <w:color w:val="auto"/>
                <w:szCs w:val="21"/>
                <w:highlight w:val="none"/>
              </w:rPr>
            </w:pPr>
            <w:r>
              <w:rPr>
                <w:rFonts w:hint="eastAsia" w:ascii="Arial" w:hAnsi="Arial" w:cs="Arial"/>
                <w:color w:val="auto"/>
                <w:szCs w:val="21"/>
                <w:highlight w:val="none"/>
              </w:rPr>
              <w:t>质疑</w:t>
            </w:r>
          </w:p>
        </w:tc>
        <w:tc>
          <w:tcPr>
            <w:tcW w:w="6530" w:type="dxa"/>
            <w:vAlign w:val="center"/>
          </w:tcPr>
          <w:p>
            <w:pPr>
              <w:rPr>
                <w:rFonts w:ascii="Arial" w:hAnsi="Arial" w:cs="Arial"/>
                <w:color w:val="auto"/>
                <w:szCs w:val="21"/>
                <w:highlight w:val="none"/>
              </w:rPr>
            </w:pPr>
            <w:r>
              <w:rPr>
                <w:rFonts w:hint="eastAsia" w:ascii="Arial" w:hAnsi="Arial" w:cs="Arial"/>
                <w:color w:val="auto"/>
                <w:szCs w:val="21"/>
                <w:highlight w:val="none"/>
              </w:rPr>
              <w:t>供应商认为磋商文件、磋商过程和成交、成交结果使自己的权益受到损害的，可以在知道或者应知其权益受到损害之日起七个工作日内，以书面形式向采购人、采购代理机构提出质疑。</w:t>
            </w:r>
          </w:p>
          <w:p>
            <w:pPr>
              <w:rPr>
                <w:rFonts w:ascii="Arial" w:hAnsi="Arial" w:cs="Arial"/>
                <w:color w:val="auto"/>
                <w:szCs w:val="21"/>
                <w:highlight w:val="none"/>
              </w:rPr>
            </w:pPr>
            <w:r>
              <w:rPr>
                <w:rFonts w:hint="eastAsia" w:ascii="Arial" w:hAnsi="Arial" w:cs="Arial"/>
                <w:color w:val="auto"/>
                <w:szCs w:val="21"/>
                <w:highlight w:val="none"/>
              </w:rPr>
              <w:t>（一）对可以质疑的磋商文件提出质疑的，为收到磋商文件之日或者磋商文件公告期限届满之日；</w:t>
            </w:r>
          </w:p>
          <w:p>
            <w:pPr>
              <w:rPr>
                <w:rFonts w:ascii="Arial" w:hAnsi="Arial" w:cs="Arial"/>
                <w:color w:val="auto"/>
                <w:szCs w:val="21"/>
                <w:highlight w:val="none"/>
              </w:rPr>
            </w:pPr>
            <w:r>
              <w:rPr>
                <w:rFonts w:hint="eastAsia" w:ascii="Arial" w:hAnsi="Arial" w:cs="Arial"/>
                <w:color w:val="auto"/>
                <w:szCs w:val="21"/>
                <w:highlight w:val="none"/>
              </w:rPr>
              <w:t>（二）对采购过程提出质疑的，为各采购程序环节结束之日；</w:t>
            </w:r>
          </w:p>
          <w:p>
            <w:pPr>
              <w:rPr>
                <w:rFonts w:ascii="Arial" w:hAnsi="Arial" w:cs="Arial"/>
                <w:color w:val="auto"/>
                <w:szCs w:val="21"/>
                <w:highlight w:val="none"/>
              </w:rPr>
            </w:pPr>
            <w:r>
              <w:rPr>
                <w:rFonts w:hint="eastAsia" w:ascii="Arial" w:hAnsi="Arial" w:cs="Arial"/>
                <w:color w:val="auto"/>
                <w:szCs w:val="21"/>
                <w:highlight w:val="none"/>
              </w:rPr>
              <w:t>（三）对成交结果提出质疑的，为成交结果公告期限届满之日。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75"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ascii="Arial" w:hAnsi="Arial" w:cs="Arial"/>
                <w:color w:val="auto"/>
                <w:szCs w:val="21"/>
                <w:highlight w:val="none"/>
              </w:rPr>
            </w:pPr>
            <w:r>
              <w:rPr>
                <w:rFonts w:hint="eastAsia" w:ascii="Arial" w:hAnsi="Arial" w:cs="Arial"/>
                <w:color w:val="auto"/>
                <w:szCs w:val="21"/>
                <w:highlight w:val="none"/>
              </w:rPr>
              <w:t>27</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zCs w:val="21"/>
                <w:highlight w:val="none"/>
              </w:rPr>
            </w:pPr>
            <w:r>
              <w:rPr>
                <w:rFonts w:hint="eastAsia" w:ascii="Arial" w:hAnsi="Arial" w:cs="Arial"/>
                <w:color w:val="auto"/>
                <w:szCs w:val="21"/>
                <w:highlight w:val="none"/>
              </w:rPr>
              <w:t>投诉</w:t>
            </w:r>
          </w:p>
        </w:tc>
        <w:tc>
          <w:tcPr>
            <w:tcW w:w="6530" w:type="dxa"/>
            <w:tcBorders>
              <w:top w:val="single" w:color="auto" w:sz="4" w:space="0"/>
              <w:left w:val="single" w:color="auto" w:sz="4" w:space="0"/>
              <w:bottom w:val="single" w:color="auto" w:sz="4" w:space="0"/>
              <w:right w:val="single" w:color="auto" w:sz="12" w:space="0"/>
            </w:tcBorders>
            <w:vAlign w:val="center"/>
          </w:tcPr>
          <w:p>
            <w:pPr>
              <w:rPr>
                <w:rFonts w:ascii="Arial" w:hAnsi="Arial" w:cs="Arial"/>
                <w:color w:val="auto"/>
                <w:szCs w:val="21"/>
                <w:highlight w:val="none"/>
              </w:rPr>
            </w:pPr>
            <w:r>
              <w:rPr>
                <w:rFonts w:hint="eastAsia" w:ascii="Arial" w:hAnsi="Arial" w:cs="Arial"/>
                <w:color w:val="auto"/>
                <w:szCs w:val="21"/>
                <w:highlight w:val="none"/>
              </w:rPr>
              <w:t>质疑供应商对采购人、采购代理机构的答复不满意或者采购人、采购代理机构未在规定的时间内作出答复的，可以在答复期满后十五个工作日内向同级政府采购监督部门投诉。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47"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ascii="Arial" w:hAnsi="Arial" w:cs="Arial"/>
                <w:color w:val="auto"/>
                <w:szCs w:val="21"/>
                <w:highlight w:val="none"/>
              </w:rPr>
            </w:pPr>
            <w:r>
              <w:rPr>
                <w:rFonts w:hint="eastAsia" w:ascii="Arial" w:hAnsi="Arial" w:cs="Arial"/>
                <w:color w:val="auto"/>
                <w:szCs w:val="21"/>
                <w:highlight w:val="none"/>
              </w:rPr>
              <w:t>28</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zCs w:val="21"/>
                <w:highlight w:val="none"/>
              </w:rPr>
            </w:pPr>
            <w:r>
              <w:rPr>
                <w:rFonts w:hint="eastAsia" w:ascii="Arial" w:hAnsi="Arial" w:cs="Arial"/>
                <w:color w:val="auto"/>
                <w:szCs w:val="21"/>
                <w:highlight w:val="none"/>
              </w:rPr>
              <w:t>注意事项</w:t>
            </w:r>
          </w:p>
        </w:tc>
        <w:tc>
          <w:tcPr>
            <w:tcW w:w="6530" w:type="dxa"/>
            <w:tcBorders>
              <w:top w:val="single" w:color="auto" w:sz="4" w:space="0"/>
              <w:left w:val="single" w:color="auto" w:sz="4" w:space="0"/>
              <w:bottom w:val="single" w:color="auto" w:sz="4" w:space="0"/>
              <w:right w:val="single" w:color="auto" w:sz="12" w:space="0"/>
            </w:tcBorders>
            <w:vAlign w:val="center"/>
          </w:tcPr>
          <w:p>
            <w:pPr>
              <w:rPr>
                <w:rFonts w:ascii="Arial" w:hAnsi="Arial" w:cs="Arial"/>
                <w:color w:val="auto"/>
                <w:szCs w:val="21"/>
                <w:highlight w:val="none"/>
              </w:rPr>
            </w:pPr>
            <w:r>
              <w:rPr>
                <w:rFonts w:ascii="Arial" w:hAnsi="Arial" w:cs="Arial"/>
                <w:color w:val="auto"/>
                <w:szCs w:val="21"/>
                <w:highlight w:val="none"/>
              </w:rPr>
              <w:t>1.磋商供应商如发现磋商文件及其评审办法中歧视性不公正条款或违法违规等内容时，请于答疑截止日期前同时向采购人、采购代理机构反映，逾期不得再对磋商文件的条款提出质疑。</w:t>
            </w:r>
          </w:p>
          <w:p>
            <w:pPr>
              <w:rPr>
                <w:rFonts w:ascii="Arial" w:hAnsi="Arial" w:cs="Arial"/>
                <w:color w:val="auto"/>
                <w:szCs w:val="21"/>
                <w:highlight w:val="none"/>
              </w:rPr>
            </w:pPr>
            <w:r>
              <w:rPr>
                <w:rFonts w:hint="eastAsia" w:ascii="Arial" w:hAnsi="Arial" w:cs="Arial"/>
                <w:color w:val="auto"/>
                <w:szCs w:val="21"/>
                <w:highlight w:val="none"/>
              </w:rPr>
              <w:t>2．该项目成交公示期间，磋商供应商不得通过非正当途径、更不得通过非正当手段获取法律法规规定磋商小组（包括其他相关人员）应当保密的相关内容。即便由此获得资料（提供来源并经查实的例外）并作为向采购人或采购代理机构或监督管理部门提出异（质）疑或投诉或法院起诉的理由，均属于非法索取的依据。</w:t>
            </w:r>
          </w:p>
          <w:p>
            <w:pPr>
              <w:rPr>
                <w:rFonts w:ascii="Arial" w:hAnsi="Arial" w:cs="Arial"/>
                <w:color w:val="auto"/>
                <w:szCs w:val="21"/>
                <w:highlight w:val="none"/>
              </w:rPr>
            </w:pPr>
            <w:r>
              <w:rPr>
                <w:rFonts w:hint="eastAsia" w:ascii="Arial" w:hAnsi="Arial" w:cs="Arial"/>
                <w:color w:val="auto"/>
                <w:szCs w:val="21"/>
                <w:highlight w:val="none"/>
              </w:rPr>
              <w:t>3．质疑、投诉人未按前列序号第26条规定进行质疑、投诉（申诉）、举报等，均属于扰乱市场不良行为，直至公示。</w:t>
            </w:r>
          </w:p>
          <w:p>
            <w:pPr>
              <w:rPr>
                <w:rFonts w:ascii="Arial" w:hAnsi="Arial" w:cs="Arial"/>
                <w:color w:val="auto"/>
                <w:szCs w:val="21"/>
                <w:highlight w:val="none"/>
              </w:rPr>
            </w:pPr>
            <w:r>
              <w:rPr>
                <w:rFonts w:hint="eastAsia" w:ascii="Arial" w:hAnsi="Arial" w:cs="Arial"/>
                <w:color w:val="auto"/>
                <w:szCs w:val="21"/>
                <w:highlight w:val="none"/>
              </w:rPr>
              <w:t>4.磋商文件中凡标注“▲”的条款均为实质性要求，未响应的响应文件将作无效标处理。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39"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ascii="Arial" w:hAnsi="Arial" w:cs="Arial"/>
                <w:color w:val="auto"/>
                <w:szCs w:val="21"/>
                <w:highlight w:val="none"/>
              </w:rPr>
            </w:pPr>
            <w:r>
              <w:rPr>
                <w:rFonts w:hint="eastAsia" w:ascii="Arial" w:hAnsi="Arial" w:cs="Arial"/>
                <w:color w:val="auto"/>
                <w:szCs w:val="21"/>
                <w:highlight w:val="none"/>
              </w:rPr>
              <w:t>29</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zCs w:val="21"/>
                <w:highlight w:val="none"/>
              </w:rPr>
            </w:pPr>
            <w:r>
              <w:rPr>
                <w:rFonts w:hint="eastAsia" w:ascii="Arial" w:hAnsi="Arial" w:cs="Arial"/>
                <w:color w:val="auto"/>
                <w:szCs w:val="21"/>
                <w:highlight w:val="none"/>
              </w:rPr>
              <w:t>其他</w:t>
            </w:r>
          </w:p>
        </w:tc>
        <w:tc>
          <w:tcPr>
            <w:tcW w:w="6530" w:type="dxa"/>
            <w:tcBorders>
              <w:top w:val="single" w:color="auto" w:sz="4" w:space="0"/>
              <w:left w:val="single" w:color="auto" w:sz="4" w:space="0"/>
              <w:bottom w:val="single" w:color="auto" w:sz="4" w:space="0"/>
              <w:right w:val="single" w:color="auto" w:sz="12" w:space="0"/>
            </w:tcBorders>
            <w:vAlign w:val="center"/>
          </w:tcPr>
          <w:p>
            <w:pPr>
              <w:rPr>
                <w:rFonts w:ascii="Arial" w:hAnsi="Arial" w:cs="Arial"/>
                <w:color w:val="auto"/>
                <w:szCs w:val="21"/>
                <w:highlight w:val="none"/>
              </w:rPr>
            </w:pPr>
            <w:r>
              <w:rPr>
                <w:rFonts w:hint="eastAsia" w:ascii="Arial" w:hAnsi="Arial" w:cs="Arial"/>
                <w:color w:val="auto"/>
                <w:szCs w:val="21"/>
                <w:highlight w:val="none"/>
              </w:rPr>
              <w:t>是否允许采购进口产品：否。</w:t>
            </w:r>
          </w:p>
          <w:p>
            <w:pPr>
              <w:rPr>
                <w:rFonts w:ascii="Arial" w:hAnsi="Arial" w:cs="Arial"/>
                <w:color w:val="auto"/>
                <w:szCs w:val="21"/>
                <w:highlight w:val="none"/>
              </w:rPr>
            </w:pPr>
            <w:r>
              <w:rPr>
                <w:rFonts w:ascii="Arial" w:hAnsi="Arial" w:cs="Arial"/>
                <w:color w:val="auto"/>
                <w:szCs w:val="21"/>
                <w:highlight w:val="none"/>
              </w:rPr>
              <w:t>本项目不适用节能产品条款</w:t>
            </w:r>
            <w:r>
              <w:rPr>
                <w:rFonts w:hint="eastAsia" w:ascii="Arial" w:hAnsi="Arial" w:cs="Arial"/>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9"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ascii="Arial" w:hAnsi="Arial" w:cs="Arial"/>
                <w:color w:val="auto"/>
                <w:szCs w:val="21"/>
                <w:highlight w:val="none"/>
              </w:rPr>
            </w:pPr>
            <w:r>
              <w:rPr>
                <w:rFonts w:hint="eastAsia" w:ascii="Arial" w:hAnsi="Arial" w:cs="Arial"/>
                <w:color w:val="auto"/>
                <w:szCs w:val="21"/>
                <w:highlight w:val="none"/>
              </w:rPr>
              <w:t>30</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zCs w:val="21"/>
                <w:highlight w:val="none"/>
              </w:rPr>
            </w:pPr>
            <w:r>
              <w:rPr>
                <w:rFonts w:ascii="Arial" w:hAnsi="Arial" w:cs="Arial"/>
                <w:color w:val="auto"/>
                <w:szCs w:val="21"/>
                <w:highlight w:val="none"/>
              </w:rPr>
              <w:t>解释权</w:t>
            </w:r>
          </w:p>
        </w:tc>
        <w:tc>
          <w:tcPr>
            <w:tcW w:w="6530" w:type="dxa"/>
            <w:tcBorders>
              <w:top w:val="single" w:color="auto" w:sz="4" w:space="0"/>
              <w:left w:val="single" w:color="auto" w:sz="4" w:space="0"/>
              <w:bottom w:val="single" w:color="auto" w:sz="4" w:space="0"/>
              <w:right w:val="single" w:color="auto" w:sz="12" w:space="0"/>
            </w:tcBorders>
            <w:vAlign w:val="center"/>
          </w:tcPr>
          <w:p>
            <w:pPr>
              <w:rPr>
                <w:rFonts w:ascii="Arial" w:hAnsi="Arial" w:cs="Arial"/>
                <w:color w:val="auto"/>
                <w:szCs w:val="21"/>
                <w:highlight w:val="none"/>
              </w:rPr>
            </w:pPr>
            <w:r>
              <w:rPr>
                <w:rFonts w:ascii="Arial" w:hAnsi="Arial" w:cs="Arial"/>
                <w:color w:val="auto"/>
                <w:szCs w:val="21"/>
                <w:highlight w:val="none"/>
              </w:rPr>
              <w:t>构成本竞争性磋商文件的各个组成文件应互为解释，互为说明；如有不明确或不一致，构成合同文件组成内容的，以合同文件约定内容为准；仅适用于竞争性磋商阶段的约定，按采购公告、竞争性磋商供应商须知、评定办法、竞争性磋商响应文件格式的先后顺序解释；同一文件中就同一事项的约定不一致的，以逻辑顺序在后者为准；同一文件不同版本之间有不一致的，以形成时间在后者为准。按本款前述约定仍不能形成结论的，由采购组织单位负责解释。</w:t>
            </w:r>
          </w:p>
        </w:tc>
      </w:tr>
    </w:tbl>
    <w:p>
      <w:pPr>
        <w:rPr>
          <w:color w:val="auto"/>
          <w:highlight w:val="none"/>
        </w:rPr>
      </w:pPr>
    </w:p>
    <w:p>
      <w:pPr>
        <w:rPr>
          <w:color w:val="auto"/>
          <w:highlight w:val="none"/>
        </w:rPr>
      </w:pPr>
    </w:p>
    <w:p>
      <w:pPr>
        <w:pStyle w:val="4"/>
        <w:pageBreakBefore w:val="0"/>
        <w:kinsoku/>
        <w:wordWrap/>
        <w:overflowPunct/>
        <w:topLinePunct w:val="0"/>
        <w:autoSpaceDE/>
        <w:autoSpaceDN/>
        <w:bidi w:val="0"/>
        <w:spacing w:before="156" w:beforeLines="50" w:after="156" w:afterLines="50" w:line="360" w:lineRule="auto"/>
        <w:jc w:val="center"/>
        <w:textAlignment w:val="auto"/>
        <w:rPr>
          <w:rFonts w:hint="eastAsia" w:ascii="宋体" w:hAnsi="宋体" w:eastAsia="宋体" w:cs="宋体"/>
          <w:color w:val="auto"/>
          <w:sz w:val="21"/>
          <w:szCs w:val="21"/>
          <w:highlight w:val="none"/>
        </w:rPr>
      </w:pPr>
      <w:bookmarkStart w:id="4" w:name="_Toc22409"/>
      <w:bookmarkStart w:id="5" w:name="_Toc26083"/>
      <w:r>
        <w:rPr>
          <w:rFonts w:hint="eastAsia" w:ascii="宋体" w:hAnsi="宋体" w:eastAsia="宋体" w:cs="宋体"/>
          <w:color w:val="auto"/>
          <w:sz w:val="21"/>
          <w:szCs w:val="21"/>
          <w:highlight w:val="none"/>
        </w:rPr>
        <w:t>（二）总则</w:t>
      </w:r>
      <w:bookmarkEnd w:id="4"/>
    </w:p>
    <w:p>
      <w:pPr>
        <w:pageBreakBefore w:val="0"/>
        <w:numPr>
          <w:ilvl w:val="0"/>
          <w:numId w:val="3"/>
        </w:numPr>
        <w:kinsoku/>
        <w:wordWrap/>
        <w:overflowPunct/>
        <w:topLinePunct w:val="0"/>
        <w:autoSpaceDE/>
        <w:autoSpaceDN/>
        <w:bidi w:val="0"/>
        <w:snapToGrid w:val="0"/>
        <w:spacing w:line="360" w:lineRule="auto"/>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p>
      <w:pPr>
        <w:pageBreakBefore w:val="0"/>
        <w:numPr>
          <w:ilvl w:val="1"/>
          <w:numId w:val="3"/>
        </w:numPr>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本次竞争性磋商工作是按照《中华人民共和国政府采购法》、浙江省及项目所在地的有关政府采购规定，结合本项目的实际，组织和实施。</w:t>
      </w:r>
    </w:p>
    <w:p>
      <w:pPr>
        <w:pageBreakBefore w:val="0"/>
        <w:numPr>
          <w:ilvl w:val="1"/>
          <w:numId w:val="3"/>
        </w:numPr>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资金来源：已落实。</w:t>
      </w:r>
    </w:p>
    <w:p>
      <w:pPr>
        <w:pageBreakBefore w:val="0"/>
        <w:numPr>
          <w:ilvl w:val="0"/>
          <w:numId w:val="3"/>
        </w:numPr>
        <w:kinsoku/>
        <w:wordWrap/>
        <w:overflowPunct/>
        <w:topLinePunct w:val="0"/>
        <w:autoSpaceDE/>
        <w:autoSpaceDN/>
        <w:bidi w:val="0"/>
        <w:snapToGrid w:val="0"/>
        <w:spacing w:line="360" w:lineRule="auto"/>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定义及解释</w:t>
      </w:r>
    </w:p>
    <w:p>
      <w:pPr>
        <w:pageBreakBefore w:val="0"/>
        <w:numPr>
          <w:ilvl w:val="1"/>
          <w:numId w:val="3"/>
        </w:numPr>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eastAsia="zh-CN"/>
        </w:rPr>
        <w:t>海盐县自然资源和规划局</w:t>
      </w:r>
      <w:r>
        <w:rPr>
          <w:rFonts w:hint="eastAsia" w:ascii="宋体" w:hAnsi="宋体" w:eastAsia="宋体" w:cs="宋体"/>
          <w:color w:val="auto"/>
          <w:sz w:val="21"/>
          <w:szCs w:val="21"/>
          <w:highlight w:val="none"/>
        </w:rPr>
        <w:t>；</w:t>
      </w:r>
    </w:p>
    <w:p>
      <w:pPr>
        <w:pageBreakBefore w:val="0"/>
        <w:numPr>
          <w:ilvl w:val="1"/>
          <w:numId w:val="3"/>
        </w:numPr>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采购代理机构：浙江均和工程管理有限公司；</w:t>
      </w:r>
    </w:p>
    <w:p>
      <w:pPr>
        <w:pageBreakBefore w:val="0"/>
        <w:numPr>
          <w:ilvl w:val="1"/>
          <w:numId w:val="3"/>
        </w:numPr>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竞争性磋商供应商：竞争性磋商供应商是响应采购、参加竞争性磋商竞争的依法成立的供应商；</w:t>
      </w:r>
    </w:p>
    <w:p>
      <w:pPr>
        <w:pageBreakBefore w:val="0"/>
        <w:numPr>
          <w:ilvl w:val="1"/>
          <w:numId w:val="3"/>
        </w:numPr>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成交供应商：系指在本次竞争性磋商中成交的竞争性磋商供应商；</w:t>
      </w:r>
    </w:p>
    <w:p>
      <w:pPr>
        <w:pageBreakBefore w:val="0"/>
        <w:numPr>
          <w:ilvl w:val="1"/>
          <w:numId w:val="3"/>
        </w:numPr>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竞争性磋商小组：竞争性磋商小组是依《政府采购法》组建的专门负责采购评审工作的临时性机构；</w:t>
      </w:r>
    </w:p>
    <w:p>
      <w:pPr>
        <w:pageBreakBefore w:val="0"/>
        <w:numPr>
          <w:ilvl w:val="1"/>
          <w:numId w:val="3"/>
        </w:numPr>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日期：指公历日；</w:t>
      </w:r>
    </w:p>
    <w:p>
      <w:pPr>
        <w:pageBreakBefore w:val="0"/>
        <w:numPr>
          <w:ilvl w:val="1"/>
          <w:numId w:val="3"/>
        </w:numPr>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合同：指由采购所产生的合同或合约文件；</w:t>
      </w:r>
    </w:p>
    <w:p>
      <w:pPr>
        <w:pageBreakBefore w:val="0"/>
        <w:numPr>
          <w:ilvl w:val="1"/>
          <w:numId w:val="3"/>
        </w:numPr>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“书面形式”是指任何手写的、打印的或印刷的文件，包括电报和传真发送。</w:t>
      </w:r>
    </w:p>
    <w:p>
      <w:pPr>
        <w:pageBreakBefore w:val="0"/>
        <w:numPr>
          <w:ilvl w:val="0"/>
          <w:numId w:val="3"/>
        </w:numPr>
        <w:kinsoku/>
        <w:wordWrap/>
        <w:overflowPunct/>
        <w:topLinePunct w:val="0"/>
        <w:autoSpaceDE/>
        <w:autoSpaceDN/>
        <w:bidi w:val="0"/>
        <w:snapToGrid w:val="0"/>
        <w:spacing w:line="360" w:lineRule="auto"/>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合格的竞争性磋商供应商</w:t>
      </w:r>
    </w:p>
    <w:p>
      <w:pPr>
        <w:pageBreakBefore w:val="0"/>
        <w:numPr>
          <w:ilvl w:val="1"/>
          <w:numId w:val="3"/>
        </w:numPr>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pPr>
        <w:pageBreakBefore w:val="0"/>
        <w:numPr>
          <w:ilvl w:val="1"/>
          <w:numId w:val="3"/>
        </w:numPr>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落实政府采购政策需满足的资格要求：</w:t>
      </w:r>
      <w:r>
        <w:rPr>
          <w:rFonts w:hint="eastAsia" w:ascii="Times New Roman" w:hAnsi="Times New Roman" w:cs="Arial"/>
          <w:color w:val="auto"/>
          <w:kern w:val="0"/>
          <w:highlight w:val="none"/>
        </w:rPr>
        <w:t>供</w:t>
      </w:r>
      <w:r>
        <w:rPr>
          <w:rFonts w:hint="eastAsia" w:ascii="Times New Roman" w:hAnsi="Times New Roman" w:eastAsia="宋体" w:cs="Arial"/>
          <w:color w:val="auto"/>
          <w:kern w:val="0"/>
          <w:highlight w:val="none"/>
        </w:rPr>
        <w:t>应商为中小企业/小微企业</w:t>
      </w:r>
      <w:r>
        <w:rPr>
          <w:rFonts w:hint="eastAsia" w:ascii="Times New Roman" w:hAnsi="Times New Roman" w:eastAsia="宋体" w:cs="Arial"/>
          <w:color w:val="auto"/>
          <w:kern w:val="0"/>
          <w:highlight w:val="none"/>
          <w:lang w:eastAsia="zh-CN"/>
        </w:rPr>
        <w:t>（</w:t>
      </w:r>
      <w:r>
        <w:rPr>
          <w:rFonts w:hint="eastAsia" w:ascii="Times New Roman" w:hAnsi="Times New Roman" w:eastAsia="宋体" w:cs="Arial"/>
          <w:color w:val="auto"/>
          <w:kern w:val="0"/>
          <w:highlight w:val="none"/>
        </w:rPr>
        <w:t>监狱企业、残疾人福利性单位视同为小微企业</w:t>
      </w:r>
      <w:r>
        <w:rPr>
          <w:rFonts w:hint="eastAsia" w:ascii="Times New Roman" w:hAnsi="Times New Roman" w:eastAsia="宋体" w:cs="Arial"/>
          <w:color w:val="auto"/>
          <w:kern w:val="0"/>
          <w:highlight w:val="none"/>
          <w:lang w:eastAsia="zh-CN"/>
        </w:rPr>
        <w:t>）</w:t>
      </w:r>
      <w:r>
        <w:rPr>
          <w:rFonts w:hint="eastAsia" w:ascii="宋体" w:hAnsi="宋体" w:eastAsia="宋体" w:cs="宋体"/>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left="785" w:leftChars="369" w:right="6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本项目的特定资格要求：</w:t>
      </w:r>
      <w:r>
        <w:rPr>
          <w:rFonts w:hint="eastAsia" w:ascii="Times New Roman" w:hAnsi="Times New Roman" w:cs="Arial"/>
          <w:color w:val="auto"/>
          <w:kern w:val="0"/>
          <w:highlight w:val="none"/>
        </w:rPr>
        <w:t>具有乙级（含乙级）以上测绘资质，包含工程测量、界限与不动产专业。</w:t>
      </w:r>
    </w:p>
    <w:p>
      <w:pPr>
        <w:pageBreakBefore w:val="0"/>
        <w:numPr>
          <w:ilvl w:val="0"/>
          <w:numId w:val="3"/>
        </w:numPr>
        <w:kinsoku/>
        <w:wordWrap/>
        <w:overflowPunct/>
        <w:topLinePunct w:val="0"/>
        <w:autoSpaceDE/>
        <w:autoSpaceDN/>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保密与披露事项</w:t>
      </w:r>
    </w:p>
    <w:p>
      <w:pPr>
        <w:pageBreakBefore w:val="0"/>
        <w:numPr>
          <w:ilvl w:val="1"/>
          <w:numId w:val="3"/>
        </w:numPr>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竞争性磋商供应商不得串通，以不正当的手段妨碍排挤其他竞争性磋商供应商，扰乱市场，破坏公平竞争原则。</w:t>
      </w:r>
    </w:p>
    <w:p>
      <w:pPr>
        <w:pageBreakBefore w:val="0"/>
        <w:numPr>
          <w:ilvl w:val="1"/>
          <w:numId w:val="3"/>
        </w:numPr>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竞争性磋商供应商自获取竞争性磋商文件之日起，须承诺承担本竞争性磋商项目下保密义务，不得将因本次竞争性磋商获得的信息向第三方外传。</w:t>
      </w:r>
    </w:p>
    <w:p>
      <w:pPr>
        <w:pageBreakBefore w:val="0"/>
        <w:numPr>
          <w:ilvl w:val="1"/>
          <w:numId w:val="3"/>
        </w:numPr>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采购代理机构有权将竞争性磋商供应商提供的所有资料向其他政府部门或有关的非政府机构负责评审标书的人员或与评审有关的人员披露。</w:t>
      </w:r>
    </w:p>
    <w:p>
      <w:pPr>
        <w:pageBreakBefore w:val="0"/>
        <w:numPr>
          <w:ilvl w:val="1"/>
          <w:numId w:val="3"/>
        </w:numPr>
        <w:kinsoku/>
        <w:wordWrap/>
        <w:overflowPunct/>
        <w:topLinePunct w:val="0"/>
        <w:autoSpaceDE/>
        <w:autoSpaceDN/>
        <w:bidi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采购代理机构有权在认为适当时，或在任何第三者提出要求（书面或其他方式）时，无须事先征求成交供应商同意而披露关于已订立合约的资料、成交供应商的名称及地址、成交服务的有关信息以及合约条款等。</w:t>
      </w:r>
    </w:p>
    <w:p>
      <w:pPr>
        <w:pageBreakBefore w:val="0"/>
        <w:numPr>
          <w:ilvl w:val="0"/>
          <w:numId w:val="3"/>
        </w:numPr>
        <w:kinsoku/>
        <w:wordWrap/>
        <w:overflowPunct/>
        <w:topLinePunct w:val="0"/>
        <w:autoSpaceDE/>
        <w:autoSpaceDN/>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竞争性磋商费用</w:t>
      </w:r>
    </w:p>
    <w:p>
      <w:pPr>
        <w:pageBreakBefore w:val="0"/>
        <w:numPr>
          <w:ilvl w:val="1"/>
          <w:numId w:val="3"/>
        </w:numPr>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竞争性磋商供应商应承担所有与编写和提交竞争性磋商响应文件有关的费用，不论竞争性磋商的结果如何，采购代理机构和采购人在任何情况下均无义务和责任承担这些费用。</w:t>
      </w:r>
    </w:p>
    <w:p>
      <w:pPr>
        <w:pageBreakBefore w:val="0"/>
        <w:numPr>
          <w:ilvl w:val="0"/>
          <w:numId w:val="3"/>
        </w:numPr>
        <w:kinsoku/>
        <w:wordWrap/>
        <w:overflowPunct/>
        <w:topLinePunct w:val="0"/>
        <w:autoSpaceDE/>
        <w:autoSpaceDN/>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现场踏勘：</w:t>
      </w:r>
      <w:r>
        <w:rPr>
          <w:rFonts w:hint="eastAsia" w:ascii="宋体" w:hAnsi="宋体" w:eastAsia="宋体" w:cs="宋体"/>
          <w:color w:val="auto"/>
          <w:sz w:val="21"/>
          <w:szCs w:val="21"/>
          <w:highlight w:val="none"/>
        </w:rPr>
        <w:t>/</w:t>
      </w:r>
    </w:p>
    <w:p>
      <w:pPr>
        <w:pageBreakBefore w:val="0"/>
        <w:numPr>
          <w:ilvl w:val="0"/>
          <w:numId w:val="3"/>
        </w:numPr>
        <w:kinsoku/>
        <w:wordWrap/>
        <w:overflowPunct/>
        <w:topLinePunct w:val="0"/>
        <w:autoSpaceDE/>
        <w:autoSpaceDN/>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竞争性磋商委托</w:t>
      </w:r>
    </w:p>
    <w:p>
      <w:pPr>
        <w:pageBreakBefore w:val="0"/>
        <w:kinsoku/>
        <w:wordWrap/>
        <w:overflowPunct/>
        <w:topLinePunct w:val="0"/>
        <w:autoSpaceDE/>
        <w:autoSpaceDN/>
        <w:bidi w:val="0"/>
        <w:spacing w:line="360" w:lineRule="auto"/>
        <w:ind w:left="852" w:left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如竞争性磋商供应商代表不是法定代表人，须持有《法定代表人授权委托书》。</w:t>
      </w:r>
    </w:p>
    <w:p>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p>
    <w:p>
      <w:pPr>
        <w:pStyle w:val="4"/>
        <w:pageBreakBefore w:val="0"/>
        <w:kinsoku/>
        <w:wordWrap/>
        <w:overflowPunct/>
        <w:topLinePunct w:val="0"/>
        <w:autoSpaceDE/>
        <w:autoSpaceDN/>
        <w:bidi w:val="0"/>
        <w:spacing w:before="156" w:beforeLines="50" w:after="156" w:afterLines="50" w:line="360" w:lineRule="auto"/>
        <w:jc w:val="center"/>
        <w:textAlignment w:val="auto"/>
        <w:rPr>
          <w:rFonts w:hint="eastAsia" w:ascii="宋体" w:hAnsi="宋体" w:eastAsia="宋体" w:cs="宋体"/>
          <w:color w:val="auto"/>
          <w:sz w:val="21"/>
          <w:szCs w:val="21"/>
          <w:highlight w:val="none"/>
        </w:rPr>
      </w:pPr>
      <w:bookmarkStart w:id="6" w:name="_Toc23866"/>
      <w:r>
        <w:rPr>
          <w:rFonts w:hint="eastAsia" w:ascii="宋体" w:hAnsi="宋体" w:eastAsia="宋体" w:cs="宋体"/>
          <w:color w:val="auto"/>
          <w:sz w:val="21"/>
          <w:szCs w:val="21"/>
          <w:highlight w:val="none"/>
        </w:rPr>
        <w:t>（三）竞争性磋商文件说明</w:t>
      </w:r>
      <w:bookmarkEnd w:id="6"/>
    </w:p>
    <w:p>
      <w:pPr>
        <w:pageBreakBefore w:val="0"/>
        <w:numPr>
          <w:ilvl w:val="0"/>
          <w:numId w:val="3"/>
        </w:numPr>
        <w:kinsoku/>
        <w:wordWrap/>
        <w:overflowPunct/>
        <w:topLinePunct w:val="0"/>
        <w:autoSpaceDE/>
        <w:autoSpaceDN/>
        <w:bidi w:val="0"/>
        <w:snapToGrid w:val="0"/>
        <w:spacing w:line="360" w:lineRule="auto"/>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竞争性磋商文件构成</w:t>
      </w:r>
    </w:p>
    <w:p>
      <w:pPr>
        <w:pageBreakBefore w:val="0"/>
        <w:numPr>
          <w:ilvl w:val="1"/>
          <w:numId w:val="3"/>
        </w:numPr>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竞争性磋商文件是用以阐明所需货物、服务，以及竞争性磋商、竞争性磋商程序和相应的合同条款。“竞争性磋商文件”由下述部分组成：</w:t>
      </w:r>
    </w:p>
    <w:p>
      <w:pPr>
        <w:snapToGrid w:val="0"/>
        <w:spacing w:line="360" w:lineRule="auto"/>
        <w:ind w:left="852" w:leftChars="4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第一部分  </w:t>
      </w:r>
      <w:r>
        <w:rPr>
          <w:rFonts w:hint="eastAsia" w:ascii="宋体" w:hAnsi="宋体" w:eastAsia="宋体" w:cs="宋体"/>
          <w:color w:val="auto"/>
          <w:sz w:val="21"/>
          <w:szCs w:val="21"/>
          <w:highlight w:val="none"/>
          <w:lang w:eastAsia="zh-CN"/>
        </w:rPr>
        <w:t>采购公告</w:t>
      </w:r>
      <w:r>
        <w:rPr>
          <w:rFonts w:hint="eastAsia" w:ascii="宋体" w:hAnsi="宋体" w:eastAsia="宋体" w:cs="宋体"/>
          <w:color w:val="auto"/>
          <w:sz w:val="21"/>
          <w:szCs w:val="21"/>
          <w:highlight w:val="none"/>
        </w:rPr>
        <w:t xml:space="preserve"> </w:t>
      </w:r>
    </w:p>
    <w:p>
      <w:pPr>
        <w:snapToGrid w:val="0"/>
        <w:spacing w:line="360" w:lineRule="auto"/>
        <w:ind w:left="852" w:leftChars="4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第二部分  供应商须知</w:t>
      </w:r>
    </w:p>
    <w:p>
      <w:pPr>
        <w:snapToGrid w:val="0"/>
        <w:spacing w:line="360" w:lineRule="auto"/>
        <w:ind w:left="852" w:leftChars="4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第三部分  采购需求</w:t>
      </w:r>
    </w:p>
    <w:p>
      <w:pPr>
        <w:snapToGrid w:val="0"/>
        <w:spacing w:line="360" w:lineRule="auto"/>
        <w:ind w:left="852" w:leftChars="4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第四部分  评标办法及评分标准</w:t>
      </w:r>
    </w:p>
    <w:p>
      <w:pPr>
        <w:snapToGrid w:val="0"/>
        <w:spacing w:line="360" w:lineRule="auto"/>
        <w:ind w:left="852" w:leftChars="4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第五部分  合同主要条款</w:t>
      </w:r>
    </w:p>
    <w:p>
      <w:pPr>
        <w:snapToGrid w:val="0"/>
        <w:spacing w:line="360" w:lineRule="auto"/>
        <w:ind w:left="852" w:leftChars="4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部分  竞争性磋商响应文件格式</w:t>
      </w:r>
    </w:p>
    <w:p>
      <w:pPr>
        <w:snapToGrid w:val="0"/>
        <w:spacing w:line="360" w:lineRule="auto"/>
        <w:ind w:left="852" w:leftChars="4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七</w:t>
      </w:r>
      <w:r>
        <w:rPr>
          <w:rFonts w:hint="eastAsia" w:ascii="宋体" w:hAnsi="宋体" w:eastAsia="宋体" w:cs="宋体"/>
          <w:color w:val="auto"/>
          <w:sz w:val="21"/>
          <w:szCs w:val="21"/>
          <w:highlight w:val="none"/>
        </w:rPr>
        <w:t>部分  补充通知及答疑（若有）</w:t>
      </w:r>
    </w:p>
    <w:p>
      <w:pPr>
        <w:pageBreakBefore w:val="0"/>
        <w:numPr>
          <w:ilvl w:val="1"/>
          <w:numId w:val="3"/>
        </w:numPr>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本竞争性磋商文件要求竞争性磋商供应商作出实质性响应的有关技术和商务条款，将在该条款前以“▲” 醒目标识。</w:t>
      </w:r>
    </w:p>
    <w:p>
      <w:pPr>
        <w:pageBreakBefore w:val="0"/>
        <w:numPr>
          <w:ilvl w:val="0"/>
          <w:numId w:val="3"/>
        </w:numPr>
        <w:kinsoku/>
        <w:wordWrap/>
        <w:overflowPunct/>
        <w:topLinePunct w:val="0"/>
        <w:autoSpaceDE/>
        <w:autoSpaceDN/>
        <w:bidi w:val="0"/>
        <w:snapToGrid w:val="0"/>
        <w:spacing w:line="360" w:lineRule="auto"/>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竞争性磋商文件的澄清</w:t>
      </w:r>
    </w:p>
    <w:p>
      <w:pPr>
        <w:pageBreakBefore w:val="0"/>
        <w:numPr>
          <w:ilvl w:val="1"/>
          <w:numId w:val="3"/>
        </w:numPr>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何要求对竞争性磋商文件进行澄清的竞争性磋商供应商，均应在答疑截止期规定时间以前以书面形式传真或寄送给采购代理机构，采购代理机构对答疑截止期规定时间以前收到的任何澄清要求将以书面形式予以答复，同时将书面答复以邮寄、传真或类似的方式送达所有竞争性磋商供应商，答复中包括原提出的问题，但不包括问题的来源。</w:t>
      </w:r>
    </w:p>
    <w:p>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p>
    <w:p>
      <w:pPr>
        <w:pStyle w:val="4"/>
        <w:pageBreakBefore w:val="0"/>
        <w:kinsoku/>
        <w:wordWrap/>
        <w:overflowPunct/>
        <w:topLinePunct w:val="0"/>
        <w:autoSpaceDE/>
        <w:autoSpaceDN/>
        <w:bidi w:val="0"/>
        <w:spacing w:before="156" w:beforeLines="50" w:after="156" w:afterLines="50" w:line="360" w:lineRule="auto"/>
        <w:jc w:val="center"/>
        <w:textAlignment w:val="auto"/>
        <w:rPr>
          <w:rFonts w:hint="eastAsia" w:ascii="宋体" w:hAnsi="宋体" w:eastAsia="宋体" w:cs="宋体"/>
          <w:color w:val="auto"/>
          <w:sz w:val="21"/>
          <w:szCs w:val="21"/>
          <w:highlight w:val="none"/>
        </w:rPr>
      </w:pPr>
      <w:bookmarkStart w:id="7" w:name="_Toc14490"/>
      <w:r>
        <w:rPr>
          <w:rFonts w:hint="eastAsia" w:ascii="宋体" w:hAnsi="宋体" w:eastAsia="宋体" w:cs="宋体"/>
          <w:color w:val="auto"/>
          <w:sz w:val="21"/>
          <w:szCs w:val="21"/>
          <w:highlight w:val="none"/>
        </w:rPr>
        <w:t>（四）竞争性磋商响应文件的编制</w:t>
      </w:r>
      <w:bookmarkEnd w:id="7"/>
    </w:p>
    <w:p>
      <w:pPr>
        <w:numPr>
          <w:ilvl w:val="0"/>
          <w:numId w:val="3"/>
        </w:numPr>
        <w:snapToGrid w:val="0"/>
        <w:spacing w:line="360" w:lineRule="auto"/>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竞争性磋商响应文件的说明</w:t>
      </w:r>
    </w:p>
    <w:p>
      <w:pPr>
        <w:autoSpaceDE w:val="0"/>
        <w:autoSpaceDN w:val="0"/>
        <w:adjustRightInd w:val="0"/>
        <w:snapToGrid w:val="0"/>
        <w:spacing w:line="360" w:lineRule="auto"/>
        <w:ind w:left="840" w:hanging="852" w:hangingChars="400"/>
        <w:textAlignment w:val="bottom"/>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10.1   本项目通过“政府采购云平台（www.zcygov.cn）”实行在线投标响应（电子投标）。供应商应通过“政采云电子交易客户端”，并按照本磋商文件和“政府采购云平台”的要求编制并加密磋商响应文件。</w:t>
      </w:r>
    </w:p>
    <w:p>
      <w:pPr>
        <w:autoSpaceDE w:val="0"/>
        <w:autoSpaceDN w:val="0"/>
        <w:adjustRightInd w:val="0"/>
        <w:snapToGrid w:val="0"/>
        <w:spacing w:line="360" w:lineRule="auto"/>
        <w:ind w:left="840" w:hanging="852" w:hangingChars="400"/>
        <w:textAlignment w:val="bottom"/>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10.2   磋商供应商应当按照本章节“磋商响应文件组成”规定的内容及顺序在“政采云电子交易客户端”编制磋商响应文件。</w:t>
      </w:r>
    </w:p>
    <w:p>
      <w:pPr>
        <w:autoSpaceDE w:val="0"/>
        <w:autoSpaceDN w:val="0"/>
        <w:adjustRightInd w:val="0"/>
        <w:snapToGrid w:val="0"/>
        <w:spacing w:line="360" w:lineRule="auto"/>
        <w:ind w:left="840" w:hanging="852" w:hangingChars="400"/>
        <w:textAlignment w:val="bottom"/>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10.3   《磋商响应文件》内容不完整、编排混乱导致《磋商响应文件》被误读、漏读或者查找不到相关内容的，相关责任由磋商供应商自负。</w:t>
      </w:r>
    </w:p>
    <w:p>
      <w:pPr>
        <w:autoSpaceDE w:val="0"/>
        <w:autoSpaceDN w:val="0"/>
        <w:adjustRightInd w:val="0"/>
        <w:snapToGrid w:val="0"/>
        <w:spacing w:line="360" w:lineRule="auto"/>
        <w:textAlignment w:val="bottom"/>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10.4  《磋商响应文件》因字迹潦草或表达不清所引起的后果由磋商供应商负责。</w:t>
      </w:r>
    </w:p>
    <w:p>
      <w:pPr>
        <w:autoSpaceDE w:val="0"/>
        <w:autoSpaceDN w:val="0"/>
        <w:adjustRightInd w:val="0"/>
        <w:snapToGrid w:val="0"/>
        <w:spacing w:line="360" w:lineRule="auto"/>
        <w:ind w:left="840" w:hanging="852" w:hangingChars="400"/>
        <w:textAlignment w:val="bottom"/>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10.5    磋商供应商没有按照本章节“</w:t>
      </w:r>
      <w:r>
        <w:rPr>
          <w:rFonts w:hint="eastAsia" w:ascii="宋体" w:hAnsi="宋体" w:eastAsia="宋体" w:cs="宋体"/>
          <w:b/>
          <w:bCs/>
          <w:color w:val="auto"/>
          <w:sz w:val="21"/>
          <w:szCs w:val="21"/>
          <w:highlight w:val="none"/>
        </w:rPr>
        <w:t>竞争性磋商响应文件的组成</w:t>
      </w:r>
      <w:r>
        <w:rPr>
          <w:rFonts w:hint="eastAsia" w:ascii="宋体" w:hAnsi="宋体" w:eastAsia="宋体" w:cs="宋体"/>
          <w:b/>
          <w:color w:val="auto"/>
          <w:sz w:val="21"/>
          <w:szCs w:val="21"/>
          <w:highlight w:val="none"/>
        </w:rPr>
        <w:t>”要求提供全部资料，或者没有仔细阅读磋商文件，或者没有对磋商文件在各方面的要求作出实质性响应，由此造成的一切后果由磋商供应商自行承担。</w:t>
      </w:r>
    </w:p>
    <w:p>
      <w:pPr>
        <w:pageBreakBefore w:val="0"/>
        <w:numPr>
          <w:ilvl w:val="0"/>
          <w:numId w:val="3"/>
        </w:numPr>
        <w:kinsoku/>
        <w:wordWrap/>
        <w:overflowPunct/>
        <w:topLinePunct w:val="0"/>
        <w:autoSpaceDE/>
        <w:autoSpaceDN/>
        <w:bidi w:val="0"/>
        <w:snapToGrid w:val="0"/>
        <w:spacing w:line="360" w:lineRule="auto"/>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竞争性磋商响应文件的组成</w:t>
      </w:r>
    </w:p>
    <w:p>
      <w:pPr>
        <w:pStyle w:val="11"/>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rPr>
        <w:t xml:space="preserve">       </w:t>
      </w:r>
      <w:r>
        <w:rPr>
          <w:rFonts w:hint="eastAsia" w:ascii="宋体" w:hAnsi="宋体" w:eastAsia="宋体" w:cs="宋体"/>
          <w:color w:val="auto"/>
          <w:kern w:val="0"/>
          <w:sz w:val="21"/>
          <w:szCs w:val="21"/>
          <w:highlight w:val="none"/>
        </w:rPr>
        <w:t xml:space="preserve"> 磋商文件由资格文件、商务技术文件、报价文件三部份组成。</w:t>
      </w:r>
    </w:p>
    <w:p>
      <w:pPr>
        <w:pStyle w:val="11"/>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11.1    </w:t>
      </w:r>
      <w:r>
        <w:rPr>
          <w:rFonts w:hint="eastAsia" w:ascii="宋体" w:hAnsi="宋体" w:eastAsia="宋体" w:cs="宋体"/>
          <w:color w:val="auto"/>
          <w:sz w:val="21"/>
          <w:szCs w:val="21"/>
          <w:highlight w:val="none"/>
        </w:rPr>
        <w:t>竞争性磋商供应商编写的竞争性磋商响应文件应包括下列部分：</w:t>
      </w:r>
    </w:p>
    <w:p>
      <w:pPr>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11.1.1资格文件</w:t>
      </w:r>
    </w:p>
    <w:p>
      <w:pPr>
        <w:pStyle w:val="109"/>
        <w:pageBreakBefore w:val="0"/>
        <w:numPr>
          <w:ilvl w:val="0"/>
          <w:numId w:val="4"/>
        </w:numPr>
        <w:kinsoku/>
        <w:wordWrap/>
        <w:overflowPunct/>
        <w:topLinePunct w:val="0"/>
        <w:autoSpaceDE/>
        <w:autoSpaceDN/>
        <w:bidi w:val="0"/>
        <w:snapToGrid w:val="0"/>
        <w:spacing w:line="360" w:lineRule="auto"/>
        <w:ind w:left="493"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有效的法人或者其他组织的营业执照等证明文件，自然人的身份证明</w:t>
      </w:r>
    </w:p>
    <w:p>
      <w:pPr>
        <w:pStyle w:val="109"/>
        <w:pageBreakBefore w:val="0"/>
        <w:numPr>
          <w:ilvl w:val="0"/>
          <w:numId w:val="4"/>
        </w:numPr>
        <w:kinsoku/>
        <w:wordWrap/>
        <w:overflowPunct/>
        <w:topLinePunct w:val="0"/>
        <w:autoSpaceDE/>
        <w:autoSpaceDN/>
        <w:bidi w:val="0"/>
        <w:snapToGrid w:val="0"/>
        <w:spacing w:line="360" w:lineRule="auto"/>
        <w:ind w:left="493"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符合参加政府采购活动应当具备的一般条件的承诺函</w:t>
      </w:r>
    </w:p>
    <w:p>
      <w:pPr>
        <w:pageBreakBefore w:val="0"/>
        <w:kinsoku/>
        <w:wordWrap/>
        <w:overflowPunct/>
        <w:topLinePunct w:val="0"/>
        <w:autoSpaceDE/>
        <w:autoSpaceDN/>
        <w:bidi w:val="0"/>
        <w:spacing w:line="360" w:lineRule="auto"/>
        <w:ind w:left="583" w:leftChars="174" w:hanging="213" w:hanging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keepNext w:val="0"/>
        <w:keepLines w:val="0"/>
        <w:pageBreakBefore w:val="0"/>
        <w:widowControl/>
        <w:kinsoku/>
        <w:wordWrap/>
        <w:overflowPunct/>
        <w:topLinePunct w:val="0"/>
        <w:autoSpaceDE/>
        <w:autoSpaceDN/>
        <w:bidi w:val="0"/>
        <w:adjustRightInd/>
        <w:snapToGrid/>
        <w:spacing w:line="360" w:lineRule="auto"/>
        <w:ind w:left="628" w:leftChars="195" w:right="60" w:hanging="213" w:hangingChars="10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bidi="ar-SA"/>
        </w:rPr>
        <w:t>）本项目的特定资格要求证明材料：</w:t>
      </w:r>
      <w:r>
        <w:rPr>
          <w:rFonts w:hint="eastAsia" w:ascii="Times New Roman" w:hAnsi="Times New Roman" w:cs="Arial"/>
          <w:color w:val="auto"/>
          <w:kern w:val="0"/>
          <w:highlight w:val="none"/>
        </w:rPr>
        <w:t>具有乙级（含乙级）以上测绘资质，包含工程测量、界限与不动产专业。</w:t>
      </w:r>
    </w:p>
    <w:p>
      <w:pPr>
        <w:pStyle w:val="109"/>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）法定代表人（负责人）资格证明书</w:t>
      </w:r>
    </w:p>
    <w:p>
      <w:pPr>
        <w:pStyle w:val="109"/>
        <w:pageBreakBefore w:val="0"/>
        <w:kinsoku/>
        <w:wordWrap/>
        <w:overflowPunct/>
        <w:topLinePunct w:val="0"/>
        <w:autoSpaceDE/>
        <w:autoSpaceDN/>
        <w:bidi w:val="0"/>
        <w:snapToGrid w:val="0"/>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）法定代表人（负责人）授权委托书</w:t>
      </w:r>
    </w:p>
    <w:p>
      <w:pPr>
        <w:pStyle w:val="109"/>
        <w:pageBreakBefore w:val="0"/>
        <w:kinsoku/>
        <w:wordWrap/>
        <w:overflowPunct/>
        <w:topLinePunct w:val="0"/>
        <w:autoSpaceDE/>
        <w:autoSpaceDN/>
        <w:bidi w:val="0"/>
        <w:snapToGrid w:val="0"/>
        <w:spacing w:line="360" w:lineRule="auto"/>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11.1.2商务技术文件</w:t>
      </w:r>
    </w:p>
    <w:p>
      <w:pPr>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（1）投标函</w:t>
      </w:r>
    </w:p>
    <w:p>
      <w:pPr>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（2）供应商同类业绩一览表（附合同）</w:t>
      </w:r>
    </w:p>
    <w:p>
      <w:pPr>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（3）项目实施人员一览表</w:t>
      </w:r>
    </w:p>
    <w:p>
      <w:pPr>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（4）响应表</w:t>
      </w:r>
    </w:p>
    <w:p>
      <w:pPr>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（5）技术方案</w:t>
      </w:r>
    </w:p>
    <w:p>
      <w:pPr>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（6）</w:t>
      </w:r>
      <w:r>
        <w:rPr>
          <w:rFonts w:hint="eastAsia" w:ascii="宋体" w:hAnsi="宋体" w:eastAsia="宋体" w:cs="宋体"/>
          <w:color w:val="auto"/>
          <w:sz w:val="21"/>
          <w:szCs w:val="21"/>
          <w:highlight w:val="none"/>
          <w:lang w:val="en-US" w:eastAsia="zh-CN"/>
        </w:rPr>
        <w:t>服务团队</w:t>
      </w:r>
      <w:r>
        <w:rPr>
          <w:rFonts w:hint="eastAsia" w:ascii="宋体" w:hAnsi="宋体" w:eastAsia="宋体" w:cs="宋体"/>
          <w:color w:val="auto"/>
          <w:sz w:val="21"/>
          <w:szCs w:val="21"/>
          <w:highlight w:val="none"/>
        </w:rPr>
        <w:t xml:space="preserve"> </w:t>
      </w:r>
    </w:p>
    <w:p>
      <w:pPr>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（7）与本项目实施相关的供应商各类资质证书</w:t>
      </w:r>
    </w:p>
    <w:p>
      <w:pPr>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（8）项目人员相关证书（</w:t>
      </w:r>
      <w:r>
        <w:rPr>
          <w:rFonts w:hint="eastAsia" w:ascii="宋体" w:hAnsi="宋体" w:eastAsia="宋体" w:cs="宋体"/>
          <w:color w:val="auto"/>
          <w:sz w:val="21"/>
          <w:szCs w:val="21"/>
          <w:highlight w:val="none"/>
          <w:lang w:eastAsia="zh-CN"/>
        </w:rPr>
        <w:t>提供自开标前近3个月社保缴纳凭证并加盖投标人公章</w:t>
      </w:r>
      <w:r>
        <w:rPr>
          <w:rFonts w:hint="eastAsia" w:ascii="宋体" w:hAnsi="宋体" w:eastAsia="宋体" w:cs="宋体"/>
          <w:color w:val="auto"/>
          <w:sz w:val="21"/>
          <w:szCs w:val="21"/>
          <w:highlight w:val="none"/>
        </w:rPr>
        <w:t>）</w:t>
      </w:r>
    </w:p>
    <w:p>
      <w:pPr>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（9）供应商需要说明的其他内容（未尽事宜可按评分细则部分制作）</w:t>
      </w:r>
    </w:p>
    <w:p>
      <w:pPr>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11.1.3报价文件</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26"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）开标一览表</w:t>
      </w:r>
    </w:p>
    <w:p>
      <w:pPr>
        <w:pStyle w:val="109"/>
        <w:keepNext w:val="0"/>
        <w:keepLines w:val="0"/>
        <w:pageBreakBefore w:val="0"/>
        <w:widowControl/>
        <w:kinsoku/>
        <w:wordWrap/>
        <w:overflowPunct/>
        <w:topLinePunct w:val="0"/>
        <w:autoSpaceDE/>
        <w:autoSpaceDN/>
        <w:bidi w:val="0"/>
        <w:adjustRightInd/>
        <w:snapToGrid w:val="0"/>
        <w:spacing w:line="360" w:lineRule="auto"/>
        <w:ind w:left="493" w:firstLine="0" w:firstLineChars="0"/>
        <w:textAlignment w:val="auto"/>
        <w:rPr>
          <w:rFonts w:hint="eastAsia"/>
          <w:color w:val="auto"/>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color w:val="auto"/>
          <w:sz w:val="21"/>
          <w:szCs w:val="21"/>
          <w:highlight w:val="none"/>
          <w:lang w:eastAsia="zh-CN"/>
        </w:rPr>
        <w:t>供应商为中小企业/小微企业（残疾人福利企业或监狱企业视同为小微企业）</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）供应商针对报价需要说明的其他文件和说明。</w:t>
      </w:r>
    </w:p>
    <w:p>
      <w:pPr>
        <w:pStyle w:val="17"/>
        <w:keepNext w:val="0"/>
        <w:keepLines w:val="0"/>
        <w:pageBreakBefore w:val="0"/>
        <w:kinsoku/>
        <w:wordWrap/>
        <w:overflowPunct/>
        <w:topLinePunct w:val="0"/>
        <w:autoSpaceDE/>
        <w:autoSpaceDN/>
        <w:bidi w:val="0"/>
        <w:adjustRightInd/>
        <w:spacing w:before="120" w:line="360" w:lineRule="auto"/>
        <w:ind w:left="589" w:leftChars="174" w:hanging="219" w:hangingChars="103"/>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8" w:name="_Toc16479"/>
      <w:bookmarkStart w:id="9" w:name="_Toc406402989"/>
      <w:bookmarkStart w:id="10" w:name="_Toc10628"/>
      <w:bookmarkStart w:id="11" w:name="_Toc19298"/>
      <w:bookmarkStart w:id="12" w:name="_Toc406402945"/>
      <w:r>
        <w:rPr>
          <w:rFonts w:hint="eastAsia" w:ascii="宋体" w:hAnsi="宋体" w:eastAsia="宋体" w:cs="宋体"/>
          <w:b/>
          <w:bCs/>
          <w:color w:val="auto"/>
          <w:sz w:val="21"/>
          <w:szCs w:val="21"/>
          <w:highlight w:val="none"/>
        </w:rPr>
        <w:t>▲注：法定代表人（负责人）授权委托书、投标函、</w:t>
      </w:r>
      <w:r>
        <w:rPr>
          <w:rFonts w:hint="eastAsia" w:ascii="宋体" w:hAnsi="宋体" w:eastAsia="宋体" w:cs="宋体"/>
          <w:b/>
          <w:color w:val="auto"/>
          <w:spacing w:val="-6"/>
          <w:sz w:val="21"/>
          <w:szCs w:val="21"/>
          <w:highlight w:val="none"/>
        </w:rPr>
        <w:t>承诺函、</w:t>
      </w:r>
      <w:r>
        <w:rPr>
          <w:rFonts w:hint="eastAsia" w:ascii="宋体" w:hAnsi="宋体" w:eastAsia="宋体" w:cs="宋体"/>
          <w:b/>
          <w:bCs/>
          <w:color w:val="auto"/>
          <w:sz w:val="21"/>
          <w:szCs w:val="21"/>
          <w:highlight w:val="none"/>
        </w:rPr>
        <w:t>开标一览表必须有法定代表人（负责人）或被授权人签字（或签章）并加盖单位公章。</w:t>
      </w:r>
      <w:bookmarkEnd w:id="8"/>
      <w:bookmarkEnd w:id="9"/>
      <w:bookmarkEnd w:id="10"/>
      <w:bookmarkEnd w:id="11"/>
      <w:bookmarkEnd w:id="12"/>
    </w:p>
    <w:p>
      <w:pPr>
        <w:keepNext w:val="0"/>
        <w:keepLines w:val="0"/>
        <w:pageBreakBefore w:val="0"/>
        <w:numPr>
          <w:ilvl w:val="0"/>
          <w:numId w:val="3"/>
        </w:numPr>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竞争性磋商响应格式填写说明</w:t>
      </w:r>
    </w:p>
    <w:p>
      <w:pPr>
        <w:keepNext w:val="0"/>
        <w:keepLines w:val="0"/>
        <w:pageBreakBefore w:val="0"/>
        <w:numPr>
          <w:ilvl w:val="1"/>
          <w:numId w:val="3"/>
        </w:numPr>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供应商应在认真阅读竞争性磋商文件所有内容的基础上，按照竞争性磋商文件的要求编制完整的竞争性磋商响应文件。竞争性磋商响应文件应按照竞争性磋商文件中规定的统一格式填写，严格按照规定的顺序编制目录，混乱的编排导致竞争性磋商响应文件被误读或采购代理机构查找不到有效文件是竞争性磋商供应商的风险。</w:t>
      </w:r>
    </w:p>
    <w:p>
      <w:pPr>
        <w:pageBreakBefore w:val="0"/>
        <w:numPr>
          <w:ilvl w:val="1"/>
          <w:numId w:val="3"/>
        </w:numPr>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供应商必须保证竞争性磋商响应文件所提供的全部资料真实可靠，并接受采购代理机构对其中任何资料进一步审查的要求。提供虚假证明的竞争性磋商供应商将被取消政府采购供应商资格，并在政府采购宣传媒体上予以公告。</w:t>
      </w:r>
    </w:p>
    <w:p>
      <w:pPr>
        <w:pageBreakBefore w:val="0"/>
        <w:numPr>
          <w:ilvl w:val="0"/>
          <w:numId w:val="3"/>
        </w:numPr>
        <w:kinsoku/>
        <w:wordWrap/>
        <w:overflowPunct/>
        <w:topLinePunct w:val="0"/>
        <w:autoSpaceDE/>
        <w:autoSpaceDN/>
        <w:bidi w:val="0"/>
        <w:snapToGrid w:val="0"/>
        <w:spacing w:line="360" w:lineRule="auto"/>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竞争性磋商有效期</w:t>
      </w:r>
    </w:p>
    <w:p>
      <w:pPr>
        <w:pageBreakBefore w:val="0"/>
        <w:numPr>
          <w:ilvl w:val="1"/>
          <w:numId w:val="3"/>
        </w:numPr>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▲提交竞争性磋商响应文件截止日起90天，竞争性磋商响应文件应保持有效。竞争性磋商有效期比规定期限短的将被视为非响应竞争性磋商而予以否决。</w:t>
      </w:r>
    </w:p>
    <w:p>
      <w:pPr>
        <w:pageBreakBefore w:val="0"/>
        <w:numPr>
          <w:ilvl w:val="1"/>
          <w:numId w:val="3"/>
        </w:numPr>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特殊情况下，采购代理机构可于竞争性磋商有效期满之前要求竞争性磋商供应商同意延长有效期，要求与答复均应为书面形式。</w:t>
      </w:r>
    </w:p>
    <w:p>
      <w:pPr>
        <w:autoSpaceDE w:val="0"/>
        <w:autoSpaceDN w:val="0"/>
        <w:adjustRightInd w:val="0"/>
        <w:snapToGrid w:val="0"/>
        <w:spacing w:line="360" w:lineRule="auto"/>
        <w:textAlignment w:val="bottom"/>
        <w:rPr>
          <w:rFonts w:hint="eastAsia" w:ascii="宋体" w:hAnsi="宋体" w:eastAsia="宋体" w:cs="宋体"/>
          <w:b/>
          <w:color w:val="auto"/>
          <w:sz w:val="21"/>
          <w:szCs w:val="21"/>
          <w:highlight w:val="none"/>
        </w:rPr>
      </w:pPr>
      <w:bookmarkStart w:id="13" w:name="_Toc22608"/>
      <w:r>
        <w:rPr>
          <w:rFonts w:hint="eastAsia" w:ascii="宋体" w:hAnsi="宋体" w:eastAsia="宋体" w:cs="宋体"/>
          <w:b/>
          <w:color w:val="auto"/>
          <w:sz w:val="21"/>
          <w:szCs w:val="21"/>
          <w:highlight w:val="none"/>
        </w:rPr>
        <w:t>14      磋商响应文件的签章</w:t>
      </w:r>
    </w:p>
    <w:p>
      <w:pPr>
        <w:autoSpaceDE w:val="0"/>
        <w:autoSpaceDN w:val="0"/>
        <w:adjustRightInd w:val="0"/>
        <w:snapToGrid w:val="0"/>
        <w:spacing w:line="360" w:lineRule="auto"/>
        <w:ind w:left="840" w:hanging="852" w:hangingChars="400"/>
        <w:textAlignment w:val="bottom"/>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14.1    《磋商响应文件》：根据磋商文件要求在磋商响应文件相应位置由磋商供应商法定代表人或授权代表签字（或盖章），需要加盖磋商供应商公章的采用CA电子签章。</w:t>
      </w:r>
    </w:p>
    <w:p>
      <w:pPr>
        <w:autoSpaceDE w:val="0"/>
        <w:autoSpaceDN w:val="0"/>
        <w:adjustRightInd w:val="0"/>
        <w:snapToGrid w:val="0"/>
        <w:spacing w:line="360" w:lineRule="auto"/>
        <w:ind w:left="630" w:hanging="639" w:hangingChars="300"/>
        <w:textAlignment w:val="bottom"/>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14.2   CA电子签章操作指南详见《供应商</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政府采购项目电子交易操作指南》（</w:t>
      </w:r>
      <w:r>
        <w:rPr>
          <w:rFonts w:hint="eastAsia" w:ascii="宋体" w:hAnsi="宋体" w:eastAsia="宋体" w:cs="宋体"/>
          <w:b/>
          <w:color w:val="auto"/>
          <w:sz w:val="21"/>
          <w:szCs w:val="21"/>
          <w:highlight w:val="none"/>
          <w:lang w:eastAsia="zh-CN"/>
        </w:rPr>
        <w:t>https:</w:t>
      </w:r>
      <w:r>
        <w:rPr>
          <w:rFonts w:hint="eastAsia" w:ascii="宋体" w:hAnsi="宋体" w:eastAsia="宋体" w:cs="宋体"/>
          <w:b/>
          <w:color w:val="auto"/>
          <w:sz w:val="21"/>
          <w:szCs w:val="21"/>
          <w:highlight w:val="none"/>
        </w:rPr>
        <w:t>//help.zcygov.cn/web/site_2/2018/12-28/2573.html）。</w:t>
      </w:r>
    </w:p>
    <w:p>
      <w:pPr>
        <w:autoSpaceDE w:val="0"/>
        <w:autoSpaceDN w:val="0"/>
        <w:adjustRightInd w:val="0"/>
        <w:snapToGrid w:val="0"/>
        <w:spacing w:line="360" w:lineRule="auto"/>
        <w:textAlignment w:val="bottom"/>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     磋商响应文件的形式</w:t>
      </w:r>
    </w:p>
    <w:p>
      <w:pPr>
        <w:autoSpaceDE w:val="0"/>
        <w:autoSpaceDN w:val="0"/>
        <w:adjustRightInd w:val="0"/>
        <w:snapToGrid w:val="0"/>
        <w:spacing w:line="360" w:lineRule="auto"/>
        <w:textAlignment w:val="bottom"/>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15.1   磋商响应文件的形式：见《第三章 供应商须知》；</w:t>
      </w:r>
    </w:p>
    <w:p>
      <w:pPr>
        <w:autoSpaceDE w:val="0"/>
        <w:autoSpaceDN w:val="0"/>
        <w:adjustRightInd w:val="0"/>
        <w:snapToGrid w:val="0"/>
        <w:spacing w:line="360" w:lineRule="auto"/>
        <w:ind w:left="840" w:hanging="852" w:hangingChars="400"/>
        <w:textAlignment w:val="bottom"/>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15.2   “电子加密磋商响应文件”：“电子加密磋商响应文件”是指通过“政采云电子交易客户端”完成磋商响应文件编制后生成并加密的数据电文形式的磋商响应文件。</w:t>
      </w:r>
    </w:p>
    <w:p>
      <w:pPr>
        <w:autoSpaceDE w:val="0"/>
        <w:autoSpaceDN w:val="0"/>
        <w:adjustRightInd w:val="0"/>
        <w:snapToGrid w:val="0"/>
        <w:spacing w:line="360" w:lineRule="auto"/>
        <w:textAlignment w:val="bottom"/>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15.3    磋商响应文件的份数</w:t>
      </w:r>
    </w:p>
    <w:p>
      <w:pPr>
        <w:autoSpaceDE w:val="0"/>
        <w:autoSpaceDN w:val="0"/>
        <w:adjustRightInd w:val="0"/>
        <w:snapToGrid w:val="0"/>
        <w:spacing w:line="360" w:lineRule="auto"/>
        <w:ind w:firstLine="426" w:firstLineChars="200"/>
        <w:textAlignment w:val="bottom"/>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磋商响应文件的份数：见《第三章 供应商须知》。</w:t>
      </w:r>
    </w:p>
    <w:p>
      <w:pPr>
        <w:pStyle w:val="4"/>
        <w:pageBreakBefore w:val="0"/>
        <w:kinsoku/>
        <w:wordWrap/>
        <w:overflowPunct/>
        <w:topLinePunct w:val="0"/>
        <w:autoSpaceDE/>
        <w:autoSpaceDN/>
        <w:bidi w:val="0"/>
        <w:spacing w:before="156" w:beforeLines="50" w:after="156"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（五）竞争性磋商响应文件的递交</w:t>
      </w:r>
      <w:bookmarkEnd w:id="13"/>
    </w:p>
    <w:p>
      <w:pPr>
        <w:autoSpaceDE w:val="0"/>
        <w:autoSpaceDN w:val="0"/>
        <w:adjustRightInd w:val="0"/>
        <w:snapToGrid w:val="0"/>
        <w:spacing w:line="360" w:lineRule="auto"/>
        <w:textAlignment w:val="bottom"/>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16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磋商响应文件的上传和递交</w:t>
      </w:r>
    </w:p>
    <w:p>
      <w:pPr>
        <w:autoSpaceDE w:val="0"/>
        <w:autoSpaceDN w:val="0"/>
        <w:adjustRightInd w:val="0"/>
        <w:snapToGrid w:val="0"/>
        <w:spacing w:line="360" w:lineRule="auto"/>
        <w:ind w:firstLine="426" w:firstLineChars="200"/>
        <w:textAlignment w:val="bottom"/>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“磋商响应文件”的上传、递交：见《第三章 供应商须知》。</w:t>
      </w:r>
    </w:p>
    <w:p>
      <w:pPr>
        <w:autoSpaceDE w:val="0"/>
        <w:autoSpaceDN w:val="0"/>
        <w:adjustRightInd w:val="0"/>
        <w:snapToGrid w:val="0"/>
        <w:spacing w:line="360" w:lineRule="auto"/>
        <w:textAlignment w:val="bottom"/>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16.1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“电子加密磋商响应文件”解密和异常情况处理</w:t>
      </w:r>
    </w:p>
    <w:p>
      <w:pPr>
        <w:autoSpaceDE w:val="0"/>
        <w:autoSpaceDN w:val="0"/>
        <w:adjustRightInd w:val="0"/>
        <w:snapToGrid w:val="0"/>
        <w:spacing w:line="360" w:lineRule="auto"/>
        <w:ind w:firstLine="426" w:firstLineChars="200"/>
        <w:textAlignment w:val="bottom"/>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“电子加密磋商响应文件”解密：见《第三章 供应商须知》。</w:t>
      </w:r>
    </w:p>
    <w:p>
      <w:pPr>
        <w:autoSpaceDE w:val="0"/>
        <w:autoSpaceDN w:val="0"/>
        <w:adjustRightInd w:val="0"/>
        <w:snapToGrid w:val="0"/>
        <w:spacing w:line="360" w:lineRule="auto"/>
        <w:textAlignment w:val="bottom"/>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16.2    磋商响应文件的补充、修改或撤回</w:t>
      </w:r>
      <w:r>
        <w:rPr>
          <w:rFonts w:hint="eastAsia" w:ascii="宋体" w:hAnsi="宋体" w:eastAsia="宋体" w:cs="宋体"/>
          <w:b/>
          <w:color w:val="auto"/>
          <w:sz w:val="21"/>
          <w:szCs w:val="21"/>
          <w:highlight w:val="none"/>
        </w:rPr>
        <w:tab/>
      </w:r>
    </w:p>
    <w:p>
      <w:pPr>
        <w:autoSpaceDE w:val="0"/>
        <w:autoSpaceDN w:val="0"/>
        <w:adjustRightInd w:val="0"/>
        <w:snapToGrid w:val="0"/>
        <w:spacing w:line="360" w:lineRule="auto"/>
        <w:ind w:left="840" w:hanging="852" w:hangingChars="400"/>
        <w:textAlignment w:val="bottom"/>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16.3    供应商应当在响应文件递交截止时间前完成磋商响应文件的上传、递交，并可以补充、修改或者撤回磋商响应文件。补充或者修改磋商响应文件的，应当先行撤回原文件，补充、修改后重新上传、递交。响应文件递交截止时间前未完成上传、递交的，视为撤回磋商响应文件。响应文件递交截止时间后递交的磋商响应文件，“政府采购云平台”将予以拒收。</w:t>
      </w:r>
    </w:p>
    <w:p>
      <w:pPr>
        <w:autoSpaceDE w:val="0"/>
        <w:autoSpaceDN w:val="0"/>
        <w:adjustRightInd w:val="0"/>
        <w:snapToGrid w:val="0"/>
        <w:spacing w:line="360" w:lineRule="auto"/>
        <w:textAlignment w:val="bottom"/>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16.4    响应文件递交截止时间后，磋商供应商不得撤回、修改《磋商响应文件》。</w:t>
      </w:r>
    </w:p>
    <w:p>
      <w:pPr>
        <w:autoSpaceDE w:val="0"/>
        <w:autoSpaceDN w:val="0"/>
        <w:adjustRightInd w:val="0"/>
        <w:snapToGrid w:val="0"/>
        <w:spacing w:line="360" w:lineRule="auto"/>
        <w:textAlignment w:val="bottom"/>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      磋商响应文件的备选方案</w:t>
      </w:r>
    </w:p>
    <w:p>
      <w:pPr>
        <w:autoSpaceDE w:val="0"/>
        <w:autoSpaceDN w:val="0"/>
        <w:adjustRightInd w:val="0"/>
        <w:snapToGrid w:val="0"/>
        <w:spacing w:line="360" w:lineRule="auto"/>
        <w:ind w:firstLine="852" w:firstLineChars="400"/>
        <w:textAlignment w:val="bottom"/>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磋商供应商不得递交任何的磋商备选（替代）方案，否则其磋商响应文件将作无效标处理。</w:t>
      </w:r>
    </w:p>
    <w:p>
      <w:pPr>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1"/>
          <w:szCs w:val="21"/>
          <w:highlight w:val="none"/>
        </w:rPr>
      </w:pPr>
    </w:p>
    <w:p>
      <w:pPr>
        <w:pStyle w:val="4"/>
        <w:pageBreakBefore w:val="0"/>
        <w:kinsoku/>
        <w:wordWrap/>
        <w:overflowPunct/>
        <w:topLinePunct w:val="0"/>
        <w:autoSpaceDE/>
        <w:autoSpaceDN/>
        <w:bidi w:val="0"/>
        <w:spacing w:before="156" w:beforeLines="50" w:after="156" w:afterLines="50" w:line="360" w:lineRule="auto"/>
        <w:jc w:val="center"/>
        <w:textAlignment w:val="auto"/>
        <w:rPr>
          <w:rFonts w:hint="eastAsia" w:ascii="宋体" w:hAnsi="宋体" w:eastAsia="宋体" w:cs="宋体"/>
          <w:color w:val="auto"/>
          <w:sz w:val="21"/>
          <w:szCs w:val="21"/>
          <w:highlight w:val="none"/>
        </w:rPr>
      </w:pPr>
      <w:bookmarkStart w:id="14" w:name="_Toc15906"/>
      <w:r>
        <w:rPr>
          <w:rFonts w:hint="eastAsia" w:ascii="宋体" w:hAnsi="宋体" w:eastAsia="宋体" w:cs="宋体"/>
          <w:color w:val="auto"/>
          <w:sz w:val="21"/>
          <w:szCs w:val="21"/>
          <w:highlight w:val="none"/>
        </w:rPr>
        <w:t>（六）竞争性磋商与评审</w:t>
      </w:r>
      <w:bookmarkEnd w:id="14"/>
    </w:p>
    <w:p>
      <w:pPr>
        <w:autoSpaceDE w:val="0"/>
        <w:autoSpaceDN w:val="0"/>
        <w:adjustRightInd w:val="0"/>
        <w:snapToGrid w:val="0"/>
        <w:spacing w:line="360" w:lineRule="auto"/>
        <w:textAlignment w:val="bottom"/>
        <w:rPr>
          <w:rFonts w:hint="eastAsia" w:ascii="宋体" w:hAnsi="宋体" w:eastAsia="宋体" w:cs="宋体"/>
          <w:color w:val="auto"/>
          <w:sz w:val="21"/>
          <w:szCs w:val="21"/>
          <w:highlight w:val="none"/>
        </w:rPr>
      </w:pPr>
      <w:bookmarkStart w:id="15" w:name="_Toc28285"/>
      <w:r>
        <w:rPr>
          <w:rFonts w:hint="eastAsia" w:ascii="宋体" w:hAnsi="宋体" w:eastAsia="宋体" w:cs="宋体"/>
          <w:color w:val="auto"/>
          <w:sz w:val="21"/>
          <w:szCs w:val="21"/>
          <w:highlight w:val="none"/>
        </w:rPr>
        <w:t>18      开标</w:t>
      </w:r>
    </w:p>
    <w:p>
      <w:pPr>
        <w:adjustRightInd w:val="0"/>
        <w:snapToGrid w:val="0"/>
        <w:spacing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18.1</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2"/>
          <w:sz w:val="21"/>
          <w:szCs w:val="21"/>
          <w:highlight w:val="none"/>
        </w:rPr>
        <w:t>评标组织</w:t>
      </w:r>
    </w:p>
    <w:p>
      <w:pPr>
        <w:adjustRightInd w:val="0"/>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 xml:space="preserve">    本项目评标委员会由评审专家和采购人代表，共3人单数组成。</w:t>
      </w:r>
    </w:p>
    <w:p>
      <w:pPr>
        <w:autoSpaceDE w:val="0"/>
        <w:autoSpaceDN w:val="0"/>
        <w:adjustRightInd w:val="0"/>
        <w:snapToGrid w:val="0"/>
        <w:spacing w:line="360" w:lineRule="auto"/>
        <w:ind w:left="840" w:hanging="852" w:hangingChars="400"/>
        <w:textAlignment w:val="bottom"/>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18.2    采购代理机构按磋商文件规定的时间、地点通过“政府采购云平台”组织开标、开启磋商响应文件，所有供应商均应当准时在线参加。磋商供应商因未在线参加开标而导致磋商响应文件无法按时解密等一切后果由供应商自己承担。</w:t>
      </w:r>
    </w:p>
    <w:p>
      <w:pPr>
        <w:pStyle w:val="1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      开标流程</w:t>
      </w:r>
    </w:p>
    <w:p>
      <w:pPr>
        <w:pStyle w:val="17"/>
        <w:spacing w:line="360" w:lineRule="auto"/>
        <w:ind w:left="840" w:hanging="852"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    向各磋商供应商发出电子加密磋商响应文件【开始解密】通知，由供应商按磋商文件规定的时间内自行进行磋商响应文件解密。</w:t>
      </w:r>
      <w:r>
        <w:rPr>
          <w:rFonts w:hint="eastAsia" w:ascii="宋体" w:hAnsi="宋体" w:eastAsia="宋体" w:cs="宋体"/>
          <w:b/>
          <w:color w:val="auto"/>
          <w:sz w:val="21"/>
          <w:szCs w:val="21"/>
          <w:highlight w:val="none"/>
        </w:rPr>
        <w:t>磋商供应商在规定的时间内无法完成已递交的“电子加密磋商响应文件”解密的，其磋商响应文件按拒收处理</w:t>
      </w:r>
      <w:r>
        <w:rPr>
          <w:rFonts w:hint="eastAsia" w:ascii="宋体" w:hAnsi="宋体" w:eastAsia="宋体" w:cs="宋体"/>
          <w:color w:val="auto"/>
          <w:sz w:val="21"/>
          <w:szCs w:val="21"/>
          <w:highlight w:val="none"/>
        </w:rPr>
        <w:t>。</w:t>
      </w:r>
    </w:p>
    <w:p>
      <w:pPr>
        <w:pStyle w:val="17"/>
        <w:spacing w:line="360" w:lineRule="auto"/>
        <w:ind w:left="840" w:hanging="852"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磋商响应文件解密结束，磋商小组在对磋商响应文件的有效性、完整性和响应程度进行审查时，可以要求供应商对磋商响应文件中含义不明确、同类问题表述不一致或者有明显文字和计算错误的内容等作出必要的澄清、说明或者更正。供应商的澄清、说明或者更正不得超出磋商响应文件的范围或者改变磋商响应文件的实质性内容。</w:t>
      </w:r>
    </w:p>
    <w:p>
      <w:pPr>
        <w:pStyle w:val="17"/>
        <w:spacing w:line="360" w:lineRule="auto"/>
        <w:ind w:left="840" w:hanging="852"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    磋商小组所有成员应当集中与单一供应商分别进行磋商。在磋商过程中，磋商小组可以根据磋商文件和磋商情况实质性变动招标需求中的技术、服务要求以及合同草案条款，但不得变动磋商文件中的其他内容。实质性变动的内容，须经采购人代表确认。对磋商文件作出的实质性变动是磋商文件的有效组成部分，磋商小组通知所有参加磋商的供应商。供应商应当按照磋商文件的变动情况和磋商小组的要求重新提交磋商响应文件，并由其法定代表人或授权代表签字（或盖章）并加盖公章。</w:t>
      </w:r>
      <w:r>
        <w:rPr>
          <w:rFonts w:hint="eastAsia" w:ascii="宋体" w:hAnsi="宋体" w:eastAsia="宋体" w:cs="宋体"/>
          <w:b/>
          <w:color w:val="auto"/>
          <w:sz w:val="21"/>
          <w:szCs w:val="21"/>
          <w:highlight w:val="none"/>
        </w:rPr>
        <w:t>如竞争性磋商文件所列采购内容明确不需要修改的或供应商磋商响应文件清楚明确不需要澄清的，可以不进行磋商，直接要求供应商进行最终报价</w:t>
      </w:r>
      <w:r>
        <w:rPr>
          <w:rFonts w:hint="eastAsia" w:ascii="宋体" w:hAnsi="宋体" w:eastAsia="宋体" w:cs="宋体"/>
          <w:color w:val="auto"/>
          <w:sz w:val="21"/>
          <w:szCs w:val="21"/>
          <w:highlight w:val="none"/>
        </w:rPr>
        <w:t>。</w:t>
      </w:r>
    </w:p>
    <w:p>
      <w:pPr>
        <w:pStyle w:val="17"/>
        <w:spacing w:line="360" w:lineRule="auto"/>
        <w:ind w:left="840" w:hanging="852"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19.4    磋商结束后，磋商小组应当要求所有实质性响应的磋商供应商在规定时间内提交最终报价。在规定时间内没有提交最终报价的磋商供应商，其最终报价按第一轮报价为准。</w:t>
      </w:r>
    </w:p>
    <w:p>
      <w:pPr>
        <w:pStyle w:val="1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19.5    开启所有实质性响应的磋商供应商的最终报价。</w:t>
      </w:r>
    </w:p>
    <w:p>
      <w:pPr>
        <w:pStyle w:val="1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19.6    评审结束后，公布采购结果。</w:t>
      </w:r>
    </w:p>
    <w:p>
      <w:pPr>
        <w:pStyle w:val="17"/>
        <w:spacing w:line="360" w:lineRule="auto"/>
        <w:ind w:firstLine="852" w:firstLineChars="4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特别说明：如遇“政府采购云平台”电子化开标或评审程序调整的，按调整后程序执行。</w:t>
      </w:r>
    </w:p>
    <w:p>
      <w:pPr>
        <w:pStyle w:val="1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      评审</w:t>
      </w:r>
    </w:p>
    <w:p>
      <w:pPr>
        <w:pStyle w:val="1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    评审由采购人依法组建的磋商小组负责，并独立履行下列职责：</w:t>
      </w:r>
    </w:p>
    <w:p>
      <w:pPr>
        <w:snapToGrid w:val="0"/>
        <w:spacing w:line="360" w:lineRule="auto"/>
        <w:ind w:firstLine="416"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（1）审查磋商响应文件是否符合竞争性磋商文件要求，并作出评价；</w:t>
      </w:r>
    </w:p>
    <w:p>
      <w:pPr>
        <w:snapToGrid w:val="0"/>
        <w:spacing w:line="360" w:lineRule="auto"/>
        <w:ind w:firstLine="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（2）要求供应商对磋商响应文件有关事项作出解释或者澄清；</w:t>
      </w:r>
    </w:p>
    <w:p>
      <w:pPr>
        <w:snapToGrid w:val="0"/>
        <w:spacing w:line="360" w:lineRule="auto"/>
        <w:ind w:left="819" w:leftChars="174" w:hanging="449" w:hangingChars="21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（3）按照竞争性磋商文件确定的评审办法对供应商进行排序，推荐候选供应商，将综合得分第一的供应商向采购人推荐其为成交供应商；</w:t>
      </w:r>
    </w:p>
    <w:p>
      <w:pPr>
        <w:pStyle w:val="17"/>
        <w:spacing w:line="360" w:lineRule="auto"/>
        <w:ind w:firstLine="416"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（4）向采购代理机构或者有关部门报告非法干预评审工作的行为。</w:t>
      </w:r>
    </w:p>
    <w:p>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    评审应当遵循下列工作程序：</w:t>
      </w:r>
    </w:p>
    <w:p>
      <w:pPr>
        <w:snapToGrid w:val="0"/>
        <w:spacing w:line="360" w:lineRule="auto"/>
        <w:ind w:firstLine="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（1）磋商响应文件初审。初审分为资格性检查和符合性检查。</w:t>
      </w:r>
    </w:p>
    <w:p>
      <w:pPr>
        <w:snapToGrid w:val="0"/>
        <w:spacing w:line="360" w:lineRule="auto"/>
        <w:ind w:left="840" w:hanging="852"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（2）资格性检查。依据法律法规和竞争性磋商文件的规定，对磋商响应文件中的资格证明等进行审查，以确定供应商是否具备参与磋商资格。</w:t>
      </w:r>
    </w:p>
    <w:p>
      <w:pPr>
        <w:snapToGrid w:val="0"/>
        <w:spacing w:line="360" w:lineRule="auto"/>
        <w:ind w:left="840" w:hanging="852"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（3）符合性检查。依据竞争性磋商文件的规定，从磋商响应文件的有效性、完整性和对竞争性磋商文件的响应程度进行审查，以确定是否对竞争性磋商文件的实质性要求作出响应。</w:t>
      </w:r>
    </w:p>
    <w:p>
      <w:pPr>
        <w:snapToGrid w:val="0"/>
        <w:spacing w:line="360" w:lineRule="auto"/>
        <w:ind w:left="819" w:leftChars="174" w:hanging="449" w:hangingChars="21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澄清有关问题。对磋商响应文件中含义不明确、同类问题表述不一致或者有明显文字和计算错误的内容，磋商小组可以要求供应商对磋商响应文件中含义不明确、同类问题表述不一致或者有明显文字和计算错误的内容等作出必要的澄清、说明或者更正。供应商的澄清、说明或者更正不得超出磋商响应文件的范围或者改变磋商响应文件的实质性内容。</w:t>
      </w:r>
    </w:p>
    <w:p>
      <w:pPr>
        <w:snapToGrid w:val="0"/>
        <w:spacing w:line="360" w:lineRule="auto"/>
        <w:ind w:left="819" w:leftChars="174" w:hanging="449" w:hangingChars="21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（5）比较与评价。按竞争性磋商文件中规定的评审方法和标准，对资格性检查和符合性检查合格的磋商响应文件进行商务和技术评估，综合比较与评价。</w:t>
      </w:r>
    </w:p>
    <w:p>
      <w:pPr>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20.3   本次采购，供应商的最终报价均超出采购预算的，本次采购</w:t>
      </w:r>
      <w:r>
        <w:rPr>
          <w:rFonts w:hint="eastAsia" w:ascii="宋体" w:hAnsi="宋体" w:eastAsia="宋体" w:cs="宋体"/>
          <w:b/>
          <w:bCs/>
          <w:color w:val="auto"/>
          <w:sz w:val="21"/>
          <w:szCs w:val="21"/>
          <w:highlight w:val="none"/>
          <w:lang w:eastAsia="zh-CN"/>
        </w:rPr>
        <w:t>作废</w:t>
      </w:r>
      <w:r>
        <w:rPr>
          <w:rFonts w:hint="eastAsia" w:ascii="宋体" w:hAnsi="宋体" w:eastAsia="宋体" w:cs="宋体"/>
          <w:b/>
          <w:bCs/>
          <w:color w:val="auto"/>
          <w:sz w:val="21"/>
          <w:szCs w:val="21"/>
          <w:highlight w:val="none"/>
        </w:rPr>
        <w:t>标处理。</w:t>
      </w:r>
    </w:p>
    <w:p>
      <w:pPr>
        <w:pStyle w:val="17"/>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20.4 </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供应商存在下列情况之一的，磋商响应文件按无效处理：</w:t>
      </w:r>
    </w:p>
    <w:p>
      <w:pPr>
        <w:pStyle w:val="17"/>
        <w:keepNext w:val="0"/>
        <w:keepLines w:val="0"/>
        <w:pageBreakBefore w:val="0"/>
        <w:widowControl/>
        <w:tabs>
          <w:tab w:val="left" w:pos="420"/>
        </w:tabs>
        <w:kinsoku/>
        <w:wordWrap/>
        <w:overflowPunct/>
        <w:topLinePunct w:val="0"/>
        <w:autoSpaceDE/>
        <w:autoSpaceDN/>
        <w:bidi w:val="0"/>
        <w:adjustRightInd w:val="0"/>
        <w:snapToGrid w:val="0"/>
        <w:spacing w:line="360" w:lineRule="auto"/>
        <w:ind w:firstLine="426"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（1）磋商响应文件未按磋商文件要求签署或CA电子签章的；</w:t>
      </w:r>
    </w:p>
    <w:p>
      <w:pPr>
        <w:pStyle w:val="17"/>
        <w:keepNext w:val="0"/>
        <w:keepLines w:val="0"/>
        <w:pageBreakBefore w:val="0"/>
        <w:widowControl/>
        <w:tabs>
          <w:tab w:val="left" w:pos="420"/>
        </w:tabs>
        <w:kinsoku/>
        <w:wordWrap/>
        <w:overflowPunct/>
        <w:topLinePunct w:val="0"/>
        <w:autoSpaceDE/>
        <w:autoSpaceDN/>
        <w:bidi w:val="0"/>
        <w:adjustRightInd w:val="0"/>
        <w:snapToGrid w:val="0"/>
        <w:spacing w:line="360" w:lineRule="auto"/>
        <w:ind w:firstLine="426"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2）不具备磋商文件中规定的资格要求的；</w:t>
      </w:r>
    </w:p>
    <w:p>
      <w:pPr>
        <w:pStyle w:val="17"/>
        <w:keepNext w:val="0"/>
        <w:keepLines w:val="0"/>
        <w:pageBreakBefore w:val="0"/>
        <w:widowControl/>
        <w:tabs>
          <w:tab w:val="left" w:pos="420"/>
        </w:tabs>
        <w:kinsoku/>
        <w:wordWrap/>
        <w:overflowPunct/>
        <w:topLinePunct w:val="0"/>
        <w:autoSpaceDE/>
        <w:autoSpaceDN/>
        <w:bidi w:val="0"/>
        <w:adjustRightInd w:val="0"/>
        <w:snapToGrid w:val="0"/>
        <w:spacing w:line="360" w:lineRule="auto"/>
        <w:ind w:firstLine="426"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3）最终报价超过磋商文件中规定的采购预算价；</w:t>
      </w:r>
    </w:p>
    <w:p>
      <w:pPr>
        <w:pStyle w:val="17"/>
        <w:keepNext w:val="0"/>
        <w:keepLines w:val="0"/>
        <w:pageBreakBefore w:val="0"/>
        <w:widowControl/>
        <w:tabs>
          <w:tab w:val="left" w:pos="420"/>
        </w:tabs>
        <w:kinsoku/>
        <w:wordWrap/>
        <w:overflowPunct/>
        <w:topLinePunct w:val="0"/>
        <w:autoSpaceDE/>
        <w:autoSpaceDN/>
        <w:bidi w:val="0"/>
        <w:adjustRightInd w:val="0"/>
        <w:snapToGrid w:val="0"/>
        <w:spacing w:line="360" w:lineRule="auto"/>
        <w:ind w:left="796" w:leftChars="174" w:hanging="426" w:hanging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4）对关键条文的偏离、保留或反对，例如关于付款方式、完工期（服务期）、免费质保期、适用法律法规、标准、税费等其他内容；</w:t>
      </w:r>
    </w:p>
    <w:p>
      <w:pPr>
        <w:pStyle w:val="17"/>
        <w:keepNext w:val="0"/>
        <w:keepLines w:val="0"/>
        <w:pageBreakBefore w:val="0"/>
        <w:widowControl/>
        <w:tabs>
          <w:tab w:val="left" w:pos="420"/>
        </w:tabs>
        <w:kinsoku/>
        <w:wordWrap/>
        <w:overflowPunct/>
        <w:topLinePunct w:val="0"/>
        <w:autoSpaceDE/>
        <w:autoSpaceDN/>
        <w:bidi w:val="0"/>
        <w:adjustRightInd w:val="0"/>
        <w:snapToGrid w:val="0"/>
        <w:spacing w:line="360" w:lineRule="auto"/>
        <w:ind w:firstLine="426"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5）存在串标或弄虚作假情况的；</w:t>
      </w:r>
    </w:p>
    <w:p>
      <w:pPr>
        <w:pStyle w:val="17"/>
        <w:keepNext w:val="0"/>
        <w:keepLines w:val="0"/>
        <w:pageBreakBefore w:val="0"/>
        <w:widowControl/>
        <w:tabs>
          <w:tab w:val="left" w:pos="420"/>
        </w:tabs>
        <w:kinsoku/>
        <w:wordWrap/>
        <w:overflowPunct/>
        <w:topLinePunct w:val="0"/>
        <w:autoSpaceDE/>
        <w:autoSpaceDN/>
        <w:bidi w:val="0"/>
        <w:adjustRightInd w:val="0"/>
        <w:snapToGrid w:val="0"/>
        <w:spacing w:line="360" w:lineRule="auto"/>
        <w:ind w:firstLine="426"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6）参与本项目的不同供应商单位负责人为同一人或者存在直接控股、管理关系的；</w:t>
      </w:r>
    </w:p>
    <w:p>
      <w:pPr>
        <w:pStyle w:val="17"/>
        <w:keepNext w:val="0"/>
        <w:keepLines w:val="0"/>
        <w:pageBreakBefore w:val="0"/>
        <w:widowControl/>
        <w:tabs>
          <w:tab w:val="left" w:pos="420"/>
        </w:tabs>
        <w:kinsoku/>
        <w:wordWrap/>
        <w:overflowPunct/>
        <w:topLinePunct w:val="0"/>
        <w:autoSpaceDE/>
        <w:autoSpaceDN/>
        <w:bidi w:val="0"/>
        <w:adjustRightInd w:val="0"/>
        <w:snapToGrid w:val="0"/>
        <w:spacing w:line="360" w:lineRule="auto"/>
        <w:ind w:left="1009" w:leftChars="174" w:hanging="639" w:hangingChars="3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7）在竞争性磋商文件未做任何调整的情况下，参与磋商的供应商最终报价超过其磋商响应文件中报价的；</w:t>
      </w:r>
    </w:p>
    <w:p>
      <w:pPr>
        <w:pStyle w:val="17"/>
        <w:keepNext w:val="0"/>
        <w:keepLines w:val="0"/>
        <w:pageBreakBefore w:val="0"/>
        <w:widowControl/>
        <w:tabs>
          <w:tab w:val="left" w:pos="420"/>
        </w:tabs>
        <w:kinsoku/>
        <w:wordWrap/>
        <w:overflowPunct/>
        <w:topLinePunct w:val="0"/>
        <w:autoSpaceDE/>
        <w:autoSpaceDN/>
        <w:bidi w:val="0"/>
        <w:adjustRightInd w:val="0"/>
        <w:snapToGrid w:val="0"/>
        <w:spacing w:line="360" w:lineRule="auto"/>
        <w:ind w:firstLine="426"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8）未按竞争性磋商文件要求进行报价的；</w:t>
      </w:r>
    </w:p>
    <w:p>
      <w:pPr>
        <w:pStyle w:val="17"/>
        <w:keepNext w:val="0"/>
        <w:keepLines w:val="0"/>
        <w:pageBreakBefore w:val="0"/>
        <w:widowControl/>
        <w:tabs>
          <w:tab w:val="left" w:pos="420"/>
        </w:tabs>
        <w:kinsoku/>
        <w:wordWrap/>
        <w:overflowPunct/>
        <w:topLinePunct w:val="0"/>
        <w:autoSpaceDE/>
        <w:autoSpaceDN/>
        <w:bidi w:val="0"/>
        <w:adjustRightInd w:val="0"/>
        <w:snapToGrid w:val="0"/>
        <w:spacing w:line="360" w:lineRule="auto"/>
        <w:ind w:left="796" w:leftChars="174" w:hanging="426" w:hanging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9</w:t>
      </w:r>
      <w:r>
        <w:rPr>
          <w:rFonts w:hint="eastAsia" w:ascii="宋体" w:hAnsi="宋体" w:eastAsia="宋体" w:cs="宋体"/>
          <w:b/>
          <w:color w:val="auto"/>
          <w:sz w:val="21"/>
          <w:szCs w:val="21"/>
          <w:highlight w:val="none"/>
        </w:rPr>
        <w:t>）供应商所投产品如属于政府强制采购节能产品，磋商时未提供相关产品的认证证书扫描件的；（具体品目见《关于印发节能产品政府采购品目清单的通知》（财库〔2019〕19号））</w:t>
      </w:r>
    </w:p>
    <w:p>
      <w:pPr>
        <w:keepNext w:val="0"/>
        <w:keepLines w:val="0"/>
        <w:pageBreakBefore w:val="0"/>
        <w:widowControl/>
        <w:tabs>
          <w:tab w:val="left" w:pos="420"/>
        </w:tabs>
        <w:kinsoku/>
        <w:wordWrap/>
        <w:overflowPunct/>
        <w:topLinePunct w:val="0"/>
        <w:autoSpaceDE/>
        <w:autoSpaceDN/>
        <w:bidi w:val="0"/>
        <w:adjustRightInd w:val="0"/>
        <w:snapToGrid w:val="0"/>
        <w:spacing w:line="360" w:lineRule="auto"/>
        <w:ind w:firstLine="639" w:firstLineChars="3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10</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kern w:val="2"/>
          <w:sz w:val="21"/>
          <w:szCs w:val="21"/>
          <w:highlight w:val="none"/>
          <w:lang w:val="en-US" w:eastAsia="zh-CN" w:bidi="ar-SA"/>
        </w:rPr>
        <w:t>存在下列情形之一且无法合理解释的：</w:t>
      </w:r>
    </w:p>
    <w:p>
      <w:pPr>
        <w:pStyle w:val="17"/>
        <w:keepNext w:val="0"/>
        <w:keepLines w:val="0"/>
        <w:pageBreakBefore w:val="0"/>
        <w:widowControl/>
        <w:tabs>
          <w:tab w:val="left" w:pos="420"/>
        </w:tabs>
        <w:kinsoku/>
        <w:wordWrap/>
        <w:overflowPunct/>
        <w:topLinePunct w:val="0"/>
        <w:autoSpaceDE/>
        <w:autoSpaceDN/>
        <w:bidi w:val="0"/>
        <w:adjustRightInd w:val="0"/>
        <w:snapToGrid w:val="0"/>
        <w:spacing w:line="360" w:lineRule="auto"/>
        <w:ind w:left="741" w:leftChars="348"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不同供应商的电子投标（响应）文件上传计算机的网卡MAC地址或硬盘序列号等硬件信息相同的；</w:t>
      </w:r>
    </w:p>
    <w:p>
      <w:pPr>
        <w:pStyle w:val="17"/>
        <w:keepNext w:val="0"/>
        <w:keepLines w:val="0"/>
        <w:pageBreakBefore w:val="0"/>
        <w:widowControl/>
        <w:tabs>
          <w:tab w:val="left" w:pos="420"/>
        </w:tabs>
        <w:kinsoku/>
        <w:wordWrap/>
        <w:overflowPunct/>
        <w:topLinePunct w:val="0"/>
        <w:autoSpaceDE/>
        <w:autoSpaceDN/>
        <w:bidi w:val="0"/>
        <w:adjustRightInd w:val="0"/>
        <w:snapToGrid w:val="0"/>
        <w:spacing w:line="360" w:lineRule="auto"/>
        <w:ind w:left="741" w:leftChars="348"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上传的电子投标（响应）文件若出现使用本项目其他投标（响应）供应商的数字证书加密的，或者加盖本项目其他投标（响应）供应商的电子印章的；</w:t>
      </w:r>
    </w:p>
    <w:p>
      <w:pPr>
        <w:pStyle w:val="17"/>
        <w:keepNext w:val="0"/>
        <w:keepLines w:val="0"/>
        <w:pageBreakBefore w:val="0"/>
        <w:widowControl/>
        <w:tabs>
          <w:tab w:val="left" w:pos="420"/>
        </w:tabs>
        <w:kinsoku/>
        <w:wordWrap/>
        <w:overflowPunct/>
        <w:topLinePunct w:val="0"/>
        <w:autoSpaceDE/>
        <w:autoSpaceDN/>
        <w:bidi w:val="0"/>
        <w:adjustRightInd w:val="0"/>
        <w:snapToGrid w:val="0"/>
        <w:spacing w:line="360" w:lineRule="auto"/>
        <w:ind w:firstLine="852" w:firstLineChars="4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不同供应商的投标（响应）文件的内容存在3处（含）以上错误一致的；</w:t>
      </w:r>
    </w:p>
    <w:p>
      <w:pPr>
        <w:pStyle w:val="17"/>
        <w:keepNext w:val="0"/>
        <w:keepLines w:val="0"/>
        <w:pageBreakBefore w:val="0"/>
        <w:widowControl/>
        <w:tabs>
          <w:tab w:val="left" w:pos="420"/>
        </w:tabs>
        <w:kinsoku/>
        <w:wordWrap/>
        <w:overflowPunct/>
        <w:topLinePunct w:val="0"/>
        <w:autoSpaceDE/>
        <w:autoSpaceDN/>
        <w:bidi w:val="0"/>
        <w:adjustRightInd w:val="0"/>
        <w:snapToGrid w:val="0"/>
        <w:spacing w:line="360" w:lineRule="auto"/>
        <w:ind w:firstLine="852" w:firstLineChars="4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不同供应商联系人为同一人或不同联系人的联系电话一致的。</w:t>
      </w:r>
    </w:p>
    <w:p>
      <w:pPr>
        <w:pStyle w:val="17"/>
        <w:spacing w:line="360" w:lineRule="auto"/>
        <w:ind w:firstLine="852" w:firstLineChars="4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11</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法律法规</w:t>
      </w:r>
      <w:r>
        <w:rPr>
          <w:rFonts w:hint="eastAsia" w:ascii="宋体" w:hAnsi="宋体" w:eastAsia="宋体" w:cs="宋体"/>
          <w:b/>
          <w:color w:val="auto"/>
          <w:sz w:val="21"/>
          <w:szCs w:val="21"/>
          <w:highlight w:val="none"/>
        </w:rPr>
        <w:t>和磋商文件规定的其他无效情形（或出现重大偏差）。</w:t>
      </w:r>
    </w:p>
    <w:p>
      <w:pPr>
        <w:pStyle w:val="17"/>
        <w:spacing w:line="360" w:lineRule="auto"/>
        <w:ind w:left="840" w:hanging="852" w:hangingChars="4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20.5  </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磋商小组发现磋商响应文件有下列情形之一的属于重大偏差</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磋商小组按少数服从多数原则认定</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按照无效投标处理</w:t>
      </w:r>
      <w:r>
        <w:rPr>
          <w:rFonts w:hint="eastAsia" w:ascii="宋体" w:hAnsi="宋体" w:eastAsia="宋体" w:cs="宋体"/>
          <w:color w:val="auto"/>
          <w:sz w:val="21"/>
          <w:szCs w:val="21"/>
          <w:highlight w:val="none"/>
        </w:rPr>
        <w:t>：</w:t>
      </w:r>
    </w:p>
    <w:p>
      <w:pPr>
        <w:pStyle w:val="17"/>
        <w:spacing w:line="360" w:lineRule="auto"/>
        <w:ind w:firstLine="426"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1）未按磋商文件要求编制或字迹模糊、辨认不清的磋商响应文件；</w:t>
      </w:r>
    </w:p>
    <w:p>
      <w:pPr>
        <w:pStyle w:val="17"/>
        <w:spacing w:line="360" w:lineRule="auto"/>
        <w:ind w:firstLine="426"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2）除20.4条款以外，出现其它明显不符合采购要求的磋商响应文件；</w:t>
      </w:r>
    </w:p>
    <w:p>
      <w:pPr>
        <w:pStyle w:val="17"/>
        <w:spacing w:line="360" w:lineRule="auto"/>
        <w:ind w:left="796" w:leftChars="174" w:hanging="426" w:hanging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3）除20.4条款以外，</w:t>
      </w:r>
      <w:r>
        <w:rPr>
          <w:rFonts w:hint="eastAsia" w:ascii="宋体" w:hAnsi="宋体" w:eastAsia="宋体" w:cs="宋体"/>
          <w:b/>
          <w:color w:val="auto"/>
          <w:sz w:val="21"/>
          <w:szCs w:val="21"/>
          <w:highlight w:val="none"/>
          <w:lang w:eastAsia="zh-CN"/>
        </w:rPr>
        <w:t>出现其他不</w:t>
      </w:r>
      <w:r>
        <w:rPr>
          <w:rFonts w:hint="eastAsia" w:ascii="宋体" w:hAnsi="宋体" w:eastAsia="宋体" w:cs="宋体"/>
          <w:b/>
          <w:color w:val="auto"/>
          <w:sz w:val="21"/>
          <w:szCs w:val="21"/>
          <w:highlight w:val="none"/>
        </w:rPr>
        <w:t>符合磋商文件中规定的实质性要求的磋商响应文件，是否为偏离实质性要求由磋商小组认定。</w:t>
      </w:r>
    </w:p>
    <w:p>
      <w:pPr>
        <w:pStyle w:val="17"/>
        <w:spacing w:line="360" w:lineRule="auto"/>
        <w:ind w:left="840" w:hanging="852" w:hangingChars="4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20.6  </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磋商小组认为供应商的最终报价明显低于其他有效供应商的最终报价，有可能影响采购质量或者不能诚信履约的，应当要求其在合理的时间内提供说明材料，必要时提交相关证明材料；供应商不能证明其报价合理性的，磋商小组应当将其作为无效投标处理</w:t>
      </w:r>
      <w:r>
        <w:rPr>
          <w:rFonts w:hint="eastAsia" w:ascii="宋体" w:hAnsi="宋体" w:eastAsia="宋体" w:cs="宋体"/>
          <w:color w:val="auto"/>
          <w:sz w:val="21"/>
          <w:szCs w:val="21"/>
          <w:highlight w:val="none"/>
        </w:rPr>
        <w:t>。</w:t>
      </w:r>
    </w:p>
    <w:p>
      <w:pPr>
        <w:pStyle w:val="1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20.7    磋商小组在评标中，不得改变磋商文件中规定的评标标准、方法和中标条件。</w:t>
      </w:r>
    </w:p>
    <w:p>
      <w:pPr>
        <w:pStyle w:val="1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20.8    评标时如遇到磋商文件未规定的特殊情况，由磋商小组按少数服从多数原则集体决定处理。</w:t>
      </w:r>
    </w:p>
    <w:p>
      <w:pPr>
        <w:pStyle w:val="1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20.9    磋商小组对未中标的供应商不作解释。</w:t>
      </w:r>
    </w:p>
    <w:p>
      <w:pPr>
        <w:pStyle w:val="1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      磋商响应文件的澄清</w:t>
      </w:r>
    </w:p>
    <w:p>
      <w:pPr>
        <w:pStyle w:val="17"/>
        <w:spacing w:line="360" w:lineRule="auto"/>
        <w:ind w:left="840" w:hanging="852"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    为有利于对磋商响应文件的比较和评议，必要时磋商小组可要求磋商供应商对磋商响应文件相关事宜进行澄清。磋商小组将通过“政府采购云平台”在线询标的形式要求磋商供应商在规定的时间内作出必要的澄清、说明，供磋商供应商澄清、说明时间在规定时间内（30分钟内）。</w:t>
      </w:r>
    </w:p>
    <w:p>
      <w:pPr>
        <w:adjustRightInd w:val="0"/>
        <w:snapToGrid w:val="0"/>
        <w:spacing w:line="360" w:lineRule="auto"/>
        <w:ind w:left="840" w:hanging="852"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30.2    磋商供应商的澄清、说明应当通过“政府采购云平台”在线答复形式提交，并加盖公章。磋商供应商的澄清、说明不得超出磋商响应文件的范围或者改变磋商响应文件的实质性内容。</w:t>
      </w:r>
    </w:p>
    <w:p>
      <w:pPr>
        <w:pStyle w:val="17"/>
        <w:spacing w:line="360" w:lineRule="auto"/>
        <w:ind w:left="840" w:hanging="852" w:hangingChars="4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30.3   </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响应文件递交截止时或评审过程中有效磋商供应商不足三家的，不予开标或评标，符合《财政部关于政府采购竞争性磋商采购方式管理暂行办法有关问题的补充通知》（财库</w:t>
      </w:r>
      <w:r>
        <w:rPr>
          <w:rFonts w:hint="eastAsia" w:ascii="宋体" w:hAnsi="宋体" w:eastAsia="宋体" w:cs="宋体"/>
          <w:b/>
          <w:bCs/>
          <w:color w:val="auto"/>
          <w:sz w:val="21"/>
          <w:szCs w:val="21"/>
          <w:highlight w:val="none"/>
          <w:lang w:eastAsia="zh-CN"/>
        </w:rPr>
        <w:t>〔2015〕124号</w:t>
      </w:r>
      <w:r>
        <w:rPr>
          <w:rFonts w:hint="eastAsia" w:ascii="宋体" w:hAnsi="宋体" w:eastAsia="宋体" w:cs="宋体"/>
          <w:b/>
          <w:bCs/>
          <w:color w:val="auto"/>
          <w:sz w:val="21"/>
          <w:szCs w:val="21"/>
          <w:highlight w:val="none"/>
        </w:rPr>
        <w:t>文件）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31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评审原则</w:t>
      </w:r>
    </w:p>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磋商小组按照竞争性磋商文件的要求和条件对磋商响应文件进行评估，综合比较与评价。</w:t>
      </w:r>
    </w:p>
    <w:p>
      <w:pPr>
        <w:adjustRightInd w:val="0"/>
        <w:snapToGrid w:val="0"/>
        <w:spacing w:line="360" w:lineRule="auto"/>
        <w:ind w:left="840" w:hanging="852"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31.1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磋商小组负责审查磋商响应文件是否符合竞争性磋商文件的要求，并作出评价。磋商小组认为必要时，可向供应商进行询标澄清。</w:t>
      </w:r>
    </w:p>
    <w:p>
      <w:pPr>
        <w:adjustRightInd w:val="0"/>
        <w:snapToGrid w:val="0"/>
        <w:spacing w:line="360" w:lineRule="auto"/>
        <w:ind w:left="840" w:hanging="852"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31.2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磋商小组将综合分析合格供应商的各项指标，而不是以单项指标的优劣评选出成交的供应商。   </w:t>
      </w:r>
    </w:p>
    <w:p>
      <w:pPr>
        <w:adjustRightInd w:val="0"/>
        <w:snapToGrid w:val="0"/>
        <w:spacing w:line="360" w:lineRule="auto"/>
        <w:ind w:left="630" w:hanging="639" w:hanging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31.3  磋商小组对合格供应商的磋商响应文件和最终报价进行综合评定。如竞争性磋商文件所列采购内容明确不需要修改的或供应商磋商响应文件清楚明确不需要澄清的，可以不进行磋商环节，直接要求供应商进行最终报价，进行综合评分。在竞争性磋商文件未做任何调整的情况下，参与磋商的供应商如有出现最终磋商报价超过其磋商响应文件中报价的，则该供应商的报价按无效处理。</w:t>
      </w:r>
    </w:p>
    <w:p>
      <w:pPr>
        <w:adjustRightInd w:val="0"/>
        <w:snapToGrid w:val="0"/>
        <w:spacing w:line="360" w:lineRule="auto"/>
        <w:ind w:left="630" w:hanging="639" w:hanging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31.4  本次评审采用综合评分法，磋商小组根据竞争性磋商文件制定的评审办法对供应商进行评审排序，将综合得分第一的供应商向采购人推荐其为成交供应商。</w:t>
      </w:r>
    </w:p>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31.5  有下列情形之一的，视为供应商相互串通投标：</w:t>
      </w:r>
    </w:p>
    <w:p>
      <w:pPr>
        <w:adjustRightInd w:val="0"/>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不同供应商的磋商响应文件由同一单位或者个人编制；</w:t>
      </w:r>
    </w:p>
    <w:p>
      <w:pPr>
        <w:adjustRightInd w:val="0"/>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不同供应商委托同一单位或者个人办理投标事宜；</w:t>
      </w:r>
    </w:p>
    <w:p>
      <w:pPr>
        <w:adjustRightInd w:val="0"/>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不同供应商的磋商响应文件载明的项目管理成员为同一人；</w:t>
      </w:r>
    </w:p>
    <w:p>
      <w:pPr>
        <w:adjustRightInd w:val="0"/>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不同供应商的磋商响应文件异常一致或者投标报价呈规律性差异；</w:t>
      </w:r>
    </w:p>
    <w:p>
      <w:pPr>
        <w:adjustRightInd w:val="0"/>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不同供应商的磋商响应文件相互混装；</w:t>
      </w:r>
    </w:p>
    <w:p>
      <w:pPr>
        <w:adjustRightInd w:val="0"/>
        <w:snapToGrid w:val="0"/>
        <w:spacing w:line="360" w:lineRule="auto"/>
        <w:ind w:left="583" w:leftChars="174" w:hanging="213"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经磋商小组认定供应商进行串通投标的，磋商小组可以对相关供应商做出无效投标处理，并上报政府采购管理部门进行进一步处理。</w:t>
      </w:r>
    </w:p>
    <w:p>
      <w:pPr>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32    可中止电子交易活动的情形</w:t>
      </w:r>
    </w:p>
    <w:p>
      <w:pPr>
        <w:adjustRightInd w:val="0"/>
        <w:snapToGrid w:val="0"/>
        <w:spacing w:line="360" w:lineRule="auto"/>
        <w:ind w:left="583" w:leftChars="174" w:hanging="213" w:hangingChars="1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采购过程中出现以下情形，导致电子交易平台无法正常运行，或者无法保证电子交易的公平、公正和安全时，采购组织机构可中止电子交易活动：</w:t>
      </w:r>
    </w:p>
    <w:p>
      <w:pPr>
        <w:adjustRightInd w:val="0"/>
        <w:snapToGrid w:val="0"/>
        <w:spacing w:line="360" w:lineRule="auto"/>
        <w:ind w:firstLine="426"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1）电子交易平台发生故障而无法登录访问的；</w:t>
      </w:r>
    </w:p>
    <w:p>
      <w:pPr>
        <w:adjustRightInd w:val="0"/>
        <w:snapToGrid w:val="0"/>
        <w:spacing w:line="360" w:lineRule="auto"/>
        <w:ind w:firstLine="426"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2）电子交易平台应用或数据库出现错误，不能进行正常操作的；</w:t>
      </w:r>
    </w:p>
    <w:p>
      <w:pPr>
        <w:adjustRightInd w:val="0"/>
        <w:snapToGrid w:val="0"/>
        <w:spacing w:line="360" w:lineRule="auto"/>
        <w:ind w:firstLine="426"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3）电子交易平台发现严重安全漏洞，有潜在泄密危险的；</w:t>
      </w:r>
    </w:p>
    <w:p>
      <w:pPr>
        <w:adjustRightInd w:val="0"/>
        <w:snapToGrid w:val="0"/>
        <w:spacing w:line="360" w:lineRule="auto"/>
        <w:ind w:firstLine="426"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4）病毒发作导致不能进行正常操作的；</w:t>
      </w:r>
    </w:p>
    <w:p>
      <w:pPr>
        <w:adjustRightInd w:val="0"/>
        <w:snapToGrid w:val="0"/>
        <w:spacing w:line="360" w:lineRule="auto"/>
        <w:ind w:firstLine="426"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5）其他无法保证电子交易的公平、公正和安全的情况。</w:t>
      </w:r>
    </w:p>
    <w:p>
      <w:pPr>
        <w:adjustRightInd w:val="0"/>
        <w:snapToGrid w:val="0"/>
        <w:spacing w:line="360" w:lineRule="auto"/>
        <w:ind w:left="583" w:leftChars="174" w:hanging="213" w:hangingChars="1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出现前款规定情形，不影响采购公平、公正性的，采购组织机构可以待上述情形消除后继续组织电子交易活动；影响或可能影响采购公平、公正性的，应当重新采购。</w:t>
      </w:r>
    </w:p>
    <w:p>
      <w:pPr>
        <w:pStyle w:val="4"/>
        <w:pageBreakBefore w:val="0"/>
        <w:kinsoku/>
        <w:wordWrap/>
        <w:overflowPunct/>
        <w:topLinePunct w:val="0"/>
        <w:autoSpaceDE/>
        <w:autoSpaceDN/>
        <w:bidi w:val="0"/>
        <w:spacing w:before="156" w:beforeLines="50" w:after="156"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（七）授予合同</w:t>
      </w:r>
      <w:bookmarkEnd w:id="15"/>
    </w:p>
    <w:p>
      <w:pPr>
        <w:adjustRightInd w:val="0"/>
        <w:snapToGrid w:val="0"/>
        <w:spacing w:line="360" w:lineRule="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决标</w:t>
      </w:r>
    </w:p>
    <w:p>
      <w:pPr>
        <w:pStyle w:val="1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磋商结束后，磋商小组按照竞争性磋商文件确定的评审办法，确定成交供应商。</w:t>
      </w:r>
    </w:p>
    <w:p>
      <w:pPr>
        <w:pStyle w:val="17"/>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采购人将把成交通知书授予最佳报价者</w:t>
      </w: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但最低报价不是成交的唯一保证。</w:t>
      </w:r>
    </w:p>
    <w:p>
      <w:pPr>
        <w:adjustRightInd w:val="0"/>
        <w:snapToGrid w:val="0"/>
        <w:spacing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34    评标过程的监控</w:t>
      </w:r>
    </w:p>
    <w:p>
      <w:pPr>
        <w:adjustRightInd w:val="0"/>
        <w:snapToGrid w:val="0"/>
        <w:spacing w:line="360" w:lineRule="auto"/>
        <w:ind w:left="583" w:leftChars="174" w:hanging="213" w:hangingChars="1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 xml:space="preserve">  本项目评标过程实行全程录音、录像监控。投标人在评标过程中所进行的试图影响评标结果的不公正活动，可能导致其投标被拒绝。</w:t>
      </w:r>
    </w:p>
    <w:p>
      <w:pPr>
        <w:pStyle w:val="1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    成交通知书</w:t>
      </w:r>
    </w:p>
    <w:p>
      <w:pPr>
        <w:pStyle w:val="11"/>
        <w:adjustRightInd w:val="0"/>
        <w:snapToGrid w:val="0"/>
        <w:spacing w:after="0" w:line="360" w:lineRule="auto"/>
        <w:ind w:left="630" w:hanging="639" w:hangingChars="3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35.1  评审结束后，采购代理机构在浙江政府采购网公告采购结果，同时发出成交通知书，成交公告期限为1个工作日。</w:t>
      </w:r>
    </w:p>
    <w:p>
      <w:pPr>
        <w:adjustRightInd w:val="0"/>
        <w:snapToGrid w:val="0"/>
        <w:spacing w:line="360" w:lineRule="auto"/>
        <w:ind w:left="630" w:hanging="639" w:hanging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35.2  成交通知书对采购人和成交供应商具有法律约束力。成交通知书发出后，采购人改变成交结果或者成交供应商放弃成交资格的，应当承担法律责任。</w:t>
      </w:r>
    </w:p>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    成交无效</w:t>
      </w:r>
    </w:p>
    <w:p>
      <w:pPr>
        <w:adjustRightInd w:val="0"/>
        <w:snapToGrid w:val="0"/>
        <w:spacing w:line="360" w:lineRule="auto"/>
        <w:ind w:left="630" w:hanging="639" w:hanging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1）发现成交供应商资格无效或成交供应商放弃成交或拒绝与采购人签订合同的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按相关规定执行。</w:t>
      </w:r>
    </w:p>
    <w:p>
      <w:pPr>
        <w:adjustRightInd w:val="0"/>
        <w:snapToGrid w:val="0"/>
        <w:spacing w:line="360" w:lineRule="auto"/>
        <w:ind w:left="630" w:hanging="639" w:hanging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2）有《中华人民共和国政府采购法实施条例》第七十一条、第七十二条、第七十三条、第七十四条规定的违法行为之一，由政府采购监管部门依法处理。</w:t>
      </w:r>
    </w:p>
    <w:p>
      <w:pPr>
        <w:adjustRightInd w:val="0"/>
        <w:snapToGrid w:val="0"/>
        <w:spacing w:line="360" w:lineRule="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    磋商小组对未成交的供应商不</w:t>
      </w:r>
      <w:r>
        <w:rPr>
          <w:rFonts w:hint="eastAsia" w:ascii="宋体" w:hAnsi="宋体" w:eastAsia="宋体" w:cs="宋体"/>
          <w:color w:val="auto"/>
          <w:sz w:val="21"/>
          <w:szCs w:val="21"/>
          <w:highlight w:val="none"/>
          <w:lang w:eastAsia="zh-CN"/>
        </w:rPr>
        <w:t>做</w:t>
      </w:r>
      <w:r>
        <w:rPr>
          <w:rFonts w:hint="eastAsia" w:ascii="宋体" w:hAnsi="宋体" w:eastAsia="宋体" w:cs="宋体"/>
          <w:color w:val="auto"/>
          <w:sz w:val="21"/>
          <w:szCs w:val="21"/>
          <w:highlight w:val="none"/>
        </w:rPr>
        <w:t>落标原因解释。</w:t>
      </w:r>
    </w:p>
    <w:p>
      <w:pPr>
        <w:pStyle w:val="17"/>
        <w:spacing w:line="360" w:lineRule="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    签订合同</w:t>
      </w:r>
    </w:p>
    <w:p>
      <w:pPr>
        <w:snapToGrid w:val="0"/>
        <w:spacing w:line="360" w:lineRule="auto"/>
        <w:ind w:left="630" w:hanging="639" w:hangingChars="3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38.1  竞争性磋商文件、成交供应商的竞争性磋商响应文件及其澄清文件等，均为签订经济合同的依据。成交供应商自接到成交通知书后30天内与采购人签订合同。</w:t>
      </w:r>
    </w:p>
    <w:p>
      <w:pPr>
        <w:pStyle w:val="17"/>
        <w:spacing w:line="360" w:lineRule="auto"/>
        <w:ind w:left="630" w:hanging="639" w:hanging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38.2  成交供应商不遵守竞争性磋商文件的要约、承诺，擅自修改报价或在接到成交通知书30天内，借故拖延、拒签合同者，采购代理机构即可取消该单位的成交权，另选其它竞争性磋商供应商成效。</w:t>
      </w:r>
    </w:p>
    <w:p>
      <w:pPr>
        <w:pStyle w:val="1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38.3  拒签合同的责任</w:t>
      </w:r>
    </w:p>
    <w:p>
      <w:pPr>
        <w:pStyle w:val="17"/>
        <w:spacing w:line="360" w:lineRule="auto"/>
        <w:ind w:left="630" w:hanging="639" w:hanging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成交供应商接到成交通知书后，在规定时间内借故否认已经承诺的条件而拒签合同，以违约处理，并赔偿采购人由此造成的直接经济损失；采购人重新组织采购的，所需费用由原成交供应商承担。</w:t>
      </w:r>
    </w:p>
    <w:p>
      <w:pPr>
        <w:pageBreakBefore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 xml:space="preserve">39    </w:t>
      </w:r>
      <w:r>
        <w:rPr>
          <w:rFonts w:hint="eastAsia" w:ascii="宋体" w:hAnsi="宋体" w:eastAsia="宋体" w:cs="宋体"/>
          <w:b/>
          <w:color w:val="auto"/>
          <w:sz w:val="21"/>
          <w:szCs w:val="21"/>
          <w:highlight w:val="none"/>
        </w:rPr>
        <w:t>采购结果通知</w:t>
      </w:r>
    </w:p>
    <w:p>
      <w:pPr>
        <w:pageBreakBefore w:val="0"/>
        <w:kinsoku/>
        <w:wordWrap/>
        <w:overflowPunct/>
        <w:topLinePunct w:val="0"/>
        <w:autoSpaceDE/>
        <w:autoSpaceDN/>
        <w:bidi w:val="0"/>
        <w:snapToGrid w:val="0"/>
        <w:spacing w:line="360" w:lineRule="auto"/>
        <w:ind w:left="555" w:leftChars="261"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采购代理机构在发出《成交通知书》的同时在 “浙江省政府采购网”（网址：www.zjzfcg.gov.cn）发布成交公告。</w:t>
      </w:r>
    </w:p>
    <w:p>
      <w:pPr>
        <w:pageBreakBefore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color w:val="auto"/>
          <w:sz w:val="21"/>
          <w:szCs w:val="21"/>
          <w:highlight w:val="none"/>
        </w:rPr>
      </w:pPr>
      <w:bookmarkStart w:id="16" w:name="_Toc480892640"/>
      <w:r>
        <w:rPr>
          <w:rFonts w:hint="eastAsia" w:ascii="宋体" w:hAnsi="宋体" w:eastAsia="宋体" w:cs="宋体"/>
          <w:b/>
          <w:color w:val="auto"/>
          <w:sz w:val="21"/>
          <w:szCs w:val="21"/>
          <w:highlight w:val="none"/>
          <w:lang w:val="en-US" w:eastAsia="zh-CN"/>
        </w:rPr>
        <w:t xml:space="preserve">40     </w:t>
      </w:r>
      <w:r>
        <w:rPr>
          <w:rFonts w:hint="eastAsia" w:ascii="宋体" w:hAnsi="宋体" w:eastAsia="宋体" w:cs="宋体"/>
          <w:b/>
          <w:color w:val="auto"/>
          <w:sz w:val="21"/>
          <w:szCs w:val="21"/>
          <w:highlight w:val="none"/>
        </w:rPr>
        <w:t>中小企业</w:t>
      </w:r>
    </w:p>
    <w:p>
      <w:pPr>
        <w:pageBreakBefore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 xml:space="preserve">40.1   </w:t>
      </w:r>
      <w:r>
        <w:rPr>
          <w:rFonts w:hint="eastAsia" w:ascii="宋体" w:hAnsi="宋体" w:eastAsia="宋体" w:cs="宋体"/>
          <w:color w:val="auto"/>
          <w:sz w:val="21"/>
          <w:szCs w:val="21"/>
          <w:highlight w:val="none"/>
        </w:rPr>
        <w:t>按财库[2020]46号文件执行。</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 xml:space="preserve">41     </w:t>
      </w:r>
      <w:r>
        <w:rPr>
          <w:rFonts w:hint="eastAsia" w:ascii="宋体" w:hAnsi="宋体" w:eastAsia="宋体" w:cs="宋体"/>
          <w:b/>
          <w:bCs/>
          <w:color w:val="auto"/>
          <w:sz w:val="21"/>
          <w:szCs w:val="21"/>
          <w:highlight w:val="none"/>
        </w:rPr>
        <w:t>代理服务费</w:t>
      </w:r>
      <w:bookmarkEnd w:id="16"/>
    </w:p>
    <w:p>
      <w:pPr>
        <w:keepNext w:val="0"/>
        <w:keepLines w:val="0"/>
        <w:pageBreakBefore w:val="0"/>
        <w:widowControl/>
        <w:kinsoku/>
        <w:wordWrap/>
        <w:overflowPunct/>
        <w:topLinePunct w:val="0"/>
        <w:autoSpaceDE/>
        <w:autoSpaceDN/>
        <w:bidi w:val="0"/>
        <w:adjustRightInd/>
        <w:snapToGrid w:val="0"/>
        <w:spacing w:line="360" w:lineRule="auto"/>
        <w:ind w:firstLine="639" w:firstLineChars="3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本项目招标代理服务费由中标单位支付。</w:t>
      </w:r>
    </w:p>
    <w:p>
      <w:pPr>
        <w:keepNext w:val="0"/>
        <w:keepLines w:val="0"/>
        <w:pageBreakBefore w:val="0"/>
        <w:widowControl/>
        <w:kinsoku/>
        <w:wordWrap/>
        <w:overflowPunct/>
        <w:topLinePunct w:val="0"/>
        <w:autoSpaceDE/>
        <w:autoSpaceDN/>
        <w:bidi w:val="0"/>
        <w:adjustRightInd/>
        <w:snapToGrid w:val="0"/>
        <w:spacing w:line="360" w:lineRule="auto"/>
        <w:ind w:left="555" w:leftChars="261"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投标人须按以下招标代理取费依据自行计算招标代理服务费并考虑在投标报价中，结算时不得以此理由向采购人提出索赔。招标代理服务费须在领取中标通知书前，由中标单位支付给招标代理机构。</w:t>
      </w:r>
    </w:p>
    <w:p>
      <w:pPr>
        <w:keepNext w:val="0"/>
        <w:keepLines w:val="0"/>
        <w:pageBreakBefore w:val="0"/>
        <w:widowControl/>
        <w:kinsoku/>
        <w:wordWrap/>
        <w:overflowPunct/>
        <w:topLinePunct w:val="0"/>
        <w:autoSpaceDE/>
        <w:autoSpaceDN/>
        <w:bidi w:val="0"/>
        <w:adjustRightInd/>
        <w:snapToGrid w:val="0"/>
        <w:spacing w:line="360" w:lineRule="auto"/>
        <w:ind w:left="555" w:leftChars="261" w:firstLine="0" w:firstLineChars="0"/>
        <w:contextualSpacing/>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磋商报价包含招标代理服务费，招标代理服务费收费标准参照国家计委（计价格[2002]1980号）文件规定，服务类型为服务招标。具体如下：</w:t>
      </w:r>
    </w:p>
    <w:tbl>
      <w:tblPr>
        <w:tblStyle w:val="30"/>
        <w:tblW w:w="57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58"/>
        <w:gridCol w:w="2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jc w:val="center"/>
        </w:trPr>
        <w:tc>
          <w:tcPr>
            <w:tcW w:w="2958" w:type="dxa"/>
            <w:noWrap w:val="0"/>
            <w:vAlign w:val="top"/>
          </w:tcPr>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中标金额（万元）</w:t>
            </w:r>
          </w:p>
        </w:tc>
        <w:tc>
          <w:tcPr>
            <w:tcW w:w="2821" w:type="dxa"/>
            <w:noWrap w:val="0"/>
            <w:vAlign w:val="top"/>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 w:hRule="atLeast"/>
          <w:jc w:val="center"/>
        </w:trPr>
        <w:tc>
          <w:tcPr>
            <w:tcW w:w="2958" w:type="dxa"/>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100万元以下</w:t>
            </w:r>
          </w:p>
        </w:tc>
        <w:tc>
          <w:tcPr>
            <w:tcW w:w="2821" w:type="dxa"/>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1.50%</w:t>
            </w:r>
          </w:p>
        </w:tc>
      </w:tr>
    </w:tbl>
    <w:p>
      <w:pPr>
        <w:keepNext w:val="0"/>
        <w:keepLines w:val="0"/>
        <w:pageBreakBefore w:val="0"/>
        <w:widowControl/>
        <w:kinsoku/>
        <w:wordWrap/>
        <w:overflowPunct/>
        <w:topLinePunct w:val="0"/>
        <w:autoSpaceDE/>
        <w:autoSpaceDN/>
        <w:bidi w:val="0"/>
        <w:adjustRightInd/>
        <w:spacing w:line="360" w:lineRule="auto"/>
        <w:ind w:left="1" w:firstLine="951" w:firstLineChars="447"/>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注:招标代理服务收费按差额定率累进法计算。</w:t>
      </w:r>
    </w:p>
    <w:p>
      <w:pPr>
        <w:pStyle w:val="3"/>
        <w:keepNext w:val="0"/>
        <w:keepLines w:val="0"/>
        <w:pageBreakBefore/>
        <w:numPr>
          <w:ilvl w:val="0"/>
          <w:numId w:val="5"/>
        </w:numPr>
        <w:spacing w:before="324" w:beforeLines="100" w:after="324" w:afterLines="100" w:line="240" w:lineRule="auto"/>
        <w:jc w:val="center"/>
        <w:rPr>
          <w:rFonts w:ascii="Arial" w:hAnsi="Arial" w:cs="Arial"/>
          <w:color w:val="auto"/>
          <w:sz w:val="32"/>
          <w:szCs w:val="32"/>
          <w:highlight w:val="none"/>
        </w:rPr>
      </w:pPr>
      <w:r>
        <w:rPr>
          <w:rFonts w:hint="eastAsia" w:ascii="Arial" w:hAnsi="Arial" w:cs="Arial"/>
          <w:color w:val="auto"/>
          <w:sz w:val="32"/>
          <w:szCs w:val="32"/>
          <w:highlight w:val="none"/>
        </w:rPr>
        <w:t>采购需求</w:t>
      </w:r>
      <w:bookmarkEnd w:id="5"/>
    </w:p>
    <w:p>
      <w:pPr>
        <w:pageBreakBefore w:val="0"/>
        <w:tabs>
          <w:tab w:val="left" w:pos="8280"/>
        </w:tabs>
        <w:kinsoku/>
        <w:wordWrap/>
        <w:overflowPunct/>
        <w:topLinePunct w:val="0"/>
        <w:autoSpaceDE w:val="0"/>
        <w:autoSpaceDN w:val="0"/>
        <w:bidi w:val="0"/>
        <w:adjustRightInd w:val="0"/>
        <w:snapToGrid/>
        <w:spacing w:line="360" w:lineRule="auto"/>
        <w:ind w:right="25"/>
        <w:textAlignment w:val="auto"/>
        <w:rPr>
          <w:rFonts w:ascii="宋体" w:hAnsi="宋体" w:cs="宋体"/>
          <w:color w:val="auto"/>
          <w:kern w:val="2"/>
          <w:szCs w:val="21"/>
          <w:highlight w:val="none"/>
        </w:rPr>
      </w:pPr>
      <w:r>
        <w:rPr>
          <w:rFonts w:hint="eastAsia" w:ascii="宋体" w:hAnsi="宋体" w:cs="宋体"/>
          <w:b/>
          <w:color w:val="auto"/>
          <w:kern w:val="2"/>
          <w:szCs w:val="21"/>
          <w:highlight w:val="none"/>
        </w:rPr>
        <w:t>一、项目概况</w:t>
      </w:r>
    </w:p>
    <w:p>
      <w:pPr>
        <w:pageBreakBefore w:val="0"/>
        <w:widowControl w:val="0"/>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投标供应商能密切配合自然资源和规划局和自然资源所日常工作，及时提供测绘方面的地籍测绘、房产测绘、地下管线测量等工作服务，满足海盐县自然资源和规划局日常工作要求。</w:t>
      </w:r>
    </w:p>
    <w:p>
      <w:pPr>
        <w:pageBreakBefore w:val="0"/>
        <w:widowControl w:val="0"/>
        <w:kinsoku/>
        <w:wordWrap/>
        <w:overflowPunct/>
        <w:topLinePunct w:val="0"/>
        <w:bidi w:val="0"/>
        <w:snapToGrid/>
        <w:spacing w:line="360" w:lineRule="auto"/>
        <w:ind w:firstLine="426" w:firstLineChars="200"/>
        <w:textAlignment w:val="auto"/>
        <w:rPr>
          <w:rFonts w:ascii="宋体" w:hAnsi="宋体"/>
          <w:b/>
          <w:bCs/>
          <w:color w:val="auto"/>
          <w:szCs w:val="21"/>
          <w:highlight w:val="none"/>
        </w:rPr>
      </w:pPr>
      <w:r>
        <w:rPr>
          <w:rFonts w:hint="eastAsia" w:ascii="宋体" w:hAnsi="宋体"/>
          <w:b/>
          <w:bCs/>
          <w:color w:val="auto"/>
          <w:szCs w:val="21"/>
          <w:highlight w:val="none"/>
        </w:rPr>
        <w:t>二、项目要求</w:t>
      </w:r>
    </w:p>
    <w:p>
      <w:pPr>
        <w:pageBreakBefore w:val="0"/>
        <w:widowControl w:val="0"/>
        <w:kinsoku/>
        <w:wordWrap/>
        <w:overflowPunct/>
        <w:topLinePunct w:val="0"/>
        <w:bidi w:val="0"/>
        <w:snapToGrid/>
        <w:spacing w:line="360" w:lineRule="auto"/>
        <w:ind w:firstLine="426" w:firstLineChars="200"/>
        <w:textAlignment w:val="auto"/>
        <w:rPr>
          <w:rFonts w:ascii="宋体" w:hAnsi="宋体"/>
          <w:b/>
          <w:bCs/>
          <w:color w:val="auto"/>
          <w:szCs w:val="21"/>
          <w:highlight w:val="none"/>
        </w:rPr>
      </w:pPr>
      <w:r>
        <w:rPr>
          <w:rFonts w:hint="eastAsia" w:ascii="宋体" w:hAnsi="宋体"/>
          <w:b/>
          <w:bCs/>
          <w:color w:val="auto"/>
          <w:szCs w:val="21"/>
          <w:highlight w:val="none"/>
        </w:rPr>
        <w:t>1.地籍测量数据要求（CASS）</w:t>
      </w:r>
    </w:p>
    <w:p>
      <w:pPr>
        <w:pageBreakBefore w:val="0"/>
        <w:widowControl w:val="0"/>
        <w:kinsoku/>
        <w:wordWrap/>
        <w:overflowPunct/>
        <w:topLinePunct w:val="0"/>
        <w:bidi w:val="0"/>
        <w:snapToGrid/>
        <w:spacing w:line="360" w:lineRule="auto"/>
        <w:ind w:firstLine="426" w:firstLineChars="200"/>
        <w:textAlignment w:val="auto"/>
        <w:rPr>
          <w:rFonts w:ascii="宋体" w:hAnsi="宋体"/>
          <w:color w:val="auto"/>
          <w:szCs w:val="21"/>
          <w:highlight w:val="none"/>
        </w:rPr>
      </w:pPr>
      <w:r>
        <w:rPr>
          <w:rFonts w:hint="eastAsia" w:ascii="宋体" w:hAnsi="宋体"/>
          <w:color w:val="auto"/>
          <w:szCs w:val="21"/>
          <w:highlight w:val="none"/>
        </w:rPr>
        <w:t>1.1 测量数据成果统一采用</w:t>
      </w:r>
      <w:bookmarkStart w:id="17" w:name="OLE_LINK1"/>
      <w:r>
        <w:rPr>
          <w:rFonts w:hint="eastAsia" w:ascii="宋体" w:hAnsi="宋体"/>
          <w:color w:val="auto"/>
          <w:szCs w:val="21"/>
          <w:highlight w:val="none"/>
        </w:rPr>
        <w:t>CASS10.0</w:t>
      </w:r>
      <w:bookmarkEnd w:id="17"/>
      <w:r>
        <w:rPr>
          <w:rFonts w:hint="eastAsia" w:ascii="宋体" w:hAnsi="宋体"/>
          <w:color w:val="auto"/>
          <w:szCs w:val="21"/>
          <w:highlight w:val="none"/>
        </w:rPr>
        <w:t>格式，文件类型为DWG格式；提交的测量数据按“数据类型+地籍子区编号”进行命名，方便文件识别及日常应用；命名格式为HYDJ330424001001.DWG（即：“海盐地籍”拼音缩写+地籍子区代码.DWG）。</w:t>
      </w:r>
    </w:p>
    <w:p>
      <w:pPr>
        <w:pageBreakBefore w:val="0"/>
        <w:widowControl w:val="0"/>
        <w:kinsoku/>
        <w:wordWrap/>
        <w:overflowPunct/>
        <w:topLinePunct w:val="0"/>
        <w:bidi w:val="0"/>
        <w:snapToGrid/>
        <w:spacing w:line="360" w:lineRule="auto"/>
        <w:ind w:firstLine="426" w:firstLineChars="200"/>
        <w:textAlignment w:val="auto"/>
        <w:rPr>
          <w:rFonts w:ascii="宋体" w:hAnsi="宋体"/>
          <w:color w:val="auto"/>
          <w:szCs w:val="21"/>
          <w:highlight w:val="none"/>
        </w:rPr>
      </w:pPr>
      <w:r>
        <w:rPr>
          <w:rFonts w:hint="eastAsia" w:ascii="宋体" w:hAnsi="宋体"/>
          <w:color w:val="auto"/>
          <w:szCs w:val="21"/>
          <w:highlight w:val="none"/>
        </w:rPr>
        <w:t>1.2 测量数据必须严格按照地籍测量要求，对测量范围内的权属界线（宗地）及基础地理要素进行测量成图。单宗地图件需显示本宗地范围外30米地籍信息。基础地理包括居民地及设施、植被与土质、水系、交通设施、管线、地貌及各类注记。</w:t>
      </w:r>
    </w:p>
    <w:p>
      <w:pPr>
        <w:pageBreakBefore w:val="0"/>
        <w:widowControl w:val="0"/>
        <w:kinsoku/>
        <w:wordWrap/>
        <w:overflowPunct/>
        <w:topLinePunct w:val="0"/>
        <w:bidi w:val="0"/>
        <w:snapToGrid/>
        <w:spacing w:line="360" w:lineRule="auto"/>
        <w:ind w:firstLine="426" w:firstLineChars="200"/>
        <w:textAlignment w:val="auto"/>
        <w:rPr>
          <w:rFonts w:ascii="宋体" w:hAnsi="宋体"/>
          <w:color w:val="auto"/>
          <w:szCs w:val="21"/>
          <w:highlight w:val="none"/>
        </w:rPr>
      </w:pPr>
      <w:r>
        <w:rPr>
          <w:rFonts w:hint="eastAsia" w:ascii="宋体" w:hAnsi="宋体"/>
          <w:color w:val="auto"/>
          <w:szCs w:val="21"/>
          <w:highlight w:val="none"/>
        </w:rPr>
        <w:t>1.3 参照 GB/T 7929  1∶500  1∶1000  1∶2000  地形图图式和GB/T 13923－2022基础地理信息要素分类与代码。未定义或无法满足实际需要，可自定义增加图层，图层名称需按，汉字拼音命名，数据提交时同时提交增加的要素层说明。</w:t>
      </w:r>
    </w:p>
    <w:p>
      <w:pPr>
        <w:pageBreakBefore w:val="0"/>
        <w:widowControl w:val="0"/>
        <w:kinsoku/>
        <w:wordWrap/>
        <w:overflowPunct/>
        <w:topLinePunct w:val="0"/>
        <w:bidi w:val="0"/>
        <w:snapToGrid/>
        <w:spacing w:line="360" w:lineRule="auto"/>
        <w:ind w:firstLine="426" w:firstLineChars="200"/>
        <w:textAlignment w:val="auto"/>
        <w:rPr>
          <w:rFonts w:ascii="宋体" w:hAnsi="宋体"/>
          <w:color w:val="auto"/>
          <w:szCs w:val="21"/>
          <w:highlight w:val="none"/>
        </w:rPr>
      </w:pPr>
      <w:r>
        <w:rPr>
          <w:rFonts w:hint="eastAsia" w:ascii="宋体" w:hAnsi="宋体"/>
          <w:color w:val="auto"/>
          <w:szCs w:val="21"/>
          <w:highlight w:val="none"/>
        </w:rPr>
        <w:t>1.4 拓扑要求 各矢量数据层必须满足拓扑要求。如：宗地、房屋、植被面、水系面层，层内部数据无重叠、相交等拓扑错误（参考二次调查城镇地籍数据库拓扑质量要求）；矢量要素必须符合几何特征的要求。面类型要素，必须封闭；线类型要素，不能是点类型文件；点类型要素不能是线或面（如房屋，宗地，植被面等面类型数据必须闭合）；界址点间距需符合地籍调查规程要求；房屋不能跨越宗地，不能重叠；管线、围墙等有骨架线的地物，保留骨架线；植被、草地等带填充符号的面状地物，保证外围界线实体编码正确；零星填充点符号，保证点要素正确即可（比如零星菜地，需要是点状，不能将符号炸散；如果打散的话，会加大数据库的冗余容量，影响数据库响应速度）；对于复杂及结构化的地物，无法通过符号的方式进行渲染，可以散线或炸散方式处理，但需保留实体编码等属性，并做好记录。地籍图中要求具备地籍子区面和图斑层，地籍子区内图斑无缝，图斑不能跨越宗地。注记位置必须在面图块中间位置（如房屋楼层结构注记必须在房屋面内、宗地权利人、宗地号、地类号、实际用途注记必须在宗地图块内等），不能出现注记压盖现象。</w:t>
      </w:r>
    </w:p>
    <w:p>
      <w:pPr>
        <w:pageBreakBefore w:val="0"/>
        <w:widowControl w:val="0"/>
        <w:kinsoku/>
        <w:wordWrap/>
        <w:overflowPunct/>
        <w:topLinePunct w:val="0"/>
        <w:bidi w:val="0"/>
        <w:snapToGrid/>
        <w:spacing w:line="360" w:lineRule="auto"/>
        <w:ind w:firstLine="426" w:firstLineChars="200"/>
        <w:textAlignment w:val="auto"/>
        <w:rPr>
          <w:rFonts w:ascii="宋体" w:hAnsi="宋体"/>
          <w:color w:val="auto"/>
          <w:szCs w:val="21"/>
          <w:highlight w:val="none"/>
        </w:rPr>
      </w:pPr>
      <w:r>
        <w:rPr>
          <w:rFonts w:hint="eastAsia" w:ascii="宋体" w:hAnsi="宋体"/>
          <w:color w:val="auto"/>
          <w:szCs w:val="21"/>
          <w:highlight w:val="none"/>
        </w:rPr>
        <w:t>1.5属性要求所有要素必须具有实体编码，实体编码为CASS10.0的标准编码，不得随意添加、修改。但部分结构复杂的地物符号则需炸散。房屋要素必须在房屋要素图面空间范围内注记房屋结构及楼层；控制点层数据要求具有点名、高程属性。</w:t>
      </w:r>
    </w:p>
    <w:p>
      <w:pPr>
        <w:pageBreakBefore w:val="0"/>
        <w:widowControl w:val="0"/>
        <w:kinsoku/>
        <w:wordWrap/>
        <w:overflowPunct/>
        <w:topLinePunct w:val="0"/>
        <w:bidi w:val="0"/>
        <w:snapToGrid/>
        <w:spacing w:line="360" w:lineRule="auto"/>
        <w:ind w:firstLine="426" w:firstLineChars="200"/>
        <w:textAlignment w:val="auto"/>
        <w:rPr>
          <w:color w:val="auto"/>
          <w:highlight w:val="none"/>
        </w:rPr>
      </w:pPr>
      <w:r>
        <w:rPr>
          <w:rFonts w:hint="eastAsia" w:ascii="宋体" w:hAnsi="宋体"/>
          <w:color w:val="auto"/>
          <w:szCs w:val="21"/>
          <w:highlight w:val="none"/>
        </w:rPr>
        <w:t>1.6争议界线处理，用红色虚线标注争议范围。注明：“争议面积：XX平方米，争议方。历史遗留问题等需要填写地籍调查表。</w:t>
      </w:r>
    </w:p>
    <w:p>
      <w:pPr>
        <w:pStyle w:val="4"/>
        <w:pageBreakBefore w:val="0"/>
        <w:widowControl w:val="0"/>
        <w:numPr>
          <w:ilvl w:val="1"/>
          <w:numId w:val="0"/>
        </w:numPr>
        <w:kinsoku/>
        <w:wordWrap/>
        <w:overflowPunct/>
        <w:topLinePunct w:val="0"/>
        <w:bidi w:val="0"/>
        <w:snapToGrid/>
        <w:spacing w:before="0" w:after="0" w:line="360" w:lineRule="auto"/>
        <w:ind w:firstLine="426" w:firstLineChars="200"/>
        <w:textAlignment w:val="auto"/>
        <w:rPr>
          <w:rFonts w:ascii="宋体" w:hAnsi="宋体"/>
          <w:color w:val="auto"/>
          <w:sz w:val="21"/>
          <w:szCs w:val="21"/>
          <w:highlight w:val="none"/>
        </w:rPr>
      </w:pPr>
      <w:r>
        <w:rPr>
          <w:rFonts w:hint="eastAsia" w:ascii="宋体" w:hAnsi="宋体"/>
          <w:color w:val="auto"/>
          <w:sz w:val="21"/>
          <w:szCs w:val="21"/>
          <w:highlight w:val="none"/>
        </w:rPr>
        <w:t>2数据质量要求</w:t>
      </w:r>
    </w:p>
    <w:p>
      <w:pPr>
        <w:pageBreakBefore w:val="0"/>
        <w:kinsoku/>
        <w:wordWrap/>
        <w:overflowPunct/>
        <w:topLinePunct w:val="0"/>
        <w:bidi w:val="0"/>
        <w:snapToGrid/>
        <w:spacing w:line="360" w:lineRule="auto"/>
        <w:textAlignment w:val="auto"/>
        <w:rPr>
          <w:color w:val="auto"/>
          <w:highlight w:val="none"/>
        </w:rPr>
      </w:pPr>
      <w:r>
        <w:rPr>
          <w:rFonts w:hint="eastAsia" w:ascii="宋体" w:hAnsi="宋体"/>
          <w:bCs/>
          <w:color w:val="auto"/>
          <w:szCs w:val="21"/>
          <w:highlight w:val="none"/>
        </w:rPr>
        <w:t xml:space="preserve">   </w:t>
      </w:r>
      <w:r>
        <w:rPr>
          <w:rFonts w:hint="eastAsia" w:ascii="宋体" w:hAnsi="宋体"/>
          <w:color w:val="auto"/>
          <w:szCs w:val="21"/>
          <w:highlight w:val="none"/>
        </w:rPr>
        <w:t>编码一致性检查：通过GIS软件（如ArcGIS、AutoCAD Map)验证所有实体编码是否匹配</w:t>
      </w:r>
      <w:r>
        <w:rPr>
          <w:rFonts w:hint="eastAsia" w:ascii="宋体" w:hAnsi="宋体"/>
          <w:color w:val="auto"/>
          <w:szCs w:val="21"/>
          <w:highlight w:val="none"/>
        </w:rPr>
        <w:t>CASS10.0标准字典。属性完整性检查：确保房屋、控制点等要素的属性字段无遗漏，注记与属性表一致。拓扑检查：房屋轮廓需闭合，控制点不得重叠。数据齐全、准确。</w:t>
      </w:r>
    </w:p>
    <w:p>
      <w:pPr>
        <w:pStyle w:val="4"/>
        <w:pageBreakBefore w:val="0"/>
        <w:widowControl w:val="0"/>
        <w:numPr>
          <w:ilvl w:val="1"/>
          <w:numId w:val="0"/>
        </w:numPr>
        <w:kinsoku/>
        <w:wordWrap/>
        <w:overflowPunct/>
        <w:topLinePunct w:val="0"/>
        <w:bidi w:val="0"/>
        <w:snapToGrid/>
        <w:spacing w:before="0" w:after="0" w:line="360" w:lineRule="auto"/>
        <w:ind w:firstLine="426" w:firstLineChars="200"/>
        <w:textAlignment w:val="auto"/>
        <w:rPr>
          <w:rFonts w:ascii="宋体" w:hAnsi="宋体"/>
          <w:color w:val="auto"/>
          <w:sz w:val="21"/>
          <w:szCs w:val="21"/>
          <w:highlight w:val="none"/>
        </w:rPr>
      </w:pPr>
      <w:r>
        <w:rPr>
          <w:rFonts w:hint="eastAsia" w:ascii="宋体" w:hAnsi="宋体"/>
          <w:color w:val="auto"/>
          <w:sz w:val="21"/>
          <w:szCs w:val="21"/>
          <w:highlight w:val="none"/>
        </w:rPr>
        <w:t>3.精度指标</w:t>
      </w:r>
    </w:p>
    <w:p>
      <w:pPr>
        <w:pageBreakBefore w:val="0"/>
        <w:widowControl w:val="0"/>
        <w:kinsoku/>
        <w:wordWrap/>
        <w:overflowPunct/>
        <w:topLinePunct w:val="0"/>
        <w:bidi w:val="0"/>
        <w:snapToGrid/>
        <w:spacing w:line="360" w:lineRule="auto"/>
        <w:ind w:firstLine="426" w:firstLineChars="200"/>
        <w:textAlignment w:val="auto"/>
        <w:rPr>
          <w:rFonts w:ascii="宋体" w:hAnsi="宋体"/>
          <w:color w:val="auto"/>
          <w:szCs w:val="21"/>
          <w:highlight w:val="none"/>
        </w:rPr>
      </w:pPr>
      <w:r>
        <w:rPr>
          <w:rFonts w:hint="eastAsia" w:ascii="宋体" w:hAnsi="宋体"/>
          <w:color w:val="auto"/>
          <w:szCs w:val="21"/>
          <w:highlight w:val="none"/>
        </w:rPr>
        <w:t>自然资源空间数据的坐标系分区转换及数据库转换点位的精度图上中误差不应超过0.1mm。具体指标见下表。</w:t>
      </w:r>
    </w:p>
    <w:tbl>
      <w:tblPr>
        <w:tblStyle w:val="30"/>
        <w:tblW w:w="915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3"/>
        <w:gridCol w:w="4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1" w:type="dxa"/>
            <w:gridSpan w:val="2"/>
            <w:tcBorders>
              <w:top w:val="nil"/>
              <w:left w:val="nil"/>
              <w:right w:val="nil"/>
            </w:tcBorders>
            <w:vAlign w:val="center"/>
          </w:tcPr>
          <w:p>
            <w:pPr>
              <w:widowControl w:val="0"/>
              <w:spacing w:line="360" w:lineRule="auto"/>
              <w:rPr>
                <w:rFonts w:ascii="宋体" w:hAnsi="宋体"/>
                <w:color w:val="auto"/>
                <w:szCs w:val="21"/>
                <w:highlight w:val="none"/>
              </w:rPr>
            </w:pPr>
            <w:r>
              <w:rPr>
                <w:rFonts w:hint="eastAsia" w:ascii="宋体" w:hAnsi="宋体"/>
                <w:color w:val="auto"/>
                <w:szCs w:val="21"/>
                <w:highlight w:val="none"/>
              </w:rPr>
              <w:t>坐标转换点位精度指标（单位：米）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3" w:type="dxa"/>
            <w:vAlign w:val="center"/>
          </w:tcPr>
          <w:p>
            <w:pPr>
              <w:widowControl w:val="0"/>
              <w:spacing w:line="360" w:lineRule="auto"/>
              <w:jc w:val="center"/>
              <w:rPr>
                <w:rFonts w:ascii="宋体" w:hAnsi="宋体"/>
                <w:color w:val="auto"/>
                <w:szCs w:val="21"/>
                <w:highlight w:val="none"/>
              </w:rPr>
            </w:pPr>
            <w:r>
              <w:rPr>
                <w:rFonts w:hint="eastAsia" w:ascii="宋体" w:hAnsi="宋体"/>
                <w:color w:val="auto"/>
                <w:szCs w:val="21"/>
                <w:highlight w:val="none"/>
              </w:rPr>
              <w:t>项目</w:t>
            </w:r>
          </w:p>
        </w:tc>
        <w:tc>
          <w:tcPr>
            <w:tcW w:w="4988" w:type="dxa"/>
            <w:vAlign w:val="center"/>
          </w:tcPr>
          <w:p>
            <w:pPr>
              <w:widowControl w:val="0"/>
              <w:spacing w:line="360" w:lineRule="auto"/>
              <w:jc w:val="center"/>
              <w:rPr>
                <w:rFonts w:ascii="宋体" w:hAnsi="宋体"/>
                <w:color w:val="auto"/>
                <w:szCs w:val="21"/>
                <w:highlight w:val="none"/>
              </w:rPr>
            </w:pPr>
            <w:r>
              <w:rPr>
                <w:rFonts w:hint="eastAsia" w:ascii="宋体" w:hAnsi="宋体"/>
                <w:color w:val="auto"/>
                <w:szCs w:val="21"/>
                <w:highlight w:val="none"/>
              </w:rPr>
              <w:t>精度指标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3" w:type="dxa"/>
            <w:vAlign w:val="center"/>
          </w:tcPr>
          <w:p>
            <w:pPr>
              <w:widowControl w:val="0"/>
              <w:spacing w:line="360" w:lineRule="auto"/>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500</w:t>
            </w:r>
            <w:r>
              <w:rPr>
                <w:rFonts w:ascii="宋体" w:hAnsi="宋体"/>
                <w:color w:val="auto"/>
                <w:szCs w:val="21"/>
                <w:highlight w:val="none"/>
              </w:rPr>
              <w:t>国土资源空间数据</w:t>
            </w:r>
          </w:p>
        </w:tc>
        <w:tc>
          <w:tcPr>
            <w:tcW w:w="4988" w:type="dxa"/>
            <w:vAlign w:val="center"/>
          </w:tcPr>
          <w:p>
            <w:pPr>
              <w:widowControl w:val="0"/>
              <w:spacing w:line="360" w:lineRule="auto"/>
              <w:jc w:val="center"/>
              <w:rPr>
                <w:rFonts w:ascii="宋体" w:hAnsi="宋体"/>
                <w:color w:val="auto"/>
                <w:szCs w:val="21"/>
                <w:highlight w:val="none"/>
              </w:rPr>
            </w:pPr>
            <w:r>
              <w:rPr>
                <w:rFonts w:hint="eastAsia" w:ascii="宋体" w:hAnsi="宋体"/>
                <w:color w:val="auto"/>
                <w:szCs w:val="21"/>
                <w:highlight w:val="none"/>
              </w:rPr>
              <w:t>中误差≤0.05</w:t>
            </w:r>
          </w:p>
        </w:tc>
      </w:tr>
    </w:tbl>
    <w:p>
      <w:pPr>
        <w:widowControl w:val="0"/>
        <w:spacing w:line="360" w:lineRule="auto"/>
        <w:ind w:firstLine="426" w:firstLineChars="200"/>
        <w:rPr>
          <w:rFonts w:ascii="宋体" w:hAnsi="宋体"/>
          <w:color w:val="auto"/>
          <w:szCs w:val="21"/>
          <w:highlight w:val="none"/>
        </w:rPr>
      </w:pPr>
      <w:r>
        <w:rPr>
          <w:rFonts w:hint="eastAsia" w:ascii="宋体" w:hAnsi="宋体"/>
          <w:b/>
          <w:bCs/>
          <w:color w:val="auto"/>
          <w:szCs w:val="21"/>
          <w:highlight w:val="none"/>
        </w:rPr>
        <w:t>4.工作要求</w:t>
      </w:r>
    </w:p>
    <w:p>
      <w:pPr>
        <w:widowControl w:val="0"/>
        <w:spacing w:line="360" w:lineRule="auto"/>
        <w:ind w:firstLine="426" w:firstLineChars="200"/>
        <w:rPr>
          <w:rFonts w:ascii="宋体" w:hAnsi="宋体"/>
          <w:color w:val="auto"/>
          <w:szCs w:val="21"/>
          <w:highlight w:val="none"/>
        </w:rPr>
      </w:pPr>
      <w:r>
        <w:rPr>
          <w:rFonts w:hint="eastAsia" w:ascii="宋体" w:hAnsi="宋体"/>
          <w:color w:val="auto"/>
          <w:szCs w:val="21"/>
          <w:highlight w:val="none"/>
        </w:rPr>
        <w:t>4.1宗地图制作要求：满足宗地精度要求，3个工作日内提供满足我局要求的宗地图成果。</w:t>
      </w:r>
    </w:p>
    <w:p>
      <w:pPr>
        <w:widowControl w:val="0"/>
        <w:spacing w:line="360" w:lineRule="auto"/>
        <w:ind w:firstLine="426" w:firstLineChars="200"/>
        <w:rPr>
          <w:rFonts w:ascii="宋体" w:hAnsi="宋体"/>
          <w:color w:val="auto"/>
          <w:szCs w:val="21"/>
          <w:highlight w:val="none"/>
        </w:rPr>
      </w:pPr>
      <w:r>
        <w:rPr>
          <w:rFonts w:hint="eastAsia" w:ascii="宋体" w:hAnsi="宋体"/>
          <w:color w:val="auto"/>
          <w:szCs w:val="21"/>
          <w:highlight w:val="none"/>
        </w:rPr>
        <w:t>4.2权籍调查要求：当有涉及到宗地合并（收储或收回）、土地拍卖（抵押或查封）、出让（划拨）土地供地入库等权籍调查任务时，5个工作日内提供权籍调查成果；测绘出宗地范围坐标和宗地内所有建筑物、构筑物坐标，并满足不动产权籍数据库要求。</w:t>
      </w:r>
    </w:p>
    <w:p>
      <w:pPr>
        <w:widowControl w:val="0"/>
        <w:spacing w:line="360" w:lineRule="auto"/>
        <w:ind w:firstLine="426" w:firstLineChars="200"/>
        <w:rPr>
          <w:rFonts w:ascii="宋体" w:hAnsi="宋体"/>
          <w:color w:val="auto"/>
          <w:szCs w:val="21"/>
          <w:highlight w:val="none"/>
        </w:rPr>
      </w:pPr>
      <w:r>
        <w:rPr>
          <w:rFonts w:hint="eastAsia" w:ascii="宋体" w:hAnsi="宋体"/>
          <w:color w:val="auto"/>
          <w:szCs w:val="21"/>
          <w:highlight w:val="none"/>
        </w:rPr>
        <w:t>4.3坐标转换要求：北京1954、西安1980、海盐地方坐标系及嘉兴市2000坐标系向2000国家大地坐标系转换，要利用浙江省高分辨率格网改正量，内插拟合落入格网坐标点改正量，从而实现坐标系坐标的变换。</w:t>
      </w:r>
    </w:p>
    <w:p>
      <w:pPr>
        <w:widowControl w:val="0"/>
        <w:spacing w:line="360" w:lineRule="auto"/>
        <w:ind w:firstLine="426" w:firstLineChars="200"/>
        <w:rPr>
          <w:rFonts w:ascii="宋体" w:hAnsi="宋体"/>
          <w:b/>
          <w:bCs/>
          <w:color w:val="auto"/>
          <w:szCs w:val="21"/>
          <w:highlight w:val="none"/>
        </w:rPr>
      </w:pPr>
      <w:r>
        <w:rPr>
          <w:rFonts w:hint="eastAsia" w:ascii="宋体" w:hAnsi="宋体"/>
          <w:b/>
          <w:bCs/>
          <w:color w:val="auto"/>
          <w:szCs w:val="21"/>
          <w:highlight w:val="none"/>
        </w:rPr>
        <w:t>5商务要求</w:t>
      </w:r>
    </w:p>
    <w:p>
      <w:pPr>
        <w:widowControl w:val="0"/>
        <w:spacing w:line="360" w:lineRule="auto"/>
        <w:ind w:firstLine="426" w:firstLineChars="200"/>
        <w:rPr>
          <w:color w:val="auto"/>
          <w:szCs w:val="21"/>
          <w:highlight w:val="none"/>
        </w:rPr>
      </w:pPr>
      <w:r>
        <w:rPr>
          <w:rFonts w:hint="eastAsia" w:ascii="宋体" w:hAnsi="宋体"/>
          <w:color w:val="auto"/>
          <w:szCs w:val="21"/>
          <w:highlight w:val="none"/>
          <w:lang w:val="en-US" w:eastAsia="zh-CN"/>
        </w:rPr>
        <w:t>5.1</w:t>
      </w:r>
      <w:r>
        <w:rPr>
          <w:rFonts w:hint="eastAsia" w:ascii="宋体" w:hAnsi="宋体"/>
          <w:color w:val="auto"/>
          <w:szCs w:val="21"/>
          <w:highlight w:val="none"/>
        </w:rPr>
        <w:t>服务期限：</w:t>
      </w:r>
      <w:r>
        <w:rPr>
          <w:rFonts w:hint="eastAsia"/>
          <w:color w:val="auto"/>
          <w:szCs w:val="21"/>
          <w:highlight w:val="none"/>
        </w:rPr>
        <w:t>自合同签订之日起至三年。</w:t>
      </w:r>
    </w:p>
    <w:p>
      <w:pPr>
        <w:widowControl w:val="0"/>
        <w:spacing w:line="360" w:lineRule="auto"/>
        <w:ind w:firstLine="426" w:firstLineChars="200"/>
        <w:rPr>
          <w:color w:val="auto"/>
          <w:szCs w:val="21"/>
          <w:highlight w:val="none"/>
        </w:rPr>
      </w:pPr>
      <w:r>
        <w:rPr>
          <w:rFonts w:hint="eastAsia" w:ascii="宋体" w:hAnsi="宋体"/>
          <w:color w:val="auto"/>
          <w:szCs w:val="21"/>
          <w:highlight w:val="none"/>
          <w:lang w:val="en-US" w:eastAsia="zh-CN"/>
        </w:rPr>
        <w:t>5.2</w:t>
      </w:r>
      <w:r>
        <w:rPr>
          <w:rFonts w:hint="eastAsia" w:ascii="宋体" w:hAnsi="宋体"/>
          <w:color w:val="auto"/>
          <w:szCs w:val="21"/>
          <w:highlight w:val="none"/>
        </w:rPr>
        <w:t>付款方式：</w:t>
      </w:r>
      <w:bookmarkStart w:id="18" w:name="OLE_LINK3"/>
      <w:r>
        <w:rPr>
          <w:rFonts w:hint="eastAsia" w:ascii="宋体" w:hAnsi="宋体"/>
          <w:color w:val="auto"/>
          <w:szCs w:val="21"/>
          <w:highlight w:val="none"/>
          <w:lang w:eastAsia="zh-CN"/>
        </w:rPr>
        <w:t>合同签订且具备实施条件后</w:t>
      </w:r>
      <w:r>
        <w:rPr>
          <w:rFonts w:hint="eastAsia" w:ascii="宋体" w:hAnsi="宋体"/>
          <w:color w:val="auto"/>
          <w:szCs w:val="21"/>
          <w:highlight w:val="none"/>
        </w:rPr>
        <w:t>，在每周期年内</w:t>
      </w:r>
      <w:r>
        <w:rPr>
          <w:rFonts w:hint="eastAsia" w:cs="宋体"/>
          <w:color w:val="auto"/>
          <w:szCs w:val="21"/>
          <w:highlight w:val="none"/>
        </w:rPr>
        <w:t>通过省级及以上测绘质量质检机构质检抽查</w:t>
      </w:r>
      <w:r>
        <w:rPr>
          <w:rFonts w:hint="eastAsia" w:ascii="宋体" w:hAnsi="宋体"/>
          <w:color w:val="auto"/>
          <w:szCs w:val="21"/>
          <w:highlight w:val="none"/>
        </w:rPr>
        <w:t>（质检费用由中标方支付）</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并将所做项目清单提供给</w:t>
      </w:r>
      <w:r>
        <w:rPr>
          <w:rFonts w:hint="eastAsia" w:cs="宋体"/>
          <w:color w:val="auto"/>
          <w:szCs w:val="21"/>
          <w:highlight w:val="none"/>
        </w:rPr>
        <w:t>采购人</w:t>
      </w:r>
      <w:r>
        <w:rPr>
          <w:rFonts w:hint="eastAsia" w:cs="宋体"/>
          <w:color w:val="auto"/>
          <w:szCs w:val="21"/>
          <w:highlight w:val="none"/>
          <w:lang w:val="en-US" w:eastAsia="zh-CN"/>
        </w:rPr>
        <w:t>后，采购人</w:t>
      </w:r>
      <w:r>
        <w:rPr>
          <w:rFonts w:hint="eastAsia" w:ascii="宋体" w:hAnsi="宋体" w:cs="宋体"/>
          <w:color w:val="auto"/>
          <w:szCs w:val="21"/>
          <w:highlight w:val="none"/>
        </w:rPr>
        <w:t>一次性支付</w:t>
      </w:r>
      <w:r>
        <w:rPr>
          <w:rFonts w:hint="eastAsia" w:cs="宋体"/>
          <w:color w:val="auto"/>
          <w:szCs w:val="21"/>
          <w:highlight w:val="none"/>
        </w:rPr>
        <w:t>该周期年费用</w:t>
      </w:r>
      <w:r>
        <w:rPr>
          <w:rFonts w:hint="eastAsia" w:ascii="宋体" w:hAnsi="宋体"/>
          <w:color w:val="auto"/>
          <w:szCs w:val="21"/>
          <w:highlight w:val="none"/>
        </w:rPr>
        <w:t>。</w:t>
      </w:r>
      <w:bookmarkEnd w:id="18"/>
    </w:p>
    <w:p>
      <w:pPr>
        <w:rPr>
          <w:b/>
          <w:color w:val="auto"/>
          <w:kern w:val="2"/>
          <w:szCs w:val="21"/>
          <w:highlight w:val="none"/>
        </w:rPr>
      </w:pPr>
      <w:r>
        <w:rPr>
          <w:rFonts w:hint="eastAsia"/>
          <w:b/>
          <w:color w:val="auto"/>
          <w:kern w:val="2"/>
          <w:szCs w:val="21"/>
          <w:highlight w:val="none"/>
        </w:rPr>
        <w:br w:type="page"/>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6" w:firstLineChars="200"/>
        <w:jc w:val="center"/>
        <w:rPr>
          <w:rFonts w:hint="eastAsia" w:ascii="宋体" w:hAnsi="宋体" w:cs="Arial"/>
          <w:b/>
          <w:color w:val="auto"/>
          <w:sz w:val="24"/>
          <w:highlight w:val="none"/>
        </w:rPr>
      </w:pPr>
      <w:bookmarkStart w:id="19" w:name="_Toc1792"/>
      <w:r>
        <w:rPr>
          <w:rFonts w:hint="eastAsia" w:ascii="宋体" w:hAnsi="宋体" w:cs="Arial"/>
          <w:b/>
          <w:color w:val="auto"/>
          <w:sz w:val="24"/>
          <w:highlight w:val="none"/>
        </w:rPr>
        <w:t>第</w:t>
      </w:r>
      <w:r>
        <w:rPr>
          <w:rFonts w:hint="eastAsia" w:ascii="宋体" w:hAnsi="宋体" w:cs="Arial"/>
          <w:b/>
          <w:color w:val="auto"/>
          <w:sz w:val="24"/>
          <w:highlight w:val="none"/>
          <w:lang w:val="en-US" w:eastAsia="zh-CN"/>
        </w:rPr>
        <w:t>四</w:t>
      </w:r>
      <w:r>
        <w:rPr>
          <w:rFonts w:hint="eastAsia" w:ascii="宋体" w:hAnsi="宋体" w:cs="Arial"/>
          <w:b/>
          <w:color w:val="auto"/>
          <w:sz w:val="24"/>
          <w:highlight w:val="none"/>
        </w:rPr>
        <w:t xml:space="preserve">部分 </w:t>
      </w:r>
      <w:bookmarkEnd w:id="19"/>
      <w:r>
        <w:rPr>
          <w:rFonts w:hint="eastAsia" w:ascii="宋体" w:hAnsi="宋体" w:cs="Arial"/>
          <w:b/>
          <w:color w:val="auto"/>
          <w:sz w:val="24"/>
          <w:highlight w:val="none"/>
        </w:rPr>
        <w:t>评标办法及评分标准</w:t>
      </w:r>
    </w:p>
    <w:p>
      <w:pPr>
        <w:spacing w:line="360" w:lineRule="auto"/>
        <w:ind w:firstLine="426" w:firstLineChars="200"/>
        <w:rPr>
          <w:bCs/>
          <w:color w:val="auto"/>
          <w:kern w:val="28"/>
          <w:szCs w:val="21"/>
          <w:highlight w:val="none"/>
        </w:rPr>
      </w:pPr>
      <w:r>
        <w:rPr>
          <w:bCs/>
          <w:color w:val="auto"/>
          <w:kern w:val="28"/>
          <w:szCs w:val="21"/>
          <w:highlight w:val="none"/>
        </w:rPr>
        <w:t>根据《中华人民共和国政府采购法》和本项目竞争性磋商文件，按照公平、公正、科学、择优的原则选择成交单位，特制定本办法。</w:t>
      </w:r>
    </w:p>
    <w:p>
      <w:pPr>
        <w:spacing w:line="360" w:lineRule="auto"/>
        <w:ind w:firstLine="426" w:firstLineChars="200"/>
        <w:rPr>
          <w:b/>
          <w:bCs/>
          <w:color w:val="auto"/>
          <w:kern w:val="28"/>
          <w:szCs w:val="21"/>
          <w:highlight w:val="none"/>
        </w:rPr>
      </w:pPr>
      <w:r>
        <w:rPr>
          <w:b/>
          <w:bCs/>
          <w:color w:val="auto"/>
          <w:kern w:val="28"/>
          <w:szCs w:val="21"/>
          <w:highlight w:val="none"/>
        </w:rPr>
        <w:t>一、 评定原则</w:t>
      </w:r>
    </w:p>
    <w:p>
      <w:pPr>
        <w:spacing w:line="360" w:lineRule="auto"/>
        <w:ind w:firstLine="426" w:firstLineChars="200"/>
        <w:rPr>
          <w:bCs/>
          <w:color w:val="auto"/>
          <w:kern w:val="28"/>
          <w:szCs w:val="21"/>
          <w:highlight w:val="none"/>
        </w:rPr>
      </w:pPr>
      <w:r>
        <w:rPr>
          <w:bCs/>
          <w:color w:val="auto"/>
          <w:kern w:val="28"/>
          <w:szCs w:val="21"/>
          <w:highlight w:val="none"/>
        </w:rPr>
        <w:t>评审工作遵循公平、公正、民主、科学的原则和诚实、信誉、效率的服务原则。本着科学、严谨的态度，认真进行评审，择优选定服务单位。确保服务质量，节约投资，最大限度的保护当事人权益，严格按照竞争性磋商文件的商务、技术要求，对竞争性磋商响应文件进行综合评定，编写评标报告。评定人员必须严格遵守保密规定，不得泄漏评定的有关情况，不得索贿受贿，不得接受吃请和礼品，不得参加影响公正评标的有关活动。供应商不得以任何方式干扰采购工作的进行，一经发现其竞争性磋商响应文件将被拒绝。</w:t>
      </w:r>
    </w:p>
    <w:p>
      <w:pPr>
        <w:spacing w:line="360" w:lineRule="auto"/>
        <w:ind w:firstLine="426" w:firstLineChars="200"/>
        <w:rPr>
          <w:b/>
          <w:bCs/>
          <w:color w:val="auto"/>
          <w:kern w:val="28"/>
          <w:szCs w:val="21"/>
          <w:highlight w:val="none"/>
        </w:rPr>
      </w:pPr>
      <w:r>
        <w:rPr>
          <w:b/>
          <w:bCs/>
          <w:color w:val="auto"/>
          <w:kern w:val="28"/>
          <w:szCs w:val="21"/>
          <w:highlight w:val="none"/>
        </w:rPr>
        <w:t>二、评标组织</w:t>
      </w:r>
    </w:p>
    <w:p>
      <w:pPr>
        <w:spacing w:line="360" w:lineRule="auto"/>
        <w:ind w:firstLine="426" w:firstLineChars="200"/>
        <w:rPr>
          <w:bCs/>
          <w:color w:val="auto"/>
          <w:kern w:val="28"/>
          <w:szCs w:val="21"/>
          <w:highlight w:val="none"/>
        </w:rPr>
      </w:pPr>
      <w:r>
        <w:rPr>
          <w:bCs/>
          <w:color w:val="auto"/>
          <w:kern w:val="28"/>
          <w:szCs w:val="21"/>
          <w:highlight w:val="none"/>
        </w:rPr>
        <w:t>开标后，采购人代表或招标代理机构首先对竞争性磋商响应文件进行资格性检查，凡供应商资格不符合竞争性磋商文件要求；竞争性磋商响应文件实质性内容和格式严重不符合有关规定或不响应竞争性磋商文件要求者，经竞争性磋商小组认定作为无效投标，不再进入后续竞争性磋商。</w:t>
      </w:r>
    </w:p>
    <w:p>
      <w:pPr>
        <w:spacing w:line="360" w:lineRule="auto"/>
        <w:ind w:firstLine="426" w:firstLineChars="200"/>
        <w:rPr>
          <w:bCs/>
          <w:color w:val="auto"/>
          <w:kern w:val="28"/>
          <w:szCs w:val="21"/>
          <w:highlight w:val="none"/>
        </w:rPr>
      </w:pPr>
      <w:r>
        <w:rPr>
          <w:bCs/>
          <w:color w:val="auto"/>
          <w:kern w:val="28"/>
          <w:szCs w:val="21"/>
          <w:highlight w:val="none"/>
        </w:rPr>
        <w:t>经资格性检查，竞争性磋商期间出现符合专业条件的供应商或者对竞争性磋商文件作出实质响应的供应商（有效供应商）不足三家，或供应商的报价均超过采购预算，按政府采购法律法规有关规定，依法继续进行或转为其它政府采购方式进行采购，或宣布本次招标失败，重新组织招标。</w:t>
      </w:r>
    </w:p>
    <w:p>
      <w:pPr>
        <w:spacing w:line="360" w:lineRule="auto"/>
        <w:ind w:firstLine="426" w:firstLineChars="200"/>
        <w:rPr>
          <w:b/>
          <w:color w:val="auto"/>
          <w:szCs w:val="21"/>
          <w:highlight w:val="none"/>
        </w:rPr>
      </w:pPr>
      <w:r>
        <w:rPr>
          <w:b/>
          <w:color w:val="auto"/>
          <w:szCs w:val="21"/>
          <w:highlight w:val="none"/>
        </w:rPr>
        <w:t>三、磋商流程</w:t>
      </w:r>
    </w:p>
    <w:p>
      <w:pPr>
        <w:spacing w:line="360" w:lineRule="auto"/>
        <w:ind w:firstLine="426" w:firstLineChars="200"/>
        <w:rPr>
          <w:bCs/>
          <w:color w:val="auto"/>
          <w:kern w:val="28"/>
          <w:szCs w:val="21"/>
          <w:highlight w:val="none"/>
        </w:rPr>
      </w:pPr>
      <w:r>
        <w:rPr>
          <w:bCs/>
          <w:color w:val="auto"/>
          <w:kern w:val="28"/>
          <w:szCs w:val="21"/>
          <w:highlight w:val="none"/>
        </w:rPr>
        <w:t>1</w:t>
      </w:r>
      <w:r>
        <w:rPr>
          <w:rFonts w:hint="eastAsia"/>
          <w:bCs/>
          <w:color w:val="auto"/>
          <w:kern w:val="28"/>
          <w:szCs w:val="21"/>
          <w:highlight w:val="none"/>
        </w:rPr>
        <w:t>.</w:t>
      </w:r>
      <w:r>
        <w:rPr>
          <w:bCs/>
          <w:color w:val="auto"/>
          <w:kern w:val="28"/>
          <w:szCs w:val="21"/>
          <w:highlight w:val="none"/>
        </w:rPr>
        <w:t>主持人宣布磋商的有关事项；</w:t>
      </w:r>
    </w:p>
    <w:p>
      <w:pPr>
        <w:spacing w:line="360" w:lineRule="auto"/>
        <w:ind w:firstLine="426" w:firstLineChars="200"/>
        <w:rPr>
          <w:bCs/>
          <w:color w:val="auto"/>
          <w:kern w:val="28"/>
          <w:szCs w:val="21"/>
          <w:highlight w:val="none"/>
        </w:rPr>
      </w:pPr>
      <w:bookmarkStart w:id="20" w:name="_Toc182848998"/>
      <w:r>
        <w:rPr>
          <w:bCs/>
          <w:color w:val="auto"/>
          <w:kern w:val="28"/>
          <w:szCs w:val="21"/>
          <w:highlight w:val="none"/>
        </w:rPr>
        <w:t>2</w:t>
      </w:r>
      <w:r>
        <w:rPr>
          <w:rFonts w:hint="eastAsia"/>
          <w:bCs/>
          <w:color w:val="auto"/>
          <w:kern w:val="28"/>
          <w:szCs w:val="21"/>
          <w:highlight w:val="none"/>
        </w:rPr>
        <w:t>.</w:t>
      </w:r>
      <w:r>
        <w:rPr>
          <w:bCs/>
          <w:color w:val="auto"/>
          <w:kern w:val="28"/>
          <w:szCs w:val="21"/>
          <w:highlight w:val="none"/>
        </w:rPr>
        <w:t>工作人员</w:t>
      </w:r>
      <w:bookmarkEnd w:id="20"/>
      <w:r>
        <w:rPr>
          <w:bCs/>
          <w:color w:val="auto"/>
          <w:kern w:val="28"/>
          <w:szCs w:val="21"/>
          <w:highlight w:val="none"/>
        </w:rPr>
        <w:t>开启磋商响应文件，供应商应在收到解密提示后30分钟内解密；</w:t>
      </w:r>
    </w:p>
    <w:p>
      <w:pPr>
        <w:spacing w:line="360" w:lineRule="auto"/>
        <w:ind w:firstLine="426" w:firstLineChars="200"/>
        <w:rPr>
          <w:bCs/>
          <w:color w:val="auto"/>
          <w:kern w:val="28"/>
          <w:szCs w:val="21"/>
          <w:highlight w:val="none"/>
        </w:rPr>
      </w:pPr>
      <w:r>
        <w:rPr>
          <w:bCs/>
          <w:color w:val="auto"/>
          <w:kern w:val="28"/>
          <w:szCs w:val="21"/>
          <w:highlight w:val="none"/>
        </w:rPr>
        <w:t>3</w:t>
      </w:r>
      <w:r>
        <w:rPr>
          <w:rFonts w:hint="eastAsia"/>
          <w:bCs/>
          <w:color w:val="auto"/>
          <w:kern w:val="28"/>
          <w:szCs w:val="21"/>
          <w:highlight w:val="none"/>
        </w:rPr>
        <w:t>.</w:t>
      </w:r>
      <w:r>
        <w:rPr>
          <w:bCs/>
          <w:color w:val="auto"/>
          <w:kern w:val="28"/>
          <w:szCs w:val="21"/>
          <w:highlight w:val="none"/>
        </w:rPr>
        <w:t>磋商小组对所提交的磋商响应资信及商务、技术文件进行审查，审查结束后，由主持人在线公布无效磋商响应方名单、磋商响应无效的原因、标项废标情况；</w:t>
      </w:r>
    </w:p>
    <w:p>
      <w:pPr>
        <w:spacing w:line="360" w:lineRule="auto"/>
        <w:ind w:firstLine="426" w:firstLineChars="200"/>
        <w:rPr>
          <w:bCs/>
          <w:color w:val="auto"/>
          <w:kern w:val="28"/>
          <w:szCs w:val="21"/>
          <w:highlight w:val="none"/>
        </w:rPr>
      </w:pPr>
      <w:r>
        <w:rPr>
          <w:bCs/>
          <w:color w:val="auto"/>
          <w:kern w:val="28"/>
          <w:szCs w:val="21"/>
          <w:highlight w:val="none"/>
        </w:rPr>
        <w:t>4</w:t>
      </w:r>
      <w:r>
        <w:rPr>
          <w:rFonts w:hint="eastAsia"/>
          <w:bCs/>
          <w:color w:val="auto"/>
          <w:kern w:val="28"/>
          <w:szCs w:val="21"/>
          <w:highlight w:val="none"/>
        </w:rPr>
        <w:t>.</w:t>
      </w:r>
      <w:r>
        <w:rPr>
          <w:bCs/>
          <w:color w:val="auto"/>
          <w:kern w:val="28"/>
          <w:szCs w:val="21"/>
          <w:highlight w:val="none"/>
        </w:rPr>
        <w:t>磋商小组视情况与各磋商响应方就公司情况、项目需求、售后服务、价格构成、供货时间、付款方式等要素分别进行磋商。逐家磋商一次为一个轮次，磋商轮次由磋商小组视情况决定。</w:t>
      </w:r>
    </w:p>
    <w:p>
      <w:pPr>
        <w:spacing w:line="360" w:lineRule="auto"/>
        <w:ind w:firstLine="426" w:firstLineChars="200"/>
        <w:rPr>
          <w:bCs/>
          <w:color w:val="auto"/>
          <w:kern w:val="28"/>
          <w:szCs w:val="21"/>
          <w:highlight w:val="none"/>
        </w:rPr>
      </w:pPr>
      <w:r>
        <w:rPr>
          <w:bCs/>
          <w:color w:val="auto"/>
          <w:kern w:val="28"/>
          <w:szCs w:val="21"/>
          <w:highlight w:val="none"/>
        </w:rPr>
        <w:t>5</w:t>
      </w:r>
      <w:r>
        <w:rPr>
          <w:rFonts w:hint="eastAsia"/>
          <w:bCs/>
          <w:color w:val="auto"/>
          <w:kern w:val="28"/>
          <w:szCs w:val="21"/>
          <w:highlight w:val="none"/>
        </w:rPr>
        <w:t>.</w:t>
      </w:r>
      <w:r>
        <w:rPr>
          <w:bCs/>
          <w:color w:val="auto"/>
          <w:kern w:val="28"/>
          <w:szCs w:val="21"/>
          <w:highlight w:val="none"/>
        </w:rPr>
        <w:t>磋商结束后，主持人宣布本次最终报价的最高限价，并要求各磋商响应方在规定时间（30分钟）内进行最终报价。在规定时间内没有提交最终报价的磋商供应商，视为放弃第二轮报价，其最终报价按上一轮报价为准（供应商明确放弃投标的情况除外）。</w:t>
      </w:r>
    </w:p>
    <w:p>
      <w:pPr>
        <w:spacing w:line="360" w:lineRule="auto"/>
        <w:ind w:firstLine="426" w:firstLineChars="200"/>
        <w:rPr>
          <w:bCs/>
          <w:color w:val="auto"/>
          <w:kern w:val="28"/>
          <w:szCs w:val="21"/>
          <w:highlight w:val="none"/>
        </w:rPr>
      </w:pPr>
      <w:r>
        <w:rPr>
          <w:bCs/>
          <w:color w:val="auto"/>
          <w:kern w:val="28"/>
          <w:szCs w:val="21"/>
          <w:highlight w:val="none"/>
        </w:rPr>
        <w:t>6</w:t>
      </w:r>
      <w:r>
        <w:rPr>
          <w:rFonts w:hint="eastAsia"/>
          <w:bCs/>
          <w:color w:val="auto"/>
          <w:kern w:val="28"/>
          <w:szCs w:val="21"/>
          <w:highlight w:val="none"/>
        </w:rPr>
        <w:t>.</w:t>
      </w:r>
      <w:r>
        <w:rPr>
          <w:bCs/>
          <w:color w:val="auto"/>
          <w:kern w:val="28"/>
          <w:szCs w:val="21"/>
          <w:highlight w:val="none"/>
        </w:rPr>
        <w:t>磋商小组根据评审方法对各磋商响应方的资信及商务、技术情况进行评审打分。系统按照磋商小组独立评定结果进行算术平均值计算。</w:t>
      </w:r>
    </w:p>
    <w:p>
      <w:pPr>
        <w:spacing w:line="360" w:lineRule="auto"/>
        <w:ind w:firstLine="426" w:firstLineChars="200"/>
        <w:rPr>
          <w:bCs/>
          <w:color w:val="auto"/>
          <w:kern w:val="28"/>
          <w:szCs w:val="21"/>
          <w:highlight w:val="none"/>
        </w:rPr>
      </w:pPr>
      <w:r>
        <w:rPr>
          <w:bCs/>
          <w:color w:val="auto"/>
          <w:kern w:val="28"/>
          <w:szCs w:val="21"/>
          <w:highlight w:val="none"/>
        </w:rPr>
        <w:t>7</w:t>
      </w:r>
      <w:r>
        <w:rPr>
          <w:rFonts w:hint="eastAsia"/>
          <w:bCs/>
          <w:color w:val="auto"/>
          <w:kern w:val="28"/>
          <w:szCs w:val="21"/>
          <w:highlight w:val="none"/>
        </w:rPr>
        <w:t>.</w:t>
      </w:r>
      <w:r>
        <w:rPr>
          <w:bCs/>
          <w:color w:val="auto"/>
          <w:kern w:val="28"/>
          <w:szCs w:val="21"/>
          <w:highlight w:val="none"/>
        </w:rPr>
        <w:t>主持人宣布磋商最终报价评审的有关事项。</w:t>
      </w:r>
    </w:p>
    <w:p>
      <w:pPr>
        <w:spacing w:line="360" w:lineRule="auto"/>
        <w:ind w:firstLine="426" w:firstLineChars="200"/>
        <w:rPr>
          <w:bCs/>
          <w:color w:val="auto"/>
          <w:kern w:val="28"/>
          <w:szCs w:val="21"/>
          <w:highlight w:val="none"/>
        </w:rPr>
      </w:pPr>
      <w:r>
        <w:rPr>
          <w:bCs/>
          <w:color w:val="auto"/>
          <w:kern w:val="28"/>
          <w:szCs w:val="21"/>
          <w:highlight w:val="none"/>
        </w:rPr>
        <w:t>8</w:t>
      </w:r>
      <w:r>
        <w:rPr>
          <w:rFonts w:hint="eastAsia"/>
          <w:bCs/>
          <w:color w:val="auto"/>
          <w:kern w:val="28"/>
          <w:szCs w:val="21"/>
          <w:highlight w:val="none"/>
        </w:rPr>
        <w:t>.</w:t>
      </w:r>
      <w:r>
        <w:rPr>
          <w:bCs/>
          <w:color w:val="auto"/>
          <w:kern w:val="28"/>
          <w:szCs w:val="21"/>
          <w:highlight w:val="none"/>
        </w:rPr>
        <w:t>磋商结束后，系统公布有效磋商响应方的总得分结果和推荐的中标候选人。</w:t>
      </w:r>
    </w:p>
    <w:p>
      <w:pPr>
        <w:spacing w:line="360" w:lineRule="auto"/>
        <w:ind w:firstLine="426" w:firstLineChars="200"/>
        <w:rPr>
          <w:bCs/>
          <w:color w:val="auto"/>
          <w:kern w:val="28"/>
          <w:szCs w:val="21"/>
          <w:highlight w:val="none"/>
        </w:rPr>
      </w:pPr>
      <w:r>
        <w:rPr>
          <w:bCs/>
          <w:color w:val="auto"/>
          <w:kern w:val="28"/>
          <w:szCs w:val="21"/>
          <w:highlight w:val="none"/>
        </w:rPr>
        <w:t>9</w:t>
      </w:r>
      <w:r>
        <w:rPr>
          <w:rFonts w:hint="eastAsia"/>
          <w:bCs/>
          <w:color w:val="auto"/>
          <w:kern w:val="28"/>
          <w:szCs w:val="21"/>
          <w:highlight w:val="none"/>
        </w:rPr>
        <w:t>.</w:t>
      </w:r>
      <w:r>
        <w:rPr>
          <w:bCs/>
          <w:color w:val="auto"/>
          <w:kern w:val="28"/>
          <w:szCs w:val="21"/>
          <w:highlight w:val="none"/>
        </w:rPr>
        <w:t>磋商原则：磋商小组必须公平、公正、客观，不带任何倾向性和启发性；不得向外界透露任何与磋商有关的内容；任何单位和个人不得干扰、影响磋商的正常进行；磋商小组及有关工作人员不得私下与磋商响应方接触。</w:t>
      </w:r>
    </w:p>
    <w:p>
      <w:pPr>
        <w:widowControl w:val="0"/>
        <w:spacing w:line="360" w:lineRule="auto"/>
        <w:ind w:firstLine="416" w:firstLineChars="196"/>
        <w:jc w:val="both"/>
        <w:outlineLvl w:val="0"/>
        <w:rPr>
          <w:b/>
          <w:bCs/>
          <w:color w:val="auto"/>
          <w:szCs w:val="21"/>
          <w:highlight w:val="none"/>
        </w:rPr>
      </w:pPr>
      <w:bookmarkStart w:id="21" w:name="_Toc423610067"/>
      <w:bookmarkStart w:id="22" w:name="_Toc11298"/>
      <w:bookmarkStart w:id="23" w:name="_Toc27912"/>
      <w:r>
        <w:rPr>
          <w:b/>
          <w:bCs/>
          <w:color w:val="auto"/>
          <w:szCs w:val="21"/>
          <w:highlight w:val="none"/>
        </w:rPr>
        <w:t>四、竞争性磋商评标办法</w:t>
      </w:r>
      <w:bookmarkEnd w:id="21"/>
      <w:bookmarkEnd w:id="22"/>
      <w:bookmarkEnd w:id="23"/>
    </w:p>
    <w:p>
      <w:pPr>
        <w:spacing w:line="360" w:lineRule="auto"/>
        <w:ind w:firstLine="420"/>
        <w:outlineLvl w:val="0"/>
        <w:rPr>
          <w:color w:val="auto"/>
          <w:szCs w:val="21"/>
          <w:highlight w:val="none"/>
        </w:rPr>
      </w:pPr>
      <w:bookmarkStart w:id="24" w:name="_Toc31540"/>
      <w:bookmarkStart w:id="25" w:name="_Toc423610068"/>
      <w:bookmarkStart w:id="26" w:name="_Toc26970"/>
      <w:r>
        <w:rPr>
          <w:color w:val="auto"/>
          <w:szCs w:val="21"/>
          <w:highlight w:val="none"/>
        </w:rPr>
        <w:t>（一）本评标办法采用百分制综合评估法。总分100分，其中资信技术</w:t>
      </w:r>
      <w:r>
        <w:rPr>
          <w:rFonts w:hint="eastAsia"/>
          <w:color w:val="auto"/>
          <w:szCs w:val="21"/>
          <w:highlight w:val="none"/>
          <w:lang w:val="en-US" w:eastAsia="zh-CN"/>
        </w:rPr>
        <w:t>90</w:t>
      </w:r>
      <w:r>
        <w:rPr>
          <w:color w:val="auto"/>
          <w:szCs w:val="21"/>
          <w:highlight w:val="none"/>
        </w:rPr>
        <w:t>分，报价</w:t>
      </w:r>
      <w:r>
        <w:rPr>
          <w:rFonts w:hint="eastAsia"/>
          <w:color w:val="auto"/>
          <w:szCs w:val="21"/>
          <w:highlight w:val="none"/>
          <w:lang w:val="en-US" w:eastAsia="zh-CN"/>
        </w:rPr>
        <w:t>10</w:t>
      </w:r>
      <w:r>
        <w:rPr>
          <w:color w:val="auto"/>
          <w:szCs w:val="21"/>
          <w:highlight w:val="none"/>
        </w:rPr>
        <w:t>分。最大限度地满足采购需求中规定的各项综合评价标准且综合得分最高的投标人，将被推荐为排序第一的中标候选人。</w:t>
      </w:r>
      <w:bookmarkEnd w:id="24"/>
      <w:bookmarkEnd w:id="25"/>
      <w:bookmarkEnd w:id="26"/>
    </w:p>
    <w:p>
      <w:pPr>
        <w:widowControl w:val="0"/>
        <w:spacing w:line="360" w:lineRule="auto"/>
        <w:ind w:firstLine="312" w:firstLineChars="147"/>
        <w:jc w:val="both"/>
        <w:outlineLvl w:val="0"/>
        <w:rPr>
          <w:color w:val="auto"/>
          <w:szCs w:val="21"/>
          <w:highlight w:val="none"/>
        </w:rPr>
      </w:pPr>
      <w:bookmarkStart w:id="27" w:name="_Toc32438"/>
      <w:bookmarkStart w:id="28" w:name="_Toc19850"/>
      <w:bookmarkStart w:id="29" w:name="_Toc423610113"/>
      <w:r>
        <w:rPr>
          <w:color w:val="auto"/>
          <w:szCs w:val="21"/>
          <w:highlight w:val="none"/>
        </w:rPr>
        <w:t>各磋商小组成员按下列评分项目进行评定，每人一张评分计算表，由磋商小组成员各自评定打分并记实名。如任何一张表的一项评分内容分值超过规定的范围，则该张表无效。各磋商小组成员对各供应商的各项评分内容进行评审、独立打分，所有磋商小组成员的评分的算术平均值为该供应商技术资信部分的最终得分（四舍五入，保留小数点后二位）。下述评分项缺项按0分计。</w:t>
      </w:r>
      <w:bookmarkEnd w:id="27"/>
      <w:bookmarkEnd w:id="28"/>
    </w:p>
    <w:tbl>
      <w:tblPr>
        <w:tblStyle w:val="30"/>
        <w:tblpPr w:leftFromText="180" w:rightFromText="180" w:vertAnchor="text" w:tblpXSpec="center" w:tblpY="1"/>
        <w:tblOverlap w:val="never"/>
        <w:tblW w:w="9799" w:type="dxa"/>
        <w:tblInd w:w="-6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188"/>
        <w:gridCol w:w="7142"/>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blHeader/>
        </w:trPr>
        <w:tc>
          <w:tcPr>
            <w:tcW w:w="65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bookmarkStart w:id="30" w:name="_Toc10334"/>
            <w:bookmarkStart w:id="31" w:name="_Toc13204"/>
            <w:r>
              <w:rPr>
                <w:rFonts w:hint="eastAsia" w:ascii="宋体" w:hAnsi="宋体" w:eastAsia="宋体" w:cs="宋体"/>
                <w:color w:val="auto"/>
                <w:sz w:val="21"/>
                <w:szCs w:val="21"/>
                <w:highlight w:val="none"/>
              </w:rPr>
              <w:t>序号</w:t>
            </w:r>
          </w:p>
        </w:tc>
        <w:tc>
          <w:tcPr>
            <w:tcW w:w="118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评分内容</w:t>
            </w:r>
          </w:p>
        </w:tc>
        <w:tc>
          <w:tcPr>
            <w:tcW w:w="714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评分要求</w:t>
            </w:r>
          </w:p>
        </w:tc>
        <w:tc>
          <w:tcPr>
            <w:tcW w:w="8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65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8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管理体系</w:t>
            </w:r>
          </w:p>
        </w:tc>
        <w:tc>
          <w:tcPr>
            <w:tcW w:w="7142" w:type="dxa"/>
            <w:noWrap w:val="0"/>
            <w:vAlign w:val="center"/>
          </w:tcPr>
          <w:p>
            <w:pPr>
              <w:adjustRightInd w:val="0"/>
              <w:snapToGrid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投标人具有质量管理体系认证、环境管理体系认证、职业健康安全管理体系认证证书的，每个得</w:t>
            </w:r>
            <w:r>
              <w:rPr>
                <w:rFonts w:hint="eastAsia"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p>
          <w:p>
            <w:pPr>
              <w:keepNext w:val="0"/>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注：提供相关证明材料扫描件并加盖投标人公章，未提供不得分。</w:t>
            </w:r>
          </w:p>
        </w:tc>
        <w:tc>
          <w:tcPr>
            <w:tcW w:w="8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eastAsia="宋体" w:cs="宋体"/>
                <w:color w:val="auto"/>
                <w:sz w:val="21"/>
                <w:szCs w:val="21"/>
                <w:highlight w:val="no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65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18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荣誉</w:t>
            </w:r>
            <w:r>
              <w:rPr>
                <w:rFonts w:hint="eastAsia" w:ascii="宋体" w:hAnsi="宋体" w:eastAsia="宋体" w:cs="宋体"/>
                <w:color w:val="auto"/>
                <w:sz w:val="21"/>
                <w:szCs w:val="21"/>
                <w:highlight w:val="none"/>
                <w:lang w:val="en-US" w:eastAsia="zh-CN"/>
              </w:rPr>
              <w:t>证书</w:t>
            </w:r>
          </w:p>
        </w:tc>
        <w:tc>
          <w:tcPr>
            <w:tcW w:w="7142" w:type="dxa"/>
            <w:noWrap w:val="0"/>
            <w:vAlign w:val="center"/>
          </w:tcPr>
          <w:p>
            <w:pPr>
              <w:adjustRightInd w:val="0"/>
              <w:snapToGrid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自</w:t>
            </w:r>
            <w:r>
              <w:rPr>
                <w:rFonts w:hint="eastAsia" w:eastAsia="宋体" w:cs="宋体"/>
                <w:color w:val="auto"/>
                <w:sz w:val="21"/>
                <w:szCs w:val="21"/>
                <w:highlight w:val="none"/>
                <w:lang w:val="en-US" w:eastAsia="zh-CN"/>
              </w:rPr>
              <w:t>2022</w:t>
            </w:r>
            <w:r>
              <w:rPr>
                <w:rFonts w:hint="eastAsia" w:ascii="宋体" w:hAnsi="宋体" w:eastAsia="宋体" w:cs="宋体"/>
                <w:color w:val="auto"/>
                <w:sz w:val="21"/>
                <w:szCs w:val="21"/>
                <w:highlight w:val="none"/>
              </w:rPr>
              <w:t>年1月1日以来投标人获得</w:t>
            </w:r>
            <w:r>
              <w:rPr>
                <w:rFonts w:hint="eastAsia" w:eastAsia="宋体" w:cs="宋体"/>
                <w:color w:val="auto"/>
                <w:sz w:val="21"/>
                <w:szCs w:val="21"/>
                <w:highlight w:val="none"/>
                <w:lang w:val="en-US" w:eastAsia="zh-CN"/>
              </w:rPr>
              <w:t>测绘类</w:t>
            </w:r>
            <w:r>
              <w:rPr>
                <w:rFonts w:hint="eastAsia" w:ascii="宋体" w:hAnsi="宋体" w:eastAsia="宋体" w:cs="宋体"/>
                <w:color w:val="auto"/>
                <w:sz w:val="21"/>
                <w:szCs w:val="21"/>
                <w:highlight w:val="none"/>
              </w:rPr>
              <w:t>市级</w:t>
            </w:r>
            <w:r>
              <w:rPr>
                <w:rFonts w:hint="eastAsia" w:eastAsia="宋体" w:cs="宋体"/>
                <w:color w:val="auto"/>
                <w:sz w:val="21"/>
                <w:szCs w:val="21"/>
                <w:highlight w:val="none"/>
                <w:lang w:val="en-US" w:eastAsia="zh-CN"/>
              </w:rPr>
              <w:t>或市级以上</w:t>
            </w:r>
            <w:r>
              <w:rPr>
                <w:rFonts w:hint="eastAsia" w:ascii="宋体" w:hAnsi="宋体" w:eastAsia="宋体" w:cs="宋体"/>
                <w:color w:val="auto"/>
                <w:sz w:val="21"/>
                <w:szCs w:val="21"/>
                <w:highlight w:val="none"/>
              </w:rPr>
              <w:t>奖项（</w:t>
            </w:r>
            <w:r>
              <w:rPr>
                <w:rFonts w:hint="eastAsia" w:eastAsia="宋体" w:cs="宋体"/>
                <w:color w:val="auto"/>
                <w:sz w:val="21"/>
                <w:szCs w:val="21"/>
                <w:highlight w:val="none"/>
                <w:lang w:val="en-US" w:eastAsia="zh-CN"/>
              </w:rPr>
              <w:t>政府部门、测绘</w:t>
            </w:r>
            <w:r>
              <w:rPr>
                <w:rFonts w:hint="eastAsia" w:ascii="宋体" w:hAnsi="宋体" w:eastAsia="宋体" w:cs="宋体"/>
                <w:color w:val="auto"/>
                <w:sz w:val="21"/>
                <w:szCs w:val="21"/>
                <w:highlight w:val="none"/>
              </w:rPr>
              <w:t>学会或</w:t>
            </w:r>
            <w:r>
              <w:rPr>
                <w:rFonts w:hint="eastAsia" w:eastAsia="宋体" w:cs="宋体"/>
                <w:color w:val="auto"/>
                <w:sz w:val="21"/>
                <w:szCs w:val="21"/>
                <w:highlight w:val="none"/>
                <w:lang w:val="en-US" w:eastAsia="zh-CN"/>
              </w:rPr>
              <w:t>测绘</w:t>
            </w:r>
            <w:r>
              <w:rPr>
                <w:rFonts w:hint="eastAsia" w:ascii="宋体" w:hAnsi="宋体" w:eastAsia="宋体" w:cs="宋体"/>
                <w:color w:val="auto"/>
                <w:sz w:val="21"/>
                <w:szCs w:val="21"/>
                <w:highlight w:val="none"/>
              </w:rPr>
              <w:t>协会均可）的得</w:t>
            </w:r>
            <w:r>
              <w:rPr>
                <w:rFonts w:hint="eastAsia"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eastAsia="宋体" w:cs="宋体"/>
                <w:color w:val="auto"/>
                <w:sz w:val="21"/>
                <w:szCs w:val="21"/>
                <w:highlight w:val="none"/>
                <w:lang w:eastAsia="zh-CN"/>
              </w:rPr>
              <w:t>，</w:t>
            </w:r>
            <w:r>
              <w:rPr>
                <w:rFonts w:hint="eastAsia" w:eastAsia="宋体" w:cs="宋体"/>
                <w:color w:val="auto"/>
                <w:sz w:val="21"/>
                <w:szCs w:val="21"/>
                <w:highlight w:val="none"/>
                <w:lang w:val="en-US" w:eastAsia="zh-CN"/>
              </w:rPr>
              <w:t>最高得2分</w:t>
            </w:r>
            <w:r>
              <w:rPr>
                <w:rFonts w:hint="eastAsia" w:ascii="宋体" w:hAnsi="宋体" w:eastAsia="宋体" w:cs="宋体"/>
                <w:color w:val="auto"/>
                <w:sz w:val="21"/>
                <w:szCs w:val="21"/>
                <w:highlight w:val="none"/>
                <w:lang w:eastAsia="zh-CN"/>
              </w:rPr>
              <w:t>。</w:t>
            </w:r>
          </w:p>
          <w:p>
            <w:pPr>
              <w:keepNext w:val="0"/>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投标文件中需提供证书原件扫描件或复印件并加盖投标投标人公章，否则不得分。</w:t>
            </w:r>
          </w:p>
        </w:tc>
        <w:tc>
          <w:tcPr>
            <w:tcW w:w="8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eastAsia="宋体" w:cs="宋体"/>
                <w:color w:val="auto"/>
                <w:sz w:val="21"/>
                <w:szCs w:val="21"/>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653"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188"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类似项目</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tc>
        <w:tc>
          <w:tcPr>
            <w:tcW w:w="7142"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bCs/>
                <w:color w:val="auto"/>
                <w:sz w:val="21"/>
                <w:szCs w:val="21"/>
                <w:highlight w:val="none"/>
              </w:rPr>
            </w:pPr>
            <w:r>
              <w:rPr>
                <w:rFonts w:hint="eastAsia" w:eastAsia="宋体" w:cs="宋体"/>
                <w:color w:val="auto"/>
                <w:sz w:val="21"/>
                <w:szCs w:val="21"/>
                <w:highlight w:val="none"/>
                <w:lang w:val="en-US" w:eastAsia="zh-CN"/>
              </w:rPr>
              <w:t>2022</w:t>
            </w:r>
            <w:r>
              <w:rPr>
                <w:rFonts w:hint="eastAsia" w:ascii="宋体" w:hAnsi="宋体" w:eastAsia="宋体" w:cs="宋体"/>
                <w:bCs/>
                <w:color w:val="auto"/>
                <w:sz w:val="21"/>
                <w:szCs w:val="21"/>
                <w:highlight w:val="none"/>
              </w:rPr>
              <w:t>年1月1日至今</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以合同签订时间为准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，投标人承担过</w:t>
            </w:r>
            <w:r>
              <w:rPr>
                <w:rFonts w:hint="eastAsia" w:eastAsia="宋体" w:cs="宋体"/>
                <w:bCs/>
                <w:color w:val="auto"/>
                <w:sz w:val="21"/>
                <w:szCs w:val="21"/>
                <w:highlight w:val="none"/>
                <w:lang w:val="en-US" w:eastAsia="zh-CN"/>
              </w:rPr>
              <w:t>自然资源规划部门</w:t>
            </w:r>
            <w:r>
              <w:rPr>
                <w:rFonts w:hint="eastAsia" w:ascii="宋体" w:hAnsi="宋体" w:eastAsia="宋体" w:cs="宋体"/>
                <w:bCs/>
                <w:color w:val="auto"/>
                <w:sz w:val="21"/>
                <w:szCs w:val="21"/>
                <w:highlight w:val="none"/>
              </w:rPr>
              <w:t>技术合作服务项目的，每个得</w:t>
            </w:r>
            <w:r>
              <w:rPr>
                <w:rFonts w:hint="eastAsia" w:ascii="宋体" w:hAnsi="宋体" w:eastAsia="宋体" w:cs="宋体"/>
                <w:bCs/>
                <w:color w:val="auto"/>
                <w:sz w:val="21"/>
                <w:szCs w:val="21"/>
                <w:highlight w:val="none"/>
                <w:lang w:val="en-US" w:eastAsia="zh-CN"/>
              </w:rPr>
              <w:t>0.5</w:t>
            </w:r>
            <w:r>
              <w:rPr>
                <w:rFonts w:hint="eastAsia" w:ascii="宋体" w:hAnsi="宋体" w:eastAsia="宋体" w:cs="宋体"/>
                <w:bCs/>
                <w:color w:val="auto"/>
                <w:sz w:val="21"/>
                <w:szCs w:val="21"/>
                <w:highlight w:val="none"/>
              </w:rPr>
              <w:t>分，最高得</w:t>
            </w:r>
            <w:r>
              <w:rPr>
                <w:rFonts w:hint="eastAsia"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注：提供合同复印件</w:t>
            </w:r>
            <w:r>
              <w:rPr>
                <w:rFonts w:hint="eastAsia"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lang w:val="en-US" w:eastAsia="zh-CN"/>
              </w:rPr>
              <w:t>加盖投标人公章，否则不得分。</w:t>
            </w:r>
          </w:p>
        </w:tc>
        <w:tc>
          <w:tcPr>
            <w:tcW w:w="816"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eastAsia="宋体" w:cs="宋体"/>
                <w:color w:val="auto"/>
                <w:sz w:val="21"/>
                <w:szCs w:val="21"/>
                <w:highlight w:val="none"/>
                <w:lang w:val="en-US" w:eastAsia="zh-CN"/>
              </w:rPr>
            </w:pPr>
            <w:r>
              <w:rPr>
                <w:rFonts w:hint="eastAsia" w:eastAsia="宋体" w:cs="宋体"/>
                <w:color w:val="auto"/>
                <w:sz w:val="21"/>
                <w:szCs w:val="21"/>
                <w:highlight w:val="no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trPr>
        <w:tc>
          <w:tcPr>
            <w:tcW w:w="653"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188"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项目理解</w:t>
            </w:r>
          </w:p>
        </w:tc>
        <w:tc>
          <w:tcPr>
            <w:tcW w:w="7142"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根据投标人对项目背景和现状、相关标准及规范、需求进行了解</w:t>
            </w:r>
            <w:r>
              <w:rPr>
                <w:rFonts w:hint="eastAsia" w:ascii="宋体" w:hAnsi="宋体" w:eastAsia="宋体" w:cs="宋体"/>
                <w:color w:val="auto"/>
                <w:sz w:val="21"/>
                <w:szCs w:val="21"/>
                <w:highlight w:val="none"/>
                <w:lang w:val="en-US" w:eastAsia="zh-CN"/>
              </w:rPr>
              <w:t>并分析。</w:t>
            </w:r>
            <w:r>
              <w:rPr>
                <w:rFonts w:hint="eastAsia" w:ascii="宋体" w:hAnsi="宋体" w:eastAsia="宋体" w:cs="宋体"/>
                <w:color w:val="auto"/>
                <w:sz w:val="21"/>
                <w:szCs w:val="21"/>
                <w:highlight w:val="none"/>
              </w:rPr>
              <w:t>需求了解充分，分析透彻、与招标文件的符合度高的得</w:t>
            </w:r>
            <w:r>
              <w:rPr>
                <w:rFonts w:hint="eastAsia"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分，分析</w:t>
            </w:r>
            <w:r>
              <w:rPr>
                <w:rFonts w:hint="eastAsia" w:eastAsia="宋体" w:cs="宋体"/>
                <w:color w:val="auto"/>
                <w:sz w:val="21"/>
                <w:szCs w:val="21"/>
                <w:highlight w:val="none"/>
                <w:lang w:val="en-US" w:eastAsia="zh-CN"/>
              </w:rPr>
              <w:t>较差、</w:t>
            </w:r>
            <w:r>
              <w:rPr>
                <w:rFonts w:hint="eastAsia" w:ascii="宋体" w:hAnsi="宋体" w:eastAsia="宋体" w:cs="宋体"/>
                <w:color w:val="auto"/>
                <w:sz w:val="21"/>
                <w:szCs w:val="21"/>
                <w:highlight w:val="none"/>
              </w:rPr>
              <w:t>符合度</w:t>
            </w:r>
            <w:r>
              <w:rPr>
                <w:rFonts w:hint="eastAsia" w:eastAsia="宋体" w:cs="宋体"/>
                <w:color w:val="auto"/>
                <w:sz w:val="21"/>
                <w:szCs w:val="21"/>
                <w:highlight w:val="none"/>
                <w:lang w:val="en-US" w:eastAsia="zh-CN"/>
              </w:rPr>
              <w:t>不高</w:t>
            </w:r>
            <w:r>
              <w:rPr>
                <w:rFonts w:hint="eastAsia" w:ascii="宋体" w:hAnsi="宋体" w:eastAsia="宋体" w:cs="宋体"/>
                <w:color w:val="auto"/>
                <w:sz w:val="21"/>
                <w:szCs w:val="21"/>
                <w:highlight w:val="none"/>
              </w:rPr>
              <w:t>的得</w:t>
            </w:r>
            <w:r>
              <w:rPr>
                <w:rFonts w:hint="eastAsia"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816"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eastAsia="宋体" w:cs="宋体"/>
                <w:color w:val="auto"/>
                <w:sz w:val="21"/>
                <w:szCs w:val="21"/>
                <w:highlight w:val="none"/>
                <w:lang w:val="en-US" w:eastAsia="zh-CN"/>
              </w:rPr>
            </w:pPr>
            <w:r>
              <w:rPr>
                <w:rFonts w:hint="eastAsia" w:eastAsia="宋体" w:cs="宋体"/>
                <w:color w:val="auto"/>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653"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188"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技术</w:t>
            </w:r>
            <w:r>
              <w:rPr>
                <w:rFonts w:hint="eastAsia" w:ascii="宋体" w:hAnsi="宋体" w:eastAsia="宋体" w:cs="宋体"/>
                <w:color w:val="auto"/>
                <w:sz w:val="21"/>
                <w:szCs w:val="21"/>
                <w:highlight w:val="none"/>
                <w:lang w:val="en-US" w:eastAsia="zh-CN"/>
              </w:rPr>
              <w:t>方案</w:t>
            </w:r>
          </w:p>
        </w:tc>
        <w:tc>
          <w:tcPr>
            <w:tcW w:w="714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1"/>
                <w:szCs w:val="21"/>
                <w:highlight w:val="none"/>
                <w:lang w:eastAsia="zh-CN"/>
              </w:rPr>
            </w:pPr>
            <w:r>
              <w:rPr>
                <w:rFonts w:hint="eastAsia" w:eastAsia="宋体" w:cs="宋体"/>
                <w:bCs/>
                <w:color w:val="auto"/>
                <w:sz w:val="21"/>
                <w:szCs w:val="21"/>
                <w:highlight w:val="none"/>
                <w:lang w:val="en-US" w:eastAsia="zh-CN"/>
              </w:rPr>
              <w:t>1、技术</w:t>
            </w:r>
            <w:r>
              <w:rPr>
                <w:rFonts w:hint="eastAsia" w:ascii="宋体" w:hAnsi="宋体" w:eastAsia="宋体" w:cs="宋体"/>
                <w:bCs/>
                <w:color w:val="auto"/>
                <w:sz w:val="21"/>
                <w:szCs w:val="21"/>
                <w:highlight w:val="none"/>
              </w:rPr>
              <w:t>方案设计合理且技术路线阐述符合招标文件要求的得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bCs/>
                <w:color w:val="auto"/>
                <w:sz w:val="21"/>
                <w:szCs w:val="21"/>
                <w:highlight w:val="none"/>
              </w:rPr>
              <w:t>分；方案设计一般且技术路线阐述</w:t>
            </w:r>
            <w:r>
              <w:rPr>
                <w:rFonts w:hint="eastAsia" w:ascii="宋体" w:hAnsi="宋体" w:eastAsia="宋体" w:cs="宋体"/>
                <w:bCs/>
                <w:color w:val="auto"/>
                <w:sz w:val="21"/>
                <w:szCs w:val="21"/>
                <w:highlight w:val="none"/>
                <w:lang w:val="en-US" w:eastAsia="zh-CN"/>
              </w:rPr>
              <w:t>基本符合招标文件要求</w:t>
            </w:r>
            <w:r>
              <w:rPr>
                <w:rFonts w:hint="eastAsia" w:ascii="宋体" w:hAnsi="宋体" w:eastAsia="宋体" w:cs="宋体"/>
                <w:bCs/>
                <w:color w:val="auto"/>
                <w:sz w:val="21"/>
                <w:szCs w:val="21"/>
                <w:highlight w:val="none"/>
              </w:rPr>
              <w:t>的得</w:t>
            </w:r>
            <w:r>
              <w:rPr>
                <w:rFonts w:hint="eastAsia"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bCs/>
                <w:color w:val="auto"/>
                <w:sz w:val="21"/>
                <w:szCs w:val="21"/>
                <w:highlight w:val="none"/>
              </w:rPr>
              <w:t>分</w:t>
            </w:r>
            <w:r>
              <w:rPr>
                <w:rFonts w:hint="eastAsia"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方案设计</w:t>
            </w:r>
            <w:r>
              <w:rPr>
                <w:rFonts w:hint="eastAsia" w:ascii="宋体" w:hAnsi="宋体" w:eastAsia="宋体" w:cs="宋体"/>
                <w:bCs/>
                <w:color w:val="auto"/>
                <w:sz w:val="21"/>
                <w:szCs w:val="21"/>
                <w:highlight w:val="none"/>
                <w:lang w:val="en-US" w:eastAsia="zh-CN"/>
              </w:rPr>
              <w:t>较差</w:t>
            </w:r>
            <w:r>
              <w:rPr>
                <w:rFonts w:hint="eastAsia" w:ascii="宋体" w:hAnsi="宋体" w:eastAsia="宋体" w:cs="宋体"/>
                <w:bCs/>
                <w:color w:val="auto"/>
                <w:sz w:val="21"/>
                <w:szCs w:val="21"/>
                <w:highlight w:val="none"/>
              </w:rPr>
              <w:t>且技术路线阐述</w:t>
            </w:r>
            <w:r>
              <w:rPr>
                <w:rFonts w:hint="eastAsia" w:ascii="宋体" w:hAnsi="宋体" w:eastAsia="宋体" w:cs="宋体"/>
                <w:bCs/>
                <w:color w:val="auto"/>
                <w:sz w:val="21"/>
                <w:szCs w:val="21"/>
                <w:highlight w:val="none"/>
                <w:lang w:val="en-US" w:eastAsia="zh-CN"/>
              </w:rPr>
              <w:t>模糊</w:t>
            </w:r>
            <w:r>
              <w:rPr>
                <w:rFonts w:hint="eastAsia" w:ascii="宋体" w:hAnsi="宋体" w:eastAsia="宋体" w:cs="宋体"/>
                <w:bCs/>
                <w:color w:val="auto"/>
                <w:sz w:val="21"/>
                <w:szCs w:val="21"/>
                <w:highlight w:val="none"/>
              </w:rPr>
              <w:t>的得</w:t>
            </w:r>
            <w:r>
              <w:rPr>
                <w:rFonts w:hint="eastAsia"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eastAsia="宋体" w:cs="宋体"/>
                <w:color w:val="auto"/>
                <w:sz w:val="21"/>
                <w:szCs w:val="21"/>
                <w:highlight w:val="none"/>
                <w:lang w:val="en-US" w:eastAsia="zh-CN"/>
              </w:rPr>
              <w:t>2</w:t>
            </w:r>
            <w:r>
              <w:rPr>
                <w:rFonts w:hint="eastAsia" w:ascii="宋体" w:hAnsi="宋体" w:eastAsia="宋体" w:cs="宋体"/>
                <w:bCs/>
                <w:color w:val="auto"/>
                <w:sz w:val="21"/>
                <w:szCs w:val="21"/>
                <w:highlight w:val="none"/>
              </w:rPr>
              <w:t>分</w:t>
            </w:r>
            <w:r>
              <w:rPr>
                <w:rFonts w:hint="eastAsia" w:eastAsia="宋体" w:cs="宋体"/>
                <w:bCs/>
                <w:color w:val="auto"/>
                <w:sz w:val="21"/>
                <w:szCs w:val="21"/>
                <w:highlight w:val="none"/>
                <w:lang w:eastAsia="zh-CN"/>
              </w:rPr>
              <w:t>。</w:t>
            </w:r>
          </w:p>
        </w:tc>
        <w:tc>
          <w:tcPr>
            <w:tcW w:w="8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eastAsia="宋体" w:cs="宋体"/>
                <w:color w:val="auto"/>
                <w:sz w:val="21"/>
                <w:szCs w:val="21"/>
                <w:highlight w:val="none"/>
                <w:lang w:val="en-US" w:eastAsia="zh-CN"/>
              </w:rPr>
            </w:pPr>
            <w:r>
              <w:rPr>
                <w:rFonts w:hint="eastAsia" w:eastAsia="宋体" w:cs="宋体"/>
                <w:color w:val="auto"/>
                <w:sz w:val="21"/>
                <w:szCs w:val="21"/>
                <w:highlight w:val="no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65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118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714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1"/>
                <w:szCs w:val="21"/>
                <w:highlight w:val="none"/>
              </w:rPr>
            </w:pPr>
            <w:r>
              <w:rPr>
                <w:rFonts w:hint="eastAsia" w:eastAsia="宋体" w:cs="宋体"/>
                <w:color w:val="auto"/>
                <w:sz w:val="21"/>
                <w:szCs w:val="21"/>
                <w:highlight w:val="none"/>
                <w:lang w:val="en-US" w:eastAsia="zh-CN"/>
              </w:rPr>
              <w:t>2、技术</w:t>
            </w:r>
            <w:r>
              <w:rPr>
                <w:rFonts w:hint="eastAsia" w:ascii="宋体" w:hAnsi="宋体" w:eastAsia="宋体" w:cs="宋体"/>
                <w:color w:val="auto"/>
                <w:sz w:val="21"/>
                <w:szCs w:val="21"/>
                <w:highlight w:val="none"/>
              </w:rPr>
              <w:t>方案针对性强且应答详尽符合不动产</w:t>
            </w:r>
            <w:r>
              <w:rPr>
                <w:rFonts w:hint="eastAsia" w:ascii="宋体" w:hAnsi="宋体" w:eastAsia="宋体" w:cs="宋体"/>
                <w:color w:val="auto"/>
                <w:sz w:val="21"/>
                <w:szCs w:val="21"/>
                <w:highlight w:val="none"/>
                <w:lang w:val="en-US" w:eastAsia="zh-CN"/>
              </w:rPr>
              <w:t>测绘</w:t>
            </w:r>
            <w:r>
              <w:rPr>
                <w:rFonts w:hint="eastAsia" w:ascii="宋体" w:hAnsi="宋体" w:eastAsia="宋体" w:cs="宋体"/>
                <w:color w:val="auto"/>
                <w:sz w:val="21"/>
                <w:szCs w:val="21"/>
                <w:highlight w:val="none"/>
              </w:rPr>
              <w:t>相关实际的得</w:t>
            </w:r>
            <w:r>
              <w:rPr>
                <w:rFonts w:hint="eastAsia"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分；投标方案针对性</w:t>
            </w:r>
            <w:r>
              <w:rPr>
                <w:rFonts w:hint="eastAsia" w:eastAsia="宋体" w:cs="宋体"/>
                <w:color w:val="auto"/>
                <w:sz w:val="21"/>
                <w:szCs w:val="21"/>
                <w:highlight w:val="none"/>
                <w:lang w:val="en-US" w:eastAsia="zh-CN"/>
              </w:rPr>
              <w:t>一般</w:t>
            </w:r>
            <w:r>
              <w:rPr>
                <w:rFonts w:hint="eastAsia" w:ascii="宋体" w:hAnsi="宋体" w:eastAsia="宋体" w:cs="宋体"/>
                <w:color w:val="auto"/>
                <w:sz w:val="21"/>
                <w:szCs w:val="21"/>
                <w:highlight w:val="none"/>
              </w:rPr>
              <w:t>且应答</w:t>
            </w:r>
            <w:r>
              <w:rPr>
                <w:rFonts w:hint="eastAsia" w:eastAsia="宋体" w:cs="宋体"/>
                <w:color w:val="auto"/>
                <w:sz w:val="21"/>
                <w:szCs w:val="21"/>
                <w:highlight w:val="none"/>
                <w:lang w:val="en-US" w:eastAsia="zh-CN"/>
              </w:rPr>
              <w:t>基本符合实际</w:t>
            </w:r>
            <w:r>
              <w:rPr>
                <w:rFonts w:hint="eastAsia" w:ascii="宋体" w:hAnsi="宋体" w:eastAsia="宋体" w:cs="宋体"/>
                <w:color w:val="auto"/>
                <w:sz w:val="21"/>
                <w:szCs w:val="21"/>
                <w:highlight w:val="none"/>
              </w:rPr>
              <w:t>的得</w:t>
            </w:r>
            <w:r>
              <w:rPr>
                <w:rFonts w:hint="eastAsia"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eastAsia="宋体" w:cs="宋体"/>
                <w:color w:val="auto"/>
                <w:sz w:val="21"/>
                <w:szCs w:val="21"/>
                <w:highlight w:val="none"/>
                <w:lang w:eastAsia="zh-CN"/>
              </w:rPr>
              <w:t>；</w:t>
            </w:r>
            <w:r>
              <w:rPr>
                <w:rFonts w:hint="eastAsia" w:ascii="宋体" w:hAnsi="宋体" w:eastAsia="宋体" w:cs="宋体"/>
                <w:color w:val="auto"/>
                <w:sz w:val="21"/>
                <w:szCs w:val="21"/>
                <w:highlight w:val="none"/>
              </w:rPr>
              <w:t>投标方案针对性</w:t>
            </w:r>
            <w:r>
              <w:rPr>
                <w:rFonts w:hint="eastAsia" w:eastAsia="宋体" w:cs="宋体"/>
                <w:color w:val="auto"/>
                <w:sz w:val="21"/>
                <w:szCs w:val="21"/>
                <w:highlight w:val="none"/>
                <w:lang w:val="en-US" w:eastAsia="zh-CN"/>
              </w:rPr>
              <w:t>差</w:t>
            </w:r>
            <w:r>
              <w:rPr>
                <w:rFonts w:hint="eastAsia" w:ascii="宋体" w:hAnsi="宋体" w:eastAsia="宋体" w:cs="宋体"/>
                <w:color w:val="auto"/>
                <w:sz w:val="21"/>
                <w:szCs w:val="21"/>
                <w:highlight w:val="none"/>
              </w:rPr>
              <w:t>且应答</w:t>
            </w:r>
            <w:r>
              <w:rPr>
                <w:rFonts w:hint="eastAsia" w:eastAsia="宋体" w:cs="宋体"/>
                <w:color w:val="auto"/>
                <w:sz w:val="21"/>
                <w:szCs w:val="21"/>
                <w:highlight w:val="none"/>
                <w:lang w:val="en-US" w:eastAsia="zh-CN"/>
              </w:rPr>
              <w:t>不符合实际</w:t>
            </w:r>
            <w:r>
              <w:rPr>
                <w:rFonts w:hint="eastAsia" w:ascii="宋体" w:hAnsi="宋体" w:eastAsia="宋体" w:cs="宋体"/>
                <w:color w:val="auto"/>
                <w:sz w:val="21"/>
                <w:szCs w:val="21"/>
                <w:highlight w:val="none"/>
              </w:rPr>
              <w:t>的得</w:t>
            </w:r>
            <w:r>
              <w:rPr>
                <w:rFonts w:hint="eastAsia"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rPr>
              <w:t>。</w:t>
            </w:r>
          </w:p>
        </w:tc>
        <w:tc>
          <w:tcPr>
            <w:tcW w:w="8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eastAsia="宋体" w:cs="宋体"/>
                <w:color w:val="auto"/>
                <w:sz w:val="21"/>
                <w:szCs w:val="21"/>
                <w:highlight w:val="none"/>
                <w:lang w:val="en-US" w:eastAsia="zh-CN"/>
              </w:rPr>
            </w:pPr>
            <w:r>
              <w:rPr>
                <w:rFonts w:hint="eastAsia" w:eastAsia="宋体" w:cs="宋体"/>
                <w:color w:val="auto"/>
                <w:sz w:val="21"/>
                <w:szCs w:val="21"/>
                <w:highlight w:val="no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trPr>
        <w:tc>
          <w:tcPr>
            <w:tcW w:w="65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118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714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1"/>
                <w:szCs w:val="21"/>
                <w:highlight w:val="none"/>
              </w:rPr>
            </w:pPr>
            <w:r>
              <w:rPr>
                <w:rFonts w:hint="eastAsia" w:eastAsia="宋体" w:cs="宋体"/>
                <w:bCs/>
                <w:color w:val="auto"/>
                <w:sz w:val="21"/>
                <w:szCs w:val="21"/>
                <w:highlight w:val="none"/>
                <w:lang w:val="en-US" w:eastAsia="zh-CN"/>
              </w:rPr>
              <w:t>3、技术</w:t>
            </w:r>
            <w:r>
              <w:rPr>
                <w:rFonts w:hint="eastAsia" w:ascii="宋体" w:hAnsi="宋体" w:eastAsia="宋体" w:cs="宋体"/>
                <w:bCs/>
                <w:color w:val="auto"/>
                <w:sz w:val="21"/>
                <w:szCs w:val="21"/>
                <w:highlight w:val="none"/>
              </w:rPr>
              <w:t>方案设计中的关键技术解决能力强、难点分析详细、规避风险措施可操作性强的得</w:t>
            </w:r>
            <w:r>
              <w:rPr>
                <w:rFonts w:hint="eastAsia" w:eastAsia="宋体" w:cs="宋体"/>
                <w:color w:val="auto"/>
                <w:sz w:val="21"/>
                <w:szCs w:val="21"/>
                <w:highlight w:val="none"/>
                <w:lang w:val="en-US" w:eastAsia="zh-CN"/>
              </w:rPr>
              <w:t>4-6</w:t>
            </w:r>
            <w:r>
              <w:rPr>
                <w:rFonts w:hint="eastAsia" w:ascii="宋体" w:hAnsi="宋体" w:eastAsia="宋体" w:cs="宋体"/>
                <w:bCs/>
                <w:color w:val="auto"/>
                <w:sz w:val="21"/>
                <w:szCs w:val="21"/>
                <w:highlight w:val="none"/>
              </w:rPr>
              <w:t>分；关键技术解决能力</w:t>
            </w:r>
            <w:r>
              <w:rPr>
                <w:rFonts w:hint="eastAsia" w:eastAsia="宋体" w:cs="宋体"/>
                <w:bCs/>
                <w:color w:val="auto"/>
                <w:sz w:val="21"/>
                <w:szCs w:val="21"/>
                <w:highlight w:val="none"/>
                <w:lang w:val="en-US" w:eastAsia="zh-CN"/>
              </w:rPr>
              <w:t>较强</w:t>
            </w:r>
            <w:r>
              <w:rPr>
                <w:rFonts w:hint="eastAsia" w:ascii="宋体" w:hAnsi="宋体" w:eastAsia="宋体" w:cs="宋体"/>
                <w:bCs/>
                <w:color w:val="auto"/>
                <w:sz w:val="21"/>
                <w:szCs w:val="21"/>
                <w:highlight w:val="none"/>
              </w:rPr>
              <w:t>、难点分析</w:t>
            </w:r>
            <w:r>
              <w:rPr>
                <w:rFonts w:hint="eastAsia"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rPr>
              <w:t>具体、规避风险措施可操作性</w:t>
            </w:r>
            <w:r>
              <w:rPr>
                <w:rFonts w:hint="eastAsia" w:eastAsia="宋体" w:cs="宋体"/>
                <w:bCs/>
                <w:color w:val="auto"/>
                <w:sz w:val="21"/>
                <w:szCs w:val="21"/>
                <w:highlight w:val="none"/>
                <w:lang w:val="en-US" w:eastAsia="zh-CN"/>
              </w:rPr>
              <w:t>一般</w:t>
            </w:r>
            <w:r>
              <w:rPr>
                <w:rFonts w:hint="eastAsia" w:ascii="宋体" w:hAnsi="宋体" w:eastAsia="宋体" w:cs="宋体"/>
                <w:bCs/>
                <w:color w:val="auto"/>
                <w:sz w:val="21"/>
                <w:szCs w:val="21"/>
                <w:highlight w:val="none"/>
              </w:rPr>
              <w:t>的得</w:t>
            </w:r>
            <w:r>
              <w:rPr>
                <w:rFonts w:hint="eastAsia" w:ascii="宋体" w:hAnsi="宋体" w:eastAsia="宋体" w:cs="宋体"/>
                <w:color w:val="auto"/>
                <w:sz w:val="21"/>
                <w:szCs w:val="21"/>
                <w:highlight w:val="none"/>
                <w:lang w:val="en-US" w:eastAsia="zh-CN"/>
              </w:rPr>
              <w:t>2-4</w:t>
            </w:r>
            <w:r>
              <w:rPr>
                <w:rFonts w:hint="eastAsia" w:ascii="宋体" w:hAnsi="宋体" w:eastAsia="宋体" w:cs="宋体"/>
                <w:bCs/>
                <w:color w:val="auto"/>
                <w:sz w:val="21"/>
                <w:szCs w:val="21"/>
                <w:highlight w:val="none"/>
              </w:rPr>
              <w:t>分</w:t>
            </w:r>
            <w:r>
              <w:rPr>
                <w:rFonts w:hint="eastAsia"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关键技术解决能力差、难点分析不具体、规避风险措施可操作性弱的得</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2</w:t>
            </w:r>
            <w:r>
              <w:rPr>
                <w:rFonts w:hint="eastAsia" w:ascii="宋体" w:hAnsi="宋体" w:eastAsia="宋体" w:cs="宋体"/>
                <w:bCs/>
                <w:color w:val="auto"/>
                <w:sz w:val="21"/>
                <w:szCs w:val="21"/>
                <w:highlight w:val="none"/>
              </w:rPr>
              <w:t>分。</w:t>
            </w:r>
          </w:p>
        </w:tc>
        <w:tc>
          <w:tcPr>
            <w:tcW w:w="8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eastAsia="宋体" w:cs="宋体"/>
                <w:color w:val="auto"/>
                <w:sz w:val="21"/>
                <w:szCs w:val="21"/>
                <w:highlight w:val="no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trPr>
        <w:tc>
          <w:tcPr>
            <w:tcW w:w="65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18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安全生产</w:t>
            </w:r>
          </w:p>
        </w:tc>
        <w:tc>
          <w:tcPr>
            <w:tcW w:w="714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具有完备的安全生产管理制度、安全教育培训、安全风险管理能力、安全生产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疫情防控</w:t>
            </w:r>
            <w:r>
              <w:rPr>
                <w:rFonts w:hint="eastAsia" w:ascii="宋体" w:hAnsi="宋体" w:eastAsia="宋体" w:cs="宋体"/>
                <w:color w:val="auto"/>
                <w:sz w:val="21"/>
                <w:szCs w:val="21"/>
                <w:highlight w:val="none"/>
              </w:rPr>
              <w:t>的保障能力,</w:t>
            </w:r>
            <w:r>
              <w:rPr>
                <w:rFonts w:hint="eastAsia" w:ascii="宋体" w:hAnsi="宋体" w:eastAsia="宋体" w:cs="宋体"/>
                <w:color w:val="auto"/>
                <w:sz w:val="21"/>
                <w:szCs w:val="21"/>
                <w:highlight w:val="none"/>
                <w:lang w:val="en-US" w:eastAsia="zh-CN"/>
              </w:rPr>
              <w:t>制度</w:t>
            </w:r>
            <w:r>
              <w:rPr>
                <w:rFonts w:hint="eastAsia" w:ascii="宋体" w:hAnsi="宋体" w:eastAsia="宋体" w:cs="宋体"/>
                <w:color w:val="auto"/>
                <w:sz w:val="21"/>
                <w:szCs w:val="21"/>
                <w:highlight w:val="none"/>
              </w:rPr>
              <w:t>全面、保障能力</w:t>
            </w:r>
            <w:r>
              <w:rPr>
                <w:rFonts w:hint="eastAsia" w:ascii="宋体" w:hAnsi="宋体" w:eastAsia="宋体" w:cs="宋体"/>
                <w:color w:val="auto"/>
                <w:sz w:val="21"/>
                <w:szCs w:val="21"/>
                <w:highlight w:val="none"/>
                <w:lang w:val="en-US" w:eastAsia="zh-CN"/>
              </w:rPr>
              <w:t>好</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制度</w:t>
            </w:r>
            <w:r>
              <w:rPr>
                <w:rFonts w:hint="eastAsia" w:ascii="宋体" w:hAnsi="宋体" w:eastAsia="宋体" w:cs="宋体"/>
                <w:color w:val="auto"/>
                <w:sz w:val="21"/>
                <w:szCs w:val="21"/>
                <w:highlight w:val="none"/>
              </w:rPr>
              <w:t>不全面或保障能力</w:t>
            </w:r>
            <w:r>
              <w:rPr>
                <w:rFonts w:hint="eastAsia" w:ascii="宋体" w:hAnsi="宋体" w:eastAsia="宋体" w:cs="宋体"/>
                <w:color w:val="auto"/>
                <w:sz w:val="21"/>
                <w:szCs w:val="21"/>
                <w:highlight w:val="none"/>
                <w:lang w:val="en-US" w:eastAsia="zh-CN"/>
              </w:rPr>
              <w:t>较差</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0-3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8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eastAsia="宋体" w:cs="宋体"/>
                <w:color w:val="auto"/>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65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eastAsia="宋体" w:cs="宋体"/>
                <w:color w:val="auto"/>
                <w:sz w:val="21"/>
                <w:szCs w:val="21"/>
                <w:highlight w:val="none"/>
                <w:lang w:val="en-US" w:eastAsia="zh-CN"/>
              </w:rPr>
            </w:pPr>
            <w:r>
              <w:rPr>
                <w:rFonts w:hint="eastAsia" w:eastAsia="宋体" w:cs="宋体"/>
                <w:color w:val="auto"/>
                <w:sz w:val="21"/>
                <w:szCs w:val="21"/>
                <w:highlight w:val="none"/>
                <w:lang w:val="en-US" w:eastAsia="zh-CN"/>
              </w:rPr>
              <w:t>7</w:t>
            </w:r>
          </w:p>
        </w:tc>
        <w:tc>
          <w:tcPr>
            <w:tcW w:w="118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eastAsia="宋体" w:cs="宋体"/>
                <w:color w:val="auto"/>
                <w:sz w:val="21"/>
                <w:szCs w:val="21"/>
                <w:highlight w:val="none"/>
                <w:lang w:val="en-US" w:eastAsia="zh-CN"/>
              </w:rPr>
              <w:t>应急方案</w:t>
            </w:r>
          </w:p>
        </w:tc>
        <w:tc>
          <w:tcPr>
            <w:tcW w:w="714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具有完善的应急方案，充分考虑用户实际使用需求的得3-5分，应急方案不合理，未考虑用户实际使用需求的得0-3分。</w:t>
            </w:r>
          </w:p>
        </w:tc>
        <w:tc>
          <w:tcPr>
            <w:tcW w:w="8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eastAsia="宋体" w:cs="宋体"/>
                <w:color w:val="auto"/>
                <w:sz w:val="21"/>
                <w:szCs w:val="21"/>
                <w:highlight w:val="none"/>
                <w:lang w:val="en-US" w:eastAsia="zh-CN"/>
              </w:rPr>
            </w:pPr>
            <w:r>
              <w:rPr>
                <w:rFonts w:hint="eastAsia" w:eastAsia="宋体" w:cs="宋体"/>
                <w:color w:val="auto"/>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65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18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项目施工方案</w:t>
            </w:r>
          </w:p>
        </w:tc>
        <w:tc>
          <w:tcPr>
            <w:tcW w:w="714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根据本项目施工方案：如文明施测、雨季施测、夏季施测等。</w:t>
            </w:r>
            <w:r>
              <w:rPr>
                <w:rFonts w:hint="eastAsia" w:ascii="宋体" w:hAnsi="宋体" w:eastAsia="宋体" w:cs="宋体"/>
                <w:color w:val="auto"/>
                <w:sz w:val="21"/>
                <w:szCs w:val="21"/>
                <w:highlight w:val="none"/>
                <w:lang w:val="zh-CN"/>
              </w:rPr>
              <w:t>方案完整且</w:t>
            </w:r>
            <w:r>
              <w:rPr>
                <w:rFonts w:hint="eastAsia" w:eastAsia="宋体" w:cs="宋体"/>
                <w:color w:val="auto"/>
                <w:sz w:val="21"/>
                <w:szCs w:val="21"/>
                <w:highlight w:val="none"/>
                <w:lang w:val="en-US" w:eastAsia="zh-CN"/>
              </w:rPr>
              <w:t>合理的</w:t>
            </w:r>
            <w:r>
              <w:rPr>
                <w:rFonts w:hint="eastAsia" w:ascii="宋体" w:hAnsi="宋体" w:eastAsia="宋体" w:cs="宋体"/>
                <w:color w:val="auto"/>
                <w:sz w:val="21"/>
                <w:szCs w:val="21"/>
                <w:highlight w:val="none"/>
                <w:lang w:val="zh-CN"/>
              </w:rPr>
              <w:t>得</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lang w:val="zh-CN"/>
              </w:rPr>
              <w:t>分；方案较普通</w:t>
            </w:r>
            <w:r>
              <w:rPr>
                <w:rFonts w:hint="eastAsia" w:eastAsia="宋体" w:cs="宋体"/>
                <w:color w:val="auto"/>
                <w:sz w:val="21"/>
                <w:szCs w:val="21"/>
                <w:highlight w:val="none"/>
                <w:lang w:val="en-US" w:eastAsia="zh-CN"/>
              </w:rPr>
              <w:t>或不合理的得</w:t>
            </w:r>
            <w:r>
              <w:rPr>
                <w:rFonts w:hint="eastAsia" w:ascii="宋体" w:hAnsi="宋体" w:eastAsia="宋体" w:cs="宋体"/>
                <w:color w:val="auto"/>
                <w:sz w:val="21"/>
                <w:szCs w:val="21"/>
                <w:highlight w:val="none"/>
                <w:lang w:val="en-US" w:eastAsia="zh-CN"/>
              </w:rPr>
              <w:t>0-3</w:t>
            </w:r>
            <w:r>
              <w:rPr>
                <w:rFonts w:hint="eastAsia" w:ascii="宋体" w:hAnsi="宋体" w:eastAsia="宋体" w:cs="宋体"/>
                <w:color w:val="auto"/>
                <w:sz w:val="21"/>
                <w:szCs w:val="21"/>
                <w:highlight w:val="none"/>
                <w:lang w:val="zh-CN"/>
              </w:rPr>
              <w:t>分</w:t>
            </w:r>
            <w:r>
              <w:rPr>
                <w:rFonts w:hint="eastAsia" w:eastAsia="宋体" w:cs="宋体"/>
                <w:color w:val="auto"/>
                <w:sz w:val="21"/>
                <w:szCs w:val="21"/>
                <w:highlight w:val="none"/>
                <w:lang w:val="zh-CN"/>
              </w:rPr>
              <w:t>。</w:t>
            </w:r>
          </w:p>
        </w:tc>
        <w:tc>
          <w:tcPr>
            <w:tcW w:w="8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eastAsia="宋体" w:cs="宋体"/>
                <w:color w:val="auto"/>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65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18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进度</w:t>
            </w:r>
            <w:r>
              <w:rPr>
                <w:rFonts w:hint="eastAsia" w:ascii="宋体" w:hAnsi="宋体" w:eastAsia="宋体" w:cs="宋体"/>
                <w:color w:val="auto"/>
                <w:sz w:val="21"/>
                <w:szCs w:val="21"/>
                <w:highlight w:val="none"/>
              </w:rPr>
              <w:t>方案</w:t>
            </w:r>
          </w:p>
        </w:tc>
        <w:tc>
          <w:tcPr>
            <w:tcW w:w="7142" w:type="dxa"/>
            <w:noWrap w:val="0"/>
            <w:vAlign w:val="center"/>
          </w:tcPr>
          <w:p>
            <w:pPr>
              <w:adjustRightInd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评委根据投标人</w:t>
            </w:r>
            <w:r>
              <w:rPr>
                <w:rFonts w:hint="eastAsia" w:ascii="宋体" w:hAnsi="宋体" w:eastAsia="宋体" w:cs="宋体"/>
                <w:color w:val="auto"/>
                <w:sz w:val="21"/>
                <w:szCs w:val="21"/>
                <w:highlight w:val="none"/>
                <w:lang w:val="en-US" w:eastAsia="zh-CN"/>
              </w:rPr>
              <w:t>项目进度保障</w:t>
            </w:r>
            <w:r>
              <w:rPr>
                <w:rFonts w:hint="eastAsia" w:ascii="宋体" w:hAnsi="宋体" w:eastAsia="宋体" w:cs="宋体"/>
                <w:color w:val="auto"/>
                <w:sz w:val="21"/>
                <w:szCs w:val="21"/>
                <w:highlight w:val="none"/>
              </w:rPr>
              <w:t>实施方案</w:t>
            </w:r>
            <w:r>
              <w:rPr>
                <w:rFonts w:hint="eastAsia" w:eastAsia="宋体" w:cs="宋体"/>
                <w:color w:val="auto"/>
                <w:sz w:val="21"/>
                <w:szCs w:val="21"/>
                <w:highlight w:val="none"/>
                <w:lang w:eastAsia="zh-CN"/>
              </w:rPr>
              <w:t>，</w:t>
            </w:r>
            <w:r>
              <w:rPr>
                <w:rFonts w:hint="eastAsia" w:eastAsia="宋体" w:cs="宋体"/>
                <w:color w:val="auto"/>
                <w:sz w:val="21"/>
                <w:szCs w:val="21"/>
                <w:highlight w:val="none"/>
                <w:lang w:val="en-US" w:eastAsia="zh-CN"/>
              </w:rPr>
              <w:t>进行综合打分。</w:t>
            </w:r>
          </w:p>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①根据工期进度计划编排</w:t>
            </w:r>
            <w:r>
              <w:rPr>
                <w:rFonts w:hint="eastAsia" w:eastAsia="宋体" w:cs="宋体"/>
                <w:color w:val="auto"/>
                <w:sz w:val="21"/>
                <w:szCs w:val="21"/>
                <w:highlight w:val="none"/>
                <w:lang w:val="en-US" w:eastAsia="zh-CN"/>
              </w:rPr>
              <w:t>进行综合打分。</w:t>
            </w:r>
            <w:r>
              <w:rPr>
                <w:rFonts w:hint="eastAsia" w:ascii="宋体" w:hAnsi="宋体" w:eastAsia="宋体" w:cs="宋体"/>
                <w:color w:val="auto"/>
                <w:sz w:val="21"/>
                <w:szCs w:val="21"/>
                <w:highlight w:val="none"/>
                <w:lang w:val="en-US" w:eastAsia="zh-CN"/>
              </w:rPr>
              <w:t>（0-4分）</w:t>
            </w:r>
          </w:p>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②根据</w:t>
            </w:r>
            <w:r>
              <w:rPr>
                <w:rFonts w:hint="eastAsia" w:ascii="宋体" w:hAnsi="宋体" w:eastAsia="宋体" w:cs="宋体"/>
                <w:color w:val="auto"/>
                <w:sz w:val="21"/>
                <w:szCs w:val="21"/>
                <w:highlight w:val="none"/>
                <w:lang w:val="en-US" w:eastAsia="zh-CN"/>
              </w:rPr>
              <w:t>工期</w:t>
            </w:r>
            <w:r>
              <w:rPr>
                <w:rFonts w:hint="eastAsia" w:ascii="宋体" w:hAnsi="宋体" w:eastAsia="宋体" w:cs="宋体"/>
                <w:color w:val="auto"/>
                <w:sz w:val="21"/>
                <w:szCs w:val="21"/>
                <w:highlight w:val="none"/>
              </w:rPr>
              <w:t>进度保障措施</w:t>
            </w:r>
            <w:r>
              <w:rPr>
                <w:rFonts w:hint="eastAsia" w:eastAsia="宋体" w:cs="宋体"/>
                <w:color w:val="auto"/>
                <w:sz w:val="21"/>
                <w:szCs w:val="21"/>
                <w:highlight w:val="none"/>
                <w:lang w:val="en-US" w:eastAsia="zh-CN"/>
              </w:rPr>
              <w:t>进行综合打分。</w:t>
            </w:r>
            <w:r>
              <w:rPr>
                <w:rFonts w:hint="eastAsia" w:ascii="宋体" w:hAnsi="宋体" w:eastAsia="宋体" w:cs="宋体"/>
                <w:color w:val="auto"/>
                <w:sz w:val="21"/>
                <w:szCs w:val="21"/>
                <w:highlight w:val="none"/>
                <w:lang w:val="en-US" w:eastAsia="zh-CN"/>
              </w:rPr>
              <w:t>（0-4分）</w:t>
            </w:r>
          </w:p>
        </w:tc>
        <w:tc>
          <w:tcPr>
            <w:tcW w:w="8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eastAsia="宋体" w:cs="宋体"/>
                <w:color w:val="auto"/>
                <w:sz w:val="21"/>
                <w:szCs w:val="21"/>
                <w:highlight w:val="no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653"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188"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项目管理制度</w:t>
            </w:r>
          </w:p>
        </w:tc>
        <w:tc>
          <w:tcPr>
            <w:tcW w:w="714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具备完善的管理制度，包括质量管理、保密管理、档案管理等。</w:t>
            </w:r>
            <w:r>
              <w:rPr>
                <w:rFonts w:hint="eastAsia" w:ascii="宋体" w:hAnsi="宋体" w:eastAsia="宋体" w:cs="宋体"/>
                <w:color w:val="auto"/>
                <w:sz w:val="21"/>
                <w:szCs w:val="21"/>
                <w:highlight w:val="none"/>
                <w:lang w:val="en-US" w:eastAsia="zh-CN"/>
              </w:rPr>
              <w:t>制度</w:t>
            </w:r>
            <w:r>
              <w:rPr>
                <w:rFonts w:hint="eastAsia" w:ascii="宋体" w:hAnsi="宋体" w:eastAsia="宋体" w:cs="宋体"/>
                <w:color w:val="auto"/>
                <w:sz w:val="21"/>
                <w:szCs w:val="21"/>
                <w:highlight w:val="none"/>
              </w:rPr>
              <w:t>全面、合理、可行的得</w:t>
            </w:r>
            <w:r>
              <w:rPr>
                <w:rFonts w:hint="eastAsia"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制度</w:t>
            </w:r>
            <w:r>
              <w:rPr>
                <w:rFonts w:hint="eastAsia" w:ascii="宋体" w:hAnsi="宋体" w:eastAsia="宋体" w:cs="宋体"/>
                <w:color w:val="auto"/>
                <w:sz w:val="21"/>
                <w:szCs w:val="21"/>
                <w:highlight w:val="none"/>
              </w:rPr>
              <w:t>不</w:t>
            </w:r>
            <w:r>
              <w:rPr>
                <w:rFonts w:hint="eastAsia" w:ascii="宋体" w:hAnsi="宋体" w:eastAsia="宋体" w:cs="宋体"/>
                <w:color w:val="auto"/>
                <w:sz w:val="21"/>
                <w:szCs w:val="21"/>
                <w:highlight w:val="none"/>
                <w:lang w:val="en-US" w:eastAsia="zh-CN"/>
              </w:rPr>
              <w:t>够</w:t>
            </w:r>
            <w:r>
              <w:rPr>
                <w:rFonts w:hint="eastAsia" w:ascii="宋体" w:hAnsi="宋体" w:eastAsia="宋体" w:cs="宋体"/>
                <w:color w:val="auto"/>
                <w:sz w:val="21"/>
                <w:szCs w:val="21"/>
                <w:highlight w:val="none"/>
              </w:rPr>
              <w:t>全面合理的得</w:t>
            </w:r>
            <w:r>
              <w:rPr>
                <w:rFonts w:hint="eastAsia" w:ascii="宋体" w:hAnsi="宋体" w:eastAsia="宋体" w:cs="宋体"/>
                <w:color w:val="auto"/>
                <w:sz w:val="21"/>
                <w:szCs w:val="21"/>
                <w:highlight w:val="none"/>
                <w:lang w:val="en-US" w:eastAsia="zh-CN"/>
              </w:rPr>
              <w:t>0-</w:t>
            </w:r>
            <w:r>
              <w:rPr>
                <w:rFonts w:hint="eastAsia"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8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eastAsia="宋体" w:cs="宋体"/>
                <w:color w:val="auto"/>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rPr>
        <w:tc>
          <w:tcPr>
            <w:tcW w:w="65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118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714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根据</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zh-CN" w:eastAsia="zh-CN"/>
              </w:rPr>
              <w:t>提供的成果文件编制、资料归档等工序流程</w:t>
            </w:r>
            <w:r>
              <w:rPr>
                <w:rFonts w:hint="eastAsia" w:eastAsia="宋体" w:cs="宋体"/>
                <w:color w:val="auto"/>
                <w:sz w:val="21"/>
                <w:szCs w:val="21"/>
                <w:highlight w:val="none"/>
                <w:lang w:val="en-US" w:eastAsia="zh-CN"/>
              </w:rPr>
              <w:t>进行</w:t>
            </w:r>
            <w:r>
              <w:rPr>
                <w:rFonts w:hint="eastAsia" w:ascii="宋体" w:hAnsi="宋体" w:eastAsia="宋体" w:cs="宋体"/>
                <w:b w:val="0"/>
                <w:color w:val="auto"/>
                <w:kern w:val="2"/>
                <w:sz w:val="21"/>
                <w:szCs w:val="21"/>
                <w:highlight w:val="none"/>
                <w:lang w:val="en-US" w:eastAsia="zh-CN" w:bidi="ar-SA"/>
              </w:rPr>
              <w:t>综合评分。方案切实可行的得3-5分；方案不够全面合理的得0-3分。</w:t>
            </w:r>
          </w:p>
        </w:tc>
        <w:tc>
          <w:tcPr>
            <w:tcW w:w="8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eastAsia="宋体" w:cs="宋体"/>
                <w:color w:val="auto"/>
                <w:sz w:val="21"/>
                <w:szCs w:val="21"/>
                <w:highlight w:val="none"/>
                <w:lang w:val="en-US" w:eastAsia="zh-CN"/>
              </w:rPr>
            </w:pPr>
            <w:r>
              <w:rPr>
                <w:rFonts w:hint="eastAsia" w:eastAsia="宋体" w:cs="宋体"/>
                <w:color w:val="auto"/>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trPr>
        <w:tc>
          <w:tcPr>
            <w:tcW w:w="65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18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w:t>
            </w:r>
          </w:p>
        </w:tc>
        <w:tc>
          <w:tcPr>
            <w:tcW w:w="7142" w:type="dxa"/>
            <w:noWrap w:val="0"/>
            <w:vAlign w:val="center"/>
          </w:tcPr>
          <w:p>
            <w:pPr>
              <w:adjustRightInd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评委根据投标人质量保障措施实施方案</w:t>
            </w:r>
            <w:r>
              <w:rPr>
                <w:rFonts w:hint="eastAsia" w:eastAsia="宋体" w:cs="宋体"/>
                <w:color w:val="auto"/>
                <w:sz w:val="21"/>
                <w:szCs w:val="21"/>
                <w:highlight w:val="none"/>
                <w:lang w:eastAsia="zh-CN"/>
              </w:rPr>
              <w:t>，</w:t>
            </w:r>
            <w:r>
              <w:rPr>
                <w:rFonts w:hint="eastAsia" w:eastAsia="宋体" w:cs="宋体"/>
                <w:color w:val="auto"/>
                <w:sz w:val="21"/>
                <w:szCs w:val="21"/>
                <w:highlight w:val="none"/>
                <w:lang w:val="en-US" w:eastAsia="zh-CN"/>
              </w:rPr>
              <w:t>进行综合打分。</w:t>
            </w:r>
          </w:p>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①质量管理机构</w:t>
            </w:r>
            <w:r>
              <w:rPr>
                <w:rFonts w:hint="eastAsia" w:ascii="宋体" w:hAnsi="宋体" w:eastAsia="宋体" w:cs="宋体"/>
                <w:color w:val="auto"/>
                <w:sz w:val="21"/>
                <w:szCs w:val="21"/>
                <w:highlight w:val="none"/>
                <w:lang w:val="en-US" w:eastAsia="zh-CN"/>
              </w:rPr>
              <w:t>是</w:t>
            </w:r>
            <w:r>
              <w:rPr>
                <w:rFonts w:hint="eastAsia" w:ascii="宋体" w:hAnsi="宋体" w:eastAsia="宋体" w:cs="宋体"/>
                <w:color w:val="auto"/>
                <w:sz w:val="21"/>
                <w:szCs w:val="21"/>
                <w:highlight w:val="none"/>
              </w:rPr>
              <w:t>否健全、制度是否完善</w:t>
            </w:r>
            <w:r>
              <w:rPr>
                <w:rFonts w:hint="eastAsia" w:ascii="宋体" w:hAnsi="宋体" w:eastAsia="宋体" w:cs="宋体"/>
                <w:color w:val="auto"/>
                <w:sz w:val="21"/>
                <w:szCs w:val="21"/>
                <w:highlight w:val="none"/>
                <w:lang w:eastAsia="zh-CN"/>
              </w:rPr>
              <w:t>、</w:t>
            </w:r>
            <w:r>
              <w:rPr>
                <w:rFonts w:hint="eastAsia" w:ascii="宋体" w:hAnsi="宋体"/>
                <w:color w:val="auto"/>
                <w:sz w:val="21"/>
                <w:szCs w:val="21"/>
                <w:highlight w:val="none"/>
              </w:rPr>
              <w:t>目标</w:t>
            </w:r>
            <w:r>
              <w:rPr>
                <w:rFonts w:hint="eastAsia" w:ascii="宋体" w:hAnsi="宋体"/>
                <w:color w:val="auto"/>
                <w:sz w:val="21"/>
                <w:szCs w:val="21"/>
                <w:highlight w:val="none"/>
                <w:lang w:val="en-US" w:eastAsia="zh-CN"/>
              </w:rPr>
              <w:t>是否明确等。（0-4分）</w:t>
            </w:r>
          </w:p>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②质量保证措施是否符合项目实际</w:t>
            </w:r>
            <w:r>
              <w:rPr>
                <w:rFonts w:hint="eastAsia" w:eastAsia="宋体" w:cs="宋体"/>
                <w:color w:val="auto"/>
                <w:sz w:val="21"/>
                <w:szCs w:val="21"/>
                <w:highlight w:val="none"/>
                <w:lang w:eastAsia="zh-CN"/>
              </w:rPr>
              <w:t>、</w:t>
            </w:r>
            <w:r>
              <w:rPr>
                <w:rFonts w:hint="eastAsia" w:ascii="宋体" w:hAnsi="宋体" w:eastAsia="宋体" w:cs="宋体"/>
                <w:color w:val="auto"/>
                <w:sz w:val="21"/>
                <w:szCs w:val="21"/>
                <w:highlight w:val="none"/>
              </w:rPr>
              <w:t>切实可行等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0-4分</w:t>
            </w:r>
            <w:r>
              <w:rPr>
                <w:rFonts w:hint="eastAsia" w:ascii="宋体" w:hAnsi="宋体" w:eastAsia="宋体" w:cs="宋体"/>
                <w:color w:val="auto"/>
                <w:sz w:val="21"/>
                <w:szCs w:val="21"/>
                <w:highlight w:val="none"/>
                <w:lang w:eastAsia="zh-CN"/>
              </w:rPr>
              <w:t>）</w:t>
            </w:r>
          </w:p>
        </w:tc>
        <w:tc>
          <w:tcPr>
            <w:tcW w:w="8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eastAsia="宋体" w:cs="宋体"/>
                <w:color w:val="auto"/>
                <w:sz w:val="21"/>
                <w:szCs w:val="21"/>
                <w:highlight w:val="none"/>
                <w:lang w:val="en-US" w:eastAsia="zh-CN"/>
              </w:rPr>
            </w:pPr>
            <w:r>
              <w:rPr>
                <w:rFonts w:hint="eastAsia" w:eastAsia="宋体" w:cs="宋体"/>
                <w:color w:val="auto"/>
                <w:sz w:val="21"/>
                <w:szCs w:val="21"/>
                <w:highlight w:val="no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1" w:hRule="atLeast"/>
        </w:trPr>
        <w:tc>
          <w:tcPr>
            <w:tcW w:w="653" w:type="dxa"/>
            <w:vMerge w:val="restart"/>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188" w:type="dxa"/>
            <w:vMerge w:val="restart"/>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人员配置</w:t>
            </w:r>
          </w:p>
        </w:tc>
        <w:tc>
          <w:tcPr>
            <w:tcW w:w="7142" w:type="dxa"/>
            <w:noWrap w:val="0"/>
            <w:vAlign w:val="center"/>
          </w:tcPr>
          <w:p>
            <w:pPr>
              <w:keepNext w:val="0"/>
              <w:keepLines w:val="0"/>
              <w:pageBreakBefore w:val="0"/>
              <w:widowControl/>
              <w:numPr>
                <w:ilvl w:val="0"/>
                <w:numId w:val="6"/>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拟派项目负责人同时具有测绘</w:t>
            </w:r>
            <w:r>
              <w:rPr>
                <w:rFonts w:hint="eastAsia" w:ascii="宋体" w:hAnsi="宋体" w:eastAsia="宋体" w:cs="宋体"/>
                <w:color w:val="auto"/>
                <w:sz w:val="21"/>
                <w:szCs w:val="21"/>
                <w:highlight w:val="none"/>
                <w:lang w:val="en-US" w:eastAsia="zh-CN"/>
              </w:rPr>
              <w:t>专业</w:t>
            </w:r>
            <w:r>
              <w:rPr>
                <w:rFonts w:hint="eastAsia" w:ascii="宋体" w:hAnsi="宋体" w:eastAsia="宋体" w:cs="宋体"/>
                <w:color w:val="auto"/>
                <w:sz w:val="21"/>
                <w:szCs w:val="21"/>
                <w:highlight w:val="none"/>
              </w:rPr>
              <w:t>高级技术职称和注册测绘师资格得</w:t>
            </w:r>
            <w:r>
              <w:rPr>
                <w:rFonts w:hint="eastAsia"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具有测绘</w:t>
            </w:r>
            <w:r>
              <w:rPr>
                <w:rFonts w:hint="eastAsia" w:eastAsia="宋体" w:cs="宋体"/>
                <w:color w:val="auto"/>
                <w:sz w:val="21"/>
                <w:szCs w:val="21"/>
                <w:highlight w:val="none"/>
                <w:lang w:val="en-US" w:eastAsia="zh-CN"/>
              </w:rPr>
              <w:t>专业</w:t>
            </w:r>
            <w:r>
              <w:rPr>
                <w:rFonts w:hint="eastAsia" w:ascii="宋体" w:hAnsi="宋体" w:eastAsia="宋体" w:cs="宋体"/>
                <w:color w:val="auto"/>
                <w:sz w:val="21"/>
                <w:szCs w:val="21"/>
                <w:highlight w:val="none"/>
              </w:rPr>
              <w:t>高级技术职称</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注册测绘师资格得</w:t>
            </w:r>
            <w:r>
              <w:rPr>
                <w:rFonts w:hint="eastAsia"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p>
            <w:pPr>
              <w:keepNext w:val="0"/>
              <w:keepLines w:val="0"/>
              <w:pageBreakBefore w:val="0"/>
              <w:widowControl/>
              <w:numPr>
                <w:ilvl w:val="0"/>
                <w:numId w:val="6"/>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拟派技术负责人具有测绘</w:t>
            </w:r>
            <w:r>
              <w:rPr>
                <w:rFonts w:hint="eastAsia" w:ascii="宋体" w:hAnsi="宋体" w:eastAsia="宋体" w:cs="宋体"/>
                <w:color w:val="auto"/>
                <w:sz w:val="21"/>
                <w:szCs w:val="21"/>
                <w:highlight w:val="none"/>
                <w:lang w:val="en-US" w:eastAsia="zh-CN"/>
              </w:rPr>
              <w:t>专业</w:t>
            </w:r>
            <w:r>
              <w:rPr>
                <w:rFonts w:hint="eastAsia" w:ascii="宋体" w:hAnsi="宋体" w:eastAsia="宋体" w:cs="宋体"/>
                <w:color w:val="auto"/>
                <w:sz w:val="21"/>
                <w:szCs w:val="21"/>
                <w:highlight w:val="none"/>
              </w:rPr>
              <w:t>高级技术职称</w:t>
            </w:r>
            <w:bookmarkStart w:id="32" w:name="OLE_LINK2"/>
            <w:r>
              <w:rPr>
                <w:rFonts w:hint="eastAsia" w:ascii="宋体" w:hAnsi="宋体" w:eastAsia="宋体" w:cs="宋体"/>
                <w:color w:val="auto"/>
                <w:sz w:val="21"/>
                <w:szCs w:val="21"/>
                <w:highlight w:val="none"/>
              </w:rPr>
              <w:t>得</w:t>
            </w:r>
            <w:r>
              <w:rPr>
                <w:rFonts w:hint="eastAsia"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bookmarkEnd w:id="32"/>
            <w:r>
              <w:rPr>
                <w:rFonts w:hint="eastAsia" w:ascii="宋体" w:hAnsi="宋体" w:eastAsia="宋体" w:cs="宋体"/>
                <w:color w:val="auto"/>
                <w:sz w:val="21"/>
                <w:szCs w:val="21"/>
                <w:highlight w:val="none"/>
                <w:lang w:eastAsia="zh-CN"/>
              </w:rPr>
              <w:t>。</w:t>
            </w:r>
          </w:p>
          <w:p>
            <w:pPr>
              <w:keepNext w:val="0"/>
              <w:keepLines w:val="0"/>
              <w:pageBreakBefore w:val="0"/>
              <w:widowControl/>
              <w:numPr>
                <w:ilvl w:val="0"/>
                <w:numId w:val="6"/>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拟派质量检查负责人具有测绘</w:t>
            </w:r>
            <w:r>
              <w:rPr>
                <w:rFonts w:hint="eastAsia" w:ascii="宋体" w:hAnsi="宋体" w:eastAsia="宋体" w:cs="宋体"/>
                <w:color w:val="auto"/>
                <w:sz w:val="21"/>
                <w:szCs w:val="21"/>
                <w:highlight w:val="none"/>
                <w:lang w:val="en-US" w:eastAsia="zh-CN"/>
              </w:rPr>
              <w:t>专业</w:t>
            </w:r>
            <w:r>
              <w:rPr>
                <w:rFonts w:hint="eastAsia" w:ascii="宋体" w:hAnsi="宋体" w:eastAsia="宋体" w:cs="宋体"/>
                <w:color w:val="auto"/>
                <w:sz w:val="21"/>
                <w:szCs w:val="21"/>
                <w:highlight w:val="none"/>
              </w:rPr>
              <w:t>高级技术职称得</w:t>
            </w:r>
            <w:r>
              <w:rPr>
                <w:rFonts w:hint="eastAsia"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pStyle w:val="11"/>
              <w:keepNext w:val="0"/>
              <w:keepLines w:val="0"/>
              <w:pageBreakBefore w:val="0"/>
              <w:widowControl/>
              <w:kinsoku/>
              <w:wordWrap/>
              <w:overflowPunct/>
              <w:topLinePunct w:val="0"/>
              <w:autoSpaceDE/>
              <w:autoSpaceDN/>
              <w:bidi w:val="0"/>
              <w:spacing w:after="0"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SA"/>
              </w:rPr>
              <w:t>注：提供相关证书复印件及开标前近3个月社保缴纳凭证并加盖投标人公章，否则不得分。</w:t>
            </w:r>
          </w:p>
        </w:tc>
        <w:tc>
          <w:tcPr>
            <w:tcW w:w="8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eastAsia="宋体" w:cs="宋体"/>
                <w:color w:val="auto"/>
                <w:sz w:val="21"/>
                <w:szCs w:val="21"/>
                <w:highlight w:val="no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8" w:hRule="atLeast"/>
        </w:trPr>
        <w:tc>
          <w:tcPr>
            <w:tcW w:w="65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118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7142" w:type="dxa"/>
            <w:noWrap w:val="0"/>
            <w:vAlign w:val="center"/>
          </w:tcPr>
          <w:p>
            <w:pPr>
              <w:keepNext w:val="0"/>
              <w:keepLines w:val="0"/>
              <w:pageBreakBefore w:val="0"/>
              <w:widowControl/>
              <w:numPr>
                <w:ilvl w:val="0"/>
                <w:numId w:val="6"/>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投入项目组成员（除项目负责人、技术负责人、质量检查负责人外）同时具有测绘专业中级（或中级以上）职称、政府部门奖项的，每个得1分；最高得2分。</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注：提供相关证书复印件及开标前近3个月社保缴纳凭证并加盖投标人公章，否则不得分</w:t>
            </w:r>
            <w:r>
              <w:rPr>
                <w:rFonts w:hint="eastAsia" w:ascii="宋体" w:hAnsi="宋体" w:eastAsia="宋体" w:cs="宋体"/>
                <w:color w:val="auto"/>
                <w:sz w:val="21"/>
                <w:szCs w:val="21"/>
                <w:highlight w:val="none"/>
              </w:rPr>
              <w:t>。</w:t>
            </w:r>
          </w:p>
        </w:tc>
        <w:tc>
          <w:tcPr>
            <w:tcW w:w="8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eastAsia="宋体" w:cs="宋体"/>
                <w:color w:val="auto"/>
                <w:sz w:val="21"/>
                <w:szCs w:val="21"/>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653"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1188"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售后服务</w:t>
            </w:r>
          </w:p>
        </w:tc>
        <w:tc>
          <w:tcPr>
            <w:tcW w:w="7142" w:type="dxa"/>
            <w:noWrap w:val="0"/>
            <w:vAlign w:val="center"/>
          </w:tcPr>
          <w:p>
            <w:pPr>
              <w:keepNext w:val="0"/>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售后服务方案保障措施切实可行的得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分，售后服务方案保障措施</w:t>
            </w:r>
            <w:r>
              <w:rPr>
                <w:rFonts w:hint="eastAsia" w:ascii="宋体" w:hAnsi="宋体" w:eastAsia="宋体" w:cs="宋体"/>
                <w:color w:val="auto"/>
                <w:sz w:val="21"/>
                <w:szCs w:val="21"/>
                <w:highlight w:val="none"/>
                <w:lang w:val="en-US" w:eastAsia="zh-CN"/>
              </w:rPr>
              <w:t>不可行</w:t>
            </w:r>
            <w:r>
              <w:rPr>
                <w:rFonts w:hint="eastAsia" w:ascii="宋体" w:hAnsi="宋体" w:eastAsia="宋体" w:cs="宋体"/>
                <w:color w:val="auto"/>
                <w:sz w:val="21"/>
                <w:szCs w:val="21"/>
                <w:highlight w:val="none"/>
                <w:lang w:val="zh-CN" w:eastAsia="zh-CN"/>
              </w:rPr>
              <w:t>的得</w:t>
            </w:r>
            <w:r>
              <w:rPr>
                <w:rFonts w:hint="eastAsia" w:ascii="宋体" w:hAnsi="宋体" w:eastAsia="宋体" w:cs="宋体"/>
                <w:color w:val="auto"/>
                <w:sz w:val="21"/>
                <w:szCs w:val="21"/>
                <w:highlight w:val="none"/>
                <w:lang w:val="en-US" w:eastAsia="zh-CN"/>
              </w:rPr>
              <w:t>0-3</w:t>
            </w:r>
            <w:r>
              <w:rPr>
                <w:rFonts w:hint="eastAsia" w:ascii="宋体" w:hAnsi="宋体" w:eastAsia="宋体" w:cs="宋体"/>
                <w:color w:val="auto"/>
                <w:sz w:val="21"/>
                <w:szCs w:val="21"/>
                <w:highlight w:val="none"/>
                <w:lang w:val="zh-CN" w:eastAsia="zh-CN"/>
              </w:rPr>
              <w:t>分。</w:t>
            </w:r>
          </w:p>
        </w:tc>
        <w:tc>
          <w:tcPr>
            <w:tcW w:w="8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eastAsia="宋体" w:cs="宋体"/>
                <w:color w:val="auto"/>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65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z w:val="21"/>
                <w:szCs w:val="21"/>
                <w:highlight w:val="none"/>
              </w:rPr>
            </w:pPr>
          </w:p>
        </w:tc>
        <w:tc>
          <w:tcPr>
            <w:tcW w:w="118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7142" w:type="dxa"/>
            <w:noWrap w:val="0"/>
            <w:vAlign w:val="center"/>
          </w:tcPr>
          <w:p>
            <w:pPr>
              <w:keepNext w:val="0"/>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根据供应商对质量负责承诺及满足采购人在项目实施期间内因需求变化和其他特殊原因提出的额外要求承诺情况打分。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0-4分</w:t>
            </w:r>
            <w:r>
              <w:rPr>
                <w:rFonts w:hint="eastAsia" w:ascii="宋体" w:hAnsi="宋体" w:eastAsia="宋体" w:cs="宋体"/>
                <w:color w:val="auto"/>
                <w:sz w:val="21"/>
                <w:szCs w:val="21"/>
                <w:highlight w:val="none"/>
                <w:lang w:eastAsia="zh-CN"/>
              </w:rPr>
              <w:t>）</w:t>
            </w:r>
          </w:p>
        </w:tc>
        <w:tc>
          <w:tcPr>
            <w:tcW w:w="8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eastAsia="宋体" w:cs="宋体"/>
                <w:color w:val="auto"/>
                <w:sz w:val="21"/>
                <w:szCs w:val="21"/>
                <w:highlight w:val="no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3" w:type="dxa"/>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14</w:t>
            </w:r>
          </w:p>
        </w:tc>
        <w:tc>
          <w:tcPr>
            <w:tcW w:w="1188" w:type="dxa"/>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合理化</w:t>
            </w:r>
          </w:p>
          <w:p>
            <w:pPr>
              <w:keepNext w:val="0"/>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建议</w:t>
            </w:r>
          </w:p>
        </w:tc>
        <w:tc>
          <w:tcPr>
            <w:tcW w:w="7142" w:type="dxa"/>
            <w:noWrap w:val="0"/>
            <w:vAlign w:val="center"/>
          </w:tcPr>
          <w:p>
            <w:pPr>
              <w:keepNext w:val="0"/>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根据投标人</w:t>
            </w:r>
            <w:r>
              <w:rPr>
                <w:rFonts w:hint="eastAsia" w:ascii="宋体" w:hAnsi="宋体" w:eastAsia="宋体" w:cs="宋体"/>
                <w:color w:val="auto"/>
                <w:sz w:val="21"/>
                <w:szCs w:val="21"/>
                <w:highlight w:val="none"/>
                <w:lang w:val="en-US" w:eastAsia="zh-CN"/>
              </w:rPr>
              <w:t>对本项目提出的</w:t>
            </w:r>
            <w:r>
              <w:rPr>
                <w:rFonts w:hint="eastAsia" w:ascii="宋体" w:hAnsi="宋体" w:eastAsia="宋体" w:cs="宋体"/>
                <w:color w:val="auto"/>
                <w:sz w:val="21"/>
                <w:szCs w:val="21"/>
                <w:highlight w:val="none"/>
              </w:rPr>
              <w:t>合理化建议综合打分。内容全面合理可行，针对性强得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分；内容基本全面合理可行，有一定针对性得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-3分；内容有缺漏、方案欠合理，无针对性得0-2分。</w:t>
            </w:r>
          </w:p>
        </w:tc>
        <w:tc>
          <w:tcPr>
            <w:tcW w:w="8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eastAsia="宋体" w:cs="宋体"/>
                <w:color w:val="auto"/>
                <w:sz w:val="21"/>
                <w:szCs w:val="21"/>
                <w:highlight w:val="none"/>
                <w:lang w:val="en-US" w:eastAsia="zh-CN"/>
              </w:rPr>
            </w:pPr>
            <w:r>
              <w:rPr>
                <w:rFonts w:hint="eastAsia" w:eastAsia="宋体" w:cs="宋体"/>
                <w:color w:val="auto"/>
                <w:sz w:val="21"/>
                <w:szCs w:val="21"/>
                <w:highlight w:val="none"/>
                <w:lang w:val="en-US" w:eastAsia="zh-CN"/>
              </w:rPr>
              <w:t>0-5</w:t>
            </w:r>
          </w:p>
        </w:tc>
      </w:tr>
    </w:tbl>
    <w:p>
      <w:pPr>
        <w:spacing w:line="360" w:lineRule="auto"/>
        <w:ind w:firstLine="426" w:firstLineChars="200"/>
        <w:outlineLvl w:val="0"/>
        <w:rPr>
          <w:b/>
          <w:color w:val="auto"/>
          <w:szCs w:val="21"/>
          <w:highlight w:val="none"/>
        </w:rPr>
      </w:pPr>
      <w:r>
        <w:rPr>
          <w:b/>
          <w:color w:val="auto"/>
          <w:szCs w:val="21"/>
          <w:highlight w:val="none"/>
        </w:rPr>
        <w:t>(二)商务报价评分（</w:t>
      </w:r>
      <w:r>
        <w:rPr>
          <w:rFonts w:hint="eastAsia"/>
          <w:b/>
          <w:color w:val="auto"/>
          <w:szCs w:val="21"/>
          <w:highlight w:val="none"/>
          <w:lang w:val="en-US" w:eastAsia="zh-CN"/>
        </w:rPr>
        <w:t>10</w:t>
      </w:r>
      <w:r>
        <w:rPr>
          <w:b/>
          <w:color w:val="auto"/>
          <w:szCs w:val="21"/>
          <w:highlight w:val="none"/>
        </w:rPr>
        <w:t>分）</w:t>
      </w:r>
      <w:bookmarkEnd w:id="30"/>
      <w:bookmarkEnd w:id="31"/>
    </w:p>
    <w:bookmarkEnd w:id="29"/>
    <w:p>
      <w:pPr>
        <w:adjustRightInd w:val="0"/>
        <w:snapToGrid w:val="0"/>
        <w:spacing w:line="360" w:lineRule="auto"/>
        <w:ind w:firstLine="426" w:firstLineChars="200"/>
        <w:rPr>
          <w:color w:val="auto"/>
          <w:szCs w:val="21"/>
          <w:highlight w:val="none"/>
        </w:rPr>
      </w:pPr>
      <w:r>
        <w:rPr>
          <w:color w:val="auto"/>
          <w:szCs w:val="21"/>
          <w:highlight w:val="none"/>
        </w:rPr>
        <w:t>各供应商的报价得分统一采用低价优先法计算，即满足磋商文件要求且最后价格最低的报价为评标基准价，其价格分为满分。其他供应商的报价得分统一按照下列公式计算：</w:t>
      </w:r>
    </w:p>
    <w:p>
      <w:pPr>
        <w:adjustRightInd w:val="0"/>
        <w:snapToGrid w:val="0"/>
        <w:spacing w:line="360" w:lineRule="auto"/>
        <w:ind w:firstLine="426" w:firstLineChars="200"/>
        <w:rPr>
          <w:color w:val="auto"/>
          <w:szCs w:val="21"/>
          <w:highlight w:val="none"/>
        </w:rPr>
      </w:pPr>
      <w:r>
        <w:rPr>
          <w:color w:val="auto"/>
          <w:szCs w:val="21"/>
          <w:highlight w:val="none"/>
        </w:rPr>
        <w:t>报价得分=（评标基准价/最后报价）×价格权值（即</w:t>
      </w:r>
      <w:r>
        <w:rPr>
          <w:rFonts w:hint="eastAsia"/>
          <w:bCs/>
          <w:color w:val="auto"/>
          <w:highlight w:val="none"/>
          <w:lang w:val="en-US" w:eastAsia="zh-CN"/>
        </w:rPr>
        <w:t>1</w:t>
      </w:r>
      <w:r>
        <w:rPr>
          <w:rFonts w:hint="eastAsia"/>
          <w:bCs/>
          <w:color w:val="auto"/>
          <w:highlight w:val="none"/>
        </w:rPr>
        <w:t>0</w:t>
      </w:r>
      <w:r>
        <w:rPr>
          <w:color w:val="auto"/>
          <w:szCs w:val="21"/>
          <w:highlight w:val="none"/>
        </w:rPr>
        <w:t>%）×100</w:t>
      </w:r>
    </w:p>
    <w:p>
      <w:pPr>
        <w:spacing w:line="360" w:lineRule="auto"/>
        <w:ind w:firstLine="426" w:firstLineChars="200"/>
        <w:rPr>
          <w:color w:val="auto"/>
          <w:highlight w:val="none"/>
        </w:rPr>
      </w:pPr>
      <w:r>
        <w:rPr>
          <w:bCs/>
          <w:color w:val="auto"/>
          <w:highlight w:val="none"/>
        </w:rPr>
        <w:t>评标委员会在评审时发现供应商得报价明显高于其市场报价或明显低于其他通过符合性审查的投标人报价的，应当要求供应商书面说明并提供相关证明材料。供应商不能当场合理说明原因并提供证明材料的，评标委员会应将该供应商的投标文件作无效处理，并在评审报告中说明。</w:t>
      </w:r>
    </w:p>
    <w:p>
      <w:pPr>
        <w:spacing w:line="360" w:lineRule="auto"/>
        <w:ind w:firstLine="426" w:firstLineChars="200"/>
        <w:outlineLvl w:val="0"/>
        <w:rPr>
          <w:color w:val="auto"/>
          <w:szCs w:val="21"/>
          <w:highlight w:val="none"/>
        </w:rPr>
      </w:pPr>
      <w:bookmarkStart w:id="33" w:name="_Toc4307"/>
      <w:bookmarkStart w:id="34" w:name="_Toc12525"/>
      <w:r>
        <w:rPr>
          <w:color w:val="auto"/>
          <w:szCs w:val="21"/>
          <w:highlight w:val="none"/>
        </w:rPr>
        <w:t>所有供应商的商务报价均超出上限价，本次招标失败，应重新组织招标。</w:t>
      </w:r>
      <w:bookmarkEnd w:id="33"/>
      <w:bookmarkStart w:id="35" w:name="_Toc24489"/>
      <w:r>
        <w:rPr>
          <w:color w:val="auto"/>
          <w:szCs w:val="21"/>
          <w:highlight w:val="none"/>
        </w:rPr>
        <w:t>有效供应商的综合得分为技术分和商务分的总和。</w:t>
      </w:r>
      <w:bookmarkEnd w:id="34"/>
      <w:bookmarkEnd w:id="35"/>
    </w:p>
    <w:p>
      <w:pPr>
        <w:widowControl w:val="0"/>
        <w:spacing w:line="360" w:lineRule="auto"/>
        <w:ind w:firstLine="426" w:firstLineChars="200"/>
        <w:jc w:val="both"/>
        <w:outlineLvl w:val="0"/>
        <w:rPr>
          <w:color w:val="auto"/>
          <w:szCs w:val="21"/>
          <w:highlight w:val="none"/>
        </w:rPr>
      </w:pPr>
      <w:bookmarkStart w:id="36" w:name="_Toc32402"/>
      <w:bookmarkStart w:id="37" w:name="_Toc22781"/>
      <w:r>
        <w:rPr>
          <w:color w:val="auto"/>
          <w:szCs w:val="21"/>
          <w:highlight w:val="none"/>
        </w:rPr>
        <w:t>（三）评标委员会按综合得分高低顺序排列，综合得分前3名供应商作为推荐中标候选人，并提交评标报告。得分相同的，按投标报价由低到高顺序排列。得分相同报价也相同的，由评委投票决定排序。</w:t>
      </w:r>
      <w:bookmarkEnd w:id="36"/>
      <w:bookmarkEnd w:id="37"/>
    </w:p>
    <w:p>
      <w:pPr>
        <w:widowControl w:val="0"/>
        <w:spacing w:line="360" w:lineRule="auto"/>
        <w:ind w:firstLine="426" w:firstLineChars="200"/>
        <w:jc w:val="both"/>
        <w:outlineLvl w:val="0"/>
        <w:rPr>
          <w:color w:val="auto"/>
          <w:szCs w:val="21"/>
          <w:highlight w:val="none"/>
        </w:rPr>
      </w:pPr>
      <w:bookmarkStart w:id="38" w:name="_Toc2138"/>
      <w:bookmarkStart w:id="39" w:name="_Toc10349"/>
      <w:r>
        <w:rPr>
          <w:color w:val="auto"/>
          <w:szCs w:val="21"/>
          <w:highlight w:val="none"/>
        </w:rPr>
        <w:t>（四）本办法解释权归采购人所有。</w:t>
      </w:r>
      <w:bookmarkEnd w:id="38"/>
      <w:bookmarkEnd w:id="39"/>
    </w:p>
    <w:p>
      <w:pPr>
        <w:widowControl w:val="0"/>
        <w:spacing w:line="420" w:lineRule="auto"/>
        <w:jc w:val="both"/>
        <w:outlineLvl w:val="0"/>
        <w:rPr>
          <w:rFonts w:ascii="宋体" w:hAnsi="宋体"/>
          <w:color w:val="auto"/>
          <w:szCs w:val="21"/>
          <w:highlight w:val="none"/>
        </w:rPr>
      </w:pPr>
    </w:p>
    <w:p>
      <w:pPr>
        <w:pStyle w:val="11"/>
        <w:rPr>
          <w:rFonts w:ascii="宋体" w:hAnsi="宋体"/>
          <w:color w:val="auto"/>
          <w:szCs w:val="21"/>
          <w:highlight w:val="none"/>
        </w:rPr>
      </w:pPr>
    </w:p>
    <w:p>
      <w:pPr>
        <w:pStyle w:val="12"/>
        <w:rPr>
          <w:rFonts w:ascii="宋体" w:hAnsi="宋体"/>
          <w:color w:val="auto"/>
          <w:szCs w:val="21"/>
          <w:highlight w:val="none"/>
        </w:rPr>
      </w:pPr>
    </w:p>
    <w:p>
      <w:pPr>
        <w:pStyle w:val="13"/>
        <w:rPr>
          <w:rFonts w:ascii="宋体" w:hAnsi="宋体"/>
          <w:color w:val="auto"/>
          <w:szCs w:val="21"/>
          <w:highlight w:val="none"/>
        </w:rPr>
      </w:pPr>
    </w:p>
    <w:p>
      <w:pPr>
        <w:rPr>
          <w:rFonts w:ascii="宋体" w:hAnsi="宋体"/>
          <w:color w:val="auto"/>
          <w:szCs w:val="21"/>
          <w:highlight w:val="none"/>
        </w:rPr>
      </w:pPr>
    </w:p>
    <w:p>
      <w:pPr>
        <w:pStyle w:val="11"/>
        <w:rPr>
          <w:rFonts w:ascii="宋体" w:hAnsi="宋体"/>
          <w:color w:val="auto"/>
          <w:szCs w:val="21"/>
          <w:highlight w:val="none"/>
        </w:rPr>
      </w:pPr>
    </w:p>
    <w:p>
      <w:pPr>
        <w:pStyle w:val="12"/>
        <w:rPr>
          <w:rFonts w:ascii="宋体" w:hAnsi="宋体"/>
          <w:color w:val="auto"/>
          <w:szCs w:val="21"/>
          <w:highlight w:val="none"/>
        </w:rPr>
      </w:pPr>
    </w:p>
    <w:p>
      <w:pPr>
        <w:pStyle w:val="13"/>
        <w:rPr>
          <w:rFonts w:ascii="宋体" w:hAnsi="宋体"/>
          <w:color w:val="auto"/>
          <w:szCs w:val="21"/>
          <w:highlight w:val="none"/>
        </w:rPr>
      </w:pPr>
    </w:p>
    <w:p>
      <w:pPr>
        <w:rPr>
          <w:rFonts w:ascii="宋体" w:hAnsi="宋体"/>
          <w:color w:val="auto"/>
          <w:szCs w:val="21"/>
          <w:highlight w:val="none"/>
        </w:rPr>
      </w:pPr>
    </w:p>
    <w:p>
      <w:pPr>
        <w:pStyle w:val="11"/>
        <w:rPr>
          <w:rFonts w:ascii="宋体" w:hAnsi="宋体"/>
          <w:color w:val="auto"/>
          <w:szCs w:val="21"/>
          <w:highlight w:val="none"/>
        </w:rPr>
      </w:pPr>
    </w:p>
    <w:p>
      <w:pPr>
        <w:pStyle w:val="12"/>
        <w:rPr>
          <w:rFonts w:ascii="宋体" w:hAnsi="宋体"/>
          <w:color w:val="auto"/>
          <w:szCs w:val="21"/>
          <w:highlight w:val="none"/>
        </w:rPr>
      </w:pPr>
    </w:p>
    <w:p>
      <w:pPr>
        <w:pStyle w:val="13"/>
        <w:rPr>
          <w:rFonts w:ascii="宋体" w:hAnsi="宋体"/>
          <w:color w:val="auto"/>
          <w:szCs w:val="21"/>
          <w:highlight w:val="none"/>
        </w:rPr>
      </w:pPr>
    </w:p>
    <w:p>
      <w:pPr>
        <w:rPr>
          <w:rFonts w:ascii="宋体" w:hAnsi="宋体"/>
          <w:color w:val="auto"/>
          <w:szCs w:val="21"/>
          <w:highlight w:val="none"/>
        </w:rPr>
      </w:pPr>
    </w:p>
    <w:p>
      <w:pPr>
        <w:pStyle w:val="11"/>
        <w:rPr>
          <w:rFonts w:ascii="宋体" w:hAnsi="宋体"/>
          <w:color w:val="auto"/>
          <w:szCs w:val="21"/>
          <w:highlight w:val="none"/>
        </w:rPr>
      </w:pPr>
    </w:p>
    <w:p>
      <w:pPr>
        <w:pStyle w:val="12"/>
        <w:rPr>
          <w:rFonts w:ascii="宋体" w:hAnsi="宋体"/>
          <w:color w:val="auto"/>
          <w:szCs w:val="21"/>
          <w:highlight w:val="none"/>
        </w:rPr>
      </w:pPr>
    </w:p>
    <w:p>
      <w:pPr>
        <w:pStyle w:val="13"/>
        <w:rPr>
          <w:rFonts w:ascii="宋体" w:hAnsi="宋体"/>
          <w:color w:val="auto"/>
          <w:szCs w:val="21"/>
          <w:highlight w:val="none"/>
        </w:rPr>
      </w:pPr>
    </w:p>
    <w:p>
      <w:pPr>
        <w:rPr>
          <w:rFonts w:ascii="宋体" w:hAnsi="宋体"/>
          <w:color w:val="auto"/>
          <w:szCs w:val="21"/>
          <w:highlight w:val="none"/>
        </w:rPr>
      </w:pPr>
    </w:p>
    <w:p>
      <w:pPr>
        <w:pStyle w:val="11"/>
        <w:rPr>
          <w:rFonts w:ascii="宋体" w:hAnsi="宋体"/>
          <w:color w:val="auto"/>
          <w:szCs w:val="21"/>
          <w:highlight w:val="none"/>
        </w:rPr>
      </w:pPr>
    </w:p>
    <w:p>
      <w:pPr>
        <w:pStyle w:val="12"/>
        <w:rPr>
          <w:rFonts w:ascii="宋体" w:hAnsi="宋体"/>
          <w:color w:val="auto"/>
          <w:szCs w:val="21"/>
          <w:highlight w:val="none"/>
        </w:rPr>
      </w:pPr>
    </w:p>
    <w:p>
      <w:pPr>
        <w:pStyle w:val="13"/>
        <w:rPr>
          <w:rFonts w:ascii="宋体" w:hAnsi="宋体"/>
          <w:color w:val="auto"/>
          <w:szCs w:val="21"/>
          <w:highlight w:val="none"/>
        </w:rPr>
      </w:pPr>
    </w:p>
    <w:p>
      <w:pPr>
        <w:rPr>
          <w:color w:val="auto"/>
          <w:highlight w:val="non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6" w:firstLineChars="200"/>
        <w:jc w:val="center"/>
        <w:rPr>
          <w:rFonts w:hint="eastAsia" w:ascii="宋体" w:hAnsi="宋体" w:eastAsia="宋体" w:cs="Arial"/>
          <w:b/>
          <w:bCs/>
          <w:color w:val="auto"/>
          <w:sz w:val="24"/>
          <w:szCs w:val="24"/>
          <w:highlight w:val="none"/>
        </w:rPr>
      </w:pPr>
      <w:bookmarkStart w:id="40" w:name="_Toc25360"/>
      <w:bookmarkStart w:id="41" w:name="_Toc22727"/>
      <w:r>
        <w:rPr>
          <w:rFonts w:hint="eastAsia" w:ascii="宋体" w:hAnsi="宋体" w:eastAsia="宋体" w:cs="Arial"/>
          <w:b/>
          <w:bCs/>
          <w:color w:val="auto"/>
          <w:sz w:val="24"/>
          <w:szCs w:val="24"/>
          <w:highlight w:val="none"/>
        </w:rPr>
        <w:t>第</w:t>
      </w:r>
      <w:r>
        <w:rPr>
          <w:rFonts w:hint="eastAsia" w:ascii="宋体" w:hAnsi="宋体" w:eastAsia="宋体" w:cs="Arial"/>
          <w:b/>
          <w:bCs/>
          <w:color w:val="auto"/>
          <w:sz w:val="24"/>
          <w:szCs w:val="24"/>
          <w:highlight w:val="none"/>
          <w:lang w:val="en-US" w:eastAsia="zh-CN"/>
        </w:rPr>
        <w:t>五</w:t>
      </w:r>
      <w:r>
        <w:rPr>
          <w:rFonts w:hint="eastAsia" w:ascii="宋体" w:hAnsi="宋体" w:eastAsia="宋体" w:cs="Arial"/>
          <w:b/>
          <w:bCs/>
          <w:color w:val="auto"/>
          <w:sz w:val="24"/>
          <w:szCs w:val="24"/>
          <w:highlight w:val="none"/>
        </w:rPr>
        <w:t xml:space="preserve">部分  </w:t>
      </w:r>
      <w:bookmarkEnd w:id="40"/>
      <w:r>
        <w:rPr>
          <w:rFonts w:hint="eastAsia" w:ascii="宋体" w:hAnsi="宋体" w:eastAsia="宋体" w:cs="Arial"/>
          <w:b/>
          <w:bCs/>
          <w:color w:val="auto"/>
          <w:sz w:val="24"/>
          <w:szCs w:val="24"/>
          <w:highlight w:val="none"/>
        </w:rPr>
        <w:t>合同主要条款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6" w:firstLineChars="200"/>
        <w:jc w:val="center"/>
        <w:rPr>
          <w:rFonts w:hint="eastAsia" w:ascii="宋体" w:hAnsi="宋体" w:eastAsia="宋体" w:cs="Arial"/>
          <w:b/>
          <w:bCs/>
          <w:color w:val="auto"/>
          <w:szCs w:val="21"/>
          <w:highlight w:val="none"/>
        </w:rPr>
      </w:pPr>
      <w:r>
        <w:rPr>
          <w:rFonts w:hint="eastAsia" w:ascii="宋体" w:hAnsi="宋体" w:eastAsia="宋体" w:cs="Arial"/>
          <w:b/>
          <w:bCs/>
          <w:color w:val="auto"/>
          <w:szCs w:val="21"/>
          <w:highlight w:val="none"/>
        </w:rPr>
        <w:t>（条款供参考，以实际签订合同为准）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6" w:firstLineChars="200"/>
        <w:jc w:val="center"/>
        <w:rPr>
          <w:rFonts w:hint="eastAsia" w:ascii="宋体" w:hAnsi="宋体" w:eastAsia="宋体" w:cs="Arial"/>
          <w:b/>
          <w:bCs/>
          <w:color w:val="auto"/>
          <w:szCs w:val="21"/>
          <w:highlight w:val="none"/>
        </w:rPr>
      </w:pPr>
      <w:r>
        <w:rPr>
          <w:rFonts w:hint="eastAsia" w:ascii="宋体" w:hAnsi="宋体" w:eastAsia="宋体" w:cs="Arial"/>
          <w:b/>
          <w:bCs/>
          <w:color w:val="auto"/>
          <w:szCs w:val="21"/>
          <w:highlight w:val="none"/>
        </w:rPr>
        <w:t>一、通用必备条款部分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6" w:firstLineChars="200"/>
        <w:rPr>
          <w:rFonts w:ascii="宋体" w:hAnsi="宋体" w:cs="Arial"/>
          <w:color w:val="auto"/>
          <w:szCs w:val="21"/>
          <w:highlight w:val="none"/>
        </w:rPr>
      </w:pPr>
      <w:r>
        <w:rPr>
          <w:rFonts w:hint="eastAsia" w:ascii="宋体" w:hAnsi="宋体" w:cs="Arial"/>
          <w:color w:val="auto"/>
          <w:szCs w:val="21"/>
          <w:highlight w:val="none"/>
        </w:rPr>
        <w:t>合同编号：</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6" w:firstLineChars="200"/>
        <w:rPr>
          <w:rFonts w:ascii="宋体" w:hAnsi="宋体"/>
          <w:color w:val="auto"/>
          <w:szCs w:val="21"/>
          <w:highlight w:val="none"/>
        </w:rPr>
      </w:pPr>
      <w:r>
        <w:rPr>
          <w:rFonts w:hint="eastAsia" w:ascii="宋体" w:hAnsi="宋体" w:cs="Arial"/>
          <w:color w:val="auto"/>
          <w:szCs w:val="21"/>
          <w:highlight w:val="none"/>
        </w:rPr>
        <w:t>政府采购计划（预算）确认号：</w:t>
      </w:r>
      <w:r>
        <w:rPr>
          <w:rFonts w:hint="eastAsia" w:ascii="宋体" w:hAnsi="宋体" w:cs="Arial"/>
          <w:color w:val="auto"/>
          <w:szCs w:val="21"/>
          <w:highlight w:val="none"/>
          <w:u w:val="single"/>
          <w:lang w:eastAsia="zh-CN"/>
        </w:rPr>
        <w:t>临[2025]948号</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6" w:firstLineChars="200"/>
        <w:rPr>
          <w:rFonts w:ascii="宋体" w:hAnsi="宋体" w:cs="Arial"/>
          <w:color w:val="auto"/>
          <w:szCs w:val="21"/>
          <w:highlight w:val="none"/>
        </w:rPr>
      </w:pPr>
      <w:r>
        <w:rPr>
          <w:rFonts w:hint="eastAsia" w:ascii="宋体" w:hAnsi="宋体" w:cs="Arial"/>
          <w:color w:val="auto"/>
          <w:szCs w:val="21"/>
          <w:highlight w:val="none"/>
        </w:rPr>
        <w:t>预算金额：</w:t>
      </w:r>
      <w:r>
        <w:rPr>
          <w:rFonts w:hint="eastAsia" w:ascii="宋体" w:hAnsi="宋体" w:cs="Arial"/>
          <w:color w:val="auto"/>
          <w:szCs w:val="21"/>
          <w:highlight w:val="none"/>
          <w:u w:val="single"/>
          <w:lang w:val="en-US" w:eastAsia="zh-CN"/>
        </w:rPr>
        <w:t>900000</w:t>
      </w:r>
      <w:r>
        <w:rPr>
          <w:rFonts w:hint="eastAsia" w:ascii="宋体" w:hAnsi="宋体" w:cs="Arial"/>
          <w:color w:val="auto"/>
          <w:szCs w:val="21"/>
          <w:highlight w:val="none"/>
          <w:u w:val="single"/>
        </w:rPr>
        <w:t>元</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6" w:firstLineChars="200"/>
        <w:rPr>
          <w:rFonts w:hint="eastAsia" w:ascii="宋体" w:hAnsi="宋体" w:eastAsia="宋体" w:cs="Arial"/>
          <w:color w:val="auto"/>
          <w:szCs w:val="21"/>
          <w:highlight w:val="none"/>
          <w:lang w:eastAsia="zh-CN"/>
        </w:rPr>
      </w:pPr>
      <w:r>
        <w:rPr>
          <w:rFonts w:hint="eastAsia" w:ascii="宋体" w:hAnsi="宋体" w:cs="Arial"/>
          <w:color w:val="auto"/>
          <w:szCs w:val="21"/>
          <w:highlight w:val="none"/>
        </w:rPr>
        <w:t>采购人（以下称甲方）：</w:t>
      </w:r>
      <w:r>
        <w:rPr>
          <w:rFonts w:hint="eastAsia" w:ascii="宋体" w:hAnsi="宋体" w:cs="Arial"/>
          <w:color w:val="auto"/>
          <w:szCs w:val="21"/>
          <w:highlight w:val="none"/>
          <w:u w:val="single"/>
          <w:lang w:eastAsia="zh-CN"/>
        </w:rPr>
        <w:t>海盐县自然资源和规划局</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6" w:firstLineChars="200"/>
        <w:rPr>
          <w:rFonts w:ascii="宋体" w:hAnsi="宋体" w:cs="Arial"/>
          <w:color w:val="auto"/>
          <w:szCs w:val="21"/>
          <w:highlight w:val="none"/>
        </w:rPr>
      </w:pPr>
      <w:r>
        <w:rPr>
          <w:rFonts w:hint="eastAsia" w:ascii="宋体" w:hAnsi="宋体" w:cs="Arial"/>
          <w:color w:val="auto"/>
          <w:szCs w:val="21"/>
          <w:highlight w:val="none"/>
        </w:rPr>
        <w:t>供应商（以下称乙方）：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6" w:firstLineChars="200"/>
        <w:rPr>
          <w:rFonts w:hint="eastAsia" w:ascii="宋体" w:hAnsi="宋体" w:eastAsia="宋体" w:cs="Arial"/>
          <w:color w:val="auto"/>
          <w:szCs w:val="21"/>
          <w:highlight w:val="none"/>
          <w:lang w:eastAsia="zh-CN"/>
        </w:rPr>
      </w:pPr>
      <w:r>
        <w:rPr>
          <w:rFonts w:hint="eastAsia" w:ascii="宋体" w:hAnsi="宋体" w:cs="Arial"/>
          <w:color w:val="auto"/>
          <w:szCs w:val="21"/>
          <w:highlight w:val="none"/>
        </w:rPr>
        <w:t>采购代理机构：</w:t>
      </w:r>
      <w:r>
        <w:rPr>
          <w:rFonts w:hint="eastAsia" w:ascii="宋体" w:hAnsi="宋体" w:cs="Arial"/>
          <w:color w:val="auto"/>
          <w:szCs w:val="21"/>
          <w:highlight w:val="none"/>
          <w:u w:val="single"/>
          <w:lang w:eastAsia="zh-CN"/>
        </w:rPr>
        <w:t>浙江均和工程管理有限公司</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6" w:firstLineChars="200"/>
        <w:rPr>
          <w:rFonts w:ascii="宋体" w:hAnsi="宋体" w:cs="Arial"/>
          <w:color w:val="auto"/>
          <w:szCs w:val="21"/>
          <w:highlight w:val="none"/>
        </w:rPr>
      </w:pPr>
      <w:r>
        <w:rPr>
          <w:rFonts w:hint="eastAsia" w:ascii="宋体" w:hAnsi="宋体" w:cs="Arial"/>
          <w:color w:val="auto"/>
          <w:szCs w:val="21"/>
          <w:highlight w:val="none"/>
        </w:rPr>
        <w:t>采购方式：</w:t>
      </w:r>
      <w:r>
        <w:rPr>
          <w:rFonts w:hint="eastAsia" w:ascii="宋体" w:hAnsi="宋体" w:cs="Arial"/>
          <w:color w:val="auto"/>
          <w:szCs w:val="21"/>
          <w:highlight w:val="none"/>
          <w:u w:val="single"/>
        </w:rPr>
        <w:t>竞争性磋商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6" w:firstLineChars="200"/>
        <w:rPr>
          <w:rFonts w:ascii="宋体" w:hAnsi="宋体" w:cs="Arial"/>
          <w:color w:val="auto"/>
          <w:szCs w:val="21"/>
          <w:highlight w:val="none"/>
        </w:rPr>
      </w:pPr>
      <w:r>
        <w:rPr>
          <w:rFonts w:hint="eastAsia" w:ascii="宋体" w:hAnsi="宋体" w:cs="Arial"/>
          <w:color w:val="auto"/>
          <w:szCs w:val="21"/>
          <w:highlight w:val="none"/>
        </w:rPr>
        <w:t>根据《中华人民共和国政府采购法》、《中华人民共和国民法典》等法律法规的规定，甲乙双方按照</w:t>
      </w:r>
      <w:r>
        <w:rPr>
          <w:rFonts w:hint="eastAsia" w:ascii="宋体" w:hAnsi="宋体" w:cs="Arial"/>
          <w:color w:val="auto"/>
          <w:szCs w:val="21"/>
          <w:highlight w:val="none"/>
          <w:u w:val="single"/>
          <w:lang w:eastAsia="zh-CN"/>
        </w:rPr>
        <w:t>海盐县不动产权籍调查及制图测绘项目</w:t>
      </w:r>
      <w:r>
        <w:rPr>
          <w:rFonts w:hint="eastAsia" w:ascii="宋体" w:hAnsi="宋体" w:cs="Arial"/>
          <w:color w:val="auto"/>
          <w:szCs w:val="21"/>
          <w:highlight w:val="none"/>
        </w:rPr>
        <w:t>采购结果签订本合同。</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6" w:firstLineChars="200"/>
        <w:rPr>
          <w:rFonts w:ascii="宋体" w:hAnsi="宋体" w:cs="Arial"/>
          <w:b/>
          <w:color w:val="auto"/>
          <w:szCs w:val="21"/>
          <w:highlight w:val="none"/>
        </w:rPr>
      </w:pPr>
      <w:r>
        <w:rPr>
          <w:rFonts w:hint="eastAsia" w:ascii="宋体" w:hAnsi="宋体" w:cs="Arial"/>
          <w:b/>
          <w:color w:val="auto"/>
          <w:szCs w:val="21"/>
          <w:highlight w:val="none"/>
        </w:rPr>
        <w:t>第一条 合同组成</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6" w:firstLineChars="200"/>
        <w:rPr>
          <w:rFonts w:ascii="宋体" w:hAnsi="宋体" w:cs="Arial"/>
          <w:color w:val="auto"/>
          <w:szCs w:val="21"/>
          <w:highlight w:val="none"/>
        </w:rPr>
      </w:pPr>
      <w:r>
        <w:rPr>
          <w:rFonts w:hint="eastAsia" w:ascii="宋体" w:hAnsi="宋体" w:cs="Arial"/>
          <w:color w:val="auto"/>
          <w:szCs w:val="21"/>
          <w:highlight w:val="none"/>
        </w:rPr>
        <w:t>本次政府采购活动的相关文件为本合同的组成部分，这些文件包括但不限于：</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6" w:firstLineChars="200"/>
        <w:rPr>
          <w:rFonts w:ascii="宋体" w:hAnsi="宋体" w:cs="Arial"/>
          <w:color w:val="auto"/>
          <w:szCs w:val="21"/>
          <w:highlight w:val="none"/>
        </w:rPr>
      </w:pPr>
      <w:r>
        <w:rPr>
          <w:rFonts w:hint="eastAsia" w:ascii="宋体" w:hAnsi="宋体" w:cs="Arial"/>
          <w:color w:val="auto"/>
          <w:szCs w:val="21"/>
          <w:highlight w:val="none"/>
        </w:rPr>
        <w:t>（1）本合同文本；</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6" w:firstLineChars="200"/>
        <w:rPr>
          <w:rFonts w:ascii="宋体" w:hAnsi="宋体" w:cs="Arial"/>
          <w:color w:val="auto"/>
          <w:szCs w:val="21"/>
          <w:highlight w:val="none"/>
        </w:rPr>
      </w:pPr>
      <w:r>
        <w:rPr>
          <w:rFonts w:hint="eastAsia" w:ascii="宋体" w:hAnsi="宋体" w:cs="Arial"/>
          <w:color w:val="auto"/>
          <w:szCs w:val="21"/>
          <w:highlight w:val="none"/>
        </w:rPr>
        <w:t>（2）采购文件与采购响应文件；</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6" w:firstLineChars="200"/>
        <w:rPr>
          <w:rFonts w:ascii="宋体" w:hAnsi="宋体" w:cs="Arial"/>
          <w:color w:val="auto"/>
          <w:szCs w:val="21"/>
          <w:highlight w:val="none"/>
        </w:rPr>
      </w:pPr>
      <w:r>
        <w:rPr>
          <w:rFonts w:hint="eastAsia" w:ascii="宋体" w:hAnsi="宋体" w:cs="Arial"/>
          <w:color w:val="auto"/>
          <w:szCs w:val="21"/>
          <w:highlight w:val="none"/>
        </w:rPr>
        <w:t>（3）中标或成交通知书；</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6" w:firstLineChars="200"/>
        <w:rPr>
          <w:rFonts w:ascii="宋体" w:hAnsi="宋体" w:cs="Arial"/>
          <w:color w:val="auto"/>
          <w:szCs w:val="21"/>
          <w:highlight w:val="none"/>
        </w:rPr>
      </w:pPr>
      <w:r>
        <w:rPr>
          <w:rFonts w:hint="eastAsia" w:ascii="宋体" w:hAnsi="宋体" w:cs="Arial"/>
          <w:color w:val="auto"/>
          <w:szCs w:val="21"/>
          <w:highlight w:val="none"/>
        </w:rPr>
        <w:t>组成本合同的所有文件必须为书面形式。政府采购合同备案时，须提供以上（1）、（3）两项，如由社会中介机构代理，须提供代理协议，合同如有变更的，须提供变更协议。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6" w:firstLineChars="200"/>
        <w:rPr>
          <w:rFonts w:ascii="宋体" w:hAnsi="宋体" w:cs="Arial"/>
          <w:b/>
          <w:color w:val="auto"/>
          <w:szCs w:val="21"/>
          <w:highlight w:val="none"/>
        </w:rPr>
      </w:pPr>
      <w:r>
        <w:rPr>
          <w:rFonts w:hint="eastAsia" w:ascii="宋体" w:hAnsi="宋体" w:cs="Arial"/>
          <w:b/>
          <w:color w:val="auto"/>
          <w:szCs w:val="21"/>
          <w:highlight w:val="none"/>
        </w:rPr>
        <w:t>第二条 合同标的与相关属性</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6" w:firstLineChars="200"/>
        <w:rPr>
          <w:rFonts w:ascii="宋体" w:hAnsi="宋体" w:cs="Arial"/>
          <w:color w:val="auto"/>
          <w:szCs w:val="21"/>
          <w:highlight w:val="none"/>
        </w:rPr>
      </w:pPr>
      <w:r>
        <w:rPr>
          <w:rFonts w:hint="eastAsia" w:ascii="宋体" w:hAnsi="宋体" w:cs="Arial"/>
          <w:color w:val="auto"/>
          <w:szCs w:val="21"/>
          <w:highlight w:val="none"/>
        </w:rPr>
        <w:t>1、本次采购的是</w:t>
      </w:r>
      <w:r>
        <w:rPr>
          <w:rFonts w:hint="eastAsia" w:ascii="宋体" w:hAnsi="宋体" w:cs="Arial"/>
          <w:color w:val="auto"/>
          <w:szCs w:val="21"/>
          <w:highlight w:val="none"/>
          <w:u w:val="single"/>
          <w:lang w:eastAsia="zh-CN"/>
        </w:rPr>
        <w:t>海盐县不动产权籍调查及制图测绘项目</w:t>
      </w:r>
      <w:r>
        <w:rPr>
          <w:rFonts w:hint="eastAsia" w:ascii="宋体" w:hAnsi="宋体" w:cs="Arial"/>
          <w:color w:val="auto"/>
          <w:szCs w:val="21"/>
          <w:highlight w:val="none"/>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6" w:firstLineChars="200"/>
        <w:rPr>
          <w:rFonts w:ascii="宋体" w:hAnsi="宋体" w:cs="Arial"/>
          <w:color w:val="auto"/>
          <w:szCs w:val="21"/>
          <w:highlight w:val="none"/>
        </w:rPr>
      </w:pPr>
      <w:r>
        <w:rPr>
          <w:rFonts w:hint="eastAsia" w:ascii="宋体" w:hAnsi="宋体" w:cs="Arial"/>
          <w:color w:val="auto"/>
          <w:szCs w:val="21"/>
          <w:highlight w:val="none"/>
        </w:rPr>
        <w:t>2、乙方是否属于中小微企业：□是</w:t>
      </w:r>
      <w:r>
        <w:rPr>
          <w:rFonts w:hint="eastAsia" w:ascii="宋体" w:hAnsi="宋体" w:cs="Arial"/>
          <w:color w:val="auto"/>
          <w:szCs w:val="21"/>
          <w:highlight w:val="none"/>
          <w:lang w:val="en-US" w:eastAsia="zh-CN"/>
        </w:rPr>
        <w:t xml:space="preserve">  </w:t>
      </w:r>
      <w:r>
        <w:rPr>
          <w:rFonts w:hint="eastAsia" w:ascii="宋体" w:hAnsi="宋体" w:cs="Arial"/>
          <w:color w:val="auto"/>
          <w:szCs w:val="21"/>
          <w:highlight w:val="none"/>
        </w:rPr>
        <w:t>□否</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6" w:firstLineChars="200"/>
        <w:rPr>
          <w:rFonts w:ascii="宋体" w:hAnsi="宋体" w:cs="Arial"/>
          <w:b/>
          <w:color w:val="auto"/>
          <w:szCs w:val="21"/>
          <w:highlight w:val="none"/>
        </w:rPr>
      </w:pPr>
      <w:r>
        <w:rPr>
          <w:rFonts w:hint="eastAsia" w:ascii="宋体" w:hAnsi="宋体" w:cs="Arial"/>
          <w:b/>
          <w:color w:val="auto"/>
          <w:szCs w:val="21"/>
          <w:highlight w:val="none"/>
        </w:rPr>
        <w:t>第三条 合同价款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6" w:firstLineChars="200"/>
        <w:rPr>
          <w:rFonts w:ascii="宋体" w:hAnsi="宋体" w:cs="Arial"/>
          <w:color w:val="auto"/>
          <w:szCs w:val="21"/>
          <w:highlight w:val="none"/>
        </w:rPr>
      </w:pPr>
      <w:r>
        <w:rPr>
          <w:rFonts w:hint="eastAsia" w:ascii="宋体" w:hAnsi="宋体" w:cs="Arial"/>
          <w:color w:val="auto"/>
          <w:szCs w:val="21"/>
          <w:highlight w:val="none"/>
        </w:rPr>
        <w:t>1、</w:t>
      </w:r>
      <w:r>
        <w:rPr>
          <w:rFonts w:hint="eastAsia" w:ascii="宋体" w:hAnsi="宋体" w:eastAsia="宋体" w:cs="宋体"/>
          <w:color w:val="auto"/>
          <w:sz w:val="21"/>
          <w:szCs w:val="21"/>
          <w:highlight w:val="none"/>
        </w:rPr>
        <w:t>本合同项下总价款为人民币（大写）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6" w:firstLineChars="200"/>
        <w:rPr>
          <w:rFonts w:ascii="宋体" w:hAnsi="宋体" w:cs="宋体"/>
          <w:color w:val="auto"/>
          <w:szCs w:val="21"/>
          <w:highlight w:val="none"/>
        </w:rPr>
      </w:pPr>
      <w:r>
        <w:rPr>
          <w:rFonts w:hint="eastAsia" w:ascii="宋体" w:hAnsi="宋体" w:eastAsia="宋体" w:cs="Arial"/>
          <w:color w:val="auto"/>
          <w:kern w:val="0"/>
          <w:szCs w:val="21"/>
          <w:highlight w:val="none"/>
          <w:lang w:val="en-US" w:eastAsia="zh-CN"/>
        </w:rPr>
        <w:t>2、</w:t>
      </w:r>
      <w:r>
        <w:rPr>
          <w:rFonts w:hint="eastAsia" w:ascii="宋体" w:hAnsi="宋体" w:eastAsia="宋体" w:cs="Arial"/>
          <w:color w:val="auto"/>
          <w:kern w:val="0"/>
          <w:szCs w:val="21"/>
          <w:highlight w:val="none"/>
        </w:rPr>
        <w:t>本合同总价款含所有税费。该总金额中包含实现本项目的所有功能及安全保障工作所需费用，其应包括（但不限于）材料、设备、劳务、管理、验收、保险、利润、税金、政策性文件规定及合同包含的所有风险、责任等所有费用（即整个项目直至通过验收，甲方不再另行支付费用）。</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6" w:firstLineChars="200"/>
        <w:rPr>
          <w:rFonts w:ascii="宋体" w:hAnsi="宋体" w:cs="Arial"/>
          <w:color w:val="auto"/>
          <w:szCs w:val="21"/>
          <w:highlight w:val="none"/>
        </w:rPr>
      </w:pPr>
      <w:r>
        <w:rPr>
          <w:rFonts w:hint="eastAsia" w:ascii="宋体" w:hAnsi="宋体" w:cs="Arial"/>
          <w:color w:val="auto"/>
          <w:szCs w:val="21"/>
          <w:highlight w:val="none"/>
          <w:lang w:val="en-US" w:eastAsia="zh-CN"/>
        </w:rPr>
        <w:t>3</w:t>
      </w:r>
      <w:r>
        <w:rPr>
          <w:rFonts w:hint="eastAsia" w:ascii="宋体" w:hAnsi="宋体" w:cs="Arial"/>
          <w:color w:val="auto"/>
          <w:szCs w:val="21"/>
          <w:highlight w:val="none"/>
        </w:rPr>
        <w:t>、本合同付款方式为以下第</w:t>
      </w:r>
      <w:r>
        <w:rPr>
          <w:rFonts w:hint="eastAsia" w:ascii="宋体" w:hAnsi="宋体" w:cs="Arial"/>
          <w:color w:val="auto"/>
          <w:szCs w:val="21"/>
          <w:highlight w:val="none"/>
          <w:u w:val="single"/>
        </w:rPr>
        <w:t xml:space="preserve"> （1） </w:t>
      </w:r>
      <w:r>
        <w:rPr>
          <w:rFonts w:hint="eastAsia" w:ascii="宋体" w:hAnsi="宋体" w:cs="Arial"/>
          <w:color w:val="auto"/>
          <w:szCs w:val="21"/>
          <w:highlight w:val="none"/>
        </w:rPr>
        <w:t>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6" w:firstLineChars="200"/>
        <w:rPr>
          <w:rFonts w:ascii="宋体" w:hAnsi="宋体" w:cs="Arial"/>
          <w:color w:val="auto"/>
          <w:szCs w:val="21"/>
          <w:highlight w:val="none"/>
          <w:u w:val="single"/>
        </w:rPr>
      </w:pPr>
      <w:r>
        <w:rPr>
          <w:rFonts w:hint="eastAsia" w:ascii="宋体" w:hAnsi="宋体" w:eastAsia="宋体" w:cs="Arial"/>
          <w:color w:val="auto"/>
          <w:szCs w:val="21"/>
          <w:highlight w:val="none"/>
        </w:rPr>
        <w:t>（1）本合同项下的采购资金系甲方自行支付：</w:t>
      </w:r>
      <w:r>
        <w:rPr>
          <w:rFonts w:hint="eastAsia" w:ascii="宋体" w:hAnsi="宋体"/>
          <w:color w:val="auto"/>
          <w:szCs w:val="21"/>
          <w:highlight w:val="none"/>
          <w:u w:val="single"/>
          <w:lang w:eastAsia="zh-CN"/>
        </w:rPr>
        <w:t>合同签订且具备实施条件后</w:t>
      </w:r>
      <w:r>
        <w:rPr>
          <w:rFonts w:hint="eastAsia" w:ascii="宋体" w:hAnsi="宋体"/>
          <w:color w:val="auto"/>
          <w:szCs w:val="21"/>
          <w:highlight w:val="none"/>
          <w:u w:val="single"/>
        </w:rPr>
        <w:t>，在每周期年内</w:t>
      </w:r>
      <w:r>
        <w:rPr>
          <w:rFonts w:hint="eastAsia" w:cs="宋体"/>
          <w:color w:val="auto"/>
          <w:szCs w:val="21"/>
          <w:highlight w:val="none"/>
          <w:u w:val="single"/>
        </w:rPr>
        <w:t>通过省级及以上测绘质量质检机构质检抽查</w:t>
      </w:r>
      <w:r>
        <w:rPr>
          <w:rFonts w:hint="eastAsia" w:ascii="宋体" w:hAnsi="宋体"/>
          <w:color w:val="auto"/>
          <w:szCs w:val="21"/>
          <w:highlight w:val="none"/>
          <w:u w:val="single"/>
        </w:rPr>
        <w:t>（质检费用由中标方支付）</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并将所做项目清单提供给</w:t>
      </w:r>
      <w:r>
        <w:rPr>
          <w:rFonts w:hint="eastAsia" w:cs="宋体"/>
          <w:color w:val="auto"/>
          <w:szCs w:val="21"/>
          <w:highlight w:val="none"/>
          <w:u w:val="single"/>
        </w:rPr>
        <w:t>采购人</w:t>
      </w:r>
      <w:r>
        <w:rPr>
          <w:rFonts w:hint="eastAsia" w:cs="宋体"/>
          <w:color w:val="auto"/>
          <w:szCs w:val="21"/>
          <w:highlight w:val="none"/>
          <w:u w:val="single"/>
          <w:lang w:val="en-US" w:eastAsia="zh-CN"/>
        </w:rPr>
        <w:t>后，采购人</w:t>
      </w:r>
      <w:r>
        <w:rPr>
          <w:rFonts w:hint="eastAsia" w:ascii="宋体" w:hAnsi="宋体" w:cs="宋体"/>
          <w:color w:val="auto"/>
          <w:szCs w:val="21"/>
          <w:highlight w:val="none"/>
          <w:u w:val="single"/>
        </w:rPr>
        <w:t>一次性支付</w:t>
      </w:r>
      <w:r>
        <w:rPr>
          <w:rFonts w:hint="eastAsia" w:cs="宋体"/>
          <w:color w:val="auto"/>
          <w:szCs w:val="21"/>
          <w:highlight w:val="none"/>
          <w:u w:val="single"/>
        </w:rPr>
        <w:t>该周期年费用</w:t>
      </w:r>
      <w:r>
        <w:rPr>
          <w:rFonts w:hint="eastAsia" w:ascii="宋体" w:hAnsi="宋体"/>
          <w:color w:val="auto"/>
          <w:szCs w:val="21"/>
          <w:highlight w:val="none"/>
          <w:u w:val="single"/>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6" w:firstLineChars="200"/>
        <w:rPr>
          <w:rFonts w:ascii="宋体" w:hAnsi="宋体" w:cs="Arial"/>
          <w:color w:val="auto"/>
          <w:szCs w:val="21"/>
          <w:highlight w:val="none"/>
        </w:rPr>
      </w:pPr>
      <w:r>
        <w:rPr>
          <w:rFonts w:hint="eastAsia" w:ascii="宋体" w:hAnsi="宋体" w:cs="Arial"/>
          <w:color w:val="auto"/>
          <w:szCs w:val="21"/>
          <w:highlight w:val="none"/>
        </w:rPr>
        <w:t>（2）本合同项下的采购资金须财政直接支付，付款程序为</w:t>
      </w:r>
      <w:r>
        <w:rPr>
          <w:rFonts w:hint="eastAsia" w:ascii="宋体" w:hAnsi="宋体" w:cs="Arial"/>
          <w:color w:val="auto"/>
          <w:szCs w:val="21"/>
          <w:highlight w:val="none"/>
          <w:u w:val="single"/>
        </w:rPr>
        <w:t xml:space="preserve">        /            </w:t>
      </w:r>
      <w:r>
        <w:rPr>
          <w:rFonts w:hint="eastAsia" w:ascii="宋体" w:hAnsi="宋体" w:cs="Arial"/>
          <w:color w:val="auto"/>
          <w:szCs w:val="21"/>
          <w:highlight w:val="none"/>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6" w:firstLineChars="200"/>
        <w:rPr>
          <w:rFonts w:ascii="宋体" w:hAnsi="宋体"/>
          <w:color w:val="auto"/>
          <w:szCs w:val="21"/>
          <w:highlight w:val="none"/>
        </w:rPr>
      </w:pPr>
      <w:r>
        <w:rPr>
          <w:rFonts w:hint="eastAsia" w:ascii="宋体" w:hAnsi="宋体" w:cs="Arial"/>
          <w:color w:val="auto"/>
          <w:szCs w:val="21"/>
          <w:highlight w:val="none"/>
        </w:rPr>
        <w:t>（3）其他方式：</w:t>
      </w:r>
      <w:r>
        <w:rPr>
          <w:rFonts w:hint="eastAsia" w:ascii="宋体" w:hAnsi="宋体" w:eastAsia="宋体" w:cs="Arial"/>
          <w:color w:val="auto"/>
          <w:kern w:val="0"/>
          <w:szCs w:val="21"/>
          <w:highlight w:val="none"/>
          <w:u w:val="single"/>
        </w:rPr>
        <w:t xml:space="preserve">   /   </w:t>
      </w:r>
      <w:r>
        <w:rPr>
          <w:rFonts w:hint="eastAsia" w:ascii="宋体" w:hAnsi="宋体" w:eastAsia="宋体" w:cs="Arial"/>
          <w:color w:val="auto"/>
          <w:kern w:val="0"/>
          <w:szCs w:val="21"/>
          <w:highlight w:val="none"/>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6" w:firstLineChars="200"/>
        <w:rPr>
          <w:rFonts w:hint="eastAsia" w:ascii="宋体" w:hAnsi="宋体" w:cs="Arial"/>
          <w:b/>
          <w:color w:val="auto"/>
          <w:szCs w:val="21"/>
          <w:highlight w:val="none"/>
        </w:rPr>
      </w:pPr>
      <w:r>
        <w:rPr>
          <w:rFonts w:hint="eastAsia" w:ascii="宋体" w:hAnsi="宋体" w:eastAsia="宋体" w:cs="Arial"/>
          <w:color w:val="auto"/>
          <w:kern w:val="0"/>
          <w:szCs w:val="21"/>
          <w:highlight w:val="none"/>
        </w:rPr>
        <w:t>如果</w:t>
      </w:r>
      <w:r>
        <w:rPr>
          <w:rFonts w:hint="eastAsia" w:ascii="宋体" w:hAnsi="宋体" w:eastAsia="宋体" w:cs="Arial"/>
          <w:color w:val="auto"/>
          <w:kern w:val="0"/>
          <w:szCs w:val="21"/>
          <w:highlight w:val="none"/>
          <w:lang w:val="en-US" w:eastAsia="zh-CN"/>
        </w:rPr>
        <w:t>乙方</w:t>
      </w:r>
      <w:r>
        <w:rPr>
          <w:rFonts w:hint="eastAsia" w:ascii="宋体" w:hAnsi="宋体" w:eastAsia="宋体" w:cs="Arial"/>
          <w:color w:val="auto"/>
          <w:kern w:val="0"/>
          <w:szCs w:val="21"/>
          <w:highlight w:val="none"/>
        </w:rPr>
        <w:t>未按照本合同规定或是法律规定向</w:t>
      </w:r>
      <w:r>
        <w:rPr>
          <w:rFonts w:hint="eastAsia" w:ascii="宋体" w:hAnsi="宋体" w:eastAsia="宋体" w:cs="Arial"/>
          <w:color w:val="auto"/>
          <w:kern w:val="0"/>
          <w:szCs w:val="21"/>
          <w:highlight w:val="none"/>
          <w:lang w:val="en-US" w:eastAsia="zh-CN"/>
        </w:rPr>
        <w:t>甲方</w:t>
      </w:r>
      <w:r>
        <w:rPr>
          <w:rFonts w:hint="eastAsia" w:ascii="宋体" w:hAnsi="宋体" w:eastAsia="宋体" w:cs="Arial"/>
          <w:color w:val="auto"/>
          <w:kern w:val="0"/>
          <w:szCs w:val="21"/>
          <w:highlight w:val="none"/>
        </w:rPr>
        <w:t>支付违约金或是赔偿损失的，</w:t>
      </w:r>
      <w:r>
        <w:rPr>
          <w:rFonts w:hint="eastAsia" w:ascii="宋体" w:hAnsi="宋体" w:eastAsia="宋体" w:cs="Arial"/>
          <w:color w:val="auto"/>
          <w:kern w:val="0"/>
          <w:szCs w:val="21"/>
          <w:highlight w:val="none"/>
          <w:lang w:val="en-US" w:eastAsia="zh-CN"/>
        </w:rPr>
        <w:t>甲方</w:t>
      </w:r>
      <w:r>
        <w:rPr>
          <w:rFonts w:hint="eastAsia" w:ascii="宋体" w:hAnsi="宋体" w:eastAsia="宋体" w:cs="Arial"/>
          <w:color w:val="auto"/>
          <w:kern w:val="0"/>
          <w:szCs w:val="21"/>
          <w:highlight w:val="none"/>
        </w:rPr>
        <w:t>有权从上述任何一笔款项中扣除。</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6"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第四条 履约保证金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6"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按以下第</w:t>
      </w:r>
      <w:r>
        <w:rPr>
          <w:rFonts w:hint="eastAsia" w:ascii="宋体" w:hAnsi="宋体" w:eastAsia="宋体" w:cs="宋体"/>
          <w:b/>
          <w:color w:val="auto"/>
          <w:sz w:val="21"/>
          <w:szCs w:val="21"/>
          <w:highlight w:val="none"/>
          <w:u w:val="single"/>
        </w:rPr>
        <w:t xml:space="preserve"> (2) </w:t>
      </w:r>
      <w:r>
        <w:rPr>
          <w:rFonts w:hint="eastAsia" w:ascii="宋体" w:hAnsi="宋体" w:eastAsia="宋体" w:cs="宋体"/>
          <w:color w:val="auto"/>
          <w:sz w:val="21"/>
          <w:szCs w:val="21"/>
          <w:highlight w:val="none"/>
        </w:rPr>
        <w:t>项处理：</w:t>
      </w:r>
    </w:p>
    <w:p>
      <w:pPr>
        <w:snapToGrid w:val="0"/>
        <w:spacing w:line="360" w:lineRule="auto"/>
        <w:ind w:firstLine="426"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1、本项目设置履约保证金，</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spacing w:line="360" w:lineRule="auto"/>
        <w:ind w:firstLine="416" w:firstLineChars="196"/>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2、本项目不设置履约保证金。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6"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第五条 合同的变更和终止</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除《政府采购法》第49条、第50条第二款规定的情形外，本合同一经签订，甲乙双方不得擅自终止合同或对合同实质性条款进行变更。确有特殊情况的，须经财政部门备案同意。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6"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第六条 合同的转让与分包</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乙方不得擅自部分或全部转让其应履行的合同义务。乙方分包的，应经过甲方书面同意。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6"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第七条 争议的解决</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1、因履行本合同引起的或与本合同有关的争议，甲、乙双方应首先通过友好协商解决，如果协商不能解决争议，则采取以下第</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rPr>
        <w:t>种方式解决争议：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（1）向甲方所在地有管辖权的人民法院提起诉讼；</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仲裁委员申请仲裁。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6"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第八条 合同备案及其他</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6"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本合同</w:t>
      </w:r>
      <w:r>
        <w:rPr>
          <w:rFonts w:hint="eastAsia" w:eastAsia="宋体" w:cs="宋体"/>
          <w:color w:val="auto"/>
          <w:sz w:val="21"/>
          <w:szCs w:val="21"/>
          <w:highlight w:val="none"/>
          <w:lang w:val="en-US" w:eastAsia="zh-CN"/>
        </w:rPr>
        <w:t>壹</w:t>
      </w:r>
      <w:r>
        <w:rPr>
          <w:rFonts w:hint="eastAsia" w:ascii="宋体" w:hAnsi="宋体" w:eastAsia="宋体" w:cs="宋体"/>
          <w:color w:val="auto"/>
          <w:sz w:val="21"/>
          <w:szCs w:val="21"/>
          <w:highlight w:val="none"/>
        </w:rPr>
        <w:t>式</w:t>
      </w:r>
      <w:r>
        <w:rPr>
          <w:rFonts w:hint="eastAsia" w:ascii="宋体" w:hAnsi="宋体" w:eastAsia="宋体" w:cs="宋体"/>
          <w:color w:val="auto"/>
          <w:sz w:val="21"/>
          <w:szCs w:val="21"/>
          <w:highlight w:val="none"/>
          <w:u w:val="single"/>
        </w:rPr>
        <w:t xml:space="preserve"> 陆 </w:t>
      </w:r>
      <w:r>
        <w:rPr>
          <w:rFonts w:hint="eastAsia" w:ascii="宋体" w:hAnsi="宋体" w:eastAsia="宋体" w:cs="宋体"/>
          <w:color w:val="auto"/>
          <w:sz w:val="21"/>
          <w:szCs w:val="21"/>
          <w:highlight w:val="none"/>
        </w:rPr>
        <w:t>份，甲乙双方各执</w:t>
      </w:r>
      <w:r>
        <w:rPr>
          <w:rFonts w:hint="eastAsia" w:ascii="宋体" w:hAnsi="宋体" w:eastAsia="宋体" w:cs="宋体"/>
          <w:color w:val="auto"/>
          <w:sz w:val="21"/>
          <w:szCs w:val="21"/>
          <w:highlight w:val="none"/>
          <w:u w:val="single"/>
        </w:rPr>
        <w:t xml:space="preserve"> 贰 </w:t>
      </w:r>
      <w:r>
        <w:rPr>
          <w:rFonts w:hint="eastAsia" w:ascii="宋体" w:hAnsi="宋体" w:eastAsia="宋体" w:cs="宋体"/>
          <w:color w:val="auto"/>
          <w:sz w:val="21"/>
          <w:szCs w:val="21"/>
          <w:highlight w:val="none"/>
        </w:rPr>
        <w:t>份，1份报送政府采购监督管理部门备案，1份送浙江均和工程管理有限公司备案。</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olor w:val="auto"/>
          <w:szCs w:val="21"/>
          <w:highlight w:val="none"/>
        </w:rPr>
      </w:pPr>
      <w:r>
        <w:rPr>
          <w:rFonts w:hint="eastAsia"/>
          <w:b/>
          <w:color w:val="auto"/>
          <w:szCs w:val="21"/>
          <w:highlight w:val="none"/>
        </w:rPr>
        <w:t>二、特殊专用条款部分</w:t>
      </w:r>
    </w:p>
    <w:p>
      <w:pPr>
        <w:pStyle w:val="17"/>
        <w:spacing w:line="360" w:lineRule="auto"/>
        <w:rPr>
          <w:rFonts w:hint="eastAsia" w:ascii="宋体" w:hAnsi="宋体" w:eastAsia="宋体" w:cs="宋体"/>
          <w:b/>
          <w:color w:val="auto"/>
          <w:sz w:val="21"/>
          <w:szCs w:val="21"/>
          <w:highlight w:val="none"/>
        </w:rPr>
      </w:pPr>
      <w:r>
        <w:rPr>
          <w:rFonts w:hint="eastAsia" w:hAnsi="宋体" w:cs="宋体"/>
          <w:b/>
          <w:color w:val="auto"/>
          <w:highlight w:val="none"/>
        </w:rPr>
        <w:t xml:space="preserve">   </w:t>
      </w:r>
      <w:r>
        <w:rPr>
          <w:rFonts w:hint="eastAsia" w:ascii="宋体" w:hAnsi="宋体" w:eastAsia="宋体" w:cs="宋体"/>
          <w:b/>
          <w:color w:val="auto"/>
          <w:sz w:val="21"/>
          <w:szCs w:val="21"/>
          <w:highlight w:val="none"/>
        </w:rPr>
        <w:t xml:space="preserve"> 第一条、技术资料</w:t>
      </w:r>
    </w:p>
    <w:p>
      <w:pPr>
        <w:pStyle w:val="17"/>
        <w:spacing w:line="360" w:lineRule="auto"/>
        <w:ind w:left="359" w:hanging="364" w:hanging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1.1乙方应按招标文件采购文件规定的时间内向甲方提供服务及有关成果报告等有关技术资料。</w:t>
      </w:r>
    </w:p>
    <w:p>
      <w:pPr>
        <w:pStyle w:val="1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pStyle w:val="17"/>
        <w:spacing w:line="360" w:lineRule="auto"/>
        <w:ind w:left="360" w:hanging="364" w:hangingChars="17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第二条、知识产权</w:t>
      </w:r>
    </w:p>
    <w:p>
      <w:pPr>
        <w:pStyle w:val="17"/>
        <w:spacing w:line="360" w:lineRule="auto"/>
        <w:ind w:left="359" w:hanging="364" w:hangingChars="171"/>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 xml:space="preserve">    2.1乙方应保证所提供的服务或其任何一部分均不会侵犯任何第三方的知识产权</w:t>
      </w:r>
      <w:r>
        <w:rPr>
          <w:rFonts w:hint="eastAsia" w:ascii="宋体" w:hAnsi="宋体" w:eastAsia="宋体" w:cs="宋体"/>
          <w:bCs/>
          <w:color w:val="auto"/>
          <w:sz w:val="21"/>
          <w:szCs w:val="21"/>
          <w:highlight w:val="none"/>
        </w:rPr>
        <w:t>。</w:t>
      </w:r>
    </w:p>
    <w:p>
      <w:pPr>
        <w:pStyle w:val="17"/>
        <w:keepNext w:val="0"/>
        <w:keepLines w:val="0"/>
        <w:pageBreakBefore w:val="0"/>
        <w:widowControl/>
        <w:kinsoku/>
        <w:wordWrap/>
        <w:overflowPunct/>
        <w:topLinePunct w:val="0"/>
        <w:autoSpaceDE/>
        <w:autoSpaceDN/>
        <w:bidi w:val="0"/>
        <w:snapToGrid w:val="0"/>
        <w:spacing w:line="360" w:lineRule="auto"/>
        <w:ind w:left="358" w:hanging="362" w:hangingChars="17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第三条、转包或分包</w:t>
      </w:r>
    </w:p>
    <w:p>
      <w:pPr>
        <w:keepNext w:val="0"/>
        <w:keepLines w:val="0"/>
        <w:pageBreakBefore w:val="0"/>
        <w:widowControl/>
        <w:kinsoku/>
        <w:wordWrap/>
        <w:overflowPunct/>
        <w:topLinePunct w:val="0"/>
        <w:autoSpaceDE/>
        <w:autoSpaceDN/>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3.1本合同范围的服务项目，应由乙方直接供应服务，不得转让他人供应</w:t>
      </w:r>
    </w:p>
    <w:p>
      <w:pPr>
        <w:keepNext w:val="0"/>
        <w:keepLines w:val="0"/>
        <w:pageBreakBefore w:val="0"/>
        <w:widowControl/>
        <w:kinsoku/>
        <w:wordWrap/>
        <w:overflowPunct/>
        <w:topLinePunct w:val="0"/>
        <w:autoSpaceDE/>
        <w:autoSpaceDN/>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3.2除非得到需方的书面同意，供方不得部分分包给他人供应。需方有绝对权力阻止分包。</w:t>
      </w:r>
    </w:p>
    <w:p>
      <w:pPr>
        <w:keepNext w:val="0"/>
        <w:keepLines w:val="0"/>
        <w:pageBreakBefore w:val="0"/>
        <w:widowControl/>
        <w:kinsoku/>
        <w:wordWrap/>
        <w:overflowPunct/>
        <w:topLinePunct w:val="0"/>
        <w:autoSpaceDE/>
        <w:autoSpaceDN/>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3.3如有转让和未经需方同意的分包行为，需方有权给予终止合同。</w:t>
      </w:r>
    </w:p>
    <w:p>
      <w:pPr>
        <w:pStyle w:val="17"/>
        <w:keepNext w:val="0"/>
        <w:keepLines w:val="0"/>
        <w:pageBreakBefore w:val="0"/>
        <w:widowControl/>
        <w:numPr>
          <w:ilvl w:val="0"/>
          <w:numId w:val="7"/>
        </w:numPr>
        <w:kinsoku/>
        <w:wordWrap/>
        <w:overflowPunct/>
        <w:topLinePunct w:val="0"/>
        <w:autoSpaceDE/>
        <w:autoSpaceDN/>
        <w:bidi w:val="0"/>
        <w:snapToGrid w:val="0"/>
        <w:spacing w:line="360" w:lineRule="auto"/>
        <w:ind w:left="421" w:leftChars="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r>
        <w:rPr>
          <w:rFonts w:hint="eastAsia" w:ascii="宋体" w:hAnsi="宋体" w:eastAsia="宋体" w:cs="宋体"/>
          <w:b/>
          <w:color w:val="auto"/>
          <w:sz w:val="21"/>
          <w:szCs w:val="21"/>
          <w:highlight w:val="none"/>
          <w:lang w:eastAsia="zh-CN"/>
        </w:rPr>
        <w:t>服务</w:t>
      </w:r>
      <w:r>
        <w:rPr>
          <w:rFonts w:hint="eastAsia" w:ascii="宋体" w:hAnsi="宋体" w:eastAsia="宋体" w:cs="宋体"/>
          <w:b/>
          <w:color w:val="auto"/>
          <w:sz w:val="21"/>
          <w:szCs w:val="21"/>
          <w:highlight w:val="none"/>
        </w:rPr>
        <w:t>要求</w:t>
      </w:r>
    </w:p>
    <w:p>
      <w:pPr>
        <w:keepNext w:val="0"/>
        <w:keepLines w:val="0"/>
        <w:pageBreakBefore w:val="0"/>
        <w:widowControl/>
        <w:kinsoku/>
        <w:wordWrap/>
        <w:overflowPunct/>
        <w:topLinePunct w:val="0"/>
        <w:autoSpaceDE/>
        <w:autoSpaceDN/>
        <w:bidi w:val="0"/>
        <w:adjustRightInd/>
        <w:snapToGrid/>
        <w:spacing w:line="360" w:lineRule="auto"/>
        <w:ind w:right="60" w:firstLine="426"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4.1项目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自合同签订之日起</w:t>
      </w:r>
      <w:r>
        <w:rPr>
          <w:rFonts w:hint="eastAsia" w:ascii="宋体" w:hAnsi="宋体" w:eastAsia="宋体" w:cs="宋体"/>
          <w:color w:val="auto"/>
          <w:sz w:val="21"/>
          <w:szCs w:val="21"/>
          <w:highlight w:val="none"/>
          <w:lang w:val="en-US" w:eastAsia="zh-CN"/>
        </w:rPr>
        <w:t>至三</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w:t>
      </w:r>
    </w:p>
    <w:p>
      <w:pPr>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.2服务地点：海盐县境内。</w:t>
      </w:r>
    </w:p>
    <w:p>
      <w:pPr>
        <w:pStyle w:val="17"/>
        <w:keepNext w:val="0"/>
        <w:keepLines w:val="0"/>
        <w:pageBreakBefore w:val="0"/>
        <w:widowControl/>
        <w:kinsoku/>
        <w:wordWrap/>
        <w:overflowPunct/>
        <w:topLinePunct w:val="0"/>
        <w:autoSpaceDE/>
        <w:autoSpaceDN/>
        <w:bidi w:val="0"/>
        <w:snapToGrid w:val="0"/>
        <w:spacing w:line="360" w:lineRule="auto"/>
        <w:ind w:left="370" w:leftChars="174" w:firstLine="60" w:firstLineChars="29"/>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bCs/>
          <w:color w:val="auto"/>
          <w:kern w:val="0"/>
          <w:sz w:val="21"/>
          <w:szCs w:val="21"/>
          <w:highlight w:val="none"/>
          <w:lang w:eastAsia="zh-CN"/>
        </w:rPr>
        <w:t>五</w:t>
      </w:r>
      <w:r>
        <w:rPr>
          <w:rFonts w:hint="eastAsia" w:ascii="宋体" w:hAnsi="宋体" w:eastAsia="宋体" w:cs="宋体"/>
          <w:b/>
          <w:color w:val="auto"/>
          <w:sz w:val="21"/>
          <w:szCs w:val="21"/>
          <w:highlight w:val="none"/>
        </w:rPr>
        <w:t>条、违约责任</w:t>
      </w:r>
    </w:p>
    <w:p>
      <w:pPr>
        <w:pStyle w:val="17"/>
        <w:keepNext w:val="0"/>
        <w:keepLines w:val="0"/>
        <w:pageBreakBefore w:val="0"/>
        <w:widowControl/>
        <w:kinsoku/>
        <w:wordWrap/>
        <w:overflowPunct/>
        <w:topLinePunct w:val="0"/>
        <w:autoSpaceDE/>
        <w:autoSpaceDN/>
        <w:bidi w:val="0"/>
        <w:snapToGrid w:val="0"/>
        <w:spacing w:line="360" w:lineRule="auto"/>
        <w:ind w:left="359" w:hanging="364" w:hanging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5</w:t>
      </w:r>
      <w:r>
        <w:rPr>
          <w:rFonts w:hint="eastAsia" w:ascii="宋体" w:hAnsi="宋体" w:eastAsia="宋体" w:cs="宋体"/>
          <w:color w:val="auto"/>
          <w:sz w:val="21"/>
          <w:szCs w:val="21"/>
          <w:highlight w:val="none"/>
        </w:rPr>
        <w:t>.1甲方无正当理由拒收服务成果的，甲方向乙方偿付合同金额总值的百分之五违约金。</w:t>
      </w:r>
    </w:p>
    <w:p>
      <w:pPr>
        <w:pStyle w:val="17"/>
        <w:keepNext w:val="0"/>
        <w:keepLines w:val="0"/>
        <w:pageBreakBefore w:val="0"/>
        <w:widowControl/>
        <w:kinsoku/>
        <w:wordWrap/>
        <w:overflowPunct/>
        <w:topLinePunct w:val="0"/>
        <w:autoSpaceDE/>
        <w:autoSpaceDN/>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.2甲方无故逾期验收和办理支付手续的,甲方应按逾期付款总额每日万分之五向乙方支付违约金。</w:t>
      </w:r>
    </w:p>
    <w:p>
      <w:pPr>
        <w:pStyle w:val="17"/>
        <w:keepNext w:val="0"/>
        <w:keepLines w:val="0"/>
        <w:pageBreakBefore w:val="0"/>
        <w:widowControl/>
        <w:kinsoku/>
        <w:wordWrap/>
        <w:overflowPunct/>
        <w:topLinePunct w:val="0"/>
        <w:autoSpaceDE/>
        <w:autoSpaceDN/>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乙方逾期服务的，乙方应按逾期合同金额总额每日千分之六向甲方支付违约金，由甲方从待付合同价款中扣除。逾期超过约定日期10个工作日不能提交成果的，甲方可解除本合同。乙方因逾期提交成果或因其他违约行为导致甲方解除合同的，乙方应向甲方支付合同总值5%的违约金，如造成甲方损失超过违约金的，超出部分由乙方继续承担赔偿责任。</w:t>
      </w:r>
    </w:p>
    <w:p>
      <w:pPr>
        <w:pStyle w:val="17"/>
        <w:keepNext w:val="0"/>
        <w:keepLines w:val="0"/>
        <w:pageBreakBefore w:val="0"/>
        <w:widowControl/>
        <w:kinsoku/>
        <w:wordWrap/>
        <w:overflowPunct/>
        <w:topLinePunct w:val="0"/>
        <w:autoSpaceDE/>
        <w:autoSpaceDN/>
        <w:bidi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第</w:t>
      </w:r>
      <w:r>
        <w:rPr>
          <w:rFonts w:hint="eastAsia" w:ascii="宋体" w:hAnsi="宋体" w:eastAsia="宋体" w:cs="宋体"/>
          <w:b/>
          <w:bCs/>
          <w:color w:val="auto"/>
          <w:kern w:val="0"/>
          <w:sz w:val="21"/>
          <w:szCs w:val="21"/>
          <w:highlight w:val="none"/>
          <w:lang w:eastAsia="zh-CN"/>
        </w:rPr>
        <w:t>六</w:t>
      </w:r>
      <w:r>
        <w:rPr>
          <w:rFonts w:hint="eastAsia" w:ascii="宋体" w:hAnsi="宋体" w:eastAsia="宋体" w:cs="宋体"/>
          <w:b/>
          <w:color w:val="auto"/>
          <w:sz w:val="21"/>
          <w:szCs w:val="21"/>
          <w:highlight w:val="none"/>
        </w:rPr>
        <w:t>条、不可抗力事件处理</w:t>
      </w:r>
    </w:p>
    <w:p>
      <w:pPr>
        <w:pStyle w:val="17"/>
        <w:keepNext w:val="0"/>
        <w:keepLines w:val="0"/>
        <w:pageBreakBefore w:val="0"/>
        <w:widowControl/>
        <w:kinsoku/>
        <w:wordWrap/>
        <w:overflowPunct/>
        <w:topLinePunct w:val="0"/>
        <w:autoSpaceDE/>
        <w:autoSpaceDN/>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.1在合同有效期内，任何一方因不可抗力事件导致不能履行合同，则合同履行期可延长，其延长期与不可抗力影响期相同。</w:t>
      </w:r>
    </w:p>
    <w:p>
      <w:pPr>
        <w:pStyle w:val="17"/>
        <w:keepNext w:val="0"/>
        <w:keepLines w:val="0"/>
        <w:pageBreakBefore w:val="0"/>
        <w:widowControl/>
        <w:kinsoku/>
        <w:wordWrap/>
        <w:overflowPunct/>
        <w:topLinePunct w:val="0"/>
        <w:autoSpaceDE/>
        <w:autoSpaceDN/>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.2不可抗力事件发生后，应立即通知对方，并寄送有关权威机构出具的证明。</w:t>
      </w:r>
    </w:p>
    <w:p>
      <w:pPr>
        <w:pStyle w:val="17"/>
        <w:keepNext w:val="0"/>
        <w:keepLines w:val="0"/>
        <w:pageBreakBefore w:val="0"/>
        <w:widowControl/>
        <w:kinsoku/>
        <w:wordWrap/>
        <w:overflowPunct/>
        <w:topLinePunct w:val="0"/>
        <w:autoSpaceDE/>
        <w:autoSpaceDN/>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.3不可抗力事件延续120天以上，双方应通过友好协商，确定是否继续履行合同。</w:t>
      </w:r>
    </w:p>
    <w:p>
      <w:pPr>
        <w:pStyle w:val="17"/>
        <w:keepNext w:val="0"/>
        <w:keepLines w:val="0"/>
        <w:pageBreakBefore w:val="0"/>
        <w:widowControl/>
        <w:kinsoku/>
        <w:wordWrap/>
        <w:overflowPunct/>
        <w:topLinePunct w:val="0"/>
        <w:autoSpaceDE/>
        <w:autoSpaceDN/>
        <w:bidi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第</w:t>
      </w:r>
      <w:r>
        <w:rPr>
          <w:rFonts w:hint="eastAsia" w:ascii="宋体" w:hAnsi="宋体" w:eastAsia="宋体" w:cs="宋体"/>
          <w:b/>
          <w:bCs/>
          <w:color w:val="auto"/>
          <w:kern w:val="0"/>
          <w:sz w:val="21"/>
          <w:szCs w:val="21"/>
          <w:highlight w:val="none"/>
          <w:lang w:eastAsia="zh-CN"/>
        </w:rPr>
        <w:t>七</w:t>
      </w:r>
      <w:r>
        <w:rPr>
          <w:rFonts w:hint="eastAsia" w:ascii="宋体" w:hAnsi="宋体" w:eastAsia="宋体" w:cs="宋体"/>
          <w:b/>
          <w:color w:val="auto"/>
          <w:sz w:val="21"/>
          <w:szCs w:val="21"/>
          <w:highlight w:val="none"/>
        </w:rPr>
        <w:t>条、合同生效及其它</w:t>
      </w:r>
    </w:p>
    <w:p>
      <w:pPr>
        <w:pStyle w:val="17"/>
        <w:keepNext w:val="0"/>
        <w:keepLines w:val="0"/>
        <w:pageBreakBefore w:val="0"/>
        <w:widowControl/>
        <w:kinsoku/>
        <w:wordWrap/>
        <w:overflowPunct/>
        <w:topLinePunct w:val="0"/>
        <w:autoSpaceDE/>
        <w:autoSpaceDN/>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.1合同经双方法定代表人（负责人）或授权委托代理人签字并加盖单位公章后生效。</w:t>
      </w:r>
    </w:p>
    <w:p>
      <w:pPr>
        <w:pStyle w:val="17"/>
        <w:keepNext w:val="0"/>
        <w:keepLines w:val="0"/>
        <w:pageBreakBefore w:val="0"/>
        <w:widowControl/>
        <w:kinsoku/>
        <w:wordWrap/>
        <w:overflowPunct/>
        <w:topLinePunct w:val="0"/>
        <w:autoSpaceDE/>
        <w:autoSpaceDN/>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.2合同执行中涉及采购资金和采购内容修改或补充的，须经海盐县财政部门审批，并签书面补充协议报海盐县政府采购监督管理部门备案，方可作为主合同不可分割的一部分。</w:t>
      </w:r>
    </w:p>
    <w:p>
      <w:pPr>
        <w:pStyle w:val="17"/>
        <w:keepNext w:val="0"/>
        <w:keepLines w:val="0"/>
        <w:pageBreakBefore w:val="0"/>
        <w:widowControl/>
        <w:kinsoku/>
        <w:wordWrap/>
        <w:overflowPunct/>
        <w:topLinePunct w:val="0"/>
        <w:autoSpaceDE/>
        <w:autoSpaceDN/>
        <w:bidi w:val="0"/>
        <w:snapToGrid w:val="0"/>
        <w:spacing w:line="360" w:lineRule="auto"/>
        <w:ind w:left="420" w:hanging="426"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.3本合同未尽事宜，遵照《</w:t>
      </w:r>
      <w:r>
        <w:rPr>
          <w:rFonts w:hint="eastAsia" w:ascii="宋体" w:hAnsi="宋体" w:eastAsia="宋体" w:cs="宋体"/>
          <w:color w:val="auto"/>
          <w:sz w:val="21"/>
          <w:szCs w:val="21"/>
          <w:highlight w:val="none"/>
          <w:lang w:eastAsia="zh-CN"/>
        </w:rPr>
        <w:t>中华人民共和国</w:t>
      </w:r>
      <w:r>
        <w:rPr>
          <w:rFonts w:hint="eastAsia" w:ascii="宋体" w:hAnsi="宋体" w:eastAsia="宋体" w:cs="宋体"/>
          <w:color w:val="auto"/>
          <w:sz w:val="21"/>
          <w:szCs w:val="21"/>
          <w:highlight w:val="none"/>
        </w:rPr>
        <w:t>民法典》有关条文执行。</w:t>
      </w:r>
    </w:p>
    <w:tbl>
      <w:tblPr>
        <w:tblStyle w:val="30"/>
        <w:tblpPr w:leftFromText="180" w:rightFromText="180" w:vertAnchor="text" w:horzAnchor="margin" w:tblpY="69"/>
        <w:tblW w:w="0" w:type="auto"/>
        <w:tblInd w:w="0" w:type="dxa"/>
        <w:tblLayout w:type="fixed"/>
        <w:tblCellMar>
          <w:top w:w="0" w:type="dxa"/>
          <w:left w:w="108" w:type="dxa"/>
          <w:bottom w:w="0" w:type="dxa"/>
          <w:right w:w="108" w:type="dxa"/>
        </w:tblCellMar>
      </w:tblPr>
      <w:tblGrid>
        <w:gridCol w:w="4448"/>
        <w:gridCol w:w="4760"/>
      </w:tblGrid>
      <w:tr>
        <w:tblPrEx>
          <w:tblCellMar>
            <w:top w:w="0" w:type="dxa"/>
            <w:left w:w="108" w:type="dxa"/>
            <w:bottom w:w="0" w:type="dxa"/>
            <w:right w:w="108" w:type="dxa"/>
          </w:tblCellMar>
        </w:tblPrEx>
        <w:trPr>
          <w:trHeight w:val="2324" w:hRule="atLeast"/>
        </w:trPr>
        <w:tc>
          <w:tcPr>
            <w:tcW w:w="4448" w:type="dxa"/>
            <w:noWrap w:val="0"/>
            <w:vAlign w:val="top"/>
          </w:tcPr>
          <w:p>
            <w:pPr>
              <w:autoSpaceDE w:val="0"/>
              <w:autoSpaceDN w:val="0"/>
              <w:adjustRightInd w:val="0"/>
              <w:spacing w:line="360" w:lineRule="auto"/>
              <w:ind w:right="85" w:firstLine="426"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甲方（盖章）：</w:t>
            </w:r>
          </w:p>
          <w:p>
            <w:pPr>
              <w:autoSpaceDE w:val="0"/>
              <w:autoSpaceDN w:val="0"/>
              <w:adjustRightInd w:val="0"/>
              <w:spacing w:line="360" w:lineRule="auto"/>
              <w:ind w:right="85" w:firstLine="426"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地址：</w:t>
            </w:r>
          </w:p>
          <w:p>
            <w:pPr>
              <w:autoSpaceDE w:val="0"/>
              <w:autoSpaceDN w:val="0"/>
              <w:adjustRightInd w:val="0"/>
              <w:spacing w:line="360" w:lineRule="auto"/>
              <w:ind w:right="85" w:firstLine="426"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法定（授权）代表人：</w:t>
            </w:r>
          </w:p>
          <w:p>
            <w:pPr>
              <w:autoSpaceDE w:val="0"/>
              <w:autoSpaceDN w:val="0"/>
              <w:adjustRightInd w:val="0"/>
              <w:spacing w:line="360" w:lineRule="auto"/>
              <w:ind w:right="85" w:firstLine="426"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电话：</w:t>
            </w:r>
          </w:p>
        </w:tc>
        <w:tc>
          <w:tcPr>
            <w:tcW w:w="4760" w:type="dxa"/>
            <w:noWrap w:val="0"/>
            <w:vAlign w:val="top"/>
          </w:tcPr>
          <w:p>
            <w:pPr>
              <w:autoSpaceDE w:val="0"/>
              <w:autoSpaceDN w:val="0"/>
              <w:adjustRightInd w:val="0"/>
              <w:spacing w:line="360" w:lineRule="auto"/>
              <w:ind w:right="85" w:firstLine="426"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乙方（盖章）： </w:t>
            </w:r>
          </w:p>
          <w:p>
            <w:pPr>
              <w:autoSpaceDE w:val="0"/>
              <w:autoSpaceDN w:val="0"/>
              <w:adjustRightInd w:val="0"/>
              <w:spacing w:line="360" w:lineRule="auto"/>
              <w:ind w:right="85" w:firstLine="426"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地址： </w:t>
            </w:r>
          </w:p>
          <w:p>
            <w:pPr>
              <w:autoSpaceDE w:val="0"/>
              <w:autoSpaceDN w:val="0"/>
              <w:adjustRightInd w:val="0"/>
              <w:spacing w:line="360" w:lineRule="auto"/>
              <w:ind w:right="85" w:firstLine="426"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法定（授权）代表人：</w:t>
            </w:r>
          </w:p>
          <w:p>
            <w:pPr>
              <w:autoSpaceDE w:val="0"/>
              <w:autoSpaceDN w:val="0"/>
              <w:adjustRightInd w:val="0"/>
              <w:spacing w:line="360" w:lineRule="auto"/>
              <w:ind w:right="85" w:firstLine="426"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电话：</w:t>
            </w:r>
          </w:p>
          <w:p>
            <w:pPr>
              <w:autoSpaceDE w:val="0"/>
              <w:autoSpaceDN w:val="0"/>
              <w:adjustRightInd w:val="0"/>
              <w:spacing w:line="360" w:lineRule="auto"/>
              <w:ind w:right="85" w:firstLine="426"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开户银行： </w:t>
            </w:r>
          </w:p>
          <w:p>
            <w:pPr>
              <w:autoSpaceDE w:val="0"/>
              <w:autoSpaceDN w:val="0"/>
              <w:adjustRightInd w:val="0"/>
              <w:spacing w:line="360" w:lineRule="auto"/>
              <w:ind w:right="85" w:firstLine="426" w:firstLineChars="200"/>
              <w:rPr>
                <w:rFonts w:hint="eastAsia" w:ascii="宋体" w:hAnsi="宋体" w:eastAsia="宋体" w:cs="宋体"/>
                <w:color w:val="auto"/>
                <w:sz w:val="21"/>
                <w:szCs w:val="21"/>
                <w:highlight w:val="none"/>
                <w:lang w:val="zh-CN"/>
              </w:rPr>
            </w:pPr>
            <w:bookmarkStart w:id="42" w:name="_Toc466319550"/>
            <w:bookmarkStart w:id="43" w:name="_Toc355773962"/>
            <w:bookmarkStart w:id="44" w:name="_Toc434828430"/>
            <w:bookmarkStart w:id="45" w:name="_Toc434829509"/>
            <w:bookmarkStart w:id="46" w:name="_Toc435129309"/>
            <w:bookmarkStart w:id="47" w:name="_Toc434220677"/>
            <w:bookmarkStart w:id="48" w:name="_Toc20164"/>
            <w:bookmarkStart w:id="49" w:name="_Toc466837156"/>
            <w:bookmarkStart w:id="50" w:name="_Toc434828011"/>
            <w:bookmarkStart w:id="51" w:name="_Toc4724"/>
            <w:bookmarkStart w:id="52" w:name="_Toc434221757"/>
            <w:r>
              <w:rPr>
                <w:rFonts w:hint="eastAsia" w:ascii="宋体" w:hAnsi="宋体" w:eastAsia="宋体" w:cs="宋体"/>
                <w:color w:val="auto"/>
                <w:sz w:val="21"/>
                <w:szCs w:val="21"/>
                <w:highlight w:val="none"/>
                <w:lang w:val="zh-CN"/>
              </w:rPr>
              <w:t>银行账号：</w:t>
            </w:r>
            <w:bookmarkEnd w:id="42"/>
            <w:bookmarkEnd w:id="43"/>
            <w:bookmarkEnd w:id="44"/>
            <w:bookmarkEnd w:id="45"/>
            <w:bookmarkEnd w:id="46"/>
            <w:bookmarkEnd w:id="47"/>
            <w:bookmarkEnd w:id="48"/>
            <w:bookmarkEnd w:id="49"/>
            <w:bookmarkEnd w:id="50"/>
            <w:bookmarkEnd w:id="51"/>
            <w:bookmarkEnd w:id="52"/>
          </w:p>
        </w:tc>
      </w:tr>
    </w:tbl>
    <w:p>
      <w:pPr>
        <w:autoSpaceDE w:val="0"/>
        <w:autoSpaceDN w:val="0"/>
        <w:adjustRightInd w:val="0"/>
        <w:spacing w:line="360" w:lineRule="auto"/>
        <w:ind w:right="85" w:firstLine="426"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签订地点：浙江海盐                         签订日期：      年  月  日</w:t>
      </w:r>
    </w:p>
    <w:p>
      <w:pPr>
        <w:autoSpaceDE w:val="0"/>
        <w:autoSpaceDN w:val="0"/>
        <w:adjustRightInd w:val="0"/>
        <w:spacing w:line="360" w:lineRule="auto"/>
        <w:ind w:right="85" w:firstLine="426"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此为范本，以实际签订的采购合同为准。</w:t>
      </w:r>
    </w:p>
    <w:p>
      <w:pPr>
        <w:pStyle w:val="17"/>
        <w:snapToGrid w:val="0"/>
        <w:spacing w:line="360" w:lineRule="auto"/>
        <w:ind w:firstLine="426" w:firstLineChars="200"/>
        <w:rPr>
          <w:rFonts w:ascii="Times New Roman" w:hAnsi="Times New Roman"/>
          <w:color w:val="auto"/>
          <w:szCs w:val="21"/>
          <w:highlight w:val="none"/>
        </w:rPr>
      </w:pPr>
    </w:p>
    <w:p>
      <w:pPr>
        <w:rPr>
          <w:rFonts w:hint="eastAsia" w:ascii="宋体" w:hAnsi="宋体" w:cs="Arial"/>
          <w:b/>
          <w:color w:val="auto"/>
          <w:sz w:val="24"/>
          <w:highlight w:val="none"/>
        </w:rPr>
      </w:pPr>
      <w:r>
        <w:rPr>
          <w:rFonts w:hint="eastAsia" w:ascii="宋体" w:hAnsi="宋体" w:cs="Arial"/>
          <w:b/>
          <w:color w:val="auto"/>
          <w:sz w:val="24"/>
          <w:highlight w:val="none"/>
        </w:rPr>
        <w:br w:type="page"/>
      </w:r>
    </w:p>
    <w:p>
      <w:pPr>
        <w:pStyle w:val="50"/>
        <w:ind w:left="0" w:leftChars="0" w:firstLine="0" w:firstLineChars="0"/>
        <w:rPr>
          <w:rFonts w:hint="eastAsia"/>
          <w:b/>
          <w:bCs/>
          <w:color w:val="auto"/>
          <w:sz w:val="21"/>
          <w:szCs w:val="21"/>
          <w:highlight w:val="none"/>
          <w:lang w:val="zh-CN"/>
        </w:rPr>
      </w:pPr>
      <w:r>
        <w:rPr>
          <w:rFonts w:hint="eastAsia"/>
          <w:b/>
          <w:bCs/>
          <w:color w:val="auto"/>
          <w:sz w:val="21"/>
          <w:szCs w:val="21"/>
          <w:highlight w:val="none"/>
          <w:lang w:val="zh-CN"/>
        </w:rPr>
        <w:t>附件1:</w:t>
      </w:r>
    </w:p>
    <w:p>
      <w:pPr>
        <w:autoSpaceDE w:val="0"/>
        <w:autoSpaceDN w:val="0"/>
        <w:adjustRightInd w:val="0"/>
        <w:spacing w:line="360" w:lineRule="auto"/>
        <w:ind w:right="85" w:firstLine="426" w:firstLineChars="200"/>
        <w:jc w:val="center"/>
        <w:rPr>
          <w:rFonts w:hint="eastAsia"/>
          <w:b/>
          <w:bCs/>
          <w:color w:val="auto"/>
          <w:sz w:val="21"/>
          <w:szCs w:val="21"/>
          <w:highlight w:val="none"/>
          <w:lang w:val="zh-CN"/>
        </w:rPr>
      </w:pPr>
      <w:r>
        <w:rPr>
          <w:rFonts w:hint="eastAsia"/>
          <w:b/>
          <w:bCs/>
          <w:color w:val="auto"/>
          <w:sz w:val="21"/>
          <w:szCs w:val="21"/>
          <w:highlight w:val="none"/>
          <w:lang w:val="zh-CN"/>
        </w:rPr>
        <w:t>廉政协议</w:t>
      </w:r>
    </w:p>
    <w:p>
      <w:pPr>
        <w:autoSpaceDE w:val="0"/>
        <w:autoSpaceDN w:val="0"/>
        <w:adjustRightInd w:val="0"/>
        <w:spacing w:line="360" w:lineRule="auto"/>
        <w:ind w:right="85" w:firstLine="426" w:firstLineChars="200"/>
        <w:rPr>
          <w:rFonts w:hint="eastAsia"/>
          <w:color w:val="auto"/>
          <w:sz w:val="21"/>
          <w:szCs w:val="21"/>
          <w:highlight w:val="none"/>
          <w:lang w:val="zh-CN"/>
        </w:rPr>
      </w:pPr>
      <w:r>
        <w:rPr>
          <w:rFonts w:hint="eastAsia"/>
          <w:color w:val="auto"/>
          <w:sz w:val="21"/>
          <w:szCs w:val="21"/>
          <w:highlight w:val="none"/>
          <w:lang w:val="zh-CN"/>
        </w:rPr>
        <w:t>为加强廉政建设，规范双方的各项活动，防止发生各种谋取不正当利益的违法违纪行为，保护国家、集体和当事人的合法权益，根据国家有关法律法规和廉政建设责任制度规定，特签订廉政协议。</w:t>
      </w:r>
    </w:p>
    <w:p>
      <w:pPr>
        <w:autoSpaceDE w:val="0"/>
        <w:autoSpaceDN w:val="0"/>
        <w:adjustRightInd w:val="0"/>
        <w:spacing w:line="360" w:lineRule="auto"/>
        <w:ind w:right="85" w:firstLine="426" w:firstLineChars="200"/>
        <w:rPr>
          <w:rFonts w:hint="eastAsia"/>
          <w:color w:val="auto"/>
          <w:sz w:val="21"/>
          <w:szCs w:val="21"/>
          <w:highlight w:val="none"/>
          <w:lang w:val="zh-CN"/>
        </w:rPr>
      </w:pPr>
      <w:r>
        <w:rPr>
          <w:rFonts w:hint="eastAsia"/>
          <w:color w:val="auto"/>
          <w:sz w:val="21"/>
          <w:szCs w:val="21"/>
          <w:highlight w:val="none"/>
          <w:lang w:val="zh-CN"/>
        </w:rPr>
        <w:t>第一条  甲、乙双方约定</w:t>
      </w:r>
    </w:p>
    <w:p>
      <w:pPr>
        <w:autoSpaceDE w:val="0"/>
        <w:autoSpaceDN w:val="0"/>
        <w:adjustRightInd w:val="0"/>
        <w:spacing w:line="360" w:lineRule="auto"/>
        <w:ind w:right="85" w:firstLine="426" w:firstLineChars="200"/>
        <w:rPr>
          <w:rFonts w:hint="eastAsia"/>
          <w:color w:val="auto"/>
          <w:sz w:val="21"/>
          <w:szCs w:val="21"/>
          <w:highlight w:val="none"/>
          <w:lang w:val="zh-CN"/>
        </w:rPr>
      </w:pPr>
      <w:r>
        <w:rPr>
          <w:rFonts w:hint="eastAsia"/>
          <w:color w:val="auto"/>
          <w:sz w:val="21"/>
          <w:szCs w:val="21"/>
          <w:highlight w:val="none"/>
          <w:lang w:val="zh-CN"/>
        </w:rPr>
        <w:t>（一）甲、乙双方应共同严格遵守国家和省市以及招标人主管部门关于市场准入、项目招标投标、市场经济活动等有关法律、法规和相关政策，以及项目廉政建设的各项规定。</w:t>
      </w:r>
    </w:p>
    <w:p>
      <w:pPr>
        <w:autoSpaceDE w:val="0"/>
        <w:autoSpaceDN w:val="0"/>
        <w:adjustRightInd w:val="0"/>
        <w:spacing w:line="360" w:lineRule="auto"/>
        <w:ind w:right="85" w:firstLine="426" w:firstLineChars="200"/>
        <w:rPr>
          <w:rFonts w:hint="eastAsia"/>
          <w:color w:val="auto"/>
          <w:sz w:val="21"/>
          <w:szCs w:val="21"/>
          <w:highlight w:val="none"/>
          <w:lang w:val="zh-CN"/>
        </w:rPr>
      </w:pPr>
      <w:r>
        <w:rPr>
          <w:rFonts w:hint="eastAsia"/>
          <w:color w:val="auto"/>
          <w:sz w:val="21"/>
          <w:szCs w:val="21"/>
          <w:highlight w:val="none"/>
          <w:lang w:val="zh-CN"/>
        </w:rPr>
        <w:t>（二）甲、乙双方应认真执行双方签订的合同文件，自觉按合同约定履行责任。</w:t>
      </w:r>
    </w:p>
    <w:p>
      <w:pPr>
        <w:autoSpaceDE w:val="0"/>
        <w:autoSpaceDN w:val="0"/>
        <w:adjustRightInd w:val="0"/>
        <w:spacing w:line="360" w:lineRule="auto"/>
        <w:ind w:right="85" w:firstLine="426" w:firstLineChars="200"/>
        <w:rPr>
          <w:rFonts w:hint="eastAsia"/>
          <w:color w:val="auto"/>
          <w:sz w:val="21"/>
          <w:szCs w:val="21"/>
          <w:highlight w:val="none"/>
          <w:lang w:val="zh-CN"/>
        </w:rPr>
      </w:pPr>
      <w:r>
        <w:rPr>
          <w:rFonts w:hint="eastAsia"/>
          <w:color w:val="auto"/>
          <w:sz w:val="21"/>
          <w:szCs w:val="21"/>
          <w:highlight w:val="none"/>
          <w:lang w:val="zh-CN"/>
        </w:rPr>
        <w:t>（三）甲、乙双方的业务活动必须坚持公开、公平、公正、诚信、透明的原则（除法律法规另有规定者外）。不得为获取不正当的利益，损害国家、集体和对方利益；不得违反管理相关规章制度。</w:t>
      </w:r>
    </w:p>
    <w:p>
      <w:pPr>
        <w:autoSpaceDE w:val="0"/>
        <w:autoSpaceDN w:val="0"/>
        <w:adjustRightInd w:val="0"/>
        <w:spacing w:line="360" w:lineRule="auto"/>
        <w:ind w:right="85" w:firstLine="426" w:firstLineChars="200"/>
        <w:rPr>
          <w:rFonts w:hint="eastAsia"/>
          <w:color w:val="auto"/>
          <w:sz w:val="21"/>
          <w:szCs w:val="21"/>
          <w:highlight w:val="none"/>
          <w:lang w:val="zh-CN"/>
        </w:rPr>
      </w:pPr>
      <w:r>
        <w:rPr>
          <w:rFonts w:hint="eastAsia"/>
          <w:color w:val="auto"/>
          <w:sz w:val="21"/>
          <w:szCs w:val="21"/>
          <w:highlight w:val="none"/>
          <w:lang w:val="zh-CN"/>
        </w:rPr>
        <w:t>（四）甲、乙双方有对本方人员开展廉政告知、廉政教育和职业道德教育的义务。</w:t>
      </w:r>
    </w:p>
    <w:p>
      <w:pPr>
        <w:autoSpaceDE w:val="0"/>
        <w:autoSpaceDN w:val="0"/>
        <w:adjustRightInd w:val="0"/>
        <w:spacing w:line="360" w:lineRule="auto"/>
        <w:ind w:right="85" w:firstLine="426" w:firstLineChars="200"/>
        <w:rPr>
          <w:rFonts w:hint="eastAsia"/>
          <w:color w:val="auto"/>
          <w:sz w:val="21"/>
          <w:szCs w:val="21"/>
          <w:highlight w:val="none"/>
          <w:lang w:val="zh-CN"/>
        </w:rPr>
      </w:pPr>
      <w:r>
        <w:rPr>
          <w:rFonts w:hint="eastAsia"/>
          <w:color w:val="auto"/>
          <w:sz w:val="21"/>
          <w:szCs w:val="21"/>
          <w:highlight w:val="none"/>
          <w:lang w:val="zh-CN"/>
        </w:rPr>
        <w:t>（五）甲、乙双方应加强对本方人员廉政监督，建立健全廉政制度，认真严肃查处本方人员违法违纪行为。</w:t>
      </w:r>
    </w:p>
    <w:p>
      <w:pPr>
        <w:autoSpaceDE w:val="0"/>
        <w:autoSpaceDN w:val="0"/>
        <w:adjustRightInd w:val="0"/>
        <w:spacing w:line="360" w:lineRule="auto"/>
        <w:ind w:right="85" w:firstLine="426" w:firstLineChars="200"/>
        <w:rPr>
          <w:rFonts w:hint="eastAsia"/>
          <w:color w:val="auto"/>
          <w:sz w:val="21"/>
          <w:szCs w:val="21"/>
          <w:highlight w:val="none"/>
          <w:lang w:val="zh-CN"/>
        </w:rPr>
      </w:pPr>
      <w:r>
        <w:rPr>
          <w:rFonts w:hint="eastAsia"/>
          <w:color w:val="auto"/>
          <w:sz w:val="21"/>
          <w:szCs w:val="21"/>
          <w:highlight w:val="none"/>
          <w:lang w:val="zh-CN"/>
        </w:rPr>
        <w:t>（六）甲、乙双方如发现对方人员在业务活动中有违规、违纪、违法行为的，应及时提醒对方并督促其纠正，或直接向对方法人代表、纪检监察部门及检察机关如实反映情况。</w:t>
      </w:r>
    </w:p>
    <w:p>
      <w:pPr>
        <w:autoSpaceDE w:val="0"/>
        <w:autoSpaceDN w:val="0"/>
        <w:adjustRightInd w:val="0"/>
        <w:spacing w:line="360" w:lineRule="auto"/>
        <w:ind w:right="85" w:firstLine="426" w:firstLineChars="200"/>
        <w:rPr>
          <w:rFonts w:hint="eastAsia"/>
          <w:color w:val="auto"/>
          <w:sz w:val="21"/>
          <w:szCs w:val="21"/>
          <w:highlight w:val="none"/>
          <w:lang w:val="zh-CN"/>
        </w:rPr>
      </w:pPr>
      <w:r>
        <w:rPr>
          <w:rFonts w:hint="eastAsia"/>
          <w:color w:val="auto"/>
          <w:sz w:val="21"/>
          <w:szCs w:val="21"/>
          <w:highlight w:val="none"/>
          <w:lang w:val="zh-CN"/>
        </w:rPr>
        <w:t>第二条  乙方的廉政责任</w:t>
      </w:r>
    </w:p>
    <w:p>
      <w:pPr>
        <w:autoSpaceDE w:val="0"/>
        <w:autoSpaceDN w:val="0"/>
        <w:adjustRightInd w:val="0"/>
        <w:spacing w:line="360" w:lineRule="auto"/>
        <w:ind w:right="85" w:firstLine="426" w:firstLineChars="200"/>
        <w:rPr>
          <w:rFonts w:hint="eastAsia"/>
          <w:color w:val="auto"/>
          <w:sz w:val="21"/>
          <w:szCs w:val="21"/>
          <w:highlight w:val="none"/>
          <w:lang w:val="zh-CN"/>
        </w:rPr>
      </w:pPr>
      <w:r>
        <w:rPr>
          <w:rFonts w:hint="eastAsia"/>
          <w:color w:val="auto"/>
          <w:sz w:val="21"/>
          <w:szCs w:val="21"/>
          <w:highlight w:val="none"/>
          <w:lang w:val="zh-CN"/>
        </w:rPr>
        <w:t>（一）乙方不得以任何理由向甲方工作人员赠送礼金、有价证券、贵重物品、信用卡及其他支付凭证。</w:t>
      </w:r>
    </w:p>
    <w:p>
      <w:pPr>
        <w:autoSpaceDE w:val="0"/>
        <w:autoSpaceDN w:val="0"/>
        <w:adjustRightInd w:val="0"/>
        <w:spacing w:line="360" w:lineRule="auto"/>
        <w:ind w:right="85" w:firstLine="426" w:firstLineChars="200"/>
        <w:rPr>
          <w:rFonts w:hint="eastAsia"/>
          <w:color w:val="auto"/>
          <w:sz w:val="21"/>
          <w:szCs w:val="21"/>
          <w:highlight w:val="none"/>
          <w:lang w:val="zh-CN"/>
        </w:rPr>
      </w:pPr>
      <w:r>
        <w:rPr>
          <w:rFonts w:hint="eastAsia"/>
          <w:color w:val="auto"/>
          <w:sz w:val="21"/>
          <w:szCs w:val="21"/>
          <w:highlight w:val="none"/>
          <w:lang w:val="zh-CN"/>
        </w:rPr>
        <w:t>（二）乙方不得以任何理由或名义向甲方及其工作人员支付回扣、好处费、感谢费等。</w:t>
      </w:r>
    </w:p>
    <w:p>
      <w:pPr>
        <w:autoSpaceDE w:val="0"/>
        <w:autoSpaceDN w:val="0"/>
        <w:adjustRightInd w:val="0"/>
        <w:spacing w:line="360" w:lineRule="auto"/>
        <w:ind w:right="85" w:firstLine="426" w:firstLineChars="200"/>
        <w:rPr>
          <w:rFonts w:hint="eastAsia"/>
          <w:color w:val="auto"/>
          <w:sz w:val="21"/>
          <w:szCs w:val="21"/>
          <w:highlight w:val="none"/>
          <w:lang w:val="zh-CN"/>
        </w:rPr>
      </w:pPr>
      <w:r>
        <w:rPr>
          <w:rFonts w:hint="eastAsia"/>
          <w:color w:val="auto"/>
          <w:sz w:val="21"/>
          <w:szCs w:val="21"/>
          <w:highlight w:val="none"/>
          <w:lang w:val="zh-CN"/>
        </w:rPr>
        <w:t>（三）乙方不得以任何理由或名义为甲方及其工作人员报销任何应由甲方个人支付的费用。</w:t>
      </w:r>
    </w:p>
    <w:p>
      <w:pPr>
        <w:autoSpaceDE w:val="0"/>
        <w:autoSpaceDN w:val="0"/>
        <w:adjustRightInd w:val="0"/>
        <w:spacing w:line="360" w:lineRule="auto"/>
        <w:ind w:right="85" w:firstLine="426" w:firstLineChars="200"/>
        <w:rPr>
          <w:rFonts w:hint="eastAsia"/>
          <w:color w:val="auto"/>
          <w:sz w:val="21"/>
          <w:szCs w:val="21"/>
          <w:highlight w:val="none"/>
          <w:lang w:val="zh-CN"/>
        </w:rPr>
      </w:pPr>
      <w:r>
        <w:rPr>
          <w:rFonts w:hint="eastAsia"/>
          <w:color w:val="auto"/>
          <w:sz w:val="21"/>
          <w:szCs w:val="21"/>
          <w:highlight w:val="none"/>
          <w:lang w:val="zh-CN"/>
        </w:rPr>
        <w:t>（四）乙方不得以任何理由为甲方及其工作人员购置或长期提供通信工具、交通工具等。</w:t>
      </w:r>
    </w:p>
    <w:p>
      <w:pPr>
        <w:autoSpaceDE w:val="0"/>
        <w:autoSpaceDN w:val="0"/>
        <w:adjustRightInd w:val="0"/>
        <w:spacing w:line="360" w:lineRule="auto"/>
        <w:ind w:right="85" w:firstLine="426" w:firstLineChars="200"/>
        <w:rPr>
          <w:rFonts w:hint="eastAsia"/>
          <w:color w:val="auto"/>
          <w:sz w:val="21"/>
          <w:szCs w:val="21"/>
          <w:highlight w:val="none"/>
          <w:lang w:val="zh-CN"/>
        </w:rPr>
      </w:pPr>
      <w:r>
        <w:rPr>
          <w:rFonts w:hint="eastAsia"/>
          <w:color w:val="auto"/>
          <w:sz w:val="21"/>
          <w:szCs w:val="21"/>
          <w:highlight w:val="none"/>
          <w:lang w:val="zh-CN"/>
        </w:rPr>
        <w:t>（五）乙方不得以任何理由为甲方及其工作人员的个人装修住房、婚丧嫁娶、配偶子女的工作安排以及出国（境）、旅游等提供方便。</w:t>
      </w:r>
    </w:p>
    <w:p>
      <w:pPr>
        <w:autoSpaceDE w:val="0"/>
        <w:autoSpaceDN w:val="0"/>
        <w:adjustRightInd w:val="0"/>
        <w:spacing w:line="360" w:lineRule="auto"/>
        <w:ind w:right="85" w:firstLine="426" w:firstLineChars="200"/>
        <w:rPr>
          <w:rFonts w:hint="eastAsia"/>
          <w:color w:val="auto"/>
          <w:sz w:val="21"/>
          <w:szCs w:val="21"/>
          <w:highlight w:val="none"/>
          <w:lang w:val="zh-CN"/>
        </w:rPr>
      </w:pPr>
      <w:r>
        <w:rPr>
          <w:rFonts w:hint="eastAsia"/>
          <w:color w:val="auto"/>
          <w:sz w:val="21"/>
          <w:szCs w:val="21"/>
          <w:highlight w:val="none"/>
          <w:lang w:val="zh-CN"/>
        </w:rPr>
        <w:t>（六）乙方不得以任何理由为甲方及其工作人员组织有可能影响公正执行公务的宴请和各类休闲娱乐等活动。</w:t>
      </w:r>
    </w:p>
    <w:p>
      <w:pPr>
        <w:autoSpaceDE w:val="0"/>
        <w:autoSpaceDN w:val="0"/>
        <w:adjustRightInd w:val="0"/>
        <w:spacing w:line="360" w:lineRule="auto"/>
        <w:ind w:right="85" w:firstLine="426" w:firstLineChars="200"/>
        <w:rPr>
          <w:rFonts w:hint="eastAsia"/>
          <w:color w:val="auto"/>
          <w:sz w:val="21"/>
          <w:szCs w:val="21"/>
          <w:highlight w:val="none"/>
          <w:lang w:val="zh-CN"/>
        </w:rPr>
      </w:pPr>
      <w:r>
        <w:rPr>
          <w:rFonts w:hint="eastAsia"/>
          <w:color w:val="auto"/>
          <w:sz w:val="21"/>
          <w:szCs w:val="21"/>
          <w:highlight w:val="none"/>
          <w:lang w:val="zh-CN"/>
        </w:rPr>
        <w:t>（七）乙方及其工作人员必须严格按照有关规程办事，不得与其他单位互相串通，损害甲方利益。</w:t>
      </w:r>
    </w:p>
    <w:p>
      <w:pPr>
        <w:autoSpaceDE w:val="0"/>
        <w:autoSpaceDN w:val="0"/>
        <w:adjustRightInd w:val="0"/>
        <w:spacing w:line="360" w:lineRule="auto"/>
        <w:ind w:right="85" w:firstLine="426" w:firstLineChars="200"/>
        <w:rPr>
          <w:rFonts w:hint="eastAsia"/>
          <w:color w:val="auto"/>
          <w:sz w:val="21"/>
          <w:szCs w:val="21"/>
          <w:highlight w:val="none"/>
          <w:lang w:val="zh-CN"/>
        </w:rPr>
      </w:pPr>
      <w:r>
        <w:rPr>
          <w:rFonts w:hint="eastAsia"/>
          <w:color w:val="auto"/>
          <w:sz w:val="21"/>
          <w:szCs w:val="21"/>
          <w:highlight w:val="none"/>
          <w:lang w:val="zh-CN"/>
        </w:rPr>
        <w:t>第三条  违约责任</w:t>
      </w:r>
    </w:p>
    <w:p>
      <w:pPr>
        <w:autoSpaceDE w:val="0"/>
        <w:autoSpaceDN w:val="0"/>
        <w:adjustRightInd w:val="0"/>
        <w:spacing w:line="360" w:lineRule="auto"/>
        <w:ind w:right="85" w:firstLine="426" w:firstLineChars="200"/>
        <w:rPr>
          <w:rFonts w:hint="eastAsia"/>
          <w:color w:val="auto"/>
          <w:sz w:val="21"/>
          <w:szCs w:val="21"/>
          <w:highlight w:val="none"/>
          <w:lang w:val="zh-CN"/>
        </w:rPr>
      </w:pPr>
      <w:r>
        <w:rPr>
          <w:rFonts w:hint="eastAsia"/>
          <w:color w:val="auto"/>
          <w:sz w:val="21"/>
          <w:szCs w:val="21"/>
          <w:highlight w:val="none"/>
          <w:lang w:val="zh-CN"/>
        </w:rPr>
        <w:t>（一）乙方工作人员有违反本协议第一、二条责任行为的，按照管理权限，依据有关法律法规和乙方单位及其上级党政部门党风廉政建设规定给予当事人批评教育、组织处理或党纪政纪处分；涉嫌犯罪的，移交司法机关追究刑事责任；给甲方单位造成经济损失的，应予以赔偿。</w:t>
      </w:r>
    </w:p>
    <w:p>
      <w:pPr>
        <w:autoSpaceDE w:val="0"/>
        <w:autoSpaceDN w:val="0"/>
        <w:adjustRightInd w:val="0"/>
        <w:spacing w:line="360" w:lineRule="auto"/>
        <w:ind w:right="85" w:firstLine="426" w:firstLineChars="200"/>
        <w:rPr>
          <w:rFonts w:hint="eastAsia"/>
          <w:color w:val="auto"/>
          <w:sz w:val="21"/>
          <w:szCs w:val="21"/>
          <w:highlight w:val="none"/>
          <w:lang w:val="zh-CN"/>
        </w:rPr>
      </w:pPr>
      <w:r>
        <w:rPr>
          <w:rFonts w:hint="eastAsia"/>
          <w:color w:val="auto"/>
          <w:sz w:val="21"/>
          <w:szCs w:val="21"/>
          <w:highlight w:val="none"/>
          <w:lang w:val="zh-CN"/>
        </w:rPr>
        <w:t>（二）乙方贿赂甲方人员的，被纪检监察部门或检察机关立案查处的，甲方有权中止项目合同，由此造成甲方的损失以及一切费用均由乙方承担。</w:t>
      </w:r>
    </w:p>
    <w:p>
      <w:pPr>
        <w:autoSpaceDE w:val="0"/>
        <w:autoSpaceDN w:val="0"/>
        <w:adjustRightInd w:val="0"/>
        <w:spacing w:line="360" w:lineRule="auto"/>
        <w:ind w:right="85" w:firstLine="426" w:firstLineChars="200"/>
        <w:rPr>
          <w:rFonts w:hint="eastAsia"/>
          <w:color w:val="auto"/>
          <w:sz w:val="21"/>
          <w:szCs w:val="21"/>
          <w:highlight w:val="none"/>
          <w:lang w:val="zh-CN"/>
        </w:rPr>
      </w:pPr>
      <w:r>
        <w:rPr>
          <w:rFonts w:hint="eastAsia"/>
          <w:color w:val="auto"/>
          <w:sz w:val="21"/>
          <w:szCs w:val="21"/>
          <w:highlight w:val="none"/>
          <w:lang w:val="zh-CN"/>
        </w:rPr>
        <w:t>第四条  本协议的有效期与项目实施期一致。</w:t>
      </w:r>
    </w:p>
    <w:p>
      <w:pPr>
        <w:autoSpaceDE w:val="0"/>
        <w:autoSpaceDN w:val="0"/>
        <w:adjustRightInd w:val="0"/>
        <w:spacing w:line="360" w:lineRule="auto"/>
        <w:ind w:right="85" w:firstLine="426" w:firstLineChars="200"/>
        <w:rPr>
          <w:rFonts w:hint="eastAsia"/>
          <w:color w:val="auto"/>
          <w:sz w:val="21"/>
          <w:szCs w:val="21"/>
          <w:highlight w:val="none"/>
          <w:lang w:val="zh-CN"/>
        </w:rPr>
      </w:pPr>
    </w:p>
    <w:p>
      <w:pPr>
        <w:autoSpaceDE w:val="0"/>
        <w:autoSpaceDN w:val="0"/>
        <w:adjustRightInd w:val="0"/>
        <w:spacing w:line="360" w:lineRule="auto"/>
        <w:ind w:right="85" w:firstLine="426" w:firstLineChars="200"/>
        <w:rPr>
          <w:rFonts w:hint="eastAsia"/>
          <w:color w:val="auto"/>
          <w:sz w:val="21"/>
          <w:szCs w:val="21"/>
          <w:highlight w:val="none"/>
          <w:lang w:val="zh-CN"/>
        </w:rPr>
      </w:pPr>
    </w:p>
    <w:p>
      <w:pPr>
        <w:autoSpaceDE w:val="0"/>
        <w:autoSpaceDN w:val="0"/>
        <w:adjustRightInd w:val="0"/>
        <w:spacing w:line="360" w:lineRule="auto"/>
        <w:ind w:right="85" w:firstLine="426" w:firstLineChars="200"/>
        <w:rPr>
          <w:rFonts w:hint="eastAsia"/>
          <w:color w:val="auto"/>
          <w:sz w:val="21"/>
          <w:szCs w:val="21"/>
          <w:highlight w:val="none"/>
          <w:lang w:val="zh-CN"/>
        </w:rPr>
      </w:pPr>
    </w:p>
    <w:tbl>
      <w:tblPr>
        <w:tblStyle w:val="30"/>
        <w:tblW w:w="0" w:type="auto"/>
        <w:tblInd w:w="108" w:type="dxa"/>
        <w:tblLayout w:type="fixed"/>
        <w:tblCellMar>
          <w:top w:w="0" w:type="dxa"/>
          <w:left w:w="108" w:type="dxa"/>
          <w:bottom w:w="0" w:type="dxa"/>
          <w:right w:w="108" w:type="dxa"/>
        </w:tblCellMar>
      </w:tblPr>
      <w:tblGrid>
        <w:gridCol w:w="4253"/>
        <w:gridCol w:w="4819"/>
      </w:tblGrid>
      <w:tr>
        <w:tblPrEx>
          <w:tblCellMar>
            <w:top w:w="0" w:type="dxa"/>
            <w:left w:w="108" w:type="dxa"/>
            <w:bottom w:w="0" w:type="dxa"/>
            <w:right w:w="108" w:type="dxa"/>
          </w:tblCellMar>
        </w:tblPrEx>
        <w:trPr>
          <w:trHeight w:val="90" w:hRule="atLeast"/>
        </w:trPr>
        <w:tc>
          <w:tcPr>
            <w:tcW w:w="4253" w:type="dxa"/>
            <w:noWrap w:val="0"/>
            <w:vAlign w:val="center"/>
          </w:tcPr>
          <w:p>
            <w:pPr>
              <w:autoSpaceDE w:val="0"/>
              <w:autoSpaceDN w:val="0"/>
              <w:adjustRightInd w:val="0"/>
              <w:spacing w:line="360" w:lineRule="auto"/>
              <w:ind w:right="85" w:firstLine="426" w:firstLineChars="200"/>
              <w:rPr>
                <w:rFonts w:hint="eastAsia"/>
                <w:color w:val="auto"/>
                <w:sz w:val="21"/>
                <w:szCs w:val="21"/>
                <w:highlight w:val="none"/>
                <w:lang w:val="zh-CN"/>
              </w:rPr>
            </w:pPr>
            <w:r>
              <w:rPr>
                <w:rFonts w:hint="eastAsia"/>
                <w:color w:val="auto"/>
                <w:sz w:val="21"/>
                <w:szCs w:val="21"/>
                <w:highlight w:val="none"/>
                <w:lang w:val="zh-CN"/>
              </w:rPr>
              <w:t xml:space="preserve">甲 方(盖章)： </w:t>
            </w:r>
          </w:p>
        </w:tc>
        <w:tc>
          <w:tcPr>
            <w:tcW w:w="4819" w:type="dxa"/>
            <w:noWrap w:val="0"/>
            <w:vAlign w:val="center"/>
          </w:tcPr>
          <w:p>
            <w:pPr>
              <w:autoSpaceDE w:val="0"/>
              <w:autoSpaceDN w:val="0"/>
              <w:adjustRightInd w:val="0"/>
              <w:spacing w:line="360" w:lineRule="auto"/>
              <w:ind w:right="85" w:firstLine="426" w:firstLineChars="200"/>
              <w:rPr>
                <w:rFonts w:hint="eastAsia"/>
                <w:color w:val="auto"/>
                <w:sz w:val="21"/>
                <w:szCs w:val="21"/>
                <w:highlight w:val="none"/>
                <w:lang w:val="zh-CN"/>
              </w:rPr>
            </w:pPr>
            <w:r>
              <w:rPr>
                <w:rFonts w:hint="eastAsia"/>
                <w:color w:val="auto"/>
                <w:sz w:val="21"/>
                <w:szCs w:val="21"/>
                <w:highlight w:val="none"/>
                <w:lang w:val="zh-CN"/>
              </w:rPr>
              <w:t xml:space="preserve">乙 方(盖章)： </w:t>
            </w:r>
          </w:p>
        </w:tc>
      </w:tr>
      <w:tr>
        <w:tblPrEx>
          <w:tblCellMar>
            <w:top w:w="0" w:type="dxa"/>
            <w:left w:w="108" w:type="dxa"/>
            <w:bottom w:w="0" w:type="dxa"/>
            <w:right w:w="108" w:type="dxa"/>
          </w:tblCellMar>
        </w:tblPrEx>
        <w:trPr>
          <w:trHeight w:val="1675" w:hRule="atLeast"/>
        </w:trPr>
        <w:tc>
          <w:tcPr>
            <w:tcW w:w="4253" w:type="dxa"/>
            <w:noWrap w:val="0"/>
            <w:vAlign w:val="center"/>
          </w:tcPr>
          <w:p>
            <w:pPr>
              <w:autoSpaceDE w:val="0"/>
              <w:autoSpaceDN w:val="0"/>
              <w:adjustRightInd w:val="0"/>
              <w:spacing w:line="360" w:lineRule="auto"/>
              <w:ind w:right="85" w:firstLine="426" w:firstLineChars="200"/>
              <w:rPr>
                <w:rFonts w:hint="eastAsia"/>
                <w:color w:val="auto"/>
                <w:sz w:val="21"/>
                <w:szCs w:val="21"/>
                <w:highlight w:val="none"/>
                <w:lang w:val="zh-CN"/>
              </w:rPr>
            </w:pPr>
            <w:r>
              <w:rPr>
                <w:rFonts w:hint="eastAsia"/>
                <w:color w:val="auto"/>
                <w:sz w:val="21"/>
                <w:szCs w:val="21"/>
                <w:highlight w:val="none"/>
                <w:lang w:val="zh-CN"/>
              </w:rPr>
              <w:t xml:space="preserve">法定（授权）代表人：                </w:t>
            </w:r>
          </w:p>
        </w:tc>
        <w:tc>
          <w:tcPr>
            <w:tcW w:w="4819" w:type="dxa"/>
            <w:noWrap w:val="0"/>
            <w:vAlign w:val="center"/>
          </w:tcPr>
          <w:p>
            <w:pPr>
              <w:autoSpaceDE w:val="0"/>
              <w:autoSpaceDN w:val="0"/>
              <w:adjustRightInd w:val="0"/>
              <w:spacing w:line="360" w:lineRule="auto"/>
              <w:ind w:right="85" w:firstLine="426" w:firstLineChars="200"/>
              <w:rPr>
                <w:rFonts w:hint="eastAsia"/>
                <w:color w:val="auto"/>
                <w:sz w:val="21"/>
                <w:szCs w:val="21"/>
                <w:highlight w:val="none"/>
                <w:lang w:val="zh-CN"/>
              </w:rPr>
            </w:pPr>
            <w:r>
              <w:rPr>
                <w:rFonts w:hint="eastAsia"/>
                <w:color w:val="auto"/>
                <w:sz w:val="21"/>
                <w:szCs w:val="21"/>
                <w:highlight w:val="none"/>
                <w:lang w:val="zh-CN"/>
              </w:rPr>
              <w:t xml:space="preserve">法定（授权）代表人：               </w:t>
            </w:r>
          </w:p>
        </w:tc>
      </w:tr>
      <w:tr>
        <w:tblPrEx>
          <w:tblCellMar>
            <w:top w:w="0" w:type="dxa"/>
            <w:left w:w="108" w:type="dxa"/>
            <w:bottom w:w="0" w:type="dxa"/>
            <w:right w:w="108" w:type="dxa"/>
          </w:tblCellMar>
        </w:tblPrEx>
        <w:trPr>
          <w:trHeight w:val="510" w:hRule="atLeast"/>
        </w:trPr>
        <w:tc>
          <w:tcPr>
            <w:tcW w:w="4253" w:type="dxa"/>
            <w:noWrap w:val="0"/>
            <w:vAlign w:val="center"/>
          </w:tcPr>
          <w:p>
            <w:pPr>
              <w:autoSpaceDE w:val="0"/>
              <w:autoSpaceDN w:val="0"/>
              <w:adjustRightInd w:val="0"/>
              <w:spacing w:line="360" w:lineRule="auto"/>
              <w:ind w:right="85" w:firstLine="426" w:firstLineChars="200"/>
              <w:rPr>
                <w:rFonts w:hint="eastAsia"/>
                <w:color w:val="auto"/>
                <w:sz w:val="21"/>
                <w:szCs w:val="21"/>
                <w:highlight w:val="none"/>
                <w:lang w:val="zh-CN"/>
              </w:rPr>
            </w:pPr>
            <w:r>
              <w:rPr>
                <w:rFonts w:hint="eastAsia"/>
                <w:color w:val="auto"/>
                <w:sz w:val="21"/>
                <w:szCs w:val="21"/>
                <w:highlight w:val="none"/>
                <w:lang w:val="zh-CN"/>
              </w:rPr>
              <w:t>签订时间： 202</w:t>
            </w:r>
            <w:r>
              <w:rPr>
                <w:rFonts w:hint="eastAsia"/>
                <w:color w:val="auto"/>
                <w:sz w:val="21"/>
                <w:szCs w:val="21"/>
                <w:highlight w:val="none"/>
                <w:lang w:val="en-US" w:eastAsia="zh-CN"/>
              </w:rPr>
              <w:t>5</w:t>
            </w:r>
            <w:r>
              <w:rPr>
                <w:rFonts w:hint="eastAsia"/>
                <w:color w:val="auto"/>
                <w:sz w:val="21"/>
                <w:szCs w:val="21"/>
                <w:highlight w:val="none"/>
                <w:lang w:val="zh-CN"/>
              </w:rPr>
              <w:t xml:space="preserve"> 年    月    日</w:t>
            </w:r>
          </w:p>
        </w:tc>
        <w:tc>
          <w:tcPr>
            <w:tcW w:w="4819" w:type="dxa"/>
            <w:noWrap w:val="0"/>
            <w:vAlign w:val="center"/>
          </w:tcPr>
          <w:p>
            <w:pPr>
              <w:autoSpaceDE w:val="0"/>
              <w:autoSpaceDN w:val="0"/>
              <w:adjustRightInd w:val="0"/>
              <w:spacing w:line="360" w:lineRule="auto"/>
              <w:ind w:right="85" w:firstLine="426" w:firstLineChars="200"/>
              <w:rPr>
                <w:rFonts w:hint="eastAsia"/>
                <w:color w:val="auto"/>
                <w:sz w:val="21"/>
                <w:szCs w:val="21"/>
                <w:highlight w:val="none"/>
                <w:lang w:val="zh-CN"/>
              </w:rPr>
            </w:pPr>
            <w:r>
              <w:rPr>
                <w:rFonts w:hint="eastAsia"/>
                <w:color w:val="auto"/>
                <w:sz w:val="21"/>
                <w:szCs w:val="21"/>
                <w:highlight w:val="none"/>
                <w:lang w:val="zh-CN"/>
              </w:rPr>
              <w:t>签订时间：202</w:t>
            </w:r>
            <w:r>
              <w:rPr>
                <w:rFonts w:hint="eastAsia"/>
                <w:color w:val="auto"/>
                <w:sz w:val="21"/>
                <w:szCs w:val="21"/>
                <w:highlight w:val="none"/>
                <w:lang w:val="en-US" w:eastAsia="zh-CN"/>
              </w:rPr>
              <w:t>5</w:t>
            </w:r>
            <w:r>
              <w:rPr>
                <w:rFonts w:hint="eastAsia"/>
                <w:color w:val="auto"/>
                <w:sz w:val="21"/>
                <w:szCs w:val="21"/>
                <w:highlight w:val="none"/>
                <w:lang w:val="zh-CN"/>
              </w:rPr>
              <w:t xml:space="preserve"> 年    月    日</w:t>
            </w:r>
          </w:p>
        </w:tc>
      </w:tr>
    </w:tbl>
    <w:p>
      <w:pPr>
        <w:jc w:val="center"/>
        <w:rPr>
          <w:rFonts w:hint="eastAsia"/>
          <w:b/>
          <w:bCs/>
          <w:color w:val="auto"/>
          <w:highlight w:val="none"/>
        </w:rPr>
      </w:pPr>
    </w:p>
    <w:p>
      <w:pPr>
        <w:jc w:val="center"/>
        <w:rPr>
          <w:rFonts w:hint="eastAsia"/>
          <w:b/>
          <w:bCs/>
          <w:color w:val="auto"/>
          <w:highlight w:val="none"/>
        </w:rPr>
      </w:pPr>
    </w:p>
    <w:p>
      <w:pPr>
        <w:jc w:val="center"/>
        <w:rPr>
          <w:rFonts w:hint="eastAsia"/>
          <w:b/>
          <w:bCs/>
          <w:color w:val="auto"/>
          <w:highlight w:val="none"/>
        </w:rPr>
      </w:pPr>
    </w:p>
    <w:p>
      <w:pPr>
        <w:jc w:val="center"/>
        <w:rPr>
          <w:rFonts w:hint="eastAsia"/>
          <w:b/>
          <w:bCs/>
          <w:color w:val="auto"/>
          <w:highlight w:val="none"/>
        </w:rPr>
      </w:pPr>
    </w:p>
    <w:p>
      <w:pPr>
        <w:jc w:val="center"/>
        <w:rPr>
          <w:rFonts w:hint="eastAsia"/>
          <w:b/>
          <w:bCs/>
          <w:color w:val="auto"/>
          <w:highlight w:val="none"/>
        </w:rPr>
      </w:pPr>
    </w:p>
    <w:p>
      <w:pPr>
        <w:jc w:val="center"/>
        <w:rPr>
          <w:rFonts w:hint="eastAsia"/>
          <w:b/>
          <w:bCs/>
          <w:color w:val="auto"/>
          <w:highlight w:val="none"/>
        </w:rPr>
      </w:pPr>
    </w:p>
    <w:p>
      <w:pPr>
        <w:jc w:val="center"/>
        <w:rPr>
          <w:rFonts w:hint="eastAsia"/>
          <w:b/>
          <w:bCs/>
          <w:color w:val="auto"/>
          <w:highlight w:val="none"/>
        </w:rPr>
      </w:pPr>
    </w:p>
    <w:p>
      <w:pPr>
        <w:jc w:val="center"/>
        <w:rPr>
          <w:rFonts w:hint="eastAsia"/>
          <w:b/>
          <w:bCs/>
          <w:color w:val="auto"/>
          <w:highlight w:val="none"/>
        </w:rPr>
      </w:pPr>
    </w:p>
    <w:p>
      <w:pPr>
        <w:jc w:val="center"/>
        <w:rPr>
          <w:rFonts w:hint="eastAsia"/>
          <w:b/>
          <w:bCs/>
          <w:color w:val="auto"/>
          <w:highlight w:val="none"/>
        </w:rPr>
      </w:pPr>
    </w:p>
    <w:p>
      <w:pPr>
        <w:jc w:val="center"/>
        <w:rPr>
          <w:rFonts w:hint="eastAsia"/>
          <w:b/>
          <w:bCs/>
          <w:color w:val="auto"/>
          <w:highlight w:val="none"/>
        </w:rPr>
      </w:pPr>
    </w:p>
    <w:p>
      <w:pPr>
        <w:jc w:val="center"/>
        <w:rPr>
          <w:rFonts w:hint="eastAsia"/>
          <w:b/>
          <w:bCs/>
          <w:color w:val="auto"/>
          <w:highlight w:val="none"/>
        </w:rPr>
      </w:pPr>
    </w:p>
    <w:p>
      <w:pPr>
        <w:jc w:val="center"/>
        <w:rPr>
          <w:rFonts w:hint="eastAsia"/>
          <w:b/>
          <w:bCs/>
          <w:color w:val="auto"/>
          <w:highlight w:val="none"/>
        </w:rPr>
      </w:pPr>
    </w:p>
    <w:p>
      <w:pPr>
        <w:jc w:val="center"/>
        <w:rPr>
          <w:rFonts w:hint="eastAsia"/>
          <w:b/>
          <w:bCs/>
          <w:color w:val="auto"/>
          <w:highlight w:val="none"/>
        </w:rPr>
      </w:pPr>
    </w:p>
    <w:p>
      <w:pPr>
        <w:pStyle w:val="11"/>
        <w:rPr>
          <w:rFonts w:hint="eastAsia"/>
          <w:b/>
          <w:bCs/>
          <w:color w:val="auto"/>
          <w:highlight w:val="none"/>
        </w:rPr>
      </w:pPr>
    </w:p>
    <w:p>
      <w:pPr>
        <w:rPr>
          <w:rFonts w:hint="eastAsia"/>
          <w:b/>
          <w:bCs/>
          <w:color w:val="auto"/>
          <w:highlight w:val="none"/>
        </w:rPr>
      </w:pPr>
    </w:p>
    <w:p>
      <w:pPr>
        <w:rPr>
          <w:rFonts w:hint="eastAsia"/>
          <w:b/>
          <w:bCs/>
          <w:color w:val="auto"/>
          <w:sz w:val="21"/>
          <w:szCs w:val="21"/>
          <w:highlight w:val="none"/>
        </w:rPr>
      </w:pPr>
      <w:r>
        <w:rPr>
          <w:rFonts w:hint="eastAsia"/>
          <w:b/>
          <w:bCs/>
          <w:color w:val="auto"/>
          <w:sz w:val="21"/>
          <w:szCs w:val="21"/>
          <w:highlight w:val="none"/>
          <w:lang w:val="zh-CN"/>
        </w:rPr>
        <w:t>附件</w:t>
      </w:r>
      <w:r>
        <w:rPr>
          <w:rFonts w:hint="eastAsia"/>
          <w:b/>
          <w:bCs/>
          <w:color w:val="auto"/>
          <w:sz w:val="21"/>
          <w:szCs w:val="21"/>
          <w:highlight w:val="none"/>
        </w:rPr>
        <w:t>2</w:t>
      </w:r>
      <w:r>
        <w:rPr>
          <w:rFonts w:hint="eastAsia"/>
          <w:b/>
          <w:bCs/>
          <w:color w:val="auto"/>
          <w:sz w:val="21"/>
          <w:szCs w:val="21"/>
          <w:highlight w:val="none"/>
          <w:lang w:val="zh-CN"/>
        </w:rPr>
        <w:t>:</w:t>
      </w:r>
    </w:p>
    <w:p>
      <w:pPr>
        <w:jc w:val="center"/>
        <w:rPr>
          <w:b/>
          <w:bCs/>
          <w:color w:val="auto"/>
          <w:sz w:val="21"/>
          <w:szCs w:val="21"/>
          <w:highlight w:val="none"/>
        </w:rPr>
      </w:pPr>
      <w:r>
        <w:rPr>
          <w:rFonts w:hint="eastAsia"/>
          <w:b/>
          <w:bCs/>
          <w:color w:val="auto"/>
          <w:sz w:val="21"/>
          <w:szCs w:val="21"/>
          <w:highlight w:val="none"/>
        </w:rPr>
        <w:t>保密协议</w:t>
      </w:r>
    </w:p>
    <w:p>
      <w:pPr>
        <w:shd w:val="clear" w:color="auto" w:fill="FFFFFF"/>
        <w:spacing w:line="450" w:lineRule="atLeast"/>
        <w:rPr>
          <w:color w:val="auto"/>
          <w:sz w:val="21"/>
          <w:szCs w:val="21"/>
          <w:highlight w:val="none"/>
        </w:rPr>
      </w:pPr>
      <w:r>
        <w:rPr>
          <w:rFonts w:hint="eastAsia"/>
          <w:color w:val="auto"/>
          <w:sz w:val="21"/>
          <w:szCs w:val="21"/>
          <w:highlight w:val="none"/>
        </w:rPr>
        <w:t>甲方：</w:t>
      </w:r>
    </w:p>
    <w:p>
      <w:pPr>
        <w:shd w:val="clear" w:color="auto" w:fill="FFFFFF"/>
        <w:spacing w:line="450" w:lineRule="atLeast"/>
        <w:rPr>
          <w:color w:val="auto"/>
          <w:sz w:val="21"/>
          <w:szCs w:val="21"/>
          <w:highlight w:val="none"/>
        </w:rPr>
      </w:pPr>
      <w:r>
        <w:rPr>
          <w:rFonts w:hint="eastAsia"/>
          <w:color w:val="auto"/>
          <w:sz w:val="21"/>
          <w:szCs w:val="21"/>
          <w:highlight w:val="none"/>
        </w:rPr>
        <w:t>乙方：</w:t>
      </w:r>
    </w:p>
    <w:p>
      <w:pPr>
        <w:shd w:val="clear" w:color="auto" w:fill="FFFFFF"/>
        <w:spacing w:line="450" w:lineRule="atLeast"/>
        <w:ind w:firstLine="480"/>
        <w:rPr>
          <w:rFonts w:hint="eastAsia"/>
          <w:color w:val="auto"/>
          <w:sz w:val="21"/>
          <w:szCs w:val="21"/>
          <w:highlight w:val="none"/>
          <w:shd w:val="clear" w:color="auto" w:fill="FFFFFF"/>
        </w:rPr>
      </w:pPr>
      <w:r>
        <w:rPr>
          <w:rFonts w:hint="eastAsia"/>
          <w:color w:val="auto"/>
          <w:sz w:val="21"/>
          <w:szCs w:val="21"/>
          <w:highlight w:val="none"/>
          <w:shd w:val="clear" w:color="auto" w:fill="FFFFFF"/>
        </w:rPr>
        <w:t>鉴于甲乙双方就</w:t>
      </w:r>
      <w:r>
        <w:rPr>
          <w:rFonts w:hint="eastAsia"/>
          <w:b/>
          <w:color w:val="auto"/>
          <w:sz w:val="21"/>
          <w:szCs w:val="21"/>
          <w:highlight w:val="none"/>
          <w:lang w:eastAsia="zh-CN"/>
        </w:rPr>
        <w:t>海盐县不动产权籍调查及制图测绘项目</w:t>
      </w:r>
      <w:r>
        <w:rPr>
          <w:rFonts w:hint="eastAsia"/>
          <w:color w:val="auto"/>
          <w:sz w:val="21"/>
          <w:szCs w:val="21"/>
          <w:highlight w:val="none"/>
          <w:shd w:val="clear" w:color="auto" w:fill="FFFFFF"/>
        </w:rPr>
        <w:t>的合作关系，为了确保工作涉及的技术信息和技术资源不被泄露，保护甲方的技术秘密，根据国家和地方有关法律法规，经甲乙双方协商一致，就甲方技术秘密保护签订如下协议（以下简称本协议）。</w:t>
      </w:r>
    </w:p>
    <w:p>
      <w:pPr>
        <w:shd w:val="clear" w:color="auto" w:fill="FFFFFF"/>
        <w:spacing w:line="450" w:lineRule="atLeast"/>
        <w:ind w:firstLine="480"/>
        <w:rPr>
          <w:color w:val="auto"/>
          <w:sz w:val="21"/>
          <w:szCs w:val="21"/>
          <w:highlight w:val="none"/>
          <w:shd w:val="clear" w:color="auto" w:fill="FFFFFF"/>
        </w:rPr>
      </w:pPr>
      <w:r>
        <w:rPr>
          <w:rFonts w:hint="eastAsia"/>
          <w:color w:val="auto"/>
          <w:sz w:val="21"/>
          <w:szCs w:val="21"/>
          <w:highlight w:val="none"/>
          <w:shd w:val="clear" w:color="auto" w:fill="FFFFFF"/>
        </w:rPr>
        <w:t>　　1．保密信息指本协议的一方（披露方）依据下文设定的条件，以书面、口头或电子文件的形式提供给另一方（接受方）的任何信息或数据，包括但不限于技术信息、专有技术、研究成果、客户信息、财务数据以及其它技术和商业信息。</w:t>
      </w:r>
    </w:p>
    <w:p>
      <w:pPr>
        <w:shd w:val="clear" w:color="auto" w:fill="FFFFFF"/>
        <w:spacing w:line="450" w:lineRule="atLeast"/>
        <w:ind w:firstLine="420"/>
        <w:rPr>
          <w:color w:val="auto"/>
          <w:sz w:val="21"/>
          <w:szCs w:val="21"/>
          <w:highlight w:val="none"/>
        </w:rPr>
      </w:pPr>
      <w:r>
        <w:rPr>
          <w:rFonts w:hint="eastAsia"/>
          <w:color w:val="auto"/>
          <w:sz w:val="21"/>
          <w:szCs w:val="21"/>
          <w:highlight w:val="none"/>
          <w:shd w:val="clear" w:color="auto" w:fill="FFFFFF"/>
        </w:rPr>
        <w:t>披露此类保密信息的方式，包括但不限于信函、传真、备忘、纪要、协议、报告、方案、协议、电子邮件等，或以口头方式披露并以书面方式确认为保密信息的任何信息或数据。</w:t>
      </w:r>
    </w:p>
    <w:p>
      <w:pPr>
        <w:shd w:val="clear" w:color="auto" w:fill="FFFFFF"/>
        <w:spacing w:line="450" w:lineRule="atLeast"/>
        <w:ind w:firstLine="420"/>
        <w:rPr>
          <w:color w:val="auto"/>
          <w:sz w:val="21"/>
          <w:szCs w:val="21"/>
          <w:highlight w:val="none"/>
          <w:shd w:val="clear" w:color="auto" w:fill="FFFFFF"/>
        </w:rPr>
      </w:pPr>
      <w:r>
        <w:rPr>
          <w:rFonts w:hint="eastAsia"/>
          <w:color w:val="auto"/>
          <w:sz w:val="21"/>
          <w:szCs w:val="21"/>
          <w:highlight w:val="none"/>
          <w:shd w:val="clear" w:color="auto" w:fill="FFFFFF"/>
        </w:rPr>
        <w:t>上述保密信息不包括任何已出版的或其它形式处于公有领域的信息，以及在披露时接受方通过其它合法途径已经获得的信息。</w:t>
      </w:r>
    </w:p>
    <w:p>
      <w:pPr>
        <w:shd w:val="clear" w:color="auto" w:fill="FFFFFF"/>
        <w:spacing w:line="450" w:lineRule="atLeast"/>
        <w:rPr>
          <w:color w:val="auto"/>
          <w:sz w:val="21"/>
          <w:szCs w:val="21"/>
          <w:highlight w:val="none"/>
          <w:shd w:val="clear" w:color="auto" w:fill="FFFFFF"/>
        </w:rPr>
      </w:pPr>
      <w:r>
        <w:rPr>
          <w:rFonts w:hint="eastAsia"/>
          <w:color w:val="auto"/>
          <w:sz w:val="21"/>
          <w:szCs w:val="21"/>
          <w:highlight w:val="none"/>
          <w:shd w:val="clear" w:color="auto" w:fill="FFFFFF"/>
        </w:rPr>
        <w:t>　　2．接受方同意只在本合作的目的范围内使用对方的保密信息。</w:t>
      </w:r>
    </w:p>
    <w:p>
      <w:pPr>
        <w:shd w:val="clear" w:color="auto" w:fill="FFFFFF"/>
        <w:spacing w:line="450" w:lineRule="atLeast"/>
        <w:ind w:firstLine="420"/>
        <w:rPr>
          <w:color w:val="auto"/>
          <w:sz w:val="21"/>
          <w:szCs w:val="21"/>
          <w:highlight w:val="none"/>
          <w:shd w:val="clear" w:color="auto" w:fill="FFFFFF"/>
        </w:rPr>
      </w:pPr>
      <w:r>
        <w:rPr>
          <w:rFonts w:hint="eastAsia"/>
          <w:color w:val="auto"/>
          <w:sz w:val="21"/>
          <w:szCs w:val="21"/>
          <w:highlight w:val="none"/>
          <w:shd w:val="clear" w:color="auto" w:fill="FFFFFF"/>
        </w:rPr>
        <w:t>（1）采取足够的措施，保护披露方的保密信息，不将对方的保密信息向任何第三方公开转让，也不以其它方式让无权接触该信息的单位或个人接触该信息。</w:t>
      </w:r>
    </w:p>
    <w:p>
      <w:pPr>
        <w:shd w:val="clear" w:color="auto" w:fill="FFFFFF"/>
        <w:spacing w:line="450" w:lineRule="atLeast"/>
        <w:ind w:firstLine="420"/>
        <w:rPr>
          <w:color w:val="auto"/>
          <w:sz w:val="21"/>
          <w:szCs w:val="21"/>
          <w:highlight w:val="none"/>
          <w:shd w:val="clear" w:color="auto" w:fill="FFFFFF"/>
        </w:rPr>
      </w:pPr>
      <w:r>
        <w:rPr>
          <w:rFonts w:hint="eastAsia"/>
          <w:color w:val="auto"/>
          <w:sz w:val="21"/>
          <w:szCs w:val="21"/>
          <w:highlight w:val="none"/>
          <w:shd w:val="clear" w:color="auto" w:fill="FFFFFF"/>
        </w:rPr>
        <w:t>（2）如为本合作的目的确实需要向第三方披露对方的保密信息，则必须事先得到对方的书面许可，并与该第三方签订保密协议。</w:t>
      </w:r>
    </w:p>
    <w:p>
      <w:pPr>
        <w:shd w:val="clear" w:color="auto" w:fill="FFFFFF"/>
        <w:spacing w:line="450" w:lineRule="atLeast"/>
        <w:ind w:firstLine="420"/>
        <w:rPr>
          <w:color w:val="auto"/>
          <w:sz w:val="21"/>
          <w:szCs w:val="21"/>
          <w:highlight w:val="none"/>
          <w:shd w:val="clear" w:color="auto" w:fill="FFFFFF"/>
        </w:rPr>
      </w:pPr>
      <w:r>
        <w:rPr>
          <w:rFonts w:hint="eastAsia"/>
          <w:color w:val="auto"/>
          <w:sz w:val="21"/>
          <w:szCs w:val="21"/>
          <w:highlight w:val="none"/>
          <w:shd w:val="clear" w:color="auto" w:fill="FFFFFF"/>
        </w:rPr>
        <w:t>（3）应约束其接触本保密信息的员工遵守保密义务。</w:t>
      </w:r>
    </w:p>
    <w:p>
      <w:pPr>
        <w:shd w:val="clear" w:color="auto" w:fill="FFFFFF"/>
        <w:spacing w:line="450" w:lineRule="atLeast"/>
        <w:ind w:firstLine="420"/>
        <w:rPr>
          <w:color w:val="auto"/>
          <w:sz w:val="21"/>
          <w:szCs w:val="21"/>
          <w:highlight w:val="none"/>
          <w:shd w:val="clear" w:color="auto" w:fill="FFFFFF"/>
        </w:rPr>
      </w:pPr>
      <w:r>
        <w:rPr>
          <w:rFonts w:hint="eastAsia"/>
          <w:color w:val="auto"/>
          <w:sz w:val="21"/>
          <w:szCs w:val="21"/>
          <w:highlight w:val="none"/>
          <w:shd w:val="clear" w:color="auto" w:fill="FFFFFF"/>
        </w:rPr>
        <w:t>（4）如果双方经探讨后未建立合作关系，则接受方不能使用披露方的保密信息；如合作关系出现终止，则接受方应按照披露方要求将保密信息及其载体返还给披露方。</w:t>
      </w:r>
    </w:p>
    <w:p>
      <w:pPr>
        <w:shd w:val="clear" w:color="auto" w:fill="FFFFFF"/>
        <w:spacing w:line="450" w:lineRule="atLeast"/>
        <w:ind w:firstLine="420"/>
        <w:rPr>
          <w:color w:val="auto"/>
          <w:sz w:val="21"/>
          <w:szCs w:val="21"/>
          <w:highlight w:val="none"/>
          <w:shd w:val="clear" w:color="auto" w:fill="FFFFFF"/>
        </w:rPr>
      </w:pPr>
      <w:r>
        <w:rPr>
          <w:rFonts w:hint="eastAsia"/>
          <w:color w:val="auto"/>
          <w:sz w:val="21"/>
          <w:szCs w:val="21"/>
          <w:highlight w:val="none"/>
          <w:shd w:val="clear" w:color="auto" w:fill="FFFFFF"/>
        </w:rPr>
        <w:t>3．如果接受方根据法律程序或行政要求必须披露保密信息，则接受方应事先通知披露方，并协助披露方采取必要的保护措施，防止或限制保密信息的进一步扩散。</w:t>
      </w:r>
    </w:p>
    <w:p>
      <w:pPr>
        <w:shd w:val="clear" w:color="auto" w:fill="FFFFFF"/>
        <w:spacing w:line="450" w:lineRule="atLeast"/>
        <w:ind w:firstLine="420"/>
        <w:rPr>
          <w:color w:val="auto"/>
          <w:sz w:val="21"/>
          <w:szCs w:val="21"/>
          <w:highlight w:val="none"/>
          <w:shd w:val="clear" w:color="auto" w:fill="FFFFFF"/>
        </w:rPr>
      </w:pPr>
      <w:r>
        <w:rPr>
          <w:rFonts w:hint="eastAsia"/>
          <w:color w:val="auto"/>
          <w:sz w:val="21"/>
          <w:szCs w:val="21"/>
          <w:highlight w:val="none"/>
          <w:shd w:val="clear" w:color="auto" w:fill="FFFFFF"/>
        </w:rPr>
        <w:t>4．双方确认，本协议任何条款不构成对保密信息的转让或许可，接受方也不能在本协议目的之外使用本保密信息。</w:t>
      </w:r>
    </w:p>
    <w:p>
      <w:pPr>
        <w:shd w:val="clear" w:color="auto" w:fill="FFFFFF"/>
        <w:spacing w:line="450" w:lineRule="atLeast"/>
        <w:ind w:firstLine="420"/>
        <w:rPr>
          <w:color w:val="auto"/>
          <w:sz w:val="21"/>
          <w:szCs w:val="21"/>
          <w:highlight w:val="none"/>
          <w:shd w:val="clear" w:color="auto" w:fill="FFFFFF"/>
        </w:rPr>
      </w:pPr>
      <w:r>
        <w:rPr>
          <w:rFonts w:hint="eastAsia"/>
          <w:color w:val="auto"/>
          <w:sz w:val="21"/>
          <w:szCs w:val="21"/>
          <w:highlight w:val="none"/>
          <w:shd w:val="clear" w:color="auto" w:fill="FFFFFF"/>
        </w:rPr>
        <w:t>5．本协议自双方签字盖章之日起生效，对签字双方及其关联机构及其继受者均具有约束力。如保密信息因接受方之外的原因而成为公知信息，则本协议对该部分保密信息自动失效。</w:t>
      </w:r>
    </w:p>
    <w:p>
      <w:pPr>
        <w:shd w:val="clear" w:color="auto" w:fill="FFFFFF"/>
        <w:spacing w:line="450" w:lineRule="atLeast"/>
        <w:ind w:firstLine="420"/>
        <w:rPr>
          <w:color w:val="auto"/>
          <w:sz w:val="21"/>
          <w:szCs w:val="21"/>
          <w:highlight w:val="none"/>
          <w:shd w:val="clear" w:color="auto" w:fill="FFFFFF"/>
        </w:rPr>
      </w:pPr>
      <w:r>
        <w:rPr>
          <w:rFonts w:hint="eastAsia"/>
          <w:color w:val="auto"/>
          <w:sz w:val="21"/>
          <w:szCs w:val="21"/>
          <w:highlight w:val="none"/>
          <w:shd w:val="clear" w:color="auto" w:fill="FFFFFF"/>
        </w:rPr>
        <w:t>6．本协议包含双方关于此事项的全部约定。双方在此之前达成的任何口头或书面的协议或约定，如果与本协议冲突，则以本协议内容为准。本协议的任何修改须以书面方式做出并经双方签字才能生效。</w:t>
      </w:r>
    </w:p>
    <w:p>
      <w:pPr>
        <w:shd w:val="clear" w:color="auto" w:fill="FFFFFF"/>
        <w:spacing w:line="450" w:lineRule="atLeast"/>
        <w:ind w:firstLine="420"/>
        <w:rPr>
          <w:color w:val="auto"/>
          <w:sz w:val="21"/>
          <w:szCs w:val="21"/>
          <w:highlight w:val="none"/>
          <w:shd w:val="clear" w:color="auto" w:fill="FFFFFF"/>
        </w:rPr>
      </w:pPr>
      <w:r>
        <w:rPr>
          <w:rFonts w:hint="eastAsia"/>
          <w:color w:val="auto"/>
          <w:sz w:val="21"/>
          <w:szCs w:val="21"/>
          <w:highlight w:val="none"/>
          <w:shd w:val="clear" w:color="auto" w:fill="FFFFFF"/>
        </w:rPr>
        <w:t>7．如果一方违反本协议，另一方有权要求赔偿经济损失，并可采取其它必要的补救措施。</w:t>
      </w:r>
    </w:p>
    <w:p>
      <w:pPr>
        <w:shd w:val="clear" w:color="auto" w:fill="FFFFFF"/>
        <w:spacing w:line="450" w:lineRule="atLeast"/>
        <w:ind w:firstLine="420"/>
        <w:rPr>
          <w:color w:val="auto"/>
          <w:sz w:val="21"/>
          <w:szCs w:val="21"/>
          <w:highlight w:val="none"/>
          <w:shd w:val="clear" w:color="auto" w:fill="FFFFFF"/>
        </w:rPr>
      </w:pPr>
      <w:r>
        <w:rPr>
          <w:rFonts w:hint="eastAsia"/>
          <w:color w:val="auto"/>
          <w:sz w:val="21"/>
          <w:szCs w:val="21"/>
          <w:highlight w:val="none"/>
          <w:shd w:val="clear" w:color="auto" w:fill="FFFFFF"/>
        </w:rPr>
        <w:t>8．与本协议有关的任何纠纷或争议应通过友好协商解决。如不能协商解决，任何一方可提交仲裁委员会进行仲裁，仲裁决定是终局的，对双方均有约束力。本协议受中华人民共和国法律管辖。</w:t>
      </w:r>
    </w:p>
    <w:p>
      <w:pPr>
        <w:shd w:val="clear" w:color="auto" w:fill="FFFFFF"/>
        <w:spacing w:line="450" w:lineRule="atLeast"/>
        <w:ind w:firstLine="420"/>
        <w:rPr>
          <w:rFonts w:hint="eastAsia"/>
          <w:color w:val="auto"/>
          <w:sz w:val="21"/>
          <w:szCs w:val="21"/>
          <w:highlight w:val="none"/>
          <w:shd w:val="clear" w:color="auto" w:fill="FFFFFF"/>
        </w:rPr>
      </w:pPr>
      <w:r>
        <w:rPr>
          <w:rFonts w:hint="eastAsia"/>
          <w:color w:val="auto"/>
          <w:sz w:val="21"/>
          <w:szCs w:val="21"/>
          <w:highlight w:val="none"/>
          <w:shd w:val="clear" w:color="auto" w:fill="FFFFFF"/>
        </w:rPr>
        <w:t>9．本协议一式两份，双方各执一份，具有同等法律效力。</w:t>
      </w:r>
    </w:p>
    <w:p>
      <w:pPr>
        <w:pStyle w:val="12"/>
        <w:rPr>
          <w:rFonts w:hint="eastAsia"/>
          <w:color w:val="auto"/>
          <w:highlight w:val="none"/>
        </w:rPr>
      </w:pPr>
    </w:p>
    <w:p>
      <w:pPr>
        <w:shd w:val="clear" w:color="auto" w:fill="FFFFFF"/>
        <w:spacing w:line="450" w:lineRule="atLeast"/>
        <w:ind w:firstLine="420"/>
        <w:rPr>
          <w:color w:val="auto"/>
          <w:sz w:val="21"/>
          <w:szCs w:val="21"/>
          <w:highlight w:val="none"/>
          <w:shd w:val="clear" w:color="auto" w:fill="FFFFFF"/>
        </w:rPr>
      </w:pPr>
      <w:r>
        <w:rPr>
          <w:rFonts w:hint="eastAsia"/>
          <w:color w:val="auto"/>
          <w:sz w:val="21"/>
          <w:szCs w:val="21"/>
          <w:highlight w:val="none"/>
          <w:shd w:val="clear" w:color="auto" w:fill="FFFFFF"/>
        </w:rPr>
        <w:t>　</w:t>
      </w:r>
    </w:p>
    <w:tbl>
      <w:tblPr>
        <w:tblStyle w:val="30"/>
        <w:tblW w:w="0" w:type="auto"/>
        <w:tblInd w:w="108" w:type="dxa"/>
        <w:tblLayout w:type="fixed"/>
        <w:tblCellMar>
          <w:top w:w="0" w:type="dxa"/>
          <w:left w:w="108" w:type="dxa"/>
          <w:bottom w:w="0" w:type="dxa"/>
          <w:right w:w="108" w:type="dxa"/>
        </w:tblCellMar>
      </w:tblPr>
      <w:tblGrid>
        <w:gridCol w:w="4253"/>
        <w:gridCol w:w="4819"/>
      </w:tblGrid>
      <w:tr>
        <w:tblPrEx>
          <w:tblCellMar>
            <w:top w:w="0" w:type="dxa"/>
            <w:left w:w="108" w:type="dxa"/>
            <w:bottom w:w="0" w:type="dxa"/>
            <w:right w:w="108" w:type="dxa"/>
          </w:tblCellMar>
        </w:tblPrEx>
        <w:trPr>
          <w:trHeight w:val="90" w:hRule="atLeast"/>
        </w:trPr>
        <w:tc>
          <w:tcPr>
            <w:tcW w:w="4253" w:type="dxa"/>
            <w:noWrap w:val="0"/>
            <w:vAlign w:val="center"/>
          </w:tcPr>
          <w:p>
            <w:pPr>
              <w:autoSpaceDE w:val="0"/>
              <w:autoSpaceDN w:val="0"/>
              <w:adjustRightInd w:val="0"/>
              <w:spacing w:line="360" w:lineRule="auto"/>
              <w:ind w:right="85" w:firstLine="426" w:firstLineChars="200"/>
              <w:rPr>
                <w:rFonts w:hint="eastAsia"/>
                <w:color w:val="auto"/>
                <w:sz w:val="21"/>
                <w:szCs w:val="21"/>
                <w:highlight w:val="none"/>
                <w:lang w:val="zh-CN"/>
              </w:rPr>
            </w:pPr>
            <w:r>
              <w:rPr>
                <w:rFonts w:hint="eastAsia"/>
                <w:color w:val="auto"/>
                <w:sz w:val="21"/>
                <w:szCs w:val="21"/>
                <w:highlight w:val="none"/>
                <w:lang w:val="zh-CN"/>
              </w:rPr>
              <w:t xml:space="preserve">甲 方(盖章)： </w:t>
            </w:r>
          </w:p>
        </w:tc>
        <w:tc>
          <w:tcPr>
            <w:tcW w:w="4819" w:type="dxa"/>
            <w:noWrap w:val="0"/>
            <w:vAlign w:val="center"/>
          </w:tcPr>
          <w:p>
            <w:pPr>
              <w:autoSpaceDE w:val="0"/>
              <w:autoSpaceDN w:val="0"/>
              <w:adjustRightInd w:val="0"/>
              <w:spacing w:line="360" w:lineRule="auto"/>
              <w:ind w:right="85" w:firstLine="426" w:firstLineChars="200"/>
              <w:rPr>
                <w:rFonts w:hint="eastAsia"/>
                <w:color w:val="auto"/>
                <w:sz w:val="21"/>
                <w:szCs w:val="21"/>
                <w:highlight w:val="none"/>
                <w:lang w:val="zh-CN"/>
              </w:rPr>
            </w:pPr>
            <w:r>
              <w:rPr>
                <w:rFonts w:hint="eastAsia"/>
                <w:color w:val="auto"/>
                <w:sz w:val="21"/>
                <w:szCs w:val="21"/>
                <w:highlight w:val="none"/>
                <w:lang w:val="zh-CN"/>
              </w:rPr>
              <w:t xml:space="preserve">乙 方(盖章)： </w:t>
            </w:r>
          </w:p>
        </w:tc>
      </w:tr>
      <w:tr>
        <w:tblPrEx>
          <w:tblCellMar>
            <w:top w:w="0" w:type="dxa"/>
            <w:left w:w="108" w:type="dxa"/>
            <w:bottom w:w="0" w:type="dxa"/>
            <w:right w:w="108" w:type="dxa"/>
          </w:tblCellMar>
        </w:tblPrEx>
        <w:trPr>
          <w:trHeight w:val="1675" w:hRule="atLeast"/>
        </w:trPr>
        <w:tc>
          <w:tcPr>
            <w:tcW w:w="4253" w:type="dxa"/>
            <w:noWrap w:val="0"/>
            <w:vAlign w:val="center"/>
          </w:tcPr>
          <w:p>
            <w:pPr>
              <w:autoSpaceDE w:val="0"/>
              <w:autoSpaceDN w:val="0"/>
              <w:adjustRightInd w:val="0"/>
              <w:spacing w:line="360" w:lineRule="auto"/>
              <w:ind w:right="85" w:firstLine="426" w:firstLineChars="200"/>
              <w:rPr>
                <w:rFonts w:hint="eastAsia"/>
                <w:color w:val="auto"/>
                <w:sz w:val="21"/>
                <w:szCs w:val="21"/>
                <w:highlight w:val="none"/>
                <w:lang w:val="zh-CN"/>
              </w:rPr>
            </w:pPr>
            <w:r>
              <w:rPr>
                <w:rFonts w:hint="eastAsia"/>
                <w:color w:val="auto"/>
                <w:sz w:val="21"/>
                <w:szCs w:val="21"/>
                <w:highlight w:val="none"/>
                <w:lang w:val="zh-CN"/>
              </w:rPr>
              <w:t xml:space="preserve">法定（授权）代表人：                </w:t>
            </w:r>
          </w:p>
        </w:tc>
        <w:tc>
          <w:tcPr>
            <w:tcW w:w="4819" w:type="dxa"/>
            <w:noWrap w:val="0"/>
            <w:vAlign w:val="center"/>
          </w:tcPr>
          <w:p>
            <w:pPr>
              <w:autoSpaceDE w:val="0"/>
              <w:autoSpaceDN w:val="0"/>
              <w:adjustRightInd w:val="0"/>
              <w:spacing w:line="360" w:lineRule="auto"/>
              <w:ind w:right="85" w:firstLine="426" w:firstLineChars="200"/>
              <w:rPr>
                <w:rFonts w:hint="eastAsia"/>
                <w:color w:val="auto"/>
                <w:sz w:val="21"/>
                <w:szCs w:val="21"/>
                <w:highlight w:val="none"/>
                <w:lang w:val="zh-CN"/>
              </w:rPr>
            </w:pPr>
            <w:r>
              <w:rPr>
                <w:rFonts w:hint="eastAsia"/>
                <w:color w:val="auto"/>
                <w:sz w:val="21"/>
                <w:szCs w:val="21"/>
                <w:highlight w:val="none"/>
                <w:lang w:val="zh-CN"/>
              </w:rPr>
              <w:t xml:space="preserve">法定（授权）代表人：               </w:t>
            </w:r>
          </w:p>
        </w:tc>
      </w:tr>
      <w:tr>
        <w:tblPrEx>
          <w:tblCellMar>
            <w:top w:w="0" w:type="dxa"/>
            <w:left w:w="108" w:type="dxa"/>
            <w:bottom w:w="0" w:type="dxa"/>
            <w:right w:w="108" w:type="dxa"/>
          </w:tblCellMar>
        </w:tblPrEx>
        <w:trPr>
          <w:trHeight w:val="510" w:hRule="atLeast"/>
        </w:trPr>
        <w:tc>
          <w:tcPr>
            <w:tcW w:w="4253" w:type="dxa"/>
            <w:noWrap w:val="0"/>
            <w:vAlign w:val="center"/>
          </w:tcPr>
          <w:p>
            <w:pPr>
              <w:autoSpaceDE w:val="0"/>
              <w:autoSpaceDN w:val="0"/>
              <w:adjustRightInd w:val="0"/>
              <w:spacing w:line="360" w:lineRule="auto"/>
              <w:ind w:right="85" w:firstLine="426" w:firstLineChars="200"/>
              <w:rPr>
                <w:rFonts w:hint="eastAsia"/>
                <w:color w:val="auto"/>
                <w:sz w:val="21"/>
                <w:szCs w:val="21"/>
                <w:highlight w:val="none"/>
                <w:lang w:val="zh-CN"/>
              </w:rPr>
            </w:pPr>
            <w:r>
              <w:rPr>
                <w:rFonts w:hint="eastAsia"/>
                <w:color w:val="auto"/>
                <w:sz w:val="21"/>
                <w:szCs w:val="21"/>
                <w:highlight w:val="none"/>
                <w:lang w:val="zh-CN"/>
              </w:rPr>
              <w:t>签订时间： 202</w:t>
            </w:r>
            <w:r>
              <w:rPr>
                <w:rFonts w:hint="eastAsia"/>
                <w:color w:val="auto"/>
                <w:sz w:val="21"/>
                <w:szCs w:val="21"/>
                <w:highlight w:val="none"/>
                <w:lang w:val="en-US" w:eastAsia="zh-CN"/>
              </w:rPr>
              <w:t>5</w:t>
            </w:r>
            <w:r>
              <w:rPr>
                <w:rFonts w:hint="eastAsia"/>
                <w:color w:val="auto"/>
                <w:sz w:val="21"/>
                <w:szCs w:val="21"/>
                <w:highlight w:val="none"/>
                <w:lang w:val="zh-CN"/>
              </w:rPr>
              <w:t xml:space="preserve"> 年    月    日</w:t>
            </w:r>
          </w:p>
        </w:tc>
        <w:tc>
          <w:tcPr>
            <w:tcW w:w="4819" w:type="dxa"/>
            <w:noWrap w:val="0"/>
            <w:vAlign w:val="center"/>
          </w:tcPr>
          <w:p>
            <w:pPr>
              <w:autoSpaceDE w:val="0"/>
              <w:autoSpaceDN w:val="0"/>
              <w:adjustRightInd w:val="0"/>
              <w:spacing w:line="360" w:lineRule="auto"/>
              <w:ind w:right="85" w:firstLine="426" w:firstLineChars="200"/>
              <w:rPr>
                <w:rFonts w:hint="eastAsia"/>
                <w:color w:val="auto"/>
                <w:sz w:val="21"/>
                <w:szCs w:val="21"/>
                <w:highlight w:val="none"/>
                <w:lang w:val="zh-CN"/>
              </w:rPr>
            </w:pPr>
            <w:r>
              <w:rPr>
                <w:rFonts w:hint="eastAsia"/>
                <w:color w:val="auto"/>
                <w:sz w:val="21"/>
                <w:szCs w:val="21"/>
                <w:highlight w:val="none"/>
                <w:lang w:val="zh-CN"/>
              </w:rPr>
              <w:t>签订时间：202</w:t>
            </w:r>
            <w:r>
              <w:rPr>
                <w:rFonts w:hint="eastAsia"/>
                <w:color w:val="auto"/>
                <w:sz w:val="21"/>
                <w:szCs w:val="21"/>
                <w:highlight w:val="none"/>
                <w:lang w:val="en-US" w:eastAsia="zh-CN"/>
              </w:rPr>
              <w:t>5</w:t>
            </w:r>
            <w:r>
              <w:rPr>
                <w:rFonts w:hint="eastAsia"/>
                <w:color w:val="auto"/>
                <w:sz w:val="21"/>
                <w:szCs w:val="21"/>
                <w:highlight w:val="none"/>
                <w:lang w:val="zh-CN"/>
              </w:rPr>
              <w:t xml:space="preserve"> 年    月    日</w:t>
            </w:r>
          </w:p>
        </w:tc>
      </w:tr>
    </w:tbl>
    <w:p>
      <w:pPr>
        <w:shd w:val="clear" w:color="auto" w:fill="FFFFFF"/>
        <w:spacing w:line="450" w:lineRule="atLeast"/>
        <w:ind w:firstLine="420"/>
        <w:rPr>
          <w:color w:val="auto"/>
          <w:sz w:val="21"/>
          <w:szCs w:val="21"/>
          <w:highlight w:val="none"/>
          <w:shd w:val="clear" w:color="auto" w:fill="FFFFFF"/>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6" w:firstLineChars="200"/>
        <w:jc w:val="center"/>
        <w:rPr>
          <w:rFonts w:hint="eastAsia" w:ascii="宋体" w:hAnsi="宋体" w:cs="Arial"/>
          <w:b/>
          <w:color w:val="auto"/>
          <w:sz w:val="24"/>
          <w:highlight w:val="non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6" w:firstLineChars="200"/>
        <w:jc w:val="center"/>
        <w:rPr>
          <w:rFonts w:hint="eastAsia" w:ascii="宋体" w:hAnsi="宋体" w:cs="Arial"/>
          <w:b/>
          <w:color w:val="auto"/>
          <w:sz w:val="24"/>
          <w:highlight w:val="non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6" w:firstLineChars="200"/>
        <w:jc w:val="center"/>
        <w:rPr>
          <w:rFonts w:hint="eastAsia" w:ascii="宋体" w:hAnsi="宋体" w:cs="Arial"/>
          <w:b/>
          <w:color w:val="auto"/>
          <w:sz w:val="24"/>
          <w:highlight w:val="non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6" w:firstLineChars="200"/>
        <w:jc w:val="center"/>
        <w:rPr>
          <w:rFonts w:hint="eastAsia" w:ascii="宋体" w:hAnsi="宋体" w:cs="Arial"/>
          <w:b/>
          <w:color w:val="auto"/>
          <w:sz w:val="24"/>
          <w:highlight w:val="non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6" w:firstLineChars="200"/>
        <w:jc w:val="center"/>
        <w:rPr>
          <w:rFonts w:hint="eastAsia" w:ascii="宋体" w:hAnsi="宋体" w:cs="Arial"/>
          <w:b/>
          <w:color w:val="auto"/>
          <w:sz w:val="24"/>
          <w:highlight w:val="non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6" w:firstLineChars="200"/>
        <w:jc w:val="center"/>
        <w:rPr>
          <w:rFonts w:hint="eastAsia" w:ascii="宋体" w:hAnsi="宋体" w:cs="Arial"/>
          <w:b/>
          <w:color w:val="auto"/>
          <w:sz w:val="24"/>
          <w:highlight w:val="non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6" w:firstLineChars="200"/>
        <w:jc w:val="center"/>
        <w:rPr>
          <w:rFonts w:hint="eastAsia" w:ascii="宋体" w:hAnsi="宋体" w:cs="Arial"/>
          <w:b/>
          <w:color w:val="auto"/>
          <w:sz w:val="24"/>
          <w:highlight w:val="non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6" w:firstLineChars="200"/>
        <w:jc w:val="center"/>
        <w:rPr>
          <w:rFonts w:hint="eastAsia" w:ascii="宋体" w:hAnsi="宋体" w:cs="Arial"/>
          <w:b/>
          <w:color w:val="auto"/>
          <w:sz w:val="24"/>
          <w:highlight w:val="non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6" w:firstLineChars="200"/>
        <w:jc w:val="center"/>
        <w:rPr>
          <w:rFonts w:hint="eastAsia" w:ascii="宋体" w:hAnsi="宋体" w:cs="Arial"/>
          <w:b/>
          <w:color w:val="auto"/>
          <w:sz w:val="24"/>
          <w:highlight w:val="non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6" w:firstLineChars="200"/>
        <w:jc w:val="center"/>
        <w:rPr>
          <w:rFonts w:hint="eastAsia" w:ascii="宋体" w:hAnsi="宋体" w:cs="Arial"/>
          <w:b/>
          <w:color w:val="auto"/>
          <w:sz w:val="24"/>
          <w:highlight w:val="non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6" w:firstLineChars="200"/>
        <w:jc w:val="center"/>
        <w:rPr>
          <w:rFonts w:hint="eastAsia" w:ascii="宋体" w:hAnsi="宋体" w:cs="Arial"/>
          <w:b/>
          <w:color w:val="auto"/>
          <w:sz w:val="24"/>
          <w:highlight w:val="non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6" w:firstLineChars="200"/>
        <w:jc w:val="center"/>
        <w:rPr>
          <w:rFonts w:hint="eastAsia" w:ascii="宋体" w:hAnsi="宋体" w:cs="Arial"/>
          <w:b/>
          <w:color w:val="auto"/>
          <w:sz w:val="24"/>
          <w:highlight w:val="non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6" w:firstLineChars="200"/>
        <w:jc w:val="center"/>
        <w:rPr>
          <w:rFonts w:hint="eastAsia" w:ascii="宋体" w:hAnsi="宋体" w:cs="Arial"/>
          <w:b/>
          <w:color w:val="auto"/>
          <w:sz w:val="24"/>
          <w:highlight w:val="non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6" w:firstLineChars="200"/>
        <w:jc w:val="center"/>
        <w:rPr>
          <w:rFonts w:hint="eastAsia" w:ascii="宋体" w:hAnsi="宋体" w:cs="Arial"/>
          <w:b/>
          <w:color w:val="auto"/>
          <w:sz w:val="24"/>
          <w:highlight w:val="non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6" w:firstLineChars="200"/>
        <w:jc w:val="center"/>
        <w:rPr>
          <w:rFonts w:hint="eastAsia" w:ascii="宋体" w:hAnsi="宋体" w:cs="Arial"/>
          <w:b/>
          <w:color w:val="auto"/>
          <w:sz w:val="24"/>
          <w:highlight w:val="none"/>
        </w:rPr>
      </w:pPr>
    </w:p>
    <w:p>
      <w:pPr>
        <w:pStyle w:val="3"/>
        <w:keepNext w:val="0"/>
        <w:keepLines w:val="0"/>
        <w:pageBreakBefore/>
        <w:spacing w:before="324" w:beforeLines="100" w:after="324" w:afterLines="100" w:line="240" w:lineRule="auto"/>
        <w:jc w:val="center"/>
        <w:rPr>
          <w:rFonts w:ascii="Arial" w:hAnsi="Arial" w:cs="Arial"/>
          <w:color w:val="auto"/>
          <w:sz w:val="28"/>
          <w:szCs w:val="36"/>
          <w:highlight w:val="none"/>
        </w:rPr>
      </w:pPr>
      <w:r>
        <w:rPr>
          <w:rFonts w:hint="eastAsia" w:ascii="Arial" w:hAnsi="Arial" w:cs="Arial"/>
          <w:color w:val="auto"/>
          <w:sz w:val="28"/>
          <w:szCs w:val="36"/>
          <w:highlight w:val="none"/>
        </w:rPr>
        <w:t>第六部分</w:t>
      </w:r>
      <w:r>
        <w:rPr>
          <w:rFonts w:hint="eastAsia" w:ascii="Arial" w:hAnsi="Arial" w:cs="Arial"/>
          <w:color w:val="auto"/>
          <w:sz w:val="28"/>
          <w:szCs w:val="36"/>
          <w:highlight w:val="none"/>
          <w:lang w:val="en-US" w:eastAsia="zh-CN"/>
        </w:rPr>
        <w:t xml:space="preserve"> </w:t>
      </w:r>
      <w:r>
        <w:rPr>
          <w:rFonts w:hint="eastAsia" w:ascii="Arial" w:hAnsi="Arial" w:cs="Arial"/>
          <w:color w:val="auto"/>
          <w:sz w:val="28"/>
          <w:szCs w:val="36"/>
          <w:highlight w:val="none"/>
        </w:rPr>
        <w:t>竞争性磋商响应文件格式</w:t>
      </w:r>
      <w:bookmarkEnd w:id="41"/>
    </w:p>
    <w:p>
      <w:pPr>
        <w:snapToGrid w:val="0"/>
        <w:spacing w:before="648" w:beforeLines="200" w:after="162" w:afterLines="50"/>
        <w:jc w:val="center"/>
        <w:rPr>
          <w:rFonts w:ascii="Arial" w:hAnsi="Arial" w:cs="Arial"/>
          <w:b/>
          <w:bCs/>
          <w:color w:val="auto"/>
          <w:sz w:val="28"/>
          <w:highlight w:val="none"/>
        </w:rPr>
      </w:pPr>
      <w:r>
        <w:rPr>
          <w:rFonts w:ascii="Arial" w:hAnsi="Arial" w:cs="Arial"/>
          <w:b/>
          <w:bCs/>
          <w:color w:val="auto"/>
          <w:sz w:val="28"/>
          <w:highlight w:val="none"/>
        </w:rPr>
        <w:t>竞争性磋商供应商提交竞争性磋商响应文件须知</w:t>
      </w:r>
    </w:p>
    <w:p>
      <w:pPr>
        <w:snapToGrid w:val="0"/>
        <w:jc w:val="center"/>
        <w:rPr>
          <w:rFonts w:ascii="Arial" w:hAnsi="Arial" w:cs="Arial"/>
          <w:color w:val="auto"/>
          <w:sz w:val="28"/>
          <w:szCs w:val="21"/>
          <w:highlight w:val="none"/>
        </w:rPr>
      </w:pPr>
    </w:p>
    <w:p>
      <w:pPr>
        <w:pStyle w:val="78"/>
        <w:numPr>
          <w:ilvl w:val="1"/>
          <w:numId w:val="8"/>
        </w:numPr>
        <w:snapToGrid w:val="0"/>
        <w:spacing w:line="360" w:lineRule="auto"/>
        <w:ind w:left="850" w:hanging="357" w:firstLineChars="0"/>
        <w:rPr>
          <w:rFonts w:ascii="Arial" w:hAnsi="Arial" w:cs="Arial"/>
          <w:color w:val="auto"/>
          <w:szCs w:val="22"/>
          <w:highlight w:val="none"/>
        </w:rPr>
      </w:pPr>
      <w:r>
        <w:rPr>
          <w:rFonts w:ascii="Arial" w:hAnsi="Arial" w:cs="Arial"/>
          <w:color w:val="auto"/>
          <w:szCs w:val="22"/>
          <w:highlight w:val="none"/>
        </w:rPr>
        <w:t>竞争性磋商供应商应严格按照竞争性磋商响应文件的组成提交下述规定的全部格式文件以及其他有关资料，混乱的编排导致竞争性磋商响应文件被误读或采购代理机构、竞争性磋商小组查找不到有效文件是竞争性磋商供应商的风险。</w:t>
      </w:r>
    </w:p>
    <w:p>
      <w:pPr>
        <w:pStyle w:val="78"/>
        <w:numPr>
          <w:ilvl w:val="1"/>
          <w:numId w:val="8"/>
        </w:numPr>
        <w:snapToGrid w:val="0"/>
        <w:spacing w:line="360" w:lineRule="auto"/>
        <w:ind w:left="850" w:hanging="357" w:firstLineChars="0"/>
        <w:rPr>
          <w:rFonts w:ascii="Arial" w:hAnsi="Arial" w:cs="Arial"/>
          <w:color w:val="auto"/>
          <w:szCs w:val="22"/>
          <w:highlight w:val="none"/>
        </w:rPr>
      </w:pPr>
      <w:r>
        <w:rPr>
          <w:rFonts w:ascii="Arial" w:hAnsi="Arial" w:cs="Arial"/>
          <w:color w:val="auto"/>
          <w:szCs w:val="22"/>
          <w:highlight w:val="none"/>
        </w:rPr>
        <w:t>所附表格中要求回答的全部问题和/或信息都必须正面回答。</w:t>
      </w:r>
    </w:p>
    <w:p>
      <w:pPr>
        <w:pStyle w:val="78"/>
        <w:numPr>
          <w:ilvl w:val="1"/>
          <w:numId w:val="8"/>
        </w:numPr>
        <w:snapToGrid w:val="0"/>
        <w:spacing w:line="360" w:lineRule="auto"/>
        <w:ind w:left="850" w:hanging="357" w:firstLineChars="0"/>
        <w:rPr>
          <w:rFonts w:ascii="Arial" w:hAnsi="Arial" w:cs="Arial"/>
          <w:color w:val="auto"/>
          <w:szCs w:val="22"/>
          <w:highlight w:val="none"/>
        </w:rPr>
      </w:pPr>
      <w:r>
        <w:rPr>
          <w:rFonts w:ascii="Arial" w:hAnsi="Arial" w:cs="Arial"/>
          <w:color w:val="auto"/>
          <w:szCs w:val="22"/>
          <w:highlight w:val="none"/>
        </w:rPr>
        <w:t>本资格声明的签字人应保证全部声明和问题的回答是真实的和准确的。</w:t>
      </w:r>
    </w:p>
    <w:p>
      <w:pPr>
        <w:pStyle w:val="78"/>
        <w:numPr>
          <w:ilvl w:val="1"/>
          <w:numId w:val="8"/>
        </w:numPr>
        <w:snapToGrid w:val="0"/>
        <w:spacing w:line="360" w:lineRule="auto"/>
        <w:ind w:left="850" w:hanging="357" w:firstLineChars="0"/>
        <w:rPr>
          <w:rFonts w:ascii="Arial" w:hAnsi="Arial" w:cs="Arial"/>
          <w:color w:val="auto"/>
          <w:szCs w:val="22"/>
          <w:highlight w:val="none"/>
        </w:rPr>
      </w:pPr>
      <w:r>
        <w:rPr>
          <w:rFonts w:ascii="Arial" w:hAnsi="Arial" w:cs="Arial"/>
          <w:color w:val="auto"/>
          <w:szCs w:val="22"/>
          <w:highlight w:val="none"/>
        </w:rPr>
        <w:t>采购代理机构将应用竞争性磋商供应商提交的资料根据自己的判断和考虑决定竞争性磋商供应商履行合同的合格性及能力。</w:t>
      </w:r>
    </w:p>
    <w:p>
      <w:pPr>
        <w:pStyle w:val="78"/>
        <w:numPr>
          <w:ilvl w:val="1"/>
          <w:numId w:val="8"/>
        </w:numPr>
        <w:snapToGrid w:val="0"/>
        <w:spacing w:line="360" w:lineRule="auto"/>
        <w:ind w:left="850" w:hanging="357" w:firstLineChars="0"/>
        <w:rPr>
          <w:rFonts w:ascii="Arial" w:hAnsi="Arial" w:cs="Arial"/>
          <w:color w:val="auto"/>
          <w:szCs w:val="22"/>
          <w:highlight w:val="none"/>
        </w:rPr>
      </w:pPr>
      <w:r>
        <w:rPr>
          <w:rFonts w:ascii="Arial" w:hAnsi="Arial" w:cs="Arial"/>
          <w:color w:val="auto"/>
          <w:szCs w:val="22"/>
          <w:highlight w:val="none"/>
        </w:rPr>
        <w:t>竞争性磋商供应商提交的材料将被保密保存，但不退还。</w:t>
      </w:r>
    </w:p>
    <w:p>
      <w:pPr>
        <w:pStyle w:val="78"/>
        <w:numPr>
          <w:ilvl w:val="1"/>
          <w:numId w:val="8"/>
        </w:numPr>
        <w:snapToGrid w:val="0"/>
        <w:spacing w:line="360" w:lineRule="auto"/>
        <w:ind w:left="850" w:hanging="357" w:firstLineChars="0"/>
        <w:rPr>
          <w:rFonts w:ascii="Arial" w:hAnsi="Arial" w:cs="Arial"/>
          <w:color w:val="auto"/>
          <w:highlight w:val="none"/>
        </w:rPr>
      </w:pPr>
      <w:r>
        <w:rPr>
          <w:rFonts w:ascii="Arial" w:hAnsi="Arial" w:cs="Arial"/>
          <w:color w:val="auto"/>
          <w:szCs w:val="22"/>
          <w:highlight w:val="none"/>
        </w:rPr>
        <w:t>全部文件应按竞争性磋商供应商须知中规定的语言提交。</w:t>
      </w:r>
    </w:p>
    <w:p>
      <w:pPr>
        <w:pStyle w:val="78"/>
        <w:snapToGrid w:val="0"/>
        <w:spacing w:line="400" w:lineRule="exact"/>
        <w:ind w:left="851" w:firstLine="0" w:firstLineChars="0"/>
        <w:rPr>
          <w:rFonts w:ascii="Arial" w:hAnsi="Arial" w:cs="Arial"/>
          <w:color w:val="auto"/>
          <w:highlight w:val="none"/>
        </w:rPr>
      </w:pPr>
    </w:p>
    <w:p>
      <w:pPr>
        <w:rPr>
          <w:rFonts w:ascii="Arial" w:hAnsi="Arial" w:cs="Arial"/>
          <w:color w:val="auto"/>
          <w:szCs w:val="21"/>
          <w:highlight w:val="none"/>
        </w:rPr>
      </w:pPr>
    </w:p>
    <w:p>
      <w:pPr>
        <w:jc w:val="center"/>
        <w:outlineLvl w:val="1"/>
        <w:rPr>
          <w:b/>
          <w:color w:val="auto"/>
          <w:sz w:val="28"/>
          <w:highlight w:val="none"/>
        </w:rPr>
        <w:sectPr>
          <w:headerReference r:id="rId7" w:type="default"/>
          <w:footerReference r:id="rId8" w:type="default"/>
          <w:pgSz w:w="11849" w:h="16781"/>
          <w:pgMar w:top="1417" w:right="1417" w:bottom="1417" w:left="1417" w:header="850" w:footer="992" w:gutter="0"/>
          <w:cols w:space="0" w:num="1"/>
          <w:docGrid w:type="linesAndChars" w:linePitch="324" w:charSpace="819"/>
        </w:sectPr>
      </w:pPr>
    </w:p>
    <w:p>
      <w:pPr>
        <w:ind w:firstLine="303" w:firstLineChars="100"/>
        <w:rPr>
          <w:rFonts w:ascii="宋体" w:hAnsi="宋体" w:cs="宋体"/>
          <w:b/>
          <w:color w:val="auto"/>
          <w:sz w:val="30"/>
          <w:szCs w:val="30"/>
          <w:highlight w:val="none"/>
        </w:rPr>
      </w:pPr>
      <w:r>
        <w:rPr>
          <w:rFonts w:hint="eastAsia" w:ascii="宋体" w:hAnsi="宋体" w:cs="宋体"/>
          <w:b/>
          <w:color w:val="auto"/>
          <w:sz w:val="30"/>
          <w:szCs w:val="30"/>
          <w:highlight w:val="none"/>
        </w:rPr>
        <w:t xml:space="preserve">             投标文件封面（格式供参考）</w:t>
      </w:r>
    </w:p>
    <w:p>
      <w:pPr>
        <w:autoSpaceDE w:val="0"/>
        <w:autoSpaceDN w:val="0"/>
        <w:adjustRightInd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投标文件封面</w:t>
      </w:r>
    </w:p>
    <w:p>
      <w:pPr>
        <w:autoSpaceDE w:val="0"/>
        <w:autoSpaceDN w:val="0"/>
        <w:adjustRightInd w:val="0"/>
        <w:spacing w:line="360" w:lineRule="auto"/>
        <w:jc w:val="right"/>
        <w:rPr>
          <w:rFonts w:ascii="宋体" w:hAnsi="宋体" w:cs="宋体"/>
          <w:b/>
          <w:color w:val="auto"/>
          <w:sz w:val="28"/>
          <w:szCs w:val="28"/>
          <w:highlight w:val="none"/>
        </w:rPr>
      </w:pPr>
      <w:r>
        <w:rPr>
          <w:rFonts w:hint="eastAsia" w:ascii="宋体" w:hAnsi="宋体" w:cs="宋体"/>
          <w:b/>
          <w:color w:val="auto"/>
          <w:sz w:val="28"/>
          <w:szCs w:val="28"/>
          <w:highlight w:val="none"/>
        </w:rPr>
        <w:t>正本/副本</w:t>
      </w:r>
    </w:p>
    <w:p>
      <w:pPr>
        <w:autoSpaceDE w:val="0"/>
        <w:autoSpaceDN w:val="0"/>
        <w:adjustRightInd w:val="0"/>
        <w:spacing w:line="360" w:lineRule="auto"/>
        <w:jc w:val="center"/>
        <w:rPr>
          <w:rFonts w:ascii="宋体" w:hAnsi="宋体" w:cs="宋体"/>
          <w:b/>
          <w:color w:val="auto"/>
          <w:sz w:val="48"/>
          <w:szCs w:val="48"/>
          <w:highlight w:val="none"/>
        </w:rPr>
      </w:pPr>
    </w:p>
    <w:p>
      <w:pPr>
        <w:autoSpaceDE w:val="0"/>
        <w:autoSpaceDN w:val="0"/>
        <w:adjustRightInd w:val="0"/>
        <w:spacing w:line="360" w:lineRule="auto"/>
        <w:jc w:val="center"/>
        <w:rPr>
          <w:rFonts w:ascii="宋体" w:hAnsi="宋体" w:cs="宋体"/>
          <w:b/>
          <w:color w:val="auto"/>
          <w:sz w:val="48"/>
          <w:szCs w:val="48"/>
          <w:highlight w:val="none"/>
        </w:rPr>
      </w:pPr>
    </w:p>
    <w:p>
      <w:pPr>
        <w:autoSpaceDE w:val="0"/>
        <w:autoSpaceDN w:val="0"/>
        <w:adjustRightInd w:val="0"/>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竞争性磋商响应性文件</w:t>
      </w:r>
    </w:p>
    <w:p>
      <w:pPr>
        <w:autoSpaceDE w:val="0"/>
        <w:autoSpaceDN w:val="0"/>
        <w:adjustRightInd w:val="0"/>
        <w:spacing w:line="360" w:lineRule="auto"/>
        <w:rPr>
          <w:rFonts w:ascii="宋体" w:hAnsi="宋体" w:cs="宋体"/>
          <w:b/>
          <w:color w:val="auto"/>
          <w:sz w:val="32"/>
          <w:szCs w:val="32"/>
          <w:highlight w:val="none"/>
        </w:rPr>
      </w:pPr>
    </w:p>
    <w:p>
      <w:pPr>
        <w:autoSpaceDE w:val="0"/>
        <w:autoSpaceDN w:val="0"/>
        <w:adjustRightIn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（资格响应文件/商务技术响应文件/报价响应文件）</w:t>
      </w:r>
    </w:p>
    <w:p>
      <w:pPr>
        <w:autoSpaceDE w:val="0"/>
        <w:autoSpaceDN w:val="0"/>
        <w:adjustRightInd w:val="0"/>
        <w:spacing w:line="360" w:lineRule="auto"/>
        <w:rPr>
          <w:rFonts w:ascii="宋体" w:hAnsi="宋体" w:cs="宋体"/>
          <w:b/>
          <w:color w:val="auto"/>
          <w:sz w:val="32"/>
          <w:szCs w:val="32"/>
          <w:highlight w:val="none"/>
        </w:rPr>
      </w:pPr>
    </w:p>
    <w:p>
      <w:pPr>
        <w:autoSpaceDE w:val="0"/>
        <w:autoSpaceDN w:val="0"/>
        <w:adjustRightInd w:val="0"/>
        <w:spacing w:line="360" w:lineRule="auto"/>
        <w:rPr>
          <w:rFonts w:ascii="宋体" w:hAnsi="宋体" w:cs="宋体"/>
          <w:b/>
          <w:color w:val="auto"/>
          <w:sz w:val="32"/>
          <w:szCs w:val="32"/>
          <w:highlight w:val="none"/>
        </w:rPr>
      </w:pPr>
    </w:p>
    <w:p>
      <w:pPr>
        <w:autoSpaceDE w:val="0"/>
        <w:autoSpaceDN w:val="0"/>
        <w:adjustRightInd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 xml:space="preserve">项目名称： </w:t>
      </w:r>
    </w:p>
    <w:p>
      <w:pPr>
        <w:autoSpaceDE w:val="0"/>
        <w:autoSpaceDN w:val="0"/>
        <w:adjustRightInd w:val="0"/>
        <w:spacing w:line="360" w:lineRule="auto"/>
        <w:rPr>
          <w:rFonts w:hint="eastAsia" w:ascii="宋体" w:hAnsi="宋体" w:eastAsia="宋体" w:cs="宋体"/>
          <w:b/>
          <w:color w:val="auto"/>
          <w:sz w:val="32"/>
          <w:szCs w:val="32"/>
          <w:highlight w:val="none"/>
          <w:u w:val="single"/>
          <w:lang w:eastAsia="zh-CN"/>
        </w:rPr>
      </w:pPr>
      <w:r>
        <w:rPr>
          <w:rFonts w:hint="eastAsia" w:ascii="宋体" w:hAnsi="宋体" w:cs="宋体"/>
          <w:b/>
          <w:color w:val="auto"/>
          <w:sz w:val="32"/>
          <w:szCs w:val="32"/>
          <w:highlight w:val="none"/>
        </w:rPr>
        <w:t>项目编号：</w:t>
      </w:r>
      <w:r>
        <w:rPr>
          <w:rFonts w:hint="eastAsia" w:ascii="宋体" w:hAnsi="宋体" w:cs="宋体"/>
          <w:b/>
          <w:color w:val="auto"/>
          <w:sz w:val="32"/>
          <w:szCs w:val="32"/>
          <w:highlight w:val="none"/>
          <w:u w:val="single"/>
          <w:lang w:eastAsia="zh-CN"/>
        </w:rPr>
        <w:t>浙均和（2025）D099号</w:t>
      </w:r>
    </w:p>
    <w:p>
      <w:pPr>
        <w:autoSpaceDE w:val="0"/>
        <w:autoSpaceDN w:val="0"/>
        <w:adjustRightInd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投标人名称（盖章）：</w:t>
      </w:r>
      <w:bookmarkStart w:id="53" w:name="_Toc339872474"/>
    </w:p>
    <w:p>
      <w:pPr>
        <w:autoSpaceDE w:val="0"/>
        <w:autoSpaceDN w:val="0"/>
        <w:adjustRightInd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投标人代表签字：</w:t>
      </w:r>
      <w:bookmarkEnd w:id="53"/>
    </w:p>
    <w:p>
      <w:pPr>
        <w:autoSpaceDE w:val="0"/>
        <w:autoSpaceDN w:val="0"/>
        <w:adjustRightInd w:val="0"/>
        <w:spacing w:line="360" w:lineRule="auto"/>
        <w:rPr>
          <w:rFonts w:ascii="宋体" w:hAnsi="宋体" w:cs="宋体"/>
          <w:b/>
          <w:color w:val="auto"/>
          <w:sz w:val="32"/>
          <w:szCs w:val="32"/>
          <w:highlight w:val="none"/>
          <w:u w:val="single"/>
        </w:rPr>
      </w:pPr>
      <w:r>
        <w:rPr>
          <w:rFonts w:hint="eastAsia" w:ascii="宋体" w:hAnsi="宋体" w:cs="宋体"/>
          <w:b/>
          <w:color w:val="auto"/>
          <w:sz w:val="32"/>
          <w:szCs w:val="32"/>
          <w:highlight w:val="none"/>
        </w:rPr>
        <w:t>投标人地址：</w:t>
      </w:r>
    </w:p>
    <w:p>
      <w:pPr>
        <w:autoSpaceDE w:val="0"/>
        <w:autoSpaceDN w:val="0"/>
        <w:adjustRightInd w:val="0"/>
        <w:spacing w:line="360" w:lineRule="auto"/>
        <w:rPr>
          <w:rFonts w:ascii="宋体" w:hAnsi="宋体" w:cs="宋体"/>
          <w:b/>
          <w:color w:val="auto"/>
          <w:sz w:val="32"/>
          <w:szCs w:val="32"/>
          <w:highlight w:val="none"/>
          <w:u w:val="single"/>
        </w:rPr>
      </w:pPr>
      <w:r>
        <w:rPr>
          <w:rFonts w:hint="eastAsia" w:ascii="宋体" w:hAnsi="宋体" w:cs="宋体"/>
          <w:b/>
          <w:color w:val="auto"/>
          <w:sz w:val="32"/>
          <w:szCs w:val="32"/>
          <w:highlight w:val="none"/>
        </w:rPr>
        <w:t>电  话：</w:t>
      </w:r>
    </w:p>
    <w:p>
      <w:pPr>
        <w:rPr>
          <w:rFonts w:ascii="Arial" w:hAnsi="Arial" w:cs="Arial"/>
          <w:color w:val="auto"/>
          <w:szCs w:val="21"/>
          <w:highlight w:val="none"/>
        </w:rPr>
      </w:pPr>
      <w:r>
        <w:rPr>
          <w:rFonts w:hint="eastAsia" w:ascii="宋体" w:hAnsi="宋体" w:cs="宋体"/>
          <w:b/>
          <w:color w:val="auto"/>
          <w:sz w:val="32"/>
          <w:szCs w:val="32"/>
          <w:highlight w:val="none"/>
        </w:rPr>
        <w:t>联系人：</w:t>
      </w:r>
    </w:p>
    <w:p>
      <w:pPr>
        <w:jc w:val="center"/>
        <w:outlineLvl w:val="1"/>
        <w:rPr>
          <w:b/>
          <w:color w:val="auto"/>
          <w:sz w:val="28"/>
          <w:highlight w:val="none"/>
        </w:rPr>
        <w:sectPr>
          <w:headerReference r:id="rId9" w:type="default"/>
          <w:footerReference r:id="rId10" w:type="default"/>
          <w:pgSz w:w="11849" w:h="16781"/>
          <w:pgMar w:top="1417" w:right="1417" w:bottom="1417" w:left="1417" w:header="850" w:footer="992" w:gutter="0"/>
          <w:cols w:space="0" w:num="1"/>
          <w:docGrid w:type="linesAndChars" w:linePitch="324" w:charSpace="819"/>
        </w:sectPr>
      </w:pPr>
      <w:bookmarkStart w:id="54" w:name="_Toc339979553"/>
    </w:p>
    <w:bookmarkEnd w:id="54"/>
    <w:p>
      <w:pPr>
        <w:adjustRightInd w:val="0"/>
        <w:snapToGrid w:val="0"/>
        <w:spacing w:line="360" w:lineRule="auto"/>
        <w:ind w:firstLine="536" w:firstLineChars="200"/>
        <w:jc w:val="center"/>
        <w:rPr>
          <w:rFonts w:hint="eastAsia"/>
          <w:b/>
          <w:bCs/>
          <w:color w:val="auto"/>
          <w:spacing w:val="-6"/>
          <w:sz w:val="28"/>
          <w:szCs w:val="28"/>
          <w:highlight w:val="none"/>
        </w:rPr>
      </w:pPr>
      <w:r>
        <w:rPr>
          <w:rFonts w:hint="eastAsia"/>
          <w:b/>
          <w:bCs/>
          <w:color w:val="auto"/>
          <w:spacing w:val="-6"/>
          <w:sz w:val="28"/>
          <w:szCs w:val="28"/>
          <w:highlight w:val="none"/>
        </w:rPr>
        <w:t>目录</w:t>
      </w:r>
    </w:p>
    <w:p>
      <w:pPr>
        <w:adjustRightInd w:val="0"/>
        <w:snapToGrid w:val="0"/>
        <w:spacing w:line="360" w:lineRule="auto"/>
        <w:ind w:firstLine="396" w:firstLineChars="200"/>
        <w:rPr>
          <w:rFonts w:hint="eastAsia"/>
          <w:b/>
          <w:bCs/>
          <w:color w:val="auto"/>
          <w:spacing w:val="-6"/>
          <w:sz w:val="21"/>
          <w:szCs w:val="21"/>
          <w:highlight w:val="none"/>
        </w:rPr>
      </w:pPr>
    </w:p>
    <w:p>
      <w:pPr>
        <w:adjustRightInd w:val="0"/>
        <w:snapToGrid w:val="0"/>
        <w:spacing w:line="360" w:lineRule="auto"/>
        <w:ind w:firstLine="396" w:firstLineChars="200"/>
        <w:rPr>
          <w:rFonts w:hint="eastAsia"/>
          <w:b/>
          <w:bCs/>
          <w:color w:val="auto"/>
          <w:spacing w:val="-6"/>
          <w:sz w:val="21"/>
          <w:szCs w:val="21"/>
          <w:highlight w:val="none"/>
        </w:rPr>
      </w:pPr>
      <w:r>
        <w:rPr>
          <w:rFonts w:hint="eastAsia"/>
          <w:b/>
          <w:bCs/>
          <w:color w:val="auto"/>
          <w:spacing w:val="-6"/>
          <w:sz w:val="21"/>
          <w:szCs w:val="21"/>
          <w:highlight w:val="none"/>
        </w:rPr>
        <w:t>▲1.资格文件（单独上传）</w:t>
      </w:r>
    </w:p>
    <w:p>
      <w:pPr>
        <w:pStyle w:val="109"/>
        <w:snapToGrid w:val="0"/>
        <w:spacing w:line="360" w:lineRule="auto"/>
        <w:ind w:left="430" w:leftChars="205" w:firstLine="315" w:firstLineChars="150"/>
        <w:rPr>
          <w:rFonts w:hint="eastAsia"/>
          <w:color w:val="auto"/>
          <w:sz w:val="21"/>
          <w:szCs w:val="21"/>
          <w:highlight w:val="none"/>
        </w:rPr>
      </w:pPr>
      <w:r>
        <w:rPr>
          <w:rFonts w:hint="eastAsia"/>
          <w:color w:val="auto"/>
          <w:sz w:val="21"/>
          <w:szCs w:val="21"/>
          <w:highlight w:val="none"/>
        </w:rPr>
        <w:t>（1）有效的法人或者其他组织的营业执照等证明文件，自然人的身份证明</w:t>
      </w:r>
    </w:p>
    <w:p>
      <w:pPr>
        <w:pStyle w:val="109"/>
        <w:snapToGrid w:val="0"/>
        <w:spacing w:line="360" w:lineRule="auto"/>
        <w:ind w:left="430" w:leftChars="205" w:firstLine="315" w:firstLineChars="150"/>
        <w:rPr>
          <w:rFonts w:hint="eastAsia"/>
          <w:color w:val="auto"/>
          <w:sz w:val="21"/>
          <w:szCs w:val="21"/>
          <w:highlight w:val="none"/>
        </w:rPr>
      </w:pPr>
      <w:r>
        <w:rPr>
          <w:rFonts w:hint="eastAsia"/>
          <w:color w:val="auto"/>
          <w:sz w:val="21"/>
          <w:szCs w:val="21"/>
          <w:highlight w:val="none"/>
        </w:rPr>
        <w:t>（2）符合参加政府采购活动应当具备的一般条件的承诺函</w:t>
      </w:r>
    </w:p>
    <w:p>
      <w:pPr>
        <w:pStyle w:val="109"/>
        <w:snapToGrid w:val="0"/>
        <w:spacing w:line="360" w:lineRule="auto"/>
        <w:ind w:left="430" w:leftChars="205" w:firstLine="315" w:firstLineChars="150"/>
        <w:rPr>
          <w:rFonts w:hint="eastAsia"/>
          <w:color w:val="auto"/>
          <w:sz w:val="21"/>
          <w:szCs w:val="21"/>
          <w:highlight w:val="none"/>
        </w:rPr>
      </w:pPr>
      <w:r>
        <w:rPr>
          <w:rFonts w:hint="eastAsia"/>
          <w:color w:val="auto"/>
          <w:sz w:val="21"/>
          <w:szCs w:val="21"/>
          <w:highlight w:val="none"/>
        </w:rPr>
        <w:t>（3）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keepNext w:val="0"/>
        <w:keepLines w:val="0"/>
        <w:pageBreakBefore w:val="0"/>
        <w:widowControl/>
        <w:kinsoku/>
        <w:wordWrap/>
        <w:overflowPunct/>
        <w:topLinePunct w:val="0"/>
        <w:autoSpaceDE/>
        <w:autoSpaceDN/>
        <w:bidi w:val="0"/>
        <w:adjustRightInd/>
        <w:snapToGrid/>
        <w:spacing w:line="360" w:lineRule="auto"/>
        <w:ind w:left="592" w:leftChars="282" w:right="60" w:firstLine="0" w:firstLineChars="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bidi="ar-SA"/>
        </w:rPr>
        <w:t>）本项目的特定资格要求证明材料：</w:t>
      </w:r>
      <w:r>
        <w:rPr>
          <w:rFonts w:hint="eastAsia" w:ascii="Times New Roman" w:hAnsi="Times New Roman" w:cs="Arial"/>
          <w:color w:val="auto"/>
          <w:kern w:val="0"/>
          <w:highlight w:val="none"/>
        </w:rPr>
        <w:t>具有乙级（含乙级）以上测绘资质，包含工程测量、界限与不动产专业。</w:t>
      </w:r>
    </w:p>
    <w:p>
      <w:pPr>
        <w:pStyle w:val="109"/>
        <w:pageBreakBefore w:val="0"/>
        <w:kinsoku/>
        <w:wordWrap/>
        <w:overflowPunct/>
        <w:topLinePunct w:val="0"/>
        <w:autoSpaceDE/>
        <w:autoSpaceDN/>
        <w:bidi w:val="0"/>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）法定代表人（负责人）资格证明书</w:t>
      </w:r>
    </w:p>
    <w:p>
      <w:pPr>
        <w:pStyle w:val="109"/>
        <w:pageBreakBefore w:val="0"/>
        <w:kinsoku/>
        <w:wordWrap/>
        <w:overflowPunct/>
        <w:topLinePunct w:val="0"/>
        <w:autoSpaceDE/>
        <w:autoSpaceDN/>
        <w:bidi w:val="0"/>
        <w:snapToGrid w:val="0"/>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）法定代表人（负责人）授权委托书</w:t>
      </w:r>
    </w:p>
    <w:p>
      <w:pPr>
        <w:pStyle w:val="109"/>
        <w:snapToGrid w:val="0"/>
        <w:spacing w:line="360" w:lineRule="auto"/>
        <w:ind w:left="430" w:leftChars="205" w:firstLine="315" w:firstLineChars="150"/>
        <w:rPr>
          <w:rFonts w:hint="eastAsia"/>
          <w:color w:val="auto"/>
          <w:sz w:val="21"/>
          <w:szCs w:val="21"/>
          <w:highlight w:val="none"/>
        </w:rPr>
      </w:pPr>
    </w:p>
    <w:p>
      <w:pPr>
        <w:adjustRightInd w:val="0"/>
        <w:snapToGrid w:val="0"/>
        <w:spacing w:line="360" w:lineRule="auto"/>
        <w:ind w:firstLine="396" w:firstLineChars="200"/>
        <w:rPr>
          <w:rFonts w:hint="eastAsia"/>
          <w:b/>
          <w:color w:val="auto"/>
          <w:spacing w:val="-6"/>
          <w:sz w:val="21"/>
          <w:szCs w:val="21"/>
          <w:highlight w:val="none"/>
        </w:rPr>
      </w:pPr>
    </w:p>
    <w:p>
      <w:pPr>
        <w:numPr>
          <w:ilvl w:val="0"/>
          <w:numId w:val="0"/>
        </w:numPr>
        <w:adjustRightInd w:val="0"/>
        <w:snapToGrid w:val="0"/>
        <w:spacing w:line="360" w:lineRule="auto"/>
        <w:ind w:firstLine="396" w:firstLineChars="200"/>
        <w:rPr>
          <w:rFonts w:hint="eastAsia"/>
          <w:b/>
          <w:bCs/>
          <w:color w:val="auto"/>
          <w:spacing w:val="-6"/>
          <w:sz w:val="21"/>
          <w:szCs w:val="21"/>
          <w:highlight w:val="none"/>
        </w:rPr>
      </w:pPr>
      <w:r>
        <w:rPr>
          <w:rFonts w:hint="eastAsia"/>
          <w:b/>
          <w:color w:val="auto"/>
          <w:spacing w:val="-6"/>
          <w:sz w:val="21"/>
          <w:szCs w:val="21"/>
          <w:highlight w:val="none"/>
          <w:lang w:val="en-US" w:eastAsia="zh-CN"/>
        </w:rPr>
        <w:t>2.</w:t>
      </w:r>
      <w:r>
        <w:rPr>
          <w:rFonts w:hint="eastAsia"/>
          <w:b/>
          <w:color w:val="auto"/>
          <w:spacing w:val="-6"/>
          <w:sz w:val="21"/>
          <w:szCs w:val="21"/>
          <w:highlight w:val="none"/>
        </w:rPr>
        <w:t>商务技术文件</w:t>
      </w:r>
      <w:r>
        <w:rPr>
          <w:rFonts w:hint="eastAsia"/>
          <w:b/>
          <w:bCs/>
          <w:color w:val="auto"/>
          <w:spacing w:val="-6"/>
          <w:sz w:val="21"/>
          <w:szCs w:val="21"/>
          <w:highlight w:val="none"/>
        </w:rPr>
        <w:t>（单独上传）</w:t>
      </w:r>
    </w:p>
    <w:p>
      <w:pPr>
        <w:pStyle w:val="109"/>
        <w:keepNext w:val="0"/>
        <w:keepLines w:val="0"/>
        <w:pageBreakBefore w:val="0"/>
        <w:widowControl/>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w:t>
      </w:r>
    </w:p>
    <w:p>
      <w:pPr>
        <w:pStyle w:val="109"/>
        <w:keepNext w:val="0"/>
        <w:keepLines w:val="0"/>
        <w:pageBreakBefore w:val="0"/>
        <w:widowControl/>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（2）供应商同类业绩一览表（附合同）</w:t>
      </w:r>
    </w:p>
    <w:p>
      <w:pPr>
        <w:pStyle w:val="109"/>
        <w:keepNext w:val="0"/>
        <w:keepLines w:val="0"/>
        <w:pageBreakBefore w:val="0"/>
        <w:widowControl/>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（3）项目实施人员一览表</w:t>
      </w:r>
    </w:p>
    <w:p>
      <w:pPr>
        <w:keepNext w:val="0"/>
        <w:keepLines w:val="0"/>
        <w:pageBreakBefore w:val="0"/>
        <w:widowControl/>
        <w:kinsoku/>
        <w:wordWrap/>
        <w:overflowPunct/>
        <w:topLinePunct w:val="0"/>
        <w:autoSpaceDE/>
        <w:autoSpaceDN/>
        <w:bidi w:val="0"/>
        <w:adjustRightInd/>
        <w:snapToGrid w:val="0"/>
        <w:spacing w:line="360" w:lineRule="auto"/>
        <w:ind w:firstLine="630" w:firstLineChars="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（4）响应表</w:t>
      </w:r>
    </w:p>
    <w:p>
      <w:pPr>
        <w:keepNext w:val="0"/>
        <w:keepLines w:val="0"/>
        <w:pageBreakBefore w:val="0"/>
        <w:widowControl/>
        <w:kinsoku/>
        <w:wordWrap/>
        <w:overflowPunct/>
        <w:topLinePunct w:val="0"/>
        <w:autoSpaceDE/>
        <w:autoSpaceDN/>
        <w:bidi w:val="0"/>
        <w:adjustRightInd/>
        <w:snapToGrid w:val="0"/>
        <w:spacing w:line="360" w:lineRule="auto"/>
        <w:ind w:firstLine="630" w:firstLineChars="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（5）技术方案</w:t>
      </w:r>
    </w:p>
    <w:p>
      <w:pPr>
        <w:keepNext w:val="0"/>
        <w:keepLines w:val="0"/>
        <w:pageBreakBefore w:val="0"/>
        <w:widowControl/>
        <w:kinsoku/>
        <w:wordWrap/>
        <w:overflowPunct/>
        <w:topLinePunct w:val="0"/>
        <w:autoSpaceDE/>
        <w:autoSpaceDN/>
        <w:bidi w:val="0"/>
        <w:adjustRightInd/>
        <w:snapToGrid w:val="0"/>
        <w:spacing w:line="360" w:lineRule="auto"/>
        <w:ind w:firstLine="630" w:firstLineChars="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eastAsia="宋体" w:cs="宋体"/>
          <w:color w:val="auto"/>
          <w:sz w:val="21"/>
          <w:szCs w:val="21"/>
          <w:highlight w:val="none"/>
          <w:lang w:val="en-US" w:eastAsia="zh-CN"/>
        </w:rPr>
        <w:t>服务团队</w:t>
      </w:r>
      <w:r>
        <w:rPr>
          <w:rFonts w:hint="eastAsia" w:ascii="宋体" w:hAnsi="宋体" w:eastAsia="宋体" w:cs="宋体"/>
          <w:color w:val="auto"/>
          <w:sz w:val="21"/>
          <w:szCs w:val="21"/>
          <w:highlight w:val="none"/>
        </w:rPr>
        <w:t xml:space="preserve"> </w:t>
      </w:r>
    </w:p>
    <w:p>
      <w:pPr>
        <w:keepNext w:val="0"/>
        <w:keepLines w:val="0"/>
        <w:pageBreakBefore w:val="0"/>
        <w:widowControl/>
        <w:kinsoku/>
        <w:wordWrap/>
        <w:overflowPunct/>
        <w:topLinePunct w:val="0"/>
        <w:autoSpaceDE/>
        <w:autoSpaceDN/>
        <w:bidi w:val="0"/>
        <w:adjustRightInd/>
        <w:snapToGrid w:val="0"/>
        <w:spacing w:line="360" w:lineRule="auto"/>
        <w:ind w:firstLine="630" w:firstLineChars="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（7）与本项目实施相关的供应商各类资质证书</w:t>
      </w:r>
    </w:p>
    <w:p>
      <w:pPr>
        <w:keepNext w:val="0"/>
        <w:keepLines w:val="0"/>
        <w:pageBreakBefore w:val="0"/>
        <w:widowControl/>
        <w:kinsoku/>
        <w:wordWrap/>
        <w:overflowPunct/>
        <w:topLinePunct w:val="0"/>
        <w:autoSpaceDE/>
        <w:autoSpaceDN/>
        <w:bidi w:val="0"/>
        <w:adjustRightInd/>
        <w:snapToGrid w:val="0"/>
        <w:spacing w:line="360" w:lineRule="auto"/>
        <w:ind w:firstLine="630" w:firstLineChars="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（8）项目人员相关证书（</w:t>
      </w:r>
      <w:r>
        <w:rPr>
          <w:rFonts w:hint="eastAsia" w:ascii="宋体" w:hAnsi="宋体" w:eastAsia="宋体" w:cs="宋体"/>
          <w:color w:val="auto"/>
          <w:sz w:val="21"/>
          <w:szCs w:val="21"/>
          <w:highlight w:val="none"/>
          <w:lang w:eastAsia="zh-CN"/>
        </w:rPr>
        <w:t>提供自开标前近3个月社保缴纳凭证并加盖投标人公章</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snapToGrid w:val="0"/>
        <w:spacing w:line="360" w:lineRule="auto"/>
        <w:ind w:firstLine="630" w:firstLineChars="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（9）供应商需要说明的其他内容（未尽事宜可按评分细则部分制作）</w:t>
      </w:r>
    </w:p>
    <w:p>
      <w:pPr>
        <w:pStyle w:val="109"/>
        <w:snapToGrid w:val="0"/>
        <w:spacing w:line="360" w:lineRule="auto"/>
        <w:ind w:firstLine="0" w:firstLineChars="0"/>
        <w:rPr>
          <w:rFonts w:hint="eastAsia"/>
          <w:color w:val="auto"/>
          <w:sz w:val="21"/>
          <w:szCs w:val="21"/>
          <w:highlight w:val="none"/>
        </w:rPr>
      </w:pPr>
    </w:p>
    <w:p>
      <w:pPr>
        <w:pStyle w:val="109"/>
        <w:snapToGrid w:val="0"/>
        <w:spacing w:line="360" w:lineRule="auto"/>
        <w:ind w:firstLine="0" w:firstLineChars="0"/>
        <w:rPr>
          <w:rFonts w:hint="eastAsia"/>
          <w:color w:val="auto"/>
          <w:sz w:val="21"/>
          <w:szCs w:val="21"/>
          <w:highlight w:val="none"/>
        </w:rPr>
      </w:pPr>
    </w:p>
    <w:p>
      <w:pPr>
        <w:adjustRightInd w:val="0"/>
        <w:snapToGrid w:val="0"/>
        <w:spacing w:line="360" w:lineRule="auto"/>
        <w:ind w:firstLine="396" w:firstLineChars="200"/>
        <w:rPr>
          <w:rFonts w:hint="eastAsia"/>
          <w:b/>
          <w:color w:val="auto"/>
          <w:spacing w:val="-6"/>
          <w:sz w:val="21"/>
          <w:szCs w:val="21"/>
          <w:highlight w:val="none"/>
        </w:rPr>
      </w:pPr>
      <w:r>
        <w:rPr>
          <w:rFonts w:hint="eastAsia"/>
          <w:b/>
          <w:color w:val="auto"/>
          <w:spacing w:val="-6"/>
          <w:sz w:val="21"/>
          <w:szCs w:val="21"/>
          <w:highlight w:val="none"/>
        </w:rPr>
        <w:t>3.报价文件</w:t>
      </w:r>
      <w:r>
        <w:rPr>
          <w:rFonts w:hint="eastAsia"/>
          <w:b/>
          <w:bCs/>
          <w:color w:val="auto"/>
          <w:spacing w:val="-6"/>
          <w:sz w:val="21"/>
          <w:szCs w:val="21"/>
          <w:highlight w:val="none"/>
        </w:rPr>
        <w:t>（单独上传）</w:t>
      </w:r>
    </w:p>
    <w:p>
      <w:pPr>
        <w:pStyle w:val="109"/>
        <w:snapToGrid w:val="0"/>
        <w:spacing w:line="360" w:lineRule="auto"/>
        <w:ind w:left="493" w:firstLine="210" w:firstLineChars="100"/>
        <w:rPr>
          <w:rFonts w:hint="eastAsia" w:ascii="宋体" w:hAnsi="宋体" w:eastAsia="宋体" w:cs="宋体"/>
          <w:color w:val="auto"/>
          <w:sz w:val="21"/>
          <w:szCs w:val="21"/>
          <w:highlight w:val="none"/>
          <w:lang w:val="en-US" w:eastAsia="zh-CN" w:bidi="ar-SA"/>
        </w:rPr>
      </w:pPr>
      <w:r>
        <w:rPr>
          <w:rFonts w:hint="eastAsia"/>
          <w:color w:val="auto"/>
          <w:sz w:val="21"/>
          <w:szCs w:val="21"/>
          <w:highlight w:val="none"/>
          <w:lang w:eastAsia="zh-CN"/>
        </w:rPr>
        <w:t>（</w:t>
      </w:r>
      <w:r>
        <w:rPr>
          <w:rFonts w:hint="eastAsia" w:ascii="宋体" w:hAnsi="宋体" w:eastAsia="宋体" w:cs="宋体"/>
          <w:color w:val="auto"/>
          <w:sz w:val="21"/>
          <w:szCs w:val="21"/>
          <w:highlight w:val="none"/>
          <w:lang w:val="en-US" w:eastAsia="zh-CN" w:bidi="ar-SA"/>
        </w:rPr>
        <w:t>1）开标一览表</w:t>
      </w:r>
    </w:p>
    <w:p>
      <w:pPr>
        <w:pStyle w:val="109"/>
        <w:snapToGrid w:val="0"/>
        <w:spacing w:line="360" w:lineRule="auto"/>
        <w:ind w:left="493"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color w:val="auto"/>
          <w:sz w:val="21"/>
          <w:szCs w:val="21"/>
          <w:highlight w:val="none"/>
          <w:lang w:eastAsia="zh-CN"/>
        </w:rPr>
        <w:t>供应商为中小企业/小微企业（残疾人福利企业或监狱企业视同为小微企业）</w:t>
      </w:r>
    </w:p>
    <w:p>
      <w:pPr>
        <w:pStyle w:val="109"/>
        <w:snapToGrid w:val="0"/>
        <w:spacing w:line="360" w:lineRule="auto"/>
        <w:ind w:left="493" w:firstLine="210" w:firstLineChars="100"/>
        <w:rPr>
          <w:rFonts w:hint="eastAsia"/>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3</w:t>
      </w:r>
      <w:r>
        <w:rPr>
          <w:rFonts w:hint="eastAsia"/>
          <w:color w:val="auto"/>
          <w:sz w:val="21"/>
          <w:szCs w:val="21"/>
          <w:highlight w:val="none"/>
        </w:rPr>
        <w:t>）供应商针对报价需要说明的其他文件和说明。</w:t>
      </w:r>
    </w:p>
    <w:p>
      <w:pPr>
        <w:spacing w:line="360" w:lineRule="auto"/>
        <w:ind w:firstLine="1671" w:firstLineChars="796"/>
        <w:rPr>
          <w:rFonts w:hint="eastAsia"/>
          <w:b/>
          <w:color w:val="auto"/>
          <w:sz w:val="21"/>
          <w:szCs w:val="21"/>
          <w:highlight w:val="none"/>
        </w:rPr>
      </w:pPr>
    </w:p>
    <w:p>
      <w:pPr>
        <w:ind w:firstLine="2388" w:firstLineChars="796"/>
        <w:rPr>
          <w:rFonts w:hint="eastAsia"/>
          <w:b/>
          <w:color w:val="auto"/>
          <w:sz w:val="30"/>
          <w:szCs w:val="30"/>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adjustRightInd w:val="0"/>
        <w:snapToGrid w:val="0"/>
        <w:spacing w:line="288" w:lineRule="auto"/>
        <w:jc w:val="center"/>
        <w:outlineLvl w:val="1"/>
        <w:rPr>
          <w:rFonts w:cs="Times New Roman"/>
          <w:b/>
          <w:color w:val="auto"/>
          <w:spacing w:val="-6"/>
          <w:sz w:val="84"/>
          <w:szCs w:val="84"/>
          <w:highlight w:val="none"/>
        </w:rPr>
      </w:pPr>
      <w:r>
        <w:rPr>
          <w:rFonts w:hint="eastAsia" w:cs="Times New Roman"/>
          <w:b/>
          <w:color w:val="auto"/>
          <w:spacing w:val="-6"/>
          <w:sz w:val="84"/>
          <w:szCs w:val="84"/>
          <w:highlight w:val="none"/>
        </w:rPr>
        <w:t>资格文件</w:t>
      </w:r>
    </w:p>
    <w:p>
      <w:pPr>
        <w:adjustRightInd w:val="0"/>
        <w:snapToGrid w:val="0"/>
        <w:spacing w:line="288" w:lineRule="auto"/>
        <w:jc w:val="center"/>
        <w:rPr>
          <w:rFonts w:hint="eastAsia"/>
          <w:b/>
          <w:bCs/>
          <w:color w:val="auto"/>
          <w:highlight w:val="none"/>
        </w:rPr>
      </w:pPr>
    </w:p>
    <w:p>
      <w:pPr>
        <w:adjustRightInd w:val="0"/>
        <w:snapToGrid w:val="0"/>
        <w:spacing w:line="288" w:lineRule="auto"/>
        <w:jc w:val="center"/>
        <w:rPr>
          <w:rFonts w:hint="eastAsia"/>
          <w:b/>
          <w:bCs/>
          <w:color w:val="auto"/>
          <w:highlight w:val="none"/>
        </w:rPr>
      </w:pPr>
    </w:p>
    <w:p>
      <w:pPr>
        <w:adjustRightInd w:val="0"/>
        <w:snapToGrid w:val="0"/>
        <w:spacing w:line="288" w:lineRule="auto"/>
        <w:jc w:val="center"/>
        <w:rPr>
          <w:rFonts w:hint="eastAsia"/>
          <w:b/>
          <w:bCs/>
          <w:color w:val="auto"/>
          <w:sz w:val="21"/>
          <w:szCs w:val="21"/>
          <w:highlight w:val="none"/>
        </w:rPr>
      </w:pPr>
      <w:r>
        <w:rPr>
          <w:rFonts w:hint="eastAsia"/>
          <w:b/>
          <w:bCs/>
          <w:color w:val="auto"/>
          <w:szCs w:val="21"/>
          <w:highlight w:val="none"/>
        </w:rPr>
        <w:t>资格审查要求的资格证明材料(均需加盖公章)</w:t>
      </w:r>
    </w:p>
    <w:p>
      <w:pPr>
        <w:adjustRightInd w:val="0"/>
        <w:snapToGrid w:val="0"/>
        <w:spacing w:line="360" w:lineRule="auto"/>
        <w:jc w:val="center"/>
        <w:outlineLvl w:val="2"/>
        <w:rPr>
          <w:rFonts w:hint="eastAsia"/>
          <w:b/>
          <w:color w:val="auto"/>
          <w:spacing w:val="-6"/>
          <w:sz w:val="21"/>
          <w:szCs w:val="21"/>
          <w:highlight w:val="none"/>
        </w:rPr>
      </w:pPr>
      <w:r>
        <w:rPr>
          <w:rFonts w:hint="eastAsia"/>
          <w:b/>
          <w:color w:val="auto"/>
          <w:spacing w:val="-6"/>
          <w:szCs w:val="21"/>
          <w:highlight w:val="none"/>
        </w:rPr>
        <w:br w:type="page"/>
      </w:r>
      <w:r>
        <w:rPr>
          <w:rFonts w:hint="eastAsia"/>
          <w:b/>
          <w:color w:val="auto"/>
          <w:spacing w:val="-6"/>
          <w:sz w:val="21"/>
          <w:szCs w:val="21"/>
          <w:highlight w:val="none"/>
        </w:rPr>
        <w:t>（1）有效的法人或者其他组织的营业执照等证明文件，自然人的身份证明</w:t>
      </w:r>
      <w:r>
        <w:rPr>
          <w:rFonts w:hint="eastAsia" w:cs="Times New Roman"/>
          <w:b/>
          <w:color w:val="auto"/>
          <w:spacing w:val="-6"/>
          <w:sz w:val="21"/>
          <w:szCs w:val="21"/>
          <w:highlight w:val="none"/>
        </w:rPr>
        <w:t>（扫描件）</w:t>
      </w:r>
    </w:p>
    <w:p>
      <w:pPr>
        <w:adjustRightInd w:val="0"/>
        <w:snapToGrid w:val="0"/>
        <w:spacing w:line="360" w:lineRule="auto"/>
        <w:rPr>
          <w:rFonts w:hint="eastAsia" w:cs="Times New Roman"/>
          <w:bCs/>
          <w:color w:val="auto"/>
          <w:spacing w:val="-6"/>
          <w:sz w:val="21"/>
          <w:szCs w:val="21"/>
          <w:highlight w:val="none"/>
        </w:rPr>
      </w:pPr>
      <w:r>
        <w:rPr>
          <w:rFonts w:hint="eastAsia" w:cs="Times New Roman"/>
          <w:bCs/>
          <w:color w:val="auto"/>
          <w:spacing w:val="-6"/>
          <w:sz w:val="21"/>
          <w:szCs w:val="21"/>
          <w:highlight w:val="none"/>
        </w:rPr>
        <w:t>说明：</w:t>
      </w:r>
    </w:p>
    <w:p>
      <w:pPr>
        <w:adjustRightInd w:val="0"/>
        <w:snapToGrid w:val="0"/>
        <w:spacing w:line="360" w:lineRule="auto"/>
        <w:ind w:left="396" w:hanging="396" w:hangingChars="200"/>
        <w:rPr>
          <w:rFonts w:hint="eastAsia" w:cs="Times New Roman"/>
          <w:bCs/>
          <w:color w:val="auto"/>
          <w:spacing w:val="-6"/>
          <w:sz w:val="21"/>
          <w:szCs w:val="21"/>
          <w:highlight w:val="none"/>
        </w:rPr>
      </w:pPr>
      <w:r>
        <w:rPr>
          <w:rFonts w:hint="eastAsia" w:cs="Times New Roman"/>
          <w:bCs/>
          <w:color w:val="auto"/>
          <w:spacing w:val="-6"/>
          <w:sz w:val="21"/>
          <w:szCs w:val="21"/>
          <w:highlight w:val="none"/>
        </w:rPr>
        <w:t>1.如供应商是企业（包括合伙企业），提供在工商部门注册的有效“企业法人营业执照”或“营业执照”；</w:t>
      </w:r>
    </w:p>
    <w:p>
      <w:pPr>
        <w:adjustRightInd w:val="0"/>
        <w:snapToGrid w:val="0"/>
        <w:spacing w:line="360" w:lineRule="auto"/>
        <w:ind w:left="396" w:hanging="396" w:hangingChars="200"/>
        <w:rPr>
          <w:rFonts w:hint="eastAsia" w:cs="Times New Roman"/>
          <w:bCs/>
          <w:color w:val="auto"/>
          <w:spacing w:val="-6"/>
          <w:sz w:val="21"/>
          <w:szCs w:val="21"/>
          <w:highlight w:val="none"/>
        </w:rPr>
      </w:pPr>
      <w:r>
        <w:rPr>
          <w:rFonts w:hint="eastAsia" w:cs="Times New Roman"/>
          <w:bCs/>
          <w:color w:val="auto"/>
          <w:spacing w:val="-6"/>
          <w:sz w:val="21"/>
          <w:szCs w:val="21"/>
          <w:highlight w:val="none"/>
        </w:rPr>
        <w:t>2.如供应商是事业单位，提供有效的“事业单位法人证书”；</w:t>
      </w:r>
    </w:p>
    <w:p>
      <w:pPr>
        <w:adjustRightInd w:val="0"/>
        <w:snapToGrid w:val="0"/>
        <w:spacing w:line="360" w:lineRule="auto"/>
        <w:ind w:left="396" w:hanging="396" w:hangingChars="200"/>
        <w:rPr>
          <w:rFonts w:hint="eastAsia" w:cs="Times New Roman"/>
          <w:bCs/>
          <w:color w:val="auto"/>
          <w:spacing w:val="-6"/>
          <w:sz w:val="21"/>
          <w:szCs w:val="21"/>
          <w:highlight w:val="none"/>
        </w:rPr>
      </w:pPr>
      <w:r>
        <w:rPr>
          <w:rFonts w:hint="eastAsia" w:cs="Times New Roman"/>
          <w:bCs/>
          <w:color w:val="auto"/>
          <w:spacing w:val="-6"/>
          <w:sz w:val="21"/>
          <w:szCs w:val="21"/>
          <w:highlight w:val="none"/>
        </w:rPr>
        <w:t>3.如供应商是非企业专业服务机构的，提供执业许可证等证明文件；</w:t>
      </w:r>
    </w:p>
    <w:p>
      <w:pPr>
        <w:adjustRightInd w:val="0"/>
        <w:snapToGrid w:val="0"/>
        <w:spacing w:line="360" w:lineRule="auto"/>
        <w:ind w:left="396" w:hanging="396" w:hangingChars="200"/>
        <w:rPr>
          <w:rFonts w:hint="eastAsia" w:cs="Times New Roman"/>
          <w:bCs/>
          <w:color w:val="auto"/>
          <w:spacing w:val="-6"/>
          <w:sz w:val="21"/>
          <w:szCs w:val="21"/>
          <w:highlight w:val="none"/>
        </w:rPr>
      </w:pPr>
      <w:r>
        <w:rPr>
          <w:rFonts w:hint="eastAsia" w:cs="Times New Roman"/>
          <w:bCs/>
          <w:color w:val="auto"/>
          <w:spacing w:val="-6"/>
          <w:sz w:val="21"/>
          <w:szCs w:val="21"/>
          <w:highlight w:val="none"/>
        </w:rPr>
        <w:t>4.如供应商是个体工商户，提供有效的“个体工商户营业执照”；</w:t>
      </w:r>
    </w:p>
    <w:p>
      <w:pPr>
        <w:adjustRightInd w:val="0"/>
        <w:snapToGrid w:val="0"/>
        <w:spacing w:line="360" w:lineRule="auto"/>
        <w:ind w:left="396" w:hanging="396" w:hangingChars="200"/>
        <w:rPr>
          <w:rFonts w:hint="eastAsia" w:cs="Times New Roman"/>
          <w:bCs/>
          <w:color w:val="auto"/>
          <w:spacing w:val="-6"/>
          <w:sz w:val="21"/>
          <w:szCs w:val="21"/>
          <w:highlight w:val="none"/>
        </w:rPr>
      </w:pPr>
      <w:r>
        <w:rPr>
          <w:rFonts w:hint="eastAsia" w:cs="Times New Roman"/>
          <w:bCs/>
          <w:color w:val="auto"/>
          <w:spacing w:val="-6"/>
          <w:sz w:val="21"/>
          <w:szCs w:val="21"/>
          <w:highlight w:val="none"/>
        </w:rPr>
        <w:t>5.如供应商是自然人，提供有效的自然人身份证明。</w:t>
      </w:r>
    </w:p>
    <w:p>
      <w:pPr>
        <w:adjustRightInd w:val="0"/>
        <w:snapToGrid w:val="0"/>
        <w:spacing w:line="360" w:lineRule="auto"/>
        <w:jc w:val="center"/>
        <w:outlineLvl w:val="2"/>
        <w:rPr>
          <w:rFonts w:hint="eastAsia"/>
          <w:b/>
          <w:color w:val="auto"/>
          <w:spacing w:val="-6"/>
          <w:sz w:val="21"/>
          <w:szCs w:val="21"/>
          <w:highlight w:val="none"/>
        </w:rPr>
      </w:pPr>
      <w:r>
        <w:rPr>
          <w:rFonts w:hint="eastAsia" w:cs="Times New Roman"/>
          <w:bCs/>
          <w:color w:val="auto"/>
          <w:spacing w:val="-6"/>
          <w:szCs w:val="21"/>
          <w:highlight w:val="none"/>
        </w:rPr>
        <w:br w:type="page"/>
      </w:r>
      <w:r>
        <w:rPr>
          <w:rFonts w:hint="eastAsia"/>
          <w:b/>
          <w:color w:val="auto"/>
          <w:spacing w:val="-6"/>
          <w:sz w:val="21"/>
          <w:szCs w:val="21"/>
          <w:highlight w:val="none"/>
        </w:rPr>
        <w:t>（2）符合参加政府采购活动应当具备的一般条件的承诺函</w:t>
      </w:r>
    </w:p>
    <w:p>
      <w:pPr>
        <w:adjustRightInd w:val="0"/>
        <w:snapToGrid w:val="0"/>
        <w:spacing w:line="360" w:lineRule="auto"/>
        <w:rPr>
          <w:rFonts w:hint="eastAsia" w:cs="Times New Roman"/>
          <w:b/>
          <w:bCs/>
          <w:color w:val="auto"/>
          <w:spacing w:val="-6"/>
          <w:sz w:val="21"/>
          <w:szCs w:val="21"/>
          <w:highlight w:val="none"/>
        </w:rPr>
      </w:pPr>
    </w:p>
    <w:p>
      <w:pPr>
        <w:adjustRightInd w:val="0"/>
        <w:snapToGrid w:val="0"/>
        <w:spacing w:line="360"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致：海盐县自然资源和规划局、浙江均和工程管理有限公司</w:t>
      </w:r>
    </w:p>
    <w:p>
      <w:pPr>
        <w:adjustRightInd w:val="0"/>
        <w:snapToGrid w:val="0"/>
        <w:spacing w:line="360" w:lineRule="auto"/>
        <w:rPr>
          <w:rFonts w:hint="eastAsia" w:cs="Times New Roman"/>
          <w:b/>
          <w:bCs/>
          <w:color w:val="auto"/>
          <w:spacing w:val="-6"/>
          <w:sz w:val="21"/>
          <w:szCs w:val="21"/>
          <w:highlight w:val="none"/>
        </w:rPr>
      </w:pPr>
    </w:p>
    <w:p>
      <w:pPr>
        <w:adjustRightInd w:val="0"/>
        <w:snapToGrid w:val="0"/>
        <w:spacing w:line="360"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我方</w:t>
      </w:r>
      <w:r>
        <w:rPr>
          <w:rFonts w:hint="eastAsia" w:cs="Times New Roman"/>
          <w:color w:val="auto"/>
          <w:spacing w:val="-6"/>
          <w:sz w:val="21"/>
          <w:szCs w:val="21"/>
          <w:highlight w:val="none"/>
          <w:u w:val="single"/>
        </w:rPr>
        <w:t xml:space="preserve">（供应商名称）             </w:t>
      </w:r>
      <w:r>
        <w:rPr>
          <w:rFonts w:hint="eastAsia" w:cs="Times New Roman"/>
          <w:color w:val="auto"/>
          <w:spacing w:val="-6"/>
          <w:sz w:val="21"/>
          <w:szCs w:val="21"/>
          <w:highlight w:val="none"/>
        </w:rPr>
        <w:t>参加</w:t>
      </w:r>
      <w:r>
        <w:rPr>
          <w:rFonts w:hint="eastAsia" w:cs="Times New Roman"/>
          <w:color w:val="auto"/>
          <w:spacing w:val="-6"/>
          <w:sz w:val="21"/>
          <w:szCs w:val="21"/>
          <w:highlight w:val="none"/>
          <w:u w:val="single"/>
        </w:rPr>
        <w:t xml:space="preserve">（项目名称）             </w:t>
      </w:r>
      <w:r>
        <w:rPr>
          <w:rFonts w:hint="eastAsia" w:cs="Times New Roman"/>
          <w:color w:val="auto"/>
          <w:spacing w:val="-6"/>
          <w:sz w:val="21"/>
          <w:szCs w:val="21"/>
          <w:highlight w:val="none"/>
        </w:rPr>
        <w:t>项目的采购活动并承诺如下：</w:t>
      </w:r>
    </w:p>
    <w:p>
      <w:pPr>
        <w:adjustRightInd w:val="0"/>
        <w:snapToGrid w:val="0"/>
        <w:spacing w:line="360"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一、我方满足《中华人民共和国政府采购法》第二十二条规定：</w:t>
      </w:r>
    </w:p>
    <w:p>
      <w:pPr>
        <w:adjustRightInd w:val="0"/>
        <w:snapToGrid w:val="0"/>
        <w:spacing w:line="360"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（一）具有独立承担民事责任的能力；</w:t>
      </w:r>
    </w:p>
    <w:p>
      <w:pPr>
        <w:adjustRightInd w:val="0"/>
        <w:snapToGrid w:val="0"/>
        <w:spacing w:line="360"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（二）具有良好的商业信誉和健全的财务会计制度；</w:t>
      </w:r>
    </w:p>
    <w:p>
      <w:pPr>
        <w:adjustRightInd w:val="0"/>
        <w:snapToGrid w:val="0"/>
        <w:spacing w:line="360"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（三）具有履行合同所必需的设备和专业技术能力；</w:t>
      </w:r>
    </w:p>
    <w:p>
      <w:pPr>
        <w:adjustRightInd w:val="0"/>
        <w:snapToGrid w:val="0"/>
        <w:spacing w:line="360"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（四）有依法缴纳税收和社会保障资金的良好记录；</w:t>
      </w:r>
    </w:p>
    <w:p>
      <w:pPr>
        <w:adjustRightInd w:val="0"/>
        <w:snapToGrid w:val="0"/>
        <w:spacing w:line="360"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（五）参加本项目政府采购活动前三年内，在经营活动中</w:t>
      </w:r>
      <w:r>
        <w:rPr>
          <w:rFonts w:hint="eastAsia" w:cs="Times New Roman"/>
          <w:color w:val="auto"/>
          <w:spacing w:val="-6"/>
          <w:sz w:val="21"/>
          <w:szCs w:val="21"/>
          <w:highlight w:val="none"/>
          <w:u w:val="single"/>
        </w:rPr>
        <w:t xml:space="preserve">  </w:t>
      </w:r>
      <w:r>
        <w:rPr>
          <w:rFonts w:hint="eastAsia" w:cs="Times New Roman"/>
          <w:b/>
          <w:color w:val="auto"/>
          <w:spacing w:val="-6"/>
          <w:sz w:val="21"/>
          <w:szCs w:val="21"/>
          <w:highlight w:val="none"/>
          <w:u w:val="single"/>
        </w:rPr>
        <w:t xml:space="preserve">没有   </w:t>
      </w:r>
      <w:r>
        <w:rPr>
          <w:rFonts w:hint="eastAsia" w:cs="Times New Roman"/>
          <w:color w:val="auto"/>
          <w:spacing w:val="-6"/>
          <w:sz w:val="21"/>
          <w:szCs w:val="21"/>
          <w:highlight w:val="none"/>
        </w:rPr>
        <w:t>重大违法记录。（重大违法记录是指供应商因违法经营受到刑事处罚或者责令停产停业、吊销许可证或者执照、较大数额罚款等行政处罚）</w:t>
      </w:r>
    </w:p>
    <w:p>
      <w:pPr>
        <w:adjustRightInd w:val="0"/>
        <w:snapToGrid w:val="0"/>
        <w:spacing w:line="360"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（六）法律、行政法规规定的其他条件。</w:t>
      </w:r>
    </w:p>
    <w:p>
      <w:pPr>
        <w:adjustRightInd w:val="0"/>
        <w:snapToGrid w:val="0"/>
        <w:spacing w:line="360"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二、未被信用中国（www.creditchina.gov.cn）、中国政府采购网（www.ccgp.gov.cn）列入失信被执行人、重大税收违法案件当事人名单、政府采购严重违法失信行为记录名单。</w:t>
      </w:r>
    </w:p>
    <w:p>
      <w:pPr>
        <w:adjustRightInd w:val="0"/>
        <w:snapToGrid w:val="0"/>
        <w:spacing w:line="360"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三、不存在以下情况：</w:t>
      </w:r>
    </w:p>
    <w:p>
      <w:pPr>
        <w:adjustRightInd w:val="0"/>
        <w:snapToGrid w:val="0"/>
        <w:spacing w:line="360"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1、单位负责人为同一人或者存在直接控股、管理关系的不同供应商参加同一合同项下的政府采购活动的；</w:t>
      </w:r>
    </w:p>
    <w:p>
      <w:pPr>
        <w:adjustRightInd w:val="0"/>
        <w:snapToGrid w:val="0"/>
        <w:spacing w:line="360"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2、为采购项目提供整体设计、规范编制或者项目管理、监理、检测等服务后再参加该采购项目的其他采购活动的。</w:t>
      </w:r>
    </w:p>
    <w:p>
      <w:pPr>
        <w:adjustRightInd w:val="0"/>
        <w:snapToGrid w:val="0"/>
        <w:spacing w:line="360"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四、以上事项如有虚假或隐瞒，我方愿意承担一切后果和责任。</w:t>
      </w:r>
    </w:p>
    <w:p>
      <w:pPr>
        <w:adjustRightInd w:val="0"/>
        <w:snapToGrid w:val="0"/>
        <w:spacing w:line="360" w:lineRule="auto"/>
        <w:rPr>
          <w:rFonts w:hint="eastAsia" w:cs="Times New Roman"/>
          <w:color w:val="auto"/>
          <w:sz w:val="21"/>
          <w:szCs w:val="21"/>
          <w:highlight w:val="none"/>
        </w:rPr>
      </w:pPr>
    </w:p>
    <w:p>
      <w:pPr>
        <w:adjustRightInd w:val="0"/>
        <w:snapToGrid w:val="0"/>
        <w:spacing w:line="360" w:lineRule="auto"/>
        <w:rPr>
          <w:rFonts w:hint="eastAsia" w:cs="Times New Roman"/>
          <w:b/>
          <w:bCs/>
          <w:color w:val="auto"/>
          <w:spacing w:val="-6"/>
          <w:sz w:val="21"/>
          <w:szCs w:val="21"/>
          <w:highlight w:val="none"/>
        </w:rPr>
      </w:pPr>
    </w:p>
    <w:p>
      <w:pPr>
        <w:adjustRightInd w:val="0"/>
        <w:snapToGrid w:val="0"/>
        <w:spacing w:line="360" w:lineRule="auto"/>
        <w:rPr>
          <w:rFonts w:hint="eastAsia" w:cs="Times New Roman"/>
          <w:b/>
          <w:bCs/>
          <w:color w:val="auto"/>
          <w:spacing w:val="-6"/>
          <w:sz w:val="21"/>
          <w:szCs w:val="21"/>
          <w:highlight w:val="none"/>
        </w:rPr>
      </w:pPr>
    </w:p>
    <w:p>
      <w:pPr>
        <w:spacing w:before="156" w:beforeLines="50" w:after="156" w:afterLines="50" w:line="360" w:lineRule="auto"/>
        <w:ind w:right="-21" w:rightChars="-10" w:firstLine="4410" w:firstLineChars="2100"/>
        <w:rPr>
          <w:rFonts w:ascii="Arial" w:hAnsi="Arial" w:cs="Arial"/>
          <w:color w:val="auto"/>
          <w:sz w:val="21"/>
          <w:szCs w:val="21"/>
          <w:highlight w:val="none"/>
        </w:rPr>
      </w:pPr>
      <w:r>
        <w:rPr>
          <w:rFonts w:hint="eastAsia" w:ascii="Arial" w:hAnsi="Arial" w:cs="Arial"/>
          <w:color w:val="auto"/>
          <w:sz w:val="21"/>
          <w:szCs w:val="21"/>
          <w:highlight w:val="none"/>
        </w:rPr>
        <w:t>竞争性磋商供应商</w:t>
      </w:r>
      <w:r>
        <w:rPr>
          <w:rFonts w:ascii="Arial" w:hAnsi="Arial" w:cs="Arial"/>
          <w:color w:val="auto"/>
          <w:sz w:val="21"/>
          <w:szCs w:val="21"/>
          <w:highlight w:val="none"/>
        </w:rPr>
        <w:t>全称（公章）：</w:t>
      </w:r>
    </w:p>
    <w:p>
      <w:pPr>
        <w:spacing w:before="156" w:beforeLines="50" w:after="156" w:afterLines="50" w:line="360" w:lineRule="auto"/>
        <w:ind w:right="-10" w:firstLine="3780" w:firstLineChars="1800"/>
        <w:rPr>
          <w:rFonts w:ascii="Arial" w:hAnsi="Arial" w:cs="Arial"/>
          <w:color w:val="auto"/>
          <w:sz w:val="21"/>
          <w:szCs w:val="21"/>
          <w:highlight w:val="none"/>
        </w:rPr>
      </w:pPr>
      <w:r>
        <w:rPr>
          <w:rFonts w:hint="eastAsia" w:ascii="Arial" w:hAnsi="Arial" w:cs="Arial"/>
          <w:color w:val="auto"/>
          <w:sz w:val="21"/>
          <w:szCs w:val="21"/>
          <w:highlight w:val="none"/>
        </w:rPr>
        <w:t>法定代表人（负责人）</w:t>
      </w:r>
      <w:r>
        <w:rPr>
          <w:rFonts w:ascii="Arial" w:hAnsi="Arial" w:cs="Arial"/>
          <w:color w:val="auto"/>
          <w:sz w:val="21"/>
          <w:szCs w:val="21"/>
          <w:highlight w:val="none"/>
        </w:rPr>
        <w:t>或授权代表（签字或盖章）：</w:t>
      </w:r>
    </w:p>
    <w:p>
      <w:pPr>
        <w:spacing w:line="360" w:lineRule="auto"/>
        <w:ind w:firstLine="4410" w:firstLineChars="2100"/>
        <w:rPr>
          <w:color w:val="auto"/>
          <w:sz w:val="21"/>
          <w:szCs w:val="21"/>
          <w:highlight w:val="none"/>
        </w:rPr>
      </w:pPr>
      <w:r>
        <w:rPr>
          <w:rFonts w:hint="eastAsia"/>
          <w:color w:val="auto"/>
          <w:sz w:val="21"/>
          <w:szCs w:val="21"/>
          <w:highlight w:val="none"/>
        </w:rPr>
        <w:t>日期：</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color w:val="auto"/>
          <w:sz w:val="21"/>
          <w:szCs w:val="21"/>
          <w:highlight w:val="none"/>
        </w:rPr>
        <w:t>年</w:t>
      </w:r>
      <w:r>
        <w:rPr>
          <w:rFonts w:hint="eastAsia"/>
          <w:color w:val="auto"/>
          <w:sz w:val="21"/>
          <w:szCs w:val="21"/>
          <w:highlight w:val="none"/>
          <w:u w:val="single"/>
        </w:rPr>
        <w:t xml:space="preserve">    </w:t>
      </w:r>
      <w:r>
        <w:rPr>
          <w:rFonts w:hint="eastAsia"/>
          <w:color w:val="auto"/>
          <w:sz w:val="21"/>
          <w:szCs w:val="21"/>
          <w:highlight w:val="none"/>
        </w:rPr>
        <w:t>月</w:t>
      </w:r>
      <w:r>
        <w:rPr>
          <w:rFonts w:hint="eastAsia"/>
          <w:color w:val="auto"/>
          <w:sz w:val="21"/>
          <w:szCs w:val="21"/>
          <w:highlight w:val="none"/>
          <w:u w:val="single"/>
        </w:rPr>
        <w:t xml:space="preserve">    </w:t>
      </w:r>
      <w:r>
        <w:rPr>
          <w:rFonts w:hint="eastAsia"/>
          <w:color w:val="auto"/>
          <w:sz w:val="21"/>
          <w:szCs w:val="21"/>
          <w:highlight w:val="none"/>
        </w:rPr>
        <w:t>日</w:t>
      </w:r>
    </w:p>
    <w:p>
      <w:pPr>
        <w:spacing w:line="360" w:lineRule="auto"/>
        <w:jc w:val="center"/>
        <w:outlineLvl w:val="1"/>
        <w:rPr>
          <w:b/>
          <w:color w:val="auto"/>
          <w:sz w:val="28"/>
          <w:highlight w:val="none"/>
        </w:rPr>
        <w:sectPr>
          <w:pgSz w:w="11906" w:h="16838"/>
          <w:pgMar w:top="1418" w:right="1418" w:bottom="1418" w:left="1418" w:header="680"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pStyle w:val="109"/>
        <w:snapToGrid w:val="0"/>
        <w:spacing w:line="360" w:lineRule="auto"/>
        <w:ind w:firstLine="0" w:firstLineChars="0"/>
        <w:rPr>
          <w:rFonts w:hint="eastAsia"/>
          <w:b/>
          <w:bCs/>
          <w:color w:val="auto"/>
          <w:sz w:val="21"/>
          <w:szCs w:val="21"/>
          <w:highlight w:val="none"/>
        </w:rPr>
      </w:pPr>
      <w:r>
        <w:rPr>
          <w:rFonts w:hint="eastAsia"/>
          <w:color w:val="auto"/>
          <w:sz w:val="21"/>
          <w:szCs w:val="21"/>
          <w:highlight w:val="none"/>
        </w:rPr>
        <w:t>（</w:t>
      </w:r>
      <w:r>
        <w:rPr>
          <w:rFonts w:hint="eastAsia"/>
          <w:b/>
          <w:bCs/>
          <w:color w:val="auto"/>
          <w:sz w:val="21"/>
          <w:szCs w:val="21"/>
          <w:highlight w:val="none"/>
        </w:rPr>
        <w:t>3）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keepNext w:val="0"/>
        <w:keepLines w:val="0"/>
        <w:pageBreakBefore w:val="0"/>
        <w:widowControl/>
        <w:kinsoku/>
        <w:wordWrap/>
        <w:overflowPunct/>
        <w:topLinePunct w:val="0"/>
        <w:autoSpaceDE/>
        <w:autoSpaceDN/>
        <w:bidi w:val="0"/>
        <w:adjustRightInd/>
        <w:snapToGrid/>
        <w:spacing w:line="360" w:lineRule="auto"/>
        <w:ind w:right="60"/>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（4）本项目的特定资格要求证明材料：具有乙级（含乙级）以上测绘资质，包含工程测量、界限与不动产专业。</w:t>
      </w:r>
    </w:p>
    <w:p>
      <w:pPr>
        <w:rPr>
          <w:rFonts w:hint="eastAsia"/>
          <w:color w:val="auto"/>
          <w:highlight w:val="none"/>
        </w:rPr>
      </w:pPr>
    </w:p>
    <w:p>
      <w:pPr>
        <w:rPr>
          <w:rFonts w:hint="eastAsia"/>
          <w:color w:val="auto"/>
          <w:highlight w:val="none"/>
        </w:rPr>
      </w:pPr>
    </w:p>
    <w:p>
      <w:pPr>
        <w:adjustRightInd w:val="0"/>
        <w:snapToGrid w:val="0"/>
        <w:spacing w:line="288" w:lineRule="auto"/>
        <w:jc w:val="center"/>
        <w:outlineLvl w:val="2"/>
        <w:rPr>
          <w:rFonts w:hint="eastAsia"/>
          <w:b/>
          <w:color w:val="auto"/>
          <w:spacing w:val="-6"/>
          <w:sz w:val="21"/>
          <w:szCs w:val="21"/>
          <w:highlight w:val="none"/>
        </w:rPr>
      </w:pPr>
    </w:p>
    <w:p>
      <w:pPr>
        <w:adjustRightInd w:val="0"/>
        <w:snapToGrid w:val="0"/>
        <w:spacing w:line="288" w:lineRule="auto"/>
        <w:jc w:val="center"/>
        <w:outlineLvl w:val="2"/>
        <w:rPr>
          <w:rFonts w:hint="eastAsia"/>
          <w:b/>
          <w:color w:val="auto"/>
          <w:spacing w:val="-6"/>
          <w:sz w:val="21"/>
          <w:szCs w:val="21"/>
          <w:highlight w:val="none"/>
        </w:rPr>
      </w:pPr>
    </w:p>
    <w:p>
      <w:pPr>
        <w:adjustRightInd w:val="0"/>
        <w:snapToGrid w:val="0"/>
        <w:spacing w:line="288" w:lineRule="auto"/>
        <w:jc w:val="center"/>
        <w:outlineLvl w:val="2"/>
        <w:rPr>
          <w:rFonts w:hint="eastAsia"/>
          <w:b/>
          <w:color w:val="auto"/>
          <w:spacing w:val="-6"/>
          <w:sz w:val="21"/>
          <w:szCs w:val="21"/>
          <w:highlight w:val="none"/>
        </w:rPr>
      </w:pPr>
    </w:p>
    <w:p>
      <w:pPr>
        <w:pStyle w:val="7"/>
        <w:spacing w:line="500" w:lineRule="exact"/>
        <w:ind w:firstLine="0"/>
        <w:jc w:val="center"/>
        <w:rPr>
          <w:rFonts w:hint="eastAsia" w:ascii="宋体" w:hAnsi="宋体" w:eastAsia="宋体" w:cs="宋体"/>
          <w:b/>
          <w:color w:val="auto"/>
          <w:spacing w:val="-6"/>
          <w:kern w:val="0"/>
          <w:sz w:val="21"/>
          <w:szCs w:val="21"/>
          <w:highlight w:val="none"/>
          <w:lang w:val="en-US" w:eastAsia="zh-CN" w:bidi="ar-SA"/>
        </w:rPr>
      </w:pPr>
      <w:r>
        <w:rPr>
          <w:rFonts w:hint="eastAsia" w:ascii="宋体" w:hAnsi="宋体" w:eastAsia="宋体" w:cs="宋体"/>
          <w:b/>
          <w:color w:val="auto"/>
          <w:spacing w:val="-6"/>
          <w:kern w:val="0"/>
          <w:sz w:val="21"/>
          <w:szCs w:val="21"/>
          <w:highlight w:val="none"/>
          <w:lang w:val="en-US" w:eastAsia="zh-CN" w:bidi="ar-SA"/>
        </w:rPr>
        <w:t>（5）法定代表人（负责人）资格证明书</w:t>
      </w:r>
    </w:p>
    <w:p>
      <w:pPr>
        <w:pStyle w:val="7"/>
        <w:spacing w:line="500" w:lineRule="exact"/>
        <w:ind w:firstLine="511" w:firstLineChars="156"/>
        <w:jc w:val="center"/>
        <w:rPr>
          <w:b/>
          <w:bCs/>
          <w:color w:val="auto"/>
          <w:spacing w:val="24"/>
          <w:sz w:val="28"/>
          <w:szCs w:val="28"/>
          <w:highlight w:val="none"/>
        </w:rPr>
      </w:pPr>
    </w:p>
    <w:p>
      <w:pPr>
        <w:pStyle w:val="17"/>
        <w:keepNext w:val="0"/>
        <w:keepLines w:val="0"/>
        <w:pageBreakBefore w:val="0"/>
        <w:widowControl w:val="0"/>
        <w:kinsoku/>
        <w:wordWrap w:val="0"/>
        <w:overflowPunct w:val="0"/>
        <w:topLinePunct w:val="0"/>
        <w:autoSpaceDE w:val="0"/>
        <w:autoSpaceDN w:val="0"/>
        <w:bidi w:val="0"/>
        <w:spacing w:before="0" w:beforeLines="0" w:after="0" w:afterLines="0"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投标人名称：</w:t>
      </w:r>
      <w:r>
        <w:rPr>
          <w:rFonts w:hint="eastAsia" w:ascii="宋体" w:hAnsi="宋体" w:eastAsia="宋体" w:cs="宋体"/>
          <w:color w:val="auto"/>
          <w:highlight w:val="none"/>
          <w:u w:val="single"/>
        </w:rPr>
        <w:t xml:space="preserve">                                                     </w:t>
      </w:r>
    </w:p>
    <w:p>
      <w:pPr>
        <w:pStyle w:val="17"/>
        <w:keepNext w:val="0"/>
        <w:keepLines w:val="0"/>
        <w:pageBreakBefore w:val="0"/>
        <w:widowControl w:val="0"/>
        <w:kinsoku/>
        <w:wordWrap w:val="0"/>
        <w:overflowPunct w:val="0"/>
        <w:topLinePunct w:val="0"/>
        <w:autoSpaceDE w:val="0"/>
        <w:autoSpaceDN w:val="0"/>
        <w:bidi w:val="0"/>
        <w:spacing w:before="0" w:beforeLines="0" w:after="0" w:afterLines="0"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p>
    <w:p>
      <w:pPr>
        <w:pStyle w:val="17"/>
        <w:keepNext w:val="0"/>
        <w:keepLines w:val="0"/>
        <w:pageBreakBefore w:val="0"/>
        <w:widowControl w:val="0"/>
        <w:kinsoku/>
        <w:wordWrap w:val="0"/>
        <w:overflowPunct w:val="0"/>
        <w:topLinePunct w:val="0"/>
        <w:autoSpaceDE w:val="0"/>
        <w:autoSpaceDN w:val="0"/>
        <w:bidi w:val="0"/>
        <w:spacing w:before="0" w:beforeLines="0" w:after="0" w:afterLines="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成立时间：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pStyle w:val="17"/>
        <w:keepNext w:val="0"/>
        <w:keepLines w:val="0"/>
        <w:pageBreakBefore w:val="0"/>
        <w:widowControl w:val="0"/>
        <w:kinsoku/>
        <w:wordWrap w:val="0"/>
        <w:overflowPunct w:val="0"/>
        <w:topLinePunct w:val="0"/>
        <w:autoSpaceDE w:val="0"/>
        <w:autoSpaceDN w:val="0"/>
        <w:bidi w:val="0"/>
        <w:spacing w:before="0" w:beforeLines="0" w:after="0" w:afterLines="0"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经营期限：</w:t>
      </w:r>
      <w:r>
        <w:rPr>
          <w:rFonts w:hint="eastAsia" w:ascii="宋体" w:hAnsi="宋体" w:eastAsia="宋体" w:cs="宋体"/>
          <w:color w:val="auto"/>
          <w:highlight w:val="none"/>
          <w:u w:val="single"/>
        </w:rPr>
        <w:t xml:space="preserve">                                                      </w:t>
      </w:r>
    </w:p>
    <w:p>
      <w:pPr>
        <w:pStyle w:val="17"/>
        <w:keepNext w:val="0"/>
        <w:keepLines w:val="0"/>
        <w:pageBreakBefore w:val="0"/>
        <w:widowControl w:val="0"/>
        <w:kinsoku/>
        <w:wordWrap w:val="0"/>
        <w:overflowPunct w:val="0"/>
        <w:topLinePunct w:val="0"/>
        <w:autoSpaceDE w:val="0"/>
        <w:autoSpaceDN w:val="0"/>
        <w:bidi w:val="0"/>
        <w:spacing w:before="0" w:beforeLines="0" w:after="0" w:afterLines="0"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姓名：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性别：</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年龄：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职务：</w:t>
      </w:r>
      <w:r>
        <w:rPr>
          <w:rFonts w:hint="eastAsia" w:ascii="宋体" w:hAnsi="宋体" w:eastAsia="宋体" w:cs="宋体"/>
          <w:color w:val="auto"/>
          <w:highlight w:val="none"/>
          <w:u w:val="single"/>
        </w:rPr>
        <w:t xml:space="preserve">               </w:t>
      </w:r>
    </w:p>
    <w:p>
      <w:pPr>
        <w:pStyle w:val="17"/>
        <w:keepNext w:val="0"/>
        <w:keepLines w:val="0"/>
        <w:pageBreakBefore w:val="0"/>
        <w:widowControl w:val="0"/>
        <w:kinsoku/>
        <w:wordWrap w:val="0"/>
        <w:overflowPunct w:val="0"/>
        <w:topLinePunct w:val="0"/>
        <w:autoSpaceDE w:val="0"/>
        <w:autoSpaceDN w:val="0"/>
        <w:bidi w:val="0"/>
        <w:spacing w:before="0" w:beforeLines="0" w:after="0" w:afterLines="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（投标人名称）                   </w:t>
      </w:r>
      <w:r>
        <w:rPr>
          <w:rFonts w:hint="eastAsia" w:ascii="宋体" w:hAnsi="宋体" w:eastAsia="宋体" w:cs="宋体"/>
          <w:color w:val="auto"/>
          <w:highlight w:val="none"/>
        </w:rPr>
        <w:t>的法定代表人。</w:t>
      </w:r>
    </w:p>
    <w:p>
      <w:pPr>
        <w:pStyle w:val="17"/>
        <w:keepNext w:val="0"/>
        <w:keepLines w:val="0"/>
        <w:pageBreakBefore w:val="0"/>
        <w:widowControl w:val="0"/>
        <w:kinsoku/>
        <w:wordWrap w:val="0"/>
        <w:overflowPunct w:val="0"/>
        <w:topLinePunct w:val="0"/>
        <w:autoSpaceDE w:val="0"/>
        <w:autoSpaceDN w:val="0"/>
        <w:bidi w:val="0"/>
        <w:spacing w:before="0" w:beforeLines="0" w:after="0" w:afterLines="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特此证明。</w:t>
      </w:r>
    </w:p>
    <w:p>
      <w:pPr>
        <w:pStyle w:val="17"/>
        <w:pageBreakBefore w:val="0"/>
        <w:widowControl w:val="0"/>
        <w:wordWrap w:val="0"/>
        <w:topLinePunct w:val="0"/>
        <w:bidi w:val="0"/>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法定代表人身份证复印件（正反面）： </w:t>
      </w:r>
    </w:p>
    <w:p>
      <w:pPr>
        <w:pageBreakBefore w:val="0"/>
        <w:widowControl w:val="0"/>
        <w:topLinePunct w:val="0"/>
        <w:bidi w:val="0"/>
        <w:rPr>
          <w:rFonts w:hint="eastAsia" w:ascii="宋体" w:hAnsi="宋体" w:eastAsia="宋体" w:cs="宋体"/>
          <w:color w:val="auto"/>
          <w:highlight w:val="none"/>
        </w:rPr>
      </w:pPr>
    </w:p>
    <w:tbl>
      <w:tblPr>
        <w:tblStyle w:val="31"/>
        <w:tblW w:w="0" w:type="auto"/>
        <w:tblInd w:w="5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5"/>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trPr>
        <w:tc>
          <w:tcPr>
            <w:tcW w:w="4365" w:type="dxa"/>
            <w:noWrap w:val="0"/>
            <w:vAlign w:val="top"/>
          </w:tcPr>
          <w:p>
            <w:pPr>
              <w:pStyle w:val="4"/>
              <w:pageBreakBefore w:val="0"/>
              <w:widowControl w:val="0"/>
              <w:topLinePunct w:val="0"/>
              <w:bidi w:val="0"/>
              <w:jc w:val="both"/>
              <w:rPr>
                <w:rFonts w:hint="eastAsia" w:ascii="宋体" w:hAnsi="宋体" w:eastAsia="宋体" w:cs="宋体"/>
                <w:color w:val="auto"/>
                <w:highlight w:val="none"/>
                <w:vertAlign w:val="baseline"/>
              </w:rPr>
            </w:pPr>
          </w:p>
        </w:tc>
        <w:tc>
          <w:tcPr>
            <w:tcW w:w="4305" w:type="dxa"/>
            <w:noWrap w:val="0"/>
            <w:vAlign w:val="top"/>
          </w:tcPr>
          <w:p>
            <w:pPr>
              <w:pStyle w:val="4"/>
              <w:pageBreakBefore w:val="0"/>
              <w:widowControl w:val="0"/>
              <w:topLinePunct w:val="0"/>
              <w:bidi w:val="0"/>
              <w:jc w:val="both"/>
              <w:rPr>
                <w:rFonts w:hint="eastAsia" w:ascii="宋体" w:hAnsi="宋体" w:eastAsia="宋体" w:cs="宋体"/>
                <w:color w:val="auto"/>
                <w:highlight w:val="none"/>
                <w:vertAlign w:val="baseline"/>
              </w:rPr>
            </w:pPr>
          </w:p>
        </w:tc>
      </w:tr>
    </w:tbl>
    <w:p>
      <w:pPr>
        <w:pStyle w:val="17"/>
        <w:keepNext w:val="0"/>
        <w:keepLines w:val="0"/>
        <w:pageBreakBefore w:val="0"/>
        <w:widowControl w:val="0"/>
        <w:kinsoku/>
        <w:wordWrap w:val="0"/>
        <w:overflowPunct w:val="0"/>
        <w:topLinePunct w:val="0"/>
        <w:autoSpaceDE w:val="0"/>
        <w:autoSpaceDN w:val="0"/>
        <w:bidi w:val="0"/>
        <w:spacing w:before="0" w:beforeLines="0" w:after="0" w:afterLines="0" w:line="360" w:lineRule="auto"/>
        <w:rPr>
          <w:rFonts w:hint="eastAsia" w:ascii="宋体" w:hAnsi="宋体" w:eastAsia="宋体" w:cs="宋体"/>
          <w:color w:val="auto"/>
          <w:highlight w:val="none"/>
        </w:rPr>
      </w:pPr>
    </w:p>
    <w:p>
      <w:pPr>
        <w:pStyle w:val="17"/>
        <w:keepNext w:val="0"/>
        <w:keepLines w:val="0"/>
        <w:pageBreakBefore w:val="0"/>
        <w:widowControl w:val="0"/>
        <w:kinsoku/>
        <w:wordWrap w:val="0"/>
        <w:overflowPunct w:val="0"/>
        <w:topLinePunct w:val="0"/>
        <w:autoSpaceDE w:val="0"/>
        <w:autoSpaceDN w:val="0"/>
        <w:bidi w:val="0"/>
        <w:spacing w:before="0" w:beforeLines="0" w:after="0" w:afterLines="0" w:line="360" w:lineRule="auto"/>
        <w:ind w:right="482" w:firstLine="420" w:firstLineChars="200"/>
        <w:jc w:val="both"/>
        <w:rPr>
          <w:rFonts w:hint="eastAsia" w:ascii="宋体" w:hAnsi="宋体" w:eastAsia="宋体" w:cs="宋体"/>
          <w:color w:val="auto"/>
          <w:highlight w:val="none"/>
          <w:u w:val="single"/>
        </w:rPr>
      </w:pPr>
      <w:r>
        <w:rPr>
          <w:rFonts w:hint="eastAsia" w:hAnsi="宋体" w:eastAsia="宋体" w:cs="宋体"/>
          <w:color w:val="auto"/>
          <w:highlight w:val="none"/>
          <w:lang w:eastAsia="zh-CN"/>
        </w:rPr>
        <w:t>供应商</w:t>
      </w:r>
      <w:r>
        <w:rPr>
          <w:rFonts w:hint="eastAsia" w:ascii="宋体" w:hAnsi="宋体" w:eastAsia="宋体" w:cs="宋体"/>
          <w:color w:val="auto"/>
          <w:highlight w:val="none"/>
        </w:rPr>
        <w:t>（盖章）：</w:t>
      </w:r>
      <w:r>
        <w:rPr>
          <w:rFonts w:hint="eastAsia" w:ascii="宋体" w:hAnsi="宋体" w:eastAsia="宋体" w:cs="宋体"/>
          <w:color w:val="auto"/>
          <w:highlight w:val="none"/>
          <w:u w:val="single"/>
        </w:rPr>
        <w:t xml:space="preserve">                         </w:t>
      </w:r>
    </w:p>
    <w:p>
      <w:pPr>
        <w:pStyle w:val="17"/>
        <w:keepNext w:val="0"/>
        <w:keepLines w:val="0"/>
        <w:pageBreakBefore w:val="0"/>
        <w:widowControl w:val="0"/>
        <w:kinsoku/>
        <w:wordWrap w:val="0"/>
        <w:overflowPunct w:val="0"/>
        <w:topLinePunct w:val="0"/>
        <w:autoSpaceDE w:val="0"/>
        <w:autoSpaceDN w:val="0"/>
        <w:bidi w:val="0"/>
        <w:spacing w:before="0" w:beforeLines="0" w:after="0" w:afterLines="0" w:line="360" w:lineRule="auto"/>
        <w:ind w:firstLine="420" w:firstLineChars="200"/>
        <w:jc w:val="both"/>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adjustRightInd w:val="0"/>
        <w:snapToGrid w:val="0"/>
        <w:spacing w:line="360" w:lineRule="auto"/>
        <w:jc w:val="center"/>
        <w:outlineLvl w:val="2"/>
        <w:rPr>
          <w:rFonts w:hint="eastAsia"/>
          <w:b/>
          <w:color w:val="auto"/>
          <w:spacing w:val="-6"/>
          <w:sz w:val="21"/>
          <w:szCs w:val="21"/>
          <w:highlight w:val="none"/>
        </w:rPr>
      </w:pPr>
    </w:p>
    <w:p>
      <w:pPr>
        <w:adjustRightInd w:val="0"/>
        <w:snapToGrid w:val="0"/>
        <w:spacing w:line="360" w:lineRule="auto"/>
        <w:jc w:val="center"/>
        <w:outlineLvl w:val="2"/>
        <w:rPr>
          <w:rFonts w:hint="eastAsia"/>
          <w:b/>
          <w:color w:val="auto"/>
          <w:spacing w:val="-6"/>
          <w:sz w:val="21"/>
          <w:szCs w:val="21"/>
          <w:highlight w:val="none"/>
        </w:rPr>
      </w:pPr>
    </w:p>
    <w:p>
      <w:pPr>
        <w:adjustRightInd w:val="0"/>
        <w:snapToGrid w:val="0"/>
        <w:spacing w:line="360" w:lineRule="auto"/>
        <w:jc w:val="center"/>
        <w:outlineLvl w:val="2"/>
        <w:rPr>
          <w:rFonts w:hint="eastAsia"/>
          <w:b/>
          <w:color w:val="auto"/>
          <w:spacing w:val="-6"/>
          <w:sz w:val="21"/>
          <w:szCs w:val="21"/>
          <w:highlight w:val="none"/>
        </w:rPr>
      </w:pPr>
      <w:r>
        <w:rPr>
          <w:rFonts w:hint="eastAsia"/>
          <w:b/>
          <w:color w:val="auto"/>
          <w:spacing w:val="-6"/>
          <w:sz w:val="21"/>
          <w:szCs w:val="21"/>
          <w:highlight w:val="none"/>
        </w:rPr>
        <w:t>（</w:t>
      </w:r>
      <w:r>
        <w:rPr>
          <w:rFonts w:hint="eastAsia"/>
          <w:b/>
          <w:color w:val="auto"/>
          <w:spacing w:val="-6"/>
          <w:sz w:val="21"/>
          <w:szCs w:val="21"/>
          <w:highlight w:val="none"/>
          <w:lang w:val="en-US" w:eastAsia="zh-CN"/>
        </w:rPr>
        <w:t>6</w:t>
      </w:r>
      <w:r>
        <w:rPr>
          <w:rFonts w:hint="eastAsia"/>
          <w:b/>
          <w:color w:val="auto"/>
          <w:spacing w:val="-6"/>
          <w:sz w:val="21"/>
          <w:szCs w:val="21"/>
          <w:highlight w:val="none"/>
        </w:rPr>
        <w:t>）法定代表人（负责人）授权委托书</w:t>
      </w:r>
    </w:p>
    <w:p>
      <w:pPr>
        <w:adjustRightInd w:val="0"/>
        <w:snapToGrid w:val="0"/>
        <w:spacing w:line="360" w:lineRule="auto"/>
        <w:rPr>
          <w:rFonts w:hint="eastAsia" w:cs="Times New Roman"/>
          <w:b/>
          <w:bCs/>
          <w:color w:val="auto"/>
          <w:spacing w:val="-6"/>
          <w:sz w:val="21"/>
          <w:szCs w:val="21"/>
          <w:highlight w:val="none"/>
        </w:rPr>
      </w:pPr>
      <w:r>
        <w:rPr>
          <w:rFonts w:hint="eastAsia" w:cs="Times New Roman"/>
          <w:bCs/>
          <w:color w:val="auto"/>
          <w:spacing w:val="-6"/>
          <w:sz w:val="21"/>
          <w:szCs w:val="21"/>
          <w:highlight w:val="none"/>
        </w:rPr>
        <w:t>致：</w:t>
      </w:r>
      <w:r>
        <w:rPr>
          <w:rFonts w:hint="eastAsia" w:cs="Times New Roman"/>
          <w:b/>
          <w:bCs/>
          <w:color w:val="auto"/>
          <w:spacing w:val="-6"/>
          <w:sz w:val="21"/>
          <w:szCs w:val="21"/>
          <w:highlight w:val="none"/>
        </w:rPr>
        <w:t>海盐县自然资源和规划局、浙江均和工程管理有限公司</w:t>
      </w:r>
    </w:p>
    <w:p>
      <w:pPr>
        <w:adjustRightInd w:val="0"/>
        <w:snapToGrid w:val="0"/>
        <w:spacing w:line="360" w:lineRule="auto"/>
        <w:ind w:firstLine="396" w:firstLineChars="200"/>
        <w:rPr>
          <w:rFonts w:hint="eastAsia" w:cs="Times New Roman"/>
          <w:bCs/>
          <w:color w:val="auto"/>
          <w:spacing w:val="-6"/>
          <w:sz w:val="21"/>
          <w:szCs w:val="21"/>
          <w:highlight w:val="none"/>
        </w:rPr>
      </w:pPr>
      <w:r>
        <w:rPr>
          <w:rFonts w:hint="eastAsia" w:cs="Times New Roman"/>
          <w:bCs/>
          <w:color w:val="auto"/>
          <w:spacing w:val="-6"/>
          <w:sz w:val="21"/>
          <w:szCs w:val="21"/>
          <w:highlight w:val="none"/>
        </w:rPr>
        <w:t>我</w:t>
      </w:r>
      <w:r>
        <w:rPr>
          <w:rFonts w:hint="eastAsia" w:cs="Times New Roman"/>
          <w:color w:val="auto"/>
          <w:spacing w:val="-6"/>
          <w:sz w:val="21"/>
          <w:szCs w:val="21"/>
          <w:highlight w:val="none"/>
        </w:rPr>
        <w:t>________________（</w:t>
      </w:r>
      <w:r>
        <w:rPr>
          <w:rFonts w:hint="eastAsia" w:cs="Times New Roman"/>
          <w:bCs/>
          <w:color w:val="auto"/>
          <w:spacing w:val="-6"/>
          <w:sz w:val="21"/>
          <w:szCs w:val="21"/>
          <w:highlight w:val="none"/>
        </w:rPr>
        <w:t>姓名）系_________________________（供应商名称）的法定代表人（负责人），身份证号码：_________________________________。</w:t>
      </w:r>
    </w:p>
    <w:p>
      <w:pPr>
        <w:adjustRightInd w:val="0"/>
        <w:snapToGrid w:val="0"/>
        <w:spacing w:line="360"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现授权委托本单位在职职工：_________（姓名），身份证号码：_______________，以我方的名义参加</w:t>
      </w:r>
      <w:r>
        <w:rPr>
          <w:rFonts w:hint="eastAsia"/>
          <w:snapToGrid w:val="0"/>
          <w:color w:val="auto"/>
          <w:sz w:val="21"/>
          <w:szCs w:val="21"/>
          <w:highlight w:val="none"/>
          <w:u w:val="single"/>
          <w:lang w:eastAsia="zh-CN"/>
        </w:rPr>
        <w:t>海盐县不动产权籍调查及制图测绘项目</w:t>
      </w:r>
      <w:r>
        <w:rPr>
          <w:rFonts w:hint="eastAsia" w:cs="Times New Roman"/>
          <w:color w:val="auto"/>
          <w:spacing w:val="-6"/>
          <w:sz w:val="21"/>
          <w:szCs w:val="21"/>
          <w:highlight w:val="none"/>
        </w:rPr>
        <w:t>的投标活动，并代表我方全权办理针对上述项目的投标、开标、评标、签约等具体事务和签署相关文件。</w:t>
      </w:r>
    </w:p>
    <w:p>
      <w:pPr>
        <w:adjustRightInd w:val="0"/>
        <w:snapToGrid w:val="0"/>
        <w:spacing w:line="360"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我方对被授权人的签名负全部责任。</w:t>
      </w:r>
    </w:p>
    <w:p>
      <w:pPr>
        <w:adjustRightInd w:val="0"/>
        <w:snapToGrid w:val="0"/>
        <w:spacing w:line="360"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在撤销授权的书面通知以前，本授权书一直有效。被授权人在授权书有效期内签署的所有文件不因授权的撤销而失效。</w:t>
      </w:r>
    </w:p>
    <w:p>
      <w:pPr>
        <w:adjustRightInd w:val="0"/>
        <w:snapToGrid w:val="0"/>
        <w:spacing w:line="360"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被授权人无转委托权，特此委托。</w:t>
      </w:r>
    </w:p>
    <w:p>
      <w:pPr>
        <w:adjustRightInd w:val="0"/>
        <w:snapToGrid w:val="0"/>
        <w:spacing w:line="288" w:lineRule="auto"/>
        <w:ind w:firstLine="69" w:firstLineChars="35"/>
        <w:rPr>
          <w:rFonts w:hint="eastAsia" w:cs="Times New Roman"/>
          <w:b/>
          <w:bCs/>
          <w:color w:val="auto"/>
          <w:spacing w:val="-6"/>
          <w:szCs w:val="21"/>
          <w:highlight w:val="none"/>
        </w:rPr>
      </w:pPr>
    </w:p>
    <w:p>
      <w:pPr>
        <w:adjustRightInd w:val="0"/>
        <w:snapToGrid w:val="0"/>
        <w:spacing w:line="288" w:lineRule="auto"/>
        <w:ind w:firstLine="69" w:firstLineChars="35"/>
        <w:rPr>
          <w:rFonts w:hint="eastAsia" w:cs="Times New Roman"/>
          <w:b/>
          <w:bCs/>
          <w:color w:val="auto"/>
          <w:spacing w:val="-6"/>
          <w:szCs w:val="21"/>
          <w:highlight w:val="none"/>
        </w:rPr>
      </w:pPr>
    </w:p>
    <w:p>
      <w:pPr>
        <w:adjustRightInd w:val="0"/>
        <w:snapToGrid w:val="0"/>
        <w:spacing w:line="288" w:lineRule="auto"/>
        <w:ind w:firstLine="69" w:firstLineChars="35"/>
        <w:rPr>
          <w:rFonts w:hint="eastAsia" w:cs="Times New Roman"/>
          <w:b/>
          <w:bCs/>
          <w:color w:val="auto"/>
          <w:spacing w:val="-6"/>
          <w:sz w:val="21"/>
          <w:szCs w:val="21"/>
          <w:highlight w:val="none"/>
        </w:rPr>
      </w:pPr>
    </w:p>
    <w:p>
      <w:pPr>
        <w:adjustRightInd w:val="0"/>
        <w:snapToGrid w:val="0"/>
        <w:spacing w:line="288" w:lineRule="auto"/>
        <w:ind w:firstLine="69" w:firstLineChars="35"/>
        <w:rPr>
          <w:rFonts w:hint="eastAsia" w:cs="Times New Roman"/>
          <w:b/>
          <w:bCs/>
          <w:color w:val="auto"/>
          <w:spacing w:val="-6"/>
          <w:sz w:val="21"/>
          <w:szCs w:val="21"/>
          <w:highlight w:val="none"/>
          <w:u w:val="single"/>
        </w:rPr>
      </w:pPr>
      <w:r>
        <w:rPr>
          <w:rFonts w:hint="eastAsia" w:cs="Times New Roman"/>
          <w:b/>
          <w:bCs/>
          <w:color w:val="auto"/>
          <w:spacing w:val="-6"/>
          <w:sz w:val="21"/>
          <w:szCs w:val="21"/>
          <w:highlight w:val="none"/>
        </w:rPr>
        <w:t>法定代表人（负责人）（签名或盖章）：</w:t>
      </w:r>
    </w:p>
    <w:p>
      <w:pPr>
        <w:adjustRightInd w:val="0"/>
        <w:snapToGrid w:val="0"/>
        <w:spacing w:line="288" w:lineRule="auto"/>
        <w:rPr>
          <w:rFonts w:hint="eastAsia" w:cs="Times New Roman"/>
          <w:color w:val="auto"/>
          <w:spacing w:val="-6"/>
          <w:sz w:val="21"/>
          <w:szCs w:val="21"/>
          <w:highlight w:val="none"/>
        </w:rPr>
      </w:pPr>
    </w:p>
    <w:p>
      <w:pPr>
        <w:adjustRightInd w:val="0"/>
        <w:snapToGrid w:val="0"/>
        <w:spacing w:line="288"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供应商名称（公章）：</w:t>
      </w:r>
    </w:p>
    <w:p>
      <w:pPr>
        <w:adjustRightInd w:val="0"/>
        <w:snapToGrid w:val="0"/>
        <w:spacing w:line="288"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tbl>
      <w:tblPr>
        <w:tblStyle w:val="30"/>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3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rPr>
                <w:rFonts w:hint="eastAsia" w:cs="Times New Roman"/>
                <w:color w:val="auto"/>
                <w:kern w:val="2"/>
                <w:sz w:val="21"/>
                <w:szCs w:val="21"/>
                <w:highlight w:val="none"/>
              </w:rPr>
            </w:pPr>
            <w:r>
              <w:rPr>
                <w:rFonts w:hint="eastAsia" w:cs="Times New Roman"/>
                <w:color w:val="auto"/>
                <w:sz w:val="21"/>
                <w:szCs w:val="21"/>
                <w:highlight w:val="none"/>
              </w:rPr>
              <w:t>法定代表人（负责人）身份证明：</w:t>
            </w:r>
          </w:p>
          <w:p>
            <w:pPr>
              <w:adjustRightInd w:val="0"/>
              <w:snapToGrid w:val="0"/>
              <w:spacing w:line="288" w:lineRule="auto"/>
              <w:rPr>
                <w:rFonts w:hint="eastAsia" w:cs="Times New Roman"/>
                <w:color w:val="auto"/>
                <w:sz w:val="21"/>
                <w:szCs w:val="21"/>
                <w:highlight w:val="none"/>
              </w:rPr>
            </w:pPr>
          </w:p>
          <w:p>
            <w:pPr>
              <w:adjustRightInd w:val="0"/>
              <w:snapToGrid w:val="0"/>
              <w:spacing w:line="288" w:lineRule="auto"/>
              <w:rPr>
                <w:rFonts w:hint="eastAsia" w:cs="Times New Roman"/>
                <w:color w:val="auto"/>
                <w:sz w:val="21"/>
                <w:szCs w:val="21"/>
                <w:highlight w:val="none"/>
              </w:rPr>
            </w:pPr>
          </w:p>
          <w:p>
            <w:pPr>
              <w:adjustRightInd w:val="0"/>
              <w:snapToGrid w:val="0"/>
              <w:spacing w:line="288" w:lineRule="auto"/>
              <w:rPr>
                <w:rFonts w:hint="eastAsia" w:cs="Times New Roman"/>
                <w:color w:val="auto"/>
                <w:sz w:val="21"/>
                <w:szCs w:val="21"/>
                <w:highlight w:val="none"/>
              </w:rPr>
            </w:pPr>
          </w:p>
          <w:p>
            <w:pPr>
              <w:adjustRightInd w:val="0"/>
              <w:snapToGrid w:val="0"/>
              <w:spacing w:line="288" w:lineRule="auto"/>
              <w:rPr>
                <w:rFonts w:hint="eastAsia" w:cs="Times New Roman"/>
                <w:color w:val="auto"/>
                <w:sz w:val="21"/>
                <w:szCs w:val="21"/>
                <w:highlight w:val="none"/>
              </w:rPr>
            </w:pPr>
          </w:p>
          <w:p>
            <w:pPr>
              <w:adjustRightInd w:val="0"/>
              <w:snapToGrid w:val="0"/>
              <w:spacing w:line="288" w:lineRule="auto"/>
              <w:rPr>
                <w:rFonts w:hint="eastAsia" w:cs="Times New Roman"/>
                <w:color w:val="auto"/>
                <w:sz w:val="21"/>
                <w:szCs w:val="21"/>
                <w:highlight w:val="none"/>
              </w:rPr>
            </w:pPr>
          </w:p>
          <w:p>
            <w:pPr>
              <w:adjustRightInd w:val="0"/>
              <w:snapToGrid w:val="0"/>
              <w:spacing w:line="288" w:lineRule="auto"/>
              <w:rPr>
                <w:rFonts w:hint="eastAsia" w:cs="Times New Roman"/>
                <w:color w:val="auto"/>
                <w:sz w:val="21"/>
                <w:szCs w:val="21"/>
                <w:highlight w:val="none"/>
              </w:rPr>
            </w:pPr>
          </w:p>
          <w:p>
            <w:pPr>
              <w:adjustRightInd w:val="0"/>
              <w:snapToGrid w:val="0"/>
              <w:spacing w:line="288" w:lineRule="auto"/>
              <w:rPr>
                <w:rFonts w:hint="eastAsia" w:cs="Times New Roman"/>
                <w:color w:val="auto"/>
                <w:sz w:val="21"/>
                <w:szCs w:val="21"/>
                <w:highlight w:val="none"/>
              </w:rPr>
            </w:pPr>
            <w:r>
              <w:rPr>
                <w:rFonts w:hint="eastAsia" w:cs="Times New Roman"/>
                <w:color w:val="auto"/>
                <w:sz w:val="21"/>
                <w:szCs w:val="21"/>
                <w:highlight w:val="none"/>
              </w:rPr>
              <w:t>授权代表身份证明：</w:t>
            </w:r>
          </w:p>
          <w:p>
            <w:pPr>
              <w:adjustRightInd w:val="0"/>
              <w:snapToGrid w:val="0"/>
              <w:spacing w:line="288" w:lineRule="auto"/>
              <w:rPr>
                <w:rFonts w:hint="eastAsia" w:cs="Times New Roman"/>
                <w:color w:val="auto"/>
                <w:sz w:val="21"/>
                <w:szCs w:val="21"/>
                <w:highlight w:val="none"/>
              </w:rPr>
            </w:pPr>
          </w:p>
          <w:p>
            <w:pPr>
              <w:adjustRightInd w:val="0"/>
              <w:snapToGrid w:val="0"/>
              <w:spacing w:line="288" w:lineRule="auto"/>
              <w:rPr>
                <w:rFonts w:hint="eastAsia" w:cs="Times New Roman"/>
                <w:color w:val="auto"/>
                <w:sz w:val="21"/>
                <w:szCs w:val="21"/>
                <w:highlight w:val="none"/>
              </w:rPr>
            </w:pPr>
          </w:p>
          <w:p>
            <w:pPr>
              <w:adjustRightInd w:val="0"/>
              <w:snapToGrid w:val="0"/>
              <w:spacing w:line="288" w:lineRule="auto"/>
              <w:rPr>
                <w:rFonts w:hint="eastAsia" w:cs="Times New Roman"/>
                <w:color w:val="auto"/>
                <w:sz w:val="21"/>
                <w:szCs w:val="21"/>
                <w:highlight w:val="none"/>
              </w:rPr>
            </w:pPr>
          </w:p>
          <w:p>
            <w:pPr>
              <w:adjustRightInd w:val="0"/>
              <w:snapToGrid w:val="0"/>
              <w:spacing w:line="288" w:lineRule="auto"/>
              <w:rPr>
                <w:rFonts w:hint="eastAsia" w:cs="Times New Roman"/>
                <w:color w:val="auto"/>
                <w:sz w:val="21"/>
                <w:szCs w:val="21"/>
                <w:highlight w:val="none"/>
              </w:rPr>
            </w:pPr>
          </w:p>
          <w:p>
            <w:pPr>
              <w:adjustRightInd w:val="0"/>
              <w:snapToGrid w:val="0"/>
              <w:spacing w:line="288" w:lineRule="auto"/>
              <w:rPr>
                <w:rFonts w:hint="eastAsia" w:cs="Times New Roman"/>
                <w:color w:val="auto"/>
                <w:sz w:val="21"/>
                <w:szCs w:val="21"/>
                <w:highlight w:val="none"/>
              </w:rPr>
            </w:pPr>
          </w:p>
          <w:p>
            <w:pPr>
              <w:widowControl w:val="0"/>
              <w:adjustRightInd w:val="0"/>
              <w:snapToGrid w:val="0"/>
              <w:spacing w:line="288" w:lineRule="auto"/>
              <w:rPr>
                <w:rFonts w:cs="Times New Roman"/>
                <w:bCs/>
                <w:color w:val="auto"/>
                <w:spacing w:val="-6"/>
                <w:kern w:val="2"/>
                <w:sz w:val="21"/>
                <w:szCs w:val="21"/>
                <w:highlight w:val="none"/>
              </w:rPr>
            </w:pPr>
          </w:p>
        </w:tc>
      </w:tr>
    </w:tbl>
    <w:p>
      <w:pPr>
        <w:adjustRightInd w:val="0"/>
        <w:snapToGrid w:val="0"/>
        <w:spacing w:line="288" w:lineRule="auto"/>
        <w:rPr>
          <w:rFonts w:hint="eastAsia" w:cs="Times New Roman"/>
          <w:b/>
          <w:color w:val="auto"/>
          <w:spacing w:val="-6"/>
          <w:szCs w:val="21"/>
          <w:highlight w:val="none"/>
        </w:rPr>
      </w:pPr>
      <w:r>
        <w:rPr>
          <w:rFonts w:hint="eastAsia" w:cs="Times New Roman"/>
          <w:b/>
          <w:color w:val="auto"/>
          <w:spacing w:val="-6"/>
          <w:szCs w:val="21"/>
          <w:highlight w:val="none"/>
        </w:rPr>
        <w:br w:type="page"/>
      </w:r>
    </w:p>
    <w:p>
      <w:pPr>
        <w:overflowPunct w:val="0"/>
        <w:adjustRightInd w:val="0"/>
        <w:snapToGrid w:val="0"/>
        <w:spacing w:line="288" w:lineRule="auto"/>
        <w:jc w:val="center"/>
        <w:outlineLvl w:val="1"/>
        <w:rPr>
          <w:rFonts w:hint="eastAsia" w:cs="Times New Roman"/>
          <w:bCs/>
          <w:color w:val="auto"/>
          <w:spacing w:val="-6"/>
          <w:sz w:val="84"/>
          <w:szCs w:val="84"/>
          <w:highlight w:val="none"/>
        </w:rPr>
      </w:pPr>
      <w:r>
        <w:rPr>
          <w:rFonts w:hint="eastAsia" w:cs="Times New Roman"/>
          <w:b/>
          <w:color w:val="auto"/>
          <w:spacing w:val="-6"/>
          <w:sz w:val="84"/>
          <w:szCs w:val="84"/>
          <w:highlight w:val="none"/>
        </w:rPr>
        <w:t>商务技术文件</w:t>
      </w:r>
    </w:p>
    <w:p>
      <w:pPr>
        <w:adjustRightInd w:val="0"/>
        <w:snapToGrid w:val="0"/>
        <w:spacing w:line="288" w:lineRule="auto"/>
        <w:jc w:val="center"/>
        <w:rPr>
          <w:rFonts w:hint="eastAsia"/>
          <w:b/>
          <w:color w:val="auto"/>
          <w:spacing w:val="-6"/>
          <w:sz w:val="21"/>
          <w:szCs w:val="21"/>
          <w:highlight w:val="none"/>
        </w:rPr>
      </w:pPr>
      <w:r>
        <w:rPr>
          <w:rFonts w:hint="eastAsia"/>
          <w:b/>
          <w:color w:val="auto"/>
          <w:spacing w:val="-6"/>
          <w:szCs w:val="21"/>
          <w:highlight w:val="none"/>
        </w:rPr>
        <w:br w:type="page"/>
      </w:r>
      <w:r>
        <w:rPr>
          <w:rFonts w:hint="eastAsia"/>
          <w:b/>
          <w:color w:val="auto"/>
          <w:spacing w:val="-6"/>
          <w:sz w:val="21"/>
          <w:szCs w:val="21"/>
          <w:highlight w:val="none"/>
        </w:rPr>
        <w:t>（1）投标函</w:t>
      </w:r>
    </w:p>
    <w:p>
      <w:pPr>
        <w:adjustRightInd w:val="0"/>
        <w:snapToGrid w:val="0"/>
        <w:spacing w:line="312" w:lineRule="auto"/>
        <w:rPr>
          <w:rFonts w:hint="eastAsia"/>
          <w:color w:val="auto"/>
          <w:spacing w:val="-6"/>
          <w:sz w:val="21"/>
          <w:szCs w:val="21"/>
          <w:highlight w:val="none"/>
        </w:rPr>
      </w:pPr>
    </w:p>
    <w:p>
      <w:pPr>
        <w:spacing w:line="312" w:lineRule="auto"/>
        <w:rPr>
          <w:rFonts w:hint="eastAsia"/>
          <w:b/>
          <w:bCs/>
          <w:color w:val="auto"/>
          <w:sz w:val="21"/>
          <w:szCs w:val="21"/>
          <w:highlight w:val="none"/>
          <w:u w:val="single"/>
        </w:rPr>
      </w:pPr>
      <w:r>
        <w:rPr>
          <w:rFonts w:hint="eastAsia"/>
          <w:b/>
          <w:bCs/>
          <w:color w:val="auto"/>
          <w:sz w:val="21"/>
          <w:szCs w:val="21"/>
          <w:highlight w:val="none"/>
          <w:u w:val="single"/>
        </w:rPr>
        <w:t>海盐县自然资源和规划局：</w:t>
      </w:r>
    </w:p>
    <w:p>
      <w:pPr>
        <w:spacing w:line="312" w:lineRule="auto"/>
        <w:ind w:firstLine="411" w:firstLineChars="196"/>
        <w:jc w:val="both"/>
        <w:rPr>
          <w:rFonts w:hint="eastAsia"/>
          <w:color w:val="auto"/>
          <w:sz w:val="21"/>
          <w:szCs w:val="21"/>
          <w:highlight w:val="none"/>
        </w:rPr>
      </w:pPr>
      <w:r>
        <w:rPr>
          <w:rFonts w:hint="eastAsia"/>
          <w:color w:val="auto"/>
          <w:sz w:val="21"/>
          <w:szCs w:val="21"/>
          <w:highlight w:val="none"/>
          <w:u w:val="single"/>
        </w:rPr>
        <w:t xml:space="preserve">（竞争性磋商供应商全称）  </w:t>
      </w:r>
      <w:r>
        <w:rPr>
          <w:rFonts w:hint="eastAsia"/>
          <w:color w:val="auto"/>
          <w:sz w:val="21"/>
          <w:szCs w:val="21"/>
          <w:highlight w:val="none"/>
        </w:rPr>
        <w:t xml:space="preserve"> 授权 </w:t>
      </w:r>
      <w:r>
        <w:rPr>
          <w:rFonts w:hint="eastAsia"/>
          <w:color w:val="auto"/>
          <w:sz w:val="21"/>
          <w:szCs w:val="21"/>
          <w:highlight w:val="none"/>
          <w:u w:val="single"/>
        </w:rPr>
        <w:t xml:space="preserve">   （授权代表名称、职务、职称）    </w:t>
      </w:r>
      <w:r>
        <w:rPr>
          <w:rFonts w:hint="eastAsia"/>
          <w:color w:val="auto"/>
          <w:sz w:val="21"/>
          <w:szCs w:val="21"/>
          <w:highlight w:val="none"/>
        </w:rPr>
        <w:t xml:space="preserve"> 为本公司授权代表，参加贵方组织的</w:t>
      </w:r>
      <w:r>
        <w:rPr>
          <w:rFonts w:hint="eastAsia"/>
          <w:b/>
          <w:color w:val="auto"/>
          <w:sz w:val="21"/>
          <w:szCs w:val="21"/>
          <w:highlight w:val="none"/>
          <w:u w:val="single"/>
          <w:lang w:eastAsia="zh-CN"/>
        </w:rPr>
        <w:t>海盐县不动产权籍调查及制图测绘项目</w:t>
      </w:r>
      <w:r>
        <w:rPr>
          <w:rFonts w:hint="eastAsia"/>
          <w:color w:val="auto"/>
          <w:sz w:val="21"/>
          <w:szCs w:val="21"/>
          <w:highlight w:val="none"/>
          <w:u w:val="single"/>
        </w:rPr>
        <w:t>（</w:t>
      </w:r>
      <w:r>
        <w:rPr>
          <w:rFonts w:hint="eastAsia"/>
          <w:color w:val="auto"/>
          <w:sz w:val="21"/>
          <w:szCs w:val="21"/>
          <w:highlight w:val="none"/>
          <w:u w:val="single"/>
          <w:lang w:eastAsia="zh-CN"/>
        </w:rPr>
        <w:t>浙均和（2025）D099号</w:t>
      </w:r>
      <w:r>
        <w:rPr>
          <w:rFonts w:hint="eastAsia"/>
          <w:color w:val="auto"/>
          <w:sz w:val="21"/>
          <w:szCs w:val="21"/>
          <w:highlight w:val="none"/>
          <w:u w:val="single"/>
        </w:rPr>
        <w:t>）</w:t>
      </w:r>
      <w:r>
        <w:rPr>
          <w:rFonts w:hint="eastAsia"/>
          <w:color w:val="auto"/>
          <w:sz w:val="21"/>
          <w:szCs w:val="21"/>
          <w:highlight w:val="none"/>
        </w:rPr>
        <w:t>竞争性磋商采购的有关活动，进行竞争性磋商。为此：</w:t>
      </w:r>
    </w:p>
    <w:p>
      <w:pPr>
        <w:pStyle w:val="76"/>
        <w:spacing w:line="312" w:lineRule="auto"/>
        <w:ind w:firstLine="577" w:firstLineChars="275"/>
        <w:rPr>
          <w:rFonts w:hint="eastAsia"/>
          <w:color w:val="auto"/>
          <w:sz w:val="21"/>
          <w:szCs w:val="21"/>
          <w:highlight w:val="none"/>
        </w:rPr>
      </w:pPr>
      <w:r>
        <w:rPr>
          <w:rFonts w:hint="eastAsia"/>
          <w:color w:val="auto"/>
          <w:sz w:val="21"/>
          <w:szCs w:val="21"/>
          <w:highlight w:val="none"/>
        </w:rPr>
        <w:t>1、提供竞争性磋商须知规定的全部竞争性磋商响应文件。</w:t>
      </w:r>
    </w:p>
    <w:p>
      <w:pPr>
        <w:pStyle w:val="76"/>
        <w:spacing w:line="312" w:lineRule="auto"/>
        <w:ind w:firstLine="525" w:firstLineChars="250"/>
        <w:rPr>
          <w:rFonts w:hint="eastAsia"/>
          <w:color w:val="auto"/>
          <w:sz w:val="21"/>
          <w:szCs w:val="21"/>
          <w:highlight w:val="none"/>
        </w:rPr>
      </w:pPr>
      <w:r>
        <w:rPr>
          <w:rFonts w:hint="eastAsia"/>
          <w:color w:val="auto"/>
          <w:sz w:val="21"/>
          <w:szCs w:val="21"/>
          <w:highlight w:val="none"/>
        </w:rPr>
        <w:t>2、据此函，签字人兹宣布同意如下：</w:t>
      </w:r>
    </w:p>
    <w:p>
      <w:pPr>
        <w:pStyle w:val="76"/>
        <w:numPr>
          <w:ilvl w:val="2"/>
          <w:numId w:val="9"/>
        </w:numPr>
        <w:spacing w:line="312" w:lineRule="auto"/>
        <w:ind w:left="1276" w:firstLineChars="0"/>
        <w:rPr>
          <w:rFonts w:hint="eastAsia"/>
          <w:color w:val="auto"/>
          <w:sz w:val="21"/>
          <w:szCs w:val="21"/>
          <w:highlight w:val="none"/>
        </w:rPr>
      </w:pPr>
      <w:r>
        <w:rPr>
          <w:rFonts w:hint="eastAsia"/>
          <w:color w:val="auto"/>
          <w:sz w:val="21"/>
          <w:szCs w:val="21"/>
          <w:highlight w:val="none"/>
        </w:rPr>
        <w:t xml:space="preserve">该项目的竞争性磋商报价以最后轮报价为准（报价一览表附后）； </w:t>
      </w:r>
    </w:p>
    <w:p>
      <w:pPr>
        <w:pStyle w:val="76"/>
        <w:numPr>
          <w:ilvl w:val="2"/>
          <w:numId w:val="9"/>
        </w:numPr>
        <w:spacing w:line="312" w:lineRule="auto"/>
        <w:ind w:left="1276" w:firstLineChars="0"/>
        <w:rPr>
          <w:rFonts w:hint="eastAsia"/>
          <w:color w:val="auto"/>
          <w:sz w:val="21"/>
          <w:szCs w:val="21"/>
          <w:highlight w:val="none"/>
        </w:rPr>
      </w:pPr>
      <w:r>
        <w:rPr>
          <w:rFonts w:hint="eastAsia"/>
          <w:color w:val="auto"/>
          <w:sz w:val="21"/>
          <w:szCs w:val="21"/>
          <w:highlight w:val="none"/>
        </w:rPr>
        <w:t>我方向贵方提交的所有竞争性磋商响应文件、资料都是准确的和真实的；</w:t>
      </w:r>
    </w:p>
    <w:p>
      <w:pPr>
        <w:pStyle w:val="76"/>
        <w:numPr>
          <w:ilvl w:val="2"/>
          <w:numId w:val="9"/>
        </w:numPr>
        <w:spacing w:line="312" w:lineRule="auto"/>
        <w:ind w:left="1276" w:firstLineChars="0"/>
        <w:rPr>
          <w:rFonts w:hint="eastAsia"/>
          <w:color w:val="auto"/>
          <w:sz w:val="21"/>
          <w:szCs w:val="21"/>
          <w:highlight w:val="none"/>
        </w:rPr>
      </w:pPr>
      <w:r>
        <w:rPr>
          <w:rFonts w:hint="eastAsia"/>
          <w:color w:val="auto"/>
          <w:sz w:val="21"/>
          <w:szCs w:val="21"/>
          <w:highlight w:val="none"/>
        </w:rPr>
        <w:t>保证遵守竞争性磋商文件中的有关规定。</w:t>
      </w:r>
    </w:p>
    <w:p>
      <w:pPr>
        <w:pStyle w:val="76"/>
        <w:numPr>
          <w:ilvl w:val="2"/>
          <w:numId w:val="9"/>
        </w:numPr>
        <w:spacing w:line="312" w:lineRule="auto"/>
        <w:ind w:left="1276" w:firstLineChars="0"/>
        <w:rPr>
          <w:rFonts w:hint="eastAsia"/>
          <w:color w:val="auto"/>
          <w:sz w:val="21"/>
          <w:szCs w:val="21"/>
          <w:highlight w:val="none"/>
        </w:rPr>
      </w:pPr>
      <w:r>
        <w:rPr>
          <w:rFonts w:hint="eastAsia"/>
          <w:color w:val="auto"/>
          <w:sz w:val="21"/>
          <w:szCs w:val="21"/>
          <w:highlight w:val="none"/>
        </w:rPr>
        <w:t>保证严格执行双方所签的供货合同，并承担全部规定的责任义务。</w:t>
      </w:r>
    </w:p>
    <w:p>
      <w:pPr>
        <w:pStyle w:val="76"/>
        <w:numPr>
          <w:ilvl w:val="2"/>
          <w:numId w:val="9"/>
        </w:numPr>
        <w:spacing w:line="312" w:lineRule="auto"/>
        <w:ind w:left="1276" w:firstLineChars="0"/>
        <w:rPr>
          <w:rFonts w:hint="eastAsia"/>
          <w:color w:val="auto"/>
          <w:sz w:val="21"/>
          <w:szCs w:val="21"/>
          <w:highlight w:val="none"/>
        </w:rPr>
      </w:pPr>
      <w:r>
        <w:rPr>
          <w:rFonts w:hint="eastAsia"/>
          <w:color w:val="auto"/>
          <w:sz w:val="21"/>
          <w:szCs w:val="21"/>
          <w:highlight w:val="none"/>
        </w:rPr>
        <w:t>竞争性磋商供应商已详细审查全部竞争性磋商文件，包括竞争性磋商采购补充文件（如果有的话）。我们完全理解并同意放弃对这方面有不明及误解的权力。</w:t>
      </w:r>
    </w:p>
    <w:p>
      <w:pPr>
        <w:pStyle w:val="76"/>
        <w:numPr>
          <w:ilvl w:val="2"/>
          <w:numId w:val="9"/>
        </w:numPr>
        <w:spacing w:line="312" w:lineRule="auto"/>
        <w:ind w:left="1276" w:firstLineChars="0"/>
        <w:rPr>
          <w:rFonts w:hint="eastAsia"/>
          <w:color w:val="auto"/>
          <w:sz w:val="21"/>
          <w:szCs w:val="21"/>
          <w:highlight w:val="none"/>
        </w:rPr>
      </w:pPr>
      <w:r>
        <w:rPr>
          <w:rFonts w:hint="eastAsia"/>
          <w:color w:val="auto"/>
          <w:sz w:val="21"/>
          <w:szCs w:val="21"/>
          <w:highlight w:val="none"/>
        </w:rPr>
        <w:t>愿意向贵方提供任何与该项竞争性磋商有关的数据、情况和技术资料，完全理解贵方不一定接受最低价的竞争性磋商或收到的任何竞争性磋商。</w:t>
      </w:r>
    </w:p>
    <w:p>
      <w:pPr>
        <w:pStyle w:val="76"/>
        <w:numPr>
          <w:ilvl w:val="2"/>
          <w:numId w:val="9"/>
        </w:numPr>
        <w:spacing w:line="312" w:lineRule="auto"/>
        <w:ind w:left="1276" w:firstLineChars="0"/>
        <w:rPr>
          <w:rFonts w:hint="eastAsia"/>
          <w:color w:val="auto"/>
          <w:sz w:val="21"/>
          <w:szCs w:val="21"/>
          <w:highlight w:val="none"/>
        </w:rPr>
      </w:pPr>
      <w:r>
        <w:rPr>
          <w:rFonts w:hint="eastAsia"/>
          <w:color w:val="auto"/>
          <w:sz w:val="21"/>
          <w:szCs w:val="21"/>
          <w:highlight w:val="none"/>
        </w:rPr>
        <w:t>本竞争性磋商自竞争性磋商截止时间之日起</w:t>
      </w:r>
      <w:r>
        <w:rPr>
          <w:rFonts w:hint="eastAsia"/>
          <w:color w:val="auto"/>
          <w:sz w:val="21"/>
          <w:szCs w:val="21"/>
          <w:highlight w:val="none"/>
          <w:u w:val="single"/>
        </w:rPr>
        <w:t>90</w:t>
      </w:r>
      <w:r>
        <w:rPr>
          <w:rFonts w:hint="eastAsia"/>
          <w:color w:val="auto"/>
          <w:sz w:val="21"/>
          <w:szCs w:val="21"/>
          <w:highlight w:val="none"/>
        </w:rPr>
        <w:t>天有效。</w:t>
      </w:r>
    </w:p>
    <w:p>
      <w:pPr>
        <w:pStyle w:val="76"/>
        <w:numPr>
          <w:ilvl w:val="2"/>
          <w:numId w:val="9"/>
        </w:numPr>
        <w:spacing w:line="312" w:lineRule="auto"/>
        <w:ind w:left="1276" w:firstLineChars="0"/>
        <w:rPr>
          <w:rFonts w:hint="eastAsia"/>
          <w:color w:val="auto"/>
          <w:sz w:val="21"/>
          <w:szCs w:val="21"/>
          <w:highlight w:val="none"/>
        </w:rPr>
      </w:pPr>
      <w:r>
        <w:rPr>
          <w:rFonts w:hint="eastAsia"/>
          <w:color w:val="auto"/>
          <w:sz w:val="21"/>
          <w:szCs w:val="21"/>
          <w:highlight w:val="none"/>
        </w:rPr>
        <w:t>如果在竞争性磋商有效期内撤回或拒绝接受已经确认的条款，愿承担由此造成的后果。</w:t>
      </w:r>
    </w:p>
    <w:p>
      <w:pPr>
        <w:pStyle w:val="76"/>
        <w:numPr>
          <w:ilvl w:val="2"/>
          <w:numId w:val="9"/>
        </w:numPr>
        <w:spacing w:line="312" w:lineRule="auto"/>
        <w:ind w:left="1276" w:firstLineChars="0"/>
        <w:rPr>
          <w:rFonts w:hint="eastAsia"/>
          <w:color w:val="auto"/>
          <w:sz w:val="21"/>
          <w:szCs w:val="21"/>
          <w:highlight w:val="none"/>
        </w:rPr>
      </w:pPr>
      <w:r>
        <w:rPr>
          <w:rFonts w:hint="eastAsia"/>
          <w:color w:val="auto"/>
          <w:sz w:val="21"/>
          <w:szCs w:val="21"/>
          <w:highlight w:val="none"/>
        </w:rPr>
        <w:t>与本投标有关的一切正式往来信函联系：</w:t>
      </w:r>
    </w:p>
    <w:tbl>
      <w:tblPr>
        <w:tblStyle w:val="30"/>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Borders>
              <w:top w:val="single" w:color="auto" w:sz="4" w:space="0"/>
              <w:left w:val="single" w:color="auto" w:sz="4" w:space="0"/>
              <w:bottom w:val="single" w:color="auto" w:sz="4" w:space="0"/>
              <w:right w:val="single" w:color="auto" w:sz="4" w:space="0"/>
            </w:tcBorders>
            <w:noWrap w:val="0"/>
            <w:vAlign w:val="top"/>
          </w:tcPr>
          <w:p>
            <w:pPr>
              <w:widowControl w:val="0"/>
              <w:adjustRightInd w:val="0"/>
              <w:snapToGrid w:val="0"/>
              <w:spacing w:line="312" w:lineRule="auto"/>
              <w:jc w:val="both"/>
              <w:rPr>
                <w:rFonts w:hint="eastAsia"/>
                <w:color w:val="auto"/>
                <w:spacing w:val="-6"/>
                <w:kern w:val="2"/>
                <w:sz w:val="21"/>
                <w:szCs w:val="21"/>
                <w:highlight w:val="none"/>
              </w:rPr>
            </w:pPr>
            <w:r>
              <w:rPr>
                <w:rFonts w:hint="eastAsia"/>
                <w:color w:val="auto"/>
                <w:spacing w:val="-6"/>
                <w:sz w:val="21"/>
                <w:szCs w:val="21"/>
                <w:highlight w:val="none"/>
              </w:rPr>
              <w:t>联系人：</w:t>
            </w:r>
          </w:p>
        </w:tc>
        <w:tc>
          <w:tcPr>
            <w:tcW w:w="6804" w:type="dxa"/>
            <w:tcBorders>
              <w:top w:val="single" w:color="auto" w:sz="4" w:space="0"/>
              <w:left w:val="single" w:color="auto" w:sz="4" w:space="0"/>
              <w:bottom w:val="single" w:color="auto" w:sz="4" w:space="0"/>
              <w:right w:val="single" w:color="auto" w:sz="4" w:space="0"/>
            </w:tcBorders>
            <w:noWrap w:val="0"/>
            <w:vAlign w:val="top"/>
          </w:tcPr>
          <w:p>
            <w:pPr>
              <w:widowControl w:val="0"/>
              <w:adjustRightInd w:val="0"/>
              <w:snapToGrid w:val="0"/>
              <w:spacing w:line="312" w:lineRule="auto"/>
              <w:jc w:val="both"/>
              <w:rPr>
                <w:rFonts w:hint="eastAsia"/>
                <w:color w:val="auto"/>
                <w:spacing w:val="-6"/>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Borders>
              <w:top w:val="single" w:color="auto" w:sz="4" w:space="0"/>
              <w:left w:val="single" w:color="auto" w:sz="4" w:space="0"/>
              <w:bottom w:val="single" w:color="auto" w:sz="4" w:space="0"/>
              <w:right w:val="single" w:color="auto" w:sz="4" w:space="0"/>
            </w:tcBorders>
            <w:noWrap w:val="0"/>
            <w:vAlign w:val="top"/>
          </w:tcPr>
          <w:p>
            <w:pPr>
              <w:widowControl w:val="0"/>
              <w:adjustRightInd w:val="0"/>
              <w:snapToGrid w:val="0"/>
              <w:spacing w:line="312" w:lineRule="auto"/>
              <w:jc w:val="both"/>
              <w:rPr>
                <w:rFonts w:hint="eastAsia"/>
                <w:color w:val="auto"/>
                <w:spacing w:val="-6"/>
                <w:kern w:val="2"/>
                <w:sz w:val="21"/>
                <w:szCs w:val="21"/>
                <w:highlight w:val="none"/>
              </w:rPr>
            </w:pPr>
            <w:r>
              <w:rPr>
                <w:rFonts w:hint="eastAsia"/>
                <w:color w:val="auto"/>
                <w:spacing w:val="-6"/>
                <w:sz w:val="21"/>
                <w:szCs w:val="21"/>
                <w:highlight w:val="none"/>
              </w:rPr>
              <w:t>职务：</w:t>
            </w:r>
          </w:p>
        </w:tc>
        <w:tc>
          <w:tcPr>
            <w:tcW w:w="6804" w:type="dxa"/>
            <w:tcBorders>
              <w:top w:val="single" w:color="auto" w:sz="4" w:space="0"/>
              <w:left w:val="single" w:color="auto" w:sz="4" w:space="0"/>
              <w:bottom w:val="single" w:color="auto" w:sz="4" w:space="0"/>
              <w:right w:val="single" w:color="auto" w:sz="4" w:space="0"/>
            </w:tcBorders>
            <w:noWrap w:val="0"/>
            <w:vAlign w:val="top"/>
          </w:tcPr>
          <w:p>
            <w:pPr>
              <w:widowControl w:val="0"/>
              <w:adjustRightInd w:val="0"/>
              <w:snapToGrid w:val="0"/>
              <w:spacing w:line="312" w:lineRule="auto"/>
              <w:jc w:val="both"/>
              <w:rPr>
                <w:rFonts w:hint="eastAsia"/>
                <w:color w:val="auto"/>
                <w:spacing w:val="-6"/>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Borders>
              <w:top w:val="single" w:color="auto" w:sz="4" w:space="0"/>
              <w:left w:val="single" w:color="auto" w:sz="4" w:space="0"/>
              <w:bottom w:val="single" w:color="auto" w:sz="4" w:space="0"/>
              <w:right w:val="single" w:color="auto" w:sz="4" w:space="0"/>
            </w:tcBorders>
            <w:noWrap w:val="0"/>
            <w:vAlign w:val="top"/>
          </w:tcPr>
          <w:p>
            <w:pPr>
              <w:widowControl w:val="0"/>
              <w:adjustRightInd w:val="0"/>
              <w:snapToGrid w:val="0"/>
              <w:spacing w:line="312" w:lineRule="auto"/>
              <w:jc w:val="both"/>
              <w:rPr>
                <w:rFonts w:hint="eastAsia"/>
                <w:color w:val="auto"/>
                <w:spacing w:val="-6"/>
                <w:kern w:val="2"/>
                <w:sz w:val="21"/>
                <w:szCs w:val="21"/>
                <w:highlight w:val="none"/>
              </w:rPr>
            </w:pPr>
            <w:r>
              <w:rPr>
                <w:rFonts w:hint="eastAsia"/>
                <w:color w:val="auto"/>
                <w:spacing w:val="-6"/>
                <w:sz w:val="21"/>
                <w:szCs w:val="21"/>
                <w:highlight w:val="none"/>
              </w:rPr>
              <w:t>手机：</w:t>
            </w:r>
          </w:p>
        </w:tc>
        <w:tc>
          <w:tcPr>
            <w:tcW w:w="6804" w:type="dxa"/>
            <w:tcBorders>
              <w:top w:val="single" w:color="auto" w:sz="4" w:space="0"/>
              <w:left w:val="single" w:color="auto" w:sz="4" w:space="0"/>
              <w:bottom w:val="single" w:color="auto" w:sz="4" w:space="0"/>
              <w:right w:val="single" w:color="auto" w:sz="4" w:space="0"/>
            </w:tcBorders>
            <w:noWrap w:val="0"/>
            <w:vAlign w:val="top"/>
          </w:tcPr>
          <w:p>
            <w:pPr>
              <w:widowControl w:val="0"/>
              <w:adjustRightInd w:val="0"/>
              <w:snapToGrid w:val="0"/>
              <w:spacing w:line="312" w:lineRule="auto"/>
              <w:jc w:val="both"/>
              <w:rPr>
                <w:rFonts w:hint="eastAsia"/>
                <w:color w:val="auto"/>
                <w:spacing w:val="-6"/>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Borders>
              <w:top w:val="single" w:color="auto" w:sz="4" w:space="0"/>
              <w:left w:val="single" w:color="auto" w:sz="4" w:space="0"/>
              <w:bottom w:val="single" w:color="auto" w:sz="4" w:space="0"/>
              <w:right w:val="single" w:color="auto" w:sz="4" w:space="0"/>
            </w:tcBorders>
            <w:noWrap w:val="0"/>
            <w:vAlign w:val="top"/>
          </w:tcPr>
          <w:p>
            <w:pPr>
              <w:widowControl w:val="0"/>
              <w:adjustRightInd w:val="0"/>
              <w:snapToGrid w:val="0"/>
              <w:spacing w:line="312" w:lineRule="auto"/>
              <w:jc w:val="both"/>
              <w:rPr>
                <w:rFonts w:hint="eastAsia"/>
                <w:color w:val="auto"/>
                <w:spacing w:val="-6"/>
                <w:kern w:val="2"/>
                <w:sz w:val="21"/>
                <w:szCs w:val="21"/>
                <w:highlight w:val="none"/>
              </w:rPr>
            </w:pPr>
            <w:r>
              <w:rPr>
                <w:rFonts w:hint="eastAsia"/>
                <w:color w:val="auto"/>
                <w:spacing w:val="-6"/>
                <w:sz w:val="21"/>
                <w:szCs w:val="21"/>
                <w:highlight w:val="none"/>
              </w:rPr>
              <w:t>电子邮箱：</w:t>
            </w:r>
          </w:p>
        </w:tc>
        <w:tc>
          <w:tcPr>
            <w:tcW w:w="6804" w:type="dxa"/>
            <w:tcBorders>
              <w:top w:val="single" w:color="auto" w:sz="4" w:space="0"/>
              <w:left w:val="single" w:color="auto" w:sz="4" w:space="0"/>
              <w:bottom w:val="single" w:color="auto" w:sz="4" w:space="0"/>
              <w:right w:val="single" w:color="auto" w:sz="4" w:space="0"/>
            </w:tcBorders>
            <w:noWrap w:val="0"/>
            <w:vAlign w:val="top"/>
          </w:tcPr>
          <w:p>
            <w:pPr>
              <w:widowControl w:val="0"/>
              <w:adjustRightInd w:val="0"/>
              <w:snapToGrid w:val="0"/>
              <w:spacing w:line="312" w:lineRule="auto"/>
              <w:jc w:val="both"/>
              <w:rPr>
                <w:rFonts w:hint="eastAsia"/>
                <w:color w:val="auto"/>
                <w:spacing w:val="-6"/>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Borders>
              <w:top w:val="single" w:color="auto" w:sz="4" w:space="0"/>
              <w:left w:val="single" w:color="auto" w:sz="4" w:space="0"/>
              <w:bottom w:val="single" w:color="auto" w:sz="4" w:space="0"/>
              <w:right w:val="single" w:color="auto" w:sz="4" w:space="0"/>
            </w:tcBorders>
            <w:noWrap w:val="0"/>
            <w:vAlign w:val="top"/>
          </w:tcPr>
          <w:p>
            <w:pPr>
              <w:widowControl w:val="0"/>
              <w:adjustRightInd w:val="0"/>
              <w:snapToGrid w:val="0"/>
              <w:spacing w:line="312" w:lineRule="auto"/>
              <w:jc w:val="both"/>
              <w:rPr>
                <w:rFonts w:hint="eastAsia"/>
                <w:color w:val="auto"/>
                <w:spacing w:val="-6"/>
                <w:kern w:val="2"/>
                <w:sz w:val="21"/>
                <w:szCs w:val="21"/>
                <w:highlight w:val="none"/>
              </w:rPr>
            </w:pPr>
            <w:r>
              <w:rPr>
                <w:rFonts w:hint="eastAsia"/>
                <w:color w:val="auto"/>
                <w:spacing w:val="-6"/>
                <w:sz w:val="21"/>
                <w:szCs w:val="21"/>
                <w:highlight w:val="none"/>
              </w:rPr>
              <w:t>地址：</w:t>
            </w:r>
          </w:p>
        </w:tc>
        <w:tc>
          <w:tcPr>
            <w:tcW w:w="6804" w:type="dxa"/>
            <w:tcBorders>
              <w:top w:val="single" w:color="auto" w:sz="4" w:space="0"/>
              <w:left w:val="single" w:color="auto" w:sz="4" w:space="0"/>
              <w:bottom w:val="single" w:color="auto" w:sz="4" w:space="0"/>
              <w:right w:val="single" w:color="auto" w:sz="4" w:space="0"/>
            </w:tcBorders>
            <w:noWrap w:val="0"/>
            <w:vAlign w:val="top"/>
          </w:tcPr>
          <w:p>
            <w:pPr>
              <w:widowControl w:val="0"/>
              <w:adjustRightInd w:val="0"/>
              <w:snapToGrid w:val="0"/>
              <w:spacing w:line="312" w:lineRule="auto"/>
              <w:jc w:val="both"/>
              <w:rPr>
                <w:rFonts w:hint="eastAsia"/>
                <w:color w:val="auto"/>
                <w:spacing w:val="-6"/>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Borders>
              <w:top w:val="single" w:color="auto" w:sz="4" w:space="0"/>
              <w:left w:val="single" w:color="auto" w:sz="4" w:space="0"/>
              <w:bottom w:val="single" w:color="auto" w:sz="4" w:space="0"/>
              <w:right w:val="single" w:color="auto" w:sz="4" w:space="0"/>
            </w:tcBorders>
            <w:noWrap w:val="0"/>
            <w:vAlign w:val="top"/>
          </w:tcPr>
          <w:p>
            <w:pPr>
              <w:widowControl w:val="0"/>
              <w:adjustRightInd w:val="0"/>
              <w:snapToGrid w:val="0"/>
              <w:spacing w:line="312" w:lineRule="auto"/>
              <w:jc w:val="both"/>
              <w:rPr>
                <w:rFonts w:hint="eastAsia"/>
                <w:color w:val="auto"/>
                <w:spacing w:val="-6"/>
                <w:kern w:val="2"/>
                <w:sz w:val="21"/>
                <w:szCs w:val="21"/>
                <w:highlight w:val="none"/>
              </w:rPr>
            </w:pPr>
            <w:r>
              <w:rPr>
                <w:rFonts w:hint="eastAsia"/>
                <w:color w:val="auto"/>
                <w:spacing w:val="-6"/>
                <w:sz w:val="21"/>
                <w:szCs w:val="21"/>
                <w:highlight w:val="none"/>
              </w:rPr>
              <w:t>开户银行：</w:t>
            </w:r>
          </w:p>
        </w:tc>
        <w:tc>
          <w:tcPr>
            <w:tcW w:w="6804" w:type="dxa"/>
            <w:tcBorders>
              <w:top w:val="single" w:color="auto" w:sz="4" w:space="0"/>
              <w:left w:val="single" w:color="auto" w:sz="4" w:space="0"/>
              <w:bottom w:val="single" w:color="auto" w:sz="4" w:space="0"/>
              <w:right w:val="single" w:color="auto" w:sz="4" w:space="0"/>
            </w:tcBorders>
            <w:noWrap w:val="0"/>
            <w:vAlign w:val="top"/>
          </w:tcPr>
          <w:p>
            <w:pPr>
              <w:widowControl w:val="0"/>
              <w:adjustRightInd w:val="0"/>
              <w:snapToGrid w:val="0"/>
              <w:spacing w:line="312" w:lineRule="auto"/>
              <w:jc w:val="both"/>
              <w:rPr>
                <w:rFonts w:hint="eastAsia"/>
                <w:color w:val="auto"/>
                <w:spacing w:val="-6"/>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Borders>
              <w:top w:val="single" w:color="auto" w:sz="4" w:space="0"/>
              <w:left w:val="single" w:color="auto" w:sz="4" w:space="0"/>
              <w:bottom w:val="single" w:color="auto" w:sz="4" w:space="0"/>
              <w:right w:val="single" w:color="auto" w:sz="4" w:space="0"/>
            </w:tcBorders>
            <w:noWrap w:val="0"/>
            <w:vAlign w:val="top"/>
          </w:tcPr>
          <w:p>
            <w:pPr>
              <w:widowControl w:val="0"/>
              <w:adjustRightInd w:val="0"/>
              <w:snapToGrid w:val="0"/>
              <w:spacing w:line="312" w:lineRule="auto"/>
              <w:jc w:val="both"/>
              <w:rPr>
                <w:rFonts w:hint="eastAsia"/>
                <w:color w:val="auto"/>
                <w:spacing w:val="-6"/>
                <w:kern w:val="2"/>
                <w:sz w:val="21"/>
                <w:szCs w:val="21"/>
                <w:highlight w:val="none"/>
              </w:rPr>
            </w:pPr>
            <w:r>
              <w:rPr>
                <w:rFonts w:hint="eastAsia"/>
                <w:color w:val="auto"/>
                <w:spacing w:val="-6"/>
                <w:sz w:val="21"/>
                <w:szCs w:val="21"/>
                <w:highlight w:val="none"/>
              </w:rPr>
              <w:t>银行账号：</w:t>
            </w:r>
          </w:p>
        </w:tc>
        <w:tc>
          <w:tcPr>
            <w:tcW w:w="6804" w:type="dxa"/>
            <w:tcBorders>
              <w:top w:val="single" w:color="auto" w:sz="4" w:space="0"/>
              <w:left w:val="single" w:color="auto" w:sz="4" w:space="0"/>
              <w:bottom w:val="single" w:color="auto" w:sz="4" w:space="0"/>
              <w:right w:val="single" w:color="auto" w:sz="4" w:space="0"/>
            </w:tcBorders>
            <w:noWrap w:val="0"/>
            <w:vAlign w:val="top"/>
          </w:tcPr>
          <w:p>
            <w:pPr>
              <w:widowControl w:val="0"/>
              <w:adjustRightInd w:val="0"/>
              <w:snapToGrid w:val="0"/>
              <w:spacing w:line="312" w:lineRule="auto"/>
              <w:jc w:val="both"/>
              <w:rPr>
                <w:rFonts w:hint="eastAsia"/>
                <w:color w:val="auto"/>
                <w:spacing w:val="-6"/>
                <w:kern w:val="2"/>
                <w:sz w:val="21"/>
                <w:szCs w:val="21"/>
                <w:highlight w:val="none"/>
              </w:rPr>
            </w:pPr>
          </w:p>
        </w:tc>
      </w:tr>
    </w:tbl>
    <w:p>
      <w:pPr>
        <w:spacing w:line="312" w:lineRule="auto"/>
        <w:ind w:firstLine="5250" w:firstLineChars="2500"/>
        <w:rPr>
          <w:rFonts w:hint="eastAsia"/>
          <w:color w:val="auto"/>
          <w:sz w:val="21"/>
          <w:szCs w:val="21"/>
          <w:highlight w:val="none"/>
        </w:rPr>
      </w:pPr>
    </w:p>
    <w:p>
      <w:pPr>
        <w:spacing w:line="312" w:lineRule="auto"/>
        <w:ind w:firstLine="5250" w:firstLineChars="2500"/>
        <w:rPr>
          <w:rFonts w:hint="eastAsia"/>
          <w:color w:val="auto"/>
          <w:sz w:val="21"/>
          <w:szCs w:val="21"/>
          <w:highlight w:val="none"/>
        </w:rPr>
      </w:pPr>
    </w:p>
    <w:p>
      <w:pPr>
        <w:spacing w:before="156" w:beforeLines="50" w:after="156" w:afterLines="50" w:line="312" w:lineRule="auto"/>
        <w:ind w:right="-21" w:rightChars="-10" w:firstLine="4410" w:firstLineChars="2100"/>
        <w:rPr>
          <w:rFonts w:hint="eastAsia"/>
          <w:color w:val="auto"/>
          <w:sz w:val="21"/>
          <w:szCs w:val="21"/>
          <w:highlight w:val="none"/>
        </w:rPr>
      </w:pPr>
      <w:r>
        <w:rPr>
          <w:rFonts w:hint="eastAsia"/>
          <w:color w:val="auto"/>
          <w:sz w:val="21"/>
          <w:szCs w:val="21"/>
          <w:highlight w:val="none"/>
        </w:rPr>
        <w:t>竞争性磋商供应商全称（公章）：</w:t>
      </w:r>
    </w:p>
    <w:p>
      <w:pPr>
        <w:spacing w:before="156" w:beforeLines="50" w:after="156" w:afterLines="50" w:line="312" w:lineRule="auto"/>
        <w:ind w:right="-10" w:firstLine="3780" w:firstLineChars="1800"/>
        <w:rPr>
          <w:rFonts w:hint="eastAsia"/>
          <w:color w:val="auto"/>
          <w:sz w:val="21"/>
          <w:szCs w:val="21"/>
          <w:highlight w:val="none"/>
        </w:rPr>
      </w:pPr>
      <w:r>
        <w:rPr>
          <w:rFonts w:hint="eastAsia"/>
          <w:color w:val="auto"/>
          <w:sz w:val="21"/>
          <w:szCs w:val="21"/>
          <w:highlight w:val="none"/>
        </w:rPr>
        <w:t>法定代表人（负责人）或授权代表（签字或盖章）：</w:t>
      </w:r>
    </w:p>
    <w:p>
      <w:pPr>
        <w:spacing w:line="312" w:lineRule="auto"/>
        <w:ind w:firstLine="4410" w:firstLineChars="2100"/>
        <w:rPr>
          <w:rFonts w:hint="eastAsia"/>
          <w:color w:val="auto"/>
          <w:sz w:val="21"/>
          <w:szCs w:val="21"/>
          <w:highlight w:val="none"/>
        </w:rPr>
      </w:pPr>
      <w:r>
        <w:rPr>
          <w:rFonts w:hint="eastAsia"/>
          <w:color w:val="auto"/>
          <w:sz w:val="21"/>
          <w:szCs w:val="21"/>
          <w:highlight w:val="none"/>
        </w:rPr>
        <w:t>日期：</w:t>
      </w:r>
      <w:r>
        <w:rPr>
          <w:rFonts w:hint="eastAsia"/>
          <w:color w:val="auto"/>
          <w:sz w:val="21"/>
          <w:szCs w:val="21"/>
          <w:highlight w:val="none"/>
          <w:u w:val="single"/>
        </w:rPr>
        <w:t xml:space="preserve">         </w:t>
      </w:r>
      <w:r>
        <w:rPr>
          <w:rFonts w:hint="eastAsia"/>
          <w:color w:val="auto"/>
          <w:sz w:val="21"/>
          <w:szCs w:val="21"/>
          <w:highlight w:val="none"/>
        </w:rPr>
        <w:t>年</w:t>
      </w:r>
      <w:r>
        <w:rPr>
          <w:rFonts w:hint="eastAsia"/>
          <w:color w:val="auto"/>
          <w:sz w:val="21"/>
          <w:szCs w:val="21"/>
          <w:highlight w:val="none"/>
          <w:u w:val="single"/>
        </w:rPr>
        <w:t xml:space="preserve">    </w:t>
      </w:r>
      <w:r>
        <w:rPr>
          <w:rFonts w:hint="eastAsia"/>
          <w:color w:val="auto"/>
          <w:sz w:val="21"/>
          <w:szCs w:val="21"/>
          <w:highlight w:val="none"/>
        </w:rPr>
        <w:t>月</w:t>
      </w:r>
      <w:r>
        <w:rPr>
          <w:rFonts w:hint="eastAsia"/>
          <w:color w:val="auto"/>
          <w:sz w:val="21"/>
          <w:szCs w:val="21"/>
          <w:highlight w:val="none"/>
          <w:u w:val="single"/>
        </w:rPr>
        <w:t xml:space="preserve">    </w:t>
      </w:r>
      <w:r>
        <w:rPr>
          <w:rFonts w:hint="eastAsia"/>
          <w:color w:val="auto"/>
          <w:sz w:val="21"/>
          <w:szCs w:val="21"/>
          <w:highlight w:val="none"/>
        </w:rPr>
        <w:t>日</w:t>
      </w:r>
    </w:p>
    <w:p>
      <w:pPr>
        <w:spacing w:line="312" w:lineRule="auto"/>
        <w:jc w:val="center"/>
        <w:outlineLvl w:val="1"/>
        <w:rPr>
          <w:rFonts w:hint="eastAsia"/>
          <w:b/>
          <w:color w:val="auto"/>
          <w:sz w:val="21"/>
          <w:szCs w:val="21"/>
          <w:highlight w:val="none"/>
        </w:rPr>
        <w:sectPr>
          <w:pgSz w:w="11906" w:h="16838"/>
          <w:pgMar w:top="1418" w:right="1418" w:bottom="1418" w:left="1418" w:header="680"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adjustRightInd w:val="0"/>
        <w:snapToGrid w:val="0"/>
        <w:spacing w:line="288" w:lineRule="auto"/>
        <w:jc w:val="center"/>
        <w:outlineLvl w:val="2"/>
        <w:rPr>
          <w:rFonts w:hint="eastAsia"/>
          <w:b/>
          <w:color w:val="auto"/>
          <w:spacing w:val="-6"/>
          <w:sz w:val="21"/>
          <w:szCs w:val="21"/>
          <w:highlight w:val="none"/>
        </w:rPr>
      </w:pPr>
      <w:r>
        <w:rPr>
          <w:rFonts w:hint="eastAsia"/>
          <w:b/>
          <w:color w:val="auto"/>
          <w:spacing w:val="-6"/>
          <w:sz w:val="21"/>
          <w:szCs w:val="21"/>
          <w:highlight w:val="none"/>
        </w:rPr>
        <w:t>（2）供应商同类业绩一览表</w:t>
      </w:r>
    </w:p>
    <w:tbl>
      <w:tblPr>
        <w:tblStyle w:val="3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88" w:lineRule="auto"/>
              <w:jc w:val="center"/>
              <w:rPr>
                <w:b/>
                <w:bCs/>
                <w:color w:val="auto"/>
                <w:kern w:val="2"/>
                <w:sz w:val="21"/>
                <w:szCs w:val="21"/>
                <w:highlight w:val="none"/>
              </w:rPr>
            </w:pPr>
            <w:r>
              <w:rPr>
                <w:rFonts w:hint="eastAsia"/>
                <w:b/>
                <w:bCs/>
                <w:color w:val="auto"/>
                <w:sz w:val="21"/>
                <w:szCs w:val="21"/>
                <w:highlight w:val="none"/>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88" w:lineRule="auto"/>
              <w:jc w:val="center"/>
              <w:rPr>
                <w:b/>
                <w:bCs/>
                <w:color w:val="auto"/>
                <w:kern w:val="2"/>
                <w:sz w:val="21"/>
                <w:szCs w:val="21"/>
                <w:highlight w:val="none"/>
              </w:rPr>
            </w:pPr>
            <w:r>
              <w:rPr>
                <w:rFonts w:hint="eastAsia"/>
                <w:b/>
                <w:bCs/>
                <w:color w:val="auto"/>
                <w:sz w:val="21"/>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88" w:lineRule="auto"/>
              <w:jc w:val="center"/>
              <w:rPr>
                <w:b/>
                <w:bCs/>
                <w:color w:val="auto"/>
                <w:kern w:val="2"/>
                <w:sz w:val="21"/>
                <w:szCs w:val="21"/>
                <w:highlight w:val="none"/>
              </w:rPr>
            </w:pPr>
            <w:r>
              <w:rPr>
                <w:rFonts w:hint="eastAsia"/>
                <w:b/>
                <w:bCs/>
                <w:color w:val="auto"/>
                <w:sz w:val="21"/>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88" w:lineRule="auto"/>
              <w:jc w:val="center"/>
              <w:rPr>
                <w:b/>
                <w:bCs/>
                <w:color w:val="auto"/>
                <w:kern w:val="2"/>
                <w:sz w:val="21"/>
                <w:szCs w:val="21"/>
                <w:highlight w:val="none"/>
              </w:rPr>
            </w:pPr>
            <w:r>
              <w:rPr>
                <w:rFonts w:hint="eastAsia"/>
                <w:b/>
                <w:bCs/>
                <w:color w:val="auto"/>
                <w:sz w:val="21"/>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b/>
                <w:bCs/>
                <w:color w:val="auto"/>
                <w:kern w:val="2"/>
                <w:sz w:val="21"/>
                <w:szCs w:val="21"/>
                <w:highlight w:val="none"/>
              </w:rPr>
            </w:pPr>
            <w:r>
              <w:rPr>
                <w:rFonts w:hint="eastAsia"/>
                <w:b/>
                <w:bCs/>
                <w:color w:val="auto"/>
                <w:sz w:val="21"/>
                <w:szCs w:val="21"/>
                <w:highlight w:val="none"/>
              </w:rPr>
              <w:t>合同金额</w:t>
            </w:r>
          </w:p>
          <w:p>
            <w:pPr>
              <w:widowControl w:val="0"/>
              <w:adjustRightInd w:val="0"/>
              <w:snapToGrid w:val="0"/>
              <w:spacing w:line="288" w:lineRule="auto"/>
              <w:jc w:val="center"/>
              <w:rPr>
                <w:b/>
                <w:bCs/>
                <w:color w:val="auto"/>
                <w:kern w:val="2"/>
                <w:sz w:val="21"/>
                <w:szCs w:val="21"/>
                <w:highlight w:val="none"/>
              </w:rPr>
            </w:pPr>
            <w:r>
              <w:rPr>
                <w:rFonts w:hint="eastAsia"/>
                <w:b/>
                <w:bCs/>
                <w:color w:val="auto"/>
                <w:sz w:val="21"/>
                <w:szCs w:val="21"/>
                <w:highlight w:val="none"/>
              </w:rPr>
              <w:t>（万元）</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88" w:lineRule="auto"/>
              <w:jc w:val="center"/>
              <w:rPr>
                <w:b/>
                <w:bCs/>
                <w:color w:val="auto"/>
                <w:kern w:val="2"/>
                <w:sz w:val="21"/>
                <w:szCs w:val="21"/>
                <w:highlight w:val="none"/>
              </w:rPr>
            </w:pPr>
            <w:r>
              <w:rPr>
                <w:rFonts w:hint="eastAsia"/>
                <w:b/>
                <w:bCs/>
                <w:color w:val="auto"/>
                <w:sz w:val="21"/>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88" w:lineRule="auto"/>
              <w:jc w:val="center"/>
              <w:rPr>
                <w:b/>
                <w:bCs/>
                <w:color w:val="auto"/>
                <w:kern w:val="2"/>
                <w:sz w:val="21"/>
                <w:szCs w:val="21"/>
                <w:highlight w:val="none"/>
              </w:rPr>
            </w:pPr>
            <w:r>
              <w:rPr>
                <w:rFonts w:hint="eastAsia"/>
                <w:b/>
                <w:bCs/>
                <w:color w:val="auto"/>
                <w:sz w:val="21"/>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b/>
                <w:bCs/>
                <w:color w:val="auto"/>
                <w:kern w:val="2"/>
                <w:sz w:val="21"/>
                <w:szCs w:val="21"/>
                <w:highlight w:val="none"/>
              </w:rPr>
            </w:pPr>
            <w:r>
              <w:rPr>
                <w:rFonts w:hint="eastAsia"/>
                <w:b/>
                <w:bCs/>
                <w:color w:val="auto"/>
                <w:sz w:val="21"/>
                <w:szCs w:val="21"/>
                <w:highlight w:val="none"/>
              </w:rPr>
              <w:t>采购人联系人</w:t>
            </w:r>
          </w:p>
          <w:p>
            <w:pPr>
              <w:widowControl w:val="0"/>
              <w:adjustRightInd w:val="0"/>
              <w:snapToGrid w:val="0"/>
              <w:spacing w:line="288" w:lineRule="auto"/>
              <w:jc w:val="center"/>
              <w:rPr>
                <w:b/>
                <w:bCs/>
                <w:color w:val="auto"/>
                <w:kern w:val="2"/>
                <w:sz w:val="21"/>
                <w:szCs w:val="21"/>
                <w:highlight w:val="none"/>
              </w:rPr>
            </w:pPr>
            <w:r>
              <w:rPr>
                <w:rFonts w:hint="eastAsia"/>
                <w:b/>
                <w:bCs/>
                <w:color w:val="auto"/>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88" w:lineRule="auto"/>
              <w:jc w:val="both"/>
              <w:rPr>
                <w:b/>
                <w:bCs/>
                <w:color w:val="auto"/>
                <w:kern w:val="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88" w:lineRule="auto"/>
              <w:jc w:val="both"/>
              <w:rPr>
                <w:b/>
                <w:bCs/>
                <w:color w:val="auto"/>
                <w:kern w:val="2"/>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88" w:lineRule="auto"/>
              <w:jc w:val="both"/>
              <w:rPr>
                <w:b/>
                <w:bCs/>
                <w:color w:val="auto"/>
                <w:kern w:val="2"/>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88" w:lineRule="auto"/>
              <w:jc w:val="both"/>
              <w:rPr>
                <w:b/>
                <w:bCs/>
                <w:color w:val="auto"/>
                <w:kern w:val="2"/>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88" w:lineRule="auto"/>
              <w:jc w:val="both"/>
              <w:rPr>
                <w:b/>
                <w:bCs/>
                <w:color w:val="auto"/>
                <w:kern w:val="2"/>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88" w:lineRule="auto"/>
              <w:jc w:val="both"/>
              <w:rPr>
                <w:b/>
                <w:bCs/>
                <w:color w:val="auto"/>
                <w:kern w:val="2"/>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88" w:lineRule="auto"/>
              <w:jc w:val="both"/>
              <w:rPr>
                <w:b/>
                <w:bCs/>
                <w:color w:val="auto"/>
                <w:kern w:val="2"/>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88" w:lineRule="auto"/>
              <w:jc w:val="both"/>
              <w:rPr>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88" w:lineRule="auto"/>
              <w:jc w:val="both"/>
              <w:rPr>
                <w:b/>
                <w:bCs/>
                <w:color w:val="auto"/>
                <w:kern w:val="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88" w:lineRule="auto"/>
              <w:jc w:val="both"/>
              <w:rPr>
                <w:b/>
                <w:bCs/>
                <w:color w:val="auto"/>
                <w:kern w:val="2"/>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88" w:lineRule="auto"/>
              <w:jc w:val="both"/>
              <w:rPr>
                <w:b/>
                <w:bCs/>
                <w:color w:val="auto"/>
                <w:kern w:val="2"/>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88" w:lineRule="auto"/>
              <w:jc w:val="both"/>
              <w:rPr>
                <w:b/>
                <w:bCs/>
                <w:color w:val="auto"/>
                <w:kern w:val="2"/>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88" w:lineRule="auto"/>
              <w:jc w:val="both"/>
              <w:rPr>
                <w:b/>
                <w:bCs/>
                <w:color w:val="auto"/>
                <w:kern w:val="2"/>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88" w:lineRule="auto"/>
              <w:jc w:val="both"/>
              <w:rPr>
                <w:b/>
                <w:bCs/>
                <w:color w:val="auto"/>
                <w:kern w:val="2"/>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88" w:lineRule="auto"/>
              <w:jc w:val="both"/>
              <w:rPr>
                <w:b/>
                <w:bCs/>
                <w:color w:val="auto"/>
                <w:kern w:val="2"/>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88" w:lineRule="auto"/>
              <w:jc w:val="both"/>
              <w:rPr>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88" w:lineRule="auto"/>
              <w:jc w:val="both"/>
              <w:rPr>
                <w:b/>
                <w:bCs/>
                <w:color w:val="auto"/>
                <w:kern w:val="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88" w:lineRule="auto"/>
              <w:jc w:val="both"/>
              <w:rPr>
                <w:b/>
                <w:bCs/>
                <w:color w:val="auto"/>
                <w:kern w:val="2"/>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88" w:lineRule="auto"/>
              <w:jc w:val="both"/>
              <w:rPr>
                <w:b/>
                <w:bCs/>
                <w:color w:val="auto"/>
                <w:kern w:val="2"/>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88" w:lineRule="auto"/>
              <w:jc w:val="both"/>
              <w:rPr>
                <w:b/>
                <w:bCs/>
                <w:color w:val="auto"/>
                <w:kern w:val="2"/>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88" w:lineRule="auto"/>
              <w:jc w:val="both"/>
              <w:rPr>
                <w:b/>
                <w:bCs/>
                <w:color w:val="auto"/>
                <w:kern w:val="2"/>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88" w:lineRule="auto"/>
              <w:jc w:val="both"/>
              <w:rPr>
                <w:b/>
                <w:bCs/>
                <w:color w:val="auto"/>
                <w:kern w:val="2"/>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88" w:lineRule="auto"/>
              <w:jc w:val="both"/>
              <w:rPr>
                <w:b/>
                <w:bCs/>
                <w:color w:val="auto"/>
                <w:kern w:val="2"/>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88" w:lineRule="auto"/>
              <w:jc w:val="both"/>
              <w:rPr>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88" w:lineRule="auto"/>
              <w:jc w:val="both"/>
              <w:rPr>
                <w:b/>
                <w:bCs/>
                <w:color w:val="auto"/>
                <w:kern w:val="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88" w:lineRule="auto"/>
              <w:jc w:val="both"/>
              <w:rPr>
                <w:b/>
                <w:bCs/>
                <w:color w:val="auto"/>
                <w:kern w:val="2"/>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88" w:lineRule="auto"/>
              <w:jc w:val="both"/>
              <w:rPr>
                <w:b/>
                <w:bCs/>
                <w:color w:val="auto"/>
                <w:kern w:val="2"/>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88" w:lineRule="auto"/>
              <w:jc w:val="both"/>
              <w:rPr>
                <w:b/>
                <w:bCs/>
                <w:color w:val="auto"/>
                <w:kern w:val="2"/>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88" w:lineRule="auto"/>
              <w:jc w:val="both"/>
              <w:rPr>
                <w:b/>
                <w:bCs/>
                <w:color w:val="auto"/>
                <w:kern w:val="2"/>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88" w:lineRule="auto"/>
              <w:jc w:val="both"/>
              <w:rPr>
                <w:b/>
                <w:bCs/>
                <w:color w:val="auto"/>
                <w:kern w:val="2"/>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88" w:lineRule="auto"/>
              <w:jc w:val="both"/>
              <w:rPr>
                <w:b/>
                <w:bCs/>
                <w:color w:val="auto"/>
                <w:kern w:val="2"/>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88" w:lineRule="auto"/>
              <w:jc w:val="both"/>
              <w:rPr>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88" w:lineRule="auto"/>
              <w:jc w:val="both"/>
              <w:rPr>
                <w:b/>
                <w:bCs/>
                <w:color w:val="auto"/>
                <w:kern w:val="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88" w:lineRule="auto"/>
              <w:jc w:val="both"/>
              <w:rPr>
                <w:b/>
                <w:bCs/>
                <w:color w:val="auto"/>
                <w:kern w:val="2"/>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88" w:lineRule="auto"/>
              <w:jc w:val="both"/>
              <w:rPr>
                <w:b/>
                <w:bCs/>
                <w:color w:val="auto"/>
                <w:kern w:val="2"/>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88" w:lineRule="auto"/>
              <w:jc w:val="both"/>
              <w:rPr>
                <w:b/>
                <w:bCs/>
                <w:color w:val="auto"/>
                <w:kern w:val="2"/>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88" w:lineRule="auto"/>
              <w:jc w:val="both"/>
              <w:rPr>
                <w:b/>
                <w:bCs/>
                <w:color w:val="auto"/>
                <w:kern w:val="2"/>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88" w:lineRule="auto"/>
              <w:jc w:val="both"/>
              <w:rPr>
                <w:b/>
                <w:bCs/>
                <w:color w:val="auto"/>
                <w:kern w:val="2"/>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288" w:lineRule="auto"/>
              <w:jc w:val="both"/>
              <w:rPr>
                <w:b/>
                <w:bCs/>
                <w:color w:val="auto"/>
                <w:kern w:val="2"/>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top"/>
          </w:tcPr>
          <w:p>
            <w:pPr>
              <w:widowControl w:val="0"/>
              <w:adjustRightInd w:val="0"/>
              <w:snapToGrid w:val="0"/>
              <w:spacing w:line="288" w:lineRule="auto"/>
              <w:jc w:val="both"/>
              <w:rPr>
                <w:b/>
                <w:bCs/>
                <w:color w:val="auto"/>
                <w:kern w:val="2"/>
                <w:sz w:val="21"/>
                <w:szCs w:val="21"/>
                <w:highlight w:val="none"/>
              </w:rPr>
            </w:pPr>
          </w:p>
        </w:tc>
      </w:tr>
    </w:tbl>
    <w:p>
      <w:pPr>
        <w:adjustRightInd w:val="0"/>
        <w:snapToGrid w:val="0"/>
        <w:spacing w:line="288" w:lineRule="auto"/>
        <w:rPr>
          <w:rFonts w:hint="eastAsia" w:cs="Times New Roman"/>
          <w:color w:val="auto"/>
          <w:kern w:val="2"/>
          <w:sz w:val="21"/>
          <w:szCs w:val="21"/>
          <w:highlight w:val="none"/>
        </w:rPr>
      </w:pPr>
    </w:p>
    <w:p>
      <w:pPr>
        <w:adjustRightInd w:val="0"/>
        <w:snapToGrid w:val="0"/>
        <w:spacing w:line="288" w:lineRule="auto"/>
        <w:rPr>
          <w:rFonts w:hint="eastAsia" w:cs="Times New Roman"/>
          <w:b/>
          <w:color w:val="auto"/>
          <w:spacing w:val="-6"/>
          <w:sz w:val="21"/>
          <w:szCs w:val="21"/>
          <w:highlight w:val="none"/>
        </w:rPr>
      </w:pPr>
      <w:r>
        <w:rPr>
          <w:rFonts w:hint="eastAsia" w:cs="Times New Roman"/>
          <w:b/>
          <w:color w:val="auto"/>
          <w:spacing w:val="-6"/>
          <w:sz w:val="21"/>
          <w:szCs w:val="21"/>
          <w:highlight w:val="none"/>
        </w:rPr>
        <w:t>说明：</w:t>
      </w:r>
    </w:p>
    <w:p>
      <w:pPr>
        <w:adjustRightInd w:val="0"/>
        <w:snapToGrid w:val="0"/>
        <w:spacing w:line="288" w:lineRule="auto"/>
        <w:rPr>
          <w:rFonts w:hint="eastAsia" w:cs="Times New Roman"/>
          <w:b/>
          <w:color w:val="auto"/>
          <w:spacing w:val="-6"/>
          <w:sz w:val="21"/>
          <w:szCs w:val="21"/>
          <w:highlight w:val="none"/>
        </w:rPr>
      </w:pPr>
      <w:r>
        <w:rPr>
          <w:rFonts w:hint="eastAsia" w:cs="Times New Roman"/>
          <w:b/>
          <w:color w:val="auto"/>
          <w:spacing w:val="-6"/>
          <w:sz w:val="21"/>
          <w:szCs w:val="21"/>
          <w:highlight w:val="none"/>
        </w:rPr>
        <w:t>1.供应商须提供上述业绩合同扫描件；</w:t>
      </w:r>
    </w:p>
    <w:p>
      <w:pPr>
        <w:adjustRightInd w:val="0"/>
        <w:snapToGrid w:val="0"/>
        <w:spacing w:line="288" w:lineRule="auto"/>
        <w:rPr>
          <w:rFonts w:hint="eastAsia" w:cs="Times New Roman"/>
          <w:b/>
          <w:color w:val="auto"/>
          <w:spacing w:val="-6"/>
          <w:sz w:val="21"/>
          <w:szCs w:val="21"/>
          <w:highlight w:val="none"/>
        </w:rPr>
      </w:pPr>
      <w:r>
        <w:rPr>
          <w:rFonts w:hint="eastAsia" w:cs="Times New Roman"/>
          <w:b/>
          <w:color w:val="auto"/>
          <w:spacing w:val="-6"/>
          <w:sz w:val="21"/>
          <w:szCs w:val="21"/>
          <w:highlight w:val="none"/>
        </w:rPr>
        <w:t>2.所有合同扫描件应清晰，应能体现合同签订时间、双方签名盖章等内容；</w:t>
      </w:r>
    </w:p>
    <w:p>
      <w:pPr>
        <w:adjustRightInd w:val="0"/>
        <w:snapToGrid w:val="0"/>
        <w:spacing w:line="288" w:lineRule="auto"/>
        <w:rPr>
          <w:rFonts w:hint="eastAsia" w:cs="Times New Roman"/>
          <w:b/>
          <w:color w:val="auto"/>
          <w:spacing w:val="-6"/>
          <w:sz w:val="21"/>
          <w:szCs w:val="21"/>
          <w:highlight w:val="none"/>
        </w:rPr>
      </w:pPr>
      <w:r>
        <w:rPr>
          <w:rFonts w:hint="eastAsia" w:cs="Times New Roman"/>
          <w:b/>
          <w:color w:val="auto"/>
          <w:spacing w:val="-6"/>
          <w:sz w:val="21"/>
          <w:szCs w:val="21"/>
          <w:highlight w:val="none"/>
        </w:rPr>
        <w:t>3.供应商应在不涉及商业秘密的前提下尽可能提供详细的合同扫描件内容。</w:t>
      </w:r>
    </w:p>
    <w:p>
      <w:pPr>
        <w:adjustRightInd w:val="0"/>
        <w:snapToGrid w:val="0"/>
        <w:spacing w:line="288" w:lineRule="auto"/>
        <w:rPr>
          <w:rFonts w:hint="eastAsia" w:cs="Times New Roman"/>
          <w:color w:val="auto"/>
          <w:spacing w:val="-6"/>
          <w:sz w:val="21"/>
          <w:szCs w:val="21"/>
          <w:highlight w:val="none"/>
        </w:rPr>
      </w:pPr>
    </w:p>
    <w:p>
      <w:pPr>
        <w:adjustRightInd w:val="0"/>
        <w:snapToGrid w:val="0"/>
        <w:spacing w:line="288" w:lineRule="auto"/>
        <w:rPr>
          <w:rFonts w:hint="eastAsia" w:cs="Times New Roman"/>
          <w:color w:val="auto"/>
          <w:spacing w:val="-6"/>
          <w:sz w:val="21"/>
          <w:szCs w:val="21"/>
          <w:highlight w:val="none"/>
        </w:rPr>
      </w:pPr>
    </w:p>
    <w:p>
      <w:pPr>
        <w:adjustRightInd w:val="0"/>
        <w:snapToGrid w:val="0"/>
        <w:spacing w:line="288"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供应商名称（公章）：</w:t>
      </w:r>
    </w:p>
    <w:p>
      <w:pPr>
        <w:adjustRightInd w:val="0"/>
        <w:snapToGrid w:val="0"/>
        <w:spacing w:line="288"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pPr>
        <w:snapToGrid w:val="0"/>
        <w:spacing w:before="120" w:beforeLines="50" w:after="50"/>
        <w:rPr>
          <w:rFonts w:hint="eastAsia"/>
          <w:b/>
          <w:color w:val="auto"/>
          <w:highlight w:val="none"/>
        </w:rPr>
      </w:pPr>
      <w:r>
        <w:rPr>
          <w:rFonts w:hint="eastAsia" w:cs="Times New Roman"/>
          <w:color w:val="auto"/>
          <w:spacing w:val="-6"/>
          <w:sz w:val="21"/>
          <w:szCs w:val="21"/>
          <w:highlight w:val="none"/>
        </w:rPr>
        <w:br w:type="page"/>
      </w:r>
      <w:r>
        <w:rPr>
          <w:rFonts w:hint="eastAsia"/>
          <w:b/>
          <w:color w:val="auto"/>
          <w:spacing w:val="-6"/>
          <w:sz w:val="21"/>
          <w:szCs w:val="21"/>
          <w:highlight w:val="none"/>
        </w:rPr>
        <w:t>（3）</w:t>
      </w:r>
      <w:r>
        <w:rPr>
          <w:rFonts w:hint="eastAsia"/>
          <w:b/>
          <w:color w:val="auto"/>
          <w:highlight w:val="none"/>
        </w:rPr>
        <w:t>项目实施人员一览表</w:t>
      </w:r>
    </w:p>
    <w:p>
      <w:pPr>
        <w:overflowPunct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项目实施人员一览表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730"/>
        <w:gridCol w:w="913"/>
        <w:gridCol w:w="1369"/>
        <w:gridCol w:w="896"/>
        <w:gridCol w:w="896"/>
        <w:gridCol w:w="896"/>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Merge w:val="restart"/>
            <w:noWrap w:val="0"/>
            <w:vAlign w:val="center"/>
          </w:tcPr>
          <w:p>
            <w:pPr>
              <w:overflowPunct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 位</w:t>
            </w:r>
          </w:p>
        </w:tc>
        <w:tc>
          <w:tcPr>
            <w:tcW w:w="1730" w:type="dxa"/>
            <w:vMerge w:val="restart"/>
            <w:noWrap w:val="0"/>
            <w:vAlign w:val="center"/>
          </w:tcPr>
          <w:p>
            <w:pPr>
              <w:overflowPunct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913" w:type="dxa"/>
            <w:vMerge w:val="restart"/>
            <w:noWrap w:val="0"/>
            <w:vAlign w:val="center"/>
          </w:tcPr>
          <w:p>
            <w:pPr>
              <w:overflowPunct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4057" w:type="dxa"/>
            <w:gridSpan w:val="4"/>
            <w:noWrap w:val="0"/>
            <w:vAlign w:val="top"/>
          </w:tcPr>
          <w:p>
            <w:pPr>
              <w:overflowPunct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执业或职业资格证明</w:t>
            </w:r>
          </w:p>
        </w:tc>
        <w:tc>
          <w:tcPr>
            <w:tcW w:w="896" w:type="dxa"/>
            <w:vMerge w:val="restart"/>
            <w:noWrap w:val="0"/>
            <w:vAlign w:val="top"/>
          </w:tcPr>
          <w:p>
            <w:pPr>
              <w:overflowPunct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Merge w:val="continue"/>
            <w:noWrap w:val="0"/>
            <w:vAlign w:val="top"/>
          </w:tcPr>
          <w:p>
            <w:pPr>
              <w:overflowPunct w:val="0"/>
              <w:spacing w:line="440" w:lineRule="exact"/>
              <w:jc w:val="center"/>
              <w:rPr>
                <w:rFonts w:hint="eastAsia" w:ascii="宋体" w:hAnsi="宋体" w:eastAsia="宋体" w:cs="宋体"/>
                <w:b/>
                <w:bCs/>
                <w:color w:val="auto"/>
                <w:sz w:val="24"/>
                <w:szCs w:val="24"/>
                <w:highlight w:val="none"/>
              </w:rPr>
            </w:pPr>
          </w:p>
        </w:tc>
        <w:tc>
          <w:tcPr>
            <w:tcW w:w="1730" w:type="dxa"/>
            <w:vMerge w:val="continue"/>
            <w:noWrap w:val="0"/>
            <w:vAlign w:val="top"/>
          </w:tcPr>
          <w:p>
            <w:pPr>
              <w:overflowPunct w:val="0"/>
              <w:spacing w:line="440" w:lineRule="exact"/>
              <w:jc w:val="center"/>
              <w:rPr>
                <w:rFonts w:hint="eastAsia" w:ascii="宋体" w:hAnsi="宋体" w:eastAsia="宋体" w:cs="宋体"/>
                <w:b/>
                <w:bCs/>
                <w:color w:val="auto"/>
                <w:sz w:val="24"/>
                <w:szCs w:val="24"/>
                <w:highlight w:val="none"/>
              </w:rPr>
            </w:pPr>
          </w:p>
        </w:tc>
        <w:tc>
          <w:tcPr>
            <w:tcW w:w="913" w:type="dxa"/>
            <w:vMerge w:val="continue"/>
            <w:noWrap w:val="0"/>
            <w:vAlign w:val="top"/>
          </w:tcPr>
          <w:p>
            <w:pPr>
              <w:overflowPunct w:val="0"/>
              <w:spacing w:line="440" w:lineRule="exact"/>
              <w:jc w:val="center"/>
              <w:rPr>
                <w:rFonts w:hint="eastAsia" w:ascii="宋体" w:hAnsi="宋体" w:eastAsia="宋体" w:cs="宋体"/>
                <w:b/>
                <w:bCs/>
                <w:color w:val="auto"/>
                <w:sz w:val="24"/>
                <w:szCs w:val="24"/>
                <w:highlight w:val="none"/>
              </w:rPr>
            </w:pPr>
          </w:p>
        </w:tc>
        <w:tc>
          <w:tcPr>
            <w:tcW w:w="1369" w:type="dxa"/>
            <w:noWrap w:val="0"/>
            <w:vAlign w:val="center"/>
          </w:tcPr>
          <w:p>
            <w:pPr>
              <w:overflowPunct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证书名称</w:t>
            </w:r>
          </w:p>
        </w:tc>
        <w:tc>
          <w:tcPr>
            <w:tcW w:w="896" w:type="dxa"/>
            <w:noWrap w:val="0"/>
            <w:vAlign w:val="center"/>
          </w:tcPr>
          <w:p>
            <w:pPr>
              <w:overflowPunct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级别</w:t>
            </w:r>
          </w:p>
        </w:tc>
        <w:tc>
          <w:tcPr>
            <w:tcW w:w="896" w:type="dxa"/>
            <w:noWrap w:val="0"/>
            <w:vAlign w:val="center"/>
          </w:tcPr>
          <w:p>
            <w:pPr>
              <w:overflowPunct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证号</w:t>
            </w:r>
          </w:p>
        </w:tc>
        <w:tc>
          <w:tcPr>
            <w:tcW w:w="896" w:type="dxa"/>
            <w:noWrap w:val="0"/>
            <w:vAlign w:val="center"/>
          </w:tcPr>
          <w:p>
            <w:pPr>
              <w:overflowPunct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896" w:type="dxa"/>
            <w:vMerge w:val="continue"/>
            <w:noWrap w:val="0"/>
            <w:vAlign w:val="top"/>
          </w:tcPr>
          <w:p>
            <w:pPr>
              <w:overflowPunct w:val="0"/>
              <w:spacing w:line="440" w:lineRule="exact"/>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noWrap w:val="0"/>
            <w:vAlign w:val="center"/>
          </w:tcPr>
          <w:p>
            <w:pPr>
              <w:overflowPunct w:val="0"/>
              <w:spacing w:line="440" w:lineRule="exact"/>
              <w:jc w:val="center"/>
              <w:rPr>
                <w:rFonts w:hint="eastAsia" w:ascii="宋体" w:hAnsi="宋体" w:eastAsia="宋体" w:cs="宋体"/>
                <w:color w:val="auto"/>
                <w:sz w:val="24"/>
                <w:szCs w:val="24"/>
                <w:highlight w:val="none"/>
              </w:rPr>
            </w:pPr>
          </w:p>
        </w:tc>
        <w:tc>
          <w:tcPr>
            <w:tcW w:w="1730"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913"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1369"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896"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896"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896"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896"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noWrap w:val="0"/>
            <w:vAlign w:val="center"/>
          </w:tcPr>
          <w:p>
            <w:pPr>
              <w:overflowPunct w:val="0"/>
              <w:spacing w:line="440" w:lineRule="exact"/>
              <w:jc w:val="center"/>
              <w:rPr>
                <w:rFonts w:hint="eastAsia" w:ascii="宋体" w:hAnsi="宋体" w:eastAsia="宋体" w:cs="宋体"/>
                <w:color w:val="auto"/>
                <w:sz w:val="24"/>
                <w:szCs w:val="24"/>
                <w:highlight w:val="none"/>
              </w:rPr>
            </w:pPr>
          </w:p>
        </w:tc>
        <w:tc>
          <w:tcPr>
            <w:tcW w:w="1730"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913"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1369"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896"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896"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896"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896"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noWrap w:val="0"/>
            <w:vAlign w:val="center"/>
          </w:tcPr>
          <w:p>
            <w:pPr>
              <w:overflowPunct w:val="0"/>
              <w:spacing w:line="440" w:lineRule="exact"/>
              <w:jc w:val="center"/>
              <w:rPr>
                <w:rFonts w:hint="eastAsia" w:ascii="宋体" w:hAnsi="宋体" w:eastAsia="宋体" w:cs="宋体"/>
                <w:color w:val="auto"/>
                <w:sz w:val="24"/>
                <w:szCs w:val="24"/>
                <w:highlight w:val="none"/>
              </w:rPr>
            </w:pPr>
          </w:p>
        </w:tc>
        <w:tc>
          <w:tcPr>
            <w:tcW w:w="1730"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913"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1369"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896"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896"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896"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896"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noWrap w:val="0"/>
            <w:vAlign w:val="center"/>
          </w:tcPr>
          <w:p>
            <w:pPr>
              <w:overflowPunct w:val="0"/>
              <w:spacing w:line="440" w:lineRule="exact"/>
              <w:jc w:val="center"/>
              <w:rPr>
                <w:rFonts w:hint="eastAsia" w:ascii="宋体" w:hAnsi="宋体" w:eastAsia="宋体" w:cs="宋体"/>
                <w:color w:val="auto"/>
                <w:sz w:val="24"/>
                <w:szCs w:val="24"/>
                <w:highlight w:val="none"/>
              </w:rPr>
            </w:pPr>
          </w:p>
        </w:tc>
        <w:tc>
          <w:tcPr>
            <w:tcW w:w="1730"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913"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1369"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896"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896"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896"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896"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noWrap w:val="0"/>
            <w:vAlign w:val="center"/>
          </w:tcPr>
          <w:p>
            <w:pPr>
              <w:overflowPunct w:val="0"/>
              <w:spacing w:line="440" w:lineRule="exact"/>
              <w:jc w:val="center"/>
              <w:rPr>
                <w:rFonts w:hint="eastAsia" w:ascii="宋体" w:hAnsi="宋体" w:eastAsia="宋体" w:cs="宋体"/>
                <w:color w:val="auto"/>
                <w:sz w:val="24"/>
                <w:szCs w:val="24"/>
                <w:highlight w:val="none"/>
              </w:rPr>
            </w:pPr>
          </w:p>
        </w:tc>
        <w:tc>
          <w:tcPr>
            <w:tcW w:w="1730"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913"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1369"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896"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896"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896"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896"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noWrap w:val="0"/>
            <w:vAlign w:val="center"/>
          </w:tcPr>
          <w:p>
            <w:pPr>
              <w:overflowPunct w:val="0"/>
              <w:spacing w:line="440" w:lineRule="exact"/>
              <w:jc w:val="center"/>
              <w:rPr>
                <w:rFonts w:hint="eastAsia" w:ascii="宋体" w:hAnsi="宋体" w:eastAsia="宋体" w:cs="宋体"/>
                <w:color w:val="auto"/>
                <w:sz w:val="24"/>
                <w:szCs w:val="24"/>
                <w:highlight w:val="none"/>
              </w:rPr>
            </w:pPr>
          </w:p>
        </w:tc>
        <w:tc>
          <w:tcPr>
            <w:tcW w:w="1730"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913"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1369"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896"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896"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896"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896"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noWrap w:val="0"/>
            <w:vAlign w:val="center"/>
          </w:tcPr>
          <w:p>
            <w:pPr>
              <w:overflowPunct w:val="0"/>
              <w:spacing w:line="440" w:lineRule="exact"/>
              <w:jc w:val="center"/>
              <w:rPr>
                <w:rFonts w:hint="eastAsia" w:ascii="宋体" w:hAnsi="宋体" w:eastAsia="宋体" w:cs="宋体"/>
                <w:color w:val="auto"/>
                <w:sz w:val="24"/>
                <w:szCs w:val="24"/>
                <w:highlight w:val="none"/>
              </w:rPr>
            </w:pPr>
          </w:p>
        </w:tc>
        <w:tc>
          <w:tcPr>
            <w:tcW w:w="1730"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913"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1369"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896"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896"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896"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896"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noWrap w:val="0"/>
            <w:vAlign w:val="center"/>
          </w:tcPr>
          <w:p>
            <w:pPr>
              <w:overflowPunct w:val="0"/>
              <w:spacing w:line="440" w:lineRule="exact"/>
              <w:jc w:val="center"/>
              <w:rPr>
                <w:rFonts w:hint="eastAsia" w:ascii="宋体" w:hAnsi="宋体" w:eastAsia="宋体" w:cs="宋体"/>
                <w:color w:val="auto"/>
                <w:sz w:val="24"/>
                <w:szCs w:val="24"/>
                <w:highlight w:val="none"/>
              </w:rPr>
            </w:pPr>
          </w:p>
        </w:tc>
        <w:tc>
          <w:tcPr>
            <w:tcW w:w="1730"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913"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1369"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896"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896"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896"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896"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noWrap w:val="0"/>
            <w:vAlign w:val="center"/>
          </w:tcPr>
          <w:p>
            <w:pPr>
              <w:overflowPunct w:val="0"/>
              <w:spacing w:line="440" w:lineRule="exact"/>
              <w:jc w:val="center"/>
              <w:rPr>
                <w:rFonts w:hint="eastAsia" w:ascii="宋体" w:hAnsi="宋体" w:eastAsia="宋体" w:cs="宋体"/>
                <w:color w:val="auto"/>
                <w:sz w:val="24"/>
                <w:szCs w:val="24"/>
                <w:highlight w:val="none"/>
              </w:rPr>
            </w:pPr>
          </w:p>
        </w:tc>
        <w:tc>
          <w:tcPr>
            <w:tcW w:w="1730"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913"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1369"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896"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896"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896"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896"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noWrap w:val="0"/>
            <w:vAlign w:val="center"/>
          </w:tcPr>
          <w:p>
            <w:pPr>
              <w:overflowPunct w:val="0"/>
              <w:spacing w:line="440" w:lineRule="exact"/>
              <w:jc w:val="center"/>
              <w:rPr>
                <w:rFonts w:hint="eastAsia" w:ascii="宋体" w:hAnsi="宋体" w:eastAsia="宋体" w:cs="宋体"/>
                <w:color w:val="auto"/>
                <w:sz w:val="24"/>
                <w:szCs w:val="24"/>
                <w:highlight w:val="none"/>
              </w:rPr>
            </w:pPr>
          </w:p>
        </w:tc>
        <w:tc>
          <w:tcPr>
            <w:tcW w:w="1730"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913"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1369"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896"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896"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896"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896"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noWrap w:val="0"/>
            <w:vAlign w:val="center"/>
          </w:tcPr>
          <w:p>
            <w:pPr>
              <w:overflowPunct w:val="0"/>
              <w:spacing w:line="440" w:lineRule="exact"/>
              <w:jc w:val="center"/>
              <w:rPr>
                <w:rFonts w:hint="eastAsia" w:ascii="宋体" w:hAnsi="宋体" w:eastAsia="宋体" w:cs="宋体"/>
                <w:color w:val="auto"/>
                <w:sz w:val="24"/>
                <w:szCs w:val="24"/>
                <w:highlight w:val="none"/>
              </w:rPr>
            </w:pPr>
          </w:p>
        </w:tc>
        <w:tc>
          <w:tcPr>
            <w:tcW w:w="1730"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913"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1369"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896"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896"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896"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c>
          <w:tcPr>
            <w:tcW w:w="896" w:type="dxa"/>
            <w:noWrap w:val="0"/>
            <w:vAlign w:val="center"/>
          </w:tcPr>
          <w:p>
            <w:pPr>
              <w:overflowPunct w:val="0"/>
              <w:spacing w:line="440" w:lineRule="exact"/>
              <w:jc w:val="center"/>
              <w:rPr>
                <w:rFonts w:hint="eastAsia" w:ascii="宋体" w:hAnsi="宋体" w:eastAsia="宋体" w:cs="宋体"/>
                <w:b/>
                <w:bCs/>
                <w:color w:val="auto"/>
                <w:sz w:val="24"/>
                <w:szCs w:val="24"/>
                <w:highlight w:val="none"/>
              </w:rPr>
            </w:pPr>
          </w:p>
        </w:tc>
      </w:tr>
    </w:tbl>
    <w:p>
      <w:pPr>
        <w:overflowPunct w:val="0"/>
        <w:snapToGrid w:val="0"/>
        <w:spacing w:line="400" w:lineRule="exact"/>
        <w:ind w:firstLine="420"/>
        <w:rPr>
          <w:rFonts w:hint="eastAsia" w:ascii="宋体" w:hAnsi="宋体" w:eastAsia="宋体" w:cs="宋体"/>
          <w:color w:val="auto"/>
          <w:sz w:val="24"/>
          <w:szCs w:val="24"/>
          <w:highlight w:val="none"/>
        </w:rPr>
      </w:pPr>
    </w:p>
    <w:p>
      <w:pPr>
        <w:overflowPunct w:val="0"/>
        <w:snapToGrid w:val="0"/>
        <w:spacing w:line="400" w:lineRule="exact"/>
        <w:ind w:firstLine="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注：在填写时，如本表格不适合投标单位的实际情况，可根据本表格式自行划表填写</w:t>
      </w:r>
      <w:r>
        <w:rPr>
          <w:rFonts w:hint="eastAsia" w:ascii="宋体" w:hAnsi="宋体" w:eastAsia="宋体" w:cs="宋体"/>
          <w:color w:val="auto"/>
          <w:sz w:val="24"/>
          <w:szCs w:val="24"/>
          <w:highlight w:val="none"/>
          <w:lang w:eastAsia="zh-CN"/>
        </w:rPr>
        <w:t>。</w:t>
      </w:r>
    </w:p>
    <w:p>
      <w:pPr>
        <w:overflowPunct w:val="0"/>
        <w:snapToGrid w:val="0"/>
        <w:spacing w:before="50" w:after="120" w:afterLines="50" w:line="360" w:lineRule="auto"/>
        <w:rPr>
          <w:rFonts w:hint="eastAsia" w:ascii="宋体" w:hAnsi="宋体" w:eastAsia="宋体" w:cs="宋体"/>
          <w:color w:val="auto"/>
          <w:sz w:val="24"/>
          <w:szCs w:val="24"/>
          <w:highlight w:val="none"/>
        </w:rPr>
      </w:pPr>
    </w:p>
    <w:p>
      <w:pPr>
        <w:spacing w:before="120" w:beforeLines="50" w:after="120" w:afterLines="50"/>
        <w:ind w:right="-21" w:rightChars="-10" w:firstLine="5103" w:firstLineChars="2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竞争性磋商供应商全称（公章）：</w:t>
      </w:r>
    </w:p>
    <w:p>
      <w:pPr>
        <w:spacing w:before="120" w:beforeLines="50" w:after="120" w:afterLines="50"/>
        <w:ind w:right="-10" w:firstLine="3159"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法定代表人（负责人）或授权代表（签字或盖章）：</w:t>
      </w:r>
    </w:p>
    <w:p>
      <w:pPr>
        <w:spacing w:line="360" w:lineRule="auto"/>
        <w:ind w:firstLine="486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adjustRightInd w:val="0"/>
        <w:snapToGrid w:val="0"/>
        <w:spacing w:line="288" w:lineRule="auto"/>
        <w:rPr>
          <w:rFonts w:hint="eastAsia" w:ascii="宋体" w:hAnsi="宋体" w:eastAsia="宋体" w:cs="宋体"/>
          <w:b/>
          <w:bCs/>
          <w:color w:val="auto"/>
          <w:spacing w:val="-6"/>
          <w:sz w:val="24"/>
          <w:szCs w:val="24"/>
          <w:highlight w:val="none"/>
        </w:rPr>
      </w:pPr>
    </w:p>
    <w:p>
      <w:pPr>
        <w:adjustRightInd w:val="0"/>
        <w:snapToGrid w:val="0"/>
        <w:spacing w:line="288" w:lineRule="auto"/>
        <w:outlineLvl w:val="2"/>
        <w:rPr>
          <w:rFonts w:hint="eastAsia" w:ascii="宋体" w:hAnsi="宋体" w:eastAsia="宋体" w:cs="宋体"/>
          <w:b/>
          <w:color w:val="auto"/>
          <w:sz w:val="28"/>
          <w:szCs w:val="28"/>
          <w:highlight w:val="none"/>
        </w:rPr>
      </w:pPr>
      <w:r>
        <w:rPr>
          <w:rFonts w:hint="eastAsia"/>
          <w:b/>
          <w:color w:val="auto"/>
          <w:spacing w:val="-6"/>
          <w:sz w:val="21"/>
          <w:szCs w:val="21"/>
          <w:highlight w:val="none"/>
        </w:rPr>
        <w:br w:type="page"/>
      </w:r>
      <w:r>
        <w:rPr>
          <w:rFonts w:hint="eastAsia" w:ascii="宋体" w:hAnsi="宋体" w:eastAsia="宋体" w:cs="宋体"/>
          <w:b/>
          <w:color w:val="auto"/>
          <w:highlight w:val="none"/>
          <w:lang w:eastAsia="zh-CN"/>
        </w:rPr>
        <w:t>（</w:t>
      </w:r>
      <w:r>
        <w:rPr>
          <w:rFonts w:hint="eastAsia" w:ascii="宋体" w:hAnsi="宋体" w:eastAsia="宋体" w:cs="宋体"/>
          <w:b/>
          <w:color w:val="auto"/>
          <w:highlight w:val="none"/>
          <w:lang w:val="en-US" w:eastAsia="zh-CN"/>
        </w:rPr>
        <w:t>4</w:t>
      </w:r>
      <w:r>
        <w:rPr>
          <w:rFonts w:hint="eastAsia" w:ascii="宋体" w:hAnsi="宋体" w:eastAsia="宋体" w:cs="宋体"/>
          <w:b/>
          <w:color w:val="auto"/>
          <w:highlight w:val="none"/>
          <w:lang w:eastAsia="zh-CN"/>
        </w:rPr>
        <w:t>）</w:t>
      </w:r>
      <w:r>
        <w:rPr>
          <w:rFonts w:hint="eastAsia" w:ascii="宋体" w:hAnsi="宋体" w:eastAsia="宋体" w:cs="宋体"/>
          <w:b/>
          <w:color w:val="auto"/>
          <w:highlight w:val="none"/>
        </w:rPr>
        <w:t>响应表格式：</w:t>
      </w:r>
    </w:p>
    <w:p>
      <w:pPr>
        <w:numPr>
          <w:ilvl w:val="0"/>
          <w:numId w:val="0"/>
        </w:numPr>
        <w:snapToGrid w:val="0"/>
        <w:spacing w:before="120" w:beforeLines="50" w:after="50"/>
        <w:ind w:firstLine="1132" w:firstLineChars="400"/>
        <w:rPr>
          <w:rFonts w:hint="eastAsia" w:ascii="宋体" w:hAnsi="宋体" w:eastAsia="宋体" w:cs="宋体"/>
          <w:b w:val="0"/>
          <w:bCs/>
          <w:color w:val="auto"/>
          <w:sz w:val="24"/>
          <w:szCs w:val="24"/>
          <w:highlight w:val="none"/>
        </w:rPr>
      </w:pP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技术响应表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262"/>
        <w:gridCol w:w="3263"/>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center"/>
          </w:tcPr>
          <w:p>
            <w:pPr>
              <w:spacing w:line="3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3262" w:type="dxa"/>
            <w:noWrap w:val="0"/>
            <w:vAlign w:val="center"/>
          </w:tcPr>
          <w:p>
            <w:pPr>
              <w:spacing w:line="3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采购文件要求</w:t>
            </w:r>
          </w:p>
        </w:tc>
        <w:tc>
          <w:tcPr>
            <w:tcW w:w="3263" w:type="dxa"/>
            <w:noWrap w:val="0"/>
            <w:vAlign w:val="center"/>
          </w:tcPr>
          <w:p>
            <w:pPr>
              <w:spacing w:line="3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投标文件响应情况</w:t>
            </w:r>
          </w:p>
        </w:tc>
        <w:tc>
          <w:tcPr>
            <w:tcW w:w="1785" w:type="dxa"/>
            <w:noWrap w:val="0"/>
            <w:vAlign w:val="center"/>
          </w:tcPr>
          <w:p>
            <w:pPr>
              <w:spacing w:line="360" w:lineRule="exact"/>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偏离</w:t>
            </w:r>
            <w:r>
              <w:rPr>
                <w:rFonts w:hint="eastAsia" w:ascii="宋体" w:hAnsi="宋体" w:eastAsia="宋体" w:cs="宋体"/>
                <w:b w:val="0"/>
                <w:bCs/>
                <w:color w:val="auto"/>
                <w:sz w:val="24"/>
                <w:szCs w:val="24"/>
                <w:highlight w:val="none"/>
                <w:lang w:val="en-US"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center"/>
          </w:tcPr>
          <w:p>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3262" w:type="dxa"/>
            <w:noWrap w:val="0"/>
            <w:vAlign w:val="center"/>
          </w:tcPr>
          <w:p>
            <w:pPr>
              <w:rPr>
                <w:rFonts w:hint="eastAsia" w:ascii="宋体" w:hAnsi="宋体" w:eastAsia="宋体" w:cs="宋体"/>
                <w:b w:val="0"/>
                <w:bCs/>
                <w:color w:val="auto"/>
                <w:sz w:val="24"/>
                <w:szCs w:val="24"/>
                <w:highlight w:val="none"/>
              </w:rPr>
            </w:pPr>
          </w:p>
        </w:tc>
        <w:tc>
          <w:tcPr>
            <w:tcW w:w="3263" w:type="dxa"/>
            <w:noWrap w:val="0"/>
            <w:vAlign w:val="center"/>
          </w:tcPr>
          <w:p>
            <w:pPr>
              <w:rPr>
                <w:rFonts w:hint="eastAsia" w:ascii="宋体" w:hAnsi="宋体" w:eastAsia="宋体" w:cs="宋体"/>
                <w:b w:val="0"/>
                <w:bCs/>
                <w:color w:val="auto"/>
                <w:sz w:val="24"/>
                <w:szCs w:val="24"/>
                <w:highlight w:val="none"/>
              </w:rPr>
            </w:pPr>
          </w:p>
        </w:tc>
        <w:tc>
          <w:tcPr>
            <w:tcW w:w="1785" w:type="dxa"/>
            <w:noWrap w:val="0"/>
            <w:vAlign w:val="center"/>
          </w:tcPr>
          <w:p>
            <w:pPr>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center"/>
          </w:tcPr>
          <w:p>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3262" w:type="dxa"/>
            <w:noWrap w:val="0"/>
            <w:vAlign w:val="center"/>
          </w:tcPr>
          <w:p>
            <w:pPr>
              <w:rPr>
                <w:rFonts w:hint="eastAsia" w:ascii="宋体" w:hAnsi="宋体" w:eastAsia="宋体" w:cs="宋体"/>
                <w:b w:val="0"/>
                <w:bCs/>
                <w:color w:val="auto"/>
                <w:sz w:val="24"/>
                <w:szCs w:val="24"/>
                <w:highlight w:val="none"/>
              </w:rPr>
            </w:pPr>
          </w:p>
        </w:tc>
        <w:tc>
          <w:tcPr>
            <w:tcW w:w="3263" w:type="dxa"/>
            <w:noWrap w:val="0"/>
            <w:vAlign w:val="center"/>
          </w:tcPr>
          <w:p>
            <w:pPr>
              <w:rPr>
                <w:rFonts w:hint="eastAsia" w:ascii="宋体" w:hAnsi="宋体" w:eastAsia="宋体" w:cs="宋体"/>
                <w:b w:val="0"/>
                <w:bCs/>
                <w:color w:val="auto"/>
                <w:sz w:val="24"/>
                <w:szCs w:val="24"/>
                <w:highlight w:val="none"/>
              </w:rPr>
            </w:pPr>
          </w:p>
        </w:tc>
        <w:tc>
          <w:tcPr>
            <w:tcW w:w="1785" w:type="dxa"/>
            <w:noWrap w:val="0"/>
            <w:vAlign w:val="center"/>
          </w:tcPr>
          <w:p>
            <w:pPr>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center"/>
          </w:tcPr>
          <w:p>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p>
        </w:tc>
        <w:tc>
          <w:tcPr>
            <w:tcW w:w="3262" w:type="dxa"/>
            <w:noWrap w:val="0"/>
            <w:vAlign w:val="center"/>
          </w:tcPr>
          <w:p>
            <w:pPr>
              <w:rPr>
                <w:rFonts w:hint="eastAsia" w:ascii="宋体" w:hAnsi="宋体" w:eastAsia="宋体" w:cs="宋体"/>
                <w:b w:val="0"/>
                <w:bCs/>
                <w:color w:val="auto"/>
                <w:sz w:val="24"/>
                <w:szCs w:val="24"/>
                <w:highlight w:val="none"/>
              </w:rPr>
            </w:pPr>
          </w:p>
        </w:tc>
        <w:tc>
          <w:tcPr>
            <w:tcW w:w="3263" w:type="dxa"/>
            <w:noWrap w:val="0"/>
            <w:vAlign w:val="center"/>
          </w:tcPr>
          <w:p>
            <w:pPr>
              <w:rPr>
                <w:rFonts w:hint="eastAsia" w:ascii="宋体" w:hAnsi="宋体" w:eastAsia="宋体" w:cs="宋体"/>
                <w:b w:val="0"/>
                <w:bCs/>
                <w:color w:val="auto"/>
                <w:sz w:val="24"/>
                <w:szCs w:val="24"/>
                <w:highlight w:val="none"/>
              </w:rPr>
            </w:pPr>
          </w:p>
        </w:tc>
        <w:tc>
          <w:tcPr>
            <w:tcW w:w="1785" w:type="dxa"/>
            <w:noWrap w:val="0"/>
            <w:vAlign w:val="center"/>
          </w:tcPr>
          <w:p>
            <w:pPr>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center"/>
          </w:tcPr>
          <w:p>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p>
        </w:tc>
        <w:tc>
          <w:tcPr>
            <w:tcW w:w="3262" w:type="dxa"/>
            <w:noWrap w:val="0"/>
            <w:vAlign w:val="center"/>
          </w:tcPr>
          <w:p>
            <w:pPr>
              <w:rPr>
                <w:rFonts w:hint="eastAsia" w:ascii="宋体" w:hAnsi="宋体" w:eastAsia="宋体" w:cs="宋体"/>
                <w:b w:val="0"/>
                <w:bCs/>
                <w:color w:val="auto"/>
                <w:sz w:val="24"/>
                <w:szCs w:val="24"/>
                <w:highlight w:val="none"/>
              </w:rPr>
            </w:pPr>
          </w:p>
        </w:tc>
        <w:tc>
          <w:tcPr>
            <w:tcW w:w="3263" w:type="dxa"/>
            <w:noWrap w:val="0"/>
            <w:vAlign w:val="center"/>
          </w:tcPr>
          <w:p>
            <w:pPr>
              <w:rPr>
                <w:rFonts w:hint="eastAsia" w:ascii="宋体" w:hAnsi="宋体" w:eastAsia="宋体" w:cs="宋体"/>
                <w:b w:val="0"/>
                <w:bCs/>
                <w:color w:val="auto"/>
                <w:sz w:val="24"/>
                <w:szCs w:val="24"/>
                <w:highlight w:val="none"/>
              </w:rPr>
            </w:pPr>
          </w:p>
        </w:tc>
        <w:tc>
          <w:tcPr>
            <w:tcW w:w="1785" w:type="dxa"/>
            <w:noWrap w:val="0"/>
            <w:vAlign w:val="center"/>
          </w:tcPr>
          <w:p>
            <w:pPr>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center"/>
          </w:tcPr>
          <w:p>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w:t>
            </w:r>
          </w:p>
        </w:tc>
        <w:tc>
          <w:tcPr>
            <w:tcW w:w="3262" w:type="dxa"/>
            <w:noWrap w:val="0"/>
            <w:vAlign w:val="center"/>
          </w:tcPr>
          <w:p>
            <w:pPr>
              <w:rPr>
                <w:rFonts w:hint="eastAsia" w:ascii="宋体" w:hAnsi="宋体" w:eastAsia="宋体" w:cs="宋体"/>
                <w:b w:val="0"/>
                <w:bCs/>
                <w:color w:val="auto"/>
                <w:sz w:val="24"/>
                <w:szCs w:val="24"/>
                <w:highlight w:val="none"/>
              </w:rPr>
            </w:pPr>
          </w:p>
        </w:tc>
        <w:tc>
          <w:tcPr>
            <w:tcW w:w="3263" w:type="dxa"/>
            <w:noWrap w:val="0"/>
            <w:vAlign w:val="center"/>
          </w:tcPr>
          <w:p>
            <w:pPr>
              <w:rPr>
                <w:rFonts w:hint="eastAsia" w:ascii="宋体" w:hAnsi="宋体" w:eastAsia="宋体" w:cs="宋体"/>
                <w:b w:val="0"/>
                <w:bCs/>
                <w:color w:val="auto"/>
                <w:sz w:val="24"/>
                <w:szCs w:val="24"/>
                <w:highlight w:val="none"/>
              </w:rPr>
            </w:pPr>
          </w:p>
        </w:tc>
        <w:tc>
          <w:tcPr>
            <w:tcW w:w="1785" w:type="dxa"/>
            <w:noWrap w:val="0"/>
            <w:vAlign w:val="center"/>
          </w:tcPr>
          <w:p>
            <w:pPr>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center"/>
          </w:tcPr>
          <w:p>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p>
        </w:tc>
        <w:tc>
          <w:tcPr>
            <w:tcW w:w="3262" w:type="dxa"/>
            <w:noWrap w:val="0"/>
            <w:vAlign w:val="center"/>
          </w:tcPr>
          <w:p>
            <w:pPr>
              <w:rPr>
                <w:rFonts w:hint="eastAsia" w:ascii="宋体" w:hAnsi="宋体" w:eastAsia="宋体" w:cs="宋体"/>
                <w:b w:val="0"/>
                <w:bCs/>
                <w:color w:val="auto"/>
                <w:sz w:val="24"/>
                <w:szCs w:val="24"/>
                <w:highlight w:val="none"/>
              </w:rPr>
            </w:pPr>
          </w:p>
        </w:tc>
        <w:tc>
          <w:tcPr>
            <w:tcW w:w="3263" w:type="dxa"/>
            <w:noWrap w:val="0"/>
            <w:vAlign w:val="center"/>
          </w:tcPr>
          <w:p>
            <w:pPr>
              <w:rPr>
                <w:rFonts w:hint="eastAsia" w:ascii="宋体" w:hAnsi="宋体" w:eastAsia="宋体" w:cs="宋体"/>
                <w:b w:val="0"/>
                <w:bCs/>
                <w:color w:val="auto"/>
                <w:sz w:val="24"/>
                <w:szCs w:val="24"/>
                <w:highlight w:val="none"/>
              </w:rPr>
            </w:pPr>
          </w:p>
        </w:tc>
        <w:tc>
          <w:tcPr>
            <w:tcW w:w="1785" w:type="dxa"/>
            <w:noWrap w:val="0"/>
            <w:vAlign w:val="center"/>
          </w:tcPr>
          <w:p>
            <w:pPr>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center"/>
          </w:tcPr>
          <w:p>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p>
        </w:tc>
        <w:tc>
          <w:tcPr>
            <w:tcW w:w="3262" w:type="dxa"/>
            <w:noWrap w:val="0"/>
            <w:vAlign w:val="center"/>
          </w:tcPr>
          <w:p>
            <w:pPr>
              <w:rPr>
                <w:rFonts w:hint="eastAsia" w:ascii="宋体" w:hAnsi="宋体" w:eastAsia="宋体" w:cs="宋体"/>
                <w:b w:val="0"/>
                <w:bCs/>
                <w:color w:val="auto"/>
                <w:sz w:val="24"/>
                <w:szCs w:val="24"/>
                <w:highlight w:val="none"/>
              </w:rPr>
            </w:pPr>
          </w:p>
        </w:tc>
        <w:tc>
          <w:tcPr>
            <w:tcW w:w="3263" w:type="dxa"/>
            <w:noWrap w:val="0"/>
            <w:vAlign w:val="center"/>
          </w:tcPr>
          <w:p>
            <w:pPr>
              <w:rPr>
                <w:rFonts w:hint="eastAsia" w:ascii="宋体" w:hAnsi="宋体" w:eastAsia="宋体" w:cs="宋体"/>
                <w:b w:val="0"/>
                <w:bCs/>
                <w:color w:val="auto"/>
                <w:sz w:val="24"/>
                <w:szCs w:val="24"/>
                <w:highlight w:val="none"/>
              </w:rPr>
            </w:pPr>
          </w:p>
        </w:tc>
        <w:tc>
          <w:tcPr>
            <w:tcW w:w="1785" w:type="dxa"/>
            <w:noWrap w:val="0"/>
            <w:vAlign w:val="center"/>
          </w:tcPr>
          <w:p>
            <w:pPr>
              <w:rPr>
                <w:rFonts w:hint="eastAsia" w:ascii="宋体" w:hAnsi="宋体" w:eastAsia="宋体" w:cs="宋体"/>
                <w:b w:val="0"/>
                <w:bCs/>
                <w:color w:val="auto"/>
                <w:sz w:val="24"/>
                <w:szCs w:val="24"/>
                <w:highlight w:val="none"/>
              </w:rPr>
            </w:pPr>
          </w:p>
        </w:tc>
      </w:tr>
    </w:tbl>
    <w:p>
      <w:pPr>
        <w:pStyle w:val="72"/>
        <w:rPr>
          <w:rFonts w:hint="eastAsia" w:ascii="宋体" w:hAnsi="宋体" w:eastAsia="宋体" w:cs="宋体"/>
          <w:b w:val="0"/>
          <w:bCs/>
          <w:color w:val="auto"/>
          <w:sz w:val="24"/>
          <w:szCs w:val="24"/>
          <w:highlight w:val="none"/>
        </w:rPr>
      </w:pPr>
    </w:p>
    <w:p>
      <w:pPr>
        <w:pStyle w:val="15"/>
        <w:numPr>
          <w:ilvl w:val="0"/>
          <w:numId w:val="0"/>
        </w:numPr>
        <w:ind w:right="33" w:rightChars="0"/>
        <w:rPr>
          <w:rFonts w:hint="eastAsia" w:ascii="宋体" w:hAnsi="宋体" w:eastAsia="宋体" w:cs="宋体"/>
          <w:b w:val="0"/>
          <w:bCs/>
          <w:color w:val="auto"/>
          <w:sz w:val="24"/>
          <w:szCs w:val="24"/>
          <w:highlight w:val="none"/>
        </w:rPr>
      </w:pPr>
    </w:p>
    <w:p>
      <w:pPr>
        <w:pStyle w:val="110"/>
        <w:keepNext w:val="0"/>
        <w:keepLines w:val="0"/>
        <w:pageBreakBefore w:val="0"/>
        <w:widowControl/>
        <w:tabs>
          <w:tab w:val="left" w:pos="360"/>
        </w:tabs>
        <w:kinsoku/>
        <w:wordWrap/>
        <w:overflowPunct/>
        <w:topLinePunct w:val="0"/>
        <w:autoSpaceDE/>
        <w:autoSpaceDN/>
        <w:bidi w:val="0"/>
        <w:adjustRightInd/>
        <w:snapToGrid/>
        <w:spacing w:line="360" w:lineRule="auto"/>
        <w:ind w:right="85" w:rightChars="4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注：1、投标人须将投标文件对采购需求的所有偏离填入此表。</w:t>
      </w:r>
    </w:p>
    <w:p>
      <w:pPr>
        <w:pStyle w:val="110"/>
        <w:keepNext w:val="0"/>
        <w:keepLines w:val="0"/>
        <w:pageBreakBefore w:val="0"/>
        <w:widowControl/>
        <w:kinsoku/>
        <w:wordWrap/>
        <w:overflowPunct/>
        <w:topLinePunct w:val="0"/>
        <w:autoSpaceDE/>
        <w:autoSpaceDN/>
        <w:bidi w:val="0"/>
        <w:adjustRightInd/>
        <w:snapToGrid/>
        <w:spacing w:line="360" w:lineRule="auto"/>
        <w:ind w:right="85" w:rightChars="40" w:firstLine="486"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如未填写，视为完全响应采购需求的全部要求。在采购人与中标人签订合同期间，中标人未在本偏离表中列出偏离说明，即使其在投标文件的其他部分说明与采购文件要求有所不同或回避不答，亦均视为完全符合采购文件中所要求的最佳值并写入合同。若中标人在定标后及合同签订前，以上述事项为借口而不履行合同签订手续及执行合同，则视作放弃中标资格。</w:t>
      </w:r>
    </w:p>
    <w:p>
      <w:pPr>
        <w:pStyle w:val="110"/>
        <w:keepNext w:val="0"/>
        <w:keepLines w:val="0"/>
        <w:pageBreakBefore w:val="0"/>
        <w:widowControl/>
        <w:kinsoku/>
        <w:wordWrap/>
        <w:overflowPunct/>
        <w:topLinePunct w:val="0"/>
        <w:autoSpaceDE/>
        <w:autoSpaceDN/>
        <w:bidi w:val="0"/>
        <w:adjustRightInd/>
        <w:snapToGrid/>
        <w:spacing w:line="360" w:lineRule="auto"/>
        <w:ind w:right="85" w:rightChars="40" w:firstLine="486"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3、表格中行数不够用时可按相同格式增加行数。</w:t>
      </w:r>
    </w:p>
    <w:p>
      <w:pPr>
        <w:pStyle w:val="17"/>
        <w:spacing w:line="560" w:lineRule="exact"/>
        <w:jc w:val="center"/>
        <w:rPr>
          <w:rFonts w:hint="eastAsia" w:ascii="宋体" w:hAnsi="宋体" w:eastAsia="宋体" w:cs="宋体"/>
          <w:b w:val="0"/>
          <w:bCs/>
          <w:color w:val="auto"/>
          <w:sz w:val="24"/>
          <w:szCs w:val="24"/>
          <w:highlight w:val="none"/>
          <w:lang w:val="zh-CN"/>
        </w:rPr>
      </w:pPr>
    </w:p>
    <w:p>
      <w:pPr>
        <w:spacing w:before="120" w:beforeLines="50" w:after="120" w:afterLines="50"/>
        <w:ind w:right="-21" w:rightChars="-10" w:firstLine="5103" w:firstLineChars="21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竞争性磋商供应商全称（公章）：</w:t>
      </w:r>
    </w:p>
    <w:p>
      <w:pPr>
        <w:spacing w:before="120" w:beforeLines="50" w:after="120" w:afterLines="50"/>
        <w:ind w:right="-10" w:firstLine="4374" w:firstLineChars="18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法定代表人或授权代表（签字或盖章）：</w:t>
      </w:r>
    </w:p>
    <w:p>
      <w:pPr>
        <w:spacing w:line="360" w:lineRule="auto"/>
        <w:ind w:firstLine="4860" w:firstLineChars="20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日期：</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年</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月</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日</w:t>
      </w:r>
    </w:p>
    <w:p>
      <w:pPr>
        <w:adjustRightInd w:val="0"/>
        <w:snapToGrid w:val="0"/>
        <w:spacing w:line="288" w:lineRule="auto"/>
        <w:jc w:val="center"/>
        <w:rPr>
          <w:rFonts w:hint="eastAsia"/>
          <w:b/>
          <w:color w:val="auto"/>
          <w:spacing w:val="-6"/>
          <w:szCs w:val="21"/>
          <w:highlight w:val="none"/>
        </w:rPr>
      </w:pPr>
    </w:p>
    <w:p>
      <w:pPr>
        <w:adjustRightInd w:val="0"/>
        <w:snapToGrid w:val="0"/>
        <w:spacing w:line="288" w:lineRule="auto"/>
        <w:jc w:val="center"/>
        <w:rPr>
          <w:rFonts w:hint="eastAsia"/>
          <w:b/>
          <w:color w:val="auto"/>
          <w:spacing w:val="-6"/>
          <w:szCs w:val="21"/>
          <w:highlight w:val="none"/>
        </w:rPr>
      </w:pPr>
    </w:p>
    <w:p>
      <w:pPr>
        <w:adjustRightInd w:val="0"/>
        <w:snapToGrid w:val="0"/>
        <w:spacing w:line="288" w:lineRule="auto"/>
        <w:jc w:val="center"/>
        <w:rPr>
          <w:rFonts w:hint="eastAsia"/>
          <w:b/>
          <w:color w:val="auto"/>
          <w:spacing w:val="-6"/>
          <w:szCs w:val="21"/>
          <w:highlight w:val="none"/>
        </w:rPr>
      </w:pPr>
    </w:p>
    <w:p>
      <w:pPr>
        <w:adjustRightInd w:val="0"/>
        <w:snapToGrid w:val="0"/>
        <w:spacing w:line="288" w:lineRule="auto"/>
        <w:jc w:val="center"/>
        <w:rPr>
          <w:rFonts w:hint="eastAsia"/>
          <w:b/>
          <w:color w:val="auto"/>
          <w:spacing w:val="-6"/>
          <w:szCs w:val="21"/>
          <w:highlight w:val="none"/>
        </w:rPr>
      </w:pPr>
    </w:p>
    <w:p>
      <w:pPr>
        <w:adjustRightInd w:val="0"/>
        <w:snapToGrid w:val="0"/>
        <w:spacing w:line="288" w:lineRule="auto"/>
        <w:jc w:val="center"/>
        <w:rPr>
          <w:rFonts w:hint="eastAsia"/>
          <w:b/>
          <w:color w:val="auto"/>
          <w:spacing w:val="-6"/>
          <w:szCs w:val="21"/>
          <w:highlight w:val="none"/>
        </w:rPr>
      </w:pPr>
    </w:p>
    <w:p>
      <w:pPr>
        <w:adjustRightInd w:val="0"/>
        <w:snapToGrid w:val="0"/>
        <w:spacing w:line="288" w:lineRule="auto"/>
        <w:jc w:val="center"/>
        <w:rPr>
          <w:rFonts w:hint="eastAsia"/>
          <w:b/>
          <w:color w:val="auto"/>
          <w:spacing w:val="-6"/>
          <w:szCs w:val="21"/>
          <w:highlight w:val="none"/>
        </w:rPr>
      </w:pPr>
    </w:p>
    <w:p>
      <w:pPr>
        <w:adjustRightInd w:val="0"/>
        <w:snapToGrid w:val="0"/>
        <w:spacing w:line="288" w:lineRule="auto"/>
        <w:jc w:val="center"/>
        <w:rPr>
          <w:rFonts w:hint="eastAsia"/>
          <w:b/>
          <w:color w:val="auto"/>
          <w:spacing w:val="-6"/>
          <w:szCs w:val="21"/>
          <w:highlight w:val="none"/>
        </w:rPr>
      </w:pPr>
    </w:p>
    <w:p>
      <w:pPr>
        <w:adjustRightInd w:val="0"/>
        <w:snapToGrid w:val="0"/>
        <w:spacing w:line="288" w:lineRule="auto"/>
        <w:jc w:val="center"/>
        <w:rPr>
          <w:rFonts w:hint="eastAsia"/>
          <w:b/>
          <w:color w:val="auto"/>
          <w:spacing w:val="-6"/>
          <w:szCs w:val="21"/>
          <w:highlight w:val="none"/>
        </w:rPr>
      </w:pPr>
    </w:p>
    <w:p>
      <w:pPr>
        <w:adjustRightInd w:val="0"/>
        <w:snapToGrid w:val="0"/>
        <w:spacing w:line="288" w:lineRule="auto"/>
        <w:jc w:val="center"/>
        <w:rPr>
          <w:rFonts w:hint="eastAsia"/>
          <w:b/>
          <w:color w:val="auto"/>
          <w:spacing w:val="-6"/>
          <w:szCs w:val="21"/>
          <w:highlight w:val="none"/>
        </w:rPr>
      </w:pPr>
      <w:r>
        <w:rPr>
          <w:rFonts w:hint="eastAsia"/>
          <w:b/>
          <w:color w:val="auto"/>
          <w:spacing w:val="-6"/>
          <w:szCs w:val="21"/>
          <w:highlight w:val="none"/>
        </w:rPr>
        <w:t>以下内容格式自拟</w:t>
      </w:r>
    </w:p>
    <w:p>
      <w:pPr>
        <w:adjustRightInd w:val="0"/>
        <w:snapToGrid w:val="0"/>
        <w:spacing w:line="288" w:lineRule="auto"/>
        <w:rPr>
          <w:rFonts w:hint="eastAsia"/>
          <w:b/>
          <w:color w:val="auto"/>
          <w:spacing w:val="-6"/>
          <w:szCs w:val="21"/>
          <w:highlight w:val="none"/>
        </w:rPr>
      </w:pPr>
    </w:p>
    <w:p>
      <w:pPr>
        <w:adjustRightInd w:val="0"/>
        <w:snapToGrid w:val="0"/>
        <w:spacing w:line="288" w:lineRule="auto"/>
        <w:rPr>
          <w:rFonts w:hint="eastAsia"/>
          <w:b/>
          <w:color w:val="auto"/>
          <w:spacing w:val="-6"/>
          <w:szCs w:val="21"/>
          <w:highlight w:val="none"/>
        </w:rPr>
      </w:pPr>
      <w:r>
        <w:rPr>
          <w:rFonts w:hint="eastAsia"/>
          <w:b/>
          <w:color w:val="auto"/>
          <w:spacing w:val="-6"/>
          <w:szCs w:val="21"/>
          <w:highlight w:val="none"/>
        </w:rPr>
        <w:t>（5）技术方案</w:t>
      </w:r>
    </w:p>
    <w:p>
      <w:pPr>
        <w:adjustRightInd w:val="0"/>
        <w:snapToGrid w:val="0"/>
        <w:spacing w:line="288" w:lineRule="auto"/>
        <w:rPr>
          <w:rFonts w:hint="eastAsia"/>
          <w:b/>
          <w:color w:val="auto"/>
          <w:spacing w:val="-6"/>
          <w:szCs w:val="21"/>
          <w:highlight w:val="none"/>
        </w:rPr>
      </w:pPr>
      <w:r>
        <w:rPr>
          <w:rFonts w:hint="eastAsia"/>
          <w:b/>
          <w:color w:val="auto"/>
          <w:spacing w:val="-6"/>
          <w:szCs w:val="21"/>
          <w:highlight w:val="none"/>
        </w:rPr>
        <w:t xml:space="preserve">（6）服务团队 </w:t>
      </w:r>
    </w:p>
    <w:p>
      <w:pPr>
        <w:adjustRightInd w:val="0"/>
        <w:snapToGrid w:val="0"/>
        <w:spacing w:line="288" w:lineRule="auto"/>
        <w:rPr>
          <w:rFonts w:hint="eastAsia"/>
          <w:b/>
          <w:color w:val="auto"/>
          <w:spacing w:val="-6"/>
          <w:szCs w:val="21"/>
          <w:highlight w:val="none"/>
        </w:rPr>
      </w:pPr>
      <w:r>
        <w:rPr>
          <w:rFonts w:hint="eastAsia"/>
          <w:b/>
          <w:color w:val="auto"/>
          <w:spacing w:val="-6"/>
          <w:szCs w:val="21"/>
          <w:highlight w:val="none"/>
        </w:rPr>
        <w:t>（7）与本项目实施相关的供应商各类资质证书</w:t>
      </w:r>
    </w:p>
    <w:p>
      <w:pPr>
        <w:adjustRightInd w:val="0"/>
        <w:snapToGrid w:val="0"/>
        <w:spacing w:line="288" w:lineRule="auto"/>
        <w:rPr>
          <w:rFonts w:hint="eastAsia" w:ascii="宋体" w:hAnsi="宋体" w:eastAsia="宋体" w:cs="宋体"/>
          <w:b/>
          <w:color w:val="auto"/>
          <w:spacing w:val="-6"/>
          <w:szCs w:val="21"/>
          <w:highlight w:val="none"/>
        </w:rPr>
      </w:pPr>
      <w:r>
        <w:rPr>
          <w:rFonts w:hint="eastAsia"/>
          <w:b/>
          <w:color w:val="auto"/>
          <w:spacing w:val="-6"/>
          <w:szCs w:val="21"/>
          <w:highlight w:val="none"/>
        </w:rPr>
        <w:t>（8）项目人员相关证书</w:t>
      </w:r>
      <w:r>
        <w:rPr>
          <w:rFonts w:hint="eastAsia"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lang w:eastAsia="zh-CN"/>
        </w:rPr>
        <w:t>提供自开标前近3个月社保缴纳凭证并加盖投标人公章</w:t>
      </w:r>
      <w:r>
        <w:rPr>
          <w:rFonts w:hint="eastAsia" w:ascii="宋体" w:hAnsi="宋体" w:eastAsia="宋体" w:cs="宋体"/>
          <w:b/>
          <w:color w:val="auto"/>
          <w:spacing w:val="-6"/>
          <w:szCs w:val="21"/>
          <w:highlight w:val="none"/>
        </w:rPr>
        <w:t>）</w:t>
      </w:r>
    </w:p>
    <w:p>
      <w:pPr>
        <w:adjustRightInd w:val="0"/>
        <w:snapToGrid w:val="0"/>
        <w:spacing w:line="288" w:lineRule="auto"/>
        <w:rPr>
          <w:rFonts w:hint="eastAsia"/>
          <w:b/>
          <w:color w:val="auto"/>
          <w:spacing w:val="-6"/>
          <w:szCs w:val="21"/>
          <w:highlight w:val="none"/>
        </w:rPr>
      </w:pPr>
      <w:r>
        <w:rPr>
          <w:rFonts w:hint="eastAsia"/>
          <w:b/>
          <w:color w:val="auto"/>
          <w:spacing w:val="-6"/>
          <w:szCs w:val="21"/>
          <w:highlight w:val="none"/>
        </w:rPr>
        <w:t>（9）供应商需要说明的其他内容（未尽事宜可按评分细则部分制作）</w:t>
      </w:r>
    </w:p>
    <w:p>
      <w:pPr>
        <w:adjustRightInd w:val="0"/>
        <w:snapToGrid w:val="0"/>
        <w:spacing w:line="288" w:lineRule="auto"/>
        <w:rPr>
          <w:rFonts w:hint="eastAsia"/>
          <w:b/>
          <w:color w:val="auto"/>
          <w:spacing w:val="-6"/>
          <w:szCs w:val="21"/>
          <w:highlight w:val="none"/>
        </w:rPr>
      </w:pPr>
    </w:p>
    <w:p>
      <w:pPr>
        <w:adjustRightInd w:val="0"/>
        <w:snapToGrid w:val="0"/>
        <w:spacing w:line="288" w:lineRule="auto"/>
        <w:rPr>
          <w:rFonts w:hint="eastAsia"/>
          <w:b/>
          <w:color w:val="auto"/>
          <w:spacing w:val="-6"/>
          <w:szCs w:val="21"/>
          <w:highlight w:val="none"/>
        </w:rPr>
      </w:pPr>
      <w:r>
        <w:rPr>
          <w:rFonts w:hint="eastAsia"/>
          <w:b/>
          <w:color w:val="auto"/>
          <w:spacing w:val="-6"/>
          <w:szCs w:val="21"/>
          <w:highlight w:val="none"/>
        </w:rPr>
        <w:br w:type="page"/>
      </w:r>
    </w:p>
    <w:p>
      <w:pPr>
        <w:adjustRightInd w:val="0"/>
        <w:snapToGrid w:val="0"/>
        <w:spacing w:line="288" w:lineRule="auto"/>
        <w:rPr>
          <w:rFonts w:hint="eastAsia"/>
          <w:b/>
          <w:color w:val="auto"/>
          <w:spacing w:val="-6"/>
          <w:szCs w:val="21"/>
          <w:highlight w:val="none"/>
        </w:rPr>
      </w:pPr>
    </w:p>
    <w:p>
      <w:pPr>
        <w:overflowPunct w:val="0"/>
        <w:adjustRightInd w:val="0"/>
        <w:snapToGrid w:val="0"/>
        <w:spacing w:line="288" w:lineRule="auto"/>
        <w:jc w:val="center"/>
        <w:outlineLvl w:val="1"/>
        <w:rPr>
          <w:rFonts w:hint="eastAsia" w:cs="Times New Roman"/>
          <w:b/>
          <w:color w:val="auto"/>
          <w:spacing w:val="-6"/>
          <w:sz w:val="84"/>
          <w:szCs w:val="84"/>
          <w:highlight w:val="none"/>
        </w:rPr>
      </w:pPr>
      <w:r>
        <w:rPr>
          <w:rFonts w:hint="eastAsia" w:cs="Times New Roman"/>
          <w:b/>
          <w:color w:val="auto"/>
          <w:spacing w:val="-6"/>
          <w:sz w:val="84"/>
          <w:szCs w:val="84"/>
          <w:highlight w:val="none"/>
        </w:rPr>
        <w:t>报价文件</w:t>
      </w:r>
    </w:p>
    <w:p>
      <w:pPr>
        <w:ind w:firstLine="2001" w:firstLineChars="996"/>
        <w:jc w:val="both"/>
        <w:outlineLvl w:val="1"/>
        <w:rPr>
          <w:b/>
          <w:color w:val="auto"/>
          <w:sz w:val="30"/>
          <w:szCs w:val="30"/>
          <w:highlight w:val="none"/>
        </w:rPr>
      </w:pPr>
      <w:r>
        <w:rPr>
          <w:rFonts w:hint="eastAsia"/>
          <w:b/>
          <w:color w:val="auto"/>
          <w:spacing w:val="-6"/>
          <w:szCs w:val="21"/>
          <w:highlight w:val="none"/>
        </w:rPr>
        <w:br w:type="page"/>
      </w:r>
      <w:r>
        <w:rPr>
          <w:rFonts w:hint="eastAsia"/>
          <w:b/>
          <w:color w:val="auto"/>
          <w:spacing w:val="-6"/>
          <w:szCs w:val="21"/>
          <w:highlight w:val="none"/>
          <w:lang w:val="en-US" w:eastAsia="zh-CN"/>
        </w:rPr>
        <w:t xml:space="preserve">        </w:t>
      </w:r>
      <w:r>
        <w:rPr>
          <w:b/>
          <w:color w:val="auto"/>
          <w:sz w:val="30"/>
          <w:szCs w:val="30"/>
          <w:highlight w:val="none"/>
        </w:rPr>
        <w:t>第</w:t>
      </w:r>
      <w:r>
        <w:rPr>
          <w:rFonts w:hint="eastAsia"/>
          <w:b/>
          <w:color w:val="auto"/>
          <w:sz w:val="30"/>
          <w:szCs w:val="30"/>
          <w:highlight w:val="none"/>
        </w:rPr>
        <w:t>一</w:t>
      </w:r>
      <w:r>
        <w:rPr>
          <w:b/>
          <w:color w:val="auto"/>
          <w:sz w:val="30"/>
          <w:szCs w:val="30"/>
          <w:highlight w:val="none"/>
        </w:rPr>
        <w:t>轮报价一览表</w:t>
      </w:r>
    </w:p>
    <w:p>
      <w:pPr>
        <w:ind w:firstLine="3017" w:firstLineChars="996"/>
        <w:outlineLvl w:val="1"/>
        <w:rPr>
          <w:rFonts w:hint="eastAsia"/>
          <w:b/>
          <w:color w:val="auto"/>
          <w:sz w:val="30"/>
          <w:szCs w:val="30"/>
          <w:highlight w:val="none"/>
        </w:rPr>
      </w:pPr>
    </w:p>
    <w:p>
      <w:pPr>
        <w:pStyle w:val="7"/>
        <w:spacing w:line="400" w:lineRule="exact"/>
        <w:ind w:firstLine="0"/>
        <w:rPr>
          <w:rFonts w:hint="eastAsia"/>
          <w:color w:val="auto"/>
          <w:highlight w:val="none"/>
        </w:rPr>
      </w:pPr>
      <w:bookmarkStart w:id="55" w:name="_Toc339979556"/>
      <w:r>
        <w:rPr>
          <w:rFonts w:hint="eastAsia"/>
          <w:color w:val="auto"/>
          <w:highlight w:val="none"/>
        </w:rPr>
        <w:t>项目编号：</w:t>
      </w:r>
      <w:r>
        <w:rPr>
          <w:rFonts w:hint="eastAsia" w:ascii="宋体" w:hAnsi="宋体"/>
          <w:color w:val="auto"/>
          <w:szCs w:val="21"/>
          <w:highlight w:val="none"/>
          <w:lang w:eastAsia="zh-CN"/>
        </w:rPr>
        <w:t>浙均和（2025）D</w:t>
      </w:r>
      <w:r>
        <w:rPr>
          <w:rFonts w:hint="eastAsia" w:ascii="宋体" w:hAnsi="宋体"/>
          <w:color w:val="auto"/>
          <w:szCs w:val="21"/>
          <w:highlight w:val="none"/>
          <w:lang w:val="en-US" w:eastAsia="zh-CN"/>
        </w:rPr>
        <w:t>099</w:t>
      </w:r>
      <w:r>
        <w:rPr>
          <w:rFonts w:hint="eastAsia" w:ascii="宋体" w:hAnsi="宋体"/>
          <w:color w:val="auto"/>
          <w:szCs w:val="21"/>
          <w:highlight w:val="none"/>
          <w:lang w:eastAsia="zh-CN"/>
        </w:rPr>
        <w:t>号</w:t>
      </w:r>
      <w:r>
        <w:rPr>
          <w:rFonts w:hint="eastAsia"/>
          <w:color w:val="auto"/>
          <w:highlight w:val="none"/>
        </w:rPr>
        <w:t xml:space="preserve">                               （</w:t>
      </w:r>
      <w:r>
        <w:rPr>
          <w:color w:val="auto"/>
          <w:highlight w:val="none"/>
        </w:rPr>
        <w:t>价格单位：人民币元）</w:t>
      </w:r>
    </w:p>
    <w:tbl>
      <w:tblPr>
        <w:tblStyle w:val="30"/>
        <w:tblW w:w="0" w:type="auto"/>
        <w:tblInd w:w="93" w:type="dxa"/>
        <w:tblLayout w:type="fixed"/>
        <w:tblCellMar>
          <w:top w:w="0" w:type="dxa"/>
          <w:left w:w="108" w:type="dxa"/>
          <w:bottom w:w="0" w:type="dxa"/>
          <w:right w:w="108" w:type="dxa"/>
        </w:tblCellMar>
      </w:tblPr>
      <w:tblGrid>
        <w:gridCol w:w="729"/>
        <w:gridCol w:w="2688"/>
        <w:gridCol w:w="975"/>
        <w:gridCol w:w="1485"/>
        <w:gridCol w:w="1500"/>
        <w:gridCol w:w="1818"/>
      </w:tblGrid>
      <w:tr>
        <w:tblPrEx>
          <w:tblCellMar>
            <w:top w:w="0" w:type="dxa"/>
            <w:left w:w="108" w:type="dxa"/>
            <w:bottom w:w="0" w:type="dxa"/>
            <w:right w:w="108" w:type="dxa"/>
          </w:tblCellMar>
        </w:tblPrEx>
        <w:trPr>
          <w:trHeight w:val="1098" w:hRule="atLeast"/>
        </w:trPr>
        <w:tc>
          <w:tcPr>
            <w:tcW w:w="7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cs="Courier New"/>
                <w:b/>
                <w:bCs/>
                <w:color w:val="auto"/>
                <w:szCs w:val="21"/>
                <w:highlight w:val="none"/>
              </w:rPr>
            </w:pPr>
            <w:r>
              <w:rPr>
                <w:rFonts w:cs="Courier New"/>
                <w:b/>
                <w:bCs/>
                <w:color w:val="auto"/>
                <w:szCs w:val="21"/>
                <w:highlight w:val="none"/>
              </w:rPr>
              <w:t>序号</w:t>
            </w:r>
          </w:p>
        </w:tc>
        <w:tc>
          <w:tcPr>
            <w:tcW w:w="2688"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center"/>
              <w:rPr>
                <w:rFonts w:hint="eastAsia" w:cs="Courier New"/>
                <w:b/>
                <w:bCs/>
                <w:color w:val="auto"/>
                <w:szCs w:val="21"/>
                <w:highlight w:val="none"/>
              </w:rPr>
            </w:pPr>
            <w:r>
              <w:rPr>
                <w:rFonts w:hint="eastAsia" w:cs="Courier New"/>
                <w:b/>
                <w:bCs/>
                <w:color w:val="auto"/>
                <w:szCs w:val="21"/>
                <w:highlight w:val="none"/>
              </w:rPr>
              <w:t>项目</w:t>
            </w:r>
            <w:r>
              <w:rPr>
                <w:rFonts w:cs="Courier New"/>
                <w:b/>
                <w:bCs/>
                <w:color w:val="auto"/>
                <w:szCs w:val="21"/>
                <w:highlight w:val="none"/>
              </w:rPr>
              <w:t>名称</w:t>
            </w:r>
          </w:p>
        </w:tc>
        <w:tc>
          <w:tcPr>
            <w:tcW w:w="975"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pPr>
              <w:jc w:val="center"/>
              <w:rPr>
                <w:rFonts w:hint="eastAsia" w:cs="Courier New"/>
                <w:b/>
                <w:bCs/>
                <w:color w:val="auto"/>
                <w:szCs w:val="21"/>
                <w:highlight w:val="none"/>
              </w:rPr>
            </w:pPr>
            <w:r>
              <w:rPr>
                <w:rFonts w:hint="eastAsia" w:cs="Courier New"/>
                <w:b/>
                <w:bCs/>
                <w:color w:val="auto"/>
                <w:szCs w:val="21"/>
                <w:highlight w:val="none"/>
              </w:rPr>
              <w:t>数量</w:t>
            </w:r>
          </w:p>
        </w:tc>
        <w:tc>
          <w:tcPr>
            <w:tcW w:w="14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cs="Courier New"/>
                <w:b/>
                <w:bCs/>
                <w:color w:val="auto"/>
                <w:szCs w:val="21"/>
                <w:highlight w:val="none"/>
              </w:rPr>
            </w:pPr>
            <w:r>
              <w:rPr>
                <w:rFonts w:hint="eastAsia" w:cs="Courier New"/>
                <w:b/>
                <w:bCs/>
                <w:color w:val="auto"/>
                <w:szCs w:val="21"/>
                <w:highlight w:val="none"/>
              </w:rPr>
              <w:t>报价</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cs="Courier New"/>
                <w:b/>
                <w:bCs/>
                <w:color w:val="auto"/>
                <w:szCs w:val="21"/>
                <w:highlight w:val="none"/>
              </w:rPr>
            </w:pPr>
            <w:r>
              <w:rPr>
                <w:rFonts w:hint="eastAsia" w:cs="Courier New"/>
                <w:b/>
                <w:bCs/>
                <w:color w:val="auto"/>
                <w:szCs w:val="21"/>
                <w:highlight w:val="none"/>
              </w:rPr>
              <w:t>项目负责人</w:t>
            </w:r>
          </w:p>
        </w:tc>
        <w:tc>
          <w:tcPr>
            <w:tcW w:w="18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cs="Courier New"/>
                <w:b/>
                <w:bCs/>
                <w:color w:val="auto"/>
                <w:szCs w:val="21"/>
                <w:highlight w:val="none"/>
              </w:rPr>
            </w:pPr>
            <w:r>
              <w:rPr>
                <w:rFonts w:hint="eastAsia" w:cs="Courier New"/>
                <w:b/>
                <w:bCs/>
                <w:color w:val="auto"/>
                <w:szCs w:val="21"/>
                <w:highlight w:val="none"/>
              </w:rPr>
              <w:t>服务期限</w:t>
            </w:r>
          </w:p>
        </w:tc>
      </w:tr>
      <w:tr>
        <w:tblPrEx>
          <w:tblCellMar>
            <w:top w:w="0" w:type="dxa"/>
            <w:left w:w="108" w:type="dxa"/>
            <w:bottom w:w="0" w:type="dxa"/>
            <w:right w:w="108" w:type="dxa"/>
          </w:tblCellMar>
        </w:tblPrEx>
        <w:trPr>
          <w:trHeight w:val="1304" w:hRule="atLeast"/>
        </w:trPr>
        <w:tc>
          <w:tcPr>
            <w:tcW w:w="7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cs="Courier New"/>
                <w:b/>
                <w:bCs/>
                <w:color w:val="auto"/>
                <w:szCs w:val="21"/>
                <w:highlight w:val="none"/>
              </w:rPr>
            </w:pPr>
            <w:r>
              <w:rPr>
                <w:rFonts w:hint="eastAsia" w:cs="Courier New"/>
                <w:b/>
                <w:bCs/>
                <w:color w:val="auto"/>
                <w:szCs w:val="21"/>
                <w:highlight w:val="none"/>
              </w:rPr>
              <w:t>1</w:t>
            </w:r>
          </w:p>
        </w:tc>
        <w:tc>
          <w:tcPr>
            <w:tcW w:w="2688"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jc w:val="center"/>
              <w:rPr>
                <w:rFonts w:hint="eastAsia" w:eastAsia="宋体" w:cs="Courier New"/>
                <w:b/>
                <w:bCs/>
                <w:color w:val="auto"/>
                <w:szCs w:val="21"/>
                <w:highlight w:val="none"/>
                <w:lang w:eastAsia="zh-CN"/>
              </w:rPr>
            </w:pPr>
            <w:r>
              <w:rPr>
                <w:rFonts w:hint="eastAsia"/>
                <w:b/>
                <w:color w:val="auto"/>
                <w:szCs w:val="21"/>
                <w:highlight w:val="none"/>
                <w:lang w:eastAsia="zh-CN"/>
              </w:rPr>
              <w:t>海盐县不动产权籍调查及制图测绘项目</w:t>
            </w:r>
          </w:p>
        </w:tc>
        <w:tc>
          <w:tcPr>
            <w:tcW w:w="975"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pPr>
              <w:jc w:val="center"/>
              <w:rPr>
                <w:rFonts w:hint="eastAsia" w:cs="Courier New"/>
                <w:b/>
                <w:bCs/>
                <w:color w:val="auto"/>
                <w:szCs w:val="21"/>
                <w:highlight w:val="none"/>
              </w:rPr>
            </w:pPr>
            <w:r>
              <w:rPr>
                <w:rFonts w:hint="eastAsia" w:cs="Courier New"/>
                <w:b/>
                <w:bCs/>
                <w:color w:val="auto"/>
                <w:szCs w:val="21"/>
                <w:highlight w:val="none"/>
              </w:rPr>
              <w:t>1项</w:t>
            </w:r>
          </w:p>
        </w:tc>
        <w:tc>
          <w:tcPr>
            <w:tcW w:w="14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cs="Courier New"/>
                <w:b/>
                <w:bCs/>
                <w:color w:val="auto"/>
                <w:szCs w:val="21"/>
                <w:highlight w:val="none"/>
              </w:rPr>
            </w:pP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cs="Courier New"/>
                <w:b/>
                <w:bCs/>
                <w:color w:val="auto"/>
                <w:szCs w:val="21"/>
                <w:highlight w:val="none"/>
              </w:rPr>
            </w:pPr>
          </w:p>
        </w:tc>
        <w:tc>
          <w:tcPr>
            <w:tcW w:w="18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cs="Courier New"/>
                <w:b/>
                <w:bCs/>
                <w:color w:val="auto"/>
                <w:szCs w:val="21"/>
                <w:highlight w:val="none"/>
              </w:rPr>
            </w:pPr>
          </w:p>
        </w:tc>
      </w:tr>
      <w:tr>
        <w:tblPrEx>
          <w:tblCellMar>
            <w:top w:w="0" w:type="dxa"/>
            <w:left w:w="108" w:type="dxa"/>
            <w:bottom w:w="0" w:type="dxa"/>
            <w:right w:w="108" w:type="dxa"/>
          </w:tblCellMar>
        </w:tblPrEx>
        <w:trPr>
          <w:trHeight w:val="1418" w:hRule="atLeast"/>
        </w:trPr>
        <w:tc>
          <w:tcPr>
            <w:tcW w:w="7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cs="Courier New"/>
                <w:b/>
                <w:bCs/>
                <w:color w:val="auto"/>
                <w:szCs w:val="21"/>
                <w:highlight w:val="none"/>
              </w:rPr>
            </w:pPr>
            <w:r>
              <w:rPr>
                <w:rFonts w:hint="eastAsia" w:cs="Courier New"/>
                <w:b/>
                <w:bCs/>
                <w:color w:val="auto"/>
                <w:szCs w:val="21"/>
                <w:highlight w:val="none"/>
              </w:rPr>
              <w:t>2</w:t>
            </w:r>
          </w:p>
        </w:tc>
        <w:tc>
          <w:tcPr>
            <w:tcW w:w="8466"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cs="Courier New"/>
                <w:b/>
                <w:bCs/>
                <w:color w:val="auto"/>
                <w:szCs w:val="21"/>
                <w:highlight w:val="none"/>
              </w:rPr>
            </w:pPr>
            <w:r>
              <w:rPr>
                <w:rFonts w:hint="eastAsia" w:cs="Courier New"/>
                <w:b/>
                <w:bCs/>
                <w:color w:val="auto"/>
                <w:szCs w:val="21"/>
                <w:highlight w:val="none"/>
              </w:rPr>
              <w:t xml:space="preserve">  大写</w:t>
            </w:r>
            <w:r>
              <w:rPr>
                <w:rFonts w:hint="eastAsia" w:cs="Courier New"/>
                <w:b/>
                <w:bCs/>
                <w:color w:val="auto"/>
                <w:szCs w:val="21"/>
                <w:highlight w:val="none"/>
                <w:u w:val="single"/>
              </w:rPr>
              <w:t xml:space="preserve">                          </w:t>
            </w:r>
            <w:r>
              <w:rPr>
                <w:rFonts w:hint="eastAsia" w:cs="Courier New"/>
                <w:b/>
                <w:bCs/>
                <w:color w:val="auto"/>
                <w:szCs w:val="21"/>
                <w:highlight w:val="none"/>
              </w:rPr>
              <w:t xml:space="preserve">元整  小写 </w:t>
            </w:r>
            <w:r>
              <w:rPr>
                <w:rFonts w:hint="eastAsia" w:cs="Courier New"/>
                <w:b/>
                <w:bCs/>
                <w:color w:val="auto"/>
                <w:szCs w:val="21"/>
                <w:highlight w:val="none"/>
                <w:u w:val="single"/>
              </w:rPr>
              <w:t xml:space="preserve">                       </w:t>
            </w:r>
            <w:r>
              <w:rPr>
                <w:rFonts w:hint="eastAsia" w:cs="Courier New"/>
                <w:b/>
                <w:bCs/>
                <w:color w:val="auto"/>
                <w:szCs w:val="21"/>
                <w:highlight w:val="none"/>
              </w:rPr>
              <w:t>元</w:t>
            </w:r>
          </w:p>
        </w:tc>
      </w:tr>
    </w:tbl>
    <w:p>
      <w:pPr>
        <w:keepNext w:val="0"/>
        <w:keepLines w:val="0"/>
        <w:pageBreakBefore w:val="0"/>
        <w:widowControl/>
        <w:kinsoku/>
        <w:wordWrap/>
        <w:topLinePunct w:val="0"/>
        <w:autoSpaceDE/>
        <w:autoSpaceDN/>
        <w:bidi w:val="0"/>
        <w:adjustRightInd/>
        <w:snapToGrid/>
        <w:spacing w:line="360" w:lineRule="auto"/>
        <w:ind w:firstLine="560"/>
        <w:textAlignment w:val="auto"/>
        <w:rPr>
          <w:rFonts w:hint="eastAsia" w:ascii="宋体" w:hAnsi="宋体" w:eastAsia="宋体" w:cs="宋体"/>
          <w:color w:val="auto"/>
          <w:kern w:val="2"/>
          <w:szCs w:val="21"/>
          <w:highlight w:val="none"/>
        </w:rPr>
      </w:pPr>
    </w:p>
    <w:p>
      <w:pPr>
        <w:keepNext w:val="0"/>
        <w:keepLines w:val="0"/>
        <w:pageBreakBefore w:val="0"/>
        <w:widowControl/>
        <w:kinsoku/>
        <w:wordWrap/>
        <w:topLinePunct w:val="0"/>
        <w:autoSpaceDE/>
        <w:autoSpaceDN/>
        <w:bidi w:val="0"/>
        <w:adjustRightInd/>
        <w:snapToGrid/>
        <w:spacing w:line="360" w:lineRule="auto"/>
        <w:ind w:firstLine="56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1.总报价</w:t>
      </w:r>
      <w:r>
        <w:rPr>
          <w:rFonts w:hint="eastAsia" w:ascii="宋体" w:hAnsi="宋体" w:eastAsia="宋体" w:cs="宋体"/>
          <w:color w:val="auto"/>
          <w:kern w:val="2"/>
          <w:szCs w:val="21"/>
          <w:highlight w:val="none"/>
          <w:lang w:val="en-US" w:eastAsia="zh-CN"/>
        </w:rPr>
        <w:t>包括乙方完成本项目工作所涉及的所有费用，投标总价包括但不限于材料、设备使用、人工、车辆使用、来往路费开销、住宿、招待、风险费、企业利润、管理费、税金、招标代理费等与项目相关的所有费用。</w:t>
      </w:r>
    </w:p>
    <w:p>
      <w:pPr>
        <w:keepNext w:val="0"/>
        <w:keepLines w:val="0"/>
        <w:pageBreakBefore w:val="0"/>
        <w:widowControl/>
        <w:kinsoku/>
        <w:wordWrap/>
        <w:overflowPunct w:val="0"/>
        <w:topLinePunct w:val="0"/>
        <w:autoSpaceDE/>
        <w:autoSpaceDN/>
        <w:bidi w:val="0"/>
        <w:adjustRightInd/>
        <w:snapToGrid/>
        <w:spacing w:line="360" w:lineRule="auto"/>
        <w:ind w:firstLine="546" w:firstLineChars="245"/>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2.总价高于最高限价的报价作无效标处理。</w:t>
      </w:r>
    </w:p>
    <w:p>
      <w:pPr>
        <w:keepNext w:val="0"/>
        <w:keepLines w:val="0"/>
        <w:pageBreakBefore w:val="0"/>
        <w:widowControl/>
        <w:kinsoku/>
        <w:wordWrap/>
        <w:overflowPunct w:val="0"/>
        <w:topLinePunct w:val="0"/>
        <w:autoSpaceDE/>
        <w:autoSpaceDN/>
        <w:bidi w:val="0"/>
        <w:adjustRightInd/>
        <w:snapToGrid/>
        <w:spacing w:line="360" w:lineRule="auto"/>
        <w:ind w:firstLine="546" w:firstLineChars="245"/>
        <w:textAlignment w:val="auto"/>
        <w:rPr>
          <w:rFonts w:hint="eastAsia"/>
          <w:b/>
          <w:color w:val="auto"/>
          <w:sz w:val="22"/>
          <w:szCs w:val="22"/>
          <w:highlight w:val="none"/>
        </w:rPr>
      </w:pPr>
      <w:r>
        <w:rPr>
          <w:rFonts w:hint="eastAsia"/>
          <w:b/>
          <w:color w:val="auto"/>
          <w:sz w:val="22"/>
          <w:szCs w:val="22"/>
          <w:highlight w:val="none"/>
        </w:rPr>
        <w:t>3、不提供此表格的将视为没有实质性响应磋商文件。</w:t>
      </w:r>
    </w:p>
    <w:p>
      <w:pPr>
        <w:keepNext w:val="0"/>
        <w:keepLines w:val="0"/>
        <w:pageBreakBefore w:val="0"/>
        <w:widowControl/>
        <w:kinsoku/>
        <w:wordWrap/>
        <w:topLinePunct w:val="0"/>
        <w:autoSpaceDE/>
        <w:autoSpaceDN/>
        <w:bidi w:val="0"/>
        <w:adjustRightInd/>
        <w:snapToGrid/>
        <w:spacing w:line="360" w:lineRule="auto"/>
        <w:ind w:firstLine="560"/>
        <w:textAlignment w:val="auto"/>
        <w:rPr>
          <w:rFonts w:hint="eastAsia" w:cs="仿宋_GB2312"/>
          <w:color w:val="auto"/>
          <w:szCs w:val="21"/>
          <w:highlight w:val="none"/>
        </w:rPr>
      </w:pPr>
    </w:p>
    <w:p>
      <w:pPr>
        <w:spacing w:line="360" w:lineRule="auto"/>
        <w:rPr>
          <w:rFonts w:hint="eastAsia" w:ascii="Arial" w:hAnsi="Arial"/>
          <w:color w:val="auto"/>
          <w:highlight w:val="none"/>
        </w:rPr>
      </w:pPr>
    </w:p>
    <w:p>
      <w:pPr>
        <w:spacing w:line="360" w:lineRule="auto"/>
        <w:ind w:firstLine="4899" w:firstLineChars="2300"/>
        <w:rPr>
          <w:rFonts w:hint="eastAsia" w:ascii="Arial" w:hAnsi="Arial"/>
          <w:color w:val="auto"/>
          <w:highlight w:val="none"/>
        </w:rPr>
      </w:pPr>
    </w:p>
    <w:bookmarkEnd w:id="55"/>
    <w:p>
      <w:pPr>
        <w:spacing w:before="120" w:beforeLines="50" w:after="120" w:afterLines="50"/>
        <w:ind w:right="-21" w:rightChars="-10" w:firstLine="3834" w:firstLineChars="1800"/>
        <w:rPr>
          <w:rFonts w:ascii="Arial" w:hAnsi="Arial" w:cs="Arial"/>
          <w:color w:val="auto"/>
          <w:szCs w:val="21"/>
          <w:highlight w:val="none"/>
        </w:rPr>
      </w:pPr>
      <w:r>
        <w:rPr>
          <w:rFonts w:hint="eastAsia" w:ascii="Arial" w:hAnsi="Arial" w:cs="Arial"/>
          <w:color w:val="auto"/>
          <w:szCs w:val="21"/>
          <w:highlight w:val="none"/>
        </w:rPr>
        <w:t>竞争性磋商供应商</w:t>
      </w:r>
      <w:r>
        <w:rPr>
          <w:rFonts w:ascii="Arial" w:hAnsi="Arial" w:cs="Arial"/>
          <w:color w:val="auto"/>
          <w:szCs w:val="21"/>
          <w:highlight w:val="none"/>
        </w:rPr>
        <w:t>全称（公章）：</w:t>
      </w:r>
    </w:p>
    <w:p>
      <w:pPr>
        <w:spacing w:before="120" w:beforeLines="50" w:after="120" w:afterLines="50"/>
        <w:ind w:right="-10" w:firstLine="3834" w:firstLineChars="1800"/>
        <w:rPr>
          <w:rFonts w:ascii="Arial" w:hAnsi="Arial" w:cs="Arial"/>
          <w:color w:val="auto"/>
          <w:szCs w:val="21"/>
          <w:highlight w:val="none"/>
        </w:rPr>
      </w:pPr>
      <w:r>
        <w:rPr>
          <w:rFonts w:hint="eastAsia" w:ascii="Arial" w:hAnsi="Arial" w:cs="Arial"/>
          <w:color w:val="auto"/>
          <w:szCs w:val="21"/>
          <w:highlight w:val="none"/>
        </w:rPr>
        <w:t>法定代表人（负责人）</w:t>
      </w:r>
      <w:r>
        <w:rPr>
          <w:rFonts w:ascii="Arial" w:hAnsi="Arial" w:cs="Arial"/>
          <w:color w:val="auto"/>
          <w:szCs w:val="21"/>
          <w:highlight w:val="none"/>
        </w:rPr>
        <w:t>或授权代表（签字或盖章）：</w:t>
      </w:r>
    </w:p>
    <w:p>
      <w:pPr>
        <w:spacing w:line="360" w:lineRule="auto"/>
        <w:ind w:firstLine="4473" w:firstLineChars="2100"/>
        <w:rPr>
          <w:color w:val="auto"/>
          <w:szCs w:val="21"/>
          <w:highlight w:val="none"/>
        </w:rPr>
      </w:pPr>
      <w:r>
        <w:rPr>
          <w:rFonts w:hint="eastAsia"/>
          <w:color w:val="auto"/>
          <w:szCs w:val="21"/>
          <w:highlight w:val="none"/>
        </w:rPr>
        <w:t>日期：</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w:t>
      </w:r>
    </w:p>
    <w:p>
      <w:pPr>
        <w:spacing w:line="360" w:lineRule="auto"/>
        <w:rPr>
          <w:color w:val="auto"/>
          <w:highlight w:val="none"/>
        </w:rPr>
      </w:pPr>
    </w:p>
    <w:p>
      <w:pPr>
        <w:numPr>
          <w:ins w:id="0" w:author="zch" w:date="2016-05-10T09:46:00Z"/>
        </w:numPr>
        <w:tabs>
          <w:tab w:val="left" w:pos="465"/>
        </w:tabs>
        <w:rPr>
          <w:color w:val="auto"/>
          <w:highlight w:val="none"/>
        </w:rPr>
      </w:pPr>
    </w:p>
    <w:p>
      <w:pPr>
        <w:numPr>
          <w:ins w:id="1" w:author="zch" w:date="2016-05-10T09:46:00Z"/>
        </w:numPr>
        <w:tabs>
          <w:tab w:val="left" w:pos="465"/>
        </w:tabs>
        <w:rPr>
          <w:color w:val="auto"/>
          <w:highlight w:val="none"/>
        </w:rPr>
      </w:pPr>
    </w:p>
    <w:p>
      <w:pPr>
        <w:snapToGrid w:val="0"/>
        <w:spacing w:before="50" w:after="50" w:line="360" w:lineRule="auto"/>
        <w:rPr>
          <w:b/>
          <w:color w:val="auto"/>
          <w:highlight w:val="none"/>
        </w:rPr>
      </w:pPr>
    </w:p>
    <w:p>
      <w:pPr>
        <w:pStyle w:val="11"/>
        <w:rPr>
          <w:color w:val="auto"/>
          <w:highlight w:val="none"/>
        </w:rPr>
      </w:pPr>
    </w:p>
    <w:p>
      <w:pPr>
        <w:rPr>
          <w:color w:val="auto"/>
          <w:highlight w:val="none"/>
        </w:rPr>
      </w:pPr>
    </w:p>
    <w:p>
      <w:pPr>
        <w:numPr>
          <w:ins w:id="2" w:author="zch" w:date="2016-05-10T09:46:00Z"/>
        </w:numPr>
        <w:tabs>
          <w:tab w:val="left" w:pos="465"/>
        </w:tabs>
        <w:rPr>
          <w:color w:val="auto"/>
          <w:highlight w:val="none"/>
        </w:rPr>
      </w:pPr>
    </w:p>
    <w:p>
      <w:pPr>
        <w:outlineLvl w:val="1"/>
        <w:rPr>
          <w:rFonts w:hint="eastAsia"/>
          <w:b/>
          <w:color w:val="auto"/>
          <w:sz w:val="21"/>
          <w:szCs w:val="21"/>
          <w:highlight w:val="none"/>
        </w:rPr>
      </w:pPr>
      <w:r>
        <w:rPr>
          <w:rFonts w:hint="eastAsia"/>
          <w:b/>
          <w:color w:val="auto"/>
          <w:sz w:val="21"/>
          <w:szCs w:val="21"/>
          <w:highlight w:val="none"/>
        </w:rPr>
        <w:t>1.中小企业声明函</w:t>
      </w:r>
    </w:p>
    <w:p>
      <w:pPr>
        <w:snapToGrid w:val="0"/>
        <w:spacing w:before="50" w:after="120" w:afterLines="50" w:line="560" w:lineRule="exact"/>
        <w:jc w:val="center"/>
        <w:rPr>
          <w:rFonts w:hint="eastAsia"/>
          <w:b/>
          <w:bCs/>
          <w:color w:val="auto"/>
          <w:sz w:val="21"/>
          <w:szCs w:val="21"/>
          <w:highlight w:val="none"/>
        </w:rPr>
      </w:pPr>
      <w:r>
        <w:rPr>
          <w:rFonts w:hint="eastAsia"/>
          <w:b/>
          <w:bCs/>
          <w:color w:val="auto"/>
          <w:sz w:val="21"/>
          <w:szCs w:val="21"/>
          <w:highlight w:val="none"/>
        </w:rPr>
        <w:t>中小企业声明函</w:t>
      </w:r>
    </w:p>
    <w:p>
      <w:pPr>
        <w:adjustRightInd w:val="0"/>
        <w:snapToGrid w:val="0"/>
        <w:spacing w:line="360" w:lineRule="auto"/>
        <w:jc w:val="center"/>
        <w:rPr>
          <w:rFonts w:hint="eastAsia"/>
          <w:color w:val="auto"/>
          <w:sz w:val="21"/>
          <w:szCs w:val="21"/>
          <w:highlight w:val="none"/>
        </w:rPr>
      </w:pPr>
      <w:r>
        <w:rPr>
          <w:rFonts w:hint="eastAsia"/>
          <w:color w:val="auto"/>
          <w:sz w:val="21"/>
          <w:szCs w:val="21"/>
          <w:highlight w:val="none"/>
        </w:rPr>
        <w:t xml:space="preserve">  </w:t>
      </w:r>
      <w:r>
        <w:rPr>
          <w:rFonts w:hint="eastAsia"/>
          <w:b/>
          <w:color w:val="auto"/>
          <w:sz w:val="21"/>
          <w:szCs w:val="21"/>
          <w:highlight w:val="none"/>
        </w:rPr>
        <w:t>中小企业声明函</w:t>
      </w:r>
      <w:r>
        <w:rPr>
          <w:rFonts w:hint="eastAsia"/>
          <w:color w:val="auto"/>
          <w:sz w:val="21"/>
          <w:szCs w:val="21"/>
          <w:highlight w:val="none"/>
        </w:rPr>
        <w:t>【不属于中小企业的无需填写、递交】</w:t>
      </w:r>
    </w:p>
    <w:p>
      <w:pPr>
        <w:adjustRightInd w:val="0"/>
        <w:snapToGrid w:val="0"/>
        <w:spacing w:line="360" w:lineRule="auto"/>
        <w:ind w:firstLine="426" w:firstLineChars="200"/>
        <w:rPr>
          <w:rFonts w:hint="eastAsia"/>
          <w:color w:val="auto"/>
          <w:sz w:val="21"/>
          <w:szCs w:val="21"/>
          <w:highlight w:val="none"/>
        </w:rPr>
      </w:pPr>
      <w:r>
        <w:rPr>
          <w:rFonts w:hint="eastAsia"/>
          <w:color w:val="auto"/>
          <w:sz w:val="21"/>
          <w:szCs w:val="21"/>
          <w:highlight w:val="none"/>
        </w:rPr>
        <w:t>本公司郑重声明，根据《政府采购促进中小企业发展管理办法》（财库﹝2020﹞46 号）的规定，本公司参加</w:t>
      </w:r>
      <w:r>
        <w:rPr>
          <w:rFonts w:hint="eastAsia"/>
          <w:color w:val="auto"/>
          <w:sz w:val="21"/>
          <w:szCs w:val="21"/>
          <w:highlight w:val="none"/>
          <w:u w:val="single"/>
        </w:rPr>
        <w:t xml:space="preserve">   （单位名称）    </w:t>
      </w:r>
      <w:r>
        <w:rPr>
          <w:rFonts w:hint="eastAsia"/>
          <w:color w:val="auto"/>
          <w:sz w:val="21"/>
          <w:szCs w:val="21"/>
          <w:highlight w:val="none"/>
        </w:rPr>
        <w:t>的</w:t>
      </w:r>
      <w:r>
        <w:rPr>
          <w:rFonts w:hint="eastAsia"/>
          <w:color w:val="auto"/>
          <w:sz w:val="21"/>
          <w:szCs w:val="21"/>
          <w:highlight w:val="none"/>
          <w:u w:val="single"/>
        </w:rPr>
        <w:t xml:space="preserve"> （项目名称）     </w:t>
      </w:r>
      <w:r>
        <w:rPr>
          <w:rFonts w:hint="eastAsia"/>
          <w:color w:val="auto"/>
          <w:sz w:val="21"/>
          <w:szCs w:val="21"/>
          <w:highlight w:val="none"/>
        </w:rPr>
        <w:t>采购活动，提供的服务全部由符合政策要求的中小企业制造。相关企业（含联合体中的中小企业、签订分包意向协议的中小企业）的具体情况如下：</w:t>
      </w:r>
    </w:p>
    <w:p>
      <w:pPr>
        <w:adjustRightInd w:val="0"/>
        <w:snapToGrid w:val="0"/>
        <w:spacing w:line="360" w:lineRule="auto"/>
        <w:ind w:firstLine="426" w:firstLineChars="200"/>
        <w:rPr>
          <w:rFonts w:hint="eastAsia"/>
          <w:color w:val="auto"/>
          <w:sz w:val="21"/>
          <w:szCs w:val="21"/>
          <w:highlight w:val="none"/>
        </w:rPr>
      </w:pPr>
      <w:r>
        <w:rPr>
          <w:rFonts w:hint="eastAsia"/>
          <w:color w:val="auto"/>
          <w:sz w:val="21"/>
          <w:szCs w:val="21"/>
          <w:highlight w:val="none"/>
        </w:rPr>
        <w:t>1.</w:t>
      </w:r>
      <w:r>
        <w:rPr>
          <w:rFonts w:hint="eastAsia"/>
          <w:color w:val="auto"/>
          <w:sz w:val="21"/>
          <w:szCs w:val="21"/>
          <w:highlight w:val="none"/>
          <w:u w:val="single"/>
        </w:rPr>
        <w:t xml:space="preserve"> （标的名称）   </w:t>
      </w:r>
      <w:r>
        <w:rPr>
          <w:rFonts w:hint="eastAsia"/>
          <w:color w:val="auto"/>
          <w:sz w:val="21"/>
          <w:szCs w:val="21"/>
          <w:highlight w:val="none"/>
        </w:rPr>
        <w:t>，属于</w:t>
      </w:r>
      <w:r>
        <w:rPr>
          <w:rFonts w:hint="eastAsia"/>
          <w:color w:val="auto"/>
          <w:sz w:val="21"/>
          <w:szCs w:val="21"/>
          <w:highlight w:val="none"/>
          <w:u w:val="single"/>
        </w:rPr>
        <w:t xml:space="preserve">   其他未列明   </w:t>
      </w:r>
      <w:r>
        <w:rPr>
          <w:rFonts w:hint="eastAsia"/>
          <w:color w:val="auto"/>
          <w:sz w:val="21"/>
          <w:szCs w:val="21"/>
          <w:highlight w:val="none"/>
        </w:rPr>
        <w:t>行业 ；从业人员</w:t>
      </w:r>
      <w:r>
        <w:rPr>
          <w:rFonts w:hint="eastAsia"/>
          <w:color w:val="auto"/>
          <w:sz w:val="21"/>
          <w:szCs w:val="21"/>
          <w:highlight w:val="none"/>
          <w:u w:val="single"/>
        </w:rPr>
        <w:t xml:space="preserve">          </w:t>
      </w:r>
      <w:r>
        <w:rPr>
          <w:rFonts w:hint="eastAsia"/>
          <w:color w:val="auto"/>
          <w:sz w:val="21"/>
          <w:szCs w:val="21"/>
          <w:highlight w:val="none"/>
        </w:rPr>
        <w:t>人，营业收入为</w:t>
      </w:r>
      <w:r>
        <w:rPr>
          <w:rFonts w:hint="eastAsia"/>
          <w:color w:val="auto"/>
          <w:sz w:val="21"/>
          <w:szCs w:val="21"/>
          <w:highlight w:val="none"/>
          <w:u w:val="single"/>
        </w:rPr>
        <w:t xml:space="preserve">          </w:t>
      </w:r>
      <w:r>
        <w:rPr>
          <w:rFonts w:hint="eastAsia"/>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rPr>
        <w:t>万元，属于</w:t>
      </w:r>
      <w:r>
        <w:rPr>
          <w:rFonts w:hint="eastAsia"/>
          <w:color w:val="auto"/>
          <w:sz w:val="21"/>
          <w:szCs w:val="21"/>
          <w:highlight w:val="none"/>
          <w:u w:val="single"/>
        </w:rPr>
        <w:t xml:space="preserve">        （中型企业、小型企业、微型企业） </w:t>
      </w:r>
      <w:r>
        <w:rPr>
          <w:rFonts w:hint="eastAsia"/>
          <w:color w:val="auto"/>
          <w:sz w:val="21"/>
          <w:szCs w:val="21"/>
          <w:highlight w:val="none"/>
        </w:rPr>
        <w:t>；</w:t>
      </w:r>
    </w:p>
    <w:p>
      <w:pPr>
        <w:adjustRightInd w:val="0"/>
        <w:snapToGrid w:val="0"/>
        <w:spacing w:line="360" w:lineRule="auto"/>
        <w:ind w:firstLine="426" w:firstLineChars="200"/>
        <w:rPr>
          <w:rFonts w:hint="eastAsia"/>
          <w:color w:val="auto"/>
          <w:sz w:val="21"/>
          <w:szCs w:val="21"/>
          <w:highlight w:val="none"/>
        </w:rPr>
      </w:pPr>
      <w:r>
        <w:rPr>
          <w:rFonts w:hint="eastAsia"/>
          <w:color w:val="auto"/>
          <w:sz w:val="21"/>
          <w:szCs w:val="21"/>
          <w:highlight w:val="none"/>
        </w:rPr>
        <w:t>……</w:t>
      </w:r>
    </w:p>
    <w:p>
      <w:pPr>
        <w:adjustRightInd w:val="0"/>
        <w:snapToGrid w:val="0"/>
        <w:spacing w:line="360" w:lineRule="auto"/>
        <w:ind w:firstLine="426" w:firstLineChars="200"/>
        <w:rPr>
          <w:rFonts w:hint="eastAsia"/>
          <w:b/>
          <w:color w:val="auto"/>
          <w:sz w:val="21"/>
          <w:szCs w:val="21"/>
          <w:highlight w:val="none"/>
        </w:rPr>
      </w:pPr>
      <w:r>
        <w:rPr>
          <w:rFonts w:hint="eastAsia"/>
          <w:b/>
          <w:color w:val="auto"/>
          <w:sz w:val="21"/>
          <w:szCs w:val="21"/>
          <w:highlight w:val="none"/>
        </w:rPr>
        <w:t>以上企业，不属于大企业的分支机构，不存在控股股东为大企业的情形，也不存在与大企业的负责人为同一人的情形。</w:t>
      </w:r>
    </w:p>
    <w:p>
      <w:pPr>
        <w:adjustRightInd w:val="0"/>
        <w:snapToGrid w:val="0"/>
        <w:spacing w:line="360" w:lineRule="auto"/>
        <w:ind w:firstLine="426" w:firstLineChars="200"/>
        <w:rPr>
          <w:rFonts w:hint="eastAsia"/>
          <w:b/>
          <w:color w:val="auto"/>
          <w:sz w:val="21"/>
          <w:szCs w:val="21"/>
          <w:highlight w:val="none"/>
        </w:rPr>
      </w:pPr>
      <w:r>
        <w:rPr>
          <w:rFonts w:hint="eastAsia"/>
          <w:b/>
          <w:color w:val="auto"/>
          <w:sz w:val="21"/>
          <w:szCs w:val="21"/>
          <w:highlight w:val="none"/>
        </w:rPr>
        <w:t>本企业对上述声明内容的真实性负责。如有虚假，将依法承担相应责任。</w:t>
      </w:r>
    </w:p>
    <w:p>
      <w:pPr>
        <w:adjustRightInd w:val="0"/>
        <w:snapToGrid w:val="0"/>
        <w:spacing w:line="360" w:lineRule="auto"/>
        <w:ind w:firstLine="4047" w:firstLineChars="1900"/>
        <w:rPr>
          <w:rFonts w:hint="eastAsia"/>
          <w:color w:val="auto"/>
          <w:sz w:val="21"/>
          <w:szCs w:val="21"/>
          <w:highlight w:val="none"/>
        </w:rPr>
      </w:pPr>
      <w:r>
        <w:rPr>
          <w:rFonts w:hint="eastAsia"/>
          <w:color w:val="auto"/>
          <w:sz w:val="21"/>
          <w:szCs w:val="21"/>
          <w:highlight w:val="none"/>
        </w:rPr>
        <w:t>企业名称（盖章）：</w:t>
      </w:r>
    </w:p>
    <w:p>
      <w:pPr>
        <w:adjustRightInd w:val="0"/>
        <w:snapToGrid w:val="0"/>
        <w:spacing w:line="360" w:lineRule="auto"/>
        <w:ind w:firstLine="4047" w:firstLineChars="1900"/>
        <w:rPr>
          <w:rFonts w:hint="eastAsia"/>
          <w:color w:val="auto"/>
          <w:sz w:val="21"/>
          <w:szCs w:val="21"/>
          <w:highlight w:val="none"/>
        </w:rPr>
      </w:pPr>
      <w:r>
        <w:rPr>
          <w:rFonts w:hint="eastAsia"/>
          <w:color w:val="auto"/>
          <w:sz w:val="21"/>
          <w:szCs w:val="21"/>
          <w:highlight w:val="none"/>
        </w:rPr>
        <w:t>日 期：</w:t>
      </w:r>
    </w:p>
    <w:p>
      <w:pPr>
        <w:adjustRightInd w:val="0"/>
        <w:snapToGrid w:val="0"/>
        <w:spacing w:line="360" w:lineRule="auto"/>
        <w:ind w:firstLine="426" w:firstLineChars="200"/>
        <w:rPr>
          <w:rFonts w:hint="eastAsia"/>
          <w:color w:val="auto"/>
          <w:sz w:val="21"/>
          <w:szCs w:val="21"/>
          <w:highlight w:val="none"/>
        </w:rPr>
      </w:pPr>
    </w:p>
    <w:p>
      <w:pPr>
        <w:adjustRightInd w:val="0"/>
        <w:snapToGrid w:val="0"/>
        <w:spacing w:line="360" w:lineRule="auto"/>
        <w:ind w:firstLine="426" w:firstLineChars="200"/>
        <w:rPr>
          <w:rFonts w:hint="eastAsia"/>
          <w:color w:val="auto"/>
          <w:sz w:val="21"/>
          <w:szCs w:val="21"/>
          <w:highlight w:val="none"/>
        </w:rPr>
      </w:pPr>
      <w:r>
        <w:rPr>
          <w:rFonts w:hint="eastAsia"/>
          <w:b/>
          <w:color w:val="auto"/>
          <w:sz w:val="21"/>
          <w:szCs w:val="21"/>
          <w:highlight w:val="none"/>
        </w:rPr>
        <w:t>从业人员、营业收入、资产总额填报上一年度数据，无上一年度数据的新成立企业可不填报。</w:t>
      </w:r>
    </w:p>
    <w:p>
      <w:pPr>
        <w:adjustRightInd w:val="0"/>
        <w:snapToGrid w:val="0"/>
        <w:spacing w:line="360" w:lineRule="auto"/>
        <w:rPr>
          <w:rFonts w:hint="eastAsia"/>
          <w:b/>
          <w:bCs/>
          <w:color w:val="auto"/>
          <w:sz w:val="21"/>
          <w:szCs w:val="21"/>
          <w:highlight w:val="none"/>
        </w:rPr>
      </w:pPr>
      <w:r>
        <w:rPr>
          <w:rFonts w:hint="eastAsia"/>
          <w:b/>
          <w:bCs/>
          <w:color w:val="auto"/>
          <w:sz w:val="21"/>
          <w:szCs w:val="21"/>
          <w:highlight w:val="none"/>
        </w:rPr>
        <w:t>请登录</w:t>
      </w:r>
      <w:r>
        <w:rPr>
          <w:rFonts w:hint="eastAsia"/>
          <w:color w:val="auto"/>
          <w:sz w:val="21"/>
          <w:szCs w:val="21"/>
          <w:highlight w:val="none"/>
        </w:rPr>
        <w:fldChar w:fldCharType="begin"/>
      </w:r>
      <w:r>
        <w:rPr>
          <w:rFonts w:hint="eastAsia"/>
          <w:color w:val="auto"/>
          <w:sz w:val="21"/>
          <w:szCs w:val="21"/>
          <w:highlight w:val="none"/>
        </w:rPr>
        <w:instrText xml:space="preserve"> HYPERLINK "http://gks.mof.gov.cn/guizhangzhidu/202012/t20201228_3637419.htm" </w:instrText>
      </w:r>
      <w:r>
        <w:rPr>
          <w:rFonts w:hint="eastAsia"/>
          <w:color w:val="auto"/>
          <w:sz w:val="21"/>
          <w:szCs w:val="21"/>
          <w:highlight w:val="none"/>
        </w:rPr>
        <w:fldChar w:fldCharType="separate"/>
      </w:r>
      <w:r>
        <w:rPr>
          <w:rStyle w:val="41"/>
          <w:rFonts w:hint="eastAsia"/>
          <w:b/>
          <w:bCs/>
          <w:color w:val="auto"/>
          <w:sz w:val="21"/>
          <w:szCs w:val="21"/>
          <w:highlight w:val="none"/>
        </w:rPr>
        <w:t>http：//gks.mof.gov.cn/guizhangzhidu/202012/t20201228_3637419.htm</w:t>
      </w:r>
      <w:r>
        <w:rPr>
          <w:rFonts w:hint="eastAsia"/>
          <w:b/>
          <w:bCs/>
          <w:color w:val="auto"/>
          <w:sz w:val="21"/>
          <w:szCs w:val="21"/>
          <w:highlight w:val="none"/>
        </w:rPr>
        <w:fldChar w:fldCharType="end"/>
      </w:r>
      <w:r>
        <w:rPr>
          <w:rFonts w:hint="eastAsia"/>
          <w:b/>
          <w:bCs/>
          <w:color w:val="auto"/>
          <w:sz w:val="21"/>
          <w:szCs w:val="21"/>
          <w:highlight w:val="none"/>
        </w:rPr>
        <w:t>认真阅读理解财库〔2020〕46号关于印发《政府采购促进中小企业发展管理办法》的通知</w:t>
      </w:r>
    </w:p>
    <w:p>
      <w:pPr>
        <w:adjustRightInd w:val="0"/>
        <w:snapToGrid w:val="0"/>
        <w:spacing w:line="360" w:lineRule="auto"/>
        <w:rPr>
          <w:rFonts w:hint="eastAsia"/>
          <w:b/>
          <w:bCs/>
          <w:color w:val="auto"/>
          <w:sz w:val="21"/>
          <w:szCs w:val="21"/>
          <w:highlight w:val="none"/>
        </w:rPr>
      </w:pPr>
      <w:r>
        <w:rPr>
          <w:rFonts w:hint="eastAsia"/>
          <w:b/>
          <w:bCs/>
          <w:color w:val="auto"/>
          <w:sz w:val="21"/>
          <w:szCs w:val="21"/>
          <w:highlight w:val="none"/>
        </w:rPr>
        <w:t>可登录http：//www.ccgp.gov.cn/zcfg/mof/201310/t20131029_3587674.htm查阅工信部联企业〔2021〕300号《关于印发中小企业划型标准规定的通知》</w:t>
      </w:r>
    </w:p>
    <w:p>
      <w:pPr>
        <w:adjustRightInd w:val="0"/>
        <w:snapToGrid w:val="0"/>
        <w:spacing w:line="360" w:lineRule="auto"/>
        <w:rPr>
          <w:rFonts w:hint="eastAsia"/>
          <w:b/>
          <w:color w:val="auto"/>
          <w:sz w:val="21"/>
          <w:szCs w:val="21"/>
          <w:highlight w:val="none"/>
        </w:rPr>
      </w:pPr>
      <w:r>
        <w:rPr>
          <w:rFonts w:hint="eastAsia"/>
          <w:b/>
          <w:color w:val="auto"/>
          <w:sz w:val="21"/>
          <w:szCs w:val="21"/>
          <w:highlight w:val="none"/>
        </w:rPr>
        <w:t>企业从业人员、营业收入、资产总额确定后，如何认定是否属于投标产品所属行业中的中小微企业？</w:t>
      </w:r>
    </w:p>
    <w:p>
      <w:pPr>
        <w:adjustRightInd w:val="0"/>
        <w:snapToGrid w:val="0"/>
        <w:spacing w:line="360" w:lineRule="auto"/>
        <w:rPr>
          <w:rFonts w:hint="eastAsia"/>
          <w:color w:val="auto"/>
          <w:sz w:val="21"/>
          <w:szCs w:val="21"/>
          <w:highlight w:val="none"/>
        </w:rPr>
      </w:pPr>
      <w:r>
        <w:rPr>
          <w:rFonts w:hint="eastAsia"/>
          <w:b/>
          <w:color w:val="auto"/>
          <w:sz w:val="21"/>
          <w:szCs w:val="21"/>
          <w:highlight w:val="none"/>
        </w:rPr>
        <w:t> 请登录工业和信息化部</w:t>
      </w:r>
      <w:r>
        <w:rPr>
          <w:rFonts w:hint="eastAsia"/>
          <w:b/>
          <w:color w:val="auto"/>
          <w:sz w:val="21"/>
          <w:szCs w:val="21"/>
          <w:highlight w:val="none"/>
        </w:rPr>
        <w:fldChar w:fldCharType="begin"/>
      </w:r>
      <w:r>
        <w:rPr>
          <w:rFonts w:hint="eastAsia"/>
          <w:color w:val="auto"/>
          <w:sz w:val="21"/>
          <w:szCs w:val="21"/>
          <w:highlight w:val="none"/>
        </w:rPr>
        <w:instrText xml:space="preserve"> INCLUDEPICTURE "D:\\WeChat Files\\Elvinas\\Documents%20and%20Settings\\Administrator\\Application%20Data\\Tencent\\QQTempSys\\%5b5UQ%5bBL(6~BS2JV6W%7dN6%5b%25S.png" \* MERGEFORMAT </w:instrText>
      </w:r>
      <w:r>
        <w:rPr>
          <w:rFonts w:hint="eastAsia"/>
          <w:b/>
          <w:color w:val="auto"/>
          <w:sz w:val="21"/>
          <w:szCs w:val="21"/>
          <w:highlight w:val="none"/>
        </w:rPr>
        <w:fldChar w:fldCharType="separate"/>
      </w:r>
      <w:r>
        <w:rPr>
          <w:rFonts w:hint="eastAsia"/>
          <w:b/>
          <w:color w:val="auto"/>
          <w:sz w:val="21"/>
          <w:szCs w:val="21"/>
          <w:highlight w:val="none"/>
        </w:rPr>
        <w:fldChar w:fldCharType="begin"/>
      </w:r>
      <w:r>
        <w:rPr>
          <w:rFonts w:hint="eastAsia"/>
          <w:b/>
          <w:color w:val="auto"/>
          <w:sz w:val="21"/>
          <w:szCs w:val="21"/>
          <w:highlight w:val="none"/>
        </w:rPr>
        <w:instrText xml:space="preserve"> INCLUDEPICTURE  "D:\\WeChat Files\\Elvinas\\Documents%20and%20Settings\\Administrator\\Application%20Data\\Tencent\\QQTempSys\\%5b5UQ%5bBL(6~BS2JV6W%7dN6%5b%25S.png" \* MERGEFORMATINET </w:instrText>
      </w:r>
      <w:r>
        <w:rPr>
          <w:rFonts w:hint="eastAsia"/>
          <w:b/>
          <w:color w:val="auto"/>
          <w:sz w:val="21"/>
          <w:szCs w:val="21"/>
          <w:highlight w:val="none"/>
        </w:rPr>
        <w:fldChar w:fldCharType="separate"/>
      </w:r>
      <w:r>
        <w:rPr>
          <w:rFonts w:hint="eastAsia"/>
          <w:b/>
          <w:color w:val="auto"/>
          <w:sz w:val="21"/>
          <w:szCs w:val="21"/>
          <w:highlight w:val="none"/>
        </w:rPr>
        <w:drawing>
          <wp:inline distT="0" distB="0" distL="114300" distR="114300">
            <wp:extent cx="190500" cy="142875"/>
            <wp:effectExtent l="0" t="0" r="0" b="952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4" r:link="rId15"/>
                    <a:stretch>
                      <a:fillRect/>
                    </a:stretch>
                  </pic:blipFill>
                  <pic:spPr>
                    <a:xfrm>
                      <a:off x="0" y="0"/>
                      <a:ext cx="190500" cy="142875"/>
                    </a:xfrm>
                    <a:prstGeom prst="rect">
                      <a:avLst/>
                    </a:prstGeom>
                    <a:noFill/>
                    <a:ln w="9525">
                      <a:noFill/>
                      <a:miter/>
                    </a:ln>
                    <a:effectLst/>
                  </pic:spPr>
                </pic:pic>
              </a:graphicData>
            </a:graphic>
          </wp:inline>
        </w:drawing>
      </w:r>
      <w:r>
        <w:rPr>
          <w:rFonts w:hint="eastAsia"/>
          <w:b/>
          <w:color w:val="auto"/>
          <w:sz w:val="21"/>
          <w:szCs w:val="21"/>
          <w:highlight w:val="none"/>
        </w:rPr>
        <w:fldChar w:fldCharType="end"/>
      </w:r>
      <w:r>
        <w:rPr>
          <w:rFonts w:hint="eastAsia"/>
          <w:b/>
          <w:color w:val="auto"/>
          <w:sz w:val="21"/>
          <w:szCs w:val="21"/>
          <w:highlight w:val="none"/>
        </w:rPr>
        <w:fldChar w:fldCharType="end"/>
      </w:r>
      <w:r>
        <w:rPr>
          <w:rFonts w:hint="eastAsia"/>
          <w:b/>
          <w:color w:val="auto"/>
          <w:sz w:val="21"/>
          <w:szCs w:val="21"/>
          <w:highlight w:val="none"/>
        </w:rPr>
        <w:t>https：//www.miit.gov.cn/网站，</w:t>
      </w:r>
      <w:r>
        <w:rPr>
          <w:rFonts w:hint="eastAsia"/>
          <w:color w:val="auto"/>
          <w:sz w:val="21"/>
          <w:szCs w:val="21"/>
          <w:highlight w:val="none"/>
        </w:rPr>
        <w:fldChar w:fldCharType="begin"/>
      </w:r>
      <w:r>
        <w:rPr>
          <w:rFonts w:hint="eastAsia"/>
          <w:color w:val="auto"/>
          <w:sz w:val="21"/>
          <w:szCs w:val="21"/>
          <w:highlight w:val="none"/>
        </w:rPr>
        <w:instrText xml:space="preserve"> INCLUDEPICTURE  "D:\\WeChat Files\\Elvinas\\Program%20Files\\Tencent\\QQ\\Users\\1121991092\\Image\\Group2\\6N\\K6\\6NK6%5bU(5_DT(HU5(T4EZ222.png" \* MERGEFORMATINET </w:instrText>
      </w:r>
      <w:r>
        <w:rPr>
          <w:rFonts w:hint="eastAsia"/>
          <w:color w:val="auto"/>
          <w:sz w:val="21"/>
          <w:szCs w:val="21"/>
          <w:highlight w:val="none"/>
        </w:rPr>
        <w:fldChar w:fldCharType="separate"/>
      </w:r>
      <w:r>
        <w:rPr>
          <w:rFonts w:hint="eastAsia"/>
          <w:color w:val="auto"/>
          <w:sz w:val="21"/>
          <w:szCs w:val="21"/>
          <w:highlight w:val="none"/>
        </w:rPr>
        <w:drawing>
          <wp:inline distT="0" distB="0" distL="114300" distR="114300">
            <wp:extent cx="4038600" cy="638175"/>
            <wp:effectExtent l="0" t="0" r="0" b="9525"/>
            <wp:docPr id="3" name="图片 2" descr="6NK6[U(5_DT(HU5(T4EZ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6NK6[U(5_DT(HU5(T4EZ222"/>
                    <pic:cNvPicPr>
                      <a:picLocks noChangeAspect="1"/>
                    </pic:cNvPicPr>
                  </pic:nvPicPr>
                  <pic:blipFill>
                    <a:blip r:embed="rId16" r:link="rId17"/>
                    <a:stretch>
                      <a:fillRect/>
                    </a:stretch>
                  </pic:blipFill>
                  <pic:spPr>
                    <a:xfrm>
                      <a:off x="0" y="0"/>
                      <a:ext cx="4038600" cy="638175"/>
                    </a:xfrm>
                    <a:prstGeom prst="rect">
                      <a:avLst/>
                    </a:prstGeom>
                    <a:noFill/>
                    <a:ln w="9525">
                      <a:noFill/>
                      <a:miter/>
                    </a:ln>
                    <a:effectLst/>
                  </pic:spPr>
                </pic:pic>
              </a:graphicData>
            </a:graphic>
          </wp:inline>
        </w:drawing>
      </w:r>
      <w:r>
        <w:rPr>
          <w:rFonts w:hint="eastAsia"/>
          <w:color w:val="auto"/>
          <w:sz w:val="21"/>
          <w:szCs w:val="21"/>
          <w:highlight w:val="none"/>
        </w:rPr>
        <w:fldChar w:fldCharType="end"/>
      </w:r>
    </w:p>
    <w:p>
      <w:pPr>
        <w:adjustRightInd w:val="0"/>
        <w:snapToGrid w:val="0"/>
        <w:spacing w:line="360" w:lineRule="auto"/>
        <w:rPr>
          <w:rFonts w:hint="eastAsia"/>
          <w:color w:val="auto"/>
          <w:sz w:val="21"/>
          <w:szCs w:val="21"/>
          <w:highlight w:val="none"/>
        </w:rPr>
      </w:pPr>
      <w:r>
        <w:rPr>
          <w:rFonts w:hint="eastAsia"/>
          <w:b/>
          <w:color w:val="auto"/>
          <w:sz w:val="21"/>
          <w:szCs w:val="21"/>
          <w:highlight w:val="none"/>
        </w:rPr>
        <w:t>点开“中小企业规模类型自测小程序”，填写投标产品所属的行业和投标企业从业人员交社保职工人数及上年末资产总额指标数据自动生成企业规模类型测试结果。</w:t>
      </w:r>
    </w:p>
    <w:p>
      <w:pPr>
        <w:spacing w:line="360" w:lineRule="auto"/>
        <w:rPr>
          <w:rFonts w:hint="eastAsia"/>
          <w:color w:val="auto"/>
          <w:sz w:val="21"/>
          <w:szCs w:val="21"/>
          <w:highlight w:val="none"/>
        </w:rPr>
      </w:pPr>
      <w:r>
        <w:rPr>
          <w:rFonts w:hint="eastAsia"/>
          <w:color w:val="auto"/>
          <w:sz w:val="21"/>
          <w:szCs w:val="21"/>
          <w:highlight w:val="none"/>
        </w:rPr>
        <w:t xml:space="preserve"> </w:t>
      </w:r>
      <w:r>
        <w:rPr>
          <w:rFonts w:hint="eastAsia"/>
          <w:color w:val="auto"/>
          <w:sz w:val="21"/>
          <w:szCs w:val="21"/>
          <w:highlight w:val="none"/>
          <w:lang w:bidi="ar"/>
        </w:rPr>
        <w:t>从业人员、营业收入、资产总额填报上一年度数据，无上一年度数据的新成立企业可不填报。</w:t>
      </w:r>
    </w:p>
    <w:p>
      <w:pPr>
        <w:widowControl w:val="0"/>
        <w:wordWrap w:val="0"/>
        <w:snapToGrid w:val="0"/>
        <w:spacing w:before="50" w:after="120" w:afterLines="50"/>
        <w:ind w:firstLine="480"/>
        <w:rPr>
          <w:rFonts w:hint="eastAsia"/>
          <w:color w:val="auto"/>
          <w:sz w:val="21"/>
          <w:szCs w:val="21"/>
          <w:highlight w:val="none"/>
        </w:rPr>
      </w:pPr>
    </w:p>
    <w:p>
      <w:pPr>
        <w:spacing w:line="440" w:lineRule="exact"/>
        <w:rPr>
          <w:rFonts w:hint="eastAsia"/>
          <w:b/>
          <w:color w:val="auto"/>
          <w:sz w:val="21"/>
          <w:szCs w:val="21"/>
          <w:highlight w:val="none"/>
        </w:rPr>
      </w:pPr>
    </w:p>
    <w:p>
      <w:pPr>
        <w:pStyle w:val="17"/>
        <w:spacing w:line="360" w:lineRule="auto"/>
        <w:rPr>
          <w:rFonts w:hint="eastAsia" w:hAnsi="宋体" w:cs="宋体"/>
          <w:b/>
          <w:color w:val="auto"/>
          <w:highlight w:val="none"/>
        </w:rPr>
      </w:pPr>
    </w:p>
    <w:p>
      <w:pPr>
        <w:autoSpaceDE w:val="0"/>
        <w:autoSpaceDN w:val="0"/>
        <w:adjustRightInd w:val="0"/>
        <w:snapToGrid w:val="0"/>
        <w:textAlignment w:val="bottom"/>
        <w:rPr>
          <w:rFonts w:hint="eastAsia" w:ascii="宋体" w:hAnsi="宋体"/>
          <w:color w:val="auto"/>
          <w:highlight w:val="none"/>
        </w:rPr>
      </w:pPr>
      <w:r>
        <w:rPr>
          <w:rFonts w:hint="eastAsia" w:ascii="宋体" w:hAnsi="宋体"/>
          <w:b/>
          <w:color w:val="auto"/>
          <w:highlight w:val="none"/>
        </w:rPr>
        <w:t>附件1</w:t>
      </w:r>
    </w:p>
    <w:tbl>
      <w:tblPr>
        <w:tblStyle w:val="30"/>
        <w:tblpPr w:leftFromText="180" w:rightFromText="180" w:vertAnchor="text" w:horzAnchor="page" w:tblpX="1372" w:tblpY="591"/>
        <w:tblOverlap w:val="never"/>
        <w:tblW w:w="9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800"/>
        <w:gridCol w:w="1440"/>
        <w:gridCol w:w="1079"/>
        <w:gridCol w:w="1259"/>
        <w:gridCol w:w="1800"/>
        <w:gridCol w:w="144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trPr>
        <w:tc>
          <w:tcPr>
            <w:tcW w:w="18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b/>
                <w:bCs/>
                <w:color w:val="auto"/>
                <w:sz w:val="21"/>
                <w:szCs w:val="21"/>
                <w:highlight w:val="none"/>
                <w:lang w:val="en-US" w:eastAsia="zh-CN" w:bidi="ar-SA"/>
              </w:rPr>
              <w:t>行业名称</w:t>
            </w: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b/>
                <w:bCs/>
                <w:color w:val="auto"/>
                <w:sz w:val="21"/>
                <w:szCs w:val="21"/>
                <w:highlight w:val="none"/>
                <w:lang w:val="en-US" w:eastAsia="zh-CN" w:bidi="ar-SA"/>
              </w:rPr>
              <w:t>指标名称</w:t>
            </w:r>
          </w:p>
        </w:tc>
        <w:tc>
          <w:tcPr>
            <w:tcW w:w="107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b/>
                <w:bCs/>
                <w:color w:val="auto"/>
                <w:sz w:val="21"/>
                <w:szCs w:val="21"/>
                <w:highlight w:val="none"/>
                <w:lang w:val="en-US" w:eastAsia="zh-CN" w:bidi="ar-SA"/>
              </w:rPr>
              <w:t>计量单位</w:t>
            </w:r>
          </w:p>
        </w:tc>
        <w:tc>
          <w:tcPr>
            <w:tcW w:w="125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b/>
                <w:bCs/>
                <w:color w:val="auto"/>
                <w:sz w:val="21"/>
                <w:szCs w:val="21"/>
                <w:highlight w:val="none"/>
                <w:lang w:val="en-US" w:eastAsia="zh-CN" w:bidi="ar-SA"/>
              </w:rPr>
              <w:t>大型</w:t>
            </w:r>
          </w:p>
        </w:tc>
        <w:tc>
          <w:tcPr>
            <w:tcW w:w="18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b/>
                <w:bCs/>
                <w:color w:val="auto"/>
                <w:sz w:val="21"/>
                <w:szCs w:val="21"/>
                <w:highlight w:val="none"/>
                <w:lang w:val="en-US" w:eastAsia="zh-CN" w:bidi="ar-SA"/>
              </w:rPr>
              <w:t>中型</w:t>
            </w: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b/>
                <w:bCs/>
                <w:color w:val="auto"/>
                <w:sz w:val="21"/>
                <w:szCs w:val="21"/>
                <w:highlight w:val="none"/>
                <w:lang w:val="en-US" w:eastAsia="zh-CN" w:bidi="ar-SA"/>
              </w:rPr>
              <w:t>小型</w:t>
            </w:r>
          </w:p>
        </w:tc>
        <w:tc>
          <w:tcPr>
            <w:tcW w:w="9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b/>
                <w:bCs/>
                <w:color w:val="auto"/>
                <w:sz w:val="21"/>
                <w:szCs w:val="21"/>
                <w:highlight w:val="none"/>
                <w:lang w:val="en-US" w:eastAsia="zh-CN" w:bidi="ar-SA"/>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trPr>
        <w:tc>
          <w:tcPr>
            <w:tcW w:w="1800" w:type="dxa"/>
            <w:noWrap w:val="0"/>
            <w:tcMar>
              <w:top w:w="30" w:type="dxa"/>
              <w:left w:w="90" w:type="dxa"/>
              <w:bottom w:w="30" w:type="dxa"/>
              <w:right w:w="90" w:type="dxa"/>
            </w:tcMar>
            <w:vAlign w:val="center"/>
          </w:tcPr>
          <w:p>
            <w:pPr>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农、林、牧、渔业</w:t>
            </w: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营业收入(Y)</w:t>
            </w:r>
          </w:p>
        </w:tc>
        <w:tc>
          <w:tcPr>
            <w:tcW w:w="107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万元</w:t>
            </w:r>
          </w:p>
        </w:tc>
        <w:tc>
          <w:tcPr>
            <w:tcW w:w="125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Y≥20000</w:t>
            </w:r>
          </w:p>
        </w:tc>
        <w:tc>
          <w:tcPr>
            <w:tcW w:w="18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500≤Y&lt;20000</w:t>
            </w: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50≤Y&lt;500</w:t>
            </w:r>
          </w:p>
        </w:tc>
        <w:tc>
          <w:tcPr>
            <w:tcW w:w="9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trPr>
        <w:tc>
          <w:tcPr>
            <w:tcW w:w="1800" w:type="dxa"/>
            <w:vMerge w:val="restart"/>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工业</w:t>
            </w: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从业人员(X)</w:t>
            </w:r>
          </w:p>
        </w:tc>
        <w:tc>
          <w:tcPr>
            <w:tcW w:w="107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人</w:t>
            </w:r>
          </w:p>
        </w:tc>
        <w:tc>
          <w:tcPr>
            <w:tcW w:w="125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X≥1000</w:t>
            </w:r>
          </w:p>
        </w:tc>
        <w:tc>
          <w:tcPr>
            <w:tcW w:w="18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300≤X&lt;1000</w:t>
            </w: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20≤X&lt;300</w:t>
            </w:r>
          </w:p>
        </w:tc>
        <w:tc>
          <w:tcPr>
            <w:tcW w:w="9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trPr>
        <w:tc>
          <w:tcPr>
            <w:tcW w:w="1800" w:type="dxa"/>
            <w:vMerge w:val="continue"/>
            <w:noWrap w:val="0"/>
            <w:tcMar>
              <w:top w:w="30" w:type="dxa"/>
              <w:left w:w="90" w:type="dxa"/>
              <w:bottom w:w="30" w:type="dxa"/>
              <w:right w:w="90" w:type="dxa"/>
            </w:tcMar>
            <w:vAlign w:val="center"/>
          </w:tcPr>
          <w:p>
            <w:pPr>
              <w:spacing w:line="300" w:lineRule="exact"/>
              <w:jc w:val="center"/>
              <w:rPr>
                <w:rFonts w:hint="eastAsia" w:ascii="宋体" w:hAnsi="宋体" w:eastAsia="宋体" w:cs="Times New Roman"/>
                <w:color w:val="auto"/>
                <w:sz w:val="21"/>
                <w:szCs w:val="21"/>
                <w:highlight w:val="none"/>
              </w:rPr>
            </w:pP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营业收入(Y)</w:t>
            </w:r>
          </w:p>
        </w:tc>
        <w:tc>
          <w:tcPr>
            <w:tcW w:w="107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万元</w:t>
            </w:r>
          </w:p>
        </w:tc>
        <w:tc>
          <w:tcPr>
            <w:tcW w:w="125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Y≥40000</w:t>
            </w:r>
          </w:p>
        </w:tc>
        <w:tc>
          <w:tcPr>
            <w:tcW w:w="18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2000≤Y&lt;40000</w:t>
            </w: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300≤Y&lt;2000</w:t>
            </w:r>
          </w:p>
        </w:tc>
        <w:tc>
          <w:tcPr>
            <w:tcW w:w="9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trPr>
        <w:tc>
          <w:tcPr>
            <w:tcW w:w="1800" w:type="dxa"/>
            <w:vMerge w:val="restart"/>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建筑业</w:t>
            </w: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营业收入(Y)</w:t>
            </w:r>
          </w:p>
        </w:tc>
        <w:tc>
          <w:tcPr>
            <w:tcW w:w="107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万元</w:t>
            </w:r>
          </w:p>
        </w:tc>
        <w:tc>
          <w:tcPr>
            <w:tcW w:w="125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Y≥80000</w:t>
            </w:r>
          </w:p>
        </w:tc>
        <w:tc>
          <w:tcPr>
            <w:tcW w:w="18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6000≤Y&lt;80000</w:t>
            </w: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300≤Y&lt;6000</w:t>
            </w:r>
          </w:p>
        </w:tc>
        <w:tc>
          <w:tcPr>
            <w:tcW w:w="9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trPr>
        <w:tc>
          <w:tcPr>
            <w:tcW w:w="1800" w:type="dxa"/>
            <w:vMerge w:val="continue"/>
            <w:noWrap w:val="0"/>
            <w:tcMar>
              <w:top w:w="30" w:type="dxa"/>
              <w:left w:w="90" w:type="dxa"/>
              <w:bottom w:w="30" w:type="dxa"/>
              <w:right w:w="90" w:type="dxa"/>
            </w:tcMar>
            <w:vAlign w:val="center"/>
          </w:tcPr>
          <w:p>
            <w:pPr>
              <w:spacing w:line="300" w:lineRule="exact"/>
              <w:jc w:val="center"/>
              <w:rPr>
                <w:rFonts w:hint="eastAsia" w:ascii="宋体" w:hAnsi="宋体" w:eastAsia="宋体" w:cs="Times New Roman"/>
                <w:color w:val="auto"/>
                <w:sz w:val="21"/>
                <w:szCs w:val="21"/>
                <w:highlight w:val="none"/>
              </w:rPr>
            </w:pP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资产总额(Z)</w:t>
            </w:r>
          </w:p>
        </w:tc>
        <w:tc>
          <w:tcPr>
            <w:tcW w:w="107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万元</w:t>
            </w:r>
          </w:p>
        </w:tc>
        <w:tc>
          <w:tcPr>
            <w:tcW w:w="125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Z≥80000</w:t>
            </w:r>
          </w:p>
        </w:tc>
        <w:tc>
          <w:tcPr>
            <w:tcW w:w="18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5000≤Z&lt;80000</w:t>
            </w: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300≤Z&lt;5000</w:t>
            </w:r>
          </w:p>
        </w:tc>
        <w:tc>
          <w:tcPr>
            <w:tcW w:w="9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Z&lt;300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trPr>
        <w:tc>
          <w:tcPr>
            <w:tcW w:w="1800" w:type="dxa"/>
            <w:vMerge w:val="restart"/>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批发业</w:t>
            </w: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从业人员(X)</w:t>
            </w:r>
          </w:p>
        </w:tc>
        <w:tc>
          <w:tcPr>
            <w:tcW w:w="107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人</w:t>
            </w:r>
          </w:p>
        </w:tc>
        <w:tc>
          <w:tcPr>
            <w:tcW w:w="125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X≥200</w:t>
            </w:r>
          </w:p>
        </w:tc>
        <w:tc>
          <w:tcPr>
            <w:tcW w:w="18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20≤X&lt;200</w:t>
            </w: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5≤X&lt;20</w:t>
            </w:r>
          </w:p>
        </w:tc>
        <w:tc>
          <w:tcPr>
            <w:tcW w:w="9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X&lt;5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6" w:hRule="atLeast"/>
        </w:trPr>
        <w:tc>
          <w:tcPr>
            <w:tcW w:w="1800" w:type="dxa"/>
            <w:vMerge w:val="continue"/>
            <w:noWrap w:val="0"/>
            <w:tcMar>
              <w:top w:w="30" w:type="dxa"/>
              <w:left w:w="90" w:type="dxa"/>
              <w:bottom w:w="30" w:type="dxa"/>
              <w:right w:w="90" w:type="dxa"/>
            </w:tcMar>
            <w:vAlign w:val="center"/>
          </w:tcPr>
          <w:p>
            <w:pPr>
              <w:spacing w:line="300" w:lineRule="exact"/>
              <w:jc w:val="center"/>
              <w:rPr>
                <w:rFonts w:hint="eastAsia" w:ascii="宋体" w:hAnsi="宋体" w:eastAsia="宋体" w:cs="Times New Roman"/>
                <w:color w:val="auto"/>
                <w:sz w:val="21"/>
                <w:szCs w:val="21"/>
                <w:highlight w:val="none"/>
              </w:rPr>
            </w:pP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营业收入(Y)</w:t>
            </w:r>
          </w:p>
        </w:tc>
        <w:tc>
          <w:tcPr>
            <w:tcW w:w="107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万元</w:t>
            </w:r>
          </w:p>
        </w:tc>
        <w:tc>
          <w:tcPr>
            <w:tcW w:w="125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Y≥40000</w:t>
            </w:r>
          </w:p>
        </w:tc>
        <w:tc>
          <w:tcPr>
            <w:tcW w:w="18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5000≤Y&lt;40000</w:t>
            </w: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1000≤Y&lt;5000</w:t>
            </w:r>
          </w:p>
        </w:tc>
        <w:tc>
          <w:tcPr>
            <w:tcW w:w="9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Y&lt;1000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trPr>
        <w:tc>
          <w:tcPr>
            <w:tcW w:w="1800" w:type="dxa"/>
            <w:vMerge w:val="restart"/>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零售业</w:t>
            </w: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从业人员(X)</w:t>
            </w:r>
          </w:p>
        </w:tc>
        <w:tc>
          <w:tcPr>
            <w:tcW w:w="107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人</w:t>
            </w:r>
          </w:p>
        </w:tc>
        <w:tc>
          <w:tcPr>
            <w:tcW w:w="125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X≥300</w:t>
            </w:r>
          </w:p>
        </w:tc>
        <w:tc>
          <w:tcPr>
            <w:tcW w:w="18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50≤X&lt;300</w:t>
            </w: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10≤X&lt;50</w:t>
            </w:r>
          </w:p>
        </w:tc>
        <w:tc>
          <w:tcPr>
            <w:tcW w:w="9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trPr>
        <w:tc>
          <w:tcPr>
            <w:tcW w:w="1800" w:type="dxa"/>
            <w:vMerge w:val="continue"/>
            <w:noWrap w:val="0"/>
            <w:tcMar>
              <w:top w:w="30" w:type="dxa"/>
              <w:left w:w="90" w:type="dxa"/>
              <w:bottom w:w="30" w:type="dxa"/>
              <w:right w:w="90" w:type="dxa"/>
            </w:tcMar>
            <w:vAlign w:val="center"/>
          </w:tcPr>
          <w:p>
            <w:pPr>
              <w:spacing w:line="300" w:lineRule="exact"/>
              <w:jc w:val="center"/>
              <w:rPr>
                <w:rFonts w:hint="eastAsia" w:ascii="宋体" w:hAnsi="宋体" w:eastAsia="宋体" w:cs="Times New Roman"/>
                <w:color w:val="auto"/>
                <w:sz w:val="21"/>
                <w:szCs w:val="21"/>
                <w:highlight w:val="none"/>
              </w:rPr>
            </w:pP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营业收入(Y)</w:t>
            </w:r>
          </w:p>
        </w:tc>
        <w:tc>
          <w:tcPr>
            <w:tcW w:w="107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万元</w:t>
            </w:r>
          </w:p>
        </w:tc>
        <w:tc>
          <w:tcPr>
            <w:tcW w:w="125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Y≥20000</w:t>
            </w:r>
          </w:p>
        </w:tc>
        <w:tc>
          <w:tcPr>
            <w:tcW w:w="18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500≤Y&lt;20000</w:t>
            </w: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100≤Y&lt;500</w:t>
            </w:r>
          </w:p>
        </w:tc>
        <w:tc>
          <w:tcPr>
            <w:tcW w:w="9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trPr>
        <w:tc>
          <w:tcPr>
            <w:tcW w:w="1800" w:type="dxa"/>
            <w:vMerge w:val="restart"/>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交通运输业</w:t>
            </w: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从业人员(X)</w:t>
            </w:r>
          </w:p>
        </w:tc>
        <w:tc>
          <w:tcPr>
            <w:tcW w:w="107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人</w:t>
            </w:r>
          </w:p>
        </w:tc>
        <w:tc>
          <w:tcPr>
            <w:tcW w:w="125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X≥1000</w:t>
            </w:r>
          </w:p>
        </w:tc>
        <w:tc>
          <w:tcPr>
            <w:tcW w:w="18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300≤X&lt;1000</w:t>
            </w: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20≤X&lt;300</w:t>
            </w:r>
          </w:p>
        </w:tc>
        <w:tc>
          <w:tcPr>
            <w:tcW w:w="9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trPr>
        <w:tc>
          <w:tcPr>
            <w:tcW w:w="1800" w:type="dxa"/>
            <w:vMerge w:val="continue"/>
            <w:noWrap w:val="0"/>
            <w:tcMar>
              <w:top w:w="30" w:type="dxa"/>
              <w:left w:w="90" w:type="dxa"/>
              <w:bottom w:w="30" w:type="dxa"/>
              <w:right w:w="90" w:type="dxa"/>
            </w:tcMar>
            <w:vAlign w:val="center"/>
          </w:tcPr>
          <w:p>
            <w:pPr>
              <w:spacing w:line="300" w:lineRule="exact"/>
              <w:jc w:val="center"/>
              <w:rPr>
                <w:rFonts w:hint="eastAsia" w:ascii="宋体" w:hAnsi="宋体" w:eastAsia="宋体" w:cs="Times New Roman"/>
                <w:color w:val="auto"/>
                <w:sz w:val="21"/>
                <w:szCs w:val="21"/>
                <w:highlight w:val="none"/>
              </w:rPr>
            </w:pP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营业收入(Y)</w:t>
            </w:r>
          </w:p>
        </w:tc>
        <w:tc>
          <w:tcPr>
            <w:tcW w:w="107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万元</w:t>
            </w:r>
          </w:p>
        </w:tc>
        <w:tc>
          <w:tcPr>
            <w:tcW w:w="125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Y≥30000</w:t>
            </w:r>
          </w:p>
        </w:tc>
        <w:tc>
          <w:tcPr>
            <w:tcW w:w="18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3000≤Y&lt;30000</w:t>
            </w: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200≤Y&lt;3000</w:t>
            </w:r>
          </w:p>
        </w:tc>
        <w:tc>
          <w:tcPr>
            <w:tcW w:w="9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Y&lt;200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trPr>
        <w:tc>
          <w:tcPr>
            <w:tcW w:w="1800" w:type="dxa"/>
            <w:vMerge w:val="restart"/>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仓储业</w:t>
            </w: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从业人员(X)</w:t>
            </w:r>
          </w:p>
        </w:tc>
        <w:tc>
          <w:tcPr>
            <w:tcW w:w="107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人</w:t>
            </w:r>
          </w:p>
        </w:tc>
        <w:tc>
          <w:tcPr>
            <w:tcW w:w="125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X≥200</w:t>
            </w:r>
          </w:p>
        </w:tc>
        <w:tc>
          <w:tcPr>
            <w:tcW w:w="18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100≤X&lt;200</w:t>
            </w: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20≤X&lt;100</w:t>
            </w:r>
          </w:p>
        </w:tc>
        <w:tc>
          <w:tcPr>
            <w:tcW w:w="9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trPr>
        <w:tc>
          <w:tcPr>
            <w:tcW w:w="1800" w:type="dxa"/>
            <w:vMerge w:val="continue"/>
            <w:noWrap w:val="0"/>
            <w:tcMar>
              <w:top w:w="30" w:type="dxa"/>
              <w:left w:w="90" w:type="dxa"/>
              <w:bottom w:w="30" w:type="dxa"/>
              <w:right w:w="90" w:type="dxa"/>
            </w:tcMar>
            <w:vAlign w:val="center"/>
          </w:tcPr>
          <w:p>
            <w:pPr>
              <w:spacing w:line="300" w:lineRule="exact"/>
              <w:jc w:val="center"/>
              <w:rPr>
                <w:rFonts w:hint="eastAsia" w:ascii="宋体" w:hAnsi="宋体" w:eastAsia="宋体" w:cs="Times New Roman"/>
                <w:b w:val="0"/>
                <w:bCs w:val="0"/>
                <w:color w:val="auto"/>
                <w:sz w:val="21"/>
                <w:szCs w:val="21"/>
                <w:highlight w:val="none"/>
              </w:rPr>
            </w:pP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营业收入(Y)</w:t>
            </w:r>
          </w:p>
        </w:tc>
        <w:tc>
          <w:tcPr>
            <w:tcW w:w="107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万元</w:t>
            </w:r>
          </w:p>
        </w:tc>
        <w:tc>
          <w:tcPr>
            <w:tcW w:w="125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Y≥30000</w:t>
            </w:r>
          </w:p>
        </w:tc>
        <w:tc>
          <w:tcPr>
            <w:tcW w:w="18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1000≤Y&lt;30000</w:t>
            </w: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100≤Y&lt;1000</w:t>
            </w:r>
          </w:p>
        </w:tc>
        <w:tc>
          <w:tcPr>
            <w:tcW w:w="9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trPr>
        <w:tc>
          <w:tcPr>
            <w:tcW w:w="1800" w:type="dxa"/>
            <w:vMerge w:val="restart"/>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邮政业</w:t>
            </w: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从业人员(X)</w:t>
            </w:r>
          </w:p>
        </w:tc>
        <w:tc>
          <w:tcPr>
            <w:tcW w:w="107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人</w:t>
            </w:r>
          </w:p>
        </w:tc>
        <w:tc>
          <w:tcPr>
            <w:tcW w:w="125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X≥1000</w:t>
            </w:r>
          </w:p>
        </w:tc>
        <w:tc>
          <w:tcPr>
            <w:tcW w:w="18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300≤X&lt;1000</w:t>
            </w: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20≤X&lt;300</w:t>
            </w:r>
          </w:p>
        </w:tc>
        <w:tc>
          <w:tcPr>
            <w:tcW w:w="9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trPr>
        <w:tc>
          <w:tcPr>
            <w:tcW w:w="1800" w:type="dxa"/>
            <w:vMerge w:val="continue"/>
            <w:noWrap w:val="0"/>
            <w:tcMar>
              <w:top w:w="30" w:type="dxa"/>
              <w:left w:w="90" w:type="dxa"/>
              <w:bottom w:w="30" w:type="dxa"/>
              <w:right w:w="90" w:type="dxa"/>
            </w:tcMar>
            <w:vAlign w:val="center"/>
          </w:tcPr>
          <w:p>
            <w:pPr>
              <w:spacing w:line="300" w:lineRule="exact"/>
              <w:jc w:val="center"/>
              <w:rPr>
                <w:rFonts w:hint="eastAsia" w:ascii="宋体" w:hAnsi="宋体" w:eastAsia="宋体" w:cs="Times New Roman"/>
                <w:b w:val="0"/>
                <w:bCs w:val="0"/>
                <w:color w:val="auto"/>
                <w:sz w:val="21"/>
                <w:szCs w:val="21"/>
                <w:highlight w:val="none"/>
              </w:rPr>
            </w:pP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营业收入(Y)</w:t>
            </w:r>
          </w:p>
        </w:tc>
        <w:tc>
          <w:tcPr>
            <w:tcW w:w="107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万元</w:t>
            </w:r>
          </w:p>
        </w:tc>
        <w:tc>
          <w:tcPr>
            <w:tcW w:w="125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Y≥30000</w:t>
            </w:r>
          </w:p>
        </w:tc>
        <w:tc>
          <w:tcPr>
            <w:tcW w:w="18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2000≤Y&lt;30000</w:t>
            </w: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100≤Y&lt;2000</w:t>
            </w:r>
          </w:p>
        </w:tc>
        <w:tc>
          <w:tcPr>
            <w:tcW w:w="9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trPr>
        <w:tc>
          <w:tcPr>
            <w:tcW w:w="1800" w:type="dxa"/>
            <w:vMerge w:val="restart"/>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住宿业</w:t>
            </w: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从业人员(X)</w:t>
            </w:r>
          </w:p>
        </w:tc>
        <w:tc>
          <w:tcPr>
            <w:tcW w:w="107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人</w:t>
            </w:r>
          </w:p>
        </w:tc>
        <w:tc>
          <w:tcPr>
            <w:tcW w:w="125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X≥300</w:t>
            </w:r>
          </w:p>
        </w:tc>
        <w:tc>
          <w:tcPr>
            <w:tcW w:w="18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100≤X&lt;300</w:t>
            </w: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10≤X&lt;100</w:t>
            </w:r>
          </w:p>
        </w:tc>
        <w:tc>
          <w:tcPr>
            <w:tcW w:w="9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trPr>
        <w:tc>
          <w:tcPr>
            <w:tcW w:w="1800" w:type="dxa"/>
            <w:vMerge w:val="continue"/>
            <w:noWrap w:val="0"/>
            <w:tcMar>
              <w:top w:w="30" w:type="dxa"/>
              <w:left w:w="90" w:type="dxa"/>
              <w:bottom w:w="30" w:type="dxa"/>
              <w:right w:w="90" w:type="dxa"/>
            </w:tcMar>
            <w:vAlign w:val="center"/>
          </w:tcPr>
          <w:p>
            <w:pPr>
              <w:spacing w:line="300" w:lineRule="exact"/>
              <w:jc w:val="center"/>
              <w:rPr>
                <w:rFonts w:hint="eastAsia" w:ascii="宋体" w:hAnsi="宋体" w:eastAsia="宋体" w:cs="Times New Roman"/>
                <w:b w:val="0"/>
                <w:bCs w:val="0"/>
                <w:color w:val="auto"/>
                <w:sz w:val="21"/>
                <w:szCs w:val="21"/>
                <w:highlight w:val="none"/>
              </w:rPr>
            </w:pP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营业收入(Y)</w:t>
            </w:r>
          </w:p>
        </w:tc>
        <w:tc>
          <w:tcPr>
            <w:tcW w:w="107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万元</w:t>
            </w:r>
          </w:p>
        </w:tc>
        <w:tc>
          <w:tcPr>
            <w:tcW w:w="125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Y≥10000</w:t>
            </w:r>
          </w:p>
        </w:tc>
        <w:tc>
          <w:tcPr>
            <w:tcW w:w="18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2000≤Y&lt;10000</w:t>
            </w: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100≤Y&lt;2000</w:t>
            </w:r>
          </w:p>
        </w:tc>
        <w:tc>
          <w:tcPr>
            <w:tcW w:w="9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trPr>
        <w:tc>
          <w:tcPr>
            <w:tcW w:w="1800" w:type="dxa"/>
            <w:vMerge w:val="restart"/>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餐饮业</w:t>
            </w: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从业人员(X)</w:t>
            </w:r>
          </w:p>
        </w:tc>
        <w:tc>
          <w:tcPr>
            <w:tcW w:w="107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人</w:t>
            </w:r>
          </w:p>
        </w:tc>
        <w:tc>
          <w:tcPr>
            <w:tcW w:w="125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X≥300</w:t>
            </w:r>
          </w:p>
        </w:tc>
        <w:tc>
          <w:tcPr>
            <w:tcW w:w="18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100≤X&lt;300</w:t>
            </w: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10≤X&lt;100</w:t>
            </w:r>
          </w:p>
        </w:tc>
        <w:tc>
          <w:tcPr>
            <w:tcW w:w="9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trPr>
        <w:tc>
          <w:tcPr>
            <w:tcW w:w="1800" w:type="dxa"/>
            <w:vMerge w:val="continue"/>
            <w:noWrap w:val="0"/>
            <w:tcMar>
              <w:top w:w="30" w:type="dxa"/>
              <w:left w:w="90" w:type="dxa"/>
              <w:bottom w:w="30" w:type="dxa"/>
              <w:right w:w="90" w:type="dxa"/>
            </w:tcMar>
            <w:vAlign w:val="center"/>
          </w:tcPr>
          <w:p>
            <w:pPr>
              <w:spacing w:line="300" w:lineRule="exact"/>
              <w:jc w:val="center"/>
              <w:rPr>
                <w:rFonts w:hint="eastAsia" w:ascii="宋体" w:hAnsi="宋体" w:eastAsia="宋体" w:cs="Times New Roman"/>
                <w:b w:val="0"/>
                <w:bCs w:val="0"/>
                <w:color w:val="auto"/>
                <w:sz w:val="21"/>
                <w:szCs w:val="21"/>
                <w:highlight w:val="none"/>
              </w:rPr>
            </w:pP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营业收入(Y)</w:t>
            </w:r>
          </w:p>
        </w:tc>
        <w:tc>
          <w:tcPr>
            <w:tcW w:w="107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万元</w:t>
            </w:r>
          </w:p>
        </w:tc>
        <w:tc>
          <w:tcPr>
            <w:tcW w:w="125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Y≥10000</w:t>
            </w:r>
          </w:p>
        </w:tc>
        <w:tc>
          <w:tcPr>
            <w:tcW w:w="18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2000≤Y&lt;10000</w:t>
            </w: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100≤Y&lt;2000</w:t>
            </w:r>
          </w:p>
        </w:tc>
        <w:tc>
          <w:tcPr>
            <w:tcW w:w="9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trPr>
        <w:tc>
          <w:tcPr>
            <w:tcW w:w="1800" w:type="dxa"/>
            <w:vMerge w:val="restart"/>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信息传输业</w:t>
            </w: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从业人员(X)</w:t>
            </w:r>
          </w:p>
        </w:tc>
        <w:tc>
          <w:tcPr>
            <w:tcW w:w="107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人</w:t>
            </w:r>
          </w:p>
        </w:tc>
        <w:tc>
          <w:tcPr>
            <w:tcW w:w="125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X≥2000</w:t>
            </w:r>
          </w:p>
        </w:tc>
        <w:tc>
          <w:tcPr>
            <w:tcW w:w="18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100≤X&lt;2000</w:t>
            </w: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10≤X&lt;100</w:t>
            </w:r>
          </w:p>
        </w:tc>
        <w:tc>
          <w:tcPr>
            <w:tcW w:w="9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trPr>
        <w:tc>
          <w:tcPr>
            <w:tcW w:w="1800" w:type="dxa"/>
            <w:vMerge w:val="continue"/>
            <w:noWrap w:val="0"/>
            <w:tcMar>
              <w:top w:w="30" w:type="dxa"/>
              <w:left w:w="90" w:type="dxa"/>
              <w:bottom w:w="30" w:type="dxa"/>
              <w:right w:w="90" w:type="dxa"/>
            </w:tcMar>
            <w:vAlign w:val="center"/>
          </w:tcPr>
          <w:p>
            <w:pPr>
              <w:spacing w:line="300" w:lineRule="exact"/>
              <w:jc w:val="center"/>
              <w:rPr>
                <w:rFonts w:hint="eastAsia" w:ascii="宋体" w:hAnsi="宋体" w:eastAsia="宋体" w:cs="Times New Roman"/>
                <w:b w:val="0"/>
                <w:bCs w:val="0"/>
                <w:color w:val="auto"/>
                <w:sz w:val="21"/>
                <w:szCs w:val="21"/>
                <w:highlight w:val="none"/>
              </w:rPr>
            </w:pP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营业收入(Y)</w:t>
            </w:r>
          </w:p>
        </w:tc>
        <w:tc>
          <w:tcPr>
            <w:tcW w:w="107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万元</w:t>
            </w:r>
          </w:p>
        </w:tc>
        <w:tc>
          <w:tcPr>
            <w:tcW w:w="125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Y≥100000</w:t>
            </w:r>
          </w:p>
        </w:tc>
        <w:tc>
          <w:tcPr>
            <w:tcW w:w="18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1000≤Y&lt;100000</w:t>
            </w: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100≤Y&lt;1000</w:t>
            </w:r>
          </w:p>
        </w:tc>
        <w:tc>
          <w:tcPr>
            <w:tcW w:w="9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trPr>
        <w:tc>
          <w:tcPr>
            <w:tcW w:w="1800" w:type="dxa"/>
            <w:vMerge w:val="restart"/>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软件和信息技术服务业</w:t>
            </w: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从业人员(X)</w:t>
            </w:r>
          </w:p>
        </w:tc>
        <w:tc>
          <w:tcPr>
            <w:tcW w:w="107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人</w:t>
            </w:r>
          </w:p>
        </w:tc>
        <w:tc>
          <w:tcPr>
            <w:tcW w:w="125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X≥300</w:t>
            </w:r>
          </w:p>
        </w:tc>
        <w:tc>
          <w:tcPr>
            <w:tcW w:w="18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100≤X&lt;300</w:t>
            </w: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10≤X&lt;100</w:t>
            </w:r>
          </w:p>
        </w:tc>
        <w:tc>
          <w:tcPr>
            <w:tcW w:w="9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b w:val="0"/>
                <w:bCs w:val="0"/>
                <w:color w:val="auto"/>
                <w:sz w:val="21"/>
                <w:szCs w:val="21"/>
                <w:highlight w:val="none"/>
                <w:lang w:val="en-US" w:eastAsia="zh-CN" w:bidi="ar-SA"/>
              </w:rPr>
            </w:pPr>
            <w:r>
              <w:rPr>
                <w:rFonts w:ascii="宋体" w:hAnsi="宋体" w:eastAsia="宋体" w:cs="Times New Roman"/>
                <w:b w:val="0"/>
                <w:bCs w:val="0"/>
                <w:color w:val="auto"/>
                <w:sz w:val="21"/>
                <w:szCs w:val="21"/>
                <w:highlight w:val="none"/>
                <w:lang w:val="en-US" w:eastAsia="zh-CN" w:bidi="ar-SA"/>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trPr>
        <w:tc>
          <w:tcPr>
            <w:tcW w:w="1800" w:type="dxa"/>
            <w:vMerge w:val="continue"/>
            <w:noWrap w:val="0"/>
            <w:tcMar>
              <w:top w:w="30" w:type="dxa"/>
              <w:left w:w="90" w:type="dxa"/>
              <w:bottom w:w="30" w:type="dxa"/>
              <w:right w:w="90" w:type="dxa"/>
            </w:tcMar>
            <w:vAlign w:val="center"/>
          </w:tcPr>
          <w:p>
            <w:pPr>
              <w:spacing w:line="300" w:lineRule="exact"/>
              <w:jc w:val="center"/>
              <w:rPr>
                <w:rFonts w:hint="eastAsia" w:ascii="宋体" w:hAnsi="宋体" w:eastAsia="宋体" w:cs="Times New Roman"/>
                <w:color w:val="auto"/>
                <w:sz w:val="21"/>
                <w:szCs w:val="21"/>
                <w:highlight w:val="none"/>
              </w:rPr>
            </w:pP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营业收入(Y)</w:t>
            </w:r>
          </w:p>
        </w:tc>
        <w:tc>
          <w:tcPr>
            <w:tcW w:w="107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万元</w:t>
            </w:r>
          </w:p>
        </w:tc>
        <w:tc>
          <w:tcPr>
            <w:tcW w:w="125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Y≥10000</w:t>
            </w:r>
          </w:p>
        </w:tc>
        <w:tc>
          <w:tcPr>
            <w:tcW w:w="18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1000≤Y&lt;10000</w:t>
            </w: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50≤Y&lt;1000</w:t>
            </w:r>
          </w:p>
        </w:tc>
        <w:tc>
          <w:tcPr>
            <w:tcW w:w="9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trPr>
        <w:tc>
          <w:tcPr>
            <w:tcW w:w="1800" w:type="dxa"/>
            <w:vMerge w:val="restart"/>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房地产开发经营</w:t>
            </w: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营业收入(Y)</w:t>
            </w:r>
          </w:p>
        </w:tc>
        <w:tc>
          <w:tcPr>
            <w:tcW w:w="107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万元</w:t>
            </w:r>
          </w:p>
        </w:tc>
        <w:tc>
          <w:tcPr>
            <w:tcW w:w="125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Y≥200000</w:t>
            </w:r>
          </w:p>
        </w:tc>
        <w:tc>
          <w:tcPr>
            <w:tcW w:w="18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1000≤Y&lt;200000</w:t>
            </w: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100≤Y&lt;1000</w:t>
            </w:r>
          </w:p>
        </w:tc>
        <w:tc>
          <w:tcPr>
            <w:tcW w:w="9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6" w:hRule="atLeast"/>
        </w:trPr>
        <w:tc>
          <w:tcPr>
            <w:tcW w:w="1800" w:type="dxa"/>
            <w:vMerge w:val="continue"/>
            <w:noWrap w:val="0"/>
            <w:tcMar>
              <w:top w:w="30" w:type="dxa"/>
              <w:left w:w="90" w:type="dxa"/>
              <w:bottom w:w="30" w:type="dxa"/>
              <w:right w:w="90" w:type="dxa"/>
            </w:tcMar>
            <w:vAlign w:val="center"/>
          </w:tcPr>
          <w:p>
            <w:pPr>
              <w:spacing w:line="300" w:lineRule="exact"/>
              <w:jc w:val="center"/>
              <w:rPr>
                <w:rFonts w:hint="eastAsia" w:ascii="宋体" w:hAnsi="宋体" w:eastAsia="宋体" w:cs="Times New Roman"/>
                <w:color w:val="auto"/>
                <w:sz w:val="21"/>
                <w:szCs w:val="21"/>
                <w:highlight w:val="none"/>
              </w:rPr>
            </w:pP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资产总额(Z)</w:t>
            </w:r>
          </w:p>
        </w:tc>
        <w:tc>
          <w:tcPr>
            <w:tcW w:w="107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万元</w:t>
            </w:r>
          </w:p>
        </w:tc>
        <w:tc>
          <w:tcPr>
            <w:tcW w:w="125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Z≥10000</w:t>
            </w:r>
          </w:p>
        </w:tc>
        <w:tc>
          <w:tcPr>
            <w:tcW w:w="18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5000≤Z&lt;10000</w:t>
            </w: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2000≤Z&lt;5000</w:t>
            </w:r>
          </w:p>
        </w:tc>
        <w:tc>
          <w:tcPr>
            <w:tcW w:w="9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Z&lt;2000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trPr>
        <w:tc>
          <w:tcPr>
            <w:tcW w:w="1800" w:type="dxa"/>
            <w:vMerge w:val="restart"/>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物业管理</w:t>
            </w: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从业人员(X)</w:t>
            </w:r>
          </w:p>
        </w:tc>
        <w:tc>
          <w:tcPr>
            <w:tcW w:w="107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人</w:t>
            </w:r>
          </w:p>
        </w:tc>
        <w:tc>
          <w:tcPr>
            <w:tcW w:w="125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X≥1000</w:t>
            </w:r>
          </w:p>
        </w:tc>
        <w:tc>
          <w:tcPr>
            <w:tcW w:w="18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300≤X&lt;1000</w:t>
            </w: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100≤X&lt;300</w:t>
            </w:r>
          </w:p>
        </w:tc>
        <w:tc>
          <w:tcPr>
            <w:tcW w:w="9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X&lt;100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trPr>
        <w:tc>
          <w:tcPr>
            <w:tcW w:w="1800" w:type="dxa"/>
            <w:vMerge w:val="continue"/>
            <w:noWrap w:val="0"/>
            <w:tcMar>
              <w:top w:w="30" w:type="dxa"/>
              <w:left w:w="90" w:type="dxa"/>
              <w:bottom w:w="30" w:type="dxa"/>
              <w:right w:w="90" w:type="dxa"/>
            </w:tcMar>
            <w:vAlign w:val="center"/>
          </w:tcPr>
          <w:p>
            <w:pPr>
              <w:spacing w:line="300" w:lineRule="exact"/>
              <w:jc w:val="center"/>
              <w:rPr>
                <w:rFonts w:hint="eastAsia" w:ascii="宋体" w:hAnsi="宋体" w:eastAsia="宋体" w:cs="Times New Roman"/>
                <w:color w:val="auto"/>
                <w:sz w:val="21"/>
                <w:szCs w:val="21"/>
                <w:highlight w:val="none"/>
              </w:rPr>
            </w:pP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营业收入(Y)</w:t>
            </w:r>
          </w:p>
        </w:tc>
        <w:tc>
          <w:tcPr>
            <w:tcW w:w="107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万元</w:t>
            </w:r>
          </w:p>
        </w:tc>
        <w:tc>
          <w:tcPr>
            <w:tcW w:w="125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Y≥5000</w:t>
            </w:r>
          </w:p>
        </w:tc>
        <w:tc>
          <w:tcPr>
            <w:tcW w:w="18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1000≤Y&lt;5000</w:t>
            </w: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500≤Y&lt;1000</w:t>
            </w:r>
          </w:p>
        </w:tc>
        <w:tc>
          <w:tcPr>
            <w:tcW w:w="9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Y&lt;500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trPr>
        <w:tc>
          <w:tcPr>
            <w:tcW w:w="1800" w:type="dxa"/>
            <w:vMerge w:val="restart"/>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租赁和商务服务业</w:t>
            </w: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从业人员(X)</w:t>
            </w:r>
          </w:p>
        </w:tc>
        <w:tc>
          <w:tcPr>
            <w:tcW w:w="107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人</w:t>
            </w:r>
          </w:p>
        </w:tc>
        <w:tc>
          <w:tcPr>
            <w:tcW w:w="125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X≥300</w:t>
            </w:r>
          </w:p>
        </w:tc>
        <w:tc>
          <w:tcPr>
            <w:tcW w:w="18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100≤X&lt;300</w:t>
            </w: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10≤X&lt;100</w:t>
            </w:r>
          </w:p>
        </w:tc>
        <w:tc>
          <w:tcPr>
            <w:tcW w:w="9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trPr>
        <w:tc>
          <w:tcPr>
            <w:tcW w:w="1800" w:type="dxa"/>
            <w:vMerge w:val="continue"/>
            <w:noWrap w:val="0"/>
            <w:tcMar>
              <w:top w:w="30" w:type="dxa"/>
              <w:left w:w="90" w:type="dxa"/>
              <w:bottom w:w="30" w:type="dxa"/>
              <w:right w:w="90" w:type="dxa"/>
            </w:tcMar>
            <w:vAlign w:val="center"/>
          </w:tcPr>
          <w:p>
            <w:pPr>
              <w:spacing w:line="300" w:lineRule="exact"/>
              <w:jc w:val="center"/>
              <w:rPr>
                <w:rFonts w:hint="eastAsia" w:ascii="宋体" w:hAnsi="宋体" w:eastAsia="宋体" w:cs="Times New Roman"/>
                <w:color w:val="auto"/>
                <w:sz w:val="21"/>
                <w:szCs w:val="21"/>
                <w:highlight w:val="none"/>
              </w:rPr>
            </w:pP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资产总额(Z)</w:t>
            </w:r>
          </w:p>
        </w:tc>
        <w:tc>
          <w:tcPr>
            <w:tcW w:w="107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万元</w:t>
            </w:r>
          </w:p>
        </w:tc>
        <w:tc>
          <w:tcPr>
            <w:tcW w:w="125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Z≥120000</w:t>
            </w:r>
          </w:p>
        </w:tc>
        <w:tc>
          <w:tcPr>
            <w:tcW w:w="18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8000≤Z&lt;120000</w:t>
            </w: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100≤Z&lt;8000</w:t>
            </w:r>
          </w:p>
        </w:tc>
        <w:tc>
          <w:tcPr>
            <w:tcW w:w="9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Z&lt;100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2" w:hRule="atLeast"/>
        </w:trPr>
        <w:tc>
          <w:tcPr>
            <w:tcW w:w="18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其他未列明行业</w:t>
            </w: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从业人员(X)</w:t>
            </w:r>
          </w:p>
        </w:tc>
        <w:tc>
          <w:tcPr>
            <w:tcW w:w="107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人</w:t>
            </w:r>
          </w:p>
        </w:tc>
        <w:tc>
          <w:tcPr>
            <w:tcW w:w="1259"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X≥300</w:t>
            </w:r>
          </w:p>
        </w:tc>
        <w:tc>
          <w:tcPr>
            <w:tcW w:w="18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100≤X&lt;300</w:t>
            </w:r>
          </w:p>
        </w:tc>
        <w:tc>
          <w:tcPr>
            <w:tcW w:w="144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10≤X&lt;100</w:t>
            </w:r>
          </w:p>
        </w:tc>
        <w:tc>
          <w:tcPr>
            <w:tcW w:w="900" w:type="dxa"/>
            <w:noWrap w:val="0"/>
            <w:tcMar>
              <w:top w:w="30" w:type="dxa"/>
              <w:left w:w="90" w:type="dxa"/>
              <w:bottom w:w="30" w:type="dxa"/>
              <w:right w:w="90" w:type="dxa"/>
            </w:tcMar>
            <w:vAlign w:val="center"/>
          </w:tcPr>
          <w:p>
            <w:pPr>
              <w:wordWrap w:val="0"/>
              <w:spacing w:before="0" w:beforeAutospacing="0" w:after="0" w:afterAutospacing="0" w:line="300" w:lineRule="exact"/>
              <w:jc w:val="center"/>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X&lt;10</w:t>
            </w:r>
          </w:p>
        </w:tc>
      </w:tr>
    </w:tbl>
    <w:p>
      <w:pPr>
        <w:outlineLvl w:val="1"/>
        <w:rPr>
          <w:rFonts w:hint="eastAsia"/>
          <w:b/>
          <w:color w:val="auto"/>
          <w:sz w:val="21"/>
          <w:szCs w:val="21"/>
          <w:highlight w:val="none"/>
        </w:rPr>
      </w:pPr>
    </w:p>
    <w:p>
      <w:pPr>
        <w:outlineLvl w:val="1"/>
        <w:rPr>
          <w:rFonts w:hint="eastAsia"/>
          <w:b/>
          <w:color w:val="auto"/>
          <w:sz w:val="21"/>
          <w:szCs w:val="21"/>
          <w:highlight w:val="none"/>
        </w:rPr>
      </w:pPr>
      <w:r>
        <w:rPr>
          <w:rFonts w:hint="eastAsia"/>
          <w:b/>
          <w:color w:val="auto"/>
          <w:sz w:val="21"/>
          <w:szCs w:val="21"/>
          <w:highlight w:val="none"/>
        </w:rPr>
        <w:t>2.监狱企业声明函</w:t>
      </w:r>
    </w:p>
    <w:p>
      <w:pPr>
        <w:snapToGrid w:val="0"/>
        <w:spacing w:before="50" w:after="120" w:afterLines="50" w:line="600" w:lineRule="exact"/>
        <w:jc w:val="center"/>
        <w:rPr>
          <w:rFonts w:hint="eastAsia"/>
          <w:b/>
          <w:bCs/>
          <w:color w:val="auto"/>
          <w:sz w:val="21"/>
          <w:szCs w:val="21"/>
          <w:highlight w:val="none"/>
        </w:rPr>
      </w:pPr>
      <w:r>
        <w:rPr>
          <w:rFonts w:hint="eastAsia"/>
          <w:b/>
          <w:bCs/>
          <w:color w:val="auto"/>
          <w:sz w:val="21"/>
          <w:szCs w:val="21"/>
          <w:highlight w:val="none"/>
        </w:rPr>
        <w:t>监狱企业声明函</w:t>
      </w:r>
    </w:p>
    <w:p>
      <w:pPr>
        <w:spacing w:line="600" w:lineRule="exact"/>
        <w:jc w:val="center"/>
        <w:rPr>
          <w:rFonts w:hint="eastAsia"/>
          <w:color w:val="auto"/>
          <w:sz w:val="21"/>
          <w:szCs w:val="21"/>
          <w:highlight w:val="none"/>
        </w:rPr>
      </w:pPr>
      <w:r>
        <w:rPr>
          <w:rFonts w:hint="eastAsia"/>
          <w:color w:val="auto"/>
          <w:sz w:val="21"/>
          <w:szCs w:val="21"/>
          <w:highlight w:val="none"/>
        </w:rPr>
        <w:t>【非监狱企业的不用提供】</w:t>
      </w:r>
    </w:p>
    <w:p>
      <w:pPr>
        <w:spacing w:line="600" w:lineRule="exact"/>
        <w:ind w:firstLine="426" w:firstLineChars="200"/>
        <w:rPr>
          <w:rFonts w:hint="eastAsia"/>
          <w:color w:val="auto"/>
          <w:sz w:val="21"/>
          <w:szCs w:val="21"/>
          <w:highlight w:val="none"/>
        </w:rPr>
      </w:pPr>
      <w:r>
        <w:rPr>
          <w:rFonts w:hint="eastAsia"/>
          <w:color w:val="auto"/>
          <w:sz w:val="21"/>
          <w:szCs w:val="21"/>
          <w:highlight w:val="none"/>
        </w:rPr>
        <w:t>本企业郑重声明，根据《关于政府采购支持监狱企业发展有关间想的通知》(财库[2014]68号）的规定，本企业为监狱企业。</w:t>
      </w:r>
    </w:p>
    <w:p>
      <w:pPr>
        <w:spacing w:line="600" w:lineRule="exact"/>
        <w:ind w:firstLine="426" w:firstLineChars="200"/>
        <w:rPr>
          <w:rFonts w:hint="eastAsia"/>
          <w:color w:val="auto"/>
          <w:sz w:val="21"/>
          <w:szCs w:val="21"/>
          <w:highlight w:val="none"/>
        </w:rPr>
      </w:pPr>
      <w:r>
        <w:rPr>
          <w:rFonts w:hint="eastAsia"/>
          <w:color w:val="auto"/>
          <w:sz w:val="21"/>
          <w:szCs w:val="21"/>
          <w:highlight w:val="none"/>
        </w:rPr>
        <w:t>根据上述标准，我企业属于监狱企业的理由为:</w:t>
      </w:r>
      <w:r>
        <w:rPr>
          <w:rFonts w:hint="eastAsia"/>
          <w:color w:val="auto"/>
          <w:sz w:val="21"/>
          <w:szCs w:val="21"/>
          <w:highlight w:val="none"/>
          <w:u w:val="single"/>
        </w:rPr>
        <w:t xml:space="preserve">                                 </w:t>
      </w:r>
      <w:r>
        <w:rPr>
          <w:rFonts w:hint="eastAsia"/>
          <w:color w:val="auto"/>
          <w:sz w:val="21"/>
          <w:szCs w:val="21"/>
          <w:highlight w:val="none"/>
        </w:rPr>
        <w:t xml:space="preserve">       </w:t>
      </w:r>
    </w:p>
    <w:p>
      <w:pPr>
        <w:spacing w:line="600" w:lineRule="exact"/>
        <w:ind w:firstLine="426" w:firstLineChars="200"/>
        <w:rPr>
          <w:rFonts w:hint="eastAsia"/>
          <w:color w:val="auto"/>
          <w:sz w:val="21"/>
          <w:szCs w:val="21"/>
          <w:highlight w:val="none"/>
        </w:rPr>
      </w:pPr>
      <w:r>
        <w:rPr>
          <w:rFonts w:hint="eastAsia"/>
          <w:color w:val="auto"/>
          <w:sz w:val="21"/>
          <w:szCs w:val="21"/>
          <w:highlight w:val="none"/>
        </w:rPr>
        <w:t>本企业为参加(项目名称:</w:t>
      </w:r>
      <w:r>
        <w:rPr>
          <w:rFonts w:hint="eastAsia"/>
          <w:color w:val="auto"/>
          <w:sz w:val="21"/>
          <w:szCs w:val="21"/>
          <w:highlight w:val="none"/>
          <w:u w:val="single"/>
        </w:rPr>
        <w:t xml:space="preserve">                         </w:t>
      </w:r>
      <w:r>
        <w:rPr>
          <w:rFonts w:hint="eastAsia"/>
          <w:color w:val="auto"/>
          <w:sz w:val="21"/>
          <w:szCs w:val="21"/>
          <w:highlight w:val="none"/>
        </w:rPr>
        <w:t>) (项目编号:</w:t>
      </w:r>
      <w:r>
        <w:rPr>
          <w:rFonts w:hint="eastAsia"/>
          <w:color w:val="auto"/>
          <w:sz w:val="21"/>
          <w:szCs w:val="21"/>
          <w:highlight w:val="none"/>
          <w:u w:val="single"/>
        </w:rPr>
        <w:t xml:space="preserve">            </w:t>
      </w:r>
      <w:r>
        <w:rPr>
          <w:rFonts w:hint="eastAsia"/>
          <w:color w:val="auto"/>
          <w:sz w:val="21"/>
          <w:szCs w:val="21"/>
          <w:highlight w:val="none"/>
        </w:rPr>
        <w:t>)采购活动提供本企业的产品。</w:t>
      </w:r>
    </w:p>
    <w:p>
      <w:pPr>
        <w:spacing w:line="600" w:lineRule="exact"/>
        <w:ind w:firstLine="319" w:firstLineChars="150"/>
        <w:rPr>
          <w:rFonts w:hint="eastAsia"/>
          <w:color w:val="auto"/>
          <w:sz w:val="21"/>
          <w:szCs w:val="21"/>
          <w:highlight w:val="none"/>
        </w:rPr>
      </w:pPr>
      <w:r>
        <w:rPr>
          <w:rFonts w:hint="eastAsia"/>
          <w:color w:val="auto"/>
          <w:sz w:val="21"/>
          <w:szCs w:val="21"/>
          <w:highlight w:val="none"/>
        </w:rPr>
        <w:t>本企业对上述声明的真实性负责。如有虚假，将依法承担相应责任。</w:t>
      </w:r>
    </w:p>
    <w:p>
      <w:pPr>
        <w:spacing w:line="600" w:lineRule="exact"/>
        <w:rPr>
          <w:rFonts w:hint="eastAsia"/>
          <w:color w:val="auto"/>
          <w:sz w:val="21"/>
          <w:szCs w:val="21"/>
          <w:highlight w:val="none"/>
        </w:rPr>
      </w:pPr>
    </w:p>
    <w:p>
      <w:pPr>
        <w:spacing w:line="600" w:lineRule="exact"/>
        <w:rPr>
          <w:rFonts w:hint="eastAsia"/>
          <w:color w:val="auto"/>
          <w:sz w:val="21"/>
          <w:szCs w:val="21"/>
          <w:highlight w:val="none"/>
        </w:rPr>
      </w:pPr>
    </w:p>
    <w:p>
      <w:pPr>
        <w:spacing w:before="120" w:beforeLines="50" w:after="120" w:afterLines="50"/>
        <w:ind w:right="-21" w:rightChars="-10" w:firstLine="4473" w:firstLineChars="2100"/>
        <w:rPr>
          <w:rFonts w:hint="eastAsia"/>
          <w:color w:val="auto"/>
          <w:sz w:val="21"/>
          <w:szCs w:val="21"/>
          <w:highlight w:val="none"/>
        </w:rPr>
      </w:pPr>
      <w:r>
        <w:rPr>
          <w:rFonts w:hint="eastAsia"/>
          <w:color w:val="auto"/>
          <w:sz w:val="21"/>
          <w:szCs w:val="21"/>
          <w:highlight w:val="none"/>
        </w:rPr>
        <w:t>竞争性磋商供应商全称（公章）：</w:t>
      </w:r>
    </w:p>
    <w:p>
      <w:pPr>
        <w:spacing w:before="120" w:beforeLines="50" w:after="120" w:afterLines="50"/>
        <w:ind w:right="-10" w:firstLine="4473" w:firstLineChars="2100"/>
        <w:rPr>
          <w:rFonts w:hint="eastAsia"/>
          <w:color w:val="auto"/>
          <w:sz w:val="21"/>
          <w:szCs w:val="21"/>
          <w:highlight w:val="none"/>
        </w:rPr>
      </w:pPr>
      <w:r>
        <w:rPr>
          <w:rFonts w:hint="eastAsia"/>
          <w:color w:val="auto"/>
          <w:sz w:val="21"/>
          <w:szCs w:val="21"/>
          <w:highlight w:val="none"/>
        </w:rPr>
        <w:t>法定代表人（负责人）或授权代表（签字或盖章）：</w:t>
      </w:r>
    </w:p>
    <w:p>
      <w:pPr>
        <w:spacing w:line="360" w:lineRule="auto"/>
        <w:ind w:firstLine="4473" w:firstLineChars="2100"/>
        <w:rPr>
          <w:rFonts w:hint="eastAsia"/>
          <w:color w:val="auto"/>
          <w:sz w:val="21"/>
          <w:szCs w:val="21"/>
          <w:highlight w:val="none"/>
        </w:rPr>
      </w:pPr>
      <w:r>
        <w:rPr>
          <w:rFonts w:hint="eastAsia"/>
          <w:color w:val="auto"/>
          <w:sz w:val="21"/>
          <w:szCs w:val="21"/>
          <w:highlight w:val="none"/>
        </w:rPr>
        <w:t>日期：</w:t>
      </w:r>
      <w:r>
        <w:rPr>
          <w:rFonts w:hint="eastAsia"/>
          <w:color w:val="auto"/>
          <w:sz w:val="21"/>
          <w:szCs w:val="21"/>
          <w:highlight w:val="none"/>
          <w:u w:val="single"/>
        </w:rPr>
        <w:t xml:space="preserve">         </w:t>
      </w:r>
      <w:r>
        <w:rPr>
          <w:rFonts w:hint="eastAsia"/>
          <w:color w:val="auto"/>
          <w:sz w:val="21"/>
          <w:szCs w:val="21"/>
          <w:highlight w:val="none"/>
        </w:rPr>
        <w:t>年</w:t>
      </w:r>
      <w:r>
        <w:rPr>
          <w:rFonts w:hint="eastAsia"/>
          <w:color w:val="auto"/>
          <w:sz w:val="21"/>
          <w:szCs w:val="21"/>
          <w:highlight w:val="none"/>
          <w:u w:val="single"/>
        </w:rPr>
        <w:t xml:space="preserve">    </w:t>
      </w:r>
      <w:r>
        <w:rPr>
          <w:rFonts w:hint="eastAsia"/>
          <w:color w:val="auto"/>
          <w:sz w:val="21"/>
          <w:szCs w:val="21"/>
          <w:highlight w:val="none"/>
        </w:rPr>
        <w:t>月</w:t>
      </w:r>
      <w:r>
        <w:rPr>
          <w:rFonts w:hint="eastAsia"/>
          <w:color w:val="auto"/>
          <w:sz w:val="21"/>
          <w:szCs w:val="21"/>
          <w:highlight w:val="none"/>
          <w:u w:val="single"/>
        </w:rPr>
        <w:t xml:space="preserve">   </w:t>
      </w:r>
      <w:r>
        <w:rPr>
          <w:rFonts w:hint="eastAsia"/>
          <w:color w:val="auto"/>
          <w:sz w:val="21"/>
          <w:szCs w:val="21"/>
          <w:highlight w:val="none"/>
        </w:rPr>
        <w:t>日</w:t>
      </w:r>
    </w:p>
    <w:p>
      <w:pPr>
        <w:spacing w:line="600" w:lineRule="exact"/>
        <w:rPr>
          <w:rFonts w:hint="eastAsia"/>
          <w:color w:val="auto"/>
          <w:sz w:val="21"/>
          <w:szCs w:val="21"/>
          <w:highlight w:val="none"/>
        </w:rPr>
      </w:pPr>
    </w:p>
    <w:p>
      <w:pPr>
        <w:spacing w:line="600" w:lineRule="exact"/>
        <w:rPr>
          <w:rFonts w:hint="eastAsia"/>
          <w:color w:val="auto"/>
          <w:sz w:val="21"/>
          <w:szCs w:val="21"/>
          <w:highlight w:val="none"/>
        </w:rPr>
      </w:pPr>
    </w:p>
    <w:p>
      <w:pPr>
        <w:spacing w:line="600" w:lineRule="exact"/>
        <w:ind w:firstLine="426" w:firstLineChars="200"/>
        <w:rPr>
          <w:rFonts w:hint="eastAsia"/>
          <w:color w:val="auto"/>
          <w:sz w:val="21"/>
          <w:szCs w:val="21"/>
          <w:highlight w:val="none"/>
        </w:rPr>
      </w:pPr>
      <w:r>
        <w:rPr>
          <w:rFonts w:hint="eastAsia"/>
          <w:color w:val="auto"/>
          <w:sz w:val="21"/>
          <w:szCs w:val="21"/>
          <w:highlight w:val="none"/>
        </w:rPr>
        <w:t>监狱企业参加政府采购活动时，应当提供由省级以上监狱管理局、戒毒管理局(含新疆生产建设兵团)出具的属于监狱企业的证明文件；</w:t>
      </w:r>
    </w:p>
    <w:p>
      <w:pPr>
        <w:spacing w:line="600" w:lineRule="exact"/>
        <w:ind w:firstLine="426" w:firstLineChars="200"/>
        <w:rPr>
          <w:rFonts w:hint="eastAsia"/>
          <w:color w:val="auto"/>
          <w:sz w:val="21"/>
          <w:szCs w:val="21"/>
          <w:highlight w:val="none"/>
        </w:rPr>
      </w:pPr>
      <w:r>
        <w:rPr>
          <w:rFonts w:hint="eastAsia"/>
          <w:color w:val="auto"/>
          <w:sz w:val="21"/>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before="50" w:after="120" w:afterLines="50" w:line="600" w:lineRule="exact"/>
        <w:jc w:val="center"/>
        <w:rPr>
          <w:rFonts w:hint="eastAsia"/>
          <w:b/>
          <w:bCs/>
          <w:color w:val="auto"/>
          <w:sz w:val="21"/>
          <w:szCs w:val="21"/>
          <w:highlight w:val="none"/>
        </w:rPr>
      </w:pPr>
    </w:p>
    <w:p>
      <w:pPr>
        <w:outlineLvl w:val="1"/>
        <w:rPr>
          <w:rFonts w:hint="eastAsia"/>
          <w:b/>
          <w:color w:val="auto"/>
          <w:sz w:val="21"/>
          <w:szCs w:val="21"/>
          <w:highlight w:val="none"/>
        </w:rPr>
      </w:pPr>
    </w:p>
    <w:p>
      <w:pPr>
        <w:outlineLvl w:val="1"/>
        <w:rPr>
          <w:rFonts w:hint="eastAsia"/>
          <w:b/>
          <w:color w:val="auto"/>
          <w:sz w:val="21"/>
          <w:szCs w:val="21"/>
          <w:highlight w:val="none"/>
        </w:rPr>
      </w:pPr>
    </w:p>
    <w:p>
      <w:pPr>
        <w:outlineLvl w:val="1"/>
        <w:rPr>
          <w:rFonts w:hint="eastAsia"/>
          <w:b/>
          <w:color w:val="auto"/>
          <w:sz w:val="21"/>
          <w:szCs w:val="21"/>
          <w:highlight w:val="none"/>
        </w:rPr>
      </w:pPr>
      <w:r>
        <w:rPr>
          <w:rFonts w:hint="eastAsia"/>
          <w:b/>
          <w:color w:val="auto"/>
          <w:sz w:val="21"/>
          <w:szCs w:val="21"/>
          <w:highlight w:val="none"/>
        </w:rPr>
        <w:t>3. 残疾人福利性单位声明函及证明材料</w:t>
      </w:r>
    </w:p>
    <w:p>
      <w:pPr>
        <w:pStyle w:val="12"/>
        <w:rPr>
          <w:rFonts w:hint="eastAsia"/>
          <w:color w:val="auto"/>
          <w:highlight w:val="none"/>
        </w:rPr>
      </w:pPr>
    </w:p>
    <w:p>
      <w:pPr>
        <w:widowControl w:val="0"/>
        <w:wordWrap w:val="0"/>
        <w:snapToGrid w:val="0"/>
        <w:spacing w:line="360" w:lineRule="auto"/>
        <w:rPr>
          <w:rFonts w:hint="eastAsia"/>
          <w:b/>
          <w:bCs/>
          <w:color w:val="auto"/>
          <w:sz w:val="21"/>
          <w:szCs w:val="21"/>
          <w:highlight w:val="none"/>
        </w:rPr>
      </w:pPr>
      <w:r>
        <w:rPr>
          <w:rFonts w:hint="eastAsia"/>
          <w:b/>
          <w:color w:val="auto"/>
          <w:sz w:val="21"/>
          <w:szCs w:val="21"/>
          <w:highlight w:val="none"/>
        </w:rPr>
        <w:t xml:space="preserve">                            </w:t>
      </w:r>
      <w:r>
        <w:rPr>
          <w:rFonts w:hint="eastAsia"/>
          <w:b/>
          <w:bCs/>
          <w:color w:val="auto"/>
          <w:sz w:val="21"/>
          <w:szCs w:val="21"/>
          <w:highlight w:val="none"/>
        </w:rPr>
        <w:t>残疾人福利性单位声明函</w:t>
      </w:r>
    </w:p>
    <w:p>
      <w:pPr>
        <w:widowControl w:val="0"/>
        <w:wordWrap w:val="0"/>
        <w:snapToGrid w:val="0"/>
        <w:spacing w:line="360" w:lineRule="auto"/>
        <w:rPr>
          <w:rFonts w:hint="eastAsia"/>
          <w:color w:val="auto"/>
          <w:sz w:val="21"/>
          <w:szCs w:val="21"/>
          <w:highlight w:val="none"/>
        </w:rPr>
      </w:pPr>
      <w:r>
        <w:rPr>
          <w:rFonts w:hint="eastAsia"/>
          <w:color w:val="auto"/>
          <w:sz w:val="21"/>
          <w:szCs w:val="21"/>
          <w:highlight w:val="none"/>
        </w:rPr>
        <w:t>  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val="0"/>
        <w:wordWrap w:val="0"/>
        <w:snapToGrid w:val="0"/>
        <w:spacing w:line="360" w:lineRule="auto"/>
        <w:rPr>
          <w:rFonts w:hint="eastAsia"/>
          <w:color w:val="auto"/>
          <w:sz w:val="21"/>
          <w:szCs w:val="21"/>
          <w:highlight w:val="none"/>
        </w:rPr>
      </w:pPr>
      <w:r>
        <w:rPr>
          <w:rFonts w:hint="eastAsia"/>
          <w:color w:val="auto"/>
          <w:sz w:val="21"/>
          <w:szCs w:val="21"/>
          <w:highlight w:val="none"/>
        </w:rPr>
        <w:t>   本单位对上述声明的真实性负责。如有虚假，将依法承担相应责任。</w:t>
      </w:r>
    </w:p>
    <w:p>
      <w:pPr>
        <w:pStyle w:val="12"/>
        <w:rPr>
          <w:rFonts w:hint="eastAsia"/>
          <w:color w:val="auto"/>
          <w:highlight w:val="none"/>
        </w:rPr>
      </w:pPr>
    </w:p>
    <w:p>
      <w:pPr>
        <w:widowControl w:val="0"/>
        <w:wordWrap w:val="0"/>
        <w:snapToGrid w:val="0"/>
        <w:spacing w:line="360" w:lineRule="auto"/>
        <w:rPr>
          <w:rFonts w:hint="eastAsia"/>
          <w:color w:val="auto"/>
          <w:sz w:val="21"/>
          <w:szCs w:val="21"/>
          <w:highlight w:val="none"/>
        </w:rPr>
      </w:pPr>
      <w:r>
        <w:rPr>
          <w:rFonts w:hint="eastAsia"/>
          <w:color w:val="auto"/>
          <w:sz w:val="21"/>
          <w:szCs w:val="21"/>
          <w:highlight w:val="none"/>
        </w:rPr>
        <w:t xml:space="preserve">                                            </w:t>
      </w:r>
    </w:p>
    <w:p>
      <w:pPr>
        <w:widowControl w:val="0"/>
        <w:wordWrap w:val="0"/>
        <w:snapToGrid w:val="0"/>
        <w:spacing w:line="360" w:lineRule="auto"/>
        <w:rPr>
          <w:rFonts w:hint="eastAsia"/>
          <w:color w:val="auto"/>
          <w:sz w:val="21"/>
          <w:szCs w:val="21"/>
          <w:highlight w:val="none"/>
        </w:rPr>
      </w:pPr>
      <w:r>
        <w:rPr>
          <w:rFonts w:hint="eastAsia"/>
          <w:color w:val="auto"/>
          <w:sz w:val="21"/>
          <w:szCs w:val="21"/>
          <w:highlight w:val="none"/>
        </w:rPr>
        <w:t xml:space="preserve">                                              单位名称（盖章）：</w:t>
      </w:r>
    </w:p>
    <w:p>
      <w:pPr>
        <w:widowControl w:val="0"/>
        <w:wordWrap w:val="0"/>
        <w:snapToGrid w:val="0"/>
        <w:spacing w:line="360" w:lineRule="auto"/>
        <w:rPr>
          <w:rFonts w:hint="eastAsia"/>
          <w:color w:val="auto"/>
          <w:sz w:val="21"/>
          <w:szCs w:val="21"/>
          <w:highlight w:val="none"/>
        </w:rPr>
      </w:pPr>
      <w:r>
        <w:rPr>
          <w:rFonts w:hint="eastAsia"/>
          <w:color w:val="auto"/>
          <w:sz w:val="21"/>
          <w:szCs w:val="21"/>
          <w:highlight w:val="none"/>
        </w:rPr>
        <w:t xml:space="preserve">                                              日 期：  年  月  日</w:t>
      </w:r>
    </w:p>
    <w:p>
      <w:pPr>
        <w:widowControl w:val="0"/>
        <w:wordWrap w:val="0"/>
        <w:snapToGrid w:val="0"/>
        <w:spacing w:line="360" w:lineRule="auto"/>
        <w:rPr>
          <w:rFonts w:hint="eastAsia"/>
          <w:color w:val="auto"/>
          <w:sz w:val="21"/>
          <w:szCs w:val="21"/>
          <w:highlight w:val="none"/>
        </w:rPr>
      </w:pPr>
    </w:p>
    <w:p>
      <w:pPr>
        <w:pStyle w:val="111"/>
        <w:rPr>
          <w:rFonts w:hint="eastAsia"/>
          <w:color w:val="auto"/>
          <w:sz w:val="21"/>
          <w:szCs w:val="21"/>
          <w:highlight w:val="none"/>
        </w:rPr>
      </w:pPr>
    </w:p>
    <w:p>
      <w:pPr>
        <w:pStyle w:val="111"/>
        <w:rPr>
          <w:rFonts w:hint="eastAsia"/>
          <w:color w:val="auto"/>
          <w:sz w:val="21"/>
          <w:szCs w:val="21"/>
          <w:highlight w:val="none"/>
        </w:rPr>
      </w:pPr>
    </w:p>
    <w:p>
      <w:pPr>
        <w:widowControl w:val="0"/>
        <w:numPr>
          <w:ilvl w:val="0"/>
          <w:numId w:val="10"/>
        </w:numPr>
        <w:wordWrap w:val="0"/>
        <w:snapToGrid w:val="0"/>
        <w:spacing w:line="360" w:lineRule="auto"/>
        <w:outlineLvl w:val="0"/>
        <w:rPr>
          <w:rFonts w:hint="eastAsia"/>
          <w:b/>
          <w:bCs/>
          <w:color w:val="auto"/>
          <w:sz w:val="21"/>
          <w:szCs w:val="21"/>
          <w:highlight w:val="none"/>
        </w:rPr>
      </w:pPr>
      <w:bookmarkStart w:id="56" w:name="_Toc23211"/>
      <w:bookmarkStart w:id="57" w:name="_Toc8088"/>
      <w:bookmarkStart w:id="58" w:name="_Toc4722"/>
      <w:bookmarkStart w:id="59" w:name="_Toc31857"/>
      <w:bookmarkStart w:id="60" w:name="_Toc26445"/>
      <w:bookmarkStart w:id="61" w:name="_Toc19062"/>
      <w:bookmarkStart w:id="62" w:name="_Toc28450"/>
      <w:r>
        <w:rPr>
          <w:rFonts w:hint="eastAsia" w:ascii="宋体" w:hAnsi="宋体" w:eastAsia="宋体" w:cs="宋体"/>
          <w:b/>
          <w:color w:val="auto"/>
          <w:sz w:val="21"/>
          <w:szCs w:val="21"/>
          <w:highlight w:val="none"/>
        </w:rPr>
        <w:t>相关</w:t>
      </w:r>
      <w:r>
        <w:rPr>
          <w:rFonts w:hint="eastAsia"/>
          <w:b/>
          <w:bCs/>
          <w:color w:val="auto"/>
          <w:sz w:val="21"/>
          <w:szCs w:val="21"/>
          <w:highlight w:val="none"/>
        </w:rPr>
        <w:t>证明材料</w:t>
      </w:r>
      <w:bookmarkEnd w:id="56"/>
      <w:bookmarkEnd w:id="57"/>
      <w:bookmarkEnd w:id="58"/>
      <w:bookmarkEnd w:id="59"/>
      <w:bookmarkEnd w:id="60"/>
      <w:bookmarkEnd w:id="61"/>
      <w:bookmarkEnd w:id="62"/>
    </w:p>
    <w:p>
      <w:pPr>
        <w:pStyle w:val="19"/>
        <w:ind w:left="0" w:leftChars="0"/>
        <w:rPr>
          <w:rFonts w:hint="eastAsia" w:ascii="宋体" w:hAnsi="宋体" w:cs="宋体"/>
          <w:color w:val="auto"/>
          <w:sz w:val="21"/>
          <w:szCs w:val="21"/>
          <w:highlight w:val="none"/>
        </w:rPr>
      </w:pPr>
    </w:p>
    <w:p>
      <w:pPr>
        <w:pStyle w:val="20"/>
        <w:rPr>
          <w:rFonts w:hint="eastAsia" w:hAnsi="宋体" w:cs="宋体"/>
          <w:color w:val="auto"/>
          <w:sz w:val="21"/>
          <w:szCs w:val="21"/>
          <w:highlight w:val="none"/>
        </w:rPr>
      </w:pPr>
    </w:p>
    <w:p>
      <w:pPr>
        <w:pStyle w:val="12"/>
        <w:rPr>
          <w:rFonts w:hint="eastAsia" w:eastAsia="宋体" w:cs="宋体"/>
          <w:color w:val="auto"/>
          <w:sz w:val="21"/>
          <w:szCs w:val="21"/>
          <w:highlight w:val="none"/>
        </w:rPr>
      </w:pPr>
    </w:p>
    <w:p>
      <w:pPr>
        <w:rPr>
          <w:rFonts w:hint="eastAsia"/>
          <w:color w:val="auto"/>
          <w:sz w:val="21"/>
          <w:szCs w:val="21"/>
          <w:highlight w:val="none"/>
        </w:rPr>
      </w:pPr>
    </w:p>
    <w:p>
      <w:pPr>
        <w:pStyle w:val="12"/>
        <w:rPr>
          <w:rFonts w:hint="eastAsia" w:eastAsia="宋体" w:cs="宋体"/>
          <w:color w:val="auto"/>
          <w:sz w:val="21"/>
          <w:szCs w:val="21"/>
          <w:highlight w:val="none"/>
        </w:rPr>
      </w:pPr>
    </w:p>
    <w:p>
      <w:pPr>
        <w:rPr>
          <w:rFonts w:hint="eastAsia"/>
          <w:color w:val="auto"/>
          <w:sz w:val="21"/>
          <w:szCs w:val="21"/>
          <w:highlight w:val="none"/>
        </w:rPr>
      </w:pPr>
    </w:p>
    <w:p>
      <w:pPr>
        <w:pStyle w:val="12"/>
        <w:rPr>
          <w:rFonts w:hint="eastAsia" w:eastAsia="宋体" w:cs="宋体"/>
          <w:color w:val="auto"/>
          <w:sz w:val="21"/>
          <w:szCs w:val="21"/>
          <w:highlight w:val="none"/>
        </w:rPr>
      </w:pPr>
    </w:p>
    <w:p>
      <w:pPr>
        <w:rPr>
          <w:rFonts w:hint="eastAsia"/>
          <w:color w:val="auto"/>
          <w:sz w:val="21"/>
          <w:szCs w:val="21"/>
          <w:highlight w:val="none"/>
        </w:rPr>
      </w:pPr>
    </w:p>
    <w:p>
      <w:pPr>
        <w:pStyle w:val="12"/>
        <w:rPr>
          <w:rFonts w:hint="eastAsia"/>
          <w:color w:val="auto"/>
          <w:highlight w:val="none"/>
        </w:rPr>
      </w:pPr>
    </w:p>
    <w:p>
      <w:pPr>
        <w:rPr>
          <w:rFonts w:hint="eastAsia"/>
          <w:color w:val="auto"/>
          <w:highlight w:val="none"/>
        </w:rPr>
      </w:pPr>
    </w:p>
    <w:p>
      <w:pPr>
        <w:pStyle w:val="111"/>
        <w:rPr>
          <w:rFonts w:hint="eastAsia"/>
          <w:color w:val="auto"/>
          <w:highlight w:val="none"/>
        </w:rPr>
      </w:pPr>
    </w:p>
    <w:p>
      <w:pPr>
        <w:pStyle w:val="111"/>
        <w:rPr>
          <w:rFonts w:hint="eastAsia"/>
          <w:color w:val="auto"/>
          <w:highlight w:val="none"/>
        </w:rPr>
      </w:pPr>
    </w:p>
    <w:p>
      <w:pPr>
        <w:pStyle w:val="111"/>
        <w:rPr>
          <w:rFonts w:hint="eastAsia"/>
          <w:color w:val="auto"/>
          <w:highlight w:val="none"/>
        </w:rPr>
      </w:pPr>
    </w:p>
    <w:p>
      <w:pPr>
        <w:pStyle w:val="111"/>
        <w:rPr>
          <w:rFonts w:hint="eastAsia"/>
          <w:color w:val="auto"/>
          <w:highlight w:val="none"/>
        </w:rPr>
      </w:pPr>
    </w:p>
    <w:p>
      <w:pPr>
        <w:pStyle w:val="111"/>
        <w:rPr>
          <w:rFonts w:hint="eastAsia"/>
          <w:color w:val="auto"/>
          <w:highlight w:val="none"/>
        </w:rPr>
      </w:pPr>
    </w:p>
    <w:p>
      <w:pPr>
        <w:pStyle w:val="111"/>
        <w:rPr>
          <w:rFonts w:hint="eastAsia"/>
          <w:color w:val="auto"/>
          <w:highlight w:val="none"/>
        </w:rPr>
      </w:pPr>
    </w:p>
    <w:p>
      <w:pPr>
        <w:pStyle w:val="111"/>
        <w:rPr>
          <w:rFonts w:hint="eastAsia"/>
          <w:color w:val="auto"/>
          <w:highlight w:val="none"/>
        </w:rPr>
      </w:pPr>
    </w:p>
    <w:p>
      <w:pPr>
        <w:pStyle w:val="20"/>
        <w:rPr>
          <w:rFonts w:hint="eastAsia" w:hAnsi="宋体" w:cs="宋体"/>
          <w:color w:val="auto"/>
          <w:sz w:val="21"/>
          <w:szCs w:val="21"/>
          <w:highlight w:val="none"/>
        </w:rPr>
      </w:pPr>
    </w:p>
    <w:p>
      <w:pPr>
        <w:tabs>
          <w:tab w:val="left" w:pos="465"/>
        </w:tabs>
        <w:outlineLvl w:val="0"/>
        <w:rPr>
          <w:rFonts w:hint="eastAsia"/>
          <w:color w:val="auto"/>
          <w:sz w:val="21"/>
          <w:szCs w:val="21"/>
          <w:highlight w:val="none"/>
        </w:rPr>
      </w:pPr>
    </w:p>
    <w:p>
      <w:pPr>
        <w:tabs>
          <w:tab w:val="left" w:pos="465"/>
        </w:tabs>
        <w:outlineLvl w:val="0"/>
        <w:rPr>
          <w:rFonts w:hint="eastAsia"/>
          <w:color w:val="auto"/>
          <w:sz w:val="21"/>
          <w:szCs w:val="21"/>
          <w:highlight w:val="none"/>
        </w:rPr>
      </w:pPr>
    </w:p>
    <w:p>
      <w:pPr>
        <w:tabs>
          <w:tab w:val="left" w:pos="465"/>
        </w:tabs>
        <w:outlineLvl w:val="0"/>
        <w:rPr>
          <w:rFonts w:hint="eastAsia"/>
          <w:b/>
          <w:color w:val="auto"/>
          <w:sz w:val="21"/>
          <w:szCs w:val="21"/>
          <w:highlight w:val="none"/>
        </w:rPr>
      </w:pPr>
      <w:r>
        <w:rPr>
          <w:rFonts w:hint="eastAsia"/>
          <w:color w:val="auto"/>
          <w:sz w:val="21"/>
          <w:szCs w:val="21"/>
          <w:highlight w:val="none"/>
        </w:rPr>
        <w:t>附表：</w:t>
      </w:r>
      <w:r>
        <w:rPr>
          <w:rFonts w:hint="eastAsia"/>
          <w:b/>
          <w:color w:val="auto"/>
          <w:sz w:val="21"/>
          <w:szCs w:val="21"/>
          <w:highlight w:val="none"/>
        </w:rPr>
        <w:t>评标办法索引表</w:t>
      </w:r>
    </w:p>
    <w:p>
      <w:pPr>
        <w:tabs>
          <w:tab w:val="left" w:pos="465"/>
        </w:tabs>
        <w:rPr>
          <w:rFonts w:hint="eastAsia"/>
          <w:color w:val="auto"/>
          <w:sz w:val="21"/>
          <w:szCs w:val="21"/>
          <w:highlight w:val="none"/>
        </w:rPr>
      </w:pPr>
      <w:r>
        <w:rPr>
          <w:rFonts w:hint="eastAsia"/>
          <w:color w:val="auto"/>
          <w:sz w:val="21"/>
          <w:szCs w:val="21"/>
          <w:highlight w:val="none"/>
        </w:rPr>
        <w:t>（根据评标办法，放在投标文件最后1页）</w:t>
      </w:r>
    </w:p>
    <w:p>
      <w:pPr>
        <w:ind w:firstLine="4473" w:firstLineChars="2100"/>
        <w:jc w:val="both"/>
        <w:rPr>
          <w:color w:val="auto"/>
          <w:szCs w:val="21"/>
          <w:highlight w:val="none"/>
        </w:rPr>
      </w:pPr>
    </w:p>
    <w:sectPr>
      <w:headerReference r:id="rId11" w:type="default"/>
      <w:footerReference r:id="rId12" w:type="default"/>
      <w:pgSz w:w="11849" w:h="16781"/>
      <w:pgMar w:top="1134" w:right="1417" w:bottom="1134" w:left="1417" w:header="850" w:footer="992" w:gutter="0"/>
      <w:cols w:space="0" w:num="1"/>
      <w:docGrid w:type="linesAndChars" w:linePitch="324"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monospace">
    <w:altName w:val="Arial"/>
    <w:panose1 w:val="00000000000000000000"/>
    <w:charset w:val="00"/>
    <w:family w:val="auto"/>
    <w:pitch w:val="default"/>
    <w:sig w:usb0="00000000" w:usb1="00000000" w:usb2="00000000" w:usb3="00000000" w:csb0="00000000" w:csb1="00000000"/>
  </w:font>
  <w:font w:name="微软雅黑 Light">
    <w:panose1 w:val="020B0502040204020203"/>
    <w:charset w:val="86"/>
    <w:family w:val="swiss"/>
    <w:pitch w:val="default"/>
    <w:sig w:usb0="80000287" w:usb1="2ACF001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4"/>
      </w:rPr>
    </w:pPr>
    <w:r>
      <w:fldChar w:fldCharType="begin"/>
    </w:r>
    <w:r>
      <w:rPr>
        <w:rStyle w:val="34"/>
      </w:rPr>
      <w:instrText xml:space="preserve">PAGE  </w:instrText>
    </w:r>
    <w:r>
      <w:fldChar w:fldCharType="separate"/>
    </w:r>
    <w:r>
      <w:rPr>
        <w:rStyle w:val="34"/>
      </w:rPr>
      <w:t>25</w:t>
    </w:r>
    <w:r>
      <w:fldChar w:fldCharType="end"/>
    </w:r>
  </w:p>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rStyle w:val="34"/>
                            </w:rPr>
                          </w:pPr>
                          <w:r>
                            <w:fldChar w:fldCharType="begin"/>
                          </w:r>
                          <w:r>
                            <w:rPr>
                              <w:rStyle w:val="34"/>
                            </w:rPr>
                            <w:instrText xml:space="preserve">PAGE  </w:instrText>
                          </w:r>
                          <w:r>
                            <w:fldChar w:fldCharType="separate"/>
                          </w:r>
                          <w:r>
                            <w:rPr>
                              <w:rStyle w:val="34"/>
                            </w:rP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24"/>
                      <w:rPr>
                        <w:rStyle w:val="34"/>
                      </w:rPr>
                    </w:pPr>
                    <w:r>
                      <w:fldChar w:fldCharType="begin"/>
                    </w:r>
                    <w:r>
                      <w:rPr>
                        <w:rStyle w:val="34"/>
                      </w:rPr>
                      <w:instrText xml:space="preserve">PAGE  </w:instrText>
                    </w:r>
                    <w:r>
                      <w:fldChar w:fldCharType="separate"/>
                    </w:r>
                    <w:r>
                      <w:rPr>
                        <w:rStyle w:val="34"/>
                      </w:rPr>
                      <w:t>33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after="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1" name="文本框 2049"/>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24"/>
                          </w:pPr>
                          <w:r>
                            <w:fldChar w:fldCharType="begin"/>
                          </w:r>
                          <w:r>
                            <w:instrText xml:space="preserve"> PAGE  \* MERGEFORMAT </w:instrText>
                          </w:r>
                          <w:r>
                            <w:fldChar w:fldCharType="separate"/>
                          </w:r>
                          <w:r>
                            <w:t>55</w:t>
                          </w:r>
                          <w:r>
                            <w:fldChar w:fldCharType="end"/>
                          </w:r>
                        </w:p>
                      </w:txbxContent>
                    </wps:txbx>
                    <wps:bodyPr rot="0" vert="horz" wrap="none" lIns="0" tIns="0" rIns="0" bIns="0" anchor="t" anchorCtr="0" upright="1">
                      <a:spAutoFit/>
                    </wps:bodyPr>
                  </wps:wsp>
                </a:graphicData>
              </a:graphic>
            </wp:anchor>
          </w:drawing>
        </mc:Choice>
        <mc:Fallback>
          <w:pict>
            <v:shape id="文本框 2049"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V+SdAAAAADAQAADwAAAAAAAAABACAAAAAi&#10;AAAAZHJzL2Rvd25yZXYueG1sUEsBAhQAFAAAAAgAh07iQFsQyd8SAgAAFAQAAA4AAAAAAAAAAQAg&#10;AAAAHwEAAGRycy9lMm9Eb2MueG1sUEsFBgAAAAAGAAYAWQEAAKMFA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rFonts w:ascii="宋体" w:hAnsi="宋体"/>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left"/>
      <w:rPr>
        <w:rFonts w:ascii="宋体" w:hAnsi="宋体"/>
        <w:sz w:val="21"/>
        <w:szCs w:val="21"/>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tabs>
        <w:tab w:val="left" w:pos="2061"/>
      </w:tabs>
      <w:spacing w:after="60"/>
      <w:jc w:val="left"/>
      <w:rPr>
        <w:rFonts w:hint="eastAsia" w:eastAsia="宋体"/>
        <w:lang w:eastAsia="zh-CN"/>
      </w:rPr>
    </w:pP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6E685"/>
    <w:multiLevelType w:val="singleLevel"/>
    <w:tmpl w:val="8446E685"/>
    <w:lvl w:ilvl="0" w:tentative="0">
      <w:start w:val="1"/>
      <w:numFmt w:val="decimal"/>
      <w:suff w:val="nothing"/>
      <w:lvlText w:val="%1、"/>
      <w:lvlJc w:val="left"/>
    </w:lvl>
  </w:abstractNum>
  <w:abstractNum w:abstractNumId="1">
    <w:nsid w:val="8863E1EC"/>
    <w:multiLevelType w:val="singleLevel"/>
    <w:tmpl w:val="8863E1EC"/>
    <w:lvl w:ilvl="0" w:tentative="0">
      <w:start w:val="3"/>
      <w:numFmt w:val="chineseCounting"/>
      <w:suff w:val="space"/>
      <w:lvlText w:val="第%1部分"/>
      <w:lvlJc w:val="left"/>
      <w:rPr>
        <w:rFonts w:hint="eastAsia"/>
      </w:rPr>
    </w:lvl>
  </w:abstractNum>
  <w:abstractNum w:abstractNumId="2">
    <w:nsid w:val="99F42B27"/>
    <w:multiLevelType w:val="singleLevel"/>
    <w:tmpl w:val="99F42B27"/>
    <w:lvl w:ilvl="0" w:tentative="0">
      <w:start w:val="2"/>
      <w:numFmt w:val="decimal"/>
      <w:suff w:val="space"/>
      <w:lvlText w:val="(%1)"/>
      <w:lvlJc w:val="left"/>
    </w:lvl>
  </w:abstractNum>
  <w:abstractNum w:abstractNumId="3">
    <w:nsid w:val="A80C98A6"/>
    <w:multiLevelType w:val="singleLevel"/>
    <w:tmpl w:val="A80C98A6"/>
    <w:lvl w:ilvl="0" w:tentative="0">
      <w:start w:val="4"/>
      <w:numFmt w:val="chineseCounting"/>
      <w:suff w:val="nothing"/>
      <w:lvlText w:val="第%1条、"/>
      <w:lvlJc w:val="left"/>
      <w:pPr>
        <w:ind w:left="421" w:firstLine="0"/>
      </w:pPr>
      <w:rPr>
        <w:rFonts w:hint="eastAsia"/>
      </w:rPr>
    </w:lvl>
  </w:abstractNum>
  <w:abstractNum w:abstractNumId="4">
    <w:nsid w:val="BEA1FD34"/>
    <w:multiLevelType w:val="singleLevel"/>
    <w:tmpl w:val="BEA1FD34"/>
    <w:lvl w:ilvl="0" w:tentative="0">
      <w:start w:val="1"/>
      <w:numFmt w:val="decimal"/>
      <w:suff w:val="nothing"/>
      <w:lvlText w:val="（%1）"/>
      <w:lvlJc w:val="left"/>
    </w:lvl>
  </w:abstractNum>
  <w:abstractNum w:abstractNumId="5">
    <w:nsid w:val="F922C48D"/>
    <w:multiLevelType w:val="singleLevel"/>
    <w:tmpl w:val="F922C48D"/>
    <w:lvl w:ilvl="0" w:tentative="0">
      <w:start w:val="2"/>
      <w:numFmt w:val="chineseCounting"/>
      <w:suff w:val="nothing"/>
      <w:lvlText w:val="%1、"/>
      <w:lvlJc w:val="left"/>
      <w:rPr>
        <w:rFonts w:hint="eastAsia"/>
      </w:rPr>
    </w:lvl>
  </w:abstractNum>
  <w:abstractNum w:abstractNumId="6">
    <w:nsid w:val="0AF332F6"/>
    <w:multiLevelType w:val="multilevel"/>
    <w:tmpl w:val="0AF332F6"/>
    <w:lvl w:ilvl="0" w:tentative="0">
      <w:start w:val="1"/>
      <w:numFmt w:val="decimal"/>
      <w:lvlText w:val="%1."/>
      <w:lvlJc w:val="left"/>
      <w:pPr>
        <w:tabs>
          <w:tab w:val="left" w:pos="851"/>
        </w:tabs>
        <w:ind w:left="851" w:hanging="851"/>
      </w:pPr>
      <w:rPr>
        <w:rFonts w:hint="default" w:ascii="Arial" w:hAnsi="Arial" w:eastAsia="宋体"/>
        <w:b/>
        <w:i w:val="0"/>
        <w:sz w:val="24"/>
      </w:rPr>
    </w:lvl>
    <w:lvl w:ilvl="1" w:tentative="0">
      <w:start w:val="1"/>
      <w:numFmt w:val="decimal"/>
      <w:lvlText w:val="%1.%2"/>
      <w:lvlJc w:val="left"/>
      <w:pPr>
        <w:tabs>
          <w:tab w:val="left" w:pos="851"/>
        </w:tabs>
        <w:ind w:left="851" w:hanging="851"/>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7">
    <w:nsid w:val="2E42602A"/>
    <w:multiLevelType w:val="multilevel"/>
    <w:tmpl w:val="2E42602A"/>
    <w:lvl w:ilvl="0" w:tentative="0">
      <w:start w:val="1"/>
      <w:numFmt w:val="bullet"/>
      <w:pStyle w:val="99"/>
      <w:suff w:val="space"/>
      <w:lvlText w:val=""/>
      <w:lvlJc w:val="left"/>
      <w:pPr>
        <w:ind w:left="0" w:firstLine="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30876081"/>
    <w:multiLevelType w:val="multilevel"/>
    <w:tmpl w:val="30876081"/>
    <w:lvl w:ilvl="0" w:tentative="0">
      <w:start w:val="1"/>
      <w:numFmt w:val="decimal"/>
      <w:lvlText w:val="（%1）"/>
      <w:lvlJc w:val="left"/>
      <w:pPr>
        <w:ind w:left="1560" w:hanging="720"/>
      </w:pPr>
      <w:rPr>
        <w:rFonts w:hint="default" w:cs="Times New Roman"/>
        <w:color w:val="auto"/>
        <w:sz w:val="21"/>
      </w:rPr>
    </w:lvl>
    <w:lvl w:ilvl="1" w:tentative="0">
      <w:start w:val="1"/>
      <w:numFmt w:val="decimal"/>
      <w:lvlText w:val="%2、"/>
      <w:lvlJc w:val="left"/>
      <w:pPr>
        <w:ind w:left="1494" w:hanging="360"/>
      </w:pPr>
      <w:rPr>
        <w:rFonts w:hint="default"/>
      </w:rPr>
    </w:lvl>
    <w:lvl w:ilvl="2" w:tentative="0">
      <w:start w:val="1"/>
      <w:numFmt w:val="decimalEnclosedCircle"/>
      <w:lvlText w:val="%3"/>
      <w:lvlJc w:val="left"/>
      <w:pPr>
        <w:ind w:left="2085" w:hanging="405"/>
      </w:pPr>
      <w:rPr>
        <w:rFonts w:hint="default" w:hAnsi="宋体"/>
      </w:r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3E3A07A7"/>
    <w:multiLevelType w:val="multilevel"/>
    <w:tmpl w:val="3E3A07A7"/>
    <w:lvl w:ilvl="0" w:tentative="0">
      <w:start w:val="1"/>
      <w:numFmt w:val="decimal"/>
      <w:lvlText w:val="（%1）"/>
      <w:lvlJc w:val="left"/>
      <w:pPr>
        <w:ind w:left="1560" w:hanging="720"/>
      </w:pPr>
      <w:rPr>
        <w:rFonts w:hint="default" w:cs="Times New Roman"/>
        <w:color w:val="auto"/>
        <w:sz w:val="21"/>
      </w:rPr>
    </w:lvl>
    <w:lvl w:ilvl="1" w:tentative="0">
      <w:start w:val="1"/>
      <w:numFmt w:val="decimal"/>
      <w:lvlText w:val="%2、"/>
      <w:lvlJc w:val="left"/>
      <w:pPr>
        <w:ind w:left="1620" w:hanging="360"/>
      </w:pPr>
      <w:rPr>
        <w:rFonts w:hint="default"/>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7"/>
  </w:num>
  <w:num w:numId="2">
    <w:abstractNumId w:val="5"/>
  </w:num>
  <w:num w:numId="3">
    <w:abstractNumId w:val="6"/>
  </w:num>
  <w:num w:numId="4">
    <w:abstractNumId w:val="4"/>
  </w:num>
  <w:num w:numId="5">
    <w:abstractNumId w:val="1"/>
  </w:num>
  <w:num w:numId="6">
    <w:abstractNumId w:val="0"/>
  </w:num>
  <w:num w:numId="7">
    <w:abstractNumId w:val="3"/>
  </w:num>
  <w:num w:numId="8">
    <w:abstractNumId w:val="9"/>
  </w:num>
  <w:num w:numId="9">
    <w:abstractNumId w:val="8"/>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ch">
    <w15:presenceInfo w15:providerId="None" w15:userId="z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mirrorMargins w:val="1"/>
  <w:bordersDoNotSurroundHeader w:val="0"/>
  <w:bordersDoNotSurroundFooter w:val="0"/>
  <w:documentProtection w:enforcement="0"/>
  <w:defaultTabStop w:val="420"/>
  <w:drawingGridHorizontalSpacing w:val="107"/>
  <w:drawingGridVerticalSpacing w:val="162"/>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4ZjJmNTU1ZDgzNDk1OGZmN2IyOWIyNTBiMzEzNDIifQ=="/>
    <w:docVar w:name="KSO_WPS_MARK_KEY" w:val="74346e32-cbbb-4df2-857a-67973a6d8a7e"/>
  </w:docVars>
  <w:rsids>
    <w:rsidRoot w:val="00172A27"/>
    <w:rsid w:val="0000057B"/>
    <w:rsid w:val="00002C6B"/>
    <w:rsid w:val="0000466A"/>
    <w:rsid w:val="00004DE0"/>
    <w:rsid w:val="00005A20"/>
    <w:rsid w:val="00007A34"/>
    <w:rsid w:val="0001757B"/>
    <w:rsid w:val="000210B6"/>
    <w:rsid w:val="00024780"/>
    <w:rsid w:val="00025EC6"/>
    <w:rsid w:val="00031AA0"/>
    <w:rsid w:val="00033482"/>
    <w:rsid w:val="000352AE"/>
    <w:rsid w:val="000434F6"/>
    <w:rsid w:val="00044D44"/>
    <w:rsid w:val="000464CB"/>
    <w:rsid w:val="00046B9F"/>
    <w:rsid w:val="00051C72"/>
    <w:rsid w:val="00052140"/>
    <w:rsid w:val="0005267F"/>
    <w:rsid w:val="0005409C"/>
    <w:rsid w:val="00056EA8"/>
    <w:rsid w:val="00060FC8"/>
    <w:rsid w:val="00067D1F"/>
    <w:rsid w:val="00070203"/>
    <w:rsid w:val="000828AB"/>
    <w:rsid w:val="000840AD"/>
    <w:rsid w:val="000843FC"/>
    <w:rsid w:val="0008640A"/>
    <w:rsid w:val="000868B3"/>
    <w:rsid w:val="000873FA"/>
    <w:rsid w:val="00091D85"/>
    <w:rsid w:val="00091EEF"/>
    <w:rsid w:val="000922D9"/>
    <w:rsid w:val="00097F5D"/>
    <w:rsid w:val="000A2709"/>
    <w:rsid w:val="000A2B9E"/>
    <w:rsid w:val="000B5B51"/>
    <w:rsid w:val="000C202B"/>
    <w:rsid w:val="000D251F"/>
    <w:rsid w:val="000D433F"/>
    <w:rsid w:val="000E5885"/>
    <w:rsid w:val="000E6646"/>
    <w:rsid w:val="000E7365"/>
    <w:rsid w:val="000E7AA9"/>
    <w:rsid w:val="000F05A9"/>
    <w:rsid w:val="000F3571"/>
    <w:rsid w:val="000F49A0"/>
    <w:rsid w:val="000F5397"/>
    <w:rsid w:val="000F7905"/>
    <w:rsid w:val="001047F6"/>
    <w:rsid w:val="001057CA"/>
    <w:rsid w:val="00110135"/>
    <w:rsid w:val="00110630"/>
    <w:rsid w:val="00111BBF"/>
    <w:rsid w:val="00114876"/>
    <w:rsid w:val="00115E0E"/>
    <w:rsid w:val="00117202"/>
    <w:rsid w:val="0011760F"/>
    <w:rsid w:val="001211B0"/>
    <w:rsid w:val="00123AFD"/>
    <w:rsid w:val="0012636D"/>
    <w:rsid w:val="00127E7B"/>
    <w:rsid w:val="00132D19"/>
    <w:rsid w:val="00134995"/>
    <w:rsid w:val="00135C11"/>
    <w:rsid w:val="00140AEB"/>
    <w:rsid w:val="00141FDE"/>
    <w:rsid w:val="00144B21"/>
    <w:rsid w:val="00146172"/>
    <w:rsid w:val="001461C5"/>
    <w:rsid w:val="001464E8"/>
    <w:rsid w:val="00146B19"/>
    <w:rsid w:val="00152B4A"/>
    <w:rsid w:val="00161395"/>
    <w:rsid w:val="00161AC5"/>
    <w:rsid w:val="00163E40"/>
    <w:rsid w:val="00164C2B"/>
    <w:rsid w:val="00164E7A"/>
    <w:rsid w:val="0017208E"/>
    <w:rsid w:val="00172A27"/>
    <w:rsid w:val="00175794"/>
    <w:rsid w:val="00176A8F"/>
    <w:rsid w:val="0017730C"/>
    <w:rsid w:val="0018645D"/>
    <w:rsid w:val="00186A81"/>
    <w:rsid w:val="0018796D"/>
    <w:rsid w:val="001905C6"/>
    <w:rsid w:val="00194BDB"/>
    <w:rsid w:val="001968A0"/>
    <w:rsid w:val="001A34C4"/>
    <w:rsid w:val="001A6DFD"/>
    <w:rsid w:val="001A75F6"/>
    <w:rsid w:val="001B0FDB"/>
    <w:rsid w:val="001B1B9B"/>
    <w:rsid w:val="001B1C81"/>
    <w:rsid w:val="001B384C"/>
    <w:rsid w:val="001B7B42"/>
    <w:rsid w:val="001C6368"/>
    <w:rsid w:val="001E4693"/>
    <w:rsid w:val="001E78DF"/>
    <w:rsid w:val="001F071D"/>
    <w:rsid w:val="001F0B9C"/>
    <w:rsid w:val="001F213C"/>
    <w:rsid w:val="001F2C9A"/>
    <w:rsid w:val="001F3CC0"/>
    <w:rsid w:val="001F754A"/>
    <w:rsid w:val="00204470"/>
    <w:rsid w:val="0021083A"/>
    <w:rsid w:val="00216C98"/>
    <w:rsid w:val="0021715E"/>
    <w:rsid w:val="00223911"/>
    <w:rsid w:val="0022474D"/>
    <w:rsid w:val="00225B1D"/>
    <w:rsid w:val="00226724"/>
    <w:rsid w:val="00226DD1"/>
    <w:rsid w:val="00240B7E"/>
    <w:rsid w:val="002426CC"/>
    <w:rsid w:val="00244FE9"/>
    <w:rsid w:val="002456C4"/>
    <w:rsid w:val="0024679F"/>
    <w:rsid w:val="0024786E"/>
    <w:rsid w:val="00247F71"/>
    <w:rsid w:val="00253ACA"/>
    <w:rsid w:val="00261776"/>
    <w:rsid w:val="00262DDB"/>
    <w:rsid w:val="0027150E"/>
    <w:rsid w:val="00271BEF"/>
    <w:rsid w:val="002720B7"/>
    <w:rsid w:val="002721C7"/>
    <w:rsid w:val="00273406"/>
    <w:rsid w:val="00273C5D"/>
    <w:rsid w:val="00280723"/>
    <w:rsid w:val="002812EB"/>
    <w:rsid w:val="00283D68"/>
    <w:rsid w:val="00285C12"/>
    <w:rsid w:val="002931E1"/>
    <w:rsid w:val="00293284"/>
    <w:rsid w:val="00296FCA"/>
    <w:rsid w:val="002B62BD"/>
    <w:rsid w:val="002B746B"/>
    <w:rsid w:val="002B7E8E"/>
    <w:rsid w:val="002C126F"/>
    <w:rsid w:val="002C4162"/>
    <w:rsid w:val="002C53B4"/>
    <w:rsid w:val="002D25F9"/>
    <w:rsid w:val="002D3E47"/>
    <w:rsid w:val="002D54C0"/>
    <w:rsid w:val="002D5E0C"/>
    <w:rsid w:val="002E0928"/>
    <w:rsid w:val="002E1519"/>
    <w:rsid w:val="002E31D8"/>
    <w:rsid w:val="002E46A6"/>
    <w:rsid w:val="002E686B"/>
    <w:rsid w:val="002E7016"/>
    <w:rsid w:val="002F2B1A"/>
    <w:rsid w:val="00300C34"/>
    <w:rsid w:val="00305003"/>
    <w:rsid w:val="00306C84"/>
    <w:rsid w:val="0031536D"/>
    <w:rsid w:val="0031576B"/>
    <w:rsid w:val="003171B6"/>
    <w:rsid w:val="00323A1A"/>
    <w:rsid w:val="00323E80"/>
    <w:rsid w:val="003331C5"/>
    <w:rsid w:val="00334AE6"/>
    <w:rsid w:val="00335A19"/>
    <w:rsid w:val="00340E8A"/>
    <w:rsid w:val="003523FA"/>
    <w:rsid w:val="00356039"/>
    <w:rsid w:val="00360F70"/>
    <w:rsid w:val="003617CA"/>
    <w:rsid w:val="0036415C"/>
    <w:rsid w:val="00367B04"/>
    <w:rsid w:val="00367F0D"/>
    <w:rsid w:val="0037423C"/>
    <w:rsid w:val="0037495E"/>
    <w:rsid w:val="00386381"/>
    <w:rsid w:val="003919C8"/>
    <w:rsid w:val="0039568D"/>
    <w:rsid w:val="003A0C4C"/>
    <w:rsid w:val="003B240D"/>
    <w:rsid w:val="003B294C"/>
    <w:rsid w:val="003B2FBB"/>
    <w:rsid w:val="003B4D26"/>
    <w:rsid w:val="003B558A"/>
    <w:rsid w:val="003B5962"/>
    <w:rsid w:val="003C2BD8"/>
    <w:rsid w:val="003C59C4"/>
    <w:rsid w:val="003D5B7A"/>
    <w:rsid w:val="003E5038"/>
    <w:rsid w:val="003E6435"/>
    <w:rsid w:val="003E7A38"/>
    <w:rsid w:val="00402C9F"/>
    <w:rsid w:val="00410B25"/>
    <w:rsid w:val="00415F4C"/>
    <w:rsid w:val="00416ECC"/>
    <w:rsid w:val="00417A65"/>
    <w:rsid w:val="00417E34"/>
    <w:rsid w:val="004240AB"/>
    <w:rsid w:val="00431AEC"/>
    <w:rsid w:val="00434959"/>
    <w:rsid w:val="00443426"/>
    <w:rsid w:val="004442F5"/>
    <w:rsid w:val="0044485D"/>
    <w:rsid w:val="00444ABB"/>
    <w:rsid w:val="0044719E"/>
    <w:rsid w:val="004544EA"/>
    <w:rsid w:val="004553C9"/>
    <w:rsid w:val="00455504"/>
    <w:rsid w:val="004640B8"/>
    <w:rsid w:val="0046648B"/>
    <w:rsid w:val="00471B8E"/>
    <w:rsid w:val="00471F90"/>
    <w:rsid w:val="00472602"/>
    <w:rsid w:val="0047284C"/>
    <w:rsid w:val="00472EE7"/>
    <w:rsid w:val="00481131"/>
    <w:rsid w:val="0048236B"/>
    <w:rsid w:val="0048350B"/>
    <w:rsid w:val="004A47BB"/>
    <w:rsid w:val="004A6686"/>
    <w:rsid w:val="004B1574"/>
    <w:rsid w:val="004B3E01"/>
    <w:rsid w:val="004B4061"/>
    <w:rsid w:val="004B6A83"/>
    <w:rsid w:val="004C1C96"/>
    <w:rsid w:val="004C2907"/>
    <w:rsid w:val="004C5146"/>
    <w:rsid w:val="004C5D79"/>
    <w:rsid w:val="004C6AAD"/>
    <w:rsid w:val="004D1D3C"/>
    <w:rsid w:val="004D3BF0"/>
    <w:rsid w:val="004D72DD"/>
    <w:rsid w:val="004D75BB"/>
    <w:rsid w:val="004D78DC"/>
    <w:rsid w:val="004E7BC3"/>
    <w:rsid w:val="004F3E54"/>
    <w:rsid w:val="004F46BE"/>
    <w:rsid w:val="004F55A8"/>
    <w:rsid w:val="004F6182"/>
    <w:rsid w:val="004F68A1"/>
    <w:rsid w:val="005069AF"/>
    <w:rsid w:val="00514C66"/>
    <w:rsid w:val="0052203E"/>
    <w:rsid w:val="00526833"/>
    <w:rsid w:val="00527A80"/>
    <w:rsid w:val="005308A9"/>
    <w:rsid w:val="0053283B"/>
    <w:rsid w:val="005328B5"/>
    <w:rsid w:val="00540B15"/>
    <w:rsid w:val="005448A3"/>
    <w:rsid w:val="005455D3"/>
    <w:rsid w:val="00552BA3"/>
    <w:rsid w:val="00554814"/>
    <w:rsid w:val="00557C0A"/>
    <w:rsid w:val="005603A6"/>
    <w:rsid w:val="00572CC2"/>
    <w:rsid w:val="00573AF4"/>
    <w:rsid w:val="00576072"/>
    <w:rsid w:val="00576DF6"/>
    <w:rsid w:val="00590E76"/>
    <w:rsid w:val="0059379B"/>
    <w:rsid w:val="005944C2"/>
    <w:rsid w:val="00594FAA"/>
    <w:rsid w:val="0059522C"/>
    <w:rsid w:val="005A2C66"/>
    <w:rsid w:val="005A4E64"/>
    <w:rsid w:val="005B10BF"/>
    <w:rsid w:val="005B3956"/>
    <w:rsid w:val="005B502C"/>
    <w:rsid w:val="005B7423"/>
    <w:rsid w:val="005C0059"/>
    <w:rsid w:val="005D074C"/>
    <w:rsid w:val="005D6448"/>
    <w:rsid w:val="005D715A"/>
    <w:rsid w:val="005D7DC9"/>
    <w:rsid w:val="005E363F"/>
    <w:rsid w:val="005E7456"/>
    <w:rsid w:val="005F7A14"/>
    <w:rsid w:val="00610534"/>
    <w:rsid w:val="00612F15"/>
    <w:rsid w:val="00614A48"/>
    <w:rsid w:val="006179D3"/>
    <w:rsid w:val="0062323B"/>
    <w:rsid w:val="00623F70"/>
    <w:rsid w:val="00624B93"/>
    <w:rsid w:val="00625F8B"/>
    <w:rsid w:val="00636836"/>
    <w:rsid w:val="006401F7"/>
    <w:rsid w:val="006429DC"/>
    <w:rsid w:val="00655306"/>
    <w:rsid w:val="006566D8"/>
    <w:rsid w:val="00663538"/>
    <w:rsid w:val="00667FB7"/>
    <w:rsid w:val="00674958"/>
    <w:rsid w:val="00681281"/>
    <w:rsid w:val="00692869"/>
    <w:rsid w:val="00694CC9"/>
    <w:rsid w:val="006952A9"/>
    <w:rsid w:val="006A1901"/>
    <w:rsid w:val="006A35FF"/>
    <w:rsid w:val="006B6B98"/>
    <w:rsid w:val="006C2213"/>
    <w:rsid w:val="006C2C4A"/>
    <w:rsid w:val="006C4753"/>
    <w:rsid w:val="006C5585"/>
    <w:rsid w:val="006C5C47"/>
    <w:rsid w:val="006D0211"/>
    <w:rsid w:val="006D72FB"/>
    <w:rsid w:val="006E18D5"/>
    <w:rsid w:val="006F3DA1"/>
    <w:rsid w:val="006F4A35"/>
    <w:rsid w:val="006F53F6"/>
    <w:rsid w:val="00702F49"/>
    <w:rsid w:val="007149D3"/>
    <w:rsid w:val="00714CE0"/>
    <w:rsid w:val="00717130"/>
    <w:rsid w:val="00724224"/>
    <w:rsid w:val="00726337"/>
    <w:rsid w:val="0072711E"/>
    <w:rsid w:val="00732366"/>
    <w:rsid w:val="007433D8"/>
    <w:rsid w:val="00745417"/>
    <w:rsid w:val="00746E52"/>
    <w:rsid w:val="00751CA2"/>
    <w:rsid w:val="00752448"/>
    <w:rsid w:val="0075510C"/>
    <w:rsid w:val="0075577F"/>
    <w:rsid w:val="00755D7C"/>
    <w:rsid w:val="00760B00"/>
    <w:rsid w:val="00760BD8"/>
    <w:rsid w:val="00763D74"/>
    <w:rsid w:val="0076589B"/>
    <w:rsid w:val="00777827"/>
    <w:rsid w:val="007831E0"/>
    <w:rsid w:val="00791BC3"/>
    <w:rsid w:val="00792873"/>
    <w:rsid w:val="00796FFB"/>
    <w:rsid w:val="007A4A66"/>
    <w:rsid w:val="007A6339"/>
    <w:rsid w:val="007A7AEC"/>
    <w:rsid w:val="007B1C6B"/>
    <w:rsid w:val="007B33B0"/>
    <w:rsid w:val="007B3AFE"/>
    <w:rsid w:val="007B5339"/>
    <w:rsid w:val="007C03F3"/>
    <w:rsid w:val="007C1F59"/>
    <w:rsid w:val="007C230D"/>
    <w:rsid w:val="007D0BE5"/>
    <w:rsid w:val="007D409D"/>
    <w:rsid w:val="007D43D9"/>
    <w:rsid w:val="007D44A6"/>
    <w:rsid w:val="007E0C50"/>
    <w:rsid w:val="007E2919"/>
    <w:rsid w:val="007E7C4D"/>
    <w:rsid w:val="007F3B51"/>
    <w:rsid w:val="007F3DE5"/>
    <w:rsid w:val="007F497D"/>
    <w:rsid w:val="007F59F0"/>
    <w:rsid w:val="007F6DA8"/>
    <w:rsid w:val="007F6E23"/>
    <w:rsid w:val="007F77FA"/>
    <w:rsid w:val="00801587"/>
    <w:rsid w:val="00801A16"/>
    <w:rsid w:val="008034F2"/>
    <w:rsid w:val="008039E9"/>
    <w:rsid w:val="0081146B"/>
    <w:rsid w:val="00822EC8"/>
    <w:rsid w:val="008310FD"/>
    <w:rsid w:val="00837CC1"/>
    <w:rsid w:val="00841F47"/>
    <w:rsid w:val="00843AEF"/>
    <w:rsid w:val="00844B0D"/>
    <w:rsid w:val="00847237"/>
    <w:rsid w:val="00847F03"/>
    <w:rsid w:val="008559A9"/>
    <w:rsid w:val="0086335E"/>
    <w:rsid w:val="008666C6"/>
    <w:rsid w:val="00884DFC"/>
    <w:rsid w:val="008912EB"/>
    <w:rsid w:val="008A1809"/>
    <w:rsid w:val="008A1899"/>
    <w:rsid w:val="008A1D91"/>
    <w:rsid w:val="008A21E5"/>
    <w:rsid w:val="008A69C8"/>
    <w:rsid w:val="008B015A"/>
    <w:rsid w:val="008B4736"/>
    <w:rsid w:val="008C24C2"/>
    <w:rsid w:val="008C3A6B"/>
    <w:rsid w:val="008C5262"/>
    <w:rsid w:val="008D192D"/>
    <w:rsid w:val="008D487E"/>
    <w:rsid w:val="008D5A1B"/>
    <w:rsid w:val="008D69D5"/>
    <w:rsid w:val="008E281C"/>
    <w:rsid w:val="008E7950"/>
    <w:rsid w:val="00900658"/>
    <w:rsid w:val="00906AEA"/>
    <w:rsid w:val="00911160"/>
    <w:rsid w:val="00913222"/>
    <w:rsid w:val="00924144"/>
    <w:rsid w:val="009310D6"/>
    <w:rsid w:val="00932C3A"/>
    <w:rsid w:val="00936B7C"/>
    <w:rsid w:val="00940074"/>
    <w:rsid w:val="00941870"/>
    <w:rsid w:val="009429D9"/>
    <w:rsid w:val="0094491F"/>
    <w:rsid w:val="009520A8"/>
    <w:rsid w:val="00952C88"/>
    <w:rsid w:val="0095500E"/>
    <w:rsid w:val="00956DF9"/>
    <w:rsid w:val="0096281D"/>
    <w:rsid w:val="00963583"/>
    <w:rsid w:val="0096578D"/>
    <w:rsid w:val="00967265"/>
    <w:rsid w:val="00970255"/>
    <w:rsid w:val="0097166F"/>
    <w:rsid w:val="00980A00"/>
    <w:rsid w:val="00987DCE"/>
    <w:rsid w:val="00991F43"/>
    <w:rsid w:val="0099705F"/>
    <w:rsid w:val="00997E57"/>
    <w:rsid w:val="009A246C"/>
    <w:rsid w:val="009A5FB1"/>
    <w:rsid w:val="009B770E"/>
    <w:rsid w:val="009C0ADA"/>
    <w:rsid w:val="009C11B7"/>
    <w:rsid w:val="009C1E58"/>
    <w:rsid w:val="009C223A"/>
    <w:rsid w:val="009C2E20"/>
    <w:rsid w:val="009C7F73"/>
    <w:rsid w:val="009D0E0C"/>
    <w:rsid w:val="009D2707"/>
    <w:rsid w:val="009E04AC"/>
    <w:rsid w:val="009E06AA"/>
    <w:rsid w:val="009E15AA"/>
    <w:rsid w:val="009E448F"/>
    <w:rsid w:val="009E60A5"/>
    <w:rsid w:val="009E6803"/>
    <w:rsid w:val="009E68D7"/>
    <w:rsid w:val="009F0DB0"/>
    <w:rsid w:val="009F29F1"/>
    <w:rsid w:val="00A03652"/>
    <w:rsid w:val="00A12219"/>
    <w:rsid w:val="00A12348"/>
    <w:rsid w:val="00A13798"/>
    <w:rsid w:val="00A202D8"/>
    <w:rsid w:val="00A2339F"/>
    <w:rsid w:val="00A323D1"/>
    <w:rsid w:val="00A36DE5"/>
    <w:rsid w:val="00A40D1A"/>
    <w:rsid w:val="00A453CD"/>
    <w:rsid w:val="00A458CE"/>
    <w:rsid w:val="00A50AFD"/>
    <w:rsid w:val="00A50B82"/>
    <w:rsid w:val="00A62B5F"/>
    <w:rsid w:val="00A64F05"/>
    <w:rsid w:val="00A724C9"/>
    <w:rsid w:val="00A725A3"/>
    <w:rsid w:val="00A739C0"/>
    <w:rsid w:val="00A762A2"/>
    <w:rsid w:val="00A76610"/>
    <w:rsid w:val="00A7787D"/>
    <w:rsid w:val="00A81FA5"/>
    <w:rsid w:val="00A83428"/>
    <w:rsid w:val="00A8529F"/>
    <w:rsid w:val="00A856CF"/>
    <w:rsid w:val="00A9223F"/>
    <w:rsid w:val="00A94A07"/>
    <w:rsid w:val="00A960F5"/>
    <w:rsid w:val="00AC20AC"/>
    <w:rsid w:val="00AD1C4A"/>
    <w:rsid w:val="00AD2D45"/>
    <w:rsid w:val="00AD30BC"/>
    <w:rsid w:val="00AD3F3E"/>
    <w:rsid w:val="00AD5F3A"/>
    <w:rsid w:val="00AE030A"/>
    <w:rsid w:val="00AE480E"/>
    <w:rsid w:val="00AE4C20"/>
    <w:rsid w:val="00AE51E1"/>
    <w:rsid w:val="00AF3013"/>
    <w:rsid w:val="00B03406"/>
    <w:rsid w:val="00B14493"/>
    <w:rsid w:val="00B20E23"/>
    <w:rsid w:val="00B21677"/>
    <w:rsid w:val="00B40154"/>
    <w:rsid w:val="00B4248B"/>
    <w:rsid w:val="00B44FD1"/>
    <w:rsid w:val="00B479BC"/>
    <w:rsid w:val="00B50130"/>
    <w:rsid w:val="00B52BB1"/>
    <w:rsid w:val="00B52E93"/>
    <w:rsid w:val="00B540D2"/>
    <w:rsid w:val="00B55157"/>
    <w:rsid w:val="00B60C01"/>
    <w:rsid w:val="00B61588"/>
    <w:rsid w:val="00B71EDC"/>
    <w:rsid w:val="00B72482"/>
    <w:rsid w:val="00B72733"/>
    <w:rsid w:val="00B73C69"/>
    <w:rsid w:val="00B74E98"/>
    <w:rsid w:val="00B81EE2"/>
    <w:rsid w:val="00B850ED"/>
    <w:rsid w:val="00B87337"/>
    <w:rsid w:val="00B87D47"/>
    <w:rsid w:val="00B94DC5"/>
    <w:rsid w:val="00B956C6"/>
    <w:rsid w:val="00BB351D"/>
    <w:rsid w:val="00BB3693"/>
    <w:rsid w:val="00BB514A"/>
    <w:rsid w:val="00BB6DE2"/>
    <w:rsid w:val="00BC0A12"/>
    <w:rsid w:val="00BC2D44"/>
    <w:rsid w:val="00BD098E"/>
    <w:rsid w:val="00BD2829"/>
    <w:rsid w:val="00BD515C"/>
    <w:rsid w:val="00BD7EB7"/>
    <w:rsid w:val="00BE2684"/>
    <w:rsid w:val="00BE5303"/>
    <w:rsid w:val="00BE6B5A"/>
    <w:rsid w:val="00BE7108"/>
    <w:rsid w:val="00BF429B"/>
    <w:rsid w:val="00BF4E80"/>
    <w:rsid w:val="00BF655A"/>
    <w:rsid w:val="00BF7878"/>
    <w:rsid w:val="00C133CE"/>
    <w:rsid w:val="00C23015"/>
    <w:rsid w:val="00C25F98"/>
    <w:rsid w:val="00C30E8A"/>
    <w:rsid w:val="00C35C1D"/>
    <w:rsid w:val="00C3676C"/>
    <w:rsid w:val="00C450A1"/>
    <w:rsid w:val="00C45142"/>
    <w:rsid w:val="00C53A5F"/>
    <w:rsid w:val="00C54D16"/>
    <w:rsid w:val="00C61FFD"/>
    <w:rsid w:val="00C743F2"/>
    <w:rsid w:val="00C749C1"/>
    <w:rsid w:val="00C777EF"/>
    <w:rsid w:val="00C87ACA"/>
    <w:rsid w:val="00C93C4D"/>
    <w:rsid w:val="00C96860"/>
    <w:rsid w:val="00C97857"/>
    <w:rsid w:val="00CA04B5"/>
    <w:rsid w:val="00CA43F1"/>
    <w:rsid w:val="00CB1222"/>
    <w:rsid w:val="00CC4560"/>
    <w:rsid w:val="00CC7720"/>
    <w:rsid w:val="00CD35C1"/>
    <w:rsid w:val="00CD6E27"/>
    <w:rsid w:val="00CE3D98"/>
    <w:rsid w:val="00CE5F76"/>
    <w:rsid w:val="00CF0921"/>
    <w:rsid w:val="00CF7821"/>
    <w:rsid w:val="00D03E2E"/>
    <w:rsid w:val="00D04329"/>
    <w:rsid w:val="00D07DBC"/>
    <w:rsid w:val="00D10175"/>
    <w:rsid w:val="00D17F87"/>
    <w:rsid w:val="00D23F23"/>
    <w:rsid w:val="00D2545C"/>
    <w:rsid w:val="00D31CF9"/>
    <w:rsid w:val="00D35F93"/>
    <w:rsid w:val="00D42D24"/>
    <w:rsid w:val="00D44505"/>
    <w:rsid w:val="00D44EF0"/>
    <w:rsid w:val="00D51F42"/>
    <w:rsid w:val="00D528C8"/>
    <w:rsid w:val="00D56B2D"/>
    <w:rsid w:val="00D6030B"/>
    <w:rsid w:val="00D81DBE"/>
    <w:rsid w:val="00D84BF6"/>
    <w:rsid w:val="00D858D9"/>
    <w:rsid w:val="00D9145B"/>
    <w:rsid w:val="00DA4ECE"/>
    <w:rsid w:val="00DA591A"/>
    <w:rsid w:val="00DA6C00"/>
    <w:rsid w:val="00DA7E87"/>
    <w:rsid w:val="00DB0391"/>
    <w:rsid w:val="00DB36D5"/>
    <w:rsid w:val="00DB3DD9"/>
    <w:rsid w:val="00DB7C69"/>
    <w:rsid w:val="00DC17F6"/>
    <w:rsid w:val="00DC611C"/>
    <w:rsid w:val="00DD1ED4"/>
    <w:rsid w:val="00DD358A"/>
    <w:rsid w:val="00DD5B90"/>
    <w:rsid w:val="00DD6E44"/>
    <w:rsid w:val="00DE01BF"/>
    <w:rsid w:val="00DE2296"/>
    <w:rsid w:val="00DE311F"/>
    <w:rsid w:val="00DE6421"/>
    <w:rsid w:val="00DE6BD9"/>
    <w:rsid w:val="00DF113F"/>
    <w:rsid w:val="00E07358"/>
    <w:rsid w:val="00E10E4E"/>
    <w:rsid w:val="00E1106C"/>
    <w:rsid w:val="00E11893"/>
    <w:rsid w:val="00E13E1C"/>
    <w:rsid w:val="00E1503E"/>
    <w:rsid w:val="00E210FE"/>
    <w:rsid w:val="00E215B0"/>
    <w:rsid w:val="00E21BFE"/>
    <w:rsid w:val="00E21E2C"/>
    <w:rsid w:val="00E226CA"/>
    <w:rsid w:val="00E250C4"/>
    <w:rsid w:val="00E31E7A"/>
    <w:rsid w:val="00E32D74"/>
    <w:rsid w:val="00E33CF6"/>
    <w:rsid w:val="00E3632C"/>
    <w:rsid w:val="00E37FDE"/>
    <w:rsid w:val="00E44F05"/>
    <w:rsid w:val="00E469DB"/>
    <w:rsid w:val="00E508F6"/>
    <w:rsid w:val="00E5446E"/>
    <w:rsid w:val="00E5632B"/>
    <w:rsid w:val="00E56498"/>
    <w:rsid w:val="00E61B17"/>
    <w:rsid w:val="00E6258F"/>
    <w:rsid w:val="00E62D5A"/>
    <w:rsid w:val="00E63807"/>
    <w:rsid w:val="00E673E8"/>
    <w:rsid w:val="00E67923"/>
    <w:rsid w:val="00E73690"/>
    <w:rsid w:val="00E74A02"/>
    <w:rsid w:val="00E74BC6"/>
    <w:rsid w:val="00E76E02"/>
    <w:rsid w:val="00E94401"/>
    <w:rsid w:val="00E94D8F"/>
    <w:rsid w:val="00E972AE"/>
    <w:rsid w:val="00EA3670"/>
    <w:rsid w:val="00EA7640"/>
    <w:rsid w:val="00EB0C90"/>
    <w:rsid w:val="00EB3725"/>
    <w:rsid w:val="00EB5F91"/>
    <w:rsid w:val="00EB7C70"/>
    <w:rsid w:val="00EC3447"/>
    <w:rsid w:val="00EC70F4"/>
    <w:rsid w:val="00EC78EE"/>
    <w:rsid w:val="00ED0B7A"/>
    <w:rsid w:val="00ED4073"/>
    <w:rsid w:val="00EE02F7"/>
    <w:rsid w:val="00EE0D22"/>
    <w:rsid w:val="00EE51BE"/>
    <w:rsid w:val="00EE5D03"/>
    <w:rsid w:val="00EF2F48"/>
    <w:rsid w:val="00EF34A1"/>
    <w:rsid w:val="00EF5F74"/>
    <w:rsid w:val="00EF7950"/>
    <w:rsid w:val="00F0184E"/>
    <w:rsid w:val="00F025B1"/>
    <w:rsid w:val="00F02A66"/>
    <w:rsid w:val="00F12467"/>
    <w:rsid w:val="00F14BB3"/>
    <w:rsid w:val="00F2799D"/>
    <w:rsid w:val="00F3403F"/>
    <w:rsid w:val="00F3563F"/>
    <w:rsid w:val="00F37F0C"/>
    <w:rsid w:val="00F431B9"/>
    <w:rsid w:val="00F43355"/>
    <w:rsid w:val="00F440A6"/>
    <w:rsid w:val="00F50CA9"/>
    <w:rsid w:val="00F57C4E"/>
    <w:rsid w:val="00F628AA"/>
    <w:rsid w:val="00F724F4"/>
    <w:rsid w:val="00F7329A"/>
    <w:rsid w:val="00F828B6"/>
    <w:rsid w:val="00F8439F"/>
    <w:rsid w:val="00F85D29"/>
    <w:rsid w:val="00F868B3"/>
    <w:rsid w:val="00F93416"/>
    <w:rsid w:val="00FA7DD3"/>
    <w:rsid w:val="00FB077E"/>
    <w:rsid w:val="00FB0E73"/>
    <w:rsid w:val="00FB1EAD"/>
    <w:rsid w:val="00FB5275"/>
    <w:rsid w:val="00FB5B94"/>
    <w:rsid w:val="00FC3D83"/>
    <w:rsid w:val="00FC72EA"/>
    <w:rsid w:val="00FD095B"/>
    <w:rsid w:val="00FD1DC8"/>
    <w:rsid w:val="00FD3ABE"/>
    <w:rsid w:val="00FD5AAB"/>
    <w:rsid w:val="00FD7D10"/>
    <w:rsid w:val="00FE5E3D"/>
    <w:rsid w:val="00FF2859"/>
    <w:rsid w:val="00FF31CD"/>
    <w:rsid w:val="01213882"/>
    <w:rsid w:val="01275761"/>
    <w:rsid w:val="012B1219"/>
    <w:rsid w:val="01303AC5"/>
    <w:rsid w:val="013B23E6"/>
    <w:rsid w:val="014A7C57"/>
    <w:rsid w:val="016828E1"/>
    <w:rsid w:val="01762C0F"/>
    <w:rsid w:val="018E1EA2"/>
    <w:rsid w:val="019127B6"/>
    <w:rsid w:val="019D47B9"/>
    <w:rsid w:val="01A27D0B"/>
    <w:rsid w:val="01AC5842"/>
    <w:rsid w:val="01E3668E"/>
    <w:rsid w:val="02216EF0"/>
    <w:rsid w:val="022E6257"/>
    <w:rsid w:val="024B29E3"/>
    <w:rsid w:val="026305F6"/>
    <w:rsid w:val="02663C42"/>
    <w:rsid w:val="026F331C"/>
    <w:rsid w:val="027520D7"/>
    <w:rsid w:val="027C3466"/>
    <w:rsid w:val="02C0725B"/>
    <w:rsid w:val="030A7EAB"/>
    <w:rsid w:val="030B049D"/>
    <w:rsid w:val="030E471C"/>
    <w:rsid w:val="0318372E"/>
    <w:rsid w:val="031841A0"/>
    <w:rsid w:val="03373C6A"/>
    <w:rsid w:val="0374413D"/>
    <w:rsid w:val="03774F35"/>
    <w:rsid w:val="038500F8"/>
    <w:rsid w:val="039879E3"/>
    <w:rsid w:val="03A321E3"/>
    <w:rsid w:val="03AE60A2"/>
    <w:rsid w:val="03B31109"/>
    <w:rsid w:val="03BD5AE4"/>
    <w:rsid w:val="03BE2B18"/>
    <w:rsid w:val="03C50E3C"/>
    <w:rsid w:val="03D03373"/>
    <w:rsid w:val="03E94696"/>
    <w:rsid w:val="03EF7C67"/>
    <w:rsid w:val="040C727D"/>
    <w:rsid w:val="04620439"/>
    <w:rsid w:val="047C504B"/>
    <w:rsid w:val="04893C18"/>
    <w:rsid w:val="04C74F7C"/>
    <w:rsid w:val="04CC1D57"/>
    <w:rsid w:val="04E411EF"/>
    <w:rsid w:val="04F05A45"/>
    <w:rsid w:val="050339CA"/>
    <w:rsid w:val="050E318E"/>
    <w:rsid w:val="05446D9B"/>
    <w:rsid w:val="05556557"/>
    <w:rsid w:val="05644F36"/>
    <w:rsid w:val="057A49E1"/>
    <w:rsid w:val="057C1D39"/>
    <w:rsid w:val="05903CCE"/>
    <w:rsid w:val="05C814D1"/>
    <w:rsid w:val="05F257ED"/>
    <w:rsid w:val="05FD56D0"/>
    <w:rsid w:val="0620235A"/>
    <w:rsid w:val="062045F3"/>
    <w:rsid w:val="06387AF4"/>
    <w:rsid w:val="064268D3"/>
    <w:rsid w:val="06626B46"/>
    <w:rsid w:val="067F52D3"/>
    <w:rsid w:val="069570A1"/>
    <w:rsid w:val="06D80E87"/>
    <w:rsid w:val="071A4FFB"/>
    <w:rsid w:val="07266E36"/>
    <w:rsid w:val="075F684B"/>
    <w:rsid w:val="07676055"/>
    <w:rsid w:val="07823A0B"/>
    <w:rsid w:val="078708B9"/>
    <w:rsid w:val="07A3112D"/>
    <w:rsid w:val="07A50D69"/>
    <w:rsid w:val="07E31891"/>
    <w:rsid w:val="07E71CB2"/>
    <w:rsid w:val="07EA36D8"/>
    <w:rsid w:val="07F078BC"/>
    <w:rsid w:val="08256F5E"/>
    <w:rsid w:val="08303A92"/>
    <w:rsid w:val="08332FBB"/>
    <w:rsid w:val="083D4E69"/>
    <w:rsid w:val="08AD130B"/>
    <w:rsid w:val="08AD6BD5"/>
    <w:rsid w:val="08CF2C57"/>
    <w:rsid w:val="08FE433F"/>
    <w:rsid w:val="090B5543"/>
    <w:rsid w:val="092B34F0"/>
    <w:rsid w:val="0946740A"/>
    <w:rsid w:val="094A5297"/>
    <w:rsid w:val="095073FA"/>
    <w:rsid w:val="09812927"/>
    <w:rsid w:val="09904389"/>
    <w:rsid w:val="09954E0D"/>
    <w:rsid w:val="09B53863"/>
    <w:rsid w:val="09C757FE"/>
    <w:rsid w:val="09D00339"/>
    <w:rsid w:val="09D21BBD"/>
    <w:rsid w:val="09D75426"/>
    <w:rsid w:val="09EE244D"/>
    <w:rsid w:val="0A3E3EAB"/>
    <w:rsid w:val="0A4725AB"/>
    <w:rsid w:val="0A4A5BF8"/>
    <w:rsid w:val="0A5E5103"/>
    <w:rsid w:val="0AB734AE"/>
    <w:rsid w:val="0AD211D1"/>
    <w:rsid w:val="0AE844ED"/>
    <w:rsid w:val="0AE93662"/>
    <w:rsid w:val="0AFD0016"/>
    <w:rsid w:val="0B076EEF"/>
    <w:rsid w:val="0B2B298E"/>
    <w:rsid w:val="0B565513"/>
    <w:rsid w:val="0B772A1C"/>
    <w:rsid w:val="0BAF70CA"/>
    <w:rsid w:val="0BC62E9C"/>
    <w:rsid w:val="0BFB5C05"/>
    <w:rsid w:val="0C1B2271"/>
    <w:rsid w:val="0C321039"/>
    <w:rsid w:val="0C3E178C"/>
    <w:rsid w:val="0C4667E7"/>
    <w:rsid w:val="0C5E00BA"/>
    <w:rsid w:val="0C6D4FE5"/>
    <w:rsid w:val="0C701305"/>
    <w:rsid w:val="0C874EE1"/>
    <w:rsid w:val="0C982B73"/>
    <w:rsid w:val="0CA00214"/>
    <w:rsid w:val="0D272220"/>
    <w:rsid w:val="0D555EA4"/>
    <w:rsid w:val="0D5F41CE"/>
    <w:rsid w:val="0E6A142E"/>
    <w:rsid w:val="0E7224F8"/>
    <w:rsid w:val="0E8503E0"/>
    <w:rsid w:val="0E9919B5"/>
    <w:rsid w:val="0ED31DEF"/>
    <w:rsid w:val="0ED95034"/>
    <w:rsid w:val="0EF47A70"/>
    <w:rsid w:val="0F135689"/>
    <w:rsid w:val="0F3059C8"/>
    <w:rsid w:val="0F4368E2"/>
    <w:rsid w:val="0F977B31"/>
    <w:rsid w:val="0FD64E9F"/>
    <w:rsid w:val="0FD85A54"/>
    <w:rsid w:val="0FEE4B88"/>
    <w:rsid w:val="0FEF456D"/>
    <w:rsid w:val="0FFD2F87"/>
    <w:rsid w:val="10081455"/>
    <w:rsid w:val="101F3682"/>
    <w:rsid w:val="10234A2C"/>
    <w:rsid w:val="10510DC1"/>
    <w:rsid w:val="10617D8B"/>
    <w:rsid w:val="106535E4"/>
    <w:rsid w:val="107D48AD"/>
    <w:rsid w:val="10836B81"/>
    <w:rsid w:val="10D40911"/>
    <w:rsid w:val="10D47789"/>
    <w:rsid w:val="10E9061F"/>
    <w:rsid w:val="1110299A"/>
    <w:rsid w:val="112D74BE"/>
    <w:rsid w:val="114B476D"/>
    <w:rsid w:val="11657F42"/>
    <w:rsid w:val="118057AC"/>
    <w:rsid w:val="118A4194"/>
    <w:rsid w:val="119A5F77"/>
    <w:rsid w:val="11B9536A"/>
    <w:rsid w:val="11C73FD2"/>
    <w:rsid w:val="11D8187A"/>
    <w:rsid w:val="11DA288D"/>
    <w:rsid w:val="11DE5594"/>
    <w:rsid w:val="11E626AA"/>
    <w:rsid w:val="1224128C"/>
    <w:rsid w:val="122C3F45"/>
    <w:rsid w:val="1247170C"/>
    <w:rsid w:val="12745F08"/>
    <w:rsid w:val="128B4DFC"/>
    <w:rsid w:val="12970D1A"/>
    <w:rsid w:val="12A84323"/>
    <w:rsid w:val="12B04DAA"/>
    <w:rsid w:val="12C10A21"/>
    <w:rsid w:val="12C624DB"/>
    <w:rsid w:val="12DF0704"/>
    <w:rsid w:val="12F05FDF"/>
    <w:rsid w:val="1324699B"/>
    <w:rsid w:val="1331507B"/>
    <w:rsid w:val="134228DB"/>
    <w:rsid w:val="136E2957"/>
    <w:rsid w:val="136F66CF"/>
    <w:rsid w:val="137D6D32"/>
    <w:rsid w:val="137F4B64"/>
    <w:rsid w:val="139A199E"/>
    <w:rsid w:val="13AC5677"/>
    <w:rsid w:val="13B3480E"/>
    <w:rsid w:val="13B711D0"/>
    <w:rsid w:val="13BF5D24"/>
    <w:rsid w:val="140730BD"/>
    <w:rsid w:val="1411115B"/>
    <w:rsid w:val="141B6A6D"/>
    <w:rsid w:val="143B213D"/>
    <w:rsid w:val="143C2A55"/>
    <w:rsid w:val="14447B5C"/>
    <w:rsid w:val="14553B17"/>
    <w:rsid w:val="14822C86"/>
    <w:rsid w:val="149B08DC"/>
    <w:rsid w:val="14EC47FC"/>
    <w:rsid w:val="14F658C6"/>
    <w:rsid w:val="14F92001"/>
    <w:rsid w:val="15243815"/>
    <w:rsid w:val="153100E0"/>
    <w:rsid w:val="153F4085"/>
    <w:rsid w:val="15604A58"/>
    <w:rsid w:val="15874D41"/>
    <w:rsid w:val="15A3750D"/>
    <w:rsid w:val="15BF4F85"/>
    <w:rsid w:val="15D373E9"/>
    <w:rsid w:val="16247C45"/>
    <w:rsid w:val="164C6CA7"/>
    <w:rsid w:val="164F404C"/>
    <w:rsid w:val="164F4AE9"/>
    <w:rsid w:val="16652899"/>
    <w:rsid w:val="168611E2"/>
    <w:rsid w:val="16893F4C"/>
    <w:rsid w:val="16951897"/>
    <w:rsid w:val="16D43419"/>
    <w:rsid w:val="16D5710E"/>
    <w:rsid w:val="16DB7A1C"/>
    <w:rsid w:val="16EF32AE"/>
    <w:rsid w:val="16FC0AD4"/>
    <w:rsid w:val="170117D4"/>
    <w:rsid w:val="17054E4E"/>
    <w:rsid w:val="170F26A3"/>
    <w:rsid w:val="171E4694"/>
    <w:rsid w:val="173E0892"/>
    <w:rsid w:val="1743234C"/>
    <w:rsid w:val="17435EA8"/>
    <w:rsid w:val="17521041"/>
    <w:rsid w:val="17593FE4"/>
    <w:rsid w:val="1761230B"/>
    <w:rsid w:val="176F3BD1"/>
    <w:rsid w:val="17800EAB"/>
    <w:rsid w:val="178A6818"/>
    <w:rsid w:val="17B678A0"/>
    <w:rsid w:val="17DF7149"/>
    <w:rsid w:val="17F04282"/>
    <w:rsid w:val="182A380B"/>
    <w:rsid w:val="182B52BA"/>
    <w:rsid w:val="18303E4E"/>
    <w:rsid w:val="183B3024"/>
    <w:rsid w:val="184B770B"/>
    <w:rsid w:val="1884238E"/>
    <w:rsid w:val="18884481"/>
    <w:rsid w:val="188F6EFF"/>
    <w:rsid w:val="18B947B7"/>
    <w:rsid w:val="18DD55B5"/>
    <w:rsid w:val="18E66996"/>
    <w:rsid w:val="18E759E8"/>
    <w:rsid w:val="190B0DDA"/>
    <w:rsid w:val="193B33BD"/>
    <w:rsid w:val="19451B7E"/>
    <w:rsid w:val="19666BC1"/>
    <w:rsid w:val="1982059A"/>
    <w:rsid w:val="199C7AF2"/>
    <w:rsid w:val="19B4308D"/>
    <w:rsid w:val="19D00D00"/>
    <w:rsid w:val="19D30A81"/>
    <w:rsid w:val="19D4161B"/>
    <w:rsid w:val="19D60C64"/>
    <w:rsid w:val="1A032CBF"/>
    <w:rsid w:val="1A495ECC"/>
    <w:rsid w:val="1A562397"/>
    <w:rsid w:val="1A69031C"/>
    <w:rsid w:val="1A71322F"/>
    <w:rsid w:val="1A7647E7"/>
    <w:rsid w:val="1A7D432C"/>
    <w:rsid w:val="1A89451A"/>
    <w:rsid w:val="1A923013"/>
    <w:rsid w:val="1AA93DAA"/>
    <w:rsid w:val="1AC11F06"/>
    <w:rsid w:val="1AC87762"/>
    <w:rsid w:val="1AE37446"/>
    <w:rsid w:val="1B151DBA"/>
    <w:rsid w:val="1B2415D3"/>
    <w:rsid w:val="1B2865CE"/>
    <w:rsid w:val="1B286622"/>
    <w:rsid w:val="1B3D52AC"/>
    <w:rsid w:val="1B9B4505"/>
    <w:rsid w:val="1BB43819"/>
    <w:rsid w:val="1BD96DDB"/>
    <w:rsid w:val="1BDD000E"/>
    <w:rsid w:val="1BE428CB"/>
    <w:rsid w:val="1BE834C2"/>
    <w:rsid w:val="1BF6798D"/>
    <w:rsid w:val="1C1C2D2B"/>
    <w:rsid w:val="1C567043"/>
    <w:rsid w:val="1C5A6AF0"/>
    <w:rsid w:val="1C692389"/>
    <w:rsid w:val="1CB312D8"/>
    <w:rsid w:val="1CBE13B6"/>
    <w:rsid w:val="1D061DDD"/>
    <w:rsid w:val="1D135ACD"/>
    <w:rsid w:val="1D1628D1"/>
    <w:rsid w:val="1D197F5B"/>
    <w:rsid w:val="1D3D7EC4"/>
    <w:rsid w:val="1D4666F2"/>
    <w:rsid w:val="1D4B162F"/>
    <w:rsid w:val="1D4B3EDA"/>
    <w:rsid w:val="1D526D36"/>
    <w:rsid w:val="1D5277E1"/>
    <w:rsid w:val="1D7D3E0E"/>
    <w:rsid w:val="1D854DA5"/>
    <w:rsid w:val="1D904349"/>
    <w:rsid w:val="1DCC4875"/>
    <w:rsid w:val="1DCF66E8"/>
    <w:rsid w:val="1DD106B2"/>
    <w:rsid w:val="1DEA0D45"/>
    <w:rsid w:val="1DEA1774"/>
    <w:rsid w:val="1DF63C75"/>
    <w:rsid w:val="1E440E37"/>
    <w:rsid w:val="1E5C3AED"/>
    <w:rsid w:val="1E7C7CD7"/>
    <w:rsid w:val="1E7D213C"/>
    <w:rsid w:val="1E83436F"/>
    <w:rsid w:val="1E8A260F"/>
    <w:rsid w:val="1EA969D7"/>
    <w:rsid w:val="1EAE454F"/>
    <w:rsid w:val="1EBC1D7A"/>
    <w:rsid w:val="1EED1C96"/>
    <w:rsid w:val="1EF66935"/>
    <w:rsid w:val="1EFA5570"/>
    <w:rsid w:val="1F2F3AFD"/>
    <w:rsid w:val="1F3215D5"/>
    <w:rsid w:val="1F39529A"/>
    <w:rsid w:val="1F3A26D5"/>
    <w:rsid w:val="1F6130C4"/>
    <w:rsid w:val="1F7327F3"/>
    <w:rsid w:val="1F9C26B8"/>
    <w:rsid w:val="1FB82961"/>
    <w:rsid w:val="1FC54AD0"/>
    <w:rsid w:val="1FCD4EA9"/>
    <w:rsid w:val="1FD32DA6"/>
    <w:rsid w:val="1FE210C5"/>
    <w:rsid w:val="20115AFA"/>
    <w:rsid w:val="201C7665"/>
    <w:rsid w:val="2031368A"/>
    <w:rsid w:val="20580C17"/>
    <w:rsid w:val="2063048A"/>
    <w:rsid w:val="20910E0F"/>
    <w:rsid w:val="2099122F"/>
    <w:rsid w:val="20A2041A"/>
    <w:rsid w:val="20A34ED2"/>
    <w:rsid w:val="20AF17DC"/>
    <w:rsid w:val="20E24984"/>
    <w:rsid w:val="212174F9"/>
    <w:rsid w:val="212E1977"/>
    <w:rsid w:val="21517470"/>
    <w:rsid w:val="215B0191"/>
    <w:rsid w:val="21627873"/>
    <w:rsid w:val="216361B0"/>
    <w:rsid w:val="216910EC"/>
    <w:rsid w:val="21821CC3"/>
    <w:rsid w:val="2193662D"/>
    <w:rsid w:val="21974298"/>
    <w:rsid w:val="21B65500"/>
    <w:rsid w:val="21B751FF"/>
    <w:rsid w:val="21BA155E"/>
    <w:rsid w:val="21E20569"/>
    <w:rsid w:val="21F4113B"/>
    <w:rsid w:val="21F570AD"/>
    <w:rsid w:val="21FE134A"/>
    <w:rsid w:val="22123C19"/>
    <w:rsid w:val="2216049B"/>
    <w:rsid w:val="222E338A"/>
    <w:rsid w:val="223E208E"/>
    <w:rsid w:val="2272763A"/>
    <w:rsid w:val="2277565C"/>
    <w:rsid w:val="227B3D63"/>
    <w:rsid w:val="22883877"/>
    <w:rsid w:val="229C1D23"/>
    <w:rsid w:val="22B20386"/>
    <w:rsid w:val="22B365D8"/>
    <w:rsid w:val="22BE4B3F"/>
    <w:rsid w:val="23011885"/>
    <w:rsid w:val="23284CD5"/>
    <w:rsid w:val="23300BF7"/>
    <w:rsid w:val="23530F08"/>
    <w:rsid w:val="23757D31"/>
    <w:rsid w:val="238818C3"/>
    <w:rsid w:val="238A5B73"/>
    <w:rsid w:val="23A13E17"/>
    <w:rsid w:val="23D14CF6"/>
    <w:rsid w:val="23D54CD4"/>
    <w:rsid w:val="23D73256"/>
    <w:rsid w:val="23DA1C5E"/>
    <w:rsid w:val="23DA5DE6"/>
    <w:rsid w:val="23E34327"/>
    <w:rsid w:val="240611C5"/>
    <w:rsid w:val="242C0D42"/>
    <w:rsid w:val="24340A4D"/>
    <w:rsid w:val="247043C0"/>
    <w:rsid w:val="2482601E"/>
    <w:rsid w:val="24857B00"/>
    <w:rsid w:val="248D49C9"/>
    <w:rsid w:val="24D83FB5"/>
    <w:rsid w:val="24E0567E"/>
    <w:rsid w:val="255821DB"/>
    <w:rsid w:val="255B6AB3"/>
    <w:rsid w:val="256B319A"/>
    <w:rsid w:val="25920B1C"/>
    <w:rsid w:val="2598673B"/>
    <w:rsid w:val="25A003EB"/>
    <w:rsid w:val="25D23159"/>
    <w:rsid w:val="25E35426"/>
    <w:rsid w:val="25ED3FA3"/>
    <w:rsid w:val="25F018F1"/>
    <w:rsid w:val="25FF4821"/>
    <w:rsid w:val="26047C05"/>
    <w:rsid w:val="260B53A9"/>
    <w:rsid w:val="26307F40"/>
    <w:rsid w:val="263D7294"/>
    <w:rsid w:val="266B541C"/>
    <w:rsid w:val="26A240AC"/>
    <w:rsid w:val="26AF355A"/>
    <w:rsid w:val="26D41C0F"/>
    <w:rsid w:val="26DC196E"/>
    <w:rsid w:val="26E96021"/>
    <w:rsid w:val="27000ED6"/>
    <w:rsid w:val="2718689D"/>
    <w:rsid w:val="27201D62"/>
    <w:rsid w:val="2725254B"/>
    <w:rsid w:val="27421CD9"/>
    <w:rsid w:val="274A6102"/>
    <w:rsid w:val="27806CDB"/>
    <w:rsid w:val="279664C8"/>
    <w:rsid w:val="27B73BDA"/>
    <w:rsid w:val="27E30231"/>
    <w:rsid w:val="28114D91"/>
    <w:rsid w:val="281E515D"/>
    <w:rsid w:val="28220C06"/>
    <w:rsid w:val="282A2EFA"/>
    <w:rsid w:val="282D6EFC"/>
    <w:rsid w:val="284101E2"/>
    <w:rsid w:val="285A1030"/>
    <w:rsid w:val="2870270A"/>
    <w:rsid w:val="2875217A"/>
    <w:rsid w:val="28893937"/>
    <w:rsid w:val="28A013AD"/>
    <w:rsid w:val="28A82660"/>
    <w:rsid w:val="28B80BC5"/>
    <w:rsid w:val="28C80D6E"/>
    <w:rsid w:val="28D11EDB"/>
    <w:rsid w:val="28D16370"/>
    <w:rsid w:val="28D76D98"/>
    <w:rsid w:val="28DD61CB"/>
    <w:rsid w:val="28EA6ACC"/>
    <w:rsid w:val="29063EAA"/>
    <w:rsid w:val="29094780"/>
    <w:rsid w:val="2919115F"/>
    <w:rsid w:val="292C0E92"/>
    <w:rsid w:val="29334909"/>
    <w:rsid w:val="294F692F"/>
    <w:rsid w:val="297F55F6"/>
    <w:rsid w:val="29930F11"/>
    <w:rsid w:val="299879E4"/>
    <w:rsid w:val="29BD20C6"/>
    <w:rsid w:val="29C55868"/>
    <w:rsid w:val="29EA683C"/>
    <w:rsid w:val="29EB38D5"/>
    <w:rsid w:val="29F3375E"/>
    <w:rsid w:val="29F5542C"/>
    <w:rsid w:val="2A063CB4"/>
    <w:rsid w:val="2A1D07DB"/>
    <w:rsid w:val="2A554B8C"/>
    <w:rsid w:val="2A570191"/>
    <w:rsid w:val="2A64640A"/>
    <w:rsid w:val="2A830F86"/>
    <w:rsid w:val="2A950AF4"/>
    <w:rsid w:val="2A9A1E2C"/>
    <w:rsid w:val="2AA66A22"/>
    <w:rsid w:val="2AB6426C"/>
    <w:rsid w:val="2ABF1892"/>
    <w:rsid w:val="2AD92954"/>
    <w:rsid w:val="2AE5579D"/>
    <w:rsid w:val="2AF36E04"/>
    <w:rsid w:val="2B0674C1"/>
    <w:rsid w:val="2B084291"/>
    <w:rsid w:val="2B2545E5"/>
    <w:rsid w:val="2B3D2E5A"/>
    <w:rsid w:val="2B5217A2"/>
    <w:rsid w:val="2B797C93"/>
    <w:rsid w:val="2B7A1F1F"/>
    <w:rsid w:val="2B942C56"/>
    <w:rsid w:val="2B9A264F"/>
    <w:rsid w:val="2BCB545A"/>
    <w:rsid w:val="2BCB7E65"/>
    <w:rsid w:val="2BD744D2"/>
    <w:rsid w:val="2BE27F2E"/>
    <w:rsid w:val="2BFE6E4E"/>
    <w:rsid w:val="2C1856FE"/>
    <w:rsid w:val="2C324A12"/>
    <w:rsid w:val="2C5E1048"/>
    <w:rsid w:val="2C8D7E9A"/>
    <w:rsid w:val="2C9F7BCD"/>
    <w:rsid w:val="2CC061C3"/>
    <w:rsid w:val="2CFB60A5"/>
    <w:rsid w:val="2CFF0AA7"/>
    <w:rsid w:val="2D055557"/>
    <w:rsid w:val="2D22001E"/>
    <w:rsid w:val="2D314CC9"/>
    <w:rsid w:val="2D41053B"/>
    <w:rsid w:val="2D60377E"/>
    <w:rsid w:val="2D6329A9"/>
    <w:rsid w:val="2D862591"/>
    <w:rsid w:val="2D8642A7"/>
    <w:rsid w:val="2DA336ED"/>
    <w:rsid w:val="2DAC0C1E"/>
    <w:rsid w:val="2DEF7334"/>
    <w:rsid w:val="2E0833ED"/>
    <w:rsid w:val="2E112CF8"/>
    <w:rsid w:val="2E2472C0"/>
    <w:rsid w:val="2E344345"/>
    <w:rsid w:val="2E411018"/>
    <w:rsid w:val="2E60483D"/>
    <w:rsid w:val="2E755089"/>
    <w:rsid w:val="2E77608F"/>
    <w:rsid w:val="2EA94C95"/>
    <w:rsid w:val="2EB90B27"/>
    <w:rsid w:val="2EF04710"/>
    <w:rsid w:val="2F065D79"/>
    <w:rsid w:val="2F3E547B"/>
    <w:rsid w:val="2F642A08"/>
    <w:rsid w:val="2F762E67"/>
    <w:rsid w:val="2F814836"/>
    <w:rsid w:val="2F9C3A6D"/>
    <w:rsid w:val="2FA554FB"/>
    <w:rsid w:val="2FD45881"/>
    <w:rsid w:val="2FE40E62"/>
    <w:rsid w:val="3011256F"/>
    <w:rsid w:val="30204B81"/>
    <w:rsid w:val="30240B15"/>
    <w:rsid w:val="303D1BD7"/>
    <w:rsid w:val="30786D3E"/>
    <w:rsid w:val="30AC7B38"/>
    <w:rsid w:val="30C47FDA"/>
    <w:rsid w:val="30C61609"/>
    <w:rsid w:val="30D07DE1"/>
    <w:rsid w:val="3115045E"/>
    <w:rsid w:val="314704CD"/>
    <w:rsid w:val="31507B02"/>
    <w:rsid w:val="31644F41"/>
    <w:rsid w:val="31771890"/>
    <w:rsid w:val="318F365A"/>
    <w:rsid w:val="31A00B57"/>
    <w:rsid w:val="31A43590"/>
    <w:rsid w:val="31AC0DC2"/>
    <w:rsid w:val="31C3435E"/>
    <w:rsid w:val="31C76A7D"/>
    <w:rsid w:val="31F61357"/>
    <w:rsid w:val="321F7CA4"/>
    <w:rsid w:val="322C2045"/>
    <w:rsid w:val="3257018C"/>
    <w:rsid w:val="326506E8"/>
    <w:rsid w:val="326A1E77"/>
    <w:rsid w:val="326D2094"/>
    <w:rsid w:val="32732DF7"/>
    <w:rsid w:val="32A60981"/>
    <w:rsid w:val="32B0301E"/>
    <w:rsid w:val="32C95920"/>
    <w:rsid w:val="32D843EB"/>
    <w:rsid w:val="331309CD"/>
    <w:rsid w:val="332130EA"/>
    <w:rsid w:val="33237E18"/>
    <w:rsid w:val="332E1CAB"/>
    <w:rsid w:val="33875DE7"/>
    <w:rsid w:val="339E298D"/>
    <w:rsid w:val="33B76DB5"/>
    <w:rsid w:val="342B60E5"/>
    <w:rsid w:val="34395D5D"/>
    <w:rsid w:val="34645984"/>
    <w:rsid w:val="347A44C1"/>
    <w:rsid w:val="34AD3D69"/>
    <w:rsid w:val="34B561E0"/>
    <w:rsid w:val="34CE2DFE"/>
    <w:rsid w:val="350C3926"/>
    <w:rsid w:val="35182215"/>
    <w:rsid w:val="351C7611"/>
    <w:rsid w:val="352D16BF"/>
    <w:rsid w:val="35463D89"/>
    <w:rsid w:val="355157DD"/>
    <w:rsid w:val="35597028"/>
    <w:rsid w:val="35753C3C"/>
    <w:rsid w:val="35A73B33"/>
    <w:rsid w:val="35A748EC"/>
    <w:rsid w:val="35C63435"/>
    <w:rsid w:val="35EA1EB9"/>
    <w:rsid w:val="3619454C"/>
    <w:rsid w:val="3632560E"/>
    <w:rsid w:val="363B7F26"/>
    <w:rsid w:val="363E4C5E"/>
    <w:rsid w:val="36486BE0"/>
    <w:rsid w:val="36522344"/>
    <w:rsid w:val="367B1593"/>
    <w:rsid w:val="36822F76"/>
    <w:rsid w:val="36A23F79"/>
    <w:rsid w:val="36A4524A"/>
    <w:rsid w:val="36AF31FB"/>
    <w:rsid w:val="36B77B63"/>
    <w:rsid w:val="36BA730B"/>
    <w:rsid w:val="36C80A6B"/>
    <w:rsid w:val="36E815F6"/>
    <w:rsid w:val="37024FE0"/>
    <w:rsid w:val="371D7242"/>
    <w:rsid w:val="372413FB"/>
    <w:rsid w:val="379530B0"/>
    <w:rsid w:val="37C64260"/>
    <w:rsid w:val="37CA17EF"/>
    <w:rsid w:val="37DB6143"/>
    <w:rsid w:val="37E21516"/>
    <w:rsid w:val="38215F33"/>
    <w:rsid w:val="3841654D"/>
    <w:rsid w:val="38524F93"/>
    <w:rsid w:val="388C7258"/>
    <w:rsid w:val="38961FAC"/>
    <w:rsid w:val="38A75AD4"/>
    <w:rsid w:val="38B95B73"/>
    <w:rsid w:val="38BD38B5"/>
    <w:rsid w:val="38CB40F8"/>
    <w:rsid w:val="38D3069F"/>
    <w:rsid w:val="38E726E0"/>
    <w:rsid w:val="38E73C59"/>
    <w:rsid w:val="38EE471A"/>
    <w:rsid w:val="38EE5B01"/>
    <w:rsid w:val="3914724D"/>
    <w:rsid w:val="392806B2"/>
    <w:rsid w:val="39280892"/>
    <w:rsid w:val="3930052B"/>
    <w:rsid w:val="3942200C"/>
    <w:rsid w:val="394B4123"/>
    <w:rsid w:val="39574E28"/>
    <w:rsid w:val="39875853"/>
    <w:rsid w:val="39974106"/>
    <w:rsid w:val="399B26DA"/>
    <w:rsid w:val="39AA482D"/>
    <w:rsid w:val="39AE3D6B"/>
    <w:rsid w:val="39B760CC"/>
    <w:rsid w:val="39B94FA7"/>
    <w:rsid w:val="39D349ED"/>
    <w:rsid w:val="39DE364D"/>
    <w:rsid w:val="3A000D6F"/>
    <w:rsid w:val="3A00614F"/>
    <w:rsid w:val="3A072C05"/>
    <w:rsid w:val="3A10210A"/>
    <w:rsid w:val="3A296D28"/>
    <w:rsid w:val="3A340E0C"/>
    <w:rsid w:val="3A5475C9"/>
    <w:rsid w:val="3A623163"/>
    <w:rsid w:val="3A64110D"/>
    <w:rsid w:val="3A6C5593"/>
    <w:rsid w:val="3A7633F1"/>
    <w:rsid w:val="3A83468A"/>
    <w:rsid w:val="3A880C39"/>
    <w:rsid w:val="3AA20FB4"/>
    <w:rsid w:val="3AB32AA6"/>
    <w:rsid w:val="3ABD61CF"/>
    <w:rsid w:val="3B031FCB"/>
    <w:rsid w:val="3B12399E"/>
    <w:rsid w:val="3B1A08AC"/>
    <w:rsid w:val="3B6E0204"/>
    <w:rsid w:val="3BA26D92"/>
    <w:rsid w:val="3BB54D17"/>
    <w:rsid w:val="3BB92AC4"/>
    <w:rsid w:val="3BD629DB"/>
    <w:rsid w:val="3BEE3DD2"/>
    <w:rsid w:val="3BF55114"/>
    <w:rsid w:val="3BFBF7FD"/>
    <w:rsid w:val="3C0501F2"/>
    <w:rsid w:val="3C085BD9"/>
    <w:rsid w:val="3C184ED4"/>
    <w:rsid w:val="3C601004"/>
    <w:rsid w:val="3C866898"/>
    <w:rsid w:val="3C8E7A3D"/>
    <w:rsid w:val="3C9A3EFB"/>
    <w:rsid w:val="3C9F4667"/>
    <w:rsid w:val="3CE826A2"/>
    <w:rsid w:val="3CE905BF"/>
    <w:rsid w:val="3CF71F22"/>
    <w:rsid w:val="3CF860A0"/>
    <w:rsid w:val="3D195B0D"/>
    <w:rsid w:val="3D20119A"/>
    <w:rsid w:val="3D4D190F"/>
    <w:rsid w:val="3D522044"/>
    <w:rsid w:val="3D5B544A"/>
    <w:rsid w:val="3DA6700D"/>
    <w:rsid w:val="3DAC0C4A"/>
    <w:rsid w:val="3DBF3F65"/>
    <w:rsid w:val="3DC611E1"/>
    <w:rsid w:val="3DD0408A"/>
    <w:rsid w:val="3DE9005D"/>
    <w:rsid w:val="3E1D0952"/>
    <w:rsid w:val="3E2C4BE1"/>
    <w:rsid w:val="3E2D5382"/>
    <w:rsid w:val="3E2D75AB"/>
    <w:rsid w:val="3E5C38CC"/>
    <w:rsid w:val="3E8409D1"/>
    <w:rsid w:val="3E8C0F5E"/>
    <w:rsid w:val="3E933BDB"/>
    <w:rsid w:val="3EA6674F"/>
    <w:rsid w:val="3EC01B26"/>
    <w:rsid w:val="3EC06FEE"/>
    <w:rsid w:val="3F2D0D35"/>
    <w:rsid w:val="3F3D7BE8"/>
    <w:rsid w:val="3F4940F4"/>
    <w:rsid w:val="3F837592"/>
    <w:rsid w:val="3F874C1D"/>
    <w:rsid w:val="3FA56E51"/>
    <w:rsid w:val="3FF33B24"/>
    <w:rsid w:val="40061C9A"/>
    <w:rsid w:val="4007793E"/>
    <w:rsid w:val="404B5C4A"/>
    <w:rsid w:val="40556AC9"/>
    <w:rsid w:val="40815AE4"/>
    <w:rsid w:val="40BB69B2"/>
    <w:rsid w:val="40E35E83"/>
    <w:rsid w:val="40F8373D"/>
    <w:rsid w:val="40FB303F"/>
    <w:rsid w:val="40FC0E7C"/>
    <w:rsid w:val="41112DF2"/>
    <w:rsid w:val="411A1543"/>
    <w:rsid w:val="41257D94"/>
    <w:rsid w:val="412E6E7D"/>
    <w:rsid w:val="41330FF8"/>
    <w:rsid w:val="413F08E3"/>
    <w:rsid w:val="416F5C7F"/>
    <w:rsid w:val="417E204F"/>
    <w:rsid w:val="41A73354"/>
    <w:rsid w:val="41C20830"/>
    <w:rsid w:val="41DC3810"/>
    <w:rsid w:val="41E1736F"/>
    <w:rsid w:val="41E17F71"/>
    <w:rsid w:val="41FD78BA"/>
    <w:rsid w:val="4203620C"/>
    <w:rsid w:val="421502BE"/>
    <w:rsid w:val="42387570"/>
    <w:rsid w:val="42500A1C"/>
    <w:rsid w:val="4251506E"/>
    <w:rsid w:val="4255456F"/>
    <w:rsid w:val="42785FB7"/>
    <w:rsid w:val="42B51AA1"/>
    <w:rsid w:val="42B533F0"/>
    <w:rsid w:val="42D45320"/>
    <w:rsid w:val="42DE4B54"/>
    <w:rsid w:val="43416B84"/>
    <w:rsid w:val="43420D3E"/>
    <w:rsid w:val="435412BA"/>
    <w:rsid w:val="43570DD4"/>
    <w:rsid w:val="43574A95"/>
    <w:rsid w:val="43860D47"/>
    <w:rsid w:val="43AA712C"/>
    <w:rsid w:val="43AF4742"/>
    <w:rsid w:val="43B4696F"/>
    <w:rsid w:val="43E918C2"/>
    <w:rsid w:val="43F50DD2"/>
    <w:rsid w:val="44052591"/>
    <w:rsid w:val="440F51E1"/>
    <w:rsid w:val="441879A3"/>
    <w:rsid w:val="442B201A"/>
    <w:rsid w:val="444E1066"/>
    <w:rsid w:val="445157F9"/>
    <w:rsid w:val="447874F5"/>
    <w:rsid w:val="4488654E"/>
    <w:rsid w:val="44AD37C2"/>
    <w:rsid w:val="44BF2CB9"/>
    <w:rsid w:val="44C270DD"/>
    <w:rsid w:val="44E64193"/>
    <w:rsid w:val="44EE3FA4"/>
    <w:rsid w:val="44FE14DD"/>
    <w:rsid w:val="4567788B"/>
    <w:rsid w:val="459610E2"/>
    <w:rsid w:val="459A7AB5"/>
    <w:rsid w:val="45A83A3A"/>
    <w:rsid w:val="45C63F6B"/>
    <w:rsid w:val="45C9535A"/>
    <w:rsid w:val="45DE130F"/>
    <w:rsid w:val="45FD1C32"/>
    <w:rsid w:val="46126A91"/>
    <w:rsid w:val="46132D66"/>
    <w:rsid w:val="461D114A"/>
    <w:rsid w:val="46553F70"/>
    <w:rsid w:val="465D71DE"/>
    <w:rsid w:val="466F1F67"/>
    <w:rsid w:val="4676545F"/>
    <w:rsid w:val="46A23326"/>
    <w:rsid w:val="46A61E2C"/>
    <w:rsid w:val="46B300A5"/>
    <w:rsid w:val="46D04CB2"/>
    <w:rsid w:val="46D71190"/>
    <w:rsid w:val="46F34946"/>
    <w:rsid w:val="47070DC3"/>
    <w:rsid w:val="47170634"/>
    <w:rsid w:val="47855EE6"/>
    <w:rsid w:val="479B21B0"/>
    <w:rsid w:val="47A143A2"/>
    <w:rsid w:val="47A94717"/>
    <w:rsid w:val="47C87B80"/>
    <w:rsid w:val="47DC0691"/>
    <w:rsid w:val="47DD7AD0"/>
    <w:rsid w:val="47E0151E"/>
    <w:rsid w:val="481E7342"/>
    <w:rsid w:val="48396CD0"/>
    <w:rsid w:val="48411AB1"/>
    <w:rsid w:val="484511D1"/>
    <w:rsid w:val="48650C15"/>
    <w:rsid w:val="4870267D"/>
    <w:rsid w:val="4875210D"/>
    <w:rsid w:val="48981C49"/>
    <w:rsid w:val="48A203D1"/>
    <w:rsid w:val="48C61658"/>
    <w:rsid w:val="48FB7925"/>
    <w:rsid w:val="49110948"/>
    <w:rsid w:val="492E7CCE"/>
    <w:rsid w:val="493279A7"/>
    <w:rsid w:val="4965186A"/>
    <w:rsid w:val="49692379"/>
    <w:rsid w:val="49867716"/>
    <w:rsid w:val="49887406"/>
    <w:rsid w:val="49A46064"/>
    <w:rsid w:val="49A62143"/>
    <w:rsid w:val="49B54134"/>
    <w:rsid w:val="49D725D5"/>
    <w:rsid w:val="49E90461"/>
    <w:rsid w:val="4A0013A3"/>
    <w:rsid w:val="4A064990"/>
    <w:rsid w:val="4A1E35B9"/>
    <w:rsid w:val="4A435E16"/>
    <w:rsid w:val="4A4A53FF"/>
    <w:rsid w:val="4A541FCC"/>
    <w:rsid w:val="4A8D1239"/>
    <w:rsid w:val="4A8E3BB8"/>
    <w:rsid w:val="4A947588"/>
    <w:rsid w:val="4A9B7242"/>
    <w:rsid w:val="4AAC2C6F"/>
    <w:rsid w:val="4AC705C3"/>
    <w:rsid w:val="4ADB6EF6"/>
    <w:rsid w:val="4AEE4166"/>
    <w:rsid w:val="4AFF5FAF"/>
    <w:rsid w:val="4B407312"/>
    <w:rsid w:val="4B4E65EF"/>
    <w:rsid w:val="4B602106"/>
    <w:rsid w:val="4B880156"/>
    <w:rsid w:val="4B8A4B96"/>
    <w:rsid w:val="4B904E59"/>
    <w:rsid w:val="4BAC6006"/>
    <w:rsid w:val="4BE13907"/>
    <w:rsid w:val="4BEB429E"/>
    <w:rsid w:val="4BF51514"/>
    <w:rsid w:val="4C060791"/>
    <w:rsid w:val="4C263544"/>
    <w:rsid w:val="4C2C0D1A"/>
    <w:rsid w:val="4C2D252F"/>
    <w:rsid w:val="4C2F4672"/>
    <w:rsid w:val="4C5F5F5D"/>
    <w:rsid w:val="4C667968"/>
    <w:rsid w:val="4C6C56EC"/>
    <w:rsid w:val="4C7402D7"/>
    <w:rsid w:val="4C9B3AB5"/>
    <w:rsid w:val="4CB9218D"/>
    <w:rsid w:val="4CBA03DF"/>
    <w:rsid w:val="4CC21B78"/>
    <w:rsid w:val="4CC81ED1"/>
    <w:rsid w:val="4D0A4797"/>
    <w:rsid w:val="4D325DBC"/>
    <w:rsid w:val="4D461CB1"/>
    <w:rsid w:val="4D5F4AE3"/>
    <w:rsid w:val="4D9B1A27"/>
    <w:rsid w:val="4DB7394C"/>
    <w:rsid w:val="4DF47921"/>
    <w:rsid w:val="4DF53AF8"/>
    <w:rsid w:val="4DF734D9"/>
    <w:rsid w:val="4DF86027"/>
    <w:rsid w:val="4E21448E"/>
    <w:rsid w:val="4E3446BB"/>
    <w:rsid w:val="4E3C76DF"/>
    <w:rsid w:val="4E58577B"/>
    <w:rsid w:val="4E5C595C"/>
    <w:rsid w:val="4E5E1D31"/>
    <w:rsid w:val="4E6A7265"/>
    <w:rsid w:val="4E8C7B5A"/>
    <w:rsid w:val="4E9F452F"/>
    <w:rsid w:val="4EB3158A"/>
    <w:rsid w:val="4F1370A4"/>
    <w:rsid w:val="4F1D2EA8"/>
    <w:rsid w:val="4F260218"/>
    <w:rsid w:val="4F323F7C"/>
    <w:rsid w:val="4F53514A"/>
    <w:rsid w:val="4F9D7B44"/>
    <w:rsid w:val="4F9F1B0F"/>
    <w:rsid w:val="4FA16F94"/>
    <w:rsid w:val="4FA51B8E"/>
    <w:rsid w:val="4FAD3500"/>
    <w:rsid w:val="4FC11A45"/>
    <w:rsid w:val="4FC73CB7"/>
    <w:rsid w:val="500F08BD"/>
    <w:rsid w:val="503A5393"/>
    <w:rsid w:val="50443274"/>
    <w:rsid w:val="50580146"/>
    <w:rsid w:val="50586EC8"/>
    <w:rsid w:val="506D39BB"/>
    <w:rsid w:val="50B91D73"/>
    <w:rsid w:val="50D37CC2"/>
    <w:rsid w:val="50E377D9"/>
    <w:rsid w:val="51191FFF"/>
    <w:rsid w:val="511A58F1"/>
    <w:rsid w:val="511C46AF"/>
    <w:rsid w:val="51254295"/>
    <w:rsid w:val="512F2A1E"/>
    <w:rsid w:val="51493AE0"/>
    <w:rsid w:val="514D099E"/>
    <w:rsid w:val="517A1653"/>
    <w:rsid w:val="51973AC3"/>
    <w:rsid w:val="519F7BA4"/>
    <w:rsid w:val="51BE7671"/>
    <w:rsid w:val="522B3816"/>
    <w:rsid w:val="523072B3"/>
    <w:rsid w:val="525E6FE1"/>
    <w:rsid w:val="5260525F"/>
    <w:rsid w:val="526D11A3"/>
    <w:rsid w:val="52854FEC"/>
    <w:rsid w:val="529573B7"/>
    <w:rsid w:val="52C13B4A"/>
    <w:rsid w:val="52C91988"/>
    <w:rsid w:val="52EF6909"/>
    <w:rsid w:val="53033124"/>
    <w:rsid w:val="530E6FEF"/>
    <w:rsid w:val="53312A7E"/>
    <w:rsid w:val="534470C7"/>
    <w:rsid w:val="53453594"/>
    <w:rsid w:val="535D4B57"/>
    <w:rsid w:val="53922B54"/>
    <w:rsid w:val="53B86CFB"/>
    <w:rsid w:val="53BA0CC5"/>
    <w:rsid w:val="53BA2C45"/>
    <w:rsid w:val="53BF62DB"/>
    <w:rsid w:val="53CE30AB"/>
    <w:rsid w:val="53EB6B23"/>
    <w:rsid w:val="53F427B9"/>
    <w:rsid w:val="53F87A3F"/>
    <w:rsid w:val="543224C9"/>
    <w:rsid w:val="54336CC9"/>
    <w:rsid w:val="544653B7"/>
    <w:rsid w:val="54655D51"/>
    <w:rsid w:val="54990207"/>
    <w:rsid w:val="54AA0D3A"/>
    <w:rsid w:val="54DA6105"/>
    <w:rsid w:val="54F05465"/>
    <w:rsid w:val="54F47419"/>
    <w:rsid w:val="54F53E45"/>
    <w:rsid w:val="550F2F8A"/>
    <w:rsid w:val="55142657"/>
    <w:rsid w:val="55162B19"/>
    <w:rsid w:val="5517212A"/>
    <w:rsid w:val="551F5FB4"/>
    <w:rsid w:val="554F0C1F"/>
    <w:rsid w:val="5568038F"/>
    <w:rsid w:val="558F2703"/>
    <w:rsid w:val="5597203E"/>
    <w:rsid w:val="55A468C7"/>
    <w:rsid w:val="55BD0E57"/>
    <w:rsid w:val="55C84509"/>
    <w:rsid w:val="55FA7A9F"/>
    <w:rsid w:val="561F3061"/>
    <w:rsid w:val="564318C1"/>
    <w:rsid w:val="565C76DF"/>
    <w:rsid w:val="56637134"/>
    <w:rsid w:val="567B7416"/>
    <w:rsid w:val="5686464B"/>
    <w:rsid w:val="568D5C1A"/>
    <w:rsid w:val="56A47A0A"/>
    <w:rsid w:val="56A812A9"/>
    <w:rsid w:val="56B440F1"/>
    <w:rsid w:val="56FE0C07"/>
    <w:rsid w:val="573C1866"/>
    <w:rsid w:val="57486D6A"/>
    <w:rsid w:val="57BE1EE6"/>
    <w:rsid w:val="57CD0549"/>
    <w:rsid w:val="57E3791E"/>
    <w:rsid w:val="57F20FC4"/>
    <w:rsid w:val="58016AE1"/>
    <w:rsid w:val="580F0C3C"/>
    <w:rsid w:val="583932CC"/>
    <w:rsid w:val="58AB1524"/>
    <w:rsid w:val="58B24661"/>
    <w:rsid w:val="58B54151"/>
    <w:rsid w:val="58B8779D"/>
    <w:rsid w:val="58C919AA"/>
    <w:rsid w:val="58FA344E"/>
    <w:rsid w:val="5921498E"/>
    <w:rsid w:val="596C141E"/>
    <w:rsid w:val="596F2552"/>
    <w:rsid w:val="597100B5"/>
    <w:rsid w:val="59897E96"/>
    <w:rsid w:val="59BF1827"/>
    <w:rsid w:val="59E21771"/>
    <w:rsid w:val="59E92BFC"/>
    <w:rsid w:val="59FB5B93"/>
    <w:rsid w:val="59FC3846"/>
    <w:rsid w:val="59FD5771"/>
    <w:rsid w:val="5A05778A"/>
    <w:rsid w:val="5A083723"/>
    <w:rsid w:val="5A0B50DC"/>
    <w:rsid w:val="5A216575"/>
    <w:rsid w:val="5A315650"/>
    <w:rsid w:val="5A4879A5"/>
    <w:rsid w:val="5A547A46"/>
    <w:rsid w:val="5A5B45D0"/>
    <w:rsid w:val="5A845B89"/>
    <w:rsid w:val="5A94756C"/>
    <w:rsid w:val="5ABD593E"/>
    <w:rsid w:val="5ADD60E0"/>
    <w:rsid w:val="5B30574F"/>
    <w:rsid w:val="5B6B4F9B"/>
    <w:rsid w:val="5B7F6CB8"/>
    <w:rsid w:val="5B920B84"/>
    <w:rsid w:val="5BAA5AC3"/>
    <w:rsid w:val="5BAE45AC"/>
    <w:rsid w:val="5BCD9975"/>
    <w:rsid w:val="5BD40F4D"/>
    <w:rsid w:val="5BEC795B"/>
    <w:rsid w:val="5C116E15"/>
    <w:rsid w:val="5C3731F4"/>
    <w:rsid w:val="5C4C6B7A"/>
    <w:rsid w:val="5C606182"/>
    <w:rsid w:val="5C75591C"/>
    <w:rsid w:val="5C7659A5"/>
    <w:rsid w:val="5C87240B"/>
    <w:rsid w:val="5C8A495A"/>
    <w:rsid w:val="5C8C51C9"/>
    <w:rsid w:val="5CCB3F43"/>
    <w:rsid w:val="5CD831D0"/>
    <w:rsid w:val="5CEE378D"/>
    <w:rsid w:val="5CF16459"/>
    <w:rsid w:val="5CF43277"/>
    <w:rsid w:val="5CF74DCB"/>
    <w:rsid w:val="5D064F7B"/>
    <w:rsid w:val="5D1C19D8"/>
    <w:rsid w:val="5D5A0E23"/>
    <w:rsid w:val="5D9205BD"/>
    <w:rsid w:val="5DAB636B"/>
    <w:rsid w:val="5DD0460F"/>
    <w:rsid w:val="5DEA03F9"/>
    <w:rsid w:val="5DFB43B4"/>
    <w:rsid w:val="5E0A34C5"/>
    <w:rsid w:val="5E106C49"/>
    <w:rsid w:val="5E246462"/>
    <w:rsid w:val="5E2F4613"/>
    <w:rsid w:val="5E327245"/>
    <w:rsid w:val="5E41474D"/>
    <w:rsid w:val="5E421925"/>
    <w:rsid w:val="5E586A86"/>
    <w:rsid w:val="5E6334A9"/>
    <w:rsid w:val="5E824AD5"/>
    <w:rsid w:val="5E886C8E"/>
    <w:rsid w:val="5E895323"/>
    <w:rsid w:val="5E8E5228"/>
    <w:rsid w:val="5ED36E1A"/>
    <w:rsid w:val="5EDA020D"/>
    <w:rsid w:val="5EDA046D"/>
    <w:rsid w:val="5F303FA8"/>
    <w:rsid w:val="5F89398B"/>
    <w:rsid w:val="5FB42B98"/>
    <w:rsid w:val="5FB52C88"/>
    <w:rsid w:val="5FB57681"/>
    <w:rsid w:val="5FE7257E"/>
    <w:rsid w:val="5FF37C65"/>
    <w:rsid w:val="60034BF5"/>
    <w:rsid w:val="600D5478"/>
    <w:rsid w:val="60744F5F"/>
    <w:rsid w:val="6079516E"/>
    <w:rsid w:val="60A813E1"/>
    <w:rsid w:val="60C41E2B"/>
    <w:rsid w:val="60C6179E"/>
    <w:rsid w:val="60DE6BD0"/>
    <w:rsid w:val="60E42AA1"/>
    <w:rsid w:val="61141E2A"/>
    <w:rsid w:val="611F3917"/>
    <w:rsid w:val="61351925"/>
    <w:rsid w:val="61402700"/>
    <w:rsid w:val="616218C1"/>
    <w:rsid w:val="61734BA9"/>
    <w:rsid w:val="617C3A5E"/>
    <w:rsid w:val="6189121C"/>
    <w:rsid w:val="61AE3F64"/>
    <w:rsid w:val="61DD2D2F"/>
    <w:rsid w:val="62054E66"/>
    <w:rsid w:val="62150A70"/>
    <w:rsid w:val="621721D2"/>
    <w:rsid w:val="621E1A59"/>
    <w:rsid w:val="624E318C"/>
    <w:rsid w:val="6271733B"/>
    <w:rsid w:val="62735759"/>
    <w:rsid w:val="629C4400"/>
    <w:rsid w:val="629D5835"/>
    <w:rsid w:val="629E1F95"/>
    <w:rsid w:val="62C12772"/>
    <w:rsid w:val="62D13935"/>
    <w:rsid w:val="62E31181"/>
    <w:rsid w:val="62F11F34"/>
    <w:rsid w:val="633126B5"/>
    <w:rsid w:val="63380AEB"/>
    <w:rsid w:val="633B45FB"/>
    <w:rsid w:val="636E797D"/>
    <w:rsid w:val="637F7835"/>
    <w:rsid w:val="638135AD"/>
    <w:rsid w:val="638906B4"/>
    <w:rsid w:val="63A4245C"/>
    <w:rsid w:val="63A63014"/>
    <w:rsid w:val="63D74ACB"/>
    <w:rsid w:val="63F36350"/>
    <w:rsid w:val="63F7561D"/>
    <w:rsid w:val="63FD5D32"/>
    <w:rsid w:val="640F6E0B"/>
    <w:rsid w:val="643979E4"/>
    <w:rsid w:val="643A4AE1"/>
    <w:rsid w:val="64462101"/>
    <w:rsid w:val="645E16C8"/>
    <w:rsid w:val="64682077"/>
    <w:rsid w:val="646C600B"/>
    <w:rsid w:val="64853918"/>
    <w:rsid w:val="64AD4CD5"/>
    <w:rsid w:val="64CF10F8"/>
    <w:rsid w:val="64D272F5"/>
    <w:rsid w:val="64DD0CB7"/>
    <w:rsid w:val="65144C52"/>
    <w:rsid w:val="652B365C"/>
    <w:rsid w:val="65362175"/>
    <w:rsid w:val="65400A6D"/>
    <w:rsid w:val="65504137"/>
    <w:rsid w:val="65532D27"/>
    <w:rsid w:val="65610A4C"/>
    <w:rsid w:val="65613ED1"/>
    <w:rsid w:val="659307CB"/>
    <w:rsid w:val="65AC02A3"/>
    <w:rsid w:val="65B417D0"/>
    <w:rsid w:val="65BF2413"/>
    <w:rsid w:val="65DC2519"/>
    <w:rsid w:val="65FD1D56"/>
    <w:rsid w:val="6648074A"/>
    <w:rsid w:val="669B6509"/>
    <w:rsid w:val="66A17AC3"/>
    <w:rsid w:val="66AD28B5"/>
    <w:rsid w:val="66AF21DF"/>
    <w:rsid w:val="66BA4709"/>
    <w:rsid w:val="66CF3A21"/>
    <w:rsid w:val="66D93700"/>
    <w:rsid w:val="66E3051F"/>
    <w:rsid w:val="66E76CB7"/>
    <w:rsid w:val="66F11B68"/>
    <w:rsid w:val="66FB61E3"/>
    <w:rsid w:val="6704617D"/>
    <w:rsid w:val="671D552C"/>
    <w:rsid w:val="67366B0E"/>
    <w:rsid w:val="674F09BF"/>
    <w:rsid w:val="676A70D7"/>
    <w:rsid w:val="678A59A9"/>
    <w:rsid w:val="67AC117C"/>
    <w:rsid w:val="67BC62F7"/>
    <w:rsid w:val="67CF7C7B"/>
    <w:rsid w:val="67D8728E"/>
    <w:rsid w:val="67E04752"/>
    <w:rsid w:val="682664D1"/>
    <w:rsid w:val="682812C9"/>
    <w:rsid w:val="6831034A"/>
    <w:rsid w:val="6833299C"/>
    <w:rsid w:val="687D7DEE"/>
    <w:rsid w:val="688B1D44"/>
    <w:rsid w:val="68944637"/>
    <w:rsid w:val="68A546C1"/>
    <w:rsid w:val="68B05622"/>
    <w:rsid w:val="68C85A14"/>
    <w:rsid w:val="68DC1286"/>
    <w:rsid w:val="68EF06C4"/>
    <w:rsid w:val="68EF06EF"/>
    <w:rsid w:val="68F16ADF"/>
    <w:rsid w:val="68F61C88"/>
    <w:rsid w:val="692051BA"/>
    <w:rsid w:val="692813AE"/>
    <w:rsid w:val="693C3AD3"/>
    <w:rsid w:val="69860985"/>
    <w:rsid w:val="69AB37A6"/>
    <w:rsid w:val="69AE4487"/>
    <w:rsid w:val="69CB7DB9"/>
    <w:rsid w:val="69DC6F7D"/>
    <w:rsid w:val="69DF74C2"/>
    <w:rsid w:val="69F8615D"/>
    <w:rsid w:val="69FD72F2"/>
    <w:rsid w:val="6A2D37A1"/>
    <w:rsid w:val="6A8E035E"/>
    <w:rsid w:val="6A8E5D89"/>
    <w:rsid w:val="6A971908"/>
    <w:rsid w:val="6AA858C3"/>
    <w:rsid w:val="6AAA6734"/>
    <w:rsid w:val="6ABC1A76"/>
    <w:rsid w:val="6AEB57B0"/>
    <w:rsid w:val="6AF042AC"/>
    <w:rsid w:val="6AF74155"/>
    <w:rsid w:val="6B213DFE"/>
    <w:rsid w:val="6B281821"/>
    <w:rsid w:val="6B393020"/>
    <w:rsid w:val="6B4355EC"/>
    <w:rsid w:val="6B49268B"/>
    <w:rsid w:val="6B520096"/>
    <w:rsid w:val="6B607F4C"/>
    <w:rsid w:val="6B7B784A"/>
    <w:rsid w:val="6B8974A3"/>
    <w:rsid w:val="6B8D23E5"/>
    <w:rsid w:val="6BE02E3B"/>
    <w:rsid w:val="6BEB4D8A"/>
    <w:rsid w:val="6BFE140E"/>
    <w:rsid w:val="6C007C1C"/>
    <w:rsid w:val="6C080B41"/>
    <w:rsid w:val="6C122E99"/>
    <w:rsid w:val="6C155165"/>
    <w:rsid w:val="6C48484C"/>
    <w:rsid w:val="6C68355C"/>
    <w:rsid w:val="6C704E5A"/>
    <w:rsid w:val="6C9A690B"/>
    <w:rsid w:val="6CAC4088"/>
    <w:rsid w:val="6CD91FAC"/>
    <w:rsid w:val="6CDC2626"/>
    <w:rsid w:val="6D2B4954"/>
    <w:rsid w:val="6D2D20B0"/>
    <w:rsid w:val="6D620DEE"/>
    <w:rsid w:val="6D6D3F5B"/>
    <w:rsid w:val="6D6E2515"/>
    <w:rsid w:val="6DA310EA"/>
    <w:rsid w:val="6DC04CD2"/>
    <w:rsid w:val="6DD3498E"/>
    <w:rsid w:val="6DDA5EA3"/>
    <w:rsid w:val="6DDF688C"/>
    <w:rsid w:val="6DFA4C55"/>
    <w:rsid w:val="6E0A165C"/>
    <w:rsid w:val="6E103324"/>
    <w:rsid w:val="6E186540"/>
    <w:rsid w:val="6E3B3CE2"/>
    <w:rsid w:val="6E7F5771"/>
    <w:rsid w:val="6E8A0249"/>
    <w:rsid w:val="6E937920"/>
    <w:rsid w:val="6EB650EC"/>
    <w:rsid w:val="6EE24726"/>
    <w:rsid w:val="6EEC7CDD"/>
    <w:rsid w:val="6F057709"/>
    <w:rsid w:val="6F094457"/>
    <w:rsid w:val="6F0C1C24"/>
    <w:rsid w:val="6F0F5F11"/>
    <w:rsid w:val="6F3E52BF"/>
    <w:rsid w:val="6F4334F7"/>
    <w:rsid w:val="6F5079E2"/>
    <w:rsid w:val="6F676E4E"/>
    <w:rsid w:val="6F697869"/>
    <w:rsid w:val="6F6D0768"/>
    <w:rsid w:val="6FA4059D"/>
    <w:rsid w:val="6FB602B0"/>
    <w:rsid w:val="6FCF270C"/>
    <w:rsid w:val="6FDB0BF2"/>
    <w:rsid w:val="70005716"/>
    <w:rsid w:val="70234A63"/>
    <w:rsid w:val="702B71E2"/>
    <w:rsid w:val="70466E65"/>
    <w:rsid w:val="706A5CA6"/>
    <w:rsid w:val="70894D24"/>
    <w:rsid w:val="709B37D5"/>
    <w:rsid w:val="70B5039E"/>
    <w:rsid w:val="70C604DC"/>
    <w:rsid w:val="70CD61BA"/>
    <w:rsid w:val="70E47EE3"/>
    <w:rsid w:val="70EF5CA0"/>
    <w:rsid w:val="70FB0EC8"/>
    <w:rsid w:val="710F11BD"/>
    <w:rsid w:val="711C24DA"/>
    <w:rsid w:val="711D4AD7"/>
    <w:rsid w:val="712B2DAA"/>
    <w:rsid w:val="71411491"/>
    <w:rsid w:val="715E32C4"/>
    <w:rsid w:val="715E48D9"/>
    <w:rsid w:val="716943CF"/>
    <w:rsid w:val="718D136F"/>
    <w:rsid w:val="7198626C"/>
    <w:rsid w:val="71BA5C58"/>
    <w:rsid w:val="71BA7D3D"/>
    <w:rsid w:val="71EB191C"/>
    <w:rsid w:val="721970A7"/>
    <w:rsid w:val="72310CB1"/>
    <w:rsid w:val="72442376"/>
    <w:rsid w:val="72467253"/>
    <w:rsid w:val="726B7B7C"/>
    <w:rsid w:val="728A2147"/>
    <w:rsid w:val="7296159D"/>
    <w:rsid w:val="729E289E"/>
    <w:rsid w:val="72A50E42"/>
    <w:rsid w:val="72DC6ACF"/>
    <w:rsid w:val="72EE6064"/>
    <w:rsid w:val="72F1592E"/>
    <w:rsid w:val="72F84F0E"/>
    <w:rsid w:val="72F97729"/>
    <w:rsid w:val="732A30E1"/>
    <w:rsid w:val="73441702"/>
    <w:rsid w:val="734E0107"/>
    <w:rsid w:val="73634A7D"/>
    <w:rsid w:val="736A172E"/>
    <w:rsid w:val="736B28E0"/>
    <w:rsid w:val="736F44A7"/>
    <w:rsid w:val="73825BA9"/>
    <w:rsid w:val="742B71C1"/>
    <w:rsid w:val="74374C63"/>
    <w:rsid w:val="745368A0"/>
    <w:rsid w:val="74760F37"/>
    <w:rsid w:val="747F8F31"/>
    <w:rsid w:val="74C322DB"/>
    <w:rsid w:val="74D57933"/>
    <w:rsid w:val="74D774D1"/>
    <w:rsid w:val="74E6486B"/>
    <w:rsid w:val="74E67714"/>
    <w:rsid w:val="750D54B8"/>
    <w:rsid w:val="75243D06"/>
    <w:rsid w:val="752F5288"/>
    <w:rsid w:val="75444108"/>
    <w:rsid w:val="754C7212"/>
    <w:rsid w:val="754E52B9"/>
    <w:rsid w:val="755359F6"/>
    <w:rsid w:val="756845CD"/>
    <w:rsid w:val="759E2524"/>
    <w:rsid w:val="75B4336E"/>
    <w:rsid w:val="75F05AFC"/>
    <w:rsid w:val="762450B8"/>
    <w:rsid w:val="76360227"/>
    <w:rsid w:val="76476ECC"/>
    <w:rsid w:val="76657226"/>
    <w:rsid w:val="767809D9"/>
    <w:rsid w:val="768C03AE"/>
    <w:rsid w:val="769310C3"/>
    <w:rsid w:val="769D3E02"/>
    <w:rsid w:val="76A9197D"/>
    <w:rsid w:val="76B01F0C"/>
    <w:rsid w:val="76C54B95"/>
    <w:rsid w:val="77110B96"/>
    <w:rsid w:val="771148DC"/>
    <w:rsid w:val="77242BC9"/>
    <w:rsid w:val="7758127B"/>
    <w:rsid w:val="778D527D"/>
    <w:rsid w:val="779455FA"/>
    <w:rsid w:val="779633F5"/>
    <w:rsid w:val="77B1345C"/>
    <w:rsid w:val="77B751D7"/>
    <w:rsid w:val="77B8335A"/>
    <w:rsid w:val="77C01E1F"/>
    <w:rsid w:val="77C6382D"/>
    <w:rsid w:val="77D3401C"/>
    <w:rsid w:val="77DB1A01"/>
    <w:rsid w:val="77EF532A"/>
    <w:rsid w:val="77F008AA"/>
    <w:rsid w:val="78034139"/>
    <w:rsid w:val="78057022"/>
    <w:rsid w:val="783424EA"/>
    <w:rsid w:val="78380F8C"/>
    <w:rsid w:val="78454752"/>
    <w:rsid w:val="7852547D"/>
    <w:rsid w:val="785978ED"/>
    <w:rsid w:val="7865656C"/>
    <w:rsid w:val="787125F5"/>
    <w:rsid w:val="789D1AB2"/>
    <w:rsid w:val="78AC6490"/>
    <w:rsid w:val="78C31B1A"/>
    <w:rsid w:val="78D756FA"/>
    <w:rsid w:val="78E22364"/>
    <w:rsid w:val="791D5BC4"/>
    <w:rsid w:val="793D61F5"/>
    <w:rsid w:val="794C278F"/>
    <w:rsid w:val="795954E1"/>
    <w:rsid w:val="7963467E"/>
    <w:rsid w:val="79CB5569"/>
    <w:rsid w:val="79E70CF9"/>
    <w:rsid w:val="79ED6E4F"/>
    <w:rsid w:val="7A036754"/>
    <w:rsid w:val="7A170370"/>
    <w:rsid w:val="7A92579E"/>
    <w:rsid w:val="7ACD260C"/>
    <w:rsid w:val="7AD83BAE"/>
    <w:rsid w:val="7AE237F5"/>
    <w:rsid w:val="7AE30703"/>
    <w:rsid w:val="7AEE6E4B"/>
    <w:rsid w:val="7AF266BA"/>
    <w:rsid w:val="7AF34FD9"/>
    <w:rsid w:val="7B091FD9"/>
    <w:rsid w:val="7B134460"/>
    <w:rsid w:val="7B182BFF"/>
    <w:rsid w:val="7B4E6019"/>
    <w:rsid w:val="7B512CCA"/>
    <w:rsid w:val="7B5D220C"/>
    <w:rsid w:val="7B670E83"/>
    <w:rsid w:val="7B7C227A"/>
    <w:rsid w:val="7B7D1985"/>
    <w:rsid w:val="7B7F08C0"/>
    <w:rsid w:val="7BD86608"/>
    <w:rsid w:val="7BF13797"/>
    <w:rsid w:val="7BF24BF0"/>
    <w:rsid w:val="7BF44604"/>
    <w:rsid w:val="7C084BE1"/>
    <w:rsid w:val="7C0B29FC"/>
    <w:rsid w:val="7C174657"/>
    <w:rsid w:val="7C266648"/>
    <w:rsid w:val="7C266966"/>
    <w:rsid w:val="7C2D3525"/>
    <w:rsid w:val="7C4C6056"/>
    <w:rsid w:val="7C596A1E"/>
    <w:rsid w:val="7C896BD7"/>
    <w:rsid w:val="7C8B294F"/>
    <w:rsid w:val="7C9B3A9F"/>
    <w:rsid w:val="7D096B1B"/>
    <w:rsid w:val="7D152224"/>
    <w:rsid w:val="7D3C25A3"/>
    <w:rsid w:val="7D4071CA"/>
    <w:rsid w:val="7D4B31AF"/>
    <w:rsid w:val="7D553689"/>
    <w:rsid w:val="7D592A4D"/>
    <w:rsid w:val="7D6646D5"/>
    <w:rsid w:val="7D8D727A"/>
    <w:rsid w:val="7DDD6C34"/>
    <w:rsid w:val="7DE4561B"/>
    <w:rsid w:val="7DFA7462"/>
    <w:rsid w:val="7E0F5B41"/>
    <w:rsid w:val="7E3A3E8C"/>
    <w:rsid w:val="7E6478FC"/>
    <w:rsid w:val="7E6E338C"/>
    <w:rsid w:val="7E881798"/>
    <w:rsid w:val="7EAD3464"/>
    <w:rsid w:val="7EC97D8B"/>
    <w:rsid w:val="7ED54355"/>
    <w:rsid w:val="7ED752DC"/>
    <w:rsid w:val="7EED78F1"/>
    <w:rsid w:val="7F2D58D8"/>
    <w:rsid w:val="7F3438E2"/>
    <w:rsid w:val="7F3614EC"/>
    <w:rsid w:val="7F484B27"/>
    <w:rsid w:val="7F4D0AA3"/>
    <w:rsid w:val="7F6556D9"/>
    <w:rsid w:val="7F6A7194"/>
    <w:rsid w:val="7F850D37"/>
    <w:rsid w:val="7F914720"/>
    <w:rsid w:val="7F954211"/>
    <w:rsid w:val="7FAA5E00"/>
    <w:rsid w:val="7FAF1ED9"/>
    <w:rsid w:val="7FD1712E"/>
    <w:rsid w:val="7FD97B53"/>
    <w:rsid w:val="7FE138D8"/>
    <w:rsid w:val="7FEC2F14"/>
    <w:rsid w:val="7FF37855"/>
    <w:rsid w:val="FAAD383C"/>
    <w:rsid w:val="FBBC726C"/>
    <w:rsid w:val="FC1FE440"/>
    <w:rsid w:val="FF7789CD"/>
    <w:rsid w:val="FF7FB3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3">
    <w:name w:val="heading 1"/>
    <w:basedOn w:val="1"/>
    <w:next w:val="1"/>
    <w:link w:val="59"/>
    <w:qFormat/>
    <w:uiPriority w:val="0"/>
    <w:pPr>
      <w:keepNext/>
      <w:keepLines/>
      <w:widowControl w:val="0"/>
      <w:tabs>
        <w:tab w:val="left" w:pos="840"/>
      </w:tabs>
      <w:adjustRightInd w:val="0"/>
      <w:snapToGrid w:val="0"/>
      <w:spacing w:line="360" w:lineRule="auto"/>
      <w:jc w:val="both"/>
      <w:outlineLvl w:val="0"/>
    </w:pPr>
    <w:rPr>
      <w:rFonts w:ascii="宋体"/>
      <w:b/>
      <w:kern w:val="44"/>
      <w:sz w:val="24"/>
    </w:rPr>
  </w:style>
  <w:style w:type="paragraph" w:styleId="4">
    <w:name w:val="heading 2"/>
    <w:basedOn w:val="1"/>
    <w:next w:val="1"/>
    <w:link w:val="62"/>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5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Lines="100" w:line="360" w:lineRule="auto"/>
      <w:outlineLvl w:val="3"/>
    </w:pPr>
    <w:rPr>
      <w:rFonts w:ascii="Arial" w:hAnsi="Arial"/>
      <w:b/>
      <w:bCs/>
      <w:sz w:val="24"/>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pBdr>
        <w:top w:val="single" w:color="A7BFDE" w:sz="8" w:space="10"/>
        <w:bottom w:val="single" w:color="9BBB59" w:sz="24" w:space="15"/>
      </w:pBdr>
      <w:jc w:val="center"/>
    </w:pPr>
    <w:rPr>
      <w:rFonts w:ascii="宋体" w:hAnsi="Courier New" w:cs="Courier New"/>
      <w:szCs w:val="21"/>
    </w:rPr>
  </w:style>
  <w:style w:type="paragraph" w:styleId="7">
    <w:name w:val="Normal Indent"/>
    <w:basedOn w:val="1"/>
    <w:next w:val="1"/>
    <w:link w:val="55"/>
    <w:qFormat/>
    <w:uiPriority w:val="0"/>
    <w:pPr>
      <w:ind w:firstLine="420"/>
    </w:pPr>
  </w:style>
  <w:style w:type="paragraph" w:styleId="8">
    <w:name w:val="caption"/>
    <w:basedOn w:val="1"/>
    <w:next w:val="1"/>
    <w:qFormat/>
    <w:uiPriority w:val="0"/>
    <w:pPr>
      <w:spacing w:before="152" w:after="160"/>
    </w:pPr>
    <w:rPr>
      <w:rFonts w:ascii="Arial" w:hAnsi="Arial" w:eastAsia="黑体" w:cs="Arial"/>
      <w:sz w:val="20"/>
    </w:rPr>
  </w:style>
  <w:style w:type="paragraph" w:styleId="9">
    <w:name w:val="Document Map"/>
    <w:basedOn w:val="1"/>
    <w:link w:val="57"/>
    <w:unhideWhenUsed/>
    <w:qFormat/>
    <w:uiPriority w:val="0"/>
    <w:rPr>
      <w:rFonts w:ascii="宋体"/>
      <w:sz w:val="18"/>
      <w:szCs w:val="18"/>
    </w:rPr>
  </w:style>
  <w:style w:type="paragraph" w:styleId="10">
    <w:name w:val="annotation text"/>
    <w:basedOn w:val="1"/>
    <w:qFormat/>
    <w:uiPriority w:val="0"/>
  </w:style>
  <w:style w:type="paragraph" w:styleId="11">
    <w:name w:val="Body Text"/>
    <w:basedOn w:val="1"/>
    <w:next w:val="12"/>
    <w:link w:val="64"/>
    <w:qFormat/>
    <w:uiPriority w:val="0"/>
    <w:pPr>
      <w:widowControl w:val="0"/>
      <w:spacing w:line="360" w:lineRule="auto"/>
      <w:jc w:val="both"/>
    </w:pPr>
    <w:rPr>
      <w:rFonts w:ascii="楷体_GB2312" w:eastAsia="楷体_GB2312"/>
      <w:kern w:val="2"/>
      <w:sz w:val="32"/>
    </w:rPr>
  </w:style>
  <w:style w:type="paragraph" w:styleId="12">
    <w:name w:val="Body Text First Indent"/>
    <w:basedOn w:val="11"/>
    <w:next w:val="13"/>
    <w:link w:val="54"/>
    <w:qFormat/>
    <w:uiPriority w:val="0"/>
    <w:pPr>
      <w:widowControl/>
      <w:spacing w:after="120" w:line="240" w:lineRule="auto"/>
      <w:ind w:firstLine="420" w:firstLineChars="100"/>
      <w:jc w:val="left"/>
    </w:pPr>
    <w:rPr>
      <w:rFonts w:ascii="Times New Roman"/>
      <w:sz w:val="21"/>
    </w:rPr>
  </w:style>
  <w:style w:type="paragraph" w:styleId="13">
    <w:name w:val="toc 6"/>
    <w:basedOn w:val="1"/>
    <w:next w:val="1"/>
    <w:qFormat/>
    <w:uiPriority w:val="0"/>
    <w:pPr>
      <w:ind w:left="2100" w:leftChars="1000"/>
    </w:pPr>
    <w:rPr>
      <w:szCs w:val="22"/>
    </w:rPr>
  </w:style>
  <w:style w:type="paragraph" w:styleId="14">
    <w:name w:val="Body Text Indent"/>
    <w:basedOn w:val="1"/>
    <w:qFormat/>
    <w:uiPriority w:val="0"/>
    <w:pPr>
      <w:spacing w:after="120"/>
      <w:ind w:left="420" w:leftChars="200"/>
    </w:pPr>
  </w:style>
  <w:style w:type="paragraph" w:styleId="15">
    <w:name w:val="Block Text"/>
    <w:basedOn w:val="1"/>
    <w:qFormat/>
    <w:uiPriority w:val="0"/>
    <w:pPr>
      <w:spacing w:after="120"/>
      <w:ind w:left="1440" w:leftChars="700" w:right="1440" w:rightChars="700"/>
    </w:pPr>
  </w:style>
  <w:style w:type="paragraph" w:styleId="16">
    <w:name w:val="toc 3"/>
    <w:basedOn w:val="1"/>
    <w:next w:val="1"/>
    <w:unhideWhenUsed/>
    <w:qFormat/>
    <w:uiPriority w:val="0"/>
    <w:pPr>
      <w:ind w:left="840" w:leftChars="400"/>
    </w:pPr>
  </w:style>
  <w:style w:type="paragraph" w:styleId="17">
    <w:name w:val="Plain Text"/>
    <w:basedOn w:val="1"/>
    <w:next w:val="1"/>
    <w:link w:val="67"/>
    <w:qFormat/>
    <w:uiPriority w:val="0"/>
    <w:pPr>
      <w:widowControl w:val="0"/>
      <w:jc w:val="both"/>
    </w:pPr>
    <w:rPr>
      <w:rFonts w:ascii="宋体" w:hAnsi="Courier New"/>
      <w:kern w:val="2"/>
    </w:rPr>
  </w:style>
  <w:style w:type="paragraph" w:styleId="18">
    <w:name w:val="Date"/>
    <w:basedOn w:val="1"/>
    <w:next w:val="1"/>
    <w:qFormat/>
    <w:uiPriority w:val="0"/>
    <w:pPr>
      <w:widowControl w:val="0"/>
      <w:jc w:val="both"/>
    </w:pPr>
    <w:rPr>
      <w:rFonts w:ascii="宋体"/>
      <w:sz w:val="24"/>
    </w:rPr>
  </w:style>
  <w:style w:type="paragraph" w:styleId="19">
    <w:name w:val="Body Text Indent 2"/>
    <w:basedOn w:val="1"/>
    <w:next w:val="20"/>
    <w:qFormat/>
    <w:uiPriority w:val="0"/>
    <w:pPr>
      <w:spacing w:after="120" w:line="480" w:lineRule="auto"/>
      <w:ind w:left="420" w:leftChars="200"/>
    </w:pPr>
    <w:rPr>
      <w:rFonts w:ascii="Times New Roman" w:hAnsi="Times New Roman" w:cs="Times New Roman"/>
      <w:kern w:val="2"/>
      <w:sz w:val="28"/>
    </w:rPr>
  </w:style>
  <w:style w:type="paragraph" w:styleId="20">
    <w:name w:val="Body Text First Indent 2"/>
    <w:basedOn w:val="1"/>
    <w:next w:val="21"/>
    <w:qFormat/>
    <w:uiPriority w:val="0"/>
    <w:pPr>
      <w:tabs>
        <w:tab w:val="left" w:pos="0"/>
        <w:tab w:val="left" w:pos="993"/>
        <w:tab w:val="left" w:pos="1134"/>
      </w:tabs>
      <w:ind w:left="0" w:leftChars="0" w:firstLine="420"/>
    </w:pPr>
  </w:style>
  <w:style w:type="paragraph" w:customStyle="1" w:styleId="21">
    <w:name w:val="文章正文"/>
    <w:basedOn w:val="1"/>
    <w:next w:val="22"/>
    <w:qFormat/>
    <w:uiPriority w:val="0"/>
    <w:pPr>
      <w:spacing w:line="360" w:lineRule="auto"/>
      <w:ind w:firstLine="200" w:firstLineChars="200"/>
    </w:pPr>
    <w:rPr>
      <w:sz w:val="24"/>
    </w:rPr>
  </w:style>
  <w:style w:type="paragraph" w:customStyle="1" w:styleId="22">
    <w:name w:val="公式样式 变量"/>
    <w:qFormat/>
    <w:uiPriority w:val="0"/>
    <w:rPr>
      <w:rFonts w:ascii="Times New Roman" w:hAnsi="Times New Roman" w:eastAsia="宋体" w:cs="Times New Roman"/>
      <w:i/>
      <w:sz w:val="21"/>
      <w:szCs w:val="22"/>
      <w:lang w:val="en-US" w:eastAsia="zh-CN" w:bidi="ar-SA"/>
    </w:rPr>
  </w:style>
  <w:style w:type="paragraph" w:styleId="23">
    <w:name w:val="Balloon Text"/>
    <w:basedOn w:val="1"/>
    <w:link w:val="61"/>
    <w:unhideWhenUsed/>
    <w:qFormat/>
    <w:uiPriority w:val="0"/>
    <w:rPr>
      <w:sz w:val="18"/>
      <w:szCs w:val="18"/>
    </w:rPr>
  </w:style>
  <w:style w:type="paragraph" w:styleId="24">
    <w:name w:val="footer"/>
    <w:basedOn w:val="1"/>
    <w:link w:val="63"/>
    <w:qFormat/>
    <w:uiPriority w:val="0"/>
    <w:pPr>
      <w:tabs>
        <w:tab w:val="center" w:pos="4153"/>
        <w:tab w:val="right" w:pos="8306"/>
      </w:tabs>
      <w:snapToGrid w:val="0"/>
    </w:pPr>
    <w:rPr>
      <w:sz w:val="18"/>
    </w:rPr>
  </w:style>
  <w:style w:type="paragraph" w:styleId="25">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middleDot" w:pos="8948"/>
      </w:tabs>
    </w:pPr>
    <w:rPr>
      <w:rFonts w:ascii="宋体" w:hAnsi="宋体"/>
      <w:b/>
      <w:bCs/>
      <w:caps/>
      <w:szCs w:val="21"/>
    </w:rPr>
  </w:style>
  <w:style w:type="paragraph" w:styleId="27">
    <w:name w:val="List"/>
    <w:basedOn w:val="1"/>
    <w:qFormat/>
    <w:uiPriority w:val="0"/>
    <w:pPr>
      <w:ind w:left="200" w:hanging="200" w:hangingChars="200"/>
    </w:pPr>
    <w:rPr>
      <w:sz w:val="28"/>
    </w:rPr>
  </w:style>
  <w:style w:type="paragraph" w:styleId="28">
    <w:name w:val="toc 2"/>
    <w:basedOn w:val="1"/>
    <w:next w:val="1"/>
    <w:qFormat/>
    <w:uiPriority w:val="39"/>
    <w:pPr>
      <w:tabs>
        <w:tab w:val="right" w:leader="middleDot" w:pos="8948"/>
      </w:tabs>
      <w:spacing w:before="60" w:after="60"/>
      <w:ind w:left="210"/>
    </w:pPr>
    <w:rPr>
      <w:smallCaps/>
    </w:rPr>
  </w:style>
  <w:style w:type="paragraph" w:styleId="29">
    <w:name w:val="Normal (Web)"/>
    <w:basedOn w:val="1"/>
    <w:qFormat/>
    <w:uiPriority w:val="0"/>
    <w:pPr>
      <w:spacing w:before="100" w:beforeAutospacing="1" w:after="100" w:afterAutospacing="1"/>
    </w:pPr>
    <w:rPr>
      <w:rFonts w:ascii="Arial Unicode MS" w:hAnsi="Arial Unicode MS" w:eastAsia="Times New Roman"/>
      <w:color w:val="000000"/>
      <w:sz w:val="24"/>
      <w:szCs w:val="24"/>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0"/>
    <w:rPr>
      <w:b/>
      <w:bCs/>
    </w:rPr>
  </w:style>
  <w:style w:type="character" w:styleId="34">
    <w:name w:val="page number"/>
    <w:qFormat/>
    <w:uiPriority w:val="0"/>
  </w:style>
  <w:style w:type="character" w:styleId="35">
    <w:name w:val="FollowedHyperlink"/>
    <w:qFormat/>
    <w:uiPriority w:val="0"/>
    <w:rPr>
      <w:color w:val="800080"/>
      <w:u w:val="single"/>
    </w:rPr>
  </w:style>
  <w:style w:type="character" w:styleId="36">
    <w:name w:val="Emphasis"/>
    <w:basedOn w:val="32"/>
    <w:qFormat/>
    <w:uiPriority w:val="0"/>
  </w:style>
  <w:style w:type="character" w:styleId="37">
    <w:name w:val="HTML Definition"/>
    <w:basedOn w:val="32"/>
    <w:qFormat/>
    <w:uiPriority w:val="0"/>
  </w:style>
  <w:style w:type="character" w:styleId="38">
    <w:name w:val="HTML Typewriter"/>
    <w:basedOn w:val="32"/>
    <w:qFormat/>
    <w:uiPriority w:val="0"/>
    <w:rPr>
      <w:rFonts w:ascii="monospace" w:hAnsi="monospace" w:eastAsia="monospace" w:cs="monospace"/>
      <w:sz w:val="20"/>
    </w:rPr>
  </w:style>
  <w:style w:type="character" w:styleId="39">
    <w:name w:val="HTML Acronym"/>
    <w:basedOn w:val="32"/>
    <w:qFormat/>
    <w:uiPriority w:val="0"/>
  </w:style>
  <w:style w:type="character" w:styleId="40">
    <w:name w:val="HTML Variable"/>
    <w:basedOn w:val="32"/>
    <w:qFormat/>
    <w:uiPriority w:val="0"/>
  </w:style>
  <w:style w:type="character" w:styleId="41">
    <w:name w:val="Hyperlink"/>
    <w:qFormat/>
    <w:uiPriority w:val="99"/>
    <w:rPr>
      <w:color w:val="0000FF"/>
      <w:u w:val="single"/>
    </w:rPr>
  </w:style>
  <w:style w:type="character" w:styleId="42">
    <w:name w:val="HTML Code"/>
    <w:basedOn w:val="32"/>
    <w:qFormat/>
    <w:uiPriority w:val="0"/>
    <w:rPr>
      <w:rFonts w:hint="default" w:ascii="monospace" w:hAnsi="monospace" w:eastAsia="monospace" w:cs="monospace"/>
      <w:sz w:val="20"/>
    </w:rPr>
  </w:style>
  <w:style w:type="character" w:styleId="43">
    <w:name w:val="annotation reference"/>
    <w:qFormat/>
    <w:uiPriority w:val="0"/>
    <w:rPr>
      <w:sz w:val="21"/>
      <w:szCs w:val="21"/>
    </w:rPr>
  </w:style>
  <w:style w:type="character" w:styleId="44">
    <w:name w:val="HTML Cite"/>
    <w:basedOn w:val="32"/>
    <w:qFormat/>
    <w:uiPriority w:val="0"/>
  </w:style>
  <w:style w:type="character" w:styleId="45">
    <w:name w:val="HTML Keyboard"/>
    <w:basedOn w:val="32"/>
    <w:qFormat/>
    <w:uiPriority w:val="0"/>
    <w:rPr>
      <w:rFonts w:hint="default" w:ascii="monospace" w:hAnsi="monospace" w:eastAsia="monospace" w:cs="monospace"/>
      <w:sz w:val="20"/>
    </w:rPr>
  </w:style>
  <w:style w:type="character" w:styleId="46">
    <w:name w:val="HTML Sample"/>
    <w:basedOn w:val="32"/>
    <w:qFormat/>
    <w:uiPriority w:val="0"/>
    <w:rPr>
      <w:rFonts w:hint="default" w:ascii="monospace" w:hAnsi="monospace" w:eastAsia="monospace" w:cs="monospace"/>
    </w:rPr>
  </w:style>
  <w:style w:type="paragraph" w:customStyle="1" w:styleId="47">
    <w:name w:val="正文首行缩进1"/>
    <w:basedOn w:val="11"/>
    <w:next w:val="1"/>
    <w:qFormat/>
    <w:uiPriority w:val="0"/>
    <w:pPr>
      <w:spacing w:after="120" w:line="240" w:lineRule="auto"/>
      <w:ind w:firstLine="420" w:firstLineChars="100"/>
    </w:pPr>
    <w:rPr>
      <w:rFonts w:ascii="Times New Roman" w:eastAsia="宋体"/>
      <w:sz w:val="21"/>
      <w:szCs w:val="24"/>
    </w:rPr>
  </w:style>
  <w:style w:type="paragraph" w:customStyle="1" w:styleId="48">
    <w:name w:val="xl53"/>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hint="eastAsia" w:ascii="宋体" w:hAnsi="宋体" w:eastAsia="宋体" w:cs="Times New Roman"/>
      <w:b/>
      <w:bCs/>
      <w:kern w:val="0"/>
      <w:sz w:val="20"/>
      <w:lang w:val="en-US" w:eastAsia="zh-CN" w:bidi="ar-SA"/>
    </w:rPr>
  </w:style>
  <w:style w:type="paragraph" w:customStyle="1" w:styleId="49">
    <w:name w:val="无间距1"/>
    <w:qFormat/>
    <w:uiPriority w:val="0"/>
    <w:pPr>
      <w:widowControl w:val="0"/>
      <w:jc w:val="both"/>
    </w:pPr>
    <w:rPr>
      <w:rFonts w:ascii="Calibri" w:hAnsi="Calibri" w:eastAsia="微软雅黑 Light" w:cs="Times New Roman"/>
      <w:kern w:val="2"/>
      <w:sz w:val="24"/>
      <w:szCs w:val="22"/>
      <w:lang w:val="en-US" w:eastAsia="zh-CN" w:bidi="ar-SA"/>
    </w:rPr>
  </w:style>
  <w:style w:type="paragraph" w:customStyle="1" w:styleId="50">
    <w:name w:val="章正文"/>
    <w:basedOn w:val="1"/>
    <w:qFormat/>
    <w:uiPriority w:val="0"/>
    <w:pPr>
      <w:spacing w:before="156" w:beforeLines="50" w:after="120" w:line="300" w:lineRule="auto"/>
      <w:ind w:firstLine="480"/>
    </w:pPr>
    <w:rPr>
      <w:rFonts w:ascii="Helvetica" w:hAnsi="Helvetica"/>
      <w:sz w:val="24"/>
    </w:rPr>
  </w:style>
  <w:style w:type="character" w:customStyle="1" w:styleId="51">
    <w:name w:val="标题 3 Char"/>
    <w:link w:val="5"/>
    <w:qFormat/>
    <w:uiPriority w:val="0"/>
    <w:rPr>
      <w:rFonts w:eastAsia="宋体"/>
      <w:b/>
      <w:bCs/>
      <w:sz w:val="32"/>
      <w:szCs w:val="32"/>
      <w:lang w:bidi="ar-SA"/>
    </w:rPr>
  </w:style>
  <w:style w:type="character" w:customStyle="1" w:styleId="52">
    <w:name w:val="hang1"/>
    <w:basedOn w:val="32"/>
    <w:qFormat/>
    <w:uiPriority w:val="0"/>
  </w:style>
  <w:style w:type="character" w:customStyle="1" w:styleId="53">
    <w:name w:val="font01"/>
    <w:basedOn w:val="32"/>
    <w:qFormat/>
    <w:uiPriority w:val="0"/>
    <w:rPr>
      <w:rFonts w:hint="eastAsia" w:ascii="宋体" w:hAnsi="宋体" w:eastAsia="宋体" w:cs="宋体"/>
      <w:color w:val="000000"/>
      <w:sz w:val="22"/>
      <w:szCs w:val="22"/>
      <w:u w:val="none"/>
    </w:rPr>
  </w:style>
  <w:style w:type="character" w:customStyle="1" w:styleId="54">
    <w:name w:val="正文首行缩进 Char"/>
    <w:link w:val="12"/>
    <w:qFormat/>
    <w:uiPriority w:val="0"/>
    <w:rPr>
      <w:rFonts w:eastAsia="楷体_GB2312"/>
      <w:kern w:val="2"/>
      <w:sz w:val="21"/>
      <w:lang w:bidi="ar-SA"/>
    </w:rPr>
  </w:style>
  <w:style w:type="character" w:customStyle="1" w:styleId="55">
    <w:name w:val="正文缩进 Char"/>
    <w:link w:val="7"/>
    <w:qFormat/>
    <w:uiPriority w:val="0"/>
    <w:rPr>
      <w:rFonts w:eastAsia="宋体"/>
      <w:sz w:val="21"/>
      <w:lang w:bidi="ar-SA"/>
    </w:rPr>
  </w:style>
  <w:style w:type="character" w:customStyle="1" w:styleId="56">
    <w:name w:val="页眉 Char"/>
    <w:qFormat/>
    <w:uiPriority w:val="0"/>
    <w:rPr>
      <w:kern w:val="2"/>
      <w:sz w:val="18"/>
      <w:szCs w:val="18"/>
    </w:rPr>
  </w:style>
  <w:style w:type="character" w:customStyle="1" w:styleId="57">
    <w:name w:val="文档结构图 Char"/>
    <w:link w:val="9"/>
    <w:semiHidden/>
    <w:qFormat/>
    <w:uiPriority w:val="0"/>
    <w:rPr>
      <w:rFonts w:ascii="宋体" w:eastAsia="宋体"/>
      <w:sz w:val="18"/>
      <w:szCs w:val="18"/>
      <w:lang w:bidi="ar-SA"/>
    </w:rPr>
  </w:style>
  <w:style w:type="character" w:customStyle="1" w:styleId="58">
    <w:name w:val="apple-style-span"/>
    <w:qFormat/>
    <w:uiPriority w:val="0"/>
  </w:style>
  <w:style w:type="character" w:customStyle="1" w:styleId="59">
    <w:name w:val="标题 1 Char"/>
    <w:link w:val="3"/>
    <w:qFormat/>
    <w:uiPriority w:val="0"/>
    <w:rPr>
      <w:rFonts w:ascii="宋体" w:eastAsia="宋体"/>
      <w:b/>
      <w:kern w:val="44"/>
      <w:sz w:val="24"/>
      <w:lang w:bidi="ar-SA"/>
    </w:rPr>
  </w:style>
  <w:style w:type="character" w:customStyle="1" w:styleId="60">
    <w:name w:val="纯文本 Char Char Char Char Char Char Char Char Char Char Char Char Char Char3"/>
    <w:qFormat/>
    <w:uiPriority w:val="0"/>
    <w:rPr>
      <w:rFonts w:ascii="宋体" w:hAnsi="Courier New"/>
      <w:sz w:val="18"/>
      <w:lang w:bidi="ar-SA"/>
    </w:rPr>
  </w:style>
  <w:style w:type="character" w:customStyle="1" w:styleId="61">
    <w:name w:val="批注框文本 Char"/>
    <w:link w:val="23"/>
    <w:semiHidden/>
    <w:qFormat/>
    <w:uiPriority w:val="0"/>
    <w:rPr>
      <w:rFonts w:eastAsia="宋体"/>
      <w:sz w:val="18"/>
      <w:szCs w:val="18"/>
      <w:lang w:bidi="ar-SA"/>
    </w:rPr>
  </w:style>
  <w:style w:type="character" w:customStyle="1" w:styleId="62">
    <w:name w:val="标题 2 Char"/>
    <w:link w:val="4"/>
    <w:semiHidden/>
    <w:qFormat/>
    <w:uiPriority w:val="0"/>
    <w:rPr>
      <w:rFonts w:ascii="Cambria" w:hAnsi="Cambria" w:eastAsia="宋体"/>
      <w:b/>
      <w:bCs/>
      <w:sz w:val="32"/>
      <w:szCs w:val="32"/>
      <w:lang w:bidi="ar-SA"/>
    </w:rPr>
  </w:style>
  <w:style w:type="character" w:customStyle="1" w:styleId="63">
    <w:name w:val="页脚 Char"/>
    <w:link w:val="24"/>
    <w:qFormat/>
    <w:uiPriority w:val="0"/>
    <w:rPr>
      <w:rFonts w:eastAsia="宋体"/>
      <w:sz w:val="18"/>
      <w:lang w:bidi="ar-SA"/>
    </w:rPr>
  </w:style>
  <w:style w:type="character" w:customStyle="1" w:styleId="64">
    <w:name w:val="正文文本 Char"/>
    <w:link w:val="11"/>
    <w:qFormat/>
    <w:uiPriority w:val="0"/>
    <w:rPr>
      <w:rFonts w:ascii="楷体_GB2312" w:eastAsia="楷体_GB2312"/>
      <w:kern w:val="2"/>
      <w:sz w:val="32"/>
      <w:lang w:bidi="ar-SA"/>
    </w:rPr>
  </w:style>
  <w:style w:type="character" w:customStyle="1" w:styleId="65">
    <w:name w:val="Normal Indent Char"/>
    <w:qFormat/>
    <w:locked/>
    <w:uiPriority w:val="0"/>
    <w:rPr>
      <w:rFonts w:ascii="Calibri" w:hAnsi="Calibri" w:eastAsia="宋体"/>
      <w:kern w:val="2"/>
      <w:sz w:val="21"/>
    </w:rPr>
  </w:style>
  <w:style w:type="character" w:customStyle="1" w:styleId="66">
    <w:name w:val="页眉 Char1"/>
    <w:link w:val="25"/>
    <w:qFormat/>
    <w:uiPriority w:val="0"/>
    <w:rPr>
      <w:rFonts w:eastAsia="宋体"/>
      <w:sz w:val="18"/>
      <w:szCs w:val="18"/>
      <w:lang w:bidi="ar-SA"/>
    </w:rPr>
  </w:style>
  <w:style w:type="character" w:customStyle="1" w:styleId="67">
    <w:name w:val="纯文本 Char"/>
    <w:link w:val="17"/>
    <w:qFormat/>
    <w:uiPriority w:val="0"/>
    <w:rPr>
      <w:rFonts w:ascii="宋体" w:hAnsi="Courier New" w:eastAsia="宋体"/>
      <w:kern w:val="2"/>
      <w:sz w:val="21"/>
      <w:lang w:bidi="ar-SA"/>
    </w:rPr>
  </w:style>
  <w:style w:type="character" w:customStyle="1" w:styleId="68">
    <w:name w:val="neinongs1"/>
    <w:qFormat/>
    <w:uiPriority w:val="0"/>
  </w:style>
  <w:style w:type="character" w:customStyle="1" w:styleId="69">
    <w:name w:val="NormalCharacter"/>
    <w:semiHidden/>
    <w:qFormat/>
    <w:uiPriority w:val="0"/>
  </w:style>
  <w:style w:type="paragraph" w:customStyle="1" w:styleId="70">
    <w:name w:val="_Style 7"/>
    <w:basedOn w:val="11"/>
    <w:next w:val="12"/>
    <w:qFormat/>
    <w:uiPriority w:val="0"/>
    <w:pPr>
      <w:widowControl/>
      <w:ind w:firstLine="420" w:firstLineChars="100"/>
      <w:jc w:val="left"/>
    </w:pPr>
    <w:rPr>
      <w:rFonts w:ascii="Times New Roman"/>
    </w:rPr>
  </w:style>
  <w:style w:type="paragraph" w:customStyle="1" w:styleId="71">
    <w:name w:val="纯文本1"/>
    <w:basedOn w:val="72"/>
    <w:qFormat/>
    <w:uiPriority w:val="0"/>
    <w:pPr>
      <w:widowControl/>
      <w:jc w:val="left"/>
    </w:pPr>
    <w:rPr>
      <w:rFonts w:ascii="宋体" w:hAnsi="Courier New"/>
    </w:rPr>
  </w:style>
  <w:style w:type="paragraph" w:customStyle="1" w:styleId="72">
    <w:name w:val="正文1"/>
    <w:basedOn w:val="16"/>
    <w:next w:val="1"/>
    <w:qFormat/>
    <w:uiPriority w:val="0"/>
    <w:pPr>
      <w:widowControl w:val="0"/>
      <w:jc w:val="both"/>
    </w:pPr>
    <w:rPr>
      <w:rFonts w:hint="eastAsia"/>
      <w:kern w:val="2"/>
    </w:rPr>
  </w:style>
  <w:style w:type="paragraph" w:customStyle="1" w:styleId="73">
    <w:name w:val="Char Char Char Char Char Char Char"/>
    <w:basedOn w:val="1"/>
    <w:qFormat/>
    <w:uiPriority w:val="0"/>
    <w:pPr>
      <w:widowControl w:val="0"/>
      <w:jc w:val="both"/>
    </w:pPr>
    <w:rPr>
      <w:rFonts w:ascii="仿宋_GB2312" w:eastAsia="仿宋_GB2312"/>
      <w:b/>
      <w:kern w:val="2"/>
      <w:sz w:val="32"/>
      <w:szCs w:val="32"/>
    </w:rPr>
  </w:style>
  <w:style w:type="paragraph" w:customStyle="1" w:styleId="74">
    <w:name w:val="列出段落1"/>
    <w:basedOn w:val="1"/>
    <w:qFormat/>
    <w:uiPriority w:val="99"/>
    <w:pPr>
      <w:ind w:firstLine="420" w:firstLineChars="200"/>
    </w:pPr>
  </w:style>
  <w:style w:type="paragraph" w:customStyle="1" w:styleId="75">
    <w:name w:val="Body Text First Indent1"/>
    <w:basedOn w:val="11"/>
    <w:qFormat/>
    <w:uiPriority w:val="99"/>
    <w:pPr>
      <w:adjustRightInd w:val="0"/>
      <w:spacing w:after="120"/>
      <w:ind w:firstLine="420"/>
      <w:textAlignment w:val="baseline"/>
    </w:pPr>
    <w:rPr>
      <w:sz w:val="24"/>
    </w:rPr>
  </w:style>
  <w:style w:type="paragraph" w:customStyle="1" w:styleId="76">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77">
    <w:name w:val="表格文字"/>
    <w:basedOn w:val="1"/>
    <w:next w:val="11"/>
    <w:qFormat/>
    <w:uiPriority w:val="0"/>
    <w:pPr>
      <w:widowControl w:val="0"/>
    </w:pPr>
    <w:rPr>
      <w:rFonts w:ascii="Calibri" w:hAnsi="Calibri"/>
      <w:kern w:val="21"/>
      <w:szCs w:val="21"/>
    </w:rPr>
  </w:style>
  <w:style w:type="paragraph" w:customStyle="1" w:styleId="78">
    <w:name w:val="列出段落11"/>
    <w:basedOn w:val="1"/>
    <w:qFormat/>
    <w:uiPriority w:val="0"/>
    <w:pPr>
      <w:ind w:firstLine="420" w:firstLineChars="200"/>
    </w:pPr>
  </w:style>
  <w:style w:type="paragraph" w:customStyle="1" w:styleId="79">
    <w:name w:val="Char Char Char1 Char Char Char Char Char Char Char Char Char1"/>
    <w:basedOn w:val="1"/>
    <w:qFormat/>
    <w:uiPriority w:val="0"/>
    <w:pPr>
      <w:spacing w:after="160" w:line="240" w:lineRule="exact"/>
    </w:pPr>
    <w:rPr>
      <w:kern w:val="2"/>
      <w:szCs w:val="24"/>
    </w:rPr>
  </w:style>
  <w:style w:type="paragraph" w:customStyle="1" w:styleId="80">
    <w:name w:val="Char Char Char"/>
    <w:basedOn w:val="1"/>
    <w:qFormat/>
    <w:uiPriority w:val="0"/>
    <w:pPr>
      <w:widowControl w:val="0"/>
      <w:jc w:val="both"/>
    </w:pPr>
    <w:rPr>
      <w:kern w:val="2"/>
    </w:rPr>
  </w:style>
  <w:style w:type="paragraph" w:customStyle="1" w:styleId="81">
    <w:name w:val="正文11"/>
    <w:basedOn w:val="1"/>
    <w:qFormat/>
    <w:uiPriority w:val="0"/>
    <w:pPr>
      <w:adjustRightInd w:val="0"/>
      <w:spacing w:line="318" w:lineRule="atLeast"/>
      <w:ind w:left="369" w:firstLine="369"/>
      <w:textAlignment w:val="baseline"/>
    </w:pPr>
    <w:rPr>
      <w:rFonts w:ascii="宋体"/>
    </w:rPr>
  </w:style>
  <w:style w:type="paragraph" w:customStyle="1" w:styleId="82">
    <w:name w:val="Char Char"/>
    <w:basedOn w:val="1"/>
    <w:qFormat/>
    <w:uiPriority w:val="0"/>
    <w:pPr>
      <w:widowControl w:val="0"/>
      <w:jc w:val="both"/>
    </w:pPr>
    <w:rPr>
      <w:rFonts w:ascii="仿宋_GB2312" w:eastAsia="仿宋_GB2312"/>
      <w:b/>
      <w:kern w:val="2"/>
      <w:sz w:val="32"/>
      <w:szCs w:val="32"/>
    </w:rPr>
  </w:style>
  <w:style w:type="paragraph" w:customStyle="1" w:styleId="83">
    <w:name w:val="Char Char Char Char Char Char Char Char Char Char Char Char Char"/>
    <w:basedOn w:val="1"/>
    <w:qFormat/>
    <w:uiPriority w:val="0"/>
    <w:pPr>
      <w:widowControl w:val="0"/>
      <w:jc w:val="both"/>
    </w:pPr>
    <w:rPr>
      <w:rFonts w:ascii="仿宋_GB2312" w:hAnsi="宋体" w:eastAsia="仿宋_GB2312" w:cs="宋体"/>
      <w:b/>
      <w:bCs/>
      <w:color w:val="000000"/>
      <w:szCs w:val="21"/>
    </w:rPr>
  </w:style>
  <w:style w:type="paragraph" w:customStyle="1" w:styleId="84">
    <w:name w:val="xl35"/>
    <w:basedOn w:val="1"/>
    <w:qFormat/>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Arial Unicode MS" w:hAnsi="Arial Unicode MS" w:eastAsia="Arial Unicode MS"/>
      <w:sz w:val="24"/>
      <w:szCs w:val="24"/>
    </w:rPr>
  </w:style>
  <w:style w:type="paragraph" w:customStyle="1" w:styleId="8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6">
    <w:name w:val="样式 正文文本缩进 + 左  0 字符"/>
    <w:basedOn w:val="14"/>
    <w:qFormat/>
    <w:uiPriority w:val="0"/>
    <w:pPr>
      <w:widowControl w:val="0"/>
      <w:spacing w:after="0" w:line="360" w:lineRule="auto"/>
      <w:ind w:left="0" w:leftChars="0" w:firstLine="250" w:firstLineChars="250"/>
      <w:jc w:val="both"/>
    </w:pPr>
    <w:rPr>
      <w:kern w:val="2"/>
      <w:sz w:val="24"/>
    </w:rPr>
  </w:style>
  <w:style w:type="paragraph" w:customStyle="1" w:styleId="87">
    <w:name w:val="Char Char1 Char Char Char Char Char Char"/>
    <w:basedOn w:val="1"/>
    <w:qFormat/>
    <w:uiPriority w:val="0"/>
    <w:pPr>
      <w:widowControl w:val="0"/>
      <w:spacing w:line="600" w:lineRule="exact"/>
      <w:jc w:val="both"/>
    </w:pPr>
    <w:rPr>
      <w:rFonts w:ascii="ˎ̥" w:hAnsi="ˎ̥" w:cs="宋体"/>
    </w:rPr>
  </w:style>
  <w:style w:type="paragraph" w:customStyle="1" w:styleId="88">
    <w:name w:val="Indent a)"/>
    <w:basedOn w:val="1"/>
    <w:qFormat/>
    <w:uiPriority w:val="0"/>
    <w:pPr>
      <w:tabs>
        <w:tab w:val="left" w:pos="1843"/>
        <w:tab w:val="right" w:pos="9072"/>
      </w:tabs>
      <w:suppressAutoHyphens/>
      <w:spacing w:line="360" w:lineRule="auto"/>
      <w:ind w:right="-21" w:rightChars="-10" w:firstLine="420" w:firstLineChars="175"/>
    </w:pPr>
    <w:rPr>
      <w:sz w:val="24"/>
    </w:rPr>
  </w:style>
  <w:style w:type="paragraph" w:customStyle="1" w:styleId="89">
    <w:name w:val="投标正文"/>
    <w:basedOn w:val="1"/>
    <w:qFormat/>
    <w:uiPriority w:val="0"/>
    <w:pPr>
      <w:spacing w:line="360" w:lineRule="auto"/>
      <w:ind w:left="102" w:firstLine="200" w:firstLineChars="200"/>
    </w:pPr>
    <w:rPr>
      <w:sz w:val="24"/>
    </w:rPr>
  </w:style>
  <w:style w:type="paragraph" w:customStyle="1" w:styleId="90">
    <w:name w:val="p0"/>
    <w:basedOn w:val="1"/>
    <w:unhideWhenUsed/>
    <w:qFormat/>
    <w:uiPriority w:val="0"/>
    <w:pPr>
      <w:spacing w:line="324" w:lineRule="auto"/>
    </w:pPr>
    <w:rPr>
      <w:rFonts w:hint="eastAsia" w:eastAsia="仿宋_GB2312"/>
      <w:sz w:val="24"/>
    </w:rPr>
  </w:style>
  <w:style w:type="paragraph" w:customStyle="1" w:styleId="91">
    <w:name w:val="*正文"/>
    <w:basedOn w:val="1"/>
    <w:qFormat/>
    <w:uiPriority w:val="0"/>
    <w:pPr>
      <w:widowControl w:val="0"/>
      <w:ind w:firstLine="560" w:firstLineChars="200"/>
    </w:pPr>
    <w:rPr>
      <w:rFonts w:eastAsia="仿宋_GB2312" w:cs="仿宋_GB2312"/>
      <w:kern w:val="2"/>
      <w:sz w:val="28"/>
      <w:shd w:val="clear" w:color="auto" w:fill="FFFFFF"/>
    </w:rPr>
  </w:style>
  <w:style w:type="paragraph" w:customStyle="1" w:styleId="92">
    <w:name w:val="本文-正文"/>
    <w:basedOn w:val="1"/>
    <w:next w:val="1"/>
    <w:qFormat/>
    <w:uiPriority w:val="0"/>
    <w:pPr>
      <w:widowControl w:val="0"/>
      <w:spacing w:line="360" w:lineRule="auto"/>
      <w:ind w:firstLine="200" w:firstLineChars="200"/>
      <w:jc w:val="both"/>
    </w:pPr>
    <w:rPr>
      <w:kern w:val="2"/>
      <w:sz w:val="28"/>
    </w:rPr>
  </w:style>
  <w:style w:type="paragraph" w:customStyle="1" w:styleId="93">
    <w:name w:val="Normal Indent1"/>
    <w:basedOn w:val="1"/>
    <w:qFormat/>
    <w:uiPriority w:val="0"/>
    <w:pPr>
      <w:ind w:firstLine="420"/>
    </w:pPr>
  </w:style>
  <w:style w:type="paragraph" w:customStyle="1" w:styleId="94">
    <w:name w:val="Body text|1"/>
    <w:basedOn w:val="1"/>
    <w:qFormat/>
    <w:uiPriority w:val="0"/>
    <w:pPr>
      <w:widowControl w:val="0"/>
      <w:spacing w:line="480" w:lineRule="auto"/>
      <w:ind w:firstLine="400"/>
    </w:pPr>
    <w:rPr>
      <w:rFonts w:ascii="宋体" w:hAnsi="宋体" w:cs="宋体"/>
      <w:sz w:val="26"/>
      <w:szCs w:val="26"/>
      <w:lang w:val="zh-TW" w:eastAsia="zh-TW" w:bidi="zh-TW"/>
    </w:rPr>
  </w:style>
  <w:style w:type="paragraph" w:customStyle="1" w:styleId="95">
    <w:name w:val="Heading1"/>
    <w:basedOn w:val="1"/>
    <w:next w:val="1"/>
    <w:qFormat/>
    <w:uiPriority w:val="0"/>
    <w:pPr>
      <w:keepNext/>
      <w:keepLines/>
      <w:spacing w:before="340" w:after="330" w:line="578" w:lineRule="auto"/>
      <w:jc w:val="both"/>
      <w:textAlignment w:val="baseline"/>
    </w:pPr>
    <w:rPr>
      <w:b/>
      <w:bCs/>
      <w:kern w:val="44"/>
      <w:sz w:val="44"/>
      <w:szCs w:val="44"/>
    </w:rPr>
  </w:style>
  <w:style w:type="paragraph" w:customStyle="1" w:styleId="96">
    <w:name w:val="纯文本2"/>
    <w:basedOn w:val="1"/>
    <w:qFormat/>
    <w:uiPriority w:val="0"/>
    <w:pPr>
      <w:adjustRightInd w:val="0"/>
      <w:textAlignment w:val="baseline"/>
    </w:pPr>
    <w:rPr>
      <w:rFonts w:ascii="宋体" w:hAnsi="Courier New" w:eastAsia="楷体_GB2312"/>
      <w:sz w:val="26"/>
    </w:rPr>
  </w:style>
  <w:style w:type="character" w:customStyle="1" w:styleId="97">
    <w:name w:val="font11"/>
    <w:basedOn w:val="32"/>
    <w:qFormat/>
    <w:uiPriority w:val="0"/>
    <w:rPr>
      <w:rFonts w:hint="eastAsia" w:ascii="宋体" w:hAnsi="宋体" w:eastAsia="宋体" w:cs="宋体"/>
      <w:b/>
      <w:color w:val="000000"/>
      <w:sz w:val="18"/>
      <w:szCs w:val="18"/>
      <w:u w:val="none"/>
    </w:rPr>
  </w:style>
  <w:style w:type="paragraph" w:customStyle="1" w:styleId="98">
    <w:name w:val="Char Char Char1 Char Char Char Char Char Char Char Char Char11"/>
    <w:basedOn w:val="1"/>
    <w:qFormat/>
    <w:uiPriority w:val="0"/>
    <w:pPr>
      <w:spacing w:after="160" w:line="240" w:lineRule="exact"/>
    </w:pPr>
    <w:rPr>
      <w:kern w:val="2"/>
    </w:rPr>
  </w:style>
  <w:style w:type="paragraph" w:customStyle="1" w:styleId="99">
    <w:name w:val="BZ_列举"/>
    <w:basedOn w:val="1"/>
    <w:qFormat/>
    <w:uiPriority w:val="0"/>
    <w:pPr>
      <w:numPr>
        <w:ilvl w:val="0"/>
        <w:numId w:val="1"/>
      </w:numPr>
      <w:tabs>
        <w:tab w:val="left" w:pos="0"/>
      </w:tabs>
      <w:spacing w:line="360" w:lineRule="auto"/>
      <w:jc w:val="both"/>
    </w:pPr>
    <w:rPr>
      <w:kern w:val="2"/>
    </w:rPr>
  </w:style>
  <w:style w:type="paragraph" w:customStyle="1" w:styleId="100">
    <w:name w:val="样式1"/>
    <w:basedOn w:val="1"/>
    <w:qFormat/>
    <w:uiPriority w:val="0"/>
    <w:pPr>
      <w:spacing w:line="360" w:lineRule="exact"/>
      <w:ind w:firstLine="200" w:firstLineChars="200"/>
    </w:pPr>
    <w:rPr>
      <w:rFonts w:ascii="Arial" w:hAnsi="Arial"/>
    </w:rPr>
  </w:style>
  <w:style w:type="paragraph" w:customStyle="1" w:styleId="101">
    <w:name w:val="Table Text"/>
    <w:basedOn w:val="1"/>
    <w:semiHidden/>
    <w:qFormat/>
    <w:uiPriority w:val="0"/>
    <w:rPr>
      <w:rFonts w:ascii="微软雅黑" w:hAnsi="微软雅黑" w:eastAsia="微软雅黑" w:cs="微软雅黑"/>
      <w:sz w:val="24"/>
      <w:szCs w:val="24"/>
      <w:lang w:eastAsia="en-US"/>
    </w:rPr>
  </w:style>
  <w:style w:type="paragraph" w:customStyle="1" w:styleId="102">
    <w:name w:val="正文_new"/>
    <w:basedOn w:val="1"/>
    <w:qFormat/>
    <w:uiPriority w:val="0"/>
    <w:pPr>
      <w:adjustRightInd w:val="0"/>
      <w:snapToGrid w:val="0"/>
      <w:spacing w:line="360" w:lineRule="auto"/>
      <w:ind w:firstLine="480" w:firstLineChars="200"/>
    </w:pPr>
  </w:style>
  <w:style w:type="character" w:customStyle="1" w:styleId="103">
    <w:name w:val="font21"/>
    <w:basedOn w:val="32"/>
    <w:qFormat/>
    <w:uiPriority w:val="0"/>
    <w:rPr>
      <w:rFonts w:hint="eastAsia" w:ascii="宋体" w:hAnsi="宋体" w:eastAsia="宋体" w:cs="宋体"/>
      <w:color w:val="000000"/>
      <w:sz w:val="15"/>
      <w:szCs w:val="15"/>
      <w:u w:val="none"/>
    </w:rPr>
  </w:style>
  <w:style w:type="character" w:customStyle="1" w:styleId="104">
    <w:name w:val="font51"/>
    <w:basedOn w:val="32"/>
    <w:qFormat/>
    <w:uiPriority w:val="0"/>
    <w:rPr>
      <w:rFonts w:hint="default" w:ascii="Times New Roman" w:hAnsi="Times New Roman" w:cs="Times New Roman"/>
      <w:b/>
      <w:bCs/>
      <w:color w:val="000000"/>
      <w:sz w:val="24"/>
      <w:szCs w:val="24"/>
      <w:u w:val="none"/>
    </w:rPr>
  </w:style>
  <w:style w:type="character" w:customStyle="1" w:styleId="105">
    <w:name w:val="font61"/>
    <w:basedOn w:val="32"/>
    <w:qFormat/>
    <w:uiPriority w:val="0"/>
    <w:rPr>
      <w:rFonts w:hint="default" w:ascii="Times New Roman" w:hAnsi="Times New Roman" w:cs="Times New Roman"/>
      <w:color w:val="000000"/>
      <w:sz w:val="21"/>
      <w:szCs w:val="21"/>
      <w:u w:val="none"/>
    </w:rPr>
  </w:style>
  <w:style w:type="character" w:customStyle="1" w:styleId="106">
    <w:name w:val="font31"/>
    <w:basedOn w:val="32"/>
    <w:qFormat/>
    <w:uiPriority w:val="0"/>
    <w:rPr>
      <w:rFonts w:hint="eastAsia" w:ascii="宋体" w:hAnsi="宋体" w:eastAsia="宋体" w:cs="宋体"/>
      <w:color w:val="000000"/>
      <w:sz w:val="21"/>
      <w:szCs w:val="21"/>
      <w:u w:val="none"/>
    </w:rPr>
  </w:style>
  <w:style w:type="paragraph" w:customStyle="1" w:styleId="107">
    <w:name w:val="Char1 Char Char Char"/>
    <w:qFormat/>
    <w:uiPriority w:val="0"/>
    <w:rPr>
      <w:rFonts w:hint="eastAsia" w:ascii="宋体" w:hAnsi="宋体" w:eastAsia="宋体" w:cs="宋体"/>
      <w:kern w:val="2"/>
      <w:sz w:val="21"/>
      <w:szCs w:val="24"/>
      <w:lang w:val="en-US" w:eastAsia="zh-CN" w:bidi="ar-SA"/>
    </w:rPr>
  </w:style>
  <w:style w:type="character" w:customStyle="1" w:styleId="108">
    <w:name w:val="Char Char30"/>
    <w:qFormat/>
    <w:uiPriority w:val="0"/>
    <w:rPr>
      <w:rFonts w:hint="eastAsia" w:ascii="宋体" w:hAnsi="宋体" w:eastAsia="宋体"/>
      <w:b/>
      <w:spacing w:val="-2"/>
      <w:sz w:val="24"/>
      <w:lang w:val="en-US" w:eastAsia="zh-CN"/>
    </w:rPr>
  </w:style>
  <w:style w:type="paragraph" w:customStyle="1" w:styleId="109">
    <w:name w:val="_Style 5"/>
    <w:basedOn w:val="1"/>
    <w:qFormat/>
    <w:uiPriority w:val="34"/>
    <w:pPr>
      <w:ind w:firstLine="420" w:firstLineChars="200"/>
    </w:pPr>
  </w:style>
  <w:style w:type="paragraph" w:customStyle="1" w:styleId="110">
    <w:name w:val="正文_14"/>
    <w:qFormat/>
    <w:uiPriority w:val="0"/>
    <w:rPr>
      <w:rFonts w:ascii="Times New Roman" w:hAnsi="Times New Roman" w:eastAsia="宋体" w:cs="Times New Roman"/>
      <w:sz w:val="21"/>
      <w:szCs w:val="22"/>
      <w:lang w:val="en-US" w:eastAsia="zh-CN" w:bidi="ar-SA"/>
    </w:rPr>
  </w:style>
  <w:style w:type="paragraph" w:customStyle="1" w:styleId="11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file:///D:\WeChat%252525252525252525252520Files\Elvinas\Program%25252525252525252525252520Files\Tencent\QQ\Users\1121991092\Image\Group2\6N\K6\6NK6%2525252525252525252525255bU(5_DT(HU5(T4EZ222.png" TargetMode="External"/><Relationship Id="rId16" Type="http://schemas.openxmlformats.org/officeDocument/2006/relationships/image" Target="media/image2.png"/><Relationship Id="rId15" Type="http://schemas.openxmlformats.org/officeDocument/2006/relationships/image" Target="file:///D:\WeChat%252525252525252525252520Files\Elvinas\Documents%25252525252525252525252520and%25252525252525252525252520Settings\Administrator\Application%25252525252525252525252520Data\Tencent\QQTempSys\%2525252525252525252525255b5UQ%2525252525252525252525255bBL(6~BS2JV6W%2525252525252525252525257dN6%2525252525252525252525255b%25252525252525252525252525S.png" TargetMode="Externa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27535</Words>
  <Characters>29985</Characters>
  <Lines>242</Lines>
  <Paragraphs>68</Paragraphs>
  <TotalTime>2</TotalTime>
  <ScaleCrop>false</ScaleCrop>
  <LinksUpToDate>false</LinksUpToDate>
  <CharactersWithSpaces>31894</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2025-03-28T13:50:00Z</dcterms:created>
  <dc:creator>王桢之</dc:creator>
  <cp:lastModifiedBy>Administrator</cp:lastModifiedBy>
  <cp:lastPrinted>2024-04-07T10:05:00Z</cp:lastPrinted>
  <dcterms:modified xsi:type="dcterms:W3CDTF">2025-06-19T02:47:17Z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9A70E185808446979949823257B5E9BF_13</vt:lpwstr>
  </property>
  <property fmtid="{D5CDD505-2E9C-101B-9397-08002B2CF9AE}" pid="4" name="KSOTemplateDocerSaveRecord">
    <vt:lpwstr>eyJoZGlkIjoiN2Y0Y2E5MzEzZjA4MzU2NGU4OWU2YjJmMDhmYWMxYWMiLCJ1c2VySWQiOiIyNzM1NjQ3NTEifQ==</vt:lpwstr>
  </property>
</Properties>
</file>