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jc w:val="center"/>
        <w:rPr>
          <w:rFonts w:hint="eastAsia" w:asciiTheme="majorEastAsia" w:hAnsiTheme="majorEastAsia" w:eastAsiaTheme="majorEastAsia" w:cstheme="majorEastAsia"/>
          <w:sz w:val="48"/>
          <w:szCs w:val="48"/>
          <w:lang w:eastAsia="zh-CN"/>
        </w:rPr>
      </w:pPr>
      <w:bookmarkStart w:id="0" w:name="_Toc381081805"/>
      <w:bookmarkStart w:id="1" w:name="_Toc380429933"/>
      <w:r>
        <w:rPr>
          <w:rFonts w:hint="eastAsia" w:asciiTheme="majorEastAsia" w:hAnsiTheme="majorEastAsia" w:eastAsiaTheme="majorEastAsia" w:cstheme="majorEastAsia"/>
          <w:sz w:val="48"/>
          <w:szCs w:val="48"/>
          <w:lang w:eastAsia="zh-CN"/>
        </w:rPr>
        <w:t>高照街道办事处搬迁改建空调设备采购</w:t>
      </w:r>
    </w:p>
    <w:p>
      <w:pPr>
        <w:pStyle w:val="7"/>
        <w:jc w:val="center"/>
        <w:rPr>
          <w:rFonts w:hint="eastAsia" w:asciiTheme="majorEastAsia" w:hAnsiTheme="majorEastAsia" w:eastAsiaTheme="majorEastAsia" w:cstheme="majorEastAsia"/>
          <w:lang w:eastAsia="zh-CN"/>
        </w:rPr>
      </w:pPr>
      <w:r>
        <w:rPr>
          <w:rFonts w:hint="eastAsia" w:asciiTheme="majorEastAsia" w:hAnsiTheme="majorEastAsia" w:eastAsiaTheme="majorEastAsia" w:cstheme="majorEastAsia"/>
          <w:sz w:val="48"/>
          <w:szCs w:val="48"/>
          <w:lang w:eastAsia="zh-CN"/>
        </w:rPr>
        <w:t>及安装工程</w:t>
      </w:r>
    </w:p>
    <w:p>
      <w:pPr>
        <w:snapToGrid w:val="0"/>
        <w:spacing w:before="120" w:beforeLines="50" w:line="360" w:lineRule="auto"/>
        <w:jc w:val="center"/>
        <w:rPr>
          <w:rFonts w:asciiTheme="majorEastAsia" w:hAnsiTheme="majorEastAsia" w:eastAsiaTheme="majorEastAsia" w:cstheme="majorEastAsia"/>
          <w:b/>
          <w:sz w:val="44"/>
          <w:szCs w:val="44"/>
        </w:rPr>
      </w:pPr>
    </w:p>
    <w:p>
      <w:pPr>
        <w:snapToGrid w:val="0"/>
        <w:spacing w:before="120" w:beforeLines="50" w:line="360" w:lineRule="auto"/>
        <w:jc w:val="center"/>
        <w:rPr>
          <w:rFonts w:asciiTheme="majorEastAsia" w:hAnsiTheme="majorEastAsia" w:eastAsiaTheme="majorEastAsia" w:cstheme="majorEastAsia"/>
          <w:b/>
          <w:sz w:val="44"/>
          <w:szCs w:val="44"/>
        </w:rPr>
      </w:pPr>
    </w:p>
    <w:p>
      <w:pPr>
        <w:snapToGrid w:val="0"/>
        <w:spacing w:before="120" w:beforeLines="50" w:line="360" w:lineRule="auto"/>
        <w:jc w:val="center"/>
        <w:rPr>
          <w:rFonts w:asciiTheme="majorEastAsia" w:hAnsiTheme="majorEastAsia" w:eastAsiaTheme="majorEastAsia" w:cstheme="majorEastAsia"/>
          <w:sz w:val="30"/>
          <w:szCs w:val="72"/>
        </w:rPr>
      </w:pPr>
      <w:r>
        <w:rPr>
          <w:rFonts w:hint="eastAsia" w:asciiTheme="majorEastAsia" w:hAnsiTheme="majorEastAsia" w:eastAsiaTheme="majorEastAsia" w:cstheme="majorEastAsia"/>
          <w:b/>
          <w:sz w:val="44"/>
          <w:szCs w:val="44"/>
        </w:rPr>
        <w:t>采购文件</w:t>
      </w:r>
    </w:p>
    <w:p>
      <w:pPr>
        <w:pStyle w:val="32"/>
        <w:snapToGrid w:val="0"/>
        <w:spacing w:before="120" w:after="120" w:line="360" w:lineRule="auto"/>
        <w:jc w:val="left"/>
        <w:rPr>
          <w:rFonts w:asciiTheme="majorEastAsia" w:hAnsiTheme="majorEastAsia" w:eastAsiaTheme="majorEastAsia" w:cstheme="majorEastAsia"/>
          <w:b/>
          <w:bCs/>
          <w:w w:val="95"/>
          <w:sz w:val="30"/>
          <w:szCs w:val="30"/>
        </w:rPr>
      </w:pPr>
    </w:p>
    <w:p/>
    <w:p>
      <w:pPr>
        <w:pStyle w:val="9"/>
      </w:pPr>
    </w:p>
    <w:p>
      <w:pPr>
        <w:pStyle w:val="32"/>
        <w:snapToGrid w:val="0"/>
        <w:spacing w:before="120" w:after="120" w:line="360" w:lineRule="auto"/>
        <w:jc w:val="left"/>
        <w:rPr>
          <w:rFonts w:asciiTheme="majorEastAsia" w:hAnsiTheme="majorEastAsia" w:eastAsiaTheme="majorEastAsia" w:cstheme="majorEastAsia"/>
          <w:b/>
          <w:bCs/>
          <w:w w:val="95"/>
          <w:sz w:val="30"/>
          <w:szCs w:val="30"/>
        </w:rPr>
      </w:pPr>
    </w:p>
    <w:p>
      <w:pPr>
        <w:pStyle w:val="32"/>
        <w:snapToGrid w:val="0"/>
        <w:spacing w:before="120" w:after="120" w:line="360" w:lineRule="auto"/>
        <w:jc w:val="left"/>
        <w:rPr>
          <w:rFonts w:asciiTheme="majorEastAsia" w:hAnsiTheme="majorEastAsia" w:eastAsiaTheme="majorEastAsia" w:cstheme="majorEastAsia"/>
          <w:b/>
          <w:bCs/>
          <w:w w:val="95"/>
          <w:sz w:val="30"/>
          <w:szCs w:val="30"/>
        </w:rPr>
      </w:pPr>
    </w:p>
    <w:p>
      <w:pPr>
        <w:spacing w:line="360" w:lineRule="auto"/>
        <w:jc w:val="left"/>
        <w:rPr>
          <w:rFonts w:hint="eastAsia" w:asciiTheme="majorEastAsia" w:hAnsiTheme="majorEastAsia" w:eastAsiaTheme="majorEastAsia" w:cstheme="majorEastAsia"/>
          <w:b/>
          <w:sz w:val="32"/>
          <w:szCs w:val="32"/>
          <w:lang w:eastAsia="zh-CN"/>
        </w:rPr>
      </w:pPr>
      <w:r>
        <w:rPr>
          <w:rFonts w:hint="eastAsia" w:asciiTheme="majorEastAsia" w:hAnsiTheme="majorEastAsia" w:eastAsiaTheme="majorEastAsia" w:cstheme="majorEastAsia"/>
          <w:b/>
          <w:sz w:val="32"/>
          <w:szCs w:val="32"/>
        </w:rPr>
        <w:t xml:space="preserve">项目编号： </w:t>
      </w:r>
      <w:r>
        <w:rPr>
          <w:rFonts w:hint="eastAsia" w:asciiTheme="majorEastAsia" w:hAnsiTheme="majorEastAsia" w:eastAsiaTheme="majorEastAsia" w:cstheme="majorEastAsia"/>
          <w:b/>
          <w:sz w:val="32"/>
          <w:szCs w:val="32"/>
          <w:lang w:eastAsia="zh-CN"/>
        </w:rPr>
        <w:t>圣加[ZJSJ-2022-JX2-30]</w:t>
      </w:r>
    </w:p>
    <w:p>
      <w:pPr>
        <w:spacing w:line="360" w:lineRule="auto"/>
        <w:jc w:val="left"/>
        <w:rPr>
          <w:rFonts w:hint="eastAsia" w:asciiTheme="majorEastAsia" w:hAnsiTheme="majorEastAsia" w:eastAsiaTheme="majorEastAsia" w:cstheme="majorEastAsia"/>
          <w:b/>
          <w:sz w:val="32"/>
          <w:szCs w:val="32"/>
          <w:lang w:eastAsia="zh-CN"/>
        </w:rPr>
      </w:pPr>
      <w:r>
        <w:rPr>
          <w:rFonts w:hint="eastAsia" w:asciiTheme="majorEastAsia" w:hAnsiTheme="majorEastAsia" w:eastAsiaTheme="majorEastAsia" w:cstheme="majorEastAsia"/>
          <w:b/>
          <w:sz w:val="32"/>
          <w:szCs w:val="32"/>
        </w:rPr>
        <w:t>项目名称：</w:t>
      </w:r>
      <w:r>
        <w:rPr>
          <w:rFonts w:hint="eastAsia" w:asciiTheme="majorEastAsia" w:hAnsiTheme="majorEastAsia" w:eastAsiaTheme="majorEastAsia" w:cstheme="majorEastAsia"/>
          <w:b/>
          <w:sz w:val="32"/>
          <w:szCs w:val="32"/>
          <w:lang w:eastAsia="zh-CN"/>
        </w:rPr>
        <w:t>高照街道办事处搬迁改建空调设备采购及安装工程</w:t>
      </w:r>
    </w:p>
    <w:p>
      <w:pPr>
        <w:spacing w:line="360" w:lineRule="auto"/>
        <w:jc w:val="left"/>
        <w:rPr>
          <w:rFonts w:hint="eastAsia" w:asciiTheme="majorEastAsia" w:hAnsiTheme="majorEastAsia" w:eastAsiaTheme="majorEastAsia" w:cstheme="majorEastAsia"/>
          <w:b/>
          <w:sz w:val="32"/>
          <w:szCs w:val="32"/>
          <w:lang w:eastAsia="zh-CN"/>
        </w:rPr>
      </w:pPr>
      <w:r>
        <w:rPr>
          <w:rFonts w:hint="eastAsia" w:asciiTheme="majorEastAsia" w:hAnsiTheme="majorEastAsia" w:eastAsiaTheme="majorEastAsia" w:cstheme="majorEastAsia"/>
          <w:b/>
          <w:sz w:val="32"/>
          <w:szCs w:val="32"/>
        </w:rPr>
        <w:t>采购人：</w:t>
      </w:r>
      <w:r>
        <w:rPr>
          <w:rFonts w:hint="eastAsia" w:asciiTheme="majorEastAsia" w:hAnsiTheme="majorEastAsia" w:eastAsiaTheme="majorEastAsia" w:cstheme="majorEastAsia"/>
          <w:b/>
          <w:sz w:val="32"/>
          <w:szCs w:val="32"/>
          <w:lang w:eastAsia="zh-CN"/>
        </w:rPr>
        <w:t>嘉兴市秀洲区人民政府高照街道办事处</w:t>
      </w:r>
    </w:p>
    <w:p>
      <w:pPr>
        <w:spacing w:line="360" w:lineRule="auto"/>
        <w:jc w:val="left"/>
        <w:rPr>
          <w:rFonts w:hint="eastAsia" w:asciiTheme="majorEastAsia" w:hAnsiTheme="majorEastAsia" w:eastAsiaTheme="majorEastAsia" w:cstheme="majorEastAsia"/>
          <w:b/>
          <w:sz w:val="32"/>
          <w:szCs w:val="32"/>
          <w:lang w:eastAsia="zh-CN"/>
        </w:rPr>
      </w:pPr>
      <w:r>
        <w:rPr>
          <w:rFonts w:hint="eastAsia" w:asciiTheme="majorEastAsia" w:hAnsiTheme="majorEastAsia" w:eastAsiaTheme="majorEastAsia" w:cstheme="majorEastAsia"/>
          <w:b/>
          <w:sz w:val="32"/>
          <w:szCs w:val="32"/>
        </w:rPr>
        <w:t>采购代理机构：</w:t>
      </w:r>
      <w:r>
        <w:rPr>
          <w:rFonts w:hint="eastAsia" w:asciiTheme="majorEastAsia" w:hAnsiTheme="majorEastAsia" w:eastAsiaTheme="majorEastAsia" w:cstheme="majorEastAsia"/>
          <w:b/>
          <w:sz w:val="32"/>
          <w:szCs w:val="32"/>
          <w:lang w:eastAsia="zh-CN"/>
        </w:rPr>
        <w:t>浙江圣加工程管理咨询有限公司</w:t>
      </w:r>
    </w:p>
    <w:p>
      <w:pPr>
        <w:pStyle w:val="32"/>
        <w:snapToGrid w:val="0"/>
        <w:spacing w:before="120" w:after="120" w:line="240" w:lineRule="auto"/>
        <w:ind w:firstLine="613"/>
        <w:jc w:val="left"/>
        <w:rPr>
          <w:rFonts w:asciiTheme="majorEastAsia" w:hAnsiTheme="majorEastAsia" w:eastAsiaTheme="majorEastAsia" w:cstheme="majorEastAsia"/>
          <w:b/>
          <w:bCs/>
          <w:w w:val="95"/>
          <w:sz w:val="32"/>
          <w:szCs w:val="32"/>
        </w:rPr>
      </w:pPr>
    </w:p>
    <w:p>
      <w:pPr>
        <w:pStyle w:val="32"/>
        <w:spacing w:before="120" w:after="120" w:line="600" w:lineRule="exact"/>
        <w:ind w:firstLine="2442" w:firstLineChars="800"/>
        <w:rPr>
          <w:rFonts w:asciiTheme="majorEastAsia" w:hAnsiTheme="majorEastAsia" w:eastAsiaTheme="majorEastAsia" w:cstheme="majorEastAsia"/>
          <w:b/>
          <w:sz w:val="52"/>
          <w:szCs w:val="52"/>
          <w:lang w:val="en"/>
        </w:rPr>
      </w:pPr>
      <w:r>
        <w:rPr>
          <w:rFonts w:asciiTheme="majorEastAsia" w:hAnsiTheme="majorEastAsia" w:eastAsiaTheme="majorEastAsia" w:cstheme="majorEastAsia"/>
          <w:b/>
          <w:bCs/>
          <w:w w:val="95"/>
          <w:sz w:val="32"/>
          <w:szCs w:val="32"/>
          <w:lang w:val="en"/>
        </w:rPr>
        <w:t xml:space="preserve">          2022年7月</w:t>
      </w:r>
    </w:p>
    <w:p>
      <w:pPr>
        <w:pStyle w:val="32"/>
        <w:spacing w:before="240" w:beforeLines="100" w:after="240" w:afterLines="100" w:line="600" w:lineRule="exact"/>
        <w:jc w:val="center"/>
        <w:rPr>
          <w:rFonts w:asciiTheme="majorEastAsia" w:hAnsiTheme="majorEastAsia" w:eastAsiaTheme="majorEastAsia" w:cstheme="majorEastAsia"/>
          <w:b/>
          <w:sz w:val="52"/>
          <w:szCs w:val="52"/>
        </w:rPr>
      </w:pPr>
    </w:p>
    <w:p/>
    <w:p>
      <w:pPr>
        <w:pStyle w:val="9"/>
      </w:pPr>
    </w:p>
    <w:p>
      <w:pPr>
        <w:pStyle w:val="32"/>
        <w:spacing w:before="240" w:beforeLines="100" w:after="240" w:afterLines="100" w:line="600" w:lineRule="exact"/>
        <w:jc w:val="center"/>
        <w:rPr>
          <w:rFonts w:asciiTheme="majorEastAsia" w:hAnsiTheme="majorEastAsia" w:eastAsiaTheme="majorEastAsia" w:cstheme="majorEastAsia"/>
          <w:b/>
          <w:sz w:val="52"/>
          <w:szCs w:val="52"/>
        </w:rPr>
      </w:pPr>
    </w:p>
    <w:p>
      <w:pPr>
        <w:rPr>
          <w:rFonts w:asciiTheme="majorEastAsia" w:hAnsiTheme="majorEastAsia" w:eastAsiaTheme="majorEastAsia" w:cstheme="majorEastAsia"/>
          <w:b/>
          <w:sz w:val="52"/>
          <w:szCs w:val="52"/>
        </w:rPr>
      </w:pPr>
    </w:p>
    <w:p>
      <w:pPr>
        <w:pStyle w:val="9"/>
      </w:pPr>
    </w:p>
    <w:p>
      <w:pPr>
        <w:pStyle w:val="32"/>
        <w:spacing w:before="240" w:beforeLines="100" w:after="240" w:afterLines="100" w:line="600" w:lineRule="exact"/>
        <w:jc w:val="center"/>
        <w:rPr>
          <w:rFonts w:asciiTheme="majorEastAsia" w:hAnsiTheme="majorEastAsia" w:eastAsiaTheme="majorEastAsia" w:cstheme="majorEastAsia"/>
          <w:b/>
          <w:sz w:val="52"/>
          <w:szCs w:val="52"/>
        </w:rPr>
      </w:pPr>
      <w:r>
        <w:rPr>
          <w:rFonts w:hint="eastAsia" w:asciiTheme="majorEastAsia" w:hAnsiTheme="majorEastAsia" w:eastAsiaTheme="majorEastAsia" w:cstheme="majorEastAsia"/>
          <w:b/>
          <w:sz w:val="52"/>
          <w:szCs w:val="52"/>
        </w:rPr>
        <w:t>目    录</w:t>
      </w:r>
    </w:p>
    <w:p>
      <w:pPr>
        <w:pStyle w:val="32"/>
        <w:spacing w:before="240" w:beforeLines="100" w:after="240" w:afterLines="100" w:line="600" w:lineRule="exact"/>
        <w:jc w:val="center"/>
        <w:rPr>
          <w:rFonts w:hAnsi="宋体" w:cstheme="majorEastAsia"/>
          <w:b/>
          <w:sz w:val="28"/>
          <w:szCs w:val="28"/>
        </w:rPr>
      </w:pPr>
    </w:p>
    <w:p>
      <w:pPr>
        <w:pStyle w:val="39"/>
        <w:tabs>
          <w:tab w:val="right" w:leader="hyphen" w:pos="8255"/>
        </w:tabs>
        <w:spacing w:line="360" w:lineRule="auto"/>
        <w:rPr>
          <w:rFonts w:ascii="宋体" w:hAnsi="宋体"/>
          <w:sz w:val="28"/>
          <w:szCs w:val="28"/>
        </w:rPr>
      </w:pPr>
      <w:r>
        <w:rPr>
          <w:rFonts w:hint="eastAsia" w:ascii="宋体" w:hAnsi="宋体" w:cstheme="majorEastAsia"/>
          <w:b/>
          <w:sz w:val="28"/>
          <w:szCs w:val="28"/>
        </w:rPr>
        <w:fldChar w:fldCharType="begin"/>
      </w:r>
      <w:r>
        <w:rPr>
          <w:rFonts w:hint="eastAsia" w:ascii="宋体" w:hAnsi="宋体" w:cstheme="majorEastAsia"/>
          <w:b/>
          <w:sz w:val="28"/>
          <w:szCs w:val="28"/>
        </w:rPr>
        <w:instrText xml:space="preserve"> TOC \o "1-1" \h \z \u </w:instrText>
      </w:r>
      <w:r>
        <w:rPr>
          <w:rFonts w:hint="eastAsia" w:ascii="宋体" w:hAnsi="宋体" w:cstheme="majorEastAsia"/>
          <w:b/>
          <w:sz w:val="28"/>
          <w:szCs w:val="28"/>
        </w:rPr>
        <w:fldChar w:fldCharType="separate"/>
      </w:r>
      <w:r>
        <w:fldChar w:fldCharType="begin"/>
      </w:r>
      <w:r>
        <w:instrText xml:space="preserve"> HYPERLINK \l "_Toc329872701" </w:instrText>
      </w:r>
      <w:r>
        <w:fldChar w:fldCharType="separate"/>
      </w:r>
      <w:r>
        <w:rPr>
          <w:rFonts w:hint="eastAsia" w:ascii="宋体" w:hAnsi="宋体" w:cstheme="majorEastAsia"/>
          <w:sz w:val="28"/>
          <w:szCs w:val="28"/>
        </w:rPr>
        <w:t>第一章  公开招标采购公告</w:t>
      </w:r>
      <w:r>
        <w:rPr>
          <w:rFonts w:ascii="宋体" w:hAnsi="宋体"/>
          <w:sz w:val="28"/>
          <w:szCs w:val="28"/>
        </w:rPr>
        <w:tab/>
      </w:r>
      <w:r>
        <w:rPr>
          <w:rFonts w:ascii="宋体" w:hAnsi="宋体"/>
          <w:sz w:val="28"/>
          <w:szCs w:val="28"/>
        </w:rPr>
        <w:fldChar w:fldCharType="begin"/>
      </w:r>
      <w:r>
        <w:rPr>
          <w:rFonts w:ascii="宋体" w:hAnsi="宋体"/>
          <w:sz w:val="28"/>
          <w:szCs w:val="28"/>
        </w:rPr>
        <w:instrText xml:space="preserve"> PAGEREF _Toc329872701 </w:instrText>
      </w:r>
      <w:r>
        <w:rPr>
          <w:rFonts w:ascii="宋体" w:hAnsi="宋体"/>
          <w:sz w:val="28"/>
          <w:szCs w:val="28"/>
        </w:rPr>
        <w:fldChar w:fldCharType="separate"/>
      </w:r>
      <w:r>
        <w:rPr>
          <w:rFonts w:ascii="宋体" w:hAnsi="宋体"/>
          <w:sz w:val="28"/>
          <w:szCs w:val="28"/>
        </w:rPr>
        <w:t>4</w:t>
      </w:r>
      <w:r>
        <w:rPr>
          <w:rFonts w:ascii="宋体" w:hAnsi="宋体"/>
          <w:sz w:val="28"/>
          <w:szCs w:val="28"/>
        </w:rPr>
        <w:fldChar w:fldCharType="end"/>
      </w:r>
      <w:r>
        <w:rPr>
          <w:rFonts w:ascii="宋体" w:hAnsi="宋体"/>
          <w:sz w:val="28"/>
          <w:szCs w:val="28"/>
        </w:rPr>
        <w:fldChar w:fldCharType="end"/>
      </w:r>
    </w:p>
    <w:p>
      <w:pPr>
        <w:pStyle w:val="39"/>
        <w:tabs>
          <w:tab w:val="right" w:leader="hyphen" w:pos="8255"/>
        </w:tabs>
        <w:spacing w:line="360" w:lineRule="auto"/>
        <w:rPr>
          <w:rFonts w:ascii="宋体" w:hAnsi="宋体"/>
          <w:sz w:val="28"/>
          <w:szCs w:val="28"/>
        </w:rPr>
      </w:pPr>
      <w:r>
        <w:fldChar w:fldCharType="begin"/>
      </w:r>
      <w:r>
        <w:instrText xml:space="preserve"> HYPERLINK \l "_Toc324111835" </w:instrText>
      </w:r>
      <w:r>
        <w:fldChar w:fldCharType="separate"/>
      </w:r>
      <w:r>
        <w:rPr>
          <w:rFonts w:hint="eastAsia" w:ascii="宋体" w:hAnsi="宋体" w:cstheme="majorEastAsia"/>
          <w:sz w:val="28"/>
          <w:szCs w:val="28"/>
        </w:rPr>
        <w:t>第二章  招标需求</w:t>
      </w:r>
      <w:r>
        <w:rPr>
          <w:rFonts w:ascii="宋体" w:hAnsi="宋体"/>
          <w:sz w:val="28"/>
          <w:szCs w:val="28"/>
        </w:rPr>
        <w:tab/>
      </w:r>
      <w:r>
        <w:rPr>
          <w:rFonts w:ascii="宋体" w:hAnsi="宋体"/>
          <w:sz w:val="28"/>
          <w:szCs w:val="28"/>
        </w:rPr>
        <w:fldChar w:fldCharType="begin"/>
      </w:r>
      <w:r>
        <w:rPr>
          <w:rFonts w:ascii="宋体" w:hAnsi="宋体"/>
          <w:sz w:val="28"/>
          <w:szCs w:val="28"/>
        </w:rPr>
        <w:instrText xml:space="preserve"> PAGEREF _Toc324111835 </w:instrText>
      </w:r>
      <w:r>
        <w:rPr>
          <w:rFonts w:ascii="宋体" w:hAnsi="宋体"/>
          <w:sz w:val="28"/>
          <w:szCs w:val="28"/>
        </w:rPr>
        <w:fldChar w:fldCharType="separate"/>
      </w:r>
      <w:r>
        <w:rPr>
          <w:rFonts w:ascii="宋体" w:hAnsi="宋体"/>
          <w:sz w:val="28"/>
          <w:szCs w:val="28"/>
        </w:rPr>
        <w:t>10</w:t>
      </w:r>
      <w:r>
        <w:rPr>
          <w:rFonts w:ascii="宋体" w:hAnsi="宋体"/>
          <w:sz w:val="28"/>
          <w:szCs w:val="28"/>
        </w:rPr>
        <w:fldChar w:fldCharType="end"/>
      </w:r>
      <w:r>
        <w:rPr>
          <w:rFonts w:ascii="宋体" w:hAnsi="宋体"/>
          <w:sz w:val="28"/>
          <w:szCs w:val="28"/>
        </w:rPr>
        <w:fldChar w:fldCharType="end"/>
      </w:r>
    </w:p>
    <w:p>
      <w:pPr>
        <w:pStyle w:val="39"/>
        <w:tabs>
          <w:tab w:val="right" w:leader="hyphen" w:pos="8255"/>
        </w:tabs>
        <w:spacing w:line="360" w:lineRule="auto"/>
        <w:rPr>
          <w:rFonts w:ascii="宋体" w:hAnsi="宋体"/>
          <w:sz w:val="28"/>
          <w:szCs w:val="28"/>
        </w:rPr>
      </w:pPr>
      <w:r>
        <w:fldChar w:fldCharType="begin"/>
      </w:r>
      <w:r>
        <w:instrText xml:space="preserve"> HYPERLINK \l "_Toc2096040263" </w:instrText>
      </w:r>
      <w:r>
        <w:fldChar w:fldCharType="separate"/>
      </w:r>
      <w:r>
        <w:rPr>
          <w:rFonts w:hint="eastAsia" w:ascii="宋体" w:hAnsi="宋体" w:cstheme="majorEastAsia"/>
          <w:sz w:val="28"/>
          <w:szCs w:val="28"/>
        </w:rPr>
        <w:t>第三章  供应商须知</w:t>
      </w:r>
      <w:r>
        <w:rPr>
          <w:rFonts w:ascii="宋体" w:hAnsi="宋体"/>
          <w:sz w:val="28"/>
          <w:szCs w:val="28"/>
        </w:rPr>
        <w:tab/>
      </w:r>
      <w:r>
        <w:rPr>
          <w:rFonts w:ascii="宋体" w:hAnsi="宋体"/>
          <w:sz w:val="28"/>
          <w:szCs w:val="28"/>
        </w:rPr>
        <w:fldChar w:fldCharType="begin"/>
      </w:r>
      <w:r>
        <w:rPr>
          <w:rFonts w:ascii="宋体" w:hAnsi="宋体"/>
          <w:sz w:val="28"/>
          <w:szCs w:val="28"/>
        </w:rPr>
        <w:instrText xml:space="preserve"> PAGEREF _Toc2096040263 </w:instrText>
      </w:r>
      <w:r>
        <w:rPr>
          <w:rFonts w:ascii="宋体" w:hAnsi="宋体"/>
          <w:sz w:val="28"/>
          <w:szCs w:val="28"/>
        </w:rPr>
        <w:fldChar w:fldCharType="separate"/>
      </w:r>
      <w:r>
        <w:rPr>
          <w:rFonts w:ascii="宋体" w:hAnsi="宋体"/>
          <w:sz w:val="28"/>
          <w:szCs w:val="28"/>
        </w:rPr>
        <w:t>27</w:t>
      </w:r>
      <w:r>
        <w:rPr>
          <w:rFonts w:ascii="宋体" w:hAnsi="宋体"/>
          <w:sz w:val="28"/>
          <w:szCs w:val="28"/>
        </w:rPr>
        <w:fldChar w:fldCharType="end"/>
      </w:r>
      <w:r>
        <w:rPr>
          <w:rFonts w:ascii="宋体" w:hAnsi="宋体"/>
          <w:sz w:val="28"/>
          <w:szCs w:val="28"/>
        </w:rPr>
        <w:fldChar w:fldCharType="end"/>
      </w:r>
    </w:p>
    <w:p>
      <w:pPr>
        <w:pStyle w:val="39"/>
        <w:tabs>
          <w:tab w:val="right" w:leader="hyphen" w:pos="8255"/>
        </w:tabs>
        <w:spacing w:line="360" w:lineRule="auto"/>
        <w:rPr>
          <w:rFonts w:ascii="宋体" w:hAnsi="宋体"/>
          <w:sz w:val="28"/>
          <w:szCs w:val="28"/>
        </w:rPr>
      </w:pPr>
      <w:r>
        <w:fldChar w:fldCharType="begin"/>
      </w:r>
      <w:r>
        <w:instrText xml:space="preserve"> HYPERLINK \l "_Toc1779882599" </w:instrText>
      </w:r>
      <w:r>
        <w:fldChar w:fldCharType="separate"/>
      </w:r>
      <w:r>
        <w:rPr>
          <w:rFonts w:hint="eastAsia" w:ascii="宋体" w:hAnsi="宋体" w:cstheme="majorEastAsia"/>
          <w:sz w:val="28"/>
          <w:szCs w:val="28"/>
        </w:rPr>
        <w:t>第四章  评标办法及评分标准</w:t>
      </w:r>
      <w:r>
        <w:rPr>
          <w:rFonts w:ascii="宋体" w:hAnsi="宋体"/>
          <w:sz w:val="28"/>
          <w:szCs w:val="28"/>
        </w:rPr>
        <w:tab/>
      </w:r>
      <w:r>
        <w:rPr>
          <w:rFonts w:ascii="宋体" w:hAnsi="宋体"/>
          <w:sz w:val="28"/>
          <w:szCs w:val="28"/>
        </w:rPr>
        <w:fldChar w:fldCharType="begin"/>
      </w:r>
      <w:r>
        <w:rPr>
          <w:rFonts w:ascii="宋体" w:hAnsi="宋体"/>
          <w:sz w:val="28"/>
          <w:szCs w:val="28"/>
        </w:rPr>
        <w:instrText xml:space="preserve"> PAGEREF _Toc1779882599 </w:instrText>
      </w:r>
      <w:r>
        <w:rPr>
          <w:rFonts w:ascii="宋体" w:hAnsi="宋体"/>
          <w:sz w:val="28"/>
          <w:szCs w:val="28"/>
        </w:rPr>
        <w:fldChar w:fldCharType="separate"/>
      </w:r>
      <w:r>
        <w:rPr>
          <w:rFonts w:ascii="宋体" w:hAnsi="宋体"/>
          <w:sz w:val="28"/>
          <w:szCs w:val="28"/>
        </w:rPr>
        <w:t>48</w:t>
      </w:r>
      <w:r>
        <w:rPr>
          <w:rFonts w:ascii="宋体" w:hAnsi="宋体"/>
          <w:sz w:val="28"/>
          <w:szCs w:val="28"/>
        </w:rPr>
        <w:fldChar w:fldCharType="end"/>
      </w:r>
      <w:r>
        <w:rPr>
          <w:rFonts w:ascii="宋体" w:hAnsi="宋体"/>
          <w:sz w:val="28"/>
          <w:szCs w:val="28"/>
        </w:rPr>
        <w:fldChar w:fldCharType="end"/>
      </w:r>
    </w:p>
    <w:p>
      <w:pPr>
        <w:pStyle w:val="39"/>
        <w:tabs>
          <w:tab w:val="right" w:leader="hyphen" w:pos="8255"/>
        </w:tabs>
        <w:spacing w:line="360" w:lineRule="auto"/>
        <w:rPr>
          <w:rFonts w:ascii="宋体" w:hAnsi="宋体"/>
          <w:sz w:val="28"/>
          <w:szCs w:val="28"/>
        </w:rPr>
      </w:pPr>
      <w:r>
        <w:fldChar w:fldCharType="begin"/>
      </w:r>
      <w:r>
        <w:instrText xml:space="preserve"> HYPERLINK \l "_Toc352395914" </w:instrText>
      </w:r>
      <w:r>
        <w:fldChar w:fldCharType="separate"/>
      </w:r>
      <w:r>
        <w:rPr>
          <w:rFonts w:hint="eastAsia" w:ascii="宋体" w:hAnsi="宋体" w:cstheme="majorEastAsia"/>
          <w:sz w:val="28"/>
          <w:szCs w:val="28"/>
        </w:rPr>
        <w:t>第五章  嘉兴市政府采购合同（指引）</w:t>
      </w:r>
      <w:r>
        <w:rPr>
          <w:rFonts w:ascii="宋体" w:hAnsi="宋体"/>
          <w:sz w:val="28"/>
          <w:szCs w:val="28"/>
        </w:rPr>
        <w:tab/>
      </w:r>
      <w:r>
        <w:rPr>
          <w:rFonts w:ascii="宋体" w:hAnsi="宋体"/>
          <w:sz w:val="28"/>
          <w:szCs w:val="28"/>
        </w:rPr>
        <w:fldChar w:fldCharType="begin"/>
      </w:r>
      <w:r>
        <w:rPr>
          <w:rFonts w:ascii="宋体" w:hAnsi="宋体"/>
          <w:sz w:val="28"/>
          <w:szCs w:val="28"/>
        </w:rPr>
        <w:instrText xml:space="preserve"> PAGEREF _Toc352395914 </w:instrText>
      </w:r>
      <w:r>
        <w:rPr>
          <w:rFonts w:ascii="宋体" w:hAnsi="宋体"/>
          <w:sz w:val="28"/>
          <w:szCs w:val="28"/>
        </w:rPr>
        <w:fldChar w:fldCharType="separate"/>
      </w:r>
      <w:r>
        <w:rPr>
          <w:rFonts w:ascii="宋体" w:hAnsi="宋体"/>
          <w:sz w:val="28"/>
          <w:szCs w:val="28"/>
        </w:rPr>
        <w:t>52</w:t>
      </w:r>
      <w:r>
        <w:rPr>
          <w:rFonts w:ascii="宋体" w:hAnsi="宋体"/>
          <w:sz w:val="28"/>
          <w:szCs w:val="28"/>
        </w:rPr>
        <w:fldChar w:fldCharType="end"/>
      </w:r>
      <w:r>
        <w:rPr>
          <w:rFonts w:ascii="宋体" w:hAnsi="宋体"/>
          <w:sz w:val="28"/>
          <w:szCs w:val="28"/>
        </w:rPr>
        <w:fldChar w:fldCharType="end"/>
      </w:r>
    </w:p>
    <w:p>
      <w:pPr>
        <w:pStyle w:val="39"/>
        <w:tabs>
          <w:tab w:val="right" w:leader="hyphen" w:pos="8255"/>
        </w:tabs>
        <w:spacing w:line="360" w:lineRule="auto"/>
        <w:rPr>
          <w:rFonts w:ascii="宋体" w:hAnsi="宋体"/>
          <w:sz w:val="28"/>
          <w:szCs w:val="28"/>
        </w:rPr>
      </w:pPr>
      <w:r>
        <w:fldChar w:fldCharType="begin"/>
      </w:r>
      <w:r>
        <w:instrText xml:space="preserve"> HYPERLINK \l "_Toc1861790450" </w:instrText>
      </w:r>
      <w:r>
        <w:fldChar w:fldCharType="separate"/>
      </w:r>
      <w:r>
        <w:rPr>
          <w:rFonts w:hint="eastAsia" w:ascii="宋体" w:hAnsi="宋体" w:cstheme="majorEastAsia"/>
          <w:sz w:val="28"/>
          <w:szCs w:val="28"/>
        </w:rPr>
        <w:t>第六章  投标文件格式</w:t>
      </w:r>
      <w:r>
        <w:rPr>
          <w:rFonts w:ascii="宋体" w:hAnsi="宋体"/>
          <w:sz w:val="28"/>
          <w:szCs w:val="28"/>
        </w:rPr>
        <w:tab/>
      </w:r>
      <w:r>
        <w:rPr>
          <w:rFonts w:ascii="宋体" w:hAnsi="宋体"/>
          <w:sz w:val="28"/>
          <w:szCs w:val="28"/>
        </w:rPr>
        <w:fldChar w:fldCharType="begin"/>
      </w:r>
      <w:r>
        <w:rPr>
          <w:rFonts w:ascii="宋体" w:hAnsi="宋体"/>
          <w:sz w:val="28"/>
          <w:szCs w:val="28"/>
        </w:rPr>
        <w:instrText xml:space="preserve"> PAGEREF _Toc1861790450 </w:instrText>
      </w:r>
      <w:r>
        <w:rPr>
          <w:rFonts w:ascii="宋体" w:hAnsi="宋体"/>
          <w:sz w:val="28"/>
          <w:szCs w:val="28"/>
        </w:rPr>
        <w:fldChar w:fldCharType="separate"/>
      </w:r>
      <w:r>
        <w:rPr>
          <w:rFonts w:ascii="宋体" w:hAnsi="宋体"/>
          <w:sz w:val="28"/>
          <w:szCs w:val="28"/>
        </w:rPr>
        <w:t>59</w:t>
      </w:r>
      <w:r>
        <w:rPr>
          <w:rFonts w:ascii="宋体" w:hAnsi="宋体"/>
          <w:sz w:val="28"/>
          <w:szCs w:val="28"/>
        </w:rPr>
        <w:fldChar w:fldCharType="end"/>
      </w:r>
      <w:r>
        <w:rPr>
          <w:rFonts w:ascii="宋体" w:hAnsi="宋体"/>
          <w:sz w:val="28"/>
          <w:szCs w:val="28"/>
        </w:rPr>
        <w:fldChar w:fldCharType="end"/>
      </w:r>
    </w:p>
    <w:p>
      <w:pPr>
        <w:pStyle w:val="32"/>
        <w:spacing w:before="120" w:after="120" w:line="360" w:lineRule="auto"/>
        <w:jc w:val="center"/>
        <w:rPr>
          <w:rFonts w:asciiTheme="majorEastAsia" w:hAnsiTheme="majorEastAsia" w:eastAsiaTheme="majorEastAsia" w:cstheme="majorEastAsia"/>
          <w:b/>
          <w:bCs/>
          <w:w w:val="95"/>
          <w:sz w:val="30"/>
          <w:szCs w:val="30"/>
        </w:rPr>
      </w:pPr>
      <w:r>
        <w:rPr>
          <w:rFonts w:hint="eastAsia" w:hAnsi="宋体" w:cstheme="majorEastAsia"/>
          <w:sz w:val="28"/>
          <w:szCs w:val="28"/>
        </w:rPr>
        <w:fldChar w:fldCharType="end"/>
      </w:r>
      <w:r>
        <w:rPr>
          <w:rFonts w:hint="eastAsia" w:asciiTheme="majorEastAsia" w:hAnsiTheme="majorEastAsia" w:eastAsiaTheme="majorEastAsia" w:cstheme="majorEastAsia"/>
        </w:rPr>
        <w:br w:type="page"/>
      </w:r>
    </w:p>
    <w:p>
      <w:pPr>
        <w:pStyle w:val="6"/>
        <w:spacing w:line="480" w:lineRule="auto"/>
        <w:rPr>
          <w:rFonts w:asciiTheme="majorEastAsia" w:hAnsiTheme="majorEastAsia" w:eastAsiaTheme="majorEastAsia" w:cstheme="majorEastAsia"/>
        </w:rPr>
      </w:pPr>
      <w:bookmarkStart w:id="2" w:name="_Toc329872701"/>
      <w:r>
        <w:rPr>
          <w:rFonts w:hint="eastAsia" w:asciiTheme="majorEastAsia" w:hAnsiTheme="majorEastAsia" w:eastAsiaTheme="majorEastAsia" w:cstheme="majorEastAsia"/>
          <w:sz w:val="32"/>
        </w:rPr>
        <w:t>第一章  公开招标采购公告</w:t>
      </w:r>
      <w:bookmarkEnd w:id="2"/>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ajorEastAsia" w:hAnsiTheme="majorEastAsia" w:eastAsiaTheme="majorEastAsia" w:cstheme="majorEastAsia"/>
        </w:rPr>
      </w:pPr>
      <w:bookmarkStart w:id="3" w:name="_Toc439666950"/>
      <w:r>
        <w:rPr>
          <w:rFonts w:hint="eastAsia" w:asciiTheme="majorEastAsia" w:hAnsiTheme="majorEastAsia" w:eastAsiaTheme="majorEastAsia" w:cstheme="majorEastAsia"/>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u w:val="single"/>
          <w:lang w:eastAsia="zh-CN"/>
        </w:rPr>
        <w:t>高照街道办事处搬迁改建空调设备采购及安装工程</w:t>
      </w:r>
      <w:r>
        <w:rPr>
          <w:rFonts w:hint="eastAsia" w:asciiTheme="majorEastAsia" w:hAnsiTheme="majorEastAsia" w:eastAsiaTheme="majorEastAsia" w:cstheme="majorEastAsia"/>
        </w:rPr>
        <w:t>的潜在投标供应商应在</w:t>
      </w:r>
      <w:r>
        <w:rPr>
          <w:rFonts w:hint="eastAsia" w:asciiTheme="majorEastAsia" w:hAnsiTheme="majorEastAsia" w:eastAsiaTheme="majorEastAsia" w:cstheme="majorEastAsia"/>
          <w:u w:val="single"/>
        </w:rPr>
        <w:t>浙江政府采购</w:t>
      </w:r>
      <w:r>
        <w:rPr>
          <w:rFonts w:hint="eastAsia" w:asciiTheme="majorEastAsia" w:hAnsiTheme="majorEastAsia" w:eastAsiaTheme="majorEastAsia" w:cstheme="majorEastAsia"/>
          <w:color w:val="auto"/>
          <w:u w:val="single"/>
        </w:rPr>
        <w:t>网</w:t>
      </w:r>
      <w:r>
        <w:rPr>
          <w:rFonts w:hint="eastAsia" w:asciiTheme="majorEastAsia" w:hAnsiTheme="majorEastAsia" w:eastAsiaTheme="majorEastAsia" w:cstheme="majorEastAsia"/>
          <w:color w:val="auto"/>
        </w:rPr>
        <w:t>（</w:t>
      </w:r>
      <w:r>
        <w:rPr>
          <w:color w:val="auto"/>
        </w:rPr>
        <w:fldChar w:fldCharType="begin"/>
      </w:r>
      <w:r>
        <w:rPr>
          <w:color w:val="auto"/>
        </w:rPr>
        <w:instrText xml:space="preserve"> HYPERLINK "http://zfcg.czt.zj.gov.cn" </w:instrText>
      </w:r>
      <w:r>
        <w:rPr>
          <w:color w:val="auto"/>
        </w:rPr>
        <w:fldChar w:fldCharType="separate"/>
      </w:r>
      <w:r>
        <w:rPr>
          <w:rStyle w:val="63"/>
          <w:rFonts w:hint="eastAsia" w:asciiTheme="majorEastAsia" w:hAnsiTheme="majorEastAsia" w:eastAsiaTheme="majorEastAsia" w:cstheme="majorEastAsia"/>
          <w:color w:val="auto"/>
        </w:rPr>
        <w:t>http://zfcg.czt.zj.gov.cn</w:t>
      </w:r>
      <w:r>
        <w:rPr>
          <w:rStyle w:val="63"/>
          <w:rFonts w:hint="eastAsia" w:asciiTheme="majorEastAsia" w:hAnsiTheme="majorEastAsia" w:eastAsiaTheme="majorEastAsia" w:cstheme="majorEastAsia"/>
          <w:color w:val="auto"/>
        </w:rPr>
        <w:fldChar w:fldCharType="end"/>
      </w:r>
      <w:r>
        <w:rPr>
          <w:rFonts w:hint="eastAsia" w:asciiTheme="majorEastAsia" w:hAnsiTheme="majorEastAsia" w:eastAsiaTheme="majorEastAsia" w:cstheme="majorEastAsia"/>
          <w:color w:val="auto"/>
        </w:rPr>
        <w:t>）</w:t>
      </w:r>
      <w:r>
        <w:rPr>
          <w:rFonts w:hint="eastAsia" w:asciiTheme="majorEastAsia" w:hAnsiTheme="majorEastAsia" w:eastAsiaTheme="majorEastAsia" w:cstheme="majorEastAsia"/>
        </w:rPr>
        <w:t>获取招标文件，并于</w:t>
      </w:r>
      <w:r>
        <w:rPr>
          <w:rFonts w:asciiTheme="majorEastAsia" w:hAnsiTheme="majorEastAsia" w:eastAsiaTheme="majorEastAsia" w:cstheme="majorEastAsia"/>
          <w:u w:val="single"/>
          <w:lang w:val="en"/>
        </w:rPr>
        <w:t xml:space="preserve"> </w:t>
      </w:r>
      <w:r>
        <w:rPr>
          <w:rFonts w:asciiTheme="majorEastAsia" w:hAnsiTheme="majorEastAsia" w:eastAsiaTheme="majorEastAsia" w:cstheme="majorEastAsia"/>
          <w:highlight w:val="none"/>
          <w:u w:val="single"/>
          <w:lang w:val="en"/>
        </w:rPr>
        <w:t>2022年</w:t>
      </w:r>
      <w:r>
        <w:rPr>
          <w:rFonts w:hint="eastAsia" w:asciiTheme="majorEastAsia" w:hAnsiTheme="majorEastAsia" w:eastAsiaTheme="majorEastAsia" w:cstheme="majorEastAsia"/>
          <w:highlight w:val="none"/>
          <w:u w:val="single"/>
          <w:lang w:val="en-US" w:eastAsia="zh-CN"/>
        </w:rPr>
        <w:t xml:space="preserve"> 8 </w:t>
      </w:r>
      <w:r>
        <w:rPr>
          <w:rFonts w:asciiTheme="majorEastAsia" w:hAnsiTheme="majorEastAsia" w:eastAsiaTheme="majorEastAsia" w:cstheme="majorEastAsia"/>
          <w:highlight w:val="none"/>
          <w:u w:val="single"/>
          <w:lang w:val="en"/>
        </w:rPr>
        <w:t>月</w:t>
      </w:r>
      <w:r>
        <w:rPr>
          <w:rFonts w:hint="eastAsia" w:asciiTheme="majorEastAsia" w:hAnsiTheme="majorEastAsia" w:eastAsiaTheme="majorEastAsia" w:cstheme="majorEastAsia"/>
          <w:highlight w:val="none"/>
          <w:u w:val="single"/>
          <w:lang w:val="en-US" w:eastAsia="zh-CN"/>
        </w:rPr>
        <w:t xml:space="preserve">8 </w:t>
      </w:r>
      <w:r>
        <w:rPr>
          <w:rFonts w:asciiTheme="majorEastAsia" w:hAnsiTheme="majorEastAsia" w:eastAsiaTheme="majorEastAsia" w:cstheme="majorEastAsia"/>
          <w:highlight w:val="none"/>
          <w:u w:val="single"/>
          <w:lang w:val="en"/>
        </w:rPr>
        <w:t>日</w:t>
      </w:r>
      <w:r>
        <w:rPr>
          <w:rFonts w:hint="eastAsia" w:asciiTheme="majorEastAsia" w:hAnsiTheme="majorEastAsia" w:eastAsiaTheme="majorEastAsia" w:cstheme="majorEastAsia"/>
          <w:highlight w:val="none"/>
          <w:u w:val="single"/>
          <w:lang w:val="en-US" w:eastAsia="zh-CN"/>
        </w:rPr>
        <w:t xml:space="preserve">14：00 </w:t>
      </w:r>
      <w:r>
        <w:rPr>
          <w:rFonts w:hint="eastAsia" w:asciiTheme="majorEastAsia" w:hAnsiTheme="majorEastAsia" w:eastAsiaTheme="majorEastAsia" w:cstheme="majorEastAsia"/>
          <w:bCs/>
          <w:u w:val="single"/>
        </w:rPr>
        <w:t>（</w:t>
      </w:r>
      <w:r>
        <w:rPr>
          <w:rFonts w:hint="eastAsia" w:asciiTheme="majorEastAsia" w:hAnsiTheme="majorEastAsia" w:eastAsiaTheme="majorEastAsia" w:cstheme="majorEastAsia"/>
          <w:bCs/>
        </w:rPr>
        <w:t>北京时间）前递交投标文件</w:t>
      </w:r>
      <w:r>
        <w:rPr>
          <w:rFonts w:hint="eastAsia" w:asciiTheme="majorEastAsia" w:hAnsiTheme="majorEastAsia" w:eastAsiaTheme="majorEastAsia" w:cstheme="majorEastAsia"/>
        </w:rPr>
        <w:t>。</w:t>
      </w:r>
    </w:p>
    <w:p>
      <w:pPr>
        <w:pStyle w:val="7"/>
        <w:spacing w:after="140" w:line="440" w:lineRule="exac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一、项目基本情况</w:t>
      </w:r>
    </w:p>
    <w:p>
      <w:pPr>
        <w:spacing w:line="440" w:lineRule="exact"/>
        <w:rPr>
          <w:rFonts w:asciiTheme="majorEastAsia" w:hAnsiTheme="majorEastAsia" w:eastAsiaTheme="majorEastAsia" w:cstheme="majorEastAsia"/>
        </w:rPr>
      </w:pPr>
      <w:r>
        <w:rPr>
          <w:rFonts w:hint="eastAsia" w:asciiTheme="majorEastAsia" w:hAnsiTheme="majorEastAsia" w:eastAsiaTheme="majorEastAsia" w:cstheme="majorEastAsia"/>
        </w:rPr>
        <w:t>政府采购计划编号：</w:t>
      </w:r>
      <w:r>
        <w:rPr>
          <w:rFonts w:hint="eastAsia" w:asciiTheme="majorEastAsia" w:hAnsiTheme="majorEastAsia" w:eastAsiaTheme="majorEastAsia" w:cstheme="majorEastAsia"/>
          <w:highlight w:val="none"/>
          <w:lang w:eastAsia="zh-CN"/>
        </w:rPr>
        <w:t>临[2022]1520号</w:t>
      </w:r>
      <w:r>
        <w:rPr>
          <w:rFonts w:hint="eastAsia" w:asciiTheme="majorEastAsia" w:hAnsiTheme="majorEastAsia" w:eastAsiaTheme="majorEastAsia" w:cstheme="majorEastAsia"/>
        </w:rPr>
        <w:t xml:space="preserve"> </w:t>
      </w:r>
    </w:p>
    <w:p>
      <w:pPr>
        <w:spacing w:line="440" w:lineRule="exact"/>
        <w:rPr>
          <w:rFonts w:hint="eastAsia" w:asciiTheme="majorEastAsia" w:hAnsiTheme="majorEastAsia" w:eastAsiaTheme="majorEastAsia" w:cstheme="majorEastAsia"/>
          <w:lang w:eastAsia="zh-CN"/>
        </w:rPr>
      </w:pPr>
      <w:r>
        <w:rPr>
          <w:rFonts w:hint="eastAsia" w:asciiTheme="majorEastAsia" w:hAnsiTheme="majorEastAsia" w:eastAsiaTheme="majorEastAsia" w:cstheme="majorEastAsia"/>
        </w:rPr>
        <w:t>项目编号：</w:t>
      </w:r>
      <w:r>
        <w:rPr>
          <w:rFonts w:hint="eastAsia" w:asciiTheme="majorEastAsia" w:hAnsiTheme="majorEastAsia" w:eastAsiaTheme="majorEastAsia" w:cstheme="majorEastAsia"/>
          <w:lang w:eastAsia="zh-CN"/>
        </w:rPr>
        <w:t>圣加[ZJSJ-2022-JX2-30]</w:t>
      </w:r>
    </w:p>
    <w:p>
      <w:pPr>
        <w:spacing w:line="440" w:lineRule="exact"/>
        <w:rPr>
          <w:rFonts w:hint="eastAsia" w:asciiTheme="majorEastAsia" w:hAnsiTheme="majorEastAsia" w:eastAsiaTheme="majorEastAsia" w:cstheme="majorEastAsia"/>
          <w:lang w:eastAsia="zh-CN"/>
        </w:rPr>
      </w:pPr>
      <w:r>
        <w:rPr>
          <w:rFonts w:hint="eastAsia" w:asciiTheme="majorEastAsia" w:hAnsiTheme="majorEastAsia" w:eastAsiaTheme="majorEastAsia" w:cstheme="majorEastAsia"/>
        </w:rPr>
        <w:t>项目名称：</w:t>
      </w:r>
      <w:r>
        <w:rPr>
          <w:rFonts w:hint="eastAsia" w:asciiTheme="majorEastAsia" w:hAnsiTheme="majorEastAsia" w:eastAsiaTheme="majorEastAsia" w:cstheme="majorEastAsia"/>
          <w:lang w:eastAsia="zh-CN"/>
        </w:rPr>
        <w:t>高照街道办事处搬迁改建空调设备采购及安装工程</w:t>
      </w:r>
    </w:p>
    <w:p>
      <w:pPr>
        <w:spacing w:line="440" w:lineRule="exact"/>
        <w:rPr>
          <w:rFonts w:asciiTheme="majorEastAsia" w:hAnsiTheme="majorEastAsia" w:eastAsiaTheme="majorEastAsia" w:cstheme="majorEastAsia"/>
          <w:highlight w:val="none"/>
        </w:rPr>
      </w:pPr>
      <w:r>
        <w:rPr>
          <w:rFonts w:hint="eastAsia" w:asciiTheme="majorEastAsia" w:hAnsiTheme="majorEastAsia" w:eastAsiaTheme="majorEastAsia" w:cstheme="majorEastAsia"/>
        </w:rPr>
        <w:t>预算金额：</w:t>
      </w:r>
      <w:r>
        <w:rPr>
          <w:rFonts w:hint="eastAsia" w:asciiTheme="majorEastAsia" w:hAnsiTheme="majorEastAsia" w:eastAsiaTheme="majorEastAsia" w:cstheme="majorEastAsia"/>
          <w:highlight w:val="none"/>
        </w:rPr>
        <w:t>人民币</w:t>
      </w:r>
      <w:r>
        <w:rPr>
          <w:rFonts w:hint="eastAsia" w:asciiTheme="majorEastAsia" w:hAnsiTheme="majorEastAsia" w:eastAsiaTheme="majorEastAsia" w:cstheme="majorEastAsia"/>
          <w:highlight w:val="none"/>
          <w:lang w:val="en-US" w:eastAsia="zh-CN"/>
        </w:rPr>
        <w:t>175</w:t>
      </w:r>
      <w:r>
        <w:rPr>
          <w:rFonts w:hint="eastAsia" w:asciiTheme="majorEastAsia" w:hAnsiTheme="majorEastAsia" w:eastAsiaTheme="majorEastAsia" w:cstheme="majorEastAsia"/>
          <w:highlight w:val="none"/>
        </w:rPr>
        <w:t>万元</w:t>
      </w:r>
    </w:p>
    <w:p>
      <w:pPr>
        <w:spacing w:line="440" w:lineRule="exact"/>
        <w:rPr>
          <w:rFonts w:asciiTheme="majorEastAsia" w:hAnsiTheme="majorEastAsia" w:eastAsiaTheme="majorEastAsia" w:cstheme="majorEastAsia"/>
          <w:highlight w:val="none"/>
        </w:rPr>
      </w:pPr>
      <w:r>
        <w:rPr>
          <w:rFonts w:hint="eastAsia" w:asciiTheme="majorEastAsia" w:hAnsiTheme="majorEastAsia" w:eastAsiaTheme="majorEastAsia" w:cstheme="majorEastAsia"/>
          <w:highlight w:val="none"/>
        </w:rPr>
        <w:t>最高限价：人民币</w:t>
      </w:r>
      <w:r>
        <w:rPr>
          <w:rFonts w:hint="eastAsia" w:asciiTheme="majorEastAsia" w:hAnsiTheme="majorEastAsia" w:eastAsiaTheme="majorEastAsia" w:cstheme="majorEastAsia"/>
          <w:highlight w:val="none"/>
          <w:lang w:val="en-US" w:eastAsia="zh-CN"/>
        </w:rPr>
        <w:t>175</w:t>
      </w:r>
      <w:r>
        <w:rPr>
          <w:rFonts w:hint="eastAsia" w:asciiTheme="majorEastAsia" w:hAnsiTheme="majorEastAsia" w:eastAsiaTheme="majorEastAsia" w:cstheme="majorEastAsia"/>
          <w:highlight w:val="none"/>
        </w:rPr>
        <w:t>万元</w:t>
      </w:r>
    </w:p>
    <w:p>
      <w:pPr>
        <w:spacing w:line="440" w:lineRule="exact"/>
        <w:rPr>
          <w:rFonts w:asciiTheme="majorEastAsia" w:hAnsiTheme="majorEastAsia" w:eastAsiaTheme="majorEastAsia" w:cstheme="majorEastAsia"/>
        </w:rPr>
      </w:pPr>
      <w:r>
        <w:rPr>
          <w:rFonts w:hint="eastAsia" w:asciiTheme="majorEastAsia" w:hAnsiTheme="majorEastAsia" w:eastAsiaTheme="majorEastAsia" w:cstheme="majorEastAsia"/>
        </w:rPr>
        <w:t>采购需求：高照街道办事处搬迁改建所需可变冷媒流量全直流变频多联式空调系统设备的采购、安装、调试及售后服务等，</w:t>
      </w:r>
      <w:r>
        <w:rPr>
          <w:rFonts w:ascii="宋体" w:hAnsi="宋体"/>
        </w:rPr>
        <w:t>具体需求见采购内容</w:t>
      </w:r>
      <w:r>
        <w:rPr>
          <w:rFonts w:hint="eastAsia" w:asciiTheme="majorEastAsia" w:hAnsiTheme="majorEastAsia" w:eastAsiaTheme="majorEastAsia" w:cstheme="majorEastAsia"/>
        </w:rPr>
        <w:t xml:space="preserve">，具体需求见第二章招标需求。 </w:t>
      </w:r>
    </w:p>
    <w:p>
      <w:pPr>
        <w:spacing w:line="440" w:lineRule="exact"/>
        <w:rPr>
          <w:rFonts w:asciiTheme="majorEastAsia" w:hAnsiTheme="majorEastAsia" w:eastAsiaTheme="majorEastAsia" w:cstheme="majorEastAsia"/>
          <w:highlight w:val="none"/>
        </w:rPr>
      </w:pPr>
      <w:r>
        <w:rPr>
          <w:rFonts w:hint="eastAsia" w:asciiTheme="majorEastAsia" w:hAnsiTheme="majorEastAsia" w:eastAsiaTheme="majorEastAsia" w:cstheme="majorEastAsia"/>
        </w:rPr>
        <w:t>合同履行期限：</w:t>
      </w:r>
      <w:r>
        <w:rPr>
          <w:rFonts w:hint="eastAsia" w:asciiTheme="majorEastAsia" w:hAnsiTheme="majorEastAsia" w:eastAsiaTheme="majorEastAsia" w:cstheme="majorEastAsia"/>
          <w:highlight w:val="none"/>
        </w:rPr>
        <w:t>合同签订之日起至质保期结束。</w:t>
      </w:r>
    </w:p>
    <w:p>
      <w:pPr>
        <w:spacing w:line="440" w:lineRule="exact"/>
        <w:rPr>
          <w:rFonts w:asciiTheme="majorEastAsia" w:hAnsiTheme="majorEastAsia" w:eastAsiaTheme="majorEastAsia" w:cstheme="majorEastAsia"/>
        </w:rPr>
      </w:pPr>
      <w:bookmarkStart w:id="4" w:name="_Toc28359080"/>
      <w:bookmarkStart w:id="5" w:name="_Toc28359003"/>
      <w:bookmarkStart w:id="6" w:name="_Toc35393791"/>
      <w:bookmarkStart w:id="7" w:name="_Toc35393622"/>
      <w:r>
        <w:rPr>
          <w:rFonts w:hint="eastAsia" w:asciiTheme="majorEastAsia" w:hAnsiTheme="majorEastAsia" w:eastAsiaTheme="majorEastAsia" w:cstheme="majorEastAsia"/>
        </w:rPr>
        <w:t>本项目接受联合体投标：</w:t>
      </w:r>
      <w:r>
        <w:rPr>
          <w:rFonts w:hint="eastAsia" w:asciiTheme="majorEastAsia" w:hAnsiTheme="majorEastAsia" w:eastAsiaTheme="majorEastAsia" w:cstheme="majorEastAsia"/>
        </w:rPr>
        <w:sym w:font="Wingdings" w:char="00A8"/>
      </w:r>
      <w:r>
        <w:rPr>
          <w:rFonts w:hint="eastAsia" w:asciiTheme="majorEastAsia" w:hAnsiTheme="majorEastAsia" w:eastAsiaTheme="majorEastAsia" w:cstheme="majorEastAsia"/>
        </w:rPr>
        <w:t xml:space="preserve"> 是，</w:t>
      </w:r>
      <w:r>
        <w:rPr>
          <w:rFonts w:hint="eastAsia" w:asciiTheme="majorEastAsia" w:hAnsiTheme="majorEastAsia" w:eastAsiaTheme="majorEastAsia" w:cstheme="majorEastAsia"/>
        </w:rPr>
        <w:sym w:font="Wingdings" w:char="00FE"/>
      </w:r>
      <w:r>
        <w:rPr>
          <w:rFonts w:hint="eastAsia" w:asciiTheme="majorEastAsia" w:hAnsiTheme="majorEastAsia" w:eastAsiaTheme="majorEastAsia" w:cstheme="majorEastAsia"/>
        </w:rPr>
        <w:t>否。</w:t>
      </w:r>
    </w:p>
    <w:p>
      <w:pPr>
        <w:pStyle w:val="7"/>
        <w:spacing w:after="140" w:line="440" w:lineRule="exac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二、申请人的资格要求：</w:t>
      </w:r>
      <w:bookmarkEnd w:id="4"/>
      <w:bookmarkEnd w:id="5"/>
      <w:bookmarkEnd w:id="6"/>
      <w:bookmarkEnd w:id="7"/>
    </w:p>
    <w:p>
      <w:pPr>
        <w:spacing w:line="440" w:lineRule="exact"/>
        <w:ind w:firstLine="480" w:firstLineChars="200"/>
        <w:rPr>
          <w:rFonts w:asciiTheme="majorEastAsia" w:hAnsiTheme="majorEastAsia" w:eastAsiaTheme="majorEastAsia" w:cstheme="majorEastAsia"/>
        </w:rPr>
      </w:pPr>
      <w:bookmarkStart w:id="8" w:name="_Toc35393792"/>
      <w:bookmarkStart w:id="9" w:name="_Toc35393623"/>
      <w:bookmarkStart w:id="10" w:name="_Toc28359081"/>
      <w:bookmarkStart w:id="11" w:name="_Toc28359004"/>
      <w:r>
        <w:rPr>
          <w:rFonts w:hint="eastAsia" w:asciiTheme="majorEastAsia" w:hAnsiTheme="majorEastAsia" w:eastAsiaTheme="majorEastAsia" w:cstheme="majorEastAsia"/>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2.落实政府采购支持中小企业政策需满足的资格要求：</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 xml:space="preserve">2.1 </w:t>
      </w:r>
      <w:r>
        <w:rPr>
          <w:rFonts w:hint="eastAsia" w:asciiTheme="majorEastAsia" w:hAnsiTheme="majorEastAsia" w:eastAsiaTheme="majorEastAsia" w:cstheme="majorEastAsia"/>
        </w:rPr>
        <w:sym w:font="Wingdings" w:char="00FE"/>
      </w:r>
      <w:r>
        <w:rPr>
          <w:rFonts w:hint="eastAsia" w:asciiTheme="majorEastAsia" w:hAnsiTheme="majorEastAsia" w:eastAsiaTheme="majorEastAsia" w:cstheme="majorEastAsia"/>
        </w:rPr>
        <w:t>无需落实；</w:t>
      </w:r>
    </w:p>
    <w:p>
      <w:pPr>
        <w:spacing w:line="440" w:lineRule="exact"/>
        <w:ind w:firstLine="480" w:firstLineChars="200"/>
        <w:rPr>
          <w:rFonts w:asciiTheme="majorEastAsia" w:hAnsiTheme="majorEastAsia" w:eastAsiaTheme="majorEastAsia" w:cstheme="majorEastAsia"/>
          <w:kern w:val="0"/>
        </w:rPr>
      </w:pPr>
      <w:r>
        <w:rPr>
          <w:rFonts w:hint="eastAsia" w:asciiTheme="majorEastAsia" w:hAnsiTheme="majorEastAsia" w:eastAsiaTheme="majorEastAsia" w:cstheme="majorEastAsia"/>
        </w:rPr>
        <w:t>2.2</w:t>
      </w:r>
      <w:r>
        <w:rPr>
          <w:rFonts w:hint="eastAsia" w:asciiTheme="majorEastAsia" w:hAnsiTheme="majorEastAsia" w:eastAsiaTheme="majorEastAsia" w:cstheme="majorEastAsia"/>
          <w:kern w:val="0"/>
        </w:rPr>
        <w:t xml:space="preserve"> </w:t>
      </w:r>
      <w:r>
        <w:rPr>
          <w:rFonts w:hint="eastAsia" w:asciiTheme="majorEastAsia" w:hAnsiTheme="majorEastAsia" w:eastAsiaTheme="majorEastAsia" w:cstheme="majorEastAsia"/>
        </w:rPr>
        <w:sym w:font="Wingdings" w:char="00A8"/>
      </w:r>
      <w:r>
        <w:rPr>
          <w:rFonts w:hint="eastAsia" w:asciiTheme="majorEastAsia" w:hAnsiTheme="majorEastAsia" w:eastAsiaTheme="majorEastAsia" w:cstheme="majorEastAsia"/>
        </w:rPr>
        <w:t>需要落实：</w:t>
      </w:r>
    </w:p>
    <w:p>
      <w:pPr>
        <w:spacing w:line="440" w:lineRule="exact"/>
        <w:ind w:firstLine="720" w:firstLineChars="300"/>
        <w:rPr>
          <w:rFonts w:asciiTheme="majorEastAsia" w:hAnsiTheme="majorEastAsia" w:eastAsiaTheme="majorEastAsia" w:cstheme="majorEastAsia"/>
        </w:rPr>
      </w:pPr>
      <w:r>
        <w:rPr>
          <w:rFonts w:hint="eastAsia" w:asciiTheme="majorEastAsia" w:hAnsiTheme="majorEastAsia" w:eastAsiaTheme="majorEastAsia" w:cstheme="majorEastAsia"/>
        </w:rPr>
        <w:t>2.2.1专门面向中小企业</w:t>
      </w:r>
    </w:p>
    <w:p>
      <w:pPr>
        <w:spacing w:line="440" w:lineRule="exact"/>
        <w:ind w:firstLine="960" w:firstLineChars="400"/>
        <w:rPr>
          <w:rFonts w:asciiTheme="majorEastAsia" w:hAnsiTheme="majorEastAsia" w:eastAsiaTheme="majorEastAsia" w:cstheme="majorEastAsia"/>
        </w:rPr>
      </w:pPr>
      <w:r>
        <w:rPr>
          <w:rFonts w:hint="eastAsia" w:asciiTheme="majorEastAsia" w:hAnsiTheme="majorEastAsia" w:eastAsiaTheme="majorEastAsia" w:cstheme="majorEastAsia"/>
          <w:kern w:val="0"/>
        </w:rPr>
        <w:sym w:font="Wingdings" w:char="00A8"/>
      </w:r>
      <w:r>
        <w:rPr>
          <w:rFonts w:hint="eastAsia" w:asciiTheme="majorEastAsia" w:hAnsiTheme="majorEastAsia" w:eastAsiaTheme="majorEastAsia" w:cstheme="majorEastAsia"/>
        </w:rPr>
        <w:t>货物全部由符合政策要求的中小企业制造，提供中小企业声明函；</w:t>
      </w:r>
    </w:p>
    <w:p>
      <w:pPr>
        <w:spacing w:line="440" w:lineRule="exact"/>
        <w:ind w:firstLine="960" w:firstLineChars="400"/>
        <w:rPr>
          <w:rFonts w:asciiTheme="majorEastAsia" w:hAnsiTheme="majorEastAsia" w:eastAsiaTheme="majorEastAsia" w:cstheme="majorEastAsia"/>
        </w:rPr>
      </w:pPr>
      <w:r>
        <w:rPr>
          <w:rFonts w:hint="eastAsia" w:asciiTheme="majorEastAsia" w:hAnsiTheme="majorEastAsia" w:eastAsiaTheme="majorEastAsia" w:cstheme="majorEastAsia"/>
          <w:kern w:val="0"/>
        </w:rPr>
        <w:sym w:font="Wingdings" w:char="00A8"/>
      </w:r>
      <w:r>
        <w:rPr>
          <w:rFonts w:hint="eastAsia" w:asciiTheme="majorEastAsia" w:hAnsiTheme="majorEastAsia" w:eastAsiaTheme="majorEastAsia" w:cstheme="majorEastAsia"/>
          <w:kern w:val="0"/>
        </w:rPr>
        <w:t xml:space="preserve"> </w:t>
      </w:r>
      <w:r>
        <w:rPr>
          <w:rFonts w:hint="eastAsia" w:asciiTheme="majorEastAsia" w:hAnsiTheme="majorEastAsia" w:eastAsiaTheme="majorEastAsia" w:cstheme="majorEastAsia"/>
        </w:rPr>
        <w:t>货物全部由符合政策要求的小微企业制造，提供中小企业声明函；</w:t>
      </w:r>
    </w:p>
    <w:p>
      <w:pPr>
        <w:spacing w:line="440" w:lineRule="exact"/>
        <w:ind w:firstLine="960" w:firstLineChars="400"/>
        <w:rPr>
          <w:rFonts w:asciiTheme="majorEastAsia" w:hAnsiTheme="majorEastAsia" w:eastAsiaTheme="majorEastAsia" w:cstheme="majorEastAsia"/>
        </w:rPr>
      </w:pPr>
      <w:r>
        <w:rPr>
          <w:rFonts w:hint="eastAsia" w:asciiTheme="majorEastAsia" w:hAnsiTheme="majorEastAsia" w:eastAsiaTheme="majorEastAsia" w:cstheme="majorEastAsia"/>
          <w:kern w:val="0"/>
        </w:rPr>
        <w:sym w:font="Wingdings" w:char="00A8"/>
      </w:r>
      <w:r>
        <w:rPr>
          <w:rFonts w:hint="eastAsia" w:asciiTheme="majorEastAsia" w:hAnsiTheme="majorEastAsia" w:eastAsiaTheme="majorEastAsia" w:cstheme="majorEastAsia"/>
          <w:kern w:val="0"/>
        </w:rPr>
        <w:t xml:space="preserve"> </w:t>
      </w:r>
      <w:r>
        <w:rPr>
          <w:rFonts w:hint="eastAsia" w:asciiTheme="majorEastAsia" w:hAnsiTheme="majorEastAsia" w:eastAsiaTheme="majorEastAsia" w:cstheme="majorEastAsia"/>
        </w:rPr>
        <w:t>服务全部由符合政策要求的中小企业承接，提供中小企业声明函；</w:t>
      </w:r>
    </w:p>
    <w:p>
      <w:pPr>
        <w:tabs>
          <w:tab w:val="left" w:pos="470"/>
        </w:tabs>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kern w:val="0"/>
        </w:rPr>
        <w:tab/>
      </w:r>
      <w:r>
        <w:rPr>
          <w:rFonts w:hint="eastAsia" w:asciiTheme="majorEastAsia" w:hAnsiTheme="majorEastAsia" w:eastAsiaTheme="majorEastAsia" w:cstheme="majorEastAsia"/>
          <w:kern w:val="0"/>
        </w:rPr>
        <w:t xml:space="preserve"> </w:t>
      </w:r>
      <w:r>
        <w:rPr>
          <w:rFonts w:hint="eastAsia" w:asciiTheme="majorEastAsia" w:hAnsiTheme="majorEastAsia" w:eastAsiaTheme="majorEastAsia" w:cstheme="majorEastAsia"/>
          <w:kern w:val="0"/>
        </w:rPr>
        <w:sym w:font="Wingdings" w:char="00A8"/>
      </w:r>
      <w:r>
        <w:rPr>
          <w:rFonts w:hint="eastAsia" w:asciiTheme="majorEastAsia" w:hAnsiTheme="majorEastAsia" w:eastAsiaTheme="majorEastAsia" w:cstheme="majorEastAsia"/>
          <w:kern w:val="0"/>
        </w:rPr>
        <w:t xml:space="preserve"> </w:t>
      </w:r>
      <w:r>
        <w:rPr>
          <w:rFonts w:hint="eastAsia" w:asciiTheme="majorEastAsia" w:hAnsiTheme="majorEastAsia" w:eastAsiaTheme="majorEastAsia" w:cstheme="majorEastAsia"/>
        </w:rPr>
        <w:t>服务全部由符合政策要求的小微企业承接，提供中小企业声明函；</w:t>
      </w:r>
    </w:p>
    <w:p>
      <w:pPr>
        <w:spacing w:line="440" w:lineRule="exact"/>
        <w:ind w:firstLine="720" w:firstLineChars="300"/>
        <w:rPr>
          <w:rFonts w:asciiTheme="majorEastAsia" w:hAnsiTheme="majorEastAsia" w:eastAsiaTheme="majorEastAsia" w:cstheme="majorEastAsia"/>
        </w:rPr>
      </w:pPr>
      <w:r>
        <w:rPr>
          <w:rFonts w:hint="eastAsia" w:asciiTheme="majorEastAsia" w:hAnsiTheme="majorEastAsia" w:eastAsiaTheme="majorEastAsia" w:cstheme="majorEastAsia"/>
        </w:rPr>
        <w:t>2.2.2</w:t>
      </w:r>
      <w:r>
        <w:rPr>
          <w:rFonts w:hint="eastAsia" w:asciiTheme="majorEastAsia" w:hAnsiTheme="majorEastAsia" w:eastAsiaTheme="majorEastAsia" w:cstheme="majorEastAsia"/>
          <w:kern w:val="0"/>
        </w:rPr>
        <w:sym w:font="Wingdings" w:char="00A8"/>
      </w:r>
      <w:r>
        <w:rPr>
          <w:rFonts w:hint="eastAsia" w:asciiTheme="majorEastAsia" w:hAnsiTheme="majorEastAsia" w:eastAsiaTheme="majorEastAsia" w:cstheme="majorEastAsia"/>
          <w:kern w:val="0"/>
        </w:rPr>
        <w:t xml:space="preserve"> </w:t>
      </w:r>
      <w:r>
        <w:rPr>
          <w:rFonts w:hint="eastAsia" w:asciiTheme="majorEastAsia" w:hAnsiTheme="majorEastAsia" w:eastAsiaTheme="majorEastAsia" w:cstheme="majorEastAsia"/>
        </w:rPr>
        <w:t>要求以联合体形式参加，提供联合协议和中小企业声明函，联合协议中中小企业合同金额应当达到</w:t>
      </w:r>
      <w:r>
        <w:rPr>
          <w:rFonts w:hint="eastAsia" w:asciiTheme="majorEastAsia" w:hAnsiTheme="majorEastAsia" w:eastAsiaTheme="majorEastAsia" w:cstheme="majorEastAsia"/>
          <w:u w:val="single"/>
        </w:rPr>
        <w:t xml:space="preserve">   </w:t>
      </w:r>
      <w:r>
        <w:rPr>
          <w:rFonts w:hint="eastAsia" w:asciiTheme="majorEastAsia" w:hAnsiTheme="majorEastAsia" w:eastAsiaTheme="majorEastAsia" w:cstheme="majorEastAsia"/>
        </w:rPr>
        <w:t>%，其中小微企业合同金额应当达到</w:t>
      </w:r>
      <w:r>
        <w:rPr>
          <w:rFonts w:hint="eastAsia" w:asciiTheme="majorEastAsia" w:hAnsiTheme="majorEastAsia" w:eastAsiaTheme="majorEastAsia" w:cstheme="majorEastAsia"/>
          <w:u w:val="single"/>
        </w:rPr>
        <w:t xml:space="preserve">  </w:t>
      </w:r>
      <w:r>
        <w:rPr>
          <w:rFonts w:hint="eastAsia" w:asciiTheme="majorEastAsia" w:hAnsiTheme="majorEastAsia" w:eastAsiaTheme="majorEastAsia" w:cstheme="majorEastAsia"/>
        </w:rPr>
        <w:t>%;如果供应商本身提供所有标的均由中小企业制造、承建或承接，视同符合了资格条件，无需再与其他中小企业组成联合体参加政府采购活动，无需提供联合协议；</w:t>
      </w:r>
    </w:p>
    <w:p>
      <w:pPr>
        <w:spacing w:line="440" w:lineRule="exact"/>
        <w:ind w:firstLine="720" w:firstLineChars="300"/>
        <w:rPr>
          <w:rFonts w:asciiTheme="majorEastAsia" w:hAnsiTheme="majorEastAsia" w:eastAsiaTheme="majorEastAsia" w:cstheme="majorEastAsia"/>
        </w:rPr>
      </w:pPr>
      <w:r>
        <w:rPr>
          <w:rFonts w:hint="eastAsia" w:asciiTheme="majorEastAsia" w:hAnsiTheme="majorEastAsia" w:eastAsiaTheme="majorEastAsia" w:cstheme="majorEastAsia"/>
        </w:rPr>
        <w:t>2.2.3</w:t>
      </w:r>
      <w:r>
        <w:rPr>
          <w:rFonts w:hint="eastAsia" w:asciiTheme="majorEastAsia" w:hAnsiTheme="majorEastAsia" w:eastAsiaTheme="majorEastAsia" w:cstheme="majorEastAsia"/>
        </w:rPr>
        <w:sym w:font="Wingdings" w:char="00A8"/>
      </w:r>
      <w:r>
        <w:rPr>
          <w:rFonts w:hint="eastAsia" w:asciiTheme="majorEastAsia" w:hAnsiTheme="majorEastAsia" w:eastAsiaTheme="majorEastAsia" w:cstheme="majorEastAsia"/>
        </w:rPr>
        <w:t>要求合同分包，提供分包意向协议和中小企业声明函，分包意向协议中中小企业合同金额应当达到</w:t>
      </w:r>
      <w:r>
        <w:rPr>
          <w:rFonts w:hint="eastAsia" w:asciiTheme="majorEastAsia" w:hAnsiTheme="majorEastAsia" w:eastAsiaTheme="majorEastAsia" w:cstheme="majorEastAsia"/>
          <w:u w:val="single"/>
        </w:rPr>
        <w:t xml:space="preserve">  </w:t>
      </w:r>
      <w:r>
        <w:rPr>
          <w:rFonts w:hint="eastAsia" w:asciiTheme="majorEastAsia" w:hAnsiTheme="majorEastAsia" w:eastAsiaTheme="majorEastAsia" w:cstheme="majorEastAsia"/>
        </w:rPr>
        <w:t>% ，其中小微企业合同金额应当达到</w:t>
      </w:r>
      <w:r>
        <w:rPr>
          <w:rFonts w:hint="eastAsia" w:asciiTheme="majorEastAsia" w:hAnsiTheme="majorEastAsia" w:eastAsiaTheme="majorEastAsia" w:cstheme="majorEastAsia"/>
          <w:u w:val="single"/>
        </w:rPr>
        <w:t xml:space="preserve">  </w:t>
      </w:r>
      <w:r>
        <w:rPr>
          <w:rFonts w:hint="eastAsia" w:asciiTheme="majorEastAsia" w:hAnsiTheme="majorEastAsia" w:eastAsiaTheme="majorEastAsia" w:cstheme="majorEastAsia"/>
        </w:rPr>
        <w:t>% ;如果供应商本身提供所有标的均由中小企业制造、承建或承接，视同符合了资格条件，无需再向中小企业分包，无需提供分包意向协议；</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3.本项目的特定资格要求：</w:t>
      </w:r>
      <w:r>
        <w:rPr>
          <w:rFonts w:hint="eastAsia" w:asciiTheme="majorEastAsia" w:hAnsiTheme="majorEastAsia" w:eastAsiaTheme="majorEastAsia" w:cstheme="majorEastAsia"/>
          <w:u w:val="single"/>
        </w:rPr>
        <w:t>无</w:t>
      </w:r>
      <w:r>
        <w:rPr>
          <w:rFonts w:hint="eastAsia" w:asciiTheme="majorEastAsia" w:hAnsiTheme="majorEastAsia" w:eastAsiaTheme="majorEastAsia" w:cstheme="majorEastAsia"/>
        </w:rPr>
        <w:t>；</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pStyle w:val="7"/>
        <w:spacing w:after="140" w:line="440" w:lineRule="exac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三、获取招标文件</w:t>
      </w:r>
      <w:bookmarkEnd w:id="8"/>
      <w:bookmarkEnd w:id="9"/>
      <w:bookmarkEnd w:id="10"/>
      <w:bookmarkEnd w:id="11"/>
    </w:p>
    <w:p>
      <w:pPr>
        <w:spacing w:line="440" w:lineRule="exact"/>
        <w:ind w:firstLine="480" w:firstLineChars="200"/>
        <w:rPr>
          <w:rFonts w:hint="eastAsia" w:asciiTheme="majorEastAsia" w:hAnsiTheme="majorEastAsia" w:eastAsiaTheme="majorEastAsia" w:cstheme="majorEastAsia"/>
          <w:highlight w:val="yellow"/>
          <w:lang w:val="en-US" w:eastAsia="zh-CN"/>
        </w:rPr>
      </w:pPr>
      <w:r>
        <w:rPr>
          <w:rFonts w:hint="eastAsia" w:asciiTheme="majorEastAsia" w:hAnsiTheme="majorEastAsia" w:eastAsiaTheme="majorEastAsia" w:cstheme="majorEastAsia"/>
        </w:rPr>
        <w:t>时间</w:t>
      </w:r>
      <w:r>
        <w:rPr>
          <w:rFonts w:hint="eastAsia" w:asciiTheme="majorEastAsia" w:hAnsiTheme="majorEastAsia" w:eastAsiaTheme="majorEastAsia" w:cstheme="majorEastAsia"/>
          <w:highlight w:val="none"/>
        </w:rPr>
        <w:t>：</w:t>
      </w:r>
      <w:r>
        <w:rPr>
          <w:rFonts w:hint="eastAsia" w:asciiTheme="majorEastAsia" w:hAnsiTheme="majorEastAsia" w:eastAsiaTheme="majorEastAsia" w:cstheme="majorEastAsia"/>
          <w:highlight w:val="none"/>
          <w:lang w:val="en-US" w:eastAsia="zh-CN"/>
        </w:rPr>
        <w:t>/</w:t>
      </w:r>
      <w:r>
        <w:rPr>
          <w:rFonts w:hint="eastAsia" w:asciiTheme="majorEastAsia" w:hAnsiTheme="majorEastAsia" w:eastAsiaTheme="majorEastAsia" w:cstheme="majorEastAsia"/>
          <w:highlight w:val="none"/>
        </w:rPr>
        <w:t>至</w:t>
      </w:r>
      <w:r>
        <w:rPr>
          <w:rFonts w:hint="eastAsia" w:asciiTheme="majorEastAsia" w:hAnsiTheme="majorEastAsia" w:eastAsiaTheme="majorEastAsia" w:cstheme="majorEastAsia"/>
          <w:highlight w:val="none"/>
          <w:lang w:val="en"/>
        </w:rPr>
        <w:t>2022年</w:t>
      </w:r>
      <w:r>
        <w:rPr>
          <w:rFonts w:hint="eastAsia" w:asciiTheme="majorEastAsia" w:hAnsiTheme="majorEastAsia" w:eastAsiaTheme="majorEastAsia" w:cstheme="majorEastAsia"/>
          <w:highlight w:val="none"/>
          <w:lang w:val="en-US" w:eastAsia="zh-CN"/>
        </w:rPr>
        <w:t xml:space="preserve">8 </w:t>
      </w:r>
      <w:r>
        <w:rPr>
          <w:rFonts w:hint="eastAsia" w:asciiTheme="majorEastAsia" w:hAnsiTheme="majorEastAsia" w:eastAsiaTheme="majorEastAsia" w:cstheme="majorEastAsia"/>
          <w:highlight w:val="none"/>
          <w:lang w:val="en"/>
        </w:rPr>
        <w:t>月</w:t>
      </w:r>
      <w:r>
        <w:rPr>
          <w:rFonts w:hint="eastAsia" w:asciiTheme="majorEastAsia" w:hAnsiTheme="majorEastAsia" w:eastAsiaTheme="majorEastAsia" w:cstheme="majorEastAsia"/>
          <w:highlight w:val="none"/>
          <w:lang w:val="en-US" w:eastAsia="zh-CN"/>
        </w:rPr>
        <w:t>8</w:t>
      </w:r>
      <w:r>
        <w:rPr>
          <w:rFonts w:hint="eastAsia" w:asciiTheme="majorEastAsia" w:hAnsiTheme="majorEastAsia" w:eastAsiaTheme="majorEastAsia" w:cstheme="majorEastAsia"/>
          <w:highlight w:val="none"/>
          <w:lang w:val="en"/>
        </w:rPr>
        <w:t>日</w:t>
      </w:r>
      <w:r>
        <w:rPr>
          <w:rFonts w:hint="eastAsia" w:asciiTheme="majorEastAsia" w:hAnsiTheme="majorEastAsia" w:eastAsiaTheme="majorEastAsia" w:cstheme="majorEastAsia"/>
          <w:highlight w:val="none"/>
          <w:lang w:val="en-US" w:eastAsia="zh-CN"/>
        </w:rPr>
        <w:t xml:space="preserve"> 14：00 </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 xml:space="preserve">地点（网址）：政采云平台（https://www.zcygov.cn/） </w:t>
      </w:r>
    </w:p>
    <w:p>
      <w:pPr>
        <w:spacing w:line="440" w:lineRule="exact"/>
        <w:ind w:firstLine="480" w:firstLineChars="200"/>
        <w:rPr>
          <w:rFonts w:asciiTheme="majorEastAsia" w:hAnsiTheme="majorEastAsia" w:eastAsiaTheme="majorEastAsia" w:cstheme="majorEastAsia"/>
          <w:strike/>
        </w:rPr>
      </w:pPr>
      <w:r>
        <w:rPr>
          <w:rFonts w:hint="eastAsia" w:asciiTheme="majorEastAsia" w:hAnsiTheme="majorEastAsia" w:eastAsiaTheme="majorEastAsia" w:cstheme="majorEastAsia"/>
        </w:rPr>
        <w:t>方式：供应商登录政采云平台https://www.zcygov.cn/在线申请获取采购文件（进入“项目采购”应用，在获取采购文件菜单中选择项目，申请获取采购文件）。</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售价：免费。</w:t>
      </w:r>
    </w:p>
    <w:p>
      <w:pPr>
        <w:pStyle w:val="7"/>
        <w:spacing w:after="140" w:line="440" w:lineRule="exact"/>
        <w:rPr>
          <w:rFonts w:asciiTheme="majorEastAsia" w:hAnsiTheme="majorEastAsia" w:eastAsiaTheme="majorEastAsia" w:cstheme="majorEastAsia"/>
          <w:sz w:val="28"/>
          <w:szCs w:val="28"/>
        </w:rPr>
      </w:pPr>
      <w:bookmarkStart w:id="12" w:name="_Toc28359082"/>
      <w:bookmarkStart w:id="13" w:name="_Toc28359005"/>
      <w:bookmarkStart w:id="14" w:name="_Toc35393624"/>
      <w:bookmarkStart w:id="15" w:name="_Toc35393793"/>
      <w:bookmarkStart w:id="16" w:name="_Toc28359085"/>
      <w:bookmarkStart w:id="17" w:name="_Toc35393796"/>
      <w:bookmarkStart w:id="18" w:name="_Toc35393627"/>
      <w:bookmarkStart w:id="19" w:name="_Toc28359008"/>
      <w:r>
        <w:rPr>
          <w:rFonts w:hint="eastAsia" w:asciiTheme="majorEastAsia" w:hAnsiTheme="majorEastAsia" w:eastAsiaTheme="majorEastAsia" w:cstheme="majorEastAsia"/>
          <w:sz w:val="28"/>
          <w:szCs w:val="28"/>
        </w:rPr>
        <w:t>四、提交投标文件</w:t>
      </w:r>
      <w:bookmarkEnd w:id="12"/>
      <w:bookmarkEnd w:id="13"/>
      <w:r>
        <w:rPr>
          <w:rFonts w:hint="eastAsia" w:asciiTheme="majorEastAsia" w:hAnsiTheme="majorEastAsia" w:eastAsiaTheme="majorEastAsia" w:cstheme="majorEastAsia"/>
          <w:sz w:val="28"/>
          <w:szCs w:val="28"/>
        </w:rPr>
        <w:t>截止时间、开标时间和地点</w:t>
      </w:r>
      <w:bookmarkEnd w:id="14"/>
      <w:bookmarkEnd w:id="15"/>
    </w:p>
    <w:p>
      <w:pPr>
        <w:spacing w:line="440" w:lineRule="exact"/>
        <w:ind w:firstLine="480" w:firstLineChars="200"/>
        <w:rPr>
          <w:rFonts w:asciiTheme="majorEastAsia" w:hAnsiTheme="majorEastAsia" w:eastAsiaTheme="majorEastAsia" w:cstheme="majorEastAsia"/>
          <w:highlight w:val="none"/>
        </w:rPr>
      </w:pPr>
      <w:r>
        <w:rPr>
          <w:rFonts w:hint="eastAsia" w:asciiTheme="majorEastAsia" w:hAnsiTheme="majorEastAsia" w:eastAsiaTheme="majorEastAsia" w:cstheme="majorEastAsia"/>
          <w:highlight w:val="none"/>
          <w:lang w:val="en"/>
        </w:rPr>
        <w:t>2022年</w:t>
      </w:r>
      <w:r>
        <w:rPr>
          <w:rFonts w:hint="eastAsia" w:asciiTheme="majorEastAsia" w:hAnsiTheme="majorEastAsia" w:eastAsiaTheme="majorEastAsia" w:cstheme="majorEastAsia"/>
          <w:highlight w:val="none"/>
          <w:lang w:val="en-US" w:eastAsia="zh-CN"/>
        </w:rPr>
        <w:t xml:space="preserve">8 </w:t>
      </w:r>
      <w:r>
        <w:rPr>
          <w:rFonts w:hint="eastAsia" w:asciiTheme="majorEastAsia" w:hAnsiTheme="majorEastAsia" w:eastAsiaTheme="majorEastAsia" w:cstheme="majorEastAsia"/>
          <w:highlight w:val="none"/>
          <w:lang w:val="en"/>
        </w:rPr>
        <w:t>月</w:t>
      </w:r>
      <w:r>
        <w:rPr>
          <w:rFonts w:hint="eastAsia" w:asciiTheme="majorEastAsia" w:hAnsiTheme="majorEastAsia" w:eastAsiaTheme="majorEastAsia" w:cstheme="majorEastAsia"/>
          <w:highlight w:val="none"/>
          <w:lang w:val="en-US" w:eastAsia="zh-CN"/>
        </w:rPr>
        <w:t>8</w:t>
      </w:r>
      <w:r>
        <w:rPr>
          <w:rFonts w:hint="eastAsia" w:asciiTheme="majorEastAsia" w:hAnsiTheme="majorEastAsia" w:eastAsiaTheme="majorEastAsia" w:cstheme="majorEastAsia"/>
          <w:highlight w:val="none"/>
          <w:lang w:val="en"/>
        </w:rPr>
        <w:t>日</w:t>
      </w:r>
      <w:r>
        <w:rPr>
          <w:rFonts w:hint="eastAsia" w:asciiTheme="majorEastAsia" w:hAnsiTheme="majorEastAsia" w:eastAsiaTheme="majorEastAsia" w:cstheme="majorEastAsia"/>
          <w:highlight w:val="none"/>
          <w:lang w:val="en-US" w:eastAsia="zh-CN"/>
        </w:rPr>
        <w:t xml:space="preserve"> 14：00</w:t>
      </w:r>
      <w:r>
        <w:rPr>
          <w:rFonts w:hint="eastAsia" w:asciiTheme="majorEastAsia" w:hAnsiTheme="majorEastAsia" w:eastAsiaTheme="majorEastAsia" w:cstheme="majorEastAsia"/>
          <w:highlight w:val="none"/>
        </w:rPr>
        <w:t>（北京时间）</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地点（网址）：浙江圣加工程管理咨询有限公司411会议室（嘉兴市昌盛南路现代广场1号楼1单元）</w:t>
      </w:r>
      <w:r>
        <w:rPr>
          <w:rFonts w:hint="eastAsia" w:asciiTheme="majorEastAsia" w:hAnsiTheme="majorEastAsia" w:eastAsiaTheme="majorEastAsia" w:cstheme="majorEastAsia"/>
          <w:lang w:val="en-US" w:eastAsia="zh-CN"/>
        </w:rPr>
        <w:t>通过</w:t>
      </w:r>
      <w:r>
        <w:rPr>
          <w:rFonts w:hint="eastAsia" w:asciiTheme="majorEastAsia" w:hAnsiTheme="majorEastAsia" w:eastAsiaTheme="majorEastAsia" w:cstheme="majorEastAsia"/>
        </w:rPr>
        <w:t>政采云平台（https://www.zcygov.cn/）开标</w:t>
      </w:r>
    </w:p>
    <w:p>
      <w:pPr>
        <w:pStyle w:val="7"/>
        <w:spacing w:after="140" w:line="440" w:lineRule="exact"/>
        <w:rPr>
          <w:rFonts w:asciiTheme="majorEastAsia" w:hAnsiTheme="majorEastAsia" w:eastAsiaTheme="majorEastAsia" w:cstheme="majorEastAsia"/>
          <w:sz w:val="28"/>
          <w:szCs w:val="28"/>
        </w:rPr>
      </w:pPr>
      <w:bookmarkStart w:id="20" w:name="_Toc28359084"/>
      <w:bookmarkStart w:id="21" w:name="_Toc35393625"/>
      <w:bookmarkStart w:id="22" w:name="_Toc35393794"/>
      <w:bookmarkStart w:id="23" w:name="_Toc28359007"/>
      <w:r>
        <w:rPr>
          <w:rFonts w:hint="eastAsia" w:asciiTheme="majorEastAsia" w:hAnsiTheme="majorEastAsia" w:eastAsiaTheme="majorEastAsia" w:cstheme="majorEastAsia"/>
          <w:sz w:val="28"/>
          <w:szCs w:val="28"/>
        </w:rPr>
        <w:t>五、公告期限</w:t>
      </w:r>
      <w:bookmarkEnd w:id="20"/>
      <w:bookmarkEnd w:id="21"/>
      <w:bookmarkEnd w:id="22"/>
      <w:bookmarkEnd w:id="23"/>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自本公告发布之日起5个工作日。</w:t>
      </w:r>
    </w:p>
    <w:p>
      <w:pPr>
        <w:pStyle w:val="7"/>
        <w:spacing w:after="140" w:line="440" w:lineRule="exact"/>
        <w:rPr>
          <w:rFonts w:asciiTheme="majorEastAsia" w:hAnsiTheme="majorEastAsia" w:eastAsiaTheme="majorEastAsia" w:cstheme="majorEastAsia"/>
          <w:sz w:val="28"/>
          <w:szCs w:val="28"/>
        </w:rPr>
      </w:pPr>
      <w:bookmarkStart w:id="24" w:name="_Toc35393626"/>
      <w:bookmarkStart w:id="25" w:name="_Toc35393795"/>
      <w:r>
        <w:rPr>
          <w:rFonts w:hint="eastAsia" w:asciiTheme="majorEastAsia" w:hAnsiTheme="majorEastAsia" w:eastAsiaTheme="majorEastAsia" w:cstheme="majorEastAsia"/>
          <w:sz w:val="28"/>
          <w:szCs w:val="28"/>
        </w:rPr>
        <w:t>六、其他补充事宜</w:t>
      </w:r>
      <w:bookmarkEnd w:id="24"/>
      <w:bookmarkEnd w:id="25"/>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1.供应商认为招标文件使自己的权益受到损害的，可以自获取招标文件之日或者招标文件公告期限届满之日（公告期限届满后获取招标文件的，以公告期限届满之日为准）起7个工作日内，以书面形式在政采云平台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2.其他事项：</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（1）需要落实的政府采购政策：包括节约资源、保护环境、支持创新、促进中小企业发展等。</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（2）电子招投标的说明：</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①电子招投标：本项目以数据电文形式，依托“政府采购云平台（www.zcygov.cn）”进行招投标活动，不接受纸质投标文件；</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CA驱动和申领流程</w:t>
      </w:r>
    </w:p>
    <w:p>
      <w:pPr>
        <w:spacing w:before="120" w:beforeLines="50" w:after="120" w:afterLines="50" w:line="440" w:lineRule="exact"/>
        <w:ind w:firstLine="420" w:firstLineChars="200"/>
        <w:rPr>
          <w:rStyle w:val="63"/>
          <w:rFonts w:asciiTheme="majorEastAsia" w:hAnsiTheme="majorEastAsia" w:eastAsiaTheme="majorEastAsia" w:cstheme="majorEastAsia"/>
          <w:color w:val="auto"/>
          <w:sz w:val="21"/>
          <w:szCs w:val="22"/>
        </w:rPr>
      </w:pPr>
      <w:r>
        <w:rPr>
          <w:rStyle w:val="63"/>
          <w:rFonts w:hint="eastAsia" w:asciiTheme="majorEastAsia" w:hAnsiTheme="majorEastAsia" w:eastAsiaTheme="majorEastAsia" w:cstheme="majorEastAsia"/>
          <w:color w:val="auto"/>
          <w:sz w:val="21"/>
          <w:szCs w:val="22"/>
        </w:rPr>
        <w:t xml:space="preserve">https://zfcg.czt.zj.gov.cn/bidClientTemplate/2019-05-27/12945.html    </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注：ＣＡ证书遗失补办、延期、解锁、质保等业务可以在联连客户端上进行操作；使用政采云投标客户端时，建议使用windows7以上且64位的操作系统。</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CA证书办理操作视频</w:t>
      </w:r>
    </w:p>
    <w:p>
      <w:pPr>
        <w:spacing w:before="120" w:beforeLines="50" w:after="120" w:afterLines="50" w:line="440" w:lineRule="exact"/>
        <w:ind w:firstLine="420" w:firstLineChars="200"/>
        <w:rPr>
          <w:rStyle w:val="63"/>
          <w:rFonts w:asciiTheme="majorEastAsia" w:hAnsiTheme="majorEastAsia" w:eastAsiaTheme="majorEastAsia" w:cstheme="majorEastAsia"/>
          <w:color w:val="auto"/>
          <w:sz w:val="21"/>
          <w:szCs w:val="22"/>
        </w:rPr>
      </w:pPr>
      <w:r>
        <w:rPr>
          <w:rStyle w:val="63"/>
          <w:rFonts w:hint="eastAsia" w:asciiTheme="majorEastAsia" w:hAnsiTheme="majorEastAsia" w:eastAsiaTheme="majorEastAsia" w:cstheme="majorEastAsia"/>
          <w:color w:val="auto"/>
          <w:sz w:val="21"/>
          <w:szCs w:val="22"/>
        </w:rPr>
        <w:t>https://service.zcygov.cn/#/knowledges/UgcbC3EBiyELHE-opz1b/EWqqyXEByNnJ3A2CPyDI</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CA绑定登录操作视频</w:t>
      </w:r>
    </w:p>
    <w:p>
      <w:pPr>
        <w:spacing w:before="120" w:beforeLines="50" w:after="120" w:afterLines="50" w:line="440" w:lineRule="exact"/>
        <w:ind w:firstLine="420" w:firstLineChars="200"/>
        <w:rPr>
          <w:rFonts w:asciiTheme="majorEastAsia" w:hAnsiTheme="majorEastAsia" w:eastAsiaTheme="majorEastAsia" w:cstheme="majorEastAsia"/>
        </w:rPr>
      </w:pPr>
      <w:r>
        <w:rPr>
          <w:rStyle w:val="63"/>
          <w:rFonts w:hint="eastAsia" w:asciiTheme="majorEastAsia" w:hAnsiTheme="majorEastAsia" w:eastAsiaTheme="majorEastAsia" w:cstheme="majorEastAsia"/>
          <w:color w:val="auto"/>
          <w:sz w:val="21"/>
          <w:szCs w:val="22"/>
        </w:rPr>
        <w:t>https://service.zcygov.cn/#/knowledges/UgcbC3EBiyELHE-opz1b/nAkmyXEBiyELHE-o-983</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③招标文件的获取：使用账号登录或者使用CA登录政采云平台；进入“项目采购”应用，在获取采购文件菜单中选择项目，获取招标文件；</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④投标文件的制作：在“政采云电子交易客户端”中完成“填写基本信息”、“导入投标文件”、“标书关联”、“标书检查”、“电子签名”、“生成电子标书”等操作；</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 xml:space="preserve">⑤采购人、采购机构将依托政采云平台完成本项目的电子交易活动，平台不接受未按上述方式获取招标文件的供应商进行投标活动； </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⑥对未按上述方式获取招标文件的供应商对该文件提出的质疑，采购人或采购代理机构将不予处理；</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⑦不提供招标文件纸质版；</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⑧投标文件的传输递交：</w:t>
      </w:r>
      <w:r>
        <w:rPr>
          <w:rFonts w:asciiTheme="majorEastAsia" w:hAnsiTheme="majorEastAsia" w:eastAsiaTheme="majorEastAsia" w:cstheme="majorEastAsia"/>
        </w:rPr>
        <w:t>为确保采购项目顺利实施，避免因解密失败导致投标供应商投标无效，供应商在电子交易平台传输提交投标文件后，将政采云平台上最后生成的具备电子签章的备份电子标文件1份下载至U盘，可以在投标截止时间前邮寄送达至招标代理机构</w:t>
      </w:r>
      <w:r>
        <w:rPr>
          <w:rFonts w:hint="eastAsia" w:asciiTheme="majorEastAsia" w:hAnsiTheme="majorEastAsia" w:eastAsiaTheme="majorEastAsia" w:cstheme="majorEastAsia"/>
          <w:lang w:val="en-US" w:eastAsia="zh-CN"/>
        </w:rPr>
        <w:t>唐利槟</w:t>
      </w:r>
      <w:r>
        <w:rPr>
          <w:rFonts w:asciiTheme="majorEastAsia" w:hAnsiTheme="majorEastAsia" w:eastAsiaTheme="majorEastAsia" w:cstheme="majorEastAsia"/>
        </w:rPr>
        <w:t>（收），以签收时间为准。快递寄出同时，项目被授权代表须以邮件方式将快递单号、项目名称、公司名称、被授权代表姓名及联系方式等内容（邮件格式为：项目编号+快递单号+公司名称+被授权代表姓名及联系方式）发送至招标代理机构联系人邮箱（</w:t>
      </w:r>
      <w:r>
        <w:rPr>
          <w:rFonts w:hint="eastAsia" w:asciiTheme="majorEastAsia" w:hAnsiTheme="majorEastAsia" w:eastAsiaTheme="majorEastAsia" w:cstheme="majorEastAsia"/>
          <w:lang w:val="en-US" w:eastAsia="zh-CN"/>
        </w:rPr>
        <w:t>809397419</w:t>
      </w:r>
      <w:r>
        <w:rPr>
          <w:rFonts w:asciiTheme="majorEastAsia" w:hAnsiTheme="majorEastAsia" w:eastAsiaTheme="majorEastAsia" w:cstheme="majorEastAsia"/>
        </w:rPr>
        <w:t>@qq.com），以便招标代理机构查收快递。如供应商选择快递费到付，招标代理机构将拒签</w:t>
      </w:r>
      <w:r>
        <w:rPr>
          <w:rFonts w:hint="eastAsia" w:asciiTheme="majorEastAsia" w:hAnsiTheme="majorEastAsia" w:eastAsiaTheme="majorEastAsia" w:cstheme="majorEastAsia"/>
        </w:rPr>
        <w:t>；</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备份投标文件递交须满足：外包装封面上应注明投标供应商名称、投标供应商联系方式（授权代表手机）、投标文件名称（备份投标文件）、投标项目名称、项目编号、标项及“开标时启封”字样，并加盖投标供应商公章。</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投标供应商递交的备份投标文件，出现下列情况之一的，将被拒收：</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·未按规定密封或标记的；</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·由于包装不妥，在送交途中严重破损或失散的；</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·超过投标截止时间送达的。</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⑨投标文件的解密：投标供应商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供应商仅提交备份投标文件，没有在电子交易平台传输递交投标文件的，投标无效；</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⑩具体操作指南：详见政采云平台“服务中心-帮助文档-项目采购-操作流程-电子招投标-政府采购项目电子交易管理操作指南-供应商”（浙江省“项目采购电子交易系统/不见面开评标”学习专题：</w:t>
      </w:r>
      <w:r>
        <w:fldChar w:fldCharType="begin"/>
      </w:r>
      <w:r>
        <w:instrText xml:space="preserve"> HYPERLINK "https://edu.zcygov.cn/luban/e-biding" </w:instrText>
      </w:r>
      <w:r>
        <w:fldChar w:fldCharType="separate"/>
      </w:r>
      <w:r>
        <w:rPr>
          <w:rFonts w:hint="eastAsia" w:asciiTheme="majorEastAsia" w:hAnsiTheme="majorEastAsia" w:eastAsiaTheme="majorEastAsia" w:cstheme="majorEastAsia"/>
        </w:rPr>
        <w:t>https://edu.zcygov.cn/luban/e-biding</w:t>
      </w:r>
      <w:r>
        <w:rPr>
          <w:rFonts w:hint="eastAsia" w:asciiTheme="majorEastAsia" w:hAnsiTheme="majorEastAsia" w:eastAsiaTheme="majorEastAsia" w:cstheme="majorEastAsia"/>
        </w:rPr>
        <w:fldChar w:fldCharType="end"/>
      </w:r>
      <w:r>
        <w:rPr>
          <w:rFonts w:hint="eastAsia" w:asciiTheme="majorEastAsia" w:hAnsiTheme="majorEastAsia" w:eastAsiaTheme="majorEastAsia" w:cstheme="majorEastAsia"/>
        </w:rPr>
        <w:t>）。</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5.惠企政策</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5.1本采购项目，中标供应商与采购人签订的政府采购合同适用于嘉兴市政府采购贷款政策（简称“政采贷”），具体内容可参阅政府采购贷款流程：</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http://jxszwsjb.jiaxing.gov.cn/zxfw/005001/005001004/20190315/76d484f7-8fac-497f-9359-4df81cc086da.html</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5.2本采购项目，中标供应商与采购人签订的政府采购合同适用于浙江省政府采购履约保函政策，具体内容可登录政采云平台（https://www.zcygov.cn/），点击右侧咨询小采。</w:t>
      </w:r>
    </w:p>
    <w:p>
      <w:pPr>
        <w:pStyle w:val="7"/>
        <w:spacing w:line="440" w:lineRule="exact"/>
        <w:rPr>
          <w:rFonts w:asciiTheme="majorEastAsia" w:hAnsiTheme="majorEastAsia" w:eastAsiaTheme="majorEastAsia" w:cstheme="majorEastAsia"/>
          <w:bCs w:val="0"/>
          <w:sz w:val="24"/>
          <w:szCs w:val="24"/>
        </w:rPr>
      </w:pPr>
      <w:r>
        <w:rPr>
          <w:rFonts w:hint="eastAsia" w:asciiTheme="majorEastAsia" w:hAnsiTheme="majorEastAsia" w:eastAsiaTheme="majorEastAsia" w:cstheme="majorEastAsia"/>
          <w:bCs w:val="0"/>
          <w:sz w:val="24"/>
          <w:szCs w:val="24"/>
        </w:rPr>
        <w:t>七、对本次招标提出询问，请按以下方式联系</w:t>
      </w:r>
      <w:bookmarkEnd w:id="16"/>
      <w:bookmarkEnd w:id="17"/>
      <w:bookmarkEnd w:id="18"/>
      <w:bookmarkEnd w:id="19"/>
    </w:p>
    <w:p>
      <w:pPr>
        <w:spacing w:line="440" w:lineRule="exact"/>
      </w:pPr>
      <w:r>
        <w:rPr>
          <w:rFonts w:ascii="宋体" w:hAnsi="宋体"/>
          <w:szCs w:val="21"/>
        </w:rPr>
        <w:t>1.采购人信息</w:t>
      </w:r>
    </w:p>
    <w:p>
      <w:pPr>
        <w:spacing w:line="440" w:lineRule="exact"/>
      </w:pPr>
      <w:r>
        <w:rPr>
          <w:rFonts w:ascii="宋体" w:hAnsi="宋体"/>
          <w:szCs w:val="21"/>
        </w:rPr>
        <w:t>名 称：</w:t>
      </w:r>
      <w:r>
        <w:rPr>
          <w:rFonts w:hint="eastAsia" w:ascii="宋体" w:hAnsi="宋体"/>
          <w:szCs w:val="21"/>
          <w:u w:val="single"/>
          <w:lang w:eastAsia="zh-CN"/>
        </w:rPr>
        <w:t>嘉兴市秀洲区人民政府高照街道办事处</w:t>
      </w:r>
      <w:r>
        <w:rPr>
          <w:rFonts w:ascii="宋体" w:hAnsi="宋体"/>
          <w:szCs w:val="21"/>
          <w:u w:val="single"/>
        </w:rPr>
        <w:t>　</w:t>
      </w:r>
      <w:r>
        <w:rPr>
          <w:rFonts w:ascii="宋体" w:hAnsi="宋体"/>
          <w:szCs w:val="21"/>
        </w:rPr>
        <w:t>　</w:t>
      </w:r>
    </w:p>
    <w:p>
      <w:pPr>
        <w:spacing w:line="440" w:lineRule="exact"/>
      </w:pPr>
      <w:r>
        <w:rPr>
          <w:rFonts w:ascii="宋体" w:hAnsi="宋体"/>
          <w:szCs w:val="21"/>
        </w:rPr>
        <w:t>项目联系人：</w:t>
      </w:r>
      <w:r>
        <w:rPr>
          <w:rFonts w:hint="eastAsia" w:ascii="宋体" w:hAnsi="宋体"/>
          <w:szCs w:val="21"/>
          <w:u w:val="single"/>
        </w:rPr>
        <w:t>孟先生</w:t>
      </w:r>
      <w:r>
        <w:rPr>
          <w:rFonts w:ascii="宋体" w:hAnsi="宋体"/>
          <w:szCs w:val="21"/>
          <w:u w:val="single"/>
        </w:rPr>
        <w:t xml:space="preserve">      </w:t>
      </w:r>
      <w:r>
        <w:rPr>
          <w:rFonts w:ascii="宋体" w:hAnsi="宋体"/>
          <w:szCs w:val="21"/>
        </w:rPr>
        <w:t xml:space="preserve">                 </w:t>
      </w:r>
    </w:p>
    <w:p>
      <w:pPr>
        <w:spacing w:line="440" w:lineRule="exact"/>
      </w:pPr>
      <w:r>
        <w:rPr>
          <w:rFonts w:ascii="宋体" w:hAnsi="宋体"/>
          <w:szCs w:val="21"/>
        </w:rPr>
        <w:t>联系方式：</w:t>
      </w:r>
      <w:r>
        <w:rPr>
          <w:rFonts w:hint="eastAsia" w:ascii="宋体" w:hAnsi="宋体"/>
          <w:szCs w:val="21"/>
          <w:u w:val="single"/>
          <w:lang w:val="en-US" w:eastAsia="zh-CN"/>
        </w:rPr>
        <w:t>0573-82796375</w:t>
      </w:r>
    </w:p>
    <w:p>
      <w:pPr>
        <w:spacing w:line="440" w:lineRule="exact"/>
      </w:pPr>
      <w:bookmarkStart w:id="26" w:name="_Toc28359009"/>
      <w:bookmarkStart w:id="27" w:name="_Toc28359086"/>
      <w:r>
        <w:rPr>
          <w:rFonts w:ascii="宋体" w:hAnsi="宋体"/>
          <w:szCs w:val="21"/>
        </w:rPr>
        <w:t>2.</w:t>
      </w:r>
      <w:bookmarkEnd w:id="26"/>
      <w:bookmarkEnd w:id="27"/>
      <w:r>
        <w:rPr>
          <w:rFonts w:ascii="宋体" w:hAnsi="宋体"/>
          <w:szCs w:val="21"/>
        </w:rPr>
        <w:t>代理机构信息</w:t>
      </w:r>
    </w:p>
    <w:p>
      <w:pPr>
        <w:spacing w:line="440" w:lineRule="exact"/>
        <w:rPr>
          <w:rFonts w:hint="eastAsia" w:eastAsia="宋体"/>
          <w:lang w:eastAsia="zh-CN"/>
        </w:rPr>
      </w:pPr>
      <w:r>
        <w:rPr>
          <w:rFonts w:ascii="宋体" w:hAnsi="宋体"/>
          <w:szCs w:val="21"/>
        </w:rPr>
        <w:t>名 称：</w:t>
      </w:r>
      <w:r>
        <w:rPr>
          <w:rFonts w:hint="eastAsia" w:ascii="宋体" w:hAnsi="宋体"/>
          <w:szCs w:val="21"/>
          <w:u w:val="single"/>
          <w:lang w:eastAsia="zh-CN"/>
        </w:rPr>
        <w:t>浙江圣加工程管理咨询有限公司</w:t>
      </w:r>
    </w:p>
    <w:p>
      <w:pPr>
        <w:spacing w:line="440" w:lineRule="exact"/>
      </w:pPr>
      <w:r>
        <w:rPr>
          <w:rFonts w:ascii="宋体" w:hAnsi="宋体"/>
          <w:szCs w:val="21"/>
        </w:rPr>
        <w:t>地 址：</w:t>
      </w:r>
      <w:r>
        <w:rPr>
          <w:rFonts w:hint="eastAsia" w:ascii="宋体" w:hAnsi="宋体"/>
          <w:szCs w:val="21"/>
          <w:u w:val="single"/>
        </w:rPr>
        <w:t>嘉兴市昌盛南路现代广场1号楼1单元4楼4</w:t>
      </w:r>
      <w:r>
        <w:rPr>
          <w:rFonts w:hint="eastAsia" w:ascii="宋体" w:hAnsi="宋体"/>
          <w:szCs w:val="21"/>
          <w:u w:val="single"/>
          <w:lang w:val="en-US" w:eastAsia="zh-CN"/>
        </w:rPr>
        <w:t>04</w:t>
      </w:r>
      <w:r>
        <w:rPr>
          <w:rFonts w:ascii="宋体" w:hAnsi="宋体"/>
          <w:szCs w:val="21"/>
          <w:u w:val="single"/>
        </w:rPr>
        <w:t>室</w:t>
      </w:r>
      <w:r>
        <w:rPr>
          <w:rFonts w:ascii="宋体" w:hAnsi="宋体"/>
          <w:szCs w:val="21"/>
        </w:rPr>
        <w:t>　　</w:t>
      </w:r>
    </w:p>
    <w:p>
      <w:pPr>
        <w:spacing w:line="440" w:lineRule="exact"/>
      </w:pPr>
      <w:r>
        <w:rPr>
          <w:rFonts w:ascii="宋体" w:hAnsi="宋体"/>
          <w:szCs w:val="21"/>
        </w:rPr>
        <w:t>项目联系人：</w:t>
      </w:r>
      <w:r>
        <w:rPr>
          <w:rFonts w:hint="eastAsia" w:ascii="宋体" w:hAnsi="宋体"/>
          <w:szCs w:val="21"/>
          <w:u w:val="single"/>
          <w:lang w:val="en-US" w:eastAsia="zh-CN"/>
        </w:rPr>
        <w:t>唐利槟</w:t>
      </w:r>
      <w:r>
        <w:rPr>
          <w:rFonts w:ascii="宋体" w:hAnsi="宋体"/>
          <w:szCs w:val="21"/>
          <w:u w:val="single"/>
        </w:rPr>
        <w:t xml:space="preserve">　 </w:t>
      </w:r>
      <w:r>
        <w:rPr>
          <w:rFonts w:ascii="宋体" w:hAnsi="宋体"/>
          <w:szCs w:val="21"/>
        </w:rPr>
        <w:t xml:space="preserve">    　</w:t>
      </w:r>
    </w:p>
    <w:p>
      <w:pPr>
        <w:spacing w:line="440" w:lineRule="exact"/>
      </w:pPr>
      <w:r>
        <w:rPr>
          <w:rFonts w:ascii="宋体" w:hAnsi="宋体"/>
          <w:szCs w:val="21"/>
        </w:rPr>
        <w:t>电话：</w:t>
      </w:r>
      <w:r>
        <w:rPr>
          <w:rFonts w:hint="eastAsia" w:ascii="宋体" w:hAnsi="宋体"/>
          <w:szCs w:val="21"/>
          <w:u w:val="single"/>
          <w:lang w:val="en-US" w:eastAsia="zh-CN"/>
        </w:rPr>
        <w:t>15067392443</w:t>
      </w:r>
      <w:r>
        <w:rPr>
          <w:rFonts w:ascii="宋体" w:hAnsi="宋体"/>
          <w:szCs w:val="21"/>
          <w:u w:val="single"/>
        </w:rPr>
        <w:t xml:space="preserve"> </w:t>
      </w:r>
      <w:r>
        <w:rPr>
          <w:rFonts w:ascii="宋体" w:hAnsi="宋体"/>
          <w:szCs w:val="21"/>
        </w:rPr>
        <w:t xml:space="preserve">       </w:t>
      </w:r>
    </w:p>
    <w:p>
      <w:pPr>
        <w:spacing w:line="440" w:lineRule="exact"/>
        <w:rPr>
          <w:rFonts w:ascii="宋体" w:hAnsi="宋体"/>
          <w:szCs w:val="21"/>
        </w:rPr>
      </w:pPr>
      <w:r>
        <w:rPr>
          <w:rFonts w:ascii="宋体" w:hAnsi="宋体"/>
          <w:szCs w:val="21"/>
        </w:rPr>
        <w:t>邮箱：</w:t>
      </w:r>
      <w:r>
        <w:fldChar w:fldCharType="begin"/>
      </w:r>
      <w:r>
        <w:instrText xml:space="preserve"> HYPERLINK "mailto:455291270@qq.com" </w:instrText>
      </w:r>
      <w:r>
        <w:fldChar w:fldCharType="separate"/>
      </w:r>
      <w:r>
        <w:rPr>
          <w:rFonts w:hint="eastAsia" w:ascii="宋体"/>
          <w:u w:val="single"/>
          <w:lang w:val="en-US" w:eastAsia="zh-CN"/>
        </w:rPr>
        <w:t>809397419</w:t>
      </w:r>
      <w:r>
        <w:rPr>
          <w:rFonts w:ascii="宋体"/>
          <w:u w:val="single"/>
        </w:rPr>
        <w:t>@qq.com</w:t>
      </w:r>
      <w:r>
        <w:rPr>
          <w:rFonts w:ascii="宋体"/>
          <w:u w:val="single"/>
        </w:rPr>
        <w:fldChar w:fldCharType="end"/>
      </w:r>
    </w:p>
    <w:p>
      <w:pPr>
        <w:spacing w:line="440" w:lineRule="exact"/>
      </w:pPr>
      <w:r>
        <w:rPr>
          <w:rFonts w:ascii="宋体" w:hAnsi="宋体"/>
          <w:szCs w:val="21"/>
        </w:rPr>
        <w:t>质疑联系人：</w:t>
      </w:r>
      <w:r>
        <w:rPr>
          <w:rFonts w:hint="eastAsia" w:ascii="宋体" w:hAnsi="宋体"/>
          <w:szCs w:val="21"/>
          <w:lang w:val="en-US" w:eastAsia="zh-CN"/>
        </w:rPr>
        <w:t>陶朱妹</w:t>
      </w:r>
      <w:r>
        <w:rPr>
          <w:rFonts w:ascii="宋体" w:hAnsi="宋体"/>
          <w:szCs w:val="21"/>
          <w:u w:val="single"/>
        </w:rPr>
        <w:t xml:space="preserve">  </w:t>
      </w:r>
      <w:r>
        <w:rPr>
          <w:rFonts w:ascii="宋体" w:hAnsi="宋体"/>
          <w:szCs w:val="21"/>
        </w:rPr>
        <w:t xml:space="preserve">        </w:t>
      </w:r>
    </w:p>
    <w:p>
      <w:pPr>
        <w:spacing w:line="440" w:lineRule="exact"/>
        <w:rPr>
          <w:rFonts w:hint="default" w:eastAsia="宋体"/>
          <w:lang w:val="en-US" w:eastAsia="zh-CN"/>
        </w:rPr>
      </w:pPr>
      <w:r>
        <w:rPr>
          <w:rFonts w:ascii="宋体" w:hAnsi="宋体"/>
          <w:szCs w:val="21"/>
        </w:rPr>
        <w:t>联系电话：</w:t>
      </w:r>
      <w:r>
        <w:rPr>
          <w:rFonts w:ascii="宋体" w:hAnsi="宋体"/>
          <w:szCs w:val="21"/>
          <w:u w:val="single"/>
        </w:rPr>
        <w:t>0573-8</w:t>
      </w:r>
      <w:r>
        <w:rPr>
          <w:rFonts w:hint="eastAsia" w:ascii="宋体" w:hAnsi="宋体"/>
          <w:szCs w:val="21"/>
          <w:u w:val="single"/>
          <w:lang w:val="en-US" w:eastAsia="zh-CN"/>
        </w:rPr>
        <w:t>2200130</w:t>
      </w:r>
    </w:p>
    <w:p>
      <w:pPr>
        <w:widowControl/>
        <w:spacing w:line="440" w:lineRule="exact"/>
        <w:jc w:val="left"/>
        <w:rPr>
          <w:rFonts w:ascii="宋体" w:hAnsi="宋体"/>
        </w:rPr>
      </w:pPr>
      <w:r>
        <w:rPr>
          <w:rFonts w:ascii="宋体" w:hAnsi="宋体"/>
        </w:rPr>
        <w:t>3.同级政府采购监督管理部门</w:t>
      </w:r>
    </w:p>
    <w:p>
      <w:pPr>
        <w:spacing w:line="440" w:lineRule="exact"/>
        <w:rPr>
          <w:rFonts w:ascii="宋体" w:hAnsi="宋体"/>
          <w:bCs/>
        </w:rPr>
      </w:pPr>
      <w:r>
        <w:rPr>
          <w:rFonts w:ascii="宋体" w:hAnsi="宋体"/>
          <w:bCs/>
        </w:rPr>
        <w:t>政府采购行政监管及投诉受理部门：</w:t>
      </w:r>
    </w:p>
    <w:p>
      <w:pPr>
        <w:spacing w:line="440" w:lineRule="exact"/>
        <w:rPr>
          <w:rFonts w:ascii="宋体" w:hAnsi="宋体"/>
          <w:bCs/>
        </w:rPr>
      </w:pPr>
      <w:r>
        <w:rPr>
          <w:rFonts w:ascii="宋体" w:hAnsi="宋体"/>
          <w:bCs/>
        </w:rPr>
        <w:t>嘉兴市</w:t>
      </w:r>
      <w:r>
        <w:rPr>
          <w:rFonts w:hint="eastAsia" w:ascii="宋体" w:hAnsi="宋体"/>
          <w:bCs/>
          <w:lang w:val="en-US" w:eastAsia="zh-CN"/>
        </w:rPr>
        <w:t>秀洲区</w:t>
      </w:r>
      <w:r>
        <w:rPr>
          <w:rFonts w:ascii="宋体" w:hAnsi="宋体"/>
          <w:bCs/>
        </w:rPr>
        <w:t xml:space="preserve">财政局  </w:t>
      </w:r>
    </w:p>
    <w:p>
      <w:pPr>
        <w:spacing w:line="440" w:lineRule="exact"/>
        <w:rPr>
          <w:rFonts w:ascii="宋体" w:hAnsi="宋体"/>
        </w:rPr>
      </w:pPr>
      <w:r>
        <w:rPr>
          <w:rFonts w:ascii="宋体" w:hAnsi="宋体"/>
          <w:bCs/>
        </w:rPr>
        <w:t xml:space="preserve">联系方式：0573-82720086 </w:t>
      </w:r>
      <w:r>
        <w:rPr>
          <w:rFonts w:ascii="宋体" w:hAnsi="宋体"/>
          <w:b/>
        </w:rPr>
        <w:t>　</w:t>
      </w:r>
    </w:p>
    <w:p>
      <w:pPr>
        <w:snapToGrid w:val="0"/>
        <w:spacing w:line="440" w:lineRule="exact"/>
        <w:rPr>
          <w:rFonts w:asciiTheme="majorEastAsia" w:hAnsiTheme="majorEastAsia" w:eastAsiaTheme="majorEastAsia" w:cstheme="majorEastAsia"/>
        </w:rPr>
      </w:pPr>
    </w:p>
    <w:p>
      <w:pPr>
        <w:snapToGrid w:val="0"/>
        <w:spacing w:line="440" w:lineRule="exact"/>
        <w:jc w:val="right"/>
        <w:rPr>
          <w:rFonts w:hint="eastAsia" w:asciiTheme="majorEastAsia" w:hAnsiTheme="majorEastAsia" w:eastAsiaTheme="majorEastAsia" w:cstheme="majorEastAsia"/>
          <w:lang w:eastAsia="zh-CN"/>
        </w:rPr>
      </w:pPr>
      <w:r>
        <w:rPr>
          <w:rFonts w:hint="eastAsia" w:asciiTheme="majorEastAsia" w:hAnsiTheme="majorEastAsia" w:eastAsiaTheme="majorEastAsia" w:cstheme="majorEastAsia"/>
        </w:rPr>
        <w:t>采购人：</w:t>
      </w:r>
      <w:r>
        <w:rPr>
          <w:rFonts w:hint="eastAsia" w:asciiTheme="majorEastAsia" w:hAnsiTheme="majorEastAsia" w:eastAsiaTheme="majorEastAsia" w:cstheme="majorEastAsia"/>
          <w:lang w:eastAsia="zh-CN"/>
        </w:rPr>
        <w:t>嘉兴市秀洲区人民政府高照街道办事处</w:t>
      </w:r>
    </w:p>
    <w:p>
      <w:pPr>
        <w:snapToGrid w:val="0"/>
        <w:spacing w:line="440" w:lineRule="exact"/>
        <w:jc w:val="right"/>
        <w:rPr>
          <w:rFonts w:hint="eastAsia" w:asciiTheme="majorEastAsia" w:hAnsiTheme="majorEastAsia" w:eastAsiaTheme="majorEastAsia" w:cstheme="majorEastAsia"/>
          <w:lang w:eastAsia="zh-CN"/>
        </w:rPr>
      </w:pPr>
      <w:r>
        <w:rPr>
          <w:rFonts w:hint="eastAsia" w:asciiTheme="majorEastAsia" w:hAnsiTheme="majorEastAsia" w:eastAsiaTheme="majorEastAsia" w:cstheme="majorEastAsia"/>
        </w:rPr>
        <w:t>采购代理机构：</w:t>
      </w:r>
      <w:r>
        <w:rPr>
          <w:rFonts w:hint="eastAsia" w:asciiTheme="majorEastAsia" w:hAnsiTheme="majorEastAsia" w:eastAsiaTheme="majorEastAsia" w:cstheme="majorEastAsia"/>
          <w:lang w:eastAsia="zh-CN"/>
        </w:rPr>
        <w:t>浙江圣加工程管理咨询有限公司</w:t>
      </w:r>
    </w:p>
    <w:p>
      <w:pPr>
        <w:snapToGrid w:val="0"/>
        <w:spacing w:line="360" w:lineRule="auto"/>
        <w:ind w:firstLine="4680" w:firstLineChars="1950"/>
        <w:jc w:val="right"/>
        <w:rPr>
          <w:rFonts w:asciiTheme="majorEastAsia" w:hAnsiTheme="majorEastAsia" w:eastAsiaTheme="majorEastAsia" w:cstheme="majorEastAsia"/>
        </w:rPr>
      </w:pPr>
      <w:r>
        <w:rPr>
          <w:rFonts w:hint="eastAsia" w:asciiTheme="majorEastAsia" w:hAnsiTheme="majorEastAsia" w:eastAsiaTheme="majorEastAsia" w:cstheme="majorEastAsia"/>
        </w:rPr>
        <w:t>2022年</w:t>
      </w:r>
      <w:r>
        <w:rPr>
          <w:rFonts w:asciiTheme="majorEastAsia" w:hAnsiTheme="majorEastAsia" w:eastAsiaTheme="majorEastAsia" w:cstheme="majorEastAsia"/>
        </w:rPr>
        <w:t>7</w:t>
      </w:r>
      <w:r>
        <w:rPr>
          <w:rFonts w:hint="eastAsia" w:asciiTheme="majorEastAsia" w:hAnsiTheme="majorEastAsia" w:eastAsiaTheme="majorEastAsia" w:cstheme="majorEastAsia"/>
        </w:rPr>
        <w:t>月</w:t>
      </w:r>
      <w:bookmarkStart w:id="28" w:name="_Toc532218222"/>
    </w:p>
    <w:p>
      <w:pPr>
        <w:pStyle w:val="9"/>
      </w:pPr>
    </w:p>
    <w:p>
      <w:pPr>
        <w:pStyle w:val="55"/>
        <w:ind w:left="0" w:leftChars="0" w:firstLine="0" w:firstLineChars="0"/>
      </w:pPr>
      <w:bookmarkStart w:id="29" w:name="_Toc324111835"/>
    </w:p>
    <w:p>
      <w:pPr>
        <w:pStyle w:val="55"/>
        <w:ind w:left="0" w:leftChars="0" w:firstLine="0" w:firstLineChars="0"/>
      </w:pPr>
    </w:p>
    <w:p>
      <w:pPr>
        <w:pStyle w:val="55"/>
        <w:ind w:left="0" w:leftChars="0" w:firstLine="0" w:firstLineChars="0"/>
      </w:pPr>
    </w:p>
    <w:p>
      <w:pPr>
        <w:pStyle w:val="55"/>
        <w:ind w:left="0" w:leftChars="0" w:firstLine="0" w:firstLineChars="0"/>
      </w:pPr>
    </w:p>
    <w:p>
      <w:pPr>
        <w:pStyle w:val="55"/>
        <w:ind w:left="0" w:leftChars="0" w:firstLine="0" w:firstLineChars="0"/>
      </w:pPr>
    </w:p>
    <w:p>
      <w:pPr>
        <w:pStyle w:val="6"/>
        <w:rPr>
          <w:rFonts w:asciiTheme="majorEastAsia" w:hAnsiTheme="majorEastAsia" w:eastAsiaTheme="majorEastAsia" w:cstheme="majorEastAsia"/>
        </w:rPr>
      </w:pPr>
      <w:r>
        <w:rPr>
          <w:rFonts w:hint="eastAsia" w:asciiTheme="majorEastAsia" w:hAnsiTheme="majorEastAsia" w:eastAsiaTheme="majorEastAsia" w:cstheme="majorEastAsia"/>
        </w:rPr>
        <w:t>第二章 招标需求</w:t>
      </w:r>
      <w:bookmarkEnd w:id="28"/>
      <w:bookmarkEnd w:id="29"/>
    </w:p>
    <w:bookmarkEnd w:id="0"/>
    <w:bookmarkEnd w:id="1"/>
    <w:bookmarkEnd w:id="3"/>
    <w:p>
      <w:pPr>
        <w:spacing w:line="400" w:lineRule="exact"/>
        <w:ind w:firstLine="420" w:firstLineChars="200"/>
        <w:rPr>
          <w:rFonts w:hint="eastAsia" w:ascii="宋体" w:hAnsi="宋体"/>
          <w:sz w:val="21"/>
          <w:szCs w:val="21"/>
        </w:rPr>
      </w:pPr>
      <w:bookmarkStart w:id="30" w:name="_Toc439666951"/>
      <w:bookmarkStart w:id="31" w:name="_Toc532218223"/>
      <w:r>
        <w:rPr>
          <w:rFonts w:hint="eastAsia" w:ascii="宋体" w:hAnsi="宋体"/>
          <w:sz w:val="21"/>
          <w:szCs w:val="21"/>
        </w:rPr>
        <w:t>一、招标范围</w:t>
      </w:r>
    </w:p>
    <w:p>
      <w:pPr>
        <w:spacing w:line="400" w:lineRule="exact"/>
        <w:ind w:firstLine="420" w:firstLineChars="200"/>
        <w:rPr>
          <w:rFonts w:hint="eastAsia" w:ascii="宋体" w:hAnsi="宋体"/>
          <w:sz w:val="21"/>
          <w:szCs w:val="21"/>
        </w:rPr>
      </w:pPr>
      <w:r>
        <w:rPr>
          <w:rFonts w:hint="eastAsia" w:ascii="宋体" w:hAnsi="宋体"/>
          <w:sz w:val="21"/>
          <w:szCs w:val="21"/>
        </w:rPr>
        <w:t>本次招标范围包括：高照街道办事处搬迁改建所需可变冷媒流量全直流变频多联机空调系统设备的供货（含税金）、运输、吊装就位、设备及管路、现场保管等的安装、调试和试运行、验收、技术服务、技术培训、相关文件的提交、与技术规格一致的设备图表及安装资料的提交等，质保期内的免费维修、保养，在开机时需要的润滑剂、制冷剂和初始运行充灌等。</w:t>
      </w:r>
    </w:p>
    <w:p>
      <w:pPr>
        <w:spacing w:line="400" w:lineRule="exact"/>
        <w:ind w:firstLine="420" w:firstLineChars="200"/>
        <w:rPr>
          <w:rFonts w:hint="eastAsia" w:ascii="宋体" w:hAnsi="宋体"/>
          <w:sz w:val="21"/>
          <w:szCs w:val="21"/>
        </w:rPr>
      </w:pPr>
      <w:r>
        <w:rPr>
          <w:rFonts w:hint="eastAsia" w:ascii="宋体" w:hAnsi="宋体"/>
          <w:sz w:val="21"/>
          <w:szCs w:val="21"/>
        </w:rPr>
        <w:t>上述项目所需的一切费用及进入现场施工安装时与其他各相关施工单位的配合协调所产生的费用等全部包括在投标报价内，即全包交钥匙工程。</w:t>
      </w:r>
    </w:p>
    <w:p>
      <w:pPr>
        <w:spacing w:line="400" w:lineRule="exact"/>
        <w:ind w:firstLine="420" w:firstLineChars="200"/>
        <w:rPr>
          <w:rFonts w:hint="eastAsia" w:ascii="宋体" w:hAnsi="宋体"/>
          <w:sz w:val="21"/>
          <w:szCs w:val="21"/>
        </w:rPr>
      </w:pPr>
      <w:r>
        <w:rPr>
          <w:rFonts w:hint="eastAsia" w:ascii="宋体" w:hAnsi="宋体"/>
          <w:sz w:val="21"/>
          <w:szCs w:val="21"/>
        </w:rPr>
        <w:t>投标人须提供的设备、材料及具体工作如下：</w:t>
      </w:r>
    </w:p>
    <w:p>
      <w:pPr>
        <w:spacing w:line="400" w:lineRule="exact"/>
        <w:ind w:firstLine="420" w:firstLineChars="200"/>
        <w:rPr>
          <w:rFonts w:hint="eastAsia" w:ascii="宋体" w:hAnsi="宋体"/>
          <w:sz w:val="21"/>
          <w:szCs w:val="21"/>
        </w:rPr>
      </w:pPr>
      <w:r>
        <w:rPr>
          <w:rFonts w:hint="eastAsia" w:ascii="宋体" w:hAnsi="宋体"/>
          <w:sz w:val="21"/>
          <w:szCs w:val="21"/>
        </w:rPr>
        <w:t>可变冷媒流量全直流变频多联式空调系统室外机、室内机、有线控制器(含弱电控制的接口)、各种配置件{包括分歧器、隔震垫、支撑架、冷媒管、固定材料、保温和包敷材料、风口、帆布软管}、润滑剂、制冷剂、信号线、室内机的电缆等。包括系统全套设备和所有系统及机组内部、外部接管和接线。即提供的机组安装就位后，只须通电，便可进行调试和正式运转和使用。室外机槽钢支架由投标单位负责，费用考虑在报价内。投标包含冷凝水管包含立管及支管（含立管安装时楼面开孔等费用）、管道井楼板开孔及防火封堵。投标单位需要综合考虑材料、人工、空调设备（包括产品升级）等的涨价因素风险全部包含在投标价格中，结算不予调整。</w:t>
      </w:r>
    </w:p>
    <w:p>
      <w:pPr>
        <w:spacing w:line="400" w:lineRule="exact"/>
        <w:ind w:firstLine="420" w:firstLineChars="200"/>
        <w:rPr>
          <w:rFonts w:hint="eastAsia" w:ascii="宋体" w:hAnsi="宋体"/>
          <w:sz w:val="21"/>
          <w:szCs w:val="21"/>
        </w:rPr>
      </w:pPr>
      <w:r>
        <w:rPr>
          <w:rFonts w:hint="eastAsia" w:ascii="宋体" w:hAnsi="宋体"/>
          <w:sz w:val="21"/>
          <w:szCs w:val="21"/>
        </w:rPr>
        <w:t>二、承包方式及报价要求</w:t>
      </w:r>
    </w:p>
    <w:p>
      <w:pPr>
        <w:spacing w:line="400" w:lineRule="exact"/>
        <w:ind w:firstLine="420" w:firstLineChars="200"/>
        <w:rPr>
          <w:rFonts w:hint="eastAsia" w:ascii="宋体" w:hAnsi="宋体"/>
          <w:sz w:val="21"/>
          <w:szCs w:val="21"/>
        </w:rPr>
      </w:pPr>
      <w:r>
        <w:rPr>
          <w:rFonts w:hint="eastAsia" w:ascii="宋体" w:hAnsi="宋体"/>
          <w:sz w:val="21"/>
          <w:szCs w:val="21"/>
        </w:rPr>
        <w:t>1、工程承包方式：本次空调系统工程招标范围的项目内容，由中标人根据招标文件和图纸的要求，以包工、包料、包质量、包工期、包调试验收、包安全、包文明施工的固定总价的方式承包（除联系单变更外，均不作调整）。</w:t>
      </w:r>
    </w:p>
    <w:p>
      <w:pPr>
        <w:spacing w:line="400" w:lineRule="exact"/>
        <w:ind w:firstLine="420" w:firstLineChars="200"/>
        <w:rPr>
          <w:rFonts w:hint="eastAsia" w:ascii="宋体" w:hAnsi="宋体"/>
          <w:sz w:val="21"/>
          <w:szCs w:val="21"/>
        </w:rPr>
      </w:pPr>
      <w:r>
        <w:rPr>
          <w:rFonts w:hint="eastAsia" w:ascii="宋体" w:hAnsi="宋体"/>
          <w:sz w:val="21"/>
          <w:szCs w:val="21"/>
        </w:rPr>
        <w:t>2、投标人应按招标文件中的附表及图纸，填定相关报价表。本次招标只允许有一个报价，有选择的报价将不予接受。</w:t>
      </w:r>
    </w:p>
    <w:p>
      <w:pPr>
        <w:spacing w:line="400" w:lineRule="exact"/>
        <w:ind w:firstLine="420" w:firstLineChars="200"/>
        <w:rPr>
          <w:rFonts w:hint="eastAsia" w:ascii="宋体" w:hAnsi="宋体"/>
          <w:sz w:val="21"/>
          <w:szCs w:val="21"/>
        </w:rPr>
      </w:pPr>
      <w:r>
        <w:rPr>
          <w:rFonts w:hint="eastAsia" w:ascii="宋体" w:hAnsi="宋体"/>
          <w:sz w:val="21"/>
          <w:szCs w:val="21"/>
        </w:rPr>
        <w:t>3、各单位投标报价时应根据施工图纸，按附表，结合自身实力和市场行情自行报出各标段投标全费用综合单价和总价。投标全费用单价必须包括下列费用并全部计入投标总价中：</w:t>
      </w:r>
    </w:p>
    <w:p>
      <w:pPr>
        <w:spacing w:line="400" w:lineRule="exact"/>
        <w:ind w:firstLine="420" w:firstLineChars="200"/>
        <w:rPr>
          <w:rFonts w:hint="eastAsia" w:ascii="宋体" w:hAnsi="宋体"/>
          <w:sz w:val="21"/>
          <w:szCs w:val="21"/>
        </w:rPr>
      </w:pPr>
      <w:r>
        <w:rPr>
          <w:rFonts w:hint="eastAsia" w:ascii="宋体" w:hAnsi="宋体"/>
          <w:sz w:val="21"/>
          <w:szCs w:val="21"/>
        </w:rPr>
        <w:t>1）空调设备到工地仓库价（含税、运保、装卸、随机备品备件、随机工具、随机附件、工地现场的保管费等）；</w:t>
      </w:r>
    </w:p>
    <w:p>
      <w:pPr>
        <w:spacing w:line="400" w:lineRule="exact"/>
        <w:ind w:firstLine="420" w:firstLineChars="200"/>
        <w:rPr>
          <w:rFonts w:hint="eastAsia" w:ascii="宋体" w:hAnsi="宋体"/>
          <w:sz w:val="21"/>
          <w:szCs w:val="21"/>
        </w:rPr>
      </w:pPr>
      <w:r>
        <w:rPr>
          <w:rFonts w:hint="eastAsia" w:ascii="宋体" w:hAnsi="宋体"/>
          <w:sz w:val="21"/>
          <w:szCs w:val="21"/>
        </w:rPr>
        <w:t>2）安装材料费；</w:t>
      </w:r>
    </w:p>
    <w:p>
      <w:pPr>
        <w:spacing w:line="400" w:lineRule="exact"/>
        <w:ind w:firstLine="420" w:firstLineChars="200"/>
        <w:rPr>
          <w:rFonts w:hint="eastAsia" w:ascii="宋体" w:hAnsi="宋体"/>
          <w:sz w:val="21"/>
          <w:szCs w:val="21"/>
        </w:rPr>
      </w:pPr>
      <w:r>
        <w:rPr>
          <w:rFonts w:hint="eastAsia" w:ascii="宋体" w:hAnsi="宋体"/>
          <w:sz w:val="21"/>
          <w:szCs w:val="21"/>
        </w:rPr>
        <w:t>3）安装施工费；</w:t>
      </w:r>
    </w:p>
    <w:p>
      <w:pPr>
        <w:spacing w:line="400" w:lineRule="exact"/>
        <w:ind w:firstLine="420" w:firstLineChars="200"/>
        <w:rPr>
          <w:rFonts w:hint="eastAsia" w:ascii="宋体" w:hAnsi="宋体"/>
          <w:sz w:val="21"/>
          <w:szCs w:val="21"/>
        </w:rPr>
      </w:pPr>
      <w:r>
        <w:rPr>
          <w:rFonts w:hint="eastAsia" w:ascii="宋体" w:hAnsi="宋体"/>
          <w:sz w:val="21"/>
          <w:szCs w:val="21"/>
        </w:rPr>
        <w:t>4）产品及系统调试费、技术培训费、验收费、日常维护费（维护内容见表格）等；</w:t>
      </w:r>
    </w:p>
    <w:p>
      <w:pPr>
        <w:spacing w:line="400" w:lineRule="exact"/>
        <w:ind w:firstLine="420" w:firstLineChars="200"/>
        <w:rPr>
          <w:rFonts w:hint="eastAsia" w:ascii="宋体" w:hAnsi="宋体"/>
          <w:sz w:val="21"/>
          <w:szCs w:val="21"/>
        </w:rPr>
      </w:pPr>
      <w:r>
        <w:rPr>
          <w:rFonts w:hint="eastAsia" w:ascii="宋体" w:hAnsi="宋体"/>
          <w:sz w:val="21"/>
          <w:szCs w:val="21"/>
        </w:rPr>
        <w:t>5）施工中发生的水、电费；</w:t>
      </w:r>
    </w:p>
    <w:p>
      <w:pPr>
        <w:spacing w:line="400" w:lineRule="exact"/>
        <w:ind w:firstLine="420" w:firstLineChars="200"/>
        <w:rPr>
          <w:rFonts w:hint="eastAsia" w:ascii="宋体" w:hAnsi="宋体"/>
          <w:sz w:val="21"/>
          <w:szCs w:val="21"/>
        </w:rPr>
      </w:pPr>
      <w:r>
        <w:rPr>
          <w:rFonts w:hint="eastAsia" w:ascii="宋体" w:hAnsi="宋体"/>
          <w:sz w:val="21"/>
          <w:szCs w:val="21"/>
        </w:rPr>
        <w:t>6）室外主机的冷媒管道不锈钢保护费用、室内机的电缆线及配管、室外机隔离开关箱，冷凝水立管及支管、管道井楼板开孔及防火封堵、室外机槽钢支架。</w:t>
      </w:r>
    </w:p>
    <w:p>
      <w:pPr>
        <w:spacing w:line="400" w:lineRule="exact"/>
        <w:ind w:firstLine="420" w:firstLineChars="200"/>
        <w:rPr>
          <w:rFonts w:hint="eastAsia" w:ascii="宋体" w:hAnsi="宋体"/>
          <w:sz w:val="21"/>
          <w:szCs w:val="21"/>
        </w:rPr>
      </w:pPr>
      <w:r>
        <w:rPr>
          <w:rFonts w:hint="eastAsia" w:ascii="宋体" w:hAnsi="宋体"/>
          <w:sz w:val="21"/>
          <w:szCs w:val="21"/>
        </w:rPr>
        <w:t>7）空调内机全费用单价应包括按图施所包含的空调线控器、安装材料、成品保护费，室内机电缆线等，若为风管机还应包含风口和风管等全部费用。</w:t>
      </w:r>
    </w:p>
    <w:p>
      <w:pPr>
        <w:spacing w:line="400" w:lineRule="exact"/>
        <w:ind w:firstLine="420" w:firstLineChars="200"/>
        <w:rPr>
          <w:rFonts w:hint="eastAsia" w:ascii="宋体" w:hAnsi="宋体"/>
          <w:sz w:val="21"/>
          <w:szCs w:val="21"/>
        </w:rPr>
      </w:pPr>
      <w:r>
        <w:rPr>
          <w:rFonts w:hint="eastAsia" w:ascii="宋体" w:hAnsi="宋体"/>
          <w:sz w:val="21"/>
          <w:szCs w:val="21"/>
        </w:rPr>
        <w:t>8）因本工程为交钥匙工程，投标人必须承诺在设备投入正常运行前，包括招标文件已提及或未提及但为完成本工程应该包括的工作内容，均含在投标报价中。</w:t>
      </w:r>
    </w:p>
    <w:p>
      <w:pPr>
        <w:spacing w:line="400" w:lineRule="exact"/>
        <w:ind w:firstLine="420" w:firstLineChars="200"/>
        <w:rPr>
          <w:rFonts w:hint="eastAsia" w:ascii="宋体" w:hAnsi="宋体"/>
          <w:sz w:val="21"/>
          <w:szCs w:val="21"/>
        </w:rPr>
      </w:pPr>
      <w:r>
        <w:rPr>
          <w:rFonts w:hint="eastAsia" w:ascii="宋体" w:hAnsi="宋体"/>
          <w:sz w:val="21"/>
          <w:szCs w:val="21"/>
        </w:rPr>
        <w:t>10）全费用报价中需考虑本次招标中施工安装期较长，材料、人工的涨价因素，在今后不做结算调整。</w:t>
      </w:r>
    </w:p>
    <w:p>
      <w:pPr>
        <w:spacing w:line="400" w:lineRule="exact"/>
        <w:ind w:firstLine="420" w:firstLineChars="200"/>
        <w:rPr>
          <w:rFonts w:hint="eastAsia" w:ascii="宋体" w:hAnsi="宋体"/>
          <w:sz w:val="21"/>
          <w:szCs w:val="21"/>
        </w:rPr>
      </w:pPr>
      <w:r>
        <w:rPr>
          <w:rFonts w:hint="eastAsia" w:ascii="宋体" w:hAnsi="宋体"/>
          <w:sz w:val="21"/>
          <w:szCs w:val="21"/>
        </w:rPr>
        <w:t>11）水电费等由中标单位自行与总承包单位协商。</w:t>
      </w:r>
    </w:p>
    <w:p>
      <w:pPr>
        <w:spacing w:line="400" w:lineRule="exact"/>
        <w:ind w:firstLine="420" w:firstLineChars="200"/>
        <w:rPr>
          <w:rFonts w:hint="eastAsia" w:ascii="宋体" w:hAnsi="宋体"/>
          <w:sz w:val="21"/>
          <w:szCs w:val="21"/>
        </w:rPr>
      </w:pPr>
      <w:r>
        <w:rPr>
          <w:rFonts w:hint="eastAsia" w:ascii="宋体" w:hAnsi="宋体"/>
          <w:sz w:val="21"/>
          <w:szCs w:val="21"/>
        </w:rPr>
        <w:t>4、在室外机容量不变的前提下，如因工程装修的需要，对部分室内机进行位置、容量及形式的调整（或根据入住企业的需求调整），按全费用综合单价实行月度按实结算。</w:t>
      </w:r>
    </w:p>
    <w:p>
      <w:pPr>
        <w:spacing w:line="400" w:lineRule="exact"/>
        <w:ind w:firstLine="420" w:firstLineChars="200"/>
        <w:rPr>
          <w:rFonts w:hint="eastAsia" w:ascii="宋体" w:hAnsi="宋体"/>
          <w:sz w:val="21"/>
          <w:szCs w:val="21"/>
        </w:rPr>
      </w:pPr>
      <w:r>
        <w:rPr>
          <w:rFonts w:hint="eastAsia" w:ascii="宋体" w:hAnsi="宋体"/>
          <w:sz w:val="21"/>
          <w:szCs w:val="21"/>
        </w:rPr>
        <w:t>三、工作范围</w:t>
      </w:r>
    </w:p>
    <w:p>
      <w:pPr>
        <w:spacing w:line="400" w:lineRule="exact"/>
        <w:ind w:firstLine="420" w:firstLineChars="200"/>
        <w:rPr>
          <w:rFonts w:hint="eastAsia" w:ascii="宋体" w:hAnsi="宋体"/>
          <w:sz w:val="21"/>
          <w:szCs w:val="21"/>
        </w:rPr>
      </w:pPr>
      <w:r>
        <w:rPr>
          <w:rFonts w:hint="eastAsia" w:ascii="宋体" w:hAnsi="宋体"/>
          <w:sz w:val="21"/>
          <w:szCs w:val="21"/>
        </w:rPr>
        <w:t>1、制造检验和试验工作</w:t>
      </w:r>
    </w:p>
    <w:p>
      <w:pPr>
        <w:spacing w:line="400" w:lineRule="exact"/>
        <w:ind w:firstLine="420" w:firstLineChars="200"/>
        <w:rPr>
          <w:rFonts w:hint="eastAsia" w:ascii="宋体" w:hAnsi="宋体"/>
          <w:sz w:val="21"/>
          <w:szCs w:val="21"/>
        </w:rPr>
      </w:pPr>
      <w:r>
        <w:rPr>
          <w:rFonts w:hint="eastAsia" w:ascii="宋体" w:hAnsi="宋体"/>
          <w:sz w:val="21"/>
          <w:szCs w:val="21"/>
        </w:rPr>
        <w:t>（1）卖方在出厂前性能试验结束后应尽快提交试验报告书（一式三份不超过14个工作日提交）。</w:t>
      </w:r>
    </w:p>
    <w:p>
      <w:pPr>
        <w:spacing w:line="400" w:lineRule="exact"/>
        <w:ind w:firstLine="420" w:firstLineChars="200"/>
        <w:rPr>
          <w:rFonts w:hint="eastAsia" w:ascii="宋体" w:hAnsi="宋体"/>
          <w:sz w:val="21"/>
          <w:szCs w:val="21"/>
        </w:rPr>
      </w:pPr>
      <w:r>
        <w:rPr>
          <w:rFonts w:hint="eastAsia" w:ascii="宋体" w:hAnsi="宋体"/>
          <w:sz w:val="21"/>
          <w:szCs w:val="21"/>
        </w:rPr>
        <w:t>（2）根据合同条款要求，所有检验和试验等费用都被认为包括在合同总价中。</w:t>
      </w:r>
    </w:p>
    <w:p>
      <w:pPr>
        <w:spacing w:line="400" w:lineRule="exact"/>
        <w:ind w:firstLine="420" w:firstLineChars="200"/>
        <w:rPr>
          <w:rFonts w:hint="eastAsia" w:ascii="宋体" w:hAnsi="宋体"/>
          <w:sz w:val="21"/>
          <w:szCs w:val="21"/>
        </w:rPr>
      </w:pPr>
      <w:r>
        <w:rPr>
          <w:rFonts w:hint="eastAsia" w:ascii="宋体" w:hAnsi="宋体"/>
          <w:sz w:val="21"/>
          <w:szCs w:val="21"/>
        </w:rPr>
        <w:t>（3）在生产制造期间，买方有权在认为合适的时间到卖方制造地，进行质量检验和试验，若一些零部件需在其他地方生产，卖方应为买方办理手续进入现场。在制造监制期间，制造商有责任提供有关设备的各种数据，设备结构图和部件图的详细中文资料。但买方监制并不解除制造商对所有产品在制造质量上应负的全部责任，也不作为买方的最终验收。</w:t>
      </w:r>
    </w:p>
    <w:p>
      <w:pPr>
        <w:spacing w:line="400" w:lineRule="exact"/>
        <w:ind w:firstLine="420" w:firstLineChars="200"/>
        <w:rPr>
          <w:rFonts w:hint="eastAsia" w:ascii="宋体" w:hAnsi="宋体"/>
          <w:sz w:val="21"/>
          <w:szCs w:val="21"/>
        </w:rPr>
      </w:pPr>
      <w:r>
        <w:rPr>
          <w:rFonts w:hint="eastAsia" w:ascii="宋体" w:hAnsi="宋体"/>
          <w:sz w:val="21"/>
          <w:szCs w:val="21"/>
        </w:rPr>
        <w:t>（4）主要部件和电气部件及总体工程的检验都应在工厂内结束。卖方须提供由买方工程师认可的一整套检验标准和计划。所有检验应严格地按照认可的方式进行。在检验结束后，卖方须提供必要的技术数据和图纸，并提交一式三份检验、试验报告给买方。</w:t>
      </w:r>
    </w:p>
    <w:p>
      <w:pPr>
        <w:spacing w:line="400" w:lineRule="exact"/>
        <w:ind w:firstLine="420" w:firstLineChars="200"/>
        <w:rPr>
          <w:rFonts w:hint="eastAsia" w:ascii="宋体" w:hAnsi="宋体"/>
          <w:sz w:val="21"/>
          <w:szCs w:val="21"/>
        </w:rPr>
      </w:pPr>
      <w:r>
        <w:rPr>
          <w:rFonts w:hint="eastAsia" w:ascii="宋体" w:hAnsi="宋体"/>
          <w:sz w:val="21"/>
          <w:szCs w:val="21"/>
        </w:rPr>
        <w:t>（5）当设备试验时，卖方应至少在试验前14天以正式的书面形式通知买方：何种试验将在何时何地进行。经买方认可后，若买方不能在指定的时间赶赴现场，卖方将进行试验并被视为买方在场进行，同时他须及时将试验报告副本送达买方。若买方需要，卖方应解释所有的试验事项，直至买方满意。</w:t>
      </w:r>
    </w:p>
    <w:p>
      <w:pPr>
        <w:spacing w:line="400" w:lineRule="exact"/>
        <w:ind w:firstLine="420" w:firstLineChars="200"/>
        <w:rPr>
          <w:rFonts w:hint="eastAsia" w:ascii="宋体" w:hAnsi="宋体"/>
          <w:sz w:val="21"/>
          <w:szCs w:val="21"/>
        </w:rPr>
      </w:pPr>
      <w:r>
        <w:rPr>
          <w:rFonts w:hint="eastAsia" w:ascii="宋体" w:hAnsi="宋体"/>
          <w:sz w:val="21"/>
          <w:szCs w:val="21"/>
        </w:rPr>
        <w:t>2、设备的防护、包装及运输工作</w:t>
      </w:r>
    </w:p>
    <w:p>
      <w:pPr>
        <w:spacing w:line="400" w:lineRule="exact"/>
        <w:ind w:firstLine="420" w:firstLineChars="200"/>
        <w:rPr>
          <w:rFonts w:hint="eastAsia" w:ascii="宋体" w:hAnsi="宋体"/>
          <w:sz w:val="21"/>
          <w:szCs w:val="21"/>
        </w:rPr>
      </w:pPr>
      <w:r>
        <w:rPr>
          <w:rFonts w:hint="eastAsia" w:ascii="宋体" w:hAnsi="宋体"/>
          <w:sz w:val="21"/>
          <w:szCs w:val="21"/>
        </w:rPr>
        <w:t>（1）设备的防护及油漆：设备内、外表面应洁净。投标人在投标时须提供所供设备的具体防护措施供买方认可，并对此工作负责。油漆表面应光洁，无折皱和剥落等。</w:t>
      </w:r>
    </w:p>
    <w:p>
      <w:pPr>
        <w:spacing w:line="400" w:lineRule="exact"/>
        <w:ind w:firstLine="420" w:firstLineChars="200"/>
        <w:rPr>
          <w:rFonts w:hint="eastAsia" w:ascii="宋体" w:hAnsi="宋体"/>
          <w:sz w:val="21"/>
          <w:szCs w:val="21"/>
        </w:rPr>
      </w:pPr>
      <w:r>
        <w:rPr>
          <w:rFonts w:hint="eastAsia" w:ascii="宋体" w:hAnsi="宋体"/>
          <w:sz w:val="21"/>
          <w:szCs w:val="21"/>
        </w:rPr>
        <w:t>（2）所有设备应合理、有效地整机包装，以使其有效防止各种损坏，如受潮、受热、剥落、腐蚀、变形等。</w:t>
      </w:r>
    </w:p>
    <w:p>
      <w:pPr>
        <w:spacing w:line="400" w:lineRule="exact"/>
        <w:ind w:firstLine="420" w:firstLineChars="200"/>
        <w:rPr>
          <w:rFonts w:hint="eastAsia" w:ascii="宋体" w:hAnsi="宋体"/>
          <w:sz w:val="21"/>
          <w:szCs w:val="21"/>
        </w:rPr>
      </w:pPr>
      <w:r>
        <w:rPr>
          <w:rFonts w:hint="eastAsia" w:ascii="宋体" w:hAnsi="宋体"/>
          <w:sz w:val="21"/>
          <w:szCs w:val="21"/>
        </w:rPr>
        <w:t>（3）不油漆且易磨蚀的钢制零部件应涂上高熔点或防酸或其它保护功能的油脂以得到保护，并妥善包装后固定。设备所有开口处应封闭保护起来，以防止在运输及搬运过程中异物进入。</w:t>
      </w:r>
    </w:p>
    <w:p>
      <w:pPr>
        <w:spacing w:line="400" w:lineRule="exact"/>
        <w:ind w:firstLine="420" w:firstLineChars="200"/>
        <w:rPr>
          <w:rFonts w:hint="eastAsia" w:ascii="宋体" w:hAnsi="宋体"/>
          <w:sz w:val="21"/>
          <w:szCs w:val="21"/>
        </w:rPr>
      </w:pPr>
      <w:r>
        <w:rPr>
          <w:rFonts w:hint="eastAsia" w:ascii="宋体" w:hAnsi="宋体"/>
          <w:sz w:val="21"/>
          <w:szCs w:val="21"/>
        </w:rPr>
        <w:t>（4）随机卖的零部件、备品备件等散件应用木箱包装。这些箱盒应适合于储存，储存年限应在包装上予以说明。</w:t>
      </w:r>
    </w:p>
    <w:p>
      <w:pPr>
        <w:spacing w:line="400" w:lineRule="exact"/>
        <w:ind w:firstLine="420" w:firstLineChars="200"/>
        <w:rPr>
          <w:rFonts w:hint="eastAsia" w:ascii="宋体" w:hAnsi="宋体"/>
          <w:sz w:val="21"/>
          <w:szCs w:val="21"/>
        </w:rPr>
      </w:pPr>
      <w:r>
        <w:rPr>
          <w:rFonts w:hint="eastAsia" w:ascii="宋体" w:hAnsi="宋体"/>
          <w:sz w:val="21"/>
          <w:szCs w:val="21"/>
        </w:rPr>
        <w:t>（5）设备的包装费应包括在合同总价中，这些包装材料应属于买方所有。</w:t>
      </w:r>
    </w:p>
    <w:p>
      <w:pPr>
        <w:spacing w:line="400" w:lineRule="exact"/>
        <w:ind w:firstLine="420" w:firstLineChars="200"/>
        <w:rPr>
          <w:rFonts w:hint="eastAsia" w:ascii="宋体" w:hAnsi="宋体"/>
          <w:sz w:val="21"/>
          <w:szCs w:val="21"/>
        </w:rPr>
      </w:pPr>
      <w:r>
        <w:rPr>
          <w:rFonts w:hint="eastAsia" w:ascii="宋体" w:hAnsi="宋体"/>
          <w:sz w:val="21"/>
          <w:szCs w:val="21"/>
        </w:rPr>
        <w:t>（6）在包装箱中，应附有产品合格证书（包括设备合格证、部件合格证、材料合格证等）、产品说明书、装箱单、易损件备件及专用工具清单，一套完整的经批准的图纸及有关的技术文件资料。包装箱外面应注明数量、设备名称、编号及起吊位置、警示标记、外形尺寸、毛重等。</w:t>
      </w:r>
    </w:p>
    <w:p>
      <w:pPr>
        <w:spacing w:line="400" w:lineRule="exact"/>
        <w:ind w:firstLine="420" w:firstLineChars="200"/>
        <w:rPr>
          <w:rFonts w:hint="eastAsia" w:ascii="宋体" w:hAnsi="宋体"/>
          <w:sz w:val="21"/>
          <w:szCs w:val="21"/>
        </w:rPr>
      </w:pPr>
      <w:r>
        <w:rPr>
          <w:rFonts w:hint="eastAsia" w:ascii="宋体" w:hAnsi="宋体"/>
          <w:sz w:val="21"/>
          <w:szCs w:val="21"/>
        </w:rPr>
        <w:t>（7）卖方应对设备的整个交货过程负责，包括运输、装卸及安全措施及现场的保管。</w:t>
      </w:r>
    </w:p>
    <w:p>
      <w:pPr>
        <w:spacing w:line="400" w:lineRule="exact"/>
        <w:ind w:firstLine="420" w:firstLineChars="200"/>
        <w:rPr>
          <w:rFonts w:hint="eastAsia" w:ascii="宋体" w:hAnsi="宋体"/>
          <w:sz w:val="21"/>
          <w:szCs w:val="21"/>
        </w:rPr>
      </w:pPr>
      <w:r>
        <w:rPr>
          <w:rFonts w:hint="eastAsia" w:ascii="宋体" w:hAnsi="宋体"/>
          <w:sz w:val="21"/>
          <w:szCs w:val="21"/>
        </w:rPr>
        <w:t>（8）随包装箱带的文件、资料应防潮密封，并放置在包装箱内明显的地方。</w:t>
      </w:r>
    </w:p>
    <w:p>
      <w:pPr>
        <w:spacing w:line="400" w:lineRule="exact"/>
        <w:ind w:firstLine="420" w:firstLineChars="200"/>
        <w:rPr>
          <w:rFonts w:hint="eastAsia" w:ascii="宋体" w:hAnsi="宋体"/>
          <w:sz w:val="21"/>
          <w:szCs w:val="21"/>
        </w:rPr>
      </w:pPr>
      <w:r>
        <w:rPr>
          <w:rFonts w:hint="eastAsia" w:ascii="宋体" w:hAnsi="宋体"/>
          <w:sz w:val="21"/>
          <w:szCs w:val="21"/>
        </w:rPr>
        <w:t>（9）到货验收：卖方应派员在所供设备到工地时进行到货验收。若发现任何损坏及质量问题，卖方应负责更换设备，并妥善处理直至买方满意。此工作所发生费用应由卖方自行承担。</w:t>
      </w:r>
    </w:p>
    <w:p>
      <w:pPr>
        <w:spacing w:line="400" w:lineRule="exact"/>
        <w:ind w:firstLine="420" w:firstLineChars="200"/>
        <w:rPr>
          <w:rFonts w:hint="eastAsia" w:ascii="宋体" w:hAnsi="宋体"/>
          <w:sz w:val="21"/>
          <w:szCs w:val="21"/>
        </w:rPr>
      </w:pPr>
      <w:r>
        <w:rPr>
          <w:rFonts w:hint="eastAsia" w:ascii="宋体" w:hAnsi="宋体"/>
          <w:sz w:val="21"/>
          <w:szCs w:val="21"/>
        </w:rPr>
        <w:t>在项目工地的存放仓库由买方负责协助解决，放置在仓库的设备材料由卖方负责保管，费用已含在报价中。</w:t>
      </w:r>
    </w:p>
    <w:p>
      <w:pPr>
        <w:spacing w:line="400" w:lineRule="exact"/>
        <w:ind w:firstLine="420" w:firstLineChars="200"/>
        <w:rPr>
          <w:rFonts w:hint="eastAsia" w:ascii="宋体" w:hAnsi="宋体"/>
          <w:sz w:val="21"/>
          <w:szCs w:val="21"/>
        </w:rPr>
      </w:pPr>
      <w:r>
        <w:rPr>
          <w:rFonts w:hint="eastAsia" w:ascii="宋体" w:hAnsi="宋体"/>
          <w:sz w:val="21"/>
          <w:szCs w:val="21"/>
        </w:rPr>
        <w:t>3、技术培训工作</w:t>
      </w:r>
    </w:p>
    <w:p>
      <w:pPr>
        <w:spacing w:line="400" w:lineRule="exact"/>
        <w:ind w:firstLine="420" w:firstLineChars="200"/>
        <w:rPr>
          <w:rFonts w:hint="eastAsia" w:ascii="宋体" w:hAnsi="宋体"/>
          <w:sz w:val="21"/>
          <w:szCs w:val="21"/>
        </w:rPr>
      </w:pPr>
      <w:r>
        <w:rPr>
          <w:rFonts w:hint="eastAsia" w:ascii="宋体" w:hAnsi="宋体"/>
          <w:sz w:val="21"/>
          <w:szCs w:val="21"/>
        </w:rPr>
        <w:t>（1）卖方应对买方工作人员无偿提供操作及维修培训，在工地现场为买方操作人员提供操作培训。</w:t>
      </w:r>
    </w:p>
    <w:p>
      <w:pPr>
        <w:spacing w:line="400" w:lineRule="exact"/>
        <w:ind w:firstLine="420" w:firstLineChars="200"/>
        <w:rPr>
          <w:rFonts w:hint="eastAsia" w:ascii="宋体" w:hAnsi="宋体"/>
          <w:sz w:val="21"/>
          <w:szCs w:val="21"/>
        </w:rPr>
      </w:pPr>
      <w:r>
        <w:rPr>
          <w:rFonts w:hint="eastAsia" w:ascii="宋体" w:hAnsi="宋体"/>
          <w:sz w:val="21"/>
          <w:szCs w:val="21"/>
        </w:rPr>
        <w:t>（2）卖方须提供一份买方认可的培训计划，其内容包括时间、地点、培训内容及培训项目等。卖方应派技术工程师到工地现场为买方免费培训相关人员，食宿、差旅等培训服务费用由卖方自理。</w:t>
      </w:r>
    </w:p>
    <w:p>
      <w:pPr>
        <w:spacing w:line="400" w:lineRule="exact"/>
        <w:ind w:firstLine="420" w:firstLineChars="200"/>
        <w:rPr>
          <w:rFonts w:hint="eastAsia" w:ascii="宋体" w:hAnsi="宋体"/>
          <w:sz w:val="21"/>
          <w:szCs w:val="21"/>
        </w:rPr>
      </w:pPr>
      <w:r>
        <w:rPr>
          <w:rFonts w:hint="eastAsia" w:ascii="宋体" w:hAnsi="宋体"/>
          <w:sz w:val="21"/>
          <w:szCs w:val="21"/>
        </w:rPr>
        <w:t>（3）卖方应编写培训手册供买方认可，手册中包括所有人员培训及依照与合同中提供的设备有关的试验、操作及维修的规程。</w:t>
      </w:r>
    </w:p>
    <w:p>
      <w:pPr>
        <w:spacing w:line="400" w:lineRule="exact"/>
        <w:ind w:firstLine="420" w:firstLineChars="200"/>
        <w:rPr>
          <w:rFonts w:hint="eastAsia" w:ascii="宋体" w:hAnsi="宋体"/>
          <w:sz w:val="21"/>
          <w:szCs w:val="21"/>
        </w:rPr>
      </w:pPr>
      <w:r>
        <w:rPr>
          <w:rFonts w:hint="eastAsia" w:ascii="宋体" w:hAnsi="宋体"/>
          <w:sz w:val="21"/>
          <w:szCs w:val="21"/>
        </w:rPr>
        <w:t>4、安装、调试及试运行工作</w:t>
      </w:r>
    </w:p>
    <w:p>
      <w:pPr>
        <w:spacing w:line="400" w:lineRule="exact"/>
        <w:ind w:firstLine="420" w:firstLineChars="200"/>
        <w:rPr>
          <w:rFonts w:hint="eastAsia" w:ascii="宋体" w:hAnsi="宋体"/>
          <w:sz w:val="21"/>
          <w:szCs w:val="21"/>
        </w:rPr>
      </w:pPr>
      <w:r>
        <w:rPr>
          <w:rFonts w:hint="eastAsia" w:ascii="宋体" w:hAnsi="宋体"/>
          <w:sz w:val="21"/>
          <w:szCs w:val="21"/>
        </w:rPr>
        <w:t>设备安装一结束且工作情况良好，相关的土建及配套工程工作也基本结束，此时在买方同意后，将执行调试和试运行工作。</w:t>
      </w:r>
    </w:p>
    <w:p>
      <w:pPr>
        <w:spacing w:line="400" w:lineRule="exact"/>
        <w:ind w:firstLine="420" w:firstLineChars="200"/>
        <w:rPr>
          <w:rFonts w:hint="eastAsia" w:ascii="宋体" w:hAnsi="宋体"/>
          <w:sz w:val="21"/>
          <w:szCs w:val="21"/>
        </w:rPr>
      </w:pPr>
      <w:r>
        <w:rPr>
          <w:rFonts w:hint="eastAsia" w:ascii="宋体" w:hAnsi="宋体"/>
          <w:sz w:val="21"/>
          <w:szCs w:val="21"/>
        </w:rPr>
        <w:t>（1）卖方应派遣有从事同类工作五年以上实践经验的工程师或技术人员与买方及设备安装单位一起进行设备的安装、调试及试运行工作，如在此阶段，因设备自身质量问题或安装出现差错，卖方应全权负责解决直到买方满意，并应按合同条款规定执行。</w:t>
      </w:r>
    </w:p>
    <w:p>
      <w:pPr>
        <w:spacing w:line="400" w:lineRule="exact"/>
        <w:ind w:firstLine="420" w:firstLineChars="200"/>
        <w:rPr>
          <w:rFonts w:hint="eastAsia" w:ascii="宋体" w:hAnsi="宋体"/>
          <w:sz w:val="21"/>
          <w:szCs w:val="21"/>
        </w:rPr>
      </w:pPr>
      <w:r>
        <w:rPr>
          <w:rFonts w:hint="eastAsia" w:ascii="宋体" w:hAnsi="宋体"/>
          <w:sz w:val="21"/>
          <w:szCs w:val="21"/>
        </w:rPr>
        <w:t>（2）在安装调试期间卖方应在现场负责安装、测试和调试，以检测其设计、制造、运行效果等。并提供所有测试和调试所需的工具、材料、仪器和劳务人员，一切费用由卖方负责。所用仪器、仪表应经检定合格并在有效期内，卖方须提供有关证明文件给买方。</w:t>
      </w:r>
    </w:p>
    <w:p>
      <w:pPr>
        <w:spacing w:line="400" w:lineRule="exact"/>
        <w:ind w:firstLine="420" w:firstLineChars="200"/>
        <w:rPr>
          <w:rFonts w:hint="eastAsia" w:ascii="宋体" w:hAnsi="宋体"/>
          <w:sz w:val="21"/>
          <w:szCs w:val="21"/>
        </w:rPr>
      </w:pPr>
      <w:r>
        <w:rPr>
          <w:rFonts w:hint="eastAsia" w:ascii="宋体" w:hAnsi="宋体"/>
          <w:sz w:val="21"/>
          <w:szCs w:val="21"/>
        </w:rPr>
        <w:t>卖方须将测试和调试方法及记录表在安装结束前4个星期提交给买方，请买方认可后方可执行。部分或全部测试需根据实际情况在安装期内或后进行。</w:t>
      </w:r>
    </w:p>
    <w:p>
      <w:pPr>
        <w:spacing w:line="400" w:lineRule="exact"/>
        <w:ind w:firstLine="420" w:firstLineChars="200"/>
        <w:rPr>
          <w:rFonts w:hint="eastAsia" w:ascii="宋体" w:hAnsi="宋体"/>
          <w:sz w:val="21"/>
          <w:szCs w:val="21"/>
        </w:rPr>
      </w:pPr>
      <w:r>
        <w:rPr>
          <w:rFonts w:hint="eastAsia" w:ascii="宋体" w:hAnsi="宋体"/>
          <w:sz w:val="21"/>
          <w:szCs w:val="21"/>
        </w:rPr>
        <w:t>（3）试运行</w:t>
      </w:r>
    </w:p>
    <w:p>
      <w:pPr>
        <w:spacing w:line="400" w:lineRule="exact"/>
        <w:ind w:firstLine="420" w:firstLineChars="200"/>
        <w:rPr>
          <w:rFonts w:hint="eastAsia" w:ascii="宋体" w:hAnsi="宋体"/>
          <w:sz w:val="21"/>
          <w:szCs w:val="21"/>
        </w:rPr>
      </w:pPr>
      <w:r>
        <w:rPr>
          <w:rFonts w:hint="eastAsia" w:ascii="宋体" w:hAnsi="宋体"/>
          <w:sz w:val="21"/>
          <w:szCs w:val="21"/>
        </w:rPr>
        <w:t>设备试运行需在和本项目有关的部门及买方的工程技术人员的监督下进行。</w:t>
      </w:r>
    </w:p>
    <w:p>
      <w:pPr>
        <w:spacing w:line="400" w:lineRule="exact"/>
        <w:ind w:firstLine="420" w:firstLineChars="200"/>
        <w:rPr>
          <w:rFonts w:hint="eastAsia" w:ascii="宋体" w:hAnsi="宋体"/>
          <w:sz w:val="21"/>
          <w:szCs w:val="21"/>
        </w:rPr>
      </w:pPr>
      <w:r>
        <w:rPr>
          <w:rFonts w:hint="eastAsia" w:ascii="宋体" w:hAnsi="宋体"/>
          <w:sz w:val="21"/>
          <w:szCs w:val="21"/>
        </w:rPr>
        <w:t>调试和试运行时间应遵照空调设备验收规格书规定执行。</w:t>
      </w:r>
    </w:p>
    <w:p>
      <w:pPr>
        <w:spacing w:line="400" w:lineRule="exact"/>
        <w:ind w:firstLine="420" w:firstLineChars="200"/>
        <w:rPr>
          <w:rFonts w:hint="eastAsia" w:ascii="宋体" w:hAnsi="宋体"/>
          <w:sz w:val="21"/>
          <w:szCs w:val="21"/>
        </w:rPr>
      </w:pPr>
      <w:r>
        <w:rPr>
          <w:rFonts w:hint="eastAsia" w:ascii="宋体" w:hAnsi="宋体"/>
          <w:sz w:val="21"/>
          <w:szCs w:val="21"/>
        </w:rPr>
        <w:t>5、验收工作</w:t>
      </w:r>
    </w:p>
    <w:p>
      <w:pPr>
        <w:spacing w:line="400" w:lineRule="exact"/>
        <w:ind w:firstLine="420" w:firstLineChars="200"/>
        <w:rPr>
          <w:rFonts w:hint="eastAsia" w:ascii="宋体" w:hAnsi="宋体"/>
          <w:sz w:val="21"/>
          <w:szCs w:val="21"/>
        </w:rPr>
      </w:pPr>
      <w:r>
        <w:rPr>
          <w:rFonts w:hint="eastAsia" w:ascii="宋体" w:hAnsi="宋体"/>
          <w:sz w:val="21"/>
          <w:szCs w:val="21"/>
        </w:rPr>
        <w:t>（1）产品保护</w:t>
      </w:r>
    </w:p>
    <w:p>
      <w:pPr>
        <w:spacing w:line="400" w:lineRule="exact"/>
        <w:ind w:firstLine="420" w:firstLineChars="200"/>
        <w:rPr>
          <w:rFonts w:hint="eastAsia" w:ascii="宋体" w:hAnsi="宋体"/>
          <w:sz w:val="21"/>
          <w:szCs w:val="21"/>
        </w:rPr>
      </w:pPr>
      <w:r>
        <w:rPr>
          <w:rFonts w:hint="eastAsia" w:ascii="宋体" w:hAnsi="宋体"/>
          <w:sz w:val="21"/>
          <w:szCs w:val="21"/>
        </w:rPr>
        <w:t>在进入完工装修之前，所有不需要特殊装修并且是暴露的设备、元部件必须进行防腐、防水、防尘、防烟处理。</w:t>
      </w:r>
    </w:p>
    <w:p>
      <w:pPr>
        <w:spacing w:line="400" w:lineRule="exact"/>
        <w:ind w:firstLine="420" w:firstLineChars="200"/>
        <w:rPr>
          <w:rFonts w:hint="eastAsia" w:ascii="宋体" w:hAnsi="宋体"/>
          <w:sz w:val="21"/>
          <w:szCs w:val="21"/>
        </w:rPr>
      </w:pPr>
      <w:r>
        <w:rPr>
          <w:rFonts w:hint="eastAsia" w:ascii="宋体" w:hAnsi="宋体"/>
          <w:sz w:val="21"/>
          <w:szCs w:val="21"/>
        </w:rPr>
        <w:t>（2）日常维护</w:t>
      </w:r>
    </w:p>
    <w:p>
      <w:pPr>
        <w:spacing w:line="400" w:lineRule="exact"/>
        <w:ind w:firstLine="420" w:firstLineChars="200"/>
        <w:rPr>
          <w:rFonts w:hint="eastAsia" w:ascii="宋体" w:hAnsi="宋体"/>
          <w:sz w:val="21"/>
          <w:szCs w:val="21"/>
        </w:rPr>
      </w:pPr>
      <w:r>
        <w:rPr>
          <w:rFonts w:hint="eastAsia" w:ascii="宋体" w:hAnsi="宋体"/>
          <w:sz w:val="21"/>
          <w:szCs w:val="21"/>
        </w:rPr>
        <w:t>在买方正式接收后，卖方保证设备在保质期内正常运行。卖方应承担所有设备在质保期内的维修费（人为因素损坏除外）及卖方的工程技术人员的费用。卖方在质保期内需进行保养，具体工作如下：</w:t>
      </w:r>
    </w:p>
    <w:tbl>
      <w:tblPr>
        <w:tblStyle w:val="5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3"/>
        <w:gridCol w:w="700"/>
        <w:gridCol w:w="1664"/>
        <w:gridCol w:w="4536"/>
        <w:gridCol w:w="14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noWrap w:val="0"/>
            <w:vAlign w:val="center"/>
          </w:tcPr>
          <w:p>
            <w:pPr>
              <w:jc w:val="center"/>
              <w:rPr>
                <w:rFonts w:hint="eastAsia" w:ascii="宋体" w:hAnsi="宋体" w:cs="宋体"/>
                <w:sz w:val="21"/>
                <w:szCs w:val="21"/>
              </w:rPr>
            </w:pPr>
            <w:r>
              <w:rPr>
                <w:rFonts w:hint="eastAsia" w:ascii="宋体" w:hAnsi="宋体" w:cs="宋体"/>
                <w:sz w:val="21"/>
                <w:szCs w:val="21"/>
              </w:rPr>
              <w:t>设备名称</w:t>
            </w: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序号</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项目名称</w:t>
            </w:r>
          </w:p>
        </w:tc>
        <w:tc>
          <w:tcPr>
            <w:tcW w:w="4536" w:type="dxa"/>
            <w:noWrap w:val="0"/>
            <w:vAlign w:val="center"/>
          </w:tcPr>
          <w:p>
            <w:pPr>
              <w:jc w:val="center"/>
              <w:rPr>
                <w:rFonts w:hint="eastAsia" w:ascii="宋体" w:hAnsi="宋体" w:cs="宋体"/>
                <w:sz w:val="21"/>
                <w:szCs w:val="21"/>
              </w:rPr>
            </w:pPr>
            <w:r>
              <w:rPr>
                <w:rFonts w:hint="eastAsia" w:ascii="宋体" w:hAnsi="宋体" w:cs="宋体"/>
                <w:sz w:val="21"/>
                <w:szCs w:val="21"/>
              </w:rPr>
              <w:t>检查维护内容</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维护周期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restart"/>
            <w:noWrap w:val="0"/>
            <w:vAlign w:val="center"/>
          </w:tcPr>
          <w:p>
            <w:pPr>
              <w:jc w:val="center"/>
              <w:rPr>
                <w:rFonts w:hint="eastAsia" w:ascii="宋体" w:hAnsi="宋体" w:cs="宋体"/>
                <w:sz w:val="21"/>
                <w:szCs w:val="21"/>
              </w:rPr>
            </w:pPr>
            <w:r>
              <w:rPr>
                <w:rFonts w:hint="eastAsia" w:ascii="宋体" w:hAnsi="宋体" w:cs="宋体"/>
                <w:sz w:val="21"/>
                <w:szCs w:val="21"/>
              </w:rPr>
              <w:t>室内机</w:t>
            </w: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1</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空调回风滤网</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清洗回风滤网</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2</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蒸发器</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检查蒸发器并根据情况清洗</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3</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电子膨胀阀</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检查电子膨胀阀执行动作是否正常</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4</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温度传感器</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检查并测量温度传感器阻值是否正常</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5</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排水泵</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检查排水泵运转和排水是否正常</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6</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冷凝排水系统</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检查冷凝排水系统是否正常</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使用季节每月一次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7</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冷媒管保温</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检查保温是否完好并修复</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8</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风扇电机</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检查电机轴承、电机绝缘阻值、风机扇叶动平衡</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9</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线控器</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检查线控器输入输出是否正常</w:t>
            </w:r>
            <w:r>
              <w:rPr>
                <w:rFonts w:hint="eastAsia" w:ascii="宋体" w:hAnsi="宋体" w:cs="宋体"/>
                <w:sz w:val="21"/>
                <w:szCs w:val="21"/>
              </w:rPr>
              <w:br w:type="textWrapping"/>
            </w:r>
            <w:r>
              <w:rPr>
                <w:rFonts w:hint="eastAsia" w:ascii="宋体" w:hAnsi="宋体" w:cs="宋体"/>
                <w:sz w:val="21"/>
                <w:szCs w:val="21"/>
              </w:rPr>
              <w:t>液晶显示是否正常</w:t>
            </w:r>
            <w:r>
              <w:rPr>
                <w:rFonts w:hint="eastAsia" w:ascii="宋体" w:hAnsi="宋体" w:cs="宋体"/>
                <w:sz w:val="21"/>
                <w:szCs w:val="21"/>
              </w:rPr>
              <w:br w:type="textWrapping"/>
            </w:r>
            <w:r>
              <w:rPr>
                <w:rFonts w:hint="eastAsia" w:ascii="宋体" w:hAnsi="宋体" w:cs="宋体"/>
                <w:sz w:val="21"/>
                <w:szCs w:val="21"/>
              </w:rPr>
              <w:t>菜单设置是否正常</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10</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接线端子</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检查并紧固接线端子</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11</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供电电源</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测量供电电源是否正常</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12</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电路板</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检测电脑版各项输入输出是否正常</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13</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冷凝水脱水盘</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检查并清理脱水盘杂物</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14</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送风温度</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测量空调送风温度是否符合标准</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15</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送风量</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测量空调送风量是否符合标准</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16</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设备接地及绝缘</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测量设备绝缘是否良好</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17</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固定设施</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检查并紧固设备固定螺丝及支架</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18</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空调面板</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检查清洁空调面板</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19</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传感器</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检查回风温度传感器是否良好</w:t>
            </w:r>
            <w:r>
              <w:rPr>
                <w:rFonts w:hint="eastAsia" w:ascii="宋体" w:hAnsi="宋体" w:cs="宋体"/>
                <w:sz w:val="21"/>
                <w:szCs w:val="21"/>
              </w:rPr>
              <w:br w:type="textWrapping"/>
            </w:r>
            <w:r>
              <w:rPr>
                <w:rFonts w:hint="eastAsia" w:ascii="宋体" w:hAnsi="宋体" w:cs="宋体"/>
                <w:sz w:val="21"/>
                <w:szCs w:val="21"/>
              </w:rPr>
              <w:t>检查蒸发盘管温度传感器是否良好</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restart"/>
            <w:noWrap w:val="0"/>
            <w:vAlign w:val="center"/>
          </w:tcPr>
          <w:p>
            <w:pPr>
              <w:jc w:val="center"/>
              <w:rPr>
                <w:rFonts w:hint="eastAsia" w:ascii="宋体" w:hAnsi="宋体" w:cs="宋体"/>
                <w:sz w:val="21"/>
                <w:szCs w:val="21"/>
              </w:rPr>
            </w:pPr>
            <w:r>
              <w:rPr>
                <w:rFonts w:hint="eastAsia" w:ascii="宋体" w:hAnsi="宋体" w:cs="宋体"/>
                <w:sz w:val="21"/>
                <w:szCs w:val="21"/>
              </w:rPr>
              <w:t>室外机</w:t>
            </w: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1</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压缩及部分</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检测压缩机绝缘电阻</w:t>
            </w:r>
            <w:r>
              <w:rPr>
                <w:rFonts w:hint="eastAsia" w:ascii="宋体" w:hAnsi="宋体" w:cs="宋体"/>
                <w:sz w:val="21"/>
                <w:szCs w:val="21"/>
              </w:rPr>
              <w:br w:type="textWrapping"/>
            </w:r>
            <w:r>
              <w:rPr>
                <w:rFonts w:hint="eastAsia" w:ascii="宋体" w:hAnsi="宋体" w:cs="宋体"/>
                <w:sz w:val="21"/>
                <w:szCs w:val="21"/>
              </w:rPr>
              <w:t>检测压缩机电流</w:t>
            </w:r>
            <w:r>
              <w:rPr>
                <w:rFonts w:hint="eastAsia" w:ascii="宋体" w:hAnsi="宋体" w:cs="宋体"/>
                <w:sz w:val="21"/>
                <w:szCs w:val="21"/>
              </w:rPr>
              <w:br w:type="textWrapping"/>
            </w:r>
            <w:r>
              <w:rPr>
                <w:rFonts w:hint="eastAsia" w:ascii="宋体" w:hAnsi="宋体" w:cs="宋体"/>
                <w:sz w:val="21"/>
                <w:szCs w:val="21"/>
              </w:rPr>
              <w:t>检测压缩机冷却</w:t>
            </w:r>
            <w:r>
              <w:rPr>
                <w:rFonts w:hint="eastAsia" w:ascii="宋体" w:hAnsi="宋体" w:cs="宋体"/>
                <w:sz w:val="21"/>
                <w:szCs w:val="21"/>
              </w:rPr>
              <w:br w:type="textWrapping"/>
            </w:r>
            <w:r>
              <w:rPr>
                <w:rFonts w:hint="eastAsia" w:ascii="宋体" w:hAnsi="宋体" w:cs="宋体"/>
                <w:sz w:val="21"/>
                <w:szCs w:val="21"/>
              </w:rPr>
              <w:t>检测压缩器排气温度</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2</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制冷系统</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检测系统排气压力</w:t>
            </w:r>
            <w:r>
              <w:rPr>
                <w:rFonts w:hint="eastAsia" w:ascii="宋体" w:hAnsi="宋体" w:cs="宋体"/>
                <w:sz w:val="21"/>
                <w:szCs w:val="21"/>
              </w:rPr>
              <w:br w:type="textWrapping"/>
            </w:r>
            <w:r>
              <w:rPr>
                <w:rFonts w:hint="eastAsia" w:ascii="宋体" w:hAnsi="宋体" w:cs="宋体"/>
                <w:sz w:val="21"/>
                <w:szCs w:val="21"/>
              </w:rPr>
              <w:t>检测系统吸气压力</w:t>
            </w:r>
            <w:r>
              <w:rPr>
                <w:rFonts w:hint="eastAsia" w:ascii="宋体" w:hAnsi="宋体" w:cs="宋体"/>
                <w:sz w:val="21"/>
                <w:szCs w:val="21"/>
              </w:rPr>
              <w:br w:type="textWrapping"/>
            </w:r>
            <w:r>
              <w:rPr>
                <w:rFonts w:hint="eastAsia" w:ascii="宋体" w:hAnsi="宋体" w:cs="宋体"/>
                <w:sz w:val="21"/>
                <w:szCs w:val="21"/>
              </w:rPr>
              <w:t>检查系统有无漏点</w:t>
            </w:r>
            <w:r>
              <w:rPr>
                <w:rFonts w:hint="eastAsia" w:ascii="宋体" w:hAnsi="宋体" w:cs="宋体"/>
                <w:sz w:val="21"/>
                <w:szCs w:val="21"/>
              </w:rPr>
              <w:br w:type="textWrapping"/>
            </w:r>
            <w:r>
              <w:rPr>
                <w:rFonts w:hint="eastAsia" w:ascii="宋体" w:hAnsi="宋体" w:cs="宋体"/>
                <w:sz w:val="21"/>
                <w:szCs w:val="21"/>
              </w:rPr>
              <w:t>检测系统冷媒量是否充足,不足需补充</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使用季节每月一次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3</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冷冻油</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检测压缩机绝缘电阻</w:t>
            </w:r>
            <w:r>
              <w:rPr>
                <w:rFonts w:hint="eastAsia" w:ascii="宋体" w:hAnsi="宋体" w:cs="宋体"/>
                <w:sz w:val="21"/>
                <w:szCs w:val="21"/>
              </w:rPr>
              <w:br w:type="textWrapping"/>
            </w:r>
            <w:r>
              <w:rPr>
                <w:rFonts w:hint="eastAsia" w:ascii="宋体" w:hAnsi="宋体" w:cs="宋体"/>
                <w:sz w:val="21"/>
                <w:szCs w:val="21"/>
              </w:rPr>
              <w:t>检测压缩机电流</w:t>
            </w:r>
            <w:r>
              <w:rPr>
                <w:rFonts w:hint="eastAsia" w:ascii="宋体" w:hAnsi="宋体" w:cs="宋体"/>
                <w:sz w:val="21"/>
                <w:szCs w:val="21"/>
              </w:rPr>
              <w:br w:type="textWrapping"/>
            </w:r>
            <w:r>
              <w:rPr>
                <w:rFonts w:hint="eastAsia" w:ascii="宋体" w:hAnsi="宋体" w:cs="宋体"/>
                <w:sz w:val="21"/>
                <w:szCs w:val="21"/>
              </w:rPr>
              <w:t>检测压缩机冷却</w:t>
            </w:r>
            <w:r>
              <w:rPr>
                <w:rFonts w:hint="eastAsia" w:ascii="宋体" w:hAnsi="宋体" w:cs="宋体"/>
                <w:sz w:val="21"/>
                <w:szCs w:val="21"/>
              </w:rPr>
              <w:br w:type="textWrapping"/>
            </w:r>
            <w:r>
              <w:rPr>
                <w:rFonts w:hint="eastAsia" w:ascii="宋体" w:hAnsi="宋体" w:cs="宋体"/>
                <w:sz w:val="21"/>
                <w:szCs w:val="21"/>
              </w:rPr>
              <w:t>检测压缩机冷冻油是否充足</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4</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四通阀</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检查四通换向阀制冷制热切换是否正常</w:t>
            </w:r>
            <w:r>
              <w:rPr>
                <w:rFonts w:hint="eastAsia" w:ascii="宋体" w:hAnsi="宋体" w:cs="宋体"/>
                <w:sz w:val="21"/>
                <w:szCs w:val="21"/>
              </w:rPr>
              <w:br w:type="textWrapping"/>
            </w:r>
            <w:r>
              <w:rPr>
                <w:rFonts w:hint="eastAsia" w:ascii="宋体" w:hAnsi="宋体" w:cs="宋体"/>
                <w:sz w:val="21"/>
                <w:szCs w:val="21"/>
              </w:rPr>
              <w:t>检查四通换向阀是否串气</w:t>
            </w:r>
            <w:r>
              <w:rPr>
                <w:rFonts w:hint="eastAsia" w:ascii="宋体" w:hAnsi="宋体" w:cs="宋体"/>
                <w:sz w:val="21"/>
                <w:szCs w:val="21"/>
              </w:rPr>
              <w:br w:type="textWrapping"/>
            </w:r>
            <w:r>
              <w:rPr>
                <w:rFonts w:hint="eastAsia" w:ascii="宋体" w:hAnsi="宋体" w:cs="宋体"/>
                <w:sz w:val="21"/>
                <w:szCs w:val="21"/>
              </w:rPr>
              <w:t>检查四通阀线圈是否正常</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5</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过滤器</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检查过滤器是否有阻塞</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6</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膨胀阀</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检查电子膨胀阀节流调节是否正常</w:t>
            </w:r>
            <w:r>
              <w:rPr>
                <w:rFonts w:hint="eastAsia" w:ascii="宋体" w:hAnsi="宋体" w:cs="宋体"/>
                <w:sz w:val="21"/>
                <w:szCs w:val="21"/>
              </w:rPr>
              <w:br w:type="textWrapping"/>
            </w:r>
            <w:r>
              <w:rPr>
                <w:rFonts w:hint="eastAsia" w:ascii="宋体" w:hAnsi="宋体" w:cs="宋体"/>
                <w:sz w:val="21"/>
                <w:szCs w:val="21"/>
              </w:rPr>
              <w:t>检测电子膨胀阀线圈工作是否正常</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7</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储液罐</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检查储液罐是否良好</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8</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高压开关</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检测高压保护开关动作是否正常</w:t>
            </w:r>
            <w:r>
              <w:rPr>
                <w:rFonts w:hint="eastAsia" w:ascii="宋体" w:hAnsi="宋体" w:cs="宋体"/>
                <w:sz w:val="21"/>
                <w:szCs w:val="21"/>
              </w:rPr>
              <w:br w:type="textWrapping"/>
            </w:r>
            <w:r>
              <w:rPr>
                <w:rFonts w:hint="eastAsia" w:ascii="宋体" w:hAnsi="宋体" w:cs="宋体"/>
                <w:sz w:val="21"/>
                <w:szCs w:val="21"/>
              </w:rPr>
              <w:t>校正高压保护开关点是否正确</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9</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低压开关</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检测低压保护开关动作是否正常</w:t>
            </w:r>
            <w:r>
              <w:rPr>
                <w:rFonts w:hint="eastAsia" w:ascii="宋体" w:hAnsi="宋体" w:cs="宋体"/>
                <w:sz w:val="21"/>
                <w:szCs w:val="21"/>
              </w:rPr>
              <w:br w:type="textWrapping"/>
            </w:r>
            <w:r>
              <w:rPr>
                <w:rFonts w:hint="eastAsia" w:ascii="宋体" w:hAnsi="宋体" w:cs="宋体"/>
                <w:sz w:val="21"/>
                <w:szCs w:val="21"/>
              </w:rPr>
              <w:t>校正低压保护开关点是否正确</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10</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传感器</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检查排气温度传感器是否正常</w:t>
            </w:r>
            <w:r>
              <w:rPr>
                <w:rFonts w:hint="eastAsia" w:ascii="宋体" w:hAnsi="宋体" w:cs="宋体"/>
                <w:sz w:val="21"/>
                <w:szCs w:val="21"/>
              </w:rPr>
              <w:br w:type="textWrapping"/>
            </w:r>
            <w:r>
              <w:rPr>
                <w:rFonts w:hint="eastAsia" w:ascii="宋体" w:hAnsi="宋体" w:cs="宋体"/>
                <w:sz w:val="21"/>
                <w:szCs w:val="21"/>
              </w:rPr>
              <w:t>检查排气压力传感器是否正常</w:t>
            </w:r>
            <w:r>
              <w:rPr>
                <w:rFonts w:hint="eastAsia" w:ascii="宋体" w:hAnsi="宋体" w:cs="宋体"/>
                <w:sz w:val="21"/>
                <w:szCs w:val="21"/>
              </w:rPr>
              <w:br w:type="textWrapping"/>
            </w:r>
            <w:r>
              <w:rPr>
                <w:rFonts w:hint="eastAsia" w:ascii="宋体" w:hAnsi="宋体" w:cs="宋体"/>
                <w:sz w:val="21"/>
                <w:szCs w:val="21"/>
              </w:rPr>
              <w:t>检查吸气压力传感器是否正常</w:t>
            </w:r>
            <w:r>
              <w:rPr>
                <w:rFonts w:hint="eastAsia" w:ascii="宋体" w:hAnsi="宋体" w:cs="宋体"/>
                <w:sz w:val="21"/>
                <w:szCs w:val="21"/>
              </w:rPr>
              <w:br w:type="textWrapping"/>
            </w:r>
            <w:r>
              <w:rPr>
                <w:rFonts w:hint="eastAsia" w:ascii="宋体" w:hAnsi="宋体" w:cs="宋体"/>
                <w:sz w:val="21"/>
                <w:szCs w:val="21"/>
              </w:rPr>
              <w:t>检查环境温度传感器是否正常</w:t>
            </w:r>
            <w:r>
              <w:rPr>
                <w:rFonts w:hint="eastAsia" w:ascii="宋体" w:hAnsi="宋体" w:cs="宋体"/>
                <w:sz w:val="21"/>
                <w:szCs w:val="21"/>
              </w:rPr>
              <w:br w:type="textWrapping"/>
            </w:r>
            <w:r>
              <w:rPr>
                <w:rFonts w:hint="eastAsia" w:ascii="宋体" w:hAnsi="宋体" w:cs="宋体"/>
                <w:sz w:val="21"/>
                <w:szCs w:val="21"/>
              </w:rPr>
              <w:t>检查盘管温度传感器是否正常</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使用季节每月一次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11</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单向阀</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检查单向阀工作是否正常</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12</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冷凝风机</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检查电机电流</w:t>
            </w:r>
            <w:r>
              <w:rPr>
                <w:rFonts w:hint="eastAsia" w:ascii="宋体" w:hAnsi="宋体" w:cs="宋体"/>
                <w:sz w:val="21"/>
                <w:szCs w:val="21"/>
              </w:rPr>
              <w:br w:type="textWrapping"/>
            </w:r>
            <w:r>
              <w:rPr>
                <w:rFonts w:hint="eastAsia" w:ascii="宋体" w:hAnsi="宋体" w:cs="宋体"/>
                <w:sz w:val="21"/>
                <w:szCs w:val="21"/>
              </w:rPr>
              <w:t>检查电机电源</w:t>
            </w:r>
            <w:r>
              <w:rPr>
                <w:rFonts w:hint="eastAsia" w:ascii="宋体" w:hAnsi="宋体" w:cs="宋体"/>
                <w:sz w:val="21"/>
                <w:szCs w:val="21"/>
              </w:rPr>
              <w:br w:type="textWrapping"/>
            </w:r>
            <w:r>
              <w:rPr>
                <w:rFonts w:hint="eastAsia" w:ascii="宋体" w:hAnsi="宋体" w:cs="宋体"/>
                <w:sz w:val="21"/>
                <w:szCs w:val="21"/>
              </w:rPr>
              <w:t>检查电机轴承是否良好</w:t>
            </w:r>
            <w:r>
              <w:rPr>
                <w:rFonts w:hint="eastAsia" w:ascii="宋体" w:hAnsi="宋体" w:cs="宋体"/>
                <w:sz w:val="21"/>
                <w:szCs w:val="21"/>
              </w:rPr>
              <w:br w:type="textWrapping"/>
            </w:r>
            <w:r>
              <w:rPr>
                <w:rFonts w:hint="eastAsia" w:ascii="宋体" w:hAnsi="宋体" w:cs="宋体"/>
                <w:sz w:val="21"/>
                <w:szCs w:val="21"/>
              </w:rPr>
              <w:t>检查风机扇叶是否良好</w:t>
            </w:r>
            <w:r>
              <w:rPr>
                <w:rFonts w:hint="eastAsia" w:ascii="宋体" w:hAnsi="宋体" w:cs="宋体"/>
                <w:sz w:val="21"/>
                <w:szCs w:val="21"/>
              </w:rPr>
              <w:br w:type="textWrapping"/>
            </w:r>
            <w:r>
              <w:rPr>
                <w:rFonts w:hint="eastAsia" w:ascii="宋体" w:hAnsi="宋体" w:cs="宋体"/>
                <w:sz w:val="21"/>
                <w:szCs w:val="21"/>
              </w:rPr>
              <w:t>检查风机动平衡是否正常</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13</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冷凝器</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检查冷凝器是否散热良好</w:t>
            </w:r>
            <w:r>
              <w:rPr>
                <w:rFonts w:hint="eastAsia" w:ascii="宋体" w:hAnsi="宋体" w:cs="宋体"/>
                <w:sz w:val="21"/>
                <w:szCs w:val="21"/>
              </w:rPr>
              <w:br w:type="textWrapping"/>
            </w:r>
            <w:r>
              <w:rPr>
                <w:rFonts w:hint="eastAsia" w:ascii="宋体" w:hAnsi="宋体" w:cs="宋体"/>
                <w:sz w:val="21"/>
                <w:szCs w:val="21"/>
              </w:rPr>
              <w:t>检查冷凝器翅片是否有脏堵</w:t>
            </w:r>
            <w:r>
              <w:rPr>
                <w:rFonts w:hint="eastAsia" w:ascii="宋体" w:hAnsi="宋体" w:cs="宋体"/>
                <w:sz w:val="21"/>
                <w:szCs w:val="21"/>
              </w:rPr>
              <w:br w:type="textWrapping"/>
            </w:r>
            <w:r>
              <w:rPr>
                <w:rFonts w:hint="eastAsia" w:ascii="宋体" w:hAnsi="宋体" w:cs="宋体"/>
                <w:sz w:val="21"/>
                <w:szCs w:val="21"/>
              </w:rPr>
              <w:t>药剂清洗冷凝器翅片除尘、除垢</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每年一次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14</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供电电源</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检查供电电缆是否正常</w:t>
            </w:r>
            <w:r>
              <w:rPr>
                <w:rFonts w:hint="eastAsia" w:ascii="宋体" w:hAnsi="宋体" w:cs="宋体"/>
                <w:sz w:val="21"/>
                <w:szCs w:val="21"/>
              </w:rPr>
              <w:br w:type="textWrapping"/>
            </w:r>
            <w:r>
              <w:rPr>
                <w:rFonts w:hint="eastAsia" w:ascii="宋体" w:hAnsi="宋体" w:cs="宋体"/>
                <w:sz w:val="21"/>
                <w:szCs w:val="21"/>
              </w:rPr>
              <w:t>检查并紧固接线端子</w:t>
            </w:r>
            <w:r>
              <w:rPr>
                <w:rFonts w:hint="eastAsia" w:ascii="宋体" w:hAnsi="宋体" w:cs="宋体"/>
                <w:sz w:val="21"/>
                <w:szCs w:val="21"/>
              </w:rPr>
              <w:br w:type="textWrapping"/>
            </w:r>
            <w:r>
              <w:rPr>
                <w:rFonts w:hint="eastAsia" w:ascii="宋体" w:hAnsi="宋体" w:cs="宋体"/>
                <w:sz w:val="21"/>
                <w:szCs w:val="21"/>
              </w:rPr>
              <w:t>检测供电电源电压是否正常</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15</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电控部分</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检查电脑主板供电电源是否正常</w:t>
            </w:r>
            <w:r>
              <w:rPr>
                <w:rFonts w:hint="eastAsia" w:ascii="宋体" w:hAnsi="宋体" w:cs="宋体"/>
                <w:sz w:val="21"/>
                <w:szCs w:val="21"/>
              </w:rPr>
              <w:br w:type="textWrapping"/>
            </w:r>
            <w:r>
              <w:rPr>
                <w:rFonts w:hint="eastAsia" w:ascii="宋体" w:hAnsi="宋体" w:cs="宋体"/>
                <w:sz w:val="21"/>
                <w:szCs w:val="21"/>
              </w:rPr>
              <w:t>电脑版输入输出是否正常</w:t>
            </w:r>
            <w:r>
              <w:rPr>
                <w:rFonts w:hint="eastAsia" w:ascii="宋体" w:hAnsi="宋体" w:cs="宋体"/>
                <w:sz w:val="21"/>
                <w:szCs w:val="21"/>
              </w:rPr>
              <w:br w:type="textWrapping"/>
            </w:r>
            <w:r>
              <w:rPr>
                <w:rFonts w:hint="eastAsia" w:ascii="宋体" w:hAnsi="宋体" w:cs="宋体"/>
                <w:sz w:val="21"/>
                <w:szCs w:val="21"/>
              </w:rPr>
              <w:t>电脑版除尘处理</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16</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变频控制部分</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检测变频板是否工作正常</w:t>
            </w:r>
            <w:r>
              <w:rPr>
                <w:rFonts w:hint="eastAsia" w:ascii="宋体" w:hAnsi="宋体" w:cs="宋体"/>
                <w:sz w:val="21"/>
                <w:szCs w:val="21"/>
              </w:rPr>
              <w:br w:type="textWrapping"/>
            </w:r>
            <w:r>
              <w:rPr>
                <w:rFonts w:hint="eastAsia" w:ascii="宋体" w:hAnsi="宋体" w:cs="宋体"/>
                <w:sz w:val="21"/>
                <w:szCs w:val="21"/>
              </w:rPr>
              <w:t>检查变频器散热风机工作是否正常</w:t>
            </w:r>
            <w:r>
              <w:rPr>
                <w:rFonts w:hint="eastAsia" w:ascii="宋体" w:hAnsi="宋体" w:cs="宋体"/>
                <w:sz w:val="21"/>
                <w:szCs w:val="21"/>
              </w:rPr>
              <w:br w:type="textWrapping"/>
            </w:r>
            <w:r>
              <w:rPr>
                <w:rFonts w:hint="eastAsia" w:ascii="宋体" w:hAnsi="宋体" w:cs="宋体"/>
                <w:sz w:val="21"/>
                <w:szCs w:val="21"/>
              </w:rPr>
              <w:t>检测整流电路是否工作正常</w:t>
            </w:r>
            <w:r>
              <w:rPr>
                <w:rFonts w:hint="eastAsia" w:ascii="宋体" w:hAnsi="宋体" w:cs="宋体"/>
                <w:sz w:val="21"/>
                <w:szCs w:val="21"/>
              </w:rPr>
              <w:br w:type="textWrapping"/>
            </w:r>
            <w:r>
              <w:rPr>
                <w:rFonts w:hint="eastAsia" w:ascii="宋体" w:hAnsi="宋体" w:cs="宋体"/>
                <w:sz w:val="21"/>
                <w:szCs w:val="21"/>
              </w:rPr>
              <w:t>检测变频模块工作是否正常</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17</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冷媒管</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检查冷媒管保温是否完好</w:t>
            </w:r>
            <w:r>
              <w:rPr>
                <w:rFonts w:hint="eastAsia" w:ascii="宋体" w:hAnsi="宋体" w:cs="宋体"/>
                <w:sz w:val="21"/>
                <w:szCs w:val="21"/>
              </w:rPr>
              <w:br w:type="textWrapping"/>
            </w:r>
            <w:r>
              <w:rPr>
                <w:rFonts w:hint="eastAsia" w:ascii="宋体" w:hAnsi="宋体" w:cs="宋体"/>
                <w:sz w:val="21"/>
                <w:szCs w:val="21"/>
              </w:rPr>
              <w:t>检查冷媒管是否有漏点</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使用季节每月一次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 w:type="dxa"/>
            <w:vMerge w:val="continue"/>
            <w:noWrap w:val="0"/>
            <w:vAlign w:val="center"/>
          </w:tcPr>
          <w:p>
            <w:pPr>
              <w:jc w:val="center"/>
              <w:rPr>
                <w:rFonts w:hint="eastAsia" w:ascii="宋体" w:hAnsi="宋体" w:cs="宋体"/>
                <w:sz w:val="21"/>
                <w:szCs w:val="21"/>
              </w:rPr>
            </w:pPr>
          </w:p>
        </w:tc>
        <w:tc>
          <w:tcPr>
            <w:tcW w:w="700" w:type="dxa"/>
            <w:noWrap w:val="0"/>
            <w:vAlign w:val="center"/>
          </w:tcPr>
          <w:p>
            <w:pPr>
              <w:jc w:val="center"/>
              <w:rPr>
                <w:rFonts w:hint="eastAsia" w:ascii="宋体" w:hAnsi="宋体" w:cs="宋体"/>
                <w:sz w:val="21"/>
                <w:szCs w:val="21"/>
              </w:rPr>
            </w:pPr>
            <w:r>
              <w:rPr>
                <w:rFonts w:hint="eastAsia" w:ascii="宋体" w:hAnsi="宋体" w:cs="宋体"/>
                <w:sz w:val="21"/>
                <w:szCs w:val="21"/>
              </w:rPr>
              <w:t>18</w:t>
            </w:r>
          </w:p>
        </w:tc>
        <w:tc>
          <w:tcPr>
            <w:tcW w:w="1664" w:type="dxa"/>
            <w:noWrap w:val="0"/>
            <w:vAlign w:val="center"/>
          </w:tcPr>
          <w:p>
            <w:pPr>
              <w:jc w:val="center"/>
              <w:rPr>
                <w:rFonts w:hint="eastAsia" w:ascii="宋体" w:hAnsi="宋体" w:cs="宋体"/>
                <w:sz w:val="21"/>
                <w:szCs w:val="21"/>
              </w:rPr>
            </w:pPr>
            <w:r>
              <w:rPr>
                <w:rFonts w:hint="eastAsia" w:ascii="宋体" w:hAnsi="宋体" w:cs="宋体"/>
                <w:sz w:val="21"/>
                <w:szCs w:val="21"/>
              </w:rPr>
              <w:t>设备固定及坚固部件</w:t>
            </w:r>
          </w:p>
        </w:tc>
        <w:tc>
          <w:tcPr>
            <w:tcW w:w="4536" w:type="dxa"/>
            <w:noWrap w:val="0"/>
            <w:vAlign w:val="center"/>
          </w:tcPr>
          <w:p>
            <w:pPr>
              <w:jc w:val="left"/>
              <w:rPr>
                <w:rFonts w:hint="eastAsia" w:ascii="宋体" w:hAnsi="宋体" w:cs="宋体"/>
                <w:sz w:val="21"/>
                <w:szCs w:val="21"/>
              </w:rPr>
            </w:pPr>
            <w:r>
              <w:rPr>
                <w:rFonts w:hint="eastAsia" w:ascii="宋体" w:hAnsi="宋体" w:cs="宋体"/>
                <w:sz w:val="21"/>
                <w:szCs w:val="21"/>
              </w:rPr>
              <w:t>检查设备固定装置是否完好</w:t>
            </w:r>
            <w:r>
              <w:rPr>
                <w:rFonts w:hint="eastAsia" w:ascii="宋体" w:hAnsi="宋体" w:cs="宋体"/>
                <w:sz w:val="21"/>
                <w:szCs w:val="21"/>
              </w:rPr>
              <w:br w:type="textWrapping"/>
            </w:r>
            <w:r>
              <w:rPr>
                <w:rFonts w:hint="eastAsia" w:ascii="宋体" w:hAnsi="宋体" w:cs="宋体"/>
                <w:sz w:val="21"/>
                <w:szCs w:val="21"/>
              </w:rPr>
              <w:t>紧固松动的螺丝及部件</w:t>
            </w:r>
          </w:p>
        </w:tc>
        <w:tc>
          <w:tcPr>
            <w:tcW w:w="1417" w:type="dxa"/>
            <w:noWrap w:val="0"/>
            <w:vAlign w:val="center"/>
          </w:tcPr>
          <w:p>
            <w:pPr>
              <w:jc w:val="center"/>
              <w:rPr>
                <w:rFonts w:hint="eastAsia" w:ascii="宋体" w:hAnsi="宋体" w:cs="宋体"/>
                <w:sz w:val="21"/>
                <w:szCs w:val="21"/>
              </w:rPr>
            </w:pPr>
            <w:r>
              <w:rPr>
                <w:rFonts w:hint="eastAsia" w:ascii="宋体" w:hAnsi="宋体" w:cs="宋体"/>
                <w:sz w:val="21"/>
                <w:szCs w:val="21"/>
              </w:rPr>
              <w:t>每年二次</w:t>
            </w:r>
          </w:p>
        </w:tc>
      </w:tr>
    </w:tbl>
    <w:p>
      <w:pPr>
        <w:spacing w:line="400" w:lineRule="exact"/>
        <w:ind w:firstLine="420" w:firstLineChars="200"/>
        <w:rPr>
          <w:rFonts w:hint="eastAsia" w:ascii="宋体" w:hAnsi="宋体"/>
          <w:sz w:val="21"/>
          <w:szCs w:val="21"/>
        </w:rPr>
      </w:pPr>
      <w:r>
        <w:rPr>
          <w:rFonts w:hint="eastAsia" w:ascii="宋体" w:hAnsi="宋体"/>
          <w:sz w:val="21"/>
          <w:szCs w:val="21"/>
        </w:rPr>
        <w:t>以上工作流程根据实际使用情况每年2到3次，空调使用季节（夏季6到9月，冬季12至1月），每月进行一次巡查。</w:t>
      </w:r>
    </w:p>
    <w:p>
      <w:pPr>
        <w:spacing w:line="400" w:lineRule="exact"/>
        <w:ind w:firstLine="420" w:firstLineChars="200"/>
        <w:rPr>
          <w:rFonts w:hint="eastAsia" w:ascii="宋体" w:hAnsi="宋体"/>
          <w:sz w:val="21"/>
          <w:szCs w:val="21"/>
        </w:rPr>
      </w:pPr>
      <w:r>
        <w:rPr>
          <w:rFonts w:hint="eastAsia" w:ascii="宋体" w:hAnsi="宋体"/>
          <w:sz w:val="21"/>
          <w:szCs w:val="21"/>
        </w:rPr>
        <w:t>（3）验收合格条件</w:t>
      </w:r>
    </w:p>
    <w:p>
      <w:pPr>
        <w:spacing w:line="400" w:lineRule="exact"/>
        <w:ind w:firstLine="420" w:firstLineChars="200"/>
        <w:rPr>
          <w:rFonts w:hint="eastAsia" w:ascii="宋体" w:hAnsi="宋体"/>
          <w:sz w:val="21"/>
          <w:szCs w:val="21"/>
        </w:rPr>
      </w:pPr>
      <w:r>
        <w:rPr>
          <w:rFonts w:hint="eastAsia" w:ascii="宋体" w:hAnsi="宋体"/>
          <w:sz w:val="21"/>
          <w:szCs w:val="21"/>
        </w:rPr>
        <w:t>·运行结果符合合同要求。</w:t>
      </w:r>
    </w:p>
    <w:p>
      <w:pPr>
        <w:spacing w:line="400" w:lineRule="exact"/>
        <w:ind w:firstLine="420" w:firstLineChars="200"/>
        <w:rPr>
          <w:rFonts w:hint="eastAsia" w:ascii="宋体" w:hAnsi="宋体"/>
          <w:sz w:val="21"/>
          <w:szCs w:val="21"/>
        </w:rPr>
      </w:pPr>
      <w:r>
        <w:rPr>
          <w:rFonts w:hint="eastAsia" w:ascii="宋体" w:hAnsi="宋体"/>
          <w:sz w:val="21"/>
          <w:szCs w:val="21"/>
        </w:rPr>
        <w:t>·在进行测试、试运行及验收运行过程中发生的故障和发现的隐患已被排除并得到买方的认可。</w:t>
      </w:r>
    </w:p>
    <w:p>
      <w:pPr>
        <w:spacing w:line="400" w:lineRule="exact"/>
        <w:ind w:firstLine="420" w:firstLineChars="200"/>
        <w:rPr>
          <w:rFonts w:hint="eastAsia" w:ascii="宋体" w:hAnsi="宋体"/>
          <w:sz w:val="21"/>
          <w:szCs w:val="21"/>
        </w:rPr>
      </w:pPr>
      <w:r>
        <w:rPr>
          <w:rFonts w:hint="eastAsia" w:ascii="宋体" w:hAnsi="宋体"/>
          <w:sz w:val="21"/>
          <w:szCs w:val="21"/>
        </w:rPr>
        <w:t>·所有合同中规定的货物和资料都已提交。</w:t>
      </w:r>
    </w:p>
    <w:p>
      <w:pPr>
        <w:spacing w:line="400" w:lineRule="exact"/>
        <w:ind w:firstLine="420" w:firstLineChars="200"/>
        <w:rPr>
          <w:rFonts w:hint="eastAsia" w:ascii="宋体" w:hAnsi="宋体"/>
          <w:sz w:val="21"/>
          <w:szCs w:val="21"/>
        </w:rPr>
      </w:pPr>
      <w:r>
        <w:rPr>
          <w:rFonts w:hint="eastAsia" w:ascii="宋体" w:hAnsi="宋体"/>
          <w:sz w:val="21"/>
          <w:szCs w:val="21"/>
        </w:rPr>
        <w:t>·整套设备图纸及技术文件都已提交并得到接受。</w:t>
      </w:r>
    </w:p>
    <w:p>
      <w:pPr>
        <w:spacing w:line="400" w:lineRule="exact"/>
        <w:ind w:firstLine="420" w:firstLineChars="200"/>
        <w:rPr>
          <w:rFonts w:hint="eastAsia" w:ascii="宋体" w:hAnsi="宋体"/>
          <w:sz w:val="21"/>
          <w:szCs w:val="21"/>
        </w:rPr>
      </w:pPr>
      <w:r>
        <w:rPr>
          <w:rFonts w:hint="eastAsia" w:ascii="宋体" w:hAnsi="宋体"/>
          <w:sz w:val="21"/>
          <w:szCs w:val="21"/>
        </w:rPr>
        <w:t>·设备在交由买方使用之前已通过有关部门验收，并得到由买方、卖方、监理单位共同签署的验收合格证书。</w:t>
      </w:r>
    </w:p>
    <w:p>
      <w:pPr>
        <w:spacing w:line="400" w:lineRule="exact"/>
        <w:ind w:firstLine="420" w:firstLineChars="200"/>
        <w:rPr>
          <w:rFonts w:hint="eastAsia" w:ascii="宋体" w:hAnsi="宋体"/>
          <w:sz w:val="21"/>
          <w:szCs w:val="21"/>
        </w:rPr>
      </w:pPr>
      <w:r>
        <w:rPr>
          <w:rFonts w:hint="eastAsia" w:ascii="宋体" w:hAnsi="宋体"/>
          <w:sz w:val="21"/>
          <w:szCs w:val="21"/>
        </w:rPr>
        <w:t>6、售后服务工作</w:t>
      </w:r>
    </w:p>
    <w:p>
      <w:pPr>
        <w:spacing w:line="400" w:lineRule="exact"/>
        <w:ind w:firstLine="420" w:firstLineChars="200"/>
        <w:rPr>
          <w:rFonts w:hint="eastAsia" w:ascii="宋体" w:hAnsi="宋体"/>
          <w:sz w:val="21"/>
          <w:szCs w:val="21"/>
        </w:rPr>
      </w:pPr>
      <w:r>
        <w:rPr>
          <w:rFonts w:hint="eastAsia" w:ascii="宋体" w:hAnsi="宋体"/>
          <w:sz w:val="21"/>
          <w:szCs w:val="21"/>
        </w:rPr>
        <w:t>*（1）卖方应有能力提供24小时的设备维修服务。维修人员接到维修电话后须在4小时内赶到现场。维修点需提供足够的备件以适应维修需求。投标人应为招标人提供一站式服务，并在嘉兴地区设有售后网点，由投标品牌制造商授权特约维修，维修工作不得转包。</w:t>
      </w:r>
    </w:p>
    <w:p>
      <w:pPr>
        <w:spacing w:line="400" w:lineRule="exact"/>
        <w:ind w:firstLine="420" w:firstLineChars="200"/>
        <w:rPr>
          <w:rFonts w:hint="eastAsia" w:ascii="宋体" w:hAnsi="宋体"/>
          <w:sz w:val="21"/>
          <w:szCs w:val="21"/>
        </w:rPr>
      </w:pPr>
      <w:r>
        <w:rPr>
          <w:rFonts w:hint="eastAsia" w:ascii="宋体" w:hAnsi="宋体"/>
          <w:sz w:val="21"/>
          <w:szCs w:val="21"/>
        </w:rPr>
        <w:t>*（2）卖方须对合同中规定的整套设备，提供项目整体竣工验收合格后不少于24个月的质保期，在此期间，因产品制造质量不良而产生损坏或不能正常工作，卖方应免费维修和正常保养。</w:t>
      </w:r>
    </w:p>
    <w:p>
      <w:pPr>
        <w:spacing w:line="400" w:lineRule="exact"/>
        <w:ind w:firstLine="420" w:firstLineChars="200"/>
        <w:rPr>
          <w:rFonts w:hint="eastAsia" w:ascii="宋体" w:hAnsi="宋体"/>
          <w:sz w:val="21"/>
          <w:szCs w:val="21"/>
        </w:rPr>
      </w:pPr>
      <w:r>
        <w:rPr>
          <w:rFonts w:hint="eastAsia" w:ascii="宋体" w:hAnsi="宋体"/>
          <w:sz w:val="21"/>
          <w:szCs w:val="21"/>
        </w:rPr>
        <w:t>（3）在质保期内的工作应包括对所有设备系统常规检查、调整、润滑、冷媒补充等。保修期内，卖方每二个月对系统进行一次总体检测，每半年对系统进行一次复调，保修期满后为买方提供一套完整的运行记录。具体的操作程序和内容须在投标时就提交业主。</w:t>
      </w:r>
    </w:p>
    <w:p>
      <w:pPr>
        <w:spacing w:line="400" w:lineRule="exact"/>
        <w:ind w:firstLine="420" w:firstLineChars="200"/>
        <w:rPr>
          <w:rFonts w:hint="eastAsia" w:ascii="宋体" w:hAnsi="宋体"/>
          <w:sz w:val="21"/>
          <w:szCs w:val="21"/>
        </w:rPr>
      </w:pPr>
      <w:r>
        <w:rPr>
          <w:rFonts w:hint="eastAsia" w:ascii="宋体" w:hAnsi="宋体"/>
          <w:sz w:val="21"/>
          <w:szCs w:val="21"/>
        </w:rPr>
        <w:t>（4）卖方须自行付费负责修理和更换任何由于设备自身的质量问题造成的损坏部件，并排除故障。故障排除后，卖方需一式两份报告给买方，包括故障原因，解决措施，完成修理所需时间及恢复正常运行日期。</w:t>
      </w:r>
    </w:p>
    <w:p>
      <w:pPr>
        <w:spacing w:line="400" w:lineRule="exact"/>
        <w:ind w:firstLine="420" w:firstLineChars="200"/>
        <w:rPr>
          <w:rFonts w:hint="eastAsia" w:ascii="宋体" w:hAnsi="宋体"/>
          <w:sz w:val="21"/>
          <w:szCs w:val="21"/>
        </w:rPr>
      </w:pPr>
      <w:r>
        <w:rPr>
          <w:rFonts w:hint="eastAsia" w:ascii="宋体" w:hAnsi="宋体"/>
          <w:sz w:val="21"/>
          <w:szCs w:val="21"/>
        </w:rPr>
        <w:t>（5）在质保期届满，卖方工程师和买方代表将对设备进行一次测试，任何故障须由卖方自费解决并取得买方的最终认可。</w:t>
      </w:r>
    </w:p>
    <w:p>
      <w:pPr>
        <w:spacing w:line="400" w:lineRule="exact"/>
        <w:ind w:firstLine="420" w:firstLineChars="200"/>
        <w:rPr>
          <w:rFonts w:hint="eastAsia" w:ascii="宋体" w:hAnsi="宋体"/>
          <w:sz w:val="21"/>
          <w:szCs w:val="21"/>
        </w:rPr>
      </w:pPr>
      <w:r>
        <w:rPr>
          <w:rFonts w:hint="eastAsia" w:ascii="宋体" w:hAnsi="宋体"/>
          <w:sz w:val="21"/>
          <w:szCs w:val="21"/>
        </w:rPr>
        <w:t>（6）投标过程中，投标人应提供一份有关投标设备在质保期后，6年内的维修和保养合同范本，应有如下内容：</w:t>
      </w:r>
    </w:p>
    <w:p>
      <w:pPr>
        <w:spacing w:line="400" w:lineRule="exact"/>
        <w:ind w:firstLine="420" w:firstLineChars="200"/>
        <w:rPr>
          <w:rFonts w:hint="eastAsia" w:ascii="宋体" w:hAnsi="宋体"/>
          <w:sz w:val="21"/>
          <w:szCs w:val="21"/>
        </w:rPr>
      </w:pPr>
      <w:r>
        <w:rPr>
          <w:rFonts w:hint="eastAsia" w:ascii="宋体" w:hAnsi="宋体"/>
          <w:sz w:val="21"/>
          <w:szCs w:val="21"/>
        </w:rPr>
        <w:t>·服务范围</w:t>
      </w:r>
    </w:p>
    <w:p>
      <w:pPr>
        <w:spacing w:line="400" w:lineRule="exact"/>
        <w:ind w:firstLine="420" w:firstLineChars="200"/>
        <w:rPr>
          <w:rFonts w:hint="eastAsia" w:ascii="宋体" w:hAnsi="宋体"/>
          <w:sz w:val="21"/>
          <w:szCs w:val="21"/>
        </w:rPr>
      </w:pPr>
      <w:r>
        <w:rPr>
          <w:rFonts w:hint="eastAsia" w:ascii="宋体" w:hAnsi="宋体"/>
          <w:sz w:val="21"/>
          <w:szCs w:val="21"/>
        </w:rPr>
        <w:t>·服务期限</w:t>
      </w:r>
    </w:p>
    <w:p>
      <w:pPr>
        <w:spacing w:line="400" w:lineRule="exact"/>
        <w:ind w:firstLine="420" w:firstLineChars="200"/>
        <w:rPr>
          <w:rFonts w:hint="eastAsia" w:ascii="宋体" w:hAnsi="宋体"/>
          <w:sz w:val="21"/>
          <w:szCs w:val="21"/>
        </w:rPr>
      </w:pPr>
      <w:r>
        <w:rPr>
          <w:rFonts w:hint="eastAsia" w:ascii="宋体" w:hAnsi="宋体"/>
          <w:sz w:val="21"/>
          <w:szCs w:val="21"/>
        </w:rPr>
        <w:t>·服务内容（零件单和易损坏的零件单）</w:t>
      </w:r>
    </w:p>
    <w:p>
      <w:pPr>
        <w:spacing w:line="400" w:lineRule="exact"/>
        <w:ind w:firstLine="420" w:firstLineChars="200"/>
        <w:rPr>
          <w:rFonts w:hint="eastAsia" w:ascii="宋体" w:hAnsi="宋体"/>
          <w:sz w:val="21"/>
          <w:szCs w:val="21"/>
        </w:rPr>
      </w:pPr>
      <w:r>
        <w:rPr>
          <w:rFonts w:hint="eastAsia" w:ascii="宋体" w:hAnsi="宋体"/>
          <w:sz w:val="21"/>
          <w:szCs w:val="21"/>
        </w:rPr>
        <w:t>·服务费</w:t>
      </w:r>
    </w:p>
    <w:p>
      <w:pPr>
        <w:spacing w:line="400" w:lineRule="exact"/>
        <w:ind w:firstLine="420" w:firstLineChars="200"/>
        <w:rPr>
          <w:rFonts w:hint="eastAsia" w:ascii="宋体" w:hAnsi="宋体"/>
          <w:sz w:val="21"/>
          <w:szCs w:val="21"/>
        </w:rPr>
      </w:pPr>
      <w:r>
        <w:rPr>
          <w:rFonts w:hint="eastAsia" w:ascii="宋体" w:hAnsi="宋体"/>
          <w:sz w:val="21"/>
          <w:szCs w:val="21"/>
        </w:rPr>
        <w:t>·不免责任的内容</w:t>
      </w:r>
    </w:p>
    <w:p>
      <w:pPr>
        <w:spacing w:line="400" w:lineRule="exact"/>
        <w:ind w:firstLine="420" w:firstLineChars="200"/>
        <w:rPr>
          <w:rFonts w:hint="eastAsia" w:ascii="宋体" w:hAnsi="宋体"/>
          <w:sz w:val="21"/>
          <w:szCs w:val="21"/>
        </w:rPr>
      </w:pPr>
      <w:r>
        <w:rPr>
          <w:rFonts w:hint="eastAsia" w:ascii="宋体" w:hAnsi="宋体"/>
          <w:sz w:val="21"/>
          <w:szCs w:val="21"/>
        </w:rPr>
        <w:t>·双方负责的内容</w:t>
      </w:r>
    </w:p>
    <w:p>
      <w:pPr>
        <w:spacing w:line="400" w:lineRule="exact"/>
        <w:ind w:firstLine="420" w:firstLineChars="200"/>
        <w:rPr>
          <w:rFonts w:hint="eastAsia" w:ascii="宋体" w:hAnsi="宋体"/>
          <w:sz w:val="21"/>
          <w:szCs w:val="21"/>
        </w:rPr>
      </w:pPr>
      <w:r>
        <w:rPr>
          <w:rFonts w:hint="eastAsia" w:ascii="宋体" w:hAnsi="宋体"/>
          <w:sz w:val="21"/>
          <w:szCs w:val="21"/>
        </w:rPr>
        <w:t>·买方保留是否签此合同的权力</w:t>
      </w:r>
    </w:p>
    <w:p>
      <w:pPr>
        <w:spacing w:line="400" w:lineRule="exact"/>
        <w:ind w:firstLine="420" w:firstLineChars="200"/>
        <w:rPr>
          <w:rFonts w:hint="eastAsia" w:ascii="宋体" w:hAnsi="宋体"/>
          <w:sz w:val="21"/>
          <w:szCs w:val="21"/>
        </w:rPr>
      </w:pPr>
      <w:r>
        <w:rPr>
          <w:rFonts w:hint="eastAsia" w:ascii="宋体" w:hAnsi="宋体"/>
          <w:sz w:val="21"/>
          <w:szCs w:val="21"/>
        </w:rPr>
        <w:t>·其他</w:t>
      </w:r>
    </w:p>
    <w:p>
      <w:pPr>
        <w:spacing w:line="400" w:lineRule="exact"/>
        <w:ind w:firstLine="420" w:firstLineChars="200"/>
        <w:rPr>
          <w:rFonts w:hint="eastAsia" w:ascii="宋体" w:hAnsi="宋体"/>
          <w:sz w:val="21"/>
          <w:szCs w:val="21"/>
        </w:rPr>
      </w:pPr>
      <w:r>
        <w:rPr>
          <w:rFonts w:hint="eastAsia" w:ascii="宋体" w:hAnsi="宋体"/>
          <w:sz w:val="21"/>
          <w:szCs w:val="21"/>
        </w:rPr>
        <w:t>7、零部件供应</w:t>
      </w:r>
    </w:p>
    <w:p>
      <w:pPr>
        <w:spacing w:line="400" w:lineRule="exact"/>
        <w:ind w:firstLine="420" w:firstLineChars="200"/>
        <w:rPr>
          <w:rFonts w:hint="eastAsia" w:ascii="宋体" w:hAnsi="宋体"/>
          <w:sz w:val="21"/>
          <w:szCs w:val="21"/>
        </w:rPr>
      </w:pPr>
      <w:r>
        <w:rPr>
          <w:rFonts w:hint="eastAsia" w:ascii="宋体" w:hAnsi="宋体"/>
          <w:sz w:val="21"/>
          <w:szCs w:val="21"/>
        </w:rPr>
        <w:t>投标人对各种型号的设备须提供足够的备件、附件和易损件，以满足设备正常运行的需要；并列出易损坏的零部件清单及报价（见附件五），承诺此价格在质保期满后5年内不得向上调整。</w:t>
      </w:r>
    </w:p>
    <w:p>
      <w:pPr>
        <w:spacing w:line="400" w:lineRule="exact"/>
        <w:ind w:firstLine="420" w:firstLineChars="200"/>
        <w:rPr>
          <w:rFonts w:hint="eastAsia" w:ascii="宋体" w:hAnsi="宋体"/>
          <w:sz w:val="21"/>
          <w:szCs w:val="21"/>
        </w:rPr>
      </w:pPr>
      <w:r>
        <w:rPr>
          <w:rFonts w:hint="eastAsia" w:ascii="宋体" w:hAnsi="宋体"/>
          <w:sz w:val="21"/>
          <w:szCs w:val="21"/>
        </w:rPr>
        <w:t>8、检修设备及工具的提供</w:t>
      </w:r>
    </w:p>
    <w:p>
      <w:pPr>
        <w:spacing w:line="400" w:lineRule="exact"/>
        <w:ind w:firstLine="420" w:firstLineChars="200"/>
        <w:rPr>
          <w:rFonts w:hint="eastAsia" w:ascii="宋体" w:hAnsi="宋体"/>
          <w:sz w:val="21"/>
          <w:szCs w:val="21"/>
        </w:rPr>
      </w:pPr>
      <w:r>
        <w:rPr>
          <w:rFonts w:hint="eastAsia" w:ascii="宋体" w:hAnsi="宋体"/>
          <w:sz w:val="21"/>
          <w:szCs w:val="21"/>
        </w:rPr>
        <w:t>（1）须提供足够的常用检修设备，这些设备及工具不能在安装时使用。推荐的检修设备须在投标文件中注明。卖方在投标时应提供检修设备清单及价格表，买方有权决定是否购买。</w:t>
      </w:r>
    </w:p>
    <w:p>
      <w:pPr>
        <w:spacing w:line="400" w:lineRule="exact"/>
        <w:ind w:firstLine="420" w:firstLineChars="200"/>
        <w:rPr>
          <w:rFonts w:hint="eastAsia" w:ascii="宋体" w:hAnsi="宋体"/>
          <w:sz w:val="21"/>
          <w:szCs w:val="21"/>
        </w:rPr>
      </w:pPr>
      <w:r>
        <w:rPr>
          <w:rFonts w:hint="eastAsia" w:ascii="宋体" w:hAnsi="宋体"/>
          <w:sz w:val="21"/>
          <w:szCs w:val="21"/>
        </w:rPr>
        <w:t>（2）所有测试需要的附件、零部件和中文操作维修手册应与检修设备一并提供。</w:t>
      </w:r>
    </w:p>
    <w:p>
      <w:pPr>
        <w:spacing w:line="400" w:lineRule="exact"/>
        <w:ind w:firstLine="420" w:firstLineChars="200"/>
        <w:rPr>
          <w:rFonts w:hint="eastAsia" w:ascii="宋体" w:hAnsi="宋体"/>
          <w:sz w:val="21"/>
          <w:szCs w:val="21"/>
        </w:rPr>
      </w:pPr>
      <w:r>
        <w:rPr>
          <w:rFonts w:hint="eastAsia" w:ascii="宋体" w:hAnsi="宋体"/>
          <w:sz w:val="21"/>
          <w:szCs w:val="21"/>
        </w:rPr>
        <w:t>（3）所有检验设备使用的交流电应为50HZ、220V单相、三线，并能在±10%的压差下正常运行。</w:t>
      </w:r>
    </w:p>
    <w:p>
      <w:pPr>
        <w:spacing w:line="400" w:lineRule="exact"/>
        <w:ind w:firstLine="420" w:firstLineChars="200"/>
        <w:rPr>
          <w:rFonts w:hint="eastAsia" w:ascii="宋体" w:hAnsi="宋体"/>
          <w:sz w:val="21"/>
          <w:szCs w:val="21"/>
        </w:rPr>
      </w:pPr>
      <w:r>
        <w:rPr>
          <w:rFonts w:hint="eastAsia" w:ascii="宋体" w:hAnsi="宋体"/>
          <w:sz w:val="21"/>
          <w:szCs w:val="21"/>
        </w:rPr>
        <w:t>（4）设备调试后，工具及相应工具箱须提交买方。</w:t>
      </w:r>
    </w:p>
    <w:p>
      <w:pPr>
        <w:spacing w:line="400" w:lineRule="exact"/>
        <w:ind w:firstLine="420" w:firstLineChars="200"/>
        <w:rPr>
          <w:rFonts w:hint="eastAsia" w:ascii="宋体" w:hAnsi="宋体"/>
          <w:sz w:val="21"/>
          <w:szCs w:val="21"/>
        </w:rPr>
      </w:pPr>
      <w:r>
        <w:rPr>
          <w:rFonts w:hint="eastAsia" w:ascii="宋体" w:hAnsi="宋体"/>
          <w:sz w:val="21"/>
          <w:szCs w:val="21"/>
        </w:rPr>
        <w:t>9、资料的提供</w:t>
      </w:r>
    </w:p>
    <w:p>
      <w:pPr>
        <w:spacing w:line="400" w:lineRule="exact"/>
        <w:ind w:firstLine="420" w:firstLineChars="200"/>
        <w:rPr>
          <w:rFonts w:hint="eastAsia" w:ascii="宋体" w:hAnsi="宋体"/>
          <w:sz w:val="21"/>
          <w:szCs w:val="21"/>
        </w:rPr>
      </w:pPr>
      <w:r>
        <w:rPr>
          <w:rFonts w:hint="eastAsia" w:ascii="宋体" w:hAnsi="宋体"/>
          <w:sz w:val="21"/>
          <w:szCs w:val="21"/>
        </w:rPr>
        <w:t>（1）总体要求</w:t>
      </w:r>
    </w:p>
    <w:p>
      <w:pPr>
        <w:spacing w:line="400" w:lineRule="exact"/>
        <w:ind w:firstLine="420" w:firstLineChars="200"/>
        <w:rPr>
          <w:rFonts w:hint="eastAsia" w:ascii="宋体" w:hAnsi="宋体"/>
          <w:sz w:val="21"/>
          <w:szCs w:val="21"/>
        </w:rPr>
      </w:pPr>
      <w:r>
        <w:rPr>
          <w:rFonts w:hint="eastAsia" w:ascii="宋体" w:hAnsi="宋体"/>
          <w:sz w:val="21"/>
          <w:szCs w:val="21"/>
        </w:rPr>
        <w:t>（a）所有提交的图纸及技术文件应使用IS制（国际单位制）。</w:t>
      </w:r>
    </w:p>
    <w:p>
      <w:pPr>
        <w:spacing w:line="400" w:lineRule="exact"/>
        <w:ind w:firstLine="420" w:firstLineChars="200"/>
        <w:rPr>
          <w:rFonts w:hint="eastAsia" w:ascii="宋体" w:hAnsi="宋体"/>
          <w:sz w:val="21"/>
          <w:szCs w:val="21"/>
        </w:rPr>
      </w:pPr>
      <w:r>
        <w:rPr>
          <w:rFonts w:hint="eastAsia" w:ascii="宋体" w:hAnsi="宋体"/>
          <w:sz w:val="21"/>
          <w:szCs w:val="21"/>
        </w:rPr>
        <w:t>（b）合同号、图纸号、文件号应标在所有提交的图纸和技术文件上，并附有卖方标记的检验标志，任一设备的项目的图纸应标明制造商名称。</w:t>
      </w:r>
    </w:p>
    <w:p>
      <w:pPr>
        <w:spacing w:line="400" w:lineRule="exact"/>
        <w:ind w:firstLine="420" w:firstLineChars="200"/>
        <w:rPr>
          <w:rFonts w:hint="eastAsia" w:ascii="宋体" w:hAnsi="宋体"/>
          <w:sz w:val="21"/>
          <w:szCs w:val="21"/>
        </w:rPr>
      </w:pPr>
      <w:r>
        <w:rPr>
          <w:rFonts w:hint="eastAsia" w:ascii="宋体" w:hAnsi="宋体"/>
          <w:sz w:val="21"/>
          <w:szCs w:val="21"/>
        </w:rPr>
        <w:t>（c）提交的图纸及文件应清楚、完整，并与（a）、（b）、（c）三项中要求一致，否则，买方将有权拒绝。这些图纸及文件的二次提交的费用应由对工作延误负责的卖方承担。</w:t>
      </w:r>
    </w:p>
    <w:p>
      <w:pPr>
        <w:spacing w:line="400" w:lineRule="exact"/>
        <w:ind w:firstLine="420" w:firstLineChars="200"/>
        <w:rPr>
          <w:rFonts w:hint="eastAsia" w:ascii="宋体" w:hAnsi="宋体"/>
          <w:sz w:val="21"/>
          <w:szCs w:val="21"/>
        </w:rPr>
      </w:pPr>
      <w:r>
        <w:rPr>
          <w:rFonts w:hint="eastAsia" w:ascii="宋体" w:hAnsi="宋体"/>
          <w:sz w:val="21"/>
          <w:szCs w:val="21"/>
        </w:rPr>
        <w:t>（d）只有那些由买方认可的图纸及相关技术文件允许应用在工程实施过程中。在实施过程中，如出现任何修改（需要的话），需取得买方批准。卖方应制作一式三份报告提供买方审查认可，买方应在收到卖方文件后两星期内提出反馈意见，否则卖方的修改自动生效。但卖方不得以此为由要求调整合同总价。</w:t>
      </w:r>
    </w:p>
    <w:p>
      <w:pPr>
        <w:spacing w:line="400" w:lineRule="exact"/>
        <w:ind w:firstLine="420" w:firstLineChars="200"/>
        <w:rPr>
          <w:rFonts w:hint="eastAsia" w:ascii="宋体" w:hAnsi="宋体"/>
          <w:sz w:val="21"/>
          <w:szCs w:val="21"/>
        </w:rPr>
      </w:pPr>
      <w:r>
        <w:rPr>
          <w:rFonts w:hint="eastAsia" w:ascii="宋体" w:hAnsi="宋体"/>
          <w:sz w:val="21"/>
          <w:szCs w:val="21"/>
        </w:rPr>
        <w:t>（e）买方将不认可与合同要求不一致的图纸及技术文件。在收到买方的审查意见后，卖方须修改图纸及文件以满足买方的需要，若发生工程延误，其责任全部在卖方。此时买方会减少或延期交付项目的货款。</w:t>
      </w:r>
    </w:p>
    <w:p>
      <w:pPr>
        <w:spacing w:line="400" w:lineRule="exact"/>
        <w:ind w:firstLine="420" w:firstLineChars="200"/>
        <w:rPr>
          <w:rFonts w:hint="eastAsia" w:ascii="宋体" w:hAnsi="宋体"/>
          <w:sz w:val="21"/>
          <w:szCs w:val="21"/>
        </w:rPr>
      </w:pPr>
      <w:r>
        <w:rPr>
          <w:rFonts w:hint="eastAsia" w:ascii="宋体" w:hAnsi="宋体"/>
          <w:sz w:val="21"/>
          <w:szCs w:val="21"/>
        </w:rPr>
        <w:t>卖方设计的图纸及技术文件在取得买方认可后，并不会以任何方式减少卖方对合同执行的责任与义务。</w:t>
      </w:r>
    </w:p>
    <w:p>
      <w:pPr>
        <w:spacing w:line="400" w:lineRule="exact"/>
        <w:ind w:firstLine="420" w:firstLineChars="200"/>
        <w:rPr>
          <w:rFonts w:hint="eastAsia" w:ascii="宋体" w:hAnsi="宋体"/>
          <w:sz w:val="21"/>
          <w:szCs w:val="21"/>
        </w:rPr>
      </w:pPr>
      <w:r>
        <w:rPr>
          <w:rFonts w:hint="eastAsia" w:ascii="宋体" w:hAnsi="宋体"/>
          <w:sz w:val="21"/>
          <w:szCs w:val="21"/>
        </w:rPr>
        <w:t>（2）卖方提交的文件及资料</w:t>
      </w:r>
    </w:p>
    <w:p>
      <w:pPr>
        <w:spacing w:line="400" w:lineRule="exact"/>
        <w:ind w:firstLine="420" w:firstLineChars="200"/>
        <w:rPr>
          <w:rFonts w:hint="eastAsia" w:ascii="宋体" w:hAnsi="宋体"/>
          <w:sz w:val="21"/>
          <w:szCs w:val="21"/>
        </w:rPr>
      </w:pPr>
      <w:r>
        <w:rPr>
          <w:rFonts w:hint="eastAsia" w:ascii="宋体" w:hAnsi="宋体"/>
          <w:sz w:val="21"/>
          <w:szCs w:val="21"/>
        </w:rPr>
        <w:t>1）卖方须在合同规定的时间内提交一份符合合同内容要求的所有资料供买方认可，资料应该包括工作完成计划书、图纸、技术说明书等。</w:t>
      </w:r>
    </w:p>
    <w:p>
      <w:pPr>
        <w:spacing w:line="400" w:lineRule="exact"/>
        <w:ind w:firstLine="420" w:firstLineChars="200"/>
        <w:rPr>
          <w:rFonts w:hint="eastAsia" w:ascii="宋体" w:hAnsi="宋体"/>
          <w:sz w:val="21"/>
          <w:szCs w:val="21"/>
        </w:rPr>
      </w:pPr>
      <w:r>
        <w:rPr>
          <w:rFonts w:hint="eastAsia" w:ascii="宋体" w:hAnsi="宋体"/>
          <w:sz w:val="21"/>
          <w:szCs w:val="21"/>
        </w:rPr>
        <w:t>2）其他投标人认为可能需要的文件。</w:t>
      </w:r>
    </w:p>
    <w:p>
      <w:pPr>
        <w:spacing w:line="400" w:lineRule="exact"/>
        <w:ind w:firstLine="420" w:firstLineChars="200"/>
        <w:rPr>
          <w:rFonts w:hint="eastAsia" w:ascii="宋体" w:hAnsi="宋体"/>
          <w:sz w:val="21"/>
          <w:szCs w:val="21"/>
        </w:rPr>
      </w:pPr>
      <w:r>
        <w:rPr>
          <w:rFonts w:hint="eastAsia" w:ascii="宋体" w:hAnsi="宋体"/>
          <w:sz w:val="21"/>
          <w:szCs w:val="21"/>
        </w:rPr>
        <w:t>上面所提到的资料应符合设计、制造、土建安装、调试等工程建设进度的需要。其他资料的提交请参照有关章节。</w:t>
      </w:r>
    </w:p>
    <w:p>
      <w:pPr>
        <w:spacing w:line="400" w:lineRule="exact"/>
        <w:ind w:firstLine="420" w:firstLineChars="200"/>
        <w:rPr>
          <w:rFonts w:hint="eastAsia" w:ascii="宋体" w:hAnsi="宋体"/>
          <w:sz w:val="21"/>
          <w:szCs w:val="21"/>
        </w:rPr>
      </w:pPr>
      <w:r>
        <w:rPr>
          <w:rFonts w:hint="eastAsia" w:ascii="宋体" w:hAnsi="宋体"/>
          <w:sz w:val="21"/>
          <w:szCs w:val="21"/>
        </w:rPr>
        <w:t>设备交付后：</w:t>
      </w:r>
    </w:p>
    <w:p>
      <w:pPr>
        <w:spacing w:line="400" w:lineRule="exact"/>
        <w:ind w:firstLine="420" w:firstLineChars="200"/>
        <w:rPr>
          <w:rFonts w:hint="eastAsia" w:ascii="宋体" w:hAnsi="宋体"/>
          <w:sz w:val="21"/>
          <w:szCs w:val="21"/>
        </w:rPr>
      </w:pPr>
      <w:r>
        <w:rPr>
          <w:rFonts w:hint="eastAsia" w:ascii="宋体" w:hAnsi="宋体"/>
          <w:sz w:val="21"/>
          <w:szCs w:val="21"/>
        </w:rPr>
        <w:t>卖方须在设备交付后按合同规定和设备出厂规定提交所有资料外，卖方还应负责提供至少四份完整的操作、维护使用手册（此手册如需要应在交货前提供）。</w:t>
      </w:r>
    </w:p>
    <w:p>
      <w:pPr>
        <w:spacing w:line="400" w:lineRule="exact"/>
        <w:ind w:firstLine="420" w:firstLineChars="200"/>
        <w:rPr>
          <w:rFonts w:hint="eastAsia" w:ascii="宋体" w:hAnsi="宋体"/>
          <w:sz w:val="21"/>
          <w:szCs w:val="21"/>
        </w:rPr>
      </w:pPr>
      <w:r>
        <w:rPr>
          <w:rFonts w:hint="eastAsia" w:ascii="宋体" w:hAnsi="宋体"/>
          <w:sz w:val="21"/>
          <w:szCs w:val="21"/>
        </w:rPr>
        <w:t>a.操作手册应有总体安装及各种操作程序，包括：设备的工作原理、安装、试验、运行前的前期检查、运行、维护、拆卸、修理和从启动到关机的整个程序等，其内容须完整、清晰、易于理解，须强调的是，在使用手册中应有安装设备所用的图纸及文字说明，特别是配套设备制造商提供的说明也应附在整机使用手册中，并带参照说明，图表及零件单须完整。此手册应为中文版本，须良好印刷及包装。</w:t>
      </w:r>
    </w:p>
    <w:p>
      <w:pPr>
        <w:spacing w:line="400" w:lineRule="exact"/>
        <w:ind w:firstLine="420" w:firstLineChars="200"/>
        <w:rPr>
          <w:rFonts w:hint="eastAsia" w:ascii="宋体" w:hAnsi="宋体"/>
          <w:sz w:val="21"/>
          <w:szCs w:val="21"/>
        </w:rPr>
      </w:pPr>
      <w:r>
        <w:rPr>
          <w:rFonts w:hint="eastAsia" w:ascii="宋体" w:hAnsi="宋体"/>
          <w:sz w:val="21"/>
          <w:szCs w:val="21"/>
        </w:rPr>
        <w:t>b.在说明内还应有：警报及安全措施等操作人员确保安全操作所需的内容。</w:t>
      </w:r>
    </w:p>
    <w:p>
      <w:pPr>
        <w:spacing w:line="400" w:lineRule="exact"/>
        <w:ind w:firstLine="420" w:firstLineChars="200"/>
        <w:rPr>
          <w:rFonts w:hint="eastAsia" w:ascii="宋体" w:hAnsi="宋体"/>
          <w:sz w:val="21"/>
          <w:szCs w:val="21"/>
        </w:rPr>
      </w:pPr>
      <w:r>
        <w:rPr>
          <w:rFonts w:hint="eastAsia" w:ascii="宋体" w:hAnsi="宋体"/>
          <w:sz w:val="21"/>
          <w:szCs w:val="21"/>
        </w:rPr>
        <w:t>维护手册应以列表的形式显示每天、每月及更长时期的工作内容，例如，润滑、检验、试验、零件更换等，以确保操作无故障。手册中应指明主要装配空间、元件及部件的外部极限、常规调整、特殊工具的使用、发生故障的常见位置、故障诊断、故障解决方法等，以使维修人员能保证设备处于良好的运行状态中。</w:t>
      </w:r>
    </w:p>
    <w:p>
      <w:pPr>
        <w:spacing w:line="400" w:lineRule="exact"/>
        <w:ind w:firstLine="420" w:firstLineChars="200"/>
        <w:rPr>
          <w:rFonts w:hint="eastAsia" w:ascii="宋体" w:hAnsi="宋体"/>
          <w:sz w:val="21"/>
          <w:szCs w:val="21"/>
        </w:rPr>
      </w:pPr>
      <w:r>
        <w:rPr>
          <w:rFonts w:hint="eastAsia" w:ascii="宋体" w:hAnsi="宋体"/>
          <w:sz w:val="21"/>
          <w:szCs w:val="21"/>
        </w:rPr>
        <w:t>手册的章节应按照设备的型号、尺寸及工作系统分开，每一本手册应写明结构及操作过程，并列出按照制造商产品的零部件订货表。电气及控制设备说明应有详细的实际操作过程，手册中还需列明故障的排除方法（故障现象、故障外观及解决办法）。</w:t>
      </w:r>
    </w:p>
    <w:p>
      <w:pPr>
        <w:spacing w:line="400" w:lineRule="exact"/>
        <w:ind w:firstLine="420" w:firstLineChars="200"/>
        <w:rPr>
          <w:rFonts w:hint="eastAsia" w:ascii="宋体" w:hAnsi="宋体"/>
          <w:sz w:val="21"/>
          <w:szCs w:val="21"/>
        </w:rPr>
      </w:pPr>
      <w:r>
        <w:rPr>
          <w:rFonts w:hint="eastAsia" w:ascii="宋体" w:hAnsi="宋体"/>
          <w:sz w:val="21"/>
          <w:szCs w:val="21"/>
        </w:rPr>
        <w:t>提供主要部件进口的证明文件，包括报关单，商检单、进口产地证书。</w:t>
      </w:r>
    </w:p>
    <w:p>
      <w:pPr>
        <w:spacing w:line="400" w:lineRule="exact"/>
        <w:ind w:firstLine="420" w:firstLineChars="200"/>
        <w:rPr>
          <w:rFonts w:hint="eastAsia" w:ascii="宋体" w:hAnsi="宋体"/>
          <w:sz w:val="21"/>
          <w:szCs w:val="21"/>
        </w:rPr>
      </w:pPr>
      <w:r>
        <w:rPr>
          <w:rFonts w:hint="eastAsia" w:ascii="宋体" w:hAnsi="宋体"/>
          <w:sz w:val="21"/>
          <w:szCs w:val="21"/>
        </w:rPr>
        <w:t>四、交货期及安装调试工期</w:t>
      </w:r>
    </w:p>
    <w:p>
      <w:pPr>
        <w:spacing w:line="400" w:lineRule="exact"/>
        <w:ind w:firstLine="422" w:firstLineChars="200"/>
        <w:rPr>
          <w:rFonts w:ascii="宋体" w:hAnsi="宋体"/>
          <w:b/>
          <w:bCs/>
          <w:sz w:val="21"/>
          <w:szCs w:val="21"/>
        </w:rPr>
      </w:pPr>
      <w:r>
        <w:rPr>
          <w:rFonts w:hint="eastAsia" w:ascii="宋体" w:hAnsi="宋体"/>
          <w:b/>
          <w:bCs/>
          <w:sz w:val="21"/>
          <w:szCs w:val="21"/>
        </w:rPr>
        <w:t>与装修改造同步</w:t>
      </w:r>
      <w:r>
        <w:rPr>
          <w:rFonts w:hint="eastAsia" w:ascii="宋体" w:hAnsi="宋体"/>
          <w:b/>
          <w:bCs/>
          <w:sz w:val="21"/>
          <w:szCs w:val="21"/>
          <w:lang w:eastAsia="zh-CN"/>
        </w:rPr>
        <w:t>（</w:t>
      </w:r>
      <w:r>
        <w:rPr>
          <w:rFonts w:hint="eastAsia" w:ascii="宋体" w:hAnsi="宋体"/>
          <w:b/>
          <w:bCs/>
          <w:sz w:val="21"/>
          <w:szCs w:val="21"/>
          <w:lang w:val="en-US" w:eastAsia="zh-CN"/>
        </w:rPr>
        <w:t>2022年8月至12月</w:t>
      </w:r>
      <w:r>
        <w:rPr>
          <w:rFonts w:hint="eastAsia" w:ascii="宋体" w:hAnsi="宋体"/>
          <w:b/>
          <w:bCs/>
          <w:sz w:val="21"/>
          <w:szCs w:val="21"/>
          <w:lang w:eastAsia="zh-CN"/>
        </w:rPr>
        <w:t>）</w:t>
      </w:r>
      <w:r>
        <w:rPr>
          <w:rFonts w:hint="eastAsia" w:ascii="宋体" w:hAnsi="宋体"/>
          <w:b/>
          <w:bCs/>
          <w:sz w:val="21"/>
          <w:szCs w:val="21"/>
        </w:rPr>
        <w:t>。投标人须在投标文件中提交按全部同时安装所需的最短交货期及最短安装、调试工期。</w:t>
      </w:r>
    </w:p>
    <w:p>
      <w:pPr>
        <w:pStyle w:val="150"/>
        <w:ind w:left="2880"/>
        <w:rPr>
          <w:rFonts w:hAnsi="宋体" w:cs="Times New Roman"/>
          <w:sz w:val="21"/>
          <w:szCs w:val="21"/>
        </w:rPr>
      </w:pPr>
    </w:p>
    <w:p>
      <w:pPr>
        <w:pStyle w:val="150"/>
        <w:ind w:left="2880"/>
        <w:rPr>
          <w:rFonts w:hAnsi="宋体" w:cs="Times New Roman"/>
          <w:lang w:val="zh-CN"/>
        </w:rPr>
      </w:pPr>
    </w:p>
    <w:p>
      <w:pPr>
        <w:pStyle w:val="150"/>
        <w:spacing w:line="360" w:lineRule="auto"/>
        <w:ind w:left="2880"/>
        <w:rPr>
          <w:rFonts w:hint="eastAsia" w:hAnsi="宋体" w:cs="Times New Roman"/>
          <w:b/>
          <w:lang w:val="zh-CN"/>
        </w:rPr>
      </w:pPr>
      <w:r>
        <w:rPr>
          <w:rFonts w:hint="eastAsia" w:hAnsi="宋体" w:cs="Times New Roman"/>
          <w:b/>
          <w:lang w:val="zh-CN"/>
        </w:rPr>
        <w:t>二  主要技术规格和要求</w:t>
      </w:r>
    </w:p>
    <w:p>
      <w:pPr>
        <w:spacing w:line="440" w:lineRule="exact"/>
        <w:rPr>
          <w:rFonts w:hint="eastAsia" w:ascii="宋体" w:hAnsi="宋体"/>
          <w:b/>
          <w:sz w:val="24"/>
          <w:szCs w:val="21"/>
        </w:rPr>
      </w:pPr>
      <w:r>
        <w:rPr>
          <w:rFonts w:hint="eastAsia" w:ascii="宋体" w:hAnsi="宋体"/>
          <w:b/>
          <w:sz w:val="24"/>
          <w:szCs w:val="21"/>
        </w:rPr>
        <w:t>一、招标设备一览表</w:t>
      </w:r>
    </w:p>
    <w:tbl>
      <w:tblPr>
        <w:tblStyle w:val="5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1"/>
        <w:gridCol w:w="4707"/>
        <w:gridCol w:w="2340"/>
        <w:gridCol w:w="1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801" w:type="dxa"/>
            <w:noWrap w:val="0"/>
            <w:vAlign w:val="center"/>
          </w:tcPr>
          <w:p>
            <w:pPr>
              <w:spacing w:line="440" w:lineRule="exact"/>
              <w:jc w:val="center"/>
              <w:rPr>
                <w:rFonts w:hint="eastAsia" w:ascii="宋体" w:hAnsi="宋体"/>
                <w:sz w:val="21"/>
                <w:szCs w:val="21"/>
              </w:rPr>
            </w:pPr>
            <w:r>
              <w:rPr>
                <w:rFonts w:hint="eastAsia" w:ascii="宋体" w:hAnsi="宋体"/>
                <w:sz w:val="21"/>
                <w:szCs w:val="21"/>
              </w:rPr>
              <w:t>序号</w:t>
            </w:r>
          </w:p>
        </w:tc>
        <w:tc>
          <w:tcPr>
            <w:tcW w:w="4707" w:type="dxa"/>
            <w:noWrap w:val="0"/>
            <w:vAlign w:val="center"/>
          </w:tcPr>
          <w:p>
            <w:pPr>
              <w:spacing w:line="440" w:lineRule="exact"/>
              <w:jc w:val="center"/>
              <w:rPr>
                <w:rFonts w:hint="eastAsia" w:ascii="宋体" w:hAnsi="宋体"/>
                <w:sz w:val="21"/>
                <w:szCs w:val="21"/>
              </w:rPr>
            </w:pPr>
            <w:r>
              <w:rPr>
                <w:rFonts w:hint="eastAsia" w:ascii="宋体" w:hAnsi="宋体"/>
                <w:sz w:val="21"/>
                <w:szCs w:val="21"/>
              </w:rPr>
              <w:t>货物名称</w:t>
            </w:r>
          </w:p>
        </w:tc>
        <w:tc>
          <w:tcPr>
            <w:tcW w:w="2340" w:type="dxa"/>
            <w:noWrap w:val="0"/>
            <w:vAlign w:val="center"/>
          </w:tcPr>
          <w:p>
            <w:pPr>
              <w:spacing w:line="440" w:lineRule="exact"/>
              <w:jc w:val="center"/>
              <w:rPr>
                <w:rFonts w:hint="eastAsia" w:ascii="宋体" w:hAnsi="宋体"/>
                <w:sz w:val="21"/>
                <w:szCs w:val="21"/>
              </w:rPr>
            </w:pPr>
            <w:r>
              <w:rPr>
                <w:rFonts w:hint="eastAsia" w:ascii="宋体" w:hAnsi="宋体"/>
                <w:sz w:val="21"/>
                <w:szCs w:val="21"/>
              </w:rPr>
              <w:t>交货及安装期</w:t>
            </w:r>
          </w:p>
        </w:tc>
        <w:tc>
          <w:tcPr>
            <w:tcW w:w="1440" w:type="dxa"/>
            <w:noWrap w:val="0"/>
            <w:vAlign w:val="center"/>
          </w:tcPr>
          <w:p>
            <w:pPr>
              <w:spacing w:line="440" w:lineRule="exact"/>
              <w:jc w:val="center"/>
              <w:rPr>
                <w:rFonts w:hint="eastAsia" w:ascii="宋体" w:hAnsi="宋体"/>
                <w:sz w:val="21"/>
                <w:szCs w:val="21"/>
              </w:rPr>
            </w:pPr>
            <w:r>
              <w:rPr>
                <w:rFonts w:hint="eastAsia" w:ascii="宋体" w:hAnsi="宋体"/>
                <w:sz w:val="21"/>
                <w:szCs w:val="21"/>
              </w:rPr>
              <w:t>交货地点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1" w:hRule="atLeast"/>
          <w:jc w:val="center"/>
        </w:trPr>
        <w:tc>
          <w:tcPr>
            <w:tcW w:w="801" w:type="dxa"/>
            <w:noWrap w:val="0"/>
            <w:vAlign w:val="center"/>
          </w:tcPr>
          <w:p>
            <w:pPr>
              <w:spacing w:line="440" w:lineRule="exact"/>
              <w:jc w:val="center"/>
              <w:rPr>
                <w:rFonts w:hint="eastAsia" w:ascii="宋体" w:hAnsi="宋体"/>
                <w:sz w:val="21"/>
                <w:szCs w:val="21"/>
              </w:rPr>
            </w:pPr>
            <w:r>
              <w:rPr>
                <w:rFonts w:hint="eastAsia" w:ascii="宋体" w:hAnsi="宋体"/>
                <w:sz w:val="21"/>
                <w:szCs w:val="21"/>
              </w:rPr>
              <w:t>1</w:t>
            </w:r>
          </w:p>
        </w:tc>
        <w:tc>
          <w:tcPr>
            <w:tcW w:w="4707" w:type="dxa"/>
            <w:noWrap w:val="0"/>
            <w:vAlign w:val="center"/>
          </w:tcPr>
          <w:p>
            <w:pPr>
              <w:spacing w:line="440" w:lineRule="exact"/>
              <w:rPr>
                <w:rFonts w:hint="eastAsia" w:ascii="宋体" w:hAnsi="宋体"/>
                <w:sz w:val="21"/>
                <w:szCs w:val="21"/>
              </w:rPr>
            </w:pPr>
            <w:r>
              <w:rPr>
                <w:rFonts w:hint="eastAsia" w:ascii="宋体" w:hAnsi="宋体"/>
                <w:sz w:val="21"/>
                <w:szCs w:val="21"/>
              </w:rPr>
              <w:t>可变冷媒流量全直流</w:t>
            </w:r>
            <w:r>
              <w:rPr>
                <w:rFonts w:hint="eastAsia" w:ascii="宋体" w:hAnsi="宋体"/>
                <w:color w:val="auto"/>
                <w:sz w:val="21"/>
                <w:szCs w:val="21"/>
              </w:rPr>
              <w:t>变频多联式空调系统设备及安装调试</w:t>
            </w:r>
          </w:p>
        </w:tc>
        <w:tc>
          <w:tcPr>
            <w:tcW w:w="2340" w:type="dxa"/>
            <w:vMerge w:val="restart"/>
            <w:noWrap w:val="0"/>
            <w:vAlign w:val="center"/>
          </w:tcPr>
          <w:p>
            <w:pPr>
              <w:adjustRightInd w:val="0"/>
              <w:snapToGrid w:val="0"/>
              <w:rPr>
                <w:rFonts w:hint="eastAsia" w:ascii="宋体" w:hAnsi="宋体"/>
                <w:sz w:val="21"/>
                <w:szCs w:val="21"/>
              </w:rPr>
            </w:pPr>
            <w:r>
              <w:rPr>
                <w:rFonts w:hint="eastAsia" w:ascii="宋体" w:hAnsi="宋体"/>
                <w:sz w:val="21"/>
                <w:szCs w:val="21"/>
              </w:rPr>
              <w:t>合同生效，按业主实际需要完成全部设备到货、安装、调试、验收。</w:t>
            </w:r>
          </w:p>
        </w:tc>
        <w:tc>
          <w:tcPr>
            <w:tcW w:w="1440" w:type="dxa"/>
            <w:vMerge w:val="restart"/>
            <w:noWrap w:val="0"/>
            <w:vAlign w:val="center"/>
          </w:tcPr>
          <w:p>
            <w:pPr>
              <w:spacing w:line="440" w:lineRule="exact"/>
              <w:jc w:val="center"/>
              <w:rPr>
                <w:rFonts w:hint="eastAsia" w:ascii="宋体" w:hAnsi="宋体"/>
                <w:sz w:val="21"/>
                <w:szCs w:val="21"/>
              </w:rPr>
            </w:pPr>
            <w:r>
              <w:rPr>
                <w:rFonts w:hint="eastAsia" w:ascii="宋体" w:hAnsi="宋体"/>
                <w:sz w:val="21"/>
                <w:szCs w:val="21"/>
              </w:rPr>
              <w:t>工地现场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0" w:hRule="atLeast"/>
          <w:jc w:val="center"/>
        </w:trPr>
        <w:tc>
          <w:tcPr>
            <w:tcW w:w="801" w:type="dxa"/>
            <w:noWrap w:val="0"/>
            <w:vAlign w:val="center"/>
          </w:tcPr>
          <w:p>
            <w:pPr>
              <w:spacing w:line="440" w:lineRule="exact"/>
              <w:jc w:val="center"/>
              <w:rPr>
                <w:rFonts w:hint="eastAsia" w:ascii="宋体" w:hAnsi="宋体"/>
                <w:sz w:val="21"/>
                <w:szCs w:val="21"/>
              </w:rPr>
            </w:pPr>
            <w:r>
              <w:rPr>
                <w:rFonts w:hint="eastAsia" w:ascii="宋体" w:hAnsi="宋体"/>
                <w:sz w:val="21"/>
                <w:szCs w:val="21"/>
              </w:rPr>
              <w:t>2</w:t>
            </w:r>
          </w:p>
        </w:tc>
        <w:tc>
          <w:tcPr>
            <w:tcW w:w="4707" w:type="dxa"/>
            <w:noWrap w:val="0"/>
            <w:vAlign w:val="center"/>
          </w:tcPr>
          <w:p>
            <w:pPr>
              <w:spacing w:line="440" w:lineRule="exact"/>
              <w:rPr>
                <w:rFonts w:hint="eastAsia" w:ascii="宋体" w:hAnsi="宋体"/>
                <w:sz w:val="21"/>
                <w:szCs w:val="21"/>
              </w:rPr>
            </w:pPr>
            <w:r>
              <w:rPr>
                <w:rFonts w:hint="eastAsia" w:ascii="宋体" w:hAnsi="宋体"/>
                <w:sz w:val="21"/>
                <w:szCs w:val="21"/>
              </w:rPr>
              <w:t>完成本项目交钥匙工程所必须的其他内容</w:t>
            </w:r>
          </w:p>
        </w:tc>
        <w:tc>
          <w:tcPr>
            <w:tcW w:w="2340" w:type="dxa"/>
            <w:vMerge w:val="continue"/>
            <w:noWrap w:val="0"/>
            <w:vAlign w:val="center"/>
          </w:tcPr>
          <w:p>
            <w:pPr>
              <w:spacing w:line="440" w:lineRule="exact"/>
              <w:rPr>
                <w:rFonts w:hint="eastAsia" w:ascii="宋体" w:hAnsi="宋体"/>
                <w:sz w:val="24"/>
                <w:szCs w:val="25"/>
              </w:rPr>
            </w:pPr>
          </w:p>
        </w:tc>
        <w:tc>
          <w:tcPr>
            <w:tcW w:w="1440" w:type="dxa"/>
            <w:vMerge w:val="continue"/>
            <w:noWrap w:val="0"/>
            <w:vAlign w:val="center"/>
          </w:tcPr>
          <w:p>
            <w:pPr>
              <w:spacing w:line="440" w:lineRule="exact"/>
              <w:rPr>
                <w:rFonts w:hint="eastAsia" w:ascii="宋体" w:hAnsi="宋体"/>
                <w:sz w:val="24"/>
                <w:szCs w:val="21"/>
              </w:rPr>
            </w:pPr>
          </w:p>
        </w:tc>
      </w:tr>
    </w:tbl>
    <w:p>
      <w:pPr>
        <w:snapToGrid w:val="0"/>
        <w:spacing w:line="440" w:lineRule="exact"/>
        <w:rPr>
          <w:rFonts w:ascii="宋体" w:hAnsi="宋体"/>
          <w:b/>
          <w:sz w:val="24"/>
          <w:szCs w:val="21"/>
        </w:rPr>
      </w:pPr>
      <w:r>
        <w:rPr>
          <w:rFonts w:ascii="宋体" w:hAnsi="宋体"/>
          <w:b/>
          <w:sz w:val="24"/>
          <w:szCs w:val="21"/>
        </w:rPr>
        <w:t>二、技术规格</w:t>
      </w:r>
    </w:p>
    <w:p>
      <w:pPr>
        <w:snapToGrid w:val="0"/>
        <w:spacing w:line="480" w:lineRule="exact"/>
        <w:ind w:firstLine="422" w:firstLineChars="200"/>
        <w:rPr>
          <w:rFonts w:ascii="宋体" w:hAnsi="宋体"/>
          <w:b/>
          <w:sz w:val="21"/>
          <w:szCs w:val="21"/>
        </w:rPr>
      </w:pPr>
      <w:r>
        <w:rPr>
          <w:rFonts w:ascii="宋体" w:hAnsi="宋体"/>
          <w:b/>
          <w:sz w:val="21"/>
          <w:szCs w:val="21"/>
        </w:rPr>
        <w:t>（一）可变冷</w:t>
      </w:r>
      <w:r>
        <w:rPr>
          <w:rFonts w:ascii="宋体" w:hAnsi="宋体" w:eastAsia="宋体" w:cs="Times New Roman"/>
          <w:b/>
          <w:sz w:val="21"/>
          <w:szCs w:val="21"/>
        </w:rPr>
        <w:t>媒流量全</w:t>
      </w:r>
      <w:r>
        <w:rPr>
          <w:rFonts w:hint="eastAsia" w:ascii="宋体" w:hAnsi="宋体" w:eastAsia="宋体" w:cs="Times New Roman"/>
          <w:b/>
          <w:sz w:val="21"/>
          <w:szCs w:val="21"/>
        </w:rPr>
        <w:t>直流</w:t>
      </w:r>
      <w:r>
        <w:rPr>
          <w:rFonts w:ascii="宋体" w:hAnsi="宋体" w:eastAsia="宋体" w:cs="Times New Roman"/>
          <w:b/>
          <w:sz w:val="21"/>
          <w:szCs w:val="21"/>
        </w:rPr>
        <w:t>变频</w:t>
      </w:r>
      <w:r>
        <w:rPr>
          <w:rFonts w:hint="eastAsia" w:ascii="宋体" w:hAnsi="宋体" w:eastAsia="宋体" w:cs="Times New Roman"/>
          <w:b/>
          <w:sz w:val="21"/>
          <w:szCs w:val="21"/>
        </w:rPr>
        <w:t>多联式</w:t>
      </w:r>
      <w:r>
        <w:rPr>
          <w:rFonts w:ascii="宋体" w:hAnsi="宋体" w:eastAsia="宋体" w:cs="Times New Roman"/>
          <w:b/>
          <w:sz w:val="21"/>
          <w:szCs w:val="21"/>
        </w:rPr>
        <w:t>空</w:t>
      </w:r>
      <w:r>
        <w:rPr>
          <w:rFonts w:ascii="宋体" w:hAnsi="宋体"/>
          <w:b/>
          <w:sz w:val="21"/>
          <w:szCs w:val="21"/>
        </w:rPr>
        <w:t>调系统技术规格</w:t>
      </w:r>
    </w:p>
    <w:p>
      <w:pPr>
        <w:snapToGrid w:val="0"/>
        <w:spacing w:line="480" w:lineRule="exact"/>
        <w:ind w:firstLine="422" w:firstLineChars="200"/>
        <w:rPr>
          <w:rFonts w:hint="eastAsia" w:ascii="宋体" w:hAnsi="宋体"/>
          <w:b/>
          <w:color w:val="auto"/>
          <w:sz w:val="21"/>
          <w:szCs w:val="21"/>
        </w:rPr>
      </w:pPr>
      <w:r>
        <w:rPr>
          <w:rFonts w:ascii="宋体" w:hAnsi="宋体"/>
          <w:b/>
          <w:color w:val="auto"/>
          <w:sz w:val="21"/>
          <w:szCs w:val="21"/>
        </w:rPr>
        <w:t>1.</w:t>
      </w:r>
      <w:r>
        <w:rPr>
          <w:rFonts w:hint="eastAsia" w:ascii="宋体" w:hAnsi="宋体"/>
          <w:b/>
          <w:color w:val="auto"/>
          <w:sz w:val="21"/>
          <w:szCs w:val="21"/>
          <w:lang w:val="en-US" w:eastAsia="zh-CN"/>
        </w:rPr>
        <w:t>1</w:t>
      </w:r>
      <w:r>
        <w:rPr>
          <w:rFonts w:ascii="宋体" w:hAnsi="宋体"/>
          <w:b/>
          <w:color w:val="auto"/>
          <w:sz w:val="21"/>
          <w:szCs w:val="21"/>
        </w:rPr>
        <w:t>系统冷媒：</w:t>
      </w:r>
      <w:r>
        <w:rPr>
          <w:rFonts w:hint="eastAsia" w:ascii="宋体" w:hAnsi="宋体"/>
          <w:b/>
          <w:color w:val="auto"/>
          <w:sz w:val="21"/>
          <w:szCs w:val="21"/>
        </w:rPr>
        <w:t>R410a</w:t>
      </w:r>
    </w:p>
    <w:p>
      <w:pPr>
        <w:snapToGrid w:val="0"/>
        <w:spacing w:line="480" w:lineRule="exact"/>
        <w:ind w:firstLine="420" w:firstLineChars="200"/>
        <w:rPr>
          <w:rFonts w:hint="eastAsia" w:ascii="宋体" w:hAnsi="宋体"/>
          <w:color w:val="auto"/>
          <w:sz w:val="21"/>
          <w:szCs w:val="21"/>
        </w:rPr>
      </w:pPr>
      <w:r>
        <w:rPr>
          <w:rFonts w:ascii="宋体" w:hAnsi="宋体"/>
          <w:color w:val="auto"/>
          <w:sz w:val="21"/>
          <w:szCs w:val="21"/>
        </w:rPr>
        <w:t>1.</w:t>
      </w:r>
      <w:r>
        <w:rPr>
          <w:rFonts w:hint="eastAsia" w:ascii="宋体" w:hAnsi="宋体"/>
          <w:color w:val="auto"/>
          <w:sz w:val="21"/>
          <w:szCs w:val="21"/>
          <w:lang w:val="en-US" w:eastAsia="zh-CN"/>
        </w:rPr>
        <w:t>2</w:t>
      </w:r>
      <w:r>
        <w:rPr>
          <w:rFonts w:hint="eastAsia" w:ascii="宋体" w:hAnsi="宋体"/>
          <w:color w:val="auto"/>
          <w:sz w:val="21"/>
          <w:szCs w:val="21"/>
        </w:rPr>
        <w:t>本项目夏季空调总耗冷量为909.2KW；冬季空调总耗热量为1020KW。</w:t>
      </w:r>
    </w:p>
    <w:p>
      <w:pPr>
        <w:snapToGrid w:val="0"/>
        <w:spacing w:line="480" w:lineRule="exact"/>
        <w:ind w:firstLine="480" w:firstLineChars="200"/>
        <w:rPr>
          <w:color w:val="auto"/>
          <w:sz w:val="21"/>
          <w:szCs w:val="21"/>
        </w:rPr>
      </w:pPr>
      <w:r>
        <w:rPr>
          <w:rFonts w:hint="eastAsia" w:asciiTheme="majorEastAsia" w:hAnsiTheme="majorEastAsia" w:eastAsiaTheme="majorEastAsia" w:cstheme="majorEastAsia"/>
        </w:rPr>
        <w:t>▲</w:t>
      </w:r>
      <w:r>
        <w:rPr>
          <w:rFonts w:hint="eastAsia" w:ascii="宋体" w:hAnsi="宋体"/>
          <w:b/>
          <w:color w:val="auto"/>
          <w:sz w:val="21"/>
          <w:szCs w:val="21"/>
        </w:rPr>
        <w:t>1.</w:t>
      </w:r>
      <w:r>
        <w:rPr>
          <w:rFonts w:hint="eastAsia" w:ascii="宋体" w:hAnsi="宋体"/>
          <w:b/>
          <w:color w:val="auto"/>
          <w:sz w:val="21"/>
          <w:szCs w:val="21"/>
          <w:lang w:val="en-US" w:eastAsia="zh-CN"/>
        </w:rPr>
        <w:t>3</w:t>
      </w:r>
      <w:r>
        <w:rPr>
          <w:rFonts w:ascii="宋体" w:hAnsi="宋体"/>
          <w:b/>
          <w:color w:val="auto"/>
          <w:sz w:val="21"/>
          <w:szCs w:val="21"/>
        </w:rPr>
        <w:t>空调系统使用区域、范围与所有室</w:t>
      </w:r>
      <w:r>
        <w:rPr>
          <w:rFonts w:ascii="宋体" w:hAnsi="宋体" w:eastAsia="宋体" w:cs="Times New Roman"/>
          <w:b/>
          <w:color w:val="auto"/>
          <w:sz w:val="21"/>
          <w:szCs w:val="21"/>
        </w:rPr>
        <w:t>内机、室外机设</w:t>
      </w:r>
      <w:r>
        <w:rPr>
          <w:rFonts w:ascii="宋体" w:hAnsi="宋体"/>
          <w:b/>
          <w:color w:val="auto"/>
          <w:sz w:val="21"/>
          <w:szCs w:val="21"/>
        </w:rPr>
        <w:t>备形式（出风形式），按</w:t>
      </w:r>
      <w:r>
        <w:rPr>
          <w:rFonts w:hint="eastAsia" w:ascii="宋体" w:hAnsi="宋体"/>
          <w:b/>
          <w:color w:val="auto"/>
          <w:sz w:val="21"/>
          <w:szCs w:val="21"/>
        </w:rPr>
        <w:t>施工图（具体统计情况见</w:t>
      </w:r>
      <w:r>
        <w:rPr>
          <w:rFonts w:ascii="宋体" w:hAnsi="宋体"/>
          <w:b/>
          <w:color w:val="auto"/>
          <w:sz w:val="21"/>
          <w:szCs w:val="21"/>
        </w:rPr>
        <w:t>附表一</w:t>
      </w:r>
      <w:r>
        <w:rPr>
          <w:rFonts w:hint="eastAsia" w:ascii="宋体" w:hAnsi="宋体"/>
          <w:b/>
          <w:color w:val="auto"/>
          <w:sz w:val="21"/>
          <w:szCs w:val="21"/>
        </w:rPr>
        <w:t>）</w:t>
      </w:r>
      <w:r>
        <w:rPr>
          <w:rFonts w:ascii="宋体" w:hAnsi="宋体"/>
          <w:b/>
          <w:color w:val="auto"/>
          <w:sz w:val="21"/>
          <w:szCs w:val="21"/>
        </w:rPr>
        <w:t>要求，不得更改</w:t>
      </w:r>
      <w:r>
        <w:rPr>
          <w:rFonts w:ascii="宋体" w:hAnsi="宋体"/>
          <w:color w:val="auto"/>
          <w:sz w:val="21"/>
          <w:szCs w:val="21"/>
        </w:rPr>
        <w:t>。</w:t>
      </w:r>
    </w:p>
    <w:p>
      <w:pPr>
        <w:snapToGrid w:val="0"/>
        <w:spacing w:line="480" w:lineRule="exact"/>
        <w:ind w:firstLine="420" w:firstLineChars="200"/>
        <w:rPr>
          <w:rFonts w:ascii="宋体" w:hAnsi="宋体"/>
          <w:color w:val="auto"/>
          <w:sz w:val="21"/>
          <w:szCs w:val="21"/>
        </w:rPr>
      </w:pPr>
      <w:r>
        <w:rPr>
          <w:rFonts w:hint="eastAsia" w:ascii="宋体" w:hAnsi="宋体"/>
          <w:color w:val="auto"/>
          <w:sz w:val="21"/>
          <w:szCs w:val="21"/>
        </w:rPr>
        <w:t>1.</w:t>
      </w:r>
      <w:r>
        <w:rPr>
          <w:rFonts w:hint="eastAsia" w:ascii="宋体" w:hAnsi="宋体"/>
          <w:color w:val="auto"/>
          <w:sz w:val="21"/>
          <w:szCs w:val="21"/>
          <w:lang w:val="en-US" w:eastAsia="zh-CN"/>
        </w:rPr>
        <w:t>4</w:t>
      </w:r>
      <w:r>
        <w:rPr>
          <w:rFonts w:ascii="宋体" w:hAnsi="宋体"/>
          <w:color w:val="auto"/>
          <w:sz w:val="21"/>
          <w:szCs w:val="21"/>
        </w:rPr>
        <w:t>室外机可在-15℃～5℃范围内正常制热，在-5℃～+43℃范围内正常制冷。</w:t>
      </w:r>
    </w:p>
    <w:p>
      <w:pPr>
        <w:snapToGrid w:val="0"/>
        <w:spacing w:line="480" w:lineRule="exact"/>
        <w:ind w:firstLine="420" w:firstLineChars="200"/>
        <w:rPr>
          <w:rFonts w:ascii="宋体" w:hAnsi="宋体"/>
          <w:color w:val="auto"/>
          <w:sz w:val="21"/>
          <w:szCs w:val="21"/>
        </w:rPr>
      </w:pPr>
      <w:r>
        <w:rPr>
          <w:rFonts w:ascii="宋体" w:hAnsi="宋体"/>
          <w:color w:val="auto"/>
          <w:sz w:val="21"/>
          <w:szCs w:val="21"/>
        </w:rPr>
        <w:t>1.</w:t>
      </w:r>
      <w:r>
        <w:rPr>
          <w:rFonts w:hint="eastAsia" w:ascii="宋体" w:hAnsi="宋体"/>
          <w:color w:val="auto"/>
          <w:sz w:val="21"/>
          <w:szCs w:val="21"/>
          <w:lang w:val="en-US" w:eastAsia="zh-CN"/>
        </w:rPr>
        <w:t>5</w:t>
      </w:r>
      <w:r>
        <w:rPr>
          <w:rFonts w:ascii="宋体" w:hAnsi="宋体"/>
          <w:color w:val="auto"/>
          <w:sz w:val="21"/>
          <w:szCs w:val="21"/>
        </w:rPr>
        <w:t>室内外机间允许最大接管长度</w:t>
      </w:r>
      <w:r>
        <w:rPr>
          <w:rFonts w:hint="eastAsia" w:ascii="宋体" w:hAnsi="宋体"/>
          <w:color w:val="auto"/>
          <w:sz w:val="21"/>
          <w:szCs w:val="21"/>
        </w:rPr>
        <w:t>、</w:t>
      </w:r>
      <w:r>
        <w:rPr>
          <w:rFonts w:ascii="宋体" w:hAnsi="宋体"/>
          <w:color w:val="auto"/>
          <w:sz w:val="21"/>
          <w:szCs w:val="21"/>
        </w:rPr>
        <w:t>允许最大高差</w:t>
      </w:r>
      <w:r>
        <w:rPr>
          <w:rFonts w:hint="eastAsia" w:ascii="宋体" w:hAnsi="宋体"/>
          <w:color w:val="auto"/>
          <w:sz w:val="21"/>
          <w:szCs w:val="21"/>
        </w:rPr>
        <w:t>满足设计要求</w:t>
      </w:r>
      <w:r>
        <w:rPr>
          <w:rFonts w:ascii="宋体" w:hAnsi="宋体"/>
          <w:color w:val="auto"/>
          <w:sz w:val="21"/>
          <w:szCs w:val="21"/>
        </w:rPr>
        <w:t>。</w:t>
      </w:r>
    </w:p>
    <w:p>
      <w:pPr>
        <w:snapToGrid w:val="0"/>
        <w:spacing w:line="480" w:lineRule="exact"/>
        <w:ind w:firstLine="420" w:firstLineChars="200"/>
        <w:rPr>
          <w:rFonts w:ascii="宋体" w:hAnsi="宋体"/>
          <w:color w:val="auto"/>
          <w:sz w:val="21"/>
          <w:szCs w:val="21"/>
        </w:rPr>
      </w:pPr>
      <w:r>
        <w:rPr>
          <w:rFonts w:hint="eastAsia" w:ascii="宋体" w:hAnsi="宋体"/>
          <w:color w:val="auto"/>
          <w:sz w:val="21"/>
          <w:szCs w:val="21"/>
        </w:rPr>
        <w:t>1.</w:t>
      </w:r>
      <w:r>
        <w:rPr>
          <w:rFonts w:hint="eastAsia" w:ascii="宋体" w:hAnsi="宋体"/>
          <w:color w:val="auto"/>
          <w:sz w:val="21"/>
          <w:szCs w:val="21"/>
          <w:lang w:val="en-US" w:eastAsia="zh-CN"/>
        </w:rPr>
        <w:t>6</w:t>
      </w:r>
      <w:r>
        <w:rPr>
          <w:rFonts w:ascii="宋体" w:hAnsi="宋体"/>
          <w:color w:val="auto"/>
          <w:sz w:val="21"/>
          <w:szCs w:val="21"/>
        </w:rPr>
        <w:t>室内机是本系统的末端装置，它应自带蒸发器、循环风机、长效过滤网、冷凝水提升泵等。</w:t>
      </w:r>
    </w:p>
    <w:p>
      <w:pPr>
        <w:snapToGrid w:val="0"/>
        <w:spacing w:line="480" w:lineRule="exact"/>
        <w:ind w:firstLine="420" w:firstLineChars="200"/>
        <w:rPr>
          <w:rFonts w:hint="eastAsia" w:ascii="宋体" w:hAnsi="宋体"/>
          <w:color w:val="auto"/>
          <w:sz w:val="21"/>
          <w:szCs w:val="21"/>
        </w:rPr>
      </w:pPr>
      <w:r>
        <w:rPr>
          <w:rFonts w:ascii="宋体" w:hAnsi="宋体"/>
          <w:color w:val="auto"/>
          <w:sz w:val="21"/>
          <w:szCs w:val="21"/>
        </w:rPr>
        <w:t>1.</w:t>
      </w:r>
      <w:r>
        <w:rPr>
          <w:rFonts w:hint="eastAsia" w:ascii="宋体" w:hAnsi="宋体"/>
          <w:color w:val="auto"/>
          <w:sz w:val="21"/>
          <w:szCs w:val="21"/>
          <w:lang w:val="en-US" w:eastAsia="zh-CN"/>
        </w:rPr>
        <w:t>7</w:t>
      </w:r>
      <w:r>
        <w:rPr>
          <w:rFonts w:ascii="宋体" w:hAnsi="宋体"/>
          <w:color w:val="auto"/>
          <w:sz w:val="21"/>
          <w:szCs w:val="21"/>
        </w:rPr>
        <w:t>室外机整机噪音</w:t>
      </w:r>
      <w:r>
        <w:rPr>
          <w:rFonts w:hint="eastAsia" w:ascii="宋体" w:hAnsi="宋体"/>
          <w:color w:val="auto"/>
          <w:sz w:val="21"/>
          <w:szCs w:val="21"/>
        </w:rPr>
        <w:t>、</w:t>
      </w:r>
      <w:r>
        <w:rPr>
          <w:rFonts w:ascii="宋体" w:hAnsi="宋体"/>
          <w:color w:val="auto"/>
          <w:sz w:val="21"/>
          <w:szCs w:val="21"/>
        </w:rPr>
        <w:t>室内机整机噪音：</w:t>
      </w:r>
      <w:r>
        <w:rPr>
          <w:rFonts w:hint="eastAsia" w:ascii="宋体" w:hAnsi="宋体"/>
          <w:color w:val="auto"/>
          <w:sz w:val="21"/>
          <w:szCs w:val="21"/>
        </w:rPr>
        <w:t>按设计要求</w:t>
      </w:r>
      <w:r>
        <w:rPr>
          <w:rFonts w:ascii="宋体" w:hAnsi="宋体"/>
          <w:color w:val="auto"/>
          <w:sz w:val="21"/>
          <w:szCs w:val="21"/>
        </w:rPr>
        <w:t>。</w:t>
      </w:r>
    </w:p>
    <w:p>
      <w:pPr>
        <w:snapToGrid w:val="0"/>
        <w:spacing w:line="480" w:lineRule="exact"/>
        <w:ind w:firstLine="420" w:firstLineChars="200"/>
        <w:rPr>
          <w:rFonts w:ascii="宋体" w:hAnsi="宋体"/>
          <w:color w:val="auto"/>
          <w:sz w:val="21"/>
          <w:szCs w:val="21"/>
        </w:rPr>
      </w:pPr>
      <w:r>
        <w:rPr>
          <w:rFonts w:hint="eastAsia" w:ascii="宋体" w:hAnsi="宋体"/>
          <w:color w:val="auto"/>
          <w:sz w:val="21"/>
          <w:szCs w:val="21"/>
        </w:rPr>
        <w:t>1.</w:t>
      </w:r>
      <w:r>
        <w:rPr>
          <w:rFonts w:hint="eastAsia" w:ascii="宋体" w:hAnsi="宋体"/>
          <w:color w:val="auto"/>
          <w:sz w:val="21"/>
          <w:szCs w:val="21"/>
          <w:lang w:val="en-US" w:eastAsia="zh-CN"/>
        </w:rPr>
        <w:t>8</w:t>
      </w:r>
      <w:r>
        <w:rPr>
          <w:rFonts w:ascii="宋体" w:hAnsi="宋体"/>
          <w:color w:val="auto"/>
          <w:sz w:val="21"/>
          <w:szCs w:val="21"/>
        </w:rPr>
        <w:t>噪声测试点为距室内/外机1米处。</w:t>
      </w:r>
    </w:p>
    <w:p>
      <w:pPr>
        <w:snapToGrid w:val="0"/>
        <w:spacing w:line="480" w:lineRule="exact"/>
        <w:ind w:firstLine="420" w:firstLineChars="200"/>
        <w:rPr>
          <w:rFonts w:hint="eastAsia" w:ascii="宋体" w:hAnsi="宋体"/>
          <w:color w:val="auto"/>
          <w:sz w:val="21"/>
          <w:szCs w:val="21"/>
        </w:rPr>
      </w:pPr>
      <w:r>
        <w:rPr>
          <w:rFonts w:hint="eastAsia" w:ascii="宋体" w:hAnsi="宋体"/>
          <w:color w:val="auto"/>
          <w:sz w:val="21"/>
          <w:szCs w:val="21"/>
        </w:rPr>
        <w:t>1.</w:t>
      </w:r>
      <w:r>
        <w:rPr>
          <w:rFonts w:hint="eastAsia" w:ascii="宋体" w:hAnsi="宋体"/>
          <w:color w:val="auto"/>
          <w:sz w:val="21"/>
          <w:szCs w:val="21"/>
          <w:lang w:val="en-US" w:eastAsia="zh-CN"/>
        </w:rPr>
        <w:t>9</w:t>
      </w:r>
      <w:r>
        <w:rPr>
          <w:rFonts w:ascii="宋体" w:hAnsi="宋体"/>
          <w:color w:val="auto"/>
          <w:sz w:val="21"/>
          <w:szCs w:val="21"/>
        </w:rPr>
        <w:t>室内机控制器采用有线控制器</w:t>
      </w:r>
      <w:r>
        <w:rPr>
          <w:rFonts w:hint="eastAsia" w:ascii="宋体" w:hAnsi="宋体"/>
          <w:color w:val="auto"/>
          <w:sz w:val="21"/>
          <w:szCs w:val="21"/>
        </w:rPr>
        <w:t>。该控制器应独立控制每一台室内机，</w:t>
      </w:r>
      <w:r>
        <w:rPr>
          <w:rFonts w:ascii="宋体" w:hAnsi="宋体"/>
          <w:color w:val="auto"/>
          <w:sz w:val="21"/>
          <w:szCs w:val="21"/>
        </w:rPr>
        <w:t>安装在墙上</w:t>
      </w:r>
      <w:r>
        <w:rPr>
          <w:rFonts w:hint="eastAsia" w:ascii="宋体" w:hAnsi="宋体"/>
          <w:color w:val="auto"/>
          <w:sz w:val="21"/>
          <w:szCs w:val="21"/>
        </w:rPr>
        <w:t>，由KBG管穿线引入</w:t>
      </w:r>
      <w:r>
        <w:rPr>
          <w:rFonts w:ascii="宋体" w:hAnsi="宋体"/>
          <w:color w:val="auto"/>
          <w:sz w:val="21"/>
          <w:szCs w:val="21"/>
        </w:rPr>
        <w:t>，具有运行方式、温度控制、气流速度控制、冷热风转换及故障诊断等基本功能。投标人对控制器的功能应有详细描述。</w:t>
      </w:r>
    </w:p>
    <w:p>
      <w:pPr>
        <w:snapToGrid w:val="0"/>
        <w:spacing w:line="480" w:lineRule="exact"/>
        <w:ind w:firstLine="480" w:firstLineChars="200"/>
        <w:rPr>
          <w:rFonts w:hint="eastAsia" w:ascii="宋体" w:hAnsi="宋体"/>
          <w:b/>
          <w:color w:val="auto"/>
          <w:sz w:val="21"/>
          <w:szCs w:val="21"/>
        </w:rPr>
      </w:pPr>
      <w:r>
        <w:rPr>
          <w:rFonts w:hint="eastAsia" w:asciiTheme="majorEastAsia" w:hAnsiTheme="majorEastAsia" w:eastAsiaTheme="majorEastAsia" w:cstheme="majorEastAsia"/>
        </w:rPr>
        <w:t>▲</w:t>
      </w:r>
      <w:r>
        <w:rPr>
          <w:rFonts w:hint="eastAsia" w:ascii="宋体" w:hAnsi="宋体"/>
          <w:b/>
          <w:color w:val="auto"/>
          <w:sz w:val="21"/>
          <w:szCs w:val="21"/>
        </w:rPr>
        <w:t>1.1</w:t>
      </w:r>
      <w:r>
        <w:rPr>
          <w:rFonts w:hint="eastAsia" w:ascii="宋体" w:hAnsi="宋体"/>
          <w:b/>
          <w:color w:val="auto"/>
          <w:sz w:val="21"/>
          <w:szCs w:val="21"/>
          <w:lang w:val="en-US" w:eastAsia="zh-CN"/>
        </w:rPr>
        <w:t>0</w:t>
      </w:r>
      <w:r>
        <w:rPr>
          <w:rFonts w:ascii="宋体" w:hAnsi="宋体"/>
          <w:b/>
          <w:color w:val="auto"/>
          <w:sz w:val="21"/>
          <w:szCs w:val="21"/>
        </w:rPr>
        <w:t>风管连接式室内机应自带凝结水泵，排水高度不应小于0.5米</w:t>
      </w:r>
      <w:r>
        <w:rPr>
          <w:rFonts w:hint="eastAsia" w:ascii="宋体" w:hAnsi="宋体"/>
          <w:b/>
          <w:color w:val="auto"/>
          <w:sz w:val="21"/>
          <w:szCs w:val="21"/>
        </w:rPr>
        <w:t>，机外静压不低于30Pa。</w:t>
      </w:r>
    </w:p>
    <w:p>
      <w:pPr>
        <w:snapToGrid w:val="0"/>
        <w:spacing w:line="480" w:lineRule="exact"/>
        <w:ind w:firstLine="480" w:firstLineChars="200"/>
        <w:rPr>
          <w:rFonts w:hint="eastAsia" w:ascii="宋体" w:hAnsi="宋体"/>
          <w:b/>
          <w:color w:val="auto"/>
          <w:sz w:val="21"/>
          <w:szCs w:val="21"/>
        </w:rPr>
      </w:pPr>
      <w:r>
        <w:rPr>
          <w:rFonts w:hint="eastAsia" w:asciiTheme="majorEastAsia" w:hAnsiTheme="majorEastAsia" w:eastAsiaTheme="majorEastAsia" w:cstheme="majorEastAsia"/>
        </w:rPr>
        <w:t>▲</w:t>
      </w:r>
      <w:r>
        <w:rPr>
          <w:rFonts w:hint="eastAsia" w:ascii="宋体" w:hAnsi="宋体"/>
          <w:b/>
          <w:color w:val="auto"/>
          <w:sz w:val="21"/>
          <w:szCs w:val="21"/>
        </w:rPr>
        <w:t>1.1</w:t>
      </w:r>
      <w:r>
        <w:rPr>
          <w:rFonts w:hint="eastAsia" w:ascii="宋体" w:hAnsi="宋体"/>
          <w:b/>
          <w:color w:val="auto"/>
          <w:sz w:val="21"/>
          <w:szCs w:val="21"/>
          <w:lang w:val="en-US" w:eastAsia="zh-CN"/>
        </w:rPr>
        <w:t>1单台室内机、室外机制冷量不允许负偏离。投标设备室外机总制冷量不得低于设计室外机总制冷量。（夏季空调制冷量为909.2KW）。单台全热交换器风量、静压不允许负偏离。</w:t>
      </w:r>
    </w:p>
    <w:p>
      <w:pPr>
        <w:snapToGrid w:val="0"/>
        <w:spacing w:line="480" w:lineRule="exact"/>
        <w:ind w:firstLine="480" w:firstLineChars="200"/>
        <w:rPr>
          <w:rFonts w:hint="eastAsia" w:ascii="宋体" w:hAnsi="宋体"/>
          <w:b/>
          <w:color w:val="auto"/>
          <w:sz w:val="21"/>
          <w:szCs w:val="21"/>
        </w:rPr>
      </w:pPr>
      <w:r>
        <w:rPr>
          <w:rFonts w:hint="eastAsia" w:asciiTheme="majorEastAsia" w:hAnsiTheme="majorEastAsia" w:eastAsiaTheme="majorEastAsia" w:cstheme="majorEastAsia"/>
        </w:rPr>
        <w:t>▲</w:t>
      </w:r>
      <w:r>
        <w:rPr>
          <w:rFonts w:hint="eastAsia" w:ascii="宋体" w:hAnsi="宋体"/>
          <w:b/>
          <w:color w:val="auto"/>
          <w:sz w:val="21"/>
          <w:szCs w:val="21"/>
        </w:rPr>
        <w:t>1.1</w:t>
      </w:r>
      <w:r>
        <w:rPr>
          <w:rFonts w:hint="eastAsia" w:ascii="宋体" w:hAnsi="宋体"/>
          <w:b/>
          <w:color w:val="auto"/>
          <w:sz w:val="21"/>
          <w:szCs w:val="21"/>
          <w:lang w:val="en-US" w:eastAsia="zh-CN"/>
        </w:rPr>
        <w:t>2总的外机整机额定输入电功率允许负偏差为业主提供的总容量3%以内（含，四舍五入、取整数）。单台全热交换器额定输入电功率允许负偏差为设计容量的3%以内（含，四舍五入、取整数）。</w:t>
      </w:r>
    </w:p>
    <w:p>
      <w:pPr>
        <w:snapToGrid w:val="0"/>
        <w:spacing w:line="480" w:lineRule="exact"/>
        <w:ind w:firstLine="480" w:firstLineChars="200"/>
        <w:rPr>
          <w:rFonts w:ascii="宋体" w:hAnsi="宋体"/>
          <w:b/>
          <w:color w:val="000000"/>
          <w:sz w:val="21"/>
          <w:szCs w:val="21"/>
        </w:rPr>
      </w:pPr>
      <w:r>
        <w:rPr>
          <w:rFonts w:hint="eastAsia" w:asciiTheme="majorEastAsia" w:hAnsiTheme="majorEastAsia" w:eastAsiaTheme="majorEastAsia" w:cstheme="majorEastAsia"/>
        </w:rPr>
        <w:t>▲</w:t>
      </w:r>
      <w:r>
        <w:rPr>
          <w:rFonts w:hint="eastAsia" w:ascii="宋体" w:hAnsi="宋体"/>
          <w:b/>
          <w:color w:val="000000"/>
          <w:sz w:val="21"/>
          <w:szCs w:val="21"/>
        </w:rPr>
        <w:t>1.1</w:t>
      </w:r>
      <w:r>
        <w:rPr>
          <w:rFonts w:hint="eastAsia" w:ascii="宋体" w:hAnsi="宋体"/>
          <w:b/>
          <w:color w:val="000000"/>
          <w:sz w:val="21"/>
          <w:szCs w:val="21"/>
          <w:lang w:val="en-US" w:eastAsia="zh-CN"/>
        </w:rPr>
        <w:t>3空调系统的划分必须按照设计图纸，不得自行拆分、组合空调系统，室外机和室内机的数量、形式必须按照设计图纸。</w:t>
      </w:r>
    </w:p>
    <w:p>
      <w:pPr>
        <w:snapToGrid w:val="0"/>
        <w:spacing w:line="480" w:lineRule="exact"/>
        <w:ind w:firstLine="420" w:firstLineChars="200"/>
        <w:rPr>
          <w:rFonts w:ascii="宋体" w:hAnsi="宋体"/>
          <w:sz w:val="21"/>
          <w:szCs w:val="21"/>
        </w:rPr>
      </w:pPr>
      <w:r>
        <w:rPr>
          <w:rFonts w:ascii="宋体" w:hAnsi="宋体"/>
          <w:sz w:val="21"/>
          <w:szCs w:val="21"/>
        </w:rPr>
        <w:t>1.</w:t>
      </w:r>
      <w:r>
        <w:rPr>
          <w:rFonts w:hint="eastAsia" w:ascii="宋体" w:hAnsi="宋体"/>
          <w:sz w:val="21"/>
          <w:szCs w:val="21"/>
        </w:rPr>
        <w:t>1</w:t>
      </w:r>
      <w:r>
        <w:rPr>
          <w:rFonts w:hint="eastAsia" w:ascii="宋体" w:hAnsi="宋体"/>
          <w:sz w:val="21"/>
          <w:szCs w:val="21"/>
          <w:lang w:val="en-US" w:eastAsia="zh-CN"/>
        </w:rPr>
        <w:t>4</w:t>
      </w:r>
      <w:r>
        <w:rPr>
          <w:rFonts w:ascii="宋体" w:hAnsi="宋体"/>
          <w:sz w:val="21"/>
          <w:szCs w:val="21"/>
        </w:rPr>
        <w:t>所有电气设备和设备的安装须符合下列电源条件：</w:t>
      </w:r>
    </w:p>
    <w:p>
      <w:pPr>
        <w:snapToGrid w:val="0"/>
        <w:spacing w:line="480" w:lineRule="exact"/>
        <w:ind w:firstLine="420" w:firstLineChars="200"/>
        <w:rPr>
          <w:rFonts w:ascii="宋体" w:hAnsi="宋体"/>
          <w:sz w:val="21"/>
          <w:szCs w:val="21"/>
        </w:rPr>
      </w:pPr>
      <w:r>
        <w:rPr>
          <w:rFonts w:ascii="宋体" w:hAnsi="宋体"/>
          <w:sz w:val="21"/>
          <w:szCs w:val="21"/>
        </w:rPr>
        <w:t>电压：~380V，3相5线制</w:t>
      </w:r>
      <w:r>
        <w:rPr>
          <w:rFonts w:hint="eastAsia" w:ascii="宋体" w:hAnsi="宋体"/>
          <w:sz w:val="21"/>
          <w:szCs w:val="21"/>
        </w:rPr>
        <w:t>，</w:t>
      </w:r>
      <w:r>
        <w:rPr>
          <w:rFonts w:ascii="宋体" w:hAnsi="宋体"/>
          <w:sz w:val="21"/>
          <w:szCs w:val="21"/>
        </w:rPr>
        <w:t>~220V单相</w:t>
      </w:r>
    </w:p>
    <w:p>
      <w:pPr>
        <w:snapToGrid w:val="0"/>
        <w:spacing w:line="480" w:lineRule="exact"/>
        <w:ind w:firstLine="420" w:firstLineChars="200"/>
        <w:rPr>
          <w:rFonts w:ascii="宋体" w:hAnsi="宋体"/>
          <w:sz w:val="21"/>
          <w:szCs w:val="21"/>
        </w:rPr>
      </w:pPr>
      <w:r>
        <w:rPr>
          <w:rFonts w:ascii="宋体" w:hAnsi="宋体"/>
          <w:sz w:val="21"/>
          <w:szCs w:val="21"/>
        </w:rPr>
        <w:t>电压波动：±7%，接地电阻要求：≤4Ω</w:t>
      </w:r>
    </w:p>
    <w:p>
      <w:pPr>
        <w:snapToGrid w:val="0"/>
        <w:spacing w:line="480" w:lineRule="exact"/>
        <w:ind w:firstLine="420" w:firstLineChars="200"/>
        <w:rPr>
          <w:rFonts w:hint="eastAsia" w:ascii="宋体" w:hAnsi="宋体"/>
          <w:bCs/>
          <w:iCs/>
          <w:sz w:val="21"/>
          <w:szCs w:val="21"/>
        </w:rPr>
      </w:pPr>
      <w:r>
        <w:rPr>
          <w:rFonts w:ascii="宋体" w:hAnsi="宋体"/>
          <w:bCs/>
          <w:iCs/>
          <w:sz w:val="21"/>
          <w:szCs w:val="21"/>
        </w:rPr>
        <w:t>1.</w:t>
      </w:r>
      <w:r>
        <w:rPr>
          <w:rFonts w:hint="eastAsia" w:ascii="宋体" w:hAnsi="宋体"/>
          <w:bCs/>
          <w:iCs/>
          <w:sz w:val="21"/>
          <w:szCs w:val="21"/>
        </w:rPr>
        <w:t>1</w:t>
      </w:r>
      <w:r>
        <w:rPr>
          <w:rFonts w:hint="eastAsia" w:ascii="宋体" w:hAnsi="宋体"/>
          <w:bCs/>
          <w:iCs/>
          <w:sz w:val="21"/>
          <w:szCs w:val="21"/>
          <w:lang w:val="en-US" w:eastAsia="zh-CN"/>
        </w:rPr>
        <w:t>5</w:t>
      </w:r>
      <w:r>
        <w:rPr>
          <w:rFonts w:ascii="宋体" w:hAnsi="宋体"/>
          <w:bCs/>
          <w:iCs/>
          <w:sz w:val="21"/>
          <w:szCs w:val="21"/>
        </w:rPr>
        <w:t>变频系统应具备对供电系统的抗干扰能力，系统产生的高次谐波电流必须小于基波电流的5%，并不得影响其他设备的正常工作。</w:t>
      </w:r>
    </w:p>
    <w:p>
      <w:pPr>
        <w:snapToGrid w:val="0"/>
        <w:spacing w:line="480" w:lineRule="exact"/>
        <w:ind w:firstLine="420" w:firstLineChars="200"/>
        <w:rPr>
          <w:rFonts w:ascii="宋体" w:hAnsi="宋体"/>
          <w:sz w:val="21"/>
          <w:szCs w:val="21"/>
        </w:rPr>
      </w:pPr>
      <w:r>
        <w:rPr>
          <w:rFonts w:ascii="宋体" w:hAnsi="宋体"/>
          <w:sz w:val="21"/>
          <w:szCs w:val="21"/>
        </w:rPr>
        <w:t>1.</w:t>
      </w:r>
      <w:r>
        <w:rPr>
          <w:rFonts w:hint="eastAsia" w:ascii="宋体" w:hAnsi="宋体"/>
          <w:sz w:val="21"/>
          <w:szCs w:val="21"/>
        </w:rPr>
        <w:t>1</w:t>
      </w:r>
      <w:r>
        <w:rPr>
          <w:rFonts w:hint="eastAsia" w:ascii="宋体" w:hAnsi="宋体"/>
          <w:sz w:val="21"/>
          <w:szCs w:val="21"/>
          <w:lang w:val="en-US" w:eastAsia="zh-CN"/>
        </w:rPr>
        <w:t>6</w:t>
      </w:r>
      <w:r>
        <w:rPr>
          <w:rFonts w:ascii="宋体" w:hAnsi="宋体"/>
          <w:sz w:val="21"/>
          <w:szCs w:val="21"/>
        </w:rPr>
        <w:t>投标人在投标时，应提交为本工程机组提供的控制系统各种功能的详细说明。</w:t>
      </w:r>
    </w:p>
    <w:p>
      <w:pPr>
        <w:snapToGrid w:val="0"/>
        <w:spacing w:line="480" w:lineRule="exact"/>
        <w:ind w:firstLine="420" w:firstLineChars="200"/>
        <w:rPr>
          <w:rFonts w:ascii="宋体" w:hAnsi="宋体"/>
          <w:sz w:val="21"/>
          <w:szCs w:val="21"/>
        </w:rPr>
      </w:pPr>
      <w:r>
        <w:rPr>
          <w:rFonts w:ascii="宋体" w:hAnsi="宋体"/>
          <w:sz w:val="21"/>
          <w:szCs w:val="21"/>
        </w:rPr>
        <w:t>1.</w:t>
      </w:r>
      <w:r>
        <w:rPr>
          <w:rFonts w:hint="eastAsia" w:ascii="宋体" w:hAnsi="宋体"/>
          <w:sz w:val="21"/>
          <w:szCs w:val="21"/>
        </w:rPr>
        <w:t>1</w:t>
      </w:r>
      <w:r>
        <w:rPr>
          <w:rFonts w:hint="eastAsia" w:ascii="宋体" w:hAnsi="宋体"/>
          <w:sz w:val="21"/>
          <w:szCs w:val="21"/>
          <w:lang w:val="en-US" w:eastAsia="zh-CN"/>
        </w:rPr>
        <w:t>7</w:t>
      </w:r>
      <w:r>
        <w:rPr>
          <w:rFonts w:ascii="宋体" w:hAnsi="宋体"/>
          <w:sz w:val="21"/>
          <w:szCs w:val="21"/>
        </w:rPr>
        <w:t>投标人提供的货物的室外机必须要可靠性高。室外机壳体及热交换器翅片要经有效的防腐处理，提供的货物和服务必须要可靠性高，除了象密封件、易损件等一类消耗项目外，所有部件都应具有连续正常使用超过15年的寿命。</w:t>
      </w:r>
    </w:p>
    <w:p>
      <w:pPr>
        <w:snapToGrid w:val="0"/>
        <w:spacing w:line="480" w:lineRule="exact"/>
        <w:ind w:firstLine="420" w:firstLineChars="200"/>
        <w:rPr>
          <w:rFonts w:ascii="宋体" w:hAnsi="宋体"/>
          <w:sz w:val="21"/>
          <w:szCs w:val="21"/>
        </w:rPr>
      </w:pPr>
      <w:r>
        <w:rPr>
          <w:rFonts w:ascii="宋体" w:hAnsi="宋体"/>
          <w:sz w:val="21"/>
          <w:szCs w:val="21"/>
        </w:rPr>
        <w:t>1.</w:t>
      </w:r>
      <w:r>
        <w:rPr>
          <w:rFonts w:hint="eastAsia" w:ascii="宋体" w:hAnsi="宋体"/>
          <w:sz w:val="21"/>
          <w:szCs w:val="21"/>
          <w:lang w:val="en-US" w:eastAsia="zh-CN"/>
        </w:rPr>
        <w:t>18</w:t>
      </w:r>
      <w:r>
        <w:rPr>
          <w:rFonts w:ascii="宋体" w:hAnsi="宋体"/>
          <w:sz w:val="21"/>
          <w:szCs w:val="21"/>
        </w:rPr>
        <w:t>其它技术要求</w:t>
      </w:r>
    </w:p>
    <w:p>
      <w:pPr>
        <w:snapToGrid w:val="0"/>
        <w:spacing w:line="480" w:lineRule="exact"/>
        <w:ind w:firstLine="420" w:firstLineChars="200"/>
        <w:rPr>
          <w:rFonts w:ascii="宋体" w:hAnsi="宋体"/>
          <w:sz w:val="21"/>
          <w:szCs w:val="21"/>
        </w:rPr>
      </w:pPr>
      <w:r>
        <w:rPr>
          <w:rFonts w:ascii="宋体" w:hAnsi="宋体"/>
          <w:sz w:val="21"/>
          <w:szCs w:val="21"/>
        </w:rPr>
        <w:t>1.</w:t>
      </w:r>
      <w:r>
        <w:rPr>
          <w:rFonts w:hint="eastAsia" w:ascii="宋体" w:hAnsi="宋体"/>
          <w:sz w:val="21"/>
          <w:szCs w:val="21"/>
          <w:lang w:val="en-US" w:eastAsia="zh-CN"/>
        </w:rPr>
        <w:t>18</w:t>
      </w:r>
      <w:r>
        <w:rPr>
          <w:rFonts w:ascii="宋体" w:hAnsi="宋体"/>
          <w:sz w:val="21"/>
          <w:szCs w:val="21"/>
        </w:rPr>
        <w:t>.1投标人须进一步地明确提供货物的技术参数，并应在投标文件中详细列出。</w:t>
      </w:r>
    </w:p>
    <w:p>
      <w:pPr>
        <w:snapToGrid w:val="0"/>
        <w:spacing w:line="480" w:lineRule="exact"/>
        <w:ind w:firstLine="420" w:firstLineChars="200"/>
        <w:rPr>
          <w:rFonts w:hint="eastAsia" w:ascii="宋体" w:hAnsi="宋体"/>
          <w:sz w:val="21"/>
          <w:szCs w:val="21"/>
        </w:rPr>
      </w:pPr>
      <w:r>
        <w:rPr>
          <w:rFonts w:ascii="宋体" w:hAnsi="宋体"/>
          <w:sz w:val="21"/>
          <w:szCs w:val="21"/>
        </w:rPr>
        <w:t>1.</w:t>
      </w:r>
      <w:r>
        <w:rPr>
          <w:rFonts w:hint="eastAsia" w:ascii="宋体" w:hAnsi="宋体"/>
          <w:sz w:val="21"/>
          <w:szCs w:val="21"/>
          <w:lang w:val="en-US" w:eastAsia="zh-CN"/>
        </w:rPr>
        <w:t>18</w:t>
      </w:r>
      <w:r>
        <w:rPr>
          <w:rFonts w:hint="eastAsia" w:ascii="宋体" w:hAnsi="宋体"/>
          <w:sz w:val="21"/>
          <w:szCs w:val="21"/>
        </w:rPr>
        <w:t>.</w:t>
      </w:r>
      <w:r>
        <w:rPr>
          <w:rFonts w:ascii="宋体" w:hAnsi="宋体"/>
          <w:sz w:val="21"/>
          <w:szCs w:val="21"/>
        </w:rPr>
        <w:t>2详细列出所有货物及附件的安装尺寸，装配关系，与安装有关的线路，管道接口尺寸及安装要求（包括安装、运行和维护空间），安装使用说明书。</w:t>
      </w:r>
    </w:p>
    <w:p>
      <w:pPr>
        <w:adjustRightInd w:val="0"/>
        <w:snapToGrid w:val="0"/>
        <w:spacing w:line="480" w:lineRule="exact"/>
        <w:ind w:firstLine="480" w:firstLineChars="200"/>
        <w:rPr>
          <w:rFonts w:hint="eastAsia" w:ascii="宋体" w:hAnsi="宋体"/>
          <w:b/>
          <w:bCs w:val="0"/>
          <w:sz w:val="21"/>
          <w:szCs w:val="21"/>
          <w:highlight w:val="none"/>
        </w:rPr>
      </w:pPr>
      <w:r>
        <w:rPr>
          <w:rFonts w:hint="eastAsia" w:asciiTheme="majorEastAsia" w:hAnsiTheme="majorEastAsia" w:eastAsiaTheme="majorEastAsia" w:cstheme="majorEastAsia"/>
        </w:rPr>
        <w:t>▲</w:t>
      </w:r>
      <w:r>
        <w:rPr>
          <w:rFonts w:hint="eastAsia" w:ascii="宋体" w:hAnsi="宋体"/>
          <w:b/>
          <w:bCs w:val="0"/>
          <w:sz w:val="21"/>
          <w:szCs w:val="21"/>
          <w:highlight w:val="none"/>
        </w:rPr>
        <w:t>1.</w:t>
      </w:r>
      <w:r>
        <w:rPr>
          <w:rFonts w:hint="eastAsia" w:ascii="宋体" w:hAnsi="宋体"/>
          <w:b/>
          <w:bCs w:val="0"/>
          <w:sz w:val="21"/>
          <w:szCs w:val="21"/>
          <w:highlight w:val="none"/>
          <w:lang w:val="en-US" w:eastAsia="zh-CN"/>
        </w:rPr>
        <w:t>19</w:t>
      </w:r>
      <w:r>
        <w:rPr>
          <w:rFonts w:hint="eastAsia" w:ascii="宋体" w:hAnsi="宋体"/>
          <w:b/>
          <w:bCs w:val="0"/>
          <w:sz w:val="21"/>
          <w:szCs w:val="21"/>
          <w:highlight w:val="none"/>
        </w:rPr>
        <w:t>报价形式及格式须按照招标文件格式，否则做废标处理。</w:t>
      </w:r>
    </w:p>
    <w:p>
      <w:pPr>
        <w:snapToGrid w:val="0"/>
        <w:spacing w:line="480" w:lineRule="exact"/>
        <w:ind w:firstLine="422" w:firstLineChars="200"/>
        <w:rPr>
          <w:rFonts w:ascii="宋体" w:hAnsi="宋体"/>
          <w:sz w:val="21"/>
          <w:szCs w:val="21"/>
        </w:rPr>
      </w:pPr>
      <w:r>
        <w:rPr>
          <w:rFonts w:ascii="宋体" w:hAnsi="宋体"/>
          <w:b/>
          <w:sz w:val="21"/>
          <w:szCs w:val="21"/>
        </w:rPr>
        <w:t>（二）可变冷媒流量</w:t>
      </w:r>
      <w:r>
        <w:rPr>
          <w:rFonts w:hint="eastAsia" w:ascii="宋体" w:hAnsi="宋体"/>
          <w:sz w:val="21"/>
          <w:szCs w:val="21"/>
        </w:rPr>
        <w:t>全直流变频</w:t>
      </w:r>
      <w:r>
        <w:rPr>
          <w:rFonts w:hint="eastAsia" w:ascii="宋体" w:hAnsi="宋体"/>
          <w:sz w:val="21"/>
          <w:szCs w:val="21"/>
          <w:lang w:val="en-US" w:eastAsia="zh-CN"/>
        </w:rPr>
        <w:t>多联式</w:t>
      </w:r>
      <w:r>
        <w:rPr>
          <w:rFonts w:ascii="宋体" w:hAnsi="宋体"/>
          <w:sz w:val="21"/>
          <w:szCs w:val="21"/>
        </w:rPr>
        <w:t>空调系统安装要求</w:t>
      </w:r>
    </w:p>
    <w:p>
      <w:pPr>
        <w:snapToGrid w:val="0"/>
        <w:spacing w:line="480" w:lineRule="exact"/>
        <w:ind w:firstLine="420" w:firstLineChars="200"/>
        <w:rPr>
          <w:rFonts w:hint="eastAsia" w:ascii="宋体" w:hAnsi="宋体"/>
          <w:sz w:val="21"/>
          <w:szCs w:val="21"/>
        </w:rPr>
      </w:pPr>
      <w:r>
        <w:rPr>
          <w:rFonts w:ascii="宋体" w:hAnsi="宋体"/>
          <w:sz w:val="21"/>
          <w:szCs w:val="21"/>
        </w:rPr>
        <w:t>2.1室外机安装于屋面上或指定场所，位置参考设计图纸或</w:t>
      </w:r>
      <w:r>
        <w:rPr>
          <w:rFonts w:hint="eastAsia" w:ascii="宋体" w:hAnsi="宋体"/>
          <w:sz w:val="21"/>
          <w:szCs w:val="21"/>
        </w:rPr>
        <w:t>图纸</w:t>
      </w:r>
      <w:r>
        <w:rPr>
          <w:rFonts w:ascii="宋体" w:hAnsi="宋体"/>
          <w:sz w:val="21"/>
          <w:szCs w:val="21"/>
        </w:rPr>
        <w:t>说明。</w:t>
      </w:r>
    </w:p>
    <w:p>
      <w:pPr>
        <w:snapToGrid w:val="0"/>
        <w:spacing w:line="480" w:lineRule="exact"/>
        <w:ind w:firstLine="420" w:firstLineChars="200"/>
        <w:rPr>
          <w:rFonts w:ascii="宋体" w:hAnsi="宋体"/>
          <w:sz w:val="21"/>
          <w:szCs w:val="21"/>
        </w:rPr>
      </w:pPr>
      <w:r>
        <w:rPr>
          <w:rFonts w:ascii="宋体" w:hAnsi="宋体"/>
          <w:sz w:val="21"/>
          <w:szCs w:val="21"/>
        </w:rPr>
        <w:t>2.</w:t>
      </w:r>
      <w:r>
        <w:rPr>
          <w:rFonts w:hint="eastAsia" w:ascii="宋体" w:hAnsi="宋体"/>
          <w:sz w:val="21"/>
          <w:szCs w:val="21"/>
        </w:rPr>
        <w:t>2</w:t>
      </w:r>
      <w:r>
        <w:rPr>
          <w:rFonts w:ascii="宋体" w:hAnsi="宋体"/>
          <w:sz w:val="21"/>
          <w:szCs w:val="21"/>
        </w:rPr>
        <w:t>室内外机连接管和冷凝水管位置，按本招标文件划分的系统配置的室内外机布置。请投标人提供图纸，图纸需在原设计图基础上修改。</w:t>
      </w:r>
      <w:r>
        <w:rPr>
          <w:rFonts w:hint="eastAsia" w:ascii="宋体" w:hAnsi="宋体"/>
          <w:sz w:val="21"/>
          <w:szCs w:val="21"/>
        </w:rPr>
        <w:t>深化设计的图纸最终需得到设计确认，投标人深化设计的价格已包括在投标总价中。</w:t>
      </w:r>
      <w:r>
        <w:rPr>
          <w:rFonts w:ascii="宋体" w:hAnsi="宋体"/>
          <w:sz w:val="21"/>
          <w:szCs w:val="21"/>
        </w:rPr>
        <w:t>投标人须确定冷媒管规格及冷媒分配器型号及冷凝水管的规格。</w:t>
      </w:r>
    </w:p>
    <w:p>
      <w:pPr>
        <w:snapToGrid w:val="0"/>
        <w:spacing w:line="480" w:lineRule="exact"/>
        <w:ind w:firstLine="420" w:firstLineChars="200"/>
        <w:rPr>
          <w:rFonts w:hint="eastAsia" w:ascii="宋体" w:hAnsi="宋体"/>
          <w:sz w:val="21"/>
          <w:szCs w:val="21"/>
        </w:rPr>
      </w:pPr>
      <w:r>
        <w:rPr>
          <w:rFonts w:ascii="宋体" w:hAnsi="宋体"/>
          <w:sz w:val="21"/>
          <w:szCs w:val="21"/>
        </w:rPr>
        <w:t>2.</w:t>
      </w:r>
      <w:r>
        <w:rPr>
          <w:rFonts w:hint="eastAsia" w:ascii="宋体" w:hAnsi="宋体"/>
          <w:sz w:val="21"/>
          <w:szCs w:val="21"/>
        </w:rPr>
        <w:t>3</w:t>
      </w:r>
      <w:r>
        <w:rPr>
          <w:rFonts w:ascii="宋体" w:hAnsi="宋体"/>
          <w:sz w:val="21"/>
          <w:szCs w:val="21"/>
        </w:rPr>
        <w:t>室内机安装位置见设计图纸并与招标人提供的最终</w:t>
      </w:r>
      <w:r>
        <w:rPr>
          <w:rFonts w:hint="eastAsia" w:ascii="宋体" w:hAnsi="宋体"/>
          <w:sz w:val="21"/>
          <w:szCs w:val="21"/>
        </w:rPr>
        <w:t>装修</w:t>
      </w:r>
      <w:r>
        <w:rPr>
          <w:rFonts w:ascii="宋体" w:hAnsi="宋体"/>
          <w:sz w:val="21"/>
          <w:szCs w:val="21"/>
        </w:rPr>
        <w:t>设计图协调一致后施工。</w:t>
      </w:r>
      <w:r>
        <w:rPr>
          <w:rFonts w:hint="eastAsia" w:ascii="宋体" w:hAnsi="宋体"/>
          <w:sz w:val="21"/>
          <w:szCs w:val="21"/>
        </w:rPr>
        <w:t>部分需要根据业主的招商入住企业实际需求情况来布置室内机位置，投标人需满足业主及招商入住企业需求，费用包含在投标总价中。</w:t>
      </w:r>
    </w:p>
    <w:p>
      <w:pPr>
        <w:snapToGrid w:val="0"/>
        <w:spacing w:line="480" w:lineRule="exact"/>
        <w:ind w:firstLine="420" w:firstLineChars="200"/>
        <w:rPr>
          <w:rFonts w:ascii="宋体" w:hAnsi="宋体"/>
          <w:sz w:val="21"/>
          <w:szCs w:val="21"/>
        </w:rPr>
      </w:pPr>
      <w:r>
        <w:rPr>
          <w:rFonts w:ascii="宋体" w:hAnsi="宋体"/>
          <w:sz w:val="21"/>
          <w:szCs w:val="21"/>
        </w:rPr>
        <w:t>2.</w:t>
      </w:r>
      <w:r>
        <w:rPr>
          <w:rFonts w:hint="eastAsia" w:ascii="宋体" w:hAnsi="宋体"/>
          <w:sz w:val="21"/>
          <w:szCs w:val="21"/>
        </w:rPr>
        <w:t>4室外的冷媒保冷管外还应该外包至少0.4毫米的SUS304板作为保护壳，SUS304板保护壳之间起鼓加强并连接。所需费用应在报价时综合考虑，结算不另增加相关费用。</w:t>
      </w:r>
    </w:p>
    <w:p>
      <w:pPr>
        <w:overflowPunct w:val="0"/>
        <w:spacing w:line="480" w:lineRule="exact"/>
        <w:ind w:firstLine="480" w:firstLineChars="200"/>
        <w:rPr>
          <w:rFonts w:hint="eastAsia" w:ascii="宋体" w:hAnsi="宋体"/>
          <w:sz w:val="21"/>
          <w:szCs w:val="21"/>
        </w:rPr>
      </w:pPr>
      <w:r>
        <w:rPr>
          <w:rFonts w:hint="eastAsia" w:asciiTheme="majorEastAsia" w:hAnsiTheme="majorEastAsia" w:eastAsiaTheme="majorEastAsia" w:cstheme="majorEastAsia"/>
        </w:rPr>
        <w:t>▲</w:t>
      </w:r>
      <w:r>
        <w:rPr>
          <w:rFonts w:ascii="宋体" w:hAnsi="宋体"/>
          <w:b/>
          <w:sz w:val="21"/>
          <w:szCs w:val="21"/>
          <w:highlight w:val="none"/>
        </w:rPr>
        <w:t>2.</w:t>
      </w:r>
      <w:r>
        <w:rPr>
          <w:rFonts w:hint="eastAsia" w:ascii="宋体" w:hAnsi="宋体"/>
          <w:b/>
          <w:sz w:val="21"/>
          <w:szCs w:val="21"/>
          <w:highlight w:val="none"/>
        </w:rPr>
        <w:t>5安装材料应满足国家标准，铜管采用空调用去磷脱氧无缝紫铜管，并应符合国标GB/T1527-2006，</w:t>
      </w:r>
      <w:r>
        <w:rPr>
          <w:rFonts w:ascii="宋体" w:hAnsi="宋体"/>
          <w:b/>
          <w:sz w:val="21"/>
          <w:szCs w:val="21"/>
          <w:highlight w:val="none"/>
        </w:rPr>
        <w:t>铜管采用上海飞轮</w:t>
      </w:r>
      <w:r>
        <w:rPr>
          <w:rFonts w:hint="eastAsia" w:ascii="宋体" w:hAnsi="宋体"/>
          <w:b/>
          <w:sz w:val="21"/>
          <w:szCs w:val="21"/>
          <w:highlight w:val="none"/>
        </w:rPr>
        <w:t>、诸暨海亮、青岛宏泰</w:t>
      </w:r>
      <w:r>
        <w:rPr>
          <w:rFonts w:hint="eastAsia" w:ascii="宋体" w:hAnsi="宋体"/>
          <w:b/>
          <w:sz w:val="21"/>
          <w:szCs w:val="21"/>
          <w:highlight w:val="none"/>
          <w:lang w:val="en-US" w:eastAsia="zh-CN"/>
        </w:rPr>
        <w:t>或同档次品牌</w:t>
      </w:r>
      <w:r>
        <w:rPr>
          <w:rFonts w:hint="eastAsia" w:ascii="宋体" w:hAnsi="宋体"/>
          <w:b/>
          <w:sz w:val="21"/>
          <w:szCs w:val="21"/>
          <w:highlight w:val="none"/>
        </w:rPr>
        <w:t>。采用难燃B级橡塑隔热保温材料保温，选用河北华美、昆山世霸龙、福乐斯</w:t>
      </w:r>
      <w:r>
        <w:rPr>
          <w:rFonts w:hint="eastAsia" w:ascii="宋体" w:hAnsi="宋体"/>
          <w:b/>
          <w:sz w:val="21"/>
          <w:szCs w:val="21"/>
          <w:highlight w:val="none"/>
          <w:lang w:val="en-US" w:eastAsia="zh-CN"/>
        </w:rPr>
        <w:t>或同档次品牌</w:t>
      </w:r>
      <w:r>
        <w:rPr>
          <w:rFonts w:hint="eastAsia" w:ascii="宋体" w:hAnsi="宋体"/>
          <w:b/>
          <w:sz w:val="21"/>
          <w:szCs w:val="21"/>
          <w:highlight w:val="none"/>
        </w:rPr>
        <w:t>，保温厚度符合国家标准。</w:t>
      </w:r>
      <w:r>
        <w:rPr>
          <w:rFonts w:hint="eastAsia" w:ascii="宋体" w:hAnsi="宋体"/>
          <w:sz w:val="21"/>
          <w:szCs w:val="21"/>
        </w:rPr>
        <w:t>用PVC扎带包扎成束，固定方式采用25×3扁钢作吊筋固定。将冷媒管用相应尺寸的骑马卡经螺栓固定在扁钢上。冷媒管穿越楼板或穿越墙体时用钢套管护套。套管高出地面50mm，套管中间设止水环，媒管焊接，或穿越墙体时用钢套管护套。套管高出地面50mm，套管中间设止水环，媒管焊接，大于DN25的铜管用相应规格的束接连接，每个焊点焊接完立即用清水在热态状态下及时清洗，洗尽氧化层。冷媒管的分支处用分支器进行分支，焊接采用充氮保护纤焊焊接，最后进行氮气检测。冷时清洗，洗尽氧化层。</w:t>
      </w:r>
    </w:p>
    <w:p>
      <w:pPr>
        <w:snapToGrid w:val="0"/>
        <w:spacing w:line="480" w:lineRule="exact"/>
        <w:ind w:firstLine="420" w:firstLineChars="200"/>
        <w:rPr>
          <w:rFonts w:ascii="宋体" w:hAnsi="宋体"/>
          <w:sz w:val="21"/>
          <w:szCs w:val="21"/>
        </w:rPr>
      </w:pPr>
      <w:r>
        <w:rPr>
          <w:rFonts w:ascii="宋体" w:hAnsi="宋体"/>
          <w:sz w:val="21"/>
          <w:szCs w:val="21"/>
        </w:rPr>
        <w:t>2.</w:t>
      </w:r>
      <w:r>
        <w:rPr>
          <w:rFonts w:hint="eastAsia" w:ascii="宋体" w:hAnsi="宋体"/>
          <w:sz w:val="21"/>
          <w:szCs w:val="21"/>
        </w:rPr>
        <w:t>6</w:t>
      </w:r>
      <w:r>
        <w:rPr>
          <w:rFonts w:ascii="宋体" w:hAnsi="宋体"/>
          <w:sz w:val="21"/>
          <w:szCs w:val="21"/>
        </w:rPr>
        <w:t>投标人提供分歧器的品牌及原产地。</w:t>
      </w:r>
    </w:p>
    <w:p>
      <w:pPr>
        <w:snapToGrid w:val="0"/>
        <w:spacing w:line="480" w:lineRule="exact"/>
        <w:ind w:firstLine="420" w:firstLineChars="200"/>
        <w:rPr>
          <w:rFonts w:hint="eastAsia" w:ascii="宋体" w:hAnsi="宋体"/>
          <w:sz w:val="21"/>
          <w:szCs w:val="21"/>
        </w:rPr>
      </w:pPr>
      <w:r>
        <w:rPr>
          <w:rFonts w:ascii="宋体" w:hAnsi="宋体"/>
          <w:sz w:val="21"/>
          <w:szCs w:val="21"/>
        </w:rPr>
        <w:t>2.</w:t>
      </w:r>
      <w:r>
        <w:rPr>
          <w:rFonts w:hint="eastAsia" w:ascii="宋体" w:hAnsi="宋体"/>
          <w:sz w:val="21"/>
          <w:szCs w:val="21"/>
        </w:rPr>
        <w:t>7所有凝结水管采用UPVC管。冷凝水盘的泄水支管沿水流方向坡度不小于0.01，冷凝水水平干管坡度不小于0.005，不允许有积水部位。冷凝水管的固定同冷媒管的固定方式，吊架间距不大于1.2m。试水时将清洁水沿管道缓缓加入，检查各连接处及管路是否有渗漏现象，对管路较长的排放管，将管路两端出口处封闭，将清洁水注入管道内观察24小时后，如无渗漏即属合格。</w:t>
      </w:r>
    </w:p>
    <w:p>
      <w:pPr>
        <w:snapToGrid w:val="0"/>
        <w:spacing w:line="480" w:lineRule="exact"/>
        <w:ind w:firstLine="420" w:firstLineChars="200"/>
        <w:rPr>
          <w:rFonts w:ascii="宋体" w:hAnsi="宋体"/>
          <w:sz w:val="21"/>
          <w:szCs w:val="21"/>
        </w:rPr>
      </w:pPr>
      <w:r>
        <w:rPr>
          <w:rFonts w:ascii="宋体" w:hAnsi="宋体"/>
          <w:sz w:val="21"/>
          <w:szCs w:val="21"/>
        </w:rPr>
        <w:t>2.</w:t>
      </w:r>
      <w:r>
        <w:rPr>
          <w:rFonts w:hint="eastAsia" w:ascii="宋体" w:hAnsi="宋体"/>
          <w:sz w:val="21"/>
          <w:szCs w:val="21"/>
        </w:rPr>
        <w:t>8</w:t>
      </w:r>
      <w:r>
        <w:rPr>
          <w:rFonts w:ascii="宋体" w:hAnsi="宋体"/>
          <w:sz w:val="21"/>
          <w:szCs w:val="21"/>
        </w:rPr>
        <w:t>管道支</w:t>
      </w:r>
      <w:r>
        <w:rPr>
          <w:rFonts w:hint="eastAsia" w:ascii="宋体" w:hAnsi="宋体"/>
          <w:sz w:val="21"/>
          <w:szCs w:val="21"/>
        </w:rPr>
        <w:t>吊</w:t>
      </w:r>
      <w:r>
        <w:rPr>
          <w:rFonts w:ascii="宋体" w:hAnsi="宋体"/>
          <w:sz w:val="21"/>
          <w:szCs w:val="21"/>
        </w:rPr>
        <w:t>架</w:t>
      </w:r>
      <w:r>
        <w:rPr>
          <w:rFonts w:hint="eastAsia" w:ascii="宋体" w:hAnsi="宋体"/>
          <w:sz w:val="21"/>
          <w:szCs w:val="21"/>
        </w:rPr>
        <w:t>在表面除锈后刷</w:t>
      </w:r>
      <w:r>
        <w:rPr>
          <w:rFonts w:ascii="宋体" w:hAnsi="宋体"/>
          <w:sz w:val="21"/>
          <w:szCs w:val="21"/>
        </w:rPr>
        <w:t>红丹</w:t>
      </w:r>
      <w:r>
        <w:rPr>
          <w:rFonts w:hint="eastAsia" w:ascii="宋体" w:hAnsi="宋体"/>
          <w:sz w:val="21"/>
          <w:szCs w:val="21"/>
        </w:rPr>
        <w:t>二道，再刷灰色漆二道。</w:t>
      </w:r>
    </w:p>
    <w:p>
      <w:pPr>
        <w:snapToGrid w:val="0"/>
        <w:spacing w:line="480" w:lineRule="exact"/>
        <w:ind w:firstLine="420" w:firstLineChars="200"/>
        <w:rPr>
          <w:rFonts w:hint="eastAsia" w:ascii="宋体" w:hAnsi="宋体"/>
          <w:sz w:val="21"/>
          <w:szCs w:val="21"/>
        </w:rPr>
      </w:pPr>
      <w:r>
        <w:rPr>
          <w:rFonts w:ascii="宋体" w:hAnsi="宋体"/>
          <w:sz w:val="21"/>
          <w:szCs w:val="21"/>
        </w:rPr>
        <w:t>2.</w:t>
      </w:r>
      <w:r>
        <w:rPr>
          <w:rFonts w:hint="eastAsia" w:ascii="宋体" w:hAnsi="宋体"/>
          <w:sz w:val="21"/>
          <w:szCs w:val="21"/>
        </w:rPr>
        <w:t>9</w:t>
      </w:r>
      <w:r>
        <w:rPr>
          <w:rFonts w:ascii="宋体" w:hAnsi="宋体"/>
          <w:sz w:val="21"/>
          <w:szCs w:val="21"/>
        </w:rPr>
        <w:t>安装在吊顶内的设备阀门等，其下方的吊顶应为活动吊顶或预留检修孔。</w:t>
      </w:r>
      <w:r>
        <w:rPr>
          <w:rFonts w:hint="eastAsia" w:ascii="宋体" w:hAnsi="宋体"/>
          <w:sz w:val="21"/>
          <w:szCs w:val="21"/>
        </w:rPr>
        <w:t>投标人提供具体位置，但不得与装修冲突，投标人须无条件与装修配合。</w:t>
      </w:r>
    </w:p>
    <w:p>
      <w:pPr>
        <w:snapToGrid w:val="0"/>
        <w:spacing w:line="480" w:lineRule="exact"/>
        <w:ind w:firstLine="420" w:firstLineChars="200"/>
        <w:rPr>
          <w:rFonts w:hint="eastAsia" w:ascii="宋体" w:hAnsi="宋体"/>
          <w:sz w:val="21"/>
          <w:szCs w:val="21"/>
        </w:rPr>
      </w:pPr>
      <w:r>
        <w:rPr>
          <w:rFonts w:ascii="宋体" w:hAnsi="宋体"/>
          <w:sz w:val="21"/>
          <w:szCs w:val="21"/>
        </w:rPr>
        <w:t>2.</w:t>
      </w:r>
      <w:r>
        <w:rPr>
          <w:rFonts w:hint="eastAsia" w:ascii="宋体" w:hAnsi="宋体"/>
          <w:sz w:val="21"/>
          <w:szCs w:val="21"/>
        </w:rPr>
        <w:t>10吊筋经膨胀螺栓固定在屋顶，室内机安装在吊筋下，双螺母固定，并加2mm厚的橡胶垫减振，并保持室内机安装位置水平。</w:t>
      </w:r>
    </w:p>
    <w:p>
      <w:pPr>
        <w:snapToGrid w:val="0"/>
        <w:spacing w:line="480" w:lineRule="exact"/>
        <w:ind w:firstLine="420" w:firstLineChars="200"/>
        <w:rPr>
          <w:rFonts w:hint="eastAsia" w:ascii="宋体" w:hAnsi="宋体"/>
          <w:sz w:val="21"/>
          <w:szCs w:val="21"/>
        </w:rPr>
      </w:pPr>
      <w:r>
        <w:rPr>
          <w:rFonts w:hint="eastAsia" w:ascii="宋体" w:hAnsi="宋体"/>
          <w:sz w:val="21"/>
          <w:szCs w:val="21"/>
        </w:rPr>
        <w:t>2.11焊接完的系统用氮气进行吹洗，必须保证管道内无杂质。</w:t>
      </w:r>
    </w:p>
    <w:p>
      <w:pPr>
        <w:snapToGrid w:val="0"/>
        <w:spacing w:line="480" w:lineRule="exact"/>
        <w:ind w:firstLine="420" w:firstLineChars="200"/>
        <w:rPr>
          <w:rFonts w:hint="eastAsia" w:ascii="宋体" w:hAnsi="宋体"/>
          <w:sz w:val="21"/>
          <w:szCs w:val="21"/>
        </w:rPr>
      </w:pPr>
      <w:r>
        <w:rPr>
          <w:rFonts w:hint="eastAsia" w:ascii="宋体" w:hAnsi="宋体"/>
          <w:sz w:val="21"/>
          <w:szCs w:val="21"/>
        </w:rPr>
        <w:t>2.12已安装好的冷媒管按各冷媒系统对气管及液管进行氮气加压试验，试验结果各项指标必须满足规范要求。</w:t>
      </w:r>
    </w:p>
    <w:p>
      <w:pPr>
        <w:snapToGrid w:val="0"/>
        <w:spacing w:line="480" w:lineRule="exact"/>
        <w:ind w:firstLine="420" w:firstLineChars="200"/>
        <w:rPr>
          <w:rFonts w:hint="eastAsia" w:ascii="宋体" w:hAnsi="宋体"/>
          <w:sz w:val="21"/>
          <w:szCs w:val="21"/>
        </w:rPr>
      </w:pPr>
      <w:r>
        <w:rPr>
          <w:rFonts w:hint="eastAsia" w:ascii="宋体" w:hAnsi="宋体"/>
          <w:sz w:val="21"/>
          <w:szCs w:val="21"/>
        </w:rPr>
        <w:t xml:space="preserve"> 2.13室外机安装时，在混凝土基础铺设槽钢基座，槽钢须为二次镀锌。室外机安装在槽钢基座上，用角钢焊接在槽钢上，用以连接室外机地脚螺栓，室外机钢架基座的颜色须和其他设备基座颜色一致。</w:t>
      </w:r>
    </w:p>
    <w:p>
      <w:pPr>
        <w:snapToGrid w:val="0"/>
        <w:spacing w:line="480" w:lineRule="exact"/>
        <w:ind w:firstLine="420" w:firstLineChars="200"/>
        <w:rPr>
          <w:rFonts w:hint="eastAsia" w:ascii="宋体" w:hAnsi="宋体"/>
          <w:sz w:val="21"/>
          <w:szCs w:val="21"/>
        </w:rPr>
      </w:pPr>
      <w:r>
        <w:rPr>
          <w:rFonts w:hint="eastAsia" w:ascii="宋体" w:hAnsi="宋体"/>
          <w:sz w:val="21"/>
          <w:szCs w:val="21"/>
        </w:rPr>
        <w:t>2.14风管采用单面彩钢保温管制作，厚度及加工方法按国标规范的规定确定（如有新规定以新规定为准）；安装在吊顶内的排烟风管，均设置40mm厚的离心玻璃棉保湿，并与可燃物保持不小于150mm的距离。</w:t>
      </w:r>
    </w:p>
    <w:p>
      <w:pPr>
        <w:snapToGrid w:val="0"/>
        <w:spacing w:line="480" w:lineRule="exact"/>
        <w:ind w:firstLine="420" w:firstLineChars="200"/>
        <w:rPr>
          <w:rFonts w:hint="eastAsia" w:ascii="宋体" w:hAnsi="宋体"/>
          <w:sz w:val="21"/>
          <w:szCs w:val="21"/>
        </w:rPr>
      </w:pPr>
      <w:r>
        <w:rPr>
          <w:rFonts w:hint="eastAsia" w:ascii="宋体" w:hAnsi="宋体"/>
          <w:sz w:val="21"/>
          <w:szCs w:val="21"/>
        </w:rPr>
        <w:t>2.15风管与通风机、空调机组进出口处，均应设置L=150～300mm的成品保温软接（不燃），排烟风机设置防火软接头（耐温280</w:t>
      </w:r>
      <w:r>
        <w:rPr>
          <w:rFonts w:ascii="宋体" w:hAnsi="宋体"/>
          <w:sz w:val="21"/>
          <w:szCs w:val="21"/>
        </w:rPr>
        <w:t>℃</w:t>
      </w:r>
      <w:r>
        <w:rPr>
          <w:rFonts w:hint="eastAsia" w:ascii="宋体" w:hAnsi="宋体"/>
          <w:sz w:val="21"/>
          <w:szCs w:val="21"/>
        </w:rPr>
        <w:t>以上，如XH预痒丝布），软接的接口应牢固，严密，在软接处禁止变径；</w:t>
      </w:r>
    </w:p>
    <w:p>
      <w:pPr>
        <w:snapToGrid w:val="0"/>
        <w:spacing w:line="480" w:lineRule="exact"/>
        <w:ind w:firstLine="420" w:firstLineChars="200"/>
        <w:rPr>
          <w:rFonts w:hint="eastAsia" w:ascii="宋体" w:hAnsi="宋体"/>
          <w:sz w:val="21"/>
          <w:szCs w:val="21"/>
        </w:rPr>
      </w:pPr>
      <w:r>
        <w:rPr>
          <w:rFonts w:hint="eastAsia" w:ascii="宋体" w:hAnsi="宋体"/>
          <w:sz w:val="21"/>
          <w:szCs w:val="21"/>
        </w:rPr>
        <w:t>2.16水平或垂直的风管，须设置支、吊或托架，其构造形式由安装单位在保证牢固、可靠的原则下根据现场选定，详见08K132；管道直径或长边长不大于400mm的，间距小于4m，管道直径或长边长大于400mm的，间距小于3m。</w:t>
      </w:r>
    </w:p>
    <w:p>
      <w:pPr>
        <w:snapToGrid w:val="0"/>
        <w:spacing w:line="480" w:lineRule="exact"/>
        <w:ind w:firstLine="420" w:firstLineChars="200"/>
        <w:rPr>
          <w:rFonts w:hint="eastAsia" w:ascii="宋体" w:hAnsi="宋体"/>
          <w:sz w:val="21"/>
          <w:szCs w:val="21"/>
        </w:rPr>
      </w:pPr>
      <w:r>
        <w:rPr>
          <w:rFonts w:hint="eastAsia" w:ascii="宋体" w:hAnsi="宋体"/>
          <w:sz w:val="21"/>
          <w:szCs w:val="21"/>
        </w:rPr>
        <w:t>2.17风管支、吊、或托架应设置于保温层的外部，并在其间镶以垫木，应避免在法兰、测孔、风阀等处设置支吊架。安装风阀等配件时注意将操作手柄配置在便于操作的地方。</w:t>
      </w:r>
    </w:p>
    <w:p>
      <w:pPr>
        <w:snapToGrid w:val="0"/>
        <w:spacing w:line="480" w:lineRule="exact"/>
        <w:ind w:firstLine="420" w:firstLineChars="200"/>
        <w:rPr>
          <w:rFonts w:hint="eastAsia" w:ascii="宋体" w:hAnsi="宋体"/>
          <w:sz w:val="21"/>
          <w:szCs w:val="21"/>
        </w:rPr>
      </w:pPr>
      <w:r>
        <w:rPr>
          <w:rFonts w:hint="eastAsia" w:ascii="宋体" w:hAnsi="宋体"/>
          <w:sz w:val="21"/>
          <w:szCs w:val="21"/>
        </w:rPr>
        <w:t>2.18防火阀的安装方向应正确，同时应事先检验其外观质量，动作灵活、可靠之后方可安装，防火阀须单独配置支吊托架。</w:t>
      </w:r>
    </w:p>
    <w:p>
      <w:pPr>
        <w:snapToGrid w:val="0"/>
        <w:spacing w:line="480" w:lineRule="exact"/>
        <w:ind w:firstLine="420" w:firstLineChars="200"/>
        <w:rPr>
          <w:rFonts w:hint="eastAsia" w:ascii="宋体" w:hAnsi="宋体"/>
          <w:sz w:val="21"/>
          <w:szCs w:val="21"/>
        </w:rPr>
      </w:pPr>
      <w:r>
        <w:rPr>
          <w:rFonts w:hint="eastAsia" w:ascii="宋体" w:hAnsi="宋体"/>
          <w:sz w:val="21"/>
          <w:szCs w:val="21"/>
        </w:rPr>
        <w:t>2.19送风干管三通处均加三通调节阀，三通调节阀下部根据装修风格；送风支管均设置风量调节阀。</w:t>
      </w:r>
    </w:p>
    <w:p>
      <w:pPr>
        <w:snapToGrid w:val="0"/>
        <w:spacing w:line="480" w:lineRule="exact"/>
        <w:ind w:firstLine="420" w:firstLineChars="200"/>
        <w:rPr>
          <w:rFonts w:hint="eastAsia" w:ascii="宋体" w:hAnsi="宋体"/>
          <w:sz w:val="21"/>
          <w:szCs w:val="21"/>
        </w:rPr>
      </w:pPr>
      <w:r>
        <w:rPr>
          <w:rFonts w:hint="eastAsia" w:ascii="宋体" w:hAnsi="宋体"/>
          <w:sz w:val="21"/>
          <w:szCs w:val="21"/>
        </w:rPr>
        <w:t>2.20风管穿越防火墙时，穿越风管、套管均采用2mm钢板，风管与套管的缝隙用水泥砂浆堵塞。</w:t>
      </w:r>
    </w:p>
    <w:p>
      <w:pPr>
        <w:snapToGrid w:val="0"/>
        <w:spacing w:line="480" w:lineRule="exact"/>
        <w:ind w:firstLine="420" w:firstLineChars="200"/>
        <w:rPr>
          <w:rFonts w:hint="eastAsia" w:ascii="宋体" w:hAnsi="宋体"/>
          <w:sz w:val="21"/>
          <w:szCs w:val="21"/>
        </w:rPr>
      </w:pPr>
      <w:r>
        <w:rPr>
          <w:rFonts w:hint="eastAsia" w:ascii="宋体" w:hAnsi="宋体"/>
          <w:sz w:val="21"/>
          <w:szCs w:val="21"/>
        </w:rPr>
        <w:t>2.21本项目的安装施工必须符合国家相关的安装技术质量规范要求。</w:t>
      </w:r>
    </w:p>
    <w:p>
      <w:pPr>
        <w:spacing w:line="480" w:lineRule="exact"/>
        <w:ind w:firstLine="420" w:firstLineChars="200"/>
        <w:rPr>
          <w:rFonts w:hint="eastAsia" w:ascii="宋体" w:hAnsi="宋体" w:cs="宋体"/>
          <w:kern w:val="0"/>
          <w:sz w:val="21"/>
          <w:szCs w:val="21"/>
        </w:rPr>
      </w:pPr>
      <w:r>
        <w:rPr>
          <w:rFonts w:hint="eastAsia" w:ascii="宋体" w:hAnsi="宋体"/>
          <w:sz w:val="21"/>
          <w:szCs w:val="21"/>
        </w:rPr>
        <w:t>2.22中标单位</w:t>
      </w:r>
      <w:r>
        <w:rPr>
          <w:rFonts w:ascii="宋体" w:hAnsi="宋体" w:cs="宋体"/>
          <w:kern w:val="0"/>
          <w:sz w:val="21"/>
          <w:szCs w:val="21"/>
        </w:rPr>
        <w:t>因品牌自身要求对系统进行优化</w:t>
      </w:r>
      <w:r>
        <w:rPr>
          <w:rFonts w:hint="eastAsia" w:ascii="宋体" w:hAnsi="宋体" w:cs="宋体"/>
          <w:kern w:val="0"/>
          <w:sz w:val="21"/>
          <w:szCs w:val="21"/>
        </w:rPr>
        <w:t>或者升级</w:t>
      </w:r>
      <w:r>
        <w:rPr>
          <w:rFonts w:ascii="宋体" w:hAnsi="宋体" w:cs="宋体"/>
          <w:kern w:val="0"/>
          <w:sz w:val="21"/>
          <w:szCs w:val="21"/>
        </w:rPr>
        <w:t>等费用</w:t>
      </w:r>
      <w:r>
        <w:rPr>
          <w:rFonts w:hint="eastAsia" w:ascii="宋体" w:hAnsi="宋体" w:cs="宋体"/>
          <w:kern w:val="0"/>
          <w:sz w:val="21"/>
          <w:szCs w:val="21"/>
        </w:rPr>
        <w:t>由投标单在报价中综合考虑</w:t>
      </w:r>
      <w:r>
        <w:rPr>
          <w:rFonts w:ascii="宋体" w:hAnsi="宋体" w:cs="宋体"/>
          <w:kern w:val="0"/>
          <w:sz w:val="21"/>
          <w:szCs w:val="21"/>
        </w:rPr>
        <w:t>自行考虑</w:t>
      </w:r>
      <w:r>
        <w:rPr>
          <w:rFonts w:hint="eastAsia" w:ascii="宋体" w:hAnsi="宋体" w:cs="宋体"/>
          <w:kern w:val="0"/>
          <w:sz w:val="21"/>
          <w:szCs w:val="21"/>
        </w:rPr>
        <w:t>，不另行增加。</w:t>
      </w:r>
    </w:p>
    <w:p>
      <w:pPr>
        <w:adjustRightInd w:val="0"/>
        <w:snapToGrid w:val="0"/>
        <w:spacing w:line="480" w:lineRule="exact"/>
        <w:ind w:firstLine="482" w:firstLineChars="200"/>
        <w:rPr>
          <w:rFonts w:hint="eastAsia" w:ascii="宋体" w:hAnsi="宋体"/>
          <w:b/>
          <w:bCs/>
          <w:sz w:val="24"/>
        </w:rPr>
      </w:pPr>
      <w:r>
        <w:rPr>
          <w:rFonts w:hint="eastAsia" w:ascii="宋体" w:hAnsi="宋体"/>
          <w:b/>
          <w:bCs/>
          <w:szCs w:val="21"/>
        </w:rPr>
        <w:t>特别说明</w:t>
      </w:r>
      <w:r>
        <w:rPr>
          <w:rFonts w:hint="eastAsia" w:ascii="宋体" w:hAnsi="宋体"/>
          <w:b/>
          <w:bCs/>
          <w:sz w:val="24"/>
        </w:rPr>
        <w:t>：</w:t>
      </w:r>
      <w:r>
        <w:rPr>
          <w:rFonts w:ascii="宋体" w:hAnsi="宋体"/>
          <w:b/>
          <w:bCs/>
          <w:sz w:val="24"/>
        </w:rPr>
        <w:t xml:space="preserve"> </w:t>
      </w:r>
    </w:p>
    <w:p>
      <w:pPr>
        <w:adjustRightInd w:val="0"/>
        <w:snapToGrid w:val="0"/>
        <w:spacing w:line="480" w:lineRule="exact"/>
        <w:ind w:firstLine="482" w:firstLineChars="200"/>
        <w:rPr>
          <w:rFonts w:hint="eastAsia" w:ascii="宋体" w:hAnsi="宋体"/>
          <w:b/>
          <w:sz w:val="24"/>
        </w:rPr>
      </w:pPr>
      <w:r>
        <w:rPr>
          <w:rFonts w:hint="eastAsia" w:ascii="宋体" w:hAnsi="宋体"/>
          <w:b/>
          <w:sz w:val="24"/>
        </w:rPr>
        <w:t>招标文件中标注“</w:t>
      </w:r>
      <w:r>
        <w:rPr>
          <w:rFonts w:hint="eastAsia" w:asciiTheme="majorEastAsia" w:hAnsiTheme="majorEastAsia" w:eastAsiaTheme="majorEastAsia" w:cstheme="majorEastAsia"/>
        </w:rPr>
        <w:t>▲</w:t>
      </w:r>
      <w:r>
        <w:rPr>
          <w:rFonts w:hint="eastAsia" w:ascii="宋体" w:hAnsi="宋体"/>
          <w:b/>
          <w:sz w:val="24"/>
        </w:rPr>
        <w:t>”号的条款均为关键条款，对这些关键条款的任何负偏离或大于允许偏离范围的投标文件均作无效标处理。</w:t>
      </w:r>
    </w:p>
    <w:p>
      <w:pPr>
        <w:adjustRightInd w:val="0"/>
        <w:snapToGrid w:val="0"/>
        <w:spacing w:line="440" w:lineRule="exact"/>
        <w:ind w:firstLine="482" w:firstLineChars="200"/>
        <w:rPr>
          <w:rFonts w:ascii="宋体" w:hAnsi="宋体"/>
          <w:b/>
          <w:sz w:val="24"/>
        </w:rPr>
        <w:sectPr>
          <w:pgSz w:w="11907" w:h="16840"/>
          <w:pgMar w:top="1474" w:right="1134" w:bottom="1474" w:left="1418" w:header="680" w:footer="567" w:gutter="0"/>
          <w:cols w:space="720" w:num="1"/>
          <w:docGrid w:linePitch="326" w:charSpace="-3415"/>
        </w:sectPr>
      </w:pPr>
    </w:p>
    <w:p>
      <w:pPr>
        <w:adjustRightInd w:val="0"/>
        <w:snapToGrid w:val="0"/>
        <w:spacing w:line="440" w:lineRule="exact"/>
        <w:ind w:firstLine="482" w:firstLineChars="200"/>
        <w:rPr>
          <w:rFonts w:hint="eastAsia" w:ascii="宋体" w:hAnsi="宋体"/>
          <w:b/>
          <w:color w:val="000000"/>
          <w:sz w:val="24"/>
          <w:highlight w:val="none"/>
        </w:rPr>
      </w:pPr>
      <w:r>
        <w:rPr>
          <w:rFonts w:hint="eastAsia" w:ascii="宋体" w:hAnsi="宋体"/>
          <w:b/>
          <w:color w:val="000000"/>
          <w:sz w:val="24"/>
          <w:highlight w:val="none"/>
        </w:rPr>
        <w:t xml:space="preserve">附表一： </w:t>
      </w:r>
    </w:p>
    <w:p>
      <w:pPr>
        <w:pStyle w:val="10"/>
        <w:spacing w:before="0" w:after="0"/>
        <w:jc w:val="center"/>
        <w:rPr>
          <w:rFonts w:hint="eastAsia" w:hAnsi="宋体"/>
          <w:b/>
          <w:color w:val="000000"/>
          <w:sz w:val="30"/>
          <w:szCs w:val="30"/>
          <w:highlight w:val="none"/>
        </w:rPr>
      </w:pPr>
      <w:r>
        <w:rPr>
          <w:rFonts w:hint="eastAsia" w:hAnsi="宋体"/>
          <w:b/>
          <w:color w:val="000000"/>
          <w:sz w:val="30"/>
          <w:szCs w:val="30"/>
          <w:highlight w:val="none"/>
        </w:rPr>
        <w:t>可变冷媒流量全直流</w:t>
      </w:r>
      <w:r>
        <w:rPr>
          <w:rFonts w:hint="eastAsia" w:ascii="宋体" w:hAnsi="宋体" w:eastAsia="宋体" w:cs="Times New Roman"/>
          <w:b/>
          <w:bCs/>
          <w:color w:val="000000"/>
          <w:sz w:val="30"/>
          <w:szCs w:val="30"/>
          <w:highlight w:val="none"/>
        </w:rPr>
        <w:t>变频多联式空</w:t>
      </w:r>
      <w:r>
        <w:rPr>
          <w:rFonts w:hint="eastAsia" w:hAnsi="宋体"/>
          <w:b/>
          <w:color w:val="000000"/>
          <w:sz w:val="30"/>
          <w:szCs w:val="30"/>
          <w:highlight w:val="none"/>
        </w:rPr>
        <w:t>调系统设备招标要求统计表</w:t>
      </w:r>
    </w:p>
    <w:tbl>
      <w:tblPr>
        <w:tblStyle w:val="56"/>
        <w:tblW w:w="4956" w:type="pct"/>
        <w:tblInd w:w="93" w:type="dxa"/>
        <w:tblLayout w:type="fixed"/>
        <w:tblCellMar>
          <w:top w:w="0" w:type="dxa"/>
          <w:left w:w="108" w:type="dxa"/>
          <w:bottom w:w="0" w:type="dxa"/>
          <w:right w:w="108" w:type="dxa"/>
        </w:tblCellMar>
      </w:tblPr>
      <w:tblGrid>
        <w:gridCol w:w="783"/>
        <w:gridCol w:w="870"/>
        <w:gridCol w:w="1239"/>
        <w:gridCol w:w="687"/>
        <w:gridCol w:w="1225"/>
        <w:gridCol w:w="870"/>
        <w:gridCol w:w="870"/>
        <w:gridCol w:w="1415"/>
        <w:gridCol w:w="653"/>
        <w:gridCol w:w="655"/>
        <w:gridCol w:w="651"/>
        <w:gridCol w:w="670"/>
      </w:tblGrid>
      <w:tr>
        <w:tblPrEx>
          <w:tblCellMar>
            <w:top w:w="0" w:type="dxa"/>
            <w:left w:w="108" w:type="dxa"/>
            <w:bottom w:w="0" w:type="dxa"/>
            <w:right w:w="108" w:type="dxa"/>
          </w:tblCellMar>
        </w:tblPrEx>
        <w:trPr>
          <w:gridBefore w:val="1"/>
          <w:gridAfter w:val="1"/>
          <w:wBefore w:w="369" w:type="pct"/>
          <w:wAfter w:w="316" w:type="pct"/>
          <w:trHeight w:val="285" w:hRule="atLeast"/>
        </w:trPr>
        <w:tc>
          <w:tcPr>
            <w:tcW w:w="4313" w:type="pct"/>
            <w:gridSpan w:val="10"/>
            <w:tcBorders>
              <w:top w:val="single" w:color="auto" w:sz="4" w:space="0"/>
              <w:left w:val="single" w:color="auto" w:sz="4" w:space="0"/>
              <w:bottom w:val="single" w:color="auto" w:sz="4" w:space="0"/>
              <w:right w:val="single" w:color="auto" w:sz="4" w:space="0"/>
            </w:tcBorders>
            <w:noWrap w:val="0"/>
            <w:vAlign w:val="center"/>
          </w:tcPr>
          <w:p>
            <w:pPr>
              <w:tabs>
                <w:tab w:val="left" w:pos="780"/>
              </w:tabs>
              <w:jc w:val="center"/>
              <w:rPr>
                <w:rFonts w:ascii="宋体" w:hAnsi="宋体" w:cs="宋体"/>
                <w:color w:val="1D41D5"/>
                <w:szCs w:val="21"/>
              </w:rPr>
            </w:pPr>
            <w:r>
              <w:rPr>
                <w:rFonts w:hint="eastAsia" w:ascii="宋体" w:hAnsi="宋体" w:cs="宋体"/>
                <w:color w:val="auto"/>
                <w:sz w:val="28"/>
                <w:szCs w:val="28"/>
              </w:rPr>
              <w:t>三层</w:t>
            </w:r>
          </w:p>
        </w:tc>
      </w:tr>
      <w:tr>
        <w:tblPrEx>
          <w:tblCellMar>
            <w:top w:w="0" w:type="dxa"/>
            <w:left w:w="108" w:type="dxa"/>
            <w:bottom w:w="0" w:type="dxa"/>
            <w:right w:w="108" w:type="dxa"/>
          </w:tblCellMar>
        </w:tblPrEx>
        <w:trPr>
          <w:trHeight w:val="272" w:hRule="atLeast"/>
        </w:trPr>
        <w:tc>
          <w:tcPr>
            <w:tcW w:w="369" w:type="pct"/>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序 号</w:t>
            </w:r>
          </w:p>
        </w:tc>
        <w:tc>
          <w:tcPr>
            <w:tcW w:w="410" w:type="pct"/>
            <w:vMerge w:val="restart"/>
            <w:tcBorders>
              <w:top w:val="single" w:color="auto" w:sz="4" w:space="0"/>
              <w:left w:val="nil"/>
              <w:bottom w:val="single" w:color="auto"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编 号</w:t>
            </w:r>
          </w:p>
        </w:tc>
        <w:tc>
          <w:tcPr>
            <w:tcW w:w="585" w:type="pct"/>
            <w:vMerge w:val="restart"/>
            <w:tcBorders>
              <w:top w:val="single" w:color="auto" w:sz="4" w:space="0"/>
              <w:left w:val="single" w:color="000000" w:sz="4" w:space="0"/>
              <w:bottom w:val="single" w:color="auto"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服务区域</w:t>
            </w:r>
          </w:p>
        </w:tc>
        <w:tc>
          <w:tcPr>
            <w:tcW w:w="902" w:type="pct"/>
            <w:gridSpan w:val="2"/>
            <w:vMerge w:val="restart"/>
            <w:tcBorders>
              <w:top w:val="single" w:color="auto" w:sz="4" w:space="0"/>
              <w:left w:val="single" w:color="000000" w:sz="4" w:space="0"/>
              <w:bottom w:val="single" w:color="auto"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类型</w:t>
            </w:r>
          </w:p>
        </w:tc>
        <w:tc>
          <w:tcPr>
            <w:tcW w:w="410" w:type="pct"/>
            <w:vMerge w:val="restart"/>
            <w:tcBorders>
              <w:top w:val="single" w:color="auto" w:sz="4" w:space="0"/>
              <w:left w:val="single" w:color="000000" w:sz="4" w:space="0"/>
              <w:bottom w:val="single" w:color="auto"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制冷量</w:t>
            </w:r>
          </w:p>
        </w:tc>
        <w:tc>
          <w:tcPr>
            <w:tcW w:w="410" w:type="pct"/>
            <w:vMerge w:val="restart"/>
            <w:tcBorders>
              <w:top w:val="single" w:color="auto" w:sz="4" w:space="0"/>
              <w:left w:val="single" w:color="000000" w:sz="4" w:space="0"/>
              <w:bottom w:val="single" w:color="auto"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制热量</w:t>
            </w:r>
          </w:p>
        </w:tc>
        <w:tc>
          <w:tcPr>
            <w:tcW w:w="668" w:type="pct"/>
            <w:vMerge w:val="restart"/>
            <w:tcBorders>
              <w:top w:val="single" w:color="auto" w:sz="4" w:space="0"/>
              <w:left w:val="single" w:color="000000" w:sz="4" w:space="0"/>
              <w:bottom w:val="single" w:color="auto"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功率</w:t>
            </w:r>
          </w:p>
        </w:tc>
        <w:tc>
          <w:tcPr>
            <w:tcW w:w="308" w:type="pct"/>
            <w:vMerge w:val="restart"/>
            <w:tcBorders>
              <w:top w:val="single" w:color="auto" w:sz="4" w:space="0"/>
              <w:left w:val="single" w:color="000000" w:sz="4" w:space="0"/>
              <w:bottom w:val="single" w:color="auto"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IPLV</w:t>
            </w:r>
          </w:p>
        </w:tc>
        <w:tc>
          <w:tcPr>
            <w:tcW w:w="309" w:type="pct"/>
            <w:vMerge w:val="restart"/>
            <w:tcBorders>
              <w:top w:val="single" w:color="auto" w:sz="4" w:space="0"/>
              <w:left w:val="single" w:color="000000" w:sz="4" w:space="0"/>
              <w:bottom w:val="single" w:color="auto"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数量</w:t>
            </w:r>
          </w:p>
        </w:tc>
        <w:tc>
          <w:tcPr>
            <w:tcW w:w="307" w:type="pct"/>
            <w:vMerge w:val="restart"/>
            <w:tcBorders>
              <w:top w:val="single" w:color="auto" w:sz="4" w:space="0"/>
              <w:left w:val="single" w:color="000000" w:sz="4" w:space="0"/>
              <w:bottom w:val="single" w:color="auto"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备注</w:t>
            </w:r>
          </w:p>
        </w:tc>
        <w:tc>
          <w:tcPr>
            <w:tcW w:w="316"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内外机配比</w:t>
            </w:r>
          </w:p>
        </w:tc>
      </w:tr>
      <w:tr>
        <w:tblPrEx>
          <w:tblCellMar>
            <w:top w:w="0" w:type="dxa"/>
            <w:left w:w="108" w:type="dxa"/>
            <w:bottom w:w="0" w:type="dxa"/>
            <w:right w:w="108" w:type="dxa"/>
          </w:tblCellMar>
        </w:tblPrEx>
        <w:trPr>
          <w:trHeight w:val="272" w:hRule="atLeast"/>
        </w:trPr>
        <w:tc>
          <w:tcPr>
            <w:tcW w:w="369"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410" w:type="pct"/>
            <w:vMerge w:val="continue"/>
            <w:tcBorders>
              <w:top w:val="single" w:color="auto" w:sz="4" w:space="0"/>
              <w:left w:val="nil"/>
              <w:bottom w:val="single" w:color="auto"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585" w:type="pct"/>
            <w:vMerge w:val="continue"/>
            <w:tcBorders>
              <w:top w:val="single" w:color="auto" w:sz="4" w:space="0"/>
              <w:left w:val="single" w:color="000000" w:sz="4" w:space="0"/>
              <w:bottom w:val="single" w:color="auto"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902" w:type="pct"/>
            <w:gridSpan w:val="2"/>
            <w:vMerge w:val="continue"/>
            <w:tcBorders>
              <w:top w:val="single" w:color="auto" w:sz="4" w:space="0"/>
              <w:left w:val="single" w:color="000000" w:sz="4" w:space="0"/>
              <w:bottom w:val="single" w:color="auto"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410" w:type="pct"/>
            <w:vMerge w:val="continue"/>
            <w:tcBorders>
              <w:top w:val="single" w:color="auto" w:sz="4" w:space="0"/>
              <w:left w:val="single" w:color="000000" w:sz="4" w:space="0"/>
              <w:bottom w:val="single" w:color="auto"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410" w:type="pct"/>
            <w:vMerge w:val="continue"/>
            <w:tcBorders>
              <w:top w:val="single" w:color="auto" w:sz="4" w:space="0"/>
              <w:left w:val="single" w:color="000000" w:sz="4" w:space="0"/>
              <w:bottom w:val="single" w:color="auto"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668" w:type="pct"/>
            <w:vMerge w:val="continue"/>
            <w:tcBorders>
              <w:top w:val="single" w:color="auto" w:sz="4" w:space="0"/>
              <w:left w:val="single" w:color="000000" w:sz="4" w:space="0"/>
              <w:bottom w:val="single" w:color="auto"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308" w:type="pct"/>
            <w:vMerge w:val="continue"/>
            <w:tcBorders>
              <w:top w:val="single" w:color="auto" w:sz="4" w:space="0"/>
              <w:left w:val="single" w:color="000000" w:sz="4" w:space="0"/>
              <w:bottom w:val="single" w:color="auto"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309" w:type="pct"/>
            <w:vMerge w:val="continue"/>
            <w:tcBorders>
              <w:top w:val="single" w:color="auto" w:sz="4" w:space="0"/>
              <w:left w:val="single" w:color="000000" w:sz="4" w:space="0"/>
              <w:bottom w:val="single" w:color="auto"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307" w:type="pct"/>
            <w:vMerge w:val="continue"/>
            <w:tcBorders>
              <w:top w:val="single" w:color="auto" w:sz="4" w:space="0"/>
              <w:left w:val="single" w:color="000000" w:sz="4" w:space="0"/>
              <w:bottom w:val="single" w:color="auto"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240" w:hRule="atLeast"/>
        </w:trPr>
        <w:tc>
          <w:tcPr>
            <w:tcW w:w="369"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410" w:type="pct"/>
            <w:vMerge w:val="continue"/>
            <w:tcBorders>
              <w:top w:val="single" w:color="auto" w:sz="4" w:space="0"/>
              <w:left w:val="nil"/>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585" w:type="pct"/>
            <w:vMerge w:val="continue"/>
            <w:tcBorders>
              <w:top w:val="single" w:color="auto"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324" w:type="pct"/>
            <w:tcBorders>
              <w:top w:val="single" w:color="auto"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室外机</w:t>
            </w:r>
          </w:p>
        </w:tc>
        <w:tc>
          <w:tcPr>
            <w:tcW w:w="578" w:type="pct"/>
            <w:tcBorders>
              <w:top w:val="single" w:color="auto"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室内机</w:t>
            </w:r>
          </w:p>
        </w:tc>
        <w:tc>
          <w:tcPr>
            <w:tcW w:w="410" w:type="pct"/>
            <w:tcBorders>
              <w:top w:val="single" w:color="auto"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KW</w:t>
            </w:r>
          </w:p>
        </w:tc>
        <w:tc>
          <w:tcPr>
            <w:tcW w:w="410" w:type="pct"/>
            <w:tcBorders>
              <w:top w:val="single" w:color="auto"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KW</w:t>
            </w:r>
          </w:p>
        </w:tc>
        <w:tc>
          <w:tcPr>
            <w:tcW w:w="668" w:type="pct"/>
            <w:tcBorders>
              <w:top w:val="single" w:color="auto"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KW</w:t>
            </w:r>
          </w:p>
        </w:tc>
        <w:tc>
          <w:tcPr>
            <w:tcW w:w="308" w:type="pct"/>
            <w:tcBorders>
              <w:top w:val="single" w:color="auto"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W/W</w:t>
            </w:r>
          </w:p>
        </w:tc>
        <w:tc>
          <w:tcPr>
            <w:tcW w:w="309" w:type="pct"/>
            <w:tcBorders>
              <w:top w:val="single" w:color="auto"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台</w:t>
            </w:r>
          </w:p>
        </w:tc>
        <w:tc>
          <w:tcPr>
            <w:tcW w:w="307" w:type="pct"/>
            <w:vMerge w:val="continue"/>
            <w:tcBorders>
              <w:top w:val="single" w:color="auto"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369" w:type="pct"/>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10" w:type="pct"/>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KT3-1</w:t>
            </w:r>
          </w:p>
        </w:tc>
        <w:tc>
          <w:tcPr>
            <w:tcW w:w="585"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三层1系统</w:t>
            </w:r>
          </w:p>
        </w:tc>
        <w:tc>
          <w:tcPr>
            <w:tcW w:w="324"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w:t>
            </w:r>
          </w:p>
        </w:tc>
        <w:tc>
          <w:tcPr>
            <w:tcW w:w="578"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410"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103.6 </w:t>
            </w:r>
          </w:p>
        </w:tc>
        <w:tc>
          <w:tcPr>
            <w:tcW w:w="410"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116.2 </w:t>
            </w:r>
          </w:p>
        </w:tc>
        <w:tc>
          <w:tcPr>
            <w:tcW w:w="668"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26.63/26.36</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7.37 </w:t>
            </w:r>
          </w:p>
        </w:tc>
        <w:tc>
          <w:tcPr>
            <w:tcW w:w="309"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07" w:type="pct"/>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color w:val="000000"/>
                <w:sz w:val="21"/>
                <w:szCs w:val="21"/>
              </w:rPr>
            </w:pPr>
          </w:p>
        </w:tc>
        <w:tc>
          <w:tcPr>
            <w:tcW w:w="316" w:type="pct"/>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1.00 </w:t>
            </w:r>
          </w:p>
        </w:tc>
      </w:tr>
      <w:tr>
        <w:tblPrEx>
          <w:tblCellMar>
            <w:top w:w="0" w:type="dxa"/>
            <w:left w:w="108" w:type="dxa"/>
            <w:bottom w:w="0" w:type="dxa"/>
            <w:right w:w="108" w:type="dxa"/>
          </w:tblCellMar>
        </w:tblPrEx>
        <w:trPr>
          <w:trHeight w:val="90" w:hRule="atLeast"/>
        </w:trPr>
        <w:tc>
          <w:tcPr>
            <w:tcW w:w="369"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410" w:type="pct"/>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KT-100</w:t>
            </w:r>
          </w:p>
        </w:tc>
        <w:tc>
          <w:tcPr>
            <w:tcW w:w="585" w:type="pct"/>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视频会议室</w:t>
            </w:r>
          </w:p>
        </w:tc>
        <w:tc>
          <w:tcPr>
            <w:tcW w:w="324"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天花板内置四向气流嵌入式</w:t>
            </w:r>
          </w:p>
        </w:tc>
        <w:tc>
          <w:tcPr>
            <w:tcW w:w="410"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10.0 </w:t>
            </w:r>
          </w:p>
        </w:tc>
        <w:tc>
          <w:tcPr>
            <w:tcW w:w="410"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11.2 </w:t>
            </w:r>
          </w:p>
        </w:tc>
        <w:tc>
          <w:tcPr>
            <w:tcW w:w="668"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0.07</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309"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w:t>
            </w:r>
          </w:p>
        </w:tc>
        <w:tc>
          <w:tcPr>
            <w:tcW w:w="307" w:type="pct"/>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color w:val="00000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369"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410" w:type="pct"/>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KT-90</w:t>
            </w:r>
          </w:p>
        </w:tc>
        <w:tc>
          <w:tcPr>
            <w:tcW w:w="585"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324"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天花板内置四向气流嵌入式</w:t>
            </w:r>
          </w:p>
        </w:tc>
        <w:tc>
          <w:tcPr>
            <w:tcW w:w="410"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9.0 </w:t>
            </w:r>
          </w:p>
        </w:tc>
        <w:tc>
          <w:tcPr>
            <w:tcW w:w="410"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10.0 </w:t>
            </w:r>
          </w:p>
        </w:tc>
        <w:tc>
          <w:tcPr>
            <w:tcW w:w="668"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0.062</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309"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w:t>
            </w:r>
          </w:p>
        </w:tc>
        <w:tc>
          <w:tcPr>
            <w:tcW w:w="307" w:type="pct"/>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color w:val="00000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369"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410" w:type="pct"/>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585"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办公3-23</w:t>
            </w:r>
          </w:p>
        </w:tc>
        <w:tc>
          <w:tcPr>
            <w:tcW w:w="324"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410"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410"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668"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309"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07" w:type="pct"/>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color w:val="00000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369"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410" w:type="pct"/>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585"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办公3-24</w:t>
            </w:r>
          </w:p>
        </w:tc>
        <w:tc>
          <w:tcPr>
            <w:tcW w:w="324"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410"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410"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668"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309"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07" w:type="pct"/>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color w:val="00000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369"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410" w:type="pct"/>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585"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控制室</w:t>
            </w:r>
          </w:p>
        </w:tc>
        <w:tc>
          <w:tcPr>
            <w:tcW w:w="324"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410"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410"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668"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309"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07" w:type="pct"/>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color w:val="00000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369"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410" w:type="pct"/>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KT-112</w:t>
            </w:r>
          </w:p>
        </w:tc>
        <w:tc>
          <w:tcPr>
            <w:tcW w:w="585"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值班室</w:t>
            </w:r>
          </w:p>
        </w:tc>
        <w:tc>
          <w:tcPr>
            <w:tcW w:w="324"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天花板内置四向气流嵌入式</w:t>
            </w:r>
          </w:p>
        </w:tc>
        <w:tc>
          <w:tcPr>
            <w:tcW w:w="410"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11.2</w:t>
            </w:r>
          </w:p>
        </w:tc>
        <w:tc>
          <w:tcPr>
            <w:tcW w:w="410"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12.5</w:t>
            </w:r>
          </w:p>
        </w:tc>
        <w:tc>
          <w:tcPr>
            <w:tcW w:w="668"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0.07</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309"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07" w:type="pct"/>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color w:val="00000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369"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410" w:type="pct"/>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KT-90</w:t>
            </w:r>
          </w:p>
        </w:tc>
        <w:tc>
          <w:tcPr>
            <w:tcW w:w="585"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接待室</w:t>
            </w:r>
          </w:p>
        </w:tc>
        <w:tc>
          <w:tcPr>
            <w:tcW w:w="324"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天花板内置四向气流嵌入式</w:t>
            </w:r>
          </w:p>
        </w:tc>
        <w:tc>
          <w:tcPr>
            <w:tcW w:w="410"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9.0 </w:t>
            </w:r>
          </w:p>
        </w:tc>
        <w:tc>
          <w:tcPr>
            <w:tcW w:w="410"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10.0 </w:t>
            </w:r>
          </w:p>
        </w:tc>
        <w:tc>
          <w:tcPr>
            <w:tcW w:w="668"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0.062</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309"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07" w:type="pct"/>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color w:val="00000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369"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410" w:type="pct"/>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KT-45</w:t>
            </w:r>
          </w:p>
        </w:tc>
        <w:tc>
          <w:tcPr>
            <w:tcW w:w="585"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办公3-17</w:t>
            </w:r>
          </w:p>
        </w:tc>
        <w:tc>
          <w:tcPr>
            <w:tcW w:w="324"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410"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4.5</w:t>
            </w:r>
          </w:p>
        </w:tc>
        <w:tc>
          <w:tcPr>
            <w:tcW w:w="410"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5.0 </w:t>
            </w:r>
          </w:p>
        </w:tc>
        <w:tc>
          <w:tcPr>
            <w:tcW w:w="668"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0.054</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309"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07" w:type="pct"/>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color w:val="00000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369"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410" w:type="pct"/>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KT-45</w:t>
            </w:r>
          </w:p>
        </w:tc>
        <w:tc>
          <w:tcPr>
            <w:tcW w:w="585"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办公3-18</w:t>
            </w:r>
          </w:p>
        </w:tc>
        <w:tc>
          <w:tcPr>
            <w:tcW w:w="324"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410"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4.5</w:t>
            </w:r>
          </w:p>
        </w:tc>
        <w:tc>
          <w:tcPr>
            <w:tcW w:w="410"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5.0 </w:t>
            </w:r>
          </w:p>
        </w:tc>
        <w:tc>
          <w:tcPr>
            <w:tcW w:w="668"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0.054</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309"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07" w:type="pct"/>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color w:val="00000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369"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410" w:type="pct"/>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585"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办公3-20</w:t>
            </w:r>
          </w:p>
        </w:tc>
        <w:tc>
          <w:tcPr>
            <w:tcW w:w="324"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410"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410"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668"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309"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07" w:type="pct"/>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color w:val="00000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369"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410" w:type="pct"/>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585"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办公3-21</w:t>
            </w:r>
          </w:p>
        </w:tc>
        <w:tc>
          <w:tcPr>
            <w:tcW w:w="324"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410"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410"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668"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309"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07" w:type="pct"/>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color w:val="00000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369"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410" w:type="pct"/>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KT-45</w:t>
            </w:r>
          </w:p>
        </w:tc>
        <w:tc>
          <w:tcPr>
            <w:tcW w:w="585"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母婴室</w:t>
            </w:r>
          </w:p>
        </w:tc>
        <w:tc>
          <w:tcPr>
            <w:tcW w:w="324"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410"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4.5</w:t>
            </w:r>
          </w:p>
        </w:tc>
        <w:tc>
          <w:tcPr>
            <w:tcW w:w="410"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5.0 </w:t>
            </w:r>
          </w:p>
        </w:tc>
        <w:tc>
          <w:tcPr>
            <w:tcW w:w="668"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0.054</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309"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07" w:type="pct"/>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color w:val="00000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369"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410" w:type="pct"/>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KT-45</w:t>
            </w:r>
          </w:p>
        </w:tc>
        <w:tc>
          <w:tcPr>
            <w:tcW w:w="585"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办公3-16</w:t>
            </w:r>
          </w:p>
        </w:tc>
        <w:tc>
          <w:tcPr>
            <w:tcW w:w="324"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78"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410"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4.5</w:t>
            </w:r>
          </w:p>
        </w:tc>
        <w:tc>
          <w:tcPr>
            <w:tcW w:w="410"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5.0 </w:t>
            </w:r>
          </w:p>
        </w:tc>
        <w:tc>
          <w:tcPr>
            <w:tcW w:w="668"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0.054</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309"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307" w:type="pct"/>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color w:val="00000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bl>
    <w:p>
      <w:pPr>
        <w:pStyle w:val="10"/>
        <w:spacing w:before="0" w:after="0"/>
        <w:jc w:val="both"/>
        <w:rPr>
          <w:rFonts w:hint="eastAsia" w:ascii="宋体" w:hAnsi="宋体" w:eastAsia="宋体" w:cs="宋体"/>
          <w:color w:val="1D41D5"/>
          <w:kern w:val="0"/>
          <w:sz w:val="21"/>
          <w:szCs w:val="21"/>
        </w:rPr>
        <w:sectPr>
          <w:pgSz w:w="11906" w:h="16838"/>
          <w:pgMar w:top="720" w:right="720" w:bottom="720" w:left="720" w:header="680" w:footer="567" w:gutter="0"/>
          <w:cols w:space="720" w:num="1"/>
          <w:docGrid w:linePitch="312" w:charSpace="0"/>
        </w:sectPr>
      </w:pPr>
    </w:p>
    <w:tbl>
      <w:tblPr>
        <w:tblStyle w:val="56"/>
        <w:tblW w:w="0" w:type="auto"/>
        <w:tblInd w:w="93" w:type="dxa"/>
        <w:tblLayout w:type="fixed"/>
        <w:tblCellMar>
          <w:top w:w="0" w:type="dxa"/>
          <w:left w:w="108" w:type="dxa"/>
          <w:bottom w:w="0" w:type="dxa"/>
          <w:right w:w="108" w:type="dxa"/>
        </w:tblCellMar>
      </w:tblPr>
      <w:tblGrid>
        <w:gridCol w:w="741"/>
        <w:gridCol w:w="846"/>
        <w:gridCol w:w="1476"/>
        <w:gridCol w:w="846"/>
        <w:gridCol w:w="1096"/>
        <w:gridCol w:w="846"/>
        <w:gridCol w:w="846"/>
        <w:gridCol w:w="1371"/>
        <w:gridCol w:w="636"/>
        <w:gridCol w:w="542"/>
        <w:gridCol w:w="645"/>
        <w:gridCol w:w="698"/>
      </w:tblGrid>
      <w:tr>
        <w:tblPrEx>
          <w:tblCellMar>
            <w:top w:w="0" w:type="dxa"/>
            <w:left w:w="108" w:type="dxa"/>
            <w:bottom w:w="0" w:type="dxa"/>
            <w:right w:w="108" w:type="dxa"/>
          </w:tblCellMar>
        </w:tblPrEx>
        <w:trPr>
          <w:trHeight w:val="272" w:hRule="atLeast"/>
        </w:trPr>
        <w:tc>
          <w:tcPr>
            <w:tcW w:w="741"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序 号</w:t>
            </w:r>
          </w:p>
        </w:tc>
        <w:tc>
          <w:tcPr>
            <w:tcW w:w="846" w:type="dxa"/>
            <w:vMerge w:val="restart"/>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编 号</w:t>
            </w:r>
          </w:p>
        </w:tc>
        <w:tc>
          <w:tcPr>
            <w:tcW w:w="1476"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服务区域</w:t>
            </w:r>
          </w:p>
        </w:tc>
        <w:tc>
          <w:tcPr>
            <w:tcW w:w="1942" w:type="dxa"/>
            <w:gridSpan w:val="2"/>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类型</w:t>
            </w:r>
          </w:p>
        </w:tc>
        <w:tc>
          <w:tcPr>
            <w:tcW w:w="846"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制冷量</w:t>
            </w:r>
          </w:p>
        </w:tc>
        <w:tc>
          <w:tcPr>
            <w:tcW w:w="846"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制热量</w:t>
            </w:r>
          </w:p>
        </w:tc>
        <w:tc>
          <w:tcPr>
            <w:tcW w:w="1371"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功率</w:t>
            </w:r>
          </w:p>
        </w:tc>
        <w:tc>
          <w:tcPr>
            <w:tcW w:w="636"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IPLV</w:t>
            </w:r>
          </w:p>
        </w:tc>
        <w:tc>
          <w:tcPr>
            <w:tcW w:w="542"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数量</w:t>
            </w:r>
          </w:p>
        </w:tc>
        <w:tc>
          <w:tcPr>
            <w:tcW w:w="645"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备注</w:t>
            </w:r>
          </w:p>
        </w:tc>
        <w:tc>
          <w:tcPr>
            <w:tcW w:w="698"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内外机配比</w:t>
            </w:r>
          </w:p>
        </w:tc>
      </w:tr>
      <w:tr>
        <w:tblPrEx>
          <w:tblCellMar>
            <w:top w:w="0" w:type="dxa"/>
            <w:left w:w="108" w:type="dxa"/>
            <w:bottom w:w="0" w:type="dxa"/>
            <w:right w:w="108" w:type="dxa"/>
          </w:tblCellMar>
        </w:tblPrEx>
        <w:trPr>
          <w:trHeight w:val="272"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vMerge w:val="continue"/>
            <w:tcBorders>
              <w:top w:val="single" w:color="000000" w:sz="4" w:space="0"/>
              <w:left w:val="nil"/>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1476"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1942" w:type="dxa"/>
            <w:gridSpan w:val="2"/>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137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636"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542"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6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69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24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vMerge w:val="continue"/>
            <w:tcBorders>
              <w:top w:val="single" w:color="000000" w:sz="4" w:space="0"/>
              <w:left w:val="nil"/>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1476"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室外机</w:t>
            </w:r>
          </w:p>
        </w:tc>
        <w:tc>
          <w:tcPr>
            <w:tcW w:w="109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室内机</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KW</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KW</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KW</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W/W</w:t>
            </w:r>
          </w:p>
        </w:tc>
        <w:tc>
          <w:tcPr>
            <w:tcW w:w="542"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台</w:t>
            </w:r>
          </w:p>
        </w:tc>
        <w:tc>
          <w:tcPr>
            <w:tcW w:w="6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69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w:t>
            </w: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KT3-2</w:t>
            </w:r>
          </w:p>
        </w:tc>
        <w:tc>
          <w:tcPr>
            <w:tcW w:w="147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三层2系统</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w:t>
            </w:r>
          </w:p>
        </w:tc>
        <w:tc>
          <w:tcPr>
            <w:tcW w:w="109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78.6</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88.2</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20.68/20.18</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7.75 </w:t>
            </w:r>
          </w:p>
        </w:tc>
        <w:tc>
          <w:tcPr>
            <w:tcW w:w="542"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698"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1.02</w:t>
            </w: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KT-45</w:t>
            </w:r>
          </w:p>
        </w:tc>
        <w:tc>
          <w:tcPr>
            <w:tcW w:w="147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办公3-15</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09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4.5</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0.054</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2"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698"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KT-36</w:t>
            </w:r>
          </w:p>
        </w:tc>
        <w:tc>
          <w:tcPr>
            <w:tcW w:w="147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办公3-14</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09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3.6</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4.0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0.04</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2"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698"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KT-140</w:t>
            </w:r>
          </w:p>
        </w:tc>
        <w:tc>
          <w:tcPr>
            <w:tcW w:w="147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功能室</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09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天花板内置四向气流嵌入式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14.0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16.0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0.089</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2"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698"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KT-80</w:t>
            </w:r>
          </w:p>
        </w:tc>
        <w:tc>
          <w:tcPr>
            <w:tcW w:w="147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办公3-7</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09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天花板内置超薄风管式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8.0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9.0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0.12</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2"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带冷凝水提升泵</w:t>
            </w:r>
          </w:p>
        </w:tc>
        <w:tc>
          <w:tcPr>
            <w:tcW w:w="698"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KT-80</w:t>
            </w:r>
          </w:p>
        </w:tc>
        <w:tc>
          <w:tcPr>
            <w:tcW w:w="147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办公3-6</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09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天花板内置超薄风管式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8.0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9.0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0.12</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2"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带冷凝水提升泵</w:t>
            </w:r>
          </w:p>
        </w:tc>
        <w:tc>
          <w:tcPr>
            <w:tcW w:w="698"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KT-100</w:t>
            </w:r>
          </w:p>
        </w:tc>
        <w:tc>
          <w:tcPr>
            <w:tcW w:w="147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办公配套用房</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09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天花板内置四向气流嵌入式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10.0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11.2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0.07</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2"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698"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KT-45</w:t>
            </w:r>
          </w:p>
        </w:tc>
        <w:tc>
          <w:tcPr>
            <w:tcW w:w="147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办公3-13</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09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4.5</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0.054</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2"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698"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147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办公3-12</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09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2"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698"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147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办公3-11</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09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2"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698"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147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办公3-10</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09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2"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698"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147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办公3-9</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09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2"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698"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147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办公3-8</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09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2"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698"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bl>
    <w:p>
      <w:pPr>
        <w:pStyle w:val="10"/>
        <w:spacing w:before="0" w:after="0"/>
        <w:jc w:val="both"/>
        <w:rPr>
          <w:rFonts w:hint="eastAsia" w:ascii="宋体" w:hAnsi="宋体" w:eastAsia="宋体" w:cs="宋体"/>
          <w:color w:val="1D41D5"/>
          <w:kern w:val="0"/>
          <w:sz w:val="21"/>
          <w:szCs w:val="21"/>
        </w:rPr>
        <w:sectPr>
          <w:pgSz w:w="11906" w:h="16838"/>
          <w:pgMar w:top="720" w:right="720" w:bottom="720" w:left="720" w:header="680" w:footer="567" w:gutter="0"/>
          <w:cols w:space="720" w:num="1"/>
          <w:docGrid w:linePitch="312" w:charSpace="0"/>
        </w:sectPr>
      </w:pPr>
    </w:p>
    <w:tbl>
      <w:tblPr>
        <w:tblStyle w:val="56"/>
        <w:tblW w:w="0" w:type="auto"/>
        <w:tblInd w:w="93" w:type="dxa"/>
        <w:tblLayout w:type="fixed"/>
        <w:tblCellMar>
          <w:top w:w="0" w:type="dxa"/>
          <w:left w:w="108" w:type="dxa"/>
          <w:bottom w:w="0" w:type="dxa"/>
          <w:right w:w="108" w:type="dxa"/>
        </w:tblCellMar>
      </w:tblPr>
      <w:tblGrid>
        <w:gridCol w:w="741"/>
        <w:gridCol w:w="846"/>
        <w:gridCol w:w="1476"/>
        <w:gridCol w:w="858"/>
        <w:gridCol w:w="1158"/>
        <w:gridCol w:w="846"/>
        <w:gridCol w:w="846"/>
        <w:gridCol w:w="1371"/>
        <w:gridCol w:w="636"/>
        <w:gridCol w:w="636"/>
        <w:gridCol w:w="454"/>
        <w:gridCol w:w="721"/>
      </w:tblGrid>
      <w:tr>
        <w:tblPrEx>
          <w:tblCellMar>
            <w:top w:w="0" w:type="dxa"/>
            <w:left w:w="108" w:type="dxa"/>
            <w:bottom w:w="0" w:type="dxa"/>
            <w:right w:w="108" w:type="dxa"/>
          </w:tblCellMar>
        </w:tblPrEx>
        <w:trPr>
          <w:trHeight w:val="272" w:hRule="atLeast"/>
        </w:trPr>
        <w:tc>
          <w:tcPr>
            <w:tcW w:w="741"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序 号</w:t>
            </w:r>
          </w:p>
        </w:tc>
        <w:tc>
          <w:tcPr>
            <w:tcW w:w="846" w:type="dxa"/>
            <w:vMerge w:val="restart"/>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编 号</w:t>
            </w:r>
          </w:p>
        </w:tc>
        <w:tc>
          <w:tcPr>
            <w:tcW w:w="1476"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服务区域</w:t>
            </w:r>
          </w:p>
        </w:tc>
        <w:tc>
          <w:tcPr>
            <w:tcW w:w="2016" w:type="dxa"/>
            <w:gridSpan w:val="2"/>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类型</w:t>
            </w:r>
          </w:p>
        </w:tc>
        <w:tc>
          <w:tcPr>
            <w:tcW w:w="846"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制冷量</w:t>
            </w:r>
          </w:p>
        </w:tc>
        <w:tc>
          <w:tcPr>
            <w:tcW w:w="846"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制热量</w:t>
            </w:r>
          </w:p>
        </w:tc>
        <w:tc>
          <w:tcPr>
            <w:tcW w:w="1371"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功率</w:t>
            </w:r>
          </w:p>
        </w:tc>
        <w:tc>
          <w:tcPr>
            <w:tcW w:w="636"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IPLV</w:t>
            </w:r>
          </w:p>
        </w:tc>
        <w:tc>
          <w:tcPr>
            <w:tcW w:w="636"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数量</w:t>
            </w:r>
          </w:p>
        </w:tc>
        <w:tc>
          <w:tcPr>
            <w:tcW w:w="454"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备注</w:t>
            </w:r>
          </w:p>
        </w:tc>
        <w:tc>
          <w:tcPr>
            <w:tcW w:w="721"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内外机配比</w:t>
            </w:r>
          </w:p>
        </w:tc>
      </w:tr>
      <w:tr>
        <w:tblPrEx>
          <w:tblCellMar>
            <w:top w:w="0" w:type="dxa"/>
            <w:left w:w="108" w:type="dxa"/>
            <w:bottom w:w="0" w:type="dxa"/>
            <w:right w:w="108" w:type="dxa"/>
          </w:tblCellMar>
        </w:tblPrEx>
        <w:trPr>
          <w:trHeight w:val="272"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vMerge w:val="continue"/>
            <w:tcBorders>
              <w:top w:val="single" w:color="000000" w:sz="4" w:space="0"/>
              <w:left w:val="nil"/>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1476"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2016" w:type="dxa"/>
            <w:gridSpan w:val="2"/>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137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636"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636"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45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721"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24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vMerge w:val="continue"/>
            <w:tcBorders>
              <w:top w:val="single" w:color="000000" w:sz="4" w:space="0"/>
              <w:left w:val="nil"/>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1476"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58"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室外机</w:t>
            </w:r>
          </w:p>
        </w:tc>
        <w:tc>
          <w:tcPr>
            <w:tcW w:w="1158"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室内机</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KW</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KW</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KW</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W/W</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台</w:t>
            </w:r>
          </w:p>
        </w:tc>
        <w:tc>
          <w:tcPr>
            <w:tcW w:w="45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721"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3</w:t>
            </w: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KT3-3</w:t>
            </w:r>
          </w:p>
        </w:tc>
        <w:tc>
          <w:tcPr>
            <w:tcW w:w="147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三层3系统</w:t>
            </w:r>
          </w:p>
        </w:tc>
        <w:tc>
          <w:tcPr>
            <w:tcW w:w="858"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w:t>
            </w:r>
          </w:p>
        </w:tc>
        <w:tc>
          <w:tcPr>
            <w:tcW w:w="1158"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103.6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116.2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26.63/26.36</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7.37 </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5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721"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1.00 </w:t>
            </w: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KT-63</w:t>
            </w:r>
          </w:p>
        </w:tc>
        <w:tc>
          <w:tcPr>
            <w:tcW w:w="147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办公配套用房</w:t>
            </w:r>
          </w:p>
        </w:tc>
        <w:tc>
          <w:tcPr>
            <w:tcW w:w="858"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天花板内置四向气流嵌入式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6.3</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7.1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0.045</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5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72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147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办公3-25</w:t>
            </w:r>
          </w:p>
        </w:tc>
        <w:tc>
          <w:tcPr>
            <w:tcW w:w="858"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5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72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147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办公3-26</w:t>
            </w:r>
          </w:p>
        </w:tc>
        <w:tc>
          <w:tcPr>
            <w:tcW w:w="858"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5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72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147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办公3-27</w:t>
            </w:r>
          </w:p>
        </w:tc>
        <w:tc>
          <w:tcPr>
            <w:tcW w:w="858"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5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72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147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办公3-28</w:t>
            </w:r>
          </w:p>
        </w:tc>
        <w:tc>
          <w:tcPr>
            <w:tcW w:w="858"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5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72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KT-125</w:t>
            </w:r>
          </w:p>
        </w:tc>
        <w:tc>
          <w:tcPr>
            <w:tcW w:w="147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大办公</w:t>
            </w:r>
          </w:p>
        </w:tc>
        <w:tc>
          <w:tcPr>
            <w:tcW w:w="858"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天花板内置四向气流嵌入式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12.8</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14.0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0.073</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w:t>
            </w:r>
          </w:p>
        </w:tc>
        <w:tc>
          <w:tcPr>
            <w:tcW w:w="45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72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KT-71</w:t>
            </w:r>
          </w:p>
        </w:tc>
        <w:tc>
          <w:tcPr>
            <w:tcW w:w="147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更衣室</w:t>
            </w:r>
          </w:p>
        </w:tc>
        <w:tc>
          <w:tcPr>
            <w:tcW w:w="858"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天花板内置四向气流嵌入式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7.1</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8.0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0.045</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5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72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KT-100</w:t>
            </w:r>
          </w:p>
        </w:tc>
        <w:tc>
          <w:tcPr>
            <w:tcW w:w="147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值班</w:t>
            </w:r>
          </w:p>
        </w:tc>
        <w:tc>
          <w:tcPr>
            <w:tcW w:w="858"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天花板内置四向气流嵌入式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10.0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11.2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0.07</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5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72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KT-63</w:t>
            </w:r>
          </w:p>
        </w:tc>
        <w:tc>
          <w:tcPr>
            <w:tcW w:w="147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执法装备室2</w:t>
            </w:r>
          </w:p>
        </w:tc>
        <w:tc>
          <w:tcPr>
            <w:tcW w:w="858"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天花板内置四向气流嵌入式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6.3</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7.1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0.045</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5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72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KT-125</w:t>
            </w:r>
          </w:p>
        </w:tc>
        <w:tc>
          <w:tcPr>
            <w:tcW w:w="147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会议室</w:t>
            </w:r>
          </w:p>
        </w:tc>
        <w:tc>
          <w:tcPr>
            <w:tcW w:w="858"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天花板内置四向气流嵌入式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12.8</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14.0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0.073</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5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72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KT-125</w:t>
            </w:r>
          </w:p>
        </w:tc>
        <w:tc>
          <w:tcPr>
            <w:tcW w:w="147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接待大厅</w:t>
            </w:r>
          </w:p>
        </w:tc>
        <w:tc>
          <w:tcPr>
            <w:tcW w:w="858"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天花板内置四向气流嵌入式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12.8</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14.0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0.073</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45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72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bl>
    <w:p>
      <w:pPr>
        <w:pStyle w:val="10"/>
        <w:spacing w:before="0" w:after="0"/>
        <w:jc w:val="both"/>
        <w:rPr>
          <w:rFonts w:hint="eastAsia" w:ascii="宋体" w:hAnsi="宋体" w:eastAsia="宋体" w:cs="宋体"/>
          <w:color w:val="1D41D5"/>
          <w:kern w:val="0"/>
          <w:sz w:val="21"/>
          <w:szCs w:val="21"/>
        </w:rPr>
        <w:sectPr>
          <w:pgSz w:w="11906" w:h="16838"/>
          <w:pgMar w:top="720" w:right="720" w:bottom="720" w:left="720" w:header="680" w:footer="567" w:gutter="0"/>
          <w:cols w:space="720" w:num="1"/>
          <w:docGrid w:linePitch="312" w:charSpace="0"/>
        </w:sectPr>
      </w:pPr>
    </w:p>
    <w:tbl>
      <w:tblPr>
        <w:tblStyle w:val="56"/>
        <w:tblW w:w="0" w:type="auto"/>
        <w:tblInd w:w="93" w:type="dxa"/>
        <w:tblLayout w:type="fixed"/>
        <w:tblCellMar>
          <w:top w:w="0" w:type="dxa"/>
          <w:left w:w="108" w:type="dxa"/>
          <w:bottom w:w="0" w:type="dxa"/>
          <w:right w:w="108" w:type="dxa"/>
        </w:tblCellMar>
      </w:tblPr>
      <w:tblGrid>
        <w:gridCol w:w="741"/>
        <w:gridCol w:w="846"/>
        <w:gridCol w:w="1266"/>
        <w:gridCol w:w="889"/>
        <w:gridCol w:w="919"/>
        <w:gridCol w:w="846"/>
        <w:gridCol w:w="846"/>
        <w:gridCol w:w="1371"/>
        <w:gridCol w:w="636"/>
        <w:gridCol w:w="636"/>
        <w:gridCol w:w="559"/>
        <w:gridCol w:w="1034"/>
      </w:tblGrid>
      <w:tr>
        <w:tblPrEx>
          <w:tblCellMar>
            <w:top w:w="0" w:type="dxa"/>
            <w:left w:w="108" w:type="dxa"/>
            <w:bottom w:w="0" w:type="dxa"/>
            <w:right w:w="108" w:type="dxa"/>
          </w:tblCellMar>
        </w:tblPrEx>
        <w:trPr>
          <w:trHeight w:val="272" w:hRule="atLeast"/>
        </w:trPr>
        <w:tc>
          <w:tcPr>
            <w:tcW w:w="741"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序 号</w:t>
            </w:r>
          </w:p>
        </w:tc>
        <w:tc>
          <w:tcPr>
            <w:tcW w:w="846" w:type="dxa"/>
            <w:vMerge w:val="restart"/>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编 号</w:t>
            </w:r>
          </w:p>
        </w:tc>
        <w:tc>
          <w:tcPr>
            <w:tcW w:w="1266"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服务区域</w:t>
            </w:r>
          </w:p>
        </w:tc>
        <w:tc>
          <w:tcPr>
            <w:tcW w:w="1808" w:type="dxa"/>
            <w:gridSpan w:val="2"/>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类型</w:t>
            </w:r>
          </w:p>
        </w:tc>
        <w:tc>
          <w:tcPr>
            <w:tcW w:w="846"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制冷量</w:t>
            </w:r>
          </w:p>
        </w:tc>
        <w:tc>
          <w:tcPr>
            <w:tcW w:w="846"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制热量</w:t>
            </w:r>
          </w:p>
        </w:tc>
        <w:tc>
          <w:tcPr>
            <w:tcW w:w="1371"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功率</w:t>
            </w:r>
          </w:p>
        </w:tc>
        <w:tc>
          <w:tcPr>
            <w:tcW w:w="636"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IPLV</w:t>
            </w:r>
          </w:p>
        </w:tc>
        <w:tc>
          <w:tcPr>
            <w:tcW w:w="636"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数量</w:t>
            </w:r>
          </w:p>
        </w:tc>
        <w:tc>
          <w:tcPr>
            <w:tcW w:w="559"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备注</w:t>
            </w:r>
          </w:p>
        </w:tc>
        <w:tc>
          <w:tcPr>
            <w:tcW w:w="1034"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内外机配比</w:t>
            </w:r>
          </w:p>
        </w:tc>
      </w:tr>
      <w:tr>
        <w:tblPrEx>
          <w:tblCellMar>
            <w:top w:w="0" w:type="dxa"/>
            <w:left w:w="108" w:type="dxa"/>
            <w:bottom w:w="0" w:type="dxa"/>
            <w:right w:w="108" w:type="dxa"/>
          </w:tblCellMar>
        </w:tblPrEx>
        <w:trPr>
          <w:trHeight w:val="272"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vMerge w:val="continue"/>
            <w:tcBorders>
              <w:top w:val="single" w:color="000000" w:sz="4" w:space="0"/>
              <w:left w:val="nil"/>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1266"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1808" w:type="dxa"/>
            <w:gridSpan w:val="2"/>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137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636"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636"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559"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103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24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vMerge w:val="continue"/>
            <w:tcBorders>
              <w:top w:val="single" w:color="000000" w:sz="4" w:space="0"/>
              <w:left w:val="nil"/>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1266"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8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室外机</w:t>
            </w:r>
          </w:p>
        </w:tc>
        <w:tc>
          <w:tcPr>
            <w:tcW w:w="91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室内机</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KW</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KW</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KW</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W/W</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台</w:t>
            </w:r>
          </w:p>
        </w:tc>
        <w:tc>
          <w:tcPr>
            <w:tcW w:w="559"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103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4</w:t>
            </w: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KT3-4</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三层4系统</w:t>
            </w:r>
          </w:p>
        </w:tc>
        <w:tc>
          <w:tcPr>
            <w:tcW w:w="88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w:t>
            </w:r>
          </w:p>
        </w:tc>
        <w:tc>
          <w:tcPr>
            <w:tcW w:w="91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103.6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116.2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26.63/26.36</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7.37 </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559"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1034" w:type="dxa"/>
            <w:vMerge w:val="restart"/>
            <w:tcBorders>
              <w:top w:val="nil"/>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1.01</w:t>
            </w: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KT-80</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24小时</w:t>
            </w:r>
          </w:p>
        </w:tc>
        <w:tc>
          <w:tcPr>
            <w:tcW w:w="88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9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天花板内置四向气流嵌入式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8.0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9.0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0.062</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559"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1034" w:type="dxa"/>
            <w:vMerge w:val="continue"/>
            <w:tcBorders>
              <w:top w:val="nil"/>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KT-100</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会议室</w:t>
            </w:r>
          </w:p>
        </w:tc>
        <w:tc>
          <w:tcPr>
            <w:tcW w:w="88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9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天花板内置四向气流嵌入式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10.0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11.2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0.07</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559"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1034" w:type="dxa"/>
            <w:vMerge w:val="continue"/>
            <w:tcBorders>
              <w:top w:val="nil"/>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KT-40</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办公-40</w:t>
            </w:r>
          </w:p>
        </w:tc>
        <w:tc>
          <w:tcPr>
            <w:tcW w:w="88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9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559"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1034" w:type="dxa"/>
            <w:vMerge w:val="continue"/>
            <w:tcBorders>
              <w:top w:val="nil"/>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KT-140</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办证中心</w:t>
            </w:r>
          </w:p>
        </w:tc>
        <w:tc>
          <w:tcPr>
            <w:tcW w:w="88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9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天花板内置四向气流嵌入式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14.0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16.0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0.089</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4</w:t>
            </w:r>
          </w:p>
        </w:tc>
        <w:tc>
          <w:tcPr>
            <w:tcW w:w="559"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1034" w:type="dxa"/>
            <w:vMerge w:val="continue"/>
            <w:tcBorders>
              <w:top w:val="nil"/>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KT-90</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自助服务</w:t>
            </w:r>
          </w:p>
        </w:tc>
        <w:tc>
          <w:tcPr>
            <w:tcW w:w="88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9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天花板内置四向气流嵌入式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9.0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10.0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0.062</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559"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1034" w:type="dxa"/>
            <w:vMerge w:val="continue"/>
            <w:tcBorders>
              <w:top w:val="nil"/>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KT-45</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办公-35</w:t>
            </w:r>
          </w:p>
        </w:tc>
        <w:tc>
          <w:tcPr>
            <w:tcW w:w="88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9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4.5</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0.054</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559"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1034" w:type="dxa"/>
            <w:vMerge w:val="continue"/>
            <w:tcBorders>
              <w:top w:val="nil"/>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办公-36</w:t>
            </w:r>
          </w:p>
        </w:tc>
        <w:tc>
          <w:tcPr>
            <w:tcW w:w="88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9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559"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1034" w:type="dxa"/>
            <w:vMerge w:val="continue"/>
            <w:tcBorders>
              <w:top w:val="nil"/>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办公-37</w:t>
            </w:r>
          </w:p>
        </w:tc>
        <w:tc>
          <w:tcPr>
            <w:tcW w:w="88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9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559"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1034" w:type="dxa"/>
            <w:vMerge w:val="continue"/>
            <w:tcBorders>
              <w:top w:val="nil"/>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bl>
    <w:p>
      <w:pPr>
        <w:pStyle w:val="10"/>
        <w:spacing w:before="0" w:after="0"/>
        <w:jc w:val="both"/>
        <w:rPr>
          <w:rFonts w:hint="eastAsia" w:ascii="宋体" w:hAnsi="宋体" w:eastAsia="宋体" w:cs="宋体"/>
          <w:color w:val="1D41D5"/>
          <w:kern w:val="0"/>
          <w:sz w:val="21"/>
          <w:szCs w:val="21"/>
        </w:rPr>
        <w:sectPr>
          <w:pgSz w:w="11906" w:h="16838"/>
          <w:pgMar w:top="720" w:right="720" w:bottom="720" w:left="720" w:header="680" w:footer="567" w:gutter="0"/>
          <w:cols w:space="720" w:num="1"/>
          <w:docGrid w:linePitch="312" w:charSpace="0"/>
        </w:sectPr>
      </w:pPr>
    </w:p>
    <w:tbl>
      <w:tblPr>
        <w:tblStyle w:val="56"/>
        <w:tblW w:w="0" w:type="auto"/>
        <w:tblInd w:w="93" w:type="dxa"/>
        <w:tblLayout w:type="fixed"/>
        <w:tblCellMar>
          <w:top w:w="0" w:type="dxa"/>
          <w:left w:w="108" w:type="dxa"/>
          <w:bottom w:w="0" w:type="dxa"/>
          <w:right w:w="108" w:type="dxa"/>
        </w:tblCellMar>
      </w:tblPr>
      <w:tblGrid>
        <w:gridCol w:w="600"/>
        <w:gridCol w:w="987"/>
        <w:gridCol w:w="1266"/>
        <w:gridCol w:w="846"/>
        <w:gridCol w:w="1196"/>
        <w:gridCol w:w="846"/>
        <w:gridCol w:w="846"/>
        <w:gridCol w:w="1371"/>
        <w:gridCol w:w="636"/>
        <w:gridCol w:w="636"/>
        <w:gridCol w:w="723"/>
        <w:gridCol w:w="636"/>
      </w:tblGrid>
      <w:tr>
        <w:tblPrEx>
          <w:tblCellMar>
            <w:top w:w="0" w:type="dxa"/>
            <w:left w:w="108" w:type="dxa"/>
            <w:bottom w:w="0" w:type="dxa"/>
            <w:right w:w="108" w:type="dxa"/>
          </w:tblCellMar>
        </w:tblPrEx>
        <w:trPr>
          <w:trHeight w:val="272" w:hRule="atLeast"/>
        </w:trPr>
        <w:tc>
          <w:tcPr>
            <w:tcW w:w="600"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序 号</w:t>
            </w:r>
          </w:p>
        </w:tc>
        <w:tc>
          <w:tcPr>
            <w:tcW w:w="987" w:type="dxa"/>
            <w:vMerge w:val="restart"/>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编 号</w:t>
            </w:r>
          </w:p>
        </w:tc>
        <w:tc>
          <w:tcPr>
            <w:tcW w:w="1266"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服务区域</w:t>
            </w:r>
          </w:p>
        </w:tc>
        <w:tc>
          <w:tcPr>
            <w:tcW w:w="2042" w:type="dxa"/>
            <w:gridSpan w:val="2"/>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类型</w:t>
            </w:r>
          </w:p>
        </w:tc>
        <w:tc>
          <w:tcPr>
            <w:tcW w:w="846"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制冷量</w:t>
            </w:r>
          </w:p>
        </w:tc>
        <w:tc>
          <w:tcPr>
            <w:tcW w:w="846"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制热量</w:t>
            </w:r>
          </w:p>
        </w:tc>
        <w:tc>
          <w:tcPr>
            <w:tcW w:w="1371"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功率</w:t>
            </w:r>
          </w:p>
        </w:tc>
        <w:tc>
          <w:tcPr>
            <w:tcW w:w="636"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IPLV</w:t>
            </w:r>
          </w:p>
        </w:tc>
        <w:tc>
          <w:tcPr>
            <w:tcW w:w="636"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数量</w:t>
            </w:r>
          </w:p>
        </w:tc>
        <w:tc>
          <w:tcPr>
            <w:tcW w:w="723"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备注</w:t>
            </w:r>
          </w:p>
        </w:tc>
        <w:tc>
          <w:tcPr>
            <w:tcW w:w="636"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内外机配比</w:t>
            </w:r>
          </w:p>
        </w:tc>
      </w:tr>
      <w:tr>
        <w:tblPrEx>
          <w:tblCellMar>
            <w:top w:w="0" w:type="dxa"/>
            <w:left w:w="108" w:type="dxa"/>
            <w:bottom w:w="0" w:type="dxa"/>
            <w:right w:w="108" w:type="dxa"/>
          </w:tblCellMar>
        </w:tblPrEx>
        <w:trPr>
          <w:trHeight w:val="272" w:hRule="atLeast"/>
        </w:trPr>
        <w:tc>
          <w:tcPr>
            <w:tcW w:w="600"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987" w:type="dxa"/>
            <w:vMerge w:val="continue"/>
            <w:tcBorders>
              <w:top w:val="single" w:color="000000" w:sz="4" w:space="0"/>
              <w:left w:val="nil"/>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1266"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2042" w:type="dxa"/>
            <w:gridSpan w:val="2"/>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137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636"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636"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72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63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240" w:hRule="atLeast"/>
        </w:trPr>
        <w:tc>
          <w:tcPr>
            <w:tcW w:w="600"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987" w:type="dxa"/>
            <w:vMerge w:val="continue"/>
            <w:tcBorders>
              <w:top w:val="single" w:color="000000" w:sz="4" w:space="0"/>
              <w:left w:val="nil"/>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1266"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室外机</w:t>
            </w:r>
          </w:p>
        </w:tc>
        <w:tc>
          <w:tcPr>
            <w:tcW w:w="119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室内机</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KW</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KW</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KW</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W/W</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台</w:t>
            </w:r>
          </w:p>
        </w:tc>
        <w:tc>
          <w:tcPr>
            <w:tcW w:w="72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63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600"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5</w:t>
            </w:r>
          </w:p>
        </w:tc>
        <w:tc>
          <w:tcPr>
            <w:tcW w:w="987"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KT3-5</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三层5系统</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w:t>
            </w:r>
          </w:p>
        </w:tc>
        <w:tc>
          <w:tcPr>
            <w:tcW w:w="119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78.6</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88.2</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20.68/20.18</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7.75 </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23"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636" w:type="dxa"/>
            <w:vMerge w:val="restart"/>
            <w:tcBorders>
              <w:top w:val="nil"/>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1.01</w:t>
            </w:r>
          </w:p>
        </w:tc>
      </w:tr>
      <w:tr>
        <w:tblPrEx>
          <w:tblCellMar>
            <w:top w:w="0" w:type="dxa"/>
            <w:left w:w="108" w:type="dxa"/>
            <w:bottom w:w="0" w:type="dxa"/>
            <w:right w:w="108" w:type="dxa"/>
          </w:tblCellMar>
        </w:tblPrEx>
        <w:trPr>
          <w:trHeight w:val="570" w:hRule="atLeast"/>
        </w:trPr>
        <w:tc>
          <w:tcPr>
            <w:tcW w:w="600"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987"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KT-28</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弱电机房</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19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天花板内置四向气流嵌入式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2.8</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3.2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0.018</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23"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636" w:type="dxa"/>
            <w:vMerge w:val="continue"/>
            <w:tcBorders>
              <w:top w:val="nil"/>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600"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987"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KT-63</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弱电机房</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19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天花板内置四向气流嵌入式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6.3</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7.1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0.045</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23"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636" w:type="dxa"/>
            <w:vMerge w:val="continue"/>
            <w:tcBorders>
              <w:top w:val="nil"/>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600"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987"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KT-112</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会议室</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19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天花板内置四向气流嵌入式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11.2</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12.5</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0.07</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23"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636" w:type="dxa"/>
            <w:vMerge w:val="continue"/>
            <w:tcBorders>
              <w:top w:val="nil"/>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1074" w:hRule="atLeast"/>
        </w:trPr>
        <w:tc>
          <w:tcPr>
            <w:tcW w:w="600"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987"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询问室</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19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23"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636" w:type="dxa"/>
            <w:vMerge w:val="continue"/>
            <w:tcBorders>
              <w:top w:val="nil"/>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600"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987"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询问室</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19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23"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636" w:type="dxa"/>
            <w:vMerge w:val="continue"/>
            <w:tcBorders>
              <w:top w:val="nil"/>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600"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987"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KT-80</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办公3-5</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19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天花板内置超薄风管式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8.0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9.0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0.12</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23"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带冷凝水提升泵</w:t>
            </w:r>
          </w:p>
        </w:tc>
        <w:tc>
          <w:tcPr>
            <w:tcW w:w="636" w:type="dxa"/>
            <w:vMerge w:val="continue"/>
            <w:tcBorders>
              <w:top w:val="nil"/>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600"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987"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KT-80</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办公3-4</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19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天花板内置超薄风管式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8.0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9.0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0.12</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23"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带冷凝水提升泵</w:t>
            </w:r>
          </w:p>
        </w:tc>
        <w:tc>
          <w:tcPr>
            <w:tcW w:w="636" w:type="dxa"/>
            <w:vMerge w:val="continue"/>
            <w:tcBorders>
              <w:top w:val="nil"/>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600"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987"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KT-80</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办公3-3</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19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天花板内置超薄风管式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8.0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9.0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0.12</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23"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带冷凝水提升泵</w:t>
            </w:r>
          </w:p>
        </w:tc>
        <w:tc>
          <w:tcPr>
            <w:tcW w:w="636" w:type="dxa"/>
            <w:vMerge w:val="continue"/>
            <w:tcBorders>
              <w:top w:val="nil"/>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600"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987"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KT-80</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办公3-3</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19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天花板内置超薄风管式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8.0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9.0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0.12</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23"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带冷凝水提升泵</w:t>
            </w:r>
          </w:p>
        </w:tc>
        <w:tc>
          <w:tcPr>
            <w:tcW w:w="636" w:type="dxa"/>
            <w:vMerge w:val="continue"/>
            <w:tcBorders>
              <w:top w:val="nil"/>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600"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987"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KT-80</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办公3-2</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19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天花板内置超薄风管式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8.0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9.0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0.12</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23"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带冷凝水提升泵</w:t>
            </w:r>
          </w:p>
        </w:tc>
        <w:tc>
          <w:tcPr>
            <w:tcW w:w="636" w:type="dxa"/>
            <w:vMerge w:val="continue"/>
            <w:tcBorders>
              <w:top w:val="nil"/>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600"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987"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KT-80</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办公3-1</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19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天花板内置超薄风管式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8.0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9.0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0.12</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23"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带冷凝水提升泵</w:t>
            </w:r>
          </w:p>
        </w:tc>
        <w:tc>
          <w:tcPr>
            <w:tcW w:w="636" w:type="dxa"/>
            <w:vMerge w:val="continue"/>
            <w:tcBorders>
              <w:top w:val="nil"/>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bl>
    <w:p>
      <w:pPr>
        <w:pStyle w:val="10"/>
        <w:spacing w:before="0" w:after="0"/>
        <w:jc w:val="both"/>
        <w:rPr>
          <w:rFonts w:hint="eastAsia" w:ascii="宋体" w:hAnsi="宋体" w:eastAsia="宋体" w:cs="宋体"/>
          <w:color w:val="1D41D5"/>
          <w:kern w:val="0"/>
          <w:sz w:val="21"/>
          <w:szCs w:val="21"/>
        </w:rPr>
        <w:sectPr>
          <w:pgSz w:w="11906" w:h="16838"/>
          <w:pgMar w:top="720" w:right="720" w:bottom="720" w:left="720" w:header="680" w:footer="567" w:gutter="0"/>
          <w:cols w:space="720" w:num="1"/>
          <w:docGrid w:linePitch="312" w:charSpace="0"/>
        </w:sectPr>
      </w:pPr>
    </w:p>
    <w:tbl>
      <w:tblPr>
        <w:tblStyle w:val="56"/>
        <w:tblW w:w="0" w:type="auto"/>
        <w:tblInd w:w="93" w:type="dxa"/>
        <w:tblLayout w:type="autofit"/>
        <w:tblCellMar>
          <w:top w:w="0" w:type="dxa"/>
          <w:left w:w="108" w:type="dxa"/>
          <w:bottom w:w="0" w:type="dxa"/>
          <w:right w:w="108" w:type="dxa"/>
        </w:tblCellMar>
      </w:tblPr>
      <w:tblGrid>
        <w:gridCol w:w="741"/>
        <w:gridCol w:w="846"/>
        <w:gridCol w:w="1266"/>
        <w:gridCol w:w="846"/>
        <w:gridCol w:w="1268"/>
        <w:gridCol w:w="846"/>
        <w:gridCol w:w="846"/>
        <w:gridCol w:w="1266"/>
        <w:gridCol w:w="636"/>
        <w:gridCol w:w="636"/>
        <w:gridCol w:w="646"/>
        <w:gridCol w:w="746"/>
      </w:tblGrid>
      <w:tr>
        <w:tblPrEx>
          <w:tblCellMar>
            <w:top w:w="0" w:type="dxa"/>
            <w:left w:w="108" w:type="dxa"/>
            <w:bottom w:w="0" w:type="dxa"/>
            <w:right w:w="108" w:type="dxa"/>
          </w:tblCellMar>
        </w:tblPrEx>
        <w:trPr>
          <w:trHeight w:val="240" w:hRule="atLeast"/>
        </w:trPr>
        <w:tc>
          <w:tcPr>
            <w:tcW w:w="0" w:type="auto"/>
            <w:gridSpan w:val="12"/>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auto"/>
                <w:kern w:val="0"/>
                <w:sz w:val="21"/>
                <w:szCs w:val="21"/>
                <w:lang w:bidi="ar"/>
              </w:rPr>
              <w:t>四层</w:t>
            </w:r>
          </w:p>
        </w:tc>
      </w:tr>
      <w:tr>
        <w:tblPrEx>
          <w:tblCellMar>
            <w:top w:w="0" w:type="dxa"/>
            <w:left w:w="108" w:type="dxa"/>
            <w:bottom w:w="0" w:type="dxa"/>
            <w:right w:w="108" w:type="dxa"/>
          </w:tblCellMar>
        </w:tblPrEx>
        <w:trPr>
          <w:trHeight w:val="272" w:hRule="atLeast"/>
        </w:trPr>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序 号</w:t>
            </w:r>
          </w:p>
        </w:tc>
        <w:tc>
          <w:tcPr>
            <w:tcW w:w="0" w:type="auto"/>
            <w:vMerge w:val="restart"/>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编 号</w:t>
            </w: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服务区域</w:t>
            </w:r>
          </w:p>
        </w:tc>
        <w:tc>
          <w:tcPr>
            <w:tcW w:w="0" w:type="auto"/>
            <w:gridSpan w:val="2"/>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类型</w:t>
            </w: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制冷量</w:t>
            </w: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制热量</w:t>
            </w: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功率</w:t>
            </w: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IPLV</w:t>
            </w: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数量</w:t>
            </w:r>
          </w:p>
        </w:tc>
        <w:tc>
          <w:tcPr>
            <w:tcW w:w="0" w:type="auto"/>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备注</w:t>
            </w:r>
          </w:p>
        </w:tc>
        <w:tc>
          <w:tcPr>
            <w:tcW w:w="0" w:type="auto"/>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内外机配比</w:t>
            </w:r>
          </w:p>
        </w:tc>
      </w:tr>
      <w:tr>
        <w:tblPrEx>
          <w:tblCellMar>
            <w:top w:w="0" w:type="dxa"/>
            <w:left w:w="108" w:type="dxa"/>
            <w:bottom w:w="0" w:type="dxa"/>
            <w:right w:w="108" w:type="dxa"/>
          </w:tblCellMar>
        </w:tblPrEx>
        <w:trPr>
          <w:trHeight w:val="272"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nil"/>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gridSpan w:val="2"/>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24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nil"/>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室外机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室内机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KW</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KW</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KW</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W/W</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台</w:t>
            </w:r>
          </w:p>
        </w:tc>
        <w:tc>
          <w:tcPr>
            <w:tcW w:w="0" w:type="auto"/>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6</w:t>
            </w: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KT4-1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四层1系统</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92.2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103.6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23.05/23.6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7.52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color w:val="000000"/>
                <w:sz w:val="21"/>
                <w:szCs w:val="21"/>
              </w:rPr>
            </w:pP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1.02</w:t>
            </w:r>
          </w:p>
        </w:tc>
      </w:tr>
      <w:tr>
        <w:tblPrEx>
          <w:tblCellMar>
            <w:top w:w="0" w:type="dxa"/>
            <w:left w:w="108" w:type="dxa"/>
            <w:bottom w:w="0" w:type="dxa"/>
            <w:right w:w="108" w:type="dxa"/>
          </w:tblCellMar>
        </w:tblPrEx>
        <w:trPr>
          <w:trHeight w:val="97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KT-71</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加工间</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    四向气流嵌入式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7.1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8.0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0.045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994"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KT-36</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售卖间</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     四向气流嵌入式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3.6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4.0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72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KT-112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包厢</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     超薄风管式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11.2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12.5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0.17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带冷凝水提升泵</w:t>
            </w: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1309"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KT-140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餐厅</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     四向气流嵌入式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14.0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16.0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0.089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4</w:t>
            </w:r>
          </w:p>
        </w:tc>
        <w:tc>
          <w:tcPr>
            <w:tcW w:w="0" w:type="auto"/>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72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KT-80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爱心超市</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     超薄风管式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8.0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9.0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0.12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带冷凝水提升泵</w:t>
            </w: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72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KT-80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爱心超市</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     超薄风管式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8.0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9.0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0.12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带冷凝水提升泵</w:t>
            </w: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bl>
    <w:p>
      <w:pPr>
        <w:pStyle w:val="10"/>
        <w:spacing w:before="0" w:after="0"/>
        <w:jc w:val="both"/>
        <w:rPr>
          <w:rFonts w:hint="eastAsia" w:ascii="宋体" w:hAnsi="宋体" w:eastAsia="宋体" w:cs="宋体"/>
          <w:color w:val="1D41D5"/>
          <w:kern w:val="0"/>
          <w:sz w:val="21"/>
          <w:szCs w:val="21"/>
        </w:rPr>
        <w:sectPr>
          <w:pgSz w:w="11906" w:h="16838"/>
          <w:pgMar w:top="720" w:right="720" w:bottom="720" w:left="720" w:header="680" w:footer="567" w:gutter="0"/>
          <w:cols w:space="720" w:num="1"/>
          <w:docGrid w:linePitch="312" w:charSpace="0"/>
        </w:sectPr>
      </w:pPr>
    </w:p>
    <w:tbl>
      <w:tblPr>
        <w:tblStyle w:val="56"/>
        <w:tblW w:w="0" w:type="auto"/>
        <w:tblInd w:w="93" w:type="dxa"/>
        <w:tblLayout w:type="autofit"/>
        <w:tblCellMar>
          <w:top w:w="0" w:type="dxa"/>
          <w:left w:w="108" w:type="dxa"/>
          <w:bottom w:w="0" w:type="dxa"/>
          <w:right w:w="108" w:type="dxa"/>
        </w:tblCellMar>
      </w:tblPr>
      <w:tblGrid>
        <w:gridCol w:w="741"/>
        <w:gridCol w:w="846"/>
        <w:gridCol w:w="1266"/>
        <w:gridCol w:w="846"/>
        <w:gridCol w:w="1403"/>
        <w:gridCol w:w="846"/>
        <w:gridCol w:w="846"/>
        <w:gridCol w:w="1266"/>
        <w:gridCol w:w="636"/>
        <w:gridCol w:w="636"/>
        <w:gridCol w:w="475"/>
        <w:gridCol w:w="782"/>
      </w:tblGrid>
      <w:tr>
        <w:tblPrEx>
          <w:tblCellMar>
            <w:top w:w="0" w:type="dxa"/>
            <w:left w:w="108" w:type="dxa"/>
            <w:bottom w:w="0" w:type="dxa"/>
            <w:right w:w="108" w:type="dxa"/>
          </w:tblCellMar>
        </w:tblPrEx>
        <w:trPr>
          <w:trHeight w:val="272" w:hRule="atLeast"/>
        </w:trPr>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序 号</w:t>
            </w:r>
          </w:p>
        </w:tc>
        <w:tc>
          <w:tcPr>
            <w:tcW w:w="0" w:type="auto"/>
            <w:vMerge w:val="restart"/>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编 号</w:t>
            </w: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服务区域</w:t>
            </w:r>
          </w:p>
        </w:tc>
        <w:tc>
          <w:tcPr>
            <w:tcW w:w="0" w:type="auto"/>
            <w:gridSpan w:val="2"/>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类型</w:t>
            </w: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制冷量</w:t>
            </w: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制热量</w:t>
            </w: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功率</w:t>
            </w: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IPLV</w:t>
            </w: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数量</w:t>
            </w:r>
          </w:p>
        </w:tc>
        <w:tc>
          <w:tcPr>
            <w:tcW w:w="0" w:type="auto"/>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备注</w:t>
            </w:r>
          </w:p>
        </w:tc>
        <w:tc>
          <w:tcPr>
            <w:tcW w:w="0" w:type="auto"/>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内外机配比</w:t>
            </w:r>
          </w:p>
        </w:tc>
      </w:tr>
      <w:tr>
        <w:tblPrEx>
          <w:tblCellMar>
            <w:top w:w="0" w:type="dxa"/>
            <w:left w:w="108" w:type="dxa"/>
            <w:bottom w:w="0" w:type="dxa"/>
            <w:right w:w="108" w:type="dxa"/>
          </w:tblCellMar>
        </w:tblPrEx>
        <w:trPr>
          <w:trHeight w:val="272"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nil"/>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gridSpan w:val="2"/>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299"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nil"/>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室外机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室内机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KW</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KW</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KW</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W/W</w:t>
            </w:r>
          </w:p>
        </w:tc>
        <w:tc>
          <w:tcPr>
            <w:tcW w:w="0" w:type="auto"/>
            <w:tcBorders>
              <w:top w:val="single" w:color="000000" w:sz="4" w:space="0"/>
              <w:left w:val="single" w:color="000000" w:sz="4" w:space="0"/>
              <w:bottom w:val="single" w:color="auto"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台</w:t>
            </w:r>
          </w:p>
        </w:tc>
        <w:tc>
          <w:tcPr>
            <w:tcW w:w="0" w:type="auto"/>
            <w:vMerge w:val="continue"/>
            <w:tcBorders>
              <w:top w:val="single" w:color="000000" w:sz="4" w:space="0"/>
              <w:left w:val="single" w:color="000000" w:sz="4" w:space="0"/>
              <w:bottom w:val="single" w:color="auto"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auto" w:sz="4" w:space="0"/>
              <w:right w:val="single" w:color="000000" w:sz="4" w:space="0"/>
            </w:tcBorders>
            <w:noWrap w:val="0"/>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7</w:t>
            </w: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KT4-2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四层2系统</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67.2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75.6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17.1/17.42</w:t>
            </w:r>
          </w:p>
        </w:tc>
        <w:tc>
          <w:tcPr>
            <w:tcW w:w="0" w:type="auto"/>
            <w:tcBorders>
              <w:top w:val="single" w:color="000000" w:sz="4" w:space="0"/>
              <w:left w:val="single" w:color="000000" w:sz="4" w:space="0"/>
              <w:bottom w:val="single" w:color="000000" w:sz="4" w:space="0"/>
              <w:right w:val="single" w:color="auto"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8.05 </w:t>
            </w:r>
          </w:p>
        </w:tc>
        <w:tc>
          <w:tcPr>
            <w:tcW w:w="0" w:type="auto"/>
            <w:tcBorders>
              <w:top w:val="single" w:color="auto" w:sz="4" w:space="0"/>
              <w:left w:val="single" w:color="auto"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auto" w:sz="4" w:space="0"/>
              <w:left w:val="single" w:color="000000" w:sz="4" w:space="0"/>
              <w:bottom w:val="single" w:color="000000" w:sz="4" w:space="0"/>
              <w:right w:val="nil"/>
            </w:tcBorders>
            <w:noWrap w:val="0"/>
            <w:vAlign w:val="center"/>
          </w:tcPr>
          <w:p>
            <w:pPr>
              <w:jc w:val="center"/>
              <w:rPr>
                <w:rFonts w:hint="eastAsia" w:ascii="宋体" w:hAnsi="宋体" w:eastAsia="宋体" w:cs="宋体"/>
                <w:color w:val="000000"/>
                <w:sz w:val="21"/>
                <w:szCs w:val="21"/>
              </w:rPr>
            </w:pPr>
          </w:p>
        </w:tc>
        <w:tc>
          <w:tcPr>
            <w:tcW w:w="0" w:type="auto"/>
            <w:vMerge w:val="restart"/>
            <w:tcBorders>
              <w:top w:val="single" w:color="auto" w:sz="4" w:space="0"/>
              <w:left w:val="single" w:color="000000" w:sz="4" w:space="0"/>
              <w:bottom w:val="nil"/>
              <w:right w:val="single" w:color="auto"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1.01 </w:t>
            </w:r>
          </w:p>
        </w:tc>
      </w:tr>
      <w:tr>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KT-45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办公26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    单向气流嵌入式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4.5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5.0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0.054</w:t>
            </w:r>
          </w:p>
        </w:tc>
        <w:tc>
          <w:tcPr>
            <w:tcW w:w="0" w:type="auto"/>
            <w:tcBorders>
              <w:top w:val="single" w:color="000000" w:sz="4" w:space="0"/>
              <w:left w:val="single" w:color="000000" w:sz="4" w:space="0"/>
              <w:bottom w:val="single" w:color="000000" w:sz="4" w:space="0"/>
              <w:right w:val="single" w:color="auto"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auto"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nil"/>
              <w:right w:val="single" w:color="auto"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KT-36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办公24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3.6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4.0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0.04</w:t>
            </w:r>
          </w:p>
        </w:tc>
        <w:tc>
          <w:tcPr>
            <w:tcW w:w="0" w:type="auto"/>
            <w:tcBorders>
              <w:top w:val="single" w:color="000000" w:sz="4" w:space="0"/>
              <w:left w:val="single" w:color="000000" w:sz="4" w:space="0"/>
              <w:bottom w:val="single" w:color="000000" w:sz="4" w:space="0"/>
              <w:right w:val="single" w:color="auto"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auto"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nil"/>
              <w:right w:val="single" w:color="auto"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KT-45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办公-25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   单向气流嵌入式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4.5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5.0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0.054</w:t>
            </w:r>
          </w:p>
        </w:tc>
        <w:tc>
          <w:tcPr>
            <w:tcW w:w="0" w:type="auto"/>
            <w:tcBorders>
              <w:top w:val="single" w:color="000000" w:sz="4" w:space="0"/>
              <w:left w:val="single" w:color="000000" w:sz="4" w:space="0"/>
              <w:bottom w:val="single" w:color="000000" w:sz="4" w:space="0"/>
              <w:right w:val="single" w:color="auto"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auto"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nil"/>
              <w:right w:val="single" w:color="auto"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KT-125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视频会议室</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   四向气流嵌入式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12.8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14.0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0.073</w:t>
            </w:r>
          </w:p>
        </w:tc>
        <w:tc>
          <w:tcPr>
            <w:tcW w:w="0" w:type="auto"/>
            <w:tcBorders>
              <w:top w:val="single" w:color="000000" w:sz="4" w:space="0"/>
              <w:left w:val="single" w:color="000000" w:sz="4" w:space="0"/>
              <w:bottom w:val="single" w:color="000000" w:sz="4" w:space="0"/>
              <w:right w:val="single" w:color="auto"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auto"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w:t>
            </w:r>
          </w:p>
        </w:tc>
        <w:tc>
          <w:tcPr>
            <w:tcW w:w="0" w:type="auto"/>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nil"/>
              <w:right w:val="single" w:color="auto"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办公21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    单向气流嵌入式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0" w:type="auto"/>
            <w:tcBorders>
              <w:top w:val="single" w:color="000000" w:sz="4" w:space="0"/>
              <w:left w:val="single" w:color="000000" w:sz="4" w:space="0"/>
              <w:bottom w:val="single" w:color="000000" w:sz="4" w:space="0"/>
              <w:right w:val="single" w:color="auto"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auto"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nil"/>
              <w:right w:val="single" w:color="auto"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办公20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     单向气流嵌入式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0" w:type="auto"/>
            <w:tcBorders>
              <w:top w:val="single" w:color="000000" w:sz="4" w:space="0"/>
              <w:left w:val="single" w:color="000000" w:sz="4" w:space="0"/>
              <w:bottom w:val="single" w:color="000000" w:sz="4" w:space="0"/>
              <w:right w:val="single" w:color="auto"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auto"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nil"/>
              <w:right w:val="single" w:color="auto"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办公19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     单向气流嵌入式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0" w:type="auto"/>
            <w:tcBorders>
              <w:top w:val="single" w:color="000000" w:sz="4" w:space="0"/>
              <w:left w:val="single" w:color="000000" w:sz="4" w:space="0"/>
              <w:bottom w:val="single" w:color="000000" w:sz="4" w:space="0"/>
              <w:right w:val="single" w:color="auto"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auto"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nil"/>
              <w:right w:val="single" w:color="auto"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KT-71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办公18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     单向气流嵌入式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7.1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8.0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0.08</w:t>
            </w:r>
          </w:p>
        </w:tc>
        <w:tc>
          <w:tcPr>
            <w:tcW w:w="0" w:type="auto"/>
            <w:tcBorders>
              <w:top w:val="single" w:color="000000" w:sz="4" w:space="0"/>
              <w:left w:val="single" w:color="000000" w:sz="4" w:space="0"/>
              <w:bottom w:val="single" w:color="000000" w:sz="4" w:space="0"/>
              <w:right w:val="single" w:color="auto"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auto"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nil"/>
              <w:right w:val="single" w:color="auto"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办公17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     单向气流嵌入式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0" w:type="auto"/>
            <w:tcBorders>
              <w:top w:val="single" w:color="000000" w:sz="4" w:space="0"/>
              <w:left w:val="single" w:color="000000" w:sz="4" w:space="0"/>
              <w:bottom w:val="single" w:color="000000" w:sz="4" w:space="0"/>
              <w:right w:val="single" w:color="auto"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auto" w:sz="4" w:space="0"/>
              <w:bottom w:val="single" w:color="auto"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auto"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auto" w:sz="4" w:space="0"/>
              <w:right w:val="single" w:color="auto" w:sz="4" w:space="0"/>
            </w:tcBorders>
            <w:noWrap/>
            <w:vAlign w:val="center"/>
          </w:tcPr>
          <w:p>
            <w:pPr>
              <w:jc w:val="center"/>
              <w:rPr>
                <w:rFonts w:hint="eastAsia" w:ascii="宋体" w:hAnsi="宋体" w:eastAsia="宋体" w:cs="宋体"/>
                <w:color w:val="000000"/>
                <w:sz w:val="21"/>
                <w:szCs w:val="21"/>
              </w:rPr>
            </w:pPr>
          </w:p>
        </w:tc>
      </w:tr>
    </w:tbl>
    <w:p>
      <w:pPr>
        <w:pStyle w:val="8"/>
        <w:ind w:firstLine="536"/>
        <w:rPr>
          <w:rFonts w:hint="eastAsia" w:ascii="宋体" w:hAnsi="宋体" w:eastAsia="宋体" w:cs="宋体"/>
          <w:sz w:val="21"/>
          <w:szCs w:val="21"/>
        </w:rPr>
        <w:sectPr>
          <w:pgSz w:w="11906" w:h="16838"/>
          <w:pgMar w:top="720" w:right="720" w:bottom="720" w:left="720" w:header="680" w:footer="567" w:gutter="0"/>
          <w:cols w:space="720" w:num="1"/>
          <w:docGrid w:linePitch="312" w:charSpace="0"/>
        </w:sectPr>
      </w:pPr>
    </w:p>
    <w:tbl>
      <w:tblPr>
        <w:tblStyle w:val="56"/>
        <w:tblW w:w="0" w:type="auto"/>
        <w:tblInd w:w="93" w:type="dxa"/>
        <w:tblLayout w:type="autofit"/>
        <w:tblCellMar>
          <w:top w:w="0" w:type="dxa"/>
          <w:left w:w="108" w:type="dxa"/>
          <w:bottom w:w="0" w:type="dxa"/>
          <w:right w:w="108" w:type="dxa"/>
        </w:tblCellMar>
      </w:tblPr>
      <w:tblGrid>
        <w:gridCol w:w="741"/>
        <w:gridCol w:w="846"/>
        <w:gridCol w:w="1266"/>
        <w:gridCol w:w="846"/>
        <w:gridCol w:w="1366"/>
        <w:gridCol w:w="846"/>
        <w:gridCol w:w="846"/>
        <w:gridCol w:w="1266"/>
        <w:gridCol w:w="636"/>
        <w:gridCol w:w="636"/>
        <w:gridCol w:w="484"/>
        <w:gridCol w:w="810"/>
      </w:tblGrid>
      <w:tr>
        <w:tblPrEx>
          <w:tblCellMar>
            <w:top w:w="0" w:type="dxa"/>
            <w:left w:w="108" w:type="dxa"/>
            <w:bottom w:w="0" w:type="dxa"/>
            <w:right w:w="108" w:type="dxa"/>
          </w:tblCellMar>
        </w:tblPrEx>
        <w:trPr>
          <w:trHeight w:val="272" w:hRule="atLeast"/>
        </w:trPr>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序 号</w:t>
            </w:r>
          </w:p>
        </w:tc>
        <w:tc>
          <w:tcPr>
            <w:tcW w:w="0" w:type="auto"/>
            <w:vMerge w:val="restart"/>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编 号</w:t>
            </w: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服务区域</w:t>
            </w:r>
          </w:p>
        </w:tc>
        <w:tc>
          <w:tcPr>
            <w:tcW w:w="0" w:type="auto"/>
            <w:gridSpan w:val="2"/>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类型</w:t>
            </w: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制冷量</w:t>
            </w: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制热量</w:t>
            </w: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功率</w:t>
            </w: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IPLV</w:t>
            </w: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数量</w:t>
            </w:r>
          </w:p>
        </w:tc>
        <w:tc>
          <w:tcPr>
            <w:tcW w:w="0" w:type="auto"/>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备注</w:t>
            </w:r>
          </w:p>
        </w:tc>
        <w:tc>
          <w:tcPr>
            <w:tcW w:w="0" w:type="auto"/>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内外机配比</w:t>
            </w:r>
          </w:p>
        </w:tc>
      </w:tr>
      <w:tr>
        <w:tblPrEx>
          <w:tblCellMar>
            <w:top w:w="0" w:type="dxa"/>
            <w:left w:w="108" w:type="dxa"/>
            <w:bottom w:w="0" w:type="dxa"/>
            <w:right w:w="108" w:type="dxa"/>
          </w:tblCellMar>
        </w:tblPrEx>
        <w:trPr>
          <w:trHeight w:val="272"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nil"/>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gridSpan w:val="2"/>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24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nil"/>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室外机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室内机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KW</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KW</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KW</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W/W</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台</w:t>
            </w:r>
          </w:p>
        </w:tc>
        <w:tc>
          <w:tcPr>
            <w:tcW w:w="0" w:type="auto"/>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8</w:t>
            </w: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KT4-3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四层3系统</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92.2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103.6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23.05/23.6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8.30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1.02</w:t>
            </w:r>
          </w:p>
        </w:tc>
      </w:tr>
      <w:tr>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办公28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办公29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KT-63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储藏间</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天花板内置四向气流嵌入式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6.3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7.1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0.045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KT-63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储藏间</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天花板内置四向气流嵌入式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6.3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7.1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0.045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KT-112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会议室1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天花板内置四向气流嵌入式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11.2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12.5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KT-112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会议室2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天花板内置四向气流嵌入式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11.2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12.5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等候室</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0" w:type="auto"/>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KT-28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设备间</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2.8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3.2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0.032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0" w:type="auto"/>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bl>
    <w:p>
      <w:pPr>
        <w:pStyle w:val="10"/>
        <w:spacing w:before="0" w:after="0"/>
        <w:jc w:val="both"/>
        <w:rPr>
          <w:rFonts w:hint="eastAsia" w:ascii="宋体" w:hAnsi="宋体" w:eastAsia="宋体" w:cs="宋体"/>
          <w:color w:val="1D41D5"/>
          <w:kern w:val="0"/>
          <w:sz w:val="21"/>
          <w:szCs w:val="21"/>
        </w:rPr>
        <w:sectPr>
          <w:pgSz w:w="11906" w:h="16838"/>
          <w:pgMar w:top="720" w:right="720" w:bottom="720" w:left="720" w:header="680" w:footer="567" w:gutter="0"/>
          <w:cols w:space="720" w:num="1"/>
          <w:docGrid w:linePitch="312" w:charSpace="0"/>
        </w:sectPr>
      </w:pPr>
    </w:p>
    <w:tbl>
      <w:tblPr>
        <w:tblStyle w:val="56"/>
        <w:tblW w:w="0" w:type="auto"/>
        <w:tblInd w:w="93" w:type="dxa"/>
        <w:tblLayout w:type="fixed"/>
        <w:tblCellMar>
          <w:top w:w="0" w:type="dxa"/>
          <w:left w:w="108" w:type="dxa"/>
          <w:bottom w:w="0" w:type="dxa"/>
          <w:right w:w="108" w:type="dxa"/>
        </w:tblCellMar>
      </w:tblPr>
      <w:tblGrid>
        <w:gridCol w:w="741"/>
        <w:gridCol w:w="846"/>
        <w:gridCol w:w="1266"/>
        <w:gridCol w:w="846"/>
        <w:gridCol w:w="1209"/>
        <w:gridCol w:w="846"/>
        <w:gridCol w:w="846"/>
        <w:gridCol w:w="1371"/>
        <w:gridCol w:w="636"/>
        <w:gridCol w:w="549"/>
        <w:gridCol w:w="702"/>
        <w:gridCol w:w="731"/>
      </w:tblGrid>
      <w:tr>
        <w:tblPrEx>
          <w:tblCellMar>
            <w:top w:w="0" w:type="dxa"/>
            <w:left w:w="108" w:type="dxa"/>
            <w:bottom w:w="0" w:type="dxa"/>
            <w:right w:w="108" w:type="dxa"/>
          </w:tblCellMar>
        </w:tblPrEx>
        <w:trPr>
          <w:trHeight w:val="272" w:hRule="atLeast"/>
        </w:trPr>
        <w:tc>
          <w:tcPr>
            <w:tcW w:w="741"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序 号</w:t>
            </w:r>
          </w:p>
        </w:tc>
        <w:tc>
          <w:tcPr>
            <w:tcW w:w="846" w:type="dxa"/>
            <w:vMerge w:val="restart"/>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编 号</w:t>
            </w:r>
          </w:p>
        </w:tc>
        <w:tc>
          <w:tcPr>
            <w:tcW w:w="1266"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服务区域</w:t>
            </w:r>
          </w:p>
        </w:tc>
        <w:tc>
          <w:tcPr>
            <w:tcW w:w="2055" w:type="dxa"/>
            <w:gridSpan w:val="2"/>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类型</w:t>
            </w:r>
          </w:p>
        </w:tc>
        <w:tc>
          <w:tcPr>
            <w:tcW w:w="846"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制冷量</w:t>
            </w:r>
          </w:p>
        </w:tc>
        <w:tc>
          <w:tcPr>
            <w:tcW w:w="846"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制热量</w:t>
            </w:r>
          </w:p>
        </w:tc>
        <w:tc>
          <w:tcPr>
            <w:tcW w:w="1371"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功率</w:t>
            </w:r>
          </w:p>
        </w:tc>
        <w:tc>
          <w:tcPr>
            <w:tcW w:w="636"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IPLV</w:t>
            </w:r>
          </w:p>
        </w:tc>
        <w:tc>
          <w:tcPr>
            <w:tcW w:w="549"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数量</w:t>
            </w:r>
          </w:p>
        </w:tc>
        <w:tc>
          <w:tcPr>
            <w:tcW w:w="702"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备注</w:t>
            </w:r>
          </w:p>
        </w:tc>
        <w:tc>
          <w:tcPr>
            <w:tcW w:w="731"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内外机配比</w:t>
            </w:r>
          </w:p>
        </w:tc>
      </w:tr>
      <w:tr>
        <w:tblPrEx>
          <w:tblCellMar>
            <w:top w:w="0" w:type="dxa"/>
            <w:left w:w="108" w:type="dxa"/>
            <w:bottom w:w="0" w:type="dxa"/>
            <w:right w:w="108" w:type="dxa"/>
          </w:tblCellMar>
        </w:tblPrEx>
        <w:trPr>
          <w:trHeight w:val="272"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vMerge w:val="continue"/>
            <w:tcBorders>
              <w:top w:val="single" w:color="000000" w:sz="4" w:space="0"/>
              <w:left w:val="nil"/>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1266"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2055" w:type="dxa"/>
            <w:gridSpan w:val="2"/>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137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636"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549"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70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731"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24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vMerge w:val="continue"/>
            <w:tcBorders>
              <w:top w:val="single" w:color="000000" w:sz="4" w:space="0"/>
              <w:left w:val="nil"/>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1266"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室外机</w:t>
            </w:r>
          </w:p>
        </w:tc>
        <w:tc>
          <w:tcPr>
            <w:tcW w:w="120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室内机</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KW</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KW</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KW</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W/W</w:t>
            </w:r>
          </w:p>
        </w:tc>
        <w:tc>
          <w:tcPr>
            <w:tcW w:w="54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台</w:t>
            </w:r>
          </w:p>
        </w:tc>
        <w:tc>
          <w:tcPr>
            <w:tcW w:w="70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731"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9</w:t>
            </w: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KT4-4</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四层4系统</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w:t>
            </w:r>
          </w:p>
        </w:tc>
        <w:tc>
          <w:tcPr>
            <w:tcW w:w="120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103.6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116.2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26.63/26.36</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54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0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731" w:type="dxa"/>
            <w:vMerge w:val="restart"/>
            <w:tcBorders>
              <w:top w:val="nil"/>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1.00 </w:t>
            </w:r>
          </w:p>
        </w:tc>
      </w:tr>
      <w:tr>
        <w:tblPrEx>
          <w:tblCellMar>
            <w:top w:w="0" w:type="dxa"/>
            <w:left w:w="108" w:type="dxa"/>
            <w:bottom w:w="0" w:type="dxa"/>
            <w:right w:w="108" w:type="dxa"/>
          </w:tblCellMar>
        </w:tblPrEx>
        <w:trPr>
          <w:trHeight w:val="48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KT-140</w:t>
            </w:r>
          </w:p>
        </w:tc>
        <w:tc>
          <w:tcPr>
            <w:tcW w:w="1266"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报告厅</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2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天花板内置四向气流嵌入式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14.0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16.0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0.089</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5</w:t>
            </w:r>
          </w:p>
        </w:tc>
        <w:tc>
          <w:tcPr>
            <w:tcW w:w="70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731" w:type="dxa"/>
            <w:vMerge w:val="continue"/>
            <w:tcBorders>
              <w:top w:val="nil"/>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72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KT-63</w:t>
            </w:r>
          </w:p>
        </w:tc>
        <w:tc>
          <w:tcPr>
            <w:tcW w:w="1266"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2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天花板内超薄风管式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7.1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0.064</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02"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带冷凝水提升泵</w:t>
            </w:r>
          </w:p>
        </w:tc>
        <w:tc>
          <w:tcPr>
            <w:tcW w:w="731" w:type="dxa"/>
            <w:vMerge w:val="continue"/>
            <w:tcBorders>
              <w:top w:val="nil"/>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KT-80</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办公1</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2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天花板内置四向气流嵌入式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8.0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9.0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0.062</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w:t>
            </w:r>
          </w:p>
        </w:tc>
        <w:tc>
          <w:tcPr>
            <w:tcW w:w="70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731" w:type="dxa"/>
            <w:vMerge w:val="continue"/>
            <w:tcBorders>
              <w:top w:val="nil"/>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办公2</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2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0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731" w:type="dxa"/>
            <w:vMerge w:val="continue"/>
            <w:tcBorders>
              <w:top w:val="nil"/>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办公3</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2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0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731" w:type="dxa"/>
            <w:vMerge w:val="continue"/>
            <w:tcBorders>
              <w:top w:val="nil"/>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570" w:hRule="atLeast"/>
        </w:trPr>
        <w:tc>
          <w:tcPr>
            <w:tcW w:w="741"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10</w:t>
            </w: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KT4-5</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四层5系统</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w:t>
            </w:r>
          </w:p>
        </w:tc>
        <w:tc>
          <w:tcPr>
            <w:tcW w:w="120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86.0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96.0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22.32/21.63</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54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0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731"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1.00 </w:t>
            </w:r>
          </w:p>
        </w:tc>
      </w:tr>
      <w:tr>
        <w:tblPrEx>
          <w:tblCellMar>
            <w:top w:w="0" w:type="dxa"/>
            <w:left w:w="108" w:type="dxa"/>
            <w:bottom w:w="0" w:type="dxa"/>
            <w:right w:w="108" w:type="dxa"/>
          </w:tblCellMar>
        </w:tblPrEx>
        <w:trPr>
          <w:trHeight w:val="48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办公7</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2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0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73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72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KT-63</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会议室</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2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天花板内置超薄风管式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7.1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0.064</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02"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带冷凝水提升泵</w:t>
            </w:r>
          </w:p>
        </w:tc>
        <w:tc>
          <w:tcPr>
            <w:tcW w:w="73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KT-45</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办公6</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2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4.5</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0.054</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0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73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KT-45</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办公5</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2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4.5</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0.054</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0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73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办公4</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2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w:t>
            </w:r>
            <w:bookmarkStart w:id="225" w:name="_GoBack"/>
            <w:bookmarkEnd w:id="225"/>
            <w:r>
              <w:rPr>
                <w:rFonts w:hint="eastAsia" w:ascii="宋体" w:hAnsi="宋体" w:eastAsia="宋体" w:cs="宋体"/>
                <w:color w:val="000000"/>
                <w:kern w:val="0"/>
                <w:sz w:val="21"/>
                <w:szCs w:val="21"/>
                <w:lang w:bidi="ar"/>
              </w:rPr>
              <w:t>单向气流嵌入式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0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73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72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KT-80</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办公16</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2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天花板内置超薄风管式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8.0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9.0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0.12</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02"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带冷凝水提升泵</w:t>
            </w:r>
          </w:p>
        </w:tc>
        <w:tc>
          <w:tcPr>
            <w:tcW w:w="73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72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KT-80</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办公15</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2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天花板内置超薄风管式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8.0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9.0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0.12</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02"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带冷凝水提升泵</w:t>
            </w:r>
          </w:p>
        </w:tc>
        <w:tc>
          <w:tcPr>
            <w:tcW w:w="73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72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KT-80</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办公14</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2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天花板内置超薄风管式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8.0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9.0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0.12</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02"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带冷凝水提升泵</w:t>
            </w:r>
          </w:p>
        </w:tc>
        <w:tc>
          <w:tcPr>
            <w:tcW w:w="73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72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KT-80</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办公13</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2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天花板内置超薄风管式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8.0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9.0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0.12</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02"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带冷凝水提升泵</w:t>
            </w:r>
          </w:p>
        </w:tc>
        <w:tc>
          <w:tcPr>
            <w:tcW w:w="73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72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KT-80</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办公12</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2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天花板内置超薄风管式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8.0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9.0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0.12</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02"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带冷凝水提升泵</w:t>
            </w:r>
          </w:p>
        </w:tc>
        <w:tc>
          <w:tcPr>
            <w:tcW w:w="73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KT-56</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办公11</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2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5.6 </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6.3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0.055</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0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73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KT-71</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办公10</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2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7.1</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8.0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0.08</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0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73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480" w:hRule="atLeast"/>
        </w:trPr>
        <w:tc>
          <w:tcPr>
            <w:tcW w:w="74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c>
          <w:tcPr>
            <w:tcW w:w="846" w:type="dxa"/>
            <w:tcBorders>
              <w:top w:val="single" w:color="000000" w:sz="4" w:space="0"/>
              <w:left w:val="nil"/>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KT-71</w:t>
            </w:r>
          </w:p>
        </w:tc>
        <w:tc>
          <w:tcPr>
            <w:tcW w:w="126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办公9</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12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天花板内置单向气流嵌入式</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7.1</w:t>
            </w:r>
          </w:p>
        </w:tc>
        <w:tc>
          <w:tcPr>
            <w:tcW w:w="84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 xml:space="preserve">8.0 </w:t>
            </w:r>
          </w:p>
        </w:tc>
        <w:tc>
          <w:tcPr>
            <w:tcW w:w="1371"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0.08</w:t>
            </w:r>
          </w:p>
        </w:tc>
        <w:tc>
          <w:tcPr>
            <w:tcW w:w="636"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w:t>
            </w:r>
          </w:p>
        </w:tc>
        <w:tc>
          <w:tcPr>
            <w:tcW w:w="54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70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000000"/>
                <w:sz w:val="21"/>
                <w:szCs w:val="21"/>
              </w:rPr>
            </w:pPr>
          </w:p>
        </w:tc>
        <w:tc>
          <w:tcPr>
            <w:tcW w:w="73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color w:val="000000"/>
                <w:sz w:val="21"/>
                <w:szCs w:val="21"/>
              </w:rPr>
            </w:pPr>
          </w:p>
        </w:tc>
      </w:tr>
    </w:tbl>
    <w:p>
      <w:pPr>
        <w:pStyle w:val="10"/>
        <w:spacing w:before="0" w:after="0"/>
        <w:jc w:val="both"/>
        <w:rPr>
          <w:rFonts w:hint="eastAsia" w:hAnsi="宋体" w:cs="宋体"/>
          <w:color w:val="1D41D5"/>
          <w:kern w:val="0"/>
          <w:sz w:val="21"/>
          <w:szCs w:val="21"/>
        </w:rPr>
      </w:pPr>
    </w:p>
    <w:p>
      <w:pPr>
        <w:pStyle w:val="10"/>
        <w:spacing w:before="0" w:after="0"/>
        <w:jc w:val="both"/>
        <w:rPr>
          <w:rFonts w:hint="eastAsia" w:hAnsi="宋体" w:cs="宋体"/>
          <w:color w:val="1D41D5"/>
          <w:kern w:val="0"/>
          <w:sz w:val="21"/>
          <w:szCs w:val="21"/>
        </w:rPr>
      </w:pPr>
    </w:p>
    <w:p>
      <w:pPr>
        <w:pStyle w:val="10"/>
        <w:spacing w:before="0" w:after="0"/>
        <w:jc w:val="both"/>
        <w:rPr>
          <w:rFonts w:hint="eastAsia" w:hAnsi="宋体" w:cs="宋体"/>
          <w:color w:val="1D41D5"/>
          <w:kern w:val="0"/>
          <w:sz w:val="21"/>
          <w:szCs w:val="21"/>
        </w:rPr>
      </w:pPr>
    </w:p>
    <w:p>
      <w:pPr>
        <w:pStyle w:val="10"/>
        <w:spacing w:before="0" w:after="0"/>
        <w:jc w:val="both"/>
        <w:rPr>
          <w:rFonts w:hint="eastAsia" w:hAnsi="宋体" w:cs="宋体"/>
          <w:color w:val="1D41D5"/>
          <w:kern w:val="0"/>
          <w:sz w:val="21"/>
          <w:szCs w:val="21"/>
        </w:rPr>
        <w:sectPr>
          <w:pgSz w:w="11906" w:h="16838"/>
          <w:pgMar w:top="720" w:right="720" w:bottom="720" w:left="720" w:header="680" w:footer="567" w:gutter="0"/>
          <w:cols w:space="720" w:num="1"/>
          <w:docGrid w:linePitch="312" w:charSpace="0"/>
        </w:sectPr>
      </w:pPr>
    </w:p>
    <w:p>
      <w:pPr>
        <w:pStyle w:val="10"/>
        <w:spacing w:before="0" w:after="0"/>
        <w:jc w:val="center"/>
        <w:rPr>
          <w:rFonts w:hint="eastAsia" w:hAnsi="宋体" w:cs="宋体"/>
          <w:b/>
          <w:bCs w:val="0"/>
          <w:color w:val="1D41D5"/>
          <w:kern w:val="0"/>
          <w:sz w:val="21"/>
          <w:szCs w:val="21"/>
          <w:highlight w:val="yellow"/>
        </w:rPr>
      </w:pPr>
    </w:p>
    <w:p>
      <w:pPr>
        <w:pStyle w:val="10"/>
        <w:spacing w:before="0" w:after="0"/>
        <w:jc w:val="center"/>
        <w:rPr>
          <w:rFonts w:hint="eastAsia" w:hAnsi="宋体" w:cs="宋体"/>
          <w:b/>
          <w:bCs w:val="0"/>
          <w:color w:val="000000"/>
          <w:kern w:val="0"/>
          <w:sz w:val="24"/>
          <w:szCs w:val="24"/>
          <w:highlight w:val="none"/>
        </w:rPr>
      </w:pPr>
      <w:r>
        <w:rPr>
          <w:rFonts w:hint="eastAsia" w:hAnsi="宋体" w:cs="宋体"/>
          <w:b/>
          <w:bCs w:val="0"/>
          <w:color w:val="000000"/>
          <w:kern w:val="0"/>
          <w:sz w:val="24"/>
          <w:szCs w:val="24"/>
          <w:highlight w:val="none"/>
        </w:rPr>
        <w:t>全热交换器</w:t>
      </w:r>
    </w:p>
    <w:tbl>
      <w:tblPr>
        <w:tblStyle w:val="56"/>
        <w:tblW w:w="9517" w:type="dxa"/>
        <w:jc w:val="center"/>
        <w:tblLayout w:type="fixed"/>
        <w:tblCellMar>
          <w:top w:w="0" w:type="dxa"/>
          <w:left w:w="108" w:type="dxa"/>
          <w:bottom w:w="0" w:type="dxa"/>
          <w:right w:w="108" w:type="dxa"/>
        </w:tblCellMar>
      </w:tblPr>
      <w:tblGrid>
        <w:gridCol w:w="715"/>
        <w:gridCol w:w="2444"/>
        <w:gridCol w:w="1785"/>
        <w:gridCol w:w="2549"/>
        <w:gridCol w:w="2024"/>
      </w:tblGrid>
      <w:tr>
        <w:tblPrEx>
          <w:tblCellMar>
            <w:top w:w="0" w:type="dxa"/>
            <w:left w:w="108" w:type="dxa"/>
            <w:bottom w:w="0" w:type="dxa"/>
            <w:right w:w="108" w:type="dxa"/>
          </w:tblCellMar>
        </w:tblPrEx>
        <w:trPr>
          <w:trHeight w:val="390" w:hRule="atLeast"/>
          <w:jc w:val="center"/>
        </w:trPr>
        <w:tc>
          <w:tcPr>
            <w:tcW w:w="715" w:type="dxa"/>
            <w:vMerge w:val="restart"/>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序 号</w:t>
            </w:r>
          </w:p>
        </w:tc>
        <w:tc>
          <w:tcPr>
            <w:tcW w:w="4229" w:type="dxa"/>
            <w:gridSpan w:val="2"/>
            <w:tcBorders>
              <w:top w:val="single" w:color="000000" w:sz="4" w:space="0"/>
              <w:left w:val="single" w:color="auto"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室内（外）风机</w:t>
            </w:r>
          </w:p>
        </w:tc>
        <w:tc>
          <w:tcPr>
            <w:tcW w:w="2549"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功率</w:t>
            </w:r>
          </w:p>
        </w:tc>
        <w:tc>
          <w:tcPr>
            <w:tcW w:w="2024" w:type="dxa"/>
            <w:vMerge w:val="restart"/>
            <w:tcBorders>
              <w:top w:val="single" w:color="000000" w:sz="4" w:space="0"/>
              <w:left w:val="single" w:color="000000" w:sz="4" w:space="0"/>
              <w:right w:val="single" w:color="000000" w:sz="4" w:space="0"/>
            </w:tcBorders>
            <w:noWrap/>
            <w:vAlign w:val="center"/>
          </w:tcPr>
          <w:p>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数量</w:t>
            </w:r>
          </w:p>
        </w:tc>
      </w:tr>
      <w:tr>
        <w:tblPrEx>
          <w:tblCellMar>
            <w:top w:w="0" w:type="dxa"/>
            <w:left w:w="108" w:type="dxa"/>
            <w:bottom w:w="0" w:type="dxa"/>
            <w:right w:w="108" w:type="dxa"/>
          </w:tblCellMar>
        </w:tblPrEx>
        <w:trPr>
          <w:trHeight w:val="390" w:hRule="atLeast"/>
          <w:jc w:val="center"/>
        </w:trPr>
        <w:tc>
          <w:tcPr>
            <w:tcW w:w="715" w:type="dxa"/>
            <w:vMerge w:val="continue"/>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cs="宋体"/>
                <w:color w:val="000000"/>
                <w:sz w:val="21"/>
                <w:szCs w:val="21"/>
              </w:rPr>
            </w:pPr>
          </w:p>
        </w:tc>
        <w:tc>
          <w:tcPr>
            <w:tcW w:w="2444" w:type="dxa"/>
            <w:tcBorders>
              <w:top w:val="single" w:color="000000" w:sz="4" w:space="0"/>
              <w:left w:val="single" w:color="auto"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风量</w:t>
            </w:r>
          </w:p>
        </w:tc>
        <w:tc>
          <w:tcPr>
            <w:tcW w:w="1785"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静压</w:t>
            </w:r>
          </w:p>
        </w:tc>
        <w:tc>
          <w:tcPr>
            <w:tcW w:w="2549"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cs="宋体"/>
                <w:color w:val="000000"/>
                <w:sz w:val="21"/>
                <w:szCs w:val="21"/>
              </w:rPr>
            </w:pPr>
          </w:p>
        </w:tc>
        <w:tc>
          <w:tcPr>
            <w:tcW w:w="2024" w:type="dxa"/>
            <w:vMerge w:val="continue"/>
            <w:tcBorders>
              <w:left w:val="single" w:color="000000" w:sz="4" w:space="0"/>
              <w:bottom w:val="single" w:color="000000" w:sz="4" w:space="0"/>
              <w:right w:val="single" w:color="000000" w:sz="4" w:space="0"/>
            </w:tcBorders>
            <w:noWrap/>
            <w:vAlign w:val="center"/>
          </w:tcPr>
          <w:p>
            <w:pPr>
              <w:jc w:val="center"/>
              <w:rPr>
                <w:rFonts w:hint="eastAsia" w:ascii="宋体" w:hAnsi="宋体" w:cs="宋体"/>
                <w:color w:val="000000"/>
                <w:sz w:val="21"/>
                <w:szCs w:val="21"/>
              </w:rPr>
            </w:pPr>
          </w:p>
        </w:tc>
      </w:tr>
      <w:tr>
        <w:tblPrEx>
          <w:tblCellMar>
            <w:top w:w="0" w:type="dxa"/>
            <w:left w:w="108" w:type="dxa"/>
            <w:bottom w:w="0" w:type="dxa"/>
            <w:right w:w="108" w:type="dxa"/>
          </w:tblCellMar>
        </w:tblPrEx>
        <w:trPr>
          <w:trHeight w:val="390" w:hRule="atLeast"/>
          <w:jc w:val="center"/>
        </w:trPr>
        <w:tc>
          <w:tcPr>
            <w:tcW w:w="715" w:type="dxa"/>
            <w:vMerge w:val="continue"/>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cs="宋体"/>
                <w:color w:val="000000"/>
                <w:sz w:val="21"/>
                <w:szCs w:val="21"/>
              </w:rPr>
            </w:pPr>
          </w:p>
        </w:tc>
        <w:tc>
          <w:tcPr>
            <w:tcW w:w="2444" w:type="dxa"/>
            <w:tcBorders>
              <w:top w:val="single" w:color="000000" w:sz="4" w:space="0"/>
              <w:left w:val="single" w:color="auto"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m³/min</w:t>
            </w:r>
          </w:p>
        </w:tc>
        <w:tc>
          <w:tcPr>
            <w:tcW w:w="1785"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Pa</w:t>
            </w:r>
          </w:p>
        </w:tc>
        <w:tc>
          <w:tcPr>
            <w:tcW w:w="254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KW</w:t>
            </w:r>
          </w:p>
        </w:tc>
        <w:tc>
          <w:tcPr>
            <w:tcW w:w="2024"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台</w:t>
            </w:r>
          </w:p>
        </w:tc>
      </w:tr>
      <w:tr>
        <w:tblPrEx>
          <w:tblCellMar>
            <w:top w:w="0" w:type="dxa"/>
            <w:left w:w="108" w:type="dxa"/>
            <w:bottom w:w="0" w:type="dxa"/>
            <w:right w:w="108" w:type="dxa"/>
          </w:tblCellMar>
        </w:tblPrEx>
        <w:trPr>
          <w:trHeight w:val="390" w:hRule="atLeast"/>
          <w:jc w:val="center"/>
        </w:trPr>
        <w:tc>
          <w:tcPr>
            <w:tcW w:w="715" w:type="dxa"/>
            <w:tcBorders>
              <w:top w:val="single" w:color="auto"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w:t>
            </w:r>
          </w:p>
        </w:tc>
        <w:tc>
          <w:tcPr>
            <w:tcW w:w="2444"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w:t>
            </w:r>
          </w:p>
        </w:tc>
        <w:tc>
          <w:tcPr>
            <w:tcW w:w="1785"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w:t>
            </w:r>
          </w:p>
        </w:tc>
        <w:tc>
          <w:tcPr>
            <w:tcW w:w="254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0.38</w:t>
            </w:r>
          </w:p>
        </w:tc>
        <w:tc>
          <w:tcPr>
            <w:tcW w:w="2024"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3</w:t>
            </w:r>
          </w:p>
        </w:tc>
      </w:tr>
      <w:tr>
        <w:tblPrEx>
          <w:tblCellMar>
            <w:top w:w="0" w:type="dxa"/>
            <w:left w:w="108" w:type="dxa"/>
            <w:bottom w:w="0" w:type="dxa"/>
            <w:right w:w="108" w:type="dxa"/>
          </w:tblCellMar>
        </w:tblPrEx>
        <w:trPr>
          <w:trHeight w:val="390" w:hRule="atLeast"/>
          <w:jc w:val="center"/>
        </w:trPr>
        <w:tc>
          <w:tcPr>
            <w:tcW w:w="715"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w:t>
            </w:r>
          </w:p>
        </w:tc>
        <w:tc>
          <w:tcPr>
            <w:tcW w:w="2444"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1500</w:t>
            </w:r>
          </w:p>
        </w:tc>
        <w:tc>
          <w:tcPr>
            <w:tcW w:w="1785"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230</w:t>
            </w:r>
          </w:p>
        </w:tc>
        <w:tc>
          <w:tcPr>
            <w:tcW w:w="254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0.37×2</w:t>
            </w:r>
          </w:p>
        </w:tc>
        <w:tc>
          <w:tcPr>
            <w:tcW w:w="2024"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2</w:t>
            </w:r>
          </w:p>
        </w:tc>
      </w:tr>
      <w:tr>
        <w:tblPrEx>
          <w:tblCellMar>
            <w:top w:w="0" w:type="dxa"/>
            <w:left w:w="108" w:type="dxa"/>
            <w:bottom w:w="0" w:type="dxa"/>
            <w:right w:w="108" w:type="dxa"/>
          </w:tblCellMar>
        </w:tblPrEx>
        <w:trPr>
          <w:trHeight w:val="390" w:hRule="atLeast"/>
          <w:jc w:val="center"/>
        </w:trPr>
        <w:tc>
          <w:tcPr>
            <w:tcW w:w="715" w:type="dxa"/>
            <w:tcBorders>
              <w:top w:val="single" w:color="000000" w:sz="4" w:space="0"/>
              <w:left w:val="single" w:color="000000" w:sz="4" w:space="0"/>
              <w:bottom w:val="single" w:color="auto" w:sz="4" w:space="0"/>
              <w:right w:val="single" w:color="000000" w:sz="4" w:space="0"/>
            </w:tcBorders>
            <w:noWrap/>
            <w:vAlign w:val="center"/>
          </w:tcPr>
          <w:p>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3</w:t>
            </w:r>
          </w:p>
        </w:tc>
        <w:tc>
          <w:tcPr>
            <w:tcW w:w="2444"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2000</w:t>
            </w:r>
          </w:p>
        </w:tc>
        <w:tc>
          <w:tcPr>
            <w:tcW w:w="1785"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230</w:t>
            </w:r>
          </w:p>
        </w:tc>
        <w:tc>
          <w:tcPr>
            <w:tcW w:w="254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0.55×2</w:t>
            </w:r>
          </w:p>
        </w:tc>
        <w:tc>
          <w:tcPr>
            <w:tcW w:w="2024"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1</w:t>
            </w:r>
          </w:p>
        </w:tc>
      </w:tr>
      <w:tr>
        <w:tblPrEx>
          <w:tblCellMar>
            <w:top w:w="0" w:type="dxa"/>
            <w:left w:w="108" w:type="dxa"/>
            <w:bottom w:w="0" w:type="dxa"/>
            <w:right w:w="108" w:type="dxa"/>
          </w:tblCellMar>
        </w:tblPrEx>
        <w:trPr>
          <w:trHeight w:val="390" w:hRule="atLeast"/>
          <w:jc w:val="center"/>
        </w:trPr>
        <w:tc>
          <w:tcPr>
            <w:tcW w:w="715" w:type="dxa"/>
            <w:tcBorders>
              <w:top w:val="single" w:color="auto" w:sz="4" w:space="0"/>
              <w:left w:val="single" w:color="auto" w:sz="4" w:space="0"/>
              <w:bottom w:val="nil"/>
              <w:right w:val="single" w:color="auto" w:sz="4" w:space="0"/>
            </w:tcBorders>
            <w:noWrap/>
            <w:vAlign w:val="center"/>
          </w:tcPr>
          <w:p>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4</w:t>
            </w:r>
          </w:p>
        </w:tc>
        <w:tc>
          <w:tcPr>
            <w:tcW w:w="2444" w:type="dxa"/>
            <w:tcBorders>
              <w:top w:val="single" w:color="000000" w:sz="4" w:space="0"/>
              <w:left w:val="single" w:color="auto"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2500</w:t>
            </w:r>
          </w:p>
        </w:tc>
        <w:tc>
          <w:tcPr>
            <w:tcW w:w="1785"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230</w:t>
            </w:r>
          </w:p>
        </w:tc>
        <w:tc>
          <w:tcPr>
            <w:tcW w:w="254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0.7×2</w:t>
            </w:r>
          </w:p>
        </w:tc>
        <w:tc>
          <w:tcPr>
            <w:tcW w:w="2024"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2</w:t>
            </w:r>
          </w:p>
        </w:tc>
      </w:tr>
      <w:tr>
        <w:tblPrEx>
          <w:tblCellMar>
            <w:top w:w="0" w:type="dxa"/>
            <w:left w:w="108" w:type="dxa"/>
            <w:bottom w:w="0" w:type="dxa"/>
            <w:right w:w="108" w:type="dxa"/>
          </w:tblCellMar>
        </w:tblPrEx>
        <w:trPr>
          <w:trHeight w:val="404" w:hRule="atLeast"/>
          <w:jc w:val="center"/>
        </w:trPr>
        <w:tc>
          <w:tcPr>
            <w:tcW w:w="715" w:type="dxa"/>
            <w:tcBorders>
              <w:top w:val="single" w:color="000000" w:sz="4" w:space="0"/>
              <w:left w:val="single" w:color="auto" w:sz="4" w:space="0"/>
              <w:bottom w:val="single" w:color="auto" w:sz="4" w:space="0"/>
              <w:right w:val="single" w:color="auto" w:sz="4" w:space="0"/>
            </w:tcBorders>
            <w:noWrap/>
            <w:vAlign w:val="center"/>
          </w:tcPr>
          <w:p>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w:t>
            </w:r>
          </w:p>
        </w:tc>
        <w:tc>
          <w:tcPr>
            <w:tcW w:w="2444" w:type="dxa"/>
            <w:tcBorders>
              <w:top w:val="single" w:color="000000" w:sz="4" w:space="0"/>
              <w:left w:val="single" w:color="auto"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3500</w:t>
            </w:r>
          </w:p>
        </w:tc>
        <w:tc>
          <w:tcPr>
            <w:tcW w:w="1785"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250</w:t>
            </w:r>
          </w:p>
        </w:tc>
        <w:tc>
          <w:tcPr>
            <w:tcW w:w="2549"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0.8×2</w:t>
            </w:r>
          </w:p>
        </w:tc>
        <w:tc>
          <w:tcPr>
            <w:tcW w:w="2024" w:type="dxa"/>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1</w:t>
            </w:r>
          </w:p>
        </w:tc>
      </w:tr>
    </w:tbl>
    <w:p>
      <w:pPr>
        <w:pStyle w:val="9"/>
        <w:ind w:firstLine="468"/>
        <w:rPr>
          <w:rFonts w:hint="eastAsia" w:ascii="宋体" w:hAnsi="宋体" w:cs="宋体"/>
          <w:sz w:val="21"/>
          <w:szCs w:val="21"/>
        </w:rPr>
        <w:sectPr>
          <w:pgSz w:w="11906" w:h="16838"/>
          <w:pgMar w:top="720" w:right="720" w:bottom="720" w:left="720" w:header="680" w:footer="567" w:gutter="0"/>
          <w:cols w:space="720" w:num="1"/>
          <w:docGrid w:linePitch="312" w:charSpace="0"/>
        </w:sectPr>
      </w:pPr>
    </w:p>
    <w:p>
      <w:pPr>
        <w:pStyle w:val="10"/>
        <w:spacing w:before="0" w:after="0"/>
        <w:jc w:val="both"/>
        <w:rPr>
          <w:rFonts w:hint="eastAsia" w:hAnsi="宋体"/>
          <w:b/>
          <w:color w:val="000000"/>
          <w:kern w:val="0"/>
          <w:highlight w:val="none"/>
        </w:rPr>
      </w:pPr>
      <w:r>
        <w:rPr>
          <w:rFonts w:hint="eastAsia" w:hAnsi="宋体"/>
          <w:color w:val="000000"/>
          <w:kern w:val="0"/>
          <w:sz w:val="21"/>
          <w:szCs w:val="21"/>
          <w:highlight w:val="none"/>
        </w:rPr>
        <w:t>附表二</w:t>
      </w:r>
      <w:r>
        <w:rPr>
          <w:rFonts w:hint="eastAsia" w:hAnsi="宋体"/>
          <w:b/>
          <w:color w:val="000000"/>
          <w:kern w:val="0"/>
          <w:highlight w:val="none"/>
        </w:rPr>
        <w:t xml:space="preserve">                          </w:t>
      </w:r>
    </w:p>
    <w:p>
      <w:pPr>
        <w:pStyle w:val="10"/>
        <w:jc w:val="center"/>
        <w:rPr>
          <w:rFonts w:hint="eastAsia" w:hAnsi="宋体"/>
          <w:b/>
          <w:color w:val="000000"/>
          <w:kern w:val="0"/>
          <w:sz w:val="32"/>
          <w:szCs w:val="32"/>
          <w:highlight w:val="none"/>
        </w:rPr>
      </w:pPr>
      <w:r>
        <w:rPr>
          <w:rFonts w:hint="eastAsia" w:hAnsi="宋体"/>
          <w:b/>
          <w:color w:val="000000"/>
          <w:kern w:val="0"/>
          <w:sz w:val="32"/>
          <w:szCs w:val="32"/>
          <w:highlight w:val="none"/>
        </w:rPr>
        <w:t>空调室外机设备招标要求统计表</w:t>
      </w:r>
    </w:p>
    <w:tbl>
      <w:tblPr>
        <w:tblStyle w:val="56"/>
        <w:tblW w:w="0" w:type="auto"/>
        <w:jc w:val="center"/>
        <w:tblLayout w:type="fixed"/>
        <w:tblCellMar>
          <w:top w:w="0" w:type="dxa"/>
          <w:left w:w="108" w:type="dxa"/>
          <w:bottom w:w="0" w:type="dxa"/>
          <w:right w:w="108" w:type="dxa"/>
        </w:tblCellMar>
      </w:tblPr>
      <w:tblGrid>
        <w:gridCol w:w="597"/>
        <w:gridCol w:w="1796"/>
        <w:gridCol w:w="991"/>
        <w:gridCol w:w="887"/>
        <w:gridCol w:w="778"/>
        <w:gridCol w:w="1519"/>
        <w:gridCol w:w="2041"/>
        <w:gridCol w:w="2072"/>
      </w:tblGrid>
      <w:tr>
        <w:tblPrEx>
          <w:tblCellMar>
            <w:top w:w="0" w:type="dxa"/>
            <w:left w:w="108" w:type="dxa"/>
            <w:bottom w:w="0" w:type="dxa"/>
            <w:right w:w="108" w:type="dxa"/>
          </w:tblCellMar>
        </w:tblPrEx>
        <w:trPr>
          <w:trHeight w:val="300" w:hRule="atLeast"/>
          <w:jc w:val="center"/>
        </w:trPr>
        <w:tc>
          <w:tcPr>
            <w:tcW w:w="597" w:type="dxa"/>
            <w:vMerge w:val="restart"/>
            <w:tcBorders>
              <w:top w:val="single" w:color="000000" w:sz="8" w:space="0"/>
              <w:left w:val="single" w:color="000000" w:sz="8" w:space="0"/>
              <w:bottom w:val="single" w:color="000000" w:sz="8" w:space="0"/>
              <w:right w:val="single" w:color="000000" w:sz="8" w:space="0"/>
            </w:tcBorders>
            <w:noWrap w:val="0"/>
            <w:vAlign w:val="center"/>
          </w:tcPr>
          <w:p>
            <w:pPr>
              <w:widowControl/>
              <w:jc w:val="center"/>
              <w:textAlignment w:val="center"/>
              <w:rPr>
                <w:rFonts w:hint="eastAsia" w:ascii="宋体" w:hAnsi="宋体" w:cs="宋体"/>
                <w:b/>
                <w:bCs/>
                <w:sz w:val="21"/>
                <w:szCs w:val="21"/>
              </w:rPr>
            </w:pPr>
            <w:r>
              <w:rPr>
                <w:rFonts w:hint="eastAsia" w:ascii="宋体" w:hAnsi="宋体" w:cs="宋体"/>
                <w:b/>
                <w:bCs/>
                <w:kern w:val="0"/>
                <w:sz w:val="21"/>
                <w:szCs w:val="21"/>
                <w:lang w:bidi="ar"/>
              </w:rPr>
              <w:t>序号</w:t>
            </w:r>
          </w:p>
        </w:tc>
        <w:tc>
          <w:tcPr>
            <w:tcW w:w="1796" w:type="dxa"/>
            <w:vMerge w:val="restart"/>
            <w:tcBorders>
              <w:top w:val="single" w:color="000000" w:sz="8" w:space="0"/>
              <w:left w:val="single" w:color="auto" w:sz="4" w:space="0"/>
              <w:bottom w:val="single" w:color="000000" w:sz="8" w:space="0"/>
              <w:right w:val="single" w:color="000000" w:sz="8" w:space="0"/>
            </w:tcBorders>
            <w:noWrap w:val="0"/>
            <w:vAlign w:val="center"/>
          </w:tcPr>
          <w:p>
            <w:pPr>
              <w:widowControl/>
              <w:jc w:val="center"/>
              <w:textAlignment w:val="center"/>
              <w:rPr>
                <w:rFonts w:hint="eastAsia" w:ascii="宋体" w:hAnsi="宋体" w:cs="宋体"/>
                <w:b/>
                <w:bCs/>
                <w:kern w:val="0"/>
                <w:sz w:val="21"/>
                <w:szCs w:val="21"/>
                <w:lang w:bidi="ar"/>
              </w:rPr>
            </w:pPr>
            <w:r>
              <w:rPr>
                <w:rFonts w:hint="eastAsia" w:ascii="宋体" w:hAnsi="宋体" w:cs="宋体"/>
                <w:b/>
                <w:bCs/>
                <w:kern w:val="0"/>
                <w:sz w:val="21"/>
                <w:szCs w:val="21"/>
                <w:lang w:bidi="ar"/>
              </w:rPr>
              <w:t>设备名称</w:t>
            </w:r>
          </w:p>
        </w:tc>
        <w:tc>
          <w:tcPr>
            <w:tcW w:w="8288" w:type="dxa"/>
            <w:gridSpan w:val="6"/>
            <w:tcBorders>
              <w:top w:val="single" w:color="000000" w:sz="8" w:space="0"/>
              <w:left w:val="nil"/>
              <w:bottom w:val="single" w:color="000000" w:sz="8" w:space="0"/>
              <w:right w:val="single" w:color="000000" w:sz="8" w:space="0"/>
            </w:tcBorders>
            <w:noWrap w:val="0"/>
            <w:vAlign w:val="center"/>
          </w:tcPr>
          <w:p>
            <w:pPr>
              <w:widowControl/>
              <w:jc w:val="center"/>
              <w:textAlignment w:val="center"/>
              <w:rPr>
                <w:rFonts w:hint="eastAsia" w:ascii="宋体" w:hAnsi="宋体" w:cs="宋体"/>
                <w:b/>
                <w:bCs/>
                <w:sz w:val="21"/>
                <w:szCs w:val="21"/>
              </w:rPr>
            </w:pPr>
            <w:r>
              <w:rPr>
                <w:rFonts w:hint="eastAsia" w:ascii="宋体" w:hAnsi="宋体" w:cs="宋体"/>
                <w:b/>
                <w:bCs/>
                <w:kern w:val="0"/>
                <w:sz w:val="21"/>
                <w:szCs w:val="21"/>
                <w:lang w:bidi="ar"/>
              </w:rPr>
              <w:t>设计规格</w:t>
            </w:r>
          </w:p>
        </w:tc>
      </w:tr>
      <w:tr>
        <w:tblPrEx>
          <w:tblCellMar>
            <w:top w:w="0" w:type="dxa"/>
            <w:left w:w="108" w:type="dxa"/>
            <w:bottom w:w="0" w:type="dxa"/>
            <w:right w:w="108" w:type="dxa"/>
          </w:tblCellMar>
        </w:tblPrEx>
        <w:trPr>
          <w:trHeight w:val="495" w:hRule="atLeast"/>
          <w:jc w:val="center"/>
        </w:trPr>
        <w:tc>
          <w:tcPr>
            <w:tcW w:w="597" w:type="dxa"/>
            <w:vMerge w:val="continue"/>
            <w:tcBorders>
              <w:top w:val="single" w:color="000000" w:sz="8" w:space="0"/>
              <w:left w:val="single" w:color="000000" w:sz="8" w:space="0"/>
              <w:bottom w:val="single" w:color="auto" w:sz="4" w:space="0"/>
              <w:right w:val="single" w:color="000000" w:sz="8" w:space="0"/>
            </w:tcBorders>
            <w:noWrap w:val="0"/>
            <w:vAlign w:val="center"/>
          </w:tcPr>
          <w:p>
            <w:pPr>
              <w:jc w:val="center"/>
              <w:rPr>
                <w:rFonts w:hint="eastAsia" w:ascii="宋体" w:hAnsi="宋体" w:cs="宋体"/>
                <w:b/>
                <w:bCs/>
                <w:sz w:val="21"/>
                <w:szCs w:val="21"/>
              </w:rPr>
            </w:pPr>
          </w:p>
        </w:tc>
        <w:tc>
          <w:tcPr>
            <w:tcW w:w="1796" w:type="dxa"/>
            <w:vMerge w:val="continue"/>
            <w:tcBorders>
              <w:top w:val="single" w:color="000000" w:sz="8" w:space="0"/>
              <w:left w:val="single" w:color="auto" w:sz="4" w:space="0"/>
              <w:bottom w:val="single" w:color="auto" w:sz="4" w:space="0"/>
              <w:right w:val="single" w:color="000000" w:sz="8" w:space="0"/>
            </w:tcBorders>
            <w:noWrap w:val="0"/>
            <w:vAlign w:val="center"/>
          </w:tcPr>
          <w:p>
            <w:pPr>
              <w:jc w:val="center"/>
              <w:rPr>
                <w:rFonts w:hint="eastAsia" w:ascii="宋体" w:hAnsi="宋体" w:cs="宋体"/>
                <w:b/>
                <w:bCs/>
                <w:sz w:val="21"/>
                <w:szCs w:val="21"/>
              </w:rPr>
            </w:pPr>
          </w:p>
        </w:tc>
        <w:tc>
          <w:tcPr>
            <w:tcW w:w="991" w:type="dxa"/>
            <w:tcBorders>
              <w:top w:val="nil"/>
              <w:left w:val="nil"/>
              <w:bottom w:val="single" w:color="auto" w:sz="4" w:space="0"/>
              <w:right w:val="single" w:color="000000" w:sz="8" w:space="0"/>
            </w:tcBorders>
            <w:noWrap w:val="0"/>
            <w:vAlign w:val="center"/>
          </w:tcPr>
          <w:p>
            <w:pPr>
              <w:widowControl/>
              <w:jc w:val="center"/>
              <w:textAlignment w:val="center"/>
              <w:rPr>
                <w:rFonts w:hint="eastAsia" w:ascii="宋体" w:hAnsi="宋体" w:cs="宋体"/>
                <w:b/>
                <w:bCs/>
                <w:kern w:val="0"/>
                <w:sz w:val="21"/>
                <w:szCs w:val="21"/>
                <w:lang w:bidi="ar"/>
              </w:rPr>
            </w:pPr>
            <w:r>
              <w:rPr>
                <w:rFonts w:hint="eastAsia" w:ascii="宋体" w:hAnsi="宋体" w:cs="宋体"/>
                <w:b/>
                <w:bCs/>
                <w:kern w:val="0"/>
                <w:sz w:val="21"/>
                <w:szCs w:val="21"/>
                <w:lang w:bidi="ar"/>
              </w:rPr>
              <w:t>制冷量(KW)</w:t>
            </w:r>
          </w:p>
        </w:tc>
        <w:tc>
          <w:tcPr>
            <w:tcW w:w="887" w:type="dxa"/>
            <w:tcBorders>
              <w:top w:val="nil"/>
              <w:left w:val="nil"/>
              <w:bottom w:val="single" w:color="auto" w:sz="4" w:space="0"/>
              <w:right w:val="single" w:color="000000" w:sz="8" w:space="0"/>
            </w:tcBorders>
            <w:noWrap w:val="0"/>
            <w:vAlign w:val="center"/>
          </w:tcPr>
          <w:p>
            <w:pPr>
              <w:widowControl/>
              <w:jc w:val="center"/>
              <w:textAlignment w:val="center"/>
              <w:rPr>
                <w:rFonts w:hint="eastAsia" w:ascii="宋体" w:hAnsi="宋体" w:cs="宋体"/>
                <w:b/>
                <w:bCs/>
                <w:sz w:val="21"/>
                <w:szCs w:val="21"/>
              </w:rPr>
            </w:pPr>
            <w:r>
              <w:rPr>
                <w:rFonts w:hint="eastAsia" w:ascii="宋体" w:hAnsi="宋体" w:cs="宋体"/>
                <w:b/>
                <w:bCs/>
                <w:kern w:val="0"/>
                <w:sz w:val="21"/>
                <w:szCs w:val="21"/>
                <w:lang w:bidi="ar"/>
              </w:rPr>
              <w:t>制热量(KW)</w:t>
            </w:r>
          </w:p>
        </w:tc>
        <w:tc>
          <w:tcPr>
            <w:tcW w:w="778" w:type="dxa"/>
            <w:tcBorders>
              <w:top w:val="single" w:color="000000" w:sz="8" w:space="0"/>
              <w:left w:val="nil"/>
              <w:bottom w:val="single" w:color="auto" w:sz="4" w:space="0"/>
              <w:right w:val="single" w:color="000000" w:sz="8" w:space="0"/>
            </w:tcBorders>
            <w:noWrap w:val="0"/>
            <w:vAlign w:val="center"/>
          </w:tcPr>
          <w:p>
            <w:pPr>
              <w:widowControl/>
              <w:jc w:val="center"/>
              <w:textAlignment w:val="center"/>
              <w:rPr>
                <w:rFonts w:hint="eastAsia" w:ascii="宋体" w:hAnsi="宋体" w:cs="宋体"/>
                <w:b/>
                <w:bCs/>
                <w:sz w:val="21"/>
                <w:szCs w:val="21"/>
              </w:rPr>
            </w:pPr>
            <w:r>
              <w:rPr>
                <w:rFonts w:hint="eastAsia" w:ascii="宋体" w:hAnsi="宋体" w:cs="宋体"/>
                <w:b/>
                <w:bCs/>
                <w:kern w:val="0"/>
                <w:sz w:val="21"/>
                <w:szCs w:val="21"/>
                <w:lang w:bidi="ar"/>
              </w:rPr>
              <w:t>数量（台）</w:t>
            </w:r>
          </w:p>
        </w:tc>
        <w:tc>
          <w:tcPr>
            <w:tcW w:w="1519" w:type="dxa"/>
            <w:tcBorders>
              <w:top w:val="single" w:color="000000" w:sz="8" w:space="0"/>
              <w:left w:val="nil"/>
              <w:bottom w:val="single" w:color="auto" w:sz="4" w:space="0"/>
              <w:right w:val="single" w:color="000000" w:sz="8" w:space="0"/>
            </w:tcBorders>
            <w:noWrap w:val="0"/>
            <w:vAlign w:val="center"/>
          </w:tcPr>
          <w:p>
            <w:pPr>
              <w:widowControl/>
              <w:jc w:val="center"/>
              <w:textAlignment w:val="center"/>
              <w:rPr>
                <w:rFonts w:hint="eastAsia" w:ascii="宋体" w:hAnsi="宋体" w:cs="宋体"/>
                <w:b/>
                <w:bCs/>
                <w:sz w:val="21"/>
                <w:szCs w:val="21"/>
              </w:rPr>
            </w:pPr>
            <w:r>
              <w:rPr>
                <w:rFonts w:hint="eastAsia" w:ascii="宋体" w:hAnsi="宋体" w:cs="宋体"/>
                <w:b/>
                <w:bCs/>
                <w:kern w:val="0"/>
                <w:sz w:val="21"/>
                <w:szCs w:val="21"/>
                <w:lang w:bidi="ar"/>
              </w:rPr>
              <w:t>制冷量合计（KW）</w:t>
            </w:r>
          </w:p>
        </w:tc>
        <w:tc>
          <w:tcPr>
            <w:tcW w:w="2041" w:type="dxa"/>
            <w:tcBorders>
              <w:top w:val="single" w:color="000000" w:sz="8" w:space="0"/>
              <w:left w:val="nil"/>
              <w:bottom w:val="single" w:color="auto" w:sz="4" w:space="0"/>
              <w:right w:val="single" w:color="000000" w:sz="8" w:space="0"/>
            </w:tcBorders>
            <w:noWrap w:val="0"/>
            <w:vAlign w:val="center"/>
          </w:tcPr>
          <w:p>
            <w:pPr>
              <w:widowControl/>
              <w:jc w:val="center"/>
              <w:textAlignment w:val="center"/>
              <w:rPr>
                <w:rFonts w:hint="eastAsia" w:ascii="宋体" w:hAnsi="宋体" w:cs="宋体"/>
                <w:b/>
                <w:bCs/>
                <w:sz w:val="21"/>
                <w:szCs w:val="21"/>
              </w:rPr>
            </w:pPr>
            <w:r>
              <w:rPr>
                <w:rFonts w:hint="eastAsia" w:ascii="宋体" w:hAnsi="宋体" w:cs="宋体"/>
                <w:b/>
                <w:bCs/>
                <w:kern w:val="0"/>
                <w:sz w:val="21"/>
                <w:szCs w:val="21"/>
                <w:lang w:bidi="ar"/>
              </w:rPr>
              <w:t>单台制冷最大耗电量（KW）</w:t>
            </w:r>
          </w:p>
        </w:tc>
        <w:tc>
          <w:tcPr>
            <w:tcW w:w="2072" w:type="dxa"/>
            <w:tcBorders>
              <w:top w:val="single" w:color="000000" w:sz="8" w:space="0"/>
              <w:left w:val="nil"/>
              <w:bottom w:val="single" w:color="auto" w:sz="4" w:space="0"/>
              <w:right w:val="single" w:color="000000" w:sz="8" w:space="0"/>
            </w:tcBorders>
            <w:noWrap w:val="0"/>
            <w:vAlign w:val="center"/>
          </w:tcPr>
          <w:p>
            <w:pPr>
              <w:widowControl/>
              <w:jc w:val="center"/>
              <w:textAlignment w:val="center"/>
              <w:rPr>
                <w:rFonts w:hint="eastAsia" w:ascii="宋体" w:hAnsi="宋体" w:cs="宋体"/>
                <w:b/>
                <w:bCs/>
                <w:sz w:val="21"/>
                <w:szCs w:val="21"/>
              </w:rPr>
            </w:pPr>
            <w:r>
              <w:rPr>
                <w:rFonts w:hint="eastAsia" w:ascii="宋体" w:hAnsi="宋体" w:cs="宋体"/>
                <w:b/>
                <w:bCs/>
                <w:kern w:val="0"/>
                <w:sz w:val="21"/>
                <w:szCs w:val="21"/>
                <w:lang w:bidi="ar"/>
              </w:rPr>
              <w:t>合计制冷最大耗电量（KW）</w:t>
            </w:r>
          </w:p>
        </w:tc>
      </w:tr>
      <w:tr>
        <w:tblPrEx>
          <w:tblCellMar>
            <w:top w:w="0" w:type="dxa"/>
            <w:left w:w="108" w:type="dxa"/>
            <w:bottom w:w="0" w:type="dxa"/>
            <w:right w:w="108" w:type="dxa"/>
          </w:tblCellMar>
        </w:tblPrEx>
        <w:trPr>
          <w:trHeight w:val="1183" w:hRule="atLeast"/>
          <w:jc w:val="center"/>
        </w:trPr>
        <w:tc>
          <w:tcPr>
            <w:tcW w:w="597" w:type="dxa"/>
            <w:tcBorders>
              <w:top w:val="single" w:color="auto" w:sz="4" w:space="0"/>
              <w:left w:val="single" w:color="auto" w:sz="4" w:space="0"/>
              <w:bottom w:val="single" w:color="000000" w:sz="8" w:space="0"/>
              <w:right w:val="single" w:color="000000" w:sz="8" w:space="0"/>
            </w:tcBorders>
            <w:noWrap w:val="0"/>
            <w:vAlign w:val="center"/>
          </w:tcPr>
          <w:p>
            <w:pPr>
              <w:widowControl/>
              <w:jc w:val="center"/>
              <w:textAlignment w:val="center"/>
              <w:rPr>
                <w:rFonts w:hint="eastAsia" w:ascii="宋体" w:hAnsi="宋体" w:cs="宋体"/>
                <w:b/>
                <w:bCs/>
                <w:sz w:val="21"/>
                <w:szCs w:val="21"/>
              </w:rPr>
            </w:pPr>
            <w:r>
              <w:rPr>
                <w:rFonts w:hint="eastAsia" w:ascii="宋体" w:hAnsi="宋体" w:cs="宋体"/>
                <w:b/>
                <w:bCs/>
                <w:kern w:val="0"/>
                <w:sz w:val="21"/>
                <w:szCs w:val="21"/>
                <w:lang w:bidi="ar"/>
              </w:rPr>
              <w:t>1</w:t>
            </w:r>
          </w:p>
        </w:tc>
        <w:tc>
          <w:tcPr>
            <w:tcW w:w="1796" w:type="dxa"/>
            <w:tcBorders>
              <w:top w:val="single" w:color="auto" w:sz="4" w:space="0"/>
              <w:left w:val="nil"/>
              <w:bottom w:val="single" w:color="000000" w:sz="8" w:space="0"/>
              <w:right w:val="single" w:color="000000" w:sz="8" w:space="0"/>
            </w:tcBorders>
            <w:noWrap w:val="0"/>
            <w:vAlign w:val="center"/>
          </w:tcPr>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多联机空调外机</w:t>
            </w:r>
          </w:p>
          <w:p>
            <w:pPr>
              <w:widowControl/>
              <w:jc w:val="center"/>
              <w:textAlignment w:val="center"/>
              <w:rPr>
                <w:rFonts w:hint="eastAsia" w:ascii="宋体" w:hAnsi="宋体" w:cs="宋体"/>
                <w:sz w:val="21"/>
                <w:szCs w:val="21"/>
              </w:rPr>
            </w:pPr>
            <w:r>
              <w:rPr>
                <w:rFonts w:hint="eastAsia" w:ascii="宋体" w:hAnsi="宋体" w:cs="宋体"/>
                <w:kern w:val="0"/>
                <w:sz w:val="21"/>
                <w:szCs w:val="21"/>
                <w:lang w:bidi="ar"/>
              </w:rPr>
              <w:t>制冷量67.2KW</w:t>
            </w:r>
          </w:p>
          <w:p>
            <w:pPr>
              <w:widowControl/>
              <w:jc w:val="center"/>
              <w:textAlignment w:val="center"/>
              <w:rPr>
                <w:rFonts w:hint="eastAsia" w:ascii="宋体" w:hAnsi="宋体" w:cs="宋体"/>
                <w:sz w:val="21"/>
                <w:szCs w:val="21"/>
              </w:rPr>
            </w:pPr>
            <w:r>
              <w:rPr>
                <w:rFonts w:hint="eastAsia" w:ascii="宋体" w:hAnsi="宋体" w:cs="宋体"/>
                <w:kern w:val="0"/>
                <w:sz w:val="21"/>
                <w:szCs w:val="21"/>
                <w:lang w:bidi="ar"/>
              </w:rPr>
              <w:t>制热量75.6KW</w:t>
            </w:r>
          </w:p>
          <w:p>
            <w:pPr>
              <w:widowControl/>
              <w:jc w:val="center"/>
              <w:textAlignment w:val="center"/>
              <w:rPr>
                <w:rFonts w:hint="eastAsia" w:ascii="宋体" w:hAnsi="宋体" w:cs="宋体"/>
                <w:sz w:val="21"/>
                <w:szCs w:val="21"/>
              </w:rPr>
            </w:pPr>
            <w:r>
              <w:rPr>
                <w:rFonts w:hint="eastAsia" w:ascii="宋体" w:hAnsi="宋体" w:cs="宋体"/>
                <w:kern w:val="0"/>
                <w:sz w:val="21"/>
                <w:szCs w:val="21"/>
                <w:lang w:bidi="ar"/>
              </w:rPr>
              <w:t>输出功率 17.1KW</w:t>
            </w:r>
          </w:p>
        </w:tc>
        <w:tc>
          <w:tcPr>
            <w:tcW w:w="991" w:type="dxa"/>
            <w:tcBorders>
              <w:top w:val="single" w:color="auto" w:sz="4" w:space="0"/>
              <w:left w:val="nil"/>
              <w:bottom w:val="single" w:color="000000" w:sz="8" w:space="0"/>
              <w:right w:val="single" w:color="000000" w:sz="8"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67.2</w:t>
            </w:r>
          </w:p>
        </w:tc>
        <w:tc>
          <w:tcPr>
            <w:tcW w:w="887" w:type="dxa"/>
            <w:tcBorders>
              <w:top w:val="single" w:color="auto" w:sz="4" w:space="0"/>
              <w:left w:val="nil"/>
              <w:bottom w:val="single" w:color="000000" w:sz="8" w:space="0"/>
              <w:right w:val="single" w:color="000000" w:sz="8"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75.6</w:t>
            </w:r>
          </w:p>
        </w:tc>
        <w:tc>
          <w:tcPr>
            <w:tcW w:w="778" w:type="dxa"/>
            <w:tcBorders>
              <w:top w:val="single" w:color="auto" w:sz="4" w:space="0"/>
              <w:left w:val="nil"/>
              <w:bottom w:val="single" w:color="000000" w:sz="8" w:space="0"/>
              <w:right w:val="single" w:color="000000" w:sz="8" w:space="0"/>
            </w:tcBorders>
            <w:noWrap w:val="0"/>
            <w:vAlign w:val="center"/>
          </w:tcPr>
          <w:p>
            <w:pPr>
              <w:widowControl/>
              <w:jc w:val="center"/>
              <w:textAlignment w:val="center"/>
              <w:rPr>
                <w:rFonts w:hint="eastAsia" w:ascii="宋体" w:hAnsi="宋体" w:cs="宋体"/>
                <w:sz w:val="21"/>
                <w:szCs w:val="21"/>
              </w:rPr>
            </w:pPr>
            <w:r>
              <w:rPr>
                <w:rFonts w:hint="eastAsia" w:ascii="宋体" w:hAnsi="宋体" w:cs="宋体"/>
                <w:kern w:val="0"/>
                <w:sz w:val="21"/>
                <w:szCs w:val="21"/>
                <w:lang w:bidi="ar"/>
              </w:rPr>
              <w:t>1</w:t>
            </w:r>
          </w:p>
        </w:tc>
        <w:tc>
          <w:tcPr>
            <w:tcW w:w="1519" w:type="dxa"/>
            <w:tcBorders>
              <w:top w:val="single" w:color="auto" w:sz="4" w:space="0"/>
              <w:left w:val="nil"/>
              <w:bottom w:val="single" w:color="000000" w:sz="8" w:space="0"/>
              <w:right w:val="single" w:color="000000" w:sz="8"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67.2</w:t>
            </w:r>
          </w:p>
        </w:tc>
        <w:tc>
          <w:tcPr>
            <w:tcW w:w="2041" w:type="dxa"/>
            <w:tcBorders>
              <w:top w:val="single" w:color="auto" w:sz="4" w:space="0"/>
              <w:left w:val="nil"/>
              <w:bottom w:val="single" w:color="000000" w:sz="8" w:space="0"/>
              <w:right w:val="single" w:color="000000" w:sz="8"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17.1</w:t>
            </w:r>
          </w:p>
        </w:tc>
        <w:tc>
          <w:tcPr>
            <w:tcW w:w="2072" w:type="dxa"/>
            <w:tcBorders>
              <w:top w:val="single" w:color="auto" w:sz="4" w:space="0"/>
              <w:left w:val="nil"/>
              <w:bottom w:val="single" w:color="000000" w:sz="8"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17.1</w:t>
            </w:r>
          </w:p>
        </w:tc>
      </w:tr>
      <w:tr>
        <w:tblPrEx>
          <w:tblCellMar>
            <w:top w:w="0" w:type="dxa"/>
            <w:left w:w="108" w:type="dxa"/>
            <w:bottom w:w="0" w:type="dxa"/>
            <w:right w:w="108" w:type="dxa"/>
          </w:tblCellMar>
        </w:tblPrEx>
        <w:trPr>
          <w:trHeight w:val="90" w:hRule="atLeast"/>
          <w:jc w:val="center"/>
        </w:trPr>
        <w:tc>
          <w:tcPr>
            <w:tcW w:w="597" w:type="dxa"/>
            <w:tcBorders>
              <w:top w:val="nil"/>
              <w:left w:val="single" w:color="auto" w:sz="4" w:space="0"/>
              <w:bottom w:val="single" w:color="000000" w:sz="8" w:space="0"/>
              <w:right w:val="single" w:color="000000" w:sz="8" w:space="0"/>
            </w:tcBorders>
            <w:noWrap w:val="0"/>
            <w:vAlign w:val="center"/>
          </w:tcPr>
          <w:p>
            <w:pPr>
              <w:widowControl/>
              <w:jc w:val="center"/>
              <w:textAlignment w:val="center"/>
              <w:rPr>
                <w:rFonts w:hint="eastAsia" w:ascii="宋体" w:hAnsi="宋体" w:cs="宋体"/>
                <w:b/>
                <w:bCs/>
                <w:sz w:val="21"/>
                <w:szCs w:val="21"/>
              </w:rPr>
            </w:pPr>
            <w:r>
              <w:rPr>
                <w:rFonts w:hint="eastAsia" w:ascii="宋体" w:hAnsi="宋体" w:cs="宋体"/>
                <w:b/>
                <w:bCs/>
                <w:kern w:val="0"/>
                <w:sz w:val="21"/>
                <w:szCs w:val="21"/>
                <w:lang w:bidi="ar"/>
              </w:rPr>
              <w:t>2</w:t>
            </w:r>
          </w:p>
        </w:tc>
        <w:tc>
          <w:tcPr>
            <w:tcW w:w="1796" w:type="dxa"/>
            <w:tcBorders>
              <w:top w:val="nil"/>
              <w:left w:val="nil"/>
              <w:bottom w:val="single" w:color="000000" w:sz="8" w:space="0"/>
              <w:right w:val="single" w:color="000000" w:sz="8" w:space="0"/>
            </w:tcBorders>
            <w:noWrap w:val="0"/>
            <w:vAlign w:val="center"/>
          </w:tcPr>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多联机空调外机</w:t>
            </w:r>
          </w:p>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制冷量78.6KW</w:t>
            </w:r>
          </w:p>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制热量88.2KW</w:t>
            </w:r>
          </w:p>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输出功率20.68KW</w:t>
            </w:r>
          </w:p>
        </w:tc>
        <w:tc>
          <w:tcPr>
            <w:tcW w:w="991" w:type="dxa"/>
            <w:tcBorders>
              <w:top w:val="nil"/>
              <w:left w:val="nil"/>
              <w:bottom w:val="single" w:color="000000" w:sz="8" w:space="0"/>
              <w:right w:val="single" w:color="000000" w:sz="8"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78.6</w:t>
            </w:r>
          </w:p>
        </w:tc>
        <w:tc>
          <w:tcPr>
            <w:tcW w:w="887" w:type="dxa"/>
            <w:tcBorders>
              <w:top w:val="nil"/>
              <w:left w:val="nil"/>
              <w:bottom w:val="single" w:color="000000" w:sz="8" w:space="0"/>
              <w:right w:val="single" w:color="000000" w:sz="8"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88.2</w:t>
            </w:r>
          </w:p>
        </w:tc>
        <w:tc>
          <w:tcPr>
            <w:tcW w:w="778" w:type="dxa"/>
            <w:tcBorders>
              <w:top w:val="nil"/>
              <w:left w:val="nil"/>
              <w:bottom w:val="single" w:color="000000" w:sz="8" w:space="0"/>
              <w:right w:val="single" w:color="000000" w:sz="8" w:space="0"/>
            </w:tcBorders>
            <w:noWrap w:val="0"/>
            <w:vAlign w:val="center"/>
          </w:tcPr>
          <w:p>
            <w:pPr>
              <w:widowControl/>
              <w:jc w:val="center"/>
              <w:textAlignment w:val="center"/>
              <w:rPr>
                <w:rFonts w:hint="eastAsia" w:ascii="宋体" w:hAnsi="宋体" w:cs="宋体"/>
                <w:sz w:val="21"/>
                <w:szCs w:val="21"/>
              </w:rPr>
            </w:pPr>
            <w:r>
              <w:rPr>
                <w:rFonts w:hint="eastAsia" w:ascii="宋体" w:hAnsi="宋体" w:cs="宋体"/>
                <w:kern w:val="0"/>
                <w:sz w:val="21"/>
                <w:szCs w:val="21"/>
                <w:lang w:bidi="ar"/>
              </w:rPr>
              <w:t>2</w:t>
            </w:r>
          </w:p>
        </w:tc>
        <w:tc>
          <w:tcPr>
            <w:tcW w:w="1519" w:type="dxa"/>
            <w:tcBorders>
              <w:top w:val="nil"/>
              <w:left w:val="nil"/>
              <w:bottom w:val="single" w:color="000000" w:sz="8" w:space="0"/>
              <w:right w:val="single" w:color="000000" w:sz="8"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157.2</w:t>
            </w:r>
          </w:p>
        </w:tc>
        <w:tc>
          <w:tcPr>
            <w:tcW w:w="2041" w:type="dxa"/>
            <w:tcBorders>
              <w:top w:val="nil"/>
              <w:left w:val="nil"/>
              <w:bottom w:val="single" w:color="000000" w:sz="8" w:space="0"/>
              <w:right w:val="single" w:color="000000" w:sz="8"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20.68</w:t>
            </w:r>
          </w:p>
        </w:tc>
        <w:tc>
          <w:tcPr>
            <w:tcW w:w="2072" w:type="dxa"/>
            <w:tcBorders>
              <w:top w:val="single" w:color="000000" w:sz="8" w:space="0"/>
              <w:left w:val="nil"/>
              <w:bottom w:val="single" w:color="000000" w:sz="8"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41.36</w:t>
            </w:r>
          </w:p>
        </w:tc>
      </w:tr>
      <w:tr>
        <w:tblPrEx>
          <w:tblCellMar>
            <w:top w:w="0" w:type="dxa"/>
            <w:left w:w="108" w:type="dxa"/>
            <w:bottom w:w="0" w:type="dxa"/>
            <w:right w:w="108" w:type="dxa"/>
          </w:tblCellMar>
        </w:tblPrEx>
        <w:trPr>
          <w:trHeight w:val="1144" w:hRule="atLeast"/>
          <w:jc w:val="center"/>
        </w:trPr>
        <w:tc>
          <w:tcPr>
            <w:tcW w:w="597" w:type="dxa"/>
            <w:tcBorders>
              <w:top w:val="nil"/>
              <w:left w:val="single" w:color="auto" w:sz="4" w:space="0"/>
              <w:bottom w:val="single" w:color="000000" w:sz="8" w:space="0"/>
              <w:right w:val="single" w:color="000000" w:sz="8" w:space="0"/>
            </w:tcBorders>
            <w:noWrap w:val="0"/>
            <w:vAlign w:val="center"/>
          </w:tcPr>
          <w:p>
            <w:pPr>
              <w:widowControl/>
              <w:jc w:val="center"/>
              <w:textAlignment w:val="center"/>
              <w:rPr>
                <w:rFonts w:hint="eastAsia" w:ascii="宋体" w:hAnsi="宋体" w:cs="宋体"/>
                <w:b/>
                <w:bCs/>
                <w:sz w:val="21"/>
                <w:szCs w:val="21"/>
              </w:rPr>
            </w:pPr>
            <w:r>
              <w:rPr>
                <w:rFonts w:hint="eastAsia" w:ascii="宋体" w:hAnsi="宋体" w:cs="宋体"/>
                <w:b/>
                <w:bCs/>
                <w:kern w:val="0"/>
                <w:sz w:val="21"/>
                <w:szCs w:val="21"/>
                <w:lang w:bidi="ar"/>
              </w:rPr>
              <w:t>3</w:t>
            </w:r>
          </w:p>
        </w:tc>
        <w:tc>
          <w:tcPr>
            <w:tcW w:w="1796" w:type="dxa"/>
            <w:tcBorders>
              <w:top w:val="nil"/>
              <w:left w:val="nil"/>
              <w:bottom w:val="single" w:color="000000" w:sz="8" w:space="0"/>
              <w:right w:val="single" w:color="000000" w:sz="8" w:space="0"/>
            </w:tcBorders>
            <w:noWrap w:val="0"/>
            <w:vAlign w:val="center"/>
          </w:tcPr>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多联机空调外机</w:t>
            </w:r>
          </w:p>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制冷量86KW</w:t>
            </w:r>
          </w:p>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制热量96KW</w:t>
            </w:r>
          </w:p>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输出功率22.32KW</w:t>
            </w:r>
          </w:p>
        </w:tc>
        <w:tc>
          <w:tcPr>
            <w:tcW w:w="991" w:type="dxa"/>
            <w:tcBorders>
              <w:top w:val="nil"/>
              <w:left w:val="nil"/>
              <w:bottom w:val="single" w:color="000000" w:sz="8" w:space="0"/>
              <w:right w:val="single" w:color="000000" w:sz="8"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86</w:t>
            </w:r>
          </w:p>
        </w:tc>
        <w:tc>
          <w:tcPr>
            <w:tcW w:w="887" w:type="dxa"/>
            <w:tcBorders>
              <w:top w:val="nil"/>
              <w:left w:val="nil"/>
              <w:bottom w:val="single" w:color="000000" w:sz="8" w:space="0"/>
              <w:right w:val="single" w:color="000000" w:sz="8"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96</w:t>
            </w:r>
          </w:p>
        </w:tc>
        <w:tc>
          <w:tcPr>
            <w:tcW w:w="778" w:type="dxa"/>
            <w:tcBorders>
              <w:top w:val="nil"/>
              <w:left w:val="nil"/>
              <w:bottom w:val="single" w:color="000000" w:sz="8" w:space="0"/>
              <w:right w:val="single" w:color="000000" w:sz="8" w:space="0"/>
            </w:tcBorders>
            <w:noWrap w:val="0"/>
            <w:vAlign w:val="center"/>
          </w:tcPr>
          <w:p>
            <w:pPr>
              <w:widowControl/>
              <w:jc w:val="center"/>
              <w:textAlignment w:val="center"/>
              <w:rPr>
                <w:rFonts w:hint="eastAsia" w:ascii="宋体" w:hAnsi="宋体" w:cs="宋体"/>
                <w:sz w:val="21"/>
                <w:szCs w:val="21"/>
              </w:rPr>
            </w:pPr>
            <w:r>
              <w:rPr>
                <w:rFonts w:hint="eastAsia" w:ascii="宋体" w:hAnsi="宋体" w:cs="宋体"/>
                <w:kern w:val="0"/>
                <w:sz w:val="21"/>
                <w:szCs w:val="21"/>
                <w:lang w:bidi="ar"/>
              </w:rPr>
              <w:t>1</w:t>
            </w:r>
          </w:p>
        </w:tc>
        <w:tc>
          <w:tcPr>
            <w:tcW w:w="1519" w:type="dxa"/>
            <w:tcBorders>
              <w:top w:val="nil"/>
              <w:left w:val="nil"/>
              <w:bottom w:val="single" w:color="000000" w:sz="8" w:space="0"/>
              <w:right w:val="single" w:color="000000" w:sz="8"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86</w:t>
            </w:r>
          </w:p>
        </w:tc>
        <w:tc>
          <w:tcPr>
            <w:tcW w:w="2041" w:type="dxa"/>
            <w:tcBorders>
              <w:top w:val="nil"/>
              <w:left w:val="nil"/>
              <w:bottom w:val="single" w:color="000000" w:sz="8" w:space="0"/>
              <w:right w:val="single" w:color="000000" w:sz="8"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22.32</w:t>
            </w:r>
          </w:p>
        </w:tc>
        <w:tc>
          <w:tcPr>
            <w:tcW w:w="2072" w:type="dxa"/>
            <w:tcBorders>
              <w:top w:val="single" w:color="000000" w:sz="8" w:space="0"/>
              <w:left w:val="nil"/>
              <w:bottom w:val="single" w:color="000000" w:sz="8"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22.32</w:t>
            </w:r>
          </w:p>
        </w:tc>
      </w:tr>
      <w:tr>
        <w:tblPrEx>
          <w:tblCellMar>
            <w:top w:w="0" w:type="dxa"/>
            <w:left w:w="108" w:type="dxa"/>
            <w:bottom w:w="0" w:type="dxa"/>
            <w:right w:w="108" w:type="dxa"/>
          </w:tblCellMar>
        </w:tblPrEx>
        <w:trPr>
          <w:trHeight w:val="983" w:hRule="atLeast"/>
          <w:jc w:val="center"/>
        </w:trPr>
        <w:tc>
          <w:tcPr>
            <w:tcW w:w="597" w:type="dxa"/>
            <w:tcBorders>
              <w:top w:val="nil"/>
              <w:left w:val="single" w:color="auto" w:sz="4" w:space="0"/>
              <w:bottom w:val="single" w:color="000000" w:sz="8" w:space="0"/>
              <w:right w:val="single" w:color="000000" w:sz="8" w:space="0"/>
            </w:tcBorders>
            <w:noWrap w:val="0"/>
            <w:vAlign w:val="center"/>
          </w:tcPr>
          <w:p>
            <w:pPr>
              <w:widowControl/>
              <w:jc w:val="center"/>
              <w:textAlignment w:val="center"/>
              <w:rPr>
                <w:rFonts w:hint="eastAsia" w:ascii="宋体" w:hAnsi="宋体" w:cs="宋体"/>
                <w:b/>
                <w:bCs/>
                <w:sz w:val="21"/>
                <w:szCs w:val="21"/>
              </w:rPr>
            </w:pPr>
            <w:r>
              <w:rPr>
                <w:rFonts w:hint="eastAsia" w:ascii="宋体" w:hAnsi="宋体" w:cs="宋体"/>
                <w:b/>
                <w:bCs/>
                <w:kern w:val="0"/>
                <w:sz w:val="21"/>
                <w:szCs w:val="21"/>
                <w:lang w:bidi="ar"/>
              </w:rPr>
              <w:t>4</w:t>
            </w:r>
          </w:p>
        </w:tc>
        <w:tc>
          <w:tcPr>
            <w:tcW w:w="1796" w:type="dxa"/>
            <w:tcBorders>
              <w:top w:val="nil"/>
              <w:left w:val="nil"/>
              <w:bottom w:val="single" w:color="000000" w:sz="8" w:space="0"/>
              <w:right w:val="single" w:color="000000" w:sz="8" w:space="0"/>
            </w:tcBorders>
            <w:noWrap w:val="0"/>
            <w:vAlign w:val="center"/>
          </w:tcPr>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多联机空调外机</w:t>
            </w:r>
          </w:p>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制冷量92.2KW</w:t>
            </w:r>
          </w:p>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制热量103.6KW</w:t>
            </w:r>
          </w:p>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输出功率23.05KW</w:t>
            </w:r>
          </w:p>
        </w:tc>
        <w:tc>
          <w:tcPr>
            <w:tcW w:w="991" w:type="dxa"/>
            <w:tcBorders>
              <w:top w:val="nil"/>
              <w:left w:val="nil"/>
              <w:bottom w:val="single" w:color="000000" w:sz="8" w:space="0"/>
              <w:right w:val="single" w:color="000000" w:sz="8"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92.2</w:t>
            </w:r>
          </w:p>
        </w:tc>
        <w:tc>
          <w:tcPr>
            <w:tcW w:w="887" w:type="dxa"/>
            <w:tcBorders>
              <w:top w:val="nil"/>
              <w:left w:val="nil"/>
              <w:bottom w:val="single" w:color="000000" w:sz="8" w:space="0"/>
              <w:right w:val="single" w:color="000000" w:sz="8"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103.6</w:t>
            </w:r>
          </w:p>
        </w:tc>
        <w:tc>
          <w:tcPr>
            <w:tcW w:w="778" w:type="dxa"/>
            <w:tcBorders>
              <w:top w:val="nil"/>
              <w:left w:val="nil"/>
              <w:bottom w:val="single" w:color="000000" w:sz="8" w:space="0"/>
              <w:right w:val="single" w:color="000000" w:sz="8" w:space="0"/>
            </w:tcBorders>
            <w:noWrap w:val="0"/>
            <w:vAlign w:val="center"/>
          </w:tcPr>
          <w:p>
            <w:pPr>
              <w:widowControl/>
              <w:jc w:val="center"/>
              <w:textAlignment w:val="center"/>
              <w:rPr>
                <w:rFonts w:hint="eastAsia" w:ascii="宋体" w:hAnsi="宋体" w:cs="宋体"/>
                <w:sz w:val="21"/>
                <w:szCs w:val="21"/>
              </w:rPr>
            </w:pPr>
            <w:r>
              <w:rPr>
                <w:rFonts w:hint="eastAsia" w:ascii="宋体" w:hAnsi="宋体" w:cs="宋体"/>
                <w:kern w:val="0"/>
                <w:sz w:val="21"/>
                <w:szCs w:val="21"/>
                <w:lang w:bidi="ar"/>
              </w:rPr>
              <w:t>2</w:t>
            </w:r>
          </w:p>
        </w:tc>
        <w:tc>
          <w:tcPr>
            <w:tcW w:w="1519" w:type="dxa"/>
            <w:tcBorders>
              <w:top w:val="nil"/>
              <w:left w:val="nil"/>
              <w:bottom w:val="single" w:color="000000" w:sz="8" w:space="0"/>
              <w:right w:val="single" w:color="000000" w:sz="8"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184.4</w:t>
            </w:r>
          </w:p>
        </w:tc>
        <w:tc>
          <w:tcPr>
            <w:tcW w:w="2041" w:type="dxa"/>
            <w:tcBorders>
              <w:top w:val="nil"/>
              <w:left w:val="nil"/>
              <w:bottom w:val="single" w:color="000000" w:sz="8" w:space="0"/>
              <w:right w:val="single" w:color="000000" w:sz="8"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23.05</w:t>
            </w:r>
          </w:p>
        </w:tc>
        <w:tc>
          <w:tcPr>
            <w:tcW w:w="2072" w:type="dxa"/>
            <w:tcBorders>
              <w:top w:val="single" w:color="000000" w:sz="8" w:space="0"/>
              <w:left w:val="nil"/>
              <w:bottom w:val="single" w:color="000000" w:sz="8"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46.1</w:t>
            </w:r>
          </w:p>
        </w:tc>
      </w:tr>
      <w:tr>
        <w:tblPrEx>
          <w:tblCellMar>
            <w:top w:w="0" w:type="dxa"/>
            <w:left w:w="108" w:type="dxa"/>
            <w:bottom w:w="0" w:type="dxa"/>
            <w:right w:w="108" w:type="dxa"/>
          </w:tblCellMar>
        </w:tblPrEx>
        <w:trPr>
          <w:trHeight w:val="918" w:hRule="atLeast"/>
          <w:jc w:val="center"/>
        </w:trPr>
        <w:tc>
          <w:tcPr>
            <w:tcW w:w="597" w:type="dxa"/>
            <w:tcBorders>
              <w:top w:val="nil"/>
              <w:left w:val="single" w:color="auto" w:sz="4" w:space="0"/>
              <w:bottom w:val="single" w:color="auto" w:sz="4" w:space="0"/>
              <w:right w:val="single" w:color="000000" w:sz="8" w:space="0"/>
            </w:tcBorders>
            <w:noWrap w:val="0"/>
            <w:vAlign w:val="center"/>
          </w:tcPr>
          <w:p>
            <w:pPr>
              <w:widowControl/>
              <w:jc w:val="center"/>
              <w:textAlignment w:val="center"/>
              <w:rPr>
                <w:rFonts w:hint="eastAsia" w:ascii="宋体" w:hAnsi="宋体" w:cs="宋体"/>
                <w:b/>
                <w:bCs/>
                <w:sz w:val="21"/>
                <w:szCs w:val="21"/>
              </w:rPr>
            </w:pPr>
            <w:r>
              <w:rPr>
                <w:rFonts w:hint="eastAsia" w:ascii="宋体" w:hAnsi="宋体" w:cs="宋体"/>
                <w:b/>
                <w:bCs/>
                <w:kern w:val="0"/>
                <w:sz w:val="21"/>
                <w:szCs w:val="21"/>
                <w:lang w:bidi="ar"/>
              </w:rPr>
              <w:t>5</w:t>
            </w:r>
          </w:p>
        </w:tc>
        <w:tc>
          <w:tcPr>
            <w:tcW w:w="1796" w:type="dxa"/>
            <w:tcBorders>
              <w:top w:val="nil"/>
              <w:left w:val="nil"/>
              <w:bottom w:val="single" w:color="auto" w:sz="4" w:space="0"/>
              <w:right w:val="single" w:color="000000" w:sz="8" w:space="0"/>
            </w:tcBorders>
            <w:noWrap w:val="0"/>
            <w:vAlign w:val="center"/>
          </w:tcPr>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多联机空调外机</w:t>
            </w:r>
          </w:p>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制冷量103.6KW</w:t>
            </w:r>
          </w:p>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制热量116.2KW</w:t>
            </w:r>
          </w:p>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输出功率26.63KW</w:t>
            </w:r>
          </w:p>
        </w:tc>
        <w:tc>
          <w:tcPr>
            <w:tcW w:w="991" w:type="dxa"/>
            <w:tcBorders>
              <w:top w:val="nil"/>
              <w:left w:val="nil"/>
              <w:bottom w:val="single" w:color="auto" w:sz="4" w:space="0"/>
              <w:right w:val="single" w:color="000000" w:sz="8"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103.6</w:t>
            </w:r>
          </w:p>
        </w:tc>
        <w:tc>
          <w:tcPr>
            <w:tcW w:w="887" w:type="dxa"/>
            <w:tcBorders>
              <w:top w:val="nil"/>
              <w:left w:val="nil"/>
              <w:bottom w:val="single" w:color="auto" w:sz="4" w:space="0"/>
              <w:right w:val="single" w:color="000000" w:sz="8"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116.2</w:t>
            </w:r>
          </w:p>
        </w:tc>
        <w:tc>
          <w:tcPr>
            <w:tcW w:w="778" w:type="dxa"/>
            <w:tcBorders>
              <w:top w:val="nil"/>
              <w:left w:val="nil"/>
              <w:bottom w:val="single" w:color="auto" w:sz="4" w:space="0"/>
              <w:right w:val="single" w:color="000000" w:sz="8" w:space="0"/>
            </w:tcBorders>
            <w:noWrap w:val="0"/>
            <w:vAlign w:val="center"/>
          </w:tcPr>
          <w:p>
            <w:pPr>
              <w:widowControl/>
              <w:jc w:val="center"/>
              <w:textAlignment w:val="center"/>
              <w:rPr>
                <w:rFonts w:hint="eastAsia" w:ascii="宋体" w:hAnsi="宋体" w:cs="宋体"/>
                <w:sz w:val="21"/>
                <w:szCs w:val="21"/>
              </w:rPr>
            </w:pPr>
            <w:r>
              <w:rPr>
                <w:rFonts w:hint="eastAsia" w:ascii="宋体" w:hAnsi="宋体" w:cs="宋体"/>
                <w:kern w:val="0"/>
                <w:sz w:val="21"/>
                <w:szCs w:val="21"/>
                <w:lang w:bidi="ar"/>
              </w:rPr>
              <w:t>4</w:t>
            </w:r>
          </w:p>
        </w:tc>
        <w:tc>
          <w:tcPr>
            <w:tcW w:w="1519" w:type="dxa"/>
            <w:tcBorders>
              <w:top w:val="nil"/>
              <w:left w:val="nil"/>
              <w:bottom w:val="single" w:color="auto" w:sz="4" w:space="0"/>
              <w:right w:val="single" w:color="000000" w:sz="8"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414.4</w:t>
            </w:r>
          </w:p>
        </w:tc>
        <w:tc>
          <w:tcPr>
            <w:tcW w:w="2041" w:type="dxa"/>
            <w:tcBorders>
              <w:top w:val="nil"/>
              <w:left w:val="nil"/>
              <w:bottom w:val="single" w:color="auto" w:sz="4" w:space="0"/>
              <w:right w:val="single" w:color="000000" w:sz="8"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26.63</w:t>
            </w:r>
          </w:p>
        </w:tc>
        <w:tc>
          <w:tcPr>
            <w:tcW w:w="2072" w:type="dxa"/>
            <w:tcBorders>
              <w:top w:val="single" w:color="000000" w:sz="8" w:space="0"/>
              <w:left w:val="nil"/>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106.52</w:t>
            </w:r>
          </w:p>
        </w:tc>
      </w:tr>
    </w:tbl>
    <w:p>
      <w:pPr>
        <w:ind w:firstLine="120" w:firstLineChars="50"/>
        <w:rPr>
          <w:rFonts w:ascii="宋体" w:hAnsi="宋体"/>
          <w:color w:val="1D41D5"/>
          <w:highlight w:val="yellow"/>
        </w:rPr>
        <w:sectPr>
          <w:pgSz w:w="11906" w:h="16838"/>
          <w:pgMar w:top="720" w:right="720" w:bottom="720" w:left="720" w:header="680" w:footer="567" w:gutter="0"/>
          <w:cols w:space="720" w:num="1"/>
          <w:docGrid w:linePitch="312" w:charSpace="0"/>
        </w:sectPr>
      </w:pPr>
    </w:p>
    <w:p>
      <w:pPr>
        <w:ind w:firstLine="120" w:firstLineChars="50"/>
        <w:rPr>
          <w:rFonts w:hint="eastAsia" w:ascii="宋体" w:hAnsi="宋体"/>
          <w:color w:val="000000"/>
          <w:highlight w:val="none"/>
        </w:rPr>
      </w:pPr>
      <w:r>
        <w:rPr>
          <w:rFonts w:hint="eastAsia" w:ascii="宋体" w:hAnsi="宋体"/>
          <w:color w:val="000000"/>
          <w:highlight w:val="none"/>
        </w:rPr>
        <w:t>附表三</w:t>
      </w:r>
    </w:p>
    <w:p>
      <w:pPr>
        <w:ind w:firstLine="181" w:firstLineChars="50"/>
        <w:jc w:val="center"/>
        <w:rPr>
          <w:rFonts w:hint="eastAsia" w:ascii="宋体" w:hAnsi="宋体" w:cs="宋体"/>
          <w:b/>
          <w:color w:val="000000"/>
          <w:kern w:val="0"/>
          <w:sz w:val="36"/>
          <w:szCs w:val="36"/>
          <w:highlight w:val="none"/>
        </w:rPr>
      </w:pPr>
      <w:r>
        <w:rPr>
          <w:rFonts w:hint="eastAsia" w:ascii="宋体" w:hAnsi="宋体" w:cs="宋体"/>
          <w:b/>
          <w:color w:val="000000"/>
          <w:kern w:val="0"/>
          <w:sz w:val="36"/>
          <w:szCs w:val="36"/>
          <w:highlight w:val="none"/>
        </w:rPr>
        <w:t>空调室内机设备招标要求统计表</w:t>
      </w:r>
    </w:p>
    <w:p>
      <w:pPr>
        <w:jc w:val="center"/>
        <w:rPr>
          <w:color w:val="1D41D5"/>
          <w:highlight w:val="yellow"/>
        </w:rPr>
      </w:pPr>
    </w:p>
    <w:p>
      <w:pPr>
        <w:jc w:val="left"/>
        <w:rPr>
          <w:color w:val="1D41D5"/>
          <w:highlight w:val="yellow"/>
        </w:rPr>
      </w:pPr>
    </w:p>
    <w:tbl>
      <w:tblPr>
        <w:tblStyle w:val="56"/>
        <w:tblpPr w:leftFromText="180" w:rightFromText="180" w:vertAnchor="text" w:horzAnchor="page" w:tblpX="1265" w:tblpY="348"/>
        <w:tblOverlap w:val="never"/>
        <w:tblW w:w="0" w:type="auto"/>
        <w:tblInd w:w="0" w:type="dxa"/>
        <w:tblLayout w:type="fixed"/>
        <w:tblCellMar>
          <w:top w:w="0" w:type="dxa"/>
          <w:left w:w="108" w:type="dxa"/>
          <w:bottom w:w="0" w:type="dxa"/>
          <w:right w:w="108" w:type="dxa"/>
        </w:tblCellMar>
      </w:tblPr>
      <w:tblGrid>
        <w:gridCol w:w="706"/>
        <w:gridCol w:w="2415"/>
        <w:gridCol w:w="2064"/>
        <w:gridCol w:w="1398"/>
        <w:gridCol w:w="1597"/>
        <w:gridCol w:w="1298"/>
      </w:tblGrid>
      <w:tr>
        <w:tblPrEx>
          <w:tblCellMar>
            <w:top w:w="0" w:type="dxa"/>
            <w:left w:w="108" w:type="dxa"/>
            <w:bottom w:w="0" w:type="dxa"/>
            <w:right w:w="108" w:type="dxa"/>
          </w:tblCellMar>
        </w:tblPrEx>
        <w:trPr>
          <w:trHeight w:val="354" w:hRule="atLeast"/>
        </w:trPr>
        <w:tc>
          <w:tcPr>
            <w:tcW w:w="706" w:type="dxa"/>
            <w:vMerge w:val="restart"/>
            <w:tcBorders>
              <w:top w:val="single" w:color="000000" w:sz="8" w:space="0"/>
              <w:left w:val="single" w:color="000000" w:sz="8" w:space="0"/>
              <w:bottom w:val="single" w:color="000000" w:sz="8" w:space="0"/>
              <w:right w:val="single" w:color="000000" w:sz="8" w:space="0"/>
            </w:tcBorders>
            <w:noWrap w:val="0"/>
            <w:vAlign w:val="center"/>
          </w:tcPr>
          <w:p>
            <w:pPr>
              <w:widowControl/>
              <w:jc w:val="center"/>
              <w:textAlignment w:val="center"/>
              <w:rPr>
                <w:rFonts w:hint="eastAsia" w:ascii="宋体" w:hAnsi="宋体" w:cs="宋体"/>
                <w:b/>
                <w:bCs/>
                <w:sz w:val="21"/>
                <w:szCs w:val="21"/>
              </w:rPr>
            </w:pPr>
            <w:r>
              <w:rPr>
                <w:rFonts w:hint="eastAsia" w:ascii="宋体" w:hAnsi="宋体" w:cs="宋体"/>
                <w:b/>
                <w:bCs/>
                <w:kern w:val="0"/>
                <w:sz w:val="21"/>
                <w:szCs w:val="21"/>
                <w:lang w:bidi="ar"/>
              </w:rPr>
              <w:t>序号</w:t>
            </w:r>
          </w:p>
        </w:tc>
        <w:tc>
          <w:tcPr>
            <w:tcW w:w="4479" w:type="dxa"/>
            <w:gridSpan w:val="2"/>
            <w:vMerge w:val="restart"/>
            <w:tcBorders>
              <w:top w:val="single" w:color="000000" w:sz="8" w:space="0"/>
              <w:left w:val="single" w:color="000000" w:sz="8" w:space="0"/>
              <w:bottom w:val="single" w:color="000000" w:sz="8" w:space="0"/>
              <w:right w:val="single" w:color="000000" w:sz="8" w:space="0"/>
            </w:tcBorders>
            <w:noWrap w:val="0"/>
            <w:vAlign w:val="center"/>
          </w:tcPr>
          <w:p>
            <w:pPr>
              <w:widowControl/>
              <w:jc w:val="center"/>
              <w:textAlignment w:val="center"/>
              <w:rPr>
                <w:rFonts w:hint="eastAsia" w:ascii="宋体" w:hAnsi="宋体" w:cs="宋体"/>
                <w:b/>
                <w:bCs/>
                <w:sz w:val="21"/>
                <w:szCs w:val="21"/>
              </w:rPr>
            </w:pPr>
            <w:r>
              <w:rPr>
                <w:rFonts w:hint="eastAsia" w:ascii="宋体" w:hAnsi="宋体" w:cs="宋体"/>
                <w:b/>
                <w:bCs/>
                <w:kern w:val="0"/>
                <w:sz w:val="21"/>
                <w:szCs w:val="21"/>
                <w:lang w:bidi="ar"/>
              </w:rPr>
              <w:t>设备名称</w:t>
            </w:r>
          </w:p>
        </w:tc>
        <w:tc>
          <w:tcPr>
            <w:tcW w:w="2995" w:type="dxa"/>
            <w:gridSpan w:val="2"/>
            <w:tcBorders>
              <w:top w:val="single" w:color="000000" w:sz="8" w:space="0"/>
              <w:left w:val="single" w:color="000000" w:sz="8" w:space="0"/>
              <w:bottom w:val="single" w:color="auto" w:sz="4" w:space="0"/>
              <w:right w:val="single" w:color="000000" w:sz="8" w:space="0"/>
            </w:tcBorders>
            <w:noWrap w:val="0"/>
            <w:vAlign w:val="center"/>
          </w:tcPr>
          <w:p>
            <w:pPr>
              <w:widowControl/>
              <w:jc w:val="center"/>
              <w:textAlignment w:val="center"/>
              <w:rPr>
                <w:rFonts w:hint="eastAsia" w:ascii="宋体" w:hAnsi="宋体" w:cs="宋体"/>
                <w:b/>
                <w:bCs/>
                <w:sz w:val="21"/>
                <w:szCs w:val="21"/>
              </w:rPr>
            </w:pPr>
            <w:r>
              <w:rPr>
                <w:rFonts w:hint="eastAsia" w:ascii="宋体" w:hAnsi="宋体" w:cs="宋体"/>
                <w:b/>
                <w:bCs/>
                <w:kern w:val="0"/>
                <w:sz w:val="21"/>
                <w:szCs w:val="21"/>
                <w:lang w:bidi="ar"/>
              </w:rPr>
              <w:t>设计规格</w:t>
            </w:r>
          </w:p>
        </w:tc>
        <w:tc>
          <w:tcPr>
            <w:tcW w:w="1298" w:type="dxa"/>
            <w:tcBorders>
              <w:top w:val="single" w:color="000000" w:sz="8" w:space="0"/>
              <w:left w:val="single" w:color="000000" w:sz="8" w:space="0"/>
              <w:bottom w:val="single" w:color="auto" w:sz="4" w:space="0"/>
              <w:right w:val="single" w:color="000000" w:sz="8" w:space="0"/>
            </w:tcBorders>
            <w:noWrap w:val="0"/>
            <w:vAlign w:val="center"/>
          </w:tcPr>
          <w:p>
            <w:pPr>
              <w:widowControl/>
              <w:jc w:val="center"/>
              <w:textAlignment w:val="center"/>
              <w:rPr>
                <w:rFonts w:hint="eastAsia" w:ascii="宋体" w:hAnsi="宋体" w:cs="宋体"/>
                <w:b/>
                <w:bCs/>
                <w:sz w:val="21"/>
                <w:szCs w:val="21"/>
              </w:rPr>
            </w:pPr>
            <w:r>
              <w:rPr>
                <w:rFonts w:hint="eastAsia" w:ascii="宋体" w:hAnsi="宋体" w:cs="宋体"/>
                <w:b/>
                <w:bCs/>
                <w:kern w:val="0"/>
                <w:sz w:val="21"/>
                <w:szCs w:val="21"/>
                <w:lang w:bidi="ar"/>
              </w:rPr>
              <w:t>数量</w:t>
            </w:r>
          </w:p>
        </w:tc>
      </w:tr>
      <w:tr>
        <w:tblPrEx>
          <w:tblCellMar>
            <w:top w:w="0" w:type="dxa"/>
            <w:left w:w="108" w:type="dxa"/>
            <w:bottom w:w="0" w:type="dxa"/>
            <w:right w:w="108" w:type="dxa"/>
          </w:tblCellMar>
        </w:tblPrEx>
        <w:trPr>
          <w:trHeight w:val="679" w:hRule="atLeast"/>
        </w:trPr>
        <w:tc>
          <w:tcPr>
            <w:tcW w:w="706" w:type="dxa"/>
            <w:vMerge w:val="continue"/>
            <w:tcBorders>
              <w:top w:val="single" w:color="000000" w:sz="8" w:space="0"/>
              <w:left w:val="single" w:color="000000" w:sz="8" w:space="0"/>
              <w:bottom w:val="single" w:color="000000" w:sz="8" w:space="0"/>
              <w:right w:val="single" w:color="000000" w:sz="8" w:space="0"/>
            </w:tcBorders>
            <w:noWrap w:val="0"/>
            <w:vAlign w:val="center"/>
          </w:tcPr>
          <w:p>
            <w:pPr>
              <w:jc w:val="center"/>
              <w:rPr>
                <w:rFonts w:hint="eastAsia" w:ascii="宋体" w:hAnsi="宋体" w:cs="宋体"/>
                <w:b/>
                <w:bCs/>
                <w:sz w:val="21"/>
                <w:szCs w:val="21"/>
              </w:rPr>
            </w:pPr>
          </w:p>
        </w:tc>
        <w:tc>
          <w:tcPr>
            <w:tcW w:w="4479" w:type="dxa"/>
            <w:gridSpan w:val="2"/>
            <w:vMerge w:val="continue"/>
            <w:tcBorders>
              <w:top w:val="single" w:color="000000" w:sz="8" w:space="0"/>
              <w:left w:val="single" w:color="000000" w:sz="8" w:space="0"/>
              <w:bottom w:val="single" w:color="000000" w:sz="8" w:space="0"/>
              <w:right w:val="single" w:color="auto" w:sz="4" w:space="0"/>
            </w:tcBorders>
            <w:noWrap w:val="0"/>
            <w:vAlign w:val="center"/>
          </w:tcPr>
          <w:p>
            <w:pPr>
              <w:jc w:val="center"/>
              <w:rPr>
                <w:rFonts w:hint="eastAsia" w:ascii="宋体" w:hAnsi="宋体" w:cs="宋体"/>
                <w:b/>
                <w:bCs/>
                <w:sz w:val="21"/>
                <w:szCs w:val="21"/>
              </w:rPr>
            </w:pPr>
          </w:p>
        </w:tc>
        <w:tc>
          <w:tcPr>
            <w:tcW w:w="13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cs="宋体"/>
                <w:b/>
                <w:bCs/>
                <w:kern w:val="0"/>
                <w:sz w:val="21"/>
                <w:szCs w:val="21"/>
                <w:lang w:bidi="ar"/>
              </w:rPr>
            </w:pPr>
            <w:r>
              <w:rPr>
                <w:rFonts w:hint="eastAsia" w:ascii="宋体" w:hAnsi="宋体" w:cs="宋体"/>
                <w:b/>
                <w:bCs/>
                <w:kern w:val="0"/>
                <w:sz w:val="21"/>
                <w:szCs w:val="21"/>
                <w:lang w:bidi="ar"/>
              </w:rPr>
              <w:t>制冷量</w:t>
            </w:r>
          </w:p>
          <w:p>
            <w:pPr>
              <w:widowControl/>
              <w:jc w:val="center"/>
              <w:textAlignment w:val="center"/>
              <w:rPr>
                <w:rFonts w:hint="eastAsia" w:ascii="宋体" w:hAnsi="宋体" w:cs="宋体"/>
                <w:b/>
                <w:bCs/>
                <w:sz w:val="21"/>
                <w:szCs w:val="21"/>
              </w:rPr>
            </w:pPr>
            <w:r>
              <w:rPr>
                <w:rFonts w:hint="eastAsia" w:ascii="宋体" w:hAnsi="宋体" w:cs="宋体"/>
                <w:b/>
                <w:bCs/>
                <w:kern w:val="0"/>
                <w:sz w:val="21"/>
                <w:szCs w:val="21"/>
                <w:lang w:bidi="ar"/>
              </w:rPr>
              <w:t>(KW)</w:t>
            </w:r>
          </w:p>
        </w:tc>
        <w:tc>
          <w:tcPr>
            <w:tcW w:w="1597"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cs="宋体"/>
                <w:b/>
                <w:bCs/>
                <w:kern w:val="0"/>
                <w:sz w:val="21"/>
                <w:szCs w:val="21"/>
                <w:lang w:bidi="ar"/>
              </w:rPr>
            </w:pPr>
            <w:r>
              <w:rPr>
                <w:rFonts w:hint="eastAsia" w:ascii="宋体" w:hAnsi="宋体" w:cs="宋体"/>
                <w:b/>
                <w:bCs/>
                <w:kern w:val="0"/>
                <w:sz w:val="21"/>
                <w:szCs w:val="21"/>
                <w:lang w:bidi="ar"/>
              </w:rPr>
              <w:t>制热量</w:t>
            </w:r>
          </w:p>
          <w:p>
            <w:pPr>
              <w:widowControl/>
              <w:jc w:val="center"/>
              <w:textAlignment w:val="center"/>
              <w:rPr>
                <w:rFonts w:hint="eastAsia" w:ascii="宋体" w:hAnsi="宋体" w:cs="宋体"/>
                <w:b/>
                <w:bCs/>
                <w:sz w:val="21"/>
                <w:szCs w:val="21"/>
              </w:rPr>
            </w:pPr>
            <w:r>
              <w:rPr>
                <w:rFonts w:hint="eastAsia" w:ascii="宋体" w:hAnsi="宋体" w:cs="宋体"/>
                <w:b/>
                <w:bCs/>
                <w:kern w:val="0"/>
                <w:sz w:val="21"/>
                <w:szCs w:val="21"/>
                <w:lang w:bidi="ar"/>
              </w:rPr>
              <w:t>(KW)</w:t>
            </w:r>
          </w:p>
        </w:tc>
        <w:tc>
          <w:tcPr>
            <w:tcW w:w="12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cs="宋体"/>
                <w:b/>
                <w:bCs/>
                <w:sz w:val="21"/>
                <w:szCs w:val="21"/>
              </w:rPr>
            </w:pPr>
            <w:r>
              <w:rPr>
                <w:rFonts w:hint="eastAsia" w:ascii="宋体" w:hAnsi="宋体" w:cs="宋体"/>
                <w:b/>
                <w:bCs/>
                <w:kern w:val="0"/>
                <w:sz w:val="21"/>
                <w:szCs w:val="21"/>
                <w:lang w:bidi="ar"/>
              </w:rPr>
              <w:t>(台)</w:t>
            </w:r>
          </w:p>
        </w:tc>
      </w:tr>
      <w:tr>
        <w:tblPrEx>
          <w:tblCellMar>
            <w:top w:w="0" w:type="dxa"/>
            <w:left w:w="108" w:type="dxa"/>
            <w:bottom w:w="0" w:type="dxa"/>
            <w:right w:w="108" w:type="dxa"/>
          </w:tblCellMar>
        </w:tblPrEx>
        <w:trPr>
          <w:trHeight w:val="608" w:hRule="atLeast"/>
        </w:trPr>
        <w:tc>
          <w:tcPr>
            <w:tcW w:w="706" w:type="dxa"/>
            <w:tcBorders>
              <w:top w:val="nil"/>
              <w:left w:val="single" w:color="000000" w:sz="8" w:space="0"/>
              <w:bottom w:val="single" w:color="000000" w:sz="8" w:space="0"/>
              <w:right w:val="single" w:color="000000" w:sz="8" w:space="0"/>
            </w:tcBorders>
            <w:noWrap w:val="0"/>
            <w:vAlign w:val="center"/>
          </w:tcPr>
          <w:p>
            <w:pPr>
              <w:widowControl/>
              <w:jc w:val="center"/>
              <w:textAlignment w:val="center"/>
              <w:rPr>
                <w:rFonts w:hint="eastAsia" w:ascii="宋体" w:hAnsi="宋体" w:cs="宋体"/>
                <w:sz w:val="21"/>
                <w:szCs w:val="21"/>
              </w:rPr>
            </w:pPr>
            <w:r>
              <w:rPr>
                <w:rFonts w:hint="eastAsia" w:ascii="宋体" w:hAnsi="宋体" w:cs="宋体"/>
                <w:kern w:val="0"/>
                <w:sz w:val="21"/>
                <w:szCs w:val="21"/>
                <w:lang w:bidi="ar"/>
              </w:rPr>
              <w:t>1</w:t>
            </w:r>
          </w:p>
        </w:tc>
        <w:tc>
          <w:tcPr>
            <w:tcW w:w="2415" w:type="dxa"/>
            <w:tcBorders>
              <w:top w:val="nil"/>
              <w:left w:val="single" w:color="000000" w:sz="8" w:space="0"/>
              <w:bottom w:val="single" w:color="000000" w:sz="8" w:space="0"/>
              <w:right w:val="nil"/>
            </w:tcBorders>
            <w:noWrap w:val="0"/>
            <w:vAlign w:val="center"/>
          </w:tcPr>
          <w:p>
            <w:pPr>
              <w:widowControl/>
              <w:jc w:val="center"/>
              <w:textAlignment w:val="center"/>
              <w:rPr>
                <w:rFonts w:hint="eastAsia" w:ascii="宋体" w:hAnsi="宋体" w:cs="宋体"/>
                <w:sz w:val="21"/>
                <w:szCs w:val="21"/>
              </w:rPr>
            </w:pPr>
            <w:r>
              <w:rPr>
                <w:rFonts w:hint="eastAsia" w:ascii="宋体" w:hAnsi="宋体" w:cs="宋体"/>
                <w:kern w:val="0"/>
                <w:sz w:val="21"/>
                <w:szCs w:val="21"/>
                <w:lang w:bidi="ar"/>
              </w:rPr>
              <w:t>天花板内置</w:t>
            </w:r>
            <w:r>
              <w:rPr>
                <w:rFonts w:hint="eastAsia" w:ascii="宋体" w:hAnsi="宋体" w:cs="宋体"/>
                <w:color w:val="000000"/>
                <w:kern w:val="0"/>
                <w:sz w:val="21"/>
                <w:szCs w:val="21"/>
                <w:lang w:bidi="ar"/>
              </w:rPr>
              <w:t>超薄</w:t>
            </w:r>
            <w:r>
              <w:rPr>
                <w:rFonts w:hint="eastAsia" w:ascii="宋体" w:hAnsi="宋体" w:cs="宋体"/>
                <w:kern w:val="0"/>
                <w:sz w:val="21"/>
                <w:szCs w:val="21"/>
                <w:lang w:bidi="ar"/>
              </w:rPr>
              <w:t>风管式</w:t>
            </w:r>
            <w:r>
              <w:rPr>
                <w:rFonts w:hint="eastAsia" w:ascii="宋体" w:hAnsi="宋体" w:cs="宋体"/>
                <w:color w:val="000000"/>
                <w:kern w:val="0"/>
                <w:sz w:val="21"/>
                <w:szCs w:val="21"/>
                <w:lang w:bidi="ar"/>
              </w:rPr>
              <w:t>KT-63</w:t>
            </w:r>
          </w:p>
        </w:tc>
        <w:tc>
          <w:tcPr>
            <w:tcW w:w="2064" w:type="dxa"/>
            <w:tcBorders>
              <w:top w:val="single" w:color="000000" w:sz="8" w:space="0"/>
              <w:left w:val="single" w:color="000000" w:sz="8" w:space="0"/>
              <w:bottom w:val="single" w:color="000000" w:sz="8" w:space="0"/>
              <w:right w:val="single" w:color="000000" w:sz="8" w:space="0"/>
            </w:tcBorders>
            <w:noWrap w:val="0"/>
            <w:vAlign w:val="center"/>
          </w:tcPr>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制冷量6.3KW</w:t>
            </w:r>
          </w:p>
          <w:p>
            <w:pPr>
              <w:widowControl/>
              <w:jc w:val="center"/>
              <w:textAlignment w:val="center"/>
              <w:rPr>
                <w:rFonts w:hint="eastAsia" w:ascii="宋体" w:hAnsi="宋体" w:cs="宋体"/>
                <w:sz w:val="21"/>
                <w:szCs w:val="21"/>
              </w:rPr>
            </w:pPr>
            <w:r>
              <w:rPr>
                <w:rFonts w:hint="eastAsia" w:ascii="宋体" w:hAnsi="宋体" w:cs="宋体"/>
                <w:kern w:val="0"/>
                <w:sz w:val="21"/>
                <w:szCs w:val="21"/>
                <w:lang w:bidi="ar"/>
              </w:rPr>
              <w:t>制热量7.1KW</w:t>
            </w:r>
          </w:p>
        </w:tc>
        <w:tc>
          <w:tcPr>
            <w:tcW w:w="1398" w:type="dxa"/>
            <w:tcBorders>
              <w:top w:val="single" w:color="auto" w:sz="4" w:space="0"/>
              <w:left w:val="nil"/>
              <w:bottom w:val="single" w:color="000000" w:sz="8" w:space="0"/>
              <w:right w:val="single" w:color="000000" w:sz="8"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6.3</w:t>
            </w:r>
          </w:p>
        </w:tc>
        <w:tc>
          <w:tcPr>
            <w:tcW w:w="1597" w:type="dxa"/>
            <w:tcBorders>
              <w:top w:val="single" w:color="auto" w:sz="4" w:space="0"/>
              <w:left w:val="single" w:color="000000" w:sz="8" w:space="0"/>
              <w:bottom w:val="single" w:color="auto" w:sz="4" w:space="0"/>
              <w:right w:val="single" w:color="000000" w:sz="8" w:space="0"/>
            </w:tcBorders>
            <w:noWrap w:val="0"/>
            <w:vAlign w:val="center"/>
          </w:tcPr>
          <w:p>
            <w:pPr>
              <w:jc w:val="center"/>
              <w:rPr>
                <w:rFonts w:ascii="宋体" w:hAnsi="宋体" w:cs="宋体"/>
                <w:sz w:val="21"/>
                <w:szCs w:val="21"/>
              </w:rPr>
            </w:pPr>
            <w:r>
              <w:rPr>
                <w:rFonts w:hint="eastAsia" w:ascii="宋体" w:hAnsi="宋体" w:cs="宋体"/>
                <w:kern w:val="0"/>
                <w:sz w:val="21"/>
                <w:szCs w:val="21"/>
                <w:lang w:bidi="ar"/>
              </w:rPr>
              <w:t>7.1</w:t>
            </w:r>
          </w:p>
        </w:tc>
        <w:tc>
          <w:tcPr>
            <w:tcW w:w="1298" w:type="dxa"/>
            <w:tcBorders>
              <w:top w:val="single" w:color="auto" w:sz="4" w:space="0"/>
              <w:left w:val="single" w:color="000000" w:sz="8" w:space="0"/>
              <w:bottom w:val="single" w:color="000000" w:sz="8" w:space="0"/>
              <w:right w:val="single" w:color="000000" w:sz="8" w:space="0"/>
            </w:tcBorders>
            <w:noWrap w:val="0"/>
            <w:vAlign w:val="center"/>
          </w:tcPr>
          <w:p>
            <w:pPr>
              <w:widowControl/>
              <w:jc w:val="center"/>
              <w:textAlignment w:val="center"/>
              <w:rPr>
                <w:rFonts w:hint="eastAsia" w:ascii="宋体" w:hAnsi="宋体" w:cs="宋体"/>
                <w:sz w:val="21"/>
                <w:szCs w:val="21"/>
              </w:rPr>
            </w:pPr>
            <w:r>
              <w:rPr>
                <w:rFonts w:hint="eastAsia" w:ascii="宋体" w:hAnsi="宋体" w:cs="宋体"/>
                <w:kern w:val="0"/>
                <w:sz w:val="21"/>
                <w:szCs w:val="21"/>
                <w:lang w:bidi="ar"/>
              </w:rPr>
              <w:t>2</w:t>
            </w:r>
          </w:p>
        </w:tc>
      </w:tr>
      <w:tr>
        <w:tblPrEx>
          <w:tblCellMar>
            <w:top w:w="0" w:type="dxa"/>
            <w:left w:w="108" w:type="dxa"/>
            <w:bottom w:w="0" w:type="dxa"/>
            <w:right w:w="108" w:type="dxa"/>
          </w:tblCellMar>
        </w:tblPrEx>
        <w:trPr>
          <w:trHeight w:val="608" w:hRule="atLeast"/>
        </w:trPr>
        <w:tc>
          <w:tcPr>
            <w:tcW w:w="706" w:type="dxa"/>
            <w:tcBorders>
              <w:top w:val="nil"/>
              <w:left w:val="single" w:color="000000" w:sz="8" w:space="0"/>
              <w:bottom w:val="single" w:color="000000" w:sz="8" w:space="0"/>
              <w:right w:val="single" w:color="000000" w:sz="8" w:space="0"/>
            </w:tcBorders>
            <w:noWrap w:val="0"/>
            <w:vAlign w:val="center"/>
          </w:tcPr>
          <w:p>
            <w:pPr>
              <w:widowControl/>
              <w:jc w:val="center"/>
              <w:textAlignment w:val="center"/>
              <w:rPr>
                <w:rFonts w:hint="eastAsia" w:ascii="宋体" w:hAnsi="宋体" w:cs="宋体"/>
                <w:sz w:val="21"/>
                <w:szCs w:val="21"/>
              </w:rPr>
            </w:pPr>
            <w:r>
              <w:rPr>
                <w:rFonts w:hint="eastAsia" w:ascii="宋体" w:hAnsi="宋体" w:cs="宋体"/>
                <w:kern w:val="0"/>
                <w:sz w:val="21"/>
                <w:szCs w:val="21"/>
                <w:lang w:bidi="ar"/>
              </w:rPr>
              <w:t>2</w:t>
            </w:r>
          </w:p>
        </w:tc>
        <w:tc>
          <w:tcPr>
            <w:tcW w:w="2415" w:type="dxa"/>
            <w:tcBorders>
              <w:top w:val="nil"/>
              <w:left w:val="single" w:color="000000" w:sz="8" w:space="0"/>
              <w:bottom w:val="single" w:color="000000" w:sz="8" w:space="0"/>
              <w:right w:val="nil"/>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天花板内置</w:t>
            </w:r>
            <w:r>
              <w:rPr>
                <w:rFonts w:hint="eastAsia" w:ascii="宋体" w:hAnsi="宋体" w:cs="宋体"/>
                <w:color w:val="000000"/>
                <w:kern w:val="0"/>
                <w:sz w:val="21"/>
                <w:szCs w:val="21"/>
                <w:lang w:bidi="ar"/>
              </w:rPr>
              <w:t>超薄</w:t>
            </w:r>
            <w:r>
              <w:rPr>
                <w:rFonts w:hint="eastAsia" w:ascii="宋体" w:hAnsi="宋体" w:cs="宋体"/>
                <w:kern w:val="0"/>
                <w:sz w:val="21"/>
                <w:szCs w:val="21"/>
                <w:lang w:bidi="ar"/>
              </w:rPr>
              <w:t>风管式</w:t>
            </w:r>
            <w:r>
              <w:rPr>
                <w:rFonts w:hint="eastAsia" w:ascii="宋体" w:hAnsi="宋体" w:cs="宋体"/>
                <w:color w:val="000000"/>
                <w:kern w:val="0"/>
                <w:sz w:val="21"/>
                <w:szCs w:val="21"/>
                <w:lang w:bidi="ar"/>
              </w:rPr>
              <w:t>KT-80</w:t>
            </w:r>
          </w:p>
        </w:tc>
        <w:tc>
          <w:tcPr>
            <w:tcW w:w="2064" w:type="dxa"/>
            <w:tcBorders>
              <w:top w:val="single" w:color="000000" w:sz="8" w:space="0"/>
              <w:left w:val="single" w:color="000000" w:sz="8" w:space="0"/>
              <w:bottom w:val="single" w:color="000000" w:sz="8" w:space="0"/>
              <w:right w:val="single" w:color="000000" w:sz="8" w:space="0"/>
            </w:tcBorders>
            <w:noWrap w:val="0"/>
            <w:vAlign w:val="center"/>
          </w:tcPr>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制冷量8KW</w:t>
            </w:r>
          </w:p>
          <w:p>
            <w:pPr>
              <w:widowControl/>
              <w:jc w:val="center"/>
              <w:textAlignment w:val="center"/>
              <w:rPr>
                <w:rFonts w:hint="eastAsia" w:ascii="宋体" w:hAnsi="宋体" w:cs="宋体"/>
                <w:sz w:val="21"/>
                <w:szCs w:val="21"/>
              </w:rPr>
            </w:pPr>
            <w:r>
              <w:rPr>
                <w:rFonts w:hint="eastAsia" w:ascii="宋体" w:hAnsi="宋体" w:cs="宋体"/>
                <w:kern w:val="0"/>
                <w:sz w:val="21"/>
                <w:szCs w:val="21"/>
                <w:lang w:bidi="ar"/>
              </w:rPr>
              <w:t>制热量9KW</w:t>
            </w:r>
          </w:p>
        </w:tc>
        <w:tc>
          <w:tcPr>
            <w:tcW w:w="1398" w:type="dxa"/>
            <w:tcBorders>
              <w:top w:val="nil"/>
              <w:left w:val="nil"/>
              <w:bottom w:val="single" w:color="000000" w:sz="8" w:space="0"/>
              <w:right w:val="single" w:color="000000" w:sz="8" w:space="0"/>
            </w:tcBorders>
            <w:noWrap w:val="0"/>
            <w:vAlign w:val="center"/>
          </w:tcPr>
          <w:p>
            <w:pPr>
              <w:widowControl/>
              <w:jc w:val="center"/>
              <w:textAlignment w:val="center"/>
              <w:rPr>
                <w:rFonts w:hint="eastAsia" w:ascii="宋体" w:hAnsi="宋体" w:cs="宋体"/>
                <w:sz w:val="21"/>
                <w:szCs w:val="21"/>
              </w:rPr>
            </w:pPr>
            <w:r>
              <w:rPr>
                <w:rFonts w:hint="eastAsia" w:ascii="宋体" w:hAnsi="宋体" w:cs="宋体"/>
                <w:kern w:val="0"/>
                <w:sz w:val="21"/>
                <w:szCs w:val="21"/>
                <w:lang w:bidi="ar"/>
              </w:rPr>
              <w:t>8</w:t>
            </w:r>
          </w:p>
        </w:tc>
        <w:tc>
          <w:tcPr>
            <w:tcW w:w="1597" w:type="dxa"/>
            <w:tcBorders>
              <w:top w:val="single" w:color="auto" w:sz="4" w:space="0"/>
              <w:left w:val="single" w:color="000000" w:sz="8" w:space="0"/>
              <w:bottom w:val="single" w:color="auto" w:sz="4" w:space="0"/>
              <w:right w:val="single" w:color="000000" w:sz="8" w:space="0"/>
            </w:tcBorders>
            <w:noWrap w:val="0"/>
            <w:vAlign w:val="center"/>
          </w:tcPr>
          <w:p>
            <w:pPr>
              <w:jc w:val="center"/>
              <w:rPr>
                <w:rFonts w:hint="eastAsia" w:ascii="宋体" w:hAnsi="宋体" w:cs="宋体"/>
                <w:sz w:val="21"/>
                <w:szCs w:val="21"/>
              </w:rPr>
            </w:pPr>
            <w:r>
              <w:rPr>
                <w:rFonts w:hint="eastAsia" w:ascii="宋体" w:hAnsi="宋体" w:cs="宋体"/>
                <w:kern w:val="0"/>
                <w:sz w:val="21"/>
                <w:szCs w:val="21"/>
                <w:lang w:bidi="ar"/>
              </w:rPr>
              <w:t>9</w:t>
            </w:r>
          </w:p>
        </w:tc>
        <w:tc>
          <w:tcPr>
            <w:tcW w:w="1298" w:type="dxa"/>
            <w:tcBorders>
              <w:top w:val="nil"/>
              <w:left w:val="single" w:color="000000" w:sz="8" w:space="0"/>
              <w:bottom w:val="single" w:color="000000" w:sz="8" w:space="0"/>
              <w:right w:val="single" w:color="000000" w:sz="8"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15</w:t>
            </w:r>
          </w:p>
        </w:tc>
      </w:tr>
      <w:tr>
        <w:tblPrEx>
          <w:tblCellMar>
            <w:top w:w="0" w:type="dxa"/>
            <w:left w:w="108" w:type="dxa"/>
            <w:bottom w:w="0" w:type="dxa"/>
            <w:right w:w="108" w:type="dxa"/>
          </w:tblCellMar>
        </w:tblPrEx>
        <w:trPr>
          <w:trHeight w:val="608" w:hRule="atLeast"/>
        </w:trPr>
        <w:tc>
          <w:tcPr>
            <w:tcW w:w="706" w:type="dxa"/>
            <w:tcBorders>
              <w:top w:val="nil"/>
              <w:left w:val="single" w:color="000000" w:sz="8" w:space="0"/>
              <w:bottom w:val="single" w:color="auto" w:sz="4" w:space="0"/>
              <w:right w:val="single" w:color="000000" w:sz="8" w:space="0"/>
            </w:tcBorders>
            <w:noWrap w:val="0"/>
            <w:vAlign w:val="center"/>
          </w:tcPr>
          <w:p>
            <w:pPr>
              <w:widowControl/>
              <w:jc w:val="center"/>
              <w:textAlignment w:val="center"/>
              <w:rPr>
                <w:rFonts w:hint="eastAsia" w:ascii="宋体" w:hAnsi="宋体" w:cs="宋体"/>
                <w:sz w:val="21"/>
                <w:szCs w:val="21"/>
              </w:rPr>
            </w:pPr>
            <w:r>
              <w:rPr>
                <w:rFonts w:hint="eastAsia" w:ascii="宋体" w:hAnsi="宋体" w:cs="宋体"/>
                <w:kern w:val="0"/>
                <w:sz w:val="21"/>
                <w:szCs w:val="21"/>
                <w:lang w:bidi="ar"/>
              </w:rPr>
              <w:t>3</w:t>
            </w:r>
          </w:p>
        </w:tc>
        <w:tc>
          <w:tcPr>
            <w:tcW w:w="2415" w:type="dxa"/>
            <w:tcBorders>
              <w:top w:val="nil"/>
              <w:left w:val="single" w:color="000000" w:sz="8" w:space="0"/>
              <w:bottom w:val="single" w:color="auto" w:sz="4" w:space="0"/>
              <w:right w:val="nil"/>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天花板内置</w:t>
            </w:r>
            <w:r>
              <w:rPr>
                <w:rFonts w:hint="eastAsia" w:ascii="宋体" w:hAnsi="宋体" w:cs="宋体"/>
                <w:color w:val="000000"/>
                <w:kern w:val="0"/>
                <w:sz w:val="21"/>
                <w:szCs w:val="21"/>
                <w:lang w:bidi="ar"/>
              </w:rPr>
              <w:t>超薄</w:t>
            </w:r>
            <w:r>
              <w:rPr>
                <w:rFonts w:hint="eastAsia" w:ascii="宋体" w:hAnsi="宋体" w:cs="宋体"/>
                <w:kern w:val="0"/>
                <w:sz w:val="21"/>
                <w:szCs w:val="21"/>
                <w:lang w:bidi="ar"/>
              </w:rPr>
              <w:t>风管式</w:t>
            </w:r>
            <w:r>
              <w:rPr>
                <w:rFonts w:hint="eastAsia" w:ascii="宋体" w:hAnsi="宋体" w:cs="宋体"/>
                <w:color w:val="000000"/>
                <w:kern w:val="0"/>
                <w:sz w:val="21"/>
                <w:szCs w:val="21"/>
                <w:lang w:bidi="ar"/>
              </w:rPr>
              <w:t>KT-112</w:t>
            </w:r>
          </w:p>
        </w:tc>
        <w:tc>
          <w:tcPr>
            <w:tcW w:w="2064" w:type="dxa"/>
            <w:tcBorders>
              <w:top w:val="single" w:color="000000" w:sz="8" w:space="0"/>
              <w:left w:val="single" w:color="000000" w:sz="8" w:space="0"/>
              <w:bottom w:val="single" w:color="auto" w:sz="4" w:space="0"/>
              <w:right w:val="single" w:color="000000" w:sz="8" w:space="0"/>
            </w:tcBorders>
            <w:noWrap w:val="0"/>
            <w:vAlign w:val="center"/>
          </w:tcPr>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制冷量11.2KW</w:t>
            </w:r>
          </w:p>
          <w:p>
            <w:pPr>
              <w:widowControl/>
              <w:jc w:val="center"/>
              <w:textAlignment w:val="center"/>
              <w:rPr>
                <w:rFonts w:hint="eastAsia" w:ascii="宋体" w:hAnsi="宋体" w:cs="宋体"/>
                <w:sz w:val="21"/>
                <w:szCs w:val="21"/>
              </w:rPr>
            </w:pPr>
            <w:r>
              <w:rPr>
                <w:rFonts w:hint="eastAsia" w:ascii="宋体" w:hAnsi="宋体" w:cs="宋体"/>
                <w:kern w:val="0"/>
                <w:sz w:val="21"/>
                <w:szCs w:val="21"/>
                <w:lang w:bidi="ar"/>
              </w:rPr>
              <w:t>制热量12.5KW</w:t>
            </w:r>
          </w:p>
        </w:tc>
        <w:tc>
          <w:tcPr>
            <w:tcW w:w="1398" w:type="dxa"/>
            <w:tcBorders>
              <w:top w:val="nil"/>
              <w:left w:val="nil"/>
              <w:bottom w:val="single" w:color="auto" w:sz="4" w:space="0"/>
              <w:right w:val="single" w:color="000000" w:sz="8"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11.2</w:t>
            </w:r>
          </w:p>
        </w:tc>
        <w:tc>
          <w:tcPr>
            <w:tcW w:w="1597" w:type="dxa"/>
            <w:tcBorders>
              <w:top w:val="single" w:color="auto" w:sz="4" w:space="0"/>
              <w:left w:val="single" w:color="000000" w:sz="8" w:space="0"/>
              <w:bottom w:val="single" w:color="auto" w:sz="4" w:space="0"/>
              <w:right w:val="single" w:color="000000" w:sz="8" w:space="0"/>
            </w:tcBorders>
            <w:noWrap w:val="0"/>
            <w:vAlign w:val="center"/>
          </w:tcPr>
          <w:p>
            <w:pPr>
              <w:jc w:val="center"/>
              <w:rPr>
                <w:rFonts w:ascii="宋体" w:hAnsi="宋体" w:cs="宋体"/>
                <w:sz w:val="21"/>
                <w:szCs w:val="21"/>
              </w:rPr>
            </w:pPr>
            <w:r>
              <w:rPr>
                <w:rFonts w:hint="eastAsia" w:ascii="宋体" w:hAnsi="宋体" w:cs="宋体"/>
                <w:kern w:val="0"/>
                <w:sz w:val="21"/>
                <w:szCs w:val="21"/>
                <w:lang w:bidi="ar"/>
              </w:rPr>
              <w:t>12.5</w:t>
            </w:r>
          </w:p>
        </w:tc>
        <w:tc>
          <w:tcPr>
            <w:tcW w:w="1298" w:type="dxa"/>
            <w:tcBorders>
              <w:top w:val="nil"/>
              <w:left w:val="single" w:color="000000" w:sz="8" w:space="0"/>
              <w:bottom w:val="single" w:color="auto" w:sz="4" w:space="0"/>
              <w:right w:val="single" w:color="000000" w:sz="8"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1</w:t>
            </w:r>
          </w:p>
        </w:tc>
      </w:tr>
      <w:tr>
        <w:tblPrEx>
          <w:tblCellMar>
            <w:top w:w="0" w:type="dxa"/>
            <w:left w:w="108" w:type="dxa"/>
            <w:bottom w:w="0" w:type="dxa"/>
            <w:right w:w="108" w:type="dxa"/>
          </w:tblCellMar>
        </w:tblPrEx>
        <w:trPr>
          <w:trHeight w:val="587" w:hRule="atLeast"/>
        </w:trPr>
        <w:tc>
          <w:tcPr>
            <w:tcW w:w="706"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cs="宋体"/>
                <w:sz w:val="21"/>
                <w:szCs w:val="21"/>
              </w:rPr>
            </w:pPr>
            <w:r>
              <w:rPr>
                <w:rFonts w:hint="eastAsia" w:ascii="宋体" w:hAnsi="宋体" w:cs="宋体"/>
                <w:kern w:val="0"/>
                <w:sz w:val="21"/>
                <w:szCs w:val="21"/>
                <w:lang w:bidi="ar"/>
              </w:rPr>
              <w:t>4</w:t>
            </w:r>
          </w:p>
        </w:tc>
        <w:tc>
          <w:tcPr>
            <w:tcW w:w="2415"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天花板内置</w:t>
            </w:r>
            <w:r>
              <w:rPr>
                <w:rFonts w:hint="eastAsia" w:ascii="宋体" w:hAnsi="宋体" w:cs="宋体"/>
                <w:color w:val="000000"/>
                <w:kern w:val="0"/>
                <w:sz w:val="21"/>
                <w:szCs w:val="21"/>
                <w:lang w:bidi="ar"/>
              </w:rPr>
              <w:t>四向气流嵌入式KT-28</w:t>
            </w:r>
          </w:p>
        </w:tc>
        <w:tc>
          <w:tcPr>
            <w:tcW w:w="2064"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制冷量2.8KW</w:t>
            </w:r>
          </w:p>
          <w:p>
            <w:pPr>
              <w:widowControl/>
              <w:jc w:val="center"/>
              <w:textAlignment w:val="center"/>
              <w:rPr>
                <w:rFonts w:hint="eastAsia" w:ascii="宋体" w:hAnsi="宋体" w:cs="宋体"/>
                <w:sz w:val="21"/>
                <w:szCs w:val="21"/>
              </w:rPr>
            </w:pPr>
            <w:r>
              <w:rPr>
                <w:rFonts w:hint="eastAsia" w:ascii="宋体" w:hAnsi="宋体" w:cs="宋体"/>
                <w:kern w:val="0"/>
                <w:sz w:val="21"/>
                <w:szCs w:val="21"/>
                <w:lang w:bidi="ar"/>
              </w:rPr>
              <w:t>制热量3.2KW</w:t>
            </w:r>
          </w:p>
        </w:tc>
        <w:tc>
          <w:tcPr>
            <w:tcW w:w="13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sz w:val="21"/>
                <w:szCs w:val="21"/>
              </w:rPr>
              <w:t>2.8</w:t>
            </w:r>
          </w:p>
        </w:tc>
        <w:tc>
          <w:tcPr>
            <w:tcW w:w="159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sz w:val="21"/>
                <w:szCs w:val="21"/>
              </w:rPr>
            </w:pPr>
            <w:r>
              <w:rPr>
                <w:rFonts w:hint="eastAsia" w:ascii="宋体" w:hAnsi="宋体" w:cs="宋体"/>
                <w:sz w:val="21"/>
                <w:szCs w:val="21"/>
              </w:rPr>
              <w:t>3.2</w:t>
            </w:r>
          </w:p>
        </w:tc>
        <w:tc>
          <w:tcPr>
            <w:tcW w:w="12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cs="宋体"/>
                <w:sz w:val="21"/>
                <w:szCs w:val="21"/>
              </w:rPr>
            </w:pPr>
            <w:r>
              <w:rPr>
                <w:rFonts w:hint="eastAsia" w:ascii="宋体" w:hAnsi="宋体" w:cs="宋体"/>
                <w:sz w:val="21"/>
                <w:szCs w:val="21"/>
              </w:rPr>
              <w:t>1</w:t>
            </w:r>
          </w:p>
        </w:tc>
      </w:tr>
      <w:tr>
        <w:tblPrEx>
          <w:tblCellMar>
            <w:top w:w="0" w:type="dxa"/>
            <w:left w:w="108" w:type="dxa"/>
            <w:bottom w:w="0" w:type="dxa"/>
            <w:right w:w="108" w:type="dxa"/>
          </w:tblCellMar>
        </w:tblPrEx>
        <w:trPr>
          <w:trHeight w:val="587" w:hRule="atLeast"/>
        </w:trPr>
        <w:tc>
          <w:tcPr>
            <w:tcW w:w="706"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cs="宋体"/>
                <w:sz w:val="21"/>
                <w:szCs w:val="21"/>
              </w:rPr>
            </w:pPr>
            <w:r>
              <w:rPr>
                <w:rFonts w:hint="eastAsia" w:ascii="宋体" w:hAnsi="宋体" w:cs="宋体"/>
                <w:kern w:val="0"/>
                <w:sz w:val="21"/>
                <w:szCs w:val="21"/>
                <w:lang w:bidi="ar"/>
              </w:rPr>
              <w:t>5</w:t>
            </w:r>
          </w:p>
        </w:tc>
        <w:tc>
          <w:tcPr>
            <w:tcW w:w="2415"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天花板内置</w:t>
            </w:r>
            <w:r>
              <w:rPr>
                <w:rFonts w:hint="eastAsia" w:ascii="宋体" w:hAnsi="宋体" w:cs="宋体"/>
                <w:color w:val="000000"/>
                <w:kern w:val="0"/>
                <w:sz w:val="21"/>
                <w:szCs w:val="21"/>
                <w:lang w:bidi="ar"/>
              </w:rPr>
              <w:t>四向气流嵌入式KT-36</w:t>
            </w:r>
          </w:p>
        </w:tc>
        <w:tc>
          <w:tcPr>
            <w:tcW w:w="2064"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制冷量3.6KW</w:t>
            </w:r>
          </w:p>
          <w:p>
            <w:pPr>
              <w:widowControl/>
              <w:jc w:val="center"/>
              <w:textAlignment w:val="center"/>
              <w:rPr>
                <w:rFonts w:hint="eastAsia" w:ascii="宋体" w:hAnsi="宋体" w:cs="宋体"/>
                <w:sz w:val="21"/>
                <w:szCs w:val="21"/>
              </w:rPr>
            </w:pPr>
            <w:r>
              <w:rPr>
                <w:rFonts w:hint="eastAsia" w:ascii="宋体" w:hAnsi="宋体" w:cs="宋体"/>
                <w:kern w:val="0"/>
                <w:sz w:val="21"/>
                <w:szCs w:val="21"/>
                <w:lang w:bidi="ar"/>
              </w:rPr>
              <w:t>制热量4.0KW</w:t>
            </w:r>
          </w:p>
        </w:tc>
        <w:tc>
          <w:tcPr>
            <w:tcW w:w="13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sz w:val="21"/>
                <w:szCs w:val="21"/>
              </w:rPr>
              <w:t>3.6</w:t>
            </w:r>
          </w:p>
        </w:tc>
        <w:tc>
          <w:tcPr>
            <w:tcW w:w="159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sz w:val="21"/>
                <w:szCs w:val="21"/>
              </w:rPr>
            </w:pPr>
            <w:r>
              <w:rPr>
                <w:rFonts w:hint="eastAsia" w:ascii="宋体" w:hAnsi="宋体" w:cs="宋体"/>
                <w:sz w:val="21"/>
                <w:szCs w:val="21"/>
              </w:rPr>
              <w:t>4.0</w:t>
            </w:r>
          </w:p>
        </w:tc>
        <w:tc>
          <w:tcPr>
            <w:tcW w:w="12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cs="宋体"/>
                <w:sz w:val="21"/>
                <w:szCs w:val="21"/>
              </w:rPr>
            </w:pPr>
            <w:r>
              <w:rPr>
                <w:rFonts w:hint="eastAsia" w:ascii="宋体" w:hAnsi="宋体" w:cs="宋体"/>
                <w:sz w:val="21"/>
                <w:szCs w:val="21"/>
              </w:rPr>
              <w:t>1</w:t>
            </w:r>
          </w:p>
        </w:tc>
      </w:tr>
      <w:tr>
        <w:tblPrEx>
          <w:tblCellMar>
            <w:top w:w="0" w:type="dxa"/>
            <w:left w:w="108" w:type="dxa"/>
            <w:bottom w:w="0" w:type="dxa"/>
            <w:right w:w="108" w:type="dxa"/>
          </w:tblCellMar>
        </w:tblPrEx>
        <w:trPr>
          <w:trHeight w:val="587" w:hRule="atLeast"/>
        </w:trPr>
        <w:tc>
          <w:tcPr>
            <w:tcW w:w="706"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cs="宋体"/>
                <w:sz w:val="21"/>
                <w:szCs w:val="21"/>
              </w:rPr>
            </w:pPr>
            <w:r>
              <w:rPr>
                <w:rFonts w:hint="eastAsia" w:ascii="宋体" w:hAnsi="宋体" w:cs="宋体"/>
                <w:kern w:val="0"/>
                <w:sz w:val="21"/>
                <w:szCs w:val="21"/>
                <w:lang w:bidi="ar"/>
              </w:rPr>
              <w:t>6</w:t>
            </w:r>
          </w:p>
        </w:tc>
        <w:tc>
          <w:tcPr>
            <w:tcW w:w="2415"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kern w:val="0"/>
                <w:sz w:val="21"/>
                <w:szCs w:val="21"/>
                <w:lang w:bidi="ar"/>
              </w:rPr>
              <w:t>天花板内置</w:t>
            </w:r>
            <w:r>
              <w:rPr>
                <w:rFonts w:hint="eastAsia" w:ascii="宋体" w:hAnsi="宋体" w:cs="宋体"/>
                <w:color w:val="000000"/>
                <w:kern w:val="0"/>
                <w:sz w:val="21"/>
                <w:szCs w:val="21"/>
                <w:lang w:bidi="ar"/>
              </w:rPr>
              <w:t>四向气流嵌入式KT-63</w:t>
            </w:r>
          </w:p>
        </w:tc>
        <w:tc>
          <w:tcPr>
            <w:tcW w:w="2064"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制冷量6.3KW</w:t>
            </w:r>
          </w:p>
          <w:p>
            <w:pPr>
              <w:widowControl/>
              <w:jc w:val="center"/>
              <w:textAlignment w:val="center"/>
              <w:rPr>
                <w:rFonts w:hint="eastAsia" w:ascii="宋体" w:hAnsi="宋体" w:cs="宋体"/>
                <w:sz w:val="21"/>
                <w:szCs w:val="21"/>
              </w:rPr>
            </w:pPr>
            <w:r>
              <w:rPr>
                <w:rFonts w:hint="eastAsia" w:ascii="宋体" w:hAnsi="宋体" w:cs="宋体"/>
                <w:kern w:val="0"/>
                <w:sz w:val="21"/>
                <w:szCs w:val="21"/>
                <w:lang w:bidi="ar"/>
              </w:rPr>
              <w:t>制热量7.1KW</w:t>
            </w:r>
          </w:p>
        </w:tc>
        <w:tc>
          <w:tcPr>
            <w:tcW w:w="13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sz w:val="21"/>
                <w:szCs w:val="21"/>
              </w:rPr>
              <w:t>6.3</w:t>
            </w:r>
          </w:p>
        </w:tc>
        <w:tc>
          <w:tcPr>
            <w:tcW w:w="159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sz w:val="21"/>
                <w:szCs w:val="21"/>
              </w:rPr>
            </w:pPr>
            <w:r>
              <w:rPr>
                <w:rFonts w:hint="eastAsia" w:ascii="宋体" w:hAnsi="宋体" w:cs="宋体"/>
                <w:sz w:val="21"/>
                <w:szCs w:val="21"/>
              </w:rPr>
              <w:t>7.1</w:t>
            </w:r>
          </w:p>
        </w:tc>
        <w:tc>
          <w:tcPr>
            <w:tcW w:w="12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cs="宋体"/>
                <w:sz w:val="21"/>
                <w:szCs w:val="21"/>
              </w:rPr>
            </w:pPr>
            <w:r>
              <w:rPr>
                <w:rFonts w:hint="eastAsia" w:ascii="宋体" w:hAnsi="宋体" w:cs="宋体"/>
                <w:sz w:val="21"/>
                <w:szCs w:val="21"/>
              </w:rPr>
              <w:t>5</w:t>
            </w:r>
          </w:p>
        </w:tc>
      </w:tr>
      <w:tr>
        <w:tblPrEx>
          <w:tblCellMar>
            <w:top w:w="0" w:type="dxa"/>
            <w:left w:w="108" w:type="dxa"/>
            <w:bottom w:w="0" w:type="dxa"/>
            <w:right w:w="108" w:type="dxa"/>
          </w:tblCellMar>
        </w:tblPrEx>
        <w:trPr>
          <w:trHeight w:val="587" w:hRule="atLeast"/>
        </w:trPr>
        <w:tc>
          <w:tcPr>
            <w:tcW w:w="706"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7</w:t>
            </w:r>
          </w:p>
        </w:tc>
        <w:tc>
          <w:tcPr>
            <w:tcW w:w="2415"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kern w:val="0"/>
                <w:sz w:val="21"/>
                <w:szCs w:val="21"/>
                <w:lang w:bidi="ar"/>
              </w:rPr>
            </w:pPr>
            <w:r>
              <w:rPr>
                <w:rFonts w:hint="eastAsia" w:ascii="宋体" w:hAnsi="宋体" w:cs="宋体"/>
                <w:kern w:val="0"/>
                <w:sz w:val="21"/>
                <w:szCs w:val="21"/>
                <w:lang w:bidi="ar"/>
              </w:rPr>
              <w:t>天花板内置</w:t>
            </w:r>
            <w:r>
              <w:rPr>
                <w:rFonts w:hint="eastAsia" w:ascii="宋体" w:hAnsi="宋体" w:cs="宋体"/>
                <w:color w:val="000000"/>
                <w:kern w:val="0"/>
                <w:sz w:val="21"/>
                <w:szCs w:val="21"/>
                <w:lang w:bidi="ar"/>
              </w:rPr>
              <w:t>四向气流嵌入式KT-71</w:t>
            </w:r>
          </w:p>
        </w:tc>
        <w:tc>
          <w:tcPr>
            <w:tcW w:w="2064"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制冷量7.1KW</w:t>
            </w:r>
          </w:p>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制热量8.0KW</w:t>
            </w:r>
          </w:p>
        </w:tc>
        <w:tc>
          <w:tcPr>
            <w:tcW w:w="13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sz w:val="21"/>
                <w:szCs w:val="21"/>
              </w:rPr>
              <w:t>7.1</w:t>
            </w:r>
          </w:p>
        </w:tc>
        <w:tc>
          <w:tcPr>
            <w:tcW w:w="159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sz w:val="21"/>
                <w:szCs w:val="21"/>
              </w:rPr>
            </w:pPr>
            <w:r>
              <w:rPr>
                <w:rFonts w:hint="eastAsia" w:ascii="宋体" w:hAnsi="宋体" w:cs="宋体"/>
                <w:sz w:val="21"/>
                <w:szCs w:val="21"/>
              </w:rPr>
              <w:t>8.0</w:t>
            </w:r>
          </w:p>
        </w:tc>
        <w:tc>
          <w:tcPr>
            <w:tcW w:w="12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sz w:val="21"/>
                <w:szCs w:val="21"/>
              </w:rPr>
              <w:t>3</w:t>
            </w:r>
          </w:p>
        </w:tc>
      </w:tr>
      <w:tr>
        <w:tblPrEx>
          <w:tblCellMar>
            <w:top w:w="0" w:type="dxa"/>
            <w:left w:w="108" w:type="dxa"/>
            <w:bottom w:w="0" w:type="dxa"/>
            <w:right w:w="108" w:type="dxa"/>
          </w:tblCellMar>
        </w:tblPrEx>
        <w:trPr>
          <w:trHeight w:val="587" w:hRule="atLeast"/>
        </w:trPr>
        <w:tc>
          <w:tcPr>
            <w:tcW w:w="706"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kern w:val="0"/>
                <w:sz w:val="21"/>
                <w:szCs w:val="21"/>
                <w:lang w:bidi="ar"/>
              </w:rPr>
            </w:pPr>
            <w:r>
              <w:rPr>
                <w:rFonts w:hint="eastAsia" w:ascii="宋体" w:hAnsi="宋体" w:cs="宋体"/>
                <w:kern w:val="0"/>
                <w:sz w:val="21"/>
                <w:szCs w:val="21"/>
                <w:lang w:bidi="ar"/>
              </w:rPr>
              <w:t>8</w:t>
            </w:r>
          </w:p>
        </w:tc>
        <w:tc>
          <w:tcPr>
            <w:tcW w:w="2415"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kern w:val="0"/>
                <w:sz w:val="21"/>
                <w:szCs w:val="21"/>
                <w:lang w:bidi="ar"/>
              </w:rPr>
            </w:pPr>
            <w:r>
              <w:rPr>
                <w:rFonts w:hint="eastAsia" w:ascii="宋体" w:hAnsi="宋体" w:cs="宋体"/>
                <w:kern w:val="0"/>
                <w:sz w:val="21"/>
                <w:szCs w:val="21"/>
                <w:lang w:bidi="ar"/>
              </w:rPr>
              <w:t>天花板内置</w:t>
            </w:r>
            <w:r>
              <w:rPr>
                <w:rFonts w:hint="eastAsia" w:ascii="宋体" w:hAnsi="宋体" w:cs="宋体"/>
                <w:color w:val="000000"/>
                <w:kern w:val="0"/>
                <w:sz w:val="21"/>
                <w:szCs w:val="21"/>
                <w:lang w:bidi="ar"/>
              </w:rPr>
              <w:t>四向气流嵌入式KT-80</w:t>
            </w:r>
          </w:p>
        </w:tc>
        <w:tc>
          <w:tcPr>
            <w:tcW w:w="2064"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制冷量8.0KW</w:t>
            </w:r>
          </w:p>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制热量9.0KW</w:t>
            </w:r>
          </w:p>
        </w:tc>
        <w:tc>
          <w:tcPr>
            <w:tcW w:w="13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sz w:val="21"/>
                <w:szCs w:val="21"/>
              </w:rPr>
              <w:t>8.0</w:t>
            </w:r>
          </w:p>
        </w:tc>
        <w:tc>
          <w:tcPr>
            <w:tcW w:w="159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sz w:val="21"/>
                <w:szCs w:val="21"/>
              </w:rPr>
            </w:pPr>
            <w:r>
              <w:rPr>
                <w:rFonts w:hint="eastAsia" w:ascii="宋体" w:hAnsi="宋体" w:cs="宋体"/>
                <w:sz w:val="21"/>
                <w:szCs w:val="21"/>
              </w:rPr>
              <w:t>9.0</w:t>
            </w:r>
          </w:p>
        </w:tc>
        <w:tc>
          <w:tcPr>
            <w:tcW w:w="12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sz w:val="21"/>
                <w:szCs w:val="21"/>
              </w:rPr>
              <w:t>3</w:t>
            </w:r>
          </w:p>
        </w:tc>
      </w:tr>
      <w:tr>
        <w:tblPrEx>
          <w:tblCellMar>
            <w:top w:w="0" w:type="dxa"/>
            <w:left w:w="108" w:type="dxa"/>
            <w:bottom w:w="0" w:type="dxa"/>
            <w:right w:w="108" w:type="dxa"/>
          </w:tblCellMar>
        </w:tblPrEx>
        <w:trPr>
          <w:trHeight w:val="587" w:hRule="atLeast"/>
        </w:trPr>
        <w:tc>
          <w:tcPr>
            <w:tcW w:w="706"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kern w:val="0"/>
                <w:sz w:val="21"/>
                <w:szCs w:val="21"/>
                <w:lang w:bidi="ar"/>
              </w:rPr>
            </w:pPr>
            <w:r>
              <w:rPr>
                <w:rFonts w:hint="eastAsia" w:ascii="宋体" w:hAnsi="宋体" w:cs="宋体"/>
                <w:kern w:val="0"/>
                <w:sz w:val="21"/>
                <w:szCs w:val="21"/>
                <w:lang w:bidi="ar"/>
              </w:rPr>
              <w:t>9</w:t>
            </w:r>
          </w:p>
        </w:tc>
        <w:tc>
          <w:tcPr>
            <w:tcW w:w="2415"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kern w:val="0"/>
                <w:sz w:val="21"/>
                <w:szCs w:val="21"/>
                <w:lang w:bidi="ar"/>
              </w:rPr>
            </w:pPr>
            <w:r>
              <w:rPr>
                <w:rFonts w:hint="eastAsia" w:ascii="宋体" w:hAnsi="宋体" w:cs="宋体"/>
                <w:kern w:val="0"/>
                <w:sz w:val="21"/>
                <w:szCs w:val="21"/>
                <w:lang w:bidi="ar"/>
              </w:rPr>
              <w:t>天花板内置</w:t>
            </w:r>
            <w:r>
              <w:rPr>
                <w:rFonts w:hint="eastAsia" w:ascii="宋体" w:hAnsi="宋体" w:cs="宋体"/>
                <w:color w:val="000000"/>
                <w:kern w:val="0"/>
                <w:sz w:val="21"/>
                <w:szCs w:val="21"/>
                <w:lang w:bidi="ar"/>
              </w:rPr>
              <w:t>四向气流嵌入式KT-90</w:t>
            </w:r>
          </w:p>
        </w:tc>
        <w:tc>
          <w:tcPr>
            <w:tcW w:w="2064"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制冷量9.0KW</w:t>
            </w:r>
          </w:p>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制热量10.0KW</w:t>
            </w:r>
          </w:p>
        </w:tc>
        <w:tc>
          <w:tcPr>
            <w:tcW w:w="13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sz w:val="21"/>
                <w:szCs w:val="21"/>
              </w:rPr>
              <w:t>9.0</w:t>
            </w:r>
          </w:p>
        </w:tc>
        <w:tc>
          <w:tcPr>
            <w:tcW w:w="159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sz w:val="21"/>
                <w:szCs w:val="21"/>
              </w:rPr>
            </w:pPr>
            <w:r>
              <w:rPr>
                <w:rFonts w:hint="eastAsia" w:ascii="宋体" w:hAnsi="宋体" w:cs="宋体"/>
                <w:sz w:val="21"/>
                <w:szCs w:val="21"/>
              </w:rPr>
              <w:t>10.0</w:t>
            </w:r>
          </w:p>
        </w:tc>
        <w:tc>
          <w:tcPr>
            <w:tcW w:w="12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sz w:val="21"/>
                <w:szCs w:val="21"/>
              </w:rPr>
              <w:t>4</w:t>
            </w:r>
          </w:p>
        </w:tc>
      </w:tr>
      <w:tr>
        <w:tblPrEx>
          <w:tblCellMar>
            <w:top w:w="0" w:type="dxa"/>
            <w:left w:w="108" w:type="dxa"/>
            <w:bottom w:w="0" w:type="dxa"/>
            <w:right w:w="108" w:type="dxa"/>
          </w:tblCellMar>
        </w:tblPrEx>
        <w:trPr>
          <w:trHeight w:val="587" w:hRule="atLeast"/>
        </w:trPr>
        <w:tc>
          <w:tcPr>
            <w:tcW w:w="706"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kern w:val="0"/>
                <w:sz w:val="21"/>
                <w:szCs w:val="21"/>
                <w:lang w:bidi="ar"/>
              </w:rPr>
            </w:pPr>
            <w:r>
              <w:rPr>
                <w:rFonts w:hint="eastAsia" w:ascii="宋体" w:hAnsi="宋体" w:cs="宋体"/>
                <w:kern w:val="0"/>
                <w:sz w:val="21"/>
                <w:szCs w:val="21"/>
                <w:lang w:bidi="ar"/>
              </w:rPr>
              <w:t>10</w:t>
            </w:r>
          </w:p>
        </w:tc>
        <w:tc>
          <w:tcPr>
            <w:tcW w:w="2415"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kern w:val="0"/>
                <w:sz w:val="21"/>
                <w:szCs w:val="21"/>
                <w:lang w:bidi="ar"/>
              </w:rPr>
            </w:pPr>
            <w:r>
              <w:rPr>
                <w:rFonts w:hint="eastAsia" w:ascii="宋体" w:hAnsi="宋体" w:cs="宋体"/>
                <w:kern w:val="0"/>
                <w:sz w:val="21"/>
                <w:szCs w:val="21"/>
                <w:lang w:bidi="ar"/>
              </w:rPr>
              <w:t>天花板内置</w:t>
            </w:r>
            <w:r>
              <w:rPr>
                <w:rFonts w:hint="eastAsia" w:ascii="宋体" w:hAnsi="宋体" w:cs="宋体"/>
                <w:color w:val="000000"/>
                <w:kern w:val="0"/>
                <w:sz w:val="21"/>
                <w:szCs w:val="21"/>
                <w:lang w:bidi="ar"/>
              </w:rPr>
              <w:t>四向气流嵌入式KT-100</w:t>
            </w:r>
          </w:p>
        </w:tc>
        <w:tc>
          <w:tcPr>
            <w:tcW w:w="2064"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制冷量10.0KW</w:t>
            </w:r>
          </w:p>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制热量11.2KW</w:t>
            </w:r>
          </w:p>
        </w:tc>
        <w:tc>
          <w:tcPr>
            <w:tcW w:w="13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sz w:val="21"/>
                <w:szCs w:val="21"/>
              </w:rPr>
              <w:t>10.0</w:t>
            </w:r>
          </w:p>
        </w:tc>
        <w:tc>
          <w:tcPr>
            <w:tcW w:w="159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sz w:val="21"/>
                <w:szCs w:val="21"/>
              </w:rPr>
            </w:pPr>
            <w:r>
              <w:rPr>
                <w:rFonts w:hint="eastAsia" w:ascii="宋体" w:hAnsi="宋体" w:cs="宋体"/>
                <w:sz w:val="21"/>
                <w:szCs w:val="21"/>
              </w:rPr>
              <w:t>11.2</w:t>
            </w:r>
          </w:p>
        </w:tc>
        <w:tc>
          <w:tcPr>
            <w:tcW w:w="12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sz w:val="21"/>
                <w:szCs w:val="21"/>
              </w:rPr>
              <w:t>5</w:t>
            </w:r>
          </w:p>
        </w:tc>
      </w:tr>
      <w:tr>
        <w:tblPrEx>
          <w:tblCellMar>
            <w:top w:w="0" w:type="dxa"/>
            <w:left w:w="108" w:type="dxa"/>
            <w:bottom w:w="0" w:type="dxa"/>
            <w:right w:w="108" w:type="dxa"/>
          </w:tblCellMar>
        </w:tblPrEx>
        <w:trPr>
          <w:trHeight w:val="587" w:hRule="atLeast"/>
        </w:trPr>
        <w:tc>
          <w:tcPr>
            <w:tcW w:w="706"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kern w:val="0"/>
                <w:sz w:val="21"/>
                <w:szCs w:val="21"/>
                <w:lang w:bidi="ar"/>
              </w:rPr>
            </w:pPr>
            <w:r>
              <w:rPr>
                <w:rFonts w:hint="eastAsia" w:ascii="宋体" w:hAnsi="宋体" w:cs="宋体"/>
                <w:kern w:val="0"/>
                <w:sz w:val="21"/>
                <w:szCs w:val="21"/>
                <w:lang w:bidi="ar"/>
              </w:rPr>
              <w:t>11</w:t>
            </w:r>
          </w:p>
        </w:tc>
        <w:tc>
          <w:tcPr>
            <w:tcW w:w="2415"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kern w:val="0"/>
                <w:sz w:val="21"/>
                <w:szCs w:val="21"/>
                <w:lang w:bidi="ar"/>
              </w:rPr>
            </w:pPr>
            <w:r>
              <w:rPr>
                <w:rFonts w:hint="eastAsia" w:ascii="宋体" w:hAnsi="宋体" w:cs="宋体"/>
                <w:kern w:val="0"/>
                <w:sz w:val="21"/>
                <w:szCs w:val="21"/>
                <w:lang w:bidi="ar"/>
              </w:rPr>
              <w:t>天花板内置</w:t>
            </w:r>
            <w:r>
              <w:rPr>
                <w:rFonts w:hint="eastAsia" w:ascii="宋体" w:hAnsi="宋体" w:cs="宋体"/>
                <w:color w:val="000000"/>
                <w:kern w:val="0"/>
                <w:sz w:val="21"/>
                <w:szCs w:val="21"/>
                <w:lang w:bidi="ar"/>
              </w:rPr>
              <w:t>四向气流嵌入式KT-112</w:t>
            </w:r>
          </w:p>
        </w:tc>
        <w:tc>
          <w:tcPr>
            <w:tcW w:w="2064"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制冷量11.2KW</w:t>
            </w:r>
          </w:p>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制热量12.5KW</w:t>
            </w:r>
          </w:p>
        </w:tc>
        <w:tc>
          <w:tcPr>
            <w:tcW w:w="13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sz w:val="21"/>
                <w:szCs w:val="21"/>
              </w:rPr>
              <w:t>11.2</w:t>
            </w:r>
          </w:p>
        </w:tc>
        <w:tc>
          <w:tcPr>
            <w:tcW w:w="159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sz w:val="21"/>
                <w:szCs w:val="21"/>
              </w:rPr>
            </w:pPr>
            <w:r>
              <w:rPr>
                <w:rFonts w:hint="eastAsia" w:ascii="宋体" w:hAnsi="宋体" w:cs="宋体"/>
                <w:sz w:val="21"/>
                <w:szCs w:val="21"/>
              </w:rPr>
              <w:t>12.5</w:t>
            </w:r>
          </w:p>
        </w:tc>
        <w:tc>
          <w:tcPr>
            <w:tcW w:w="12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sz w:val="21"/>
                <w:szCs w:val="21"/>
              </w:rPr>
              <w:t>4</w:t>
            </w:r>
          </w:p>
        </w:tc>
      </w:tr>
      <w:tr>
        <w:tblPrEx>
          <w:tblCellMar>
            <w:top w:w="0" w:type="dxa"/>
            <w:left w:w="108" w:type="dxa"/>
            <w:bottom w:w="0" w:type="dxa"/>
            <w:right w:w="108" w:type="dxa"/>
          </w:tblCellMar>
        </w:tblPrEx>
        <w:trPr>
          <w:trHeight w:val="587" w:hRule="atLeast"/>
        </w:trPr>
        <w:tc>
          <w:tcPr>
            <w:tcW w:w="706"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kern w:val="0"/>
                <w:sz w:val="21"/>
                <w:szCs w:val="21"/>
                <w:lang w:bidi="ar"/>
              </w:rPr>
            </w:pPr>
            <w:r>
              <w:rPr>
                <w:rFonts w:hint="eastAsia" w:ascii="宋体" w:hAnsi="宋体" w:cs="宋体"/>
                <w:kern w:val="0"/>
                <w:sz w:val="21"/>
                <w:szCs w:val="21"/>
                <w:lang w:bidi="ar"/>
              </w:rPr>
              <w:t>12</w:t>
            </w:r>
          </w:p>
        </w:tc>
        <w:tc>
          <w:tcPr>
            <w:tcW w:w="2415"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kern w:val="0"/>
                <w:sz w:val="21"/>
                <w:szCs w:val="21"/>
                <w:lang w:bidi="ar"/>
              </w:rPr>
            </w:pPr>
            <w:r>
              <w:rPr>
                <w:rFonts w:hint="eastAsia" w:ascii="宋体" w:hAnsi="宋体" w:cs="宋体"/>
                <w:kern w:val="0"/>
                <w:sz w:val="21"/>
                <w:szCs w:val="21"/>
                <w:lang w:bidi="ar"/>
              </w:rPr>
              <w:t>天花板内置</w:t>
            </w:r>
            <w:r>
              <w:rPr>
                <w:rFonts w:hint="eastAsia" w:ascii="宋体" w:hAnsi="宋体" w:cs="宋体"/>
                <w:color w:val="000000"/>
                <w:kern w:val="0"/>
                <w:sz w:val="21"/>
                <w:szCs w:val="21"/>
                <w:lang w:bidi="ar"/>
              </w:rPr>
              <w:t>四向气流嵌入式KT-125</w:t>
            </w:r>
          </w:p>
        </w:tc>
        <w:tc>
          <w:tcPr>
            <w:tcW w:w="2064"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制冷量12.8KW</w:t>
            </w:r>
          </w:p>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制热量14.0KW</w:t>
            </w:r>
          </w:p>
        </w:tc>
        <w:tc>
          <w:tcPr>
            <w:tcW w:w="13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sz w:val="21"/>
                <w:szCs w:val="21"/>
              </w:rPr>
              <w:t>12.8</w:t>
            </w:r>
          </w:p>
        </w:tc>
        <w:tc>
          <w:tcPr>
            <w:tcW w:w="159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sz w:val="21"/>
                <w:szCs w:val="21"/>
              </w:rPr>
            </w:pPr>
            <w:r>
              <w:rPr>
                <w:rFonts w:hint="eastAsia" w:ascii="宋体" w:hAnsi="宋体" w:cs="宋体"/>
                <w:sz w:val="21"/>
                <w:szCs w:val="21"/>
              </w:rPr>
              <w:t>14.0</w:t>
            </w:r>
          </w:p>
        </w:tc>
        <w:tc>
          <w:tcPr>
            <w:tcW w:w="12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sz w:val="21"/>
                <w:szCs w:val="21"/>
              </w:rPr>
              <w:t>6</w:t>
            </w:r>
          </w:p>
        </w:tc>
      </w:tr>
      <w:tr>
        <w:tblPrEx>
          <w:tblCellMar>
            <w:top w:w="0" w:type="dxa"/>
            <w:left w:w="108" w:type="dxa"/>
            <w:bottom w:w="0" w:type="dxa"/>
            <w:right w:w="108" w:type="dxa"/>
          </w:tblCellMar>
        </w:tblPrEx>
        <w:trPr>
          <w:trHeight w:val="587" w:hRule="atLeast"/>
        </w:trPr>
        <w:tc>
          <w:tcPr>
            <w:tcW w:w="706"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kern w:val="0"/>
                <w:sz w:val="21"/>
                <w:szCs w:val="21"/>
                <w:lang w:bidi="ar"/>
              </w:rPr>
            </w:pPr>
            <w:r>
              <w:rPr>
                <w:rFonts w:hint="eastAsia" w:ascii="宋体" w:hAnsi="宋体" w:cs="宋体"/>
                <w:kern w:val="0"/>
                <w:sz w:val="21"/>
                <w:szCs w:val="21"/>
                <w:lang w:bidi="ar"/>
              </w:rPr>
              <w:t>13</w:t>
            </w:r>
          </w:p>
        </w:tc>
        <w:tc>
          <w:tcPr>
            <w:tcW w:w="2415"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kern w:val="0"/>
                <w:sz w:val="21"/>
                <w:szCs w:val="21"/>
                <w:lang w:bidi="ar"/>
              </w:rPr>
            </w:pPr>
            <w:r>
              <w:rPr>
                <w:rFonts w:hint="eastAsia" w:ascii="宋体" w:hAnsi="宋体" w:cs="宋体"/>
                <w:kern w:val="0"/>
                <w:sz w:val="21"/>
                <w:szCs w:val="21"/>
                <w:lang w:bidi="ar"/>
              </w:rPr>
              <w:t>天花板内置</w:t>
            </w:r>
            <w:r>
              <w:rPr>
                <w:rFonts w:hint="eastAsia" w:ascii="宋体" w:hAnsi="宋体" w:cs="宋体"/>
                <w:color w:val="000000"/>
                <w:kern w:val="0"/>
                <w:sz w:val="21"/>
                <w:szCs w:val="21"/>
                <w:lang w:bidi="ar"/>
              </w:rPr>
              <w:t>四向气流嵌入式KT-140</w:t>
            </w:r>
          </w:p>
        </w:tc>
        <w:tc>
          <w:tcPr>
            <w:tcW w:w="2064"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制冷量14.0KW</w:t>
            </w:r>
          </w:p>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制热量16.0KW</w:t>
            </w:r>
          </w:p>
        </w:tc>
        <w:tc>
          <w:tcPr>
            <w:tcW w:w="13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sz w:val="21"/>
                <w:szCs w:val="21"/>
              </w:rPr>
              <w:t>14.0</w:t>
            </w:r>
          </w:p>
        </w:tc>
        <w:tc>
          <w:tcPr>
            <w:tcW w:w="159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sz w:val="21"/>
                <w:szCs w:val="21"/>
              </w:rPr>
            </w:pPr>
            <w:r>
              <w:rPr>
                <w:rFonts w:hint="eastAsia" w:ascii="宋体" w:hAnsi="宋体" w:cs="宋体"/>
                <w:sz w:val="21"/>
                <w:szCs w:val="21"/>
              </w:rPr>
              <w:t>16.0</w:t>
            </w:r>
          </w:p>
        </w:tc>
        <w:tc>
          <w:tcPr>
            <w:tcW w:w="12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sz w:val="21"/>
                <w:szCs w:val="21"/>
              </w:rPr>
              <w:t>13</w:t>
            </w:r>
          </w:p>
        </w:tc>
      </w:tr>
      <w:tr>
        <w:tblPrEx>
          <w:tblCellMar>
            <w:top w:w="0" w:type="dxa"/>
            <w:left w:w="108" w:type="dxa"/>
            <w:bottom w:w="0" w:type="dxa"/>
            <w:right w:w="108" w:type="dxa"/>
          </w:tblCellMar>
        </w:tblPrEx>
        <w:trPr>
          <w:trHeight w:val="587" w:hRule="atLeast"/>
        </w:trPr>
        <w:tc>
          <w:tcPr>
            <w:tcW w:w="706"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kern w:val="0"/>
                <w:sz w:val="21"/>
                <w:szCs w:val="21"/>
                <w:lang w:bidi="ar"/>
              </w:rPr>
            </w:pPr>
            <w:r>
              <w:rPr>
                <w:rFonts w:hint="eastAsia" w:ascii="宋体" w:hAnsi="宋体" w:cs="宋体"/>
                <w:kern w:val="0"/>
                <w:sz w:val="21"/>
                <w:szCs w:val="21"/>
                <w:lang w:bidi="ar"/>
              </w:rPr>
              <w:t>14</w:t>
            </w:r>
          </w:p>
        </w:tc>
        <w:tc>
          <w:tcPr>
            <w:tcW w:w="2415"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kern w:val="0"/>
                <w:sz w:val="21"/>
                <w:szCs w:val="21"/>
                <w:lang w:bidi="ar"/>
              </w:rPr>
            </w:pPr>
            <w:r>
              <w:rPr>
                <w:rFonts w:hint="eastAsia" w:ascii="宋体" w:hAnsi="宋体" w:cs="宋体"/>
                <w:kern w:val="0"/>
                <w:sz w:val="21"/>
                <w:szCs w:val="21"/>
                <w:lang w:bidi="ar"/>
              </w:rPr>
              <w:t>天花板内置</w:t>
            </w:r>
            <w:r>
              <w:rPr>
                <w:rFonts w:hint="eastAsia" w:ascii="宋体" w:hAnsi="宋体" w:cs="宋体"/>
                <w:color w:val="000000"/>
                <w:kern w:val="0"/>
                <w:sz w:val="21"/>
                <w:szCs w:val="21"/>
                <w:lang w:bidi="ar"/>
              </w:rPr>
              <w:t>单向气流嵌入式KT-28</w:t>
            </w:r>
          </w:p>
        </w:tc>
        <w:tc>
          <w:tcPr>
            <w:tcW w:w="2064"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制冷量2.8KW</w:t>
            </w:r>
          </w:p>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制热量3.2KW</w:t>
            </w:r>
          </w:p>
        </w:tc>
        <w:tc>
          <w:tcPr>
            <w:tcW w:w="13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sz w:val="21"/>
                <w:szCs w:val="21"/>
              </w:rPr>
              <w:t>2.8</w:t>
            </w:r>
          </w:p>
        </w:tc>
        <w:tc>
          <w:tcPr>
            <w:tcW w:w="159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sz w:val="21"/>
                <w:szCs w:val="21"/>
              </w:rPr>
            </w:pPr>
            <w:r>
              <w:rPr>
                <w:rFonts w:hint="eastAsia" w:ascii="宋体" w:hAnsi="宋体" w:cs="宋体"/>
                <w:sz w:val="21"/>
                <w:szCs w:val="21"/>
              </w:rPr>
              <w:t>3.2</w:t>
            </w:r>
          </w:p>
        </w:tc>
        <w:tc>
          <w:tcPr>
            <w:tcW w:w="12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sz w:val="21"/>
                <w:szCs w:val="21"/>
              </w:rPr>
              <w:t>1</w:t>
            </w:r>
          </w:p>
        </w:tc>
      </w:tr>
      <w:tr>
        <w:tblPrEx>
          <w:tblCellMar>
            <w:top w:w="0" w:type="dxa"/>
            <w:left w:w="108" w:type="dxa"/>
            <w:bottom w:w="0" w:type="dxa"/>
            <w:right w:w="108" w:type="dxa"/>
          </w:tblCellMar>
        </w:tblPrEx>
        <w:trPr>
          <w:trHeight w:val="587" w:hRule="atLeast"/>
        </w:trPr>
        <w:tc>
          <w:tcPr>
            <w:tcW w:w="706"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kern w:val="0"/>
                <w:sz w:val="21"/>
                <w:szCs w:val="21"/>
                <w:lang w:bidi="ar"/>
              </w:rPr>
            </w:pPr>
            <w:r>
              <w:rPr>
                <w:rFonts w:hint="eastAsia" w:ascii="宋体" w:hAnsi="宋体" w:cs="宋体"/>
                <w:kern w:val="0"/>
                <w:sz w:val="21"/>
                <w:szCs w:val="21"/>
                <w:lang w:bidi="ar"/>
              </w:rPr>
              <w:t>15</w:t>
            </w:r>
          </w:p>
        </w:tc>
        <w:tc>
          <w:tcPr>
            <w:tcW w:w="2415"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kern w:val="0"/>
                <w:sz w:val="21"/>
                <w:szCs w:val="21"/>
                <w:lang w:bidi="ar"/>
              </w:rPr>
            </w:pPr>
            <w:r>
              <w:rPr>
                <w:rFonts w:hint="eastAsia" w:ascii="宋体" w:hAnsi="宋体" w:cs="宋体"/>
                <w:kern w:val="0"/>
                <w:sz w:val="21"/>
                <w:szCs w:val="21"/>
                <w:lang w:bidi="ar"/>
              </w:rPr>
              <w:t>天花板内置</w:t>
            </w:r>
            <w:r>
              <w:rPr>
                <w:rFonts w:hint="eastAsia" w:ascii="宋体" w:hAnsi="宋体" w:cs="宋体"/>
                <w:color w:val="000000"/>
                <w:kern w:val="0"/>
                <w:sz w:val="21"/>
                <w:szCs w:val="21"/>
                <w:lang w:bidi="ar"/>
              </w:rPr>
              <w:t>单向气流嵌入式KT-36</w:t>
            </w:r>
          </w:p>
        </w:tc>
        <w:tc>
          <w:tcPr>
            <w:tcW w:w="2064"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制冷量3.6KW</w:t>
            </w:r>
          </w:p>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制热量4.0KW</w:t>
            </w:r>
          </w:p>
        </w:tc>
        <w:tc>
          <w:tcPr>
            <w:tcW w:w="13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sz w:val="21"/>
                <w:szCs w:val="21"/>
              </w:rPr>
              <w:t>3.6</w:t>
            </w:r>
          </w:p>
        </w:tc>
        <w:tc>
          <w:tcPr>
            <w:tcW w:w="159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sz w:val="21"/>
                <w:szCs w:val="21"/>
              </w:rPr>
            </w:pPr>
            <w:r>
              <w:rPr>
                <w:rFonts w:hint="eastAsia" w:ascii="宋体" w:hAnsi="宋体" w:cs="宋体"/>
                <w:sz w:val="21"/>
                <w:szCs w:val="21"/>
              </w:rPr>
              <w:t>4.0</w:t>
            </w:r>
          </w:p>
        </w:tc>
        <w:tc>
          <w:tcPr>
            <w:tcW w:w="12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sz w:val="21"/>
                <w:szCs w:val="21"/>
              </w:rPr>
              <w:t>2</w:t>
            </w:r>
          </w:p>
        </w:tc>
      </w:tr>
      <w:tr>
        <w:tblPrEx>
          <w:tblCellMar>
            <w:top w:w="0" w:type="dxa"/>
            <w:left w:w="108" w:type="dxa"/>
            <w:bottom w:w="0" w:type="dxa"/>
            <w:right w:w="108" w:type="dxa"/>
          </w:tblCellMar>
        </w:tblPrEx>
        <w:trPr>
          <w:trHeight w:val="587" w:hRule="atLeast"/>
        </w:trPr>
        <w:tc>
          <w:tcPr>
            <w:tcW w:w="706"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kern w:val="0"/>
                <w:sz w:val="21"/>
                <w:szCs w:val="21"/>
                <w:lang w:bidi="ar"/>
              </w:rPr>
            </w:pPr>
            <w:r>
              <w:rPr>
                <w:rFonts w:hint="eastAsia" w:ascii="宋体" w:hAnsi="宋体" w:cs="宋体"/>
                <w:kern w:val="0"/>
                <w:sz w:val="21"/>
                <w:szCs w:val="21"/>
                <w:lang w:bidi="ar"/>
              </w:rPr>
              <w:t>16</w:t>
            </w:r>
          </w:p>
        </w:tc>
        <w:tc>
          <w:tcPr>
            <w:tcW w:w="2415"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kern w:val="0"/>
                <w:sz w:val="21"/>
                <w:szCs w:val="21"/>
                <w:lang w:bidi="ar"/>
              </w:rPr>
            </w:pPr>
            <w:r>
              <w:rPr>
                <w:rFonts w:hint="eastAsia" w:ascii="宋体" w:hAnsi="宋体" w:cs="宋体"/>
                <w:kern w:val="0"/>
                <w:sz w:val="21"/>
                <w:szCs w:val="21"/>
                <w:lang w:bidi="ar"/>
              </w:rPr>
              <w:t>天花板内置</w:t>
            </w:r>
            <w:r>
              <w:rPr>
                <w:rFonts w:hint="eastAsia" w:ascii="宋体" w:hAnsi="宋体" w:cs="宋体"/>
                <w:color w:val="000000"/>
                <w:kern w:val="0"/>
                <w:sz w:val="21"/>
                <w:szCs w:val="21"/>
                <w:lang w:bidi="ar"/>
              </w:rPr>
              <w:t>单向气流嵌入式KT-45</w:t>
            </w:r>
          </w:p>
        </w:tc>
        <w:tc>
          <w:tcPr>
            <w:tcW w:w="2064"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制冷量4.5KW</w:t>
            </w:r>
          </w:p>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制热量5.0KW</w:t>
            </w:r>
          </w:p>
        </w:tc>
        <w:tc>
          <w:tcPr>
            <w:tcW w:w="13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sz w:val="21"/>
                <w:szCs w:val="21"/>
              </w:rPr>
              <w:t>4.5</w:t>
            </w:r>
          </w:p>
        </w:tc>
        <w:tc>
          <w:tcPr>
            <w:tcW w:w="159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sz w:val="21"/>
                <w:szCs w:val="21"/>
              </w:rPr>
            </w:pPr>
            <w:r>
              <w:rPr>
                <w:rFonts w:hint="eastAsia" w:ascii="宋体" w:hAnsi="宋体" w:cs="宋体"/>
                <w:sz w:val="21"/>
                <w:szCs w:val="21"/>
              </w:rPr>
              <w:t>5.0</w:t>
            </w:r>
          </w:p>
        </w:tc>
        <w:tc>
          <w:tcPr>
            <w:tcW w:w="12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sz w:val="21"/>
                <w:szCs w:val="21"/>
              </w:rPr>
              <w:t>11</w:t>
            </w:r>
          </w:p>
        </w:tc>
      </w:tr>
      <w:tr>
        <w:tblPrEx>
          <w:tblCellMar>
            <w:top w:w="0" w:type="dxa"/>
            <w:left w:w="108" w:type="dxa"/>
            <w:bottom w:w="0" w:type="dxa"/>
            <w:right w:w="108" w:type="dxa"/>
          </w:tblCellMar>
        </w:tblPrEx>
        <w:trPr>
          <w:trHeight w:val="587" w:hRule="atLeast"/>
        </w:trPr>
        <w:tc>
          <w:tcPr>
            <w:tcW w:w="706"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kern w:val="0"/>
                <w:sz w:val="21"/>
                <w:szCs w:val="21"/>
                <w:lang w:bidi="ar"/>
              </w:rPr>
            </w:pPr>
            <w:r>
              <w:rPr>
                <w:rFonts w:hint="eastAsia" w:ascii="宋体" w:hAnsi="宋体" w:cs="宋体"/>
                <w:kern w:val="0"/>
                <w:sz w:val="21"/>
                <w:szCs w:val="21"/>
                <w:lang w:bidi="ar"/>
              </w:rPr>
              <w:t>17</w:t>
            </w:r>
          </w:p>
        </w:tc>
        <w:tc>
          <w:tcPr>
            <w:tcW w:w="2415"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kern w:val="0"/>
                <w:sz w:val="21"/>
                <w:szCs w:val="21"/>
                <w:lang w:bidi="ar"/>
              </w:rPr>
            </w:pPr>
            <w:r>
              <w:rPr>
                <w:rFonts w:hint="eastAsia" w:ascii="宋体" w:hAnsi="宋体" w:cs="宋体"/>
                <w:kern w:val="0"/>
                <w:sz w:val="21"/>
                <w:szCs w:val="21"/>
                <w:lang w:bidi="ar"/>
              </w:rPr>
              <w:t>天花板内置</w:t>
            </w:r>
            <w:r>
              <w:rPr>
                <w:rFonts w:hint="eastAsia" w:ascii="宋体" w:hAnsi="宋体" w:cs="宋体"/>
                <w:color w:val="000000"/>
                <w:kern w:val="0"/>
                <w:sz w:val="21"/>
                <w:szCs w:val="21"/>
                <w:lang w:bidi="ar"/>
              </w:rPr>
              <w:t>单向气流嵌入式KT-56</w:t>
            </w:r>
          </w:p>
        </w:tc>
        <w:tc>
          <w:tcPr>
            <w:tcW w:w="2064"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制冷量5.6KW</w:t>
            </w:r>
          </w:p>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制热量6.3KW</w:t>
            </w:r>
          </w:p>
        </w:tc>
        <w:tc>
          <w:tcPr>
            <w:tcW w:w="13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sz w:val="21"/>
                <w:szCs w:val="21"/>
              </w:rPr>
              <w:t>5.6</w:t>
            </w:r>
          </w:p>
        </w:tc>
        <w:tc>
          <w:tcPr>
            <w:tcW w:w="159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sz w:val="21"/>
                <w:szCs w:val="21"/>
              </w:rPr>
            </w:pPr>
            <w:r>
              <w:rPr>
                <w:rFonts w:hint="eastAsia" w:ascii="宋体" w:hAnsi="宋体" w:cs="宋体"/>
                <w:sz w:val="21"/>
                <w:szCs w:val="21"/>
              </w:rPr>
              <w:t>6.3</w:t>
            </w:r>
          </w:p>
        </w:tc>
        <w:tc>
          <w:tcPr>
            <w:tcW w:w="12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sz w:val="21"/>
                <w:szCs w:val="21"/>
              </w:rPr>
              <w:t>38</w:t>
            </w:r>
          </w:p>
        </w:tc>
      </w:tr>
      <w:tr>
        <w:tblPrEx>
          <w:tblCellMar>
            <w:top w:w="0" w:type="dxa"/>
            <w:left w:w="108" w:type="dxa"/>
            <w:bottom w:w="0" w:type="dxa"/>
            <w:right w:w="108" w:type="dxa"/>
          </w:tblCellMar>
        </w:tblPrEx>
        <w:trPr>
          <w:trHeight w:val="587" w:hRule="atLeast"/>
        </w:trPr>
        <w:tc>
          <w:tcPr>
            <w:tcW w:w="706"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kern w:val="0"/>
                <w:sz w:val="21"/>
                <w:szCs w:val="21"/>
                <w:lang w:bidi="ar"/>
              </w:rPr>
            </w:pPr>
            <w:r>
              <w:rPr>
                <w:rFonts w:hint="eastAsia" w:ascii="宋体" w:hAnsi="宋体" w:cs="宋体"/>
                <w:kern w:val="0"/>
                <w:sz w:val="21"/>
                <w:szCs w:val="21"/>
                <w:lang w:bidi="ar"/>
              </w:rPr>
              <w:t>18</w:t>
            </w:r>
          </w:p>
        </w:tc>
        <w:tc>
          <w:tcPr>
            <w:tcW w:w="2415"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kern w:val="0"/>
                <w:sz w:val="21"/>
                <w:szCs w:val="21"/>
                <w:lang w:bidi="ar"/>
              </w:rPr>
            </w:pPr>
            <w:r>
              <w:rPr>
                <w:rFonts w:hint="eastAsia" w:ascii="宋体" w:hAnsi="宋体" w:cs="宋体"/>
                <w:kern w:val="0"/>
                <w:sz w:val="21"/>
                <w:szCs w:val="21"/>
                <w:lang w:bidi="ar"/>
              </w:rPr>
              <w:t>天花板内置</w:t>
            </w:r>
            <w:r>
              <w:rPr>
                <w:rFonts w:hint="eastAsia" w:ascii="宋体" w:hAnsi="宋体" w:cs="宋体"/>
                <w:color w:val="000000"/>
                <w:kern w:val="0"/>
                <w:sz w:val="21"/>
                <w:szCs w:val="21"/>
                <w:lang w:bidi="ar"/>
              </w:rPr>
              <w:t>单向气流嵌入式KT-71</w:t>
            </w:r>
          </w:p>
        </w:tc>
        <w:tc>
          <w:tcPr>
            <w:tcW w:w="2064"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制冷量7.1KW</w:t>
            </w:r>
          </w:p>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制热量8.0KW</w:t>
            </w:r>
          </w:p>
        </w:tc>
        <w:tc>
          <w:tcPr>
            <w:tcW w:w="13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sz w:val="21"/>
                <w:szCs w:val="21"/>
              </w:rPr>
              <w:t>7.1</w:t>
            </w:r>
          </w:p>
        </w:tc>
        <w:tc>
          <w:tcPr>
            <w:tcW w:w="159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sz w:val="21"/>
                <w:szCs w:val="21"/>
              </w:rPr>
            </w:pPr>
            <w:r>
              <w:rPr>
                <w:rFonts w:hint="eastAsia" w:ascii="宋体" w:hAnsi="宋体" w:cs="宋体"/>
                <w:sz w:val="21"/>
                <w:szCs w:val="21"/>
              </w:rPr>
              <w:t>8.0</w:t>
            </w:r>
          </w:p>
        </w:tc>
        <w:tc>
          <w:tcPr>
            <w:tcW w:w="12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sz w:val="21"/>
                <w:szCs w:val="21"/>
              </w:rPr>
              <w:t>3</w:t>
            </w:r>
          </w:p>
        </w:tc>
      </w:tr>
      <w:tr>
        <w:tblPrEx>
          <w:tblCellMar>
            <w:top w:w="0" w:type="dxa"/>
            <w:left w:w="108" w:type="dxa"/>
            <w:bottom w:w="0" w:type="dxa"/>
            <w:right w:w="108" w:type="dxa"/>
          </w:tblCellMar>
        </w:tblPrEx>
        <w:trPr>
          <w:trHeight w:val="324" w:hRule="atLeast"/>
        </w:trPr>
        <w:tc>
          <w:tcPr>
            <w:tcW w:w="706"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cs="宋体"/>
                <w:kern w:val="0"/>
                <w:sz w:val="21"/>
                <w:szCs w:val="21"/>
                <w:lang w:bidi="ar"/>
              </w:rPr>
            </w:pPr>
          </w:p>
        </w:tc>
        <w:tc>
          <w:tcPr>
            <w:tcW w:w="2415"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cs="宋体"/>
                <w:kern w:val="0"/>
                <w:sz w:val="21"/>
                <w:szCs w:val="21"/>
                <w:lang w:bidi="ar"/>
              </w:rPr>
            </w:pPr>
            <w:r>
              <w:rPr>
                <w:rFonts w:hint="eastAsia" w:ascii="宋体" w:hAnsi="宋体" w:cs="宋体"/>
                <w:kern w:val="0"/>
                <w:sz w:val="21"/>
                <w:szCs w:val="21"/>
                <w:lang w:bidi="ar"/>
              </w:rPr>
              <w:t>合计</w:t>
            </w:r>
          </w:p>
        </w:tc>
        <w:tc>
          <w:tcPr>
            <w:tcW w:w="2064"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cs="宋体"/>
                <w:kern w:val="0"/>
                <w:sz w:val="21"/>
                <w:szCs w:val="21"/>
                <w:lang w:bidi="ar"/>
              </w:rPr>
            </w:pPr>
          </w:p>
        </w:tc>
        <w:tc>
          <w:tcPr>
            <w:tcW w:w="13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cs="宋体"/>
                <w:sz w:val="21"/>
                <w:szCs w:val="21"/>
              </w:rPr>
            </w:pPr>
          </w:p>
        </w:tc>
        <w:tc>
          <w:tcPr>
            <w:tcW w:w="159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sz w:val="21"/>
                <w:szCs w:val="21"/>
              </w:rPr>
            </w:pPr>
          </w:p>
        </w:tc>
        <w:tc>
          <w:tcPr>
            <w:tcW w:w="129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sz w:val="21"/>
                <w:szCs w:val="21"/>
              </w:rPr>
            </w:pPr>
            <w:r>
              <w:rPr>
                <w:rFonts w:hint="eastAsia" w:ascii="宋体" w:hAnsi="宋体" w:cs="宋体"/>
                <w:sz w:val="21"/>
                <w:szCs w:val="21"/>
              </w:rPr>
              <w:t>118</w:t>
            </w:r>
          </w:p>
        </w:tc>
      </w:tr>
    </w:tbl>
    <w:p>
      <w:pPr>
        <w:pStyle w:val="150"/>
        <w:spacing w:line="360" w:lineRule="auto"/>
        <w:ind w:left="2880"/>
        <w:rPr>
          <w:rFonts w:hint="eastAsia" w:hAnsi="宋体" w:cs="Times New Roman"/>
          <w:b/>
          <w:lang w:val="zh-CN"/>
        </w:rPr>
      </w:pPr>
    </w:p>
    <w:p>
      <w:pPr>
        <w:pStyle w:val="150"/>
        <w:spacing w:line="360" w:lineRule="auto"/>
        <w:ind w:left="2880"/>
        <w:rPr>
          <w:rFonts w:hint="eastAsia" w:hAnsi="宋体" w:cs="Times New Roman"/>
          <w:b/>
          <w:lang w:val="zh-CN"/>
        </w:rPr>
      </w:pPr>
    </w:p>
    <w:p>
      <w:pPr>
        <w:spacing w:line="400" w:lineRule="exact"/>
        <w:rPr>
          <w:rFonts w:ascii="宋体" w:hAnsi="宋体"/>
          <w:b/>
          <w:bCs/>
          <w:sz w:val="21"/>
          <w:szCs w:val="21"/>
        </w:rPr>
      </w:pPr>
      <w:r>
        <w:rPr>
          <w:rFonts w:ascii="宋体" w:hAnsi="宋体"/>
          <w:b/>
          <w:bCs/>
          <w:sz w:val="21"/>
          <w:szCs w:val="21"/>
        </w:rPr>
        <w:t>三、商务条款</w:t>
      </w:r>
    </w:p>
    <w:tbl>
      <w:tblPr>
        <w:tblStyle w:val="56"/>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67"/>
        <w:gridCol w:w="856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1" w:hRule="atLeast"/>
          <w:jc w:val="center"/>
        </w:trPr>
        <w:tc>
          <w:tcPr>
            <w:tcW w:w="967" w:type="dxa"/>
            <w:tcBorders>
              <w:top w:val="single" w:color="auto" w:sz="4" w:space="0"/>
              <w:bottom w:val="single" w:color="auto" w:sz="4" w:space="0"/>
              <w:right w:val="single" w:color="auto" w:sz="4" w:space="0"/>
            </w:tcBorders>
            <w:vAlign w:val="center"/>
          </w:tcPr>
          <w:p>
            <w:pPr>
              <w:spacing w:line="400" w:lineRule="exact"/>
              <w:rPr>
                <w:rFonts w:ascii="宋体" w:hAnsi="宋体"/>
                <w:sz w:val="21"/>
                <w:szCs w:val="21"/>
              </w:rPr>
            </w:pPr>
            <w:r>
              <w:rPr>
                <w:rFonts w:ascii="宋体" w:hAnsi="宋体"/>
                <w:sz w:val="21"/>
                <w:szCs w:val="21"/>
              </w:rPr>
              <w:t>实施要求</w:t>
            </w:r>
          </w:p>
        </w:tc>
        <w:tc>
          <w:tcPr>
            <w:tcW w:w="8563" w:type="dxa"/>
            <w:tcBorders>
              <w:top w:val="single" w:color="auto" w:sz="4" w:space="0"/>
              <w:left w:val="single" w:color="auto" w:sz="4" w:space="0"/>
              <w:bottom w:val="single" w:color="auto" w:sz="4" w:space="0"/>
            </w:tcBorders>
            <w:vAlign w:val="center"/>
          </w:tcPr>
          <w:p>
            <w:pPr>
              <w:spacing w:line="400" w:lineRule="exact"/>
              <w:rPr>
                <w:rFonts w:ascii="宋体" w:hAnsi="宋体"/>
                <w:sz w:val="21"/>
                <w:szCs w:val="21"/>
              </w:rPr>
            </w:pPr>
            <w:r>
              <w:rPr>
                <w:rFonts w:ascii="宋体" w:hAnsi="宋体"/>
                <w:sz w:val="21"/>
                <w:szCs w:val="21"/>
              </w:rPr>
              <w:t>1.合同履行期中标供应商须派驻项目负责人承担交货、安装、调试、验收、维保等统筹协调任务。</w:t>
            </w:r>
          </w:p>
          <w:p>
            <w:pPr>
              <w:spacing w:line="400" w:lineRule="exact"/>
              <w:rPr>
                <w:rFonts w:ascii="宋体" w:hAnsi="宋体"/>
                <w:sz w:val="21"/>
                <w:szCs w:val="21"/>
              </w:rPr>
            </w:pPr>
            <w:r>
              <w:rPr>
                <w:rFonts w:ascii="宋体" w:hAnsi="宋体"/>
                <w:sz w:val="21"/>
                <w:szCs w:val="21"/>
              </w:rPr>
              <w:t>2.交付验收同时，中标供应商须向采购人提供完整的文档资料、图集、部署手册、操作手册等（包括电子版）、质保函等各类验收所需要材料。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3" w:hRule="atLeast"/>
          <w:jc w:val="center"/>
        </w:trPr>
        <w:tc>
          <w:tcPr>
            <w:tcW w:w="967" w:type="dxa"/>
            <w:tcBorders>
              <w:top w:val="single" w:color="auto" w:sz="4" w:space="0"/>
              <w:bottom w:val="single" w:color="auto" w:sz="4" w:space="0"/>
              <w:right w:val="single" w:color="auto" w:sz="4" w:space="0"/>
            </w:tcBorders>
            <w:vAlign w:val="center"/>
          </w:tcPr>
          <w:p>
            <w:pPr>
              <w:spacing w:line="400" w:lineRule="exact"/>
              <w:rPr>
                <w:rFonts w:ascii="宋体" w:hAnsi="宋体"/>
                <w:sz w:val="21"/>
                <w:szCs w:val="21"/>
              </w:rPr>
            </w:pPr>
            <w:r>
              <w:rPr>
                <w:rFonts w:ascii="宋体" w:hAnsi="宋体"/>
                <w:sz w:val="21"/>
                <w:szCs w:val="21"/>
              </w:rPr>
              <w:t>交货地点、交货时间、安装调试期及验收</w:t>
            </w:r>
          </w:p>
        </w:tc>
        <w:tc>
          <w:tcPr>
            <w:tcW w:w="8563" w:type="dxa"/>
            <w:tcBorders>
              <w:top w:val="single" w:color="auto" w:sz="4" w:space="0"/>
              <w:left w:val="single" w:color="auto" w:sz="4" w:space="0"/>
              <w:bottom w:val="single" w:color="auto" w:sz="4" w:space="0"/>
            </w:tcBorders>
            <w:vAlign w:val="center"/>
          </w:tcPr>
          <w:p>
            <w:pPr>
              <w:spacing w:line="400" w:lineRule="exact"/>
              <w:rPr>
                <w:rFonts w:ascii="宋体" w:hAnsi="宋体"/>
                <w:sz w:val="21"/>
                <w:szCs w:val="21"/>
                <w:highlight w:val="none"/>
              </w:rPr>
            </w:pPr>
            <w:r>
              <w:rPr>
                <w:rFonts w:ascii="宋体" w:hAnsi="宋体"/>
                <w:sz w:val="21"/>
                <w:szCs w:val="21"/>
              </w:rPr>
              <w:t>交货地点：</w:t>
            </w:r>
            <w:r>
              <w:rPr>
                <w:rFonts w:hint="eastAsia" w:ascii="宋体" w:hAnsi="宋体"/>
                <w:sz w:val="21"/>
                <w:szCs w:val="21"/>
                <w:highlight w:val="none"/>
                <w:lang w:eastAsia="zh-CN"/>
              </w:rPr>
              <w:t>嘉兴市秀洲区人民政府高照街道办事处</w:t>
            </w:r>
            <w:r>
              <w:rPr>
                <w:rFonts w:hint="eastAsia" w:ascii="宋体" w:hAnsi="宋体"/>
                <w:sz w:val="21"/>
                <w:szCs w:val="21"/>
                <w:highlight w:val="none"/>
              </w:rPr>
              <w:t>内甲方指定地点</w:t>
            </w:r>
            <w:r>
              <w:rPr>
                <w:rFonts w:ascii="宋体" w:hAnsi="宋体"/>
                <w:sz w:val="21"/>
                <w:szCs w:val="21"/>
                <w:highlight w:val="none"/>
              </w:rPr>
              <w:t>。</w:t>
            </w:r>
          </w:p>
          <w:p>
            <w:pPr>
              <w:spacing w:line="400" w:lineRule="exact"/>
              <w:rPr>
                <w:rFonts w:ascii="宋体" w:hAnsi="宋体"/>
                <w:sz w:val="21"/>
                <w:szCs w:val="21"/>
              </w:rPr>
            </w:pPr>
            <w:r>
              <w:rPr>
                <w:rFonts w:ascii="宋体" w:hAnsi="宋体"/>
                <w:sz w:val="21"/>
                <w:szCs w:val="21"/>
              </w:rPr>
              <w:t>空调安装具体位置按采购人提供的图纸（详见附件：空调施工图）进行，若部分图纸未明确则由采购人现场确定。</w:t>
            </w:r>
          </w:p>
          <w:p>
            <w:pPr>
              <w:spacing w:line="400" w:lineRule="exact"/>
              <w:rPr>
                <w:rFonts w:hint="eastAsia" w:ascii="宋体" w:hAnsi="宋体"/>
                <w:b/>
                <w:bCs/>
                <w:sz w:val="21"/>
                <w:szCs w:val="21"/>
              </w:rPr>
            </w:pPr>
            <w:r>
              <w:rPr>
                <w:rFonts w:ascii="宋体" w:hAnsi="宋体"/>
                <w:sz w:val="21"/>
                <w:szCs w:val="21"/>
              </w:rPr>
              <w:t>交货时间、安装调试期及验收时间：</w:t>
            </w:r>
            <w:r>
              <w:rPr>
                <w:rFonts w:hint="eastAsia" w:ascii="宋体" w:hAnsi="宋体"/>
                <w:b/>
                <w:bCs/>
                <w:sz w:val="21"/>
                <w:szCs w:val="21"/>
              </w:rPr>
              <w:t>与装修改造同步</w:t>
            </w:r>
            <w:r>
              <w:rPr>
                <w:rFonts w:hint="eastAsia" w:ascii="宋体" w:hAnsi="宋体"/>
                <w:b/>
                <w:bCs/>
                <w:sz w:val="21"/>
                <w:szCs w:val="21"/>
                <w:lang w:eastAsia="zh-CN"/>
              </w:rPr>
              <w:t>（</w:t>
            </w:r>
            <w:r>
              <w:rPr>
                <w:rFonts w:hint="eastAsia" w:ascii="宋体" w:hAnsi="宋体"/>
                <w:b/>
                <w:bCs/>
                <w:sz w:val="21"/>
                <w:szCs w:val="21"/>
                <w:lang w:val="en-US" w:eastAsia="zh-CN"/>
              </w:rPr>
              <w:t>2022年8月至12月</w:t>
            </w:r>
            <w:r>
              <w:rPr>
                <w:rFonts w:hint="eastAsia" w:ascii="宋体" w:hAnsi="宋体"/>
                <w:b/>
                <w:bCs/>
                <w:sz w:val="21"/>
                <w:szCs w:val="21"/>
                <w:lang w:eastAsia="zh-CN"/>
              </w:rPr>
              <w:t>）</w:t>
            </w:r>
            <w:r>
              <w:rPr>
                <w:rFonts w:hint="eastAsia" w:ascii="宋体" w:hAnsi="宋体"/>
                <w:b/>
                <w:bCs/>
                <w:sz w:val="21"/>
                <w:szCs w:val="21"/>
              </w:rPr>
              <w:t>。投标人须在投标文件中提交按全部同时安装所需的最短交货期及最短安装、调试工期。</w:t>
            </w:r>
          </w:p>
          <w:p>
            <w:pPr>
              <w:spacing w:line="400" w:lineRule="exact"/>
              <w:rPr>
                <w:rFonts w:ascii="宋体" w:hAnsi="宋体"/>
                <w:sz w:val="21"/>
                <w:szCs w:val="21"/>
              </w:rPr>
            </w:pPr>
            <w:r>
              <w:rPr>
                <w:rFonts w:ascii="宋体" w:hAnsi="宋体"/>
                <w:sz w:val="21"/>
                <w:szCs w:val="21"/>
              </w:rPr>
              <w:t>安装要求：</w:t>
            </w:r>
          </w:p>
          <w:p>
            <w:pPr>
              <w:spacing w:line="400" w:lineRule="exact"/>
              <w:rPr>
                <w:rFonts w:ascii="宋体" w:hAnsi="宋体"/>
                <w:sz w:val="21"/>
                <w:szCs w:val="21"/>
              </w:rPr>
            </w:pPr>
            <w:r>
              <w:rPr>
                <w:rFonts w:ascii="宋体" w:hAnsi="宋体"/>
                <w:sz w:val="21"/>
                <w:szCs w:val="21"/>
              </w:rPr>
              <w:t>1.需配合施工进度，完成安装、调试工作。</w:t>
            </w:r>
          </w:p>
          <w:p>
            <w:pPr>
              <w:spacing w:line="400" w:lineRule="exact"/>
              <w:rPr>
                <w:rFonts w:ascii="宋体" w:hAnsi="宋体"/>
                <w:sz w:val="21"/>
                <w:szCs w:val="21"/>
              </w:rPr>
            </w:pPr>
            <w:r>
              <w:rPr>
                <w:rFonts w:ascii="宋体" w:hAnsi="宋体"/>
                <w:sz w:val="21"/>
                <w:szCs w:val="21"/>
              </w:rPr>
              <w:t>2.空调冷凝水排放，如需打孔，由中标供应商负责，还须对孔洞填补并进行美化处理，要求美化后颜色与墙体颜色无明显差别。</w:t>
            </w:r>
          </w:p>
          <w:p>
            <w:pPr>
              <w:spacing w:line="400" w:lineRule="exact"/>
              <w:rPr>
                <w:rFonts w:ascii="宋体" w:hAnsi="宋体"/>
                <w:sz w:val="21"/>
                <w:szCs w:val="21"/>
              </w:rPr>
            </w:pPr>
            <w:r>
              <w:rPr>
                <w:rFonts w:ascii="宋体" w:hAnsi="宋体"/>
                <w:sz w:val="21"/>
                <w:szCs w:val="21"/>
              </w:rPr>
              <w:t>3.安装调试时应文明施工，对已完工程进行必要的保护，如果造成任何损失由中标供应商负责。</w:t>
            </w:r>
          </w:p>
          <w:p>
            <w:pPr>
              <w:spacing w:line="400" w:lineRule="exact"/>
              <w:rPr>
                <w:rFonts w:ascii="宋体" w:hAnsi="宋体"/>
                <w:sz w:val="21"/>
                <w:szCs w:val="21"/>
              </w:rPr>
            </w:pPr>
            <w:r>
              <w:rPr>
                <w:rFonts w:ascii="宋体" w:hAnsi="宋体"/>
                <w:sz w:val="21"/>
                <w:szCs w:val="21"/>
              </w:rPr>
              <w:t>4.安装调试须由持有相应证书的安装人员进行，中标供应商须为相关人员购买保险（如意外伤害险）。</w:t>
            </w:r>
          </w:p>
          <w:p>
            <w:pPr>
              <w:spacing w:line="400" w:lineRule="exact"/>
              <w:rPr>
                <w:rFonts w:ascii="宋体" w:hAnsi="宋体"/>
                <w:sz w:val="21"/>
                <w:szCs w:val="21"/>
              </w:rPr>
            </w:pPr>
            <w:r>
              <w:rPr>
                <w:rFonts w:ascii="宋体" w:hAnsi="宋体"/>
                <w:sz w:val="21"/>
                <w:szCs w:val="21"/>
              </w:rPr>
              <w:t>5.中标供应商须认真落实各项安全保护措施，保证工程的施工安全和人身安全；完成本项目过程中发生的一切安全事故由中标供应商负全责。</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967" w:type="dxa"/>
            <w:tcBorders>
              <w:top w:val="single" w:color="auto" w:sz="4" w:space="0"/>
              <w:bottom w:val="single" w:color="auto" w:sz="4" w:space="0"/>
              <w:right w:val="single" w:color="auto" w:sz="4" w:space="0"/>
            </w:tcBorders>
            <w:vAlign w:val="center"/>
          </w:tcPr>
          <w:p>
            <w:pPr>
              <w:spacing w:line="400" w:lineRule="exact"/>
              <w:rPr>
                <w:rFonts w:ascii="宋体" w:hAnsi="宋体"/>
                <w:sz w:val="21"/>
                <w:szCs w:val="21"/>
              </w:rPr>
            </w:pPr>
            <w:r>
              <w:rPr>
                <w:rFonts w:ascii="宋体" w:hAnsi="宋体"/>
                <w:sz w:val="21"/>
                <w:szCs w:val="21"/>
              </w:rPr>
              <w:t>售后要求</w:t>
            </w:r>
          </w:p>
        </w:tc>
        <w:tc>
          <w:tcPr>
            <w:tcW w:w="8563" w:type="dxa"/>
            <w:tcBorders>
              <w:top w:val="single" w:color="auto" w:sz="4" w:space="0"/>
              <w:left w:val="single" w:color="auto" w:sz="4" w:space="0"/>
              <w:bottom w:val="single" w:color="auto" w:sz="4" w:space="0"/>
            </w:tcBorders>
            <w:vAlign w:val="center"/>
          </w:tcPr>
          <w:p>
            <w:pPr>
              <w:spacing w:line="400" w:lineRule="exact"/>
              <w:rPr>
                <w:rFonts w:ascii="宋体" w:hAnsi="宋体"/>
                <w:sz w:val="21"/>
                <w:szCs w:val="21"/>
              </w:rPr>
            </w:pPr>
            <w:r>
              <w:rPr>
                <w:rFonts w:ascii="宋体" w:hAnsi="宋体"/>
                <w:sz w:val="21"/>
                <w:szCs w:val="21"/>
              </w:rPr>
              <w:t>1.须有售后服务保障网点，包括但不限于在采购人附近有固定的维修服务站，能提供正常的技术、备品备件服务等。</w:t>
            </w:r>
          </w:p>
          <w:p>
            <w:pPr>
              <w:spacing w:line="400" w:lineRule="exact"/>
              <w:rPr>
                <w:rFonts w:ascii="宋体" w:hAnsi="宋体"/>
                <w:sz w:val="21"/>
                <w:szCs w:val="21"/>
              </w:rPr>
            </w:pPr>
            <w:r>
              <w:rPr>
                <w:rFonts w:ascii="宋体" w:hAnsi="宋体"/>
                <w:sz w:val="21"/>
                <w:szCs w:val="21"/>
              </w:rPr>
              <w:t>2．当发生故障时，中标供应商在接到采购人通知后，6月—9月2小时内，其余月份6小时内派人赴现场处理设备质量问题。24小时内不能修复的，则无偿提供备机或备用零件供采购单位使用。设有投标货物的售后技术服务机构，配有较强的技术队伍，能提供快速的售后服务响应。提供7*24小时上门服务。</w:t>
            </w:r>
          </w:p>
          <w:p>
            <w:pPr>
              <w:spacing w:line="400" w:lineRule="exact"/>
              <w:rPr>
                <w:rFonts w:ascii="宋体" w:hAnsi="宋体"/>
                <w:sz w:val="21"/>
                <w:szCs w:val="21"/>
              </w:rPr>
            </w:pPr>
            <w:r>
              <w:rPr>
                <w:rFonts w:ascii="宋体" w:hAnsi="宋体"/>
                <w:sz w:val="21"/>
                <w:szCs w:val="21"/>
              </w:rPr>
              <w:t>3.验收合格之日起两年内，每年至少二次，对所供空调设备进行除尘、除菌等服务；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967" w:type="dxa"/>
            <w:tcBorders>
              <w:top w:val="single" w:color="auto" w:sz="4" w:space="0"/>
              <w:bottom w:val="single" w:color="auto" w:sz="4" w:space="0"/>
              <w:right w:val="single" w:color="auto" w:sz="4" w:space="0"/>
            </w:tcBorders>
            <w:vAlign w:val="center"/>
          </w:tcPr>
          <w:p>
            <w:pPr>
              <w:spacing w:line="400" w:lineRule="exact"/>
              <w:rPr>
                <w:rFonts w:ascii="宋体" w:hAnsi="宋体"/>
                <w:sz w:val="21"/>
                <w:szCs w:val="21"/>
              </w:rPr>
            </w:pPr>
            <w:r>
              <w:rPr>
                <w:rFonts w:ascii="宋体" w:hAnsi="宋体"/>
                <w:sz w:val="21"/>
                <w:szCs w:val="21"/>
              </w:rPr>
              <w:t>质保期</w:t>
            </w:r>
          </w:p>
        </w:tc>
        <w:tc>
          <w:tcPr>
            <w:tcW w:w="8563" w:type="dxa"/>
            <w:tcBorders>
              <w:top w:val="single" w:color="auto" w:sz="4" w:space="0"/>
              <w:left w:val="single" w:color="auto" w:sz="4" w:space="0"/>
              <w:bottom w:val="single" w:color="auto" w:sz="4" w:space="0"/>
            </w:tcBorders>
            <w:vAlign w:val="center"/>
          </w:tcPr>
          <w:p>
            <w:pPr>
              <w:spacing w:line="400" w:lineRule="exact"/>
              <w:rPr>
                <w:rFonts w:ascii="宋体" w:hAnsi="宋体"/>
                <w:sz w:val="21"/>
                <w:szCs w:val="21"/>
              </w:rPr>
            </w:pPr>
            <w:r>
              <w:rPr>
                <w:rFonts w:ascii="宋体" w:hAnsi="宋体"/>
                <w:sz w:val="21"/>
                <w:szCs w:val="21"/>
              </w:rPr>
              <w:t>1.压缩机质保期不少于2年，整机质保期不少于2年。质保期自验收合格之日起算。</w:t>
            </w:r>
          </w:p>
          <w:p>
            <w:pPr>
              <w:spacing w:line="400" w:lineRule="exact"/>
              <w:rPr>
                <w:rFonts w:ascii="宋体" w:hAnsi="宋体"/>
                <w:sz w:val="21"/>
                <w:szCs w:val="21"/>
              </w:rPr>
            </w:pPr>
            <w:r>
              <w:rPr>
                <w:rFonts w:ascii="宋体" w:hAnsi="宋体"/>
                <w:sz w:val="21"/>
                <w:szCs w:val="21"/>
              </w:rPr>
              <w:t>2．承诺：供货时提供原厂商2年质保函原件。交付验收时提供原厂商针对本项目的保修服务承诺函，所供产品的最终用户为“</w:t>
            </w:r>
            <w:r>
              <w:rPr>
                <w:rFonts w:hint="eastAsia" w:ascii="宋体" w:hAnsi="宋体"/>
                <w:sz w:val="21"/>
                <w:szCs w:val="21"/>
                <w:lang w:eastAsia="zh-CN"/>
              </w:rPr>
              <w:t>嘉兴市秀洲区人民政府高照街道办事处</w:t>
            </w:r>
            <w:r>
              <w:rPr>
                <w:rFonts w:ascii="宋体" w:hAnsi="宋体"/>
                <w:sz w:val="21"/>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967" w:type="dxa"/>
            <w:tcBorders>
              <w:top w:val="single" w:color="auto" w:sz="4" w:space="0"/>
              <w:bottom w:val="single" w:color="auto" w:sz="4" w:space="0"/>
              <w:right w:val="single" w:color="auto" w:sz="4" w:space="0"/>
            </w:tcBorders>
            <w:vAlign w:val="center"/>
          </w:tcPr>
          <w:p>
            <w:pPr>
              <w:spacing w:line="400" w:lineRule="exact"/>
              <w:rPr>
                <w:rFonts w:ascii="宋体" w:hAnsi="宋体"/>
                <w:sz w:val="21"/>
                <w:szCs w:val="21"/>
              </w:rPr>
            </w:pPr>
            <w:r>
              <w:rPr>
                <w:rFonts w:ascii="宋体" w:hAnsi="宋体"/>
                <w:sz w:val="21"/>
                <w:szCs w:val="21"/>
              </w:rPr>
              <w:t>报价要求</w:t>
            </w:r>
          </w:p>
        </w:tc>
        <w:tc>
          <w:tcPr>
            <w:tcW w:w="8563" w:type="dxa"/>
            <w:tcBorders>
              <w:top w:val="single" w:color="auto" w:sz="4" w:space="0"/>
              <w:left w:val="single" w:color="auto" w:sz="4" w:space="0"/>
              <w:bottom w:val="single" w:color="auto" w:sz="4" w:space="0"/>
            </w:tcBorders>
            <w:vAlign w:val="center"/>
          </w:tcPr>
          <w:p>
            <w:pPr>
              <w:spacing w:line="400" w:lineRule="exact"/>
              <w:rPr>
                <w:rFonts w:ascii="宋体" w:hAnsi="宋体"/>
                <w:sz w:val="21"/>
                <w:szCs w:val="21"/>
                <w:highlight w:val="none"/>
              </w:rPr>
            </w:pPr>
            <w:r>
              <w:rPr>
                <w:rFonts w:ascii="宋体" w:hAnsi="宋体"/>
                <w:sz w:val="21"/>
                <w:szCs w:val="21"/>
                <w:highlight w:val="none"/>
              </w:rPr>
              <w:t>包含项目实施所需的一切设备、外机基础、外机配电柜、线材、PVC管引至排水管费用、布线、配管、配件、安装调试、运输、装卸、人工、保险、税金、招投标、审计等一切相关费用，采购人不承担由于本项目实施而产生的任何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967" w:type="dxa"/>
            <w:tcBorders>
              <w:top w:val="single" w:color="auto" w:sz="4" w:space="0"/>
              <w:bottom w:val="single" w:color="auto" w:sz="4" w:space="0"/>
              <w:right w:val="single" w:color="auto" w:sz="4" w:space="0"/>
            </w:tcBorders>
            <w:vAlign w:val="center"/>
          </w:tcPr>
          <w:p>
            <w:pPr>
              <w:spacing w:line="400" w:lineRule="exact"/>
              <w:rPr>
                <w:rFonts w:ascii="宋体" w:hAnsi="宋体"/>
                <w:sz w:val="21"/>
                <w:szCs w:val="21"/>
              </w:rPr>
            </w:pPr>
            <w:r>
              <w:rPr>
                <w:rFonts w:ascii="宋体" w:hAnsi="宋体"/>
                <w:sz w:val="21"/>
                <w:szCs w:val="21"/>
              </w:rPr>
              <w:t>履约保证金</w:t>
            </w:r>
          </w:p>
        </w:tc>
        <w:tc>
          <w:tcPr>
            <w:tcW w:w="8563" w:type="dxa"/>
            <w:tcBorders>
              <w:top w:val="single" w:color="auto" w:sz="4" w:space="0"/>
              <w:left w:val="single" w:color="auto" w:sz="4" w:space="0"/>
              <w:bottom w:val="single" w:color="auto" w:sz="4" w:space="0"/>
            </w:tcBorders>
            <w:vAlign w:val="center"/>
          </w:tcPr>
          <w:p>
            <w:pPr>
              <w:spacing w:line="360" w:lineRule="auto"/>
              <w:rPr>
                <w:rFonts w:ascii="宋体" w:hAnsi="宋体"/>
                <w:sz w:val="21"/>
                <w:szCs w:val="21"/>
                <w:highlight w:val="none"/>
              </w:rPr>
            </w:pPr>
            <w:r>
              <w:rPr>
                <w:rFonts w:ascii="宋体" w:hAnsi="宋体"/>
                <w:sz w:val="21"/>
                <w:szCs w:val="21"/>
                <w:highlight w:val="none"/>
              </w:rPr>
              <w:t xml:space="preserve">履约保证金: </w:t>
            </w:r>
            <w:r>
              <w:rPr>
                <w:rFonts w:hint="eastAsia" w:ascii="宋体" w:hAnsi="宋体"/>
                <w:sz w:val="21"/>
                <w:szCs w:val="21"/>
                <w:highlight w:val="none"/>
              </w:rPr>
              <w:t>签订合同后</w:t>
            </w:r>
            <w:r>
              <w:rPr>
                <w:rFonts w:ascii="宋体" w:hAnsi="宋体"/>
                <w:sz w:val="21"/>
                <w:szCs w:val="21"/>
                <w:highlight w:val="none"/>
              </w:rPr>
              <w:t>7</w:t>
            </w:r>
            <w:r>
              <w:rPr>
                <w:rFonts w:hint="eastAsia" w:ascii="宋体" w:hAnsi="宋体"/>
                <w:sz w:val="21"/>
                <w:szCs w:val="21"/>
                <w:highlight w:val="none"/>
              </w:rPr>
              <w:t xml:space="preserve">个工作日内，中标供应商向采购人缴纳中标金额 </w:t>
            </w:r>
            <w:r>
              <w:rPr>
                <w:rFonts w:ascii="宋体" w:hAnsi="宋体"/>
                <w:sz w:val="21"/>
                <w:szCs w:val="21"/>
                <w:highlight w:val="none"/>
              </w:rPr>
              <w:t>1</w:t>
            </w:r>
            <w:r>
              <w:rPr>
                <w:rFonts w:hint="eastAsia" w:ascii="宋体" w:hAnsi="宋体"/>
                <w:sz w:val="21"/>
                <w:szCs w:val="21"/>
                <w:highlight w:val="none"/>
              </w:rPr>
              <w:t xml:space="preserve"> %作为本项目的履约保证金（收到履约保证金时合同生效），验收合格后5个工作日内无息退还</w:t>
            </w:r>
            <w:r>
              <w:rPr>
                <w:rFonts w:ascii="宋体" w:hAnsi="宋体"/>
                <w:sz w:val="21"/>
                <w:szCs w:val="21"/>
                <w:highlight w:val="none"/>
              </w:rPr>
              <w:t>。</w:t>
            </w:r>
          </w:p>
          <w:p>
            <w:pPr>
              <w:pStyle w:val="9"/>
              <w:spacing w:line="360" w:lineRule="auto"/>
              <w:ind w:firstLine="0"/>
              <w:rPr>
                <w:rFonts w:hAnsi="宋体"/>
                <w:spacing w:val="0"/>
                <w:kern w:val="2"/>
                <w:sz w:val="21"/>
                <w:szCs w:val="21"/>
                <w:highlight w:val="none"/>
              </w:rPr>
            </w:pPr>
            <w:r>
              <w:rPr>
                <w:rFonts w:hAnsi="宋体"/>
                <w:spacing w:val="0"/>
                <w:kern w:val="2"/>
                <w:sz w:val="21"/>
                <w:szCs w:val="21"/>
                <w:highlight w:val="none"/>
              </w:rPr>
              <w:t>履约保证金</w:t>
            </w:r>
            <w:r>
              <w:rPr>
                <w:rFonts w:hint="eastAsia" w:hAnsi="宋体"/>
                <w:spacing w:val="0"/>
                <w:kern w:val="2"/>
                <w:sz w:val="21"/>
                <w:szCs w:val="21"/>
                <w:highlight w:val="none"/>
              </w:rPr>
              <w:t>缴纳方式：银行保函（银行在嘉兴市设有分支机构）、保证保险、担保公司（经过银保监部门审批通过并在嘉兴市设有分支机构）担保；电汇、网银转账【应从基本账户转出，超级网银除外】。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967" w:type="dxa"/>
            <w:tcBorders>
              <w:top w:val="single" w:color="auto" w:sz="4" w:space="0"/>
              <w:bottom w:val="single" w:color="auto" w:sz="4" w:space="0"/>
              <w:right w:val="single" w:color="auto" w:sz="4" w:space="0"/>
            </w:tcBorders>
            <w:vAlign w:val="center"/>
          </w:tcPr>
          <w:p>
            <w:pPr>
              <w:spacing w:line="400" w:lineRule="exact"/>
              <w:rPr>
                <w:rFonts w:ascii="宋体" w:hAnsi="宋体"/>
                <w:sz w:val="21"/>
                <w:szCs w:val="21"/>
              </w:rPr>
            </w:pPr>
            <w:r>
              <w:rPr>
                <w:rFonts w:ascii="宋体" w:hAnsi="宋体"/>
                <w:sz w:val="21"/>
                <w:szCs w:val="21"/>
              </w:rPr>
              <w:t>付款方式</w:t>
            </w:r>
          </w:p>
        </w:tc>
        <w:tc>
          <w:tcPr>
            <w:tcW w:w="8563" w:type="dxa"/>
            <w:tcBorders>
              <w:top w:val="single" w:color="auto" w:sz="4" w:space="0"/>
              <w:left w:val="single" w:color="auto" w:sz="4" w:space="0"/>
              <w:bottom w:val="single" w:color="auto" w:sz="4" w:space="0"/>
            </w:tcBorders>
            <w:vAlign w:val="center"/>
          </w:tcPr>
          <w:p>
            <w:pPr>
              <w:spacing w:line="400" w:lineRule="exact"/>
              <w:jc w:val="left"/>
              <w:rPr>
                <w:rFonts w:ascii="宋体" w:hAnsi="宋体"/>
                <w:sz w:val="21"/>
                <w:szCs w:val="21"/>
              </w:rPr>
            </w:pPr>
            <w:r>
              <w:rPr>
                <w:rFonts w:ascii="宋体" w:hAnsi="宋体"/>
                <w:sz w:val="21"/>
                <w:szCs w:val="21"/>
              </w:rPr>
              <w:t>付款条</w:t>
            </w:r>
            <w:r>
              <w:rPr>
                <w:rFonts w:ascii="宋体" w:hAnsi="宋体"/>
                <w:sz w:val="21"/>
                <w:szCs w:val="21"/>
                <w:highlight w:val="none"/>
              </w:rPr>
              <w:t>件：合同生效后7个工作日内</w:t>
            </w:r>
            <w:r>
              <w:rPr>
                <w:rFonts w:hint="eastAsia" w:ascii="宋体" w:hAnsi="宋体"/>
                <w:sz w:val="21"/>
                <w:szCs w:val="21"/>
                <w:highlight w:val="none"/>
              </w:rPr>
              <w:t>并具备实施条件后，</w:t>
            </w:r>
            <w:r>
              <w:rPr>
                <w:rFonts w:ascii="宋体" w:hAnsi="宋体"/>
                <w:sz w:val="21"/>
                <w:szCs w:val="21"/>
                <w:highlight w:val="none"/>
              </w:rPr>
              <w:t>采购人向中标供应商支付合同总价的40%作为预付款，经采购人验收合格并收到发票后7</w:t>
            </w:r>
            <w:r>
              <w:rPr>
                <w:rFonts w:hint="eastAsia" w:ascii="宋体" w:hAnsi="宋体"/>
                <w:sz w:val="21"/>
                <w:szCs w:val="21"/>
                <w:highlight w:val="none"/>
              </w:rPr>
              <w:t>个工作日</w:t>
            </w:r>
            <w:r>
              <w:rPr>
                <w:rFonts w:hint="eastAsia" w:ascii="宋体" w:hAnsi="宋体"/>
                <w:sz w:val="21"/>
                <w:szCs w:val="21"/>
              </w:rPr>
              <w:t>内</w:t>
            </w:r>
            <w:r>
              <w:rPr>
                <w:rFonts w:ascii="宋体" w:hAnsi="宋体"/>
                <w:sz w:val="21"/>
                <w:szCs w:val="21"/>
              </w:rPr>
              <w:t>，支付至合同款的100%。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967" w:type="dxa"/>
            <w:tcBorders>
              <w:top w:val="single" w:color="auto" w:sz="4" w:space="0"/>
              <w:bottom w:val="single" w:color="auto" w:sz="4" w:space="0"/>
              <w:right w:val="single" w:color="auto" w:sz="4" w:space="0"/>
            </w:tcBorders>
            <w:vAlign w:val="center"/>
          </w:tcPr>
          <w:p>
            <w:pPr>
              <w:spacing w:line="400" w:lineRule="exact"/>
              <w:rPr>
                <w:rFonts w:ascii="宋体" w:hAnsi="宋体"/>
                <w:sz w:val="21"/>
                <w:szCs w:val="21"/>
              </w:rPr>
            </w:pPr>
            <w:r>
              <w:rPr>
                <w:rFonts w:ascii="宋体" w:hAnsi="宋体"/>
                <w:sz w:val="21"/>
                <w:szCs w:val="21"/>
              </w:rPr>
              <w:t>政策性条件</w:t>
            </w:r>
          </w:p>
        </w:tc>
        <w:tc>
          <w:tcPr>
            <w:tcW w:w="8563" w:type="dxa"/>
            <w:tcBorders>
              <w:top w:val="single" w:color="auto" w:sz="4" w:space="0"/>
              <w:left w:val="single" w:color="auto" w:sz="4" w:space="0"/>
              <w:bottom w:val="single" w:color="auto" w:sz="4" w:space="0"/>
            </w:tcBorders>
            <w:vAlign w:val="center"/>
          </w:tcPr>
          <w:p>
            <w:pPr>
              <w:spacing w:line="400" w:lineRule="exact"/>
              <w:rPr>
                <w:rFonts w:ascii="宋体" w:hAnsi="宋体"/>
                <w:sz w:val="21"/>
                <w:szCs w:val="21"/>
              </w:rPr>
            </w:pPr>
            <w:r>
              <w:rPr>
                <w:rFonts w:ascii="宋体" w:hAnsi="宋体"/>
                <w:sz w:val="21"/>
                <w:szCs w:val="21"/>
              </w:rPr>
              <w:t>政府采购节能环保产品：按《节能产品政府采购品目清单》财库〔2019〕19号执行；政府采购节能产品，环境标志产品实施品目清单管理：投标产品符合财库〔2019〕9号《关于调整优化节能产品，环境标志产品政府采购执行机制的通知》条件；供应商属于中小企业，监狱企业，残疾人福利性单位视为小型，微型企业，享受中小企业政策扶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967" w:type="dxa"/>
            <w:tcBorders>
              <w:top w:val="single" w:color="auto" w:sz="4" w:space="0"/>
              <w:bottom w:val="single" w:color="auto" w:sz="4" w:space="0"/>
              <w:right w:val="single" w:color="auto" w:sz="4" w:space="0"/>
            </w:tcBorders>
            <w:vAlign w:val="center"/>
          </w:tcPr>
          <w:p>
            <w:pPr>
              <w:spacing w:line="400" w:lineRule="exact"/>
              <w:rPr>
                <w:rFonts w:ascii="宋体" w:hAnsi="宋体"/>
                <w:sz w:val="21"/>
                <w:szCs w:val="21"/>
              </w:rPr>
            </w:pPr>
            <w:r>
              <w:rPr>
                <w:rFonts w:ascii="宋体" w:hAnsi="宋体"/>
                <w:sz w:val="21"/>
                <w:szCs w:val="21"/>
              </w:rPr>
              <w:t>特殊条款</w:t>
            </w:r>
          </w:p>
        </w:tc>
        <w:tc>
          <w:tcPr>
            <w:tcW w:w="8563" w:type="dxa"/>
            <w:tcBorders>
              <w:top w:val="single" w:color="auto" w:sz="4" w:space="0"/>
              <w:left w:val="single" w:color="auto" w:sz="4" w:space="0"/>
              <w:bottom w:val="single" w:color="auto" w:sz="4" w:space="0"/>
            </w:tcBorders>
            <w:vAlign w:val="center"/>
          </w:tcPr>
          <w:p>
            <w:pPr>
              <w:spacing w:line="400" w:lineRule="exact"/>
              <w:rPr>
                <w:rFonts w:ascii="宋体" w:hAnsi="宋体"/>
                <w:sz w:val="21"/>
                <w:szCs w:val="21"/>
              </w:rPr>
            </w:pPr>
            <w:r>
              <w:rPr>
                <w:rFonts w:ascii="宋体" w:hAnsi="宋体"/>
                <w:sz w:val="21"/>
                <w:szCs w:val="21"/>
              </w:rPr>
              <w:t>招标文件中的技术要求（规格）书为原则性要求，并不是详尽的要求，中标供应商有责任对投标文件中提出的技术规范、标准负责。中标供应商对投标内容所涉及的专利承担责任，并负责保护采购人的利益不受任何损害。一切由于文字、商标、技术等专利引起的法律裁决、诉讼和费用均与采购人无关。</w:t>
            </w:r>
          </w:p>
        </w:tc>
      </w:tr>
    </w:tbl>
    <w:p>
      <w:pPr>
        <w:pStyle w:val="55"/>
        <w:ind w:left="0" w:leftChars="0" w:firstLine="0" w:firstLineChars="0"/>
        <w:rPr>
          <w:rFonts w:asciiTheme="majorEastAsia" w:hAnsiTheme="majorEastAsia" w:eastAsiaTheme="majorEastAsia" w:cstheme="majorEastAsia"/>
          <w:b/>
          <w:szCs w:val="21"/>
        </w:rPr>
      </w:pPr>
    </w:p>
    <w:p>
      <w:pPr>
        <w:pStyle w:val="6"/>
        <w:rPr>
          <w:rFonts w:asciiTheme="majorEastAsia" w:hAnsiTheme="majorEastAsia" w:eastAsiaTheme="majorEastAsia" w:cstheme="majorEastAsia"/>
        </w:rPr>
      </w:pPr>
      <w:bookmarkStart w:id="32" w:name="_Toc2096040263"/>
      <w:r>
        <w:rPr>
          <w:rFonts w:hint="eastAsia" w:asciiTheme="majorEastAsia" w:hAnsiTheme="majorEastAsia" w:eastAsiaTheme="majorEastAsia" w:cstheme="majorEastAsia"/>
        </w:rPr>
        <w:t>第三章  供应商须知</w:t>
      </w:r>
      <w:bookmarkEnd w:id="30"/>
      <w:bookmarkEnd w:id="31"/>
      <w:bookmarkEnd w:id="32"/>
    </w:p>
    <w:p>
      <w:pPr>
        <w:spacing w:line="360" w:lineRule="auto"/>
        <w:ind w:firstLine="281" w:firstLineChars="100"/>
        <w:jc w:val="center"/>
        <w:rPr>
          <w:rFonts w:asciiTheme="majorEastAsia" w:hAnsiTheme="majorEastAsia" w:eastAsiaTheme="majorEastAsia" w:cstheme="majorEastAsia"/>
          <w:b/>
          <w:bCs/>
          <w:sz w:val="28"/>
          <w:szCs w:val="28"/>
        </w:rPr>
      </w:pPr>
      <w:r>
        <w:rPr>
          <w:rFonts w:hint="eastAsia" w:asciiTheme="majorEastAsia" w:hAnsiTheme="majorEastAsia" w:eastAsiaTheme="majorEastAsia" w:cstheme="majorEastAsia"/>
          <w:b/>
          <w:bCs/>
          <w:sz w:val="28"/>
          <w:szCs w:val="28"/>
        </w:rPr>
        <w:t>电子交易注意事项</w:t>
      </w:r>
    </w:p>
    <w:p>
      <w:pPr>
        <w:spacing w:line="360" w:lineRule="auto"/>
        <w:ind w:firstLine="240" w:firstLineChars="100"/>
        <w:jc w:val="left"/>
        <w:rPr>
          <w:rFonts w:asciiTheme="majorEastAsia" w:hAnsiTheme="majorEastAsia" w:eastAsiaTheme="majorEastAsia" w:cstheme="majorEastAsia"/>
          <w:shd w:val="clear" w:color="auto" w:fill="FFFFFF"/>
        </w:rPr>
      </w:pPr>
      <w:r>
        <w:rPr>
          <w:rFonts w:hint="eastAsia" w:asciiTheme="majorEastAsia" w:hAnsiTheme="majorEastAsia" w:eastAsiaTheme="majorEastAsia" w:cstheme="majorEastAsia"/>
          <w:shd w:val="clear" w:color="auto" w:fill="FFFFFF"/>
        </w:rPr>
        <w:t>　政府采购项目电子交易活动适用《浙江省政府采购项目电子交易管理暂行办法》，现将相关注意事项告知如下：</w:t>
      </w:r>
    </w:p>
    <w:p>
      <w:pPr>
        <w:spacing w:line="360" w:lineRule="auto"/>
        <w:ind w:firstLine="240" w:firstLineChars="100"/>
        <w:jc w:val="left"/>
        <w:rPr>
          <w:rFonts w:asciiTheme="majorEastAsia" w:hAnsiTheme="majorEastAsia" w:eastAsiaTheme="majorEastAsia" w:cstheme="majorEastAsia"/>
        </w:rPr>
      </w:pPr>
      <w:r>
        <w:rPr>
          <w:rFonts w:hint="eastAsia" w:asciiTheme="majorEastAsia" w:hAnsiTheme="majorEastAsia" w:eastAsiaTheme="majorEastAsia" w:cstheme="majorEastAsia"/>
        </w:rPr>
        <w:t>　1.采购机构按照招标文件规定的时间通过电子交易平台组织开标、开启投标文件、开启报价文件，所有供应商均应当准时在线参加，直至评审结束。</w:t>
      </w:r>
    </w:p>
    <w:p>
      <w:pPr>
        <w:pStyle w:val="51"/>
        <w:spacing w:beforeAutospacing="0" w:afterAutospacing="0" w:line="360" w:lineRule="auto"/>
        <w:ind w:firstLine="240" w:firstLineChars="100"/>
        <w:rPr>
          <w:rFonts w:asciiTheme="majorEastAsia" w:hAnsiTheme="majorEastAsia" w:eastAsiaTheme="majorEastAsia" w:cstheme="majorEastAsia"/>
          <w:kern w:val="2"/>
        </w:rPr>
      </w:pPr>
      <w:r>
        <w:rPr>
          <w:rFonts w:hint="eastAsia" w:asciiTheme="majorEastAsia" w:hAnsiTheme="majorEastAsia" w:eastAsiaTheme="majorEastAsia" w:cstheme="majorEastAsia"/>
          <w:kern w:val="2"/>
        </w:rPr>
        <w:t>　2. 投标文件未按时解密，供应商如提供备份投标文件的，以符合要求的备份投标文件作为依据，否则视为投标文件撤回。投标文件已按时解密的，备份投标文件自动失效。</w:t>
      </w:r>
    </w:p>
    <w:p>
      <w:pPr>
        <w:pStyle w:val="51"/>
        <w:spacing w:beforeAutospacing="0" w:afterAutospacing="0" w:line="360" w:lineRule="auto"/>
        <w:ind w:firstLine="240" w:firstLineChars="100"/>
        <w:rPr>
          <w:rFonts w:asciiTheme="majorEastAsia" w:hAnsiTheme="majorEastAsia" w:eastAsiaTheme="majorEastAsia" w:cstheme="majorEastAsia"/>
          <w:kern w:val="2"/>
        </w:rPr>
      </w:pPr>
      <w:r>
        <w:rPr>
          <w:rFonts w:hint="eastAsia" w:asciiTheme="majorEastAsia" w:hAnsiTheme="majorEastAsia" w:eastAsiaTheme="majorEastAsia" w:cstheme="majorEastAsia"/>
          <w:kern w:val="2"/>
        </w:rPr>
        <w:t>　3. 采购过程中出现以下情形，导致电子交易平台无法正常运行，或者无法保证电子交易的公平、公正和安全时，采购机构可中止电子交易活动：</w:t>
      </w:r>
    </w:p>
    <w:p>
      <w:pPr>
        <w:pStyle w:val="51"/>
        <w:spacing w:beforeAutospacing="0" w:afterAutospacing="0" w:line="360" w:lineRule="auto"/>
        <w:ind w:firstLine="645"/>
        <w:rPr>
          <w:rFonts w:asciiTheme="majorEastAsia" w:hAnsiTheme="majorEastAsia" w:eastAsiaTheme="majorEastAsia" w:cstheme="majorEastAsia"/>
          <w:kern w:val="2"/>
        </w:rPr>
      </w:pPr>
      <w:r>
        <w:rPr>
          <w:rFonts w:hint="eastAsia" w:asciiTheme="majorEastAsia" w:hAnsiTheme="majorEastAsia" w:eastAsiaTheme="majorEastAsia" w:cstheme="majorEastAsia"/>
          <w:kern w:val="2"/>
        </w:rPr>
        <w:t>（一）电子交易平台发生故障而无法登录访问的； </w:t>
      </w:r>
    </w:p>
    <w:p>
      <w:pPr>
        <w:pStyle w:val="51"/>
        <w:spacing w:beforeAutospacing="0" w:afterAutospacing="0" w:line="360" w:lineRule="auto"/>
        <w:ind w:firstLine="645"/>
        <w:rPr>
          <w:rFonts w:asciiTheme="majorEastAsia" w:hAnsiTheme="majorEastAsia" w:eastAsiaTheme="majorEastAsia" w:cstheme="majorEastAsia"/>
          <w:kern w:val="2"/>
        </w:rPr>
      </w:pPr>
      <w:r>
        <w:rPr>
          <w:rFonts w:hint="eastAsia" w:asciiTheme="majorEastAsia" w:hAnsiTheme="majorEastAsia" w:eastAsiaTheme="majorEastAsia" w:cstheme="majorEastAsia"/>
          <w:kern w:val="2"/>
        </w:rPr>
        <w:t>（二）电子交易平台应用或数据库出现错误，不能进行正常操作的；</w:t>
      </w:r>
    </w:p>
    <w:p>
      <w:pPr>
        <w:pStyle w:val="51"/>
        <w:spacing w:beforeAutospacing="0" w:afterAutospacing="0" w:line="360" w:lineRule="auto"/>
        <w:ind w:firstLine="645"/>
        <w:rPr>
          <w:rFonts w:asciiTheme="majorEastAsia" w:hAnsiTheme="majorEastAsia" w:eastAsiaTheme="majorEastAsia" w:cstheme="majorEastAsia"/>
          <w:kern w:val="2"/>
        </w:rPr>
      </w:pPr>
      <w:r>
        <w:rPr>
          <w:rFonts w:hint="eastAsia" w:asciiTheme="majorEastAsia" w:hAnsiTheme="majorEastAsia" w:eastAsiaTheme="majorEastAsia" w:cstheme="majorEastAsia"/>
          <w:kern w:val="2"/>
        </w:rPr>
        <w:t>（三）电子交易平台发现严重安全漏洞，有潜在泄密危险的；</w:t>
      </w:r>
    </w:p>
    <w:p>
      <w:pPr>
        <w:pStyle w:val="51"/>
        <w:spacing w:beforeAutospacing="0" w:afterAutospacing="0" w:line="360" w:lineRule="auto"/>
        <w:ind w:firstLine="645"/>
        <w:rPr>
          <w:rFonts w:asciiTheme="majorEastAsia" w:hAnsiTheme="majorEastAsia" w:eastAsiaTheme="majorEastAsia" w:cstheme="majorEastAsia"/>
          <w:kern w:val="2"/>
        </w:rPr>
      </w:pPr>
      <w:r>
        <w:rPr>
          <w:rFonts w:hint="eastAsia" w:asciiTheme="majorEastAsia" w:hAnsiTheme="majorEastAsia" w:eastAsiaTheme="majorEastAsia" w:cstheme="majorEastAsia"/>
          <w:kern w:val="2"/>
        </w:rPr>
        <w:t>（四）病毒发作导致不能进行正常操作的； </w:t>
      </w:r>
    </w:p>
    <w:p>
      <w:pPr>
        <w:pStyle w:val="51"/>
        <w:spacing w:beforeAutospacing="0" w:afterAutospacing="0" w:line="360" w:lineRule="auto"/>
        <w:ind w:firstLine="645"/>
        <w:rPr>
          <w:rFonts w:asciiTheme="majorEastAsia" w:hAnsiTheme="majorEastAsia" w:eastAsiaTheme="majorEastAsia" w:cstheme="majorEastAsia"/>
          <w:kern w:val="2"/>
        </w:rPr>
      </w:pPr>
      <w:r>
        <w:rPr>
          <w:rFonts w:hint="eastAsia" w:asciiTheme="majorEastAsia" w:hAnsiTheme="majorEastAsia" w:eastAsiaTheme="majorEastAsia" w:cstheme="majorEastAsia"/>
          <w:kern w:val="2"/>
        </w:rPr>
        <w:t>（五）其他无法保证电子交易的公平、公正和安全的情况。</w:t>
      </w:r>
    </w:p>
    <w:p>
      <w:pPr>
        <w:pStyle w:val="51"/>
        <w:spacing w:beforeAutospacing="0" w:afterAutospacing="0" w:line="360" w:lineRule="auto"/>
        <w:ind w:firstLine="480"/>
        <w:rPr>
          <w:rFonts w:asciiTheme="majorEastAsia" w:hAnsiTheme="majorEastAsia" w:eastAsiaTheme="majorEastAsia" w:cstheme="majorEastAsia"/>
          <w:kern w:val="2"/>
        </w:rPr>
      </w:pPr>
      <w:r>
        <w:rPr>
          <w:rFonts w:hint="eastAsia" w:asciiTheme="majorEastAsia" w:hAnsiTheme="majorEastAsia" w:eastAsiaTheme="majorEastAsia" w:cstheme="majorEastAsia"/>
          <w:kern w:val="2"/>
        </w:rPr>
        <w:t>出现前款规定情形，不影响采购公平、公正性的，采购机构可以待上述情形消除后继续组织电子交易活动，也可以决定某些环节以纸质形式进行；影响或可能影响采购公平、公正性的，应当重新采购。</w:t>
      </w:r>
    </w:p>
    <w:p>
      <w:pPr>
        <w:pStyle w:val="51"/>
        <w:spacing w:beforeAutospacing="0" w:afterAutospacing="0" w:line="360" w:lineRule="auto"/>
        <w:ind w:firstLine="480"/>
        <w:rPr>
          <w:rFonts w:asciiTheme="majorEastAsia" w:hAnsiTheme="majorEastAsia" w:eastAsiaTheme="majorEastAsia" w:cstheme="majorEastAsia"/>
          <w:shd w:val="clear" w:color="auto" w:fill="FFFFFF"/>
        </w:rPr>
      </w:pPr>
      <w:r>
        <w:rPr>
          <w:rFonts w:hint="eastAsia" w:asciiTheme="majorEastAsia" w:hAnsiTheme="majorEastAsia" w:eastAsiaTheme="majorEastAsia" w:cstheme="majorEastAsia"/>
          <w:shd w:val="clear" w:color="auto" w:fill="FFFFFF"/>
        </w:rPr>
        <w:t>4、评审中需要供应商对投标文件作出澄清、说明或者补正的，评审小组和供应商应当通过电子交易平台交换数据电文。供应商需在半小时内提交澄清说明或补正，供应商已经明确表示澄清说明或补正完毕的除外。</w:t>
      </w:r>
      <w:bookmarkStart w:id="33" w:name="_Toc381081877"/>
      <w:bookmarkStart w:id="34" w:name="_Toc384730973"/>
    </w:p>
    <w:p>
      <w:pPr>
        <w:pStyle w:val="55"/>
        <w:ind w:left="480" w:firstLine="404"/>
      </w:pPr>
    </w:p>
    <w:p>
      <w:pPr>
        <w:pStyle w:val="55"/>
        <w:ind w:left="480" w:firstLine="404"/>
      </w:pPr>
    </w:p>
    <w:p>
      <w:pPr>
        <w:pStyle w:val="55"/>
        <w:ind w:left="480" w:firstLine="404"/>
      </w:pPr>
    </w:p>
    <w:p>
      <w:pPr>
        <w:pStyle w:val="55"/>
        <w:ind w:left="480" w:firstLine="404"/>
      </w:pPr>
    </w:p>
    <w:p>
      <w:pPr>
        <w:pStyle w:val="55"/>
        <w:ind w:left="480" w:firstLine="404"/>
      </w:pPr>
    </w:p>
    <w:p>
      <w:pPr>
        <w:pStyle w:val="55"/>
        <w:ind w:left="480" w:firstLine="404"/>
      </w:pPr>
    </w:p>
    <w:p>
      <w:pPr>
        <w:pStyle w:val="55"/>
        <w:ind w:left="480" w:firstLine="404"/>
      </w:pPr>
    </w:p>
    <w:p>
      <w:pPr>
        <w:pStyle w:val="55"/>
        <w:ind w:left="480" w:firstLine="404"/>
      </w:pPr>
    </w:p>
    <w:p>
      <w:pPr>
        <w:pStyle w:val="55"/>
        <w:ind w:left="480" w:firstLine="404"/>
      </w:pPr>
    </w:p>
    <w:p>
      <w:pPr>
        <w:pStyle w:val="55"/>
        <w:ind w:left="480" w:firstLine="404"/>
      </w:pPr>
    </w:p>
    <w:p>
      <w:pPr>
        <w:pStyle w:val="55"/>
        <w:ind w:left="480" w:firstLine="404"/>
      </w:pPr>
    </w:p>
    <w:p>
      <w:pPr>
        <w:pStyle w:val="55"/>
        <w:ind w:left="480" w:firstLine="404"/>
      </w:pPr>
    </w:p>
    <w:p>
      <w:pPr>
        <w:pStyle w:val="55"/>
        <w:ind w:left="480" w:firstLine="404"/>
      </w:pPr>
    </w:p>
    <w:p>
      <w:pPr>
        <w:pStyle w:val="55"/>
        <w:ind w:left="480" w:firstLine="404"/>
      </w:pPr>
    </w:p>
    <w:p>
      <w:pPr>
        <w:pStyle w:val="55"/>
        <w:ind w:left="480" w:firstLine="404"/>
      </w:pPr>
    </w:p>
    <w:p>
      <w:pPr>
        <w:pStyle w:val="55"/>
        <w:ind w:left="480" w:firstLine="404"/>
      </w:pPr>
    </w:p>
    <w:p>
      <w:pPr>
        <w:pStyle w:val="55"/>
        <w:ind w:left="480" w:firstLine="404"/>
      </w:pPr>
    </w:p>
    <w:p>
      <w:pPr>
        <w:pStyle w:val="55"/>
        <w:ind w:left="480" w:firstLine="404"/>
      </w:pPr>
    </w:p>
    <w:p>
      <w:pPr>
        <w:pStyle w:val="55"/>
        <w:ind w:left="480" w:firstLine="404"/>
      </w:pPr>
    </w:p>
    <w:p>
      <w:pPr>
        <w:pStyle w:val="55"/>
        <w:ind w:left="480" w:firstLine="404"/>
      </w:pPr>
    </w:p>
    <w:p>
      <w:pPr>
        <w:pStyle w:val="55"/>
        <w:ind w:left="480" w:firstLine="404"/>
      </w:pPr>
    </w:p>
    <w:p>
      <w:pPr>
        <w:pStyle w:val="55"/>
        <w:ind w:left="480" w:firstLine="404"/>
        <w:rPr>
          <w:rFonts w:hint="eastAsia"/>
          <w:lang w:eastAsia="zh-CN"/>
        </w:rPr>
      </w:pPr>
    </w:p>
    <w:p>
      <w:pPr>
        <w:pStyle w:val="55"/>
        <w:ind w:left="480" w:firstLine="404"/>
        <w:rPr>
          <w:rFonts w:hint="eastAsia"/>
          <w:lang w:eastAsia="zh-CN"/>
        </w:rPr>
      </w:pPr>
    </w:p>
    <w:p>
      <w:pPr>
        <w:pStyle w:val="55"/>
        <w:ind w:left="480" w:firstLine="404"/>
        <w:rPr>
          <w:rFonts w:hint="eastAsia"/>
          <w:lang w:eastAsia="zh-CN"/>
        </w:rPr>
      </w:pPr>
    </w:p>
    <w:p>
      <w:pPr>
        <w:pStyle w:val="55"/>
        <w:ind w:left="480" w:firstLine="404"/>
        <w:rPr>
          <w:rFonts w:hint="eastAsia"/>
          <w:lang w:eastAsia="zh-CN"/>
        </w:rPr>
      </w:pPr>
    </w:p>
    <w:p>
      <w:pPr>
        <w:pStyle w:val="55"/>
        <w:ind w:left="480" w:firstLine="404"/>
        <w:rPr>
          <w:rFonts w:hint="eastAsia"/>
          <w:lang w:eastAsia="zh-CN"/>
        </w:rPr>
      </w:pPr>
    </w:p>
    <w:p>
      <w:pPr>
        <w:pStyle w:val="55"/>
        <w:ind w:left="480" w:firstLine="404"/>
        <w:rPr>
          <w:rFonts w:hint="eastAsia"/>
          <w:lang w:eastAsia="zh-CN"/>
        </w:rPr>
      </w:pPr>
    </w:p>
    <w:p>
      <w:pPr>
        <w:pStyle w:val="55"/>
        <w:ind w:left="480" w:firstLine="404"/>
        <w:rPr>
          <w:rFonts w:hint="eastAsia"/>
          <w:lang w:eastAsia="zh-CN"/>
        </w:rPr>
      </w:pPr>
    </w:p>
    <w:p>
      <w:pPr>
        <w:pStyle w:val="55"/>
        <w:ind w:left="480" w:firstLine="404"/>
        <w:rPr>
          <w:rFonts w:hint="eastAsia"/>
          <w:lang w:eastAsia="zh-CN"/>
        </w:rPr>
      </w:pPr>
    </w:p>
    <w:p>
      <w:pPr>
        <w:pStyle w:val="55"/>
        <w:ind w:left="480" w:firstLine="404"/>
        <w:rPr>
          <w:rFonts w:hint="eastAsia"/>
          <w:lang w:eastAsia="zh-CN"/>
        </w:rPr>
      </w:pPr>
    </w:p>
    <w:p>
      <w:pPr>
        <w:pStyle w:val="55"/>
        <w:ind w:left="480" w:firstLine="404"/>
        <w:rPr>
          <w:rFonts w:hint="eastAsia"/>
          <w:lang w:eastAsia="zh-CN"/>
        </w:rPr>
      </w:pPr>
    </w:p>
    <w:p>
      <w:pPr>
        <w:pStyle w:val="55"/>
        <w:ind w:left="480" w:firstLine="404"/>
        <w:rPr>
          <w:rFonts w:hint="eastAsia"/>
          <w:lang w:eastAsia="zh-CN"/>
        </w:rPr>
      </w:pPr>
    </w:p>
    <w:p>
      <w:pPr>
        <w:pStyle w:val="55"/>
        <w:ind w:left="480" w:firstLine="404"/>
      </w:pPr>
    </w:p>
    <w:p>
      <w:pPr>
        <w:pStyle w:val="55"/>
        <w:ind w:left="0" w:leftChars="0" w:firstLine="0" w:firstLineChars="0"/>
      </w:pPr>
    </w:p>
    <w:p>
      <w:pPr>
        <w:snapToGrid w:val="0"/>
        <w:spacing w:before="120" w:beforeLines="50" w:after="120" w:afterLines="50"/>
        <w:ind w:left="238"/>
        <w:jc w:val="center"/>
        <w:outlineLvl w:val="1"/>
        <w:rPr>
          <w:rFonts w:asciiTheme="majorEastAsia" w:hAnsiTheme="majorEastAsia" w:eastAsiaTheme="majorEastAsia" w:cstheme="majorEastAsia"/>
          <w:b/>
        </w:rPr>
      </w:pPr>
      <w:r>
        <w:rPr>
          <w:rFonts w:hint="eastAsia" w:asciiTheme="majorEastAsia" w:hAnsiTheme="majorEastAsia" w:eastAsiaTheme="majorEastAsia" w:cstheme="majorEastAsia"/>
          <w:b/>
        </w:rPr>
        <w:t>前附表</w:t>
      </w:r>
      <w:bookmarkEnd w:id="33"/>
      <w:bookmarkEnd w:id="34"/>
    </w:p>
    <w:tbl>
      <w:tblPr>
        <w:tblStyle w:val="56"/>
        <w:tblW w:w="8979" w:type="dxa"/>
        <w:tblInd w:w="1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31"/>
        <w:gridCol w:w="1849"/>
        <w:gridCol w:w="64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64" w:hRule="atLeast"/>
          <w:tblHeader/>
        </w:trPr>
        <w:tc>
          <w:tcPr>
            <w:tcW w:w="631" w:type="dxa"/>
          </w:tcPr>
          <w:p>
            <w:pPr>
              <w:snapToGrid w:val="0"/>
              <w:spacing w:line="340" w:lineRule="exact"/>
              <w:jc w:val="center"/>
              <w:rPr>
                <w:rFonts w:ascii="宋体" w:hAnsi="宋体" w:cstheme="majorEastAsia"/>
                <w:bCs/>
              </w:rPr>
            </w:pPr>
            <w:bookmarkStart w:id="35" w:name="_Toc384730989"/>
            <w:bookmarkStart w:id="36" w:name="_Toc380429945"/>
            <w:bookmarkStart w:id="37" w:name="_Toc439666965"/>
            <w:r>
              <w:rPr>
                <w:rFonts w:hint="eastAsia" w:ascii="宋体" w:hAnsi="宋体" w:cstheme="majorEastAsia"/>
                <w:bCs/>
              </w:rPr>
              <w:t>序号</w:t>
            </w:r>
          </w:p>
        </w:tc>
        <w:tc>
          <w:tcPr>
            <w:tcW w:w="1849" w:type="dxa"/>
            <w:vAlign w:val="center"/>
          </w:tcPr>
          <w:p>
            <w:pPr>
              <w:snapToGrid w:val="0"/>
              <w:spacing w:line="340" w:lineRule="exact"/>
              <w:jc w:val="center"/>
              <w:rPr>
                <w:rFonts w:ascii="宋体" w:hAnsi="宋体" w:cstheme="majorEastAsia"/>
                <w:bCs/>
              </w:rPr>
            </w:pPr>
            <w:r>
              <w:rPr>
                <w:rFonts w:hint="eastAsia" w:ascii="宋体" w:hAnsi="宋体" w:cstheme="majorEastAsia"/>
                <w:bCs/>
              </w:rPr>
              <w:t>事项</w:t>
            </w:r>
          </w:p>
        </w:tc>
        <w:tc>
          <w:tcPr>
            <w:tcW w:w="6499" w:type="dxa"/>
            <w:vAlign w:val="center"/>
          </w:tcPr>
          <w:p>
            <w:pPr>
              <w:snapToGrid w:val="0"/>
              <w:spacing w:line="340" w:lineRule="exact"/>
              <w:jc w:val="center"/>
              <w:rPr>
                <w:rFonts w:ascii="宋体" w:hAnsi="宋体" w:cstheme="majorEastAsia"/>
                <w:bCs/>
              </w:rPr>
            </w:pPr>
            <w:r>
              <w:rPr>
                <w:rFonts w:hint="eastAsia" w:ascii="宋体" w:hAnsi="宋体" w:cstheme="majorEastAsia"/>
                <w:bCs/>
              </w:rPr>
              <w:t>本项目的特别规定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64" w:hRule="atLeast"/>
          <w:tblHeader/>
        </w:trPr>
        <w:tc>
          <w:tcPr>
            <w:tcW w:w="631" w:type="dxa"/>
            <w:vAlign w:val="center"/>
          </w:tcPr>
          <w:p>
            <w:pPr>
              <w:snapToGrid w:val="0"/>
              <w:spacing w:line="340" w:lineRule="exact"/>
              <w:jc w:val="center"/>
              <w:rPr>
                <w:rFonts w:ascii="宋体" w:hAnsi="宋体" w:cstheme="majorEastAsia"/>
                <w:bCs/>
              </w:rPr>
            </w:pPr>
            <w:r>
              <w:rPr>
                <w:rFonts w:hint="eastAsia" w:ascii="宋体" w:hAnsi="宋体" w:cstheme="majorEastAsia"/>
                <w:bCs/>
              </w:rPr>
              <w:t>1</w:t>
            </w:r>
          </w:p>
        </w:tc>
        <w:tc>
          <w:tcPr>
            <w:tcW w:w="1849" w:type="dxa"/>
            <w:vAlign w:val="center"/>
          </w:tcPr>
          <w:p>
            <w:pPr>
              <w:snapToGrid w:val="0"/>
              <w:spacing w:line="340" w:lineRule="exact"/>
              <w:jc w:val="center"/>
              <w:rPr>
                <w:rFonts w:ascii="宋体" w:hAnsi="宋体" w:cstheme="majorEastAsia"/>
                <w:bCs/>
              </w:rPr>
            </w:pPr>
            <w:r>
              <w:rPr>
                <w:rFonts w:hint="eastAsia" w:ascii="宋体" w:hAnsi="宋体" w:cstheme="majorEastAsia"/>
                <w:bCs/>
              </w:rPr>
              <w:t>项目名称</w:t>
            </w:r>
          </w:p>
        </w:tc>
        <w:tc>
          <w:tcPr>
            <w:tcW w:w="6499" w:type="dxa"/>
            <w:vAlign w:val="center"/>
          </w:tcPr>
          <w:p>
            <w:pPr>
              <w:snapToGrid w:val="0"/>
              <w:spacing w:line="340" w:lineRule="exact"/>
              <w:jc w:val="center"/>
              <w:rPr>
                <w:rFonts w:ascii="宋体" w:hAnsi="宋体" w:cstheme="majorEastAsia"/>
                <w:bCs/>
                <w:lang w:val="zh-CN"/>
              </w:rPr>
            </w:pPr>
            <w:r>
              <w:rPr>
                <w:rFonts w:hint="eastAsia" w:ascii="宋体" w:hAnsi="宋体" w:cstheme="majorEastAsia"/>
                <w:bCs/>
                <w:lang w:val="zh-CN"/>
              </w:rPr>
              <w:t>高照街道办事处搬迁改建空调设备采购及安装工程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1" w:hRule="atLeast"/>
          <w:tblHeader/>
        </w:trPr>
        <w:tc>
          <w:tcPr>
            <w:tcW w:w="631" w:type="dxa"/>
            <w:vAlign w:val="center"/>
          </w:tcPr>
          <w:p>
            <w:pPr>
              <w:snapToGrid w:val="0"/>
              <w:spacing w:line="340" w:lineRule="exact"/>
              <w:jc w:val="center"/>
              <w:rPr>
                <w:rFonts w:ascii="宋体" w:hAnsi="宋体" w:cstheme="majorEastAsia"/>
                <w:bCs/>
              </w:rPr>
            </w:pPr>
            <w:r>
              <w:rPr>
                <w:rFonts w:hint="eastAsia" w:ascii="宋体" w:hAnsi="宋体" w:cstheme="majorEastAsia"/>
                <w:bCs/>
              </w:rPr>
              <w:t>2</w:t>
            </w:r>
          </w:p>
        </w:tc>
        <w:tc>
          <w:tcPr>
            <w:tcW w:w="1849" w:type="dxa"/>
            <w:vAlign w:val="center"/>
          </w:tcPr>
          <w:p>
            <w:pPr>
              <w:snapToGrid w:val="0"/>
              <w:spacing w:line="340" w:lineRule="exact"/>
              <w:jc w:val="center"/>
              <w:rPr>
                <w:rFonts w:ascii="宋体" w:hAnsi="宋体" w:cstheme="majorEastAsia"/>
                <w:bCs/>
              </w:rPr>
            </w:pPr>
            <w:r>
              <w:rPr>
                <w:rFonts w:hint="eastAsia" w:ascii="宋体" w:hAnsi="宋体" w:cstheme="majorEastAsia"/>
                <w:bCs/>
              </w:rPr>
              <w:t>采购内容</w:t>
            </w:r>
          </w:p>
        </w:tc>
        <w:tc>
          <w:tcPr>
            <w:tcW w:w="6499" w:type="dxa"/>
            <w:vAlign w:val="center"/>
          </w:tcPr>
          <w:p>
            <w:pPr>
              <w:snapToGrid w:val="0"/>
              <w:spacing w:line="340" w:lineRule="exact"/>
              <w:jc w:val="center"/>
              <w:rPr>
                <w:rFonts w:ascii="宋体" w:hAnsi="宋体" w:cstheme="majorEastAsia"/>
                <w:bCs/>
                <w:lang w:val="zh-CN"/>
              </w:rPr>
            </w:pPr>
            <w:r>
              <w:rPr>
                <w:rFonts w:hint="eastAsia" w:ascii="宋体" w:hAnsi="宋体" w:cstheme="majorEastAsia"/>
                <w:bCs/>
                <w:lang w:val="zh-CN"/>
              </w:rPr>
              <w:t>高照街道办事处搬迁改建所需可变冷媒流量全直流变频多联式空调系统设备的采购、安装、调试及售后服务等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21" w:hRule="atLeast"/>
          <w:tblHeader/>
        </w:trPr>
        <w:tc>
          <w:tcPr>
            <w:tcW w:w="631" w:type="dxa"/>
            <w:vAlign w:val="center"/>
          </w:tcPr>
          <w:p>
            <w:pPr>
              <w:snapToGrid w:val="0"/>
              <w:spacing w:line="340" w:lineRule="exact"/>
              <w:jc w:val="center"/>
              <w:rPr>
                <w:rFonts w:ascii="宋体" w:hAnsi="宋体" w:cstheme="majorEastAsia"/>
                <w:bCs/>
              </w:rPr>
            </w:pPr>
            <w:r>
              <w:rPr>
                <w:rFonts w:hint="eastAsia" w:ascii="宋体" w:hAnsi="宋体" w:cstheme="majorEastAsia"/>
                <w:bCs/>
              </w:rPr>
              <w:t>3</w:t>
            </w:r>
          </w:p>
        </w:tc>
        <w:tc>
          <w:tcPr>
            <w:tcW w:w="1849" w:type="dxa"/>
            <w:vAlign w:val="center"/>
          </w:tcPr>
          <w:p>
            <w:pPr>
              <w:snapToGrid w:val="0"/>
              <w:spacing w:line="340" w:lineRule="exact"/>
              <w:jc w:val="center"/>
              <w:rPr>
                <w:rFonts w:ascii="宋体" w:hAnsi="宋体" w:cstheme="majorEastAsia"/>
                <w:bCs/>
              </w:rPr>
            </w:pPr>
            <w:r>
              <w:rPr>
                <w:rFonts w:hint="eastAsia" w:ascii="宋体" w:hAnsi="宋体" w:cstheme="majorEastAsia"/>
                <w:bCs/>
              </w:rPr>
              <w:t>报价要求</w:t>
            </w:r>
          </w:p>
        </w:tc>
        <w:tc>
          <w:tcPr>
            <w:tcW w:w="6499" w:type="dxa"/>
            <w:vAlign w:val="center"/>
          </w:tcPr>
          <w:p>
            <w:pPr>
              <w:snapToGrid w:val="0"/>
              <w:spacing w:line="340" w:lineRule="exact"/>
              <w:rPr>
                <w:rFonts w:ascii="宋体" w:hAnsi="宋体" w:cstheme="majorEastAsia"/>
                <w:bCs/>
                <w:lang w:val="zh-CN"/>
              </w:rPr>
            </w:pPr>
            <w:r>
              <w:rPr>
                <w:rFonts w:ascii="宋体" w:hAnsi="宋体" w:cstheme="majorEastAsia"/>
                <w:bCs/>
                <w:lang w:val="zh-CN"/>
              </w:rPr>
              <w:t>1、本项目投标应以人民币报价；</w:t>
            </w:r>
          </w:p>
          <w:p>
            <w:pPr>
              <w:snapToGrid w:val="0"/>
              <w:spacing w:line="340" w:lineRule="exact"/>
              <w:rPr>
                <w:rFonts w:ascii="宋体" w:hAnsi="宋体" w:cstheme="majorEastAsia"/>
                <w:bCs/>
                <w:lang w:val="zh-CN"/>
              </w:rPr>
            </w:pPr>
            <w:r>
              <w:rPr>
                <w:rFonts w:ascii="宋体" w:hAnsi="宋体" w:cstheme="majorEastAsia"/>
                <w:bCs/>
                <w:lang w:val="zh-CN"/>
              </w:rPr>
              <w:t>2、不论投标结果如何，供应商均应自行承担所有与投标有关的全部费用。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4" w:hRule="atLeast"/>
          <w:tblHeader/>
        </w:trPr>
        <w:tc>
          <w:tcPr>
            <w:tcW w:w="631" w:type="dxa"/>
            <w:vAlign w:val="center"/>
          </w:tcPr>
          <w:p>
            <w:pPr>
              <w:snapToGrid w:val="0"/>
              <w:spacing w:line="340" w:lineRule="exact"/>
              <w:jc w:val="center"/>
              <w:rPr>
                <w:rFonts w:ascii="宋体" w:hAnsi="宋体" w:cstheme="majorEastAsia"/>
                <w:bCs/>
              </w:rPr>
            </w:pPr>
            <w:r>
              <w:rPr>
                <w:rFonts w:hint="eastAsia" w:ascii="宋体" w:hAnsi="宋体" w:cstheme="majorEastAsia"/>
                <w:bCs/>
              </w:rPr>
              <w:t>4</w:t>
            </w:r>
          </w:p>
        </w:tc>
        <w:tc>
          <w:tcPr>
            <w:tcW w:w="1849" w:type="dxa"/>
            <w:vAlign w:val="center"/>
          </w:tcPr>
          <w:p>
            <w:pPr>
              <w:snapToGrid w:val="0"/>
              <w:spacing w:line="340" w:lineRule="exact"/>
              <w:ind w:firstLine="480" w:firstLineChars="200"/>
              <w:rPr>
                <w:rFonts w:ascii="宋体" w:hAnsi="宋体" w:cstheme="majorEastAsia"/>
                <w:bCs/>
              </w:rPr>
            </w:pPr>
            <w:r>
              <w:rPr>
                <w:rFonts w:hint="eastAsia" w:ascii="宋体" w:hAnsi="宋体" w:cstheme="majorEastAsia"/>
                <w:bCs/>
              </w:rPr>
              <w:t>分包</w:t>
            </w:r>
          </w:p>
        </w:tc>
        <w:tc>
          <w:tcPr>
            <w:tcW w:w="6499" w:type="dxa"/>
            <w:vAlign w:val="center"/>
          </w:tcPr>
          <w:p>
            <w:pPr>
              <w:spacing w:line="340" w:lineRule="exact"/>
              <w:rPr>
                <w:rFonts w:ascii="宋体" w:hAnsi="宋体" w:cstheme="majorEastAsia"/>
                <w:bCs/>
                <w:lang w:val="zh-CN"/>
              </w:rPr>
            </w:pPr>
            <w:r>
              <w:rPr>
                <w:rFonts w:hint="eastAsia" w:ascii="宋体" w:hAnsi="宋体" w:cstheme="majorEastAsia"/>
                <w:bCs/>
                <w:kern w:val="0"/>
              </w:rPr>
              <w:sym w:font="Wingdings" w:char="00A8"/>
            </w:r>
            <w:r>
              <w:rPr>
                <w:rFonts w:hint="eastAsia" w:ascii="宋体" w:hAnsi="宋体" w:cstheme="majorEastAsia"/>
                <w:bCs/>
                <w:kern w:val="0"/>
              </w:rPr>
              <w:t xml:space="preserve"> </w:t>
            </w:r>
            <w:r>
              <w:rPr>
                <w:rFonts w:hint="eastAsia" w:ascii="宋体" w:hAnsi="宋体" w:cstheme="majorEastAsia"/>
                <w:bCs/>
                <w:lang w:val="zh-CN"/>
              </w:rPr>
              <w:t>A同意将非主体、非关键性的</w:t>
            </w:r>
            <w:r>
              <w:rPr>
                <w:rFonts w:hint="eastAsia" w:ascii="宋体" w:hAnsi="宋体" w:cstheme="majorEastAsia"/>
                <w:bCs/>
                <w:u w:val="single"/>
                <w:lang w:val="zh-CN"/>
              </w:rPr>
              <w:t xml:space="preserve">             </w:t>
            </w:r>
            <w:r>
              <w:rPr>
                <w:rFonts w:hint="eastAsia" w:ascii="宋体" w:hAnsi="宋体" w:cstheme="majorEastAsia"/>
                <w:bCs/>
                <w:lang w:val="zh-CN"/>
              </w:rPr>
              <w:t>工作分包。</w:t>
            </w:r>
          </w:p>
          <w:p>
            <w:pPr>
              <w:spacing w:line="340" w:lineRule="exact"/>
              <w:rPr>
                <w:rFonts w:ascii="宋体" w:hAnsi="宋体" w:cstheme="majorEastAsia"/>
                <w:bCs/>
              </w:rPr>
            </w:pPr>
            <w:r>
              <w:rPr>
                <w:rFonts w:hint="eastAsia" w:ascii="宋体" w:hAnsi="宋体" w:cstheme="majorEastAsia"/>
                <w:bCs/>
                <w:kern w:val="0"/>
              </w:rPr>
              <w:sym w:font="Wingdings" w:char="00FE"/>
            </w:r>
            <w:r>
              <w:rPr>
                <w:rFonts w:hint="eastAsia" w:ascii="宋体" w:hAnsi="宋体" w:cstheme="majorEastAsia"/>
                <w:bCs/>
                <w:kern w:val="0"/>
              </w:rPr>
              <w:t xml:space="preserve"> </w:t>
            </w:r>
            <w:r>
              <w:rPr>
                <w:rFonts w:hint="eastAsia" w:ascii="宋体" w:hAnsi="宋体" w:cstheme="majorEastAsia"/>
                <w:bCs/>
                <w:lang w:val="zh-CN"/>
              </w:rPr>
              <w:t>B不同意分包。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13" w:hRule="atLeast"/>
          <w:tblHeader/>
        </w:trPr>
        <w:tc>
          <w:tcPr>
            <w:tcW w:w="631" w:type="dxa"/>
            <w:vAlign w:val="center"/>
          </w:tcPr>
          <w:p>
            <w:pPr>
              <w:snapToGrid w:val="0"/>
              <w:spacing w:line="340" w:lineRule="exact"/>
              <w:ind w:firstLine="240" w:firstLineChars="100"/>
              <w:rPr>
                <w:rFonts w:ascii="宋体" w:hAnsi="宋体" w:cstheme="majorEastAsia"/>
                <w:bCs/>
              </w:rPr>
            </w:pPr>
            <w:r>
              <w:rPr>
                <w:rFonts w:hint="eastAsia" w:ascii="宋体" w:hAnsi="宋体" w:cstheme="majorEastAsia"/>
                <w:bCs/>
              </w:rPr>
              <w:t>5</w:t>
            </w:r>
          </w:p>
        </w:tc>
        <w:tc>
          <w:tcPr>
            <w:tcW w:w="1849" w:type="dxa"/>
            <w:vAlign w:val="center"/>
          </w:tcPr>
          <w:p>
            <w:pPr>
              <w:snapToGrid w:val="0"/>
              <w:spacing w:line="340" w:lineRule="exact"/>
              <w:jc w:val="center"/>
              <w:rPr>
                <w:rFonts w:ascii="宋体" w:hAnsi="宋体" w:cstheme="majorEastAsia"/>
                <w:bCs/>
              </w:rPr>
            </w:pPr>
            <w:r>
              <w:rPr>
                <w:rFonts w:hint="eastAsia" w:ascii="宋体" w:hAnsi="宋体" w:cstheme="majorEastAsia"/>
                <w:bCs/>
              </w:rPr>
              <w:t>中小企业预留份额情况</w:t>
            </w:r>
          </w:p>
        </w:tc>
        <w:tc>
          <w:tcPr>
            <w:tcW w:w="6499" w:type="dxa"/>
            <w:vAlign w:val="center"/>
          </w:tcPr>
          <w:p>
            <w:pPr>
              <w:spacing w:line="340" w:lineRule="exact"/>
              <w:rPr>
                <w:rFonts w:ascii="宋体" w:hAnsi="宋体" w:cstheme="majorEastAsia"/>
                <w:bCs/>
                <w:kern w:val="0"/>
                <w:highlight w:val="yellow"/>
              </w:rPr>
            </w:pPr>
            <w:r>
              <w:rPr>
                <w:rFonts w:hint="eastAsia" w:ascii="宋体" w:hAnsi="宋体" w:cstheme="majorEastAsia"/>
                <w:bCs/>
                <w:highlight w:val="none"/>
              </w:rPr>
              <w:t>根据《政府采购促进中小企业发展管理办法》财库〔2020〕46号文件的规定，本项目不属于预留份额专门面向中小企业采购的项目。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547" w:hRule="atLeast"/>
          <w:tblHeader/>
        </w:trPr>
        <w:tc>
          <w:tcPr>
            <w:tcW w:w="631" w:type="dxa"/>
            <w:vAlign w:val="center"/>
          </w:tcPr>
          <w:p>
            <w:pPr>
              <w:snapToGrid w:val="0"/>
              <w:spacing w:line="340" w:lineRule="exact"/>
              <w:jc w:val="center"/>
              <w:rPr>
                <w:rFonts w:ascii="宋体" w:hAnsi="宋体" w:cstheme="majorEastAsia"/>
                <w:bCs/>
              </w:rPr>
            </w:pPr>
            <w:r>
              <w:rPr>
                <w:rFonts w:hint="eastAsia" w:ascii="宋体" w:hAnsi="宋体" w:cstheme="majorEastAsia"/>
                <w:bCs/>
              </w:rPr>
              <w:t>6</w:t>
            </w:r>
          </w:p>
        </w:tc>
        <w:tc>
          <w:tcPr>
            <w:tcW w:w="1849" w:type="dxa"/>
            <w:vAlign w:val="center"/>
          </w:tcPr>
          <w:p>
            <w:pPr>
              <w:snapToGrid w:val="0"/>
              <w:spacing w:line="340" w:lineRule="exact"/>
              <w:jc w:val="center"/>
              <w:rPr>
                <w:rFonts w:ascii="宋体" w:hAnsi="宋体" w:cstheme="majorEastAsia"/>
                <w:bCs/>
              </w:rPr>
            </w:pPr>
            <w:r>
              <w:rPr>
                <w:rFonts w:hint="eastAsia" w:ascii="宋体" w:hAnsi="宋体" w:cstheme="majorEastAsia"/>
                <w:bCs/>
              </w:rPr>
              <w:t>开标前答疑会或现场踏勘</w:t>
            </w:r>
          </w:p>
        </w:tc>
        <w:tc>
          <w:tcPr>
            <w:tcW w:w="6499" w:type="dxa"/>
            <w:vAlign w:val="center"/>
          </w:tcPr>
          <w:p>
            <w:pPr>
              <w:spacing w:line="340" w:lineRule="exact"/>
              <w:rPr>
                <w:rFonts w:ascii="宋体" w:hAnsi="宋体" w:cstheme="majorEastAsia"/>
                <w:bCs/>
              </w:rPr>
            </w:pPr>
            <w:r>
              <w:rPr>
                <w:rFonts w:hint="eastAsia" w:ascii="宋体" w:hAnsi="宋体" w:cstheme="majorEastAsia"/>
                <w:bCs/>
                <w:kern w:val="0"/>
              </w:rPr>
              <w:sym w:font="Wingdings" w:char="00FE"/>
            </w:r>
            <w:r>
              <w:rPr>
                <w:rFonts w:hint="eastAsia" w:ascii="宋体" w:hAnsi="宋体" w:cstheme="majorEastAsia"/>
                <w:bCs/>
                <w:lang w:val="zh-CN"/>
              </w:rPr>
              <w:t>A不组织。</w:t>
            </w:r>
          </w:p>
          <w:p>
            <w:pPr>
              <w:spacing w:line="340" w:lineRule="exact"/>
              <w:rPr>
                <w:rFonts w:ascii="宋体" w:hAnsi="宋体" w:cstheme="majorEastAsia"/>
                <w:bCs/>
              </w:rPr>
            </w:pPr>
            <w:r>
              <w:rPr>
                <w:rFonts w:hint="eastAsia" w:ascii="宋体" w:hAnsi="宋体" w:cstheme="majorEastAsia"/>
                <w:bCs/>
                <w:kern w:val="0"/>
              </w:rPr>
              <w:sym w:font="Wingdings" w:char="00A8"/>
            </w:r>
            <w:r>
              <w:rPr>
                <w:rFonts w:hint="eastAsia" w:ascii="宋体" w:hAnsi="宋体" w:cstheme="majorEastAsia"/>
                <w:bCs/>
                <w:lang w:val="zh-CN"/>
              </w:rPr>
              <w:t>B组织，时间：</w:t>
            </w:r>
            <w:r>
              <w:rPr>
                <w:rFonts w:hint="eastAsia" w:ascii="宋体" w:hAnsi="宋体" w:cstheme="majorEastAsia"/>
                <w:bCs/>
                <w:u w:val="single"/>
              </w:rPr>
              <w:t xml:space="preserve">  /    </w:t>
            </w:r>
            <w:r>
              <w:rPr>
                <w:rFonts w:hint="eastAsia" w:ascii="宋体" w:hAnsi="宋体" w:cstheme="majorEastAsia"/>
                <w:bCs/>
              </w:rPr>
              <w:t>,</w:t>
            </w:r>
            <w:r>
              <w:rPr>
                <w:rFonts w:hint="eastAsia" w:ascii="宋体" w:hAnsi="宋体" w:cstheme="majorEastAsia"/>
                <w:bCs/>
                <w:lang w:val="zh-CN"/>
              </w:rPr>
              <w:t>地点：</w:t>
            </w:r>
            <w:r>
              <w:rPr>
                <w:rFonts w:hint="eastAsia" w:ascii="宋体" w:hAnsi="宋体" w:cstheme="majorEastAsia"/>
                <w:bCs/>
                <w:u w:val="single"/>
              </w:rPr>
              <w:t xml:space="preserve">      /        </w:t>
            </w:r>
            <w:r>
              <w:rPr>
                <w:rFonts w:hint="eastAsia" w:ascii="宋体" w:hAnsi="宋体" w:cstheme="majorEastAsia"/>
                <w:bCs/>
                <w:lang w:val="zh-CN"/>
              </w:rPr>
              <w:t>，联系人：</w:t>
            </w:r>
            <w:r>
              <w:rPr>
                <w:rFonts w:hint="eastAsia" w:ascii="宋体" w:hAnsi="宋体" w:cstheme="majorEastAsia"/>
                <w:bCs/>
                <w:u w:val="single"/>
              </w:rPr>
              <w:t xml:space="preserve">     /    </w:t>
            </w:r>
            <w:r>
              <w:rPr>
                <w:rFonts w:hint="eastAsia" w:ascii="宋体" w:hAnsi="宋体" w:cstheme="majorEastAsia"/>
                <w:bCs/>
              </w:rPr>
              <w:t>，</w:t>
            </w:r>
            <w:r>
              <w:rPr>
                <w:rFonts w:hint="eastAsia" w:ascii="宋体" w:hAnsi="宋体" w:cstheme="majorEastAsia"/>
                <w:bCs/>
                <w:lang w:val="zh-CN"/>
              </w:rPr>
              <w:t>联系方式：</w:t>
            </w:r>
            <w:r>
              <w:rPr>
                <w:rFonts w:hint="eastAsia" w:ascii="宋体" w:hAnsi="宋体" w:cstheme="majorEastAsia"/>
                <w:bCs/>
                <w:u w:val="single"/>
              </w:rPr>
              <w:t xml:space="preserve">  /    </w:t>
            </w:r>
            <w:r>
              <w:rPr>
                <w:rFonts w:hint="eastAsia" w:ascii="宋体" w:hAnsi="宋体" w:cstheme="majorEastAsia"/>
                <w:bCs/>
              </w:rPr>
              <w:t>。</w:t>
            </w:r>
          </w:p>
          <w:p>
            <w:pPr>
              <w:spacing w:line="340" w:lineRule="exact"/>
              <w:rPr>
                <w:rFonts w:ascii="宋体" w:hAnsi="宋体" w:cstheme="majorEastAsia"/>
                <w:bCs/>
              </w:rPr>
            </w:pPr>
            <w:r>
              <w:rPr>
                <w:rFonts w:hint="eastAsia" w:ascii="宋体" w:hAnsi="宋体" w:cstheme="majorEastAsia"/>
                <w:bCs/>
                <w:lang w:val="zh-CN"/>
              </w:rPr>
              <w:t>本项目须进行现场踏勘（招标文件中不能详细表述的不可预见费用、招标需求等，投标供应商需通过现场踏勘后考虑在最终报价内，否则后果由中标供应商自负）；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1" w:hRule="atLeast"/>
          <w:tblHeader/>
        </w:trPr>
        <w:tc>
          <w:tcPr>
            <w:tcW w:w="631" w:type="dxa"/>
            <w:vAlign w:val="center"/>
          </w:tcPr>
          <w:p>
            <w:pPr>
              <w:snapToGrid w:val="0"/>
              <w:spacing w:line="340" w:lineRule="exact"/>
              <w:jc w:val="center"/>
              <w:rPr>
                <w:rFonts w:ascii="宋体" w:hAnsi="宋体" w:cstheme="majorEastAsia"/>
                <w:bCs/>
              </w:rPr>
            </w:pPr>
            <w:r>
              <w:rPr>
                <w:rFonts w:hint="eastAsia" w:ascii="宋体" w:hAnsi="宋体" w:cstheme="majorEastAsia"/>
                <w:bCs/>
              </w:rPr>
              <w:t>7</w:t>
            </w:r>
          </w:p>
        </w:tc>
        <w:tc>
          <w:tcPr>
            <w:tcW w:w="1849" w:type="dxa"/>
            <w:vAlign w:val="center"/>
          </w:tcPr>
          <w:p>
            <w:pPr>
              <w:snapToGrid w:val="0"/>
              <w:spacing w:line="340" w:lineRule="exact"/>
              <w:jc w:val="center"/>
              <w:rPr>
                <w:rFonts w:ascii="宋体" w:hAnsi="宋体" w:cstheme="majorEastAsia"/>
                <w:bCs/>
              </w:rPr>
            </w:pPr>
            <w:r>
              <w:rPr>
                <w:rFonts w:hint="eastAsia" w:ascii="宋体" w:hAnsi="宋体" w:cstheme="majorEastAsia"/>
                <w:bCs/>
              </w:rPr>
              <w:t>投标</w:t>
            </w:r>
            <w:r>
              <w:rPr>
                <w:rFonts w:hint="eastAsia" w:ascii="宋体" w:hAnsi="宋体" w:cstheme="majorEastAsia"/>
                <w:bCs/>
                <w:lang w:val="zh-CN"/>
              </w:rPr>
              <w:t>文件组成</w:t>
            </w:r>
          </w:p>
        </w:tc>
        <w:tc>
          <w:tcPr>
            <w:tcW w:w="6499" w:type="dxa"/>
            <w:vAlign w:val="center"/>
          </w:tcPr>
          <w:p>
            <w:pPr>
              <w:snapToGrid w:val="0"/>
              <w:spacing w:line="340" w:lineRule="exact"/>
              <w:rPr>
                <w:rFonts w:ascii="宋体" w:hAnsi="宋体" w:cstheme="majorEastAsia"/>
                <w:bCs/>
                <w:lang w:val="zh-CN"/>
              </w:rPr>
            </w:pPr>
            <w:r>
              <w:rPr>
                <w:rFonts w:hint="eastAsia" w:ascii="宋体" w:hAnsi="宋体" w:cstheme="majorEastAsia"/>
                <w:bCs/>
                <w:lang w:val="zh-CN"/>
              </w:rPr>
              <w:t>电子</w:t>
            </w:r>
            <w:r>
              <w:rPr>
                <w:rFonts w:hint="eastAsia" w:ascii="宋体" w:hAnsi="宋体" w:cstheme="majorEastAsia"/>
                <w:bCs/>
              </w:rPr>
              <w:t>投标</w:t>
            </w:r>
            <w:r>
              <w:rPr>
                <w:rFonts w:hint="eastAsia" w:ascii="宋体" w:hAnsi="宋体" w:cstheme="majorEastAsia"/>
                <w:bCs/>
                <w:lang w:val="zh-CN"/>
              </w:rPr>
              <w:t>文件和备份</w:t>
            </w:r>
            <w:r>
              <w:rPr>
                <w:rFonts w:hint="eastAsia" w:ascii="宋体" w:hAnsi="宋体" w:cstheme="majorEastAsia"/>
                <w:bCs/>
              </w:rPr>
              <w:t>投标</w:t>
            </w:r>
            <w:r>
              <w:rPr>
                <w:rFonts w:hint="eastAsia" w:ascii="宋体" w:hAnsi="宋体" w:cstheme="majorEastAsia"/>
                <w:bCs/>
                <w:lang w:val="zh-CN"/>
              </w:rPr>
              <w:t>文件均由</w:t>
            </w:r>
            <w:r>
              <w:rPr>
                <w:rFonts w:hint="eastAsia" w:ascii="宋体" w:hAnsi="宋体" w:cstheme="majorEastAsia"/>
                <w:bCs/>
              </w:rPr>
              <w:t>资格</w:t>
            </w:r>
            <w:r>
              <w:rPr>
                <w:rFonts w:hint="eastAsia" w:ascii="宋体" w:hAnsi="宋体" w:cstheme="majorEastAsia"/>
                <w:bCs/>
                <w:lang w:val="zh-CN"/>
              </w:rPr>
              <w:t>文件、</w:t>
            </w:r>
            <w:r>
              <w:rPr>
                <w:rFonts w:hint="eastAsia" w:ascii="宋体" w:hAnsi="宋体" w:cstheme="majorEastAsia"/>
                <w:bCs/>
              </w:rPr>
              <w:t>商务</w:t>
            </w:r>
            <w:r>
              <w:rPr>
                <w:rFonts w:hint="eastAsia" w:ascii="宋体" w:hAnsi="宋体" w:cstheme="majorEastAsia"/>
                <w:bCs/>
                <w:lang w:val="zh-CN"/>
              </w:rPr>
              <w:t>技术文件及投标报价文件</w:t>
            </w:r>
            <w:r>
              <w:rPr>
                <w:rFonts w:hint="eastAsia" w:ascii="宋体" w:hAnsi="宋体" w:cstheme="majorEastAsia"/>
                <w:bCs/>
              </w:rPr>
              <w:t>三</w:t>
            </w:r>
            <w:r>
              <w:rPr>
                <w:rFonts w:hint="eastAsia" w:ascii="宋体" w:hAnsi="宋体" w:cstheme="majorEastAsia"/>
                <w:bCs/>
                <w:lang w:val="zh-CN"/>
              </w:rPr>
              <w:t>部份组成。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77" w:hRule="atLeast"/>
          <w:tblHeader/>
        </w:trPr>
        <w:tc>
          <w:tcPr>
            <w:tcW w:w="631" w:type="dxa"/>
            <w:vAlign w:val="center"/>
          </w:tcPr>
          <w:p>
            <w:pPr>
              <w:snapToGrid w:val="0"/>
              <w:spacing w:line="340" w:lineRule="exact"/>
              <w:jc w:val="center"/>
              <w:rPr>
                <w:rFonts w:ascii="宋体" w:hAnsi="宋体" w:cstheme="majorEastAsia"/>
                <w:bCs/>
              </w:rPr>
            </w:pPr>
            <w:r>
              <w:rPr>
                <w:rFonts w:hint="eastAsia" w:ascii="宋体" w:hAnsi="宋体" w:cstheme="majorEastAsia"/>
                <w:bCs/>
              </w:rPr>
              <w:t>8</w:t>
            </w:r>
          </w:p>
        </w:tc>
        <w:tc>
          <w:tcPr>
            <w:tcW w:w="1849" w:type="dxa"/>
            <w:vAlign w:val="center"/>
          </w:tcPr>
          <w:p>
            <w:pPr>
              <w:snapToGrid w:val="0"/>
              <w:spacing w:line="340" w:lineRule="exact"/>
              <w:jc w:val="center"/>
              <w:rPr>
                <w:rFonts w:ascii="宋体" w:hAnsi="宋体" w:cstheme="majorEastAsia"/>
                <w:bCs/>
              </w:rPr>
            </w:pPr>
            <w:r>
              <w:rPr>
                <w:rFonts w:hint="eastAsia" w:ascii="宋体" w:hAnsi="宋体" w:cstheme="majorEastAsia"/>
                <w:bCs/>
                <w:lang w:val="zh-CN"/>
              </w:rPr>
              <w:t>开标时间及地点</w:t>
            </w:r>
          </w:p>
        </w:tc>
        <w:tc>
          <w:tcPr>
            <w:tcW w:w="6499" w:type="dxa"/>
            <w:vAlign w:val="center"/>
          </w:tcPr>
          <w:p>
            <w:pPr>
              <w:snapToGrid w:val="0"/>
              <w:spacing w:line="340" w:lineRule="exact"/>
              <w:rPr>
                <w:rFonts w:ascii="宋体" w:hAnsi="宋体" w:cstheme="majorEastAsia"/>
                <w:bCs/>
                <w:highlight w:val="none"/>
                <w:lang w:val="zh-CN"/>
              </w:rPr>
            </w:pPr>
            <w:r>
              <w:rPr>
                <w:rFonts w:hint="eastAsia" w:ascii="宋体" w:hAnsi="宋体" w:cstheme="majorEastAsia"/>
                <w:bCs/>
              </w:rPr>
              <w:t>时间</w:t>
            </w:r>
            <w:r>
              <w:rPr>
                <w:rFonts w:hint="eastAsia" w:ascii="宋体" w:hAnsi="宋体" w:cstheme="majorEastAsia"/>
                <w:bCs/>
                <w:highlight w:val="none"/>
              </w:rPr>
              <w:t>：</w:t>
            </w:r>
            <w:r>
              <w:rPr>
                <w:rFonts w:hint="eastAsia" w:asciiTheme="majorEastAsia" w:hAnsiTheme="majorEastAsia" w:eastAsiaTheme="majorEastAsia" w:cstheme="majorEastAsia"/>
                <w:highlight w:val="none"/>
                <w:lang w:val="en"/>
              </w:rPr>
              <w:t>2022年</w:t>
            </w:r>
            <w:r>
              <w:rPr>
                <w:rFonts w:hint="eastAsia" w:asciiTheme="majorEastAsia" w:hAnsiTheme="majorEastAsia" w:eastAsiaTheme="majorEastAsia" w:cstheme="majorEastAsia"/>
                <w:highlight w:val="none"/>
                <w:lang w:val="en-US" w:eastAsia="zh-CN"/>
              </w:rPr>
              <w:t xml:space="preserve">8 </w:t>
            </w:r>
            <w:r>
              <w:rPr>
                <w:rFonts w:hint="eastAsia" w:asciiTheme="majorEastAsia" w:hAnsiTheme="majorEastAsia" w:eastAsiaTheme="majorEastAsia" w:cstheme="majorEastAsia"/>
                <w:highlight w:val="none"/>
                <w:lang w:val="en"/>
              </w:rPr>
              <w:t>月</w:t>
            </w:r>
            <w:r>
              <w:rPr>
                <w:rFonts w:hint="eastAsia" w:asciiTheme="majorEastAsia" w:hAnsiTheme="majorEastAsia" w:eastAsiaTheme="majorEastAsia" w:cstheme="majorEastAsia"/>
                <w:highlight w:val="none"/>
                <w:lang w:val="en-US" w:eastAsia="zh-CN"/>
              </w:rPr>
              <w:t>8</w:t>
            </w:r>
            <w:r>
              <w:rPr>
                <w:rFonts w:hint="eastAsia" w:asciiTheme="majorEastAsia" w:hAnsiTheme="majorEastAsia" w:eastAsiaTheme="majorEastAsia" w:cstheme="majorEastAsia"/>
                <w:highlight w:val="none"/>
                <w:lang w:val="en"/>
              </w:rPr>
              <w:t>日</w:t>
            </w:r>
            <w:r>
              <w:rPr>
                <w:rFonts w:hint="eastAsia" w:asciiTheme="majorEastAsia" w:hAnsiTheme="majorEastAsia" w:eastAsiaTheme="majorEastAsia" w:cstheme="majorEastAsia"/>
                <w:highlight w:val="none"/>
                <w:lang w:val="en-US" w:eastAsia="zh-CN"/>
              </w:rPr>
              <w:t xml:space="preserve"> 14：00</w:t>
            </w:r>
          </w:p>
          <w:p>
            <w:pPr>
              <w:snapToGrid w:val="0"/>
              <w:spacing w:line="340" w:lineRule="exact"/>
              <w:rPr>
                <w:rFonts w:ascii="宋体" w:hAnsi="宋体" w:cstheme="majorEastAsia"/>
                <w:bCs/>
                <w:highlight w:val="none"/>
              </w:rPr>
            </w:pPr>
            <w:r>
              <w:rPr>
                <w:rFonts w:hint="eastAsia" w:ascii="宋体" w:hAnsi="宋体" w:cstheme="majorEastAsia"/>
                <w:bCs/>
                <w:highlight w:val="none"/>
              </w:rPr>
              <w:t>地点：政采云平台</w:t>
            </w:r>
          </w:p>
          <w:p>
            <w:pPr>
              <w:snapToGrid w:val="0"/>
              <w:spacing w:line="340" w:lineRule="exact"/>
              <w:rPr>
                <w:rFonts w:ascii="宋体" w:hAnsi="宋体" w:cstheme="majorEastAsia"/>
                <w:bCs/>
                <w:lang w:val="zh-CN"/>
              </w:rPr>
            </w:pPr>
            <w:r>
              <w:rPr>
                <w:rFonts w:hint="eastAsia" w:ascii="宋体" w:hAnsi="宋体" w:cstheme="majorEastAsia"/>
                <w:bCs/>
                <w:u w:val="single"/>
                <w:lang w:val="zh-CN"/>
              </w:rPr>
              <w:t>供应商无需到开标现场，但须准时在线参加，直至评审结束。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1" w:hRule="atLeast"/>
          <w:tblHeader/>
        </w:trPr>
        <w:tc>
          <w:tcPr>
            <w:tcW w:w="631" w:type="dxa"/>
            <w:vAlign w:val="center"/>
          </w:tcPr>
          <w:p>
            <w:pPr>
              <w:snapToGrid w:val="0"/>
              <w:spacing w:line="340" w:lineRule="exact"/>
              <w:jc w:val="center"/>
              <w:rPr>
                <w:rFonts w:ascii="宋体" w:hAnsi="宋体" w:cstheme="majorEastAsia"/>
                <w:bCs/>
              </w:rPr>
            </w:pPr>
          </w:p>
          <w:p>
            <w:pPr>
              <w:snapToGrid w:val="0"/>
              <w:spacing w:line="340" w:lineRule="exact"/>
              <w:jc w:val="center"/>
              <w:rPr>
                <w:rFonts w:ascii="宋体" w:hAnsi="宋体" w:cstheme="majorEastAsia"/>
                <w:bCs/>
              </w:rPr>
            </w:pPr>
            <w:r>
              <w:rPr>
                <w:rFonts w:hint="eastAsia" w:ascii="宋体" w:hAnsi="宋体" w:cstheme="majorEastAsia"/>
                <w:bCs/>
              </w:rPr>
              <w:t>9</w:t>
            </w:r>
          </w:p>
        </w:tc>
        <w:tc>
          <w:tcPr>
            <w:tcW w:w="1849" w:type="dxa"/>
            <w:vAlign w:val="center"/>
          </w:tcPr>
          <w:p>
            <w:pPr>
              <w:snapToGrid w:val="0"/>
              <w:spacing w:line="340" w:lineRule="exact"/>
              <w:jc w:val="center"/>
              <w:rPr>
                <w:rFonts w:ascii="宋体" w:hAnsi="宋体" w:cstheme="majorEastAsia"/>
                <w:bCs/>
              </w:rPr>
            </w:pPr>
            <w:r>
              <w:rPr>
                <w:rFonts w:hint="eastAsia" w:ascii="宋体" w:hAnsi="宋体" w:cstheme="majorEastAsia"/>
                <w:bCs/>
              </w:rPr>
              <w:t>方案讲解演示</w:t>
            </w:r>
          </w:p>
        </w:tc>
        <w:tc>
          <w:tcPr>
            <w:tcW w:w="6499" w:type="dxa"/>
            <w:vAlign w:val="center"/>
          </w:tcPr>
          <w:p>
            <w:pPr>
              <w:snapToGrid w:val="0"/>
              <w:spacing w:line="340" w:lineRule="exact"/>
              <w:rPr>
                <w:rFonts w:ascii="宋体" w:hAnsi="宋体" w:cstheme="majorEastAsia"/>
                <w:bCs/>
                <w:kern w:val="0"/>
                <w:lang w:val="zh-CN"/>
              </w:rPr>
            </w:pPr>
            <w:r>
              <w:rPr>
                <w:rFonts w:hint="eastAsia" w:ascii="宋体" w:hAnsi="宋体" w:cstheme="majorEastAsia"/>
                <w:bCs/>
                <w:kern w:val="0"/>
              </w:rPr>
              <w:sym w:font="Wingdings" w:char="00FE"/>
            </w:r>
            <w:r>
              <w:rPr>
                <w:rFonts w:hint="eastAsia" w:ascii="宋体" w:hAnsi="宋体" w:cstheme="majorEastAsia"/>
                <w:bCs/>
                <w:lang w:val="zh-CN"/>
              </w:rPr>
              <w:t>A不组织。</w:t>
            </w:r>
            <w:r>
              <w:rPr>
                <w:rFonts w:hint="eastAsia" w:ascii="宋体" w:hAnsi="宋体" w:cstheme="majorEastAsia"/>
                <w:bCs/>
                <w:lang w:val="en-US" w:eastAsia="zh-CN"/>
              </w:rPr>
              <w:t xml:space="preserve">        </w:t>
            </w:r>
            <w:r>
              <w:rPr>
                <w:rFonts w:hint="eastAsia" w:ascii="宋体" w:hAnsi="宋体" w:cstheme="majorEastAsia"/>
                <w:bCs/>
                <w:kern w:val="0"/>
              </w:rPr>
              <w:sym w:font="Wingdings" w:char="00A8"/>
            </w:r>
            <w:r>
              <w:rPr>
                <w:rFonts w:hint="eastAsia" w:ascii="宋体" w:hAnsi="宋体" w:cstheme="majorEastAsia"/>
                <w:bCs/>
                <w:lang w:val="zh-CN"/>
              </w:rPr>
              <w:t>B组织。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547" w:hRule="atLeast"/>
          <w:tblHeader/>
        </w:trPr>
        <w:tc>
          <w:tcPr>
            <w:tcW w:w="631" w:type="dxa"/>
            <w:vAlign w:val="center"/>
          </w:tcPr>
          <w:p>
            <w:pPr>
              <w:snapToGrid w:val="0"/>
              <w:spacing w:line="340" w:lineRule="exact"/>
              <w:jc w:val="center"/>
              <w:rPr>
                <w:rFonts w:ascii="宋体" w:hAnsi="宋体" w:cstheme="majorEastAsia"/>
                <w:bCs/>
              </w:rPr>
            </w:pPr>
            <w:r>
              <w:rPr>
                <w:rFonts w:hint="eastAsia" w:ascii="宋体" w:hAnsi="宋体" w:cstheme="majorEastAsia"/>
                <w:bCs/>
              </w:rPr>
              <w:t>10</w:t>
            </w:r>
          </w:p>
        </w:tc>
        <w:tc>
          <w:tcPr>
            <w:tcW w:w="1849" w:type="dxa"/>
            <w:vAlign w:val="center"/>
          </w:tcPr>
          <w:p>
            <w:pPr>
              <w:snapToGrid w:val="0"/>
              <w:spacing w:line="340" w:lineRule="exact"/>
              <w:jc w:val="center"/>
              <w:rPr>
                <w:rFonts w:ascii="宋体" w:hAnsi="宋体" w:cstheme="majorEastAsia"/>
                <w:bCs/>
              </w:rPr>
            </w:pPr>
            <w:r>
              <w:rPr>
                <w:rFonts w:hint="eastAsia" w:ascii="宋体" w:hAnsi="宋体" w:cstheme="majorEastAsia"/>
                <w:bCs/>
              </w:rPr>
              <w:t>是否允许采购进口产品</w:t>
            </w:r>
          </w:p>
        </w:tc>
        <w:tc>
          <w:tcPr>
            <w:tcW w:w="6499" w:type="dxa"/>
            <w:vAlign w:val="center"/>
          </w:tcPr>
          <w:p>
            <w:pPr>
              <w:spacing w:line="340" w:lineRule="exact"/>
              <w:rPr>
                <w:rFonts w:ascii="宋体" w:hAnsi="宋体" w:cstheme="majorEastAsia"/>
                <w:bCs/>
                <w:kern w:val="0"/>
              </w:rPr>
            </w:pPr>
            <w:r>
              <w:rPr>
                <w:rFonts w:hint="eastAsia" w:ascii="宋体" w:hAnsi="宋体" w:cstheme="majorEastAsia"/>
                <w:bCs/>
                <w:kern w:val="0"/>
              </w:rPr>
              <w:sym w:font="Wingdings" w:char="00FE"/>
            </w:r>
            <w:r>
              <w:rPr>
                <w:rFonts w:hint="eastAsia" w:ascii="宋体" w:hAnsi="宋体" w:cstheme="majorEastAsia"/>
                <w:bCs/>
                <w:lang w:val="zh-CN"/>
              </w:rPr>
              <w:t>本项目不允许采购进口产品。</w:t>
            </w:r>
          </w:p>
          <w:p>
            <w:pPr>
              <w:spacing w:line="340" w:lineRule="exact"/>
              <w:rPr>
                <w:rFonts w:ascii="宋体" w:hAnsi="宋体" w:cstheme="majorEastAsia"/>
                <w:bCs/>
              </w:rPr>
            </w:pPr>
            <w:r>
              <w:rPr>
                <w:rFonts w:hint="eastAsia" w:ascii="宋体" w:hAnsi="宋体" w:cstheme="majorEastAsia"/>
                <w:bCs/>
                <w:kern w:val="0"/>
              </w:rPr>
              <w:sym w:font="Wingdings" w:char="00A8"/>
            </w:r>
            <w:r>
              <w:rPr>
                <w:rFonts w:hint="eastAsia" w:ascii="宋体" w:hAnsi="宋体" w:cstheme="majorEastAsia"/>
                <w:bCs/>
                <w:lang w:val="zh-CN"/>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5" w:hRule="atLeast"/>
          <w:tblHeader/>
        </w:trPr>
        <w:tc>
          <w:tcPr>
            <w:tcW w:w="631" w:type="dxa"/>
            <w:vAlign w:val="center"/>
          </w:tcPr>
          <w:p>
            <w:pPr>
              <w:snapToGrid w:val="0"/>
              <w:spacing w:line="340" w:lineRule="exact"/>
              <w:jc w:val="center"/>
              <w:rPr>
                <w:rFonts w:ascii="宋体" w:hAnsi="宋体" w:cstheme="majorEastAsia"/>
                <w:bCs/>
              </w:rPr>
            </w:pPr>
            <w:r>
              <w:rPr>
                <w:rFonts w:hint="eastAsia" w:ascii="宋体" w:hAnsi="宋体" w:cstheme="majorEastAsia"/>
                <w:bCs/>
              </w:rPr>
              <w:t>11</w:t>
            </w:r>
          </w:p>
        </w:tc>
        <w:tc>
          <w:tcPr>
            <w:tcW w:w="1849" w:type="dxa"/>
            <w:vAlign w:val="center"/>
          </w:tcPr>
          <w:p>
            <w:pPr>
              <w:snapToGrid w:val="0"/>
              <w:spacing w:line="340" w:lineRule="exact"/>
              <w:jc w:val="center"/>
              <w:rPr>
                <w:rFonts w:ascii="宋体" w:hAnsi="宋体" w:cstheme="majorEastAsia"/>
                <w:bCs/>
              </w:rPr>
            </w:pPr>
            <w:r>
              <w:rPr>
                <w:rFonts w:hint="eastAsia" w:ascii="宋体" w:hAnsi="宋体" w:cstheme="majorEastAsia"/>
                <w:bCs/>
              </w:rPr>
              <w:t>项目属性</w:t>
            </w:r>
          </w:p>
        </w:tc>
        <w:tc>
          <w:tcPr>
            <w:tcW w:w="6499" w:type="dxa"/>
            <w:vAlign w:val="center"/>
          </w:tcPr>
          <w:p>
            <w:pPr>
              <w:spacing w:line="340" w:lineRule="exact"/>
              <w:rPr>
                <w:rFonts w:ascii="宋体" w:hAnsi="宋体" w:cstheme="majorEastAsia"/>
                <w:bCs/>
              </w:rPr>
            </w:pPr>
            <w:r>
              <w:rPr>
                <w:rFonts w:hint="eastAsia" w:ascii="宋体" w:hAnsi="宋体" w:cstheme="majorEastAsia"/>
                <w:bCs/>
                <w:kern w:val="0"/>
              </w:rPr>
              <w:sym w:font="Wingdings" w:char="00FE"/>
            </w:r>
            <w:r>
              <w:rPr>
                <w:rFonts w:hint="eastAsia" w:ascii="宋体" w:hAnsi="宋体" w:cstheme="majorEastAsia"/>
                <w:bCs/>
                <w:lang w:val="zh-CN"/>
              </w:rPr>
              <w:t>A货物类</w:t>
            </w:r>
            <w:r>
              <w:rPr>
                <w:rFonts w:hint="eastAsia" w:ascii="宋体" w:hAnsi="宋体" w:cstheme="majorEastAsia"/>
                <w:bCs/>
              </w:rPr>
              <w:t>。</w:t>
            </w:r>
            <w:r>
              <w:rPr>
                <w:rFonts w:hint="eastAsia" w:ascii="宋体" w:hAnsi="宋体" w:cstheme="majorEastAsia"/>
                <w:bCs/>
                <w:lang w:val="en-US" w:eastAsia="zh-CN"/>
              </w:rPr>
              <w:t xml:space="preserve">        </w:t>
            </w:r>
            <w:r>
              <w:rPr>
                <w:rFonts w:hint="eastAsia" w:ascii="宋体" w:hAnsi="宋体" w:cstheme="majorEastAsia"/>
                <w:bCs/>
                <w:kern w:val="0"/>
              </w:rPr>
              <w:sym w:font="Wingdings" w:char="00A8"/>
            </w:r>
            <w:r>
              <w:rPr>
                <w:rFonts w:hint="eastAsia" w:ascii="宋体" w:hAnsi="宋体" w:cstheme="majorEastAsia"/>
                <w:bCs/>
                <w:lang w:val="zh-CN"/>
              </w:rPr>
              <w:t>B服务类。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77" w:hRule="atLeast"/>
          <w:tblHeader/>
        </w:trPr>
        <w:tc>
          <w:tcPr>
            <w:tcW w:w="631" w:type="dxa"/>
            <w:vAlign w:val="center"/>
          </w:tcPr>
          <w:p>
            <w:pPr>
              <w:snapToGrid w:val="0"/>
              <w:spacing w:line="340" w:lineRule="exact"/>
              <w:jc w:val="center"/>
              <w:rPr>
                <w:rFonts w:ascii="宋体" w:hAnsi="宋体" w:cstheme="majorEastAsia"/>
                <w:bCs/>
              </w:rPr>
            </w:pPr>
            <w:r>
              <w:rPr>
                <w:rFonts w:hint="eastAsia" w:ascii="宋体" w:hAnsi="宋体" w:cstheme="majorEastAsia"/>
                <w:bCs/>
              </w:rPr>
              <w:t>12</w:t>
            </w:r>
          </w:p>
        </w:tc>
        <w:tc>
          <w:tcPr>
            <w:tcW w:w="1849" w:type="dxa"/>
            <w:vAlign w:val="center"/>
          </w:tcPr>
          <w:p>
            <w:pPr>
              <w:snapToGrid w:val="0"/>
              <w:spacing w:line="340" w:lineRule="exact"/>
              <w:jc w:val="center"/>
              <w:rPr>
                <w:rFonts w:ascii="宋体" w:hAnsi="宋体" w:cstheme="majorEastAsia"/>
                <w:bCs/>
              </w:rPr>
            </w:pPr>
            <w:r>
              <w:rPr>
                <w:rFonts w:hint="eastAsia" w:ascii="宋体" w:hAnsi="宋体" w:cstheme="majorEastAsia"/>
                <w:bCs/>
              </w:rPr>
              <w:t>采购标的对应的中小企业划分标准所属行业</w:t>
            </w:r>
          </w:p>
        </w:tc>
        <w:tc>
          <w:tcPr>
            <w:tcW w:w="6499" w:type="dxa"/>
            <w:vAlign w:val="center"/>
          </w:tcPr>
          <w:p>
            <w:pPr>
              <w:snapToGrid w:val="0"/>
              <w:spacing w:line="340" w:lineRule="exact"/>
              <w:rPr>
                <w:rFonts w:ascii="宋体" w:hAnsi="宋体" w:cstheme="majorEastAsia"/>
                <w:bCs/>
              </w:rPr>
            </w:pPr>
            <w:r>
              <w:rPr>
                <w:rFonts w:hint="eastAsia" w:ascii="宋体" w:hAnsi="宋体" w:cstheme="majorEastAsia"/>
                <w:bCs/>
                <w:lang w:val="zh-CN"/>
              </w:rPr>
              <w:t>标的：</w:t>
            </w:r>
            <w:r>
              <w:rPr>
                <w:rFonts w:hint="eastAsia" w:ascii="宋体" w:hAnsi="宋体" w:cstheme="majorEastAsia"/>
                <w:bCs/>
                <w:kern w:val="0"/>
                <w:u w:val="single"/>
              </w:rPr>
              <w:t xml:space="preserve"> 空调 </w:t>
            </w:r>
            <w:r>
              <w:rPr>
                <w:rFonts w:hint="eastAsia" w:ascii="宋体" w:hAnsi="宋体" w:cstheme="majorEastAsia"/>
                <w:bCs/>
                <w:kern w:val="0"/>
              </w:rPr>
              <w:t>，</w:t>
            </w:r>
            <w:r>
              <w:rPr>
                <w:rFonts w:hint="eastAsia" w:ascii="宋体" w:hAnsi="宋体" w:cstheme="majorEastAsia"/>
                <w:bCs/>
                <w:lang w:val="zh-CN"/>
              </w:rPr>
              <w:t>属于</w:t>
            </w:r>
            <w:r>
              <w:rPr>
                <w:rFonts w:hint="eastAsia" w:ascii="宋体" w:hAnsi="宋体" w:cstheme="majorEastAsia"/>
                <w:bCs/>
                <w:kern w:val="0"/>
                <w:u w:val="single"/>
              </w:rPr>
              <w:t xml:space="preserve"> 工业 </w:t>
            </w:r>
            <w:r>
              <w:rPr>
                <w:rFonts w:hint="eastAsia" w:ascii="宋体" w:hAnsi="宋体" w:cstheme="majorEastAsia"/>
                <w:bCs/>
                <w:lang w:val="zh-CN"/>
              </w:rPr>
              <w:t>行业；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34" w:hRule="atLeast"/>
          <w:tblHeader/>
        </w:trPr>
        <w:tc>
          <w:tcPr>
            <w:tcW w:w="631" w:type="dxa"/>
            <w:vAlign w:val="center"/>
          </w:tcPr>
          <w:p>
            <w:pPr>
              <w:snapToGrid w:val="0"/>
              <w:spacing w:line="340" w:lineRule="exact"/>
              <w:jc w:val="center"/>
              <w:rPr>
                <w:rFonts w:ascii="宋体" w:hAnsi="宋体" w:cstheme="majorEastAsia"/>
                <w:bCs/>
              </w:rPr>
            </w:pPr>
            <w:r>
              <w:rPr>
                <w:rFonts w:hint="eastAsia" w:ascii="宋体" w:hAnsi="宋体" w:cstheme="majorEastAsia"/>
                <w:bCs/>
              </w:rPr>
              <w:t>13</w:t>
            </w:r>
          </w:p>
        </w:tc>
        <w:tc>
          <w:tcPr>
            <w:tcW w:w="1849" w:type="dxa"/>
            <w:vAlign w:val="center"/>
          </w:tcPr>
          <w:p>
            <w:pPr>
              <w:snapToGrid w:val="0"/>
              <w:spacing w:line="340" w:lineRule="exact"/>
              <w:jc w:val="center"/>
              <w:rPr>
                <w:rFonts w:ascii="宋体" w:hAnsi="宋体" w:cstheme="majorEastAsia"/>
                <w:bCs/>
              </w:rPr>
            </w:pPr>
            <w:r>
              <w:rPr>
                <w:rFonts w:hint="eastAsia" w:ascii="宋体" w:hAnsi="宋体" w:cstheme="majorEastAsia"/>
                <w:bCs/>
              </w:rPr>
              <w:t>节能产品、环境标志产品</w:t>
            </w:r>
          </w:p>
        </w:tc>
        <w:tc>
          <w:tcPr>
            <w:tcW w:w="6499" w:type="dxa"/>
            <w:vAlign w:val="center"/>
          </w:tcPr>
          <w:p>
            <w:pPr>
              <w:snapToGrid w:val="0"/>
              <w:spacing w:line="340" w:lineRule="exact"/>
              <w:rPr>
                <w:rFonts w:ascii="宋体" w:hAnsi="宋体" w:cstheme="majorEastAsia"/>
                <w:bCs/>
              </w:rPr>
            </w:pPr>
            <w:r>
              <w:rPr>
                <w:rFonts w:hint="eastAsia" w:ascii="宋体" w:hAnsi="宋体" w:cstheme="majorEastAsia"/>
                <w:bCs/>
                <w:snapToGrid w:val="0"/>
                <w:kern w:val="0"/>
              </w:rPr>
              <w:t>按《节能产品政府采购品目清单》财库〔2019〕19号执行；政府采购节能产品、环境标志产品实施品目清单管理：投标产品符合财库〔2019〕9号《关于调整优化节能产品、环境标志产品政府采购执行机制的通知》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372" w:hRule="atLeast"/>
          <w:tblHeader/>
        </w:trPr>
        <w:tc>
          <w:tcPr>
            <w:tcW w:w="631" w:type="dxa"/>
            <w:vAlign w:val="center"/>
          </w:tcPr>
          <w:p>
            <w:pPr>
              <w:snapToGrid w:val="0"/>
              <w:spacing w:line="340" w:lineRule="exact"/>
              <w:jc w:val="center"/>
              <w:rPr>
                <w:rFonts w:ascii="宋体" w:hAnsi="宋体" w:cstheme="majorEastAsia"/>
                <w:bCs/>
              </w:rPr>
            </w:pPr>
            <w:r>
              <w:rPr>
                <w:rFonts w:hint="eastAsia" w:ascii="宋体" w:hAnsi="宋体" w:cstheme="majorEastAsia"/>
                <w:bCs/>
              </w:rPr>
              <w:t>14</w:t>
            </w:r>
          </w:p>
        </w:tc>
        <w:tc>
          <w:tcPr>
            <w:tcW w:w="1849" w:type="dxa"/>
            <w:vAlign w:val="center"/>
          </w:tcPr>
          <w:p>
            <w:pPr>
              <w:snapToGrid w:val="0"/>
              <w:spacing w:line="340" w:lineRule="exact"/>
              <w:jc w:val="center"/>
              <w:rPr>
                <w:rFonts w:ascii="宋体" w:hAnsi="宋体" w:cstheme="majorEastAsia"/>
                <w:bCs/>
                <w:highlight w:val="lightGray"/>
              </w:rPr>
            </w:pPr>
            <w:r>
              <w:rPr>
                <w:rFonts w:hint="eastAsia" w:ascii="宋体" w:hAnsi="宋体" w:cstheme="majorEastAsia"/>
                <w:bCs/>
              </w:rPr>
              <w:t>评标结果公告及中标通知书</w:t>
            </w:r>
          </w:p>
        </w:tc>
        <w:tc>
          <w:tcPr>
            <w:tcW w:w="6499" w:type="dxa"/>
            <w:vAlign w:val="center"/>
          </w:tcPr>
          <w:p>
            <w:pPr>
              <w:snapToGrid w:val="0"/>
              <w:spacing w:line="340" w:lineRule="exact"/>
              <w:rPr>
                <w:rFonts w:ascii="宋体" w:hAnsi="宋体" w:cstheme="majorEastAsia"/>
                <w:bCs/>
              </w:rPr>
            </w:pPr>
            <w:r>
              <w:rPr>
                <w:rFonts w:hint="eastAsia" w:ascii="宋体" w:hAnsi="宋体" w:cstheme="majorEastAsia"/>
                <w:bCs/>
              </w:rPr>
              <w:t>评标结束后2个工作日内，评标结果公告于浙江政府采购网(http://www.zjzfcg.gov.cn/new/)</w:t>
            </w:r>
          </w:p>
          <w:p>
            <w:pPr>
              <w:widowControl/>
              <w:spacing w:line="340" w:lineRule="exact"/>
              <w:jc w:val="left"/>
              <w:rPr>
                <w:rFonts w:ascii="宋体" w:hAnsi="宋体" w:cstheme="majorEastAsia"/>
                <w:bCs/>
                <w:snapToGrid w:val="0"/>
                <w:kern w:val="28"/>
                <w:highlight w:val="lightGray"/>
              </w:rPr>
            </w:pPr>
            <w:r>
              <w:rPr>
                <w:rFonts w:hint="eastAsia" w:ascii="宋体" w:hAnsi="宋体" w:cstheme="majorEastAsia"/>
                <w:bCs/>
                <w:kern w:val="0"/>
              </w:rPr>
              <w:t>中标公告期限为1个工作日</w:t>
            </w:r>
            <w:r>
              <w:rPr>
                <w:rFonts w:hint="eastAsia" w:ascii="宋体" w:hAnsi="宋体" w:cstheme="majorEastAsia"/>
                <w:bCs/>
              </w:rPr>
              <w:t>（中标供应商为小微企业的，其声明函将随中标结果同时公告）</w:t>
            </w:r>
            <w:r>
              <w:rPr>
                <w:rFonts w:hint="eastAsia" w:ascii="宋体" w:hAnsi="宋体" w:cstheme="majorEastAsia"/>
                <w:bCs/>
                <w:kern w:val="0"/>
              </w:rPr>
              <w:t>。在公告中标结果的同时，采购机构在政采云系统向中标供应商发出中标通知书。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34" w:hRule="atLeast"/>
          <w:tblHeader/>
        </w:trPr>
        <w:tc>
          <w:tcPr>
            <w:tcW w:w="631" w:type="dxa"/>
            <w:vAlign w:val="center"/>
          </w:tcPr>
          <w:p>
            <w:pPr>
              <w:snapToGrid w:val="0"/>
              <w:spacing w:line="340" w:lineRule="exact"/>
              <w:jc w:val="center"/>
              <w:rPr>
                <w:rFonts w:ascii="宋体" w:hAnsi="宋体" w:cstheme="majorEastAsia"/>
                <w:bCs/>
              </w:rPr>
            </w:pPr>
            <w:r>
              <w:rPr>
                <w:rFonts w:hint="eastAsia" w:ascii="宋体" w:hAnsi="宋体" w:cstheme="majorEastAsia"/>
                <w:bCs/>
              </w:rPr>
              <w:t>15</w:t>
            </w:r>
          </w:p>
        </w:tc>
        <w:tc>
          <w:tcPr>
            <w:tcW w:w="1849" w:type="dxa"/>
            <w:vAlign w:val="center"/>
          </w:tcPr>
          <w:p>
            <w:pPr>
              <w:snapToGrid w:val="0"/>
              <w:spacing w:line="340" w:lineRule="exact"/>
              <w:jc w:val="center"/>
              <w:rPr>
                <w:rFonts w:ascii="宋体" w:hAnsi="宋体" w:cstheme="majorEastAsia"/>
                <w:bCs/>
                <w:kern w:val="0"/>
              </w:rPr>
            </w:pPr>
            <w:r>
              <w:rPr>
                <w:rFonts w:hint="eastAsia" w:ascii="宋体" w:hAnsi="宋体" w:cstheme="majorEastAsia"/>
                <w:bCs/>
              </w:rPr>
              <w:t>履约保证金</w:t>
            </w:r>
          </w:p>
        </w:tc>
        <w:tc>
          <w:tcPr>
            <w:tcW w:w="6499" w:type="dxa"/>
            <w:vAlign w:val="center"/>
          </w:tcPr>
          <w:p>
            <w:pPr>
              <w:spacing w:line="340" w:lineRule="exact"/>
              <w:rPr>
                <w:rFonts w:ascii="宋体" w:hAnsi="宋体" w:cstheme="majorEastAsia"/>
                <w:bCs/>
              </w:rPr>
            </w:pPr>
            <w:r>
              <w:rPr>
                <w:rFonts w:hint="eastAsia" w:ascii="宋体" w:hAnsi="宋体" w:cstheme="majorEastAsia"/>
                <w:bCs/>
                <w:kern w:val="0"/>
              </w:rPr>
              <w:sym w:font="Wingdings" w:char="00A8"/>
            </w:r>
            <w:r>
              <w:rPr>
                <w:rFonts w:hint="eastAsia" w:ascii="宋体" w:hAnsi="宋体" w:cstheme="majorEastAsia"/>
                <w:bCs/>
                <w:lang w:val="zh-CN"/>
              </w:rPr>
              <w:t>A无</w:t>
            </w:r>
            <w:r>
              <w:rPr>
                <w:rFonts w:hint="eastAsia" w:ascii="宋体" w:hAnsi="宋体" w:cstheme="majorEastAsia"/>
                <w:bCs/>
              </w:rPr>
              <w:t>。</w:t>
            </w:r>
          </w:p>
          <w:p>
            <w:pPr>
              <w:snapToGrid w:val="0"/>
              <w:spacing w:line="340" w:lineRule="exact"/>
              <w:rPr>
                <w:rFonts w:ascii="宋体" w:hAnsi="宋体" w:cstheme="majorEastAsia"/>
                <w:bCs/>
                <w:kern w:val="0"/>
              </w:rPr>
            </w:pPr>
            <w:r>
              <w:rPr>
                <w:rFonts w:hint="eastAsia" w:ascii="宋体" w:hAnsi="宋体" w:cstheme="majorEastAsia"/>
                <w:bCs/>
                <w:kern w:val="0"/>
              </w:rPr>
              <w:sym w:font="Wingdings" w:char="00FE"/>
            </w:r>
            <w:r>
              <w:rPr>
                <w:rFonts w:hint="eastAsia" w:ascii="宋体" w:hAnsi="宋体" w:cstheme="majorEastAsia"/>
                <w:bCs/>
                <w:lang w:val="zh-CN"/>
              </w:rPr>
              <w:t>B</w:t>
            </w:r>
            <w:r>
              <w:rPr>
                <w:rFonts w:hint="eastAsia" w:ascii="宋体" w:hAnsi="宋体" w:cstheme="majorEastAsia"/>
                <w:bCs/>
              </w:rPr>
              <w:t xml:space="preserve"> 签订合同后</w:t>
            </w:r>
            <w:r>
              <w:rPr>
                <w:rFonts w:ascii="宋体" w:hAnsi="宋体" w:cstheme="majorEastAsia"/>
                <w:bCs/>
              </w:rPr>
              <w:t>7</w:t>
            </w:r>
            <w:r>
              <w:rPr>
                <w:rFonts w:hint="eastAsia" w:ascii="宋体" w:hAnsi="宋体" w:cstheme="majorEastAsia"/>
                <w:bCs/>
              </w:rPr>
              <w:t>个工作日内，中标供应商向采购人缴纳中标金额</w:t>
            </w:r>
            <w:r>
              <w:rPr>
                <w:rFonts w:hint="eastAsia" w:ascii="宋体" w:hAnsi="宋体" w:cstheme="majorEastAsia"/>
                <w:bCs/>
                <w:u w:val="single"/>
              </w:rPr>
              <w:t xml:space="preserve"> </w:t>
            </w:r>
            <w:r>
              <w:rPr>
                <w:rFonts w:ascii="宋体" w:hAnsi="宋体" w:cstheme="majorEastAsia"/>
                <w:bCs/>
                <w:u w:val="single"/>
              </w:rPr>
              <w:t>1</w:t>
            </w:r>
            <w:r>
              <w:rPr>
                <w:rFonts w:hint="eastAsia" w:ascii="宋体" w:hAnsi="宋体" w:cstheme="majorEastAsia"/>
                <w:bCs/>
                <w:u w:val="single"/>
              </w:rPr>
              <w:t xml:space="preserve"> </w:t>
            </w:r>
            <w:r>
              <w:rPr>
                <w:rFonts w:hint="eastAsia" w:ascii="宋体" w:hAnsi="宋体" w:cstheme="majorEastAsia"/>
                <w:bCs/>
              </w:rPr>
              <w:t>%作为本项目的履约保证金（收到履约保证金时合同生效），验收合格后5个工作日内无息退还。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77" w:hRule="atLeast"/>
          <w:tblHeader/>
        </w:trPr>
        <w:tc>
          <w:tcPr>
            <w:tcW w:w="631" w:type="dxa"/>
            <w:vAlign w:val="center"/>
          </w:tcPr>
          <w:p>
            <w:pPr>
              <w:snapToGrid w:val="0"/>
              <w:spacing w:line="340" w:lineRule="exact"/>
              <w:jc w:val="center"/>
              <w:rPr>
                <w:rFonts w:ascii="宋体" w:hAnsi="宋体" w:cstheme="majorEastAsia"/>
                <w:bCs/>
              </w:rPr>
            </w:pPr>
          </w:p>
          <w:p>
            <w:pPr>
              <w:snapToGrid w:val="0"/>
              <w:spacing w:line="340" w:lineRule="exact"/>
              <w:jc w:val="center"/>
              <w:rPr>
                <w:rFonts w:ascii="宋体" w:hAnsi="宋体" w:cstheme="majorEastAsia"/>
                <w:bCs/>
              </w:rPr>
            </w:pPr>
            <w:r>
              <w:rPr>
                <w:rFonts w:hint="eastAsia" w:ascii="宋体" w:hAnsi="宋体" w:cstheme="majorEastAsia"/>
                <w:bCs/>
              </w:rPr>
              <w:t>16</w:t>
            </w:r>
          </w:p>
        </w:tc>
        <w:tc>
          <w:tcPr>
            <w:tcW w:w="1849" w:type="dxa"/>
            <w:vAlign w:val="center"/>
          </w:tcPr>
          <w:p>
            <w:pPr>
              <w:snapToGrid w:val="0"/>
              <w:spacing w:line="340" w:lineRule="exact"/>
              <w:jc w:val="center"/>
              <w:rPr>
                <w:rFonts w:ascii="宋体" w:hAnsi="宋体" w:cstheme="majorEastAsia"/>
                <w:bCs/>
                <w:strike/>
              </w:rPr>
            </w:pPr>
            <w:r>
              <w:rPr>
                <w:rFonts w:hint="eastAsia" w:ascii="宋体" w:hAnsi="宋体" w:cstheme="majorEastAsia"/>
                <w:bCs/>
              </w:rPr>
              <w:t>签订合同时间</w:t>
            </w:r>
          </w:p>
        </w:tc>
        <w:tc>
          <w:tcPr>
            <w:tcW w:w="6499" w:type="dxa"/>
            <w:vAlign w:val="center"/>
          </w:tcPr>
          <w:p>
            <w:pPr>
              <w:snapToGrid w:val="0"/>
              <w:spacing w:line="340" w:lineRule="exact"/>
              <w:rPr>
                <w:rFonts w:ascii="宋体" w:hAnsi="宋体" w:cstheme="majorEastAsia"/>
                <w:bCs/>
                <w:strike/>
                <w:kern w:val="28"/>
              </w:rPr>
            </w:pPr>
            <w:r>
              <w:rPr>
                <w:rFonts w:hint="eastAsia" w:ascii="宋体" w:hAnsi="宋体" w:cstheme="majorEastAsia"/>
                <w:bCs/>
              </w:rPr>
              <w:t>中标通知书发出后30日内。</w:t>
            </w:r>
            <w:r>
              <w:rPr>
                <w:rFonts w:hint="eastAsia" w:ascii="宋体" w:hAnsi="宋体" w:cstheme="majorEastAsia"/>
                <w:bCs/>
                <w:kern w:val="0"/>
              </w:rPr>
              <w:t>建议采购人在对采购结果质疑期（自采购结果公告之日起七个工作日）后与中标供应商签订政府采购合同。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22" w:hRule="atLeast"/>
          <w:tblHeader/>
        </w:trPr>
        <w:tc>
          <w:tcPr>
            <w:tcW w:w="631" w:type="dxa"/>
            <w:vAlign w:val="center"/>
          </w:tcPr>
          <w:p>
            <w:pPr>
              <w:snapToGrid w:val="0"/>
              <w:spacing w:line="340" w:lineRule="exact"/>
              <w:jc w:val="center"/>
              <w:rPr>
                <w:rFonts w:ascii="宋体" w:hAnsi="宋体" w:cstheme="majorEastAsia"/>
                <w:bCs/>
              </w:rPr>
            </w:pPr>
            <w:r>
              <w:rPr>
                <w:rFonts w:hint="eastAsia" w:ascii="宋体" w:hAnsi="宋体" w:cstheme="majorEastAsia"/>
                <w:bCs/>
              </w:rPr>
              <w:t>17</w:t>
            </w:r>
          </w:p>
        </w:tc>
        <w:tc>
          <w:tcPr>
            <w:tcW w:w="1849" w:type="dxa"/>
            <w:vAlign w:val="center"/>
          </w:tcPr>
          <w:p>
            <w:pPr>
              <w:snapToGrid w:val="0"/>
              <w:spacing w:line="340" w:lineRule="exact"/>
              <w:jc w:val="center"/>
              <w:rPr>
                <w:rFonts w:ascii="宋体" w:hAnsi="宋体" w:cstheme="majorEastAsia"/>
                <w:bCs/>
                <w:strike/>
                <w:color w:val="FF0000"/>
              </w:rPr>
            </w:pPr>
            <w:r>
              <w:rPr>
                <w:rFonts w:hint="eastAsia" w:ascii="宋体" w:hAnsi="宋体" w:cstheme="majorEastAsia"/>
                <w:bCs/>
              </w:rPr>
              <w:t>合同公告</w:t>
            </w:r>
          </w:p>
        </w:tc>
        <w:tc>
          <w:tcPr>
            <w:tcW w:w="6499" w:type="dxa"/>
            <w:vAlign w:val="center"/>
          </w:tcPr>
          <w:p>
            <w:pPr>
              <w:snapToGrid w:val="0"/>
              <w:spacing w:line="340" w:lineRule="exact"/>
              <w:rPr>
                <w:rFonts w:ascii="宋体" w:hAnsi="宋体" w:cstheme="majorEastAsia"/>
                <w:bCs/>
                <w:strike/>
                <w:color w:val="FF0000"/>
                <w:kern w:val="28"/>
              </w:rPr>
            </w:pPr>
            <w:r>
              <w:rPr>
                <w:rFonts w:hint="eastAsia" w:ascii="宋体" w:hAnsi="宋体" w:cstheme="majorEastAsia"/>
                <w:bCs/>
              </w:rPr>
              <w:t>本项目政府采购合同将于签订之日起2个工作日内发布于浙江政府采购网，但政府采购合同中涉及国家秘密、商业秘密的内容除外。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34" w:hRule="atLeast"/>
          <w:tblHeader/>
        </w:trPr>
        <w:tc>
          <w:tcPr>
            <w:tcW w:w="631" w:type="dxa"/>
            <w:vAlign w:val="center"/>
          </w:tcPr>
          <w:p>
            <w:pPr>
              <w:snapToGrid w:val="0"/>
              <w:spacing w:line="340" w:lineRule="exact"/>
              <w:jc w:val="center"/>
              <w:rPr>
                <w:rFonts w:ascii="宋体" w:hAnsi="宋体" w:cstheme="majorEastAsia"/>
                <w:bCs/>
              </w:rPr>
            </w:pPr>
            <w:r>
              <w:rPr>
                <w:rFonts w:hint="eastAsia" w:ascii="宋体" w:hAnsi="宋体" w:cstheme="majorEastAsia"/>
                <w:bCs/>
              </w:rPr>
              <w:t>18</w:t>
            </w:r>
          </w:p>
        </w:tc>
        <w:tc>
          <w:tcPr>
            <w:tcW w:w="1849" w:type="dxa"/>
            <w:vAlign w:val="center"/>
          </w:tcPr>
          <w:p>
            <w:pPr>
              <w:snapToGrid w:val="0"/>
              <w:spacing w:line="340" w:lineRule="exact"/>
              <w:jc w:val="center"/>
              <w:rPr>
                <w:rFonts w:ascii="宋体" w:hAnsi="宋体" w:cstheme="majorEastAsia"/>
                <w:bCs/>
                <w:strike/>
              </w:rPr>
            </w:pPr>
            <w:r>
              <w:rPr>
                <w:rFonts w:hint="eastAsia" w:ascii="宋体" w:hAnsi="宋体" w:cstheme="majorEastAsia"/>
                <w:bCs/>
              </w:rPr>
              <w:t>本项目预算金额</w:t>
            </w:r>
          </w:p>
        </w:tc>
        <w:tc>
          <w:tcPr>
            <w:tcW w:w="6499" w:type="dxa"/>
            <w:vAlign w:val="center"/>
          </w:tcPr>
          <w:p>
            <w:pPr>
              <w:spacing w:line="340" w:lineRule="exact"/>
              <w:rPr>
                <w:rFonts w:ascii="宋体" w:hAnsi="宋体" w:cstheme="majorEastAsia"/>
                <w:bCs/>
                <w:strike/>
                <w:kern w:val="28"/>
              </w:rPr>
            </w:pPr>
            <w:r>
              <w:rPr>
                <w:rFonts w:hint="eastAsia" w:ascii="宋体" w:hAnsi="宋体" w:cstheme="majorEastAsia"/>
                <w:bCs/>
                <w:highlight w:val="none"/>
              </w:rPr>
              <w:t>人民币</w:t>
            </w:r>
            <w:r>
              <w:rPr>
                <w:rFonts w:hint="eastAsia" w:ascii="宋体" w:hAnsi="宋体" w:cstheme="majorEastAsia"/>
                <w:bCs/>
                <w:highlight w:val="none"/>
                <w:lang w:val="en-US" w:eastAsia="zh-CN"/>
              </w:rPr>
              <w:t>175</w:t>
            </w:r>
            <w:r>
              <w:rPr>
                <w:rFonts w:hint="eastAsia" w:ascii="宋体" w:hAnsi="宋体" w:cstheme="majorEastAsia"/>
                <w:bCs/>
                <w:highlight w:val="none"/>
              </w:rPr>
              <w:t>万元</w:t>
            </w:r>
            <w:r>
              <w:rPr>
                <w:rFonts w:hint="eastAsia" w:ascii="宋体" w:hAnsi="宋体" w:cstheme="majorEastAsia"/>
                <w:bCs/>
                <w:kern w:val="0"/>
                <w:highlight w:val="none"/>
              </w:rPr>
              <w:t>；</w:t>
            </w:r>
            <w:r>
              <w:rPr>
                <w:rFonts w:hint="eastAsia" w:ascii="宋体" w:hAnsi="宋体" w:cstheme="majorEastAsia"/>
                <w:bCs/>
                <w:highlight w:val="none"/>
              </w:rPr>
              <w:t>最高限价为预算价，超预算价的投标文件无效。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13" w:hRule="atLeast"/>
          <w:tblHeader/>
        </w:trPr>
        <w:tc>
          <w:tcPr>
            <w:tcW w:w="631" w:type="dxa"/>
            <w:vAlign w:val="center"/>
          </w:tcPr>
          <w:p>
            <w:pPr>
              <w:snapToGrid w:val="0"/>
              <w:spacing w:line="340" w:lineRule="exact"/>
              <w:jc w:val="center"/>
              <w:rPr>
                <w:rFonts w:ascii="宋体" w:hAnsi="宋体" w:cstheme="majorEastAsia"/>
                <w:bCs/>
              </w:rPr>
            </w:pPr>
          </w:p>
          <w:p>
            <w:pPr>
              <w:snapToGrid w:val="0"/>
              <w:spacing w:line="340" w:lineRule="exact"/>
              <w:jc w:val="center"/>
              <w:rPr>
                <w:rFonts w:ascii="宋体" w:hAnsi="宋体" w:cstheme="majorEastAsia"/>
                <w:bCs/>
              </w:rPr>
            </w:pPr>
            <w:r>
              <w:rPr>
                <w:rFonts w:hint="eastAsia" w:ascii="宋体" w:hAnsi="宋体" w:cstheme="majorEastAsia"/>
                <w:bCs/>
              </w:rPr>
              <w:t>19</w:t>
            </w:r>
          </w:p>
        </w:tc>
        <w:tc>
          <w:tcPr>
            <w:tcW w:w="1849" w:type="dxa"/>
            <w:vAlign w:val="center"/>
          </w:tcPr>
          <w:p>
            <w:pPr>
              <w:snapToGrid w:val="0"/>
              <w:spacing w:line="340" w:lineRule="exact"/>
              <w:jc w:val="center"/>
              <w:rPr>
                <w:rFonts w:ascii="宋体" w:hAnsi="宋体" w:cstheme="majorEastAsia"/>
                <w:bCs/>
                <w:strike/>
              </w:rPr>
            </w:pPr>
            <w:r>
              <w:rPr>
                <w:rFonts w:hint="eastAsia" w:ascii="宋体" w:hAnsi="宋体" w:cstheme="majorEastAsia"/>
                <w:bCs/>
              </w:rPr>
              <w:t>付款条件</w:t>
            </w:r>
          </w:p>
        </w:tc>
        <w:tc>
          <w:tcPr>
            <w:tcW w:w="6499" w:type="dxa"/>
            <w:vAlign w:val="center"/>
          </w:tcPr>
          <w:p>
            <w:pPr>
              <w:spacing w:line="400" w:lineRule="exact"/>
              <w:jc w:val="left"/>
              <w:rPr>
                <w:rFonts w:ascii="宋体" w:hAnsi="宋体"/>
                <w:sz w:val="21"/>
                <w:szCs w:val="21"/>
              </w:rPr>
            </w:pPr>
            <w:r>
              <w:rPr>
                <w:rFonts w:ascii="宋体" w:hAnsi="宋体" w:cstheme="majorEastAsia"/>
                <w:bCs/>
                <w:kern w:val="0"/>
              </w:rPr>
              <w:t>付款条件：合同生效后7个工作日内</w:t>
            </w:r>
            <w:r>
              <w:rPr>
                <w:rFonts w:hint="eastAsia" w:ascii="宋体" w:hAnsi="宋体" w:cstheme="majorEastAsia"/>
                <w:bCs/>
                <w:kern w:val="0"/>
              </w:rPr>
              <w:t>并具备实施条件后，</w:t>
            </w:r>
            <w:r>
              <w:rPr>
                <w:rFonts w:ascii="宋体" w:hAnsi="宋体" w:cstheme="majorEastAsia"/>
                <w:bCs/>
                <w:kern w:val="0"/>
              </w:rPr>
              <w:t>采购人向中标供应商支付合同总价的40%作为预付款，经采购人验收合格并收到发票后7</w:t>
            </w:r>
            <w:r>
              <w:rPr>
                <w:rFonts w:hint="eastAsia" w:ascii="宋体" w:hAnsi="宋体" w:cstheme="majorEastAsia"/>
                <w:bCs/>
                <w:kern w:val="0"/>
              </w:rPr>
              <w:t>个工作日内</w:t>
            </w:r>
            <w:r>
              <w:rPr>
                <w:rFonts w:ascii="宋体" w:hAnsi="宋体" w:cstheme="majorEastAsia"/>
                <w:bCs/>
                <w:kern w:val="0"/>
              </w:rPr>
              <w:t>，支付至合同款</w:t>
            </w:r>
            <w:r>
              <w:rPr>
                <w:rFonts w:hint="eastAsia" w:ascii="宋体" w:hAnsi="宋体" w:cstheme="majorEastAsia"/>
                <w:bCs/>
                <w:kern w:val="0"/>
              </w:rPr>
              <w:t>的</w:t>
            </w:r>
            <w:r>
              <w:rPr>
                <w:rFonts w:ascii="宋体" w:hAnsi="宋体" w:cstheme="majorEastAsia"/>
                <w:bCs/>
                <w:kern w:val="0"/>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85" w:hRule="atLeast"/>
          <w:tblHeader/>
        </w:trPr>
        <w:tc>
          <w:tcPr>
            <w:tcW w:w="631" w:type="dxa"/>
            <w:vAlign w:val="center"/>
          </w:tcPr>
          <w:p>
            <w:pPr>
              <w:snapToGrid w:val="0"/>
              <w:spacing w:line="340" w:lineRule="exact"/>
              <w:jc w:val="center"/>
              <w:rPr>
                <w:rFonts w:ascii="宋体" w:hAnsi="宋体" w:cstheme="majorEastAsia"/>
                <w:bCs/>
              </w:rPr>
            </w:pPr>
            <w:r>
              <w:rPr>
                <w:rFonts w:hint="eastAsia" w:ascii="宋体" w:hAnsi="宋体" w:cstheme="majorEastAsia"/>
                <w:bCs/>
              </w:rPr>
              <w:t>20</w:t>
            </w:r>
          </w:p>
        </w:tc>
        <w:tc>
          <w:tcPr>
            <w:tcW w:w="1849" w:type="dxa"/>
            <w:vAlign w:val="center"/>
          </w:tcPr>
          <w:p>
            <w:pPr>
              <w:snapToGrid w:val="0"/>
              <w:spacing w:line="340" w:lineRule="exact"/>
              <w:jc w:val="center"/>
              <w:rPr>
                <w:rFonts w:ascii="宋体" w:hAnsi="宋体" w:cstheme="majorEastAsia"/>
                <w:bCs/>
                <w:strike/>
                <w:highlight w:val="lightGray"/>
              </w:rPr>
            </w:pPr>
            <w:r>
              <w:rPr>
                <w:rFonts w:hint="eastAsia" w:ascii="宋体" w:hAnsi="宋体" w:cstheme="majorEastAsia"/>
                <w:bCs/>
              </w:rPr>
              <w:t>投标文件有效期</w:t>
            </w:r>
          </w:p>
        </w:tc>
        <w:tc>
          <w:tcPr>
            <w:tcW w:w="6499" w:type="dxa"/>
            <w:vAlign w:val="center"/>
          </w:tcPr>
          <w:p>
            <w:pPr>
              <w:snapToGrid w:val="0"/>
              <w:spacing w:line="340" w:lineRule="exact"/>
              <w:rPr>
                <w:rFonts w:ascii="宋体" w:hAnsi="宋体" w:cstheme="majorEastAsia"/>
                <w:bCs/>
                <w:strike/>
                <w:kern w:val="28"/>
                <w:highlight w:val="lightGray"/>
              </w:rPr>
            </w:pPr>
            <w:r>
              <w:rPr>
                <w:rFonts w:hint="eastAsia" w:ascii="宋体" w:hAnsi="宋体" w:cstheme="majorEastAsia"/>
                <w:bCs/>
                <w:u w:val="single"/>
              </w:rPr>
              <w:t>90</w:t>
            </w:r>
            <w:r>
              <w:rPr>
                <w:rFonts w:hint="eastAsia" w:ascii="宋体" w:hAnsi="宋体" w:cstheme="majorEastAsia"/>
                <w:bCs/>
              </w:rPr>
              <w:t>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099" w:hRule="atLeast"/>
          <w:tblHeader/>
        </w:trPr>
        <w:tc>
          <w:tcPr>
            <w:tcW w:w="631" w:type="dxa"/>
            <w:vAlign w:val="center"/>
          </w:tcPr>
          <w:p>
            <w:pPr>
              <w:snapToGrid w:val="0"/>
              <w:spacing w:line="340" w:lineRule="exact"/>
              <w:jc w:val="center"/>
              <w:rPr>
                <w:rFonts w:ascii="宋体" w:hAnsi="宋体" w:cstheme="majorEastAsia"/>
                <w:bCs/>
              </w:rPr>
            </w:pPr>
            <w:r>
              <w:rPr>
                <w:rFonts w:hint="eastAsia" w:ascii="宋体" w:hAnsi="宋体" w:cstheme="majorEastAsia"/>
                <w:bCs/>
              </w:rPr>
              <w:t>21</w:t>
            </w:r>
          </w:p>
        </w:tc>
        <w:tc>
          <w:tcPr>
            <w:tcW w:w="1849" w:type="dxa"/>
            <w:vAlign w:val="center"/>
          </w:tcPr>
          <w:p>
            <w:pPr>
              <w:tabs>
                <w:tab w:val="center" w:pos="954"/>
                <w:tab w:val="right" w:pos="1787"/>
              </w:tabs>
              <w:snapToGrid w:val="0"/>
              <w:spacing w:line="340" w:lineRule="exact"/>
              <w:jc w:val="left"/>
              <w:rPr>
                <w:rFonts w:ascii="宋体" w:hAnsi="宋体" w:cstheme="majorEastAsia"/>
                <w:bCs/>
              </w:rPr>
            </w:pPr>
            <w:r>
              <w:rPr>
                <w:rFonts w:hint="eastAsia" w:ascii="宋体" w:hAnsi="宋体" w:cstheme="majorEastAsia"/>
                <w:bCs/>
              </w:rPr>
              <w:tab/>
            </w:r>
            <w:r>
              <w:rPr>
                <w:rFonts w:hint="eastAsia" w:ascii="宋体" w:hAnsi="宋体" w:cstheme="majorEastAsia"/>
                <w:bCs/>
              </w:rPr>
              <w:t>政策优惠</w:t>
            </w:r>
          </w:p>
          <w:p>
            <w:pPr>
              <w:tabs>
                <w:tab w:val="center" w:pos="954"/>
                <w:tab w:val="right" w:pos="1787"/>
              </w:tabs>
              <w:snapToGrid w:val="0"/>
              <w:spacing w:line="340" w:lineRule="exact"/>
              <w:jc w:val="left"/>
              <w:rPr>
                <w:rFonts w:ascii="宋体" w:hAnsi="宋体" w:cstheme="majorEastAsia"/>
                <w:bCs/>
                <w:strike/>
              </w:rPr>
            </w:pPr>
            <w:r>
              <w:rPr>
                <w:rFonts w:hint="eastAsia" w:ascii="宋体" w:hAnsi="宋体" w:cstheme="majorEastAsia"/>
                <w:bCs/>
              </w:rPr>
              <w:tab/>
            </w:r>
          </w:p>
        </w:tc>
        <w:tc>
          <w:tcPr>
            <w:tcW w:w="6499" w:type="dxa"/>
            <w:vAlign w:val="center"/>
          </w:tcPr>
          <w:p>
            <w:pPr>
              <w:tabs>
                <w:tab w:val="left" w:pos="3870"/>
                <w:tab w:val="left" w:pos="4085"/>
              </w:tabs>
              <w:snapToGrid w:val="0"/>
              <w:spacing w:before="50" w:after="120" w:afterLines="50" w:line="340" w:lineRule="exact"/>
              <w:rPr>
                <w:rFonts w:ascii="宋体" w:hAnsi="宋体" w:cstheme="majorEastAsia"/>
                <w:bCs/>
                <w:snapToGrid w:val="0"/>
                <w:kern w:val="0"/>
              </w:rPr>
            </w:pPr>
            <w:r>
              <w:rPr>
                <w:rFonts w:hint="eastAsia" w:ascii="宋体" w:hAnsi="宋体" w:cstheme="majorEastAsia"/>
                <w:bCs/>
                <w:snapToGrid w:val="0"/>
                <w:kern w:val="0"/>
              </w:rPr>
              <w:t>1.根据财库〔2020〕46号</w:t>
            </w:r>
            <w:r>
              <w:rPr>
                <w:rFonts w:hint="eastAsia" w:ascii="宋体" w:hAnsi="宋体" w:cstheme="majorEastAsia"/>
                <w:bCs/>
                <w:snapToGrid w:val="0"/>
                <w:kern w:val="0"/>
                <w:highlight w:val="none"/>
              </w:rPr>
              <w:t>和浙财采监〔202</w:t>
            </w:r>
            <w:r>
              <w:rPr>
                <w:rFonts w:ascii="宋体" w:hAnsi="宋体" w:cstheme="majorEastAsia"/>
                <w:bCs/>
                <w:snapToGrid w:val="0"/>
                <w:kern w:val="0"/>
                <w:highlight w:val="none"/>
              </w:rPr>
              <w:t>2</w:t>
            </w:r>
            <w:r>
              <w:rPr>
                <w:rFonts w:hint="eastAsia" w:ascii="宋体" w:hAnsi="宋体" w:cstheme="majorEastAsia"/>
                <w:bCs/>
                <w:snapToGrid w:val="0"/>
                <w:kern w:val="0"/>
                <w:highlight w:val="none"/>
              </w:rPr>
              <w:t>〕</w:t>
            </w:r>
            <w:r>
              <w:rPr>
                <w:rFonts w:ascii="宋体" w:hAnsi="宋体" w:cstheme="majorEastAsia"/>
                <w:bCs/>
                <w:snapToGrid w:val="0"/>
                <w:kern w:val="0"/>
                <w:highlight w:val="none"/>
              </w:rPr>
              <w:t>8</w:t>
            </w:r>
            <w:r>
              <w:rPr>
                <w:rFonts w:hint="eastAsia" w:ascii="宋体" w:hAnsi="宋体" w:cstheme="majorEastAsia"/>
                <w:bCs/>
                <w:snapToGrid w:val="0"/>
                <w:kern w:val="0"/>
                <w:highlight w:val="none"/>
              </w:rPr>
              <w:t>号的相关规定，在评审时对于未预留份额专门面向中小企业的政府采购货物或服务项目，以及预留份额政府采购货物或服务项目中的非预留部分标项，对小型和微型企业的投标报价给予</w:t>
            </w:r>
            <w:r>
              <w:rPr>
                <w:rFonts w:ascii="宋体" w:hAnsi="宋体" w:cstheme="majorEastAsia"/>
                <w:bCs/>
                <w:snapToGrid w:val="0"/>
                <w:kern w:val="0"/>
                <w:highlight w:val="none"/>
              </w:rPr>
              <w:t>2</w:t>
            </w:r>
            <w:r>
              <w:rPr>
                <w:rFonts w:hint="eastAsia" w:ascii="宋体" w:hAnsi="宋体" w:cstheme="majorEastAsia"/>
                <w:bCs/>
                <w:snapToGrid w:val="0"/>
                <w:kern w:val="0"/>
                <w:highlight w:val="none"/>
              </w:rPr>
              <w:t>0%的</w:t>
            </w:r>
            <w:r>
              <w:rPr>
                <w:rFonts w:hint="eastAsia" w:ascii="宋体" w:hAnsi="宋体" w:cstheme="majorEastAsia"/>
                <w:bCs/>
                <w:snapToGrid w:val="0"/>
                <w:kern w:val="0"/>
              </w:rPr>
              <w:t>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宋体" w:hAnsi="宋体" w:cstheme="majorEastAsia"/>
                <w:bCs/>
                <w:snapToGrid w:val="0"/>
                <w:kern w:val="0"/>
                <w:lang w:val="en-US" w:eastAsia="zh-CN"/>
              </w:rPr>
              <w:t>6</w:t>
            </w:r>
            <w:r>
              <w:rPr>
                <w:rFonts w:hint="eastAsia" w:ascii="宋体" w:hAnsi="宋体" w:cstheme="majorEastAsia"/>
                <w:bCs/>
                <w:snapToGrid w:val="0"/>
                <w:kern w:val="0"/>
              </w:rPr>
              <w:t>%的扣除，用扣除后的价格参加评审。组成联合体或者接受分包的小微企业与联合体内其他企业、分包企业之间存在直接控股、管理关系的，不享受价格扣除优惠政策。属于小微企业的，投标文件必须提供《中小企业声明函》（模板见第六章）。</w:t>
            </w:r>
          </w:p>
          <w:p>
            <w:pPr>
              <w:tabs>
                <w:tab w:val="left" w:pos="3870"/>
                <w:tab w:val="left" w:pos="4085"/>
              </w:tabs>
              <w:snapToGrid w:val="0"/>
              <w:spacing w:before="50" w:after="120" w:afterLines="50" w:line="340" w:lineRule="exact"/>
              <w:rPr>
                <w:rFonts w:ascii="宋体" w:hAnsi="宋体" w:cstheme="majorEastAsia"/>
                <w:bCs/>
                <w:snapToGrid w:val="0"/>
                <w:kern w:val="0"/>
              </w:rPr>
            </w:pPr>
            <w:r>
              <w:rPr>
                <w:rFonts w:hint="eastAsia" w:ascii="宋体" w:hAnsi="宋体" w:cstheme="majorEastAsia"/>
                <w:bCs/>
                <w:snapToGrid w:val="0"/>
                <w:kern w:val="0"/>
              </w:rPr>
              <w:t>2.根据〔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pPr>
              <w:snapToGrid w:val="0"/>
              <w:spacing w:line="340" w:lineRule="exact"/>
              <w:rPr>
                <w:rFonts w:ascii="宋体" w:hAnsi="宋体" w:cstheme="majorEastAsia"/>
                <w:bCs/>
                <w:strike/>
                <w:kern w:val="28"/>
              </w:rPr>
            </w:pPr>
            <w:r>
              <w:rPr>
                <w:rFonts w:hint="eastAsia" w:ascii="宋体" w:hAnsi="宋体" w:cstheme="majorEastAsia"/>
                <w:bCs/>
                <w:snapToGrid w:val="0"/>
                <w:kern w:val="0"/>
              </w:rPr>
              <w:t>3.监狱企业同视为小型、微型企业，享受中小企业政策扶持。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97" w:hRule="atLeast"/>
          <w:tblHeader/>
        </w:trPr>
        <w:tc>
          <w:tcPr>
            <w:tcW w:w="631" w:type="dxa"/>
            <w:vAlign w:val="center"/>
          </w:tcPr>
          <w:p>
            <w:pPr>
              <w:snapToGrid w:val="0"/>
              <w:spacing w:line="340" w:lineRule="exact"/>
              <w:jc w:val="center"/>
              <w:rPr>
                <w:rFonts w:ascii="宋体" w:hAnsi="宋体" w:cstheme="majorEastAsia"/>
                <w:bCs/>
              </w:rPr>
            </w:pPr>
            <w:r>
              <w:rPr>
                <w:rFonts w:hint="eastAsia" w:ascii="宋体" w:hAnsi="宋体" w:cstheme="majorEastAsia"/>
                <w:bCs/>
              </w:rPr>
              <w:t>22</w:t>
            </w:r>
          </w:p>
        </w:tc>
        <w:tc>
          <w:tcPr>
            <w:tcW w:w="1849" w:type="dxa"/>
            <w:vAlign w:val="center"/>
          </w:tcPr>
          <w:p>
            <w:pPr>
              <w:snapToGrid w:val="0"/>
              <w:spacing w:line="340" w:lineRule="exact"/>
              <w:jc w:val="center"/>
              <w:rPr>
                <w:rFonts w:ascii="宋体" w:hAnsi="宋体" w:cstheme="majorEastAsia"/>
                <w:bCs/>
                <w:strike/>
                <w:highlight w:val="lightGray"/>
              </w:rPr>
            </w:pPr>
            <w:r>
              <w:rPr>
                <w:rFonts w:hint="eastAsia" w:ascii="宋体" w:hAnsi="宋体" w:cstheme="majorEastAsia"/>
                <w:bCs/>
              </w:rPr>
              <w:t>特别说明</w:t>
            </w:r>
          </w:p>
        </w:tc>
        <w:tc>
          <w:tcPr>
            <w:tcW w:w="6499" w:type="dxa"/>
            <w:vAlign w:val="center"/>
          </w:tcPr>
          <w:p>
            <w:pPr>
              <w:snapToGrid w:val="0"/>
              <w:spacing w:line="340" w:lineRule="exact"/>
              <w:rPr>
                <w:rFonts w:ascii="宋体" w:hAnsi="宋体" w:cstheme="majorEastAsia"/>
                <w:bCs/>
                <w:strike/>
                <w:kern w:val="28"/>
                <w:highlight w:val="lightGray"/>
              </w:rPr>
            </w:pPr>
            <w:r>
              <w:rPr>
                <w:rFonts w:hint="eastAsia" w:ascii="宋体" w:hAnsi="宋体" w:cstheme="majorEastAsia"/>
                <w:bCs/>
                <w:snapToGrid w:val="0"/>
                <w:kern w:val="0"/>
              </w:rPr>
              <w:t>本招标文件的解释权属于采购人</w:t>
            </w:r>
          </w:p>
        </w:tc>
      </w:tr>
      <w:bookmarkEnd w:id="35"/>
      <w:bookmarkEnd w:id="36"/>
      <w:bookmarkEnd w:id="37"/>
    </w:tbl>
    <w:p>
      <w:pPr>
        <w:pStyle w:val="7"/>
        <w:spacing w:line="440" w:lineRule="exact"/>
        <w:jc w:val="center"/>
        <w:rPr>
          <w:rFonts w:asciiTheme="majorEastAsia" w:hAnsiTheme="majorEastAsia" w:eastAsiaTheme="majorEastAsia" w:cstheme="majorEastAsia"/>
        </w:rPr>
      </w:pPr>
      <w:bookmarkStart w:id="38" w:name="_Toc532218232"/>
      <w:r>
        <w:rPr>
          <w:rFonts w:hint="eastAsia" w:asciiTheme="majorEastAsia" w:hAnsiTheme="majorEastAsia" w:eastAsiaTheme="majorEastAsia" w:cstheme="majorEastAsia"/>
        </w:rPr>
        <w:t>一、   总  则</w:t>
      </w:r>
    </w:p>
    <w:p>
      <w:pPr>
        <w:snapToGrid w:val="0"/>
        <w:spacing w:line="440" w:lineRule="exact"/>
        <w:ind w:firstLine="472" w:firstLineChars="196"/>
        <w:jc w:val="left"/>
        <w:outlineLvl w:val="2"/>
        <w:rPr>
          <w:rFonts w:asciiTheme="majorEastAsia" w:hAnsiTheme="majorEastAsia" w:eastAsiaTheme="majorEastAsia" w:cstheme="majorEastAsia"/>
          <w:b/>
        </w:rPr>
      </w:pPr>
      <w:bookmarkStart w:id="39" w:name="_Toc397670948"/>
      <w:bookmarkStart w:id="40" w:name="_Toc397670919"/>
      <w:r>
        <w:rPr>
          <w:rFonts w:hint="eastAsia" w:asciiTheme="majorEastAsia" w:hAnsiTheme="majorEastAsia" w:eastAsiaTheme="majorEastAsia" w:cstheme="majorEastAsia"/>
          <w:b/>
        </w:rPr>
        <w:t>（一）适用范围</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本招标文件适用于该项目的招标、投标、评标、定标、验收、合同履约、付款等行为（法律、法规另有规定的，从其规定）。</w:t>
      </w:r>
    </w:p>
    <w:p>
      <w:pPr>
        <w:snapToGrid w:val="0"/>
        <w:spacing w:line="440" w:lineRule="exact"/>
        <w:ind w:firstLine="354" w:firstLineChars="147"/>
        <w:jc w:val="left"/>
        <w:outlineLvl w:val="2"/>
        <w:rPr>
          <w:rFonts w:asciiTheme="majorEastAsia" w:hAnsiTheme="majorEastAsia" w:eastAsiaTheme="majorEastAsia" w:cstheme="majorEastAsia"/>
          <w:b/>
        </w:rPr>
      </w:pPr>
      <w:r>
        <w:rPr>
          <w:rFonts w:hint="eastAsia" w:asciiTheme="majorEastAsia" w:hAnsiTheme="majorEastAsia" w:eastAsiaTheme="majorEastAsia" w:cstheme="majorEastAsia"/>
          <w:b/>
        </w:rPr>
        <w:t>（二）定义</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1.“采购人”系指招标公告中载明的本项目的采购人。</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2.“采购代理机构”系指招标公告中载明的本项目的采购代理机构</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3.“供应商”系指是指响应招标、参加投标竞争的法人、其他组织或者自然人。</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4.“负责人”系指法人企业的法定负责人，或其他组织为法律、行政法规规定代表单位行使职权的主要负责人，或自然人本人。</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5.“产品”系指供方按招标文件规定，须向采购人提供的一切设备、保险、税金、备品备件、工具、手册及其他有关技术资料和材料。</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6.“服务”系指招标文件规定投标供应商须承担的安装、调试、技术协助、校准、培训、技术指导以及其他类似的义务。</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7.“项目”系指投标供应商按招标文件规定向采购人提供的产品和服务。</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8.“书面形式”包括信函、传真、电报等。</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9.“电子签名”系指数据电文中以电子形式所含、所附用于识别签名人身份并表明签名人认可其中内容的数据；“公章”系指单位法定名称章。</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10.“电子交易平台”是指本项目政府采购活动所依托的政府采购云平台（https://www.zcygov.cn/）。</w:t>
      </w:r>
    </w:p>
    <w:p>
      <w:pPr>
        <w:snapToGrid w:val="0"/>
        <w:spacing w:line="440" w:lineRule="exact"/>
        <w:ind w:left="240" w:leftChars="100" w:firstLine="240" w:firstLineChars="100"/>
        <w:jc w:val="left"/>
        <w:rPr>
          <w:rFonts w:asciiTheme="majorEastAsia" w:hAnsiTheme="majorEastAsia" w:eastAsiaTheme="majorEastAsia" w:cstheme="majorEastAsia"/>
        </w:rPr>
      </w:pPr>
      <w:r>
        <w:rPr>
          <w:rFonts w:hint="eastAsia" w:asciiTheme="majorEastAsia" w:hAnsiTheme="majorEastAsia" w:eastAsiaTheme="majorEastAsia" w:cstheme="majorEastAsia"/>
        </w:rPr>
        <w:t>11.“▲”系指实质性要求条款，不满足实行性要求条款的投标文件无效。“★”系指产品采购项目中核心产品。“</w:t>
      </w:r>
      <w:r>
        <w:rPr>
          <w:rFonts w:hint="eastAsia" w:asciiTheme="majorEastAsia" w:hAnsiTheme="majorEastAsia" w:eastAsiaTheme="majorEastAsia" w:cstheme="majorEastAsia"/>
        </w:rPr>
        <w:sym w:font="Wingdings" w:char="00FE"/>
      </w:r>
      <w:r>
        <w:rPr>
          <w:rFonts w:hint="eastAsia" w:asciiTheme="majorEastAsia" w:hAnsiTheme="majorEastAsia" w:eastAsiaTheme="majorEastAsia" w:cstheme="majorEastAsia"/>
        </w:rPr>
        <w:t>” 系指适用本项目的要求，“</w:t>
      </w:r>
      <w:r>
        <w:rPr>
          <w:rFonts w:hint="eastAsia" w:asciiTheme="majorEastAsia" w:hAnsiTheme="majorEastAsia" w:eastAsiaTheme="majorEastAsia" w:cstheme="majorEastAsia"/>
        </w:rPr>
        <w:sym w:font="Wingdings" w:char="00A8"/>
      </w:r>
      <w:r>
        <w:rPr>
          <w:rFonts w:hint="eastAsia" w:asciiTheme="majorEastAsia" w:hAnsiTheme="majorEastAsia" w:eastAsiaTheme="majorEastAsia" w:cstheme="majorEastAsia"/>
        </w:rPr>
        <w:t>” 系指不适用本项目的要求。</w:t>
      </w:r>
    </w:p>
    <w:bookmarkEnd w:id="39"/>
    <w:bookmarkEnd w:id="40"/>
    <w:p>
      <w:pPr>
        <w:snapToGrid w:val="0"/>
        <w:spacing w:line="440" w:lineRule="exact"/>
        <w:ind w:firstLine="472" w:firstLineChars="196"/>
        <w:jc w:val="left"/>
        <w:outlineLvl w:val="2"/>
        <w:rPr>
          <w:rFonts w:asciiTheme="majorEastAsia" w:hAnsiTheme="majorEastAsia" w:eastAsiaTheme="majorEastAsia" w:cstheme="majorEastAsia"/>
          <w:b/>
        </w:rPr>
      </w:pPr>
      <w:bookmarkStart w:id="41" w:name="_Toc397670949"/>
      <w:bookmarkStart w:id="42" w:name="_Toc397670920"/>
      <w:r>
        <w:rPr>
          <w:rFonts w:hint="eastAsia" w:asciiTheme="majorEastAsia" w:hAnsiTheme="majorEastAsia" w:eastAsiaTheme="majorEastAsia" w:cstheme="majorEastAsia"/>
          <w:b/>
        </w:rPr>
        <w:t>（三）采购方式</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本次招标采用公开采购方式进行。</w:t>
      </w:r>
    </w:p>
    <w:bookmarkEnd w:id="41"/>
    <w:bookmarkEnd w:id="42"/>
    <w:p>
      <w:pPr>
        <w:snapToGrid w:val="0"/>
        <w:spacing w:before="120" w:beforeLines="50" w:line="440" w:lineRule="exact"/>
        <w:ind w:firstLine="472" w:firstLineChars="196"/>
        <w:jc w:val="left"/>
        <w:outlineLvl w:val="2"/>
        <w:rPr>
          <w:rFonts w:asciiTheme="majorEastAsia" w:hAnsiTheme="majorEastAsia" w:eastAsiaTheme="majorEastAsia" w:cstheme="majorEastAsia"/>
          <w:b/>
        </w:rPr>
      </w:pPr>
      <w:bookmarkStart w:id="43" w:name="_Toc397670950"/>
      <w:bookmarkStart w:id="44" w:name="_Toc397670921"/>
      <w:r>
        <w:rPr>
          <w:rFonts w:hint="eastAsia" w:asciiTheme="majorEastAsia" w:hAnsiTheme="majorEastAsia" w:eastAsiaTheme="majorEastAsia" w:cstheme="majorEastAsia"/>
          <w:b/>
        </w:rPr>
        <w:t>（四）投标费用</w:t>
      </w:r>
      <w:bookmarkEnd w:id="43"/>
      <w:bookmarkEnd w:id="44"/>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不论投标结果如何，投标供应商均应自行承担所有与投标有关的全部费用（招标文件有相反规定除外）。</w:t>
      </w:r>
    </w:p>
    <w:p>
      <w:pPr>
        <w:snapToGrid w:val="0"/>
        <w:spacing w:before="120" w:beforeLines="50" w:line="440" w:lineRule="exact"/>
        <w:ind w:firstLine="472" w:firstLineChars="196"/>
        <w:jc w:val="left"/>
        <w:outlineLvl w:val="2"/>
        <w:rPr>
          <w:rFonts w:asciiTheme="majorEastAsia" w:hAnsiTheme="majorEastAsia" w:eastAsiaTheme="majorEastAsia" w:cstheme="majorEastAsia"/>
          <w:b/>
        </w:rPr>
      </w:pPr>
      <w:r>
        <w:rPr>
          <w:rFonts w:hint="eastAsia" w:asciiTheme="majorEastAsia" w:hAnsiTheme="majorEastAsia" w:eastAsiaTheme="majorEastAsia" w:cstheme="majorEastAsia"/>
          <w:b/>
        </w:rPr>
        <w:t>（五）相关政府采购政策</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2.支持绿色发展</w:t>
      </w:r>
    </w:p>
    <w:p>
      <w:pPr>
        <w:snapToGrid w:val="0"/>
        <w:spacing w:line="440" w:lineRule="exact"/>
        <w:ind w:firstLine="480" w:firstLineChars="200"/>
        <w:jc w:val="left"/>
        <w:rPr>
          <w:rFonts w:hint="eastAsia" w:ascii="宋体" w:hAnsi="宋体" w:cstheme="majorEastAsia"/>
          <w:bCs/>
          <w:snapToGrid w:val="0"/>
          <w:kern w:val="0"/>
        </w:rPr>
      </w:pPr>
      <w:r>
        <w:rPr>
          <w:rFonts w:hint="eastAsia" w:asciiTheme="majorEastAsia" w:hAnsiTheme="majorEastAsia" w:eastAsiaTheme="majorEastAsia" w:cstheme="majorEastAsia"/>
        </w:rPr>
        <w:t>2.1采购人拟采购的产品属于品目清单范围的，</w:t>
      </w:r>
      <w:r>
        <w:rPr>
          <w:rFonts w:hint="eastAsia" w:ascii="宋体" w:hAnsi="宋体" w:cstheme="majorEastAsia"/>
          <w:bCs/>
          <w:snapToGrid w:val="0"/>
          <w:kern w:val="0"/>
        </w:rPr>
        <w:t>按《节能产品政府采购品目清单》财库〔2019〕19号执行；政府采购节能产品、环境标志产品实施品目清单管理：投标产品符合财库〔2019〕9号《关于调整优化节能产品、环境标志产品政府采购执行机制的通知》条件。</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2.2 修缮、装修类项目采购建材的，采购人应将绿色建筑和绿色建材性能、指标等作为实质性条件纳入招标文件和合同。</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3.支持中小企业发展</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3.1中小企业，是指在中华人民共和国境内依法设立，依据国务院批准的中小企业划分标准确定的中型企业、小型企业和微型企业，但与大企业的负责人为同一人，或者与大企业存在直接控股、管理关系的除外。</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符合中小企业划分标准的个体工商户，在政府采购活动中视同中小企业。</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3.2在政府采购活动中，投标供应商提供的货物、工程或者服务符合下列情形的，享受中小企业扶持政策：</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3.2.1在货物采购项目中，货物由中小企业制造，即货物由中小企业生产且使用该中小企业商号或者注册商标；</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3.2.2在工程采购项目中，工程由中小企业承建，即工程施工单位为中小企业；</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3.2.3在服务采购项目中，服务由中小企业承接，即提供服务的人员为中小企业依照《民法典》订立劳动合同的从业人员。</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在货物采购项目中，投标供应商提供的货物既有中小企业制造货物，也有大型企业制造货物的，不享受中小企业扶持政策。</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以联合体形式参加政府采购活动，联合体各方均为中小企业的，联合体视同中小企业。其中，联合体各方均为小微企业的，联合体视同小微企业。</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3.3符合《关于促进残疾人就业政府采购政策的通知》（财库〔2017〕141号）规定的条件并提供《残疾人福利性单位声明函》（附件1）的残疾人福利性单位视同小型、微型企业；</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3.4符合《关于政府采购支持监狱企业发展有关问题的通知》（财库[2014]68号）规定的监狱企业并提供由省级以上监狱管理局、戒毒管理局（含新疆生产建设兵团）出具的属于监狱企业证明文件的，视同为小型、微型企业。</w:t>
      </w:r>
    </w:p>
    <w:p>
      <w:pPr>
        <w:snapToGrid w:val="0"/>
        <w:spacing w:line="440" w:lineRule="exact"/>
        <w:ind w:firstLine="480" w:firstLineChars="200"/>
        <w:jc w:val="left"/>
        <w:rPr>
          <w:rFonts w:asciiTheme="majorEastAsia" w:hAnsiTheme="majorEastAsia" w:eastAsiaTheme="majorEastAsia" w:cstheme="majorEastAsia"/>
          <w:b/>
          <w:bCs/>
        </w:rPr>
      </w:pPr>
      <w:r>
        <w:rPr>
          <w:rFonts w:hint="eastAsia" w:asciiTheme="majorEastAsia" w:hAnsiTheme="majorEastAsia" w:eastAsiaTheme="majorEastAsia" w:cstheme="majorEastAsia"/>
        </w:rPr>
        <w:t>3.5可享受中小企业扶持政策的投标供应商应按照招标文件格式要求提供《中小企业声明函》，投标供应商提供的《中小企业声明函》与实际情况不符的，不享受中小企业扶持政策。</w:t>
      </w:r>
      <w:r>
        <w:rPr>
          <w:rFonts w:hint="eastAsia" w:asciiTheme="majorEastAsia" w:hAnsiTheme="majorEastAsia" w:eastAsiaTheme="majorEastAsia" w:cstheme="majorEastAsia"/>
          <w:b/>
          <w:bCs/>
        </w:rPr>
        <w:t>声明内容不实的，属于提供虚假材料谋取中标、中标的，依法承担法律责任。</w:t>
      </w:r>
    </w:p>
    <w:p>
      <w:pPr>
        <w:snapToGrid w:val="0"/>
        <w:spacing w:line="440" w:lineRule="exact"/>
        <w:ind w:firstLine="480" w:firstLineChars="200"/>
        <w:jc w:val="left"/>
        <w:rPr>
          <w:rFonts w:asciiTheme="majorEastAsia" w:hAnsiTheme="majorEastAsia" w:eastAsiaTheme="majorEastAsia" w:cstheme="majorEastAsia"/>
          <w:b/>
          <w:strike/>
        </w:rPr>
      </w:pPr>
      <w:r>
        <w:rPr>
          <w:rFonts w:hint="eastAsia" w:asciiTheme="majorEastAsia" w:hAnsiTheme="majorEastAsia" w:eastAsiaTheme="majorEastAsia" w:cstheme="majorEastAsia"/>
        </w:rPr>
        <w:t>3.6中小企业享受扶持政策获得政府采购合同的，小微企业不得将合同分包给大中型企业，中型企业不得将合同分包给大型企业。</w:t>
      </w:r>
    </w:p>
    <w:p>
      <w:pPr>
        <w:snapToGrid w:val="0"/>
        <w:spacing w:line="440" w:lineRule="exact"/>
        <w:ind w:firstLine="472" w:firstLineChars="196"/>
        <w:jc w:val="left"/>
        <w:outlineLvl w:val="2"/>
        <w:rPr>
          <w:rFonts w:asciiTheme="majorEastAsia" w:hAnsiTheme="majorEastAsia" w:eastAsiaTheme="majorEastAsia" w:cstheme="majorEastAsia"/>
          <w:b/>
        </w:rPr>
      </w:pPr>
      <w:r>
        <w:rPr>
          <w:rFonts w:hint="eastAsia" w:asciiTheme="majorEastAsia" w:hAnsiTheme="majorEastAsia" w:eastAsiaTheme="majorEastAsia" w:cstheme="majorEastAsia"/>
          <w:b/>
        </w:rPr>
        <w:t>（六）特别说明：</w:t>
      </w:r>
    </w:p>
    <w:p>
      <w:pPr>
        <w:pStyle w:val="32"/>
        <w:snapToGrid w:val="0"/>
        <w:spacing w:beforeLines="0" w:afterLines="0" w:line="440" w:lineRule="exact"/>
        <w:ind w:left="2" w:leftChars="1"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1.采用最低评标价法的采购项目，提供相同品牌产品的不同投标供应商参加同一合同项下投标的，以其中通过资格审查、符合性审查且报价最低的参加评标；报价相同的，由采购人或者采购人委托评标委员会按照招标文件规定的方式确定一个参加评标的投标供应商，招标文件未规定的采取随机抽取方式确定，其他投标无效。</w:t>
      </w:r>
    </w:p>
    <w:p>
      <w:pPr>
        <w:pStyle w:val="32"/>
        <w:snapToGrid w:val="0"/>
        <w:spacing w:beforeLines="0" w:afterLines="0" w:line="440" w:lineRule="exact"/>
        <w:ind w:left="2" w:leftChars="1"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使用综合评分法的采购项目，提供相同品牌产品且通过资格审查、符合性审查的不同投标供应商参加同一合同项下投标的，按一家投标供应商计算，评审后得分最高的同品牌投标供应商获得中标供应商推荐资格；评审得分相同的，由采购人或者采购人委托评标委员会按照招标文件规定的方式确定一个投标供应商获得中标供应商推荐资格，招标文件未规定的采取随机抽取方式确定，其他同品牌投标供应商不作为中标候选人。</w:t>
      </w:r>
    </w:p>
    <w:p>
      <w:pPr>
        <w:pStyle w:val="32"/>
        <w:snapToGrid w:val="0"/>
        <w:spacing w:beforeLines="0" w:afterLines="0" w:line="440" w:lineRule="exact"/>
        <w:ind w:left="2" w:leftChars="1"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非单一产品采购项目，采购人应当根据采购项目技术构成、产品价格比重等合理确定核心产品，并在招标文件中载明。多家投标供应商提供的核心产品品牌相同的，按前两款规定处理。</w:t>
      </w:r>
    </w:p>
    <w:p>
      <w:pPr>
        <w:pStyle w:val="32"/>
        <w:snapToGrid w:val="0"/>
        <w:spacing w:before="120" w:after="120" w:line="440" w:lineRule="exact"/>
        <w:ind w:left="2" w:leftChars="1"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2.投标供应商投标所使用的资格、信誉、荣誉、业绩与企业认证必须为本法人所拥有。投标供应商投标所使用的采购项目实施人员必须为本法人员工（或必须为本法人或控股投标供应商正式员工）。</w:t>
      </w:r>
    </w:p>
    <w:p>
      <w:pPr>
        <w:pStyle w:val="32"/>
        <w:snapToGrid w:val="0"/>
        <w:spacing w:before="120" w:after="120" w:line="440" w:lineRule="exact"/>
        <w:ind w:left="2" w:leftChars="1"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3.投标供应商应仔细阅读招标文件的所有内容，按照招标文件的要求提交投标文件，并对所提供的全部资料的真实性承担法律责任。</w:t>
      </w:r>
    </w:p>
    <w:p>
      <w:pPr>
        <w:pStyle w:val="32"/>
        <w:snapToGrid w:val="0"/>
        <w:spacing w:before="120" w:after="120" w:line="440" w:lineRule="exact"/>
        <w:ind w:left="2" w:leftChars="1"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4.投标供应商在投标活动中提供任何虚假材料，其投标无效，并报监管部门查处；中标后发现的，中标供应商须依照《中华人民共和国消费者权益保护法》第49条之规定双倍赔偿采购人，且民事赔偿并不免除违法投标供应商的行政与刑事责任。</w:t>
      </w:r>
    </w:p>
    <w:p>
      <w:pPr>
        <w:spacing w:line="440" w:lineRule="exact"/>
        <w:rPr>
          <w:rFonts w:asciiTheme="majorEastAsia" w:hAnsiTheme="majorEastAsia" w:eastAsiaTheme="majorEastAsia" w:cstheme="majorEastAsia"/>
          <w:b/>
          <w:bCs/>
        </w:rPr>
      </w:pPr>
      <w:r>
        <w:rPr>
          <w:rFonts w:hint="eastAsia" w:asciiTheme="majorEastAsia" w:hAnsiTheme="majorEastAsia" w:eastAsiaTheme="majorEastAsia" w:cstheme="majorEastAsia"/>
          <w:b/>
          <w:bCs/>
        </w:rPr>
        <w:t>（七）质疑和投诉</w:t>
      </w:r>
    </w:p>
    <w:p>
      <w:pPr>
        <w:spacing w:line="440" w:lineRule="exact"/>
        <w:ind w:firstLine="480" w:firstLineChars="200"/>
        <w:rPr>
          <w:rFonts w:asciiTheme="majorEastAsia" w:hAnsiTheme="majorEastAsia" w:eastAsiaTheme="majorEastAsia" w:cstheme="majorEastAsia"/>
        </w:rPr>
      </w:pPr>
      <w:bookmarkStart w:id="45" w:name="_Toc406402987"/>
      <w:bookmarkStart w:id="46" w:name="_Toc532218224"/>
      <w:bookmarkStart w:id="47" w:name="_Toc406402943"/>
      <w:r>
        <w:rPr>
          <w:rFonts w:hint="eastAsia" w:asciiTheme="majorEastAsia" w:hAnsiTheme="majorEastAsia" w:eastAsiaTheme="majorEastAsia" w:cstheme="majorEastAsia"/>
        </w:rPr>
        <w:t>1.质疑和投诉应当满足《政府采购质疑和投诉办法》（中华人民共和国财政部令第94号）要求。</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采购文件质疑：供应商可在获取采购文件之日或者采购文件公告期限届满之日（公告期限届满后获取采购文件的，以公告期限届满之日为准）起7个工作日内发起；采购过程质疑：投标（响应）供应商可在投标（响应）截止时间后，采购结果公告发布时间起7个工作日内发起；采购结果质疑：投标（响应）供应商可在采购结果公告期限届满之日起7个工作日内发起。</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3.供应商须在法定质疑期内一次性提出针对同一采购程序环节的质疑。</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4.供应商须按上述规定，在政采云系统里提出质疑。询问路径为：政采云-项目采购-询问质疑投诉-询问列表；质疑路径为：政采云-项目采购-询问质疑投诉-质疑列表。质疑供应商对在线质疑答复不满意的，可在线提起投诉，投诉路径为：浙江政府服务网-政府采购投诉处理-在线办理。</w:t>
      </w:r>
    </w:p>
    <w:p>
      <w:pPr>
        <w:pStyle w:val="32"/>
        <w:snapToGrid w:val="0"/>
        <w:spacing w:before="120" w:after="120" w:line="440" w:lineRule="exact"/>
        <w:ind w:firstLine="472" w:firstLineChars="196"/>
        <w:jc w:val="left"/>
        <w:outlineLvl w:val="1"/>
        <w:rPr>
          <w:rFonts w:asciiTheme="majorEastAsia" w:hAnsiTheme="majorEastAsia" w:eastAsiaTheme="majorEastAsia" w:cstheme="majorEastAsia"/>
          <w:b/>
        </w:rPr>
      </w:pPr>
      <w:r>
        <w:rPr>
          <w:rFonts w:hint="eastAsia" w:asciiTheme="majorEastAsia" w:hAnsiTheme="majorEastAsia" w:eastAsiaTheme="majorEastAsia" w:cstheme="majorEastAsia"/>
          <w:b/>
        </w:rPr>
        <w:t>二、招标文件</w:t>
      </w:r>
      <w:bookmarkEnd w:id="45"/>
      <w:bookmarkEnd w:id="46"/>
      <w:bookmarkEnd w:id="47"/>
    </w:p>
    <w:p>
      <w:pPr>
        <w:snapToGrid w:val="0"/>
        <w:spacing w:line="440" w:lineRule="exact"/>
        <w:ind w:firstLine="472" w:firstLineChars="196"/>
        <w:jc w:val="left"/>
        <w:rPr>
          <w:rFonts w:asciiTheme="majorEastAsia" w:hAnsiTheme="majorEastAsia" w:eastAsiaTheme="majorEastAsia" w:cstheme="majorEastAsia"/>
          <w:b/>
        </w:rPr>
      </w:pPr>
      <w:r>
        <w:rPr>
          <w:rFonts w:hint="eastAsia" w:asciiTheme="majorEastAsia" w:hAnsiTheme="majorEastAsia" w:eastAsiaTheme="majorEastAsia" w:cstheme="majorEastAsia"/>
          <w:b/>
        </w:rPr>
        <w:t>（一）招标文件的构成。本招标文件由以下部份组成：</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1.公开招标采购公告</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2.招标需求</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3.供应商须知</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4.评标办法及标准</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5.嘉兴市政府采购合同（指引）</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6.投标文件格式</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7.本项目招标文件的澄清、答复、修改、补充的内容</w:t>
      </w:r>
    </w:p>
    <w:p>
      <w:pPr>
        <w:snapToGrid w:val="0"/>
        <w:spacing w:line="440" w:lineRule="exact"/>
        <w:ind w:firstLine="472" w:firstLineChars="196"/>
        <w:jc w:val="left"/>
        <w:rPr>
          <w:rFonts w:asciiTheme="majorEastAsia" w:hAnsiTheme="majorEastAsia" w:eastAsiaTheme="majorEastAsia" w:cstheme="majorEastAsia"/>
          <w:b/>
        </w:rPr>
      </w:pPr>
      <w:r>
        <w:rPr>
          <w:rFonts w:hint="eastAsia" w:asciiTheme="majorEastAsia" w:hAnsiTheme="majorEastAsia" w:eastAsiaTheme="majorEastAsia" w:cstheme="majorEastAsia"/>
          <w:b/>
        </w:rPr>
        <w:t>（二）投标供应商的风险</w:t>
      </w:r>
    </w:p>
    <w:p>
      <w:pPr>
        <w:pStyle w:val="45"/>
        <w:spacing w:line="440" w:lineRule="exact"/>
        <w:rPr>
          <w:rFonts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投标供应商没有按照招标文件要求提供全部资料，或者投标供应商没有对招标文件在各方面做出实质性响应是投标供应商的风险，并可能导致其投标为无效标。</w:t>
      </w:r>
    </w:p>
    <w:p>
      <w:pPr>
        <w:pStyle w:val="118"/>
        <w:numPr>
          <w:ilvl w:val="0"/>
          <w:numId w:val="6"/>
        </w:numPr>
        <w:snapToGrid w:val="0"/>
        <w:spacing w:before="0" w:line="440" w:lineRule="exact"/>
        <w:ind w:firstLine="480" w:firstLineChars="0"/>
        <w:rPr>
          <w:rFonts w:asciiTheme="majorEastAsia" w:hAnsiTheme="majorEastAsia" w:eastAsiaTheme="majorEastAsia" w:cstheme="majorEastAsia"/>
          <w:b/>
        </w:rPr>
      </w:pPr>
      <w:r>
        <w:rPr>
          <w:rFonts w:hint="eastAsia" w:asciiTheme="majorEastAsia" w:hAnsiTheme="majorEastAsia" w:eastAsiaTheme="majorEastAsia" w:cstheme="majorEastAsia"/>
          <w:b/>
        </w:rPr>
        <w:t>招标文件的澄清与修改</w:t>
      </w:r>
    </w:p>
    <w:p>
      <w:pPr>
        <w:pStyle w:val="118"/>
        <w:snapToGrid w:val="0"/>
        <w:spacing w:before="0" w:line="440" w:lineRule="exact"/>
        <w:ind w:left="120" w:leftChars="50" w:firstLine="360" w:firstLineChars="150"/>
        <w:rPr>
          <w:rFonts w:asciiTheme="majorEastAsia" w:hAnsiTheme="majorEastAsia" w:eastAsiaTheme="majorEastAsia" w:cstheme="majorEastAsia"/>
        </w:rPr>
      </w:pPr>
      <w:r>
        <w:rPr>
          <w:rFonts w:hint="eastAsia" w:asciiTheme="majorEastAsia" w:hAnsiTheme="majorEastAsia" w:eastAsiaTheme="majorEastAsia" w:cstheme="majorEastAsia"/>
        </w:rPr>
        <w:t>1.投标供应商应认真阅读本招标文件，发现其中有误或有不合理要求的，可要求招标采购人澄清。招标采购人对已发出的招标文件进行必要澄清或者修改的，应当在招标文件要求提交投标文件截止十五日前，在财政部门指定的政府采购信息发布媒体上发布更正公告，并以书面形式通知所有招标文件获取人。</w:t>
      </w:r>
    </w:p>
    <w:p>
      <w:pPr>
        <w:pStyle w:val="32"/>
        <w:snapToGrid w:val="0"/>
        <w:spacing w:before="120" w:after="120"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2.招标文件澄清或者修改的内容为招标文件的组成部分。当招标文件与澄清或者修改就同一内容的表述不一致时，以最后发出的书面文件为准。</w:t>
      </w:r>
    </w:p>
    <w:p>
      <w:pPr>
        <w:pStyle w:val="32"/>
        <w:snapToGrid w:val="0"/>
        <w:spacing w:before="120" w:after="120"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3.对招标文件的澄清、答复、修改或补充都应该通过采购机构以法定形式发布，采购人非通过本机构，不得擅自澄清、答复、修改或补充招标文件。</w:t>
      </w:r>
    </w:p>
    <w:p>
      <w:pPr>
        <w:pStyle w:val="32"/>
        <w:snapToGrid w:val="0"/>
        <w:spacing w:before="120" w:after="120" w:line="440" w:lineRule="exact"/>
        <w:ind w:firstLine="472" w:firstLineChars="196"/>
        <w:jc w:val="center"/>
        <w:outlineLvl w:val="1"/>
        <w:rPr>
          <w:rFonts w:asciiTheme="majorEastAsia" w:hAnsiTheme="majorEastAsia" w:eastAsiaTheme="majorEastAsia" w:cstheme="majorEastAsia"/>
          <w:b/>
          <w:bCs/>
          <w:kern w:val="2"/>
        </w:rPr>
      </w:pPr>
      <w:r>
        <w:rPr>
          <w:rFonts w:hint="eastAsia" w:asciiTheme="majorEastAsia" w:hAnsiTheme="majorEastAsia" w:eastAsiaTheme="majorEastAsia" w:cstheme="majorEastAsia"/>
          <w:b/>
          <w:bCs/>
          <w:kern w:val="2"/>
        </w:rPr>
        <w:t>三、投标文件的编制</w:t>
      </w:r>
    </w:p>
    <w:p>
      <w:pPr>
        <w:spacing w:line="440" w:lineRule="exact"/>
        <w:ind w:firstLine="482" w:firstLineChars="200"/>
        <w:rPr>
          <w:rFonts w:asciiTheme="majorEastAsia" w:hAnsiTheme="majorEastAsia" w:eastAsiaTheme="majorEastAsia" w:cstheme="majorEastAsia"/>
          <w:b/>
          <w:bCs/>
        </w:rPr>
      </w:pPr>
      <w:bookmarkStart w:id="48" w:name="_Toc21392"/>
      <w:bookmarkStart w:id="49" w:name="_Toc14074"/>
      <w:bookmarkStart w:id="50" w:name="_Toc406402988"/>
      <w:bookmarkStart w:id="51" w:name="_Toc532218225"/>
      <w:bookmarkStart w:id="52" w:name="_Toc406402944"/>
      <w:r>
        <w:rPr>
          <w:rFonts w:hint="eastAsia" w:asciiTheme="majorEastAsia" w:hAnsiTheme="majorEastAsia" w:eastAsiaTheme="majorEastAsia" w:cstheme="majorEastAsia"/>
          <w:b/>
          <w:bCs/>
        </w:rPr>
        <w:t>本项目所涉投标文件格式请详见第六章，未给出的格式请自拟。商务、资信及其他及技术文件中不得出现报价，否则投标文件将被视为无效。</w:t>
      </w:r>
      <w:r>
        <w:rPr>
          <w:rFonts w:hint="eastAsia" w:asciiTheme="majorEastAsia" w:hAnsiTheme="majorEastAsia" w:eastAsiaTheme="majorEastAsia" w:cstheme="majorEastAsia"/>
          <w:b/>
          <w:bCs/>
        </w:rPr>
        <w:br w:type="textWrapping"/>
      </w:r>
      <w:r>
        <w:rPr>
          <w:rFonts w:hint="eastAsia" w:asciiTheme="majorEastAsia" w:hAnsiTheme="majorEastAsia" w:eastAsiaTheme="majorEastAsia" w:cstheme="majorEastAsia"/>
          <w:b/>
          <w:bCs/>
        </w:rPr>
        <w:t xml:space="preserve">    注：电子投标文件按政采云平台供应商电子招投标操作指南及本招标文件规定的格式和顺序编制电子投标文件并进行关联定。建议根据招标文件合格供应商的资格要求、投标文件的编制及评分标准等内容一一关联。</w:t>
      </w:r>
    </w:p>
    <w:p>
      <w:pPr>
        <w:spacing w:line="440" w:lineRule="exact"/>
        <w:ind w:firstLine="482" w:firstLineChars="200"/>
        <w:rPr>
          <w:rFonts w:asciiTheme="majorEastAsia" w:hAnsiTheme="majorEastAsia" w:eastAsiaTheme="majorEastAsia" w:cstheme="majorEastAsia"/>
          <w:b/>
          <w:bCs/>
        </w:rPr>
      </w:pPr>
      <w:r>
        <w:rPr>
          <w:rFonts w:hint="eastAsia" w:asciiTheme="majorEastAsia" w:hAnsiTheme="majorEastAsia" w:eastAsiaTheme="majorEastAsia" w:cstheme="majorEastAsia"/>
          <w:b/>
          <w:bCs/>
        </w:rPr>
        <w:t>路径：浙江省“项目采购电子交易系统/不见面开评标”学习专题-操作指南-供应商</w:t>
      </w:r>
    </w:p>
    <w:p>
      <w:pPr>
        <w:spacing w:line="440" w:lineRule="exact"/>
        <w:ind w:firstLine="482" w:firstLineChars="200"/>
        <w:rPr>
          <w:rFonts w:asciiTheme="majorEastAsia" w:hAnsiTheme="majorEastAsia" w:eastAsiaTheme="majorEastAsia" w:cstheme="majorEastAsia"/>
          <w:b/>
          <w:bCs/>
        </w:rPr>
      </w:pPr>
      <w:r>
        <w:rPr>
          <w:rFonts w:hint="eastAsia" w:asciiTheme="majorEastAsia" w:hAnsiTheme="majorEastAsia" w:eastAsiaTheme="majorEastAsia" w:cstheme="majorEastAsia"/>
          <w:b/>
          <w:bCs/>
        </w:rPr>
        <w:t>网址：</w:t>
      </w:r>
      <w:r>
        <w:fldChar w:fldCharType="begin"/>
      </w:r>
      <w:r>
        <w:instrText xml:space="preserve"> HYPERLINK "https://help.zcygov.cn/web/site_2/2018/12-28/2573.html%EF%BC%89%E5%8F%8A%E6%9C%AC%E6%8B%9B%E6%A0%87%E6%96%87%E4%BB%B6%E8%A7%84%E5%AE%9A%E7%9A%84%E6%A0%BC%E5%BC%8F%E5%92%8C%E9%A1%BA%E5%BA%8F%E7%BC%96%E5%88%B6%E7%94%B5%E5%AD%90%E6%8A%95%E6%A0%87%E6%96%87%E4%BB%B6%E5%B9%B6%E8%BF%9B%E8%A1%8C%E5%85%B3%E8%81%94%E5%AE%9A" \t "_blank" </w:instrText>
      </w:r>
      <w:r>
        <w:fldChar w:fldCharType="separate"/>
      </w:r>
      <w:r>
        <w:rPr>
          <w:rFonts w:hint="eastAsia" w:asciiTheme="majorEastAsia" w:hAnsiTheme="majorEastAsia" w:eastAsiaTheme="majorEastAsia" w:cstheme="majorEastAsia"/>
          <w:b/>
          <w:bCs/>
        </w:rPr>
        <w:t>https://edu.zcygov.cn/luban/e-biding</w:t>
      </w:r>
      <w:r>
        <w:rPr>
          <w:rFonts w:hint="eastAsia" w:asciiTheme="majorEastAsia" w:hAnsiTheme="majorEastAsia" w:eastAsiaTheme="majorEastAsia" w:cstheme="majorEastAsia"/>
          <w:b/>
          <w:bCs/>
        </w:rPr>
        <w:fldChar w:fldCharType="end"/>
      </w:r>
    </w:p>
    <w:p>
      <w:pPr>
        <w:spacing w:line="440" w:lineRule="exact"/>
        <w:ind w:firstLine="482" w:firstLineChars="200"/>
        <w:rPr>
          <w:rFonts w:asciiTheme="majorEastAsia" w:hAnsiTheme="majorEastAsia" w:eastAsiaTheme="majorEastAsia" w:cstheme="majorEastAsia"/>
          <w:b/>
          <w:bCs/>
        </w:rPr>
      </w:pPr>
      <w:r>
        <w:rPr>
          <w:rFonts w:hint="eastAsia" w:asciiTheme="majorEastAsia" w:hAnsiTheme="majorEastAsia" w:eastAsiaTheme="majorEastAsia" w:cstheme="majorEastAsia"/>
          <w:b/>
          <w:bCs/>
        </w:rPr>
        <w:t>总体要求：</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 xml:space="preserve">1.供应商应仔细阅读招标文件的所有内容，按本文件的要求提供投标文件，并保证所提供的全部资料的真实性，以使其投标文件对招标文件作出实质性响应，否则，投标文件可能视为无效投标文件。 </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2.投标文件及供应商与采购有关的来往通知，函件和文件均应使用中文。</w:t>
      </w:r>
    </w:p>
    <w:p>
      <w:pPr>
        <w:spacing w:line="440" w:lineRule="exact"/>
        <w:ind w:firstLine="480" w:firstLineChars="200"/>
        <w:rPr>
          <w:rFonts w:asciiTheme="majorEastAsia" w:hAnsiTheme="majorEastAsia" w:eastAsiaTheme="majorEastAsia" w:cstheme="majorEastAsia"/>
          <w:b/>
          <w:u w:val="single"/>
        </w:rPr>
      </w:pPr>
      <w:r>
        <w:rPr>
          <w:rFonts w:hint="eastAsia" w:asciiTheme="majorEastAsia" w:hAnsiTheme="majorEastAsia" w:eastAsiaTheme="majorEastAsia" w:cstheme="majorEastAsia"/>
        </w:rPr>
        <w:t>3.供应商应按本文件中提供的文件格式、内容和要求制作投标文件</w:t>
      </w:r>
      <w:r>
        <w:rPr>
          <w:rFonts w:hint="eastAsia" w:asciiTheme="majorEastAsia" w:hAnsiTheme="majorEastAsia" w:eastAsiaTheme="majorEastAsia" w:cstheme="majorEastAsia"/>
          <w:b/>
        </w:rPr>
        <w:t>。</w:t>
      </w:r>
    </w:p>
    <w:p>
      <w:pPr>
        <w:pStyle w:val="10"/>
        <w:spacing w:line="440" w:lineRule="exact"/>
        <w:rPr>
          <w:rFonts w:asciiTheme="majorEastAsia" w:hAnsiTheme="majorEastAsia" w:eastAsiaTheme="majorEastAsia" w:cstheme="majorEastAsia"/>
        </w:rPr>
      </w:pPr>
      <w:r>
        <w:rPr>
          <w:rFonts w:hint="eastAsia" w:asciiTheme="majorEastAsia" w:hAnsiTheme="majorEastAsia" w:eastAsiaTheme="majorEastAsia" w:cstheme="majorEastAsia"/>
        </w:rPr>
        <w:t>（一）投标文件的组成</w:t>
      </w:r>
      <w:bookmarkEnd w:id="48"/>
      <w:bookmarkEnd w:id="49"/>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电子投标文件和备份投标文件均由资信商务文件、技术文件及投标报价文件两部份组成。投标文件中所须加盖公章部分均采用CA签章。</w:t>
      </w:r>
    </w:p>
    <w:bookmarkEnd w:id="50"/>
    <w:bookmarkEnd w:id="51"/>
    <w:bookmarkEnd w:id="52"/>
    <w:p>
      <w:pPr>
        <w:snapToGrid w:val="0"/>
        <w:spacing w:line="440" w:lineRule="exact"/>
        <w:ind w:firstLine="482" w:firstLineChars="200"/>
        <w:jc w:val="left"/>
        <w:rPr>
          <w:rFonts w:asciiTheme="majorEastAsia" w:hAnsiTheme="majorEastAsia" w:eastAsiaTheme="majorEastAsia" w:cstheme="majorEastAsia"/>
          <w:b/>
        </w:rPr>
      </w:pPr>
      <w:r>
        <w:rPr>
          <w:rFonts w:hint="eastAsia" w:asciiTheme="majorEastAsia" w:hAnsiTheme="majorEastAsia" w:eastAsiaTheme="majorEastAsia" w:cstheme="majorEastAsia"/>
          <w:b/>
        </w:rPr>
        <w:t>1.资格文件：</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1.1符合参加政府采购活动应当具备的一般条件的承诺函；</w:t>
      </w:r>
    </w:p>
    <w:p>
      <w:pPr>
        <w:snapToGrid w:val="0"/>
        <w:spacing w:line="440" w:lineRule="exact"/>
        <w:ind w:firstLine="482" w:firstLineChars="200"/>
        <w:jc w:val="left"/>
        <w:rPr>
          <w:rFonts w:asciiTheme="majorEastAsia" w:hAnsiTheme="majorEastAsia" w:eastAsiaTheme="majorEastAsia" w:cstheme="majorEastAsia"/>
          <w:b/>
        </w:rPr>
      </w:pPr>
      <w:r>
        <w:rPr>
          <w:rFonts w:hint="eastAsia" w:asciiTheme="majorEastAsia" w:hAnsiTheme="majorEastAsia" w:eastAsiaTheme="majorEastAsia" w:cstheme="majorEastAsia"/>
          <w:b/>
        </w:rPr>
        <w:t>2.商务技术文件：</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2.1投标函；</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2.2法定代表人授权委托书；</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2.3符合性审查资料；</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2.4商务响应表；</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w:t>
      </w:r>
      <w:r>
        <w:rPr>
          <w:rFonts w:hint="eastAsia" w:asciiTheme="majorEastAsia" w:hAnsiTheme="majorEastAsia" w:eastAsiaTheme="majorEastAsia" w:cstheme="majorEastAsia"/>
          <w:lang w:val="zh-CN"/>
        </w:rPr>
        <w:t>.</w:t>
      </w:r>
      <w:r>
        <w:rPr>
          <w:rFonts w:hint="eastAsia" w:asciiTheme="majorEastAsia" w:hAnsiTheme="majorEastAsia" w:eastAsiaTheme="majorEastAsia" w:cstheme="majorEastAsia"/>
        </w:rPr>
        <w:t>5诚信承诺书</w:t>
      </w:r>
      <w:r>
        <w:rPr>
          <w:rFonts w:hint="eastAsia" w:asciiTheme="majorEastAsia" w:hAnsiTheme="majorEastAsia" w:eastAsiaTheme="majorEastAsia" w:cstheme="majorEastAsia"/>
          <w:lang w:val="zh-CN"/>
        </w:rPr>
        <w:t>；</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2.6评标标准相应的商务技术资料；</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2.6.1投标产品详细清单（不含报价）及技术响应表，详细列明所投项目主要设备清单，完整配置方案及技术指标，项目的核心产品必须明确所投品牌、规格型号及具体技术指标。任何含糊不清的表述对评标结果的影响将是供应商的责任。</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2.6.4同类项目业绩（</w:t>
      </w:r>
      <w:r>
        <w:rPr>
          <w:rFonts w:hint="eastAsia" w:ascii="宋体" w:hAnsi="宋体"/>
          <w:kern w:val="0"/>
        </w:rPr>
        <w:t>提供合同、验收报告等证明材料复印件并加盖公章</w:t>
      </w:r>
      <w:r>
        <w:rPr>
          <w:rFonts w:hint="eastAsia" w:asciiTheme="majorEastAsia" w:hAnsiTheme="majorEastAsia" w:eastAsiaTheme="majorEastAsia" w:cstheme="majorEastAsia"/>
        </w:rPr>
        <w:t>）。</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2.6.</w:t>
      </w:r>
      <w:r>
        <w:rPr>
          <w:rFonts w:asciiTheme="majorEastAsia" w:hAnsiTheme="majorEastAsia" w:eastAsiaTheme="majorEastAsia" w:cstheme="majorEastAsia"/>
        </w:rPr>
        <w:t>5</w:t>
      </w:r>
      <w:r>
        <w:rPr>
          <w:rFonts w:hint="eastAsia" w:asciiTheme="majorEastAsia" w:hAnsiTheme="majorEastAsia" w:eastAsiaTheme="majorEastAsia" w:cstheme="majorEastAsia"/>
        </w:rPr>
        <w:t>技术规格。</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2.6.</w:t>
      </w:r>
      <w:r>
        <w:rPr>
          <w:rFonts w:asciiTheme="majorEastAsia" w:hAnsiTheme="majorEastAsia" w:eastAsiaTheme="majorEastAsia" w:cstheme="majorEastAsia"/>
        </w:rPr>
        <w:t>6</w:t>
      </w:r>
      <w:r>
        <w:rPr>
          <w:rFonts w:hint="eastAsia" w:asciiTheme="majorEastAsia" w:hAnsiTheme="majorEastAsia" w:eastAsiaTheme="majorEastAsia" w:cstheme="majorEastAsia"/>
          <w:color w:val="000000"/>
          <w:kern w:val="0"/>
        </w:rPr>
        <w:t>实质性优惠</w:t>
      </w:r>
      <w:r>
        <w:rPr>
          <w:rFonts w:hint="eastAsia" w:asciiTheme="majorEastAsia" w:hAnsiTheme="majorEastAsia" w:eastAsiaTheme="majorEastAsia" w:cstheme="majorEastAsia"/>
        </w:rPr>
        <w:t>。</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2.6.</w:t>
      </w:r>
      <w:r>
        <w:rPr>
          <w:rFonts w:asciiTheme="majorEastAsia" w:hAnsiTheme="majorEastAsia" w:eastAsiaTheme="majorEastAsia" w:cstheme="majorEastAsia"/>
        </w:rPr>
        <w:t>7</w:t>
      </w:r>
      <w:r>
        <w:rPr>
          <w:rFonts w:hint="eastAsia" w:asciiTheme="majorEastAsia" w:hAnsiTheme="majorEastAsia" w:eastAsiaTheme="majorEastAsia" w:cstheme="majorEastAsia"/>
        </w:rPr>
        <w:t xml:space="preserve"> 供应商需要说明的其他内容（未尽事宜可按评分细则部分制作）。</w:t>
      </w:r>
    </w:p>
    <w:p>
      <w:pPr>
        <w:spacing w:line="440" w:lineRule="exact"/>
        <w:ind w:firstLine="482" w:firstLineChars="200"/>
        <w:rPr>
          <w:rFonts w:asciiTheme="majorEastAsia" w:hAnsiTheme="majorEastAsia" w:eastAsiaTheme="majorEastAsia" w:cstheme="majorEastAsia"/>
          <w:b/>
        </w:rPr>
      </w:pPr>
      <w:r>
        <w:rPr>
          <w:rFonts w:hint="eastAsia" w:asciiTheme="majorEastAsia" w:hAnsiTheme="majorEastAsia" w:eastAsiaTheme="majorEastAsia" w:cstheme="majorEastAsia"/>
          <w:b/>
        </w:rPr>
        <w:t>3.投标报价文件：</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 xml:space="preserve">3.1开标一览表（报价表）。 </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3.2中小企业声明函。</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3.3投标供应商针对报价需要说明的其他文件和说明。</w:t>
      </w:r>
    </w:p>
    <w:p>
      <w:pPr>
        <w:snapToGrid w:val="0"/>
        <w:spacing w:line="440" w:lineRule="exact"/>
        <w:ind w:firstLine="482" w:firstLineChars="200"/>
        <w:jc w:val="left"/>
        <w:rPr>
          <w:rFonts w:asciiTheme="majorEastAsia" w:hAnsiTheme="majorEastAsia" w:eastAsiaTheme="majorEastAsia" w:cstheme="majorEastAsia"/>
          <w:b/>
          <w:bCs/>
        </w:rPr>
      </w:pPr>
      <w:bookmarkStart w:id="53" w:name="_Toc406402989"/>
      <w:bookmarkStart w:id="54" w:name="_Toc532218226"/>
      <w:bookmarkStart w:id="55" w:name="_Toc406402945"/>
      <w:r>
        <w:rPr>
          <w:rFonts w:hint="eastAsia" w:asciiTheme="majorEastAsia" w:hAnsiTheme="majorEastAsia" w:eastAsiaTheme="majorEastAsia" w:cstheme="majorEastAsia"/>
          <w:b/>
          <w:bCs/>
        </w:rPr>
        <w:t>法定代表人授权委托书、投标函、投标函、开标一览表必须有法定代表人或被</w:t>
      </w:r>
      <w:r>
        <w:rPr>
          <w:rFonts w:hint="eastAsia" w:asciiTheme="majorEastAsia" w:hAnsiTheme="majorEastAsia" w:eastAsiaTheme="majorEastAsia" w:cstheme="majorEastAsia"/>
          <w:b/>
        </w:rPr>
        <w:t>授权</w:t>
      </w:r>
      <w:r>
        <w:rPr>
          <w:rFonts w:hint="eastAsia" w:asciiTheme="majorEastAsia" w:hAnsiTheme="majorEastAsia" w:eastAsiaTheme="majorEastAsia" w:cstheme="majorEastAsia"/>
          <w:b/>
          <w:bCs/>
        </w:rPr>
        <w:t>人签字（或签章）并加盖单位公章。</w:t>
      </w:r>
      <w:bookmarkEnd w:id="53"/>
      <w:bookmarkEnd w:id="54"/>
      <w:bookmarkEnd w:id="55"/>
    </w:p>
    <w:p>
      <w:pPr>
        <w:snapToGrid w:val="0"/>
        <w:spacing w:line="440" w:lineRule="exact"/>
        <w:ind w:firstLine="472" w:firstLineChars="196"/>
        <w:jc w:val="left"/>
        <w:outlineLvl w:val="2"/>
        <w:rPr>
          <w:rFonts w:asciiTheme="majorEastAsia" w:hAnsiTheme="majorEastAsia" w:eastAsiaTheme="majorEastAsia" w:cstheme="majorEastAsia"/>
          <w:b/>
        </w:rPr>
      </w:pPr>
      <w:r>
        <w:rPr>
          <w:rFonts w:hint="eastAsia" w:asciiTheme="majorEastAsia" w:hAnsiTheme="majorEastAsia" w:eastAsiaTheme="majorEastAsia" w:cstheme="majorEastAsia"/>
          <w:b/>
        </w:rPr>
        <w:t>（二）</w:t>
      </w:r>
      <w:r>
        <w:rPr>
          <w:rFonts w:hint="eastAsia" w:asciiTheme="majorEastAsia" w:hAnsiTheme="majorEastAsia" w:eastAsiaTheme="majorEastAsia" w:cstheme="majorEastAsia"/>
          <w:b/>
          <w:bCs/>
        </w:rPr>
        <w:t>投标文件的编制</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lang w:val="zh-CN"/>
        </w:rPr>
        <w:t>1.投标文件分为资格文件、商务技术文件、报价文件三部分。各投标供应商在编制投标文件时请按照招标文件规定的格式进行，混乱的编排导致投标文件被误读或评标委员会查找不到有效文件是投标供应商的风险。</w:t>
      </w:r>
    </w:p>
    <w:p>
      <w:pPr>
        <w:snapToGrid w:val="0"/>
        <w:spacing w:line="440" w:lineRule="exact"/>
        <w:ind w:firstLine="480" w:firstLineChars="200"/>
        <w:rPr>
          <w:rFonts w:asciiTheme="majorEastAsia" w:hAnsiTheme="majorEastAsia" w:eastAsiaTheme="majorEastAsia" w:cstheme="majorEastAsia"/>
          <w:lang w:val="zh-CN"/>
        </w:rPr>
      </w:pPr>
      <w:r>
        <w:rPr>
          <w:rFonts w:hint="eastAsia" w:asciiTheme="majorEastAsia" w:hAnsiTheme="majorEastAsia" w:eastAsiaTheme="majorEastAsia" w:cstheme="majorEastAsia"/>
          <w:lang w:val="zh-CN"/>
        </w:rPr>
        <w:t>2.投标供应商进行电子投标应安装客户端软件—“政采云电子交易客户端”，并按照招标文件和电子交易平台的要求编制并加密投标文件。投标供应商未按规定加密的投标文件，电子交易平台将拒收并提示。</w:t>
      </w:r>
    </w:p>
    <w:p>
      <w:pPr>
        <w:snapToGrid w:val="0"/>
        <w:spacing w:line="440" w:lineRule="exact"/>
        <w:ind w:firstLine="480" w:firstLineChars="200"/>
        <w:rPr>
          <w:rFonts w:asciiTheme="majorEastAsia" w:hAnsiTheme="majorEastAsia" w:eastAsiaTheme="majorEastAsia" w:cstheme="majorEastAsia"/>
          <w:lang w:val="zh-CN"/>
        </w:rPr>
      </w:pPr>
      <w:r>
        <w:rPr>
          <w:rFonts w:hint="eastAsia" w:asciiTheme="majorEastAsia" w:hAnsiTheme="majorEastAsia" w:eastAsiaTheme="majorEastAsia" w:cstheme="majorEastAsia"/>
          <w:lang w:val="zh-CN"/>
        </w:rPr>
        <w:t>3.使用“政采云电子交易客户端”需要提前申领CA数字证书，申领流程请自行前往“浙江政府采购网-下载专区-电子交易客户端-CA驱动和申领流程”进行查阅。</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4.投标文件按照招标文件要求进行签署、盖章。</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5.为确保网上操作合法、有效和安全，投标供应商应当在投标截止时间前完成在“政府采购云平台”的身份认证，确保在电子投标过程中能够对相关数据电文进行加密和使用电子签名。</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6.招标文件对投标文件签署、盖章的要求适用于电子签名。</w:t>
      </w:r>
    </w:p>
    <w:p>
      <w:pPr>
        <w:snapToGrid w:val="0"/>
        <w:spacing w:line="440" w:lineRule="exact"/>
        <w:ind w:firstLine="472" w:firstLineChars="196"/>
        <w:jc w:val="left"/>
        <w:outlineLvl w:val="2"/>
        <w:rPr>
          <w:rFonts w:asciiTheme="majorEastAsia" w:hAnsiTheme="majorEastAsia" w:eastAsiaTheme="majorEastAsia" w:cstheme="majorEastAsia"/>
          <w:b/>
        </w:rPr>
      </w:pPr>
      <w:bookmarkStart w:id="56" w:name="_Toc406402946"/>
      <w:bookmarkStart w:id="57" w:name="_Toc402963084"/>
      <w:bookmarkStart w:id="58" w:name="_Toc406402990"/>
      <w:bookmarkStart w:id="59" w:name="_Toc385854146"/>
      <w:bookmarkStart w:id="60" w:name="_Toc385854100"/>
      <w:bookmarkStart w:id="61" w:name="_Toc402963117"/>
      <w:bookmarkStart w:id="62" w:name="_Toc532218227"/>
      <w:r>
        <w:rPr>
          <w:rFonts w:hint="eastAsia" w:asciiTheme="majorEastAsia" w:hAnsiTheme="majorEastAsia" w:eastAsiaTheme="majorEastAsia" w:cstheme="majorEastAsia"/>
          <w:b/>
        </w:rPr>
        <w:t>（三）投标文件的语言及计量</w:t>
      </w:r>
      <w:bookmarkEnd w:id="56"/>
      <w:bookmarkEnd w:id="57"/>
      <w:bookmarkEnd w:id="58"/>
      <w:bookmarkEnd w:id="59"/>
      <w:bookmarkEnd w:id="60"/>
      <w:bookmarkEnd w:id="61"/>
      <w:bookmarkEnd w:id="62"/>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1．投标文件以及投标方与采购人就有关投标事宜的所有来往函电，均应以中文汉语书写。除签名、盖章、专用名称等特殊情形外，以中文汉语以外的文字表述的投标文件视同未提供。</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2．投标计量单位，招标文件已有明确规定的，使用招标文件规定的计量单位；招标文件没有规定的，应采用中华人民共和国法定计量单位（货币单位：人民币元），否则视同未响应。</w:t>
      </w:r>
    </w:p>
    <w:p>
      <w:pPr>
        <w:pStyle w:val="118"/>
        <w:spacing w:before="0" w:line="440" w:lineRule="exact"/>
        <w:ind w:firstLine="482"/>
        <w:rPr>
          <w:rFonts w:asciiTheme="majorEastAsia" w:hAnsiTheme="majorEastAsia" w:eastAsiaTheme="majorEastAsia" w:cstheme="majorEastAsia"/>
          <w:b/>
          <w:szCs w:val="24"/>
        </w:rPr>
      </w:pPr>
      <w:r>
        <w:rPr>
          <w:rFonts w:hint="eastAsia" w:asciiTheme="majorEastAsia" w:hAnsiTheme="majorEastAsia" w:eastAsiaTheme="majorEastAsia" w:cstheme="majorEastAsia"/>
          <w:b/>
        </w:rPr>
        <w:t>（四</w:t>
      </w:r>
      <w:r>
        <w:rPr>
          <w:rFonts w:hint="eastAsia" w:asciiTheme="majorEastAsia" w:hAnsiTheme="majorEastAsia" w:eastAsiaTheme="majorEastAsia" w:cstheme="majorEastAsia"/>
          <w:b/>
          <w:szCs w:val="24"/>
        </w:rPr>
        <w:t>）投标文件的提交、补充、修改、撤回</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2.电子交易平台收到投标文件，将妥善保存并即时向供应商发出确认回执通知。在投标截止时间前，除供应商补充、修改或者撤回投标文件外，任何单位和个人不得解密或提取投标文件。</w:t>
      </w:r>
    </w:p>
    <w:p>
      <w:pPr>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3.采购人、采购机构可以视情况延长投标文件提交的截止时间。在上述情况下，采购机构与投标供应商以前在投标截止期方面的全部权利、责任和义务，将适用于延长至新的投标截止期。</w:t>
      </w:r>
    </w:p>
    <w:p>
      <w:pPr>
        <w:snapToGrid w:val="0"/>
        <w:spacing w:line="440" w:lineRule="exact"/>
        <w:ind w:firstLine="472" w:firstLineChars="196"/>
        <w:jc w:val="left"/>
        <w:outlineLvl w:val="2"/>
        <w:rPr>
          <w:rFonts w:asciiTheme="majorEastAsia" w:hAnsiTheme="majorEastAsia" w:eastAsiaTheme="majorEastAsia" w:cstheme="majorEastAsia"/>
          <w:b/>
        </w:rPr>
      </w:pPr>
      <w:bookmarkStart w:id="63" w:name="_Toc402963085"/>
      <w:bookmarkStart w:id="64" w:name="_Toc385854101"/>
      <w:bookmarkStart w:id="65" w:name="_Toc385854147"/>
      <w:bookmarkStart w:id="66" w:name="_Toc532218228"/>
      <w:bookmarkStart w:id="67" w:name="_Toc406402991"/>
      <w:bookmarkStart w:id="68" w:name="_Toc406402947"/>
      <w:bookmarkStart w:id="69" w:name="_Toc402963118"/>
      <w:r>
        <w:rPr>
          <w:rFonts w:hint="eastAsia" w:asciiTheme="majorEastAsia" w:hAnsiTheme="majorEastAsia" w:eastAsiaTheme="majorEastAsia" w:cstheme="majorEastAsia"/>
          <w:b/>
        </w:rPr>
        <w:t>（三）投标报价</w:t>
      </w:r>
      <w:bookmarkEnd w:id="63"/>
      <w:bookmarkEnd w:id="64"/>
      <w:bookmarkEnd w:id="65"/>
      <w:bookmarkEnd w:id="66"/>
      <w:bookmarkEnd w:id="67"/>
      <w:bookmarkEnd w:id="68"/>
      <w:bookmarkEnd w:id="69"/>
    </w:p>
    <w:p>
      <w:pPr>
        <w:pStyle w:val="32"/>
        <w:snapToGrid w:val="0"/>
        <w:spacing w:before="120" w:after="120"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1.投标报价应按招标文件中相关附表格式填写。</w:t>
      </w:r>
    </w:p>
    <w:p>
      <w:pPr>
        <w:pStyle w:val="32"/>
        <w:snapToGrid w:val="0"/>
        <w:spacing w:before="120" w:after="120"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2.投标报价是履行合同的最终价格，应包括</w:t>
      </w:r>
      <w:r>
        <w:rPr>
          <w:rFonts w:asciiTheme="majorEastAsia" w:hAnsiTheme="majorEastAsia" w:eastAsiaTheme="majorEastAsia" w:cstheme="majorEastAsia"/>
        </w:rPr>
        <w:t>项目实施所需的一切设备、外机基础、外机电源（电力电缆）、外机配电柜、线材、PVC管引至排水管费用、布线、配管、配件、安装调试、运输、装卸、人工、保险、税金、招投标、审计等一切相关费用，采购人不承担由于本项目实施而产生的任何费用</w:t>
      </w:r>
      <w:r>
        <w:rPr>
          <w:rFonts w:hint="eastAsia" w:asciiTheme="majorEastAsia" w:hAnsiTheme="majorEastAsia" w:eastAsiaTheme="majorEastAsia" w:cstheme="majorEastAsia"/>
        </w:rPr>
        <w:t>。</w:t>
      </w:r>
    </w:p>
    <w:p>
      <w:pPr>
        <w:tabs>
          <w:tab w:val="left" w:pos="525"/>
        </w:tabs>
        <w:snapToGrid w:val="0"/>
        <w:spacing w:line="440" w:lineRule="exact"/>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3.投标文件只允许有一个报价，有选择的或有条件的报价将不予接受。</w:t>
      </w:r>
    </w:p>
    <w:p>
      <w:pPr>
        <w:snapToGrid w:val="0"/>
        <w:spacing w:line="440" w:lineRule="exact"/>
        <w:ind w:firstLine="472" w:firstLineChars="196"/>
        <w:jc w:val="left"/>
        <w:outlineLvl w:val="2"/>
        <w:rPr>
          <w:rFonts w:asciiTheme="majorEastAsia" w:hAnsiTheme="majorEastAsia" w:eastAsiaTheme="majorEastAsia" w:cstheme="majorEastAsia"/>
          <w:b/>
        </w:rPr>
      </w:pPr>
      <w:r>
        <w:rPr>
          <w:rFonts w:hint="eastAsia" w:asciiTheme="majorEastAsia" w:hAnsiTheme="majorEastAsia" w:eastAsiaTheme="majorEastAsia" w:cstheme="majorEastAsia"/>
          <w:b/>
        </w:rPr>
        <w:t>（四）投标文件的有效期</w:t>
      </w:r>
    </w:p>
    <w:p>
      <w:pPr>
        <w:pStyle w:val="20"/>
        <w:numPr>
          <w:ilvl w:val="0"/>
          <w:numId w:val="0"/>
        </w:numPr>
        <w:tabs>
          <w:tab w:val="clear" w:pos="454"/>
        </w:tabs>
        <w:snapToGrid w:val="0"/>
        <w:spacing w:after="120" w:line="440" w:lineRule="exact"/>
        <w:ind w:left="480" w:leftChars="200"/>
        <w:rPr>
          <w:rFonts w:asciiTheme="majorEastAsia" w:hAnsiTheme="majorEastAsia" w:eastAsiaTheme="majorEastAsia" w:cstheme="majorEastAsia"/>
        </w:rPr>
      </w:pPr>
      <w:r>
        <w:rPr>
          <w:rFonts w:hint="eastAsia" w:asciiTheme="majorEastAsia" w:hAnsiTheme="majorEastAsia" w:eastAsiaTheme="majorEastAsia" w:cstheme="majorEastAsia"/>
        </w:rPr>
        <w:t>1.自投标截止日起</w:t>
      </w:r>
      <w:r>
        <w:rPr>
          <w:rFonts w:hint="eastAsia" w:asciiTheme="majorEastAsia" w:hAnsiTheme="majorEastAsia" w:eastAsiaTheme="majorEastAsia" w:cstheme="majorEastAsia"/>
          <w:u w:val="single"/>
        </w:rPr>
        <w:t>90</w:t>
      </w:r>
      <w:r>
        <w:rPr>
          <w:rFonts w:hint="eastAsia" w:asciiTheme="majorEastAsia" w:hAnsiTheme="majorEastAsia" w:eastAsiaTheme="majorEastAsia" w:cstheme="majorEastAsia"/>
        </w:rPr>
        <w:t>天投标文件应保持有效。有效期不足的投标文件将被拒绝。</w:t>
      </w:r>
    </w:p>
    <w:p>
      <w:pPr>
        <w:pStyle w:val="20"/>
        <w:numPr>
          <w:ilvl w:val="0"/>
          <w:numId w:val="0"/>
        </w:numPr>
        <w:tabs>
          <w:tab w:val="clear" w:pos="454"/>
        </w:tabs>
        <w:snapToGrid w:val="0"/>
        <w:spacing w:after="120"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2.在特殊情况下，采购人可与投标供应商协商延长投标书的有效期，这种要求和答复均以书面形式进行。</w:t>
      </w:r>
    </w:p>
    <w:p>
      <w:pPr>
        <w:pStyle w:val="20"/>
        <w:numPr>
          <w:ilvl w:val="0"/>
          <w:numId w:val="0"/>
        </w:numPr>
        <w:tabs>
          <w:tab w:val="clear" w:pos="454"/>
        </w:tabs>
        <w:snapToGrid w:val="0"/>
        <w:spacing w:after="120" w:line="440" w:lineRule="exact"/>
        <w:ind w:firstLine="480" w:firstLineChars="200"/>
        <w:rPr>
          <w:rFonts w:asciiTheme="majorEastAsia" w:hAnsiTheme="majorEastAsia" w:eastAsiaTheme="majorEastAsia" w:cstheme="majorEastAsia"/>
        </w:rPr>
      </w:pPr>
      <w:bookmarkStart w:id="70" w:name="_Toc406402993"/>
      <w:bookmarkStart w:id="71" w:name="_Toc385854149"/>
      <w:bookmarkStart w:id="72" w:name="_Toc402963120"/>
      <w:bookmarkStart w:id="73" w:name="_Toc406402949"/>
      <w:bookmarkStart w:id="74" w:name="_Toc385854103"/>
      <w:bookmarkStart w:id="75" w:name="_Toc402963087"/>
      <w:bookmarkStart w:id="76" w:name="_Toc532218229"/>
      <w:r>
        <w:rPr>
          <w:rFonts w:hint="eastAsia" w:asciiTheme="majorEastAsia" w:hAnsiTheme="majorEastAsia" w:eastAsiaTheme="majorEastAsia" w:cstheme="majorEastAsia"/>
        </w:rPr>
        <w:t>3.中标供应商的投标文件自开标之日起至合同履行完毕止均应保持有效。</w:t>
      </w:r>
      <w:bookmarkEnd w:id="70"/>
      <w:bookmarkEnd w:id="71"/>
      <w:bookmarkEnd w:id="72"/>
      <w:bookmarkEnd w:id="73"/>
      <w:bookmarkEnd w:id="74"/>
      <w:bookmarkEnd w:id="75"/>
      <w:bookmarkEnd w:id="76"/>
    </w:p>
    <w:p>
      <w:pPr>
        <w:pStyle w:val="118"/>
        <w:spacing w:before="0" w:line="440" w:lineRule="exact"/>
        <w:ind w:firstLine="480"/>
        <w:rPr>
          <w:rFonts w:asciiTheme="majorEastAsia" w:hAnsiTheme="majorEastAsia" w:eastAsiaTheme="majorEastAsia" w:cstheme="majorEastAsia"/>
        </w:rPr>
      </w:pPr>
      <w:r>
        <w:rPr>
          <w:rFonts w:hint="eastAsia" w:asciiTheme="majorEastAsia" w:hAnsiTheme="majorEastAsia" w:eastAsiaTheme="majorEastAsia" w:cstheme="majorEastAsia"/>
          <w:szCs w:val="24"/>
        </w:rPr>
        <w:t>4.在原定投标有效期满之前，如果出现特殊情况，采购机构可以以书面形式通知投标供应商延长投标有效期。投标供应商同意延长的，不得要求或被允许修改其投标文件，投标供应商拒绝延长的，其投标无效。</w:t>
      </w:r>
    </w:p>
    <w:p>
      <w:pPr>
        <w:snapToGrid w:val="0"/>
        <w:spacing w:line="440" w:lineRule="exact"/>
        <w:ind w:firstLine="482" w:firstLineChars="200"/>
        <w:jc w:val="left"/>
        <w:outlineLvl w:val="2"/>
        <w:rPr>
          <w:rFonts w:asciiTheme="majorEastAsia" w:hAnsiTheme="majorEastAsia" w:eastAsiaTheme="majorEastAsia" w:cstheme="majorEastAsia"/>
          <w:b/>
        </w:rPr>
      </w:pPr>
      <w:r>
        <w:rPr>
          <w:rFonts w:hint="eastAsia" w:asciiTheme="majorEastAsia" w:hAnsiTheme="majorEastAsia" w:eastAsiaTheme="majorEastAsia" w:cstheme="majorEastAsia"/>
          <w:b/>
        </w:rPr>
        <w:t>（六）投标无效的情形</w:t>
      </w:r>
    </w:p>
    <w:p>
      <w:pPr>
        <w:snapToGrid w:val="0"/>
        <w:spacing w:line="440" w:lineRule="exact"/>
        <w:ind w:firstLine="482" w:firstLineChars="200"/>
        <w:rPr>
          <w:rFonts w:asciiTheme="majorEastAsia" w:hAnsiTheme="majorEastAsia" w:eastAsiaTheme="majorEastAsia" w:cstheme="majorEastAsia"/>
          <w:b/>
        </w:rPr>
      </w:pPr>
      <w:r>
        <w:rPr>
          <w:rFonts w:hint="eastAsia" w:asciiTheme="majorEastAsia" w:hAnsiTheme="majorEastAsia" w:eastAsiaTheme="majorEastAsia" w:cstheme="majorEastAsia"/>
          <w:b/>
        </w:rPr>
        <w:t>1.电子投标文件解密失败的，且未在规定时间内提交有效备份投标文件的。</w:t>
      </w:r>
    </w:p>
    <w:p>
      <w:pPr>
        <w:snapToGrid w:val="0"/>
        <w:spacing w:line="440" w:lineRule="exact"/>
        <w:ind w:firstLine="482" w:firstLineChars="200"/>
        <w:rPr>
          <w:rFonts w:asciiTheme="majorEastAsia" w:hAnsiTheme="majorEastAsia" w:eastAsiaTheme="majorEastAsia" w:cstheme="majorEastAsia"/>
        </w:rPr>
      </w:pPr>
      <w:r>
        <w:rPr>
          <w:rFonts w:hint="eastAsia" w:asciiTheme="majorEastAsia" w:hAnsiTheme="majorEastAsia" w:eastAsiaTheme="majorEastAsia" w:cstheme="majorEastAsia"/>
          <w:b/>
        </w:rPr>
        <w:t>2.仅提交备份投标文件，没有在电子交易平台传输递交投标文件的。</w:t>
      </w:r>
    </w:p>
    <w:p>
      <w:pPr>
        <w:snapToGrid w:val="0"/>
        <w:spacing w:line="440" w:lineRule="exact"/>
        <w:ind w:firstLine="472" w:firstLineChars="196"/>
        <w:rPr>
          <w:rFonts w:asciiTheme="majorEastAsia" w:hAnsiTheme="majorEastAsia" w:eastAsiaTheme="majorEastAsia" w:cstheme="majorEastAsia"/>
          <w:b/>
        </w:rPr>
      </w:pPr>
      <w:r>
        <w:rPr>
          <w:rFonts w:hint="eastAsia" w:asciiTheme="majorEastAsia" w:hAnsiTheme="majorEastAsia" w:eastAsiaTheme="majorEastAsia" w:cstheme="majorEastAsia"/>
          <w:b/>
        </w:rPr>
        <w:t>3.没有通过资格审查的，投标文件将被视为无效。</w:t>
      </w:r>
    </w:p>
    <w:p>
      <w:pPr>
        <w:snapToGrid w:val="0"/>
        <w:spacing w:line="440" w:lineRule="exact"/>
        <w:ind w:firstLine="472" w:firstLineChars="196"/>
        <w:rPr>
          <w:rFonts w:asciiTheme="majorEastAsia" w:hAnsiTheme="majorEastAsia" w:eastAsiaTheme="majorEastAsia" w:cstheme="majorEastAsia"/>
          <w:b/>
          <w:bCs/>
        </w:rPr>
      </w:pPr>
      <w:r>
        <w:rPr>
          <w:rFonts w:hint="eastAsia" w:asciiTheme="majorEastAsia" w:hAnsiTheme="majorEastAsia" w:eastAsiaTheme="majorEastAsia" w:cstheme="majorEastAsia"/>
          <w:b/>
          <w:bCs/>
        </w:rPr>
        <w:t>4.在符合性审查和商务评审时，如发现下列情形之一的，投标文件将被视为无效：</w:t>
      </w:r>
    </w:p>
    <w:p>
      <w:pPr>
        <w:snapToGrid w:val="0"/>
        <w:spacing w:line="440" w:lineRule="exact"/>
        <w:ind w:firstLine="470" w:firstLineChars="196"/>
        <w:rPr>
          <w:rFonts w:asciiTheme="majorEastAsia" w:hAnsiTheme="majorEastAsia" w:eastAsiaTheme="majorEastAsia" w:cstheme="majorEastAsia"/>
        </w:rPr>
      </w:pPr>
      <w:r>
        <w:rPr>
          <w:rFonts w:hint="eastAsia" w:asciiTheme="majorEastAsia" w:hAnsiTheme="majorEastAsia" w:eastAsiaTheme="majorEastAsia" w:cstheme="majorEastAsia"/>
          <w:bCs/>
        </w:rPr>
        <w:t>（1）</w:t>
      </w:r>
      <w:r>
        <w:rPr>
          <w:rFonts w:hint="eastAsia" w:asciiTheme="majorEastAsia" w:hAnsiTheme="majorEastAsia" w:eastAsiaTheme="majorEastAsia" w:cstheme="majorEastAsia"/>
        </w:rPr>
        <w:t>电子投标文件未按规定要求提供电子签章的。</w:t>
      </w:r>
    </w:p>
    <w:p>
      <w:pPr>
        <w:snapToGrid w:val="0"/>
        <w:spacing w:line="440" w:lineRule="exact"/>
        <w:ind w:firstLine="480" w:firstLineChars="200"/>
        <w:rPr>
          <w:rFonts w:asciiTheme="majorEastAsia" w:hAnsiTheme="majorEastAsia" w:eastAsiaTheme="majorEastAsia" w:cstheme="majorEastAsia"/>
          <w:bCs/>
        </w:rPr>
      </w:pPr>
      <w:r>
        <w:rPr>
          <w:rFonts w:hint="eastAsia" w:asciiTheme="majorEastAsia" w:hAnsiTheme="majorEastAsia" w:eastAsiaTheme="majorEastAsia" w:cstheme="majorEastAsia"/>
        </w:rPr>
        <w:t>（2）</w:t>
      </w:r>
      <w:r>
        <w:rPr>
          <w:rFonts w:hint="eastAsia" w:asciiTheme="majorEastAsia" w:hAnsiTheme="majorEastAsia" w:eastAsiaTheme="majorEastAsia" w:cstheme="majorEastAsia"/>
          <w:bCs/>
        </w:rPr>
        <w:t>在资信商务技术文件中出现报价的。</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（3）未按要求对资格文件进行承诺，或虚假承诺的。</w:t>
      </w:r>
    </w:p>
    <w:p>
      <w:pPr>
        <w:snapToGrid w:val="0"/>
        <w:spacing w:line="440" w:lineRule="exact"/>
        <w:ind w:firstLine="470" w:firstLineChars="196"/>
        <w:rPr>
          <w:rFonts w:asciiTheme="majorEastAsia" w:hAnsiTheme="majorEastAsia" w:eastAsiaTheme="majorEastAsia" w:cstheme="majorEastAsia"/>
          <w:bCs/>
          <w:kern w:val="0"/>
        </w:rPr>
      </w:pPr>
      <w:r>
        <w:rPr>
          <w:rFonts w:hint="eastAsia" w:asciiTheme="majorEastAsia" w:hAnsiTheme="majorEastAsia" w:eastAsiaTheme="majorEastAsia" w:cstheme="majorEastAsia"/>
        </w:rPr>
        <w:t>（4）未</w:t>
      </w:r>
      <w:r>
        <w:rPr>
          <w:rFonts w:hint="eastAsia" w:asciiTheme="majorEastAsia" w:hAnsiTheme="majorEastAsia" w:eastAsiaTheme="majorEastAsia" w:cstheme="majorEastAsia"/>
          <w:bCs/>
          <w:kern w:val="0"/>
        </w:rPr>
        <w:t>提供法定代表人授权委托书、投标函或者填写项目不齐全的。</w:t>
      </w:r>
    </w:p>
    <w:p>
      <w:pPr>
        <w:pStyle w:val="9"/>
        <w:snapToGrid w:val="0"/>
        <w:spacing w:line="440" w:lineRule="exact"/>
        <w:ind w:firstLine="454" w:firstLineChars="196"/>
        <w:rPr>
          <w:rFonts w:asciiTheme="majorEastAsia" w:hAnsiTheme="majorEastAsia" w:eastAsiaTheme="majorEastAsia" w:cstheme="majorEastAsia"/>
          <w:snapToGrid w:val="0"/>
          <w:sz w:val="24"/>
          <w:szCs w:val="24"/>
        </w:rPr>
      </w:pPr>
      <w:r>
        <w:rPr>
          <w:rFonts w:hint="eastAsia" w:asciiTheme="majorEastAsia" w:hAnsiTheme="majorEastAsia" w:eastAsiaTheme="majorEastAsia" w:cstheme="majorEastAsia"/>
          <w:sz w:val="24"/>
          <w:szCs w:val="24"/>
        </w:rPr>
        <w:t>（5）投标文件格式不规范、项目不齐全或者内容虚假的。</w:t>
      </w:r>
    </w:p>
    <w:p>
      <w:pPr>
        <w:pStyle w:val="9"/>
        <w:snapToGrid w:val="0"/>
        <w:spacing w:line="440" w:lineRule="exact"/>
        <w:ind w:firstLine="454" w:firstLineChars="196"/>
        <w:rPr>
          <w:rFonts w:asciiTheme="majorEastAsia" w:hAnsiTheme="majorEastAsia" w:eastAsiaTheme="majorEastAsia" w:cstheme="majorEastAsia"/>
          <w:snapToGrid w:val="0"/>
          <w:sz w:val="24"/>
          <w:szCs w:val="24"/>
        </w:rPr>
      </w:pPr>
      <w:r>
        <w:rPr>
          <w:rFonts w:hint="eastAsia" w:asciiTheme="majorEastAsia" w:hAnsiTheme="majorEastAsia" w:eastAsiaTheme="majorEastAsia" w:cstheme="majorEastAsia"/>
          <w:sz w:val="24"/>
          <w:szCs w:val="24"/>
        </w:rPr>
        <w:t>（</w:t>
      </w:r>
      <w:r>
        <w:rPr>
          <w:rFonts w:hint="eastAsia" w:asciiTheme="majorEastAsia" w:hAnsiTheme="majorEastAsia" w:eastAsiaTheme="majorEastAsia" w:cstheme="majorEastAsia"/>
          <w:snapToGrid w:val="0"/>
          <w:sz w:val="24"/>
          <w:szCs w:val="24"/>
        </w:rPr>
        <w:t>6）</w:t>
      </w:r>
      <w:r>
        <w:rPr>
          <w:rFonts w:hint="eastAsia" w:asciiTheme="majorEastAsia" w:hAnsiTheme="majorEastAsia" w:eastAsiaTheme="majorEastAsia" w:cstheme="majorEastAsia"/>
          <w:sz w:val="24"/>
          <w:szCs w:val="24"/>
        </w:rPr>
        <w:t>投标文件的实质性内容未使用中文表述、意思表述不明确、前后矛盾或者使用计量单位不符合招标文件要求的（经评标委员会认定并允许其当场更正的笔误除外）。</w:t>
      </w:r>
    </w:p>
    <w:p>
      <w:pPr>
        <w:pStyle w:val="9"/>
        <w:snapToGrid w:val="0"/>
        <w:spacing w:line="440" w:lineRule="exact"/>
        <w:ind w:firstLine="454" w:firstLineChars="196"/>
        <w:rPr>
          <w:rFonts w:asciiTheme="majorEastAsia" w:hAnsiTheme="majorEastAsia" w:eastAsiaTheme="majorEastAsia" w:cstheme="majorEastAsia"/>
          <w:snapToGrid w:val="0"/>
          <w:sz w:val="24"/>
          <w:szCs w:val="24"/>
        </w:rPr>
      </w:pPr>
      <w:r>
        <w:rPr>
          <w:rFonts w:hint="eastAsia" w:asciiTheme="majorEastAsia" w:hAnsiTheme="majorEastAsia" w:eastAsiaTheme="majorEastAsia" w:cstheme="majorEastAsia"/>
          <w:sz w:val="24"/>
          <w:szCs w:val="24"/>
        </w:rPr>
        <w:t>（7）</w:t>
      </w:r>
      <w:r>
        <w:rPr>
          <w:rFonts w:hint="eastAsia" w:asciiTheme="majorEastAsia" w:hAnsiTheme="majorEastAsia" w:eastAsiaTheme="majorEastAsia" w:cstheme="majorEastAsia"/>
          <w:snapToGrid w:val="0"/>
          <w:sz w:val="24"/>
          <w:szCs w:val="24"/>
        </w:rPr>
        <w:t>投标有效期、服务承诺等商务条款不能满足招标文件要求的。</w:t>
      </w:r>
    </w:p>
    <w:p>
      <w:pPr>
        <w:pStyle w:val="9"/>
        <w:snapToGrid w:val="0"/>
        <w:spacing w:line="440" w:lineRule="exact"/>
        <w:ind w:firstLine="454" w:firstLineChars="196"/>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（8）未实质性响应招标文件要求或者投标文件有采购人不能接受的附加条件的。</w:t>
      </w:r>
    </w:p>
    <w:p>
      <w:pPr>
        <w:pStyle w:val="9"/>
        <w:snapToGrid w:val="0"/>
        <w:spacing w:line="440" w:lineRule="exact"/>
        <w:ind w:firstLine="454" w:firstLineChars="196"/>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（9）不符合本招标文件中的实质性要求条款。</w:t>
      </w:r>
    </w:p>
    <w:p>
      <w:pPr>
        <w:pStyle w:val="9"/>
        <w:snapToGrid w:val="0"/>
        <w:spacing w:line="440" w:lineRule="exact"/>
        <w:ind w:firstLine="457" w:firstLineChars="196"/>
        <w:rPr>
          <w:rFonts w:asciiTheme="majorEastAsia" w:hAnsiTheme="majorEastAsia" w:eastAsiaTheme="majorEastAsia" w:cstheme="majorEastAsia"/>
          <w:b/>
          <w:bCs/>
          <w:sz w:val="24"/>
          <w:szCs w:val="24"/>
        </w:rPr>
      </w:pPr>
      <w:r>
        <w:rPr>
          <w:rFonts w:hint="eastAsia" w:asciiTheme="majorEastAsia" w:hAnsiTheme="majorEastAsia" w:eastAsiaTheme="majorEastAsia" w:cstheme="majorEastAsia"/>
          <w:b/>
          <w:bCs/>
          <w:sz w:val="24"/>
          <w:szCs w:val="24"/>
        </w:rPr>
        <w:t>5.在技术评审时，如发现下列情形之一的，投标文件将被视为无效：</w:t>
      </w:r>
    </w:p>
    <w:p>
      <w:pPr>
        <w:pStyle w:val="9"/>
        <w:snapToGrid w:val="0"/>
        <w:spacing w:line="440" w:lineRule="exact"/>
        <w:ind w:firstLine="454" w:firstLineChars="196"/>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（1）未提供或未如实提供投标货物的技术参数，或者投标文件标明的响应或偏离与事实不符或虚假投标的。</w:t>
      </w:r>
    </w:p>
    <w:p>
      <w:pPr>
        <w:pStyle w:val="9"/>
        <w:snapToGrid w:val="0"/>
        <w:spacing w:line="440" w:lineRule="exact"/>
        <w:ind w:firstLine="454" w:firstLineChars="196"/>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napToGrid w:val="0"/>
          <w:sz w:val="24"/>
          <w:szCs w:val="24"/>
        </w:rPr>
        <w:t>明显不符合招标文件要求的规格型号、质量标准，或者与</w:t>
      </w:r>
      <w:r>
        <w:rPr>
          <w:rFonts w:hint="eastAsia" w:asciiTheme="majorEastAsia" w:hAnsiTheme="majorEastAsia" w:eastAsiaTheme="majorEastAsia" w:cstheme="majorEastAsia"/>
          <w:sz w:val="24"/>
          <w:szCs w:val="24"/>
        </w:rPr>
        <w:t>招标文件中标“▲”的技术指标、主要功能项目发生实质性偏离的。</w:t>
      </w:r>
    </w:p>
    <w:p>
      <w:pPr>
        <w:pStyle w:val="9"/>
        <w:snapToGrid w:val="0"/>
        <w:spacing w:line="440" w:lineRule="exact"/>
        <w:ind w:firstLine="454" w:firstLineChars="196"/>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napToGrid w:val="0"/>
          <w:sz w:val="24"/>
          <w:szCs w:val="24"/>
        </w:rPr>
        <w:t>（3）</w:t>
      </w:r>
      <w:r>
        <w:rPr>
          <w:rFonts w:hint="eastAsia" w:asciiTheme="majorEastAsia" w:hAnsiTheme="majorEastAsia" w:eastAsiaTheme="majorEastAsia" w:cstheme="majorEastAsia"/>
          <w:sz w:val="24"/>
          <w:szCs w:val="24"/>
        </w:rPr>
        <w:t>投标技术方案不明确，存在一个或一个以上备选（替代）投标方案的。</w:t>
      </w:r>
    </w:p>
    <w:p>
      <w:pPr>
        <w:pStyle w:val="9"/>
        <w:snapToGrid w:val="0"/>
        <w:spacing w:line="440" w:lineRule="exact"/>
        <w:ind w:firstLine="457" w:firstLineChars="196"/>
        <w:rPr>
          <w:rFonts w:asciiTheme="majorEastAsia" w:hAnsiTheme="majorEastAsia" w:eastAsiaTheme="majorEastAsia" w:cstheme="majorEastAsia"/>
          <w:b/>
          <w:bCs/>
          <w:sz w:val="24"/>
          <w:szCs w:val="24"/>
        </w:rPr>
      </w:pPr>
      <w:r>
        <w:rPr>
          <w:rFonts w:hint="eastAsia" w:asciiTheme="majorEastAsia" w:hAnsiTheme="majorEastAsia" w:eastAsiaTheme="majorEastAsia" w:cstheme="majorEastAsia"/>
          <w:b/>
          <w:bCs/>
          <w:sz w:val="24"/>
          <w:szCs w:val="24"/>
        </w:rPr>
        <w:t>6.在报价评审时，如发现下列情形之一的，投标文件将被视为无效：</w:t>
      </w:r>
    </w:p>
    <w:p>
      <w:pPr>
        <w:pStyle w:val="9"/>
        <w:snapToGrid w:val="0"/>
        <w:spacing w:line="440" w:lineRule="exact"/>
        <w:ind w:firstLine="464"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（1）未采用人民币报价或者未按照招标文件标明的币种报价的。</w:t>
      </w:r>
    </w:p>
    <w:p>
      <w:pPr>
        <w:pStyle w:val="9"/>
        <w:snapToGrid w:val="0"/>
        <w:spacing w:line="440" w:lineRule="exact"/>
        <w:ind w:firstLine="464"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（2）报价超出最高限价的。</w:t>
      </w:r>
    </w:p>
    <w:p>
      <w:pPr>
        <w:pStyle w:val="9"/>
        <w:snapToGrid w:val="0"/>
        <w:spacing w:line="440" w:lineRule="exact"/>
        <w:ind w:firstLine="464"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xml:space="preserve">（3）投标报价具有选择性，或者开标价格与投标文件承诺的优惠（折扣）价格不一致的。   </w:t>
      </w:r>
    </w:p>
    <w:p>
      <w:pPr>
        <w:pStyle w:val="9"/>
        <w:snapToGrid w:val="0"/>
        <w:spacing w:line="440" w:lineRule="exact"/>
        <w:ind w:firstLine="464"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xml:space="preserve">（4）报价明显低于其他通过符合性审查投标供应商的报价，有可能影响产品质量或者不能诚信履约的，未能按要求提供书面说明或者提交相关证明材料，不能证明其报价合理性的;    </w:t>
      </w:r>
    </w:p>
    <w:p>
      <w:pPr>
        <w:pStyle w:val="9"/>
        <w:snapToGrid w:val="0"/>
        <w:spacing w:line="440" w:lineRule="exact"/>
        <w:ind w:firstLine="464"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（5）报价一经涂改，应在涂改处加盖单位公章或者由法定代表人或被授权人签字（或盖章），否则其投标作无效标处理；</w:t>
      </w:r>
    </w:p>
    <w:p>
      <w:pPr>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7.</w:t>
      </w:r>
      <w:r>
        <w:rPr>
          <w:rFonts w:hint="eastAsia" w:asciiTheme="majorEastAsia" w:hAnsiTheme="majorEastAsia" w:eastAsiaTheme="majorEastAsia" w:cstheme="majorEastAsia"/>
          <w:b/>
          <w:bCs/>
        </w:rPr>
        <w:t>投标供应商有恶意串通、妨碍其他投标供应商的竞争行为、损害采购人或者其他投标供应商的合法权益情形的，投标文件将被视为无效</w:t>
      </w:r>
      <w:r>
        <w:rPr>
          <w:rFonts w:hint="eastAsia" w:asciiTheme="majorEastAsia" w:hAnsiTheme="majorEastAsia" w:eastAsiaTheme="majorEastAsia" w:cstheme="majorEastAsia"/>
          <w:kern w:val="0"/>
        </w:rPr>
        <w:t>；</w:t>
      </w:r>
      <w:r>
        <w:rPr>
          <w:rFonts w:hint="eastAsia" w:asciiTheme="majorEastAsia" w:hAnsiTheme="majorEastAsia" w:eastAsiaTheme="majorEastAsia" w:cstheme="majorEastAsia"/>
        </w:rPr>
        <w:t xml:space="preserve"> </w:t>
      </w:r>
    </w:p>
    <w:p>
      <w:pPr>
        <w:pStyle w:val="9"/>
        <w:snapToGrid w:val="0"/>
        <w:spacing w:line="440" w:lineRule="exact"/>
        <w:ind w:firstLine="466"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b/>
          <w:bCs/>
          <w:sz w:val="24"/>
          <w:szCs w:val="24"/>
        </w:rPr>
        <w:t>8.法律、法规、规章（适用本市的）及省级以上规范性文件（适用本市的）规定的其他无效情形。</w:t>
      </w:r>
      <w:r>
        <w:rPr>
          <w:rFonts w:hint="eastAsia" w:asciiTheme="majorEastAsia" w:hAnsiTheme="majorEastAsia" w:eastAsiaTheme="majorEastAsia" w:cstheme="majorEastAsia"/>
          <w:sz w:val="24"/>
          <w:szCs w:val="24"/>
        </w:rPr>
        <w:t xml:space="preserve">                                                                                    </w:t>
      </w:r>
    </w:p>
    <w:p>
      <w:pPr>
        <w:pStyle w:val="9"/>
        <w:snapToGrid w:val="0"/>
        <w:spacing w:line="440" w:lineRule="exact"/>
        <w:ind w:firstLine="466" w:firstLineChars="200"/>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9.被拒绝的投标文件为无效。</w:t>
      </w:r>
    </w:p>
    <w:p>
      <w:pPr>
        <w:pStyle w:val="9"/>
        <w:numPr>
          <w:ilvl w:val="0"/>
          <w:numId w:val="7"/>
        </w:numPr>
        <w:snapToGrid w:val="0"/>
        <w:spacing w:line="440" w:lineRule="exact"/>
        <w:ind w:firstLine="466" w:firstLineChars="200"/>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废标的情形</w:t>
      </w:r>
    </w:p>
    <w:p>
      <w:pPr>
        <w:pStyle w:val="9"/>
        <w:snapToGrid w:val="0"/>
        <w:spacing w:line="440" w:lineRule="exact"/>
        <w:ind w:firstLine="464"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根据《中华人民共和国政府采购法》第三十六条之规定，在采购中，出现下列情形之一的，应予废标：</w:t>
      </w:r>
    </w:p>
    <w:p>
      <w:pPr>
        <w:pStyle w:val="9"/>
        <w:snapToGrid w:val="0"/>
        <w:spacing w:line="440" w:lineRule="exact"/>
        <w:ind w:firstLine="464"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1符合专业条件的供应商或者对招标文件作实质响应的供应商不足3家的；</w:t>
      </w:r>
    </w:p>
    <w:p>
      <w:pPr>
        <w:pStyle w:val="9"/>
        <w:snapToGrid w:val="0"/>
        <w:spacing w:line="440" w:lineRule="exact"/>
        <w:ind w:firstLine="464"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2出现影响采购公正的违法、违规行为的；</w:t>
      </w:r>
    </w:p>
    <w:p>
      <w:pPr>
        <w:pStyle w:val="9"/>
        <w:snapToGrid w:val="0"/>
        <w:spacing w:line="440" w:lineRule="exact"/>
        <w:ind w:firstLine="464"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3投标供应商的报价均超过了采购预算，采购人不能支付的；</w:t>
      </w:r>
    </w:p>
    <w:p>
      <w:pPr>
        <w:pStyle w:val="9"/>
        <w:snapToGrid w:val="0"/>
        <w:spacing w:line="440" w:lineRule="exact"/>
        <w:ind w:firstLine="464"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4因重大变故，采购任务取消的。</w:t>
      </w:r>
    </w:p>
    <w:p>
      <w:pPr>
        <w:pStyle w:val="9"/>
        <w:snapToGrid w:val="0"/>
        <w:spacing w:line="440" w:lineRule="exact"/>
        <w:ind w:firstLine="464" w:firstLineChars="200"/>
        <w:rPr>
          <w:rFonts w:asciiTheme="majorEastAsia" w:hAnsiTheme="majorEastAsia" w:eastAsiaTheme="majorEastAsia" w:cstheme="majorEastAsia"/>
        </w:rPr>
      </w:pPr>
      <w:r>
        <w:rPr>
          <w:rFonts w:hint="eastAsia" w:asciiTheme="majorEastAsia" w:hAnsiTheme="majorEastAsia" w:eastAsiaTheme="majorEastAsia" w:cstheme="majorEastAsia"/>
          <w:sz w:val="24"/>
          <w:szCs w:val="24"/>
        </w:rPr>
        <w:t>废标后，采购机构应当将废标理由通知所有投标供应商。</w:t>
      </w:r>
    </w:p>
    <w:p>
      <w:pPr>
        <w:pStyle w:val="32"/>
        <w:snapToGrid w:val="0"/>
        <w:spacing w:before="120" w:after="120" w:line="440" w:lineRule="exact"/>
        <w:ind w:firstLine="472" w:firstLineChars="196"/>
        <w:jc w:val="center"/>
        <w:outlineLvl w:val="1"/>
        <w:rPr>
          <w:rFonts w:asciiTheme="majorEastAsia" w:hAnsiTheme="majorEastAsia" w:eastAsiaTheme="majorEastAsia" w:cstheme="majorEastAsia"/>
          <w:b/>
          <w:strike/>
        </w:rPr>
      </w:pPr>
      <w:r>
        <w:rPr>
          <w:rFonts w:hint="eastAsia" w:asciiTheme="majorEastAsia" w:hAnsiTheme="majorEastAsia" w:eastAsiaTheme="majorEastAsia" w:cstheme="majorEastAsia"/>
          <w:b/>
        </w:rPr>
        <w:t>四、开标</w:t>
      </w:r>
    </w:p>
    <w:p>
      <w:pPr>
        <w:pStyle w:val="9"/>
        <w:snapToGrid w:val="0"/>
        <w:spacing w:line="440" w:lineRule="exact"/>
        <w:ind w:firstLine="454" w:firstLineChars="196"/>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1.本项目实行电子开评标，供应商无需到开标现场，但须准时在线参加，直至评审结束。投标供应商不足3家的，不得开标。</w:t>
      </w:r>
    </w:p>
    <w:p>
      <w:pPr>
        <w:pStyle w:val="9"/>
        <w:snapToGrid w:val="0"/>
        <w:spacing w:line="440" w:lineRule="exact"/>
        <w:ind w:firstLine="454" w:firstLineChars="196"/>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2.投标截止时间后的半小时内，由各供应商自行对电子投标文件进行解密请各供应商务必在规定时间内完成电子投标文件的解密工作；开启报价环节，供应商须在15分钟内在系统里CA签字确认。</w:t>
      </w:r>
    </w:p>
    <w:p>
      <w:pPr>
        <w:pStyle w:val="9"/>
        <w:snapToGrid w:val="0"/>
        <w:spacing w:line="440" w:lineRule="exact"/>
        <w:ind w:firstLine="454" w:firstLineChars="196"/>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3.投标文件未按时解密，投标供应商提供了备份投标文件的，以备份投标文件作为依据，否则视为投标文件撤回。投标文件已按时解密的，备份投标文件自动失效。</w:t>
      </w:r>
    </w:p>
    <w:p>
      <w:pPr>
        <w:pStyle w:val="118"/>
        <w:spacing w:before="0" w:line="440" w:lineRule="exact"/>
        <w:ind w:firstLine="482"/>
        <w:rPr>
          <w:rFonts w:asciiTheme="majorEastAsia" w:hAnsiTheme="majorEastAsia" w:eastAsiaTheme="majorEastAsia" w:cstheme="majorEastAsia"/>
          <w:szCs w:val="24"/>
        </w:rPr>
      </w:pPr>
      <w:r>
        <w:rPr>
          <w:rFonts w:hint="eastAsia" w:asciiTheme="majorEastAsia" w:hAnsiTheme="majorEastAsia" w:eastAsiaTheme="majorEastAsia" w:cstheme="majorEastAsia"/>
          <w:b/>
        </w:rPr>
        <w:t>　</w:t>
      </w:r>
    </w:p>
    <w:p>
      <w:pPr>
        <w:pStyle w:val="32"/>
        <w:snapToGrid w:val="0"/>
        <w:spacing w:before="120" w:after="120" w:line="440" w:lineRule="exact"/>
        <w:ind w:firstLine="472" w:firstLineChars="196"/>
        <w:jc w:val="center"/>
        <w:outlineLvl w:val="1"/>
        <w:rPr>
          <w:rFonts w:asciiTheme="majorEastAsia" w:hAnsiTheme="majorEastAsia" w:eastAsiaTheme="majorEastAsia" w:cstheme="majorEastAsia"/>
          <w:b/>
        </w:rPr>
      </w:pPr>
      <w:r>
        <w:rPr>
          <w:rFonts w:hint="eastAsia" w:asciiTheme="majorEastAsia" w:hAnsiTheme="majorEastAsia" w:eastAsiaTheme="majorEastAsia" w:cstheme="majorEastAsia"/>
          <w:b/>
        </w:rPr>
        <w:t>五、评标</w:t>
      </w:r>
    </w:p>
    <w:p>
      <w:pPr>
        <w:pStyle w:val="32"/>
        <w:snapToGrid w:val="0"/>
        <w:spacing w:before="120" w:after="120" w:line="440" w:lineRule="exact"/>
        <w:ind w:left="788" w:leftChars="228" w:hanging="241" w:hangingChars="100"/>
        <w:rPr>
          <w:rFonts w:asciiTheme="majorEastAsia" w:hAnsiTheme="majorEastAsia" w:eastAsiaTheme="majorEastAsia" w:cstheme="majorEastAsia"/>
          <w:b/>
        </w:rPr>
      </w:pPr>
      <w:r>
        <w:rPr>
          <w:rFonts w:hint="eastAsia" w:asciiTheme="majorEastAsia" w:hAnsiTheme="majorEastAsia" w:eastAsiaTheme="majorEastAsia" w:cstheme="majorEastAsia"/>
          <w:b/>
        </w:rPr>
        <w:t>（一）组建评标委员会</w:t>
      </w:r>
    </w:p>
    <w:p>
      <w:pPr>
        <w:pStyle w:val="32"/>
        <w:snapToGrid w:val="0"/>
        <w:spacing w:before="120" w:after="120"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评标委员会由采购人代表和评审专家组成，政府采购评审专家</w:t>
      </w:r>
      <w:r>
        <w:rPr>
          <w:rFonts w:hint="eastAsia" w:asciiTheme="majorEastAsia" w:hAnsiTheme="majorEastAsia" w:eastAsiaTheme="majorEastAsia" w:cstheme="majorEastAsia"/>
          <w:u w:val="single"/>
        </w:rPr>
        <w:t>4</w:t>
      </w:r>
      <w:r>
        <w:rPr>
          <w:rFonts w:hint="eastAsia" w:asciiTheme="majorEastAsia" w:hAnsiTheme="majorEastAsia" w:eastAsiaTheme="majorEastAsia" w:cstheme="majorEastAsia"/>
        </w:rPr>
        <w:t>人和采购人代表</w:t>
      </w:r>
      <w:r>
        <w:rPr>
          <w:rFonts w:hint="eastAsia" w:asciiTheme="majorEastAsia" w:hAnsiTheme="majorEastAsia" w:eastAsiaTheme="majorEastAsia" w:cstheme="majorEastAsia"/>
          <w:u w:val="single"/>
        </w:rPr>
        <w:t xml:space="preserve"> 1</w:t>
      </w:r>
      <w:r>
        <w:rPr>
          <w:rFonts w:hint="eastAsia" w:asciiTheme="majorEastAsia" w:hAnsiTheme="majorEastAsia" w:eastAsiaTheme="majorEastAsia" w:cstheme="majorEastAsia"/>
        </w:rPr>
        <w:t xml:space="preserve"> 人，共</w:t>
      </w:r>
      <w:r>
        <w:rPr>
          <w:rFonts w:hint="eastAsia" w:asciiTheme="majorEastAsia" w:hAnsiTheme="majorEastAsia" w:eastAsiaTheme="majorEastAsia" w:cstheme="majorEastAsia"/>
          <w:u w:val="single"/>
        </w:rPr>
        <w:t xml:space="preserve"> 5</w:t>
      </w:r>
      <w:r>
        <w:rPr>
          <w:rFonts w:hint="eastAsia" w:asciiTheme="majorEastAsia" w:hAnsiTheme="majorEastAsia" w:eastAsiaTheme="majorEastAsia" w:cstheme="majorEastAsia"/>
        </w:rPr>
        <w:t>人组成。</w:t>
      </w:r>
    </w:p>
    <w:p>
      <w:pPr>
        <w:widowControl/>
        <w:shd w:val="clear" w:color="auto" w:fill="FFFFFF"/>
        <w:spacing w:line="440" w:lineRule="exact"/>
        <w:ind w:firstLine="480" w:firstLineChars="200"/>
        <w:jc w:val="left"/>
        <w:rPr>
          <w:rFonts w:asciiTheme="majorEastAsia" w:hAnsiTheme="majorEastAsia" w:eastAsiaTheme="majorEastAsia" w:cstheme="majorEastAsia"/>
          <w:kern w:val="0"/>
        </w:rPr>
      </w:pPr>
      <w:r>
        <w:rPr>
          <w:rFonts w:hint="eastAsia" w:asciiTheme="majorEastAsia" w:hAnsiTheme="majorEastAsia" w:eastAsiaTheme="majorEastAsia" w:cstheme="majorEastAsia"/>
          <w:kern w:val="0"/>
        </w:rPr>
        <w:t>评标委员会负责具体评标事务，并独立履行下列职责：</w:t>
      </w:r>
    </w:p>
    <w:p>
      <w:pPr>
        <w:widowControl/>
        <w:shd w:val="clear" w:color="auto" w:fill="FFFFFF"/>
        <w:spacing w:line="440" w:lineRule="exact"/>
        <w:ind w:firstLine="480" w:firstLineChars="200"/>
        <w:jc w:val="left"/>
        <w:rPr>
          <w:rFonts w:asciiTheme="majorEastAsia" w:hAnsiTheme="majorEastAsia" w:eastAsiaTheme="majorEastAsia" w:cstheme="majorEastAsia"/>
          <w:kern w:val="0"/>
        </w:rPr>
      </w:pPr>
      <w:r>
        <w:rPr>
          <w:rFonts w:hint="eastAsia" w:asciiTheme="majorEastAsia" w:hAnsiTheme="majorEastAsia" w:eastAsiaTheme="majorEastAsia" w:cstheme="majorEastAsia"/>
          <w:kern w:val="0"/>
        </w:rPr>
        <w:t>1.审查、评价投标文件是否符合招标文件的商务、技术等实质性要求。</w:t>
      </w:r>
    </w:p>
    <w:p>
      <w:pPr>
        <w:widowControl/>
        <w:shd w:val="clear" w:color="auto" w:fill="FFFFFF"/>
        <w:spacing w:line="440" w:lineRule="exact"/>
        <w:ind w:firstLine="480" w:firstLineChars="200"/>
        <w:jc w:val="left"/>
        <w:rPr>
          <w:rFonts w:asciiTheme="majorEastAsia" w:hAnsiTheme="majorEastAsia" w:eastAsiaTheme="majorEastAsia" w:cstheme="majorEastAsia"/>
          <w:kern w:val="0"/>
        </w:rPr>
      </w:pPr>
      <w:r>
        <w:rPr>
          <w:rFonts w:hint="eastAsia" w:asciiTheme="majorEastAsia" w:hAnsiTheme="majorEastAsia" w:eastAsiaTheme="majorEastAsia" w:cstheme="majorEastAsia"/>
          <w:kern w:val="0"/>
        </w:rPr>
        <w:t>2.要求投标供应商对投标文件有关事项做出澄清或者说明。</w:t>
      </w:r>
    </w:p>
    <w:p>
      <w:pPr>
        <w:widowControl/>
        <w:shd w:val="clear" w:color="auto" w:fill="FFFFFF"/>
        <w:spacing w:line="440" w:lineRule="exact"/>
        <w:ind w:firstLine="480" w:firstLineChars="200"/>
        <w:jc w:val="left"/>
        <w:rPr>
          <w:rFonts w:asciiTheme="majorEastAsia" w:hAnsiTheme="majorEastAsia" w:eastAsiaTheme="majorEastAsia" w:cstheme="majorEastAsia"/>
          <w:kern w:val="0"/>
        </w:rPr>
      </w:pPr>
      <w:r>
        <w:rPr>
          <w:rFonts w:hint="eastAsia" w:asciiTheme="majorEastAsia" w:hAnsiTheme="majorEastAsia" w:eastAsiaTheme="majorEastAsia" w:cstheme="majorEastAsia"/>
          <w:kern w:val="0"/>
        </w:rPr>
        <w:t>3.对投标文件进行比较和评价。</w:t>
      </w:r>
    </w:p>
    <w:p>
      <w:pPr>
        <w:widowControl/>
        <w:shd w:val="clear" w:color="auto" w:fill="FFFFFF"/>
        <w:spacing w:line="440" w:lineRule="exact"/>
        <w:ind w:firstLine="480" w:firstLineChars="200"/>
        <w:jc w:val="left"/>
        <w:rPr>
          <w:rFonts w:asciiTheme="majorEastAsia" w:hAnsiTheme="majorEastAsia" w:eastAsiaTheme="majorEastAsia" w:cstheme="majorEastAsia"/>
          <w:kern w:val="0"/>
        </w:rPr>
      </w:pPr>
      <w:r>
        <w:rPr>
          <w:rFonts w:hint="eastAsia" w:asciiTheme="majorEastAsia" w:hAnsiTheme="majorEastAsia" w:eastAsiaTheme="majorEastAsia" w:cstheme="majorEastAsia"/>
          <w:kern w:val="0"/>
        </w:rPr>
        <w:t>4.确定中标供应商名单，以及根据采购人委托直接确定中标供应商。</w:t>
      </w:r>
    </w:p>
    <w:p>
      <w:pPr>
        <w:widowControl/>
        <w:shd w:val="clear" w:color="auto" w:fill="FFFFFF"/>
        <w:spacing w:line="440" w:lineRule="exact"/>
        <w:ind w:firstLine="480" w:firstLineChars="200"/>
        <w:jc w:val="left"/>
        <w:rPr>
          <w:rFonts w:asciiTheme="majorEastAsia" w:hAnsiTheme="majorEastAsia" w:eastAsiaTheme="majorEastAsia" w:cstheme="majorEastAsia"/>
          <w:kern w:val="0"/>
        </w:rPr>
      </w:pPr>
      <w:r>
        <w:rPr>
          <w:rFonts w:hint="eastAsia" w:asciiTheme="majorEastAsia" w:hAnsiTheme="majorEastAsia" w:eastAsiaTheme="majorEastAsia" w:cstheme="majorEastAsia"/>
          <w:kern w:val="0"/>
        </w:rPr>
        <w:t>5.向采购人、采购机构或者有关部门报告评标中发现的违法行为。</w:t>
      </w:r>
    </w:p>
    <w:p>
      <w:pPr>
        <w:widowControl/>
        <w:shd w:val="clear" w:color="auto" w:fill="FFFFFF"/>
        <w:spacing w:line="440" w:lineRule="exact"/>
        <w:ind w:firstLine="482" w:firstLineChars="200"/>
        <w:jc w:val="left"/>
        <w:rPr>
          <w:rFonts w:asciiTheme="majorEastAsia" w:hAnsiTheme="majorEastAsia" w:eastAsiaTheme="majorEastAsia" w:cstheme="majorEastAsia"/>
          <w:b/>
          <w:kern w:val="0"/>
        </w:rPr>
      </w:pPr>
      <w:r>
        <w:rPr>
          <w:rFonts w:hint="eastAsia" w:asciiTheme="majorEastAsia" w:hAnsiTheme="majorEastAsia" w:eastAsiaTheme="majorEastAsia" w:cstheme="majorEastAsia"/>
          <w:b/>
          <w:kern w:val="0"/>
        </w:rPr>
        <w:t>除采购人代表、评标现场组织人员外，采购人的其他工作人员以及与评标工作无关的人员不得进入评标现场。</w:t>
      </w:r>
    </w:p>
    <w:p>
      <w:pPr>
        <w:widowControl/>
        <w:shd w:val="clear" w:color="auto" w:fill="FFFFFF"/>
        <w:spacing w:line="440" w:lineRule="exact"/>
        <w:ind w:firstLine="482"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b/>
          <w:kern w:val="0"/>
          <w:u w:val="single"/>
        </w:rPr>
        <w:t>注：如评审时间为疫情期间，参加评审工作会议的所有人员须向工作人员出示健康码，并填写《评标人员健康信息登记表》。</w:t>
      </w:r>
    </w:p>
    <w:p>
      <w:pPr>
        <w:pStyle w:val="32"/>
        <w:snapToGrid w:val="0"/>
        <w:spacing w:before="120" w:after="120" w:line="440" w:lineRule="exact"/>
        <w:ind w:left="788" w:leftChars="228" w:hanging="241" w:hangingChars="100"/>
        <w:rPr>
          <w:rFonts w:asciiTheme="majorEastAsia" w:hAnsiTheme="majorEastAsia" w:eastAsiaTheme="majorEastAsia" w:cstheme="majorEastAsia"/>
          <w:b/>
        </w:rPr>
      </w:pPr>
      <w:r>
        <w:rPr>
          <w:rFonts w:hint="eastAsia" w:asciiTheme="majorEastAsia" w:hAnsiTheme="majorEastAsia" w:eastAsiaTheme="majorEastAsia" w:cstheme="majorEastAsia"/>
          <w:b/>
        </w:rPr>
        <w:t>（二）评标的方式</w:t>
      </w:r>
    </w:p>
    <w:p>
      <w:pPr>
        <w:pStyle w:val="32"/>
        <w:snapToGrid w:val="0"/>
        <w:spacing w:before="120" w:after="120" w:line="440" w:lineRule="exact"/>
        <w:ind w:left="787" w:leftChars="228" w:hanging="240" w:hangingChars="100"/>
        <w:rPr>
          <w:rFonts w:asciiTheme="majorEastAsia" w:hAnsiTheme="majorEastAsia" w:eastAsiaTheme="majorEastAsia" w:cstheme="majorEastAsia"/>
        </w:rPr>
      </w:pPr>
      <w:r>
        <w:rPr>
          <w:rFonts w:hint="eastAsia" w:asciiTheme="majorEastAsia" w:hAnsiTheme="majorEastAsia" w:eastAsiaTheme="majorEastAsia" w:cstheme="majorEastAsia"/>
        </w:rPr>
        <w:t>本项目采用不公开方式评标，评标的依据为招标文件和投标文件。</w:t>
      </w:r>
    </w:p>
    <w:p>
      <w:pPr>
        <w:pStyle w:val="32"/>
        <w:snapToGrid w:val="0"/>
        <w:spacing w:before="120" w:after="120" w:line="440" w:lineRule="exact"/>
        <w:ind w:left="788" w:leftChars="228" w:hanging="241" w:hangingChars="100"/>
        <w:rPr>
          <w:rFonts w:asciiTheme="majorEastAsia" w:hAnsiTheme="majorEastAsia" w:eastAsiaTheme="majorEastAsia" w:cstheme="majorEastAsia"/>
          <w:b/>
          <w:bCs/>
        </w:rPr>
      </w:pPr>
      <w:r>
        <w:rPr>
          <w:rFonts w:hint="eastAsia" w:asciiTheme="majorEastAsia" w:hAnsiTheme="majorEastAsia" w:eastAsiaTheme="majorEastAsia" w:cstheme="majorEastAsia"/>
          <w:b/>
        </w:rPr>
        <w:t>（三）</w:t>
      </w:r>
      <w:r>
        <w:rPr>
          <w:rFonts w:hint="eastAsia" w:asciiTheme="majorEastAsia" w:hAnsiTheme="majorEastAsia" w:eastAsiaTheme="majorEastAsia" w:cstheme="majorEastAsia"/>
          <w:b/>
          <w:bCs/>
        </w:rPr>
        <w:t>评标程序</w:t>
      </w:r>
    </w:p>
    <w:p>
      <w:pPr>
        <w:pStyle w:val="32"/>
        <w:snapToGrid w:val="0"/>
        <w:spacing w:before="120" w:after="120" w:line="440" w:lineRule="exact"/>
        <w:ind w:firstLine="480" w:firstLineChars="200"/>
        <w:rPr>
          <w:rFonts w:asciiTheme="majorEastAsia" w:hAnsiTheme="majorEastAsia" w:eastAsiaTheme="majorEastAsia" w:cstheme="majorEastAsia"/>
          <w:bCs/>
        </w:rPr>
      </w:pPr>
      <w:r>
        <w:rPr>
          <w:rFonts w:hint="eastAsia" w:asciiTheme="majorEastAsia" w:hAnsiTheme="majorEastAsia" w:eastAsiaTheme="majorEastAsia" w:cstheme="majorEastAsia"/>
          <w:bCs/>
        </w:rPr>
        <w:t>采购人可以在评标前说明项目背景和采购需求，说明内容不得含有歧视性、倾向性意见，不得超出招标文件所述范围。说明应当提交书面材料，并随采购文件一并存档。</w:t>
      </w:r>
    </w:p>
    <w:p>
      <w:pPr>
        <w:snapToGrid w:val="0"/>
        <w:spacing w:line="440" w:lineRule="exact"/>
        <w:ind w:firstLine="472" w:firstLineChars="196"/>
        <w:rPr>
          <w:rFonts w:asciiTheme="majorEastAsia" w:hAnsiTheme="majorEastAsia" w:eastAsiaTheme="majorEastAsia" w:cstheme="majorEastAsia"/>
          <w:b/>
          <w:bCs/>
        </w:rPr>
      </w:pPr>
      <w:r>
        <w:rPr>
          <w:rFonts w:hint="eastAsia" w:asciiTheme="majorEastAsia" w:hAnsiTheme="majorEastAsia" w:eastAsiaTheme="majorEastAsia" w:cstheme="majorEastAsia"/>
          <w:b/>
          <w:bCs/>
        </w:rPr>
        <w:t>1.形式审查</w:t>
      </w:r>
    </w:p>
    <w:p>
      <w:pPr>
        <w:snapToGrid w:val="0"/>
        <w:spacing w:line="440" w:lineRule="exact"/>
        <w:ind w:firstLine="480" w:firstLineChars="200"/>
        <w:rPr>
          <w:rFonts w:asciiTheme="majorEastAsia" w:hAnsiTheme="majorEastAsia" w:eastAsiaTheme="majorEastAsia" w:cstheme="majorEastAsia"/>
          <w:bCs/>
        </w:rPr>
      </w:pPr>
      <w:r>
        <w:rPr>
          <w:rFonts w:hint="eastAsia" w:asciiTheme="majorEastAsia" w:hAnsiTheme="majorEastAsia" w:eastAsiaTheme="majorEastAsia" w:cstheme="majorEastAsia"/>
          <w:bCs/>
        </w:rPr>
        <w:t>1.1形式审查包括资格审查（除符合性审查以外的关于投标供应商资格条件等内容）和符合性审查，即对投标供应商的资格和投标文件的完整性、合法性等进行审查。投标文件形式审查未通过的投标供应商，其投标文件将不再评审。合格投标供应商不足3家的，不再评标。</w:t>
      </w:r>
    </w:p>
    <w:p>
      <w:pPr>
        <w:snapToGrid w:val="0"/>
        <w:spacing w:line="440" w:lineRule="exact"/>
        <w:ind w:firstLine="480" w:firstLineChars="200"/>
        <w:rPr>
          <w:rFonts w:asciiTheme="majorEastAsia" w:hAnsiTheme="majorEastAsia" w:eastAsiaTheme="majorEastAsia" w:cstheme="majorEastAsia"/>
          <w:bCs/>
        </w:rPr>
      </w:pPr>
      <w:r>
        <w:rPr>
          <w:rFonts w:hint="eastAsia" w:asciiTheme="majorEastAsia" w:hAnsiTheme="majorEastAsia" w:eastAsiaTheme="majorEastAsia" w:cstheme="majorEastAsia"/>
          <w:bCs/>
        </w:rPr>
        <w:t>1.2信用信息查询</w:t>
      </w:r>
    </w:p>
    <w:p>
      <w:pPr>
        <w:snapToGrid w:val="0"/>
        <w:spacing w:line="440" w:lineRule="exact"/>
        <w:ind w:firstLine="480" w:firstLineChars="200"/>
        <w:rPr>
          <w:rFonts w:asciiTheme="majorEastAsia" w:hAnsiTheme="majorEastAsia" w:eastAsiaTheme="majorEastAsia" w:cstheme="majorEastAsia"/>
          <w:bCs/>
        </w:rPr>
      </w:pPr>
      <w:r>
        <w:rPr>
          <w:rFonts w:hint="eastAsia" w:asciiTheme="majorEastAsia" w:hAnsiTheme="majorEastAsia" w:eastAsiaTheme="majorEastAsia" w:cstheme="majorEastAsia"/>
          <w:bCs/>
        </w:rPr>
        <w:t>1.2.1信用信息查询渠道及截止时间：采购人将通过“信用中国”网站(www.creditchina.gov.cn)、中国政府采购网(www.ccgp.gov.cn)渠道查询投标供应商投标截止时间当天的信用记录。</w:t>
      </w:r>
    </w:p>
    <w:p>
      <w:pPr>
        <w:snapToGrid w:val="0"/>
        <w:spacing w:line="440" w:lineRule="exact"/>
        <w:ind w:firstLine="480" w:firstLineChars="200"/>
        <w:rPr>
          <w:rFonts w:asciiTheme="majorEastAsia" w:hAnsiTheme="majorEastAsia" w:eastAsiaTheme="majorEastAsia" w:cstheme="majorEastAsia"/>
          <w:bCs/>
        </w:rPr>
      </w:pPr>
      <w:r>
        <w:rPr>
          <w:rFonts w:hint="eastAsia" w:asciiTheme="majorEastAsia" w:hAnsiTheme="majorEastAsia" w:eastAsiaTheme="majorEastAsia" w:cstheme="majorEastAsia"/>
          <w:bCs/>
        </w:rPr>
        <w:t>1.2.2信用信息查询记录和证据留存的具体方式：现场查询的投标供应商的信用记录、查询结果经确认后将与采购文件一起存档。</w:t>
      </w:r>
    </w:p>
    <w:p>
      <w:pPr>
        <w:snapToGrid w:val="0"/>
        <w:spacing w:line="440" w:lineRule="exact"/>
        <w:ind w:firstLine="480" w:firstLineChars="200"/>
        <w:rPr>
          <w:rFonts w:asciiTheme="majorEastAsia" w:hAnsiTheme="majorEastAsia" w:eastAsiaTheme="majorEastAsia" w:cstheme="majorEastAsia"/>
          <w:bCs/>
        </w:rPr>
      </w:pPr>
      <w:r>
        <w:rPr>
          <w:rFonts w:hint="eastAsia" w:asciiTheme="majorEastAsia" w:hAnsiTheme="majorEastAsia" w:eastAsiaTheme="majorEastAsia" w:cstheme="majorEastAsia"/>
          <w:bCs/>
        </w:rPr>
        <w:t>1.2.3信用信息的使用规则：经查询列入失信被执行人名单、重大税收违法案件当事人名单、政府采购严重违法失信行为记录名单的投标供应商将被拒绝参与政府采购活动。</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bCs/>
        </w:rPr>
        <w:t>1.2.4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snapToGrid w:val="0"/>
        <w:spacing w:line="440" w:lineRule="exact"/>
        <w:ind w:firstLine="472" w:firstLineChars="196"/>
        <w:rPr>
          <w:rFonts w:asciiTheme="majorEastAsia" w:hAnsiTheme="majorEastAsia" w:eastAsiaTheme="majorEastAsia" w:cstheme="majorEastAsia"/>
          <w:b/>
          <w:bCs/>
        </w:rPr>
      </w:pPr>
      <w:r>
        <w:rPr>
          <w:rFonts w:hint="eastAsia" w:asciiTheme="majorEastAsia" w:hAnsiTheme="majorEastAsia" w:eastAsiaTheme="majorEastAsia" w:cstheme="majorEastAsia"/>
          <w:b/>
          <w:bCs/>
        </w:rPr>
        <w:t>2.实质审查</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2.1评标委员会审查投标文件的实质性内容是否符合招标文件的实质性要求。</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2.2评标委员会将根据投标供应商的投标文件进行审查、核对，如有疑问，将对投标供应商进行询标，投标供应商要向评标委员会澄清有关问题，并最终以书面形式进行答复。</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询标时，投标供应商代表未到场或者拒绝澄清或者澄清的内容改变了投标文件的实质性内容的，评标委员会有权对该投标文件做出不利于投标供应商的评判。</w:t>
      </w:r>
    </w:p>
    <w:p>
      <w:pPr>
        <w:snapToGrid w:val="0"/>
        <w:spacing w:line="440" w:lineRule="exact"/>
        <w:ind w:firstLine="480" w:firstLineChars="200"/>
        <w:rPr>
          <w:rFonts w:asciiTheme="majorEastAsia" w:hAnsiTheme="majorEastAsia" w:eastAsiaTheme="majorEastAsia" w:cstheme="majorEastAsia"/>
          <w:strike/>
        </w:rPr>
      </w:pPr>
      <w:r>
        <w:rPr>
          <w:rFonts w:hint="eastAsia" w:asciiTheme="majorEastAsia" w:hAnsiTheme="majorEastAsia" w:eastAsiaTheme="majorEastAsia" w:cstheme="majorEastAsia"/>
          <w:kern w:val="0"/>
        </w:rPr>
        <w:t>2.3</w:t>
      </w:r>
      <w:r>
        <w:rPr>
          <w:rFonts w:hint="eastAsia" w:asciiTheme="majorEastAsia" w:hAnsiTheme="majorEastAsia" w:eastAsiaTheme="majorEastAsia" w:cstheme="majorEastAsia"/>
        </w:rPr>
        <w:t>评标委员会各成员应当独立对每个投标供应商的商务和技术文件进行评价，并汇总商务技术得分情况。</w:t>
      </w:r>
    </w:p>
    <w:p>
      <w:pPr>
        <w:snapToGrid w:val="0"/>
        <w:spacing w:line="440" w:lineRule="exact"/>
        <w:ind w:firstLine="482" w:firstLineChars="200"/>
        <w:rPr>
          <w:rFonts w:asciiTheme="majorEastAsia" w:hAnsiTheme="majorEastAsia" w:eastAsiaTheme="majorEastAsia" w:cstheme="majorEastAsia"/>
          <w:b/>
        </w:rPr>
      </w:pPr>
      <w:r>
        <w:rPr>
          <w:rFonts w:hint="eastAsia" w:asciiTheme="majorEastAsia" w:hAnsiTheme="majorEastAsia" w:eastAsiaTheme="majorEastAsia" w:cstheme="majorEastAsia"/>
          <w:b/>
        </w:rPr>
        <w:t>3.报价审查</w:t>
      </w:r>
    </w:p>
    <w:p>
      <w:pPr>
        <w:pStyle w:val="32"/>
        <w:snapToGrid w:val="0"/>
        <w:spacing w:before="120" w:after="120"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3.1投标文件报价如果出现计算或表达上的错误，修正错误的原则如下：</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3.1.1开标一览表总价与投标报价明细表汇总数不一致的，</w:t>
      </w:r>
      <w:r>
        <w:rPr>
          <w:rFonts w:hint="eastAsia" w:asciiTheme="majorEastAsia" w:hAnsiTheme="majorEastAsia" w:eastAsiaTheme="majorEastAsia" w:cstheme="majorEastAsia"/>
          <w:kern w:val="0"/>
        </w:rPr>
        <w:t>以开标一览表为准。</w:t>
      </w:r>
    </w:p>
    <w:p>
      <w:pPr>
        <w:pStyle w:val="32"/>
        <w:snapToGrid w:val="0"/>
        <w:spacing w:beforeLines="0" w:afterLines="0"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3.1.2投标文件的大写金额和小写金额不一致的，以大写金额为准。</w:t>
      </w:r>
    </w:p>
    <w:p>
      <w:pPr>
        <w:pStyle w:val="118"/>
        <w:spacing w:before="0" w:line="440" w:lineRule="exact"/>
        <w:ind w:firstLine="480"/>
        <w:rPr>
          <w:rFonts w:asciiTheme="majorEastAsia" w:hAnsiTheme="majorEastAsia" w:eastAsiaTheme="majorEastAsia" w:cstheme="majorEastAsia"/>
        </w:rPr>
      </w:pPr>
      <w:r>
        <w:rPr>
          <w:rFonts w:hint="eastAsia" w:asciiTheme="majorEastAsia" w:hAnsiTheme="majorEastAsia" w:eastAsiaTheme="majorEastAsia" w:cstheme="majorEastAsia"/>
          <w:szCs w:val="24"/>
        </w:rPr>
        <w:t>3.1.3总</w:t>
      </w:r>
      <w:r>
        <w:rPr>
          <w:rFonts w:hint="eastAsia" w:asciiTheme="majorEastAsia" w:hAnsiTheme="majorEastAsia" w:eastAsiaTheme="majorEastAsia" w:cstheme="majorEastAsia"/>
        </w:rPr>
        <w:t>价金额与按单价汇总金额不一致的，以单价金额计算结果为准。</w:t>
      </w:r>
    </w:p>
    <w:p>
      <w:pPr>
        <w:pStyle w:val="32"/>
        <w:snapToGrid w:val="0"/>
        <w:spacing w:beforeLines="0" w:afterLines="0"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3.1.4对不同文字文本投标文件的解释发生异议的，以中文文本为准。</w:t>
      </w:r>
    </w:p>
    <w:p>
      <w:pPr>
        <w:pStyle w:val="32"/>
        <w:snapToGrid w:val="0"/>
        <w:spacing w:beforeLines="0" w:afterLines="0" w:line="440" w:lineRule="exact"/>
        <w:ind w:firstLine="482" w:firstLineChars="200"/>
        <w:rPr>
          <w:rFonts w:asciiTheme="majorEastAsia" w:hAnsiTheme="majorEastAsia" w:eastAsiaTheme="majorEastAsia" w:cstheme="majorEastAsia"/>
          <w:b/>
          <w:bCs/>
        </w:rPr>
      </w:pPr>
      <w:r>
        <w:rPr>
          <w:rFonts w:hint="eastAsia" w:asciiTheme="majorEastAsia" w:hAnsiTheme="majorEastAsia" w:eastAsiaTheme="majorEastAsia" w:cstheme="majorEastAsia"/>
          <w:b/>
          <w:bCs/>
        </w:rPr>
        <w:t>按上述修正错误的原则及方法调整或修正投标文件的投标报价，投标供应商同意并签字确认后，调整后的投标报价对投标供应商具有约束作用。如果投标供应商不接受修正后的报价，则其投标将作为无效投标处理。</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3.2评标委员会根据合格供应商报价得出得分汇总。</w:t>
      </w:r>
    </w:p>
    <w:p>
      <w:pPr>
        <w:snapToGrid w:val="0"/>
        <w:spacing w:line="440" w:lineRule="exact"/>
        <w:ind w:firstLine="482" w:firstLineChars="200"/>
        <w:rPr>
          <w:rFonts w:asciiTheme="majorEastAsia" w:hAnsiTheme="majorEastAsia" w:eastAsiaTheme="majorEastAsia" w:cstheme="majorEastAsia"/>
          <w:b/>
        </w:rPr>
      </w:pPr>
      <w:r>
        <w:rPr>
          <w:rFonts w:hint="eastAsia" w:asciiTheme="majorEastAsia" w:hAnsiTheme="majorEastAsia" w:eastAsiaTheme="majorEastAsia" w:cstheme="majorEastAsia"/>
          <w:b/>
        </w:rPr>
        <w:t>4.比较和推荐</w:t>
      </w:r>
    </w:p>
    <w:p>
      <w:pPr>
        <w:snapToGrid w:val="0"/>
        <w:spacing w:line="440" w:lineRule="exact"/>
        <w:ind w:firstLine="480" w:firstLineChars="200"/>
        <w:rPr>
          <w:rFonts w:asciiTheme="majorEastAsia" w:hAnsiTheme="majorEastAsia" w:eastAsiaTheme="majorEastAsia" w:cstheme="majorEastAsia"/>
          <w:kern w:val="0"/>
        </w:rPr>
      </w:pPr>
      <w:r>
        <w:rPr>
          <w:rFonts w:hint="eastAsia" w:asciiTheme="majorEastAsia" w:hAnsiTheme="majorEastAsia" w:eastAsiaTheme="majorEastAsia" w:cstheme="majorEastAsia"/>
        </w:rPr>
        <w:t>评标委员会按评标原则推荐中标供应商同时起草评标报告。</w:t>
      </w:r>
    </w:p>
    <w:p>
      <w:pPr>
        <w:snapToGrid w:val="0"/>
        <w:spacing w:line="440" w:lineRule="exact"/>
        <w:ind w:firstLine="482" w:firstLineChars="200"/>
        <w:rPr>
          <w:rFonts w:asciiTheme="majorEastAsia" w:hAnsiTheme="majorEastAsia" w:eastAsiaTheme="majorEastAsia" w:cstheme="majorEastAsia"/>
          <w:b/>
        </w:rPr>
      </w:pPr>
      <w:r>
        <w:rPr>
          <w:rFonts w:hint="eastAsia" w:asciiTheme="majorEastAsia" w:hAnsiTheme="majorEastAsia" w:eastAsiaTheme="majorEastAsia" w:cstheme="majorEastAsia"/>
          <w:b/>
        </w:rPr>
        <w:t>（四）澄清问题的形式</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对投标文件中含义不明确、同类问题表述不一致或者有明显文字和计算错误的内容，评标委员会可要求供应商作出必要的澄清、说明或者纠正。</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1.评标委员会可以在“政采云”平台在线询标或其他有效形式要求供应商对同一份投标文件含义不明确或同类问题表述不一致的内容（招标文件其他地方有规定处理方法的除外）作必要的澄清或说明。供应商应采用在线回复或其他有效形式在询标规定时间内进行澄清或说明，但不得超出投标文件的范围或改变投标文件的实质性内容。凡属于评标委员会在评标中发现的计算错误并进行核实的修改不在此列。</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2.如果供应商代表拒绝或未按评标委员会要求在“政采云”平台作出在线回复且无其他有效回复方式的，评标委员会可以对其作出无效标处理。</w:t>
      </w:r>
    </w:p>
    <w:p>
      <w:pPr>
        <w:pStyle w:val="32"/>
        <w:tabs>
          <w:tab w:val="left" w:pos="630"/>
        </w:tabs>
        <w:snapToGrid w:val="0"/>
        <w:spacing w:before="120" w:after="120" w:line="440" w:lineRule="exact"/>
        <w:ind w:firstLine="472" w:firstLineChars="196"/>
        <w:rPr>
          <w:rFonts w:asciiTheme="majorEastAsia" w:hAnsiTheme="majorEastAsia" w:eastAsiaTheme="majorEastAsia" w:cstheme="majorEastAsia"/>
          <w:b/>
        </w:rPr>
      </w:pPr>
      <w:r>
        <w:rPr>
          <w:rFonts w:hint="eastAsia" w:asciiTheme="majorEastAsia" w:hAnsiTheme="majorEastAsia" w:eastAsiaTheme="majorEastAsia" w:cstheme="majorEastAsia"/>
          <w:b/>
        </w:rPr>
        <w:t>（五）评标原则和评标办法</w:t>
      </w:r>
    </w:p>
    <w:p>
      <w:pPr>
        <w:pStyle w:val="32"/>
        <w:snapToGrid w:val="0"/>
        <w:spacing w:before="120" w:after="120"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1.评标原则。评标委员会必须公平、公正、客观，不带任何倾向性和启发性；不得向外界透露任何与评标有关的内容；任何单位和个人不得干扰、影响评标的正常进行；评标委员会及有关工作人员不得私下与投标供应商接触。</w:t>
      </w:r>
    </w:p>
    <w:p>
      <w:pPr>
        <w:pStyle w:val="32"/>
        <w:snapToGrid w:val="0"/>
        <w:spacing w:before="120" w:after="120"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2.评标办法。本项目评标办法是 综合评标法，具体评标内容及评分标准等详见《第四章：评标办法及评分标准》。</w:t>
      </w:r>
    </w:p>
    <w:p>
      <w:pPr>
        <w:pStyle w:val="32"/>
        <w:snapToGrid w:val="0"/>
        <w:spacing w:before="120" w:after="120" w:line="440" w:lineRule="exact"/>
        <w:ind w:firstLine="472" w:firstLineChars="196"/>
        <w:rPr>
          <w:rFonts w:asciiTheme="majorEastAsia" w:hAnsiTheme="majorEastAsia" w:eastAsiaTheme="majorEastAsia" w:cstheme="majorEastAsia"/>
          <w:b/>
        </w:rPr>
      </w:pPr>
      <w:r>
        <w:rPr>
          <w:rFonts w:hint="eastAsia" w:asciiTheme="majorEastAsia" w:hAnsiTheme="majorEastAsia" w:eastAsiaTheme="majorEastAsia" w:cstheme="majorEastAsia"/>
          <w:b/>
        </w:rPr>
        <w:t>（六）评标过程的监控</w:t>
      </w:r>
    </w:p>
    <w:p>
      <w:pPr>
        <w:pStyle w:val="32"/>
        <w:snapToGrid w:val="0"/>
        <w:spacing w:before="120" w:after="120"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本项目评标过程实行全程录音、录像监控。投标供应商在评标过程中所进行的试图影响评标结果的不公正活动，可能导致其投标被拒绝。</w:t>
      </w:r>
    </w:p>
    <w:p>
      <w:pPr>
        <w:pStyle w:val="32"/>
        <w:snapToGrid w:val="0"/>
        <w:spacing w:before="120" w:after="120" w:line="440" w:lineRule="exact"/>
        <w:ind w:firstLine="472" w:firstLineChars="196"/>
        <w:jc w:val="center"/>
        <w:outlineLvl w:val="1"/>
        <w:rPr>
          <w:rFonts w:asciiTheme="majorEastAsia" w:hAnsiTheme="majorEastAsia" w:eastAsiaTheme="majorEastAsia" w:cstheme="majorEastAsia"/>
          <w:b/>
        </w:rPr>
      </w:pPr>
      <w:r>
        <w:rPr>
          <w:rFonts w:hint="eastAsia" w:asciiTheme="majorEastAsia" w:hAnsiTheme="majorEastAsia" w:eastAsiaTheme="majorEastAsia" w:cstheme="majorEastAsia"/>
          <w:b/>
        </w:rPr>
        <w:t>六、定标</w:t>
      </w:r>
    </w:p>
    <w:p>
      <w:pPr>
        <w:pStyle w:val="32"/>
        <w:snapToGrid w:val="0"/>
        <w:spacing w:before="120" w:after="120" w:line="440" w:lineRule="exact"/>
        <w:ind w:firstLine="472" w:firstLineChars="196"/>
        <w:rPr>
          <w:rFonts w:asciiTheme="majorEastAsia" w:hAnsiTheme="majorEastAsia" w:eastAsiaTheme="majorEastAsia" w:cstheme="majorEastAsia"/>
          <w:b/>
          <w:bCs/>
        </w:rPr>
      </w:pPr>
      <w:r>
        <w:rPr>
          <w:rFonts w:hint="eastAsia" w:asciiTheme="majorEastAsia" w:hAnsiTheme="majorEastAsia" w:eastAsiaTheme="majorEastAsia" w:cstheme="majorEastAsia"/>
          <w:b/>
          <w:bCs/>
        </w:rPr>
        <w:t>（一）确定中标供应商。</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1.</w:t>
      </w:r>
      <w:r>
        <w:rPr>
          <w:rFonts w:hint="eastAsia" w:asciiTheme="majorEastAsia" w:hAnsiTheme="majorEastAsia" w:eastAsiaTheme="majorEastAsia" w:cstheme="majorEastAsia"/>
          <w:lang w:eastAsia="zh-CN"/>
        </w:rPr>
        <w:t>浙江圣加工程管理咨询有限公司</w:t>
      </w:r>
      <w:r>
        <w:rPr>
          <w:rFonts w:hint="eastAsia" w:asciiTheme="majorEastAsia" w:hAnsiTheme="majorEastAsia" w:eastAsiaTheme="majorEastAsia" w:cstheme="majorEastAsia"/>
        </w:rPr>
        <w:t>在评标结束后2个工作日内将评标报告交采购人确认，同时在发布招标公告的网站上对评标结果进行公告。</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2.投标供应商对评标结果无异议的，采购人应在收到评标报告后5个工作日内对评标结果进行确认。如有投标供应商对评标结果提出质疑的，采购人可在质疑处理完毕后确定中标供应商。</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3. 在公告中标结果的同时，采购机构在政采云系统向中标供应商发出中标通知书。</w:t>
      </w:r>
    </w:p>
    <w:p>
      <w:pPr>
        <w:pStyle w:val="32"/>
        <w:snapToGrid w:val="0"/>
        <w:spacing w:before="120" w:after="120" w:line="440" w:lineRule="exact"/>
        <w:ind w:firstLine="472" w:firstLineChars="196"/>
        <w:jc w:val="center"/>
        <w:outlineLvl w:val="1"/>
        <w:rPr>
          <w:rFonts w:asciiTheme="majorEastAsia" w:hAnsiTheme="majorEastAsia" w:eastAsiaTheme="majorEastAsia" w:cstheme="majorEastAsia"/>
          <w:b/>
        </w:rPr>
      </w:pPr>
      <w:r>
        <w:rPr>
          <w:rFonts w:hint="eastAsia" w:asciiTheme="majorEastAsia" w:hAnsiTheme="majorEastAsia" w:eastAsiaTheme="majorEastAsia" w:cstheme="majorEastAsia"/>
          <w:b/>
        </w:rPr>
        <w:t>七、合同授予</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1.采购人与中标供应商应当在《中标通知书》发出之日起30日内签订政府采购合同。</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２.中标供应商拖延、拒签合同的，将被取消中标资格，并报监督管理部门依法处理。</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3.采购人须在本项目政府采购合同签订之日起2个工作日内将合同发布于浙江政府采购网，但政府采购合同中涉及国家秘密、商业秘密的内容除外。</w:t>
      </w:r>
    </w:p>
    <w:p>
      <w:pPr>
        <w:pStyle w:val="32"/>
        <w:snapToGrid w:val="0"/>
        <w:spacing w:before="120" w:after="120" w:line="440" w:lineRule="exact"/>
        <w:ind w:firstLine="472" w:firstLineChars="196"/>
        <w:jc w:val="center"/>
        <w:outlineLvl w:val="1"/>
        <w:rPr>
          <w:rFonts w:asciiTheme="majorEastAsia" w:hAnsiTheme="majorEastAsia" w:eastAsiaTheme="majorEastAsia" w:cstheme="majorEastAsia"/>
          <w:b/>
        </w:rPr>
      </w:pPr>
      <w:r>
        <w:rPr>
          <w:rFonts w:hint="eastAsia" w:asciiTheme="majorEastAsia" w:hAnsiTheme="majorEastAsia" w:eastAsiaTheme="majorEastAsia" w:cstheme="majorEastAsia"/>
          <w:b/>
        </w:rPr>
        <w:t>八、验收</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2.采购人可以邀请参加本项目的其他投标供应商或者第三方机构参与验收。参与验收的投标供应商或者第三方机构的意见作为验收书的参考资料一并存档。</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snapToGrid w:val="0"/>
        <w:spacing w:line="440" w:lineRule="exact"/>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w:t>
      </w:r>
      <w:bookmarkStart w:id="77" w:name="_Hlt75236101"/>
      <w:bookmarkEnd w:id="77"/>
      <w:bookmarkStart w:id="78" w:name="_Hlt75236011"/>
      <w:bookmarkEnd w:id="78"/>
      <w:bookmarkStart w:id="79" w:name="_Hlt68072990"/>
      <w:bookmarkEnd w:id="79"/>
      <w:bookmarkStart w:id="80" w:name="_Hlt74729768"/>
      <w:bookmarkEnd w:id="80"/>
      <w:bookmarkStart w:id="81" w:name="_Hlt74707468"/>
      <w:bookmarkEnd w:id="81"/>
      <w:bookmarkStart w:id="82" w:name="_Hlt68057669"/>
      <w:bookmarkEnd w:id="82"/>
      <w:bookmarkStart w:id="83" w:name="_Hlt74730295"/>
      <w:bookmarkEnd w:id="83"/>
      <w:bookmarkStart w:id="84" w:name="_Hlt68072998"/>
      <w:bookmarkEnd w:id="84"/>
      <w:bookmarkStart w:id="85" w:name="_Hlt68403820"/>
      <w:bookmarkEnd w:id="85"/>
      <w:bookmarkStart w:id="86" w:name="_Hlt75236290"/>
      <w:bookmarkEnd w:id="86"/>
      <w:bookmarkStart w:id="87" w:name="_Hlt68073093"/>
      <w:bookmarkEnd w:id="87"/>
      <w:bookmarkStart w:id="88" w:name="_Hlt74714665"/>
      <w:bookmarkEnd w:id="88"/>
      <w:r>
        <w:rPr>
          <w:rFonts w:hint="eastAsia" w:asciiTheme="majorEastAsia" w:hAnsiTheme="majorEastAsia" w:eastAsiaTheme="majorEastAsia" w:cstheme="majorEastAsia"/>
        </w:rPr>
        <w:t>部门。</w:t>
      </w:r>
    </w:p>
    <w:p>
      <w:pPr>
        <w:pStyle w:val="9"/>
      </w:pPr>
    </w:p>
    <w:p>
      <w:pPr>
        <w:spacing w:line="360" w:lineRule="auto"/>
        <w:jc w:val="center"/>
      </w:pPr>
      <w:r>
        <w:rPr>
          <w:rFonts w:hint="eastAsia" w:ascii="微软雅黑" w:hAnsi="微软雅黑" w:eastAsia="微软雅黑"/>
          <w:b/>
          <w:kern w:val="1"/>
          <w:szCs w:val="21"/>
        </w:rPr>
        <w:t>九</w:t>
      </w:r>
      <w:r>
        <w:rPr>
          <w:rFonts w:ascii="微软雅黑" w:hAnsi="微软雅黑" w:eastAsia="微软雅黑"/>
          <w:b/>
          <w:kern w:val="1"/>
          <w:szCs w:val="21"/>
        </w:rPr>
        <w:t>、代理费</w:t>
      </w:r>
    </w:p>
    <w:p>
      <w:pPr>
        <w:snapToGrid w:val="0"/>
        <w:spacing w:line="360" w:lineRule="auto"/>
        <w:ind w:firstLine="420"/>
        <w:rPr>
          <w:rFonts w:asciiTheme="majorEastAsia" w:hAnsiTheme="majorEastAsia" w:eastAsiaTheme="majorEastAsia" w:cstheme="majorEastAsia"/>
        </w:rPr>
      </w:pPr>
      <w:r>
        <w:rPr>
          <w:rFonts w:asciiTheme="majorEastAsia" w:hAnsiTheme="majorEastAsia" w:eastAsiaTheme="majorEastAsia" w:cstheme="majorEastAsia"/>
        </w:rPr>
        <w:t>1</w:t>
      </w:r>
      <w:r>
        <w:rPr>
          <w:rFonts w:hint="eastAsia" w:asciiTheme="majorEastAsia" w:hAnsiTheme="majorEastAsia" w:eastAsiaTheme="majorEastAsia" w:cstheme="majorEastAsia"/>
        </w:rPr>
        <w:t>．</w:t>
      </w:r>
      <w:r>
        <w:rPr>
          <w:rFonts w:asciiTheme="majorEastAsia" w:hAnsiTheme="majorEastAsia" w:eastAsiaTheme="majorEastAsia" w:cstheme="majorEastAsia"/>
        </w:rPr>
        <w:t>根据“国家发展和改革委员会办公厅《关于招标代理服务收费有关问题的通知》（发改办价格【2003】857号）”规定，代理机构向中标人收取代理服务费。</w:t>
      </w:r>
      <w:r>
        <w:rPr>
          <w:rFonts w:asciiTheme="majorEastAsia" w:hAnsiTheme="majorEastAsia" w:eastAsiaTheme="majorEastAsia" w:cstheme="majorEastAsia"/>
        </w:rPr>
        <w:br w:type="textWrapping"/>
      </w:r>
      <w:r>
        <w:rPr>
          <w:rFonts w:asciiTheme="majorEastAsia" w:hAnsiTheme="majorEastAsia" w:eastAsiaTheme="majorEastAsia" w:cstheme="majorEastAsia"/>
        </w:rPr>
        <w:t xml:space="preserve">   2</w:t>
      </w:r>
      <w:r>
        <w:rPr>
          <w:rFonts w:hint="eastAsia" w:asciiTheme="majorEastAsia" w:hAnsiTheme="majorEastAsia" w:eastAsiaTheme="majorEastAsia" w:cstheme="majorEastAsia"/>
        </w:rPr>
        <w:t>．</w:t>
      </w:r>
      <w:r>
        <w:rPr>
          <w:rFonts w:asciiTheme="majorEastAsia" w:hAnsiTheme="majorEastAsia" w:eastAsiaTheme="majorEastAsia" w:cstheme="majorEastAsia"/>
        </w:rPr>
        <w:t>中标人应在收取《中标通知书》时向采购代理机构交纳代理服务费，服务费的收费标准参照浙价服〔2003〕77号文规定计算</w:t>
      </w:r>
    </w:p>
    <w:tbl>
      <w:tblPr>
        <w:tblStyle w:val="56"/>
        <w:tblW w:w="0" w:type="auto"/>
        <w:tblInd w:w="122" w:type="dxa"/>
        <w:tblLayout w:type="fixed"/>
        <w:tblCellMar>
          <w:top w:w="0" w:type="dxa"/>
          <w:left w:w="122" w:type="dxa"/>
          <w:bottom w:w="0" w:type="dxa"/>
          <w:right w:w="108" w:type="dxa"/>
        </w:tblCellMar>
      </w:tblPr>
      <w:tblGrid>
        <w:gridCol w:w="2160"/>
        <w:gridCol w:w="6629"/>
      </w:tblGrid>
      <w:tr>
        <w:tblPrEx>
          <w:tblCellMar>
            <w:top w:w="0" w:type="dxa"/>
            <w:left w:w="122" w:type="dxa"/>
            <w:bottom w:w="0" w:type="dxa"/>
            <w:right w:w="108" w:type="dxa"/>
          </w:tblCellMar>
        </w:tblPrEx>
        <w:trPr>
          <w:trHeight w:val="384" w:hRule="atLeast"/>
        </w:trPr>
        <w:tc>
          <w:tcPr>
            <w:tcW w:w="2160" w:type="dxa"/>
            <w:tcBorders>
              <w:top w:val="double" w:color="00000A" w:sz="4" w:space="0"/>
              <w:left w:val="double" w:color="00000A" w:sz="4" w:space="0"/>
              <w:bottom w:val="single" w:color="00000A" w:sz="6" w:space="0"/>
              <w:right w:val="single" w:color="00000A" w:sz="6" w:space="0"/>
            </w:tcBorders>
            <w:shd w:val="clear" w:color="auto" w:fill="D9D9D9"/>
            <w:vAlign w:val="center"/>
          </w:tcPr>
          <w:p>
            <w:pPr>
              <w:spacing w:line="360" w:lineRule="auto"/>
              <w:jc w:val="center"/>
              <w:rPr>
                <w:rFonts w:asciiTheme="majorEastAsia" w:hAnsiTheme="majorEastAsia" w:eastAsiaTheme="majorEastAsia" w:cstheme="majorEastAsia"/>
              </w:rPr>
            </w:pPr>
            <w:r>
              <w:rPr>
                <w:rFonts w:asciiTheme="majorEastAsia" w:hAnsiTheme="majorEastAsia" w:eastAsiaTheme="majorEastAsia" w:cstheme="majorEastAsia"/>
              </w:rPr>
              <w:t>中标金额（万元）</w:t>
            </w:r>
          </w:p>
        </w:tc>
        <w:tc>
          <w:tcPr>
            <w:tcW w:w="6629" w:type="dxa"/>
            <w:tcBorders>
              <w:top w:val="double" w:color="00000A" w:sz="4" w:space="0"/>
              <w:left w:val="single" w:color="00000A" w:sz="6" w:space="0"/>
              <w:bottom w:val="single" w:color="00000A" w:sz="6" w:space="0"/>
              <w:right w:val="double" w:color="00000A" w:sz="4" w:space="0"/>
            </w:tcBorders>
            <w:shd w:val="clear" w:color="auto" w:fill="D9D9D9"/>
          </w:tcPr>
          <w:p>
            <w:pPr>
              <w:spacing w:line="360" w:lineRule="auto"/>
              <w:jc w:val="center"/>
              <w:rPr>
                <w:rFonts w:asciiTheme="majorEastAsia" w:hAnsiTheme="majorEastAsia" w:eastAsiaTheme="majorEastAsia" w:cstheme="majorEastAsia"/>
              </w:rPr>
            </w:pPr>
            <w:r>
              <w:rPr>
                <w:rFonts w:hint="eastAsia" w:asciiTheme="majorEastAsia" w:hAnsiTheme="majorEastAsia" w:eastAsiaTheme="majorEastAsia" w:cstheme="majorEastAsia"/>
              </w:rPr>
              <w:t>货物</w:t>
            </w:r>
            <w:r>
              <w:rPr>
                <w:rFonts w:asciiTheme="majorEastAsia" w:hAnsiTheme="majorEastAsia" w:eastAsiaTheme="majorEastAsia" w:cstheme="majorEastAsia"/>
              </w:rPr>
              <w:t>类招标收费费率</w:t>
            </w:r>
          </w:p>
        </w:tc>
      </w:tr>
      <w:tr>
        <w:tblPrEx>
          <w:tblCellMar>
            <w:top w:w="0" w:type="dxa"/>
            <w:left w:w="122" w:type="dxa"/>
            <w:bottom w:w="0" w:type="dxa"/>
            <w:right w:w="108" w:type="dxa"/>
          </w:tblCellMar>
        </w:tblPrEx>
        <w:trPr>
          <w:trHeight w:val="370" w:hRule="atLeast"/>
        </w:trPr>
        <w:tc>
          <w:tcPr>
            <w:tcW w:w="2160" w:type="dxa"/>
            <w:tcBorders>
              <w:top w:val="single" w:color="00000A" w:sz="6" w:space="0"/>
              <w:left w:val="double" w:color="00000A" w:sz="4" w:space="0"/>
              <w:bottom w:val="single" w:color="00000A" w:sz="6" w:space="0"/>
              <w:right w:val="single" w:color="00000A" w:sz="6" w:space="0"/>
            </w:tcBorders>
            <w:shd w:val="clear" w:color="auto" w:fill="auto"/>
          </w:tcPr>
          <w:p>
            <w:pPr>
              <w:spacing w:line="360" w:lineRule="auto"/>
              <w:jc w:val="center"/>
              <w:rPr>
                <w:rFonts w:asciiTheme="majorEastAsia" w:hAnsiTheme="majorEastAsia" w:eastAsiaTheme="majorEastAsia" w:cstheme="majorEastAsia"/>
              </w:rPr>
            </w:pPr>
            <w:r>
              <w:rPr>
                <w:rFonts w:asciiTheme="majorEastAsia" w:hAnsiTheme="majorEastAsia" w:eastAsiaTheme="majorEastAsia" w:cstheme="majorEastAsia"/>
              </w:rPr>
              <w:t>100以下</w:t>
            </w:r>
          </w:p>
        </w:tc>
        <w:tc>
          <w:tcPr>
            <w:tcW w:w="6629" w:type="dxa"/>
            <w:tcBorders>
              <w:top w:val="single" w:color="00000A" w:sz="6" w:space="0"/>
              <w:left w:val="single" w:color="00000A" w:sz="6" w:space="0"/>
              <w:bottom w:val="single" w:color="00000A" w:sz="6" w:space="0"/>
              <w:right w:val="double" w:color="00000A" w:sz="4" w:space="0"/>
            </w:tcBorders>
            <w:shd w:val="clear" w:color="auto" w:fill="auto"/>
            <w:vAlign w:val="center"/>
          </w:tcPr>
          <w:p>
            <w:pPr>
              <w:spacing w:line="360" w:lineRule="auto"/>
              <w:jc w:val="center"/>
              <w:rPr>
                <w:rFonts w:asciiTheme="majorEastAsia" w:hAnsiTheme="majorEastAsia" w:eastAsiaTheme="majorEastAsia" w:cstheme="majorEastAsia"/>
              </w:rPr>
            </w:pPr>
            <w:r>
              <w:rPr>
                <w:rFonts w:asciiTheme="majorEastAsia" w:hAnsiTheme="majorEastAsia" w:eastAsiaTheme="majorEastAsia" w:cstheme="majorEastAsia"/>
              </w:rPr>
              <w:t>1.5％</w:t>
            </w:r>
          </w:p>
        </w:tc>
      </w:tr>
      <w:tr>
        <w:tblPrEx>
          <w:tblCellMar>
            <w:top w:w="0" w:type="dxa"/>
            <w:left w:w="122" w:type="dxa"/>
            <w:bottom w:w="0" w:type="dxa"/>
            <w:right w:w="108" w:type="dxa"/>
          </w:tblCellMar>
        </w:tblPrEx>
        <w:trPr>
          <w:trHeight w:val="370" w:hRule="atLeast"/>
        </w:trPr>
        <w:tc>
          <w:tcPr>
            <w:tcW w:w="2160" w:type="dxa"/>
            <w:tcBorders>
              <w:top w:val="single" w:color="00000A" w:sz="6" w:space="0"/>
              <w:left w:val="double" w:color="00000A" w:sz="4" w:space="0"/>
              <w:bottom w:val="single" w:color="00000A" w:sz="4" w:space="0"/>
              <w:right w:val="single" w:color="00000A" w:sz="6" w:space="0"/>
            </w:tcBorders>
            <w:shd w:val="clear" w:color="auto" w:fill="auto"/>
          </w:tcPr>
          <w:p>
            <w:pPr>
              <w:spacing w:line="360" w:lineRule="auto"/>
              <w:jc w:val="center"/>
              <w:rPr>
                <w:rFonts w:asciiTheme="majorEastAsia" w:hAnsiTheme="majorEastAsia" w:eastAsiaTheme="majorEastAsia" w:cstheme="majorEastAsia"/>
              </w:rPr>
            </w:pPr>
            <w:r>
              <w:rPr>
                <w:rFonts w:asciiTheme="majorEastAsia" w:hAnsiTheme="majorEastAsia" w:eastAsiaTheme="majorEastAsia" w:cstheme="majorEastAsia"/>
              </w:rPr>
              <w:t>100-500</w:t>
            </w:r>
          </w:p>
        </w:tc>
        <w:tc>
          <w:tcPr>
            <w:tcW w:w="6629" w:type="dxa"/>
            <w:tcBorders>
              <w:top w:val="single" w:color="00000A" w:sz="6" w:space="0"/>
              <w:left w:val="single" w:color="00000A" w:sz="6" w:space="0"/>
              <w:bottom w:val="single" w:color="00000A" w:sz="4" w:space="0"/>
              <w:right w:val="double" w:color="00000A" w:sz="4" w:space="0"/>
            </w:tcBorders>
            <w:shd w:val="clear" w:color="auto" w:fill="auto"/>
            <w:vAlign w:val="center"/>
          </w:tcPr>
          <w:p>
            <w:pPr>
              <w:spacing w:line="360" w:lineRule="auto"/>
              <w:jc w:val="center"/>
              <w:rPr>
                <w:rFonts w:asciiTheme="majorEastAsia" w:hAnsiTheme="majorEastAsia" w:eastAsiaTheme="majorEastAsia" w:cstheme="majorEastAsia"/>
              </w:rPr>
            </w:pPr>
            <w:r>
              <w:rPr>
                <w:rFonts w:asciiTheme="majorEastAsia" w:hAnsiTheme="majorEastAsia" w:eastAsiaTheme="majorEastAsia" w:cstheme="majorEastAsia"/>
              </w:rPr>
              <w:t>1.1%</w:t>
            </w:r>
          </w:p>
        </w:tc>
      </w:tr>
    </w:tbl>
    <w:p>
      <w:pPr>
        <w:snapToGrid w:val="0"/>
        <w:spacing w:line="360" w:lineRule="auto"/>
        <w:ind w:firstLine="420"/>
        <w:rPr>
          <w:rFonts w:asciiTheme="majorEastAsia" w:hAnsiTheme="majorEastAsia" w:eastAsiaTheme="majorEastAsia" w:cstheme="majorEastAsia"/>
        </w:rPr>
      </w:pPr>
      <w:r>
        <w:rPr>
          <w:rFonts w:asciiTheme="majorEastAsia" w:hAnsiTheme="majorEastAsia" w:eastAsiaTheme="majorEastAsia" w:cstheme="majorEastAsia"/>
        </w:rPr>
        <w:t>代理服务收费按差额定率累进法计算。</w:t>
      </w:r>
    </w:p>
    <w:p>
      <w:pPr>
        <w:snapToGrid w:val="0"/>
        <w:spacing w:line="360" w:lineRule="auto"/>
        <w:ind w:firstLine="420"/>
        <w:rPr>
          <w:rFonts w:asciiTheme="majorEastAsia" w:hAnsiTheme="majorEastAsia" w:eastAsiaTheme="majorEastAsia" w:cstheme="majorEastAsia"/>
        </w:rPr>
      </w:pPr>
      <w:r>
        <w:rPr>
          <w:rFonts w:asciiTheme="majorEastAsia" w:hAnsiTheme="majorEastAsia" w:eastAsiaTheme="majorEastAsia" w:cstheme="majorEastAsia"/>
        </w:rPr>
        <w:t>3</w:t>
      </w:r>
      <w:r>
        <w:rPr>
          <w:rFonts w:hint="eastAsia" w:asciiTheme="majorEastAsia" w:hAnsiTheme="majorEastAsia" w:eastAsiaTheme="majorEastAsia" w:cstheme="majorEastAsia"/>
        </w:rPr>
        <w:t>．</w:t>
      </w:r>
      <w:r>
        <w:rPr>
          <w:rFonts w:asciiTheme="majorEastAsia" w:hAnsiTheme="majorEastAsia" w:eastAsiaTheme="majorEastAsia" w:cstheme="majorEastAsia"/>
        </w:rPr>
        <w:t>本项目以</w:t>
      </w:r>
      <w:r>
        <w:rPr>
          <w:rFonts w:hint="eastAsia" w:asciiTheme="majorEastAsia" w:hAnsiTheme="majorEastAsia" w:eastAsiaTheme="majorEastAsia" w:cstheme="majorEastAsia"/>
        </w:rPr>
        <w:t>货物</w:t>
      </w:r>
      <w:r>
        <w:rPr>
          <w:rFonts w:asciiTheme="majorEastAsia" w:hAnsiTheme="majorEastAsia" w:eastAsiaTheme="majorEastAsia" w:cstheme="majorEastAsia"/>
        </w:rPr>
        <w:t>类收费标准收取代理服务费服务费。</w:t>
      </w:r>
    </w:p>
    <w:p>
      <w:pPr>
        <w:snapToGrid w:val="0"/>
        <w:spacing w:line="360" w:lineRule="auto"/>
        <w:ind w:firstLine="420"/>
        <w:rPr>
          <w:rFonts w:asciiTheme="majorEastAsia" w:hAnsiTheme="majorEastAsia" w:eastAsiaTheme="majorEastAsia" w:cstheme="majorEastAsia"/>
        </w:rPr>
      </w:pPr>
      <w:r>
        <w:rPr>
          <w:rFonts w:asciiTheme="majorEastAsia" w:hAnsiTheme="majorEastAsia" w:eastAsiaTheme="majorEastAsia" w:cstheme="majorEastAsia"/>
        </w:rPr>
        <w:t>4</w:t>
      </w:r>
      <w:r>
        <w:rPr>
          <w:rFonts w:hint="eastAsia" w:asciiTheme="majorEastAsia" w:hAnsiTheme="majorEastAsia" w:eastAsiaTheme="majorEastAsia" w:cstheme="majorEastAsia"/>
        </w:rPr>
        <w:t>．</w:t>
      </w:r>
      <w:r>
        <w:rPr>
          <w:rFonts w:asciiTheme="majorEastAsia" w:hAnsiTheme="majorEastAsia" w:eastAsiaTheme="majorEastAsia" w:cstheme="majorEastAsia"/>
        </w:rPr>
        <w:t>代理费支付方式：一次性以银行划账、现金或支票的形式支付。</w:t>
      </w:r>
    </w:p>
    <w:p>
      <w:pPr>
        <w:snapToGrid w:val="0"/>
        <w:spacing w:line="360" w:lineRule="auto"/>
        <w:ind w:firstLine="420"/>
        <w:rPr>
          <w:rFonts w:hint="eastAsia" w:asciiTheme="majorEastAsia" w:hAnsiTheme="majorEastAsia" w:eastAsiaTheme="majorEastAsia" w:cstheme="majorEastAsia"/>
        </w:rPr>
      </w:pPr>
      <w:r>
        <w:rPr>
          <w:rFonts w:hint="eastAsia" w:asciiTheme="majorEastAsia" w:hAnsiTheme="majorEastAsia" w:eastAsiaTheme="majorEastAsia" w:cstheme="majorEastAsia"/>
        </w:rPr>
        <w:t>6.服务费以银行划账方式按下列要求提交：</w:t>
      </w:r>
    </w:p>
    <w:p>
      <w:pPr>
        <w:snapToGrid w:val="0"/>
        <w:spacing w:line="360" w:lineRule="auto"/>
        <w:ind w:firstLine="420"/>
        <w:rPr>
          <w:rFonts w:hint="eastAsia" w:asciiTheme="majorEastAsia" w:hAnsiTheme="majorEastAsia" w:eastAsiaTheme="majorEastAsia" w:cstheme="majorEastAsia"/>
        </w:rPr>
      </w:pPr>
      <w:r>
        <w:rPr>
          <w:rFonts w:hint="eastAsia" w:asciiTheme="majorEastAsia" w:hAnsiTheme="majorEastAsia" w:eastAsiaTheme="majorEastAsia" w:cstheme="majorEastAsia"/>
        </w:rPr>
        <w:t>收款人：浙江圣加工程管理咨询有限公司嘉兴分公司</w:t>
      </w:r>
    </w:p>
    <w:p>
      <w:pPr>
        <w:snapToGrid w:val="0"/>
        <w:spacing w:line="360" w:lineRule="auto"/>
        <w:ind w:firstLine="420"/>
        <w:rPr>
          <w:rFonts w:hint="eastAsia" w:asciiTheme="majorEastAsia" w:hAnsiTheme="majorEastAsia" w:eastAsiaTheme="majorEastAsia" w:cstheme="majorEastAsia"/>
        </w:rPr>
      </w:pPr>
      <w:r>
        <w:rPr>
          <w:rFonts w:hint="eastAsia" w:asciiTheme="majorEastAsia" w:hAnsiTheme="majorEastAsia" w:eastAsiaTheme="majorEastAsia" w:cstheme="majorEastAsia"/>
        </w:rPr>
        <w:t>户名：浙江圣加工程管理咨询有限公司嘉兴分公司</w:t>
      </w:r>
    </w:p>
    <w:p>
      <w:pPr>
        <w:snapToGrid w:val="0"/>
        <w:spacing w:line="360" w:lineRule="auto"/>
        <w:ind w:firstLine="420"/>
        <w:rPr>
          <w:rFonts w:hint="eastAsia" w:asciiTheme="majorEastAsia" w:hAnsiTheme="majorEastAsia" w:eastAsiaTheme="majorEastAsia" w:cstheme="majorEastAsia"/>
        </w:rPr>
      </w:pPr>
      <w:r>
        <w:rPr>
          <w:rFonts w:hint="eastAsia" w:asciiTheme="majorEastAsia" w:hAnsiTheme="majorEastAsia" w:eastAsiaTheme="majorEastAsia" w:cstheme="majorEastAsia"/>
        </w:rPr>
        <w:t>开户银行：交通银行嘉兴分行禾城支行</w:t>
      </w:r>
    </w:p>
    <w:p>
      <w:pPr>
        <w:snapToGrid w:val="0"/>
        <w:spacing w:line="360" w:lineRule="auto"/>
        <w:ind w:firstLine="420"/>
        <w:rPr>
          <w:rFonts w:hint="eastAsia" w:asciiTheme="majorEastAsia" w:hAnsiTheme="majorEastAsia" w:eastAsiaTheme="majorEastAsia" w:cstheme="majorEastAsia"/>
        </w:rPr>
      </w:pPr>
      <w:r>
        <w:rPr>
          <w:rFonts w:hint="eastAsia" w:asciiTheme="majorEastAsia" w:hAnsiTheme="majorEastAsia" w:eastAsiaTheme="majorEastAsia" w:cstheme="majorEastAsia"/>
        </w:rPr>
        <w:t>账号：334602000018800009182</w:t>
      </w:r>
    </w:p>
    <w:p>
      <w:pPr>
        <w:snapToGrid w:val="0"/>
        <w:spacing w:line="360" w:lineRule="auto"/>
        <w:ind w:firstLine="420"/>
        <w:rPr>
          <w:rFonts w:hint="eastAsia" w:asciiTheme="majorEastAsia" w:hAnsiTheme="majorEastAsia" w:eastAsiaTheme="majorEastAsia" w:cstheme="majorEastAsia"/>
        </w:rPr>
      </w:pPr>
      <w:r>
        <w:rPr>
          <w:rFonts w:hint="eastAsia" w:asciiTheme="majorEastAsia" w:hAnsiTheme="majorEastAsia" w:eastAsiaTheme="majorEastAsia" w:cstheme="majorEastAsia"/>
        </w:rPr>
        <w:t>7.服务费支付时间：服务费必须在中标人领取《中标通知书》时一次性付清，如果中标人未能按时交纳服务费，采购代理机构/采购人保留取消其中标资格并追究其法律责任的权利。</w:t>
      </w:r>
    </w:p>
    <w:p>
      <w:pPr>
        <w:snapToGrid w:val="0"/>
        <w:spacing w:line="360" w:lineRule="auto"/>
        <w:ind w:firstLine="420"/>
        <w:rPr>
          <w:rFonts w:asciiTheme="majorEastAsia" w:hAnsiTheme="majorEastAsia" w:eastAsiaTheme="majorEastAsia" w:cstheme="majorEastAsia"/>
        </w:rPr>
      </w:pPr>
      <w:r>
        <w:rPr>
          <w:rFonts w:hint="eastAsia" w:asciiTheme="majorEastAsia" w:hAnsiTheme="majorEastAsia" w:eastAsiaTheme="majorEastAsia" w:cstheme="majorEastAsia"/>
        </w:rPr>
        <w:t>8.服务费不在投标报价中单列。</w:t>
      </w:r>
    </w:p>
    <w:p>
      <w:pPr>
        <w:pStyle w:val="55"/>
        <w:ind w:left="480" w:firstLine="404"/>
        <w:sectPr>
          <w:pgSz w:w="11849" w:h="16781"/>
          <w:pgMar w:top="907" w:right="1247" w:bottom="907" w:left="1247" w:header="851" w:footer="851" w:gutter="0"/>
          <w:cols w:space="720" w:num="1"/>
          <w:docGrid w:linePitch="312" w:charSpace="0"/>
        </w:sectPr>
      </w:pPr>
    </w:p>
    <w:p>
      <w:pPr>
        <w:pStyle w:val="6"/>
        <w:rPr>
          <w:rFonts w:asciiTheme="majorEastAsia" w:hAnsiTheme="majorEastAsia" w:eastAsiaTheme="majorEastAsia" w:cstheme="majorEastAsia"/>
        </w:rPr>
      </w:pPr>
      <w:bookmarkStart w:id="89" w:name="_Toc1779882599"/>
      <w:r>
        <w:rPr>
          <w:rFonts w:hint="eastAsia" w:asciiTheme="majorEastAsia" w:hAnsiTheme="majorEastAsia" w:eastAsiaTheme="majorEastAsia" w:cstheme="majorEastAsia"/>
        </w:rPr>
        <w:t>第四章  评标办法及评分标准</w:t>
      </w:r>
      <w:bookmarkEnd w:id="89"/>
    </w:p>
    <w:p>
      <w:pPr>
        <w:spacing w:before="120" w:beforeLines="50" w:after="120" w:afterLines="50" w:line="360" w:lineRule="auto"/>
        <w:ind w:firstLine="420"/>
        <w:rPr>
          <w:rFonts w:asciiTheme="majorEastAsia" w:hAnsiTheme="majorEastAsia" w:eastAsiaTheme="majorEastAsia" w:cstheme="majorEastAsia"/>
        </w:rPr>
      </w:pPr>
      <w:bookmarkStart w:id="90" w:name="_Toc380429946"/>
      <w:bookmarkStart w:id="91" w:name="_Toc384730990"/>
      <w:r>
        <w:rPr>
          <w:rFonts w:hint="eastAsia" w:asciiTheme="majorEastAsia" w:hAnsiTheme="majorEastAsia" w:eastAsiaTheme="majorEastAsia" w:cstheme="majorEastAsia"/>
        </w:rPr>
        <w:t>为公正、公平、科学地选择中标供应商，根据《中华人民共和国政府采购法》等有关法律法规的规定，并结合本项目的实际，制定本办法。</w:t>
      </w:r>
    </w:p>
    <w:p>
      <w:pPr>
        <w:spacing w:before="120" w:beforeLines="50" w:after="120" w:afterLines="50" w:line="360" w:lineRule="auto"/>
        <w:ind w:firstLine="420"/>
        <w:rPr>
          <w:rFonts w:asciiTheme="majorEastAsia" w:hAnsiTheme="majorEastAsia" w:eastAsiaTheme="majorEastAsia" w:cstheme="majorEastAsia"/>
        </w:rPr>
      </w:pPr>
      <w:r>
        <w:rPr>
          <w:rFonts w:hint="eastAsia" w:asciiTheme="majorEastAsia" w:hAnsiTheme="majorEastAsia" w:eastAsiaTheme="majorEastAsia" w:cstheme="majorEastAsia"/>
        </w:rPr>
        <w:t>本办法适用于</w:t>
      </w:r>
      <w:r>
        <w:rPr>
          <w:rFonts w:hint="eastAsia" w:asciiTheme="majorEastAsia" w:hAnsiTheme="majorEastAsia" w:eastAsiaTheme="majorEastAsia" w:cstheme="majorEastAsia"/>
          <w:lang w:eastAsia="zh-CN"/>
        </w:rPr>
        <w:t>高照街道办事处搬迁改建空调设备采购及安装工程</w:t>
      </w:r>
      <w:r>
        <w:rPr>
          <w:rFonts w:hint="eastAsia" w:asciiTheme="majorEastAsia" w:hAnsiTheme="majorEastAsia" w:eastAsiaTheme="majorEastAsia" w:cstheme="majorEastAsia"/>
        </w:rPr>
        <w:t>项目的评标。</w:t>
      </w:r>
    </w:p>
    <w:p>
      <w:pPr>
        <w:spacing w:before="120" w:beforeLines="50" w:after="120" w:afterLines="50" w:line="360" w:lineRule="auto"/>
        <w:ind w:firstLine="482"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b/>
        </w:rPr>
        <w:t>一 、总则</w:t>
      </w:r>
    </w:p>
    <w:p>
      <w:pPr>
        <w:spacing w:before="120" w:beforeLines="50" w:after="120" w:afterLines="50" w:line="360" w:lineRule="auto"/>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本次评标采用综合评分法，总分为100分。合格供应商的评标得分为各项目汇总得分，中标候选资格按评标得分由高到低顺序排列，得分相同的，按投标报价由低到高顺序排列；得分且投标报价相同的，按技术得分由高到低顺序排列，仍不能分出前后的，以投标签到先后顺序确定中标供应商。排名第一的供应商为中标候选人，排名第二的供应商为候补中标候选人，其他供应商中标候选资格依此类推。中标供应商拒绝与采购人签订合同的，采购人可以按照评审报告推荐的中标候选人名单顺序，确定下一候选人为中标供应商，也可以重新开展政府采购活动。评分过程中采用四舍五入法，并保留小数2位。</w:t>
      </w:r>
    </w:p>
    <w:p>
      <w:pPr>
        <w:spacing w:before="120" w:beforeLines="50" w:after="120" w:afterLines="50" w:line="360" w:lineRule="auto"/>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供应商评标综合得分=价格分+技术分+商务、资信及其他分</w:t>
      </w:r>
    </w:p>
    <w:p>
      <w:pPr>
        <w:spacing w:before="120" w:beforeLines="50" w:after="120" w:afterLines="50" w:line="360" w:lineRule="auto"/>
        <w:ind w:firstLine="482" w:firstLineChars="200"/>
        <w:rPr>
          <w:rFonts w:asciiTheme="majorEastAsia" w:hAnsiTheme="majorEastAsia" w:eastAsiaTheme="majorEastAsia" w:cstheme="majorEastAsia"/>
          <w:b/>
        </w:rPr>
      </w:pPr>
      <w:r>
        <w:rPr>
          <w:rFonts w:hint="eastAsia" w:asciiTheme="majorEastAsia" w:hAnsiTheme="majorEastAsia" w:eastAsiaTheme="majorEastAsia" w:cstheme="majorEastAsia"/>
          <w:b/>
        </w:rPr>
        <w:t>二、评标内容及标准</w:t>
      </w:r>
    </w:p>
    <w:p>
      <w:pPr>
        <w:pStyle w:val="9"/>
        <w:spacing w:before="120" w:beforeLines="50" w:after="120" w:afterLines="50" w:line="360" w:lineRule="auto"/>
        <w:ind w:firstLine="466" w:firstLineChars="200"/>
        <w:rPr>
          <w:rFonts w:asciiTheme="majorEastAsia" w:hAnsiTheme="majorEastAsia" w:eastAsiaTheme="majorEastAsia" w:cstheme="majorEastAsia"/>
          <w:b/>
          <w:bCs/>
          <w:sz w:val="24"/>
          <w:szCs w:val="24"/>
        </w:rPr>
      </w:pPr>
      <w:r>
        <w:rPr>
          <w:rFonts w:hint="eastAsia" w:asciiTheme="majorEastAsia" w:hAnsiTheme="majorEastAsia" w:eastAsiaTheme="majorEastAsia" w:cstheme="majorEastAsia"/>
          <w:b/>
          <w:sz w:val="24"/>
          <w:szCs w:val="24"/>
        </w:rPr>
        <w:t>（一）</w:t>
      </w:r>
      <w:r>
        <w:rPr>
          <w:rFonts w:hint="eastAsia" w:asciiTheme="majorEastAsia" w:hAnsiTheme="majorEastAsia" w:eastAsiaTheme="majorEastAsia" w:cstheme="majorEastAsia"/>
          <w:b/>
          <w:bCs/>
          <w:sz w:val="24"/>
          <w:szCs w:val="24"/>
        </w:rPr>
        <w:t>价格分（30分）</w:t>
      </w:r>
    </w:p>
    <w:p>
      <w:pPr>
        <w:pStyle w:val="9"/>
        <w:spacing w:before="120" w:beforeLines="50" w:after="120" w:afterLines="50" w:line="360" w:lineRule="auto"/>
        <w:ind w:firstLine="464" w:firstLineChars="200"/>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1.价格分采用低价优先法计算，即满足招标文件要求且投标价格最低的投标报价为评标基准价，其他供应商的价格分按照下列公式计算：</w:t>
      </w:r>
    </w:p>
    <w:p>
      <w:pPr>
        <w:spacing w:before="120" w:beforeLines="50" w:after="120" w:afterLines="50" w:line="360" w:lineRule="auto"/>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价格分=（评标基准价/投标报价）×30%×100</w:t>
      </w:r>
    </w:p>
    <w:p>
      <w:pPr>
        <w:pStyle w:val="9"/>
        <w:spacing w:before="120" w:beforeLines="50" w:after="120" w:afterLines="50" w:line="360" w:lineRule="auto"/>
        <w:ind w:firstLine="464" w:firstLineChars="200"/>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2.供应商的投标报价超过采购人设定的最高限价，将作为无效标。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pPr>
        <w:pStyle w:val="9"/>
        <w:spacing w:before="120" w:beforeLines="50" w:after="120" w:afterLines="50" w:line="360" w:lineRule="auto"/>
        <w:ind w:firstLine="466" w:firstLineChars="200"/>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（二） 技术、商务、资信及其他分（70分</w:t>
      </w:r>
      <w:r>
        <w:rPr>
          <w:rFonts w:hint="eastAsia" w:asciiTheme="majorEastAsia" w:hAnsiTheme="majorEastAsia" w:eastAsiaTheme="majorEastAsia" w:cstheme="majorEastAsia"/>
          <w:b/>
          <w:bCs/>
          <w:sz w:val="24"/>
          <w:szCs w:val="24"/>
        </w:rPr>
        <w:t>）</w:t>
      </w:r>
    </w:p>
    <w:bookmarkEnd w:id="90"/>
    <w:bookmarkEnd w:id="91"/>
    <w:tbl>
      <w:tblPr>
        <w:tblStyle w:val="56"/>
        <w:tblW w:w="991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75"/>
        <w:gridCol w:w="1560"/>
        <w:gridCol w:w="768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918" w:type="dxa"/>
            <w:gridSpan w:val="3"/>
            <w:shd w:val="clear" w:color="auto" w:fill="auto"/>
            <w:vAlign w:val="center"/>
          </w:tcPr>
          <w:p>
            <w:pPr>
              <w:jc w:val="center"/>
              <w:rPr>
                <w:rFonts w:ascii="宋体" w:hAnsi="宋体"/>
                <w:szCs w:val="21"/>
              </w:rPr>
            </w:pPr>
            <w:r>
              <w:rPr>
                <w:rFonts w:ascii="宋体" w:hAnsi="宋体"/>
                <w:szCs w:val="21"/>
              </w:rPr>
              <w:t>（一）技术分(</w:t>
            </w:r>
            <w:r>
              <w:rPr>
                <w:rFonts w:hint="eastAsia" w:ascii="宋体" w:hAnsi="宋体"/>
                <w:szCs w:val="21"/>
                <w:lang w:val="en-US" w:eastAsia="zh-CN"/>
              </w:rPr>
              <w:t>60</w:t>
            </w:r>
            <w:r>
              <w:rPr>
                <w:rFonts w:ascii="宋体" w:hAnsi="宋体"/>
                <w:szCs w:val="21"/>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75" w:type="dxa"/>
            <w:vMerge w:val="restart"/>
            <w:vAlign w:val="center"/>
          </w:tcPr>
          <w:p>
            <w:pPr>
              <w:jc w:val="center"/>
              <w:rPr>
                <w:rFonts w:ascii="宋体" w:hAnsi="宋体"/>
              </w:rPr>
            </w:pPr>
            <w:r>
              <w:rPr>
                <w:rFonts w:ascii="宋体" w:hAnsi="宋体"/>
              </w:rPr>
              <w:t>1</w:t>
            </w:r>
          </w:p>
        </w:tc>
        <w:tc>
          <w:tcPr>
            <w:tcW w:w="1560" w:type="dxa"/>
            <w:vMerge w:val="restart"/>
            <w:vAlign w:val="center"/>
          </w:tcPr>
          <w:p>
            <w:pPr>
              <w:jc w:val="center"/>
              <w:rPr>
                <w:rFonts w:ascii="宋体" w:hAnsi="宋体"/>
              </w:rPr>
            </w:pPr>
            <w:r>
              <w:rPr>
                <w:rFonts w:ascii="宋体" w:hAnsi="宋体"/>
              </w:rPr>
              <w:t>产品性能</w:t>
            </w:r>
          </w:p>
        </w:tc>
        <w:tc>
          <w:tcPr>
            <w:tcW w:w="7683" w:type="dxa"/>
            <w:shd w:val="clear" w:color="auto" w:fill="auto"/>
            <w:vAlign w:val="center"/>
          </w:tcPr>
          <w:p>
            <w:pPr>
              <w:rPr>
                <w:rFonts w:ascii="宋体" w:hAnsi="宋体"/>
                <w:color w:val="auto"/>
                <w:highlight w:val="none"/>
              </w:rPr>
            </w:pPr>
            <w:r>
              <w:rPr>
                <w:rFonts w:hint="eastAsia" w:ascii="宋体" w:hAnsi="宋体"/>
                <w:color w:val="auto"/>
                <w:highlight w:val="none"/>
                <w:lang w:val="en-US" w:eastAsia="zh-CN"/>
              </w:rPr>
              <w:t>（1）</w:t>
            </w:r>
            <w:r>
              <w:rPr>
                <w:rFonts w:hint="eastAsia" w:ascii="宋体" w:hAnsi="宋体"/>
                <w:color w:val="auto"/>
                <w:highlight w:val="none"/>
              </w:rPr>
              <w:t>压缩机技术（0～5分）：</w:t>
            </w:r>
            <w:r>
              <w:rPr>
                <w:rStyle w:val="629"/>
                <w:rFonts w:hint="eastAsia" w:eastAsia="新宋体"/>
                <w:bCs/>
                <w:color w:val="auto"/>
                <w:szCs w:val="21"/>
                <w:highlight w:val="none"/>
              </w:rPr>
              <w:t>压缩机采用喷气（或气液）增焓技术的</w:t>
            </w:r>
            <w:r>
              <w:rPr>
                <w:rFonts w:hint="eastAsia" w:ascii="宋体" w:hAnsi="宋体"/>
                <w:color w:val="auto"/>
                <w:highlight w:val="none"/>
              </w:rPr>
              <w:t>得3分（</w:t>
            </w:r>
            <w:r>
              <w:rPr>
                <w:rFonts w:ascii="宋体" w:hAnsi="宋体"/>
                <w:color w:val="auto"/>
                <w:highlight w:val="none"/>
              </w:rPr>
              <w:t>提供样本及制造商证明，均</w:t>
            </w:r>
            <w:r>
              <w:rPr>
                <w:rFonts w:hint="eastAsia" w:ascii="宋体" w:hAnsi="宋体"/>
                <w:color w:val="auto"/>
                <w:highlight w:val="none"/>
              </w:rPr>
              <w:t>须</w:t>
            </w:r>
            <w:r>
              <w:rPr>
                <w:rFonts w:ascii="宋体" w:hAnsi="宋体"/>
                <w:color w:val="auto"/>
                <w:highlight w:val="none"/>
              </w:rPr>
              <w:t>加盖投标人和制造商公章</w:t>
            </w:r>
            <w:r>
              <w:rPr>
                <w:rFonts w:hint="eastAsia" w:ascii="宋体" w:hAnsi="宋体"/>
                <w:color w:val="auto"/>
                <w:highlight w:val="none"/>
              </w:rPr>
              <w:t>）；压缩机为自主研制并生产的得2分（投标时需提供</w:t>
            </w:r>
            <w:r>
              <w:rPr>
                <w:rStyle w:val="629"/>
                <w:rFonts w:ascii="宋体" w:hAnsi="宋体" w:eastAsia="新宋体"/>
                <w:bCs/>
                <w:color w:val="auto"/>
                <w:szCs w:val="21"/>
                <w:highlight w:val="none"/>
              </w:rPr>
              <w:t>CQC</w:t>
            </w:r>
            <w:r>
              <w:rPr>
                <w:rStyle w:val="629"/>
                <w:rFonts w:hint="eastAsia" w:ascii="宋体" w:hAnsi="宋体" w:eastAsia="新宋体"/>
                <w:bCs/>
                <w:color w:val="auto"/>
                <w:szCs w:val="21"/>
                <w:highlight w:val="none"/>
              </w:rPr>
              <w:t>检测报告受控部件</w:t>
            </w:r>
            <w:r>
              <w:rPr>
                <w:rStyle w:val="629"/>
                <w:rFonts w:ascii="宋体" w:hAnsi="宋体" w:eastAsia="新宋体"/>
                <w:bCs/>
                <w:color w:val="auto"/>
                <w:szCs w:val="21"/>
                <w:highlight w:val="none"/>
              </w:rPr>
              <w:t>/</w:t>
            </w:r>
            <w:r>
              <w:rPr>
                <w:rStyle w:val="629"/>
                <w:rFonts w:hint="eastAsia" w:ascii="宋体" w:hAnsi="宋体" w:eastAsia="新宋体"/>
                <w:bCs/>
                <w:color w:val="auto"/>
                <w:szCs w:val="21"/>
                <w:highlight w:val="none"/>
              </w:rPr>
              <w:t>材料备案清单复印件加盖制造商公章）</w:t>
            </w:r>
            <w:r>
              <w:rPr>
                <w:rFonts w:hint="eastAsia" w:ascii="宋体" w:hAnsi="宋体"/>
                <w:color w:val="auto"/>
                <w:highlight w:val="none"/>
              </w:rPr>
              <w:t>；其余不得分。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75" w:type="dxa"/>
            <w:vMerge w:val="continue"/>
            <w:vAlign w:val="center"/>
          </w:tcPr>
          <w:p>
            <w:pPr>
              <w:jc w:val="center"/>
              <w:rPr>
                <w:rFonts w:ascii="宋体" w:hAnsi="宋体"/>
              </w:rPr>
            </w:pPr>
          </w:p>
        </w:tc>
        <w:tc>
          <w:tcPr>
            <w:tcW w:w="1560" w:type="dxa"/>
            <w:vMerge w:val="continue"/>
            <w:vAlign w:val="center"/>
          </w:tcPr>
          <w:p>
            <w:pPr>
              <w:rPr>
                <w:rFonts w:ascii="宋体" w:hAnsi="宋体"/>
              </w:rPr>
            </w:pPr>
          </w:p>
        </w:tc>
        <w:tc>
          <w:tcPr>
            <w:tcW w:w="7683" w:type="dxa"/>
            <w:shd w:val="clear" w:color="auto" w:fill="auto"/>
            <w:vAlign w:val="center"/>
          </w:tcPr>
          <w:p>
            <w:pPr>
              <w:rPr>
                <w:rFonts w:ascii="宋体" w:hAnsi="宋体"/>
                <w:color w:val="auto"/>
                <w:highlight w:val="none"/>
              </w:rPr>
            </w:pPr>
            <w:r>
              <w:rPr>
                <w:rFonts w:hint="eastAsia" w:ascii="宋体" w:hAnsi="宋体"/>
                <w:color w:val="auto"/>
                <w:highlight w:val="none"/>
                <w:lang w:val="en-US" w:eastAsia="zh-CN"/>
              </w:rPr>
              <w:t>（2）</w:t>
            </w:r>
            <w:r>
              <w:rPr>
                <w:rFonts w:hint="eastAsia" w:ascii="宋体" w:hAnsi="宋体"/>
                <w:color w:val="auto"/>
                <w:highlight w:val="none"/>
              </w:rPr>
              <w:t>多联式空调压缩机形式（0～5分）：</w:t>
            </w:r>
            <w:r>
              <w:rPr>
                <w:color w:val="auto"/>
                <w:highlight w:val="none"/>
              </w:rPr>
              <w:t>投标产品压缩机</w:t>
            </w:r>
            <w:r>
              <w:rPr>
                <w:rFonts w:hint="eastAsia"/>
                <w:color w:val="auto"/>
                <w:highlight w:val="none"/>
              </w:rPr>
              <w:t>均为全直流</w:t>
            </w:r>
            <w:r>
              <w:rPr>
                <w:color w:val="auto"/>
                <w:highlight w:val="none"/>
              </w:rPr>
              <w:t>变频</w:t>
            </w:r>
            <w:r>
              <w:rPr>
                <w:rFonts w:hint="eastAsia"/>
                <w:color w:val="auto"/>
                <w:highlight w:val="none"/>
              </w:rPr>
              <w:t>涡旋式</w:t>
            </w:r>
            <w:r>
              <w:rPr>
                <w:color w:val="auto"/>
                <w:highlight w:val="none"/>
              </w:rPr>
              <w:t>压缩机</w:t>
            </w:r>
            <w:r>
              <w:rPr>
                <w:rFonts w:hint="eastAsia"/>
                <w:color w:val="auto"/>
                <w:highlight w:val="none"/>
              </w:rPr>
              <w:t>的</w:t>
            </w:r>
            <w:r>
              <w:rPr>
                <w:color w:val="auto"/>
                <w:highlight w:val="none"/>
              </w:rPr>
              <w:t>得 5 分</w:t>
            </w:r>
            <w:r>
              <w:rPr>
                <w:rFonts w:hint="eastAsia"/>
                <w:color w:val="auto"/>
                <w:highlight w:val="none"/>
              </w:rPr>
              <w:t>；</w:t>
            </w:r>
            <w:r>
              <w:rPr>
                <w:color w:val="auto"/>
                <w:highlight w:val="none"/>
              </w:rPr>
              <w:t>投标产品压缩机</w:t>
            </w:r>
            <w:r>
              <w:rPr>
                <w:rFonts w:hint="eastAsia"/>
                <w:color w:val="auto"/>
                <w:highlight w:val="none"/>
              </w:rPr>
              <w:t>为全直流</w:t>
            </w:r>
            <w:r>
              <w:rPr>
                <w:color w:val="auto"/>
                <w:highlight w:val="none"/>
              </w:rPr>
              <w:t>变频其他形式压缩机</w:t>
            </w:r>
            <w:r>
              <w:rPr>
                <w:rFonts w:hint="eastAsia"/>
                <w:color w:val="auto"/>
                <w:highlight w:val="none"/>
              </w:rPr>
              <w:t>的</w:t>
            </w:r>
            <w:r>
              <w:rPr>
                <w:color w:val="auto"/>
                <w:highlight w:val="none"/>
              </w:rPr>
              <w:t xml:space="preserve">得 </w:t>
            </w:r>
            <w:r>
              <w:rPr>
                <w:rFonts w:hint="eastAsia"/>
                <w:color w:val="auto"/>
                <w:highlight w:val="none"/>
              </w:rPr>
              <w:t>2</w:t>
            </w:r>
            <w:r>
              <w:rPr>
                <w:color w:val="auto"/>
                <w:highlight w:val="none"/>
              </w:rPr>
              <w:t xml:space="preserve"> 分</w:t>
            </w:r>
            <w:r>
              <w:rPr>
                <w:rFonts w:hint="eastAsia"/>
                <w:color w:val="auto"/>
                <w:highlight w:val="none"/>
              </w:rPr>
              <w:t>；非直流变频</w:t>
            </w:r>
            <w:r>
              <w:rPr>
                <w:color w:val="auto"/>
                <w:highlight w:val="none"/>
              </w:rPr>
              <w:t>压缩机不得分。</w:t>
            </w:r>
            <w:r>
              <w:rPr>
                <w:rFonts w:hint="eastAsia" w:ascii="宋体" w:hAnsi="宋体"/>
                <w:color w:val="auto"/>
                <w:highlight w:val="none"/>
              </w:rPr>
              <w:t>（</w:t>
            </w:r>
            <w:r>
              <w:rPr>
                <w:rFonts w:ascii="宋体" w:hAnsi="宋体"/>
                <w:color w:val="auto"/>
                <w:highlight w:val="none"/>
              </w:rPr>
              <w:t>提供样本及制造商证明，均</w:t>
            </w:r>
            <w:r>
              <w:rPr>
                <w:rFonts w:hint="eastAsia" w:ascii="宋体" w:hAnsi="宋体"/>
                <w:color w:val="auto"/>
                <w:highlight w:val="none"/>
              </w:rPr>
              <w:t>须</w:t>
            </w:r>
            <w:r>
              <w:rPr>
                <w:rFonts w:ascii="宋体" w:hAnsi="宋体"/>
                <w:color w:val="auto"/>
                <w:highlight w:val="none"/>
              </w:rPr>
              <w:t>加盖投标人和制造商公章</w:t>
            </w:r>
            <w:r>
              <w:rPr>
                <w:rFonts w:hint="eastAsia" w:ascii="宋体" w:hAnsi="宋体"/>
                <w:color w:val="auto"/>
                <w:highlight w:val="none"/>
              </w:rPr>
              <w:t>）</w:t>
            </w:r>
            <w:r>
              <w:rPr>
                <w:rFonts w:ascii="宋体" w:hAnsi="宋体"/>
                <w:color w:val="auto"/>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75" w:type="dxa"/>
            <w:vMerge w:val="continue"/>
            <w:vAlign w:val="center"/>
          </w:tcPr>
          <w:p>
            <w:pPr>
              <w:jc w:val="center"/>
              <w:rPr>
                <w:rFonts w:ascii="宋体" w:hAnsi="宋体"/>
              </w:rPr>
            </w:pPr>
          </w:p>
        </w:tc>
        <w:tc>
          <w:tcPr>
            <w:tcW w:w="1560" w:type="dxa"/>
            <w:vMerge w:val="continue"/>
            <w:vAlign w:val="center"/>
          </w:tcPr>
          <w:p>
            <w:pPr>
              <w:rPr>
                <w:rFonts w:ascii="宋体" w:hAnsi="宋体"/>
              </w:rPr>
            </w:pPr>
          </w:p>
        </w:tc>
        <w:tc>
          <w:tcPr>
            <w:tcW w:w="7683" w:type="dxa"/>
            <w:shd w:val="clear" w:color="auto" w:fill="auto"/>
            <w:vAlign w:val="center"/>
          </w:tcPr>
          <w:p>
            <w:pPr>
              <w:rPr>
                <w:rFonts w:ascii="宋体" w:hAnsi="宋体"/>
                <w:color w:val="auto"/>
              </w:rPr>
            </w:pPr>
            <w:r>
              <w:rPr>
                <w:rFonts w:hint="eastAsia" w:ascii="宋体" w:hAnsi="宋体"/>
                <w:color w:val="auto"/>
                <w:lang w:val="en-US" w:eastAsia="zh-CN"/>
              </w:rPr>
              <w:t>（3）</w:t>
            </w:r>
            <w:r>
              <w:rPr>
                <w:rFonts w:hint="eastAsia" w:ascii="宋体" w:hAnsi="宋体"/>
                <w:color w:val="auto"/>
              </w:rPr>
              <w:t>空调室外机冬季除霜模式（1～5分）：采用智能除霜模式（以压力、温度、流量变化等为依据）的得</w:t>
            </w:r>
            <w:r>
              <w:rPr>
                <w:rFonts w:ascii="宋体" w:hAnsi="宋体"/>
                <w:color w:val="auto"/>
              </w:rPr>
              <w:t>5</w:t>
            </w:r>
            <w:r>
              <w:rPr>
                <w:rFonts w:hint="eastAsia" w:ascii="宋体" w:hAnsi="宋体"/>
                <w:color w:val="auto"/>
              </w:rPr>
              <w:t>分，采用普通除霜模式的得1分。（</w:t>
            </w:r>
            <w:r>
              <w:rPr>
                <w:rFonts w:ascii="宋体" w:hAnsi="宋体"/>
                <w:color w:val="auto"/>
              </w:rPr>
              <w:t>提供样本及制造商证明，均</w:t>
            </w:r>
            <w:r>
              <w:rPr>
                <w:rFonts w:hint="eastAsia" w:ascii="宋体" w:hAnsi="宋体"/>
                <w:color w:val="auto"/>
              </w:rPr>
              <w:t>须</w:t>
            </w:r>
            <w:r>
              <w:rPr>
                <w:rFonts w:ascii="宋体" w:hAnsi="宋体"/>
                <w:color w:val="auto"/>
              </w:rPr>
              <w:t>加盖投标人和制造商公章</w:t>
            </w:r>
            <w:r>
              <w:rPr>
                <w:rFonts w:hint="eastAsia" w:ascii="宋体" w:hAnsi="宋体"/>
                <w:color w:val="auto"/>
              </w:rPr>
              <w:t>）</w:t>
            </w:r>
            <w:r>
              <w:rPr>
                <w:rFonts w:ascii="宋体" w:hAnsi="宋体"/>
                <w:color w:val="auto"/>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675" w:type="dxa"/>
            <w:vMerge w:val="continue"/>
            <w:vAlign w:val="center"/>
          </w:tcPr>
          <w:p>
            <w:pPr>
              <w:jc w:val="center"/>
              <w:rPr>
                <w:rFonts w:ascii="宋体" w:hAnsi="宋体"/>
              </w:rPr>
            </w:pPr>
          </w:p>
        </w:tc>
        <w:tc>
          <w:tcPr>
            <w:tcW w:w="1560" w:type="dxa"/>
            <w:vMerge w:val="continue"/>
            <w:vAlign w:val="center"/>
          </w:tcPr>
          <w:p>
            <w:pPr>
              <w:rPr>
                <w:rFonts w:ascii="宋体" w:hAnsi="宋体"/>
              </w:rPr>
            </w:pPr>
          </w:p>
        </w:tc>
        <w:tc>
          <w:tcPr>
            <w:tcW w:w="7683" w:type="dxa"/>
            <w:shd w:val="clear" w:color="auto" w:fill="auto"/>
            <w:vAlign w:val="center"/>
          </w:tcPr>
          <w:p>
            <w:pPr>
              <w:rPr>
                <w:rFonts w:ascii="宋体" w:hAnsi="宋体"/>
                <w:color w:val="auto"/>
              </w:rPr>
            </w:pPr>
            <w:r>
              <w:rPr>
                <w:rFonts w:hint="eastAsia" w:ascii="宋体" w:hAnsi="宋体"/>
                <w:color w:val="auto"/>
                <w:lang w:val="en-US" w:eastAsia="zh-CN"/>
              </w:rPr>
              <w:t>（4）</w:t>
            </w:r>
            <w:r>
              <w:rPr>
                <w:rFonts w:hint="eastAsia" w:ascii="宋体" w:hAnsi="宋体"/>
                <w:color w:val="auto"/>
              </w:rPr>
              <w:t>变频器散热技术（1～5分）：采用冷媒和空气双重冷却技术的得</w:t>
            </w:r>
            <w:r>
              <w:rPr>
                <w:rFonts w:ascii="宋体" w:hAnsi="宋体"/>
                <w:color w:val="auto"/>
              </w:rPr>
              <w:t>5</w:t>
            </w:r>
            <w:r>
              <w:rPr>
                <w:rFonts w:hint="eastAsia" w:ascii="宋体" w:hAnsi="宋体"/>
                <w:color w:val="auto"/>
              </w:rPr>
              <w:t>分；采用单一冷媒冷却方式的得2分；采用单一空气冷却方式的得1分。（</w:t>
            </w:r>
            <w:r>
              <w:rPr>
                <w:rFonts w:ascii="宋体" w:hAnsi="宋体"/>
                <w:color w:val="auto"/>
              </w:rPr>
              <w:t>提供样本及制造商证明，均</w:t>
            </w:r>
            <w:r>
              <w:rPr>
                <w:rFonts w:hint="eastAsia" w:ascii="宋体" w:hAnsi="宋体"/>
                <w:color w:val="auto"/>
              </w:rPr>
              <w:t>须</w:t>
            </w:r>
            <w:r>
              <w:rPr>
                <w:rFonts w:ascii="宋体" w:hAnsi="宋体"/>
                <w:color w:val="auto"/>
              </w:rPr>
              <w:t>加盖投标人和制造商公章</w:t>
            </w:r>
            <w:r>
              <w:rPr>
                <w:rFonts w:hint="eastAsia" w:ascii="宋体" w:hAnsi="宋体"/>
                <w:color w:val="auto"/>
              </w:rPr>
              <w:t>）</w:t>
            </w:r>
            <w:r>
              <w:rPr>
                <w:rFonts w:ascii="宋体" w:hAnsi="宋体"/>
                <w:color w:val="auto"/>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675" w:type="dxa"/>
            <w:vMerge w:val="continue"/>
            <w:vAlign w:val="center"/>
          </w:tcPr>
          <w:p>
            <w:pPr>
              <w:jc w:val="center"/>
              <w:rPr>
                <w:rFonts w:ascii="宋体" w:hAnsi="宋体"/>
              </w:rPr>
            </w:pPr>
          </w:p>
        </w:tc>
        <w:tc>
          <w:tcPr>
            <w:tcW w:w="1560" w:type="dxa"/>
            <w:vMerge w:val="continue"/>
            <w:vAlign w:val="center"/>
          </w:tcPr>
          <w:p>
            <w:pPr>
              <w:rPr>
                <w:rFonts w:ascii="宋体" w:hAnsi="宋体"/>
              </w:rPr>
            </w:pPr>
          </w:p>
        </w:tc>
        <w:tc>
          <w:tcPr>
            <w:tcW w:w="7683" w:type="dxa"/>
            <w:shd w:val="clear" w:color="auto" w:fill="auto"/>
            <w:vAlign w:val="center"/>
          </w:tcPr>
          <w:p>
            <w:pPr>
              <w:rPr>
                <w:rFonts w:ascii="宋体" w:hAnsi="宋体"/>
                <w:color w:val="auto"/>
              </w:rPr>
            </w:pPr>
            <w:r>
              <w:rPr>
                <w:rFonts w:hint="eastAsia" w:ascii="宋体" w:hAnsi="宋体"/>
                <w:color w:val="auto"/>
                <w:lang w:val="en-US" w:eastAsia="zh-CN"/>
              </w:rPr>
              <w:t>（5）</w:t>
            </w:r>
            <w:r>
              <w:rPr>
                <w:rFonts w:hint="eastAsia" w:ascii="宋体" w:hAnsi="宋体"/>
                <w:color w:val="auto"/>
              </w:rPr>
              <w:t>投标产品多联式空调室内机的温度调节（0～5分）：室内机温度控制精度达到±0</w:t>
            </w:r>
            <w:r>
              <w:rPr>
                <w:rFonts w:ascii="宋体" w:hAnsi="宋体"/>
                <w:color w:val="auto"/>
              </w:rPr>
              <w:t>.5</w:t>
            </w:r>
            <w:r>
              <w:rPr>
                <w:rFonts w:hint="eastAsia" w:ascii="宋体" w:hAnsi="宋体"/>
                <w:color w:val="auto"/>
              </w:rPr>
              <w:t>℃的得2分；室内机通过多个高灵敏温度探头实现精密控制的得2分；横向比较精确控制冷媒流量的内外机单个电子膨胀阀可实现的调节精度，最高者的得1分。（</w:t>
            </w:r>
            <w:r>
              <w:rPr>
                <w:rFonts w:ascii="宋体" w:hAnsi="宋体"/>
                <w:color w:val="auto"/>
              </w:rPr>
              <w:t>提供样本及制造商证明，均</w:t>
            </w:r>
            <w:r>
              <w:rPr>
                <w:rFonts w:hint="eastAsia" w:ascii="宋体" w:hAnsi="宋体"/>
                <w:color w:val="auto"/>
              </w:rPr>
              <w:t>须</w:t>
            </w:r>
            <w:r>
              <w:rPr>
                <w:rFonts w:ascii="宋体" w:hAnsi="宋体"/>
                <w:color w:val="auto"/>
              </w:rPr>
              <w:t>加盖投标人和制造商公章</w:t>
            </w:r>
            <w:r>
              <w:rPr>
                <w:rFonts w:hint="eastAsia" w:ascii="宋体" w:hAnsi="宋体"/>
                <w:color w:val="auto"/>
              </w:rPr>
              <w:t>）</w:t>
            </w:r>
            <w:r>
              <w:rPr>
                <w:rFonts w:ascii="宋体" w:hAnsi="宋体"/>
                <w:color w:val="auto"/>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675" w:type="dxa"/>
            <w:vMerge w:val="continue"/>
            <w:vAlign w:val="center"/>
          </w:tcPr>
          <w:p>
            <w:pPr>
              <w:jc w:val="center"/>
              <w:rPr>
                <w:rFonts w:ascii="宋体" w:hAnsi="宋体"/>
              </w:rPr>
            </w:pPr>
          </w:p>
        </w:tc>
        <w:tc>
          <w:tcPr>
            <w:tcW w:w="1560" w:type="dxa"/>
            <w:vMerge w:val="continue"/>
            <w:vAlign w:val="center"/>
          </w:tcPr>
          <w:p>
            <w:pPr>
              <w:rPr>
                <w:rFonts w:ascii="宋体" w:hAnsi="宋体"/>
              </w:rPr>
            </w:pPr>
          </w:p>
        </w:tc>
        <w:tc>
          <w:tcPr>
            <w:tcW w:w="7683" w:type="dxa"/>
            <w:shd w:val="clear" w:color="auto" w:fill="auto"/>
            <w:vAlign w:val="center"/>
          </w:tcPr>
          <w:p>
            <w:pPr>
              <w:rPr>
                <w:rFonts w:ascii="宋体" w:hAnsi="宋体"/>
                <w:color w:val="auto"/>
              </w:rPr>
            </w:pPr>
            <w:r>
              <w:rPr>
                <w:rFonts w:hint="eastAsia" w:ascii="宋体" w:hAnsi="宋体"/>
                <w:color w:val="auto"/>
                <w:lang w:val="en-US" w:eastAsia="zh-CN"/>
              </w:rPr>
              <w:t>（6）</w:t>
            </w:r>
            <w:r>
              <w:rPr>
                <w:rFonts w:hint="eastAsia" w:ascii="宋体" w:hAnsi="宋体"/>
                <w:color w:val="auto"/>
              </w:rPr>
              <w:t>投标产品</w:t>
            </w:r>
            <w:r>
              <w:rPr>
                <w:rFonts w:ascii="宋体" w:hAnsi="宋体"/>
                <w:color w:val="auto"/>
              </w:rPr>
              <w:t>室外机风扇电机采用无级调速直流电机</w:t>
            </w:r>
            <w:r>
              <w:rPr>
                <w:rFonts w:hint="eastAsia" w:ascii="宋体" w:hAnsi="宋体"/>
                <w:color w:val="auto"/>
              </w:rPr>
              <w:t>的</w:t>
            </w:r>
            <w:r>
              <w:rPr>
                <w:rFonts w:ascii="宋体" w:hAnsi="宋体"/>
                <w:color w:val="auto"/>
              </w:rPr>
              <w:t>得</w:t>
            </w:r>
            <w:r>
              <w:rPr>
                <w:rFonts w:hint="eastAsia" w:ascii="宋体" w:hAnsi="宋体"/>
                <w:color w:val="auto"/>
              </w:rPr>
              <w:t>3</w:t>
            </w:r>
            <w:r>
              <w:rPr>
                <w:rFonts w:ascii="宋体" w:hAnsi="宋体"/>
                <w:color w:val="auto"/>
              </w:rPr>
              <w:t>分，室内机风扇电机采用直流无刷电机的得</w:t>
            </w:r>
            <w:r>
              <w:rPr>
                <w:rFonts w:hint="eastAsia" w:ascii="宋体" w:hAnsi="宋体"/>
                <w:color w:val="auto"/>
              </w:rPr>
              <w:t>2分；其他不得分。（0～5分）（</w:t>
            </w:r>
            <w:r>
              <w:rPr>
                <w:rFonts w:ascii="宋体" w:hAnsi="宋体"/>
                <w:color w:val="auto"/>
              </w:rPr>
              <w:t>提供样本及制造商证明，均</w:t>
            </w:r>
            <w:r>
              <w:rPr>
                <w:rFonts w:hint="eastAsia" w:ascii="宋体" w:hAnsi="宋体"/>
                <w:color w:val="auto"/>
              </w:rPr>
              <w:t>须</w:t>
            </w:r>
            <w:r>
              <w:rPr>
                <w:rFonts w:ascii="宋体" w:hAnsi="宋体"/>
                <w:color w:val="auto"/>
              </w:rPr>
              <w:t>加盖投标人和制造商公章</w:t>
            </w:r>
            <w:r>
              <w:rPr>
                <w:rFonts w:hint="eastAsia" w:ascii="宋体" w:hAnsi="宋体"/>
                <w:color w:val="auto"/>
              </w:rPr>
              <w:t>）</w:t>
            </w:r>
            <w:r>
              <w:rPr>
                <w:rFonts w:ascii="宋体" w:hAnsi="宋体"/>
                <w:color w:val="auto"/>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675" w:type="dxa"/>
            <w:vMerge w:val="continue"/>
            <w:vAlign w:val="center"/>
          </w:tcPr>
          <w:p>
            <w:pPr>
              <w:jc w:val="center"/>
              <w:rPr>
                <w:rFonts w:ascii="宋体" w:hAnsi="宋体"/>
              </w:rPr>
            </w:pPr>
          </w:p>
        </w:tc>
        <w:tc>
          <w:tcPr>
            <w:tcW w:w="1560" w:type="dxa"/>
            <w:vMerge w:val="continue"/>
            <w:vAlign w:val="center"/>
          </w:tcPr>
          <w:p>
            <w:pPr>
              <w:rPr>
                <w:rFonts w:ascii="宋体" w:hAnsi="宋体"/>
              </w:rPr>
            </w:pPr>
          </w:p>
        </w:tc>
        <w:tc>
          <w:tcPr>
            <w:tcW w:w="7683" w:type="dxa"/>
            <w:shd w:val="clear" w:color="auto" w:fill="auto"/>
            <w:vAlign w:val="center"/>
          </w:tcPr>
          <w:p>
            <w:pPr>
              <w:rPr>
                <w:rFonts w:hint="eastAsia" w:ascii="宋体" w:hAnsi="宋体"/>
                <w:color w:val="auto"/>
              </w:rPr>
            </w:pPr>
            <w:r>
              <w:rPr>
                <w:rFonts w:hint="eastAsia" w:ascii="宋体" w:hAnsi="宋体"/>
                <w:color w:val="auto"/>
                <w:lang w:val="en-US" w:eastAsia="zh-CN"/>
              </w:rPr>
              <w:t>（7）</w:t>
            </w:r>
            <w:r>
              <w:rPr>
                <w:rFonts w:hint="eastAsia" w:ascii="宋体" w:hAnsi="宋体"/>
                <w:color w:val="auto"/>
              </w:rPr>
              <w:t>投标产品多联式空调应对部分室内机故障时，其余室内机仍可正常运转，有此功能的得5分，无此功能的得0分。（0～5分）（</w:t>
            </w:r>
            <w:r>
              <w:rPr>
                <w:rFonts w:ascii="宋体" w:hAnsi="宋体"/>
                <w:color w:val="auto"/>
              </w:rPr>
              <w:t>提供样本及制造商证明，均</w:t>
            </w:r>
            <w:r>
              <w:rPr>
                <w:rFonts w:hint="eastAsia" w:ascii="宋体" w:hAnsi="宋体"/>
                <w:color w:val="auto"/>
              </w:rPr>
              <w:t>须</w:t>
            </w:r>
            <w:r>
              <w:rPr>
                <w:rFonts w:ascii="宋体" w:hAnsi="宋体"/>
                <w:color w:val="auto"/>
              </w:rPr>
              <w:t>加盖投标人和制造商公章</w:t>
            </w:r>
            <w:r>
              <w:rPr>
                <w:rFonts w:hint="eastAsia" w:ascii="宋体" w:hAnsi="宋体"/>
                <w:color w:val="auto"/>
              </w:rPr>
              <w:t>）</w:t>
            </w:r>
            <w:r>
              <w:rPr>
                <w:rFonts w:ascii="宋体" w:hAnsi="宋体"/>
                <w:color w:val="auto"/>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5" w:hRule="atLeast"/>
        </w:trPr>
        <w:tc>
          <w:tcPr>
            <w:tcW w:w="675" w:type="dxa"/>
            <w:vMerge w:val="continue"/>
            <w:vAlign w:val="center"/>
          </w:tcPr>
          <w:p>
            <w:pPr>
              <w:jc w:val="center"/>
              <w:rPr>
                <w:rFonts w:ascii="宋体" w:hAnsi="宋体"/>
              </w:rPr>
            </w:pPr>
          </w:p>
        </w:tc>
        <w:tc>
          <w:tcPr>
            <w:tcW w:w="1560" w:type="dxa"/>
            <w:vMerge w:val="continue"/>
            <w:vAlign w:val="center"/>
          </w:tcPr>
          <w:p>
            <w:pPr>
              <w:rPr>
                <w:rFonts w:ascii="宋体" w:hAnsi="宋体"/>
              </w:rPr>
            </w:pPr>
          </w:p>
        </w:tc>
        <w:tc>
          <w:tcPr>
            <w:tcW w:w="7683" w:type="dxa"/>
            <w:vAlign w:val="center"/>
          </w:tcPr>
          <w:p>
            <w:pPr>
              <w:rPr>
                <w:rFonts w:ascii="宋体" w:hAnsi="宋体"/>
                <w:color w:val="auto"/>
              </w:rPr>
            </w:pPr>
            <w:r>
              <w:rPr>
                <w:rFonts w:hint="eastAsia" w:ascii="宋体" w:hAnsi="宋体"/>
                <w:color w:val="auto"/>
                <w:lang w:val="en-US" w:eastAsia="zh-CN"/>
              </w:rPr>
              <w:t>（8）</w:t>
            </w:r>
            <w:r>
              <w:rPr>
                <w:rFonts w:ascii="宋体" w:hAnsi="宋体"/>
                <w:color w:val="auto"/>
              </w:rPr>
              <w:t>室外机</w:t>
            </w:r>
            <w:r>
              <w:rPr>
                <w:rFonts w:hint="eastAsia" w:ascii="宋体" w:hAnsi="宋体"/>
                <w:color w:val="auto"/>
              </w:rPr>
              <w:t>油</w:t>
            </w:r>
            <w:r>
              <w:rPr>
                <w:rFonts w:ascii="宋体" w:hAnsi="宋体"/>
                <w:color w:val="auto"/>
              </w:rPr>
              <w:t>分离</w:t>
            </w:r>
            <w:r>
              <w:rPr>
                <w:rFonts w:hint="eastAsia" w:ascii="宋体" w:hAnsi="宋体"/>
                <w:color w:val="auto"/>
                <w:lang w:val="en-US" w:eastAsia="zh-CN"/>
              </w:rPr>
              <w:t>技术</w:t>
            </w:r>
            <w:r>
              <w:rPr>
                <w:rFonts w:hint="eastAsia" w:ascii="宋体" w:hAnsi="宋体"/>
                <w:color w:val="auto"/>
              </w:rPr>
              <w:t>（0～5分）：室外机采用三重或以上的多重回油技术得3分；</w:t>
            </w:r>
            <w:r>
              <w:rPr>
                <w:rFonts w:hint="eastAsia"/>
                <w:color w:val="auto"/>
              </w:rPr>
              <w:t>室外机采用自动</w:t>
            </w:r>
            <w:r>
              <w:rPr>
                <w:color w:val="auto"/>
              </w:rPr>
              <w:t>均油技术，即无需均油管</w:t>
            </w:r>
            <w:r>
              <w:rPr>
                <w:rFonts w:hint="eastAsia"/>
                <w:color w:val="auto"/>
              </w:rPr>
              <w:t>就可实现回油的得2分；其他不得分</w:t>
            </w:r>
            <w:r>
              <w:rPr>
                <w:color w:val="auto"/>
              </w:rPr>
              <w:t>。</w:t>
            </w:r>
            <w:r>
              <w:rPr>
                <w:rFonts w:hint="eastAsia" w:ascii="宋体" w:hAnsi="宋体"/>
                <w:color w:val="auto"/>
              </w:rPr>
              <w:t>（</w:t>
            </w:r>
            <w:r>
              <w:rPr>
                <w:rFonts w:ascii="宋体" w:hAnsi="宋体"/>
                <w:color w:val="auto"/>
              </w:rPr>
              <w:t>提供样本及制造商证明，均</w:t>
            </w:r>
            <w:r>
              <w:rPr>
                <w:rFonts w:hint="eastAsia" w:ascii="宋体" w:hAnsi="宋体"/>
                <w:color w:val="auto"/>
              </w:rPr>
              <w:t>须</w:t>
            </w:r>
            <w:r>
              <w:rPr>
                <w:rFonts w:ascii="宋体" w:hAnsi="宋体"/>
                <w:color w:val="auto"/>
              </w:rPr>
              <w:t>加盖投标人和制造商公章</w:t>
            </w:r>
            <w:r>
              <w:rPr>
                <w:rFonts w:hint="eastAsia" w:ascii="宋体" w:hAnsi="宋体"/>
                <w:color w:val="auto"/>
              </w:rPr>
              <w:t>）</w:t>
            </w:r>
            <w:r>
              <w:rPr>
                <w:rFonts w:ascii="宋体" w:hAnsi="宋体"/>
                <w:color w:val="auto"/>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75" w:type="dxa"/>
            <w:vMerge w:val="continue"/>
            <w:vAlign w:val="center"/>
          </w:tcPr>
          <w:p>
            <w:pPr>
              <w:jc w:val="center"/>
              <w:rPr>
                <w:rFonts w:ascii="宋体" w:hAnsi="宋体"/>
              </w:rPr>
            </w:pPr>
          </w:p>
        </w:tc>
        <w:tc>
          <w:tcPr>
            <w:tcW w:w="1560" w:type="dxa"/>
            <w:vMerge w:val="continue"/>
            <w:vAlign w:val="center"/>
          </w:tcPr>
          <w:p>
            <w:pPr>
              <w:rPr>
                <w:rFonts w:ascii="宋体" w:hAnsi="宋体"/>
              </w:rPr>
            </w:pPr>
          </w:p>
        </w:tc>
        <w:tc>
          <w:tcPr>
            <w:tcW w:w="7683" w:type="dxa"/>
            <w:vAlign w:val="center"/>
          </w:tcPr>
          <w:p>
            <w:pPr>
              <w:rPr>
                <w:rFonts w:ascii="宋体" w:hAnsi="宋体"/>
                <w:color w:val="auto"/>
              </w:rPr>
            </w:pPr>
            <w:r>
              <w:rPr>
                <w:rFonts w:hint="eastAsia" w:ascii="宋体" w:hAnsi="宋体"/>
                <w:color w:val="auto"/>
                <w:lang w:val="en-US" w:eastAsia="zh-CN"/>
              </w:rPr>
              <w:t>（9）</w:t>
            </w:r>
            <w:r>
              <w:rPr>
                <w:rFonts w:hint="eastAsia" w:ascii="宋体" w:hAnsi="宋体"/>
                <w:color w:val="auto"/>
                <w:kern w:val="0"/>
                <w:szCs w:val="21"/>
              </w:rPr>
              <w:t>▲条款不符合</w:t>
            </w:r>
            <w:r>
              <w:rPr>
                <w:rFonts w:ascii="宋体" w:hAnsi="宋体"/>
                <w:color w:val="auto"/>
                <w:kern w:val="0"/>
                <w:szCs w:val="21"/>
              </w:rPr>
              <w:t>招标需求</w:t>
            </w:r>
            <w:r>
              <w:rPr>
                <w:rFonts w:hint="eastAsia" w:ascii="宋体" w:hAnsi="宋体"/>
                <w:color w:val="auto"/>
                <w:kern w:val="0"/>
                <w:szCs w:val="21"/>
              </w:rPr>
              <w:t>的按无效标处理；</w:t>
            </w:r>
            <w:r>
              <w:rPr>
                <w:rFonts w:ascii="宋体" w:hAnsi="宋体"/>
                <w:color w:val="auto"/>
                <w:kern w:val="0"/>
                <w:szCs w:val="21"/>
              </w:rPr>
              <w:t>满足招标货物的</w:t>
            </w:r>
            <w:r>
              <w:rPr>
                <w:rFonts w:hint="eastAsia" w:ascii="宋体" w:hAnsi="宋体"/>
                <w:color w:val="auto"/>
                <w:kern w:val="0"/>
                <w:szCs w:val="21"/>
              </w:rPr>
              <w:t>主要技术规格和要求</w:t>
            </w:r>
            <w:r>
              <w:rPr>
                <w:rFonts w:ascii="宋体" w:hAnsi="宋体"/>
                <w:color w:val="auto"/>
                <w:kern w:val="0"/>
                <w:szCs w:val="21"/>
              </w:rPr>
              <w:t>、基本技术要求的得</w:t>
            </w:r>
            <w:r>
              <w:rPr>
                <w:rFonts w:hint="eastAsia" w:ascii="宋体" w:hAnsi="宋体"/>
                <w:color w:val="auto"/>
                <w:kern w:val="0"/>
                <w:szCs w:val="21"/>
                <w:lang w:val="en-US" w:eastAsia="zh-CN"/>
              </w:rPr>
              <w:t>10</w:t>
            </w:r>
            <w:r>
              <w:rPr>
                <w:rFonts w:ascii="宋体" w:hAnsi="宋体"/>
                <w:color w:val="auto"/>
                <w:kern w:val="0"/>
                <w:szCs w:val="21"/>
              </w:rPr>
              <w:t>分；</w:t>
            </w:r>
            <w:r>
              <w:rPr>
                <w:rFonts w:hint="eastAsia" w:ascii="宋体" w:hAnsi="宋体"/>
                <w:color w:val="auto"/>
                <w:kern w:val="0"/>
                <w:szCs w:val="21"/>
                <w:lang w:val="en-US" w:eastAsia="zh-CN"/>
              </w:rPr>
              <w:t>单台室内机、室外机制冷量</w:t>
            </w:r>
            <w:r>
              <w:rPr>
                <w:rFonts w:hint="eastAsia" w:ascii="宋体" w:hAnsi="宋体"/>
                <w:color w:val="auto"/>
                <w:kern w:val="0"/>
                <w:szCs w:val="21"/>
              </w:rPr>
              <w:t>、</w:t>
            </w:r>
            <w:r>
              <w:rPr>
                <w:rFonts w:hAnsi="宋体"/>
                <w:color w:val="auto"/>
                <w:szCs w:val="21"/>
              </w:rPr>
              <w:t>室外机</w:t>
            </w:r>
            <w:r>
              <w:rPr>
                <w:rFonts w:hint="eastAsia" w:hAnsi="宋体"/>
                <w:color w:val="auto"/>
                <w:szCs w:val="21"/>
              </w:rPr>
              <w:t>正常工作温度</w:t>
            </w:r>
            <w:r>
              <w:rPr>
                <w:rFonts w:hint="eastAsia" w:hAnsi="宋体"/>
                <w:color w:val="auto"/>
                <w:szCs w:val="21"/>
                <w:lang w:val="en-US" w:eastAsia="zh-CN"/>
              </w:rPr>
              <w:t>等</w:t>
            </w:r>
            <w:r>
              <w:rPr>
                <w:rFonts w:ascii="宋体" w:hAnsi="宋体"/>
                <w:color w:val="auto"/>
                <w:kern w:val="0"/>
                <w:szCs w:val="21"/>
              </w:rPr>
              <w:t>每出现一项低于招标需求（负偏离）的，每项扣</w:t>
            </w:r>
            <w:r>
              <w:rPr>
                <w:rFonts w:hint="eastAsia" w:ascii="宋体" w:hAnsi="宋体"/>
                <w:color w:val="auto"/>
                <w:kern w:val="0"/>
                <w:szCs w:val="21"/>
                <w:lang w:val="en-US" w:eastAsia="zh-CN"/>
              </w:rPr>
              <w:t>3</w:t>
            </w:r>
            <w:r>
              <w:rPr>
                <w:rFonts w:ascii="宋体" w:hAnsi="宋体"/>
                <w:color w:val="auto"/>
                <w:kern w:val="0"/>
                <w:szCs w:val="21"/>
              </w:rPr>
              <w:t>分，扣完为止</w:t>
            </w:r>
            <w:r>
              <w:rPr>
                <w:rFonts w:hint="eastAsia" w:ascii="宋体" w:hAnsi="宋体"/>
                <w:color w:val="auto"/>
                <w:kern w:val="0"/>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75" w:type="dxa"/>
            <w:vAlign w:val="center"/>
          </w:tcPr>
          <w:p>
            <w:pPr>
              <w:jc w:val="center"/>
              <w:rPr>
                <w:rFonts w:ascii="宋体" w:hAnsi="宋体"/>
              </w:rPr>
            </w:pPr>
            <w:r>
              <w:rPr>
                <w:rFonts w:ascii="宋体" w:hAnsi="宋体"/>
              </w:rPr>
              <w:t>2</w:t>
            </w:r>
          </w:p>
        </w:tc>
        <w:tc>
          <w:tcPr>
            <w:tcW w:w="1560" w:type="dxa"/>
            <w:vAlign w:val="center"/>
          </w:tcPr>
          <w:p>
            <w:pPr>
              <w:jc w:val="center"/>
              <w:rPr>
                <w:rFonts w:ascii="宋体" w:hAnsi="宋体"/>
              </w:rPr>
            </w:pPr>
            <w:r>
              <w:rPr>
                <w:rFonts w:ascii="宋体" w:hAnsi="宋体"/>
              </w:rPr>
              <w:t>施工组织实施方案</w:t>
            </w:r>
          </w:p>
        </w:tc>
        <w:tc>
          <w:tcPr>
            <w:tcW w:w="7683" w:type="dxa"/>
            <w:vAlign w:val="center"/>
          </w:tcPr>
          <w:p>
            <w:pPr>
              <w:rPr>
                <w:rFonts w:ascii="宋体" w:hAnsi="宋体"/>
                <w:color w:val="auto"/>
              </w:rPr>
            </w:pPr>
            <w:r>
              <w:rPr>
                <w:rFonts w:ascii="宋体" w:hAnsi="宋体"/>
                <w:color w:val="auto"/>
              </w:rPr>
              <w:t>针对现场情况提出完善的项目施工组织方案，包括：施工前准备、施工过程与</w:t>
            </w:r>
            <w:r>
              <w:rPr>
                <w:rFonts w:hint="eastAsia" w:ascii="宋体" w:hAnsi="宋体"/>
                <w:color w:val="auto"/>
                <w:lang w:val="en-US" w:eastAsia="zh-CN"/>
              </w:rPr>
              <w:t>装修</w:t>
            </w:r>
            <w:r>
              <w:rPr>
                <w:rFonts w:ascii="宋体" w:hAnsi="宋体"/>
                <w:color w:val="auto"/>
              </w:rPr>
              <w:t>配合、进度计划、安全文明措施、安装调试方案等，得0-10分。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918" w:type="dxa"/>
            <w:gridSpan w:val="3"/>
            <w:tcBorders>
              <w:top w:val="single" w:color="auto" w:sz="4" w:space="0"/>
            </w:tcBorders>
            <w:vAlign w:val="center"/>
          </w:tcPr>
          <w:p>
            <w:pPr>
              <w:jc w:val="center"/>
              <w:rPr>
                <w:rFonts w:ascii="宋体" w:hAnsi="宋体"/>
              </w:rPr>
            </w:pPr>
            <w:r>
              <w:rPr>
                <w:rFonts w:ascii="宋体" w:hAnsi="宋体"/>
              </w:rPr>
              <w:t>（二）资信商务分（</w:t>
            </w:r>
            <w:r>
              <w:rPr>
                <w:rFonts w:hint="eastAsia" w:ascii="宋体" w:hAnsi="宋体"/>
                <w:lang w:val="en-US" w:eastAsia="zh-CN"/>
              </w:rPr>
              <w:t>10</w:t>
            </w:r>
            <w:r>
              <w:rPr>
                <w:rFonts w:ascii="宋体" w:hAnsi="宋体"/>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94" w:hRule="atLeast"/>
        </w:trPr>
        <w:tc>
          <w:tcPr>
            <w:tcW w:w="675" w:type="dxa"/>
            <w:vAlign w:val="center"/>
          </w:tcPr>
          <w:p>
            <w:pPr>
              <w:jc w:val="center"/>
              <w:rPr>
                <w:rFonts w:ascii="宋体" w:hAnsi="宋体"/>
              </w:rPr>
            </w:pPr>
            <w:r>
              <w:rPr>
                <w:rFonts w:ascii="宋体" w:hAnsi="宋体"/>
              </w:rPr>
              <w:t>3</w:t>
            </w:r>
          </w:p>
        </w:tc>
        <w:tc>
          <w:tcPr>
            <w:tcW w:w="1560" w:type="dxa"/>
            <w:vAlign w:val="center"/>
          </w:tcPr>
          <w:p>
            <w:pPr>
              <w:jc w:val="center"/>
              <w:rPr>
                <w:rFonts w:ascii="宋体" w:hAnsi="宋体"/>
              </w:rPr>
            </w:pPr>
            <w:r>
              <w:rPr>
                <w:rFonts w:ascii="宋体" w:hAnsi="宋体"/>
              </w:rPr>
              <w:t>业绩</w:t>
            </w:r>
          </w:p>
        </w:tc>
        <w:tc>
          <w:tcPr>
            <w:tcW w:w="7683" w:type="dxa"/>
            <w:vAlign w:val="center"/>
          </w:tcPr>
          <w:p>
            <w:pPr>
              <w:rPr>
                <w:rFonts w:ascii="宋体" w:hAnsi="宋体"/>
              </w:rPr>
            </w:pPr>
            <w:r>
              <w:rPr>
                <w:rFonts w:ascii="宋体" w:hAnsi="宋体"/>
                <w:highlight w:val="none"/>
              </w:rPr>
              <w:t>投标人</w:t>
            </w:r>
            <w:r>
              <w:rPr>
                <w:rFonts w:ascii="宋体" w:hAnsi="宋体"/>
              </w:rPr>
              <w:t>自2019年1月1日以来承接过类似</w:t>
            </w:r>
            <w:r>
              <w:rPr>
                <w:rFonts w:hint="eastAsia" w:ascii="宋体" w:hAnsi="宋体"/>
              </w:rPr>
              <w:t>多联式空调</w:t>
            </w:r>
            <w:r>
              <w:rPr>
                <w:rFonts w:ascii="宋体" w:hAnsi="宋体"/>
              </w:rPr>
              <w:t>的业绩，每一个得1分，最多得</w:t>
            </w:r>
            <w:r>
              <w:rPr>
                <w:rFonts w:hint="eastAsia" w:ascii="宋体" w:hAnsi="宋体"/>
                <w:lang w:val="en-US" w:eastAsia="zh-CN"/>
              </w:rPr>
              <w:t>3</w:t>
            </w:r>
            <w:r>
              <w:rPr>
                <w:rFonts w:ascii="宋体" w:hAnsi="宋体"/>
              </w:rPr>
              <w:t>分。</w:t>
            </w:r>
            <w:r>
              <w:rPr>
                <w:rFonts w:hint="eastAsia" w:ascii="宋体" w:hAnsi="宋体"/>
                <w:lang w:val="en-US" w:eastAsia="zh-CN"/>
              </w:rPr>
              <w:t>提供</w:t>
            </w:r>
            <w:r>
              <w:rPr>
                <w:rFonts w:ascii="宋体" w:hAnsi="宋体"/>
              </w:rPr>
              <w:t>合同</w:t>
            </w:r>
            <w:r>
              <w:rPr>
                <w:rFonts w:hint="eastAsia" w:ascii="宋体" w:hAnsi="宋体"/>
                <w:lang w:val="en-US" w:eastAsia="zh-CN"/>
              </w:rPr>
              <w:t>和中标通知书，</w:t>
            </w:r>
            <w:r>
              <w:rPr>
                <w:rFonts w:hint="eastAsia" w:ascii="宋体" w:hAnsi="宋体"/>
              </w:rPr>
              <w:t>以中标通知书发出时间为准</w:t>
            </w:r>
            <w:r>
              <w:rPr>
                <w:rFonts w:ascii="宋体" w:hAnsi="宋体"/>
              </w:rPr>
              <w:t>，不提供不得分。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59" w:hRule="atLeast"/>
        </w:trPr>
        <w:tc>
          <w:tcPr>
            <w:tcW w:w="675" w:type="dxa"/>
            <w:vAlign w:val="center"/>
          </w:tcPr>
          <w:p>
            <w:pPr>
              <w:jc w:val="center"/>
              <w:rPr>
                <w:rFonts w:hint="eastAsia" w:ascii="宋体" w:hAnsi="宋体" w:eastAsia="宋体"/>
                <w:lang w:eastAsia="zh-CN"/>
              </w:rPr>
            </w:pPr>
            <w:r>
              <w:rPr>
                <w:rFonts w:hint="eastAsia" w:ascii="宋体" w:hAnsi="宋体"/>
                <w:lang w:val="en-US" w:eastAsia="zh-CN"/>
              </w:rPr>
              <w:t>4</w:t>
            </w:r>
          </w:p>
        </w:tc>
        <w:tc>
          <w:tcPr>
            <w:tcW w:w="1560" w:type="dxa"/>
            <w:vAlign w:val="center"/>
          </w:tcPr>
          <w:p>
            <w:pPr>
              <w:spacing w:line="340" w:lineRule="exact"/>
              <w:jc w:val="center"/>
              <w:rPr>
                <w:rFonts w:ascii="宋体" w:hAnsi="宋体"/>
              </w:rPr>
            </w:pPr>
            <w:r>
              <w:rPr>
                <w:rFonts w:ascii="宋体" w:hAnsi="宋体"/>
              </w:rPr>
              <w:t>售后服务</w:t>
            </w:r>
          </w:p>
        </w:tc>
        <w:tc>
          <w:tcPr>
            <w:tcW w:w="7683" w:type="dxa"/>
            <w:vAlign w:val="center"/>
          </w:tcPr>
          <w:p>
            <w:pPr>
              <w:rPr>
                <w:rFonts w:ascii="宋体" w:hAnsi="宋体"/>
              </w:rPr>
            </w:pPr>
            <w:r>
              <w:rPr>
                <w:rFonts w:ascii="宋体" w:hAnsi="宋体"/>
              </w:rPr>
              <w:t>根据供应商售后服务方案（包括售后服务内容，售后服务网点详细介绍，故障响应时间，修复时间，应急反应措施，服务质量保证措施，免费质保期结束后的维修费用、优惠折扣等）进行综合评分1-</w:t>
            </w:r>
            <w:r>
              <w:rPr>
                <w:rFonts w:hint="eastAsia" w:ascii="宋体" w:hAnsi="宋体"/>
                <w:lang w:val="en-US" w:eastAsia="zh-CN"/>
              </w:rPr>
              <w:t>4</w:t>
            </w:r>
            <w:r>
              <w:rPr>
                <w:rFonts w:ascii="宋体" w:hAnsi="宋体"/>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76" w:hRule="atLeast"/>
        </w:trPr>
        <w:tc>
          <w:tcPr>
            <w:tcW w:w="675" w:type="dxa"/>
            <w:vAlign w:val="center"/>
          </w:tcPr>
          <w:p>
            <w:pPr>
              <w:jc w:val="center"/>
              <w:rPr>
                <w:rFonts w:hint="eastAsia" w:ascii="宋体" w:hAnsi="宋体" w:eastAsia="宋体"/>
                <w:lang w:eastAsia="zh-CN"/>
              </w:rPr>
            </w:pPr>
            <w:r>
              <w:rPr>
                <w:rFonts w:hint="eastAsia" w:ascii="宋体" w:hAnsi="宋体"/>
                <w:lang w:val="en-US" w:eastAsia="zh-CN"/>
              </w:rPr>
              <w:t>5</w:t>
            </w:r>
          </w:p>
        </w:tc>
        <w:tc>
          <w:tcPr>
            <w:tcW w:w="1560" w:type="dxa"/>
            <w:vAlign w:val="center"/>
          </w:tcPr>
          <w:p>
            <w:pPr>
              <w:spacing w:line="340" w:lineRule="exact"/>
              <w:jc w:val="center"/>
              <w:rPr>
                <w:rFonts w:ascii="宋体" w:hAnsi="宋体"/>
              </w:rPr>
            </w:pPr>
            <w:r>
              <w:rPr>
                <w:rFonts w:hint="eastAsia" w:ascii="宋体" w:hAnsi="宋体"/>
              </w:rPr>
              <w:t>质保期</w:t>
            </w:r>
          </w:p>
        </w:tc>
        <w:tc>
          <w:tcPr>
            <w:tcW w:w="7683" w:type="dxa"/>
            <w:tcBorders>
              <w:bottom w:val="single" w:color="auto" w:sz="4" w:space="0"/>
            </w:tcBorders>
            <w:vAlign w:val="center"/>
          </w:tcPr>
          <w:p>
            <w:pPr>
              <w:rPr>
                <w:rFonts w:ascii="宋体" w:hAnsi="宋体"/>
              </w:rPr>
            </w:pPr>
            <w:r>
              <w:rPr>
                <w:rFonts w:hint="eastAsia" w:ascii="宋体" w:hAnsi="宋体"/>
              </w:rPr>
              <w:t>在原有质保期（贰年）的基础上，每增加1年得1分，最多加</w:t>
            </w:r>
            <w:r>
              <w:rPr>
                <w:rFonts w:hint="eastAsia" w:ascii="宋体" w:hAnsi="宋体"/>
                <w:lang w:val="en-US" w:eastAsia="zh-CN"/>
              </w:rPr>
              <w:t>3</w:t>
            </w:r>
            <w:r>
              <w:rPr>
                <w:rFonts w:hint="eastAsia" w:ascii="宋体" w:hAnsi="宋体"/>
              </w:rPr>
              <w:t>分。</w:t>
            </w:r>
          </w:p>
        </w:tc>
      </w:tr>
    </w:tbl>
    <w:p>
      <w:pPr>
        <w:pStyle w:val="9"/>
        <w:spacing w:before="120" w:beforeLines="50" w:after="120" w:afterLines="50" w:line="360" w:lineRule="auto"/>
        <w:ind w:left="1440" w:firstLine="0"/>
        <w:rPr>
          <w:rFonts w:hAnsi="宋体"/>
          <w:b/>
          <w:bCs/>
          <w:sz w:val="24"/>
          <w:szCs w:val="24"/>
        </w:rPr>
      </w:pPr>
    </w:p>
    <w:p>
      <w:pPr>
        <w:rPr>
          <w:rFonts w:asciiTheme="majorEastAsia" w:hAnsiTheme="majorEastAsia" w:eastAsiaTheme="majorEastAsia" w:cstheme="majorEastAsia"/>
        </w:rPr>
      </w:pPr>
    </w:p>
    <w:p>
      <w:pPr>
        <w:rPr>
          <w:rFonts w:asciiTheme="majorEastAsia" w:hAnsiTheme="majorEastAsia" w:eastAsiaTheme="majorEastAsia" w:cstheme="majorEastAsia"/>
        </w:rPr>
      </w:pPr>
    </w:p>
    <w:p>
      <w:pPr>
        <w:pStyle w:val="9"/>
        <w:ind w:firstLine="0"/>
        <w:rPr>
          <w:rFonts w:asciiTheme="majorEastAsia" w:hAnsiTheme="majorEastAsia" w:eastAsiaTheme="majorEastAsia" w:cstheme="majorEastAsia"/>
        </w:rPr>
      </w:pPr>
    </w:p>
    <w:p>
      <w:pPr>
        <w:pStyle w:val="6"/>
        <w:rPr>
          <w:rFonts w:asciiTheme="majorEastAsia" w:hAnsiTheme="majorEastAsia" w:eastAsiaTheme="majorEastAsia" w:cstheme="majorEastAsia"/>
        </w:rPr>
      </w:pPr>
      <w:bookmarkStart w:id="92" w:name="_Toc352395914"/>
      <w:r>
        <w:rPr>
          <w:rFonts w:hint="eastAsia" w:asciiTheme="majorEastAsia" w:hAnsiTheme="majorEastAsia" w:eastAsiaTheme="majorEastAsia" w:cstheme="majorEastAsia"/>
        </w:rPr>
        <w:t>第五章  嘉兴市政府采购合同（指引）</w:t>
      </w:r>
      <w:bookmarkEnd w:id="38"/>
      <w:bookmarkEnd w:id="92"/>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 xml:space="preserve">招标编号：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 xml:space="preserve">合同编号：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宋体" w:hAnsi="宋体" w:eastAsia="宋体"/>
          <w:kern w:val="0"/>
          <w:highlight w:val="green"/>
          <w:lang w:eastAsia="zh-CN"/>
        </w:rPr>
      </w:pPr>
      <w:r>
        <w:rPr>
          <w:rFonts w:ascii="宋体" w:hAnsi="宋体"/>
          <w:kern w:val="0"/>
        </w:rPr>
        <w:t xml:space="preserve">政府采购计划（预算）确认书号： </w:t>
      </w:r>
      <w:r>
        <w:rPr>
          <w:rFonts w:hint="eastAsia" w:ascii="宋体" w:hAnsi="宋体"/>
          <w:kern w:val="0"/>
          <w:lang w:eastAsia="zh-CN"/>
        </w:rPr>
        <w:t>临[2022]1520号</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宋体" w:hAnsi="宋体" w:eastAsia="宋体"/>
          <w:kern w:val="0"/>
          <w:lang w:eastAsia="zh-CN"/>
        </w:rPr>
      </w:pPr>
      <w:r>
        <w:rPr>
          <w:rFonts w:ascii="宋体" w:hAnsi="宋体"/>
          <w:kern w:val="0"/>
        </w:rPr>
        <w:t>采购人（以下称甲方）：</w:t>
      </w:r>
      <w:r>
        <w:rPr>
          <w:rFonts w:hint="eastAsia" w:ascii="宋体" w:hAnsi="宋体"/>
          <w:kern w:val="0"/>
          <w:lang w:eastAsia="zh-CN"/>
        </w:rPr>
        <w:t>嘉兴市秀洲区人民政府高照街道办事处</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供应商（以下称乙方）：</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采购代理机构：采购</w:t>
      </w:r>
      <w:r>
        <w:rPr>
          <w:rFonts w:hint="eastAsia" w:ascii="宋体" w:hAnsi="宋体"/>
          <w:kern w:val="0"/>
        </w:rPr>
        <w:t>方式</w:t>
      </w:r>
      <w:r>
        <w:rPr>
          <w:rFonts w:ascii="宋体" w:hAnsi="宋体"/>
          <w:kern w:val="0"/>
        </w:rPr>
        <w:t>：公开招标</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ascii="宋体" w:hAnsi="宋体"/>
          <w:kern w:val="0"/>
        </w:rPr>
      </w:pPr>
      <w:r>
        <w:rPr>
          <w:rFonts w:ascii="宋体" w:hAnsi="宋体"/>
          <w:kern w:val="0"/>
        </w:rPr>
        <w:t>根据《中华人民共和国政府采购法》《中华人民共和国民法典》等法律法规的规定，甲乙双方按照</w:t>
      </w:r>
      <w:r>
        <w:rPr>
          <w:rFonts w:hint="eastAsia" w:ascii="宋体" w:hAnsi="宋体"/>
          <w:kern w:val="0"/>
          <w:lang w:eastAsia="zh-CN"/>
        </w:rPr>
        <w:t>高照街道办事处搬迁改建空调设备采购及安装工</w:t>
      </w:r>
      <w:r>
        <w:rPr>
          <w:rFonts w:hint="eastAsia" w:ascii="宋体" w:hAnsi="宋体"/>
          <w:kern w:val="0"/>
          <w:lang w:val="en-US" w:eastAsia="zh-CN"/>
        </w:rPr>
        <w:t>程</w:t>
      </w:r>
      <w:r>
        <w:rPr>
          <w:rFonts w:ascii="宋体" w:hAnsi="宋体"/>
        </w:rPr>
        <w:t>采购</w:t>
      </w:r>
      <w:r>
        <w:rPr>
          <w:rFonts w:ascii="宋体" w:hAnsi="宋体"/>
          <w:kern w:val="0"/>
        </w:rPr>
        <w:t>结果签订本合同。</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ascii="宋体" w:hAnsi="宋体"/>
          <w:kern w:val="0"/>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b/>
          <w:kern w:val="0"/>
        </w:rPr>
      </w:pPr>
      <w:r>
        <w:rPr>
          <w:rFonts w:ascii="宋体" w:hAnsi="宋体"/>
          <w:b/>
          <w:kern w:val="0"/>
        </w:rPr>
        <w:t>第一条 合同组成</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本次政府采购活动的相关文件为本合同的组成部分，这些文件包括但不限于：</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（1）本合同文本；</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（2）招标文件与采购投标文件；</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（3）中标或成交通知书；</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组成本合同的所有文件必须为书面形式。政府采购合同备案时，须提供以上（1）、（3）两项，如由社会中介机构代理，须提供代理协议，合同如有变更的，须提供变更协议。</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b/>
          <w:kern w:val="0"/>
        </w:rPr>
      </w:pPr>
      <w:r>
        <w:rPr>
          <w:rFonts w:ascii="宋体" w:hAnsi="宋体"/>
          <w:b/>
          <w:kern w:val="0"/>
        </w:rPr>
        <w:t>第二条 合同标的</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本次采购的是</w:t>
      </w:r>
      <w:r>
        <w:rPr>
          <w:rFonts w:ascii="宋体" w:hAnsi="宋体"/>
          <w:kern w:val="0"/>
          <w:u w:val="single"/>
        </w:rPr>
        <w:t xml:space="preserve">                                         </w:t>
      </w:r>
    </w:p>
    <w:tbl>
      <w:tblPr>
        <w:tblStyle w:val="5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3"/>
        <w:gridCol w:w="1422"/>
        <w:gridCol w:w="1816"/>
        <w:gridCol w:w="977"/>
        <w:gridCol w:w="652"/>
        <w:gridCol w:w="1467"/>
        <w:gridCol w:w="14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733"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ascii="宋体" w:hAnsi="宋体"/>
                <w:b/>
                <w:sz w:val="21"/>
                <w:szCs w:val="21"/>
              </w:rPr>
            </w:pPr>
            <w:r>
              <w:rPr>
                <w:rFonts w:ascii="宋体" w:hAnsi="宋体"/>
                <w:b/>
                <w:sz w:val="21"/>
                <w:szCs w:val="21"/>
              </w:rPr>
              <w:t>序号</w:t>
            </w:r>
          </w:p>
        </w:tc>
        <w:tc>
          <w:tcPr>
            <w:tcW w:w="1422"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ascii="宋体" w:hAnsi="宋体"/>
                <w:b/>
                <w:sz w:val="21"/>
                <w:szCs w:val="21"/>
              </w:rPr>
            </w:pPr>
            <w:r>
              <w:rPr>
                <w:rFonts w:ascii="宋体" w:hAnsi="宋体"/>
                <w:b/>
                <w:sz w:val="21"/>
                <w:szCs w:val="21"/>
              </w:rPr>
              <w:t>（设备名称）</w:t>
            </w:r>
          </w:p>
        </w:tc>
        <w:tc>
          <w:tcPr>
            <w:tcW w:w="1816"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ascii="宋体" w:hAnsi="宋体"/>
                <w:b/>
                <w:sz w:val="21"/>
                <w:szCs w:val="21"/>
              </w:rPr>
            </w:pPr>
            <w:r>
              <w:rPr>
                <w:rFonts w:ascii="宋体" w:hAnsi="宋体"/>
                <w:b/>
                <w:sz w:val="21"/>
                <w:szCs w:val="21"/>
              </w:rPr>
              <w:t>型号、规格</w:t>
            </w:r>
          </w:p>
        </w:tc>
        <w:tc>
          <w:tcPr>
            <w:tcW w:w="977"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ascii="宋体" w:hAnsi="宋体"/>
                <w:b/>
                <w:sz w:val="21"/>
                <w:szCs w:val="21"/>
              </w:rPr>
            </w:pPr>
            <w:r>
              <w:rPr>
                <w:rFonts w:ascii="宋体" w:hAnsi="宋体"/>
                <w:b/>
                <w:sz w:val="21"/>
                <w:szCs w:val="21"/>
              </w:rPr>
              <w:t>单位</w:t>
            </w:r>
          </w:p>
        </w:tc>
        <w:tc>
          <w:tcPr>
            <w:tcW w:w="652"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ascii="宋体" w:hAnsi="宋体"/>
                <w:b/>
                <w:sz w:val="21"/>
                <w:szCs w:val="21"/>
              </w:rPr>
            </w:pPr>
            <w:r>
              <w:rPr>
                <w:rFonts w:ascii="宋体" w:hAnsi="宋体"/>
                <w:b/>
                <w:sz w:val="21"/>
                <w:szCs w:val="21"/>
              </w:rPr>
              <w:t>数量</w:t>
            </w:r>
          </w:p>
        </w:tc>
        <w:tc>
          <w:tcPr>
            <w:tcW w:w="1467"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ascii="宋体" w:hAnsi="宋体"/>
                <w:b/>
                <w:sz w:val="21"/>
                <w:szCs w:val="21"/>
              </w:rPr>
            </w:pPr>
            <w:r>
              <w:rPr>
                <w:rFonts w:ascii="宋体" w:hAnsi="宋体"/>
                <w:b/>
                <w:sz w:val="21"/>
                <w:szCs w:val="21"/>
              </w:rPr>
              <w:t>单价</w:t>
            </w:r>
          </w:p>
        </w:tc>
        <w:tc>
          <w:tcPr>
            <w:tcW w:w="1461"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ascii="宋体" w:hAnsi="宋体"/>
                <w:b/>
                <w:sz w:val="21"/>
                <w:szCs w:val="21"/>
              </w:rPr>
            </w:pPr>
            <w:r>
              <w:rPr>
                <w:rFonts w:ascii="宋体" w:hAnsi="宋体"/>
                <w:b/>
                <w:sz w:val="21"/>
                <w:szCs w:val="21"/>
              </w:rPr>
              <w:t>采购金额(元)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733"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 w:val="21"/>
                <w:szCs w:val="21"/>
              </w:rPr>
            </w:pPr>
          </w:p>
        </w:tc>
        <w:tc>
          <w:tcPr>
            <w:tcW w:w="1422"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 w:val="21"/>
                <w:szCs w:val="21"/>
              </w:rPr>
            </w:pPr>
          </w:p>
        </w:tc>
        <w:tc>
          <w:tcPr>
            <w:tcW w:w="1816"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 w:val="21"/>
                <w:szCs w:val="21"/>
              </w:rPr>
            </w:pPr>
          </w:p>
        </w:tc>
        <w:tc>
          <w:tcPr>
            <w:tcW w:w="977"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 w:val="21"/>
                <w:szCs w:val="21"/>
              </w:rPr>
            </w:pPr>
          </w:p>
        </w:tc>
        <w:tc>
          <w:tcPr>
            <w:tcW w:w="652"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 w:val="21"/>
                <w:szCs w:val="21"/>
              </w:rPr>
            </w:pPr>
          </w:p>
        </w:tc>
        <w:tc>
          <w:tcPr>
            <w:tcW w:w="1467"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 w:val="21"/>
                <w:szCs w:val="21"/>
              </w:rPr>
            </w:pPr>
          </w:p>
        </w:tc>
        <w:tc>
          <w:tcPr>
            <w:tcW w:w="1461"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733"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 w:val="21"/>
                <w:szCs w:val="21"/>
              </w:rPr>
            </w:pPr>
          </w:p>
        </w:tc>
        <w:tc>
          <w:tcPr>
            <w:tcW w:w="1422"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 w:val="21"/>
                <w:szCs w:val="21"/>
              </w:rPr>
            </w:pPr>
          </w:p>
        </w:tc>
        <w:tc>
          <w:tcPr>
            <w:tcW w:w="1816"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 w:val="21"/>
                <w:szCs w:val="21"/>
              </w:rPr>
            </w:pPr>
          </w:p>
        </w:tc>
        <w:tc>
          <w:tcPr>
            <w:tcW w:w="977"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 w:val="21"/>
                <w:szCs w:val="21"/>
              </w:rPr>
            </w:pPr>
          </w:p>
        </w:tc>
        <w:tc>
          <w:tcPr>
            <w:tcW w:w="652"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 w:val="21"/>
                <w:szCs w:val="21"/>
              </w:rPr>
            </w:pPr>
          </w:p>
        </w:tc>
        <w:tc>
          <w:tcPr>
            <w:tcW w:w="1467"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 w:val="21"/>
                <w:szCs w:val="21"/>
              </w:rPr>
            </w:pPr>
          </w:p>
        </w:tc>
        <w:tc>
          <w:tcPr>
            <w:tcW w:w="1461"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733" w:type="dxa"/>
            <w:tcBorders>
              <w:top w:val="single" w:color="auto" w:sz="4" w:space="0"/>
              <w:left w:val="single" w:color="auto" w:sz="4" w:space="0"/>
              <w:bottom w:val="single" w:color="auto" w:sz="4" w:space="0"/>
              <w:right w:val="single" w:color="auto" w:sz="4" w:space="0"/>
            </w:tcBorders>
          </w:tcPr>
          <w:p>
            <w:pPr>
              <w:spacing w:before="156" w:after="156" w:line="360" w:lineRule="auto"/>
              <w:jc w:val="center"/>
              <w:rPr>
                <w:rFonts w:ascii="宋体" w:hAnsi="宋体"/>
                <w:b/>
                <w:sz w:val="21"/>
                <w:szCs w:val="21"/>
              </w:rPr>
            </w:pPr>
          </w:p>
        </w:tc>
        <w:tc>
          <w:tcPr>
            <w:tcW w:w="4215" w:type="dxa"/>
            <w:gridSpan w:val="3"/>
            <w:tcBorders>
              <w:top w:val="single" w:color="auto" w:sz="4" w:space="0"/>
              <w:left w:val="single" w:color="auto" w:sz="4" w:space="0"/>
              <w:bottom w:val="single" w:color="auto" w:sz="4" w:space="0"/>
              <w:right w:val="single" w:color="auto" w:sz="4" w:space="0"/>
            </w:tcBorders>
          </w:tcPr>
          <w:p>
            <w:pPr>
              <w:spacing w:before="156" w:after="156" w:line="360" w:lineRule="auto"/>
              <w:jc w:val="center"/>
              <w:rPr>
                <w:rFonts w:ascii="宋体" w:hAnsi="宋体"/>
                <w:b/>
                <w:sz w:val="21"/>
                <w:szCs w:val="21"/>
              </w:rPr>
            </w:pPr>
            <w:r>
              <w:rPr>
                <w:rFonts w:ascii="宋体" w:hAnsi="宋体"/>
                <w:b/>
                <w:sz w:val="21"/>
                <w:szCs w:val="21"/>
              </w:rPr>
              <w:t>合 计</w:t>
            </w:r>
          </w:p>
        </w:tc>
        <w:tc>
          <w:tcPr>
            <w:tcW w:w="652"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 w:val="21"/>
                <w:szCs w:val="21"/>
              </w:rPr>
            </w:pPr>
          </w:p>
        </w:tc>
        <w:tc>
          <w:tcPr>
            <w:tcW w:w="1467"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 w:val="21"/>
                <w:szCs w:val="21"/>
              </w:rPr>
            </w:pPr>
          </w:p>
        </w:tc>
        <w:tc>
          <w:tcPr>
            <w:tcW w:w="1461"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宋体" w:hAnsi="宋体"/>
                <w:sz w:val="21"/>
                <w:szCs w:val="21"/>
              </w:rPr>
            </w:pPr>
          </w:p>
        </w:tc>
      </w:tr>
    </w:tbl>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b/>
          <w:kern w:val="0"/>
        </w:rPr>
      </w:pPr>
      <w:r>
        <w:rPr>
          <w:rFonts w:ascii="宋体" w:hAnsi="宋体"/>
          <w:b/>
          <w:kern w:val="0"/>
        </w:rPr>
        <w:t>第三条 合同价款及付款方式</w:t>
      </w:r>
    </w:p>
    <w:p>
      <w:pPr>
        <w:suppressAutoHyphens/>
        <w:spacing w:line="360" w:lineRule="auto"/>
        <w:ind w:firstLine="480" w:firstLineChars="200"/>
        <w:rPr>
          <w:rFonts w:ascii="宋体" w:hAnsi="宋体"/>
        </w:rPr>
      </w:pPr>
      <w:r>
        <w:rPr>
          <w:rFonts w:ascii="宋体" w:hAnsi="宋体"/>
        </w:rPr>
        <w:t>1.付款方式：分期付款</w:t>
      </w:r>
    </w:p>
    <w:p>
      <w:pPr>
        <w:adjustRightInd w:val="0"/>
        <w:snapToGrid w:val="0"/>
        <w:spacing w:line="360" w:lineRule="auto"/>
        <w:ind w:left="576" w:leftChars="240"/>
        <w:jc w:val="left"/>
        <w:rPr>
          <w:rFonts w:ascii="宋体" w:hAnsi="宋体"/>
        </w:rPr>
      </w:pPr>
      <w:r>
        <w:rPr>
          <w:rFonts w:ascii="宋体" w:hAnsi="宋体"/>
        </w:rPr>
        <w:fldChar w:fldCharType="begin"/>
      </w:r>
      <w:r>
        <w:rPr>
          <w:rFonts w:ascii="宋体" w:hAnsi="宋体"/>
        </w:rPr>
        <w:instrText xml:space="preserve"> eq \o\ac(○,1)</w:instrText>
      </w:r>
      <w:r>
        <w:rPr>
          <w:rFonts w:ascii="宋体" w:hAnsi="宋体"/>
        </w:rPr>
        <w:fldChar w:fldCharType="end"/>
      </w:r>
      <w:r>
        <w:rPr>
          <w:rFonts w:ascii="宋体" w:hAnsi="宋体"/>
        </w:rPr>
        <w:t xml:space="preserve">本合同生效后之日起 </w:t>
      </w:r>
      <w:r>
        <w:rPr>
          <w:rFonts w:ascii="宋体" w:hAnsi="宋体"/>
          <w:u w:val="single"/>
        </w:rPr>
        <w:t xml:space="preserve">       </w:t>
      </w:r>
      <w:r>
        <w:rPr>
          <w:rFonts w:ascii="宋体" w:hAnsi="宋体"/>
        </w:rPr>
        <w:t xml:space="preserve">个工作日内，甲方向乙方支付合同总价款的40%，即¥ </w:t>
      </w:r>
      <w:r>
        <w:rPr>
          <w:rFonts w:ascii="宋体" w:hAnsi="宋体"/>
          <w:u w:val="single"/>
        </w:rPr>
        <w:t xml:space="preserve">                   </w:t>
      </w:r>
      <w:r>
        <w:rPr>
          <w:rFonts w:ascii="宋体" w:hAnsi="宋体"/>
        </w:rPr>
        <w:t xml:space="preserve"> 元（人民币大写：</w:t>
      </w:r>
      <w:r>
        <w:rPr>
          <w:rFonts w:ascii="宋体" w:hAnsi="宋体"/>
          <w:u w:val="single"/>
        </w:rPr>
        <w:t xml:space="preserve">                           </w:t>
      </w:r>
      <w:r>
        <w:rPr>
          <w:rFonts w:ascii="宋体" w:hAnsi="宋体"/>
        </w:rPr>
        <w:t xml:space="preserve"> ）。</w:t>
      </w:r>
    </w:p>
    <w:p>
      <w:pPr>
        <w:adjustRightInd w:val="0"/>
        <w:snapToGrid w:val="0"/>
        <w:spacing w:line="360" w:lineRule="auto"/>
        <w:ind w:left="576" w:leftChars="240"/>
        <w:jc w:val="left"/>
        <w:rPr>
          <w:rFonts w:ascii="宋体" w:hAnsi="宋体"/>
        </w:rPr>
      </w:pPr>
      <w:r>
        <w:rPr>
          <w:rFonts w:ascii="宋体" w:hAnsi="宋体"/>
        </w:rPr>
        <w:fldChar w:fldCharType="begin"/>
      </w:r>
      <w:r>
        <w:rPr>
          <w:rFonts w:ascii="宋体" w:hAnsi="宋体"/>
        </w:rPr>
        <w:instrText xml:space="preserve"> eq \o\ac(○,2)</w:instrText>
      </w:r>
      <w:r>
        <w:rPr>
          <w:rFonts w:ascii="宋体" w:hAnsi="宋体"/>
        </w:rPr>
        <w:fldChar w:fldCharType="end"/>
      </w:r>
      <w:r>
        <w:rPr>
          <w:rFonts w:ascii="宋体" w:hAnsi="宋体"/>
        </w:rPr>
        <w:t>甲方收到全部货物并整体验收合格后</w:t>
      </w:r>
      <w:r>
        <w:rPr>
          <w:rFonts w:ascii="宋体" w:hAnsi="宋体"/>
          <w:u w:val="single"/>
        </w:rPr>
        <w:t xml:space="preserve">         </w:t>
      </w:r>
      <w:r>
        <w:rPr>
          <w:rFonts w:ascii="宋体" w:hAnsi="宋体"/>
        </w:rPr>
        <w:t>个工作日内，甲方向乙方支付合同总价款的  ，即¥</w:t>
      </w:r>
      <w:r>
        <w:rPr>
          <w:rFonts w:ascii="宋体" w:hAnsi="宋体"/>
          <w:u w:val="single"/>
        </w:rPr>
        <w:t xml:space="preserve">                   </w:t>
      </w:r>
      <w:r>
        <w:rPr>
          <w:rFonts w:ascii="宋体" w:hAnsi="宋体"/>
        </w:rPr>
        <w:t>元（人民币写：</w:t>
      </w:r>
      <w:r>
        <w:rPr>
          <w:rFonts w:ascii="宋体" w:hAnsi="宋体"/>
          <w:u w:val="single"/>
        </w:rPr>
        <w:t xml:space="preserve">          </w:t>
      </w:r>
      <w:r>
        <w:rPr>
          <w:rFonts w:ascii="宋体" w:hAnsi="宋体"/>
        </w:rPr>
        <w:t>）。</w:t>
      </w:r>
    </w:p>
    <w:p>
      <w:pPr>
        <w:adjustRightInd w:val="0"/>
        <w:snapToGrid w:val="0"/>
        <w:spacing w:line="360" w:lineRule="auto"/>
        <w:jc w:val="left"/>
        <w:rPr>
          <w:rFonts w:ascii="宋体" w:hAnsi="宋体"/>
        </w:rPr>
      </w:pPr>
      <w:r>
        <w:rPr>
          <w:rFonts w:ascii="宋体" w:hAnsi="宋体"/>
        </w:rPr>
        <w:t xml:space="preserve">    2．支付方式：网上银行转账</w:t>
      </w:r>
    </w:p>
    <w:p>
      <w:pPr>
        <w:spacing w:line="360" w:lineRule="auto"/>
        <w:ind w:firstLine="480" w:firstLineChars="200"/>
        <w:jc w:val="left"/>
        <w:rPr>
          <w:rFonts w:ascii="宋体" w:hAnsi="宋体"/>
        </w:rPr>
      </w:pPr>
      <w:r>
        <w:rPr>
          <w:rFonts w:ascii="宋体" w:hAnsi="宋体"/>
        </w:rPr>
        <w:t>3. 票据提供：</w:t>
      </w:r>
    </w:p>
    <w:p>
      <w:pPr>
        <w:spacing w:line="360" w:lineRule="auto"/>
        <w:rPr>
          <w:rFonts w:hAnsi="宋体"/>
        </w:rPr>
      </w:pPr>
      <w:r>
        <w:rPr>
          <w:rFonts w:hAnsi="宋体"/>
        </w:rPr>
        <w:t xml:space="preserve">    </w:t>
      </w:r>
      <w:r>
        <w:rPr>
          <w:rFonts w:hAnsi="宋体"/>
        </w:rPr>
        <w:fldChar w:fldCharType="begin"/>
      </w:r>
      <w:r>
        <w:rPr>
          <w:rFonts w:hAnsi="宋体"/>
        </w:rPr>
        <w:instrText xml:space="preserve"> eq \o\ac(○,1)</w:instrText>
      </w:r>
      <w:r>
        <w:rPr>
          <w:rFonts w:hAnsi="宋体"/>
        </w:rPr>
        <w:fldChar w:fldCharType="end"/>
      </w:r>
      <w:r>
        <w:rPr>
          <w:rFonts w:hAnsi="宋体"/>
        </w:rPr>
        <w:t>乙方应在甲方第一次付款前向甲方出具等额的收款收据。</w:t>
      </w:r>
    </w:p>
    <w:p>
      <w:pPr>
        <w:spacing w:line="360" w:lineRule="auto"/>
        <w:ind w:firstLine="480" w:firstLineChars="200"/>
        <w:rPr>
          <w:rFonts w:hAnsi="宋体"/>
        </w:rPr>
      </w:pPr>
      <w:r>
        <w:rPr>
          <w:rFonts w:hAnsi="宋体"/>
        </w:rPr>
        <w:fldChar w:fldCharType="begin"/>
      </w:r>
      <w:r>
        <w:rPr>
          <w:rFonts w:hAnsi="宋体"/>
        </w:rPr>
        <w:instrText xml:space="preserve"> eq \o\ac(○,2)</w:instrText>
      </w:r>
      <w:r>
        <w:rPr>
          <w:rFonts w:hAnsi="宋体"/>
        </w:rPr>
        <w:fldChar w:fldCharType="end"/>
      </w:r>
      <w:r>
        <w:rPr>
          <w:rFonts w:hAnsi="宋体"/>
        </w:rPr>
        <w:t>乙方应在甲方第二次付款前向甲方出具合同总价款金额的增值税普通发票。</w:t>
      </w:r>
    </w:p>
    <w:p>
      <w:pPr>
        <w:snapToGrid w:val="0"/>
        <w:spacing w:before="120" w:after="120" w:line="360" w:lineRule="auto"/>
        <w:ind w:firstLine="480"/>
        <w:rPr>
          <w:rFonts w:ascii="宋体" w:hAnsi="宋体"/>
        </w:rPr>
      </w:pPr>
      <w:r>
        <w:rPr>
          <w:rFonts w:ascii="宋体" w:hAnsi="宋体"/>
        </w:rPr>
        <w:t>4．当采购数量与实际使用数量不一致时，供应商应根据实际使用量供货，合同的最终结算金额按实际使用量乘以成交单价进行计算。</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b/>
          <w:kern w:val="0"/>
        </w:rPr>
      </w:pPr>
      <w:r>
        <w:rPr>
          <w:rFonts w:ascii="宋体" w:hAnsi="宋体"/>
          <w:b/>
          <w:kern w:val="0"/>
        </w:rPr>
        <w:t>第四条 履约保证金</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b/>
          <w:kern w:val="0"/>
        </w:rPr>
      </w:pPr>
      <w:r>
        <w:rPr>
          <w:rFonts w:ascii="宋体" w:hAnsi="宋体"/>
          <w:kern w:val="0"/>
        </w:rPr>
        <w:t>按以下第_________项处理：</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 xml:space="preserve">1、本项目设置履约保证金，乙方应于_________（时间）向甲方提交履约保证金_________元（不得高于本合同金额的1%）。履约保证金在_________（时间）退还乙方。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2、本项目不设置履约保证金。</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b/>
          <w:kern w:val="0"/>
        </w:rPr>
      </w:pPr>
      <w:r>
        <w:rPr>
          <w:rFonts w:ascii="宋体" w:hAnsi="宋体"/>
          <w:b/>
          <w:kern w:val="0"/>
        </w:rPr>
        <w:t>第五条 质量保证及售后服务</w:t>
      </w:r>
    </w:p>
    <w:p>
      <w:pPr>
        <w:autoSpaceDE w:val="0"/>
        <w:autoSpaceDN w:val="0"/>
        <w:adjustRightInd w:val="0"/>
        <w:spacing w:line="360" w:lineRule="auto"/>
        <w:rPr>
          <w:rFonts w:ascii="宋体" w:hAnsi="宋体"/>
        </w:rPr>
      </w:pPr>
      <w:r>
        <w:rPr>
          <w:rFonts w:ascii="宋体" w:hAnsi="宋体"/>
        </w:rPr>
        <w:t>1、乙方应按</w:t>
      </w:r>
      <w:r>
        <w:rPr>
          <w:rFonts w:ascii="宋体" w:hAnsi="宋体"/>
          <w:kern w:val="0"/>
        </w:rPr>
        <w:t>招标</w:t>
      </w:r>
      <w:r>
        <w:rPr>
          <w:rFonts w:ascii="宋体" w:hAnsi="宋体"/>
        </w:rPr>
        <w:t>文件规定的货物性能、技术要求、质量标准向甲方提供未经使用的全新合格产品。乙方保证所交付的货物的所有权完全属于乙方而无任何抵押、查封等产权瑕疵，且所提供的货物或其任何一部分均不会侵犯任何第三方的知识产权。</w:t>
      </w:r>
    </w:p>
    <w:p>
      <w:pPr>
        <w:autoSpaceDE w:val="0"/>
        <w:autoSpaceDN w:val="0"/>
        <w:adjustRightInd w:val="0"/>
        <w:spacing w:line="360" w:lineRule="auto"/>
        <w:rPr>
          <w:rFonts w:ascii="宋体" w:hAnsi="宋体"/>
        </w:rPr>
      </w:pPr>
      <w:r>
        <w:rPr>
          <w:rFonts w:ascii="宋体" w:hAnsi="宋体"/>
        </w:rPr>
        <w:t>2、上述的货物免费保修期为</w:t>
      </w:r>
      <w:r>
        <w:rPr>
          <w:rFonts w:ascii="宋体" w:hAnsi="宋体"/>
          <w:kern w:val="0"/>
          <w:u w:val="single"/>
        </w:rPr>
        <w:t xml:space="preserve">     </w:t>
      </w:r>
      <w:r>
        <w:rPr>
          <w:rFonts w:ascii="宋体" w:hAnsi="宋体"/>
        </w:rPr>
        <w:t>年，人为因素出现的故障不在免费保修范围内。超过保修期的机器设备实行终生维修，维修时只收部件成本费。</w:t>
      </w:r>
    </w:p>
    <w:p>
      <w:pPr>
        <w:autoSpaceDE w:val="0"/>
        <w:autoSpaceDN w:val="0"/>
        <w:adjustRightInd w:val="0"/>
        <w:spacing w:line="360" w:lineRule="auto"/>
        <w:rPr>
          <w:rFonts w:ascii="宋体" w:hAnsi="宋体"/>
        </w:rPr>
      </w:pPr>
      <w:r>
        <w:rPr>
          <w:rFonts w:ascii="宋体" w:hAnsi="宋体"/>
        </w:rPr>
        <w:t>3、乙方提供的货物在质保期内因货物本身的质量问题发生故障，乙方应负责免费更换。对达不到技术要求者，根据实际情况，经双方协商，可按以下办法处理：</w:t>
      </w:r>
    </w:p>
    <w:p>
      <w:pPr>
        <w:autoSpaceDE w:val="0"/>
        <w:autoSpaceDN w:val="0"/>
        <w:adjustRightInd w:val="0"/>
        <w:spacing w:line="360" w:lineRule="auto"/>
        <w:ind w:firstLine="480" w:firstLineChars="200"/>
        <w:rPr>
          <w:rFonts w:ascii="宋体" w:hAnsi="宋体"/>
        </w:rPr>
      </w:pPr>
      <w:r>
        <w:rPr>
          <w:rFonts w:ascii="宋体" w:hAnsi="宋体"/>
        </w:rPr>
        <w:t>⑴更换：由乙方承担所发生的全部费用。</w:t>
      </w:r>
    </w:p>
    <w:p>
      <w:pPr>
        <w:autoSpaceDE w:val="0"/>
        <w:autoSpaceDN w:val="0"/>
        <w:adjustRightInd w:val="0"/>
        <w:spacing w:line="360" w:lineRule="auto"/>
        <w:ind w:firstLine="480" w:firstLineChars="200"/>
        <w:rPr>
          <w:rFonts w:ascii="宋体" w:hAnsi="宋体"/>
        </w:rPr>
      </w:pPr>
      <w:r>
        <w:rPr>
          <w:rFonts w:ascii="宋体" w:hAnsi="宋体"/>
        </w:rPr>
        <w:t>⑵贬值处理：由甲乙双方合议定价。</w:t>
      </w:r>
    </w:p>
    <w:p>
      <w:pPr>
        <w:autoSpaceDE w:val="0"/>
        <w:autoSpaceDN w:val="0"/>
        <w:adjustRightInd w:val="0"/>
        <w:spacing w:line="360" w:lineRule="auto"/>
        <w:ind w:firstLine="480" w:firstLineChars="200"/>
        <w:rPr>
          <w:rFonts w:ascii="宋体" w:hAnsi="宋体"/>
        </w:rPr>
      </w:pPr>
      <w:r>
        <w:rPr>
          <w:rFonts w:ascii="宋体" w:hAnsi="宋体"/>
        </w:rPr>
        <w:t>⑶退货处理：乙方应退还甲方支付的合同款，同时应承担该货物的直接费用（运输、保险、检验、货款利息及银行手续费等）。</w:t>
      </w:r>
    </w:p>
    <w:p>
      <w:pPr>
        <w:autoSpaceDE w:val="0"/>
        <w:autoSpaceDN w:val="0"/>
        <w:adjustRightInd w:val="0"/>
        <w:spacing w:line="360" w:lineRule="auto"/>
        <w:rPr>
          <w:rFonts w:ascii="宋体" w:hAnsi="宋体"/>
        </w:rPr>
      </w:pPr>
      <w:r>
        <w:rPr>
          <w:rFonts w:ascii="宋体" w:hAnsi="宋体"/>
        </w:rPr>
        <w:t>4、使用过程中发生质量问题，乙方在接到甲方通知后</w:t>
      </w:r>
      <w:r>
        <w:rPr>
          <w:rFonts w:ascii="宋体" w:hAnsi="宋体"/>
          <w:kern w:val="0"/>
          <w:u w:val="single"/>
        </w:rPr>
        <w:t xml:space="preserve">    </w:t>
      </w:r>
      <w:r>
        <w:rPr>
          <w:rFonts w:ascii="宋体" w:hAnsi="宋体"/>
        </w:rPr>
        <w:t>小时内到达甲方现场。</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b/>
          <w:kern w:val="0"/>
        </w:rPr>
      </w:pPr>
      <w:r>
        <w:rPr>
          <w:rFonts w:ascii="宋体" w:hAnsi="宋体"/>
        </w:rPr>
        <w:t>5、质保期</w:t>
      </w:r>
      <w:r>
        <w:rPr>
          <w:rFonts w:ascii="宋体" w:hAnsi="宋体"/>
          <w:u w:val="single"/>
        </w:rPr>
        <w:t xml:space="preserve">      </w:t>
      </w:r>
      <w:r>
        <w:rPr>
          <w:rFonts w:ascii="宋体" w:hAnsi="宋体"/>
        </w:rPr>
        <w:t>年（自项目整体验收合格之日起算）。质保期内，乙方对货物出现的质量及安全问题负责处理解决并承担一切费用。</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b/>
          <w:kern w:val="0"/>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b/>
          <w:kern w:val="0"/>
        </w:rPr>
      </w:pPr>
      <w:r>
        <w:rPr>
          <w:rFonts w:ascii="宋体" w:hAnsi="宋体"/>
          <w:b/>
          <w:kern w:val="0"/>
        </w:rPr>
        <w:t>第六条 交货（服务期）</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1、交货期</w:t>
      </w:r>
      <w:r>
        <w:rPr>
          <w:rFonts w:ascii="宋体" w:hAnsi="宋体"/>
          <w:b/>
          <w:kern w:val="0"/>
        </w:rPr>
        <w:t>（服务期）</w:t>
      </w:r>
      <w:r>
        <w:rPr>
          <w:rFonts w:ascii="宋体" w:hAnsi="宋体"/>
          <w:kern w:val="0"/>
        </w:rPr>
        <w:t>：</w:t>
      </w:r>
      <w:r>
        <w:rPr>
          <w:rFonts w:ascii="宋体" w:hAnsi="宋体"/>
          <w:kern w:val="0"/>
          <w:u w:val="single"/>
        </w:rPr>
        <w:t xml:space="preserve">        </w:t>
      </w:r>
      <w:r>
        <w:rPr>
          <w:rFonts w:ascii="宋体" w:hAnsi="宋体"/>
          <w:kern w:val="0"/>
        </w:rPr>
        <w:t>年</w:t>
      </w:r>
      <w:r>
        <w:rPr>
          <w:rFonts w:ascii="宋体" w:hAnsi="宋体"/>
          <w:kern w:val="0"/>
          <w:u w:val="single"/>
        </w:rPr>
        <w:t xml:space="preserve">     </w:t>
      </w:r>
      <w:r>
        <w:rPr>
          <w:rFonts w:ascii="宋体" w:hAnsi="宋体"/>
          <w:kern w:val="0"/>
        </w:rPr>
        <w:t>月</w:t>
      </w:r>
      <w:r>
        <w:rPr>
          <w:rFonts w:ascii="宋体" w:hAnsi="宋体"/>
          <w:kern w:val="0"/>
          <w:u w:val="single"/>
        </w:rPr>
        <w:t xml:space="preserve">     </w:t>
      </w:r>
      <w:r>
        <w:rPr>
          <w:rFonts w:ascii="宋体" w:hAnsi="宋体"/>
          <w:kern w:val="0"/>
        </w:rPr>
        <w:t>日前交货；</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2、交货（服务）地点：</w:t>
      </w:r>
      <w:r>
        <w:rPr>
          <w:rFonts w:ascii="宋体" w:hAnsi="宋体"/>
          <w:kern w:val="0"/>
          <w:u w:val="single"/>
        </w:rPr>
        <w:t xml:space="preserve">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3、安装、调试事宜：</w:t>
      </w:r>
      <w:r>
        <w:rPr>
          <w:rFonts w:ascii="宋体" w:hAnsi="宋体"/>
          <w:kern w:val="0"/>
          <w:u w:val="single"/>
        </w:rPr>
        <w:t xml:space="preserve">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4、乙方在交货同时，应向甲方提供使用货物的有关技术资料。</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b/>
          <w:kern w:val="0"/>
        </w:rPr>
      </w:pPr>
      <w:r>
        <w:rPr>
          <w:rFonts w:ascii="宋体" w:hAnsi="宋体"/>
          <w:b/>
          <w:kern w:val="0"/>
        </w:rPr>
        <w:t>第七条 调试和验收</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1、乙方交货前应对产品作出全面检查，对验收文件进行整理，并列出清单，作为甲方收货验收和使用的技术条件依据，检验的结果应随货物交甲方。</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2、提供的货物在使用前需进行调试的，乙方需负责安装并培训甲方的使用操作人员，并协助甲方一起调试，直到符合技术要求，甲方才做最终验收。</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3、甲方对乙方提交的货物需在五个工作日内，依据招标文件上的技术规格要求和国家有关质量标准进行现场验收。对技术复杂的货物，甲方应请国家认可的专业检测机构参与初步验收及最终验收，并由其出具质量检测报告，验收费用由甲方负责。</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rPr>
      </w:pPr>
      <w:r>
        <w:rPr>
          <w:rFonts w:ascii="宋体" w:hAnsi="宋体"/>
          <w:kern w:val="0"/>
        </w:rPr>
        <w:t>4、验收完毕乙方应出具验收结果报告，符合要求的给予签收，验收不合格的不予签收。</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b/>
          <w:kern w:val="0"/>
        </w:rPr>
      </w:pPr>
      <w:r>
        <w:rPr>
          <w:rFonts w:ascii="宋体" w:hAnsi="宋体"/>
          <w:b/>
          <w:kern w:val="0"/>
        </w:rPr>
        <w:t>第八条 合同的变更和终止</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除《政府采购法》第49条、第50条第二款规定的情形外，本合同一经签订，甲乙双方不得擅自终止合同或对合同实质性条款进行变更。确有特殊情况的，须经同级财政部门批准。</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b/>
          <w:kern w:val="0"/>
        </w:rPr>
      </w:pPr>
      <w:r>
        <w:rPr>
          <w:rFonts w:ascii="宋体" w:hAnsi="宋体"/>
          <w:b/>
          <w:kern w:val="0"/>
        </w:rPr>
        <w:t>第九条 合同的转让与分包</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乙方不得擅自部分或全部转让其应履行的合同义务。乙方分包的，应经过甲方书面同意。</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b/>
          <w:kern w:val="0"/>
        </w:rPr>
      </w:pPr>
      <w:r>
        <w:rPr>
          <w:rFonts w:ascii="宋体" w:hAnsi="宋体"/>
          <w:b/>
          <w:kern w:val="0"/>
        </w:rPr>
        <w:t>第十条 违约责任</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1、甲方无正当理由拒收货物的，甲方应向乙方偿付拒收货款总值的百分之五违约金。</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2、甲方无故逾期验收和办理货款支付手续的，甲方应按逾期付款总额每日万分之五向乙方支付违约金。</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3、乙方逾期交付货物的，乙方应按逾期交货总额每日千分之六向甲方支付违约金，由甲方从待付货款中扣除。逾期超过约定日期10个工作日不能交货的，甲方可解除本合同。乙方因逾期交货或因其他违约行为导致甲方解除合同的，乙方应向甲方支付合同总值5%的违约金，若造成甲方损失超过违约金的，超出部分由乙方继续承担赔偿责任。</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b/>
          <w:kern w:val="0"/>
        </w:rPr>
      </w:pPr>
      <w:r>
        <w:rPr>
          <w:rFonts w:ascii="宋体" w:hAnsi="宋体"/>
          <w:kern w:val="0"/>
        </w:rPr>
        <w:t>4、乙方所交的货物品种、型号、规格、技术参数、质量不符合合同规定及招标（或竞争性谈判、询价）文件规定标准的，甲方有权拒收该货物，乙方愿意更换货物但逾期交货的，按乙方逾期交货处理。乙方拒绝更换货物的，甲方可单方面解除合同。</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b/>
          <w:kern w:val="0"/>
        </w:rPr>
      </w:pPr>
      <w:r>
        <w:rPr>
          <w:rFonts w:ascii="宋体" w:hAnsi="宋体"/>
          <w:b/>
          <w:kern w:val="0"/>
        </w:rPr>
        <w:t>第十一条 不可抗力事件处理</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1、在合同有效期内，任何一方因不可抗力事件导致不能履行合同的，合同履行期可延长，其延长期与不可抗力影响期相同。</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2、不可抗力事件发生后三日内，遭受不可抗力一方应立即通知对方，并寄送有关权威机构出具的证明。</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3、不可抗力事件延续120天以上，双方应通过友好协商，确定是否继续履行合同。</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b/>
          <w:kern w:val="0"/>
        </w:rPr>
      </w:pPr>
      <w:r>
        <w:rPr>
          <w:rFonts w:ascii="宋体" w:hAnsi="宋体"/>
          <w:b/>
          <w:kern w:val="0"/>
        </w:rPr>
        <w:t>第十二条 争议的解决</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1、因履行本合同引起的或与本合同有关的争议，甲、乙双方应首先通过友好协商解决，如果协商不能解决争议，则采取以下第</w:t>
      </w:r>
      <w:r>
        <w:rPr>
          <w:rFonts w:ascii="宋体" w:hAnsi="宋体"/>
          <w:kern w:val="0"/>
          <w:u w:val="single"/>
        </w:rPr>
        <w:t xml:space="preserve">  2  </w:t>
      </w:r>
      <w:r>
        <w:rPr>
          <w:rFonts w:ascii="宋体" w:hAnsi="宋体"/>
          <w:kern w:val="0"/>
        </w:rPr>
        <w:t>种方式解决争议：</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（1）向甲方所在地有管辖权的人民法院提起诉讼；</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（2）向</w:t>
      </w:r>
      <w:r>
        <w:rPr>
          <w:rFonts w:ascii="宋体" w:hAnsi="宋体"/>
          <w:kern w:val="0"/>
          <w:u w:val="single"/>
        </w:rPr>
        <w:t xml:space="preserve">   项目所在地   </w:t>
      </w:r>
      <w:r>
        <w:rPr>
          <w:rFonts w:ascii="宋体" w:hAnsi="宋体"/>
          <w:kern w:val="0"/>
        </w:rPr>
        <w:t>仲裁委员申请仲裁。</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b/>
          <w:kern w:val="0"/>
        </w:rPr>
      </w:pPr>
      <w:r>
        <w:rPr>
          <w:rFonts w:ascii="宋体" w:hAnsi="宋体"/>
          <w:b/>
          <w:kern w:val="0"/>
        </w:rPr>
        <w:t>第十三条 合同生效及备案</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1、合同经双方法定代表人或被授权人签字并加盖单位公章且甲方收到履约保证金后生效。</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2、合同执行中涉及采购资金和采购内容修改或补充的，须经财政部门审批，并签书面补充协议报政府部门备案，方可作为主合同不可分割的一部分。</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3、本合同未尽事宜，遵照《中华人民共和国民法典》有关条文执行。</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kern w:val="0"/>
        </w:rPr>
      </w:pPr>
      <w:r>
        <w:rPr>
          <w:rFonts w:ascii="宋体" w:hAnsi="宋体"/>
          <w:kern w:val="0"/>
        </w:rPr>
        <w:t>4、本合同一式</w:t>
      </w:r>
      <w:r>
        <w:rPr>
          <w:rFonts w:ascii="宋体" w:hAnsi="宋体"/>
          <w:kern w:val="0"/>
          <w:u w:val="single"/>
        </w:rPr>
        <w:t xml:space="preserve">   </w:t>
      </w:r>
      <w:r>
        <w:rPr>
          <w:rFonts w:ascii="宋体" w:hAnsi="宋体"/>
          <w:kern w:val="0"/>
        </w:rPr>
        <w:t>份，甲乙双方各执</w:t>
      </w:r>
      <w:r>
        <w:rPr>
          <w:rFonts w:ascii="宋体" w:hAnsi="宋体"/>
          <w:kern w:val="0"/>
          <w:u w:val="single"/>
        </w:rPr>
        <w:t xml:space="preserve">   </w:t>
      </w:r>
      <w:r>
        <w:rPr>
          <w:rFonts w:ascii="宋体" w:hAnsi="宋体"/>
          <w:kern w:val="0"/>
        </w:rPr>
        <w:t>份。（若执行政采贷，另加二份）</w:t>
      </w:r>
    </w:p>
    <w:p>
      <w:pPr>
        <w:snapToGrid w:val="0"/>
        <w:spacing w:before="120" w:beforeLines="50" w:after="120" w:afterLines="50" w:line="360" w:lineRule="auto"/>
        <w:jc w:val="center"/>
        <w:outlineLvl w:val="0"/>
        <w:rPr>
          <w:rFonts w:ascii="宋体" w:hAnsi="宋体"/>
          <w:b/>
        </w:rPr>
      </w:pPr>
      <w:bookmarkStart w:id="93" w:name="_Toc26798"/>
      <w:r>
        <w:rPr>
          <w:rFonts w:ascii="宋体" w:hAnsi="宋体"/>
          <w:b/>
          <w:kern w:val="0"/>
        </w:rPr>
        <w:t>二、特殊专用条款部分</w:t>
      </w:r>
      <w:bookmarkEnd w:id="93"/>
    </w:p>
    <w:p>
      <w:pPr>
        <w:pStyle w:val="32"/>
        <w:snapToGrid w:val="0"/>
        <w:spacing w:before="120" w:after="120" w:line="360" w:lineRule="auto"/>
        <w:ind w:firstLine="480" w:firstLineChars="200"/>
        <w:rPr>
          <w:rFonts w:hAnsi="宋体"/>
        </w:rPr>
      </w:pPr>
      <w:r>
        <w:rPr>
          <w:rFonts w:hAnsi="宋体"/>
        </w:rPr>
        <w:t>……</w:t>
      </w:r>
    </w:p>
    <w:p>
      <w:pPr>
        <w:pStyle w:val="32"/>
        <w:snapToGrid w:val="0"/>
        <w:spacing w:before="120" w:after="120" w:line="360" w:lineRule="auto"/>
        <w:rPr>
          <w:rFonts w:hAnsi="宋体"/>
        </w:rPr>
      </w:pPr>
      <w:r>
        <w:rPr>
          <w:rFonts w:hAnsi="宋体"/>
        </w:rPr>
        <w:t xml:space="preserve">甲方：                             乙方： </w:t>
      </w:r>
    </w:p>
    <w:p>
      <w:pPr>
        <w:pStyle w:val="32"/>
        <w:snapToGrid w:val="0"/>
        <w:spacing w:before="120" w:after="120" w:line="360" w:lineRule="auto"/>
        <w:rPr>
          <w:rFonts w:hAnsi="宋体"/>
        </w:rPr>
      </w:pPr>
      <w:r>
        <w:rPr>
          <w:rFonts w:hAnsi="宋体"/>
        </w:rPr>
        <w:t xml:space="preserve">地址：                             地址： </w:t>
      </w:r>
    </w:p>
    <w:p>
      <w:pPr>
        <w:pStyle w:val="32"/>
        <w:snapToGrid w:val="0"/>
        <w:spacing w:before="120" w:after="120" w:line="360" w:lineRule="auto"/>
        <w:rPr>
          <w:rFonts w:hAnsi="宋体"/>
        </w:rPr>
      </w:pPr>
      <w:r>
        <w:rPr>
          <w:rFonts w:hAnsi="宋体"/>
        </w:rPr>
        <w:t>法定代表人或被授权人：             法定代表人或被授权人：</w:t>
      </w:r>
    </w:p>
    <w:p>
      <w:pPr>
        <w:pStyle w:val="32"/>
        <w:snapToGrid w:val="0"/>
        <w:spacing w:before="120" w:after="120" w:line="360" w:lineRule="auto"/>
        <w:rPr>
          <w:rFonts w:hAnsi="宋体"/>
        </w:rPr>
      </w:pPr>
      <w:r>
        <w:rPr>
          <w:rFonts w:hAnsi="宋体"/>
        </w:rPr>
        <w:t xml:space="preserve">签订地点：                  </w:t>
      </w:r>
    </w:p>
    <w:p>
      <w:pPr>
        <w:pStyle w:val="32"/>
        <w:snapToGrid w:val="0"/>
        <w:spacing w:before="120" w:after="120" w:line="360" w:lineRule="auto"/>
        <w:rPr>
          <w:rFonts w:hAnsi="宋体"/>
        </w:rPr>
      </w:pPr>
      <w:r>
        <w:rPr>
          <w:rFonts w:hAnsi="宋体"/>
        </w:rPr>
        <w:t>签订日期：      年  月  日</w:t>
      </w:r>
    </w:p>
    <w:p>
      <w:pPr>
        <w:pStyle w:val="32"/>
        <w:adjustRightInd w:val="0"/>
        <w:spacing w:before="120" w:after="120" w:line="360" w:lineRule="auto"/>
        <w:rPr>
          <w:rFonts w:asciiTheme="majorEastAsia" w:hAnsiTheme="majorEastAsia" w:eastAsiaTheme="majorEastAsia" w:cstheme="majorEastAsia"/>
          <w:bCs/>
        </w:rPr>
        <w:sectPr>
          <w:footerReference r:id="rId3" w:type="default"/>
          <w:pgSz w:w="11850" w:h="16783"/>
          <w:pgMar w:top="907" w:right="1247" w:bottom="907" w:left="1247" w:header="851" w:footer="850" w:gutter="0"/>
          <w:cols w:space="720" w:num="1"/>
          <w:docGrid w:linePitch="312" w:charSpace="0"/>
        </w:sectPr>
      </w:pPr>
    </w:p>
    <w:tbl>
      <w:tblPr>
        <w:tblStyle w:val="56"/>
        <w:tblW w:w="14080" w:type="dxa"/>
        <w:jc w:val="center"/>
        <w:tblLayout w:type="fixed"/>
        <w:tblCellMar>
          <w:top w:w="0" w:type="dxa"/>
          <w:left w:w="108" w:type="dxa"/>
          <w:bottom w:w="0" w:type="dxa"/>
          <w:right w:w="108" w:type="dxa"/>
        </w:tblCellMar>
      </w:tblPr>
      <w:tblGrid>
        <w:gridCol w:w="4620"/>
        <w:gridCol w:w="4840"/>
        <w:gridCol w:w="1280"/>
        <w:gridCol w:w="1600"/>
        <w:gridCol w:w="1740"/>
      </w:tblGrid>
      <w:tr>
        <w:tblPrEx>
          <w:tblCellMar>
            <w:top w:w="0" w:type="dxa"/>
            <w:left w:w="108" w:type="dxa"/>
            <w:bottom w:w="0" w:type="dxa"/>
            <w:right w:w="108" w:type="dxa"/>
          </w:tblCellMar>
        </w:tblPrEx>
        <w:trPr>
          <w:trHeight w:val="735" w:hRule="atLeast"/>
          <w:jc w:val="center"/>
        </w:trPr>
        <w:tc>
          <w:tcPr>
            <w:tcW w:w="14080" w:type="dxa"/>
            <w:gridSpan w:val="5"/>
            <w:tcBorders>
              <w:top w:val="nil"/>
              <w:left w:val="nil"/>
              <w:bottom w:val="nil"/>
              <w:right w:val="nil"/>
            </w:tcBorders>
            <w:vAlign w:val="center"/>
          </w:tcPr>
          <w:p>
            <w:pPr>
              <w:widowControl/>
              <w:jc w:val="center"/>
              <w:rPr>
                <w:rFonts w:asciiTheme="majorEastAsia" w:hAnsiTheme="majorEastAsia" w:eastAsiaTheme="majorEastAsia" w:cstheme="majorEastAsia"/>
                <w:b/>
                <w:bCs/>
                <w:kern w:val="0"/>
                <w:sz w:val="48"/>
                <w:szCs w:val="48"/>
              </w:rPr>
            </w:pPr>
            <w:r>
              <w:rPr>
                <w:rFonts w:hint="eastAsia" w:asciiTheme="majorEastAsia" w:hAnsiTheme="majorEastAsia" w:eastAsiaTheme="majorEastAsia" w:cstheme="majorEastAsia"/>
                <w:b/>
                <w:bCs/>
                <w:kern w:val="0"/>
                <w:sz w:val="48"/>
                <w:szCs w:val="48"/>
              </w:rPr>
              <w:t>政 府 采 购 项 目 验 收 单</w:t>
            </w:r>
          </w:p>
        </w:tc>
      </w:tr>
      <w:tr>
        <w:tblPrEx>
          <w:tblCellMar>
            <w:top w:w="0" w:type="dxa"/>
            <w:left w:w="108" w:type="dxa"/>
            <w:bottom w:w="0" w:type="dxa"/>
            <w:right w:w="108" w:type="dxa"/>
          </w:tblCellMar>
        </w:tblPrEx>
        <w:trPr>
          <w:trHeight w:val="570" w:hRule="atLeast"/>
          <w:jc w:val="center"/>
        </w:trPr>
        <w:tc>
          <w:tcPr>
            <w:tcW w:w="14080" w:type="dxa"/>
            <w:gridSpan w:val="5"/>
            <w:tcBorders>
              <w:top w:val="nil"/>
              <w:left w:val="nil"/>
              <w:bottom w:val="nil"/>
              <w:right w:val="nil"/>
            </w:tcBorders>
            <w:vAlign w:val="center"/>
          </w:tcPr>
          <w:p>
            <w:pPr>
              <w:wordWrap w:val="0"/>
              <w:spacing w:line="300" w:lineRule="atLeast"/>
              <w:rPr>
                <w:rFonts w:asciiTheme="majorEastAsia" w:hAnsiTheme="majorEastAsia" w:eastAsiaTheme="majorEastAsia" w:cstheme="majorEastAsia"/>
                <w:kern w:val="0"/>
              </w:rPr>
            </w:pPr>
            <w:r>
              <w:rPr>
                <w:rFonts w:hint="eastAsia" w:asciiTheme="majorEastAsia" w:hAnsiTheme="majorEastAsia" w:eastAsiaTheme="majorEastAsia" w:cstheme="majorEastAsia"/>
                <w:kern w:val="0"/>
              </w:rPr>
              <w:t>按照</w:t>
            </w:r>
            <w:r>
              <w:rPr>
                <w:rFonts w:hint="eastAsia" w:asciiTheme="majorEastAsia" w:hAnsiTheme="majorEastAsia" w:eastAsiaTheme="majorEastAsia" w:cstheme="majorEastAsia"/>
                <w:highlight w:val="none"/>
                <w:lang w:eastAsia="zh-CN"/>
              </w:rPr>
              <w:t>临[2022]1520号</w:t>
            </w:r>
            <w:r>
              <w:rPr>
                <w:rFonts w:hint="eastAsia" w:asciiTheme="majorEastAsia" w:hAnsiTheme="majorEastAsia" w:eastAsiaTheme="majorEastAsia" w:cstheme="majorEastAsia"/>
                <w:highlight w:val="none"/>
              </w:rPr>
              <w:t>委托书</w:t>
            </w:r>
            <w:r>
              <w:rPr>
                <w:rFonts w:hint="eastAsia" w:asciiTheme="majorEastAsia" w:hAnsiTheme="majorEastAsia" w:eastAsiaTheme="majorEastAsia" w:cstheme="majorEastAsia"/>
                <w:kern w:val="0"/>
              </w:rPr>
              <w:t>，采购编号：</w:t>
            </w:r>
            <w:r>
              <w:rPr>
                <w:rFonts w:hint="eastAsia" w:asciiTheme="majorEastAsia" w:hAnsiTheme="majorEastAsia" w:eastAsiaTheme="majorEastAsia" w:cstheme="majorEastAsia"/>
                <w:kern w:val="0"/>
                <w:lang w:eastAsia="zh-CN"/>
              </w:rPr>
              <w:t>圣加[ZJSJ-2022-JX2-30]</w:t>
            </w:r>
            <w:r>
              <w:rPr>
                <w:rFonts w:hint="eastAsia" w:asciiTheme="majorEastAsia" w:hAnsiTheme="majorEastAsia" w:eastAsiaTheme="majorEastAsia" w:cstheme="majorEastAsia"/>
                <w:kern w:val="0"/>
              </w:rPr>
              <w:t xml:space="preserve"> ，合同号：</w:t>
            </w:r>
            <w:r>
              <w:rPr>
                <w:rFonts w:hint="eastAsia" w:asciiTheme="majorEastAsia" w:hAnsiTheme="majorEastAsia" w:eastAsiaTheme="majorEastAsia" w:cstheme="majorEastAsia"/>
                <w:kern w:val="0"/>
                <w:lang w:eastAsia="zh-CN"/>
              </w:rPr>
              <w:t>圣加[ZJSJ-2022-JX2-30]</w:t>
            </w:r>
            <w:r>
              <w:rPr>
                <w:rFonts w:hint="eastAsia" w:asciiTheme="majorEastAsia" w:hAnsiTheme="majorEastAsia" w:eastAsiaTheme="majorEastAsia" w:cstheme="majorEastAsia"/>
                <w:kern w:val="0"/>
              </w:rPr>
              <w:t>，</w:t>
            </w:r>
            <w:r>
              <w:rPr>
                <w:rFonts w:hint="eastAsia" w:asciiTheme="majorEastAsia" w:hAnsiTheme="majorEastAsia" w:eastAsiaTheme="majorEastAsia" w:cstheme="majorEastAsia"/>
                <w:kern w:val="0"/>
                <w:sz w:val="26"/>
                <w:szCs w:val="26"/>
              </w:rPr>
              <w:t>以下项目已采购到位并验收合格。</w:t>
            </w:r>
          </w:p>
        </w:tc>
      </w:tr>
      <w:tr>
        <w:tblPrEx>
          <w:tblCellMar>
            <w:top w:w="0" w:type="dxa"/>
            <w:left w:w="108" w:type="dxa"/>
            <w:bottom w:w="0" w:type="dxa"/>
            <w:right w:w="108" w:type="dxa"/>
          </w:tblCellMar>
        </w:tblPrEx>
        <w:trPr>
          <w:trHeight w:val="870" w:hRule="atLeast"/>
          <w:jc w:val="center"/>
        </w:trPr>
        <w:tc>
          <w:tcPr>
            <w:tcW w:w="4620" w:type="dxa"/>
            <w:tcBorders>
              <w:top w:val="single" w:color="auto" w:sz="4" w:space="0"/>
              <w:left w:val="single" w:color="auto" w:sz="4" w:space="0"/>
              <w:bottom w:val="nil"/>
              <w:right w:val="single" w:color="auto" w:sz="4" w:space="0"/>
            </w:tcBorders>
            <w:vAlign w:val="center"/>
          </w:tcPr>
          <w:p>
            <w:pPr>
              <w:widowControl/>
              <w:jc w:val="center"/>
              <w:rPr>
                <w:rFonts w:asciiTheme="majorEastAsia" w:hAnsiTheme="majorEastAsia" w:eastAsiaTheme="majorEastAsia" w:cstheme="majorEastAsia"/>
                <w:kern w:val="0"/>
                <w:sz w:val="26"/>
                <w:szCs w:val="26"/>
              </w:rPr>
            </w:pPr>
            <w:r>
              <w:rPr>
                <w:rFonts w:hint="eastAsia" w:asciiTheme="majorEastAsia" w:hAnsiTheme="majorEastAsia" w:eastAsiaTheme="majorEastAsia" w:cstheme="majorEastAsia"/>
                <w:kern w:val="0"/>
                <w:sz w:val="26"/>
                <w:szCs w:val="26"/>
              </w:rPr>
              <w:t>货物名称</w:t>
            </w:r>
          </w:p>
        </w:tc>
        <w:tc>
          <w:tcPr>
            <w:tcW w:w="4840" w:type="dxa"/>
            <w:tcBorders>
              <w:top w:val="single" w:color="auto" w:sz="4" w:space="0"/>
              <w:left w:val="nil"/>
              <w:bottom w:val="nil"/>
              <w:right w:val="single" w:color="auto" w:sz="4" w:space="0"/>
            </w:tcBorders>
            <w:vAlign w:val="center"/>
          </w:tcPr>
          <w:p>
            <w:pPr>
              <w:widowControl/>
              <w:jc w:val="center"/>
              <w:rPr>
                <w:rFonts w:asciiTheme="majorEastAsia" w:hAnsiTheme="majorEastAsia" w:eastAsiaTheme="majorEastAsia" w:cstheme="majorEastAsia"/>
                <w:kern w:val="0"/>
                <w:sz w:val="26"/>
                <w:szCs w:val="26"/>
              </w:rPr>
            </w:pPr>
            <w:r>
              <w:rPr>
                <w:rFonts w:hint="eastAsia" w:asciiTheme="majorEastAsia" w:hAnsiTheme="majorEastAsia" w:eastAsiaTheme="majorEastAsia" w:cstheme="majorEastAsia"/>
                <w:kern w:val="0"/>
                <w:sz w:val="26"/>
                <w:szCs w:val="26"/>
              </w:rPr>
              <w:t>规格、型号</w:t>
            </w:r>
          </w:p>
        </w:tc>
        <w:tc>
          <w:tcPr>
            <w:tcW w:w="1280" w:type="dxa"/>
            <w:tcBorders>
              <w:top w:val="single" w:color="auto" w:sz="4" w:space="0"/>
              <w:left w:val="nil"/>
              <w:bottom w:val="nil"/>
              <w:right w:val="single" w:color="auto" w:sz="4" w:space="0"/>
            </w:tcBorders>
            <w:vAlign w:val="center"/>
          </w:tcPr>
          <w:p>
            <w:pPr>
              <w:widowControl/>
              <w:jc w:val="center"/>
              <w:rPr>
                <w:rFonts w:asciiTheme="majorEastAsia" w:hAnsiTheme="majorEastAsia" w:eastAsiaTheme="majorEastAsia" w:cstheme="majorEastAsia"/>
                <w:kern w:val="0"/>
                <w:sz w:val="26"/>
                <w:szCs w:val="26"/>
              </w:rPr>
            </w:pPr>
            <w:r>
              <w:rPr>
                <w:rFonts w:hint="eastAsia" w:asciiTheme="majorEastAsia" w:hAnsiTheme="majorEastAsia" w:eastAsiaTheme="majorEastAsia" w:cstheme="majorEastAsia"/>
                <w:kern w:val="0"/>
                <w:sz w:val="26"/>
                <w:szCs w:val="26"/>
              </w:rPr>
              <w:t>数量</w:t>
            </w:r>
          </w:p>
        </w:tc>
        <w:tc>
          <w:tcPr>
            <w:tcW w:w="1600" w:type="dxa"/>
            <w:tcBorders>
              <w:top w:val="single" w:color="auto" w:sz="4" w:space="0"/>
              <w:left w:val="nil"/>
              <w:bottom w:val="nil"/>
              <w:right w:val="single" w:color="auto" w:sz="4" w:space="0"/>
            </w:tcBorders>
            <w:vAlign w:val="center"/>
          </w:tcPr>
          <w:p>
            <w:pPr>
              <w:widowControl/>
              <w:jc w:val="center"/>
              <w:rPr>
                <w:rFonts w:asciiTheme="majorEastAsia" w:hAnsiTheme="majorEastAsia" w:eastAsiaTheme="majorEastAsia" w:cstheme="majorEastAsia"/>
                <w:kern w:val="0"/>
                <w:sz w:val="26"/>
                <w:szCs w:val="26"/>
              </w:rPr>
            </w:pPr>
            <w:r>
              <w:rPr>
                <w:rFonts w:hint="eastAsia" w:asciiTheme="majorEastAsia" w:hAnsiTheme="majorEastAsia" w:eastAsiaTheme="majorEastAsia" w:cstheme="majorEastAsia"/>
                <w:kern w:val="0"/>
                <w:sz w:val="26"/>
                <w:szCs w:val="26"/>
              </w:rPr>
              <w:t>核定总价</w:t>
            </w:r>
          </w:p>
        </w:tc>
        <w:tc>
          <w:tcPr>
            <w:tcW w:w="1740" w:type="dxa"/>
            <w:tcBorders>
              <w:top w:val="single" w:color="auto" w:sz="4" w:space="0"/>
              <w:left w:val="nil"/>
              <w:bottom w:val="single" w:color="auto" w:sz="4" w:space="0"/>
              <w:right w:val="single" w:color="auto" w:sz="4" w:space="0"/>
            </w:tcBorders>
            <w:vAlign w:val="center"/>
          </w:tcPr>
          <w:p>
            <w:pPr>
              <w:widowControl/>
              <w:jc w:val="center"/>
              <w:rPr>
                <w:rFonts w:asciiTheme="majorEastAsia" w:hAnsiTheme="majorEastAsia" w:eastAsiaTheme="majorEastAsia" w:cstheme="majorEastAsia"/>
                <w:kern w:val="0"/>
                <w:sz w:val="26"/>
                <w:szCs w:val="26"/>
              </w:rPr>
            </w:pPr>
            <w:r>
              <w:rPr>
                <w:rFonts w:hint="eastAsia" w:asciiTheme="majorEastAsia" w:hAnsiTheme="majorEastAsia" w:eastAsiaTheme="majorEastAsia" w:cstheme="majorEastAsia"/>
                <w:kern w:val="0"/>
                <w:sz w:val="26"/>
                <w:szCs w:val="26"/>
              </w:rPr>
              <w:t>采购人</w:t>
            </w:r>
            <w:r>
              <w:rPr>
                <w:rFonts w:hint="eastAsia" w:asciiTheme="majorEastAsia" w:hAnsiTheme="majorEastAsia" w:eastAsiaTheme="majorEastAsia" w:cstheme="majorEastAsia"/>
                <w:kern w:val="0"/>
                <w:sz w:val="26"/>
                <w:szCs w:val="26"/>
              </w:rPr>
              <w:br w:type="textWrapping"/>
            </w:r>
            <w:r>
              <w:rPr>
                <w:rFonts w:hint="eastAsia" w:asciiTheme="majorEastAsia" w:hAnsiTheme="majorEastAsia" w:eastAsiaTheme="majorEastAsia" w:cstheme="majorEastAsia"/>
                <w:kern w:val="0"/>
                <w:sz w:val="26"/>
                <w:szCs w:val="26"/>
              </w:rPr>
              <w:t>验收意见</w:t>
            </w:r>
          </w:p>
        </w:tc>
      </w:tr>
      <w:tr>
        <w:tblPrEx>
          <w:tblCellMar>
            <w:top w:w="0" w:type="dxa"/>
            <w:left w:w="108" w:type="dxa"/>
            <w:bottom w:w="0" w:type="dxa"/>
            <w:right w:w="108" w:type="dxa"/>
          </w:tblCellMar>
        </w:tblPrEx>
        <w:trPr>
          <w:trHeight w:val="746" w:hRule="atLeast"/>
          <w:jc w:val="center"/>
        </w:trPr>
        <w:tc>
          <w:tcPr>
            <w:tcW w:w="46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heme="majorEastAsia" w:hAnsiTheme="majorEastAsia" w:eastAsiaTheme="majorEastAsia" w:cstheme="majorEastAsia"/>
                <w:kern w:val="0"/>
                <w:sz w:val="28"/>
                <w:szCs w:val="28"/>
              </w:rPr>
            </w:pPr>
            <w:r>
              <w:rPr>
                <w:rFonts w:hint="eastAsia" w:asciiTheme="majorEastAsia" w:hAnsiTheme="majorEastAsia" w:eastAsiaTheme="majorEastAsia" w:cstheme="majorEastAsia"/>
                <w:kern w:val="0"/>
                <w:sz w:val="28"/>
                <w:szCs w:val="28"/>
              </w:rPr>
              <w:t>　</w:t>
            </w:r>
          </w:p>
        </w:tc>
        <w:tc>
          <w:tcPr>
            <w:tcW w:w="4840" w:type="dxa"/>
            <w:tcBorders>
              <w:top w:val="single" w:color="auto" w:sz="4" w:space="0"/>
              <w:left w:val="nil"/>
              <w:bottom w:val="single" w:color="auto" w:sz="4" w:space="0"/>
              <w:right w:val="single" w:color="auto" w:sz="4" w:space="0"/>
            </w:tcBorders>
            <w:vAlign w:val="center"/>
          </w:tcPr>
          <w:p>
            <w:pPr>
              <w:widowControl/>
              <w:jc w:val="center"/>
              <w:rPr>
                <w:rFonts w:asciiTheme="majorEastAsia" w:hAnsiTheme="majorEastAsia" w:eastAsiaTheme="majorEastAsia" w:cstheme="majorEastAsia"/>
                <w:kern w:val="0"/>
                <w:sz w:val="26"/>
                <w:szCs w:val="26"/>
              </w:rPr>
            </w:pPr>
            <w:r>
              <w:rPr>
                <w:rFonts w:hint="eastAsia" w:asciiTheme="majorEastAsia" w:hAnsiTheme="majorEastAsia" w:eastAsiaTheme="majorEastAsia" w:cstheme="majorEastAsia"/>
                <w:kern w:val="0"/>
                <w:sz w:val="26"/>
                <w:szCs w:val="26"/>
              </w:rPr>
              <w:t>　</w:t>
            </w:r>
          </w:p>
        </w:tc>
        <w:tc>
          <w:tcPr>
            <w:tcW w:w="1280" w:type="dxa"/>
            <w:tcBorders>
              <w:top w:val="single" w:color="auto" w:sz="4" w:space="0"/>
              <w:left w:val="nil"/>
              <w:bottom w:val="single" w:color="auto" w:sz="4" w:space="0"/>
              <w:right w:val="single" w:color="auto" w:sz="4" w:space="0"/>
            </w:tcBorders>
            <w:vAlign w:val="center"/>
          </w:tcPr>
          <w:p>
            <w:pPr>
              <w:widowControl/>
              <w:jc w:val="center"/>
              <w:rPr>
                <w:rFonts w:asciiTheme="majorEastAsia" w:hAnsiTheme="majorEastAsia" w:eastAsiaTheme="majorEastAsia" w:cstheme="majorEastAsia"/>
                <w:kern w:val="0"/>
                <w:sz w:val="26"/>
                <w:szCs w:val="26"/>
              </w:rPr>
            </w:pPr>
            <w:r>
              <w:rPr>
                <w:rFonts w:hint="eastAsia" w:asciiTheme="majorEastAsia" w:hAnsiTheme="majorEastAsia" w:eastAsiaTheme="majorEastAsia" w:cstheme="majorEastAsia"/>
                <w:kern w:val="0"/>
                <w:sz w:val="26"/>
                <w:szCs w:val="26"/>
              </w:rPr>
              <w:t>　</w:t>
            </w:r>
          </w:p>
        </w:tc>
        <w:tc>
          <w:tcPr>
            <w:tcW w:w="1600" w:type="dxa"/>
            <w:tcBorders>
              <w:top w:val="single" w:color="auto" w:sz="4" w:space="0"/>
              <w:left w:val="nil"/>
              <w:bottom w:val="single" w:color="auto" w:sz="4" w:space="0"/>
              <w:right w:val="single" w:color="auto" w:sz="4" w:space="0"/>
            </w:tcBorders>
            <w:vAlign w:val="center"/>
          </w:tcPr>
          <w:p>
            <w:pPr>
              <w:widowControl/>
              <w:jc w:val="center"/>
              <w:rPr>
                <w:rFonts w:asciiTheme="majorEastAsia" w:hAnsiTheme="majorEastAsia" w:eastAsiaTheme="majorEastAsia" w:cstheme="majorEastAsia"/>
                <w:kern w:val="0"/>
                <w:sz w:val="26"/>
                <w:szCs w:val="26"/>
              </w:rPr>
            </w:pPr>
            <w:r>
              <w:rPr>
                <w:rFonts w:hint="eastAsia" w:asciiTheme="majorEastAsia" w:hAnsiTheme="majorEastAsia" w:eastAsiaTheme="majorEastAsia" w:cstheme="majorEastAsia"/>
                <w:kern w:val="0"/>
                <w:sz w:val="26"/>
                <w:szCs w:val="26"/>
              </w:rPr>
              <w:t>　</w:t>
            </w:r>
          </w:p>
        </w:tc>
        <w:tc>
          <w:tcPr>
            <w:tcW w:w="1740" w:type="dxa"/>
            <w:tcBorders>
              <w:top w:val="nil"/>
              <w:left w:val="nil"/>
              <w:bottom w:val="single" w:color="auto" w:sz="4" w:space="0"/>
              <w:right w:val="single" w:color="auto" w:sz="4" w:space="0"/>
            </w:tcBorders>
            <w:vAlign w:val="bottom"/>
          </w:tcPr>
          <w:p>
            <w:pPr>
              <w:widowControl/>
              <w:jc w:val="left"/>
              <w:rPr>
                <w:rFonts w:asciiTheme="majorEastAsia" w:hAnsiTheme="majorEastAsia" w:eastAsiaTheme="majorEastAsia" w:cstheme="majorEastAsia"/>
                <w:kern w:val="0"/>
                <w:sz w:val="26"/>
                <w:szCs w:val="26"/>
              </w:rPr>
            </w:pPr>
            <w:r>
              <w:rPr>
                <w:rFonts w:hint="eastAsia" w:asciiTheme="majorEastAsia" w:hAnsiTheme="majorEastAsia" w:eastAsiaTheme="majorEastAsia" w:cstheme="majorEastAsia"/>
                <w:kern w:val="0"/>
                <w:sz w:val="26"/>
                <w:szCs w:val="26"/>
              </w:rPr>
              <w:t>　</w:t>
            </w:r>
          </w:p>
        </w:tc>
      </w:tr>
      <w:tr>
        <w:tblPrEx>
          <w:tblCellMar>
            <w:top w:w="0" w:type="dxa"/>
            <w:left w:w="108" w:type="dxa"/>
            <w:bottom w:w="0" w:type="dxa"/>
            <w:right w:w="108" w:type="dxa"/>
          </w:tblCellMar>
        </w:tblPrEx>
        <w:trPr>
          <w:trHeight w:val="746" w:hRule="atLeast"/>
          <w:jc w:val="center"/>
        </w:trPr>
        <w:tc>
          <w:tcPr>
            <w:tcW w:w="46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heme="majorEastAsia" w:hAnsiTheme="majorEastAsia" w:eastAsiaTheme="majorEastAsia" w:cstheme="majorEastAsia"/>
                <w:kern w:val="0"/>
                <w:sz w:val="28"/>
                <w:szCs w:val="28"/>
              </w:rPr>
            </w:pPr>
          </w:p>
        </w:tc>
        <w:tc>
          <w:tcPr>
            <w:tcW w:w="4840" w:type="dxa"/>
            <w:tcBorders>
              <w:top w:val="single" w:color="auto" w:sz="4" w:space="0"/>
              <w:left w:val="nil"/>
              <w:bottom w:val="single" w:color="auto" w:sz="4" w:space="0"/>
              <w:right w:val="single" w:color="auto" w:sz="4" w:space="0"/>
            </w:tcBorders>
            <w:vAlign w:val="center"/>
          </w:tcPr>
          <w:p>
            <w:pPr>
              <w:widowControl/>
              <w:jc w:val="center"/>
              <w:rPr>
                <w:rFonts w:asciiTheme="majorEastAsia" w:hAnsiTheme="majorEastAsia" w:eastAsiaTheme="majorEastAsia" w:cstheme="majorEastAsia"/>
                <w:kern w:val="0"/>
                <w:sz w:val="26"/>
                <w:szCs w:val="26"/>
              </w:rPr>
            </w:pPr>
          </w:p>
        </w:tc>
        <w:tc>
          <w:tcPr>
            <w:tcW w:w="1280" w:type="dxa"/>
            <w:tcBorders>
              <w:top w:val="single" w:color="auto" w:sz="4" w:space="0"/>
              <w:left w:val="nil"/>
              <w:bottom w:val="single" w:color="auto" w:sz="4" w:space="0"/>
              <w:right w:val="single" w:color="auto" w:sz="4" w:space="0"/>
            </w:tcBorders>
            <w:vAlign w:val="center"/>
          </w:tcPr>
          <w:p>
            <w:pPr>
              <w:widowControl/>
              <w:jc w:val="center"/>
              <w:rPr>
                <w:rFonts w:asciiTheme="majorEastAsia" w:hAnsiTheme="majorEastAsia" w:eastAsiaTheme="majorEastAsia" w:cstheme="majorEastAsia"/>
                <w:kern w:val="0"/>
                <w:sz w:val="26"/>
                <w:szCs w:val="26"/>
              </w:rPr>
            </w:pPr>
          </w:p>
        </w:tc>
        <w:tc>
          <w:tcPr>
            <w:tcW w:w="1600" w:type="dxa"/>
            <w:tcBorders>
              <w:top w:val="single" w:color="auto" w:sz="4" w:space="0"/>
              <w:left w:val="nil"/>
              <w:bottom w:val="single" w:color="auto" w:sz="4" w:space="0"/>
              <w:right w:val="single" w:color="auto" w:sz="4" w:space="0"/>
            </w:tcBorders>
            <w:vAlign w:val="center"/>
          </w:tcPr>
          <w:p>
            <w:pPr>
              <w:widowControl/>
              <w:jc w:val="center"/>
              <w:rPr>
                <w:rFonts w:asciiTheme="majorEastAsia" w:hAnsiTheme="majorEastAsia" w:eastAsiaTheme="majorEastAsia" w:cstheme="majorEastAsia"/>
                <w:kern w:val="0"/>
                <w:sz w:val="26"/>
                <w:szCs w:val="26"/>
              </w:rPr>
            </w:pPr>
          </w:p>
        </w:tc>
        <w:tc>
          <w:tcPr>
            <w:tcW w:w="1740" w:type="dxa"/>
            <w:tcBorders>
              <w:top w:val="nil"/>
              <w:left w:val="nil"/>
              <w:bottom w:val="single" w:color="auto" w:sz="4" w:space="0"/>
              <w:right w:val="single" w:color="auto" w:sz="4" w:space="0"/>
            </w:tcBorders>
            <w:vAlign w:val="bottom"/>
          </w:tcPr>
          <w:p>
            <w:pPr>
              <w:widowControl/>
              <w:jc w:val="left"/>
              <w:rPr>
                <w:rFonts w:asciiTheme="majorEastAsia" w:hAnsiTheme="majorEastAsia" w:eastAsiaTheme="majorEastAsia" w:cstheme="majorEastAsia"/>
                <w:kern w:val="0"/>
                <w:sz w:val="26"/>
                <w:szCs w:val="26"/>
              </w:rPr>
            </w:pPr>
          </w:p>
        </w:tc>
      </w:tr>
      <w:tr>
        <w:tblPrEx>
          <w:tblCellMar>
            <w:top w:w="0" w:type="dxa"/>
            <w:left w:w="108" w:type="dxa"/>
            <w:bottom w:w="0" w:type="dxa"/>
            <w:right w:w="108" w:type="dxa"/>
          </w:tblCellMar>
        </w:tblPrEx>
        <w:trPr>
          <w:trHeight w:val="750" w:hRule="atLeast"/>
          <w:jc w:val="center"/>
        </w:trPr>
        <w:tc>
          <w:tcPr>
            <w:tcW w:w="4620" w:type="dxa"/>
            <w:tcBorders>
              <w:top w:val="nil"/>
              <w:left w:val="single" w:color="auto" w:sz="4" w:space="0"/>
              <w:bottom w:val="single" w:color="auto" w:sz="4" w:space="0"/>
              <w:right w:val="single" w:color="auto" w:sz="4" w:space="0"/>
            </w:tcBorders>
            <w:vAlign w:val="center"/>
          </w:tcPr>
          <w:p>
            <w:pPr>
              <w:widowControl/>
              <w:jc w:val="center"/>
              <w:rPr>
                <w:rFonts w:asciiTheme="majorEastAsia" w:hAnsiTheme="majorEastAsia" w:eastAsiaTheme="majorEastAsia" w:cstheme="majorEastAsia"/>
                <w:kern w:val="0"/>
                <w:sz w:val="26"/>
                <w:szCs w:val="26"/>
              </w:rPr>
            </w:pPr>
            <w:r>
              <w:rPr>
                <w:rFonts w:hint="eastAsia" w:asciiTheme="majorEastAsia" w:hAnsiTheme="majorEastAsia" w:eastAsiaTheme="majorEastAsia" w:cstheme="majorEastAsia"/>
                <w:kern w:val="0"/>
                <w:sz w:val="26"/>
                <w:szCs w:val="26"/>
              </w:rPr>
              <w:t>合计总价款（人民币）</w:t>
            </w:r>
          </w:p>
        </w:tc>
        <w:tc>
          <w:tcPr>
            <w:tcW w:w="9460" w:type="dxa"/>
            <w:gridSpan w:val="4"/>
            <w:tcBorders>
              <w:top w:val="nil"/>
              <w:left w:val="nil"/>
              <w:bottom w:val="single" w:color="auto" w:sz="4" w:space="0"/>
              <w:right w:val="single" w:color="000000" w:sz="4" w:space="0"/>
            </w:tcBorders>
            <w:vAlign w:val="center"/>
          </w:tcPr>
          <w:p>
            <w:pPr>
              <w:widowControl/>
              <w:jc w:val="left"/>
              <w:rPr>
                <w:rFonts w:asciiTheme="majorEastAsia" w:hAnsiTheme="majorEastAsia" w:eastAsiaTheme="majorEastAsia" w:cstheme="majorEastAsia"/>
                <w:kern w:val="0"/>
                <w:sz w:val="26"/>
                <w:szCs w:val="26"/>
              </w:rPr>
            </w:pPr>
            <w:r>
              <w:rPr>
                <w:rFonts w:hint="eastAsia" w:asciiTheme="majorEastAsia" w:hAnsiTheme="majorEastAsia" w:eastAsiaTheme="majorEastAsia" w:cstheme="majorEastAsia"/>
                <w:kern w:val="0"/>
                <w:sz w:val="26"/>
                <w:szCs w:val="26"/>
              </w:rPr>
              <w:t xml:space="preserve">人民币元整。       ￥: </w:t>
            </w:r>
          </w:p>
        </w:tc>
      </w:tr>
      <w:tr>
        <w:tblPrEx>
          <w:tblCellMar>
            <w:top w:w="0" w:type="dxa"/>
            <w:left w:w="108" w:type="dxa"/>
            <w:bottom w:w="0" w:type="dxa"/>
            <w:right w:w="108" w:type="dxa"/>
          </w:tblCellMar>
        </w:tblPrEx>
        <w:trPr>
          <w:trHeight w:val="690" w:hRule="atLeast"/>
          <w:jc w:val="center"/>
        </w:trPr>
        <w:tc>
          <w:tcPr>
            <w:tcW w:w="4620" w:type="dxa"/>
            <w:tcBorders>
              <w:top w:val="nil"/>
              <w:left w:val="single" w:color="auto" w:sz="4" w:space="0"/>
              <w:bottom w:val="nil"/>
              <w:right w:val="nil"/>
            </w:tcBorders>
            <w:vAlign w:val="bottom"/>
          </w:tcPr>
          <w:p>
            <w:pPr>
              <w:widowControl/>
              <w:jc w:val="left"/>
              <w:rPr>
                <w:rFonts w:asciiTheme="majorEastAsia" w:hAnsiTheme="majorEastAsia" w:eastAsiaTheme="majorEastAsia" w:cstheme="majorEastAsia"/>
                <w:kern w:val="0"/>
              </w:rPr>
            </w:pPr>
            <w:r>
              <w:rPr>
                <w:rFonts w:hint="eastAsia" w:asciiTheme="majorEastAsia" w:hAnsiTheme="majorEastAsia" w:eastAsiaTheme="majorEastAsia" w:cstheme="majorEastAsia"/>
                <w:kern w:val="0"/>
              </w:rPr>
              <w:t>供货单位（盖章）：</w:t>
            </w:r>
          </w:p>
        </w:tc>
        <w:tc>
          <w:tcPr>
            <w:tcW w:w="4840" w:type="dxa"/>
            <w:tcBorders>
              <w:top w:val="nil"/>
              <w:left w:val="nil"/>
              <w:bottom w:val="nil"/>
              <w:right w:val="nil"/>
            </w:tcBorders>
            <w:vAlign w:val="bottom"/>
          </w:tcPr>
          <w:p>
            <w:pPr>
              <w:widowControl/>
              <w:ind w:firstLine="1920" w:firstLineChars="800"/>
              <w:jc w:val="left"/>
              <w:rPr>
                <w:rFonts w:asciiTheme="majorEastAsia" w:hAnsiTheme="majorEastAsia" w:eastAsiaTheme="majorEastAsia" w:cstheme="majorEastAsia"/>
                <w:kern w:val="0"/>
              </w:rPr>
            </w:pPr>
            <w:r>
              <w:rPr>
                <w:rFonts w:hint="eastAsia" w:asciiTheme="majorEastAsia" w:hAnsiTheme="majorEastAsia" w:eastAsiaTheme="majorEastAsia" w:cstheme="majorEastAsia"/>
                <w:kern w:val="0"/>
              </w:rPr>
              <w:t>采购人（盖章）:</w:t>
            </w:r>
          </w:p>
        </w:tc>
        <w:tc>
          <w:tcPr>
            <w:tcW w:w="2880" w:type="dxa"/>
            <w:gridSpan w:val="2"/>
            <w:tcBorders>
              <w:top w:val="nil"/>
              <w:left w:val="nil"/>
              <w:bottom w:val="nil"/>
              <w:right w:val="nil"/>
            </w:tcBorders>
            <w:vAlign w:val="bottom"/>
          </w:tcPr>
          <w:p>
            <w:pPr>
              <w:widowControl/>
              <w:jc w:val="left"/>
              <w:rPr>
                <w:rFonts w:asciiTheme="majorEastAsia" w:hAnsiTheme="majorEastAsia" w:eastAsiaTheme="majorEastAsia" w:cstheme="majorEastAsia"/>
                <w:kern w:val="0"/>
              </w:rPr>
            </w:pPr>
          </w:p>
        </w:tc>
        <w:tc>
          <w:tcPr>
            <w:tcW w:w="1740" w:type="dxa"/>
            <w:tcBorders>
              <w:top w:val="nil"/>
              <w:left w:val="nil"/>
              <w:bottom w:val="nil"/>
              <w:right w:val="single" w:color="auto" w:sz="4" w:space="0"/>
            </w:tcBorders>
            <w:vAlign w:val="bottom"/>
          </w:tcPr>
          <w:p>
            <w:pPr>
              <w:widowControl/>
              <w:jc w:val="left"/>
              <w:rPr>
                <w:rFonts w:asciiTheme="majorEastAsia" w:hAnsiTheme="majorEastAsia" w:eastAsiaTheme="majorEastAsia" w:cstheme="majorEastAsia"/>
                <w:kern w:val="0"/>
              </w:rPr>
            </w:pPr>
            <w:r>
              <w:rPr>
                <w:rFonts w:hint="eastAsia" w:asciiTheme="majorEastAsia" w:hAnsiTheme="majorEastAsia" w:eastAsiaTheme="majorEastAsia" w:cstheme="majorEastAsia"/>
                <w:kern w:val="0"/>
              </w:rPr>
              <w:t>　</w:t>
            </w:r>
          </w:p>
        </w:tc>
      </w:tr>
      <w:tr>
        <w:tblPrEx>
          <w:tblCellMar>
            <w:top w:w="0" w:type="dxa"/>
            <w:left w:w="108" w:type="dxa"/>
            <w:bottom w:w="0" w:type="dxa"/>
            <w:right w:w="108" w:type="dxa"/>
          </w:tblCellMar>
        </w:tblPrEx>
        <w:trPr>
          <w:trHeight w:val="525" w:hRule="atLeast"/>
          <w:jc w:val="center"/>
        </w:trPr>
        <w:tc>
          <w:tcPr>
            <w:tcW w:w="4620" w:type="dxa"/>
            <w:tcBorders>
              <w:top w:val="nil"/>
              <w:left w:val="single" w:color="auto" w:sz="4" w:space="0"/>
              <w:bottom w:val="nil"/>
              <w:right w:val="nil"/>
            </w:tcBorders>
            <w:vAlign w:val="bottom"/>
          </w:tcPr>
          <w:p>
            <w:pPr>
              <w:widowControl/>
              <w:jc w:val="left"/>
              <w:rPr>
                <w:rFonts w:asciiTheme="majorEastAsia" w:hAnsiTheme="majorEastAsia" w:eastAsiaTheme="majorEastAsia" w:cstheme="majorEastAsia"/>
                <w:kern w:val="0"/>
              </w:rPr>
            </w:pPr>
            <w:r>
              <w:rPr>
                <w:rFonts w:hint="eastAsia" w:asciiTheme="majorEastAsia" w:hAnsiTheme="majorEastAsia" w:eastAsiaTheme="majorEastAsia" w:cstheme="majorEastAsia"/>
                <w:kern w:val="0"/>
              </w:rPr>
              <w:t>经办项目负责人：</w:t>
            </w:r>
          </w:p>
        </w:tc>
        <w:tc>
          <w:tcPr>
            <w:tcW w:w="4840" w:type="dxa"/>
            <w:tcBorders>
              <w:top w:val="nil"/>
              <w:left w:val="nil"/>
              <w:bottom w:val="nil"/>
              <w:right w:val="nil"/>
            </w:tcBorders>
            <w:vAlign w:val="bottom"/>
          </w:tcPr>
          <w:p>
            <w:pPr>
              <w:widowControl/>
              <w:ind w:firstLine="1920" w:firstLineChars="800"/>
              <w:jc w:val="left"/>
              <w:rPr>
                <w:rFonts w:asciiTheme="majorEastAsia" w:hAnsiTheme="majorEastAsia" w:eastAsiaTheme="majorEastAsia" w:cstheme="majorEastAsia"/>
                <w:kern w:val="0"/>
              </w:rPr>
            </w:pPr>
            <w:r>
              <w:rPr>
                <w:rFonts w:hint="eastAsia" w:asciiTheme="majorEastAsia" w:hAnsiTheme="majorEastAsia" w:eastAsiaTheme="majorEastAsia" w:cstheme="majorEastAsia"/>
                <w:kern w:val="0"/>
              </w:rPr>
              <w:t>项目验收组组长：</w:t>
            </w:r>
          </w:p>
        </w:tc>
        <w:tc>
          <w:tcPr>
            <w:tcW w:w="2880" w:type="dxa"/>
            <w:gridSpan w:val="2"/>
            <w:tcBorders>
              <w:top w:val="nil"/>
              <w:left w:val="nil"/>
              <w:bottom w:val="nil"/>
              <w:right w:val="nil"/>
            </w:tcBorders>
            <w:vAlign w:val="bottom"/>
          </w:tcPr>
          <w:p>
            <w:pPr>
              <w:widowControl/>
              <w:jc w:val="left"/>
              <w:rPr>
                <w:rFonts w:asciiTheme="majorEastAsia" w:hAnsiTheme="majorEastAsia" w:eastAsiaTheme="majorEastAsia" w:cstheme="majorEastAsia"/>
                <w:kern w:val="0"/>
              </w:rPr>
            </w:pPr>
          </w:p>
        </w:tc>
        <w:tc>
          <w:tcPr>
            <w:tcW w:w="1740" w:type="dxa"/>
            <w:tcBorders>
              <w:top w:val="nil"/>
              <w:left w:val="nil"/>
              <w:bottom w:val="nil"/>
              <w:right w:val="single" w:color="auto" w:sz="4" w:space="0"/>
            </w:tcBorders>
            <w:vAlign w:val="bottom"/>
          </w:tcPr>
          <w:p>
            <w:pPr>
              <w:widowControl/>
              <w:jc w:val="left"/>
              <w:rPr>
                <w:rFonts w:asciiTheme="majorEastAsia" w:hAnsiTheme="majorEastAsia" w:eastAsiaTheme="majorEastAsia" w:cstheme="majorEastAsia"/>
                <w:kern w:val="0"/>
              </w:rPr>
            </w:pPr>
            <w:r>
              <w:rPr>
                <w:rFonts w:hint="eastAsia" w:asciiTheme="majorEastAsia" w:hAnsiTheme="majorEastAsia" w:eastAsiaTheme="majorEastAsia" w:cstheme="majorEastAsia"/>
                <w:kern w:val="0"/>
              </w:rPr>
              <w:t>　</w:t>
            </w:r>
          </w:p>
        </w:tc>
      </w:tr>
      <w:tr>
        <w:tblPrEx>
          <w:tblCellMar>
            <w:top w:w="0" w:type="dxa"/>
            <w:left w:w="108" w:type="dxa"/>
            <w:bottom w:w="0" w:type="dxa"/>
            <w:right w:w="108" w:type="dxa"/>
          </w:tblCellMar>
        </w:tblPrEx>
        <w:trPr>
          <w:trHeight w:val="525" w:hRule="atLeast"/>
          <w:jc w:val="center"/>
        </w:trPr>
        <w:tc>
          <w:tcPr>
            <w:tcW w:w="4620" w:type="dxa"/>
            <w:tcBorders>
              <w:top w:val="nil"/>
              <w:left w:val="single" w:color="auto" w:sz="4" w:space="0"/>
              <w:bottom w:val="nil"/>
              <w:right w:val="nil"/>
            </w:tcBorders>
            <w:vAlign w:val="bottom"/>
          </w:tcPr>
          <w:p>
            <w:pPr>
              <w:widowControl/>
              <w:jc w:val="left"/>
              <w:rPr>
                <w:rFonts w:asciiTheme="majorEastAsia" w:hAnsiTheme="majorEastAsia" w:eastAsiaTheme="majorEastAsia" w:cstheme="majorEastAsia"/>
                <w:kern w:val="0"/>
              </w:rPr>
            </w:pPr>
            <w:r>
              <w:rPr>
                <w:rFonts w:hint="eastAsia" w:asciiTheme="majorEastAsia" w:hAnsiTheme="majorEastAsia" w:eastAsiaTheme="majorEastAsia" w:cstheme="majorEastAsia"/>
                <w:kern w:val="0"/>
              </w:rPr>
              <w:t>联系电话：</w:t>
            </w:r>
          </w:p>
        </w:tc>
        <w:tc>
          <w:tcPr>
            <w:tcW w:w="4840" w:type="dxa"/>
            <w:tcBorders>
              <w:top w:val="nil"/>
              <w:left w:val="nil"/>
              <w:bottom w:val="nil"/>
              <w:right w:val="nil"/>
            </w:tcBorders>
            <w:vAlign w:val="bottom"/>
          </w:tcPr>
          <w:p>
            <w:pPr>
              <w:widowControl/>
              <w:ind w:firstLine="1920" w:firstLineChars="800"/>
              <w:jc w:val="left"/>
              <w:rPr>
                <w:rFonts w:asciiTheme="majorEastAsia" w:hAnsiTheme="majorEastAsia" w:eastAsiaTheme="majorEastAsia" w:cstheme="majorEastAsia"/>
                <w:kern w:val="0"/>
              </w:rPr>
            </w:pPr>
            <w:r>
              <w:rPr>
                <w:rFonts w:hint="eastAsia" w:asciiTheme="majorEastAsia" w:hAnsiTheme="majorEastAsia" w:eastAsiaTheme="majorEastAsia" w:cstheme="majorEastAsia"/>
                <w:kern w:val="0"/>
              </w:rPr>
              <w:t>联系电话：</w:t>
            </w:r>
          </w:p>
        </w:tc>
        <w:tc>
          <w:tcPr>
            <w:tcW w:w="1280" w:type="dxa"/>
            <w:tcBorders>
              <w:top w:val="nil"/>
              <w:left w:val="nil"/>
              <w:bottom w:val="nil"/>
              <w:right w:val="nil"/>
            </w:tcBorders>
            <w:vAlign w:val="bottom"/>
          </w:tcPr>
          <w:p>
            <w:pPr>
              <w:widowControl/>
              <w:jc w:val="left"/>
              <w:rPr>
                <w:rFonts w:asciiTheme="majorEastAsia" w:hAnsiTheme="majorEastAsia" w:eastAsiaTheme="majorEastAsia" w:cstheme="majorEastAsia"/>
                <w:kern w:val="0"/>
              </w:rPr>
            </w:pPr>
          </w:p>
        </w:tc>
        <w:tc>
          <w:tcPr>
            <w:tcW w:w="1600" w:type="dxa"/>
            <w:tcBorders>
              <w:top w:val="nil"/>
              <w:left w:val="nil"/>
              <w:bottom w:val="nil"/>
              <w:right w:val="nil"/>
            </w:tcBorders>
            <w:vAlign w:val="bottom"/>
          </w:tcPr>
          <w:p>
            <w:pPr>
              <w:widowControl/>
              <w:jc w:val="left"/>
              <w:rPr>
                <w:rFonts w:asciiTheme="majorEastAsia" w:hAnsiTheme="majorEastAsia" w:eastAsiaTheme="majorEastAsia" w:cstheme="majorEastAsia"/>
                <w:kern w:val="0"/>
              </w:rPr>
            </w:pPr>
          </w:p>
        </w:tc>
        <w:tc>
          <w:tcPr>
            <w:tcW w:w="1740" w:type="dxa"/>
            <w:tcBorders>
              <w:top w:val="nil"/>
              <w:left w:val="nil"/>
              <w:bottom w:val="nil"/>
              <w:right w:val="single" w:color="auto" w:sz="4" w:space="0"/>
            </w:tcBorders>
            <w:vAlign w:val="bottom"/>
          </w:tcPr>
          <w:p>
            <w:pPr>
              <w:widowControl/>
              <w:jc w:val="left"/>
              <w:rPr>
                <w:rFonts w:asciiTheme="majorEastAsia" w:hAnsiTheme="majorEastAsia" w:eastAsiaTheme="majorEastAsia" w:cstheme="majorEastAsia"/>
                <w:kern w:val="0"/>
              </w:rPr>
            </w:pPr>
            <w:r>
              <w:rPr>
                <w:rFonts w:hint="eastAsia" w:asciiTheme="majorEastAsia" w:hAnsiTheme="majorEastAsia" w:eastAsiaTheme="majorEastAsia" w:cstheme="majorEastAsia"/>
                <w:kern w:val="0"/>
              </w:rPr>
              <w:t>　</w:t>
            </w:r>
          </w:p>
        </w:tc>
      </w:tr>
      <w:tr>
        <w:tblPrEx>
          <w:tblCellMar>
            <w:top w:w="0" w:type="dxa"/>
            <w:left w:w="108" w:type="dxa"/>
            <w:bottom w:w="0" w:type="dxa"/>
            <w:right w:w="108" w:type="dxa"/>
          </w:tblCellMar>
        </w:tblPrEx>
        <w:trPr>
          <w:trHeight w:val="540" w:hRule="atLeast"/>
          <w:jc w:val="center"/>
        </w:trPr>
        <w:tc>
          <w:tcPr>
            <w:tcW w:w="4620" w:type="dxa"/>
            <w:tcBorders>
              <w:top w:val="nil"/>
              <w:left w:val="single" w:color="auto" w:sz="4" w:space="0"/>
              <w:bottom w:val="nil"/>
              <w:right w:val="nil"/>
            </w:tcBorders>
            <w:vAlign w:val="bottom"/>
          </w:tcPr>
          <w:p>
            <w:pPr>
              <w:widowControl/>
              <w:jc w:val="left"/>
              <w:rPr>
                <w:rFonts w:asciiTheme="majorEastAsia" w:hAnsiTheme="majorEastAsia" w:eastAsiaTheme="majorEastAsia" w:cstheme="majorEastAsia"/>
                <w:kern w:val="0"/>
              </w:rPr>
            </w:pPr>
            <w:r>
              <w:rPr>
                <w:rFonts w:hint="eastAsia" w:asciiTheme="majorEastAsia" w:hAnsiTheme="majorEastAsia" w:eastAsiaTheme="majorEastAsia" w:cstheme="majorEastAsia"/>
                <w:kern w:val="0"/>
              </w:rPr>
              <w:t>开户银行：</w:t>
            </w:r>
          </w:p>
        </w:tc>
        <w:tc>
          <w:tcPr>
            <w:tcW w:w="4840" w:type="dxa"/>
            <w:tcBorders>
              <w:top w:val="nil"/>
              <w:left w:val="nil"/>
              <w:bottom w:val="nil"/>
              <w:right w:val="nil"/>
            </w:tcBorders>
            <w:vAlign w:val="bottom"/>
          </w:tcPr>
          <w:p>
            <w:pPr>
              <w:widowControl/>
              <w:ind w:firstLine="1920" w:firstLineChars="800"/>
              <w:jc w:val="left"/>
              <w:rPr>
                <w:rFonts w:asciiTheme="majorEastAsia" w:hAnsiTheme="majorEastAsia" w:eastAsiaTheme="majorEastAsia" w:cstheme="majorEastAsia"/>
                <w:kern w:val="0"/>
              </w:rPr>
            </w:pPr>
            <w:r>
              <w:rPr>
                <w:rFonts w:hint="eastAsia" w:asciiTheme="majorEastAsia" w:hAnsiTheme="majorEastAsia" w:eastAsiaTheme="majorEastAsia" w:cstheme="majorEastAsia"/>
                <w:kern w:val="0"/>
              </w:rPr>
              <w:t>项目验收组成员（签名）：</w:t>
            </w:r>
          </w:p>
        </w:tc>
        <w:tc>
          <w:tcPr>
            <w:tcW w:w="1280" w:type="dxa"/>
            <w:tcBorders>
              <w:top w:val="nil"/>
              <w:left w:val="nil"/>
              <w:bottom w:val="nil"/>
              <w:right w:val="nil"/>
            </w:tcBorders>
            <w:vAlign w:val="bottom"/>
          </w:tcPr>
          <w:p>
            <w:pPr>
              <w:widowControl/>
              <w:jc w:val="left"/>
              <w:rPr>
                <w:rFonts w:asciiTheme="majorEastAsia" w:hAnsiTheme="majorEastAsia" w:eastAsiaTheme="majorEastAsia" w:cstheme="majorEastAsia"/>
                <w:kern w:val="0"/>
              </w:rPr>
            </w:pPr>
          </w:p>
        </w:tc>
        <w:tc>
          <w:tcPr>
            <w:tcW w:w="1600" w:type="dxa"/>
            <w:tcBorders>
              <w:top w:val="nil"/>
              <w:left w:val="nil"/>
              <w:bottom w:val="nil"/>
              <w:right w:val="nil"/>
            </w:tcBorders>
            <w:vAlign w:val="bottom"/>
          </w:tcPr>
          <w:p>
            <w:pPr>
              <w:widowControl/>
              <w:jc w:val="left"/>
              <w:rPr>
                <w:rFonts w:asciiTheme="majorEastAsia" w:hAnsiTheme="majorEastAsia" w:eastAsiaTheme="majorEastAsia" w:cstheme="majorEastAsia"/>
                <w:kern w:val="0"/>
              </w:rPr>
            </w:pPr>
          </w:p>
        </w:tc>
        <w:tc>
          <w:tcPr>
            <w:tcW w:w="1740" w:type="dxa"/>
            <w:tcBorders>
              <w:top w:val="nil"/>
              <w:left w:val="nil"/>
              <w:bottom w:val="nil"/>
              <w:right w:val="single" w:color="auto" w:sz="4" w:space="0"/>
            </w:tcBorders>
            <w:vAlign w:val="bottom"/>
          </w:tcPr>
          <w:p>
            <w:pPr>
              <w:widowControl/>
              <w:jc w:val="left"/>
              <w:rPr>
                <w:rFonts w:asciiTheme="majorEastAsia" w:hAnsiTheme="majorEastAsia" w:eastAsiaTheme="majorEastAsia" w:cstheme="majorEastAsia"/>
                <w:kern w:val="0"/>
              </w:rPr>
            </w:pPr>
            <w:r>
              <w:rPr>
                <w:rFonts w:hint="eastAsia" w:asciiTheme="majorEastAsia" w:hAnsiTheme="majorEastAsia" w:eastAsiaTheme="majorEastAsia" w:cstheme="majorEastAsia"/>
                <w:kern w:val="0"/>
              </w:rPr>
              <w:t>　</w:t>
            </w:r>
          </w:p>
        </w:tc>
      </w:tr>
      <w:tr>
        <w:tblPrEx>
          <w:tblCellMar>
            <w:top w:w="0" w:type="dxa"/>
            <w:left w:w="108" w:type="dxa"/>
            <w:bottom w:w="0" w:type="dxa"/>
            <w:right w:w="108" w:type="dxa"/>
          </w:tblCellMar>
        </w:tblPrEx>
        <w:trPr>
          <w:trHeight w:val="675" w:hRule="atLeast"/>
          <w:jc w:val="center"/>
        </w:trPr>
        <w:tc>
          <w:tcPr>
            <w:tcW w:w="4620" w:type="dxa"/>
            <w:tcBorders>
              <w:top w:val="nil"/>
              <w:left w:val="single" w:color="auto" w:sz="4" w:space="0"/>
              <w:bottom w:val="single" w:color="auto" w:sz="4" w:space="0"/>
              <w:right w:val="nil"/>
            </w:tcBorders>
            <w:vAlign w:val="center"/>
          </w:tcPr>
          <w:p>
            <w:pPr>
              <w:widowControl/>
              <w:rPr>
                <w:rFonts w:asciiTheme="majorEastAsia" w:hAnsiTheme="majorEastAsia" w:eastAsiaTheme="majorEastAsia" w:cstheme="majorEastAsia"/>
                <w:kern w:val="0"/>
              </w:rPr>
            </w:pPr>
            <w:r>
              <w:rPr>
                <w:rFonts w:hint="eastAsia" w:asciiTheme="majorEastAsia" w:hAnsiTheme="majorEastAsia" w:eastAsiaTheme="majorEastAsia" w:cstheme="majorEastAsia"/>
                <w:kern w:val="0"/>
              </w:rPr>
              <w:t>银行帐号：</w:t>
            </w:r>
          </w:p>
        </w:tc>
        <w:tc>
          <w:tcPr>
            <w:tcW w:w="4840" w:type="dxa"/>
            <w:tcBorders>
              <w:top w:val="nil"/>
              <w:left w:val="nil"/>
              <w:bottom w:val="single" w:color="auto" w:sz="4" w:space="0"/>
              <w:right w:val="nil"/>
            </w:tcBorders>
            <w:vAlign w:val="bottom"/>
          </w:tcPr>
          <w:p>
            <w:pPr>
              <w:widowControl/>
              <w:jc w:val="left"/>
              <w:rPr>
                <w:rFonts w:asciiTheme="majorEastAsia" w:hAnsiTheme="majorEastAsia" w:eastAsiaTheme="majorEastAsia" w:cstheme="majorEastAsia"/>
                <w:kern w:val="0"/>
              </w:rPr>
            </w:pPr>
            <w:r>
              <w:rPr>
                <w:rFonts w:hint="eastAsia" w:asciiTheme="majorEastAsia" w:hAnsiTheme="majorEastAsia" w:eastAsiaTheme="majorEastAsia" w:cstheme="majorEastAsia"/>
                <w:kern w:val="0"/>
              </w:rPr>
              <w:t>　</w:t>
            </w:r>
          </w:p>
        </w:tc>
        <w:tc>
          <w:tcPr>
            <w:tcW w:w="4620" w:type="dxa"/>
            <w:gridSpan w:val="3"/>
            <w:tcBorders>
              <w:top w:val="nil"/>
              <w:left w:val="nil"/>
              <w:bottom w:val="single" w:color="auto" w:sz="4" w:space="0"/>
              <w:right w:val="single" w:color="000000" w:sz="4" w:space="0"/>
            </w:tcBorders>
            <w:vAlign w:val="center"/>
          </w:tcPr>
          <w:p>
            <w:pPr>
              <w:widowControl/>
              <w:rPr>
                <w:rFonts w:asciiTheme="majorEastAsia" w:hAnsiTheme="majorEastAsia" w:eastAsiaTheme="majorEastAsia" w:cstheme="majorEastAsia"/>
                <w:kern w:val="0"/>
              </w:rPr>
            </w:pPr>
            <w:r>
              <w:rPr>
                <w:rFonts w:hint="eastAsia" w:asciiTheme="majorEastAsia" w:hAnsiTheme="majorEastAsia" w:eastAsiaTheme="majorEastAsia" w:cstheme="majorEastAsia"/>
                <w:kern w:val="0"/>
              </w:rPr>
              <w:t>验收时间：       年     月     日</w:t>
            </w:r>
          </w:p>
        </w:tc>
      </w:tr>
      <w:tr>
        <w:tblPrEx>
          <w:tblCellMar>
            <w:top w:w="0" w:type="dxa"/>
            <w:left w:w="108" w:type="dxa"/>
            <w:bottom w:w="0" w:type="dxa"/>
            <w:right w:w="108" w:type="dxa"/>
          </w:tblCellMar>
        </w:tblPrEx>
        <w:trPr>
          <w:trHeight w:val="345" w:hRule="atLeast"/>
          <w:jc w:val="center"/>
        </w:trPr>
        <w:tc>
          <w:tcPr>
            <w:tcW w:w="14080" w:type="dxa"/>
            <w:gridSpan w:val="5"/>
            <w:tcBorders>
              <w:top w:val="single" w:color="auto" w:sz="4" w:space="0"/>
              <w:left w:val="nil"/>
              <w:bottom w:val="nil"/>
              <w:right w:val="nil"/>
            </w:tcBorders>
            <w:vAlign w:val="center"/>
          </w:tcPr>
          <w:p>
            <w:pPr>
              <w:widowControl/>
              <w:rPr>
                <w:rFonts w:asciiTheme="majorEastAsia" w:hAnsiTheme="majorEastAsia" w:eastAsiaTheme="majorEastAsia" w:cstheme="majorEastAsia"/>
                <w:kern w:val="0"/>
                <w:sz w:val="22"/>
                <w:szCs w:val="22"/>
              </w:rPr>
            </w:pPr>
            <w:r>
              <w:rPr>
                <w:rFonts w:hint="eastAsia" w:asciiTheme="majorEastAsia" w:hAnsiTheme="majorEastAsia" w:eastAsiaTheme="majorEastAsia" w:cstheme="majorEastAsia"/>
                <w:kern w:val="0"/>
                <w:sz w:val="22"/>
                <w:szCs w:val="22"/>
              </w:rPr>
              <w:t>本单一式四联：第一联采购人留存，第二联作为财政支付凭证，第三联供货单位留存，第四联采购办存档备查。</w:t>
            </w:r>
          </w:p>
        </w:tc>
      </w:tr>
    </w:tbl>
    <w:p>
      <w:pPr>
        <w:pStyle w:val="6"/>
        <w:numPr>
          <w:ilvl w:val="0"/>
          <w:numId w:val="8"/>
        </w:numPr>
        <w:rPr>
          <w:rFonts w:asciiTheme="majorEastAsia" w:hAnsiTheme="majorEastAsia" w:eastAsiaTheme="majorEastAsia" w:cstheme="majorEastAsia"/>
        </w:rPr>
        <w:sectPr>
          <w:headerReference r:id="rId4" w:type="default"/>
          <w:footerReference r:id="rId5" w:type="default"/>
          <w:pgSz w:w="16838" w:h="11906" w:orient="landscape"/>
          <w:pgMar w:top="907" w:right="907" w:bottom="907" w:left="907" w:header="851" w:footer="851" w:gutter="0"/>
          <w:cols w:space="720" w:num="1"/>
          <w:docGrid w:linePitch="312" w:charSpace="0"/>
        </w:sectPr>
      </w:pPr>
      <w:bookmarkStart w:id="94" w:name="_Toc532218234"/>
    </w:p>
    <w:bookmarkEnd w:id="94"/>
    <w:p>
      <w:pPr>
        <w:pStyle w:val="6"/>
        <w:rPr>
          <w:rFonts w:asciiTheme="majorEastAsia" w:hAnsiTheme="majorEastAsia" w:eastAsiaTheme="majorEastAsia" w:cstheme="majorEastAsia"/>
          <w:b w:val="0"/>
          <w:bCs w:val="0"/>
          <w:sz w:val="30"/>
          <w:szCs w:val="30"/>
        </w:rPr>
      </w:pPr>
      <w:bookmarkStart w:id="95" w:name="_Toc1861790450"/>
      <w:bookmarkStart w:id="96" w:name="_Toc565095022"/>
      <w:bookmarkStart w:id="97" w:name="_Toc1596390429"/>
      <w:bookmarkStart w:id="98" w:name="_Toc580913935"/>
      <w:r>
        <w:rPr>
          <w:rFonts w:hint="eastAsia" w:asciiTheme="majorEastAsia" w:hAnsiTheme="majorEastAsia" w:eastAsiaTheme="majorEastAsia" w:cstheme="majorEastAsia"/>
        </w:rPr>
        <w:t>第六章 投标文件格式</w:t>
      </w:r>
      <w:bookmarkEnd w:id="95"/>
      <w:bookmarkEnd w:id="96"/>
      <w:bookmarkEnd w:id="97"/>
      <w:bookmarkEnd w:id="98"/>
    </w:p>
    <w:p>
      <w:pPr>
        <w:spacing w:line="360" w:lineRule="auto"/>
        <w:jc w:val="center"/>
        <w:outlineLvl w:val="0"/>
        <w:rPr>
          <w:rFonts w:asciiTheme="majorEastAsia" w:hAnsiTheme="majorEastAsia" w:eastAsiaTheme="majorEastAsia" w:cstheme="majorEastAsia"/>
          <w:b/>
          <w:kern w:val="0"/>
          <w:sz w:val="36"/>
          <w:szCs w:val="36"/>
        </w:rPr>
      </w:pPr>
      <w:bookmarkStart w:id="99" w:name="_Toc503455976"/>
      <w:bookmarkStart w:id="100" w:name="_Toc152528058"/>
      <w:bookmarkStart w:id="101" w:name="_Toc261731202"/>
      <w:bookmarkStart w:id="102" w:name="_Toc375539304"/>
      <w:bookmarkStart w:id="103" w:name="_Toc499944688"/>
      <w:r>
        <w:rPr>
          <w:rFonts w:hint="eastAsia" w:asciiTheme="majorEastAsia" w:hAnsiTheme="majorEastAsia" w:eastAsiaTheme="majorEastAsia" w:cstheme="majorEastAsia"/>
          <w:b/>
          <w:kern w:val="0"/>
          <w:sz w:val="36"/>
          <w:szCs w:val="36"/>
        </w:rPr>
        <w:t>资格文件部分</w:t>
      </w:r>
      <w:bookmarkEnd w:id="99"/>
      <w:bookmarkEnd w:id="100"/>
      <w:bookmarkEnd w:id="101"/>
      <w:bookmarkEnd w:id="102"/>
      <w:bookmarkEnd w:id="103"/>
    </w:p>
    <w:p>
      <w:pPr>
        <w:spacing w:line="360" w:lineRule="auto"/>
        <w:jc w:val="center"/>
        <w:outlineLvl w:val="0"/>
        <w:rPr>
          <w:rFonts w:asciiTheme="majorEastAsia" w:hAnsiTheme="majorEastAsia" w:eastAsiaTheme="majorEastAsia" w:cstheme="majorEastAsia"/>
          <w:b/>
          <w:kern w:val="0"/>
          <w:sz w:val="36"/>
          <w:szCs w:val="36"/>
        </w:rPr>
      </w:pPr>
      <w:bookmarkStart w:id="104" w:name="_Toc1836690478"/>
      <w:bookmarkStart w:id="105" w:name="_Toc2084735373"/>
      <w:bookmarkStart w:id="106" w:name="_Toc971525764"/>
      <w:bookmarkStart w:id="107" w:name="_Toc376449268"/>
      <w:bookmarkStart w:id="108" w:name="_Toc815392793"/>
      <w:r>
        <w:rPr>
          <w:rFonts w:hint="eastAsia" w:asciiTheme="majorEastAsia" w:hAnsiTheme="majorEastAsia" w:eastAsiaTheme="majorEastAsia" w:cstheme="majorEastAsia"/>
          <w:b/>
          <w:kern w:val="0"/>
          <w:sz w:val="36"/>
          <w:szCs w:val="36"/>
        </w:rPr>
        <w:t>目录</w:t>
      </w:r>
      <w:bookmarkEnd w:id="104"/>
      <w:bookmarkEnd w:id="105"/>
      <w:bookmarkEnd w:id="106"/>
      <w:bookmarkEnd w:id="107"/>
      <w:bookmarkEnd w:id="108"/>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jc w:val="left"/>
        <w:rPr>
          <w:rFonts w:asciiTheme="majorEastAsia" w:hAnsiTheme="majorEastAsia" w:eastAsiaTheme="majorEastAsia" w:cstheme="majorEastAsia"/>
          <w:kern w:val="0"/>
        </w:rPr>
      </w:pPr>
      <w:r>
        <w:rPr>
          <w:rFonts w:hint="eastAsia" w:asciiTheme="majorEastAsia" w:hAnsiTheme="majorEastAsia" w:eastAsiaTheme="majorEastAsia" w:cstheme="majorEastAsia"/>
          <w:kern w:val="0"/>
        </w:rPr>
        <w:t>（1）符合参加政府采购活动应当具备的一般条件的承诺函…………（页码）</w:t>
      </w:r>
    </w:p>
    <w:p>
      <w:pPr>
        <w:snapToGrid w:val="0"/>
        <w:spacing w:line="360" w:lineRule="auto"/>
        <w:ind w:right="480"/>
        <w:rPr>
          <w:rFonts w:asciiTheme="majorEastAsia" w:hAnsiTheme="majorEastAsia" w:eastAsiaTheme="majorEastAsia" w:cstheme="majorEastAsia"/>
          <w:b/>
          <w:kern w:val="0"/>
          <w:sz w:val="32"/>
          <w:szCs w:val="32"/>
        </w:rPr>
      </w:pPr>
    </w:p>
    <w:p>
      <w:pPr>
        <w:snapToGrid w:val="0"/>
        <w:spacing w:line="360" w:lineRule="auto"/>
        <w:ind w:right="480"/>
        <w:rPr>
          <w:rFonts w:asciiTheme="majorEastAsia" w:hAnsiTheme="majorEastAsia" w:eastAsiaTheme="majorEastAsia" w:cstheme="majorEastAsia"/>
          <w:b/>
          <w:kern w:val="0"/>
          <w:sz w:val="32"/>
          <w:szCs w:val="32"/>
        </w:rPr>
      </w:pPr>
      <w:r>
        <w:rPr>
          <w:rFonts w:hint="eastAsia" w:asciiTheme="majorEastAsia" w:hAnsiTheme="majorEastAsia" w:eastAsiaTheme="majorEastAsia" w:cstheme="majorEastAsia"/>
          <w:b/>
          <w:kern w:val="0"/>
          <w:sz w:val="32"/>
          <w:szCs w:val="32"/>
        </w:rPr>
        <w:t>一、 符合参加政府采购活动应当具备的一般条件的承诺函</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Theme="majorEastAsia" w:hAnsiTheme="majorEastAsia" w:eastAsiaTheme="majorEastAsia" w:cstheme="majorEastAsia"/>
          <w:kern w:val="0"/>
        </w:rPr>
      </w:pPr>
      <w:r>
        <w:rPr>
          <w:rFonts w:hint="eastAsia" w:asciiTheme="majorEastAsia" w:hAnsiTheme="majorEastAsia" w:eastAsiaTheme="majorEastAsia" w:cstheme="majorEastAsia"/>
          <w:kern w:val="0"/>
          <w:lang w:eastAsia="zh-CN"/>
        </w:rPr>
        <w:t>嘉兴市秀洲区人民政府高照街道办事处</w:t>
      </w:r>
      <w:r>
        <w:rPr>
          <w:rFonts w:hint="eastAsia" w:asciiTheme="majorEastAsia" w:hAnsiTheme="majorEastAsia" w:eastAsiaTheme="majorEastAsia" w:cstheme="majorEastAsia"/>
          <w:kern w:val="0"/>
        </w:rPr>
        <w:t>、</w:t>
      </w:r>
      <w:r>
        <w:rPr>
          <w:rFonts w:hint="eastAsia" w:asciiTheme="majorEastAsia" w:hAnsiTheme="majorEastAsia" w:eastAsiaTheme="majorEastAsia" w:cstheme="majorEastAsia"/>
          <w:kern w:val="0"/>
          <w:lang w:eastAsia="zh-CN"/>
        </w:rPr>
        <w:t>浙江圣加工程管理咨询有限公司</w:t>
      </w:r>
      <w:r>
        <w:rPr>
          <w:rFonts w:hint="eastAsia" w:asciiTheme="majorEastAsia" w:hAnsiTheme="majorEastAsia" w:eastAsiaTheme="majorEastAsia" w:cstheme="majorEastAsia"/>
          <w:kern w:val="0"/>
        </w:rPr>
        <w:t>：</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Theme="majorEastAsia" w:hAnsiTheme="majorEastAsia" w:eastAsiaTheme="majorEastAsia" w:cstheme="majorEastAsia"/>
          <w:kern w:val="0"/>
        </w:rPr>
      </w:pPr>
      <w:r>
        <w:rPr>
          <w:rFonts w:hint="eastAsia" w:asciiTheme="majorEastAsia" w:hAnsiTheme="majorEastAsia" w:eastAsiaTheme="majorEastAsia" w:cstheme="majorEastAsia"/>
          <w:kern w:val="0"/>
        </w:rPr>
        <w:t>我方参与（项目名称）【招标编号：（采购编号）】政府采购活动，郑重承诺：</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Theme="majorEastAsia" w:hAnsiTheme="majorEastAsia" w:eastAsiaTheme="majorEastAsia" w:cstheme="majorEastAsia"/>
          <w:kern w:val="0"/>
        </w:rPr>
      </w:pPr>
      <w:r>
        <w:rPr>
          <w:rFonts w:hint="eastAsia" w:asciiTheme="majorEastAsia" w:hAnsiTheme="majorEastAsia" w:eastAsiaTheme="majorEastAsia" w:cstheme="majorEastAsia"/>
          <w:kern w:val="0"/>
        </w:rPr>
        <w:t>（一）具备《中华人民共和国政府采购法》第二十二条第一款规定的条件</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Theme="majorEastAsia" w:hAnsiTheme="majorEastAsia" w:eastAsiaTheme="majorEastAsia" w:cstheme="majorEastAsia"/>
          <w:kern w:val="0"/>
        </w:rPr>
      </w:pPr>
      <w:r>
        <w:rPr>
          <w:rFonts w:hint="eastAsia" w:asciiTheme="majorEastAsia" w:hAnsiTheme="majorEastAsia" w:eastAsiaTheme="majorEastAsia" w:cstheme="majorEastAsia"/>
          <w:kern w:val="0"/>
        </w:rPr>
        <w:t>（二）未被信用中国（www.creditchina.gov.cn)、中国政府采购网（www.ccgp.gov.cn）列入失信被执行人、重大税收违法案件当事人名单、政府采购严重违法失信行为记录名单。</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Theme="majorEastAsia" w:hAnsiTheme="majorEastAsia" w:eastAsiaTheme="majorEastAsia" w:cstheme="majorEastAsia"/>
          <w:kern w:val="0"/>
        </w:rPr>
      </w:pPr>
      <w:r>
        <w:rPr>
          <w:rFonts w:hint="eastAsia" w:asciiTheme="majorEastAsia" w:hAnsiTheme="majorEastAsia" w:eastAsiaTheme="majorEastAsia" w:cstheme="majorEastAsia"/>
          <w:kern w:val="0"/>
        </w:rPr>
        <w:t>（三）不存在以下情况：</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Theme="majorEastAsia" w:hAnsiTheme="majorEastAsia" w:eastAsiaTheme="majorEastAsia" w:cstheme="majorEastAsia"/>
          <w:kern w:val="0"/>
        </w:rPr>
      </w:pPr>
      <w:r>
        <w:rPr>
          <w:rFonts w:hint="eastAsia" w:asciiTheme="majorEastAsia" w:hAnsiTheme="majorEastAsia" w:eastAsiaTheme="majorEastAsia" w:cstheme="majorEastAsia"/>
          <w:kern w:val="0"/>
        </w:rPr>
        <w:t>1、单位负责人为同一人或者存在直接控股、管理关系的不同供应商参加同一合同项下的政府采购活动的；</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Theme="majorEastAsia" w:hAnsiTheme="majorEastAsia" w:eastAsiaTheme="majorEastAsia" w:cstheme="majorEastAsia"/>
          <w:kern w:val="0"/>
        </w:rPr>
      </w:pPr>
      <w:r>
        <w:rPr>
          <w:rFonts w:hint="eastAsia" w:asciiTheme="majorEastAsia" w:hAnsiTheme="majorEastAsia" w:eastAsiaTheme="majorEastAsia" w:cstheme="majorEastAsia"/>
          <w:kern w:val="0"/>
        </w:rPr>
        <w:t>2、为采购项目提供整体设计、规范编制或者项目管理、监理、检测等服务后再参加该采购项目的其他采购活动的。</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left="4560" w:leftChars="1900"/>
        <w:jc w:val="left"/>
        <w:rPr>
          <w:rFonts w:asciiTheme="majorEastAsia" w:hAnsiTheme="majorEastAsia" w:eastAsiaTheme="majorEastAsia" w:cstheme="majorEastAsia"/>
          <w:kern w:val="0"/>
        </w:rPr>
      </w:pPr>
      <w:r>
        <w:rPr>
          <w:rFonts w:hint="eastAsia" w:asciiTheme="majorEastAsia" w:hAnsiTheme="majorEastAsia" w:eastAsiaTheme="majorEastAsia" w:cstheme="majorEastAsia"/>
          <w:kern w:val="0"/>
          <w:lang w:val="zh-CN"/>
        </w:rPr>
        <w:t>投标供应商名称(盖章)：</w:t>
      </w:r>
      <w:r>
        <w:rPr>
          <w:rFonts w:hint="eastAsia" w:asciiTheme="majorEastAsia" w:hAnsiTheme="majorEastAsia" w:eastAsiaTheme="majorEastAsia" w:cstheme="majorEastAsia"/>
          <w:kern w:val="0"/>
        </w:rPr>
        <w:t xml:space="preserve">                                           </w:t>
      </w:r>
      <w:r>
        <w:rPr>
          <w:rFonts w:hint="eastAsia" w:asciiTheme="majorEastAsia" w:hAnsiTheme="majorEastAsia" w:eastAsiaTheme="majorEastAsia" w:cstheme="majorEastAsia"/>
          <w:kern w:val="0"/>
          <w:lang w:val="zh-CN"/>
        </w:rPr>
        <w:t>日期</w:t>
      </w:r>
      <w:r>
        <w:rPr>
          <w:rFonts w:hint="eastAsia" w:asciiTheme="majorEastAsia" w:hAnsiTheme="majorEastAsia" w:eastAsiaTheme="majorEastAsia" w:cstheme="majorEastAsia"/>
          <w:kern w:val="0"/>
        </w:rPr>
        <w:t xml:space="preserve">：  年  </w:t>
      </w:r>
      <w:r>
        <w:rPr>
          <w:rFonts w:hint="eastAsia" w:asciiTheme="majorEastAsia" w:hAnsiTheme="majorEastAsia" w:eastAsiaTheme="majorEastAsia" w:cstheme="majorEastAsia"/>
          <w:kern w:val="0"/>
          <w:lang w:val="zh-CN"/>
        </w:rPr>
        <w:t>月</w:t>
      </w:r>
      <w:r>
        <w:rPr>
          <w:rFonts w:hint="eastAsia" w:asciiTheme="majorEastAsia" w:hAnsiTheme="majorEastAsia" w:eastAsiaTheme="majorEastAsia" w:cstheme="majorEastAsia"/>
          <w:kern w:val="0"/>
        </w:rPr>
        <w:t xml:space="preserve">   </w:t>
      </w:r>
      <w:r>
        <w:rPr>
          <w:rFonts w:hint="eastAsia" w:asciiTheme="majorEastAsia" w:hAnsiTheme="majorEastAsia" w:eastAsiaTheme="majorEastAsia" w:cstheme="majorEastAsia"/>
          <w:kern w:val="0"/>
          <w:lang w:val="zh-CN"/>
        </w:rPr>
        <w:t>日</w:t>
      </w:r>
    </w:p>
    <w:p>
      <w:pPr>
        <w:snapToGrid w:val="0"/>
        <w:spacing w:line="360" w:lineRule="auto"/>
        <w:ind w:right="480"/>
        <w:rPr>
          <w:rFonts w:asciiTheme="majorEastAsia" w:hAnsiTheme="majorEastAsia" w:eastAsiaTheme="majorEastAsia" w:cstheme="majorEastAsia"/>
          <w:b/>
          <w:kern w:val="0"/>
          <w:sz w:val="32"/>
          <w:szCs w:val="32"/>
        </w:rPr>
      </w:pPr>
    </w:p>
    <w:p>
      <w:pPr>
        <w:pStyle w:val="2"/>
        <w:rPr>
          <w:rFonts w:asciiTheme="majorEastAsia" w:hAnsiTheme="majorEastAsia" w:eastAsiaTheme="majorEastAsia" w:cstheme="majorEastAsia"/>
          <w:b/>
          <w:kern w:val="0"/>
          <w:sz w:val="32"/>
          <w:szCs w:val="32"/>
        </w:rPr>
      </w:pPr>
    </w:p>
    <w:p>
      <w:pPr>
        <w:pStyle w:val="4"/>
        <w:rPr>
          <w:rFonts w:asciiTheme="majorEastAsia" w:hAnsiTheme="majorEastAsia" w:eastAsiaTheme="majorEastAsia" w:cstheme="majorEastAsia"/>
          <w:b/>
          <w:kern w:val="0"/>
          <w:sz w:val="32"/>
          <w:szCs w:val="32"/>
        </w:rPr>
      </w:pPr>
    </w:p>
    <w:p>
      <w:pPr>
        <w:pStyle w:val="5"/>
        <w:rPr>
          <w:rFonts w:asciiTheme="majorEastAsia" w:hAnsiTheme="majorEastAsia" w:eastAsiaTheme="majorEastAsia" w:cstheme="majorEastAsia"/>
          <w:b/>
          <w:kern w:val="0"/>
          <w:sz w:val="32"/>
          <w:szCs w:val="32"/>
        </w:rPr>
      </w:pPr>
    </w:p>
    <w:p>
      <w:pPr>
        <w:rPr>
          <w:rFonts w:asciiTheme="majorEastAsia" w:hAnsiTheme="majorEastAsia" w:eastAsiaTheme="majorEastAsia" w:cstheme="majorEastAsia"/>
          <w:b/>
          <w:kern w:val="0"/>
          <w:sz w:val="32"/>
          <w:szCs w:val="32"/>
        </w:rPr>
      </w:pPr>
    </w:p>
    <w:p>
      <w:pPr>
        <w:pStyle w:val="2"/>
        <w:rPr>
          <w:rFonts w:asciiTheme="majorEastAsia" w:hAnsiTheme="majorEastAsia" w:eastAsiaTheme="majorEastAsia" w:cstheme="majorEastAsia"/>
          <w:b/>
          <w:kern w:val="0"/>
          <w:sz w:val="32"/>
          <w:szCs w:val="32"/>
        </w:rPr>
      </w:pPr>
    </w:p>
    <w:p>
      <w:pPr>
        <w:pStyle w:val="4"/>
      </w:pPr>
    </w:p>
    <w:p>
      <w:pPr>
        <w:spacing w:line="360" w:lineRule="auto"/>
        <w:ind w:right="420" w:firstLine="1"/>
        <w:jc w:val="center"/>
        <w:rPr>
          <w:rFonts w:asciiTheme="majorEastAsia" w:hAnsiTheme="majorEastAsia" w:eastAsiaTheme="majorEastAsia" w:cstheme="majorEastAsia"/>
          <w:b/>
          <w:kern w:val="0"/>
          <w:sz w:val="36"/>
          <w:szCs w:val="36"/>
        </w:rPr>
      </w:pPr>
      <w:r>
        <w:rPr>
          <w:rFonts w:hint="eastAsia" w:asciiTheme="majorEastAsia" w:hAnsiTheme="majorEastAsia" w:eastAsiaTheme="majorEastAsia" w:cstheme="majorEastAsia"/>
          <w:b/>
          <w:kern w:val="0"/>
          <w:sz w:val="36"/>
          <w:szCs w:val="36"/>
        </w:rPr>
        <w:t>商务技术文件部分</w:t>
      </w:r>
    </w:p>
    <w:p>
      <w:pPr>
        <w:spacing w:line="360" w:lineRule="auto"/>
        <w:jc w:val="center"/>
        <w:outlineLvl w:val="0"/>
        <w:rPr>
          <w:rFonts w:asciiTheme="majorEastAsia" w:hAnsiTheme="majorEastAsia" w:eastAsiaTheme="majorEastAsia" w:cstheme="majorEastAsia"/>
          <w:b/>
          <w:kern w:val="0"/>
        </w:rPr>
      </w:pPr>
    </w:p>
    <w:p>
      <w:pPr>
        <w:spacing w:line="360" w:lineRule="auto"/>
        <w:jc w:val="center"/>
        <w:outlineLvl w:val="0"/>
        <w:rPr>
          <w:rFonts w:asciiTheme="majorEastAsia" w:hAnsiTheme="majorEastAsia" w:eastAsiaTheme="majorEastAsia" w:cstheme="majorEastAsia"/>
          <w:b/>
          <w:kern w:val="0"/>
          <w:sz w:val="28"/>
          <w:szCs w:val="28"/>
        </w:rPr>
      </w:pPr>
      <w:bookmarkStart w:id="109" w:name="_Toc1877598820"/>
      <w:bookmarkStart w:id="110" w:name="_Toc164994729"/>
      <w:bookmarkStart w:id="111" w:name="_Toc1790449120"/>
      <w:bookmarkStart w:id="112" w:name="_Toc398270645"/>
      <w:bookmarkStart w:id="113" w:name="_Toc1976667023"/>
      <w:r>
        <w:rPr>
          <w:rFonts w:hint="eastAsia" w:asciiTheme="majorEastAsia" w:hAnsiTheme="majorEastAsia" w:eastAsiaTheme="majorEastAsia" w:cstheme="majorEastAsia"/>
          <w:b/>
          <w:kern w:val="0"/>
          <w:sz w:val="28"/>
          <w:szCs w:val="28"/>
        </w:rPr>
        <w:t>目录</w:t>
      </w:r>
      <w:bookmarkEnd w:id="109"/>
      <w:bookmarkEnd w:id="110"/>
      <w:bookmarkEnd w:id="111"/>
      <w:bookmarkEnd w:id="112"/>
      <w:bookmarkEnd w:id="113"/>
    </w:p>
    <w:p>
      <w:pPr>
        <w:spacing w:line="360" w:lineRule="auto"/>
        <w:jc w:val="center"/>
        <w:rPr>
          <w:rFonts w:asciiTheme="majorEastAsia" w:hAnsiTheme="majorEastAsia" w:eastAsiaTheme="majorEastAsia" w:cstheme="majorEastAsia"/>
        </w:rPr>
      </w:pPr>
      <w:r>
        <w:rPr>
          <w:rFonts w:hint="eastAsia" w:asciiTheme="majorEastAsia" w:hAnsiTheme="majorEastAsia" w:eastAsiaTheme="majorEastAsia" w:cstheme="majorEastAsia"/>
        </w:rPr>
        <w:t>（1）投标函………………………………………………………………（页码）</w:t>
      </w:r>
    </w:p>
    <w:p>
      <w:pPr>
        <w:spacing w:line="360" w:lineRule="auto"/>
        <w:jc w:val="center"/>
        <w:rPr>
          <w:rFonts w:asciiTheme="majorEastAsia" w:hAnsiTheme="majorEastAsia" w:eastAsiaTheme="majorEastAsia" w:cstheme="majorEastAsia"/>
        </w:rPr>
      </w:pPr>
      <w:r>
        <w:rPr>
          <w:rFonts w:hint="eastAsia" w:asciiTheme="majorEastAsia" w:hAnsiTheme="majorEastAsia" w:eastAsiaTheme="majorEastAsia" w:cstheme="majorEastAsia"/>
        </w:rPr>
        <w:t>（2）法定代表人授权委托书……………………………………………（页码）</w:t>
      </w:r>
    </w:p>
    <w:p>
      <w:pPr>
        <w:spacing w:line="360" w:lineRule="auto"/>
        <w:jc w:val="center"/>
        <w:rPr>
          <w:rFonts w:asciiTheme="majorEastAsia" w:hAnsiTheme="majorEastAsia" w:eastAsiaTheme="majorEastAsia" w:cstheme="majorEastAsia"/>
        </w:rPr>
      </w:pPr>
      <w:r>
        <w:rPr>
          <w:rFonts w:hint="eastAsia" w:asciiTheme="majorEastAsia" w:hAnsiTheme="majorEastAsia" w:eastAsiaTheme="majorEastAsia" w:cstheme="majorEastAsia"/>
        </w:rPr>
        <w:t>（3）符合性审查资料……………………………………………………（页码）</w:t>
      </w:r>
    </w:p>
    <w:p>
      <w:pPr>
        <w:spacing w:line="360" w:lineRule="auto"/>
        <w:jc w:val="center"/>
        <w:rPr>
          <w:rFonts w:asciiTheme="majorEastAsia" w:hAnsiTheme="majorEastAsia" w:eastAsiaTheme="majorEastAsia" w:cstheme="majorEastAsia"/>
        </w:rPr>
      </w:pPr>
      <w:r>
        <w:rPr>
          <w:rFonts w:hint="eastAsia" w:asciiTheme="majorEastAsia" w:hAnsiTheme="majorEastAsia" w:eastAsiaTheme="majorEastAsia" w:cstheme="majorEastAsia"/>
        </w:rPr>
        <w:t xml:space="preserve"> （4）诚信承诺书…………………………………………………………（页码）</w:t>
      </w:r>
    </w:p>
    <w:p>
      <w:pPr>
        <w:spacing w:line="360" w:lineRule="auto"/>
        <w:ind w:firstLine="720" w:firstLineChars="300"/>
        <w:rPr>
          <w:rFonts w:asciiTheme="majorEastAsia" w:hAnsiTheme="majorEastAsia" w:eastAsiaTheme="majorEastAsia" w:cstheme="majorEastAsia"/>
          <w:b/>
          <w:kern w:val="0"/>
          <w:sz w:val="32"/>
          <w:szCs w:val="32"/>
        </w:rPr>
      </w:pPr>
      <w:r>
        <w:rPr>
          <w:rFonts w:hint="eastAsia" w:asciiTheme="majorEastAsia" w:hAnsiTheme="majorEastAsia" w:eastAsiaTheme="majorEastAsia" w:cstheme="majorEastAsia"/>
          <w:lang w:val="zh-CN"/>
        </w:rPr>
        <w:t>（</w:t>
      </w:r>
      <w:r>
        <w:rPr>
          <w:rFonts w:hint="eastAsia" w:asciiTheme="majorEastAsia" w:hAnsiTheme="majorEastAsia" w:eastAsiaTheme="majorEastAsia" w:cstheme="majorEastAsia"/>
        </w:rPr>
        <w:t>5）</w:t>
      </w:r>
      <w:r>
        <w:rPr>
          <w:rFonts w:hint="eastAsia" w:asciiTheme="majorEastAsia" w:hAnsiTheme="majorEastAsia" w:eastAsiaTheme="majorEastAsia" w:cstheme="majorEastAsia"/>
          <w:lang w:val="zh-CN"/>
        </w:rPr>
        <w:t>评标标准相应的商务技术资料</w:t>
      </w:r>
      <w:r>
        <w:rPr>
          <w:rFonts w:hint="eastAsia" w:asciiTheme="majorEastAsia" w:hAnsiTheme="majorEastAsia" w:eastAsiaTheme="majorEastAsia" w:cstheme="majorEastAsia"/>
        </w:rPr>
        <w:t>…………………………………（页码）</w:t>
      </w:r>
    </w:p>
    <w:p>
      <w:pPr>
        <w:snapToGrid w:val="0"/>
        <w:spacing w:line="360" w:lineRule="auto"/>
        <w:jc w:val="center"/>
        <w:outlineLvl w:val="0"/>
        <w:rPr>
          <w:rFonts w:asciiTheme="majorEastAsia" w:hAnsiTheme="majorEastAsia" w:eastAsiaTheme="majorEastAsia" w:cstheme="majorEastAsia"/>
          <w:b/>
          <w:kern w:val="0"/>
          <w:sz w:val="32"/>
          <w:szCs w:val="32"/>
        </w:rPr>
      </w:pPr>
    </w:p>
    <w:p>
      <w:pPr>
        <w:pStyle w:val="9"/>
        <w:rPr>
          <w:rFonts w:asciiTheme="majorEastAsia" w:hAnsiTheme="majorEastAsia" w:eastAsiaTheme="majorEastAsia" w:cstheme="majorEastAsia"/>
          <w:b/>
          <w:sz w:val="32"/>
          <w:szCs w:val="32"/>
        </w:rPr>
      </w:pPr>
    </w:p>
    <w:p>
      <w:pPr>
        <w:pStyle w:val="55"/>
        <w:ind w:left="480" w:firstLine="627"/>
        <w:rPr>
          <w:rFonts w:asciiTheme="majorEastAsia" w:hAnsiTheme="majorEastAsia" w:eastAsiaTheme="majorEastAsia" w:cstheme="majorEastAsia"/>
          <w:b/>
          <w:kern w:val="0"/>
          <w:sz w:val="32"/>
          <w:szCs w:val="32"/>
        </w:rPr>
      </w:pPr>
    </w:p>
    <w:p>
      <w:pPr>
        <w:pStyle w:val="55"/>
        <w:ind w:left="480" w:firstLine="627"/>
        <w:rPr>
          <w:rFonts w:asciiTheme="majorEastAsia" w:hAnsiTheme="majorEastAsia" w:eastAsiaTheme="majorEastAsia" w:cstheme="majorEastAsia"/>
          <w:b/>
          <w:kern w:val="0"/>
          <w:sz w:val="32"/>
          <w:szCs w:val="32"/>
        </w:rPr>
      </w:pPr>
    </w:p>
    <w:p>
      <w:pPr>
        <w:pStyle w:val="55"/>
        <w:ind w:left="480" w:firstLine="627"/>
        <w:rPr>
          <w:rFonts w:asciiTheme="majorEastAsia" w:hAnsiTheme="majorEastAsia" w:eastAsiaTheme="majorEastAsia" w:cstheme="majorEastAsia"/>
          <w:b/>
          <w:kern w:val="0"/>
          <w:sz w:val="32"/>
          <w:szCs w:val="32"/>
        </w:rPr>
      </w:pPr>
    </w:p>
    <w:p>
      <w:pPr>
        <w:pStyle w:val="55"/>
        <w:ind w:left="480" w:firstLine="627"/>
        <w:rPr>
          <w:rFonts w:asciiTheme="majorEastAsia" w:hAnsiTheme="majorEastAsia" w:eastAsiaTheme="majorEastAsia" w:cstheme="majorEastAsia"/>
          <w:b/>
          <w:kern w:val="0"/>
          <w:sz w:val="32"/>
          <w:szCs w:val="32"/>
        </w:rPr>
      </w:pPr>
    </w:p>
    <w:p>
      <w:pPr>
        <w:pStyle w:val="55"/>
        <w:ind w:left="480" w:firstLine="627"/>
        <w:rPr>
          <w:rFonts w:asciiTheme="majorEastAsia" w:hAnsiTheme="majorEastAsia" w:eastAsiaTheme="majorEastAsia" w:cstheme="majorEastAsia"/>
          <w:b/>
          <w:kern w:val="0"/>
          <w:sz w:val="32"/>
          <w:szCs w:val="32"/>
        </w:rPr>
      </w:pPr>
    </w:p>
    <w:p>
      <w:pPr>
        <w:pStyle w:val="55"/>
        <w:ind w:left="480" w:firstLine="627"/>
        <w:rPr>
          <w:rFonts w:asciiTheme="majorEastAsia" w:hAnsiTheme="majorEastAsia" w:eastAsiaTheme="majorEastAsia" w:cstheme="majorEastAsia"/>
          <w:b/>
          <w:kern w:val="0"/>
          <w:sz w:val="32"/>
          <w:szCs w:val="32"/>
        </w:rPr>
      </w:pPr>
    </w:p>
    <w:p>
      <w:pPr>
        <w:pStyle w:val="55"/>
        <w:ind w:left="480" w:firstLine="627"/>
        <w:rPr>
          <w:rFonts w:asciiTheme="majorEastAsia" w:hAnsiTheme="majorEastAsia" w:eastAsiaTheme="majorEastAsia" w:cstheme="majorEastAsia"/>
          <w:b/>
          <w:kern w:val="0"/>
          <w:sz w:val="32"/>
          <w:szCs w:val="32"/>
        </w:rPr>
      </w:pPr>
    </w:p>
    <w:p>
      <w:pPr>
        <w:pStyle w:val="55"/>
        <w:ind w:left="480" w:firstLine="627"/>
        <w:rPr>
          <w:rFonts w:asciiTheme="majorEastAsia" w:hAnsiTheme="majorEastAsia" w:eastAsiaTheme="majorEastAsia" w:cstheme="majorEastAsia"/>
          <w:b/>
          <w:kern w:val="0"/>
          <w:sz w:val="32"/>
          <w:szCs w:val="32"/>
        </w:rPr>
      </w:pPr>
    </w:p>
    <w:p>
      <w:pPr>
        <w:pStyle w:val="55"/>
        <w:ind w:left="480" w:firstLine="627"/>
        <w:rPr>
          <w:rFonts w:asciiTheme="majorEastAsia" w:hAnsiTheme="majorEastAsia" w:eastAsiaTheme="majorEastAsia" w:cstheme="majorEastAsia"/>
          <w:b/>
          <w:kern w:val="0"/>
          <w:sz w:val="32"/>
          <w:szCs w:val="32"/>
        </w:rPr>
      </w:pPr>
    </w:p>
    <w:p>
      <w:pPr>
        <w:pStyle w:val="55"/>
        <w:ind w:left="480" w:firstLine="627"/>
        <w:rPr>
          <w:rFonts w:asciiTheme="majorEastAsia" w:hAnsiTheme="majorEastAsia" w:eastAsiaTheme="majorEastAsia" w:cstheme="majorEastAsia"/>
          <w:b/>
          <w:kern w:val="0"/>
          <w:sz w:val="32"/>
          <w:szCs w:val="32"/>
        </w:rPr>
      </w:pPr>
    </w:p>
    <w:p>
      <w:pPr>
        <w:pStyle w:val="55"/>
        <w:ind w:left="480" w:firstLine="627"/>
        <w:rPr>
          <w:rFonts w:asciiTheme="majorEastAsia" w:hAnsiTheme="majorEastAsia" w:eastAsiaTheme="majorEastAsia" w:cstheme="majorEastAsia"/>
          <w:b/>
          <w:kern w:val="0"/>
          <w:sz w:val="32"/>
          <w:szCs w:val="32"/>
        </w:rPr>
      </w:pPr>
    </w:p>
    <w:p>
      <w:pPr>
        <w:pStyle w:val="55"/>
        <w:ind w:left="480" w:firstLine="627"/>
        <w:rPr>
          <w:rFonts w:asciiTheme="majorEastAsia" w:hAnsiTheme="majorEastAsia" w:eastAsiaTheme="majorEastAsia" w:cstheme="majorEastAsia"/>
          <w:b/>
          <w:kern w:val="0"/>
          <w:sz w:val="32"/>
          <w:szCs w:val="32"/>
        </w:rPr>
      </w:pPr>
    </w:p>
    <w:p>
      <w:pPr>
        <w:pStyle w:val="55"/>
        <w:ind w:left="480" w:firstLine="627"/>
        <w:rPr>
          <w:rFonts w:asciiTheme="majorEastAsia" w:hAnsiTheme="majorEastAsia" w:eastAsiaTheme="majorEastAsia" w:cstheme="majorEastAsia"/>
          <w:b/>
          <w:kern w:val="0"/>
          <w:sz w:val="32"/>
          <w:szCs w:val="32"/>
        </w:rPr>
      </w:pPr>
    </w:p>
    <w:p>
      <w:pPr>
        <w:pStyle w:val="55"/>
        <w:ind w:left="480" w:firstLine="627"/>
        <w:rPr>
          <w:rFonts w:asciiTheme="majorEastAsia" w:hAnsiTheme="majorEastAsia" w:eastAsiaTheme="majorEastAsia" w:cstheme="majorEastAsia"/>
          <w:b/>
          <w:kern w:val="0"/>
          <w:sz w:val="32"/>
          <w:szCs w:val="32"/>
        </w:rPr>
      </w:pPr>
    </w:p>
    <w:p>
      <w:pPr>
        <w:pStyle w:val="55"/>
        <w:ind w:left="480" w:firstLine="627"/>
        <w:rPr>
          <w:rFonts w:asciiTheme="majorEastAsia" w:hAnsiTheme="majorEastAsia" w:eastAsiaTheme="majorEastAsia" w:cstheme="majorEastAsia"/>
          <w:b/>
          <w:kern w:val="0"/>
          <w:sz w:val="32"/>
          <w:szCs w:val="32"/>
        </w:rPr>
      </w:pPr>
    </w:p>
    <w:p>
      <w:pPr>
        <w:pStyle w:val="55"/>
        <w:ind w:left="480" w:firstLine="627"/>
        <w:rPr>
          <w:rFonts w:asciiTheme="majorEastAsia" w:hAnsiTheme="majorEastAsia" w:eastAsiaTheme="majorEastAsia" w:cstheme="majorEastAsia"/>
          <w:b/>
          <w:kern w:val="0"/>
          <w:sz w:val="32"/>
          <w:szCs w:val="32"/>
        </w:rPr>
      </w:pPr>
    </w:p>
    <w:p>
      <w:pPr>
        <w:pStyle w:val="55"/>
        <w:ind w:left="480" w:firstLine="627"/>
        <w:rPr>
          <w:rFonts w:asciiTheme="majorEastAsia" w:hAnsiTheme="majorEastAsia" w:eastAsiaTheme="majorEastAsia" w:cstheme="majorEastAsia"/>
          <w:b/>
          <w:kern w:val="0"/>
          <w:sz w:val="32"/>
          <w:szCs w:val="32"/>
        </w:rPr>
      </w:pPr>
    </w:p>
    <w:p>
      <w:pPr>
        <w:snapToGrid w:val="0"/>
        <w:spacing w:line="360" w:lineRule="auto"/>
        <w:jc w:val="center"/>
        <w:outlineLvl w:val="0"/>
        <w:rPr>
          <w:rFonts w:asciiTheme="majorEastAsia" w:hAnsiTheme="majorEastAsia" w:eastAsiaTheme="majorEastAsia" w:cstheme="majorEastAsia"/>
          <w:b/>
          <w:sz w:val="32"/>
          <w:szCs w:val="32"/>
        </w:rPr>
      </w:pPr>
      <w:bookmarkStart w:id="114" w:name="_Toc1747733778"/>
      <w:bookmarkStart w:id="115" w:name="_Toc1960857790"/>
      <w:bookmarkStart w:id="116" w:name="_Toc349352548"/>
      <w:bookmarkStart w:id="117" w:name="_Toc754801739"/>
      <w:bookmarkStart w:id="118" w:name="_Toc1961361825"/>
      <w:r>
        <w:rPr>
          <w:rFonts w:hint="eastAsia" w:asciiTheme="majorEastAsia" w:hAnsiTheme="majorEastAsia" w:eastAsiaTheme="majorEastAsia" w:cstheme="majorEastAsia"/>
          <w:b/>
          <w:kern w:val="0"/>
          <w:sz w:val="32"/>
          <w:szCs w:val="32"/>
        </w:rPr>
        <w:t>一、投标</w:t>
      </w:r>
      <w:r>
        <w:rPr>
          <w:rFonts w:hint="eastAsia" w:asciiTheme="majorEastAsia" w:hAnsiTheme="majorEastAsia" w:eastAsiaTheme="majorEastAsia" w:cstheme="majorEastAsia"/>
          <w:b/>
          <w:sz w:val="32"/>
          <w:szCs w:val="32"/>
        </w:rPr>
        <w:t>函</w:t>
      </w:r>
      <w:bookmarkEnd w:id="114"/>
      <w:bookmarkEnd w:id="115"/>
      <w:bookmarkEnd w:id="116"/>
      <w:bookmarkEnd w:id="117"/>
      <w:bookmarkEnd w:id="118"/>
    </w:p>
    <w:p>
      <w:pPr>
        <w:snapToGrid w:val="0"/>
        <w:spacing w:line="360" w:lineRule="auto"/>
        <w:rPr>
          <w:rFonts w:asciiTheme="majorEastAsia" w:hAnsiTheme="majorEastAsia" w:eastAsiaTheme="majorEastAsia" w:cstheme="majorEastAsia"/>
        </w:rPr>
      </w:pPr>
      <w:r>
        <w:rPr>
          <w:rFonts w:hint="eastAsia" w:asciiTheme="majorEastAsia" w:hAnsiTheme="majorEastAsia" w:eastAsiaTheme="majorEastAsia" w:cstheme="majorEastAsia"/>
          <w:kern w:val="0"/>
          <w:lang w:eastAsia="zh-CN"/>
        </w:rPr>
        <w:t>嘉兴市秀洲区人民政府高照街道办事处</w:t>
      </w:r>
      <w:r>
        <w:rPr>
          <w:rFonts w:hint="eastAsia" w:asciiTheme="majorEastAsia" w:hAnsiTheme="majorEastAsia" w:eastAsiaTheme="majorEastAsia" w:cstheme="majorEastAsia"/>
          <w:kern w:val="0"/>
        </w:rPr>
        <w:t>、</w:t>
      </w:r>
      <w:r>
        <w:rPr>
          <w:rFonts w:hint="eastAsia" w:asciiTheme="majorEastAsia" w:hAnsiTheme="majorEastAsia" w:eastAsiaTheme="majorEastAsia" w:cstheme="majorEastAsia"/>
          <w:kern w:val="0"/>
          <w:lang w:eastAsia="zh-CN"/>
        </w:rPr>
        <w:t>浙江圣加工程管理咨询有限公司</w:t>
      </w:r>
      <w:r>
        <w:rPr>
          <w:rFonts w:hint="eastAsia" w:asciiTheme="majorEastAsia" w:hAnsiTheme="majorEastAsia" w:eastAsiaTheme="majorEastAsia" w:cstheme="majorEastAsia"/>
          <w:kern w:val="0"/>
        </w:rPr>
        <w:t>：</w:t>
      </w:r>
    </w:p>
    <w:p>
      <w:pPr>
        <w:snapToGrid w:val="0"/>
        <w:spacing w:line="360" w:lineRule="auto"/>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我方参加你方组织的（项目名称）【招标编号：（采购编号）】招标的有关活动，并对此项目进行投标。为此：</w:t>
      </w:r>
    </w:p>
    <w:p>
      <w:pPr>
        <w:snapToGrid w:val="0"/>
        <w:spacing w:line="360" w:lineRule="auto"/>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1、我方承诺投标有效期从提交投标文件的截止之日起</w:t>
      </w:r>
      <w:r>
        <w:rPr>
          <w:rFonts w:hint="eastAsia" w:asciiTheme="majorEastAsia" w:hAnsiTheme="majorEastAsia" w:eastAsiaTheme="majorEastAsia" w:cstheme="majorEastAsia"/>
          <w:u w:val="single"/>
        </w:rPr>
        <w:t xml:space="preserve">     </w:t>
      </w:r>
      <w:r>
        <w:rPr>
          <w:rFonts w:hint="eastAsia" w:asciiTheme="majorEastAsia" w:hAnsiTheme="majorEastAsia" w:eastAsiaTheme="majorEastAsia" w:cstheme="majorEastAsia"/>
        </w:rPr>
        <w:t>天（不少于90天），本投标文件在投标有效期满之前均具有约束力。</w:t>
      </w:r>
    </w:p>
    <w:p>
      <w:pPr>
        <w:snapToGrid w:val="0"/>
        <w:spacing w:line="360" w:lineRule="auto"/>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2、我方的投标文件包括以下内容：</w:t>
      </w:r>
    </w:p>
    <w:p>
      <w:pPr>
        <w:snapToGrid w:val="0"/>
        <w:spacing w:line="360" w:lineRule="auto"/>
        <w:ind w:left="240" w:leftChars="100"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2.1资格文件：</w:t>
      </w:r>
    </w:p>
    <w:p>
      <w:pPr>
        <w:snapToGrid w:val="0"/>
        <w:spacing w:line="360" w:lineRule="auto"/>
        <w:ind w:left="240" w:leftChars="100"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2.1.1承诺函；</w:t>
      </w:r>
    </w:p>
    <w:p>
      <w:pPr>
        <w:snapToGrid w:val="0"/>
        <w:spacing w:line="360" w:lineRule="auto"/>
        <w:ind w:left="240" w:leftChars="100" w:firstLine="480" w:firstLineChars="200"/>
        <w:rPr>
          <w:rFonts w:asciiTheme="majorEastAsia" w:hAnsiTheme="majorEastAsia" w:eastAsiaTheme="majorEastAsia" w:cstheme="majorEastAsia"/>
          <w:lang w:val="zh-CN"/>
        </w:rPr>
      </w:pPr>
      <w:r>
        <w:rPr>
          <w:rFonts w:hint="eastAsia" w:asciiTheme="majorEastAsia" w:hAnsiTheme="majorEastAsia" w:eastAsiaTheme="majorEastAsia" w:cstheme="majorEastAsia"/>
        </w:rPr>
        <w:t>2</w:t>
      </w:r>
      <w:r>
        <w:rPr>
          <w:rFonts w:hint="eastAsia" w:asciiTheme="majorEastAsia" w:hAnsiTheme="majorEastAsia" w:eastAsiaTheme="majorEastAsia" w:cstheme="majorEastAsia"/>
          <w:lang w:val="zh-CN"/>
        </w:rPr>
        <w:t>.</w:t>
      </w:r>
      <w:r>
        <w:rPr>
          <w:rFonts w:hint="eastAsia" w:asciiTheme="majorEastAsia" w:hAnsiTheme="majorEastAsia" w:eastAsiaTheme="majorEastAsia" w:cstheme="majorEastAsia"/>
        </w:rPr>
        <w:t>2</w:t>
      </w:r>
      <w:r>
        <w:rPr>
          <w:rFonts w:hint="eastAsia" w:asciiTheme="majorEastAsia" w:hAnsiTheme="majorEastAsia" w:eastAsiaTheme="majorEastAsia" w:cstheme="majorEastAsia"/>
          <w:lang w:val="zh-CN"/>
        </w:rPr>
        <w:t xml:space="preserve"> </w:t>
      </w:r>
      <w:r>
        <w:rPr>
          <w:rFonts w:hint="eastAsia" w:asciiTheme="majorEastAsia" w:hAnsiTheme="majorEastAsia" w:eastAsiaTheme="majorEastAsia" w:cstheme="majorEastAsia"/>
        </w:rPr>
        <w:t>商务技术</w:t>
      </w:r>
      <w:r>
        <w:rPr>
          <w:rFonts w:hint="eastAsia" w:asciiTheme="majorEastAsia" w:hAnsiTheme="majorEastAsia" w:eastAsiaTheme="majorEastAsia" w:cstheme="majorEastAsia"/>
          <w:lang w:val="zh-CN"/>
        </w:rPr>
        <w:t>文件：</w:t>
      </w:r>
    </w:p>
    <w:p>
      <w:pPr>
        <w:snapToGrid w:val="0"/>
        <w:spacing w:line="360" w:lineRule="auto"/>
        <w:ind w:left="480" w:leftChars="200"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2.2.1投标函；</w:t>
      </w:r>
      <w:r>
        <w:rPr>
          <w:rFonts w:hint="eastAsia" w:asciiTheme="majorEastAsia" w:hAnsiTheme="majorEastAsia" w:eastAsiaTheme="majorEastAsia" w:cstheme="majorEastAsia"/>
          <w:lang w:val="zh-CN"/>
        </w:rPr>
        <w:t xml:space="preserve"> </w:t>
      </w:r>
    </w:p>
    <w:p>
      <w:pPr>
        <w:snapToGrid w:val="0"/>
        <w:spacing w:line="360" w:lineRule="auto"/>
        <w:ind w:left="480" w:leftChars="200" w:firstLine="480" w:firstLineChars="200"/>
        <w:rPr>
          <w:rFonts w:asciiTheme="majorEastAsia" w:hAnsiTheme="majorEastAsia" w:eastAsiaTheme="majorEastAsia" w:cstheme="majorEastAsia"/>
          <w:highlight w:val="yellow"/>
        </w:rPr>
      </w:pPr>
      <w:r>
        <w:rPr>
          <w:rFonts w:hint="eastAsia" w:asciiTheme="majorEastAsia" w:hAnsiTheme="majorEastAsia" w:eastAsiaTheme="majorEastAsia" w:cstheme="majorEastAsia"/>
        </w:rPr>
        <w:t>2.2.2法定代表人授权委托书；</w:t>
      </w:r>
    </w:p>
    <w:p>
      <w:pPr>
        <w:snapToGrid w:val="0"/>
        <w:spacing w:line="360" w:lineRule="auto"/>
        <w:ind w:left="480" w:leftChars="200"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2.2.3符合性审查资料；</w:t>
      </w:r>
    </w:p>
    <w:p>
      <w:pPr>
        <w:snapToGrid w:val="0"/>
        <w:spacing w:line="360" w:lineRule="auto"/>
        <w:ind w:left="480" w:leftChars="200"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2.2.4评标标准相应的商务技术资料；</w:t>
      </w:r>
    </w:p>
    <w:p>
      <w:pPr>
        <w:snapToGrid w:val="0"/>
        <w:spacing w:line="360" w:lineRule="auto"/>
        <w:ind w:left="480" w:leftChars="200"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2.2.5商务技术偏离表；</w:t>
      </w:r>
    </w:p>
    <w:p>
      <w:pPr>
        <w:snapToGrid w:val="0"/>
        <w:spacing w:line="360" w:lineRule="auto"/>
        <w:ind w:left="480" w:leftChars="200"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2.2.6评分对应表；</w:t>
      </w:r>
    </w:p>
    <w:p>
      <w:pPr>
        <w:snapToGrid w:val="0"/>
        <w:spacing w:line="360" w:lineRule="auto"/>
        <w:ind w:left="240" w:leftChars="100"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w:t>
      </w:r>
      <w:r>
        <w:rPr>
          <w:rFonts w:hint="eastAsia" w:asciiTheme="majorEastAsia" w:hAnsiTheme="majorEastAsia" w:eastAsiaTheme="majorEastAsia" w:cstheme="majorEastAsia"/>
          <w:lang w:val="zh-CN"/>
        </w:rPr>
        <w:t>.</w:t>
      </w:r>
      <w:r>
        <w:rPr>
          <w:rFonts w:hint="eastAsia" w:asciiTheme="majorEastAsia" w:hAnsiTheme="majorEastAsia" w:eastAsiaTheme="majorEastAsia" w:cstheme="majorEastAsia"/>
        </w:rPr>
        <w:t>3报价文件</w:t>
      </w:r>
    </w:p>
    <w:p>
      <w:pPr>
        <w:snapToGrid w:val="0"/>
        <w:spacing w:line="360" w:lineRule="auto"/>
        <w:ind w:left="480" w:leftChars="200"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2.3.1开标一览表（报价表）；</w:t>
      </w:r>
    </w:p>
    <w:p>
      <w:pPr>
        <w:snapToGrid w:val="0"/>
        <w:spacing w:line="360" w:lineRule="auto"/>
        <w:ind w:left="480" w:leftChars="200"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2.3.2中小企业声明函（如有）。</w:t>
      </w:r>
    </w:p>
    <w:p>
      <w:pPr>
        <w:snapToGrid w:val="0"/>
        <w:spacing w:line="360" w:lineRule="auto"/>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3、我方承诺除商务技术偏离表列出的偏离外，我方响应招标文件的全部要求。</w:t>
      </w:r>
    </w:p>
    <w:p>
      <w:pPr>
        <w:snapToGrid w:val="0"/>
        <w:spacing w:line="360" w:lineRule="auto"/>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4、如我方中标，我方承诺：</w:t>
      </w:r>
    </w:p>
    <w:p>
      <w:pPr>
        <w:snapToGrid w:val="0"/>
        <w:spacing w:line="360" w:lineRule="auto"/>
        <w:ind w:left="240" w:leftChars="100"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 xml:space="preserve">4.1在收到中标通知书后，在中标通知书规定的期限内与你方签订合同； </w:t>
      </w:r>
    </w:p>
    <w:p>
      <w:pPr>
        <w:snapToGrid w:val="0"/>
        <w:spacing w:line="360" w:lineRule="auto"/>
        <w:ind w:left="240" w:leftChars="100"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 xml:space="preserve">4.2在签订合同时不向你方提出附加条件； </w:t>
      </w:r>
    </w:p>
    <w:p>
      <w:pPr>
        <w:snapToGrid w:val="0"/>
        <w:spacing w:line="360" w:lineRule="auto"/>
        <w:ind w:left="240" w:leftChars="100"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 xml:space="preserve">4.3在合同约定的期限内完成合同规定的全部义务。 </w:t>
      </w:r>
    </w:p>
    <w:p>
      <w:pPr>
        <w:snapToGrid w:val="0"/>
        <w:spacing w:line="360" w:lineRule="auto"/>
        <w:ind w:left="240" w:leftChars="100"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5、其他补充说明:</w:t>
      </w:r>
      <w:r>
        <w:rPr>
          <w:rFonts w:hint="eastAsia" w:asciiTheme="majorEastAsia" w:hAnsiTheme="majorEastAsia" w:eastAsiaTheme="majorEastAsia" w:cstheme="majorEastAsia"/>
          <w:u w:val="single"/>
        </w:rPr>
        <w:t xml:space="preserve">                                        </w:t>
      </w:r>
      <w:r>
        <w:rPr>
          <w:rFonts w:hint="eastAsia" w:asciiTheme="majorEastAsia" w:hAnsiTheme="majorEastAsia" w:eastAsiaTheme="majorEastAsia" w:cstheme="majorEastAsia"/>
        </w:rPr>
        <w:t>。</w:t>
      </w:r>
    </w:p>
    <w:p>
      <w:pPr>
        <w:spacing w:line="360" w:lineRule="auto"/>
        <w:ind w:firstLine="3600" w:firstLineChars="1500"/>
        <w:rPr>
          <w:rFonts w:asciiTheme="majorEastAsia" w:hAnsiTheme="majorEastAsia" w:eastAsiaTheme="majorEastAsia" w:cstheme="majorEastAsia"/>
        </w:rPr>
      </w:pPr>
      <w:r>
        <w:rPr>
          <w:rFonts w:hint="eastAsia" w:asciiTheme="majorEastAsia" w:hAnsiTheme="majorEastAsia" w:eastAsiaTheme="majorEastAsia" w:cstheme="majorEastAsia"/>
        </w:rPr>
        <w:t>投标供应商名称（</w:t>
      </w:r>
      <w:r>
        <w:rPr>
          <w:rFonts w:hint="eastAsia" w:asciiTheme="majorEastAsia" w:hAnsiTheme="majorEastAsia" w:eastAsiaTheme="majorEastAsia" w:cstheme="majorEastAsia"/>
          <w:kern w:val="0"/>
          <w:lang w:val="zh-CN"/>
        </w:rPr>
        <w:t>盖章</w:t>
      </w:r>
      <w:r>
        <w:rPr>
          <w:rFonts w:hint="eastAsia" w:asciiTheme="majorEastAsia" w:hAnsiTheme="majorEastAsia" w:eastAsiaTheme="majorEastAsia" w:cstheme="majorEastAsia"/>
        </w:rPr>
        <w:t xml:space="preserve">）：                          </w:t>
      </w:r>
    </w:p>
    <w:p>
      <w:pPr>
        <w:spacing w:line="360" w:lineRule="auto"/>
        <w:jc w:val="center"/>
        <w:rPr>
          <w:rFonts w:asciiTheme="majorEastAsia" w:hAnsiTheme="majorEastAsia" w:eastAsiaTheme="majorEastAsia" w:cstheme="majorEastAsia"/>
        </w:rPr>
      </w:pPr>
      <w:r>
        <w:rPr>
          <w:rFonts w:hint="eastAsia" w:asciiTheme="majorEastAsia" w:hAnsiTheme="majorEastAsia" w:eastAsiaTheme="majorEastAsia" w:cstheme="majorEastAsia"/>
        </w:rPr>
        <w:t xml:space="preserve">              日期：  年   月   日</w:t>
      </w:r>
    </w:p>
    <w:p>
      <w:pPr>
        <w:pStyle w:val="9"/>
        <w:rPr>
          <w:rFonts w:asciiTheme="majorEastAsia" w:hAnsiTheme="majorEastAsia" w:eastAsiaTheme="majorEastAsia" w:cstheme="majorEastAsia"/>
        </w:rPr>
      </w:pPr>
    </w:p>
    <w:p>
      <w:pPr>
        <w:pStyle w:val="55"/>
        <w:ind w:left="480" w:firstLine="404"/>
        <w:rPr>
          <w:rFonts w:asciiTheme="majorEastAsia" w:hAnsiTheme="majorEastAsia" w:eastAsiaTheme="majorEastAsia" w:cstheme="majorEastAsia"/>
        </w:rPr>
      </w:pPr>
    </w:p>
    <w:p>
      <w:pPr>
        <w:pStyle w:val="55"/>
        <w:ind w:left="480" w:firstLine="404"/>
        <w:rPr>
          <w:rFonts w:asciiTheme="majorEastAsia" w:hAnsiTheme="majorEastAsia" w:eastAsiaTheme="majorEastAsia" w:cstheme="majorEastAsia"/>
        </w:rPr>
      </w:pPr>
    </w:p>
    <w:p>
      <w:pPr>
        <w:snapToGrid w:val="0"/>
        <w:spacing w:before="120" w:beforeLines="50" w:after="50" w:line="360" w:lineRule="auto"/>
        <w:jc w:val="center"/>
        <w:rPr>
          <w:rFonts w:asciiTheme="majorEastAsia" w:hAnsiTheme="majorEastAsia" w:eastAsiaTheme="majorEastAsia" w:cstheme="majorEastAsia"/>
          <w:b/>
          <w:sz w:val="32"/>
          <w:szCs w:val="32"/>
        </w:rPr>
      </w:pPr>
      <w:r>
        <w:rPr>
          <w:rFonts w:hint="eastAsia" w:asciiTheme="majorEastAsia" w:hAnsiTheme="majorEastAsia" w:eastAsiaTheme="majorEastAsia" w:cstheme="majorEastAsia"/>
          <w:b/>
          <w:sz w:val="32"/>
          <w:szCs w:val="32"/>
        </w:rPr>
        <w:t>二、法定代表人授权委托书</w:t>
      </w:r>
    </w:p>
    <w:p>
      <w:pPr>
        <w:snapToGrid w:val="0"/>
        <w:spacing w:before="120" w:beforeLines="50" w:after="50" w:line="360" w:lineRule="auto"/>
        <w:rPr>
          <w:rFonts w:asciiTheme="majorEastAsia" w:hAnsiTheme="majorEastAsia" w:eastAsiaTheme="majorEastAsia" w:cstheme="majorEastAsia"/>
          <w:b/>
          <w:bCs/>
        </w:rPr>
      </w:pPr>
      <w:r>
        <w:rPr>
          <w:rFonts w:hint="eastAsia" w:asciiTheme="majorEastAsia" w:hAnsiTheme="majorEastAsia" w:eastAsiaTheme="majorEastAsia" w:cstheme="majorEastAsia"/>
          <w:bCs/>
        </w:rPr>
        <w:t>致</w:t>
      </w:r>
      <w:r>
        <w:rPr>
          <w:rFonts w:hint="eastAsia" w:asciiTheme="majorEastAsia" w:hAnsiTheme="majorEastAsia" w:eastAsiaTheme="majorEastAsia" w:cstheme="majorEastAsia"/>
          <w:b/>
          <w:lang w:eastAsia="zh-CN"/>
        </w:rPr>
        <w:t>嘉兴市秀洲区人民政府高照街道办事处</w:t>
      </w:r>
      <w:r>
        <w:rPr>
          <w:rFonts w:hint="eastAsia" w:asciiTheme="majorEastAsia" w:hAnsiTheme="majorEastAsia" w:eastAsiaTheme="majorEastAsia" w:cstheme="majorEastAsia"/>
        </w:rPr>
        <w:t>：</w:t>
      </w:r>
    </w:p>
    <w:p>
      <w:pPr>
        <w:snapToGrid w:val="0"/>
        <w:spacing w:before="120" w:beforeLines="50" w:after="50" w:line="360" w:lineRule="auto"/>
        <w:ind w:firstLine="720" w:firstLineChars="300"/>
        <w:rPr>
          <w:rFonts w:asciiTheme="majorEastAsia" w:hAnsiTheme="majorEastAsia" w:eastAsiaTheme="majorEastAsia" w:cstheme="majorEastAsia"/>
          <w:szCs w:val="20"/>
        </w:rPr>
      </w:pPr>
      <w:r>
        <w:rPr>
          <w:rFonts w:hint="eastAsia" w:asciiTheme="majorEastAsia" w:hAnsiTheme="majorEastAsia" w:eastAsiaTheme="majorEastAsia" w:cstheme="majorEastAsia"/>
        </w:rPr>
        <w:t>我</w:t>
      </w:r>
      <w:r>
        <w:rPr>
          <w:rFonts w:hint="eastAsia" w:asciiTheme="majorEastAsia" w:hAnsiTheme="majorEastAsia" w:eastAsiaTheme="majorEastAsia" w:cstheme="majorEastAsia"/>
          <w:u w:val="single"/>
        </w:rPr>
        <w:t xml:space="preserve">              </w:t>
      </w:r>
      <w:r>
        <w:rPr>
          <w:rFonts w:hint="eastAsia" w:asciiTheme="majorEastAsia" w:hAnsiTheme="majorEastAsia" w:eastAsiaTheme="majorEastAsia" w:cstheme="majorEastAsia"/>
        </w:rPr>
        <w:t>（姓名）系</w:t>
      </w:r>
      <w:r>
        <w:rPr>
          <w:rFonts w:hint="eastAsia" w:asciiTheme="majorEastAsia" w:hAnsiTheme="majorEastAsia" w:eastAsiaTheme="majorEastAsia" w:cstheme="majorEastAsia"/>
          <w:u w:val="single"/>
        </w:rPr>
        <w:t xml:space="preserve">              </w:t>
      </w:r>
      <w:r>
        <w:rPr>
          <w:rFonts w:hint="eastAsia" w:asciiTheme="majorEastAsia" w:hAnsiTheme="majorEastAsia" w:eastAsiaTheme="majorEastAsia" w:cstheme="majorEastAsia"/>
        </w:rPr>
        <w:t>（投标供应商名称）的法定代表人，现授权委托（姓名）以我方的名义参加</w:t>
      </w:r>
      <w:r>
        <w:rPr>
          <w:rFonts w:hint="eastAsia" w:asciiTheme="majorEastAsia" w:hAnsiTheme="majorEastAsia" w:eastAsiaTheme="majorEastAsia" w:cstheme="majorEastAsia"/>
          <w:u w:val="single"/>
        </w:rPr>
        <w:t xml:space="preserve">                项目</w:t>
      </w:r>
      <w:r>
        <w:rPr>
          <w:rFonts w:hint="eastAsia" w:asciiTheme="majorEastAsia" w:hAnsiTheme="majorEastAsia" w:eastAsiaTheme="majorEastAsia" w:cstheme="majorEastAsia"/>
        </w:rPr>
        <w:t>的投标活动，并代表我方全权办理针对上述项目的投标、开标、评标、签约等具体事务和签署相关文件。</w:t>
      </w:r>
    </w:p>
    <w:p>
      <w:pPr>
        <w:snapToGrid w:val="0"/>
        <w:spacing w:before="120" w:beforeLines="50" w:after="50" w:line="360" w:lineRule="auto"/>
        <w:rPr>
          <w:rFonts w:asciiTheme="majorEastAsia" w:hAnsiTheme="majorEastAsia" w:eastAsiaTheme="majorEastAsia" w:cstheme="majorEastAsia"/>
          <w:szCs w:val="20"/>
        </w:rPr>
      </w:pPr>
      <w:r>
        <w:rPr>
          <w:rFonts w:hint="eastAsia" w:asciiTheme="majorEastAsia" w:hAnsiTheme="majorEastAsia" w:eastAsiaTheme="majorEastAsia" w:cstheme="majorEastAsia"/>
        </w:rPr>
        <w:t>我方对被授权人的签字事项负全部责任。</w:t>
      </w:r>
    </w:p>
    <w:p>
      <w:pPr>
        <w:snapToGrid w:val="0"/>
        <w:spacing w:before="120" w:beforeLines="50" w:after="50" w:line="360" w:lineRule="auto"/>
        <w:ind w:firstLine="480"/>
        <w:rPr>
          <w:rFonts w:asciiTheme="majorEastAsia" w:hAnsiTheme="majorEastAsia" w:eastAsiaTheme="majorEastAsia" w:cstheme="majorEastAsia"/>
          <w:szCs w:val="20"/>
        </w:rPr>
      </w:pPr>
      <w:r>
        <w:rPr>
          <w:rFonts w:hint="eastAsia" w:asciiTheme="majorEastAsia" w:hAnsiTheme="majorEastAsia" w:eastAsiaTheme="majorEastAsia" w:cstheme="majorEastAsia"/>
          <w:u w:val="single"/>
        </w:rPr>
        <w:t>在撤销授权的书面通知以前，本授权书一直有效。</w:t>
      </w:r>
      <w:r>
        <w:rPr>
          <w:rFonts w:hint="eastAsia" w:asciiTheme="majorEastAsia" w:hAnsiTheme="majorEastAsia" w:eastAsiaTheme="majorEastAsia" w:cstheme="majorEastAsia"/>
        </w:rPr>
        <w:t>被授权人在授权书有效期内签署的所有文件不因授权的撤销而失效。</w:t>
      </w:r>
    </w:p>
    <w:p>
      <w:pPr>
        <w:snapToGrid w:val="0"/>
        <w:spacing w:before="120" w:beforeLines="50" w:after="50" w:line="360" w:lineRule="auto"/>
        <w:ind w:firstLine="480"/>
        <w:rPr>
          <w:rFonts w:asciiTheme="majorEastAsia" w:hAnsiTheme="majorEastAsia" w:eastAsiaTheme="majorEastAsia" w:cstheme="majorEastAsia"/>
        </w:rPr>
      </w:pPr>
      <w:r>
        <w:rPr>
          <w:rFonts w:hint="eastAsia" w:asciiTheme="majorEastAsia" w:hAnsiTheme="majorEastAsia" w:eastAsiaTheme="majorEastAsia" w:cstheme="majorEastAsia"/>
        </w:rPr>
        <w:t>被授权人无转委托权，特此委托。</w:t>
      </w:r>
    </w:p>
    <w:p>
      <w:pPr>
        <w:snapToGrid w:val="0"/>
        <w:spacing w:before="120" w:beforeLines="50" w:after="50" w:line="360" w:lineRule="auto"/>
        <w:rPr>
          <w:rFonts w:asciiTheme="majorEastAsia" w:hAnsiTheme="majorEastAsia" w:eastAsiaTheme="majorEastAsia" w:cstheme="majorEastAsia"/>
        </w:rPr>
      </w:pPr>
      <w:r>
        <w:rPr>
          <w:rFonts w:hint="eastAsia" w:asciiTheme="majorEastAsia" w:hAnsiTheme="majorEastAsia" w:eastAsiaTheme="majorEastAsia" w:cstheme="majorEastAsia"/>
        </w:rPr>
        <w:t>　身份证粘贴处：                               身份证粘贴处：</w:t>
      </w:r>
    </w:p>
    <w:p>
      <w:pPr>
        <w:snapToGrid w:val="0"/>
        <w:spacing w:before="120" w:beforeLines="50" w:after="50" w:line="360" w:lineRule="auto"/>
        <w:ind w:firstLine="480"/>
        <w:rPr>
          <w:rFonts w:asciiTheme="majorEastAsia" w:hAnsiTheme="majorEastAsia" w:eastAsiaTheme="majorEastAsia" w:cstheme="majorEastAsia"/>
        </w:rPr>
      </w:pPr>
    </w:p>
    <w:p>
      <w:pPr>
        <w:snapToGrid w:val="0"/>
        <w:spacing w:before="120" w:beforeLines="50" w:after="50" w:line="360" w:lineRule="auto"/>
        <w:rPr>
          <w:rFonts w:asciiTheme="majorEastAsia" w:hAnsiTheme="majorEastAsia" w:eastAsiaTheme="majorEastAsia" w:cstheme="majorEastAsia"/>
          <w:szCs w:val="20"/>
          <w:u w:val="single"/>
        </w:rPr>
      </w:pPr>
      <w:r>
        <w:rPr>
          <w:rFonts w:hint="eastAsia" w:asciiTheme="majorEastAsia" w:hAnsiTheme="majorEastAsia" w:eastAsiaTheme="majorEastAsia" w:cstheme="majorEastAsia"/>
        </w:rPr>
        <w:t>法定代表人签字（或盖章）：           被授权人签字（或盖章）：</w:t>
      </w:r>
    </w:p>
    <w:p>
      <w:pPr>
        <w:snapToGrid w:val="0"/>
        <w:spacing w:before="120" w:beforeLines="50" w:after="50" w:line="360" w:lineRule="auto"/>
        <w:rPr>
          <w:rFonts w:asciiTheme="majorEastAsia" w:hAnsiTheme="majorEastAsia" w:eastAsiaTheme="majorEastAsia" w:cstheme="majorEastAsia"/>
        </w:rPr>
      </w:pPr>
      <w:r>
        <w:rPr>
          <w:rFonts w:hint="eastAsia" w:asciiTheme="majorEastAsia" w:hAnsiTheme="majorEastAsia" w:eastAsiaTheme="majorEastAsia" w:cstheme="majorEastAsia"/>
        </w:rPr>
        <w:t>职务：                                      职务：</w:t>
      </w:r>
    </w:p>
    <w:p>
      <w:pPr>
        <w:snapToGrid w:val="0"/>
        <w:spacing w:before="120" w:beforeLines="50" w:after="50" w:line="360" w:lineRule="auto"/>
        <w:ind w:firstLine="3840" w:firstLineChars="1600"/>
        <w:rPr>
          <w:rFonts w:asciiTheme="majorEastAsia" w:hAnsiTheme="majorEastAsia" w:eastAsiaTheme="majorEastAsia" w:cstheme="majorEastAsia"/>
        </w:rPr>
      </w:pPr>
      <w:r>
        <w:rPr>
          <w:rFonts w:hint="eastAsia" w:asciiTheme="majorEastAsia" w:hAnsiTheme="majorEastAsia" w:eastAsiaTheme="majorEastAsia" w:cstheme="majorEastAsia"/>
        </w:rPr>
        <w:t>投标供应商名称（</w:t>
      </w:r>
      <w:r>
        <w:rPr>
          <w:rFonts w:hint="eastAsia" w:asciiTheme="majorEastAsia" w:hAnsiTheme="majorEastAsia" w:eastAsiaTheme="majorEastAsia" w:cstheme="majorEastAsia"/>
          <w:kern w:val="0"/>
          <w:lang w:val="zh-CN"/>
        </w:rPr>
        <w:t>盖章</w:t>
      </w:r>
      <w:r>
        <w:rPr>
          <w:rFonts w:hint="eastAsia" w:asciiTheme="majorEastAsia" w:hAnsiTheme="majorEastAsia" w:eastAsiaTheme="majorEastAsia" w:cstheme="majorEastAsia"/>
        </w:rPr>
        <w:t xml:space="preserve">）： </w:t>
      </w:r>
    </w:p>
    <w:p>
      <w:pPr>
        <w:snapToGrid w:val="0"/>
        <w:spacing w:before="120" w:beforeLines="50" w:after="50" w:line="360" w:lineRule="auto"/>
        <w:ind w:firstLine="4080" w:firstLineChars="1700"/>
        <w:rPr>
          <w:rFonts w:asciiTheme="majorEastAsia" w:hAnsiTheme="majorEastAsia" w:eastAsiaTheme="majorEastAsia" w:cstheme="majorEastAsia"/>
        </w:rPr>
      </w:pPr>
      <w:r>
        <w:rPr>
          <w:rFonts w:hint="eastAsia" w:asciiTheme="majorEastAsia" w:hAnsiTheme="majorEastAsia" w:eastAsiaTheme="majorEastAsia" w:cstheme="majorEastAsia"/>
        </w:rPr>
        <w:t xml:space="preserve"> 年  月  日</w:t>
      </w:r>
    </w:p>
    <w:p>
      <w:pPr>
        <w:jc w:val="center"/>
        <w:rPr>
          <w:rFonts w:asciiTheme="majorEastAsia" w:hAnsiTheme="majorEastAsia" w:eastAsiaTheme="majorEastAsia" w:cstheme="majorEastAsia"/>
          <w:b/>
          <w:kern w:val="0"/>
          <w:sz w:val="32"/>
          <w:szCs w:val="32"/>
        </w:rPr>
      </w:pPr>
    </w:p>
    <w:p>
      <w:pPr>
        <w:pStyle w:val="6"/>
        <w:jc w:val="both"/>
        <w:rPr>
          <w:rFonts w:asciiTheme="majorEastAsia" w:hAnsiTheme="majorEastAsia" w:eastAsiaTheme="majorEastAsia" w:cstheme="majorEastAsia"/>
          <w:sz w:val="2"/>
          <w:szCs w:val="2"/>
        </w:rPr>
      </w:pPr>
    </w:p>
    <w:p>
      <w:pPr>
        <w:rPr>
          <w:rFonts w:asciiTheme="majorEastAsia" w:hAnsiTheme="majorEastAsia" w:eastAsiaTheme="majorEastAsia" w:cstheme="majorEastAsia"/>
          <w:sz w:val="2"/>
          <w:szCs w:val="2"/>
        </w:rPr>
      </w:pPr>
    </w:p>
    <w:p>
      <w:pPr>
        <w:pStyle w:val="9"/>
        <w:rPr>
          <w:rFonts w:asciiTheme="majorEastAsia" w:hAnsiTheme="majorEastAsia" w:eastAsiaTheme="majorEastAsia" w:cstheme="majorEastAsia"/>
          <w:sz w:val="2"/>
          <w:szCs w:val="2"/>
        </w:rPr>
      </w:pPr>
    </w:p>
    <w:p>
      <w:pPr>
        <w:pStyle w:val="55"/>
        <w:ind w:left="480" w:firstLine="24"/>
        <w:rPr>
          <w:rFonts w:asciiTheme="majorEastAsia" w:hAnsiTheme="majorEastAsia" w:eastAsiaTheme="majorEastAsia" w:cstheme="majorEastAsia"/>
          <w:sz w:val="2"/>
          <w:szCs w:val="2"/>
        </w:rPr>
      </w:pPr>
    </w:p>
    <w:p>
      <w:pPr>
        <w:pStyle w:val="55"/>
        <w:ind w:left="480" w:firstLine="24"/>
        <w:rPr>
          <w:rFonts w:asciiTheme="majorEastAsia" w:hAnsiTheme="majorEastAsia" w:eastAsiaTheme="majorEastAsia" w:cstheme="majorEastAsia"/>
          <w:sz w:val="2"/>
          <w:szCs w:val="2"/>
        </w:rPr>
      </w:pPr>
    </w:p>
    <w:p>
      <w:pPr>
        <w:pStyle w:val="55"/>
        <w:ind w:left="480" w:firstLine="24"/>
        <w:rPr>
          <w:rFonts w:asciiTheme="majorEastAsia" w:hAnsiTheme="majorEastAsia" w:eastAsiaTheme="majorEastAsia" w:cstheme="majorEastAsia"/>
          <w:sz w:val="2"/>
          <w:szCs w:val="2"/>
        </w:rPr>
      </w:pPr>
    </w:p>
    <w:p>
      <w:pPr>
        <w:pStyle w:val="55"/>
        <w:ind w:left="480" w:firstLine="24"/>
        <w:rPr>
          <w:rFonts w:asciiTheme="majorEastAsia" w:hAnsiTheme="majorEastAsia" w:eastAsiaTheme="majorEastAsia" w:cstheme="majorEastAsia"/>
          <w:sz w:val="2"/>
          <w:szCs w:val="2"/>
        </w:rPr>
      </w:pPr>
    </w:p>
    <w:p>
      <w:pPr>
        <w:pStyle w:val="55"/>
        <w:ind w:left="480" w:firstLine="24"/>
        <w:rPr>
          <w:rFonts w:asciiTheme="majorEastAsia" w:hAnsiTheme="majorEastAsia" w:eastAsiaTheme="majorEastAsia" w:cstheme="majorEastAsia"/>
          <w:sz w:val="2"/>
          <w:szCs w:val="2"/>
        </w:rPr>
      </w:pPr>
    </w:p>
    <w:p>
      <w:pPr>
        <w:pStyle w:val="55"/>
        <w:ind w:left="480" w:firstLine="24"/>
        <w:rPr>
          <w:rFonts w:asciiTheme="majorEastAsia" w:hAnsiTheme="majorEastAsia" w:eastAsiaTheme="majorEastAsia" w:cstheme="majorEastAsia"/>
          <w:sz w:val="2"/>
          <w:szCs w:val="2"/>
        </w:rPr>
      </w:pPr>
    </w:p>
    <w:p>
      <w:pPr>
        <w:pStyle w:val="55"/>
        <w:ind w:left="480" w:firstLine="24"/>
        <w:rPr>
          <w:rFonts w:asciiTheme="majorEastAsia" w:hAnsiTheme="majorEastAsia" w:eastAsiaTheme="majorEastAsia" w:cstheme="majorEastAsia"/>
          <w:sz w:val="2"/>
          <w:szCs w:val="2"/>
        </w:rPr>
      </w:pPr>
    </w:p>
    <w:p>
      <w:pPr>
        <w:pStyle w:val="55"/>
        <w:ind w:left="480" w:firstLine="24"/>
        <w:rPr>
          <w:rFonts w:asciiTheme="majorEastAsia" w:hAnsiTheme="majorEastAsia" w:eastAsiaTheme="majorEastAsia" w:cstheme="majorEastAsia"/>
          <w:sz w:val="2"/>
          <w:szCs w:val="2"/>
        </w:rPr>
      </w:pPr>
    </w:p>
    <w:p>
      <w:pPr>
        <w:pStyle w:val="55"/>
        <w:ind w:left="480" w:firstLine="24"/>
        <w:rPr>
          <w:rFonts w:asciiTheme="majorEastAsia" w:hAnsiTheme="majorEastAsia" w:eastAsiaTheme="majorEastAsia" w:cstheme="majorEastAsia"/>
          <w:sz w:val="2"/>
          <w:szCs w:val="2"/>
        </w:rPr>
      </w:pPr>
    </w:p>
    <w:p>
      <w:pPr>
        <w:pStyle w:val="55"/>
        <w:ind w:left="480" w:firstLine="24"/>
        <w:rPr>
          <w:rFonts w:asciiTheme="majorEastAsia" w:hAnsiTheme="majorEastAsia" w:eastAsiaTheme="majorEastAsia" w:cstheme="majorEastAsia"/>
          <w:sz w:val="2"/>
          <w:szCs w:val="2"/>
        </w:rPr>
      </w:pPr>
    </w:p>
    <w:p>
      <w:pPr>
        <w:pStyle w:val="55"/>
        <w:ind w:left="480" w:firstLine="24"/>
        <w:rPr>
          <w:rFonts w:asciiTheme="majorEastAsia" w:hAnsiTheme="majorEastAsia" w:eastAsiaTheme="majorEastAsia" w:cstheme="majorEastAsia"/>
          <w:sz w:val="2"/>
          <w:szCs w:val="2"/>
        </w:rPr>
      </w:pPr>
    </w:p>
    <w:p>
      <w:pPr>
        <w:pStyle w:val="55"/>
        <w:ind w:left="480" w:firstLine="24"/>
        <w:rPr>
          <w:rFonts w:asciiTheme="majorEastAsia" w:hAnsiTheme="majorEastAsia" w:eastAsiaTheme="majorEastAsia" w:cstheme="majorEastAsia"/>
          <w:sz w:val="2"/>
          <w:szCs w:val="2"/>
        </w:rPr>
      </w:pPr>
    </w:p>
    <w:p>
      <w:pPr>
        <w:pStyle w:val="55"/>
        <w:ind w:left="480" w:firstLine="24"/>
        <w:rPr>
          <w:rFonts w:asciiTheme="majorEastAsia" w:hAnsiTheme="majorEastAsia" w:eastAsiaTheme="majorEastAsia" w:cstheme="majorEastAsia"/>
          <w:sz w:val="2"/>
          <w:szCs w:val="2"/>
        </w:rPr>
      </w:pPr>
    </w:p>
    <w:p>
      <w:pPr>
        <w:pStyle w:val="55"/>
        <w:ind w:left="480" w:firstLine="24"/>
        <w:rPr>
          <w:rFonts w:asciiTheme="majorEastAsia" w:hAnsiTheme="majorEastAsia" w:eastAsiaTheme="majorEastAsia" w:cstheme="majorEastAsia"/>
          <w:sz w:val="2"/>
          <w:szCs w:val="2"/>
        </w:rPr>
      </w:pPr>
    </w:p>
    <w:p>
      <w:pPr>
        <w:pStyle w:val="55"/>
        <w:ind w:left="480" w:firstLine="24"/>
        <w:rPr>
          <w:rFonts w:asciiTheme="majorEastAsia" w:hAnsiTheme="majorEastAsia" w:eastAsiaTheme="majorEastAsia" w:cstheme="majorEastAsia"/>
          <w:sz w:val="2"/>
          <w:szCs w:val="2"/>
        </w:rPr>
      </w:pPr>
    </w:p>
    <w:p>
      <w:pPr>
        <w:pStyle w:val="55"/>
        <w:ind w:left="480" w:firstLine="24"/>
        <w:rPr>
          <w:rFonts w:asciiTheme="majorEastAsia" w:hAnsiTheme="majorEastAsia" w:eastAsiaTheme="majorEastAsia" w:cstheme="majorEastAsia"/>
          <w:sz w:val="2"/>
          <w:szCs w:val="2"/>
        </w:rPr>
      </w:pPr>
    </w:p>
    <w:p>
      <w:pPr>
        <w:pStyle w:val="55"/>
        <w:ind w:left="480" w:firstLine="24"/>
        <w:rPr>
          <w:rFonts w:asciiTheme="majorEastAsia" w:hAnsiTheme="majorEastAsia" w:eastAsiaTheme="majorEastAsia" w:cstheme="majorEastAsia"/>
          <w:sz w:val="2"/>
          <w:szCs w:val="2"/>
        </w:rPr>
      </w:pPr>
    </w:p>
    <w:p>
      <w:pPr>
        <w:pStyle w:val="55"/>
        <w:ind w:left="480" w:firstLine="24"/>
        <w:rPr>
          <w:rFonts w:asciiTheme="majorEastAsia" w:hAnsiTheme="majorEastAsia" w:eastAsiaTheme="majorEastAsia" w:cstheme="majorEastAsia"/>
          <w:sz w:val="2"/>
          <w:szCs w:val="2"/>
        </w:rPr>
      </w:pPr>
    </w:p>
    <w:p>
      <w:pPr>
        <w:pStyle w:val="55"/>
        <w:ind w:left="480" w:firstLine="24"/>
        <w:rPr>
          <w:rFonts w:asciiTheme="majorEastAsia" w:hAnsiTheme="majorEastAsia" w:eastAsiaTheme="majorEastAsia" w:cstheme="majorEastAsia"/>
          <w:sz w:val="2"/>
          <w:szCs w:val="2"/>
        </w:rPr>
      </w:pPr>
    </w:p>
    <w:p>
      <w:pPr>
        <w:pStyle w:val="55"/>
        <w:ind w:left="480" w:firstLine="24"/>
        <w:rPr>
          <w:rFonts w:asciiTheme="majorEastAsia" w:hAnsiTheme="majorEastAsia" w:eastAsiaTheme="majorEastAsia" w:cstheme="majorEastAsia"/>
          <w:sz w:val="2"/>
          <w:szCs w:val="2"/>
        </w:rPr>
      </w:pPr>
    </w:p>
    <w:p>
      <w:pPr>
        <w:pStyle w:val="55"/>
        <w:ind w:left="480" w:firstLine="24"/>
        <w:rPr>
          <w:rFonts w:asciiTheme="majorEastAsia" w:hAnsiTheme="majorEastAsia" w:eastAsiaTheme="majorEastAsia" w:cstheme="majorEastAsia"/>
          <w:sz w:val="2"/>
          <w:szCs w:val="2"/>
        </w:rPr>
      </w:pPr>
    </w:p>
    <w:p>
      <w:pPr>
        <w:pStyle w:val="55"/>
        <w:ind w:left="480" w:firstLine="24"/>
        <w:rPr>
          <w:rFonts w:asciiTheme="majorEastAsia" w:hAnsiTheme="majorEastAsia" w:eastAsiaTheme="majorEastAsia" w:cstheme="majorEastAsia"/>
          <w:sz w:val="2"/>
          <w:szCs w:val="2"/>
        </w:rPr>
      </w:pPr>
    </w:p>
    <w:p>
      <w:pPr>
        <w:pStyle w:val="55"/>
        <w:ind w:left="480" w:firstLine="24"/>
        <w:rPr>
          <w:rFonts w:asciiTheme="majorEastAsia" w:hAnsiTheme="majorEastAsia" w:eastAsiaTheme="majorEastAsia" w:cstheme="majorEastAsia"/>
          <w:sz w:val="2"/>
          <w:szCs w:val="2"/>
        </w:rPr>
      </w:pPr>
    </w:p>
    <w:p>
      <w:pPr>
        <w:pStyle w:val="55"/>
        <w:ind w:left="480" w:firstLine="24"/>
        <w:rPr>
          <w:rFonts w:asciiTheme="majorEastAsia" w:hAnsiTheme="majorEastAsia" w:eastAsiaTheme="majorEastAsia" w:cstheme="majorEastAsia"/>
          <w:sz w:val="2"/>
          <w:szCs w:val="2"/>
        </w:rPr>
      </w:pPr>
    </w:p>
    <w:p>
      <w:pPr>
        <w:pStyle w:val="55"/>
        <w:ind w:left="480" w:firstLine="24"/>
        <w:rPr>
          <w:rFonts w:asciiTheme="majorEastAsia" w:hAnsiTheme="majorEastAsia" w:eastAsiaTheme="majorEastAsia" w:cstheme="majorEastAsia"/>
          <w:sz w:val="2"/>
          <w:szCs w:val="2"/>
        </w:rPr>
      </w:pPr>
    </w:p>
    <w:p>
      <w:pPr>
        <w:jc w:val="center"/>
        <w:rPr>
          <w:rFonts w:asciiTheme="majorEastAsia" w:hAnsiTheme="majorEastAsia" w:eastAsiaTheme="majorEastAsia" w:cstheme="majorEastAsia"/>
          <w:b/>
          <w:kern w:val="0"/>
          <w:sz w:val="32"/>
          <w:szCs w:val="32"/>
        </w:rPr>
      </w:pPr>
      <w:r>
        <w:rPr>
          <w:rFonts w:hint="eastAsia" w:asciiTheme="majorEastAsia" w:hAnsiTheme="majorEastAsia" w:eastAsiaTheme="majorEastAsia" w:cstheme="majorEastAsia"/>
          <w:b/>
          <w:kern w:val="0"/>
          <w:sz w:val="32"/>
          <w:szCs w:val="32"/>
        </w:rPr>
        <w:t>三、符合性审查资料</w:t>
      </w:r>
    </w:p>
    <w:p>
      <w:pPr>
        <w:jc w:val="center"/>
        <w:rPr>
          <w:rFonts w:asciiTheme="majorEastAsia" w:hAnsiTheme="majorEastAsia" w:eastAsiaTheme="majorEastAsia" w:cstheme="majorEastAsia"/>
          <w:b/>
          <w:kern w:val="0"/>
          <w:sz w:val="32"/>
          <w:szCs w:val="32"/>
        </w:rPr>
      </w:pPr>
    </w:p>
    <w:tbl>
      <w:tblPr>
        <w:tblStyle w:val="5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Theme="majorEastAsia" w:hAnsiTheme="majorEastAsia" w:eastAsiaTheme="majorEastAsia" w:cstheme="majorEastAsia"/>
                <w:b/>
              </w:rPr>
            </w:pPr>
            <w:r>
              <w:rPr>
                <w:rFonts w:hint="eastAsia" w:asciiTheme="majorEastAsia" w:hAnsiTheme="majorEastAsia" w:eastAsiaTheme="majorEastAsia" w:cstheme="majorEastAsia"/>
                <w:b/>
              </w:rPr>
              <w:t>序号</w:t>
            </w:r>
          </w:p>
        </w:tc>
        <w:tc>
          <w:tcPr>
            <w:tcW w:w="4991" w:type="dxa"/>
            <w:vAlign w:val="center"/>
          </w:tcPr>
          <w:p>
            <w:pPr>
              <w:snapToGrid w:val="0"/>
              <w:spacing w:line="240" w:lineRule="atLeast"/>
              <w:jc w:val="center"/>
              <w:rPr>
                <w:rFonts w:asciiTheme="majorEastAsia" w:hAnsiTheme="majorEastAsia" w:eastAsiaTheme="majorEastAsia" w:cstheme="majorEastAsia"/>
                <w:b/>
              </w:rPr>
            </w:pPr>
            <w:r>
              <w:rPr>
                <w:rFonts w:hint="eastAsia" w:asciiTheme="majorEastAsia" w:hAnsiTheme="majorEastAsia" w:eastAsiaTheme="majorEastAsia" w:cstheme="majorEastAsia"/>
                <w:b/>
              </w:rPr>
              <w:t>实质性要求</w:t>
            </w:r>
          </w:p>
        </w:tc>
        <w:tc>
          <w:tcPr>
            <w:tcW w:w="2551" w:type="dxa"/>
            <w:vAlign w:val="center"/>
          </w:tcPr>
          <w:p>
            <w:pPr>
              <w:snapToGrid w:val="0"/>
              <w:spacing w:line="240" w:lineRule="atLeast"/>
              <w:jc w:val="center"/>
              <w:rPr>
                <w:rFonts w:asciiTheme="majorEastAsia" w:hAnsiTheme="majorEastAsia" w:eastAsiaTheme="majorEastAsia" w:cstheme="majorEastAsia"/>
                <w:b/>
              </w:rPr>
            </w:pPr>
            <w:r>
              <w:rPr>
                <w:rFonts w:hint="eastAsia" w:asciiTheme="majorEastAsia" w:hAnsiTheme="majorEastAsia" w:eastAsiaTheme="majorEastAsia" w:cstheme="majorEastAsia"/>
                <w:b/>
              </w:rPr>
              <w:t>需要提供的符合性审查资料</w:t>
            </w:r>
          </w:p>
        </w:tc>
        <w:tc>
          <w:tcPr>
            <w:tcW w:w="1418" w:type="dxa"/>
            <w:vAlign w:val="center"/>
          </w:tcPr>
          <w:p>
            <w:pPr>
              <w:snapToGrid w:val="0"/>
              <w:spacing w:line="240" w:lineRule="atLeast"/>
              <w:jc w:val="center"/>
              <w:rPr>
                <w:rFonts w:asciiTheme="majorEastAsia" w:hAnsiTheme="majorEastAsia" w:eastAsiaTheme="majorEastAsia" w:cstheme="majorEastAsia"/>
                <w:b/>
              </w:rPr>
            </w:pPr>
            <w:r>
              <w:rPr>
                <w:rFonts w:hint="eastAsia" w:asciiTheme="majorEastAsia" w:hAnsiTheme="majorEastAsia" w:eastAsiaTheme="majorEastAsia" w:cstheme="majorEastAsia"/>
                <w:b/>
              </w:rPr>
              <w:t>投标文件中的</w:t>
            </w:r>
          </w:p>
          <w:p>
            <w:pPr>
              <w:snapToGrid w:val="0"/>
              <w:spacing w:line="240" w:lineRule="atLeast"/>
              <w:jc w:val="center"/>
              <w:rPr>
                <w:rFonts w:asciiTheme="majorEastAsia" w:hAnsiTheme="majorEastAsia" w:eastAsiaTheme="majorEastAsia" w:cstheme="majorEastAsia"/>
                <w:b/>
              </w:rPr>
            </w:pPr>
            <w:r>
              <w:rPr>
                <w:rFonts w:hint="eastAsia" w:asciiTheme="majorEastAsia" w:hAnsiTheme="majorEastAsia" w:eastAsiaTheme="majorEastAsia" w:cstheme="majorEastAsia"/>
                <w:b/>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Theme="majorEastAsia" w:hAnsiTheme="majorEastAsia" w:eastAsiaTheme="majorEastAsia" w:cstheme="majorEastAsia"/>
              </w:rPr>
            </w:pPr>
            <w:r>
              <w:rPr>
                <w:rFonts w:hint="eastAsia" w:asciiTheme="majorEastAsia" w:hAnsiTheme="majorEastAsia" w:eastAsiaTheme="majorEastAsia" w:cstheme="majorEastAsia"/>
              </w:rPr>
              <w:t>1</w:t>
            </w:r>
          </w:p>
        </w:tc>
        <w:tc>
          <w:tcPr>
            <w:tcW w:w="4991" w:type="dxa"/>
            <w:vAlign w:val="center"/>
          </w:tcPr>
          <w:p>
            <w:pPr>
              <w:spacing w:line="360" w:lineRule="auto"/>
              <w:rPr>
                <w:rFonts w:hint="eastAsia" w:asciiTheme="majorEastAsia" w:hAnsiTheme="majorEastAsia" w:eastAsiaTheme="majorEastAsia" w:cstheme="majorEastAsia"/>
              </w:rPr>
            </w:pPr>
            <w:r>
              <w:rPr>
                <w:rFonts w:hint="eastAsia" w:asciiTheme="majorEastAsia" w:hAnsiTheme="majorEastAsia" w:eastAsiaTheme="majorEastAsia" w:cstheme="majorEastAsia"/>
              </w:rPr>
              <w:t>投标文件按照招标文件要求签署、盖章。</w:t>
            </w:r>
          </w:p>
        </w:tc>
        <w:tc>
          <w:tcPr>
            <w:tcW w:w="2551" w:type="dxa"/>
            <w:vAlign w:val="center"/>
          </w:tcPr>
          <w:p>
            <w:pPr>
              <w:spacing w:line="360" w:lineRule="auto"/>
              <w:rPr>
                <w:rFonts w:hint="eastAsia" w:asciiTheme="majorEastAsia" w:hAnsiTheme="majorEastAsia" w:eastAsiaTheme="majorEastAsia" w:cstheme="majorEastAsia"/>
              </w:rPr>
            </w:pPr>
            <w:r>
              <w:rPr>
                <w:rFonts w:hint="eastAsia" w:asciiTheme="majorEastAsia" w:hAnsiTheme="majorEastAsia" w:eastAsiaTheme="majorEastAsia" w:cstheme="majorEastAsia"/>
              </w:rPr>
              <w:t>需要使用电子签名或者签字盖章的投标文件的组成部分</w:t>
            </w:r>
          </w:p>
        </w:tc>
        <w:tc>
          <w:tcPr>
            <w:tcW w:w="1418" w:type="dxa"/>
          </w:tcPr>
          <w:p>
            <w:pPr>
              <w:spacing w:line="360" w:lineRule="auto"/>
              <w:rPr>
                <w:rFonts w:hint="eastAsia" w:asciiTheme="majorEastAsia" w:hAnsiTheme="majorEastAsia" w:eastAsiaTheme="majorEastAsia" w:cstheme="majorEastAsia"/>
              </w:rPr>
            </w:pPr>
          </w:p>
          <w:p>
            <w:pPr>
              <w:spacing w:line="360" w:lineRule="auto"/>
              <w:rPr>
                <w:rFonts w:hint="eastAsia" w:asciiTheme="majorEastAsia" w:hAnsiTheme="majorEastAsia" w:eastAsiaTheme="majorEastAsia" w:cstheme="majorEastAsia"/>
              </w:rPr>
            </w:pPr>
            <w:r>
              <w:rPr>
                <w:rFonts w:hint="eastAsia" w:asciiTheme="majorEastAsia" w:hAnsiTheme="majorEastAsia" w:eastAsiaTheme="majorEastAsia" w:cstheme="majorEastAsia"/>
              </w:rPr>
              <w:t>见投标文件</w:t>
            </w:r>
          </w:p>
          <w:p>
            <w:pPr>
              <w:spacing w:line="360" w:lineRule="auto"/>
              <w:rPr>
                <w:rFonts w:hint="eastAsia" w:asciiTheme="majorEastAsia" w:hAnsiTheme="majorEastAsia" w:eastAsiaTheme="majorEastAsia" w:cstheme="majorEastAsia"/>
              </w:rPr>
            </w:pPr>
            <w:r>
              <w:rPr>
                <w:rFonts w:hint="eastAsia" w:asciiTheme="majorEastAsia" w:hAnsiTheme="majorEastAsia" w:eastAsiaTheme="majorEastAsia" w:cstheme="majorEastAsia"/>
              </w:rPr>
              <w:t>第  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360" w:lineRule="auto"/>
              <w:rPr>
                <w:rFonts w:asciiTheme="majorEastAsia" w:hAnsiTheme="majorEastAsia" w:eastAsiaTheme="majorEastAsia" w:cstheme="majorEastAsia"/>
              </w:rPr>
            </w:pPr>
            <w:r>
              <w:rPr>
                <w:rFonts w:hint="eastAsia" w:asciiTheme="majorEastAsia" w:hAnsiTheme="majorEastAsia" w:eastAsiaTheme="majorEastAsia" w:cstheme="majorEastAsia"/>
              </w:rPr>
              <w:t>2</w:t>
            </w:r>
          </w:p>
        </w:tc>
        <w:tc>
          <w:tcPr>
            <w:tcW w:w="4991" w:type="dxa"/>
            <w:vAlign w:val="center"/>
          </w:tcPr>
          <w:p>
            <w:pPr>
              <w:spacing w:line="360" w:lineRule="auto"/>
              <w:rPr>
                <w:rFonts w:hint="eastAsia" w:asciiTheme="majorEastAsia" w:hAnsiTheme="majorEastAsia" w:eastAsiaTheme="majorEastAsia" w:cstheme="majorEastAsia"/>
              </w:rPr>
            </w:pPr>
            <w:r>
              <w:rPr>
                <w:rFonts w:hint="eastAsia" w:asciiTheme="majorEastAsia" w:hAnsiTheme="majorEastAsia" w:eastAsiaTheme="majorEastAsia" w:cstheme="majorEastAsia"/>
              </w:rPr>
              <w:t>采购人拟采购的产品属于政府强制采购的节能产品品目清单范围的，投标供应商按招标文件要求提供国家确定的认证机构出具的、处于有效期之内的节能产品认证证书。</w:t>
            </w:r>
          </w:p>
        </w:tc>
        <w:tc>
          <w:tcPr>
            <w:tcW w:w="2551" w:type="dxa"/>
            <w:vAlign w:val="center"/>
          </w:tcPr>
          <w:p>
            <w:pPr>
              <w:spacing w:line="360" w:lineRule="auto"/>
              <w:rPr>
                <w:rFonts w:hint="eastAsia" w:asciiTheme="majorEastAsia" w:hAnsiTheme="majorEastAsia" w:eastAsiaTheme="majorEastAsia" w:cstheme="majorEastAsia"/>
              </w:rPr>
            </w:pPr>
            <w:r>
              <w:rPr>
                <w:rFonts w:hint="eastAsia" w:asciiTheme="majorEastAsia" w:hAnsiTheme="majorEastAsia" w:eastAsiaTheme="majorEastAsia" w:cstheme="majorEastAsia"/>
              </w:rPr>
              <w:t>节能产品认证证书（本项目拟采购的产品不属于政府强制采购的节能产品品目清单范围的，无需提供）</w:t>
            </w:r>
          </w:p>
        </w:tc>
        <w:tc>
          <w:tcPr>
            <w:tcW w:w="1418" w:type="dxa"/>
          </w:tcPr>
          <w:p>
            <w:pPr>
              <w:spacing w:line="360" w:lineRule="auto"/>
              <w:rPr>
                <w:rFonts w:hint="eastAsia" w:asciiTheme="majorEastAsia" w:hAnsiTheme="majorEastAsia" w:eastAsiaTheme="majorEastAsia" w:cstheme="majorEastAsia"/>
              </w:rPr>
            </w:pPr>
          </w:p>
          <w:p>
            <w:pPr>
              <w:spacing w:line="360" w:lineRule="auto"/>
              <w:rPr>
                <w:rFonts w:hint="eastAsia" w:asciiTheme="majorEastAsia" w:hAnsiTheme="majorEastAsia" w:eastAsiaTheme="majorEastAsia" w:cstheme="majorEastAsia"/>
              </w:rPr>
            </w:pPr>
          </w:p>
          <w:p>
            <w:pPr>
              <w:spacing w:line="360" w:lineRule="auto"/>
              <w:rPr>
                <w:rFonts w:hint="eastAsia" w:asciiTheme="majorEastAsia" w:hAnsiTheme="majorEastAsia" w:eastAsiaTheme="majorEastAsia" w:cstheme="majorEastAsia"/>
              </w:rPr>
            </w:pPr>
            <w:r>
              <w:rPr>
                <w:rFonts w:hint="eastAsia" w:asciiTheme="majorEastAsia" w:hAnsiTheme="majorEastAsia" w:eastAsiaTheme="majorEastAsia" w:cstheme="majorEastAsia"/>
              </w:rPr>
              <w:t>见投标文件</w:t>
            </w:r>
          </w:p>
          <w:p>
            <w:pPr>
              <w:spacing w:line="360" w:lineRule="auto"/>
              <w:rPr>
                <w:rFonts w:hint="eastAsia" w:asciiTheme="majorEastAsia" w:hAnsiTheme="majorEastAsia" w:eastAsiaTheme="majorEastAsia" w:cstheme="majorEastAsia"/>
              </w:rPr>
            </w:pPr>
            <w:r>
              <w:rPr>
                <w:rFonts w:hint="eastAsia" w:asciiTheme="majorEastAsia" w:hAnsiTheme="majorEastAsia" w:eastAsiaTheme="majorEastAsia" w:cstheme="majorEastAsia"/>
              </w:rPr>
              <w:t>第  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Theme="majorEastAsia" w:hAnsiTheme="majorEastAsia" w:eastAsiaTheme="majorEastAsia" w:cstheme="majorEastAsia"/>
              </w:rPr>
            </w:pPr>
            <w:r>
              <w:rPr>
                <w:rFonts w:hint="eastAsia" w:asciiTheme="majorEastAsia" w:hAnsiTheme="majorEastAsia" w:eastAsiaTheme="majorEastAsia" w:cstheme="majorEastAsia"/>
              </w:rPr>
              <w:t>3</w:t>
            </w:r>
          </w:p>
        </w:tc>
        <w:tc>
          <w:tcPr>
            <w:tcW w:w="4991" w:type="dxa"/>
            <w:vAlign w:val="center"/>
          </w:tcPr>
          <w:p>
            <w:pPr>
              <w:spacing w:line="360" w:lineRule="auto"/>
              <w:rPr>
                <w:rFonts w:hint="eastAsia" w:asciiTheme="majorEastAsia" w:hAnsiTheme="majorEastAsia" w:eastAsiaTheme="majorEastAsia" w:cstheme="majorEastAsia"/>
              </w:rPr>
            </w:pPr>
            <w:r>
              <w:rPr>
                <w:rFonts w:hint="eastAsia" w:asciiTheme="majorEastAsia" w:hAnsiTheme="majorEastAsia" w:eastAsiaTheme="majorEastAsia" w:cstheme="majorEastAsia"/>
              </w:rPr>
              <w:t>投标文件中承诺的投标有效期不少于招标文件中载明的投标有效期。</w:t>
            </w:r>
          </w:p>
        </w:tc>
        <w:tc>
          <w:tcPr>
            <w:tcW w:w="2551" w:type="dxa"/>
            <w:vAlign w:val="center"/>
          </w:tcPr>
          <w:p>
            <w:pPr>
              <w:spacing w:line="360" w:lineRule="auto"/>
              <w:rPr>
                <w:rFonts w:hint="eastAsia" w:asciiTheme="majorEastAsia" w:hAnsiTheme="majorEastAsia" w:eastAsiaTheme="majorEastAsia" w:cstheme="majorEastAsia"/>
              </w:rPr>
            </w:pPr>
            <w:r>
              <w:rPr>
                <w:rFonts w:hint="eastAsia" w:asciiTheme="majorEastAsia" w:hAnsiTheme="majorEastAsia" w:eastAsiaTheme="majorEastAsia" w:cstheme="majorEastAsia"/>
              </w:rPr>
              <w:t>投标函</w:t>
            </w:r>
          </w:p>
        </w:tc>
        <w:tc>
          <w:tcPr>
            <w:tcW w:w="1418" w:type="dxa"/>
          </w:tcPr>
          <w:p>
            <w:pPr>
              <w:spacing w:line="360" w:lineRule="auto"/>
              <w:rPr>
                <w:rFonts w:hint="eastAsia" w:asciiTheme="majorEastAsia" w:hAnsiTheme="majorEastAsia" w:eastAsiaTheme="majorEastAsia" w:cstheme="majorEastAsia"/>
              </w:rPr>
            </w:pPr>
            <w:r>
              <w:rPr>
                <w:rFonts w:hint="eastAsia" w:asciiTheme="majorEastAsia" w:hAnsiTheme="majorEastAsia" w:eastAsiaTheme="majorEastAsia" w:cstheme="majorEastAsia"/>
              </w:rPr>
              <w:t>见投标文件第  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Theme="majorEastAsia" w:hAnsiTheme="majorEastAsia" w:eastAsiaTheme="majorEastAsia" w:cstheme="majorEastAsia"/>
              </w:rPr>
            </w:pPr>
            <w:r>
              <w:rPr>
                <w:rFonts w:hint="eastAsia" w:asciiTheme="majorEastAsia" w:hAnsiTheme="majorEastAsia" w:eastAsiaTheme="majorEastAsia" w:cstheme="majorEastAsia"/>
              </w:rPr>
              <w:t>4</w:t>
            </w:r>
          </w:p>
        </w:tc>
        <w:tc>
          <w:tcPr>
            <w:tcW w:w="4991" w:type="dxa"/>
            <w:vAlign w:val="center"/>
          </w:tcPr>
          <w:p>
            <w:pPr>
              <w:spacing w:line="360" w:lineRule="auto"/>
              <w:rPr>
                <w:rFonts w:hint="eastAsia" w:asciiTheme="majorEastAsia" w:hAnsiTheme="majorEastAsia" w:eastAsiaTheme="majorEastAsia" w:cstheme="majorEastAsia"/>
              </w:rPr>
            </w:pPr>
            <w:r>
              <w:rPr>
                <w:rFonts w:hint="eastAsia" w:asciiTheme="majorEastAsia" w:hAnsiTheme="majorEastAsia" w:eastAsiaTheme="majorEastAsia" w:cstheme="majorEastAsia"/>
              </w:rPr>
              <w:t>投标文件满足招标文件的其它实质性要求。</w:t>
            </w:r>
          </w:p>
        </w:tc>
        <w:tc>
          <w:tcPr>
            <w:tcW w:w="2551" w:type="dxa"/>
            <w:vAlign w:val="center"/>
          </w:tcPr>
          <w:p>
            <w:pPr>
              <w:spacing w:line="360" w:lineRule="auto"/>
              <w:rPr>
                <w:rFonts w:hint="eastAsia" w:asciiTheme="majorEastAsia" w:hAnsiTheme="majorEastAsia" w:eastAsiaTheme="majorEastAsia" w:cstheme="majorEastAsia"/>
              </w:rPr>
            </w:pPr>
            <w:r>
              <w:rPr>
                <w:rFonts w:hint="eastAsia" w:asciiTheme="majorEastAsia" w:hAnsiTheme="majorEastAsia" w:eastAsiaTheme="majorEastAsia" w:cstheme="majorEastAsia"/>
              </w:rPr>
              <w:t>招标文件其它实质性要求相应的材料（“▲” 系指实质性要求条款，招标文件无其它实质性要求的，无需提供）</w:t>
            </w:r>
          </w:p>
        </w:tc>
        <w:tc>
          <w:tcPr>
            <w:tcW w:w="1418" w:type="dxa"/>
          </w:tcPr>
          <w:p>
            <w:pPr>
              <w:spacing w:line="360" w:lineRule="auto"/>
              <w:rPr>
                <w:rFonts w:hint="eastAsia" w:asciiTheme="majorEastAsia" w:hAnsiTheme="majorEastAsia" w:eastAsiaTheme="majorEastAsia" w:cstheme="majorEastAsia"/>
              </w:rPr>
            </w:pPr>
            <w:r>
              <w:rPr>
                <w:rFonts w:hint="eastAsia" w:asciiTheme="majorEastAsia" w:hAnsiTheme="majorEastAsia" w:eastAsiaTheme="majorEastAsia" w:cstheme="majorEastAsia"/>
              </w:rPr>
              <w:t>见投标文件第  页</w:t>
            </w:r>
          </w:p>
        </w:tc>
      </w:tr>
    </w:tbl>
    <w:p>
      <w:pPr>
        <w:jc w:val="center"/>
        <w:rPr>
          <w:rFonts w:asciiTheme="majorEastAsia" w:hAnsiTheme="majorEastAsia" w:eastAsiaTheme="majorEastAsia" w:cstheme="majorEastAsia"/>
          <w:b/>
          <w:kern w:val="0"/>
          <w:sz w:val="32"/>
          <w:szCs w:val="32"/>
        </w:rPr>
      </w:pPr>
    </w:p>
    <w:p>
      <w:pPr>
        <w:jc w:val="center"/>
        <w:rPr>
          <w:rFonts w:asciiTheme="majorEastAsia" w:hAnsiTheme="majorEastAsia" w:eastAsiaTheme="majorEastAsia" w:cstheme="majorEastAsia"/>
          <w:b/>
          <w:kern w:val="0"/>
          <w:sz w:val="32"/>
          <w:szCs w:val="32"/>
        </w:rPr>
      </w:pPr>
    </w:p>
    <w:p>
      <w:pPr>
        <w:jc w:val="center"/>
        <w:rPr>
          <w:rFonts w:asciiTheme="majorEastAsia" w:hAnsiTheme="majorEastAsia" w:eastAsiaTheme="majorEastAsia" w:cstheme="majorEastAsia"/>
          <w:b/>
          <w:kern w:val="0"/>
          <w:sz w:val="32"/>
          <w:szCs w:val="32"/>
        </w:rPr>
      </w:pPr>
    </w:p>
    <w:p>
      <w:pPr>
        <w:jc w:val="center"/>
        <w:rPr>
          <w:rFonts w:asciiTheme="majorEastAsia" w:hAnsiTheme="majorEastAsia" w:eastAsiaTheme="majorEastAsia" w:cstheme="majorEastAsia"/>
          <w:b/>
          <w:kern w:val="0"/>
          <w:sz w:val="32"/>
          <w:szCs w:val="32"/>
        </w:rPr>
      </w:pPr>
    </w:p>
    <w:p>
      <w:pPr>
        <w:jc w:val="center"/>
        <w:rPr>
          <w:rFonts w:asciiTheme="majorEastAsia" w:hAnsiTheme="majorEastAsia" w:eastAsiaTheme="majorEastAsia" w:cstheme="majorEastAsia"/>
          <w:b/>
          <w:kern w:val="0"/>
          <w:sz w:val="32"/>
          <w:szCs w:val="32"/>
        </w:rPr>
      </w:pPr>
    </w:p>
    <w:p>
      <w:pPr>
        <w:jc w:val="center"/>
        <w:rPr>
          <w:rFonts w:asciiTheme="majorEastAsia" w:hAnsiTheme="majorEastAsia" w:eastAsiaTheme="majorEastAsia" w:cstheme="majorEastAsia"/>
          <w:b/>
          <w:kern w:val="0"/>
          <w:sz w:val="32"/>
          <w:szCs w:val="32"/>
        </w:rPr>
      </w:pPr>
    </w:p>
    <w:p>
      <w:pPr>
        <w:jc w:val="center"/>
        <w:rPr>
          <w:rFonts w:asciiTheme="majorEastAsia" w:hAnsiTheme="majorEastAsia" w:eastAsiaTheme="majorEastAsia" w:cstheme="majorEastAsia"/>
          <w:b/>
          <w:kern w:val="0"/>
          <w:sz w:val="32"/>
          <w:szCs w:val="32"/>
        </w:rPr>
      </w:pPr>
    </w:p>
    <w:p>
      <w:pPr>
        <w:jc w:val="center"/>
        <w:rPr>
          <w:rFonts w:asciiTheme="majorEastAsia" w:hAnsiTheme="majorEastAsia" w:eastAsiaTheme="majorEastAsia" w:cstheme="majorEastAsia"/>
          <w:b/>
          <w:kern w:val="0"/>
          <w:sz w:val="32"/>
          <w:szCs w:val="32"/>
        </w:rPr>
      </w:pPr>
    </w:p>
    <w:p>
      <w:pPr>
        <w:jc w:val="center"/>
        <w:rPr>
          <w:rFonts w:asciiTheme="majorEastAsia" w:hAnsiTheme="majorEastAsia" w:eastAsiaTheme="majorEastAsia" w:cstheme="majorEastAsia"/>
          <w:b/>
          <w:kern w:val="0"/>
          <w:sz w:val="32"/>
          <w:szCs w:val="32"/>
        </w:rPr>
      </w:pPr>
    </w:p>
    <w:p>
      <w:pPr>
        <w:jc w:val="center"/>
        <w:rPr>
          <w:rFonts w:asciiTheme="majorEastAsia" w:hAnsiTheme="majorEastAsia" w:eastAsiaTheme="majorEastAsia" w:cstheme="majorEastAsia"/>
          <w:b/>
          <w:kern w:val="0"/>
          <w:sz w:val="32"/>
          <w:szCs w:val="32"/>
        </w:rPr>
      </w:pPr>
    </w:p>
    <w:p>
      <w:pPr>
        <w:jc w:val="center"/>
        <w:rPr>
          <w:rFonts w:asciiTheme="majorEastAsia" w:hAnsiTheme="majorEastAsia" w:eastAsiaTheme="majorEastAsia" w:cstheme="majorEastAsia"/>
          <w:b/>
          <w:kern w:val="0"/>
          <w:sz w:val="32"/>
          <w:szCs w:val="32"/>
        </w:rPr>
      </w:pPr>
    </w:p>
    <w:p>
      <w:pPr>
        <w:jc w:val="center"/>
        <w:rPr>
          <w:rFonts w:asciiTheme="majorEastAsia" w:hAnsiTheme="majorEastAsia" w:eastAsiaTheme="majorEastAsia" w:cstheme="majorEastAsia"/>
          <w:b/>
          <w:kern w:val="0"/>
          <w:sz w:val="32"/>
          <w:szCs w:val="32"/>
        </w:rPr>
      </w:pPr>
    </w:p>
    <w:p>
      <w:pPr>
        <w:jc w:val="center"/>
        <w:rPr>
          <w:rFonts w:asciiTheme="majorEastAsia" w:hAnsiTheme="majorEastAsia" w:eastAsiaTheme="majorEastAsia" w:cstheme="majorEastAsia"/>
          <w:b/>
          <w:kern w:val="0"/>
          <w:sz w:val="32"/>
          <w:szCs w:val="32"/>
        </w:rPr>
      </w:pPr>
    </w:p>
    <w:p>
      <w:pPr>
        <w:jc w:val="center"/>
        <w:rPr>
          <w:rFonts w:asciiTheme="majorEastAsia" w:hAnsiTheme="majorEastAsia" w:eastAsiaTheme="majorEastAsia" w:cstheme="majorEastAsia"/>
          <w:b/>
          <w:kern w:val="0"/>
          <w:sz w:val="32"/>
          <w:szCs w:val="32"/>
        </w:rPr>
      </w:pPr>
    </w:p>
    <w:p>
      <w:pPr>
        <w:jc w:val="center"/>
        <w:rPr>
          <w:rFonts w:asciiTheme="majorEastAsia" w:hAnsiTheme="majorEastAsia" w:eastAsiaTheme="majorEastAsia" w:cstheme="majorEastAsia"/>
          <w:b/>
          <w:kern w:val="0"/>
          <w:sz w:val="32"/>
          <w:szCs w:val="32"/>
        </w:rPr>
      </w:pPr>
      <w:r>
        <w:rPr>
          <w:rFonts w:hint="eastAsia" w:asciiTheme="majorEastAsia" w:hAnsiTheme="majorEastAsia" w:eastAsiaTheme="majorEastAsia" w:cstheme="majorEastAsia"/>
          <w:b/>
          <w:kern w:val="0"/>
          <w:sz w:val="32"/>
          <w:szCs w:val="32"/>
        </w:rPr>
        <w:t xml:space="preserve">            </w:t>
      </w:r>
    </w:p>
    <w:p>
      <w:pPr>
        <w:jc w:val="center"/>
        <w:rPr>
          <w:rFonts w:asciiTheme="majorEastAsia" w:hAnsiTheme="majorEastAsia" w:eastAsiaTheme="majorEastAsia" w:cstheme="majorEastAsia"/>
          <w:b/>
          <w:kern w:val="0"/>
          <w:sz w:val="32"/>
          <w:szCs w:val="32"/>
        </w:rPr>
      </w:pPr>
      <w:r>
        <w:rPr>
          <w:rFonts w:hint="eastAsia" w:asciiTheme="majorEastAsia" w:hAnsiTheme="majorEastAsia" w:eastAsiaTheme="majorEastAsia" w:cstheme="majorEastAsia"/>
          <w:b/>
          <w:kern w:val="0"/>
          <w:sz w:val="32"/>
          <w:szCs w:val="32"/>
        </w:rPr>
        <w:t>四、评分对应表</w:t>
      </w:r>
    </w:p>
    <w:p>
      <w:pPr>
        <w:snapToGrid w:val="0"/>
        <w:spacing w:before="50"/>
        <w:jc w:val="center"/>
        <w:rPr>
          <w:rFonts w:asciiTheme="majorEastAsia" w:hAnsiTheme="majorEastAsia" w:eastAsiaTheme="majorEastAsia" w:cstheme="majorEastAsia"/>
          <w:b/>
          <w:sz w:val="32"/>
          <w:szCs w:val="32"/>
          <w:highlight w:val="yellow"/>
        </w:rPr>
      </w:pPr>
    </w:p>
    <w:p>
      <w:pPr>
        <w:ind w:firstLine="240"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单位名称（盖章）：</w:t>
      </w:r>
    </w:p>
    <w:tbl>
      <w:tblPr>
        <w:tblStyle w:val="56"/>
        <w:tblW w:w="963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888"/>
        <w:gridCol w:w="3060"/>
        <w:gridCol w:w="268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3888" w:type="dxa"/>
            <w:tcBorders>
              <w:top w:val="single" w:color="auto" w:sz="4" w:space="0"/>
              <w:left w:val="single" w:color="auto" w:sz="4" w:space="0"/>
              <w:bottom w:val="single" w:color="auto" w:sz="4" w:space="0"/>
              <w:right w:val="single" w:color="auto" w:sz="4" w:space="0"/>
            </w:tcBorders>
            <w:vAlign w:val="center"/>
          </w:tcPr>
          <w:p>
            <w:pPr>
              <w:spacing w:before="240" w:after="240"/>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评分项目</w:t>
            </w:r>
          </w:p>
        </w:tc>
        <w:tc>
          <w:tcPr>
            <w:tcW w:w="3060" w:type="dxa"/>
            <w:tcBorders>
              <w:top w:val="single" w:color="auto" w:sz="4" w:space="0"/>
              <w:left w:val="single" w:color="auto" w:sz="4" w:space="0"/>
              <w:bottom w:val="single" w:color="auto" w:sz="4" w:space="0"/>
              <w:right w:val="single" w:color="auto" w:sz="4" w:space="0"/>
            </w:tcBorders>
            <w:vAlign w:val="center"/>
          </w:tcPr>
          <w:p>
            <w:pPr>
              <w:spacing w:before="240" w:after="240"/>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投标文件对应资料</w:t>
            </w:r>
          </w:p>
        </w:tc>
        <w:tc>
          <w:tcPr>
            <w:tcW w:w="2686" w:type="dxa"/>
            <w:tcBorders>
              <w:top w:val="single" w:color="auto" w:sz="4" w:space="0"/>
              <w:left w:val="single" w:color="auto" w:sz="4" w:space="0"/>
              <w:bottom w:val="single" w:color="auto" w:sz="4" w:space="0"/>
              <w:right w:val="single" w:color="auto" w:sz="4" w:space="0"/>
            </w:tcBorders>
            <w:vAlign w:val="center"/>
          </w:tcPr>
          <w:p>
            <w:pPr>
              <w:spacing w:before="240" w:after="240"/>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投标文件页码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pacing w:before="240" w:after="240"/>
              <w:jc w:val="center"/>
              <w:rPr>
                <w:rFonts w:asciiTheme="majorEastAsia" w:hAnsiTheme="majorEastAsia" w:eastAsiaTheme="majorEastAsia" w:cstheme="majorEastAsia"/>
                <w:szCs w:val="21"/>
                <w:highlight w:val="yellow"/>
              </w:rPr>
            </w:pPr>
            <w:r>
              <w:rPr>
                <w:rFonts w:hint="eastAsia" w:asciiTheme="majorEastAsia" w:hAnsiTheme="majorEastAsia" w:eastAsiaTheme="majorEastAsia" w:cstheme="majorEastAsia"/>
                <w:szCs w:val="21"/>
              </w:rPr>
              <w:t>对应第四章评分办法及评分标准（报价除外）</w:t>
            </w:r>
          </w:p>
        </w:tc>
        <w:tc>
          <w:tcPr>
            <w:tcW w:w="3060" w:type="dxa"/>
            <w:tcBorders>
              <w:top w:val="single" w:color="auto" w:sz="4" w:space="0"/>
              <w:left w:val="single" w:color="auto" w:sz="4" w:space="0"/>
              <w:bottom w:val="single" w:color="auto" w:sz="4" w:space="0"/>
              <w:right w:val="single" w:color="auto" w:sz="4" w:space="0"/>
            </w:tcBorders>
          </w:tcPr>
          <w:p>
            <w:pPr>
              <w:snapToGrid w:val="0"/>
              <w:spacing w:before="120" w:beforeLines="50"/>
              <w:rPr>
                <w:rFonts w:asciiTheme="majorEastAsia" w:hAnsiTheme="majorEastAsia" w:eastAsiaTheme="majorEastAsia" w:cstheme="majorEastAsia"/>
                <w:sz w:val="30"/>
                <w:szCs w:val="30"/>
                <w:highlight w:val="yellow"/>
              </w:rPr>
            </w:pPr>
          </w:p>
        </w:tc>
        <w:tc>
          <w:tcPr>
            <w:tcW w:w="2686" w:type="dxa"/>
            <w:tcBorders>
              <w:top w:val="single" w:color="auto" w:sz="4" w:space="0"/>
              <w:left w:val="single" w:color="auto" w:sz="4" w:space="0"/>
              <w:bottom w:val="single" w:color="auto" w:sz="4" w:space="0"/>
              <w:right w:val="single" w:color="auto" w:sz="4" w:space="0"/>
            </w:tcBorders>
          </w:tcPr>
          <w:p>
            <w:pPr>
              <w:snapToGrid w:val="0"/>
              <w:spacing w:before="120" w:beforeLines="50"/>
              <w:rPr>
                <w:rFonts w:asciiTheme="majorEastAsia" w:hAnsiTheme="majorEastAsia" w:eastAsiaTheme="majorEastAsia" w:cstheme="majorEastAsia"/>
                <w:sz w:val="30"/>
                <w:szCs w:val="30"/>
                <w:highlight w:val="yellow"/>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pacing w:before="240" w:after="240"/>
              <w:jc w:val="center"/>
              <w:rPr>
                <w:rFonts w:asciiTheme="majorEastAsia" w:hAnsiTheme="majorEastAsia" w:eastAsiaTheme="majorEastAsia" w:cstheme="majorEastAsia"/>
                <w:szCs w:val="21"/>
                <w:highlight w:val="yellow"/>
              </w:rPr>
            </w:pPr>
            <w:r>
              <w:rPr>
                <w:rFonts w:hint="eastAsia" w:asciiTheme="majorEastAsia" w:hAnsiTheme="majorEastAsia" w:eastAsiaTheme="majorEastAsia" w:cstheme="majorEastAsia"/>
                <w:szCs w:val="21"/>
              </w:rPr>
              <w:t>……</w:t>
            </w:r>
          </w:p>
        </w:tc>
        <w:tc>
          <w:tcPr>
            <w:tcW w:w="3060" w:type="dxa"/>
            <w:tcBorders>
              <w:top w:val="single" w:color="auto" w:sz="4" w:space="0"/>
              <w:left w:val="single" w:color="auto" w:sz="4" w:space="0"/>
              <w:bottom w:val="single" w:color="auto" w:sz="4" w:space="0"/>
              <w:right w:val="single" w:color="auto" w:sz="4" w:space="0"/>
            </w:tcBorders>
          </w:tcPr>
          <w:p>
            <w:pPr>
              <w:snapToGrid w:val="0"/>
              <w:spacing w:before="120" w:beforeLines="50"/>
              <w:rPr>
                <w:rFonts w:asciiTheme="majorEastAsia" w:hAnsiTheme="majorEastAsia" w:eastAsiaTheme="majorEastAsia" w:cstheme="majorEastAsia"/>
                <w:sz w:val="30"/>
                <w:szCs w:val="30"/>
                <w:highlight w:val="yellow"/>
              </w:rPr>
            </w:pPr>
          </w:p>
        </w:tc>
        <w:tc>
          <w:tcPr>
            <w:tcW w:w="2686" w:type="dxa"/>
            <w:tcBorders>
              <w:top w:val="single" w:color="auto" w:sz="4" w:space="0"/>
              <w:left w:val="single" w:color="auto" w:sz="4" w:space="0"/>
              <w:bottom w:val="single" w:color="auto" w:sz="4" w:space="0"/>
              <w:right w:val="single" w:color="auto" w:sz="4" w:space="0"/>
            </w:tcBorders>
          </w:tcPr>
          <w:p>
            <w:pPr>
              <w:snapToGrid w:val="0"/>
              <w:spacing w:before="120" w:beforeLines="50"/>
              <w:ind w:left="43"/>
              <w:rPr>
                <w:rFonts w:asciiTheme="majorEastAsia" w:hAnsiTheme="majorEastAsia" w:eastAsiaTheme="majorEastAsia" w:cstheme="majorEastAsia"/>
                <w:sz w:val="30"/>
                <w:szCs w:val="30"/>
                <w:highlight w:val="yellow"/>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rPr>
                <w:rFonts w:asciiTheme="majorEastAsia" w:hAnsiTheme="majorEastAsia" w:eastAsiaTheme="majorEastAsia" w:cstheme="majorEastAsia"/>
                <w:sz w:val="30"/>
                <w:szCs w:val="30"/>
                <w:highlight w:val="yellow"/>
              </w:rPr>
            </w:pPr>
          </w:p>
        </w:tc>
        <w:tc>
          <w:tcPr>
            <w:tcW w:w="3060" w:type="dxa"/>
            <w:tcBorders>
              <w:top w:val="single" w:color="auto" w:sz="4" w:space="0"/>
              <w:left w:val="single" w:color="auto" w:sz="4" w:space="0"/>
              <w:bottom w:val="single" w:color="auto" w:sz="4" w:space="0"/>
              <w:right w:val="single" w:color="auto" w:sz="4" w:space="0"/>
            </w:tcBorders>
          </w:tcPr>
          <w:p>
            <w:pPr>
              <w:snapToGrid w:val="0"/>
              <w:spacing w:before="120" w:beforeLines="50"/>
              <w:rPr>
                <w:rFonts w:asciiTheme="majorEastAsia" w:hAnsiTheme="majorEastAsia" w:eastAsiaTheme="majorEastAsia" w:cstheme="majorEastAsia"/>
                <w:sz w:val="30"/>
                <w:szCs w:val="30"/>
                <w:highlight w:val="yellow"/>
              </w:rPr>
            </w:pPr>
          </w:p>
        </w:tc>
        <w:tc>
          <w:tcPr>
            <w:tcW w:w="2686" w:type="dxa"/>
            <w:tcBorders>
              <w:top w:val="single" w:color="auto" w:sz="4" w:space="0"/>
              <w:left w:val="single" w:color="auto" w:sz="4" w:space="0"/>
              <w:bottom w:val="single" w:color="auto" w:sz="4" w:space="0"/>
              <w:right w:val="single" w:color="auto" w:sz="4" w:space="0"/>
            </w:tcBorders>
          </w:tcPr>
          <w:p>
            <w:pPr>
              <w:snapToGrid w:val="0"/>
              <w:spacing w:before="120" w:beforeLines="50"/>
              <w:ind w:left="43"/>
              <w:rPr>
                <w:rFonts w:asciiTheme="majorEastAsia" w:hAnsiTheme="majorEastAsia" w:eastAsiaTheme="majorEastAsia" w:cstheme="majorEastAsia"/>
                <w:sz w:val="30"/>
                <w:szCs w:val="30"/>
                <w:highlight w:val="yellow"/>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rPr>
                <w:rFonts w:asciiTheme="majorEastAsia" w:hAnsiTheme="majorEastAsia" w:eastAsiaTheme="majorEastAsia" w:cstheme="majorEastAsia"/>
                <w:sz w:val="30"/>
                <w:szCs w:val="30"/>
                <w:highlight w:val="yellow"/>
              </w:rPr>
            </w:pPr>
          </w:p>
        </w:tc>
        <w:tc>
          <w:tcPr>
            <w:tcW w:w="3060" w:type="dxa"/>
            <w:tcBorders>
              <w:top w:val="single" w:color="auto" w:sz="4" w:space="0"/>
              <w:left w:val="single" w:color="auto" w:sz="4" w:space="0"/>
              <w:bottom w:val="single" w:color="auto" w:sz="4" w:space="0"/>
              <w:right w:val="single" w:color="auto" w:sz="4" w:space="0"/>
            </w:tcBorders>
          </w:tcPr>
          <w:p>
            <w:pPr>
              <w:snapToGrid w:val="0"/>
              <w:spacing w:before="120" w:beforeLines="50"/>
              <w:rPr>
                <w:rFonts w:asciiTheme="majorEastAsia" w:hAnsiTheme="majorEastAsia" w:eastAsiaTheme="majorEastAsia" w:cstheme="majorEastAsia"/>
                <w:sz w:val="30"/>
                <w:szCs w:val="30"/>
                <w:highlight w:val="yellow"/>
              </w:rPr>
            </w:pPr>
          </w:p>
        </w:tc>
        <w:tc>
          <w:tcPr>
            <w:tcW w:w="2686" w:type="dxa"/>
            <w:tcBorders>
              <w:top w:val="single" w:color="auto" w:sz="4" w:space="0"/>
              <w:left w:val="single" w:color="auto" w:sz="4" w:space="0"/>
              <w:bottom w:val="single" w:color="auto" w:sz="4" w:space="0"/>
              <w:right w:val="single" w:color="auto" w:sz="4" w:space="0"/>
            </w:tcBorders>
          </w:tcPr>
          <w:p>
            <w:pPr>
              <w:snapToGrid w:val="0"/>
              <w:spacing w:before="120" w:beforeLines="50"/>
              <w:ind w:left="43"/>
              <w:rPr>
                <w:rFonts w:asciiTheme="majorEastAsia" w:hAnsiTheme="majorEastAsia" w:eastAsiaTheme="majorEastAsia" w:cstheme="majorEastAsia"/>
                <w:sz w:val="30"/>
                <w:szCs w:val="30"/>
                <w:highlight w:val="yellow"/>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rPr>
                <w:rFonts w:asciiTheme="majorEastAsia" w:hAnsiTheme="majorEastAsia" w:eastAsiaTheme="majorEastAsia" w:cstheme="majorEastAsia"/>
                <w:sz w:val="30"/>
                <w:szCs w:val="30"/>
                <w:highlight w:val="yellow"/>
              </w:rPr>
            </w:pPr>
          </w:p>
        </w:tc>
        <w:tc>
          <w:tcPr>
            <w:tcW w:w="3060" w:type="dxa"/>
            <w:tcBorders>
              <w:top w:val="single" w:color="auto" w:sz="4" w:space="0"/>
              <w:left w:val="single" w:color="auto" w:sz="4" w:space="0"/>
              <w:bottom w:val="single" w:color="auto" w:sz="4" w:space="0"/>
              <w:right w:val="single" w:color="auto" w:sz="4" w:space="0"/>
            </w:tcBorders>
          </w:tcPr>
          <w:p>
            <w:pPr>
              <w:snapToGrid w:val="0"/>
              <w:spacing w:before="120" w:beforeLines="50"/>
              <w:rPr>
                <w:rFonts w:asciiTheme="majorEastAsia" w:hAnsiTheme="majorEastAsia" w:eastAsiaTheme="majorEastAsia" w:cstheme="majorEastAsia"/>
                <w:sz w:val="30"/>
                <w:szCs w:val="30"/>
                <w:highlight w:val="yellow"/>
              </w:rPr>
            </w:pPr>
          </w:p>
        </w:tc>
        <w:tc>
          <w:tcPr>
            <w:tcW w:w="2686" w:type="dxa"/>
            <w:tcBorders>
              <w:top w:val="single" w:color="auto" w:sz="4" w:space="0"/>
              <w:left w:val="single" w:color="auto" w:sz="4" w:space="0"/>
              <w:bottom w:val="single" w:color="auto" w:sz="4" w:space="0"/>
              <w:right w:val="single" w:color="auto" w:sz="4" w:space="0"/>
            </w:tcBorders>
          </w:tcPr>
          <w:p>
            <w:pPr>
              <w:snapToGrid w:val="0"/>
              <w:spacing w:before="120" w:beforeLines="50"/>
              <w:rPr>
                <w:rFonts w:asciiTheme="majorEastAsia" w:hAnsiTheme="majorEastAsia" w:eastAsiaTheme="majorEastAsia" w:cstheme="majorEastAsia"/>
                <w:sz w:val="30"/>
                <w:szCs w:val="30"/>
                <w:highlight w:val="yellow"/>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rPr>
                <w:rFonts w:asciiTheme="majorEastAsia" w:hAnsiTheme="majorEastAsia" w:eastAsiaTheme="majorEastAsia" w:cstheme="majorEastAsia"/>
                <w:sz w:val="30"/>
                <w:szCs w:val="30"/>
                <w:highlight w:val="yellow"/>
              </w:rPr>
            </w:pPr>
          </w:p>
        </w:tc>
        <w:tc>
          <w:tcPr>
            <w:tcW w:w="3060" w:type="dxa"/>
            <w:tcBorders>
              <w:top w:val="single" w:color="auto" w:sz="4" w:space="0"/>
              <w:left w:val="single" w:color="auto" w:sz="4" w:space="0"/>
              <w:bottom w:val="single" w:color="auto" w:sz="4" w:space="0"/>
              <w:right w:val="single" w:color="auto" w:sz="4" w:space="0"/>
            </w:tcBorders>
          </w:tcPr>
          <w:p>
            <w:pPr>
              <w:snapToGrid w:val="0"/>
              <w:spacing w:before="120" w:beforeLines="50"/>
              <w:rPr>
                <w:rFonts w:asciiTheme="majorEastAsia" w:hAnsiTheme="majorEastAsia" w:eastAsiaTheme="majorEastAsia" w:cstheme="majorEastAsia"/>
                <w:sz w:val="30"/>
                <w:szCs w:val="30"/>
                <w:highlight w:val="yellow"/>
              </w:rPr>
            </w:pPr>
          </w:p>
        </w:tc>
        <w:tc>
          <w:tcPr>
            <w:tcW w:w="2686" w:type="dxa"/>
            <w:tcBorders>
              <w:top w:val="single" w:color="auto" w:sz="4" w:space="0"/>
              <w:left w:val="single" w:color="auto" w:sz="4" w:space="0"/>
              <w:bottom w:val="single" w:color="auto" w:sz="4" w:space="0"/>
              <w:right w:val="single" w:color="auto" w:sz="4" w:space="0"/>
            </w:tcBorders>
          </w:tcPr>
          <w:p>
            <w:pPr>
              <w:snapToGrid w:val="0"/>
              <w:spacing w:before="120" w:beforeLines="50"/>
              <w:rPr>
                <w:rFonts w:asciiTheme="majorEastAsia" w:hAnsiTheme="majorEastAsia" w:eastAsiaTheme="majorEastAsia" w:cstheme="majorEastAsia"/>
                <w:sz w:val="30"/>
                <w:szCs w:val="30"/>
                <w:highlight w:val="yellow"/>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rPr>
                <w:rFonts w:asciiTheme="majorEastAsia" w:hAnsiTheme="majorEastAsia" w:eastAsiaTheme="majorEastAsia" w:cstheme="majorEastAsia"/>
                <w:sz w:val="30"/>
                <w:szCs w:val="30"/>
                <w:highlight w:val="yellow"/>
              </w:rPr>
            </w:pPr>
          </w:p>
        </w:tc>
        <w:tc>
          <w:tcPr>
            <w:tcW w:w="3060" w:type="dxa"/>
            <w:tcBorders>
              <w:top w:val="single" w:color="auto" w:sz="4" w:space="0"/>
              <w:left w:val="single" w:color="auto" w:sz="4" w:space="0"/>
              <w:bottom w:val="single" w:color="auto" w:sz="4" w:space="0"/>
              <w:right w:val="single" w:color="auto" w:sz="4" w:space="0"/>
            </w:tcBorders>
          </w:tcPr>
          <w:p>
            <w:pPr>
              <w:snapToGrid w:val="0"/>
              <w:spacing w:before="120" w:beforeLines="50"/>
              <w:rPr>
                <w:rFonts w:asciiTheme="majorEastAsia" w:hAnsiTheme="majorEastAsia" w:eastAsiaTheme="majorEastAsia" w:cstheme="majorEastAsia"/>
                <w:sz w:val="30"/>
                <w:szCs w:val="30"/>
                <w:highlight w:val="yellow"/>
              </w:rPr>
            </w:pPr>
          </w:p>
        </w:tc>
        <w:tc>
          <w:tcPr>
            <w:tcW w:w="2686" w:type="dxa"/>
            <w:tcBorders>
              <w:top w:val="single" w:color="auto" w:sz="4" w:space="0"/>
              <w:left w:val="single" w:color="auto" w:sz="4" w:space="0"/>
              <w:bottom w:val="single" w:color="auto" w:sz="4" w:space="0"/>
              <w:right w:val="single" w:color="auto" w:sz="4" w:space="0"/>
            </w:tcBorders>
          </w:tcPr>
          <w:p>
            <w:pPr>
              <w:snapToGrid w:val="0"/>
              <w:spacing w:before="120" w:beforeLines="50"/>
              <w:rPr>
                <w:rFonts w:asciiTheme="majorEastAsia" w:hAnsiTheme="majorEastAsia" w:eastAsiaTheme="majorEastAsia" w:cstheme="majorEastAsia"/>
                <w:sz w:val="30"/>
                <w:szCs w:val="30"/>
                <w:highlight w:val="yellow"/>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rPr>
                <w:rFonts w:asciiTheme="majorEastAsia" w:hAnsiTheme="majorEastAsia" w:eastAsiaTheme="majorEastAsia" w:cstheme="majorEastAsia"/>
                <w:sz w:val="30"/>
                <w:szCs w:val="30"/>
                <w:highlight w:val="yellow"/>
              </w:rPr>
            </w:pPr>
          </w:p>
        </w:tc>
        <w:tc>
          <w:tcPr>
            <w:tcW w:w="3060" w:type="dxa"/>
            <w:tcBorders>
              <w:top w:val="single" w:color="auto" w:sz="4" w:space="0"/>
              <w:left w:val="single" w:color="auto" w:sz="4" w:space="0"/>
              <w:bottom w:val="single" w:color="auto" w:sz="4" w:space="0"/>
              <w:right w:val="single" w:color="auto" w:sz="4" w:space="0"/>
            </w:tcBorders>
          </w:tcPr>
          <w:p>
            <w:pPr>
              <w:snapToGrid w:val="0"/>
              <w:spacing w:before="120" w:beforeLines="50"/>
              <w:rPr>
                <w:rFonts w:asciiTheme="majorEastAsia" w:hAnsiTheme="majorEastAsia" w:eastAsiaTheme="majorEastAsia" w:cstheme="majorEastAsia"/>
                <w:sz w:val="30"/>
                <w:szCs w:val="30"/>
                <w:highlight w:val="yellow"/>
              </w:rPr>
            </w:pPr>
          </w:p>
        </w:tc>
        <w:tc>
          <w:tcPr>
            <w:tcW w:w="2686" w:type="dxa"/>
            <w:tcBorders>
              <w:top w:val="single" w:color="auto" w:sz="4" w:space="0"/>
              <w:left w:val="single" w:color="auto" w:sz="4" w:space="0"/>
              <w:bottom w:val="single" w:color="auto" w:sz="4" w:space="0"/>
              <w:right w:val="single" w:color="auto" w:sz="4" w:space="0"/>
            </w:tcBorders>
          </w:tcPr>
          <w:p>
            <w:pPr>
              <w:snapToGrid w:val="0"/>
              <w:spacing w:before="120" w:beforeLines="50"/>
              <w:rPr>
                <w:rFonts w:asciiTheme="majorEastAsia" w:hAnsiTheme="majorEastAsia" w:eastAsiaTheme="majorEastAsia" w:cstheme="majorEastAsia"/>
                <w:sz w:val="30"/>
                <w:szCs w:val="30"/>
                <w:highlight w:val="yellow"/>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rPr>
                <w:rFonts w:asciiTheme="majorEastAsia" w:hAnsiTheme="majorEastAsia" w:eastAsiaTheme="majorEastAsia" w:cstheme="majorEastAsia"/>
                <w:sz w:val="30"/>
                <w:szCs w:val="30"/>
                <w:highlight w:val="yellow"/>
              </w:rPr>
            </w:pPr>
          </w:p>
        </w:tc>
        <w:tc>
          <w:tcPr>
            <w:tcW w:w="3060" w:type="dxa"/>
            <w:tcBorders>
              <w:top w:val="single" w:color="auto" w:sz="4" w:space="0"/>
              <w:left w:val="single" w:color="auto" w:sz="4" w:space="0"/>
              <w:bottom w:val="single" w:color="auto" w:sz="4" w:space="0"/>
              <w:right w:val="single" w:color="auto" w:sz="4" w:space="0"/>
            </w:tcBorders>
          </w:tcPr>
          <w:p>
            <w:pPr>
              <w:snapToGrid w:val="0"/>
              <w:spacing w:before="120" w:beforeLines="50"/>
              <w:rPr>
                <w:rFonts w:asciiTheme="majorEastAsia" w:hAnsiTheme="majorEastAsia" w:eastAsiaTheme="majorEastAsia" w:cstheme="majorEastAsia"/>
                <w:sz w:val="30"/>
                <w:szCs w:val="30"/>
                <w:highlight w:val="yellow"/>
              </w:rPr>
            </w:pPr>
          </w:p>
        </w:tc>
        <w:tc>
          <w:tcPr>
            <w:tcW w:w="2686" w:type="dxa"/>
            <w:tcBorders>
              <w:top w:val="single" w:color="auto" w:sz="4" w:space="0"/>
              <w:left w:val="single" w:color="auto" w:sz="4" w:space="0"/>
              <w:bottom w:val="single" w:color="auto" w:sz="4" w:space="0"/>
              <w:right w:val="single" w:color="auto" w:sz="4" w:space="0"/>
            </w:tcBorders>
          </w:tcPr>
          <w:p>
            <w:pPr>
              <w:snapToGrid w:val="0"/>
              <w:spacing w:before="120" w:beforeLines="50"/>
              <w:rPr>
                <w:rFonts w:asciiTheme="majorEastAsia" w:hAnsiTheme="majorEastAsia" w:eastAsiaTheme="majorEastAsia" w:cstheme="majorEastAsia"/>
                <w:sz w:val="30"/>
                <w:szCs w:val="30"/>
                <w:highlight w:val="yellow"/>
              </w:rPr>
            </w:pPr>
          </w:p>
        </w:tc>
      </w:tr>
    </w:tbl>
    <w:p>
      <w:pPr>
        <w:wordWrap w:val="0"/>
        <w:snapToGrid w:val="0"/>
        <w:spacing w:before="120" w:beforeLines="50" w:line="400" w:lineRule="exact"/>
        <w:ind w:firstLine="200"/>
        <w:jc w:val="right"/>
        <w:rPr>
          <w:rFonts w:asciiTheme="majorEastAsia" w:hAnsiTheme="majorEastAsia" w:eastAsiaTheme="majorEastAsia" w:cstheme="majorEastAsia"/>
          <w:szCs w:val="20"/>
          <w:u w:val="single"/>
        </w:rPr>
      </w:pPr>
      <w:r>
        <w:rPr>
          <w:rFonts w:hint="eastAsia" w:asciiTheme="majorEastAsia" w:hAnsiTheme="majorEastAsia" w:eastAsiaTheme="majorEastAsia" w:cstheme="majorEastAsia"/>
        </w:rPr>
        <w:t xml:space="preserve">法定代表人或被授权人签字（或盖章）：      </w:t>
      </w:r>
    </w:p>
    <w:p>
      <w:pPr>
        <w:wordWrap w:val="0"/>
        <w:snapToGrid w:val="0"/>
        <w:spacing w:before="120" w:beforeLines="50" w:after="50" w:line="400" w:lineRule="exact"/>
        <w:ind w:firstLine="240" w:firstLineChars="100"/>
        <w:jc w:val="right"/>
        <w:rPr>
          <w:rFonts w:asciiTheme="majorEastAsia" w:hAnsiTheme="majorEastAsia" w:eastAsiaTheme="majorEastAsia" w:cstheme="majorEastAsia"/>
        </w:rPr>
      </w:pPr>
      <w:r>
        <w:rPr>
          <w:rFonts w:hint="eastAsia" w:asciiTheme="majorEastAsia" w:hAnsiTheme="majorEastAsia" w:eastAsiaTheme="majorEastAsia" w:cstheme="majorEastAsia"/>
        </w:rPr>
        <w:t>投标供应商名称（</w:t>
      </w:r>
      <w:r>
        <w:rPr>
          <w:rFonts w:hint="eastAsia" w:asciiTheme="majorEastAsia" w:hAnsiTheme="majorEastAsia" w:eastAsiaTheme="majorEastAsia" w:cstheme="majorEastAsia"/>
          <w:kern w:val="0"/>
          <w:lang w:val="zh-CN"/>
        </w:rPr>
        <w:t>盖章</w:t>
      </w:r>
      <w:r>
        <w:rPr>
          <w:rFonts w:hint="eastAsia" w:asciiTheme="majorEastAsia" w:hAnsiTheme="majorEastAsia" w:eastAsiaTheme="majorEastAsia" w:cstheme="majorEastAsia"/>
        </w:rPr>
        <w:t xml:space="preserve">）：      </w:t>
      </w:r>
    </w:p>
    <w:p>
      <w:pPr>
        <w:jc w:val="right"/>
        <w:rPr>
          <w:rFonts w:asciiTheme="majorEastAsia" w:hAnsiTheme="majorEastAsia" w:eastAsiaTheme="majorEastAsia" w:cstheme="majorEastAsia"/>
          <w:b/>
          <w:kern w:val="0"/>
          <w:sz w:val="32"/>
          <w:szCs w:val="32"/>
        </w:rPr>
      </w:pPr>
      <w:r>
        <w:rPr>
          <w:rFonts w:hint="eastAsia" w:asciiTheme="majorEastAsia" w:hAnsiTheme="majorEastAsia" w:eastAsiaTheme="majorEastAsia" w:cstheme="majorEastAsia"/>
        </w:rPr>
        <w:t>年  月  日</w:t>
      </w:r>
    </w:p>
    <w:p>
      <w:pPr>
        <w:jc w:val="center"/>
        <w:rPr>
          <w:rFonts w:asciiTheme="majorEastAsia" w:hAnsiTheme="majorEastAsia" w:eastAsiaTheme="majorEastAsia" w:cstheme="majorEastAsia"/>
          <w:b/>
          <w:kern w:val="0"/>
          <w:sz w:val="32"/>
          <w:szCs w:val="32"/>
        </w:rPr>
      </w:pPr>
    </w:p>
    <w:p>
      <w:pPr>
        <w:jc w:val="center"/>
        <w:rPr>
          <w:rFonts w:asciiTheme="majorEastAsia" w:hAnsiTheme="majorEastAsia" w:eastAsiaTheme="majorEastAsia" w:cstheme="majorEastAsia"/>
          <w:b/>
          <w:kern w:val="0"/>
          <w:sz w:val="32"/>
          <w:szCs w:val="32"/>
        </w:rPr>
      </w:pPr>
    </w:p>
    <w:p>
      <w:pPr>
        <w:jc w:val="center"/>
        <w:rPr>
          <w:rFonts w:asciiTheme="majorEastAsia" w:hAnsiTheme="majorEastAsia" w:eastAsiaTheme="majorEastAsia" w:cstheme="majorEastAsia"/>
          <w:b/>
          <w:kern w:val="0"/>
          <w:sz w:val="32"/>
          <w:szCs w:val="32"/>
        </w:rPr>
      </w:pPr>
    </w:p>
    <w:p>
      <w:pPr>
        <w:jc w:val="center"/>
        <w:rPr>
          <w:rFonts w:asciiTheme="majorEastAsia" w:hAnsiTheme="majorEastAsia" w:eastAsiaTheme="majorEastAsia" w:cstheme="majorEastAsia"/>
          <w:b/>
          <w:kern w:val="0"/>
          <w:sz w:val="32"/>
          <w:szCs w:val="32"/>
        </w:rPr>
      </w:pPr>
    </w:p>
    <w:p>
      <w:pPr>
        <w:jc w:val="center"/>
        <w:rPr>
          <w:rFonts w:asciiTheme="majorEastAsia" w:hAnsiTheme="majorEastAsia" w:eastAsiaTheme="majorEastAsia" w:cstheme="majorEastAsia"/>
          <w:b/>
          <w:kern w:val="0"/>
          <w:sz w:val="32"/>
          <w:szCs w:val="32"/>
        </w:rPr>
      </w:pPr>
    </w:p>
    <w:p>
      <w:pPr>
        <w:jc w:val="center"/>
        <w:rPr>
          <w:rFonts w:asciiTheme="majorEastAsia" w:hAnsiTheme="majorEastAsia" w:eastAsiaTheme="majorEastAsia" w:cstheme="majorEastAsia"/>
          <w:b/>
          <w:kern w:val="0"/>
          <w:sz w:val="32"/>
          <w:szCs w:val="32"/>
        </w:rPr>
      </w:pPr>
      <w:r>
        <w:rPr>
          <w:rFonts w:hint="eastAsia" w:asciiTheme="majorEastAsia" w:hAnsiTheme="majorEastAsia" w:eastAsiaTheme="majorEastAsia" w:cstheme="majorEastAsia"/>
          <w:b/>
          <w:kern w:val="0"/>
          <w:sz w:val="32"/>
          <w:szCs w:val="32"/>
        </w:rPr>
        <w:br w:type="page"/>
      </w:r>
      <w:r>
        <w:rPr>
          <w:rFonts w:hint="eastAsia" w:asciiTheme="majorEastAsia" w:hAnsiTheme="majorEastAsia" w:eastAsiaTheme="majorEastAsia" w:cstheme="majorEastAsia"/>
          <w:b/>
          <w:kern w:val="0"/>
          <w:sz w:val="32"/>
          <w:szCs w:val="32"/>
        </w:rPr>
        <w:t>五、商务响应表</w:t>
      </w:r>
    </w:p>
    <w:p>
      <w:pPr>
        <w:ind w:firstLine="240"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单位名称（盖章）：</w:t>
      </w:r>
    </w:p>
    <w:tbl>
      <w:tblPr>
        <w:tblStyle w:val="56"/>
        <w:tblW w:w="0" w:type="auto"/>
        <w:tblInd w:w="275"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10"/>
        <w:gridCol w:w="3086"/>
        <w:gridCol w:w="3710"/>
        <w:gridCol w:w="132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tcPr>
          <w:p>
            <w:pPr>
              <w:spacing w:before="240" w:after="240"/>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序号</w:t>
            </w:r>
          </w:p>
        </w:tc>
        <w:tc>
          <w:tcPr>
            <w:tcW w:w="3086" w:type="dxa"/>
          </w:tcPr>
          <w:p>
            <w:pPr>
              <w:spacing w:before="240" w:after="240"/>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招标文件的规定</w:t>
            </w:r>
          </w:p>
        </w:tc>
        <w:tc>
          <w:tcPr>
            <w:tcW w:w="3710" w:type="dxa"/>
          </w:tcPr>
          <w:p>
            <w:pPr>
              <w:spacing w:before="240" w:after="240"/>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投标文件的响应</w:t>
            </w:r>
          </w:p>
        </w:tc>
        <w:tc>
          <w:tcPr>
            <w:tcW w:w="1320" w:type="dxa"/>
          </w:tcPr>
          <w:p>
            <w:pPr>
              <w:spacing w:before="240" w:after="240"/>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偏离说明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tcPr>
          <w:p>
            <w:pPr>
              <w:spacing w:before="240" w:after="240"/>
              <w:rPr>
                <w:rFonts w:asciiTheme="majorEastAsia" w:hAnsiTheme="majorEastAsia" w:eastAsiaTheme="majorEastAsia" w:cstheme="majorEastAsia"/>
                <w:szCs w:val="21"/>
              </w:rPr>
            </w:pPr>
          </w:p>
        </w:tc>
        <w:tc>
          <w:tcPr>
            <w:tcW w:w="3086" w:type="dxa"/>
          </w:tcPr>
          <w:p>
            <w:pPr>
              <w:spacing w:before="240" w:after="240"/>
              <w:rPr>
                <w:rFonts w:asciiTheme="majorEastAsia" w:hAnsiTheme="majorEastAsia" w:eastAsiaTheme="majorEastAsia" w:cstheme="majorEastAsia"/>
                <w:szCs w:val="21"/>
              </w:rPr>
            </w:pPr>
          </w:p>
        </w:tc>
        <w:tc>
          <w:tcPr>
            <w:tcW w:w="3710" w:type="dxa"/>
          </w:tcPr>
          <w:p>
            <w:pPr>
              <w:spacing w:before="240" w:after="240"/>
              <w:rPr>
                <w:rFonts w:asciiTheme="majorEastAsia" w:hAnsiTheme="majorEastAsia" w:eastAsiaTheme="majorEastAsia" w:cstheme="majorEastAsia"/>
                <w:szCs w:val="21"/>
              </w:rPr>
            </w:pPr>
          </w:p>
        </w:tc>
        <w:tc>
          <w:tcPr>
            <w:tcW w:w="1320" w:type="dxa"/>
          </w:tcPr>
          <w:p>
            <w:pPr>
              <w:spacing w:before="240" w:after="240"/>
              <w:rPr>
                <w:rFonts w:asciiTheme="majorEastAsia" w:hAnsiTheme="majorEastAsia" w:eastAsiaTheme="majorEastAsia" w:cstheme="majorEastAsia"/>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3" w:hRule="atLeast"/>
        </w:trPr>
        <w:tc>
          <w:tcPr>
            <w:tcW w:w="910" w:type="dxa"/>
          </w:tcPr>
          <w:p>
            <w:pPr>
              <w:spacing w:before="240" w:after="240"/>
              <w:rPr>
                <w:rFonts w:asciiTheme="majorEastAsia" w:hAnsiTheme="majorEastAsia" w:eastAsiaTheme="majorEastAsia" w:cstheme="majorEastAsia"/>
                <w:szCs w:val="21"/>
              </w:rPr>
            </w:pPr>
          </w:p>
        </w:tc>
        <w:tc>
          <w:tcPr>
            <w:tcW w:w="3086" w:type="dxa"/>
          </w:tcPr>
          <w:p>
            <w:pPr>
              <w:spacing w:before="240" w:after="240"/>
              <w:rPr>
                <w:rFonts w:asciiTheme="majorEastAsia" w:hAnsiTheme="majorEastAsia" w:eastAsiaTheme="majorEastAsia" w:cstheme="majorEastAsia"/>
                <w:szCs w:val="21"/>
              </w:rPr>
            </w:pPr>
          </w:p>
        </w:tc>
        <w:tc>
          <w:tcPr>
            <w:tcW w:w="3710" w:type="dxa"/>
          </w:tcPr>
          <w:p>
            <w:pPr>
              <w:spacing w:before="240" w:after="240"/>
              <w:rPr>
                <w:rFonts w:asciiTheme="majorEastAsia" w:hAnsiTheme="majorEastAsia" w:eastAsiaTheme="majorEastAsia" w:cstheme="majorEastAsia"/>
                <w:szCs w:val="21"/>
              </w:rPr>
            </w:pPr>
          </w:p>
        </w:tc>
        <w:tc>
          <w:tcPr>
            <w:tcW w:w="1320" w:type="dxa"/>
          </w:tcPr>
          <w:p>
            <w:pPr>
              <w:spacing w:before="240" w:after="240"/>
              <w:rPr>
                <w:rFonts w:asciiTheme="majorEastAsia" w:hAnsiTheme="majorEastAsia" w:eastAsiaTheme="majorEastAsia" w:cstheme="majorEastAsia"/>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tcPr>
          <w:p>
            <w:pPr>
              <w:spacing w:before="240" w:after="240"/>
              <w:rPr>
                <w:rFonts w:asciiTheme="majorEastAsia" w:hAnsiTheme="majorEastAsia" w:eastAsiaTheme="majorEastAsia" w:cstheme="majorEastAsia"/>
                <w:szCs w:val="21"/>
              </w:rPr>
            </w:pPr>
          </w:p>
        </w:tc>
        <w:tc>
          <w:tcPr>
            <w:tcW w:w="3086" w:type="dxa"/>
          </w:tcPr>
          <w:p>
            <w:pPr>
              <w:spacing w:before="240" w:after="240"/>
              <w:rPr>
                <w:rFonts w:asciiTheme="majorEastAsia" w:hAnsiTheme="majorEastAsia" w:eastAsiaTheme="majorEastAsia" w:cstheme="majorEastAsia"/>
                <w:szCs w:val="21"/>
              </w:rPr>
            </w:pPr>
          </w:p>
        </w:tc>
        <w:tc>
          <w:tcPr>
            <w:tcW w:w="3710" w:type="dxa"/>
          </w:tcPr>
          <w:p>
            <w:pPr>
              <w:spacing w:before="240" w:after="240"/>
              <w:rPr>
                <w:rFonts w:asciiTheme="majorEastAsia" w:hAnsiTheme="majorEastAsia" w:eastAsiaTheme="majorEastAsia" w:cstheme="majorEastAsia"/>
                <w:szCs w:val="21"/>
              </w:rPr>
            </w:pPr>
          </w:p>
        </w:tc>
        <w:tc>
          <w:tcPr>
            <w:tcW w:w="1320" w:type="dxa"/>
          </w:tcPr>
          <w:p>
            <w:pPr>
              <w:spacing w:before="240" w:after="240"/>
              <w:rPr>
                <w:rFonts w:asciiTheme="majorEastAsia" w:hAnsiTheme="majorEastAsia" w:eastAsiaTheme="majorEastAsia" w:cstheme="majorEastAsia"/>
                <w:szCs w:val="21"/>
              </w:rPr>
            </w:pPr>
          </w:p>
        </w:tc>
      </w:tr>
    </w:tbl>
    <w:p>
      <w:pPr>
        <w:spacing w:line="360" w:lineRule="auto"/>
        <w:rPr>
          <w:rFonts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注：投标供应商的投标文件（除技术规格部分）与招标文件之规定存在偏离的，应在此表中如实说明。未在上表中说明的，将被认为完全响应招标文件的规定。</w:t>
      </w:r>
    </w:p>
    <w:p>
      <w:pPr>
        <w:wordWrap w:val="0"/>
        <w:snapToGrid w:val="0"/>
        <w:spacing w:before="120" w:beforeLines="50" w:line="400" w:lineRule="exact"/>
        <w:ind w:firstLine="200"/>
        <w:jc w:val="right"/>
        <w:rPr>
          <w:rFonts w:asciiTheme="majorEastAsia" w:hAnsiTheme="majorEastAsia" w:eastAsiaTheme="majorEastAsia" w:cstheme="majorEastAsia"/>
          <w:szCs w:val="20"/>
          <w:u w:val="single"/>
        </w:rPr>
      </w:pPr>
      <w:r>
        <w:rPr>
          <w:rFonts w:hint="eastAsia" w:asciiTheme="majorEastAsia" w:hAnsiTheme="majorEastAsia" w:eastAsiaTheme="majorEastAsia" w:cstheme="majorEastAsia"/>
        </w:rPr>
        <w:t xml:space="preserve">法定代表人或被授权人签字（或盖章）：      </w:t>
      </w:r>
    </w:p>
    <w:p>
      <w:pPr>
        <w:snapToGrid w:val="0"/>
        <w:spacing w:before="120" w:beforeLines="50" w:line="400" w:lineRule="exact"/>
        <w:ind w:firstLine="3559" w:firstLineChars="1483"/>
        <w:rPr>
          <w:rFonts w:asciiTheme="majorEastAsia" w:hAnsiTheme="majorEastAsia" w:eastAsiaTheme="majorEastAsia" w:cstheme="majorEastAsia"/>
        </w:rPr>
      </w:pPr>
      <w:r>
        <w:rPr>
          <w:rFonts w:hint="eastAsia" w:asciiTheme="majorEastAsia" w:hAnsiTheme="majorEastAsia" w:eastAsiaTheme="majorEastAsia" w:cstheme="majorEastAsia"/>
        </w:rPr>
        <w:t>投标供应商名称（</w:t>
      </w:r>
      <w:r>
        <w:rPr>
          <w:rFonts w:hint="eastAsia" w:asciiTheme="majorEastAsia" w:hAnsiTheme="majorEastAsia" w:eastAsiaTheme="majorEastAsia" w:cstheme="majorEastAsia"/>
          <w:kern w:val="0"/>
          <w:lang w:val="zh-CN"/>
        </w:rPr>
        <w:t>盖章</w:t>
      </w:r>
      <w:r>
        <w:rPr>
          <w:rFonts w:hint="eastAsia" w:asciiTheme="majorEastAsia" w:hAnsiTheme="majorEastAsia" w:eastAsiaTheme="majorEastAsia" w:cstheme="majorEastAsia"/>
        </w:rPr>
        <w:t>）：</w:t>
      </w:r>
    </w:p>
    <w:p>
      <w:pPr>
        <w:snapToGrid w:val="0"/>
        <w:spacing w:before="120" w:beforeLines="50" w:line="400" w:lineRule="exact"/>
        <w:ind w:firstLine="3559" w:firstLineChars="1483"/>
        <w:rPr>
          <w:rFonts w:asciiTheme="majorEastAsia" w:hAnsiTheme="majorEastAsia" w:eastAsiaTheme="majorEastAsia" w:cstheme="majorEastAsia"/>
        </w:rPr>
      </w:pPr>
      <w:r>
        <w:rPr>
          <w:rFonts w:hint="eastAsia" w:asciiTheme="majorEastAsia" w:hAnsiTheme="majorEastAsia" w:eastAsiaTheme="majorEastAsia" w:cstheme="majorEastAsia"/>
        </w:rPr>
        <w:t>年   月  日</w:t>
      </w:r>
    </w:p>
    <w:p>
      <w:pPr>
        <w:jc w:val="center"/>
        <w:rPr>
          <w:rFonts w:asciiTheme="majorEastAsia" w:hAnsiTheme="majorEastAsia" w:eastAsiaTheme="majorEastAsia" w:cstheme="majorEastAsia"/>
          <w:b/>
          <w:kern w:val="0"/>
          <w:sz w:val="32"/>
          <w:szCs w:val="32"/>
        </w:rPr>
      </w:pPr>
    </w:p>
    <w:p>
      <w:pPr>
        <w:jc w:val="center"/>
        <w:rPr>
          <w:rFonts w:asciiTheme="majorEastAsia" w:hAnsiTheme="majorEastAsia" w:eastAsiaTheme="majorEastAsia" w:cstheme="majorEastAsia"/>
          <w:b/>
          <w:kern w:val="0"/>
          <w:sz w:val="32"/>
          <w:szCs w:val="32"/>
        </w:rPr>
      </w:pPr>
    </w:p>
    <w:p>
      <w:pPr>
        <w:jc w:val="center"/>
        <w:rPr>
          <w:rFonts w:asciiTheme="majorEastAsia" w:hAnsiTheme="majorEastAsia" w:eastAsiaTheme="majorEastAsia" w:cstheme="majorEastAsia"/>
          <w:b/>
          <w:kern w:val="0"/>
          <w:sz w:val="32"/>
          <w:szCs w:val="32"/>
        </w:rPr>
      </w:pPr>
    </w:p>
    <w:p>
      <w:pPr>
        <w:jc w:val="center"/>
        <w:rPr>
          <w:rFonts w:asciiTheme="majorEastAsia" w:hAnsiTheme="majorEastAsia" w:eastAsiaTheme="majorEastAsia" w:cstheme="majorEastAsia"/>
          <w:b/>
          <w:kern w:val="0"/>
          <w:sz w:val="32"/>
          <w:szCs w:val="32"/>
        </w:rPr>
      </w:pPr>
    </w:p>
    <w:p>
      <w:pPr>
        <w:pStyle w:val="7"/>
        <w:rPr>
          <w:rFonts w:asciiTheme="majorEastAsia" w:hAnsiTheme="majorEastAsia" w:eastAsiaTheme="majorEastAsia" w:cstheme="majorEastAsia"/>
          <w:sz w:val="32"/>
        </w:rPr>
      </w:pPr>
    </w:p>
    <w:p>
      <w:pPr>
        <w:jc w:val="center"/>
        <w:rPr>
          <w:rFonts w:asciiTheme="majorEastAsia" w:hAnsiTheme="majorEastAsia" w:eastAsiaTheme="majorEastAsia" w:cstheme="majorEastAsia"/>
          <w:b/>
          <w:kern w:val="0"/>
          <w:sz w:val="32"/>
          <w:szCs w:val="32"/>
        </w:rPr>
      </w:pPr>
      <w:r>
        <w:rPr>
          <w:rFonts w:hint="eastAsia" w:asciiTheme="majorEastAsia" w:hAnsiTheme="majorEastAsia" w:eastAsiaTheme="majorEastAsia" w:cstheme="majorEastAsia"/>
          <w:b/>
          <w:kern w:val="0"/>
          <w:sz w:val="32"/>
          <w:szCs w:val="32"/>
        </w:rPr>
        <w:br w:type="page"/>
      </w:r>
      <w:r>
        <w:rPr>
          <w:rFonts w:hint="eastAsia" w:asciiTheme="majorEastAsia" w:hAnsiTheme="majorEastAsia" w:eastAsiaTheme="majorEastAsia" w:cstheme="majorEastAsia"/>
          <w:b/>
          <w:kern w:val="0"/>
          <w:sz w:val="32"/>
          <w:szCs w:val="32"/>
        </w:rPr>
        <w:t>六、诚信承诺书</w:t>
      </w:r>
    </w:p>
    <w:p>
      <w:pPr>
        <w:spacing w:line="360" w:lineRule="auto"/>
        <w:jc w:val="center"/>
        <w:rPr>
          <w:rFonts w:asciiTheme="majorEastAsia" w:hAnsiTheme="majorEastAsia" w:eastAsiaTheme="majorEastAsia" w:cstheme="majorEastAsia"/>
          <w:b/>
          <w:sz w:val="28"/>
          <w:szCs w:val="28"/>
        </w:rPr>
      </w:pPr>
    </w:p>
    <w:p>
      <w:pPr>
        <w:tabs>
          <w:tab w:val="left" w:pos="6154"/>
        </w:tabs>
        <w:spacing w:line="360" w:lineRule="auto"/>
        <w:rPr>
          <w:rFonts w:asciiTheme="majorEastAsia" w:hAnsiTheme="majorEastAsia" w:eastAsiaTheme="majorEastAsia" w:cstheme="majorEastAsia"/>
        </w:rPr>
      </w:pPr>
      <w:r>
        <w:rPr>
          <w:rFonts w:hint="eastAsia" w:asciiTheme="majorEastAsia" w:hAnsiTheme="majorEastAsia" w:eastAsiaTheme="majorEastAsia" w:cstheme="majorEastAsia"/>
        </w:rPr>
        <w:t>致</w:t>
      </w:r>
      <w:r>
        <w:rPr>
          <w:rFonts w:hint="eastAsia" w:asciiTheme="majorEastAsia" w:hAnsiTheme="majorEastAsia" w:eastAsiaTheme="majorEastAsia" w:cstheme="majorEastAsia"/>
          <w:b/>
          <w:lang w:eastAsia="zh-CN"/>
        </w:rPr>
        <w:t>嘉兴市秀洲区人民政府高照街道办事处</w:t>
      </w:r>
      <w:r>
        <w:rPr>
          <w:rFonts w:hint="eastAsia" w:asciiTheme="majorEastAsia" w:hAnsiTheme="majorEastAsia" w:eastAsiaTheme="majorEastAsia" w:cstheme="majorEastAsia"/>
        </w:rPr>
        <w:t>：</w:t>
      </w:r>
      <w:r>
        <w:rPr>
          <w:rFonts w:hint="eastAsia" w:asciiTheme="majorEastAsia" w:hAnsiTheme="majorEastAsia" w:eastAsiaTheme="majorEastAsia" w:cstheme="majorEastAsia"/>
        </w:rPr>
        <w:tab/>
      </w:r>
    </w:p>
    <w:p>
      <w:pPr>
        <w:spacing w:line="360" w:lineRule="auto"/>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我方在参加贵单位的＿＿＿＿＿＿＿＿政府采购项目的招投标活动中，郑重承诺如下：</w:t>
      </w:r>
    </w:p>
    <w:p>
      <w:pPr>
        <w:spacing w:line="360" w:lineRule="auto"/>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1.我方申报的所有资料都是真实、准确、完整的；</w:t>
      </w:r>
    </w:p>
    <w:p>
      <w:pPr>
        <w:spacing w:line="360" w:lineRule="auto"/>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2.我方无资质挂靠情形，保证不参与串标、围标及抬标；</w:t>
      </w:r>
    </w:p>
    <w:p>
      <w:pPr>
        <w:spacing w:line="360" w:lineRule="auto"/>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3.我方未处于被各级行政主管部门做出停止市场行为处罚的期限内；</w:t>
      </w:r>
    </w:p>
    <w:p>
      <w:pPr>
        <w:spacing w:line="360" w:lineRule="auto"/>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4.我方参加本项目政府采购活动前3年内在经营活动中没有重大违法记录；</w:t>
      </w:r>
    </w:p>
    <w:p>
      <w:pPr>
        <w:spacing w:line="360" w:lineRule="auto"/>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5.若我方中标，将严格按照规定及时与采购人签订合同；</w:t>
      </w:r>
    </w:p>
    <w:p>
      <w:pPr>
        <w:spacing w:line="360" w:lineRule="auto"/>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6.若我方中标，将严格按照招标文件要求及投标文件承诺的报价、质量、工期、投标方案、项目负责人等内容组织实施；</w:t>
      </w:r>
    </w:p>
    <w:p>
      <w:pPr>
        <w:spacing w:line="360" w:lineRule="auto"/>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我方若违反上述承诺，隐瞒、提供虚假资料或不按招标文件要求组织实施或参与串标、抬标及围标等行为，被贵方发现或被他人举报查实，无条件接受采购人、行政监管部门作出的取消投标资格、中标资格、解除合同、拒绝后续政府采购投标、不良行为记录等的处罚。对造成的损失，任何法律和经济责任完全由我方负责。</w:t>
      </w:r>
    </w:p>
    <w:p>
      <w:pPr>
        <w:spacing w:line="360" w:lineRule="auto"/>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特此承诺。</w:t>
      </w:r>
    </w:p>
    <w:p>
      <w:pPr>
        <w:wordWrap w:val="0"/>
        <w:snapToGrid w:val="0"/>
        <w:spacing w:before="120" w:beforeLines="50" w:line="360" w:lineRule="auto"/>
        <w:ind w:firstLine="200"/>
        <w:jc w:val="right"/>
        <w:rPr>
          <w:rFonts w:asciiTheme="majorEastAsia" w:hAnsiTheme="majorEastAsia" w:eastAsiaTheme="majorEastAsia" w:cstheme="majorEastAsia"/>
          <w:szCs w:val="20"/>
          <w:u w:val="single"/>
        </w:rPr>
      </w:pPr>
      <w:r>
        <w:rPr>
          <w:rFonts w:hint="eastAsia" w:asciiTheme="majorEastAsia" w:hAnsiTheme="majorEastAsia" w:eastAsiaTheme="majorEastAsia" w:cstheme="majorEastAsia"/>
        </w:rPr>
        <w:t xml:space="preserve">法定代表人或被授权人签字（或盖章）：      </w:t>
      </w:r>
    </w:p>
    <w:p>
      <w:pPr>
        <w:spacing w:line="360" w:lineRule="auto"/>
        <w:ind w:firstLine="4920" w:firstLineChars="2050"/>
        <w:rPr>
          <w:rFonts w:asciiTheme="majorEastAsia" w:hAnsiTheme="majorEastAsia" w:eastAsiaTheme="majorEastAsia" w:cstheme="majorEastAsia"/>
        </w:rPr>
      </w:pPr>
      <w:r>
        <w:rPr>
          <w:rFonts w:hint="eastAsia" w:asciiTheme="majorEastAsia" w:hAnsiTheme="majorEastAsia" w:eastAsiaTheme="majorEastAsia" w:cstheme="majorEastAsia"/>
        </w:rPr>
        <w:t>投标供应商名称（</w:t>
      </w:r>
      <w:r>
        <w:rPr>
          <w:rFonts w:hint="eastAsia" w:asciiTheme="majorEastAsia" w:hAnsiTheme="majorEastAsia" w:eastAsiaTheme="majorEastAsia" w:cstheme="majorEastAsia"/>
          <w:kern w:val="0"/>
          <w:lang w:val="zh-CN"/>
        </w:rPr>
        <w:t>盖章</w:t>
      </w:r>
      <w:r>
        <w:rPr>
          <w:rFonts w:hint="eastAsia" w:asciiTheme="majorEastAsia" w:hAnsiTheme="majorEastAsia" w:eastAsiaTheme="majorEastAsia" w:cstheme="majorEastAsia"/>
        </w:rPr>
        <w:t>）：</w:t>
      </w:r>
    </w:p>
    <w:p>
      <w:pPr>
        <w:spacing w:line="360" w:lineRule="auto"/>
        <w:ind w:firstLine="4920" w:firstLineChars="2050"/>
        <w:rPr>
          <w:rFonts w:asciiTheme="majorEastAsia" w:hAnsiTheme="majorEastAsia" w:eastAsiaTheme="majorEastAsia" w:cstheme="majorEastAsia"/>
        </w:rPr>
      </w:pPr>
      <w:r>
        <w:rPr>
          <w:rFonts w:hint="eastAsia" w:asciiTheme="majorEastAsia" w:hAnsiTheme="majorEastAsia" w:eastAsiaTheme="majorEastAsia" w:cstheme="majorEastAsia"/>
        </w:rPr>
        <w:t>年    月    日</w:t>
      </w:r>
    </w:p>
    <w:p>
      <w:pPr>
        <w:jc w:val="center"/>
        <w:rPr>
          <w:rFonts w:asciiTheme="majorEastAsia" w:hAnsiTheme="majorEastAsia" w:eastAsiaTheme="majorEastAsia" w:cstheme="majorEastAsia"/>
          <w:b/>
          <w:kern w:val="0"/>
          <w:sz w:val="32"/>
          <w:szCs w:val="32"/>
        </w:rPr>
      </w:pPr>
    </w:p>
    <w:p>
      <w:pPr>
        <w:jc w:val="center"/>
        <w:rPr>
          <w:rFonts w:asciiTheme="majorEastAsia" w:hAnsiTheme="majorEastAsia" w:eastAsiaTheme="majorEastAsia" w:cstheme="majorEastAsia"/>
        </w:rPr>
      </w:pPr>
      <w:r>
        <w:rPr>
          <w:rFonts w:hint="eastAsia" w:asciiTheme="majorEastAsia" w:hAnsiTheme="majorEastAsia" w:eastAsiaTheme="majorEastAsia" w:cstheme="majorEastAsia"/>
          <w:b/>
          <w:kern w:val="0"/>
          <w:sz w:val="32"/>
          <w:szCs w:val="32"/>
        </w:rPr>
        <w:br w:type="page"/>
      </w:r>
      <w:r>
        <w:rPr>
          <w:rFonts w:hint="eastAsia" w:asciiTheme="majorEastAsia" w:hAnsiTheme="majorEastAsia" w:eastAsiaTheme="majorEastAsia" w:cstheme="majorEastAsia"/>
          <w:b/>
          <w:kern w:val="0"/>
          <w:sz w:val="32"/>
          <w:szCs w:val="32"/>
        </w:rPr>
        <w:t>七、评标标准相应的商务技术资料</w:t>
      </w:r>
    </w:p>
    <w:p>
      <w:pPr>
        <w:snapToGrid w:val="0"/>
        <w:spacing w:line="360" w:lineRule="auto"/>
        <w:jc w:val="center"/>
        <w:rPr>
          <w:rFonts w:asciiTheme="majorEastAsia" w:hAnsiTheme="majorEastAsia" w:eastAsiaTheme="majorEastAsia" w:cstheme="majorEastAsia"/>
          <w:b/>
        </w:rPr>
      </w:pPr>
      <w:r>
        <w:rPr>
          <w:rFonts w:hint="eastAsia" w:asciiTheme="majorEastAsia" w:hAnsiTheme="majorEastAsia" w:eastAsiaTheme="majorEastAsia" w:cstheme="majorEastAsia"/>
          <w:b/>
        </w:rPr>
        <w:t>（按招标文件第三章供应商须知中“投标文件的编制”提供资料，除以下投标文件格式外相关资料由供应商自拟。）</w:t>
      </w:r>
    </w:p>
    <w:p>
      <w:pPr>
        <w:jc w:val="center"/>
        <w:rPr>
          <w:rFonts w:asciiTheme="majorEastAsia" w:hAnsiTheme="majorEastAsia" w:eastAsiaTheme="majorEastAsia" w:cstheme="majorEastAsia"/>
          <w:b/>
          <w:kern w:val="0"/>
          <w:sz w:val="32"/>
          <w:szCs w:val="32"/>
        </w:rPr>
      </w:pPr>
    </w:p>
    <w:p>
      <w:pPr>
        <w:pStyle w:val="217"/>
        <w:spacing w:line="360" w:lineRule="auto"/>
        <w:rPr>
          <w:rFonts w:asciiTheme="majorEastAsia" w:hAnsiTheme="majorEastAsia" w:eastAsiaTheme="majorEastAsia" w:cstheme="majorEastAsia"/>
          <w:highlight w:val="yellow"/>
        </w:rPr>
      </w:pPr>
      <w:r>
        <w:rPr>
          <w:rFonts w:hint="eastAsia" w:asciiTheme="majorEastAsia" w:hAnsiTheme="majorEastAsia" w:eastAsiaTheme="majorEastAsia" w:cstheme="majorEastAsia"/>
          <w:b/>
          <w:sz w:val="24"/>
          <w:szCs w:val="24"/>
        </w:rPr>
        <w:t>1.同类项目业绩一览表</w:t>
      </w:r>
    </w:p>
    <w:p>
      <w:pPr>
        <w:pStyle w:val="217"/>
        <w:spacing w:line="360" w:lineRule="auto"/>
        <w:jc w:val="center"/>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同类项目业绩一览表</w:t>
      </w:r>
    </w:p>
    <w:tbl>
      <w:tblPr>
        <w:tblStyle w:val="5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3"/>
        <w:gridCol w:w="1578"/>
        <w:gridCol w:w="2003"/>
        <w:gridCol w:w="1798"/>
        <w:gridCol w:w="1291"/>
        <w:gridCol w:w="21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jc w:val="center"/>
        </w:trPr>
        <w:tc>
          <w:tcPr>
            <w:tcW w:w="833" w:type="dxa"/>
            <w:vAlign w:val="center"/>
          </w:tcPr>
          <w:p>
            <w:pPr>
              <w:spacing w:line="360" w:lineRule="auto"/>
              <w:jc w:val="center"/>
              <w:rPr>
                <w:rFonts w:asciiTheme="majorEastAsia" w:hAnsiTheme="majorEastAsia" w:eastAsiaTheme="majorEastAsia" w:cstheme="majorEastAsia"/>
                <w:b/>
              </w:rPr>
            </w:pPr>
            <w:r>
              <w:rPr>
                <w:rFonts w:hint="eastAsia" w:asciiTheme="majorEastAsia" w:hAnsiTheme="majorEastAsia" w:eastAsiaTheme="majorEastAsia" w:cstheme="majorEastAsia"/>
                <w:b/>
              </w:rPr>
              <w:t>序号</w:t>
            </w:r>
          </w:p>
        </w:tc>
        <w:tc>
          <w:tcPr>
            <w:tcW w:w="1578" w:type="dxa"/>
            <w:vAlign w:val="center"/>
          </w:tcPr>
          <w:p>
            <w:pPr>
              <w:spacing w:line="360" w:lineRule="auto"/>
              <w:jc w:val="center"/>
              <w:rPr>
                <w:rFonts w:asciiTheme="majorEastAsia" w:hAnsiTheme="majorEastAsia" w:eastAsiaTheme="majorEastAsia" w:cstheme="majorEastAsia"/>
                <w:b/>
              </w:rPr>
            </w:pPr>
            <w:r>
              <w:rPr>
                <w:rFonts w:hint="eastAsia" w:asciiTheme="majorEastAsia" w:hAnsiTheme="majorEastAsia" w:eastAsiaTheme="majorEastAsia" w:cstheme="majorEastAsia"/>
                <w:b/>
              </w:rPr>
              <w:t>采购人</w:t>
            </w:r>
            <w:r>
              <w:rPr>
                <w:rFonts w:hint="eastAsia" w:asciiTheme="majorEastAsia" w:hAnsiTheme="majorEastAsia" w:eastAsiaTheme="majorEastAsia" w:cstheme="majorEastAsia"/>
                <w:b/>
              </w:rPr>
              <w:br w:type="textWrapping"/>
            </w:r>
            <w:r>
              <w:rPr>
                <w:rFonts w:hint="eastAsia" w:asciiTheme="majorEastAsia" w:hAnsiTheme="majorEastAsia" w:eastAsiaTheme="majorEastAsia" w:cstheme="majorEastAsia"/>
                <w:b/>
              </w:rPr>
              <w:t>名  称</w:t>
            </w:r>
          </w:p>
        </w:tc>
        <w:tc>
          <w:tcPr>
            <w:tcW w:w="2003" w:type="dxa"/>
            <w:vAlign w:val="center"/>
          </w:tcPr>
          <w:p>
            <w:pPr>
              <w:tabs>
                <w:tab w:val="left" w:pos="6252"/>
              </w:tabs>
              <w:spacing w:line="360" w:lineRule="auto"/>
              <w:jc w:val="center"/>
              <w:rPr>
                <w:rFonts w:asciiTheme="majorEastAsia" w:hAnsiTheme="majorEastAsia" w:eastAsiaTheme="majorEastAsia" w:cstheme="majorEastAsia"/>
                <w:b/>
              </w:rPr>
            </w:pPr>
            <w:r>
              <w:rPr>
                <w:rFonts w:hint="eastAsia" w:asciiTheme="majorEastAsia" w:hAnsiTheme="majorEastAsia" w:eastAsiaTheme="majorEastAsia" w:cstheme="majorEastAsia"/>
                <w:b/>
              </w:rPr>
              <w:t>项目名称</w:t>
            </w:r>
          </w:p>
        </w:tc>
        <w:tc>
          <w:tcPr>
            <w:tcW w:w="1798" w:type="dxa"/>
            <w:vAlign w:val="center"/>
          </w:tcPr>
          <w:p>
            <w:pPr>
              <w:tabs>
                <w:tab w:val="left" w:pos="6252"/>
              </w:tabs>
              <w:spacing w:line="360" w:lineRule="auto"/>
              <w:jc w:val="center"/>
              <w:rPr>
                <w:rFonts w:asciiTheme="majorEastAsia" w:hAnsiTheme="majorEastAsia" w:eastAsiaTheme="majorEastAsia" w:cstheme="majorEastAsia"/>
                <w:b/>
              </w:rPr>
            </w:pPr>
            <w:r>
              <w:rPr>
                <w:rFonts w:hint="eastAsia" w:asciiTheme="majorEastAsia" w:hAnsiTheme="majorEastAsia" w:eastAsiaTheme="majorEastAsia" w:cstheme="majorEastAsia"/>
                <w:b/>
              </w:rPr>
              <w:t>项目起止时间</w:t>
            </w:r>
          </w:p>
        </w:tc>
        <w:tc>
          <w:tcPr>
            <w:tcW w:w="1291" w:type="dxa"/>
            <w:vAlign w:val="center"/>
          </w:tcPr>
          <w:p>
            <w:pPr>
              <w:tabs>
                <w:tab w:val="left" w:pos="6252"/>
              </w:tabs>
              <w:spacing w:line="360" w:lineRule="auto"/>
              <w:jc w:val="center"/>
              <w:rPr>
                <w:rFonts w:asciiTheme="majorEastAsia" w:hAnsiTheme="majorEastAsia" w:eastAsiaTheme="majorEastAsia" w:cstheme="majorEastAsia"/>
                <w:b/>
              </w:rPr>
            </w:pPr>
            <w:r>
              <w:rPr>
                <w:rFonts w:hint="eastAsia" w:asciiTheme="majorEastAsia" w:hAnsiTheme="majorEastAsia" w:eastAsiaTheme="majorEastAsia" w:cstheme="majorEastAsia"/>
                <w:b/>
              </w:rPr>
              <w:t>合同金额</w:t>
            </w:r>
          </w:p>
          <w:p>
            <w:pPr>
              <w:tabs>
                <w:tab w:val="left" w:pos="6252"/>
              </w:tabs>
              <w:spacing w:line="360" w:lineRule="auto"/>
              <w:jc w:val="center"/>
              <w:rPr>
                <w:rFonts w:asciiTheme="majorEastAsia" w:hAnsiTheme="majorEastAsia" w:eastAsiaTheme="majorEastAsia" w:cstheme="majorEastAsia"/>
                <w:b/>
              </w:rPr>
            </w:pPr>
            <w:r>
              <w:rPr>
                <w:rFonts w:hint="eastAsia" w:asciiTheme="majorEastAsia" w:hAnsiTheme="majorEastAsia" w:eastAsiaTheme="majorEastAsia" w:cstheme="majorEastAsia"/>
                <w:b/>
              </w:rPr>
              <w:t>（万元）</w:t>
            </w:r>
          </w:p>
        </w:tc>
        <w:tc>
          <w:tcPr>
            <w:tcW w:w="2193" w:type="dxa"/>
            <w:vAlign w:val="center"/>
          </w:tcPr>
          <w:p>
            <w:pPr>
              <w:tabs>
                <w:tab w:val="left" w:pos="6252"/>
              </w:tabs>
              <w:spacing w:line="360" w:lineRule="auto"/>
              <w:jc w:val="center"/>
              <w:rPr>
                <w:rFonts w:asciiTheme="majorEastAsia" w:hAnsiTheme="majorEastAsia" w:eastAsiaTheme="majorEastAsia" w:cstheme="majorEastAsia"/>
                <w:b/>
              </w:rPr>
            </w:pPr>
            <w:r>
              <w:rPr>
                <w:rFonts w:hint="eastAsia" w:asciiTheme="majorEastAsia" w:hAnsiTheme="majorEastAsia" w:eastAsiaTheme="majorEastAsia" w:cstheme="majorEastAsia"/>
                <w:b/>
              </w:rPr>
              <w:t>采购人联系人及联系电话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833" w:type="dxa"/>
            <w:vAlign w:val="center"/>
          </w:tcPr>
          <w:p>
            <w:pPr>
              <w:spacing w:line="360" w:lineRule="auto"/>
              <w:jc w:val="center"/>
              <w:rPr>
                <w:rFonts w:asciiTheme="majorEastAsia" w:hAnsiTheme="majorEastAsia" w:eastAsiaTheme="majorEastAsia" w:cstheme="majorEastAsia"/>
              </w:rPr>
            </w:pPr>
            <w:r>
              <w:rPr>
                <w:rFonts w:hint="eastAsia" w:asciiTheme="majorEastAsia" w:hAnsiTheme="majorEastAsia" w:eastAsiaTheme="majorEastAsia" w:cstheme="majorEastAsia"/>
              </w:rPr>
              <w:t>1</w:t>
            </w:r>
          </w:p>
        </w:tc>
        <w:tc>
          <w:tcPr>
            <w:tcW w:w="1578" w:type="dxa"/>
            <w:vAlign w:val="center"/>
          </w:tcPr>
          <w:p>
            <w:pPr>
              <w:spacing w:line="360" w:lineRule="auto"/>
              <w:jc w:val="center"/>
              <w:rPr>
                <w:rFonts w:asciiTheme="majorEastAsia" w:hAnsiTheme="majorEastAsia" w:eastAsiaTheme="majorEastAsia" w:cstheme="majorEastAsia"/>
              </w:rPr>
            </w:pPr>
          </w:p>
        </w:tc>
        <w:tc>
          <w:tcPr>
            <w:tcW w:w="2003" w:type="dxa"/>
          </w:tcPr>
          <w:p>
            <w:pPr>
              <w:spacing w:line="360" w:lineRule="auto"/>
              <w:jc w:val="center"/>
              <w:rPr>
                <w:rFonts w:asciiTheme="majorEastAsia" w:hAnsiTheme="majorEastAsia" w:eastAsiaTheme="majorEastAsia" w:cstheme="majorEastAsia"/>
              </w:rPr>
            </w:pPr>
          </w:p>
        </w:tc>
        <w:tc>
          <w:tcPr>
            <w:tcW w:w="1798" w:type="dxa"/>
          </w:tcPr>
          <w:p>
            <w:pPr>
              <w:spacing w:line="360" w:lineRule="auto"/>
              <w:jc w:val="center"/>
              <w:rPr>
                <w:rFonts w:asciiTheme="majorEastAsia" w:hAnsiTheme="majorEastAsia" w:eastAsiaTheme="majorEastAsia" w:cstheme="majorEastAsia"/>
              </w:rPr>
            </w:pPr>
          </w:p>
        </w:tc>
        <w:tc>
          <w:tcPr>
            <w:tcW w:w="1291" w:type="dxa"/>
            <w:vAlign w:val="center"/>
          </w:tcPr>
          <w:p>
            <w:pPr>
              <w:spacing w:line="360" w:lineRule="auto"/>
              <w:jc w:val="center"/>
              <w:rPr>
                <w:rFonts w:asciiTheme="majorEastAsia" w:hAnsiTheme="majorEastAsia" w:eastAsiaTheme="majorEastAsia" w:cstheme="majorEastAsia"/>
              </w:rPr>
            </w:pPr>
          </w:p>
        </w:tc>
        <w:tc>
          <w:tcPr>
            <w:tcW w:w="2193" w:type="dxa"/>
            <w:vAlign w:val="center"/>
          </w:tcPr>
          <w:p>
            <w:pPr>
              <w:spacing w:line="360" w:lineRule="auto"/>
              <w:jc w:val="center"/>
              <w:rPr>
                <w:rFonts w:asciiTheme="majorEastAsia" w:hAnsiTheme="majorEastAsia" w:eastAsiaTheme="majorEastAsia" w:cstheme="maj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33" w:type="dxa"/>
            <w:vAlign w:val="center"/>
          </w:tcPr>
          <w:p>
            <w:pPr>
              <w:spacing w:line="360" w:lineRule="auto"/>
              <w:jc w:val="center"/>
              <w:rPr>
                <w:rFonts w:asciiTheme="majorEastAsia" w:hAnsiTheme="majorEastAsia" w:eastAsiaTheme="majorEastAsia" w:cstheme="majorEastAsia"/>
              </w:rPr>
            </w:pPr>
            <w:r>
              <w:rPr>
                <w:rFonts w:hint="eastAsia" w:asciiTheme="majorEastAsia" w:hAnsiTheme="majorEastAsia" w:eastAsiaTheme="majorEastAsia" w:cstheme="majorEastAsia"/>
              </w:rPr>
              <w:t>2</w:t>
            </w:r>
          </w:p>
        </w:tc>
        <w:tc>
          <w:tcPr>
            <w:tcW w:w="1578" w:type="dxa"/>
            <w:vAlign w:val="center"/>
          </w:tcPr>
          <w:p>
            <w:pPr>
              <w:spacing w:line="360" w:lineRule="auto"/>
              <w:jc w:val="center"/>
              <w:rPr>
                <w:rFonts w:asciiTheme="majorEastAsia" w:hAnsiTheme="majorEastAsia" w:eastAsiaTheme="majorEastAsia" w:cstheme="majorEastAsia"/>
              </w:rPr>
            </w:pPr>
          </w:p>
        </w:tc>
        <w:tc>
          <w:tcPr>
            <w:tcW w:w="2003" w:type="dxa"/>
          </w:tcPr>
          <w:p>
            <w:pPr>
              <w:spacing w:line="360" w:lineRule="auto"/>
              <w:jc w:val="center"/>
              <w:rPr>
                <w:rFonts w:asciiTheme="majorEastAsia" w:hAnsiTheme="majorEastAsia" w:eastAsiaTheme="majorEastAsia" w:cstheme="majorEastAsia"/>
              </w:rPr>
            </w:pPr>
          </w:p>
        </w:tc>
        <w:tc>
          <w:tcPr>
            <w:tcW w:w="1798" w:type="dxa"/>
          </w:tcPr>
          <w:p>
            <w:pPr>
              <w:spacing w:line="360" w:lineRule="auto"/>
              <w:jc w:val="center"/>
              <w:rPr>
                <w:rFonts w:asciiTheme="majorEastAsia" w:hAnsiTheme="majorEastAsia" w:eastAsiaTheme="majorEastAsia" w:cstheme="majorEastAsia"/>
              </w:rPr>
            </w:pPr>
          </w:p>
        </w:tc>
        <w:tc>
          <w:tcPr>
            <w:tcW w:w="1291" w:type="dxa"/>
            <w:vAlign w:val="center"/>
          </w:tcPr>
          <w:p>
            <w:pPr>
              <w:spacing w:line="360" w:lineRule="auto"/>
              <w:jc w:val="center"/>
              <w:rPr>
                <w:rFonts w:asciiTheme="majorEastAsia" w:hAnsiTheme="majorEastAsia" w:eastAsiaTheme="majorEastAsia" w:cstheme="majorEastAsia"/>
              </w:rPr>
            </w:pPr>
          </w:p>
        </w:tc>
        <w:tc>
          <w:tcPr>
            <w:tcW w:w="2193" w:type="dxa"/>
            <w:vAlign w:val="center"/>
          </w:tcPr>
          <w:p>
            <w:pPr>
              <w:spacing w:line="360" w:lineRule="auto"/>
              <w:jc w:val="center"/>
              <w:rPr>
                <w:rFonts w:asciiTheme="majorEastAsia" w:hAnsiTheme="majorEastAsia" w:eastAsiaTheme="majorEastAsia" w:cstheme="maj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833" w:type="dxa"/>
            <w:vAlign w:val="center"/>
          </w:tcPr>
          <w:p>
            <w:pPr>
              <w:spacing w:line="360" w:lineRule="auto"/>
              <w:jc w:val="center"/>
              <w:rPr>
                <w:rFonts w:asciiTheme="majorEastAsia" w:hAnsiTheme="majorEastAsia" w:eastAsiaTheme="majorEastAsia" w:cstheme="majorEastAsia"/>
              </w:rPr>
            </w:pPr>
            <w:r>
              <w:rPr>
                <w:rFonts w:hint="eastAsia" w:asciiTheme="majorEastAsia" w:hAnsiTheme="majorEastAsia" w:eastAsiaTheme="majorEastAsia" w:cstheme="majorEastAsia"/>
              </w:rPr>
              <w:t>……</w:t>
            </w:r>
          </w:p>
        </w:tc>
        <w:tc>
          <w:tcPr>
            <w:tcW w:w="1578" w:type="dxa"/>
            <w:vAlign w:val="center"/>
          </w:tcPr>
          <w:p>
            <w:pPr>
              <w:spacing w:line="360" w:lineRule="auto"/>
              <w:jc w:val="center"/>
              <w:rPr>
                <w:rFonts w:asciiTheme="majorEastAsia" w:hAnsiTheme="majorEastAsia" w:eastAsiaTheme="majorEastAsia" w:cstheme="majorEastAsia"/>
              </w:rPr>
            </w:pPr>
          </w:p>
        </w:tc>
        <w:tc>
          <w:tcPr>
            <w:tcW w:w="2003" w:type="dxa"/>
          </w:tcPr>
          <w:p>
            <w:pPr>
              <w:spacing w:line="360" w:lineRule="auto"/>
              <w:jc w:val="center"/>
              <w:rPr>
                <w:rFonts w:asciiTheme="majorEastAsia" w:hAnsiTheme="majorEastAsia" w:eastAsiaTheme="majorEastAsia" w:cstheme="majorEastAsia"/>
              </w:rPr>
            </w:pPr>
          </w:p>
        </w:tc>
        <w:tc>
          <w:tcPr>
            <w:tcW w:w="1798" w:type="dxa"/>
          </w:tcPr>
          <w:p>
            <w:pPr>
              <w:spacing w:line="360" w:lineRule="auto"/>
              <w:jc w:val="center"/>
              <w:rPr>
                <w:rFonts w:asciiTheme="majorEastAsia" w:hAnsiTheme="majorEastAsia" w:eastAsiaTheme="majorEastAsia" w:cstheme="majorEastAsia"/>
              </w:rPr>
            </w:pPr>
          </w:p>
        </w:tc>
        <w:tc>
          <w:tcPr>
            <w:tcW w:w="1291" w:type="dxa"/>
            <w:vAlign w:val="center"/>
          </w:tcPr>
          <w:p>
            <w:pPr>
              <w:spacing w:line="360" w:lineRule="auto"/>
              <w:jc w:val="center"/>
              <w:rPr>
                <w:rFonts w:asciiTheme="majorEastAsia" w:hAnsiTheme="majorEastAsia" w:eastAsiaTheme="majorEastAsia" w:cstheme="majorEastAsia"/>
              </w:rPr>
            </w:pPr>
          </w:p>
        </w:tc>
        <w:tc>
          <w:tcPr>
            <w:tcW w:w="2193" w:type="dxa"/>
            <w:vAlign w:val="center"/>
          </w:tcPr>
          <w:p>
            <w:pPr>
              <w:spacing w:line="360" w:lineRule="auto"/>
              <w:jc w:val="center"/>
              <w:rPr>
                <w:rFonts w:asciiTheme="majorEastAsia" w:hAnsiTheme="majorEastAsia" w:eastAsiaTheme="majorEastAsia" w:cstheme="majorEastAsia"/>
              </w:rPr>
            </w:pPr>
          </w:p>
        </w:tc>
      </w:tr>
    </w:tbl>
    <w:p>
      <w:pPr>
        <w:pStyle w:val="217"/>
        <w:spacing w:line="360" w:lineRule="auto"/>
        <w:jc w:val="center"/>
        <w:rPr>
          <w:rFonts w:asciiTheme="majorEastAsia" w:hAnsiTheme="majorEastAsia" w:eastAsiaTheme="majorEastAsia" w:cstheme="majorEastAsia"/>
          <w:b/>
          <w:sz w:val="24"/>
          <w:szCs w:val="24"/>
        </w:rPr>
      </w:pPr>
    </w:p>
    <w:p>
      <w:pPr>
        <w:snapToGrid w:val="0"/>
        <w:spacing w:before="120" w:beforeLines="50" w:line="400" w:lineRule="exact"/>
        <w:ind w:firstLine="200"/>
        <w:rPr>
          <w:rFonts w:asciiTheme="majorEastAsia" w:hAnsiTheme="majorEastAsia" w:eastAsiaTheme="majorEastAsia" w:cstheme="majorEastAsia"/>
          <w:highlight w:val="yellow"/>
        </w:rPr>
      </w:pPr>
      <w:r>
        <w:rPr>
          <w:rFonts w:hint="eastAsia" w:asciiTheme="majorEastAsia" w:hAnsiTheme="majorEastAsia" w:eastAsiaTheme="majorEastAsia" w:cstheme="majorEastAsia"/>
          <w:b/>
          <w:szCs w:val="21"/>
        </w:rPr>
        <w:t>注：</w:t>
      </w:r>
      <w:r>
        <w:rPr>
          <w:rFonts w:hint="eastAsia" w:asciiTheme="majorEastAsia" w:hAnsiTheme="majorEastAsia" w:eastAsiaTheme="majorEastAsia" w:cstheme="majorEastAsia"/>
        </w:rPr>
        <w:t>须同时提供合同、验收报告等证明材料。</w:t>
      </w:r>
    </w:p>
    <w:p>
      <w:pPr>
        <w:pStyle w:val="6"/>
        <w:rPr>
          <w:rFonts w:asciiTheme="majorEastAsia" w:hAnsiTheme="majorEastAsia" w:eastAsiaTheme="majorEastAsia" w:cstheme="majorEastAsia"/>
        </w:rPr>
      </w:pPr>
    </w:p>
    <w:p>
      <w:pPr>
        <w:wordWrap w:val="0"/>
        <w:snapToGrid w:val="0"/>
        <w:spacing w:before="120" w:beforeLines="50" w:line="360" w:lineRule="auto"/>
        <w:ind w:firstLine="200"/>
        <w:jc w:val="right"/>
        <w:rPr>
          <w:rFonts w:asciiTheme="majorEastAsia" w:hAnsiTheme="majorEastAsia" w:eastAsiaTheme="majorEastAsia" w:cstheme="majorEastAsia"/>
          <w:szCs w:val="20"/>
          <w:u w:val="single"/>
        </w:rPr>
      </w:pPr>
      <w:r>
        <w:rPr>
          <w:rFonts w:hint="eastAsia" w:asciiTheme="majorEastAsia" w:hAnsiTheme="majorEastAsia" w:eastAsiaTheme="majorEastAsia" w:cstheme="majorEastAsia"/>
        </w:rPr>
        <w:t xml:space="preserve">   法定代表人或被授权人签字（或盖章）：      </w:t>
      </w:r>
    </w:p>
    <w:p>
      <w:pPr>
        <w:pStyle w:val="217"/>
        <w:spacing w:line="360" w:lineRule="auto"/>
        <w:jc w:val="center"/>
        <w:rPr>
          <w:rFonts w:asciiTheme="majorEastAsia" w:hAnsiTheme="majorEastAsia" w:eastAsiaTheme="majorEastAsia" w:cstheme="majorEastAsia"/>
        </w:rPr>
      </w:pPr>
      <w:r>
        <w:rPr>
          <w:rFonts w:hint="eastAsia" w:asciiTheme="majorEastAsia" w:hAnsiTheme="majorEastAsia" w:eastAsiaTheme="majorEastAsia" w:cstheme="majorEastAsia"/>
        </w:rPr>
        <w:t xml:space="preserve">              </w:t>
      </w:r>
      <w:r>
        <w:rPr>
          <w:rFonts w:asciiTheme="majorEastAsia" w:hAnsiTheme="majorEastAsia" w:eastAsiaTheme="majorEastAsia" w:cstheme="majorEastAsia"/>
        </w:rPr>
        <w:t xml:space="preserve">         </w:t>
      </w:r>
      <w:r>
        <w:rPr>
          <w:rFonts w:hint="eastAsia" w:asciiTheme="majorEastAsia" w:hAnsiTheme="majorEastAsia" w:eastAsiaTheme="majorEastAsia" w:cstheme="majorEastAsia"/>
        </w:rPr>
        <w:t>投标供应商名称（</w:t>
      </w:r>
      <w:r>
        <w:rPr>
          <w:rFonts w:hint="eastAsia" w:asciiTheme="majorEastAsia" w:hAnsiTheme="majorEastAsia" w:eastAsiaTheme="majorEastAsia" w:cstheme="majorEastAsia"/>
          <w:kern w:val="0"/>
          <w:lang w:val="zh-CN"/>
        </w:rPr>
        <w:t>盖章</w:t>
      </w:r>
      <w:r>
        <w:rPr>
          <w:rFonts w:hint="eastAsia" w:asciiTheme="majorEastAsia" w:hAnsiTheme="majorEastAsia" w:eastAsiaTheme="majorEastAsia" w:cstheme="majorEastAsia"/>
        </w:rPr>
        <w:t>）：</w:t>
      </w:r>
    </w:p>
    <w:p>
      <w:pPr>
        <w:pStyle w:val="217"/>
        <w:spacing w:line="360" w:lineRule="auto"/>
        <w:jc w:val="center"/>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xml:space="preserve">     </w:t>
      </w:r>
      <w:r>
        <w:rPr>
          <w:rFonts w:asciiTheme="majorEastAsia" w:hAnsiTheme="majorEastAsia" w:eastAsiaTheme="majorEastAsia" w:cstheme="majorEastAsia"/>
          <w:sz w:val="24"/>
          <w:szCs w:val="24"/>
        </w:rPr>
        <w:t xml:space="preserve">                                         </w:t>
      </w:r>
      <w:r>
        <w:rPr>
          <w:rFonts w:hint="eastAsia" w:asciiTheme="majorEastAsia" w:hAnsiTheme="majorEastAsia" w:eastAsiaTheme="majorEastAsia" w:cstheme="majorEastAsia"/>
          <w:sz w:val="24"/>
          <w:szCs w:val="24"/>
        </w:rPr>
        <w:t xml:space="preserve"> 年 月 日</w:t>
      </w:r>
    </w:p>
    <w:p>
      <w:pPr>
        <w:snapToGrid w:val="0"/>
        <w:spacing w:before="120" w:beforeLines="50" w:after="50" w:line="400" w:lineRule="exact"/>
        <w:ind w:firstLine="241" w:firstLineChars="100"/>
        <w:rPr>
          <w:rFonts w:asciiTheme="majorEastAsia" w:hAnsiTheme="majorEastAsia" w:eastAsiaTheme="majorEastAsia" w:cstheme="majorEastAsia"/>
        </w:rPr>
      </w:pPr>
      <w:r>
        <w:rPr>
          <w:rFonts w:hint="eastAsia" w:asciiTheme="majorEastAsia" w:hAnsiTheme="majorEastAsia" w:eastAsiaTheme="majorEastAsia" w:cstheme="majorEastAsia"/>
          <w:b/>
        </w:rPr>
        <w:br w:type="page"/>
      </w:r>
    </w:p>
    <w:p>
      <w:pPr>
        <w:snapToGrid w:val="0"/>
        <w:spacing w:before="120" w:beforeLines="50" w:after="50" w:line="400" w:lineRule="exact"/>
        <w:ind w:firstLine="240" w:firstLineChars="100"/>
        <w:rPr>
          <w:rFonts w:asciiTheme="majorEastAsia" w:hAnsiTheme="majorEastAsia" w:eastAsiaTheme="majorEastAsia" w:cstheme="majorEastAsia"/>
        </w:rPr>
      </w:pPr>
    </w:p>
    <w:p>
      <w:pPr>
        <w:spacing w:line="360" w:lineRule="auto"/>
        <w:rPr>
          <w:rFonts w:asciiTheme="majorEastAsia" w:hAnsiTheme="majorEastAsia" w:eastAsiaTheme="majorEastAsia" w:cstheme="majorEastAsia"/>
          <w:b/>
        </w:rPr>
      </w:pPr>
      <w:r>
        <w:rPr>
          <w:rFonts w:hint="eastAsia" w:asciiTheme="majorEastAsia" w:hAnsiTheme="majorEastAsia" w:eastAsiaTheme="majorEastAsia" w:cstheme="majorEastAsia"/>
          <w:b/>
        </w:rPr>
        <w:t>2、提供服务的设备详细清单（不含报价）</w:t>
      </w:r>
    </w:p>
    <w:p>
      <w:pPr>
        <w:spacing w:line="360" w:lineRule="auto"/>
        <w:ind w:firstLine="562" w:firstLineChars="200"/>
        <w:jc w:val="center"/>
        <w:rPr>
          <w:rFonts w:asciiTheme="majorEastAsia" w:hAnsiTheme="majorEastAsia" w:eastAsiaTheme="majorEastAsia" w:cstheme="majorEastAsia"/>
          <w:b/>
          <w:sz w:val="28"/>
          <w:szCs w:val="28"/>
        </w:rPr>
      </w:pPr>
      <w:r>
        <w:rPr>
          <w:rFonts w:hint="eastAsia" w:asciiTheme="majorEastAsia" w:hAnsiTheme="majorEastAsia" w:eastAsiaTheme="majorEastAsia" w:cstheme="majorEastAsia"/>
          <w:b/>
          <w:sz w:val="28"/>
          <w:szCs w:val="28"/>
        </w:rPr>
        <w:t>设备详细清单</w:t>
      </w:r>
    </w:p>
    <w:p>
      <w:pPr>
        <w:spacing w:line="360" w:lineRule="auto"/>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填表说明：详细列明所投项目主要设备清单，完整配置方案及技术指标，项目的核心产品必须明确所投品牌、规格型号及具体技术指标。任何含糊不清的表述对评标结果的影响将是供应商的责任，可附具体的介绍图文资料。▲以下内容不得含有报价。</w:t>
      </w:r>
    </w:p>
    <w:tbl>
      <w:tblPr>
        <w:tblStyle w:val="5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5"/>
        <w:gridCol w:w="1431"/>
        <w:gridCol w:w="864"/>
        <w:gridCol w:w="773"/>
        <w:gridCol w:w="1276"/>
        <w:gridCol w:w="992"/>
        <w:gridCol w:w="27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525" w:type="dxa"/>
            <w:vAlign w:val="center"/>
          </w:tcPr>
          <w:p>
            <w:pPr>
              <w:jc w:val="center"/>
              <w:rPr>
                <w:rFonts w:asciiTheme="majorEastAsia" w:hAnsiTheme="majorEastAsia" w:eastAsiaTheme="majorEastAsia" w:cstheme="majorEastAsia"/>
              </w:rPr>
            </w:pPr>
            <w:r>
              <w:rPr>
                <w:rFonts w:hint="eastAsia" w:asciiTheme="majorEastAsia" w:hAnsiTheme="majorEastAsia" w:eastAsiaTheme="majorEastAsia" w:cstheme="majorEastAsia"/>
              </w:rPr>
              <w:t>序号</w:t>
            </w:r>
          </w:p>
        </w:tc>
        <w:tc>
          <w:tcPr>
            <w:tcW w:w="1431" w:type="dxa"/>
            <w:vAlign w:val="center"/>
          </w:tcPr>
          <w:p>
            <w:pPr>
              <w:jc w:val="center"/>
              <w:rPr>
                <w:rFonts w:asciiTheme="majorEastAsia" w:hAnsiTheme="majorEastAsia" w:eastAsiaTheme="majorEastAsia" w:cstheme="majorEastAsia"/>
              </w:rPr>
            </w:pPr>
            <w:r>
              <w:rPr>
                <w:rFonts w:hint="eastAsia" w:asciiTheme="majorEastAsia" w:hAnsiTheme="majorEastAsia" w:eastAsiaTheme="majorEastAsia" w:cstheme="majorEastAsia"/>
              </w:rPr>
              <w:t>设备名称（服务名称）</w:t>
            </w:r>
          </w:p>
        </w:tc>
        <w:tc>
          <w:tcPr>
            <w:tcW w:w="864" w:type="dxa"/>
            <w:vAlign w:val="center"/>
          </w:tcPr>
          <w:p>
            <w:pPr>
              <w:jc w:val="center"/>
              <w:rPr>
                <w:rFonts w:asciiTheme="majorEastAsia" w:hAnsiTheme="majorEastAsia" w:eastAsiaTheme="majorEastAsia" w:cstheme="majorEastAsia"/>
              </w:rPr>
            </w:pPr>
            <w:r>
              <w:rPr>
                <w:rFonts w:hint="eastAsia" w:asciiTheme="majorEastAsia" w:hAnsiTheme="majorEastAsia" w:eastAsiaTheme="majorEastAsia" w:cstheme="majorEastAsia"/>
              </w:rPr>
              <w:t>数量</w:t>
            </w:r>
          </w:p>
        </w:tc>
        <w:tc>
          <w:tcPr>
            <w:tcW w:w="773" w:type="dxa"/>
            <w:vAlign w:val="center"/>
          </w:tcPr>
          <w:p>
            <w:pPr>
              <w:jc w:val="center"/>
              <w:rPr>
                <w:rFonts w:asciiTheme="majorEastAsia" w:hAnsiTheme="majorEastAsia" w:eastAsiaTheme="majorEastAsia" w:cstheme="majorEastAsia"/>
              </w:rPr>
            </w:pPr>
            <w:r>
              <w:rPr>
                <w:rFonts w:hint="eastAsia" w:asciiTheme="majorEastAsia" w:hAnsiTheme="majorEastAsia" w:eastAsiaTheme="majorEastAsia" w:cstheme="majorEastAsia"/>
              </w:rPr>
              <w:t>品牌</w:t>
            </w:r>
          </w:p>
        </w:tc>
        <w:tc>
          <w:tcPr>
            <w:tcW w:w="1276" w:type="dxa"/>
            <w:vAlign w:val="center"/>
          </w:tcPr>
          <w:p>
            <w:pPr>
              <w:jc w:val="center"/>
              <w:rPr>
                <w:rFonts w:asciiTheme="majorEastAsia" w:hAnsiTheme="majorEastAsia" w:eastAsiaTheme="majorEastAsia" w:cstheme="majorEastAsia"/>
              </w:rPr>
            </w:pPr>
            <w:r>
              <w:rPr>
                <w:rFonts w:hint="eastAsia" w:asciiTheme="majorEastAsia" w:hAnsiTheme="majorEastAsia" w:eastAsiaTheme="majorEastAsia" w:cstheme="majorEastAsia"/>
              </w:rPr>
              <w:t>规格型号</w:t>
            </w:r>
          </w:p>
        </w:tc>
        <w:tc>
          <w:tcPr>
            <w:tcW w:w="992" w:type="dxa"/>
            <w:vAlign w:val="center"/>
          </w:tcPr>
          <w:p>
            <w:pPr>
              <w:jc w:val="center"/>
              <w:rPr>
                <w:rFonts w:asciiTheme="majorEastAsia" w:hAnsiTheme="majorEastAsia" w:eastAsiaTheme="majorEastAsia" w:cstheme="majorEastAsia"/>
              </w:rPr>
            </w:pPr>
            <w:r>
              <w:rPr>
                <w:rFonts w:hint="eastAsia" w:asciiTheme="majorEastAsia" w:hAnsiTheme="majorEastAsia" w:eastAsiaTheme="majorEastAsia" w:cstheme="majorEastAsia"/>
              </w:rPr>
              <w:t>制造商</w:t>
            </w:r>
          </w:p>
        </w:tc>
        <w:tc>
          <w:tcPr>
            <w:tcW w:w="2714" w:type="dxa"/>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制造商是否属于小型企业、微型企业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525" w:type="dxa"/>
            <w:vAlign w:val="center"/>
          </w:tcPr>
          <w:p>
            <w:pPr>
              <w:jc w:val="center"/>
              <w:rPr>
                <w:rFonts w:asciiTheme="majorEastAsia" w:hAnsiTheme="majorEastAsia" w:eastAsiaTheme="majorEastAsia" w:cstheme="majorEastAsia"/>
              </w:rPr>
            </w:pPr>
            <w:r>
              <w:rPr>
                <w:rFonts w:hint="eastAsia" w:asciiTheme="majorEastAsia" w:hAnsiTheme="majorEastAsia" w:eastAsiaTheme="majorEastAsia" w:cstheme="majorEastAsia"/>
              </w:rPr>
              <w:t>1</w:t>
            </w:r>
          </w:p>
        </w:tc>
        <w:tc>
          <w:tcPr>
            <w:tcW w:w="1431" w:type="dxa"/>
            <w:vAlign w:val="center"/>
          </w:tcPr>
          <w:p>
            <w:pPr>
              <w:jc w:val="center"/>
              <w:rPr>
                <w:rFonts w:asciiTheme="majorEastAsia" w:hAnsiTheme="majorEastAsia" w:eastAsiaTheme="majorEastAsia" w:cstheme="majorEastAsia"/>
              </w:rPr>
            </w:pPr>
          </w:p>
        </w:tc>
        <w:tc>
          <w:tcPr>
            <w:tcW w:w="864" w:type="dxa"/>
            <w:vAlign w:val="center"/>
          </w:tcPr>
          <w:p>
            <w:pPr>
              <w:jc w:val="center"/>
              <w:rPr>
                <w:rFonts w:asciiTheme="majorEastAsia" w:hAnsiTheme="majorEastAsia" w:eastAsiaTheme="majorEastAsia" w:cstheme="majorEastAsia"/>
              </w:rPr>
            </w:pPr>
          </w:p>
        </w:tc>
        <w:tc>
          <w:tcPr>
            <w:tcW w:w="773" w:type="dxa"/>
            <w:vAlign w:val="center"/>
          </w:tcPr>
          <w:p>
            <w:pPr>
              <w:jc w:val="center"/>
              <w:rPr>
                <w:rFonts w:asciiTheme="majorEastAsia" w:hAnsiTheme="majorEastAsia" w:eastAsiaTheme="majorEastAsia" w:cstheme="majorEastAsia"/>
              </w:rPr>
            </w:pPr>
          </w:p>
        </w:tc>
        <w:tc>
          <w:tcPr>
            <w:tcW w:w="1276" w:type="dxa"/>
            <w:vAlign w:val="center"/>
          </w:tcPr>
          <w:p>
            <w:pPr>
              <w:jc w:val="center"/>
              <w:rPr>
                <w:rFonts w:asciiTheme="majorEastAsia" w:hAnsiTheme="majorEastAsia" w:eastAsiaTheme="majorEastAsia" w:cstheme="majorEastAsia"/>
              </w:rPr>
            </w:pPr>
          </w:p>
        </w:tc>
        <w:tc>
          <w:tcPr>
            <w:tcW w:w="992" w:type="dxa"/>
            <w:vAlign w:val="center"/>
          </w:tcPr>
          <w:p>
            <w:pPr>
              <w:jc w:val="center"/>
              <w:rPr>
                <w:rFonts w:asciiTheme="majorEastAsia" w:hAnsiTheme="majorEastAsia" w:eastAsiaTheme="majorEastAsia" w:cstheme="majorEastAsia"/>
              </w:rPr>
            </w:pPr>
          </w:p>
        </w:tc>
        <w:tc>
          <w:tcPr>
            <w:tcW w:w="2714" w:type="dxa"/>
          </w:tcPr>
          <w:p>
            <w:pPr>
              <w:jc w:val="center"/>
              <w:rPr>
                <w:rFonts w:asciiTheme="majorEastAsia" w:hAnsiTheme="majorEastAsia" w:eastAsiaTheme="majorEastAsia" w:cstheme="maj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525" w:type="dxa"/>
            <w:vAlign w:val="center"/>
          </w:tcPr>
          <w:p>
            <w:pPr>
              <w:jc w:val="center"/>
              <w:rPr>
                <w:rFonts w:asciiTheme="majorEastAsia" w:hAnsiTheme="majorEastAsia" w:eastAsiaTheme="majorEastAsia" w:cstheme="majorEastAsia"/>
              </w:rPr>
            </w:pPr>
            <w:r>
              <w:rPr>
                <w:rFonts w:hint="eastAsia" w:asciiTheme="majorEastAsia" w:hAnsiTheme="majorEastAsia" w:eastAsiaTheme="majorEastAsia" w:cstheme="majorEastAsia"/>
              </w:rPr>
              <w:t>2</w:t>
            </w:r>
          </w:p>
        </w:tc>
        <w:tc>
          <w:tcPr>
            <w:tcW w:w="1431" w:type="dxa"/>
            <w:vAlign w:val="center"/>
          </w:tcPr>
          <w:p>
            <w:pPr>
              <w:jc w:val="center"/>
              <w:rPr>
                <w:rFonts w:asciiTheme="majorEastAsia" w:hAnsiTheme="majorEastAsia" w:eastAsiaTheme="majorEastAsia" w:cstheme="majorEastAsia"/>
              </w:rPr>
            </w:pPr>
          </w:p>
        </w:tc>
        <w:tc>
          <w:tcPr>
            <w:tcW w:w="864" w:type="dxa"/>
            <w:vAlign w:val="center"/>
          </w:tcPr>
          <w:p>
            <w:pPr>
              <w:jc w:val="center"/>
              <w:rPr>
                <w:rFonts w:asciiTheme="majorEastAsia" w:hAnsiTheme="majorEastAsia" w:eastAsiaTheme="majorEastAsia" w:cstheme="majorEastAsia"/>
              </w:rPr>
            </w:pPr>
          </w:p>
        </w:tc>
        <w:tc>
          <w:tcPr>
            <w:tcW w:w="773" w:type="dxa"/>
            <w:vAlign w:val="center"/>
          </w:tcPr>
          <w:p>
            <w:pPr>
              <w:jc w:val="center"/>
              <w:rPr>
                <w:rFonts w:asciiTheme="majorEastAsia" w:hAnsiTheme="majorEastAsia" w:eastAsiaTheme="majorEastAsia" w:cstheme="majorEastAsia"/>
              </w:rPr>
            </w:pPr>
          </w:p>
        </w:tc>
        <w:tc>
          <w:tcPr>
            <w:tcW w:w="1276" w:type="dxa"/>
            <w:vAlign w:val="center"/>
          </w:tcPr>
          <w:p>
            <w:pPr>
              <w:jc w:val="center"/>
              <w:rPr>
                <w:rFonts w:asciiTheme="majorEastAsia" w:hAnsiTheme="majorEastAsia" w:eastAsiaTheme="majorEastAsia" w:cstheme="majorEastAsia"/>
              </w:rPr>
            </w:pPr>
          </w:p>
        </w:tc>
        <w:tc>
          <w:tcPr>
            <w:tcW w:w="992" w:type="dxa"/>
            <w:vAlign w:val="center"/>
          </w:tcPr>
          <w:p>
            <w:pPr>
              <w:jc w:val="center"/>
              <w:rPr>
                <w:rFonts w:asciiTheme="majorEastAsia" w:hAnsiTheme="majorEastAsia" w:eastAsiaTheme="majorEastAsia" w:cstheme="majorEastAsia"/>
              </w:rPr>
            </w:pPr>
          </w:p>
        </w:tc>
        <w:tc>
          <w:tcPr>
            <w:tcW w:w="2714" w:type="dxa"/>
          </w:tcPr>
          <w:p>
            <w:pPr>
              <w:jc w:val="center"/>
              <w:rPr>
                <w:rFonts w:asciiTheme="majorEastAsia" w:hAnsiTheme="majorEastAsia" w:eastAsiaTheme="majorEastAsia" w:cstheme="maj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525" w:type="dxa"/>
            <w:vAlign w:val="center"/>
          </w:tcPr>
          <w:p>
            <w:pPr>
              <w:jc w:val="center"/>
              <w:rPr>
                <w:rFonts w:asciiTheme="majorEastAsia" w:hAnsiTheme="majorEastAsia" w:eastAsiaTheme="majorEastAsia" w:cstheme="majorEastAsia"/>
              </w:rPr>
            </w:pPr>
            <w:r>
              <w:rPr>
                <w:rFonts w:hint="eastAsia" w:asciiTheme="majorEastAsia" w:hAnsiTheme="majorEastAsia" w:eastAsiaTheme="majorEastAsia" w:cstheme="majorEastAsia"/>
              </w:rPr>
              <w:t>3</w:t>
            </w:r>
          </w:p>
        </w:tc>
        <w:tc>
          <w:tcPr>
            <w:tcW w:w="1431" w:type="dxa"/>
            <w:vAlign w:val="center"/>
          </w:tcPr>
          <w:p>
            <w:pPr>
              <w:jc w:val="center"/>
              <w:rPr>
                <w:rFonts w:asciiTheme="majorEastAsia" w:hAnsiTheme="majorEastAsia" w:eastAsiaTheme="majorEastAsia" w:cstheme="majorEastAsia"/>
              </w:rPr>
            </w:pPr>
          </w:p>
        </w:tc>
        <w:tc>
          <w:tcPr>
            <w:tcW w:w="864" w:type="dxa"/>
            <w:vAlign w:val="center"/>
          </w:tcPr>
          <w:p>
            <w:pPr>
              <w:jc w:val="center"/>
              <w:rPr>
                <w:rFonts w:asciiTheme="majorEastAsia" w:hAnsiTheme="majorEastAsia" w:eastAsiaTheme="majorEastAsia" w:cstheme="majorEastAsia"/>
              </w:rPr>
            </w:pPr>
          </w:p>
        </w:tc>
        <w:tc>
          <w:tcPr>
            <w:tcW w:w="773" w:type="dxa"/>
            <w:vAlign w:val="center"/>
          </w:tcPr>
          <w:p>
            <w:pPr>
              <w:jc w:val="center"/>
              <w:rPr>
                <w:rFonts w:asciiTheme="majorEastAsia" w:hAnsiTheme="majorEastAsia" w:eastAsiaTheme="majorEastAsia" w:cstheme="majorEastAsia"/>
              </w:rPr>
            </w:pPr>
          </w:p>
        </w:tc>
        <w:tc>
          <w:tcPr>
            <w:tcW w:w="1276" w:type="dxa"/>
            <w:vAlign w:val="center"/>
          </w:tcPr>
          <w:p>
            <w:pPr>
              <w:jc w:val="center"/>
              <w:rPr>
                <w:rFonts w:asciiTheme="majorEastAsia" w:hAnsiTheme="majorEastAsia" w:eastAsiaTheme="majorEastAsia" w:cstheme="majorEastAsia"/>
              </w:rPr>
            </w:pPr>
          </w:p>
        </w:tc>
        <w:tc>
          <w:tcPr>
            <w:tcW w:w="992" w:type="dxa"/>
            <w:vAlign w:val="center"/>
          </w:tcPr>
          <w:p>
            <w:pPr>
              <w:jc w:val="center"/>
              <w:rPr>
                <w:rFonts w:asciiTheme="majorEastAsia" w:hAnsiTheme="majorEastAsia" w:eastAsiaTheme="majorEastAsia" w:cstheme="majorEastAsia"/>
              </w:rPr>
            </w:pPr>
          </w:p>
        </w:tc>
        <w:tc>
          <w:tcPr>
            <w:tcW w:w="2714" w:type="dxa"/>
          </w:tcPr>
          <w:p>
            <w:pPr>
              <w:jc w:val="center"/>
              <w:rPr>
                <w:rFonts w:asciiTheme="majorEastAsia" w:hAnsiTheme="majorEastAsia" w:eastAsiaTheme="majorEastAsia" w:cstheme="maj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525" w:type="dxa"/>
            <w:vAlign w:val="center"/>
          </w:tcPr>
          <w:p>
            <w:pPr>
              <w:jc w:val="center"/>
              <w:rPr>
                <w:rFonts w:asciiTheme="majorEastAsia" w:hAnsiTheme="majorEastAsia" w:eastAsiaTheme="majorEastAsia" w:cstheme="majorEastAsia"/>
              </w:rPr>
            </w:pPr>
            <w:r>
              <w:rPr>
                <w:rFonts w:hint="eastAsia" w:asciiTheme="majorEastAsia" w:hAnsiTheme="majorEastAsia" w:eastAsiaTheme="majorEastAsia" w:cstheme="majorEastAsia"/>
              </w:rPr>
              <w:t>4</w:t>
            </w:r>
          </w:p>
        </w:tc>
        <w:tc>
          <w:tcPr>
            <w:tcW w:w="1431" w:type="dxa"/>
            <w:vAlign w:val="center"/>
          </w:tcPr>
          <w:p>
            <w:pPr>
              <w:jc w:val="center"/>
              <w:rPr>
                <w:rFonts w:asciiTheme="majorEastAsia" w:hAnsiTheme="majorEastAsia" w:eastAsiaTheme="majorEastAsia" w:cstheme="majorEastAsia"/>
              </w:rPr>
            </w:pPr>
          </w:p>
        </w:tc>
        <w:tc>
          <w:tcPr>
            <w:tcW w:w="864" w:type="dxa"/>
            <w:vAlign w:val="center"/>
          </w:tcPr>
          <w:p>
            <w:pPr>
              <w:jc w:val="center"/>
              <w:rPr>
                <w:rFonts w:asciiTheme="majorEastAsia" w:hAnsiTheme="majorEastAsia" w:eastAsiaTheme="majorEastAsia" w:cstheme="majorEastAsia"/>
              </w:rPr>
            </w:pPr>
          </w:p>
        </w:tc>
        <w:tc>
          <w:tcPr>
            <w:tcW w:w="773" w:type="dxa"/>
            <w:vAlign w:val="center"/>
          </w:tcPr>
          <w:p>
            <w:pPr>
              <w:jc w:val="center"/>
              <w:rPr>
                <w:rFonts w:asciiTheme="majorEastAsia" w:hAnsiTheme="majorEastAsia" w:eastAsiaTheme="majorEastAsia" w:cstheme="majorEastAsia"/>
              </w:rPr>
            </w:pPr>
          </w:p>
        </w:tc>
        <w:tc>
          <w:tcPr>
            <w:tcW w:w="1276" w:type="dxa"/>
            <w:vAlign w:val="center"/>
          </w:tcPr>
          <w:p>
            <w:pPr>
              <w:jc w:val="center"/>
              <w:rPr>
                <w:rFonts w:asciiTheme="majorEastAsia" w:hAnsiTheme="majorEastAsia" w:eastAsiaTheme="majorEastAsia" w:cstheme="majorEastAsia"/>
              </w:rPr>
            </w:pPr>
          </w:p>
        </w:tc>
        <w:tc>
          <w:tcPr>
            <w:tcW w:w="992" w:type="dxa"/>
            <w:vAlign w:val="center"/>
          </w:tcPr>
          <w:p>
            <w:pPr>
              <w:jc w:val="center"/>
              <w:rPr>
                <w:rFonts w:asciiTheme="majorEastAsia" w:hAnsiTheme="majorEastAsia" w:eastAsiaTheme="majorEastAsia" w:cstheme="majorEastAsia"/>
              </w:rPr>
            </w:pPr>
          </w:p>
        </w:tc>
        <w:tc>
          <w:tcPr>
            <w:tcW w:w="2714" w:type="dxa"/>
          </w:tcPr>
          <w:p>
            <w:pPr>
              <w:jc w:val="center"/>
              <w:rPr>
                <w:rFonts w:asciiTheme="majorEastAsia" w:hAnsiTheme="majorEastAsia" w:eastAsiaTheme="majorEastAsia" w:cstheme="maj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525" w:type="dxa"/>
            <w:vAlign w:val="center"/>
          </w:tcPr>
          <w:p>
            <w:pPr>
              <w:jc w:val="center"/>
              <w:rPr>
                <w:rFonts w:asciiTheme="majorEastAsia" w:hAnsiTheme="majorEastAsia" w:eastAsiaTheme="majorEastAsia" w:cstheme="majorEastAsia"/>
              </w:rPr>
            </w:pPr>
            <w:r>
              <w:rPr>
                <w:rFonts w:hint="eastAsia" w:asciiTheme="majorEastAsia" w:hAnsiTheme="majorEastAsia" w:eastAsiaTheme="majorEastAsia" w:cstheme="majorEastAsia"/>
              </w:rPr>
              <w:t>…</w:t>
            </w:r>
          </w:p>
        </w:tc>
        <w:tc>
          <w:tcPr>
            <w:tcW w:w="1431" w:type="dxa"/>
            <w:vAlign w:val="center"/>
          </w:tcPr>
          <w:p>
            <w:pPr>
              <w:jc w:val="center"/>
              <w:rPr>
                <w:rFonts w:asciiTheme="majorEastAsia" w:hAnsiTheme="majorEastAsia" w:eastAsiaTheme="majorEastAsia" w:cstheme="majorEastAsia"/>
              </w:rPr>
            </w:pPr>
          </w:p>
        </w:tc>
        <w:tc>
          <w:tcPr>
            <w:tcW w:w="864" w:type="dxa"/>
            <w:vAlign w:val="center"/>
          </w:tcPr>
          <w:p>
            <w:pPr>
              <w:jc w:val="center"/>
              <w:rPr>
                <w:rFonts w:asciiTheme="majorEastAsia" w:hAnsiTheme="majorEastAsia" w:eastAsiaTheme="majorEastAsia" w:cstheme="majorEastAsia"/>
              </w:rPr>
            </w:pPr>
          </w:p>
        </w:tc>
        <w:tc>
          <w:tcPr>
            <w:tcW w:w="773" w:type="dxa"/>
            <w:vAlign w:val="center"/>
          </w:tcPr>
          <w:p>
            <w:pPr>
              <w:jc w:val="center"/>
              <w:rPr>
                <w:rFonts w:asciiTheme="majorEastAsia" w:hAnsiTheme="majorEastAsia" w:eastAsiaTheme="majorEastAsia" w:cstheme="majorEastAsia"/>
              </w:rPr>
            </w:pPr>
          </w:p>
        </w:tc>
        <w:tc>
          <w:tcPr>
            <w:tcW w:w="1276" w:type="dxa"/>
            <w:vAlign w:val="center"/>
          </w:tcPr>
          <w:p>
            <w:pPr>
              <w:jc w:val="center"/>
              <w:rPr>
                <w:rFonts w:asciiTheme="majorEastAsia" w:hAnsiTheme="majorEastAsia" w:eastAsiaTheme="majorEastAsia" w:cstheme="majorEastAsia"/>
              </w:rPr>
            </w:pPr>
          </w:p>
        </w:tc>
        <w:tc>
          <w:tcPr>
            <w:tcW w:w="992" w:type="dxa"/>
            <w:vAlign w:val="center"/>
          </w:tcPr>
          <w:p>
            <w:pPr>
              <w:jc w:val="center"/>
              <w:rPr>
                <w:rFonts w:asciiTheme="majorEastAsia" w:hAnsiTheme="majorEastAsia" w:eastAsiaTheme="majorEastAsia" w:cstheme="majorEastAsia"/>
              </w:rPr>
            </w:pPr>
            <w:r>
              <w:rPr>
                <w:rFonts w:hint="eastAsia" w:asciiTheme="majorEastAsia" w:hAnsiTheme="majorEastAsia" w:eastAsiaTheme="majorEastAsia" w:cstheme="majorEastAsia"/>
              </w:rPr>
              <w:t>…</w:t>
            </w:r>
          </w:p>
        </w:tc>
        <w:tc>
          <w:tcPr>
            <w:tcW w:w="2714" w:type="dxa"/>
          </w:tcPr>
          <w:p>
            <w:pPr>
              <w:jc w:val="center"/>
              <w:rPr>
                <w:rFonts w:asciiTheme="majorEastAsia" w:hAnsiTheme="majorEastAsia" w:eastAsiaTheme="majorEastAsia" w:cstheme="majorEastAsia"/>
              </w:rPr>
            </w:pPr>
          </w:p>
        </w:tc>
      </w:tr>
    </w:tbl>
    <w:p>
      <w:pPr>
        <w:spacing w:line="360" w:lineRule="auto"/>
        <w:jc w:val="left"/>
        <w:rPr>
          <w:rFonts w:asciiTheme="majorEastAsia" w:hAnsiTheme="majorEastAsia" w:eastAsiaTheme="majorEastAsia" w:cstheme="majorEastAsia"/>
        </w:rPr>
      </w:pPr>
      <w:r>
        <w:rPr>
          <w:rFonts w:hint="eastAsia" w:asciiTheme="majorEastAsia" w:hAnsiTheme="majorEastAsia" w:eastAsiaTheme="majorEastAsia" w:cstheme="majorEastAsia"/>
        </w:rPr>
        <w:t>注：1.请对照采购清单序列编制上表，表格行数不够可自行添加。</w:t>
      </w:r>
    </w:p>
    <w:p>
      <w:pPr>
        <w:spacing w:line="360" w:lineRule="auto"/>
        <w:ind w:left="300"/>
        <w:jc w:val="left"/>
        <w:rPr>
          <w:rFonts w:asciiTheme="majorEastAsia" w:hAnsiTheme="majorEastAsia" w:eastAsiaTheme="majorEastAsia" w:cstheme="majorEastAsia"/>
        </w:rPr>
      </w:pPr>
      <w:r>
        <w:rPr>
          <w:rFonts w:hint="eastAsia" w:asciiTheme="majorEastAsia" w:hAnsiTheme="majorEastAsia" w:eastAsiaTheme="majorEastAsia" w:cstheme="majorEastAsia"/>
        </w:rPr>
        <w:t>2.若有一项产品制造商为大型企业、中型企业，则无须提供《中小企业声明函》。</w:t>
      </w:r>
    </w:p>
    <w:p>
      <w:pPr>
        <w:pStyle w:val="6"/>
        <w:ind w:left="300"/>
        <w:jc w:val="both"/>
        <w:rPr>
          <w:rFonts w:asciiTheme="majorEastAsia" w:hAnsiTheme="majorEastAsia" w:eastAsiaTheme="majorEastAsia" w:cstheme="majorEastAsia"/>
        </w:rPr>
      </w:pPr>
    </w:p>
    <w:p>
      <w:pPr>
        <w:wordWrap w:val="0"/>
        <w:snapToGrid w:val="0"/>
        <w:spacing w:before="120" w:beforeLines="50" w:line="400" w:lineRule="exact"/>
        <w:ind w:firstLine="200"/>
        <w:jc w:val="right"/>
        <w:rPr>
          <w:rFonts w:asciiTheme="majorEastAsia" w:hAnsiTheme="majorEastAsia" w:eastAsiaTheme="majorEastAsia" w:cstheme="majorEastAsia"/>
          <w:szCs w:val="20"/>
          <w:u w:val="single"/>
        </w:rPr>
      </w:pPr>
      <w:r>
        <w:rPr>
          <w:rFonts w:hint="eastAsia" w:asciiTheme="majorEastAsia" w:hAnsiTheme="majorEastAsia" w:eastAsiaTheme="majorEastAsia" w:cstheme="majorEastAsia"/>
        </w:rPr>
        <w:t xml:space="preserve">法定代表人或被授权人签字（或盖章）：      </w:t>
      </w:r>
    </w:p>
    <w:p>
      <w:pPr>
        <w:ind w:firstLine="5040" w:firstLineChars="2100"/>
        <w:rPr>
          <w:rFonts w:asciiTheme="majorEastAsia" w:hAnsiTheme="majorEastAsia" w:eastAsiaTheme="majorEastAsia" w:cstheme="majorEastAsia"/>
        </w:rPr>
      </w:pPr>
      <w:r>
        <w:rPr>
          <w:rFonts w:hint="eastAsia" w:asciiTheme="majorEastAsia" w:hAnsiTheme="majorEastAsia" w:eastAsiaTheme="majorEastAsia" w:cstheme="majorEastAsia"/>
        </w:rPr>
        <w:t>投标供应商名称（</w:t>
      </w:r>
      <w:r>
        <w:rPr>
          <w:rFonts w:hint="eastAsia" w:asciiTheme="majorEastAsia" w:hAnsiTheme="majorEastAsia" w:eastAsiaTheme="majorEastAsia" w:cstheme="majorEastAsia"/>
          <w:kern w:val="0"/>
          <w:lang w:val="zh-CN"/>
        </w:rPr>
        <w:t>盖章</w:t>
      </w:r>
      <w:r>
        <w:rPr>
          <w:rFonts w:hint="eastAsia" w:asciiTheme="majorEastAsia" w:hAnsiTheme="majorEastAsia" w:eastAsiaTheme="majorEastAsia" w:cstheme="majorEastAsia"/>
        </w:rPr>
        <w:t xml:space="preserve">）：             </w:t>
      </w:r>
    </w:p>
    <w:p>
      <w:pPr>
        <w:spacing w:line="360" w:lineRule="auto"/>
        <w:ind w:firstLine="3360" w:firstLineChars="1400"/>
        <w:rPr>
          <w:rFonts w:asciiTheme="majorEastAsia" w:hAnsiTheme="majorEastAsia" w:eastAsiaTheme="majorEastAsia" w:cstheme="majorEastAsia"/>
        </w:rPr>
      </w:pPr>
      <w:r>
        <w:rPr>
          <w:rFonts w:hint="eastAsia" w:asciiTheme="majorEastAsia" w:hAnsiTheme="majorEastAsia" w:eastAsiaTheme="majorEastAsia" w:cstheme="majorEastAsia"/>
        </w:rPr>
        <w:t xml:space="preserve"> </w:t>
      </w:r>
      <w:r>
        <w:rPr>
          <w:rFonts w:asciiTheme="majorEastAsia" w:hAnsiTheme="majorEastAsia" w:eastAsiaTheme="majorEastAsia" w:cstheme="majorEastAsia"/>
        </w:rPr>
        <w:t xml:space="preserve">             </w:t>
      </w:r>
      <w:r>
        <w:rPr>
          <w:rFonts w:hint="eastAsia" w:asciiTheme="majorEastAsia" w:hAnsiTheme="majorEastAsia" w:eastAsiaTheme="majorEastAsia" w:cstheme="majorEastAsia"/>
        </w:rPr>
        <w:t>日期：   年   月   日</w:t>
      </w:r>
    </w:p>
    <w:p>
      <w:pPr>
        <w:spacing w:line="360" w:lineRule="auto"/>
        <w:ind w:firstLine="5160" w:firstLineChars="2150"/>
        <w:rPr>
          <w:rFonts w:asciiTheme="majorEastAsia" w:hAnsiTheme="majorEastAsia" w:eastAsiaTheme="majorEastAsia" w:cstheme="majorEastAsia"/>
        </w:rPr>
      </w:pPr>
    </w:p>
    <w:p>
      <w:pPr>
        <w:snapToGrid w:val="0"/>
        <w:spacing w:before="50" w:after="120" w:afterLines="50"/>
        <w:jc w:val="left"/>
        <w:rPr>
          <w:rFonts w:asciiTheme="majorEastAsia" w:hAnsiTheme="majorEastAsia" w:eastAsiaTheme="majorEastAsia" w:cstheme="majorEastAsia"/>
          <w:b/>
        </w:rPr>
      </w:pPr>
      <w:r>
        <w:rPr>
          <w:rFonts w:hint="eastAsia" w:asciiTheme="majorEastAsia" w:hAnsiTheme="majorEastAsia" w:eastAsiaTheme="majorEastAsia" w:cstheme="majorEastAsia"/>
          <w:b/>
        </w:rPr>
        <w:br w:type="page"/>
      </w:r>
      <w:r>
        <w:rPr>
          <w:rFonts w:hint="eastAsia" w:asciiTheme="majorEastAsia" w:hAnsiTheme="majorEastAsia" w:eastAsiaTheme="majorEastAsia" w:cstheme="majorEastAsia"/>
          <w:b/>
        </w:rPr>
        <w:t>3.技术响应表格式：</w:t>
      </w:r>
    </w:p>
    <w:p>
      <w:pPr>
        <w:snapToGrid w:val="0"/>
        <w:spacing w:before="50" w:after="120" w:afterLines="50"/>
        <w:jc w:val="center"/>
        <w:rPr>
          <w:rFonts w:asciiTheme="majorEastAsia" w:hAnsiTheme="majorEastAsia" w:eastAsiaTheme="majorEastAsia" w:cstheme="majorEastAsia"/>
          <w:sz w:val="28"/>
          <w:szCs w:val="28"/>
          <w:u w:val="single"/>
        </w:rPr>
      </w:pPr>
      <w:r>
        <w:rPr>
          <w:rFonts w:hint="eastAsia" w:asciiTheme="majorEastAsia" w:hAnsiTheme="majorEastAsia" w:eastAsiaTheme="majorEastAsia" w:cstheme="majorEastAsia"/>
          <w:b/>
          <w:sz w:val="28"/>
          <w:szCs w:val="28"/>
        </w:rPr>
        <w:t>技术响应表</w:t>
      </w:r>
    </w:p>
    <w:tbl>
      <w:tblPr>
        <w:tblStyle w:val="56"/>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36"/>
        <w:gridCol w:w="1056"/>
        <w:gridCol w:w="1896"/>
        <w:gridCol w:w="1896"/>
        <w:gridCol w:w="2449"/>
        <w:gridCol w:w="170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0" w:hRule="atLeast"/>
        </w:trPr>
        <w:tc>
          <w:tcPr>
            <w:tcW w:w="636" w:type="dxa"/>
            <w:tcBorders>
              <w:top w:val="single" w:color="auto" w:sz="4" w:space="0"/>
              <w:left w:val="single" w:color="auto" w:sz="4" w:space="0"/>
              <w:bottom w:val="single" w:color="auto" w:sz="4" w:space="0"/>
              <w:right w:val="single" w:color="auto" w:sz="4" w:space="0"/>
            </w:tcBorders>
          </w:tcPr>
          <w:p>
            <w:pPr>
              <w:pStyle w:val="32"/>
              <w:snapToGrid w:val="0"/>
              <w:spacing w:before="295" w:beforeLines="0" w:after="295" w:afterLines="0" w:line="240" w:lineRule="auto"/>
              <w:jc w:val="center"/>
              <w:outlineLvl w:val="0"/>
              <w:rPr>
                <w:rFonts w:asciiTheme="majorEastAsia" w:hAnsiTheme="majorEastAsia" w:eastAsiaTheme="majorEastAsia" w:cstheme="majorEastAsia"/>
                <w:sz w:val="21"/>
                <w:szCs w:val="21"/>
              </w:rPr>
            </w:pPr>
            <w:bookmarkStart w:id="119" w:name="_Toc206559274"/>
            <w:bookmarkStart w:id="120" w:name="_Toc1018723956"/>
            <w:bookmarkStart w:id="121" w:name="_Toc762790443"/>
            <w:bookmarkStart w:id="122" w:name="_Toc425220932"/>
            <w:bookmarkStart w:id="123" w:name="_Toc465368115"/>
            <w:bookmarkStart w:id="124" w:name="_Toc28891931"/>
            <w:r>
              <w:rPr>
                <w:rFonts w:hint="eastAsia" w:asciiTheme="majorEastAsia" w:hAnsiTheme="majorEastAsia" w:eastAsiaTheme="majorEastAsia" w:cstheme="majorEastAsia"/>
                <w:sz w:val="21"/>
                <w:szCs w:val="21"/>
              </w:rPr>
              <w:t>序号</w:t>
            </w:r>
            <w:bookmarkEnd w:id="119"/>
            <w:bookmarkEnd w:id="120"/>
            <w:bookmarkEnd w:id="121"/>
            <w:bookmarkEnd w:id="122"/>
            <w:bookmarkEnd w:id="123"/>
            <w:bookmarkEnd w:id="124"/>
          </w:p>
        </w:tc>
        <w:tc>
          <w:tcPr>
            <w:tcW w:w="1056" w:type="dxa"/>
            <w:tcBorders>
              <w:top w:val="single" w:color="auto" w:sz="4" w:space="0"/>
              <w:left w:val="single" w:color="auto" w:sz="4" w:space="0"/>
              <w:bottom w:val="single" w:color="auto" w:sz="4" w:space="0"/>
              <w:right w:val="single" w:color="auto" w:sz="4" w:space="0"/>
            </w:tcBorders>
          </w:tcPr>
          <w:p>
            <w:pPr>
              <w:pStyle w:val="32"/>
              <w:snapToGrid w:val="0"/>
              <w:spacing w:before="295" w:beforeLines="0" w:after="295" w:afterLines="0" w:line="240" w:lineRule="auto"/>
              <w:jc w:val="center"/>
              <w:outlineLvl w:val="0"/>
              <w:rPr>
                <w:rFonts w:asciiTheme="majorEastAsia" w:hAnsiTheme="majorEastAsia" w:eastAsiaTheme="majorEastAsia" w:cstheme="majorEastAsia"/>
                <w:sz w:val="21"/>
                <w:szCs w:val="21"/>
              </w:rPr>
            </w:pPr>
            <w:bookmarkStart w:id="125" w:name="_Toc1496896249"/>
            <w:bookmarkStart w:id="126" w:name="_Toc2080333815"/>
            <w:bookmarkStart w:id="127" w:name="_Toc1938669388"/>
            <w:bookmarkStart w:id="128" w:name="_Toc702241305"/>
            <w:bookmarkStart w:id="129" w:name="_Toc1026107364"/>
            <w:bookmarkStart w:id="130" w:name="_Toc525769047"/>
            <w:r>
              <w:rPr>
                <w:rFonts w:hint="eastAsia" w:asciiTheme="majorEastAsia" w:hAnsiTheme="majorEastAsia" w:eastAsiaTheme="majorEastAsia" w:cstheme="majorEastAsia"/>
                <w:sz w:val="21"/>
                <w:szCs w:val="21"/>
              </w:rPr>
              <w:t>产品名称</w:t>
            </w:r>
            <w:bookmarkEnd w:id="125"/>
            <w:bookmarkEnd w:id="126"/>
            <w:bookmarkEnd w:id="127"/>
            <w:bookmarkEnd w:id="128"/>
            <w:bookmarkEnd w:id="129"/>
            <w:bookmarkEnd w:id="130"/>
          </w:p>
        </w:tc>
        <w:tc>
          <w:tcPr>
            <w:tcW w:w="1896" w:type="dxa"/>
            <w:tcBorders>
              <w:top w:val="single" w:color="auto" w:sz="4" w:space="0"/>
              <w:left w:val="single" w:color="auto" w:sz="4" w:space="0"/>
              <w:bottom w:val="single" w:color="auto" w:sz="4" w:space="0"/>
              <w:right w:val="single" w:color="auto" w:sz="4" w:space="0"/>
            </w:tcBorders>
          </w:tcPr>
          <w:p>
            <w:pPr>
              <w:pStyle w:val="32"/>
              <w:snapToGrid w:val="0"/>
              <w:spacing w:before="295" w:beforeLines="0" w:after="295" w:afterLines="0" w:line="240" w:lineRule="auto"/>
              <w:jc w:val="center"/>
              <w:outlineLvl w:val="0"/>
              <w:rPr>
                <w:rFonts w:asciiTheme="majorEastAsia" w:hAnsiTheme="majorEastAsia" w:eastAsiaTheme="majorEastAsia" w:cstheme="majorEastAsia"/>
                <w:sz w:val="21"/>
                <w:szCs w:val="21"/>
              </w:rPr>
            </w:pPr>
            <w:bookmarkStart w:id="131" w:name="_Toc402963128"/>
            <w:bookmarkStart w:id="132" w:name="_Toc377028057"/>
            <w:bookmarkStart w:id="133" w:name="_Toc406402957"/>
            <w:bookmarkStart w:id="134" w:name="_Toc382928236"/>
            <w:bookmarkStart w:id="135" w:name="_Toc385854156"/>
            <w:bookmarkStart w:id="136" w:name="_Toc385854110"/>
            <w:bookmarkStart w:id="137" w:name="_Toc401570314"/>
            <w:bookmarkStart w:id="138" w:name="_Toc381081903"/>
            <w:bookmarkStart w:id="139" w:name="_Toc377028119"/>
            <w:bookmarkStart w:id="140" w:name="_Toc382928118"/>
            <w:bookmarkStart w:id="141" w:name="_Toc401570290"/>
            <w:bookmarkStart w:id="142" w:name="_Toc406403001"/>
            <w:bookmarkStart w:id="143" w:name="_Toc377653976"/>
            <w:bookmarkStart w:id="144" w:name="_Toc402963095"/>
            <w:bookmarkStart w:id="145" w:name="_Toc908522466"/>
            <w:bookmarkStart w:id="146" w:name="_Toc381081907"/>
            <w:bookmarkStart w:id="147" w:name="_Toc406403005"/>
            <w:bookmarkStart w:id="148" w:name="_Toc377653980"/>
            <w:bookmarkStart w:id="149" w:name="_Toc385854160"/>
            <w:bookmarkStart w:id="150" w:name="_Toc401570294"/>
            <w:bookmarkStart w:id="151" w:name="_Toc377028123"/>
            <w:bookmarkStart w:id="152" w:name="_Toc382928122"/>
            <w:bookmarkStart w:id="153" w:name="_Toc406402961"/>
            <w:bookmarkStart w:id="154" w:name="_Toc384561499"/>
            <w:bookmarkStart w:id="155" w:name="_Toc385854114"/>
            <w:bookmarkStart w:id="156" w:name="_Toc1938181673"/>
            <w:bookmarkStart w:id="157" w:name="_Toc402963132"/>
            <w:bookmarkStart w:id="158" w:name="_Toc382928240"/>
            <w:bookmarkStart w:id="159" w:name="_Toc635457235"/>
            <w:bookmarkStart w:id="160" w:name="_Toc836987852"/>
            <w:bookmarkStart w:id="161" w:name="_Toc734611807"/>
            <w:bookmarkStart w:id="162" w:name="_Toc377028061"/>
            <w:bookmarkStart w:id="163" w:name="_Toc402963099"/>
            <w:bookmarkStart w:id="164" w:name="_Toc401570318"/>
            <w:r>
              <w:rPr>
                <w:rFonts w:hint="eastAsia" w:asciiTheme="majorEastAsia" w:hAnsiTheme="majorEastAsia" w:eastAsiaTheme="majorEastAsia" w:cstheme="majorEastAsia"/>
                <w:sz w:val="21"/>
                <w:szCs w:val="21"/>
              </w:rPr>
              <w:t>招标文件要求</w:t>
            </w:r>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r>
              <w:rPr>
                <w:rFonts w:hint="eastAsia" w:asciiTheme="majorEastAsia" w:hAnsiTheme="majorEastAsia" w:eastAsiaTheme="majorEastAsia" w:cstheme="majorEastAsia"/>
                <w:sz w:val="21"/>
                <w:szCs w:val="21"/>
              </w:rPr>
              <w:t>要求</w:t>
            </w:r>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p>
        </w:tc>
        <w:tc>
          <w:tcPr>
            <w:tcW w:w="1896" w:type="dxa"/>
            <w:tcBorders>
              <w:top w:val="single" w:color="auto" w:sz="4" w:space="0"/>
              <w:left w:val="single" w:color="auto" w:sz="4" w:space="0"/>
              <w:bottom w:val="single" w:color="auto" w:sz="4" w:space="0"/>
              <w:right w:val="single" w:color="auto" w:sz="4" w:space="0"/>
            </w:tcBorders>
          </w:tcPr>
          <w:p>
            <w:pPr>
              <w:pStyle w:val="32"/>
              <w:snapToGrid w:val="0"/>
              <w:spacing w:before="295" w:beforeLines="0" w:after="295" w:afterLines="0" w:line="240" w:lineRule="auto"/>
              <w:jc w:val="center"/>
              <w:outlineLvl w:val="0"/>
              <w:rPr>
                <w:rFonts w:asciiTheme="majorEastAsia" w:hAnsiTheme="majorEastAsia" w:eastAsiaTheme="majorEastAsia" w:cstheme="majorEastAsia"/>
                <w:sz w:val="21"/>
                <w:szCs w:val="21"/>
              </w:rPr>
            </w:pPr>
            <w:bookmarkStart w:id="165" w:name="_Toc381081904"/>
            <w:bookmarkStart w:id="166" w:name="_Toc401570315"/>
            <w:bookmarkStart w:id="167" w:name="_Toc406402958"/>
            <w:bookmarkStart w:id="168" w:name="_Toc385854157"/>
            <w:bookmarkStart w:id="169" w:name="_Toc406403002"/>
            <w:bookmarkStart w:id="170" w:name="_Toc382928237"/>
            <w:bookmarkStart w:id="171" w:name="_Toc377028120"/>
            <w:bookmarkStart w:id="172" w:name="_Toc377028058"/>
            <w:bookmarkStart w:id="173" w:name="_Toc382928119"/>
            <w:bookmarkStart w:id="174" w:name="_Toc385854111"/>
            <w:bookmarkStart w:id="175" w:name="_Toc402963096"/>
            <w:bookmarkStart w:id="176" w:name="_Toc401570291"/>
            <w:bookmarkStart w:id="177" w:name="_Toc377653977"/>
            <w:bookmarkStart w:id="178" w:name="_Toc402963129"/>
            <w:bookmarkStart w:id="179" w:name="_Toc1298945436"/>
            <w:bookmarkStart w:id="180" w:name="_Toc1204394226"/>
            <w:bookmarkStart w:id="181" w:name="_Toc1479398986"/>
            <w:bookmarkStart w:id="182" w:name="_Toc637771751"/>
            <w:bookmarkStart w:id="183" w:name="_Toc2135853489"/>
            <w:bookmarkStart w:id="184" w:name="_Toc929162729"/>
            <w:r>
              <w:rPr>
                <w:rFonts w:hint="eastAsia" w:asciiTheme="majorEastAsia" w:hAnsiTheme="majorEastAsia" w:eastAsiaTheme="majorEastAsia" w:cstheme="majorEastAsia"/>
                <w:sz w:val="21"/>
                <w:szCs w:val="21"/>
              </w:rPr>
              <w:t>投标文件</w:t>
            </w:r>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r>
              <w:rPr>
                <w:rFonts w:hint="eastAsia" w:asciiTheme="majorEastAsia" w:hAnsiTheme="majorEastAsia" w:eastAsiaTheme="majorEastAsia" w:cstheme="majorEastAsia"/>
                <w:sz w:val="21"/>
                <w:szCs w:val="21"/>
              </w:rPr>
              <w:t>性能指标</w:t>
            </w:r>
            <w:bookmarkEnd w:id="179"/>
            <w:bookmarkEnd w:id="180"/>
            <w:bookmarkEnd w:id="181"/>
            <w:bookmarkEnd w:id="182"/>
            <w:bookmarkEnd w:id="183"/>
            <w:bookmarkEnd w:id="184"/>
          </w:p>
        </w:tc>
        <w:tc>
          <w:tcPr>
            <w:tcW w:w="2449" w:type="dxa"/>
            <w:tcBorders>
              <w:top w:val="single" w:color="auto" w:sz="4" w:space="0"/>
              <w:left w:val="single" w:color="auto" w:sz="4" w:space="0"/>
              <w:bottom w:val="single" w:color="auto" w:sz="4" w:space="0"/>
              <w:right w:val="single" w:color="auto" w:sz="4" w:space="0"/>
            </w:tcBorders>
          </w:tcPr>
          <w:p>
            <w:pPr>
              <w:pStyle w:val="32"/>
              <w:snapToGrid w:val="0"/>
              <w:spacing w:before="295" w:beforeLines="0" w:after="295" w:afterLines="0" w:line="240" w:lineRule="auto"/>
              <w:jc w:val="center"/>
              <w:outlineLvl w:val="0"/>
              <w:rPr>
                <w:rFonts w:asciiTheme="majorEastAsia" w:hAnsiTheme="majorEastAsia" w:eastAsiaTheme="majorEastAsia" w:cstheme="majorEastAsia"/>
                <w:sz w:val="21"/>
                <w:szCs w:val="21"/>
              </w:rPr>
            </w:pPr>
            <w:bookmarkStart w:id="185" w:name="_Toc381081905"/>
            <w:bookmarkStart w:id="186" w:name="_Toc382928120"/>
            <w:bookmarkStart w:id="187" w:name="_Toc1162332569"/>
            <w:bookmarkStart w:id="188" w:name="_Toc401570292"/>
            <w:bookmarkStart w:id="189" w:name="_Toc385854112"/>
            <w:bookmarkStart w:id="190" w:name="_Toc402963130"/>
            <w:bookmarkStart w:id="191" w:name="_Toc377653978"/>
            <w:bookmarkStart w:id="192" w:name="_Toc1879823390"/>
            <w:bookmarkStart w:id="193" w:name="_Toc961276098"/>
            <w:bookmarkStart w:id="194" w:name="_Toc406403003"/>
            <w:bookmarkStart w:id="195" w:name="_Toc235756486"/>
            <w:bookmarkStart w:id="196" w:name="_Toc935734612"/>
            <w:bookmarkStart w:id="197" w:name="_Toc382928238"/>
            <w:bookmarkStart w:id="198" w:name="_Toc385854158"/>
            <w:bookmarkStart w:id="199" w:name="_Toc402963097"/>
            <w:bookmarkStart w:id="200" w:name="_Toc401570316"/>
            <w:bookmarkStart w:id="201" w:name="_Toc377028121"/>
            <w:bookmarkStart w:id="202" w:name="_Toc106734953"/>
            <w:bookmarkStart w:id="203" w:name="_Toc377028059"/>
            <w:bookmarkStart w:id="204" w:name="_Toc406402959"/>
            <w:r>
              <w:rPr>
                <w:rFonts w:hint="eastAsia" w:asciiTheme="majorEastAsia" w:hAnsiTheme="majorEastAsia" w:eastAsiaTheme="majorEastAsia" w:cstheme="majorEastAsia"/>
                <w:sz w:val="21"/>
                <w:szCs w:val="21"/>
              </w:rPr>
              <w:t>偏离情况</w:t>
            </w:r>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p>
        </w:tc>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trPr>
        <w:tc>
          <w:tcPr>
            <w:tcW w:w="636" w:type="dxa"/>
            <w:tcBorders>
              <w:top w:val="single" w:color="auto" w:sz="4" w:space="0"/>
              <w:left w:val="single" w:color="auto" w:sz="4" w:space="0"/>
              <w:bottom w:val="single" w:color="auto" w:sz="4" w:space="0"/>
              <w:right w:val="single" w:color="auto" w:sz="4" w:space="0"/>
            </w:tcBorders>
            <w:vAlign w:val="center"/>
          </w:tcPr>
          <w:p>
            <w:pPr>
              <w:pStyle w:val="32"/>
              <w:snapToGrid w:val="0"/>
              <w:spacing w:before="120" w:after="120"/>
              <w:outlineLvl w:val="0"/>
              <w:rPr>
                <w:rFonts w:asciiTheme="majorEastAsia" w:hAnsiTheme="majorEastAsia" w:eastAsiaTheme="majorEastAsia" w:cstheme="majorEastAsia"/>
                <w:sz w:val="21"/>
                <w:szCs w:val="21"/>
              </w:rPr>
            </w:pPr>
          </w:p>
        </w:tc>
        <w:tc>
          <w:tcPr>
            <w:tcW w:w="1056" w:type="dxa"/>
            <w:tcBorders>
              <w:top w:val="single" w:color="auto" w:sz="4" w:space="0"/>
              <w:left w:val="single" w:color="auto" w:sz="4" w:space="0"/>
              <w:bottom w:val="single" w:color="auto" w:sz="4" w:space="0"/>
              <w:right w:val="single" w:color="auto" w:sz="4" w:space="0"/>
            </w:tcBorders>
          </w:tcPr>
          <w:p>
            <w:pPr>
              <w:pStyle w:val="32"/>
              <w:snapToGrid w:val="0"/>
              <w:spacing w:before="295" w:beforeLines="0" w:after="295" w:afterLines="0" w:line="240" w:lineRule="auto"/>
              <w:outlineLvl w:val="0"/>
              <w:rPr>
                <w:rFonts w:asciiTheme="majorEastAsia" w:hAnsiTheme="majorEastAsia" w:eastAsiaTheme="majorEastAsia" w:cstheme="majorEastAsia"/>
                <w:sz w:val="21"/>
                <w:szCs w:val="21"/>
              </w:rPr>
            </w:pPr>
          </w:p>
        </w:tc>
        <w:tc>
          <w:tcPr>
            <w:tcW w:w="1896" w:type="dxa"/>
            <w:tcBorders>
              <w:top w:val="single" w:color="auto" w:sz="4" w:space="0"/>
              <w:left w:val="single" w:color="auto" w:sz="4" w:space="0"/>
              <w:bottom w:val="single" w:color="auto" w:sz="4" w:space="0"/>
              <w:right w:val="single" w:color="auto" w:sz="4" w:space="0"/>
            </w:tcBorders>
            <w:vAlign w:val="center"/>
          </w:tcPr>
          <w:p>
            <w:pPr>
              <w:pStyle w:val="32"/>
              <w:snapToGrid w:val="0"/>
              <w:spacing w:before="295" w:beforeLines="0" w:after="295" w:afterLines="0" w:line="240" w:lineRule="auto"/>
              <w:outlineLvl w:val="0"/>
              <w:rPr>
                <w:rFonts w:asciiTheme="majorEastAsia" w:hAnsiTheme="majorEastAsia" w:eastAsiaTheme="majorEastAsia" w:cstheme="majorEastAsia"/>
                <w:sz w:val="21"/>
                <w:szCs w:val="21"/>
              </w:rPr>
            </w:pPr>
          </w:p>
        </w:tc>
        <w:tc>
          <w:tcPr>
            <w:tcW w:w="1896" w:type="dxa"/>
            <w:tcBorders>
              <w:top w:val="single" w:color="auto" w:sz="4" w:space="0"/>
              <w:left w:val="single" w:color="auto" w:sz="4" w:space="0"/>
              <w:bottom w:val="single" w:color="auto" w:sz="4" w:space="0"/>
              <w:right w:val="single" w:color="auto" w:sz="4" w:space="0"/>
            </w:tcBorders>
          </w:tcPr>
          <w:p>
            <w:pPr>
              <w:pStyle w:val="32"/>
              <w:snapToGrid w:val="0"/>
              <w:spacing w:before="295" w:beforeLines="0" w:after="295" w:afterLines="0" w:line="240" w:lineRule="auto"/>
              <w:outlineLvl w:val="0"/>
              <w:rPr>
                <w:rFonts w:asciiTheme="majorEastAsia" w:hAnsiTheme="majorEastAsia" w:eastAsiaTheme="majorEastAsia" w:cstheme="majorEastAsia"/>
                <w:sz w:val="21"/>
                <w:szCs w:val="21"/>
              </w:rPr>
            </w:pPr>
          </w:p>
        </w:tc>
        <w:tc>
          <w:tcPr>
            <w:tcW w:w="2449" w:type="dxa"/>
            <w:tcBorders>
              <w:top w:val="single" w:color="auto" w:sz="4" w:space="0"/>
              <w:left w:val="single" w:color="auto" w:sz="4" w:space="0"/>
              <w:bottom w:val="single" w:color="auto" w:sz="4" w:space="0"/>
              <w:right w:val="single" w:color="auto" w:sz="4" w:space="0"/>
            </w:tcBorders>
          </w:tcPr>
          <w:p>
            <w:pPr>
              <w:pStyle w:val="32"/>
              <w:snapToGrid w:val="0"/>
              <w:spacing w:before="295" w:beforeLines="0" w:after="295" w:afterLines="0" w:line="240" w:lineRule="auto"/>
              <w:outlineLvl w:val="0"/>
              <w:rPr>
                <w:rFonts w:asciiTheme="majorEastAsia" w:hAnsiTheme="majorEastAsia" w:eastAsiaTheme="majorEastAsia" w:cstheme="majorEastAsia"/>
                <w:sz w:val="21"/>
                <w:szCs w:val="21"/>
              </w:rPr>
            </w:pPr>
          </w:p>
        </w:tc>
        <w:tc>
          <w:tcPr>
            <w:tcW w:w="1701" w:type="dxa"/>
            <w:tcBorders>
              <w:top w:val="single" w:color="auto" w:sz="4" w:space="0"/>
              <w:left w:val="single" w:color="auto" w:sz="4" w:space="0"/>
              <w:bottom w:val="single" w:color="auto" w:sz="4" w:space="0"/>
              <w:right w:val="single" w:color="auto" w:sz="4" w:space="0"/>
            </w:tcBorders>
          </w:tcPr>
          <w:p>
            <w:pPr>
              <w:pStyle w:val="32"/>
              <w:snapToGrid w:val="0"/>
              <w:spacing w:before="295" w:beforeLines="0" w:after="295" w:afterLines="0" w:line="240" w:lineRule="auto"/>
              <w:outlineLvl w:val="0"/>
              <w:rPr>
                <w:rFonts w:asciiTheme="majorEastAsia" w:hAnsiTheme="majorEastAsia" w:eastAsiaTheme="majorEastAsia" w:cstheme="majorEastAsia"/>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trPr>
        <w:tc>
          <w:tcPr>
            <w:tcW w:w="636" w:type="dxa"/>
            <w:tcBorders>
              <w:top w:val="single" w:color="auto" w:sz="4" w:space="0"/>
              <w:left w:val="single" w:color="auto" w:sz="4" w:space="0"/>
              <w:bottom w:val="single" w:color="auto" w:sz="4" w:space="0"/>
              <w:right w:val="single" w:color="auto" w:sz="4" w:space="0"/>
            </w:tcBorders>
            <w:vAlign w:val="center"/>
          </w:tcPr>
          <w:p>
            <w:pPr>
              <w:widowControl/>
              <w:rPr>
                <w:rFonts w:asciiTheme="majorEastAsia" w:hAnsiTheme="majorEastAsia" w:eastAsiaTheme="majorEastAsia" w:cstheme="majorEastAsia"/>
                <w:szCs w:val="21"/>
              </w:rPr>
            </w:pPr>
          </w:p>
        </w:tc>
        <w:tc>
          <w:tcPr>
            <w:tcW w:w="1056" w:type="dxa"/>
            <w:tcBorders>
              <w:top w:val="single" w:color="auto" w:sz="4" w:space="0"/>
              <w:left w:val="single" w:color="auto" w:sz="4" w:space="0"/>
              <w:bottom w:val="single" w:color="auto" w:sz="4" w:space="0"/>
              <w:right w:val="single" w:color="auto" w:sz="4" w:space="0"/>
            </w:tcBorders>
          </w:tcPr>
          <w:p>
            <w:pPr>
              <w:pStyle w:val="32"/>
              <w:snapToGrid w:val="0"/>
              <w:spacing w:before="295" w:beforeLines="0" w:after="295" w:afterLines="0" w:line="240" w:lineRule="auto"/>
              <w:outlineLvl w:val="0"/>
              <w:rPr>
                <w:rFonts w:asciiTheme="majorEastAsia" w:hAnsiTheme="majorEastAsia" w:eastAsiaTheme="majorEastAsia" w:cstheme="majorEastAsia"/>
                <w:sz w:val="21"/>
                <w:szCs w:val="21"/>
              </w:rPr>
            </w:pPr>
          </w:p>
        </w:tc>
        <w:tc>
          <w:tcPr>
            <w:tcW w:w="1896" w:type="dxa"/>
            <w:tcBorders>
              <w:top w:val="single" w:color="auto" w:sz="4" w:space="0"/>
              <w:left w:val="single" w:color="auto" w:sz="4" w:space="0"/>
              <w:bottom w:val="single" w:color="auto" w:sz="4" w:space="0"/>
              <w:right w:val="single" w:color="auto" w:sz="4" w:space="0"/>
            </w:tcBorders>
            <w:vAlign w:val="center"/>
          </w:tcPr>
          <w:p>
            <w:pPr>
              <w:pStyle w:val="32"/>
              <w:snapToGrid w:val="0"/>
              <w:spacing w:before="295" w:beforeLines="0" w:after="295" w:afterLines="0" w:line="240" w:lineRule="auto"/>
              <w:outlineLvl w:val="0"/>
              <w:rPr>
                <w:rFonts w:asciiTheme="majorEastAsia" w:hAnsiTheme="majorEastAsia" w:eastAsiaTheme="majorEastAsia" w:cstheme="majorEastAsia"/>
                <w:sz w:val="21"/>
                <w:szCs w:val="21"/>
              </w:rPr>
            </w:pPr>
          </w:p>
        </w:tc>
        <w:tc>
          <w:tcPr>
            <w:tcW w:w="1896" w:type="dxa"/>
            <w:tcBorders>
              <w:top w:val="single" w:color="auto" w:sz="4" w:space="0"/>
              <w:left w:val="single" w:color="auto" w:sz="4" w:space="0"/>
              <w:bottom w:val="single" w:color="auto" w:sz="4" w:space="0"/>
              <w:right w:val="single" w:color="auto" w:sz="4" w:space="0"/>
            </w:tcBorders>
          </w:tcPr>
          <w:p>
            <w:pPr>
              <w:pStyle w:val="32"/>
              <w:snapToGrid w:val="0"/>
              <w:spacing w:before="295" w:beforeLines="0" w:after="295" w:afterLines="0" w:line="240" w:lineRule="auto"/>
              <w:outlineLvl w:val="0"/>
              <w:rPr>
                <w:rFonts w:asciiTheme="majorEastAsia" w:hAnsiTheme="majorEastAsia" w:eastAsiaTheme="majorEastAsia" w:cstheme="majorEastAsia"/>
                <w:sz w:val="21"/>
                <w:szCs w:val="21"/>
              </w:rPr>
            </w:pPr>
          </w:p>
        </w:tc>
        <w:tc>
          <w:tcPr>
            <w:tcW w:w="2449" w:type="dxa"/>
            <w:tcBorders>
              <w:top w:val="single" w:color="auto" w:sz="4" w:space="0"/>
              <w:left w:val="single" w:color="auto" w:sz="4" w:space="0"/>
              <w:bottom w:val="single" w:color="auto" w:sz="4" w:space="0"/>
              <w:right w:val="single" w:color="auto" w:sz="4" w:space="0"/>
            </w:tcBorders>
          </w:tcPr>
          <w:p>
            <w:pPr>
              <w:pStyle w:val="32"/>
              <w:snapToGrid w:val="0"/>
              <w:spacing w:before="295" w:beforeLines="0" w:after="295" w:afterLines="0" w:line="240" w:lineRule="auto"/>
              <w:outlineLvl w:val="0"/>
              <w:rPr>
                <w:rFonts w:asciiTheme="majorEastAsia" w:hAnsiTheme="majorEastAsia" w:eastAsiaTheme="majorEastAsia" w:cstheme="majorEastAsia"/>
                <w:sz w:val="21"/>
                <w:szCs w:val="21"/>
              </w:rPr>
            </w:pPr>
          </w:p>
        </w:tc>
        <w:tc>
          <w:tcPr>
            <w:tcW w:w="1701" w:type="dxa"/>
            <w:tcBorders>
              <w:top w:val="single" w:color="auto" w:sz="4" w:space="0"/>
              <w:left w:val="single" w:color="auto" w:sz="4" w:space="0"/>
              <w:bottom w:val="single" w:color="auto" w:sz="4" w:space="0"/>
              <w:right w:val="single" w:color="auto" w:sz="4" w:space="0"/>
            </w:tcBorders>
          </w:tcPr>
          <w:p>
            <w:pPr>
              <w:pStyle w:val="32"/>
              <w:snapToGrid w:val="0"/>
              <w:spacing w:before="295" w:beforeLines="0" w:after="295" w:afterLines="0" w:line="240" w:lineRule="auto"/>
              <w:outlineLvl w:val="0"/>
              <w:rPr>
                <w:rFonts w:asciiTheme="majorEastAsia" w:hAnsiTheme="majorEastAsia" w:eastAsiaTheme="majorEastAsia" w:cstheme="majorEastAsia"/>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trPr>
        <w:tc>
          <w:tcPr>
            <w:tcW w:w="636" w:type="dxa"/>
            <w:tcBorders>
              <w:top w:val="single" w:color="auto" w:sz="4" w:space="0"/>
              <w:left w:val="single" w:color="auto" w:sz="4" w:space="0"/>
              <w:bottom w:val="single" w:color="auto" w:sz="4" w:space="0"/>
              <w:right w:val="single" w:color="auto" w:sz="4" w:space="0"/>
            </w:tcBorders>
            <w:vAlign w:val="center"/>
          </w:tcPr>
          <w:p>
            <w:pPr>
              <w:pStyle w:val="32"/>
              <w:snapToGrid w:val="0"/>
              <w:spacing w:before="120" w:after="120"/>
              <w:outlineLvl w:val="0"/>
              <w:rPr>
                <w:rFonts w:asciiTheme="majorEastAsia" w:hAnsiTheme="majorEastAsia" w:eastAsiaTheme="majorEastAsia" w:cstheme="majorEastAsia"/>
                <w:sz w:val="21"/>
                <w:szCs w:val="21"/>
              </w:rPr>
            </w:pPr>
          </w:p>
        </w:tc>
        <w:tc>
          <w:tcPr>
            <w:tcW w:w="1056" w:type="dxa"/>
            <w:tcBorders>
              <w:top w:val="single" w:color="auto" w:sz="4" w:space="0"/>
              <w:left w:val="single" w:color="auto" w:sz="4" w:space="0"/>
              <w:bottom w:val="single" w:color="auto" w:sz="4" w:space="0"/>
              <w:right w:val="single" w:color="auto" w:sz="4" w:space="0"/>
            </w:tcBorders>
          </w:tcPr>
          <w:p>
            <w:pPr>
              <w:pStyle w:val="32"/>
              <w:snapToGrid w:val="0"/>
              <w:spacing w:before="295" w:beforeLines="0" w:after="295" w:afterLines="0" w:line="240" w:lineRule="auto"/>
              <w:outlineLvl w:val="0"/>
              <w:rPr>
                <w:rFonts w:asciiTheme="majorEastAsia" w:hAnsiTheme="majorEastAsia" w:eastAsiaTheme="majorEastAsia" w:cstheme="majorEastAsia"/>
                <w:sz w:val="21"/>
                <w:szCs w:val="21"/>
              </w:rPr>
            </w:pPr>
          </w:p>
        </w:tc>
        <w:tc>
          <w:tcPr>
            <w:tcW w:w="1896" w:type="dxa"/>
            <w:tcBorders>
              <w:top w:val="single" w:color="auto" w:sz="4" w:space="0"/>
              <w:left w:val="single" w:color="auto" w:sz="4" w:space="0"/>
              <w:bottom w:val="single" w:color="auto" w:sz="4" w:space="0"/>
              <w:right w:val="single" w:color="auto" w:sz="4" w:space="0"/>
            </w:tcBorders>
            <w:vAlign w:val="center"/>
          </w:tcPr>
          <w:p>
            <w:pPr>
              <w:pStyle w:val="32"/>
              <w:snapToGrid w:val="0"/>
              <w:spacing w:before="295" w:beforeLines="0" w:after="295" w:afterLines="0" w:line="240" w:lineRule="auto"/>
              <w:outlineLvl w:val="0"/>
              <w:rPr>
                <w:rFonts w:asciiTheme="majorEastAsia" w:hAnsiTheme="majorEastAsia" w:eastAsiaTheme="majorEastAsia" w:cstheme="majorEastAsia"/>
                <w:sz w:val="21"/>
                <w:szCs w:val="21"/>
              </w:rPr>
            </w:pPr>
          </w:p>
        </w:tc>
        <w:tc>
          <w:tcPr>
            <w:tcW w:w="1896" w:type="dxa"/>
            <w:tcBorders>
              <w:top w:val="single" w:color="auto" w:sz="4" w:space="0"/>
              <w:left w:val="single" w:color="auto" w:sz="4" w:space="0"/>
              <w:bottom w:val="single" w:color="auto" w:sz="4" w:space="0"/>
              <w:right w:val="single" w:color="auto" w:sz="4" w:space="0"/>
            </w:tcBorders>
          </w:tcPr>
          <w:p>
            <w:pPr>
              <w:pStyle w:val="32"/>
              <w:snapToGrid w:val="0"/>
              <w:spacing w:before="295" w:beforeLines="0" w:after="295" w:afterLines="0" w:line="240" w:lineRule="auto"/>
              <w:outlineLvl w:val="0"/>
              <w:rPr>
                <w:rFonts w:asciiTheme="majorEastAsia" w:hAnsiTheme="majorEastAsia" w:eastAsiaTheme="majorEastAsia" w:cstheme="majorEastAsia"/>
                <w:sz w:val="21"/>
                <w:szCs w:val="21"/>
              </w:rPr>
            </w:pPr>
          </w:p>
        </w:tc>
        <w:tc>
          <w:tcPr>
            <w:tcW w:w="2449" w:type="dxa"/>
            <w:tcBorders>
              <w:top w:val="single" w:color="auto" w:sz="4" w:space="0"/>
              <w:left w:val="single" w:color="auto" w:sz="4" w:space="0"/>
              <w:bottom w:val="single" w:color="auto" w:sz="4" w:space="0"/>
              <w:right w:val="single" w:color="auto" w:sz="4" w:space="0"/>
            </w:tcBorders>
          </w:tcPr>
          <w:p>
            <w:pPr>
              <w:pStyle w:val="32"/>
              <w:snapToGrid w:val="0"/>
              <w:spacing w:before="295" w:beforeLines="0" w:after="295" w:afterLines="0" w:line="240" w:lineRule="auto"/>
              <w:outlineLvl w:val="0"/>
              <w:rPr>
                <w:rFonts w:asciiTheme="majorEastAsia" w:hAnsiTheme="majorEastAsia" w:eastAsiaTheme="majorEastAsia" w:cstheme="majorEastAsia"/>
                <w:sz w:val="21"/>
                <w:szCs w:val="21"/>
              </w:rPr>
            </w:pPr>
          </w:p>
        </w:tc>
        <w:tc>
          <w:tcPr>
            <w:tcW w:w="1701" w:type="dxa"/>
            <w:tcBorders>
              <w:top w:val="single" w:color="auto" w:sz="4" w:space="0"/>
              <w:left w:val="single" w:color="auto" w:sz="4" w:space="0"/>
              <w:bottom w:val="single" w:color="auto" w:sz="4" w:space="0"/>
              <w:right w:val="single" w:color="auto" w:sz="4" w:space="0"/>
            </w:tcBorders>
          </w:tcPr>
          <w:p>
            <w:pPr>
              <w:pStyle w:val="32"/>
              <w:snapToGrid w:val="0"/>
              <w:spacing w:before="295" w:beforeLines="0" w:after="295" w:afterLines="0" w:line="240" w:lineRule="auto"/>
              <w:outlineLvl w:val="0"/>
              <w:rPr>
                <w:rFonts w:asciiTheme="majorEastAsia" w:hAnsiTheme="majorEastAsia" w:eastAsiaTheme="majorEastAsia" w:cstheme="majorEastAsia"/>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trPr>
        <w:tc>
          <w:tcPr>
            <w:tcW w:w="636" w:type="dxa"/>
            <w:tcBorders>
              <w:top w:val="single" w:color="auto" w:sz="4" w:space="0"/>
              <w:left w:val="single" w:color="auto" w:sz="4" w:space="0"/>
              <w:bottom w:val="single" w:color="auto" w:sz="4" w:space="0"/>
              <w:right w:val="single" w:color="auto" w:sz="4" w:space="0"/>
            </w:tcBorders>
            <w:vAlign w:val="center"/>
          </w:tcPr>
          <w:p>
            <w:pPr>
              <w:pStyle w:val="32"/>
              <w:snapToGrid w:val="0"/>
              <w:spacing w:before="120" w:after="120"/>
              <w:outlineLvl w:val="0"/>
              <w:rPr>
                <w:rFonts w:asciiTheme="majorEastAsia" w:hAnsiTheme="majorEastAsia" w:eastAsiaTheme="majorEastAsia" w:cstheme="majorEastAsia"/>
                <w:sz w:val="21"/>
                <w:szCs w:val="21"/>
              </w:rPr>
            </w:pPr>
          </w:p>
        </w:tc>
        <w:tc>
          <w:tcPr>
            <w:tcW w:w="1056" w:type="dxa"/>
            <w:tcBorders>
              <w:top w:val="single" w:color="auto" w:sz="4" w:space="0"/>
              <w:left w:val="single" w:color="auto" w:sz="4" w:space="0"/>
              <w:bottom w:val="single" w:color="auto" w:sz="4" w:space="0"/>
              <w:right w:val="single" w:color="auto" w:sz="4" w:space="0"/>
            </w:tcBorders>
          </w:tcPr>
          <w:p>
            <w:pPr>
              <w:pStyle w:val="32"/>
              <w:snapToGrid w:val="0"/>
              <w:spacing w:before="295" w:beforeLines="0" w:after="295" w:afterLines="0" w:line="240" w:lineRule="auto"/>
              <w:outlineLvl w:val="0"/>
              <w:rPr>
                <w:rFonts w:asciiTheme="majorEastAsia" w:hAnsiTheme="majorEastAsia" w:eastAsiaTheme="majorEastAsia" w:cstheme="majorEastAsia"/>
                <w:sz w:val="21"/>
                <w:szCs w:val="21"/>
              </w:rPr>
            </w:pPr>
          </w:p>
        </w:tc>
        <w:tc>
          <w:tcPr>
            <w:tcW w:w="1896" w:type="dxa"/>
            <w:tcBorders>
              <w:top w:val="single" w:color="auto" w:sz="4" w:space="0"/>
              <w:left w:val="single" w:color="auto" w:sz="4" w:space="0"/>
              <w:bottom w:val="single" w:color="auto" w:sz="4" w:space="0"/>
              <w:right w:val="single" w:color="auto" w:sz="4" w:space="0"/>
            </w:tcBorders>
            <w:vAlign w:val="center"/>
          </w:tcPr>
          <w:p>
            <w:pPr>
              <w:pStyle w:val="32"/>
              <w:snapToGrid w:val="0"/>
              <w:spacing w:before="295" w:beforeLines="0" w:after="295" w:afterLines="0" w:line="240" w:lineRule="auto"/>
              <w:outlineLvl w:val="0"/>
              <w:rPr>
                <w:rFonts w:asciiTheme="majorEastAsia" w:hAnsiTheme="majorEastAsia" w:eastAsiaTheme="majorEastAsia" w:cstheme="majorEastAsia"/>
                <w:sz w:val="21"/>
                <w:szCs w:val="21"/>
              </w:rPr>
            </w:pPr>
          </w:p>
        </w:tc>
        <w:tc>
          <w:tcPr>
            <w:tcW w:w="1896" w:type="dxa"/>
            <w:tcBorders>
              <w:top w:val="single" w:color="auto" w:sz="4" w:space="0"/>
              <w:left w:val="single" w:color="auto" w:sz="4" w:space="0"/>
              <w:bottom w:val="single" w:color="auto" w:sz="4" w:space="0"/>
              <w:right w:val="single" w:color="auto" w:sz="4" w:space="0"/>
            </w:tcBorders>
          </w:tcPr>
          <w:p>
            <w:pPr>
              <w:pStyle w:val="32"/>
              <w:snapToGrid w:val="0"/>
              <w:spacing w:before="295" w:beforeLines="0" w:after="295" w:afterLines="0" w:line="240" w:lineRule="auto"/>
              <w:outlineLvl w:val="0"/>
              <w:rPr>
                <w:rFonts w:asciiTheme="majorEastAsia" w:hAnsiTheme="majorEastAsia" w:eastAsiaTheme="majorEastAsia" w:cstheme="majorEastAsia"/>
                <w:sz w:val="21"/>
                <w:szCs w:val="21"/>
              </w:rPr>
            </w:pPr>
          </w:p>
        </w:tc>
        <w:tc>
          <w:tcPr>
            <w:tcW w:w="2449" w:type="dxa"/>
            <w:tcBorders>
              <w:top w:val="single" w:color="auto" w:sz="4" w:space="0"/>
              <w:left w:val="single" w:color="auto" w:sz="4" w:space="0"/>
              <w:bottom w:val="single" w:color="auto" w:sz="4" w:space="0"/>
              <w:right w:val="single" w:color="auto" w:sz="4" w:space="0"/>
            </w:tcBorders>
          </w:tcPr>
          <w:p>
            <w:pPr>
              <w:pStyle w:val="32"/>
              <w:snapToGrid w:val="0"/>
              <w:spacing w:before="295" w:beforeLines="0" w:after="295" w:afterLines="0" w:line="240" w:lineRule="auto"/>
              <w:outlineLvl w:val="0"/>
              <w:rPr>
                <w:rFonts w:asciiTheme="majorEastAsia" w:hAnsiTheme="majorEastAsia" w:eastAsiaTheme="majorEastAsia" w:cstheme="majorEastAsia"/>
                <w:sz w:val="21"/>
                <w:szCs w:val="21"/>
              </w:rPr>
            </w:pPr>
          </w:p>
        </w:tc>
        <w:tc>
          <w:tcPr>
            <w:tcW w:w="1701" w:type="dxa"/>
            <w:tcBorders>
              <w:top w:val="single" w:color="auto" w:sz="4" w:space="0"/>
              <w:left w:val="single" w:color="auto" w:sz="4" w:space="0"/>
              <w:bottom w:val="single" w:color="auto" w:sz="4" w:space="0"/>
              <w:right w:val="single" w:color="auto" w:sz="4" w:space="0"/>
            </w:tcBorders>
          </w:tcPr>
          <w:p>
            <w:pPr>
              <w:pStyle w:val="32"/>
              <w:snapToGrid w:val="0"/>
              <w:spacing w:before="295" w:beforeLines="0" w:after="295" w:afterLines="0" w:line="240" w:lineRule="auto"/>
              <w:outlineLvl w:val="0"/>
              <w:rPr>
                <w:rFonts w:asciiTheme="majorEastAsia" w:hAnsiTheme="majorEastAsia" w:eastAsiaTheme="majorEastAsia" w:cstheme="majorEastAsia"/>
                <w:sz w:val="21"/>
                <w:szCs w:val="21"/>
              </w:rPr>
            </w:pPr>
          </w:p>
        </w:tc>
      </w:tr>
    </w:tbl>
    <w:p>
      <w:pPr>
        <w:pStyle w:val="25"/>
        <w:rPr>
          <w:rFonts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注：供应商应根据投标产品的性能指标、对照招标文件要求注明“正偏离”、“负偏离”或“无偏离”。</w:t>
      </w:r>
    </w:p>
    <w:p>
      <w:pPr>
        <w:pStyle w:val="25"/>
        <w:rPr>
          <w:rFonts w:asciiTheme="majorEastAsia" w:hAnsiTheme="majorEastAsia" w:eastAsiaTheme="majorEastAsia" w:cstheme="majorEastAsia"/>
          <w:sz w:val="21"/>
          <w:szCs w:val="21"/>
        </w:rPr>
      </w:pPr>
    </w:p>
    <w:p>
      <w:pPr>
        <w:wordWrap w:val="0"/>
        <w:snapToGrid w:val="0"/>
        <w:spacing w:before="120" w:beforeLines="50" w:line="400" w:lineRule="exact"/>
        <w:ind w:firstLine="200"/>
        <w:jc w:val="right"/>
        <w:rPr>
          <w:rFonts w:asciiTheme="majorEastAsia" w:hAnsiTheme="majorEastAsia" w:eastAsiaTheme="majorEastAsia" w:cstheme="majorEastAsia"/>
          <w:szCs w:val="20"/>
          <w:u w:val="single"/>
        </w:rPr>
      </w:pPr>
      <w:r>
        <w:rPr>
          <w:rFonts w:hint="eastAsia" w:asciiTheme="majorEastAsia" w:hAnsiTheme="majorEastAsia" w:eastAsiaTheme="majorEastAsia" w:cstheme="majorEastAsia"/>
        </w:rPr>
        <w:t xml:space="preserve">法定代表人或被授权人签字（或盖章）：      </w:t>
      </w:r>
    </w:p>
    <w:p>
      <w:pPr>
        <w:ind w:firstLine="5040" w:firstLineChars="2100"/>
        <w:rPr>
          <w:rFonts w:asciiTheme="majorEastAsia" w:hAnsiTheme="majorEastAsia" w:eastAsiaTheme="majorEastAsia" w:cstheme="majorEastAsia"/>
        </w:rPr>
      </w:pPr>
      <w:r>
        <w:rPr>
          <w:rFonts w:hint="eastAsia" w:asciiTheme="majorEastAsia" w:hAnsiTheme="majorEastAsia" w:eastAsiaTheme="majorEastAsia" w:cstheme="majorEastAsia"/>
        </w:rPr>
        <w:t>投标供应商名称（</w:t>
      </w:r>
      <w:r>
        <w:rPr>
          <w:rFonts w:hint="eastAsia" w:asciiTheme="majorEastAsia" w:hAnsiTheme="majorEastAsia" w:eastAsiaTheme="majorEastAsia" w:cstheme="majorEastAsia"/>
          <w:kern w:val="0"/>
          <w:lang w:val="zh-CN"/>
        </w:rPr>
        <w:t>盖章</w:t>
      </w:r>
      <w:r>
        <w:rPr>
          <w:rFonts w:hint="eastAsia" w:asciiTheme="majorEastAsia" w:hAnsiTheme="majorEastAsia" w:eastAsiaTheme="majorEastAsia" w:cstheme="majorEastAsia"/>
        </w:rPr>
        <w:t xml:space="preserve">）：             </w:t>
      </w:r>
    </w:p>
    <w:p>
      <w:pPr>
        <w:spacing w:line="360" w:lineRule="auto"/>
        <w:ind w:firstLine="5040" w:firstLineChars="2100"/>
        <w:rPr>
          <w:rFonts w:asciiTheme="majorEastAsia" w:hAnsiTheme="majorEastAsia" w:eastAsiaTheme="majorEastAsia" w:cstheme="majorEastAsia"/>
        </w:rPr>
      </w:pPr>
      <w:r>
        <w:rPr>
          <w:rFonts w:hint="eastAsia" w:asciiTheme="majorEastAsia" w:hAnsiTheme="majorEastAsia" w:eastAsiaTheme="majorEastAsia" w:cstheme="majorEastAsia"/>
        </w:rPr>
        <w:t xml:space="preserve"> 日期：   年   月   日</w:t>
      </w:r>
    </w:p>
    <w:p>
      <w:pPr>
        <w:pStyle w:val="569"/>
        <w:spacing w:line="360" w:lineRule="auto"/>
        <w:rPr>
          <w:rFonts w:asciiTheme="majorEastAsia" w:hAnsiTheme="majorEastAsia" w:eastAsiaTheme="majorEastAsia" w:cstheme="majorEastAsia"/>
          <w:b/>
          <w:sz w:val="24"/>
        </w:rPr>
      </w:pPr>
      <w:r>
        <w:rPr>
          <w:rFonts w:hint="eastAsia" w:asciiTheme="majorEastAsia" w:hAnsiTheme="majorEastAsia" w:eastAsiaTheme="majorEastAsia" w:cstheme="majorEastAsia"/>
          <w:b/>
          <w:sz w:val="24"/>
          <w:szCs w:val="24"/>
        </w:rPr>
        <w:br w:type="page"/>
      </w:r>
      <w:r>
        <w:rPr>
          <w:rFonts w:hint="eastAsia" w:asciiTheme="majorEastAsia" w:hAnsiTheme="majorEastAsia" w:eastAsiaTheme="majorEastAsia" w:cstheme="majorEastAsia"/>
          <w:b/>
          <w:sz w:val="24"/>
          <w:szCs w:val="24"/>
        </w:rPr>
        <w:t>4.</w:t>
      </w:r>
      <w:r>
        <w:rPr>
          <w:rFonts w:hint="eastAsia" w:asciiTheme="majorEastAsia" w:hAnsiTheme="majorEastAsia" w:eastAsiaTheme="majorEastAsia" w:cstheme="majorEastAsia"/>
          <w:b/>
          <w:sz w:val="24"/>
        </w:rPr>
        <w:t xml:space="preserve"> 项目实施人员一览表</w:t>
      </w:r>
    </w:p>
    <w:p>
      <w:pPr>
        <w:pStyle w:val="32"/>
        <w:adjustRightInd w:val="0"/>
        <w:spacing w:before="120" w:after="120" w:line="360" w:lineRule="auto"/>
        <w:jc w:val="center"/>
        <w:textAlignment w:val="baseline"/>
        <w:rPr>
          <w:rFonts w:asciiTheme="majorEastAsia" w:hAnsiTheme="majorEastAsia" w:eastAsiaTheme="majorEastAsia" w:cstheme="majorEastAsia"/>
          <w:sz w:val="28"/>
          <w:szCs w:val="28"/>
        </w:rPr>
      </w:pPr>
      <w:r>
        <w:rPr>
          <w:rFonts w:hint="eastAsia" w:asciiTheme="majorEastAsia" w:hAnsiTheme="majorEastAsia" w:eastAsiaTheme="majorEastAsia" w:cstheme="majorEastAsia"/>
          <w:b/>
          <w:sz w:val="28"/>
          <w:szCs w:val="28"/>
        </w:rPr>
        <w:t>项目实施人员一览表</w:t>
      </w:r>
    </w:p>
    <w:tbl>
      <w:tblPr>
        <w:tblStyle w:val="56"/>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85"/>
        <w:gridCol w:w="1074"/>
        <w:gridCol w:w="970"/>
        <w:gridCol w:w="1052"/>
        <w:gridCol w:w="1276"/>
        <w:gridCol w:w="1275"/>
        <w:gridCol w:w="1701"/>
        <w:gridCol w:w="198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trPr>
        <w:tc>
          <w:tcPr>
            <w:tcW w:w="585"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序号</w:t>
            </w:r>
          </w:p>
        </w:tc>
        <w:tc>
          <w:tcPr>
            <w:tcW w:w="1074"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项目组所任职务</w:t>
            </w:r>
          </w:p>
        </w:tc>
        <w:tc>
          <w:tcPr>
            <w:tcW w:w="970"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姓名</w:t>
            </w:r>
          </w:p>
        </w:tc>
        <w:tc>
          <w:tcPr>
            <w:tcW w:w="1052"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职称</w:t>
            </w:r>
          </w:p>
        </w:tc>
        <w:tc>
          <w:tcPr>
            <w:tcW w:w="1276"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专业技术资格</w:t>
            </w:r>
          </w:p>
        </w:tc>
        <w:tc>
          <w:tcPr>
            <w:tcW w:w="1275"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专业技术资格证书编号</w:t>
            </w:r>
          </w:p>
        </w:tc>
        <w:tc>
          <w:tcPr>
            <w:tcW w:w="1701"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从事本工作时间</w:t>
            </w:r>
          </w:p>
        </w:tc>
        <w:tc>
          <w:tcPr>
            <w:tcW w:w="1985"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典型业务</w:t>
            </w:r>
          </w:p>
          <w:p>
            <w:pPr>
              <w:pStyle w:val="36"/>
              <w:jc w:val="center"/>
              <w:rPr>
                <w:rFonts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与技术专长</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w:t>
            </w:r>
          </w:p>
        </w:tc>
        <w:tc>
          <w:tcPr>
            <w:tcW w:w="1074"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c>
          <w:tcPr>
            <w:tcW w:w="970"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c>
          <w:tcPr>
            <w:tcW w:w="1052"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c>
          <w:tcPr>
            <w:tcW w:w="1276"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c>
          <w:tcPr>
            <w:tcW w:w="1275" w:type="dxa"/>
            <w:tcBorders>
              <w:top w:val="single" w:color="auto" w:sz="4" w:space="0"/>
              <w:left w:val="single" w:color="auto" w:sz="4" w:space="0"/>
              <w:bottom w:val="single" w:color="auto" w:sz="4" w:space="0"/>
              <w:right w:val="single" w:color="auto" w:sz="4" w:space="0"/>
            </w:tcBorders>
          </w:tcPr>
          <w:p>
            <w:pPr>
              <w:pStyle w:val="36"/>
              <w:jc w:val="center"/>
              <w:rPr>
                <w:rFonts w:asciiTheme="majorEastAsia" w:hAnsiTheme="majorEastAsia" w:eastAsiaTheme="majorEastAsia" w:cstheme="majorEastAsia"/>
                <w:sz w:val="21"/>
                <w:szCs w:val="21"/>
              </w:rPr>
            </w:pPr>
          </w:p>
        </w:tc>
        <w:tc>
          <w:tcPr>
            <w:tcW w:w="1701"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c>
          <w:tcPr>
            <w:tcW w:w="1985"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w:t>
            </w:r>
          </w:p>
        </w:tc>
        <w:tc>
          <w:tcPr>
            <w:tcW w:w="1074"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c>
          <w:tcPr>
            <w:tcW w:w="970"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c>
          <w:tcPr>
            <w:tcW w:w="1052"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c>
          <w:tcPr>
            <w:tcW w:w="1276"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c>
          <w:tcPr>
            <w:tcW w:w="1275" w:type="dxa"/>
            <w:tcBorders>
              <w:top w:val="single" w:color="auto" w:sz="4" w:space="0"/>
              <w:left w:val="single" w:color="auto" w:sz="4" w:space="0"/>
              <w:bottom w:val="single" w:color="auto" w:sz="4" w:space="0"/>
              <w:right w:val="single" w:color="auto" w:sz="4" w:space="0"/>
            </w:tcBorders>
          </w:tcPr>
          <w:p>
            <w:pPr>
              <w:pStyle w:val="36"/>
              <w:jc w:val="center"/>
              <w:rPr>
                <w:rFonts w:asciiTheme="majorEastAsia" w:hAnsiTheme="majorEastAsia" w:eastAsiaTheme="majorEastAsia" w:cstheme="majorEastAsia"/>
                <w:sz w:val="21"/>
                <w:szCs w:val="21"/>
              </w:rPr>
            </w:pPr>
          </w:p>
        </w:tc>
        <w:tc>
          <w:tcPr>
            <w:tcW w:w="1701"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c>
          <w:tcPr>
            <w:tcW w:w="1985"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w:t>
            </w:r>
          </w:p>
        </w:tc>
        <w:tc>
          <w:tcPr>
            <w:tcW w:w="1074"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c>
          <w:tcPr>
            <w:tcW w:w="970"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c>
          <w:tcPr>
            <w:tcW w:w="1052"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c>
          <w:tcPr>
            <w:tcW w:w="1276"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c>
          <w:tcPr>
            <w:tcW w:w="1275" w:type="dxa"/>
            <w:tcBorders>
              <w:top w:val="single" w:color="auto" w:sz="4" w:space="0"/>
              <w:left w:val="single" w:color="auto" w:sz="4" w:space="0"/>
              <w:bottom w:val="single" w:color="auto" w:sz="4" w:space="0"/>
              <w:right w:val="single" w:color="auto" w:sz="4" w:space="0"/>
            </w:tcBorders>
          </w:tcPr>
          <w:p>
            <w:pPr>
              <w:pStyle w:val="36"/>
              <w:jc w:val="center"/>
              <w:rPr>
                <w:rFonts w:asciiTheme="majorEastAsia" w:hAnsiTheme="majorEastAsia" w:eastAsiaTheme="majorEastAsia" w:cstheme="majorEastAsia"/>
                <w:sz w:val="21"/>
                <w:szCs w:val="21"/>
              </w:rPr>
            </w:pPr>
          </w:p>
        </w:tc>
        <w:tc>
          <w:tcPr>
            <w:tcW w:w="1701"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c>
          <w:tcPr>
            <w:tcW w:w="1985"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4</w:t>
            </w:r>
          </w:p>
        </w:tc>
        <w:tc>
          <w:tcPr>
            <w:tcW w:w="1074"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c>
          <w:tcPr>
            <w:tcW w:w="970"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c>
          <w:tcPr>
            <w:tcW w:w="1052"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c>
          <w:tcPr>
            <w:tcW w:w="1276"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c>
          <w:tcPr>
            <w:tcW w:w="1275" w:type="dxa"/>
            <w:tcBorders>
              <w:top w:val="single" w:color="auto" w:sz="4" w:space="0"/>
              <w:left w:val="single" w:color="auto" w:sz="4" w:space="0"/>
              <w:bottom w:val="single" w:color="auto" w:sz="4" w:space="0"/>
              <w:right w:val="single" w:color="auto" w:sz="4" w:space="0"/>
            </w:tcBorders>
          </w:tcPr>
          <w:p>
            <w:pPr>
              <w:pStyle w:val="36"/>
              <w:jc w:val="center"/>
              <w:rPr>
                <w:rFonts w:asciiTheme="majorEastAsia" w:hAnsiTheme="majorEastAsia" w:eastAsiaTheme="majorEastAsia" w:cstheme="majorEastAsia"/>
                <w:sz w:val="21"/>
                <w:szCs w:val="21"/>
              </w:rPr>
            </w:pPr>
          </w:p>
        </w:tc>
        <w:tc>
          <w:tcPr>
            <w:tcW w:w="1701"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c>
          <w:tcPr>
            <w:tcW w:w="1985"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5</w:t>
            </w:r>
          </w:p>
        </w:tc>
        <w:tc>
          <w:tcPr>
            <w:tcW w:w="1074"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c>
          <w:tcPr>
            <w:tcW w:w="970"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c>
          <w:tcPr>
            <w:tcW w:w="1052"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c>
          <w:tcPr>
            <w:tcW w:w="1276"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c>
          <w:tcPr>
            <w:tcW w:w="1275" w:type="dxa"/>
            <w:tcBorders>
              <w:top w:val="single" w:color="auto" w:sz="4" w:space="0"/>
              <w:left w:val="single" w:color="auto" w:sz="4" w:space="0"/>
              <w:bottom w:val="single" w:color="auto" w:sz="4" w:space="0"/>
              <w:right w:val="single" w:color="auto" w:sz="4" w:space="0"/>
            </w:tcBorders>
          </w:tcPr>
          <w:p>
            <w:pPr>
              <w:pStyle w:val="36"/>
              <w:jc w:val="center"/>
              <w:rPr>
                <w:rFonts w:asciiTheme="majorEastAsia" w:hAnsiTheme="majorEastAsia" w:eastAsiaTheme="majorEastAsia" w:cstheme="majorEastAsia"/>
                <w:sz w:val="21"/>
                <w:szCs w:val="21"/>
              </w:rPr>
            </w:pPr>
          </w:p>
        </w:tc>
        <w:tc>
          <w:tcPr>
            <w:tcW w:w="1701"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c>
          <w:tcPr>
            <w:tcW w:w="1985" w:type="dxa"/>
            <w:tcBorders>
              <w:top w:val="single" w:color="auto" w:sz="4" w:space="0"/>
              <w:left w:val="single" w:color="auto" w:sz="4" w:space="0"/>
              <w:bottom w:val="single" w:color="auto" w:sz="4" w:space="0"/>
              <w:right w:val="single" w:color="auto" w:sz="4" w:space="0"/>
            </w:tcBorders>
            <w:vAlign w:val="center"/>
          </w:tcPr>
          <w:p>
            <w:pPr>
              <w:pStyle w:val="36"/>
              <w:jc w:val="center"/>
              <w:rPr>
                <w:rFonts w:asciiTheme="majorEastAsia" w:hAnsiTheme="majorEastAsia" w:eastAsiaTheme="majorEastAsia" w:cstheme="majorEastAsia"/>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w:t>
            </w:r>
          </w:p>
        </w:tc>
        <w:tc>
          <w:tcPr>
            <w:tcW w:w="1074" w:type="dxa"/>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p>
        </w:tc>
        <w:tc>
          <w:tcPr>
            <w:tcW w:w="970" w:type="dxa"/>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p>
        </w:tc>
        <w:tc>
          <w:tcPr>
            <w:tcW w:w="1052" w:type="dxa"/>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p>
        </w:tc>
        <w:tc>
          <w:tcPr>
            <w:tcW w:w="1276" w:type="dxa"/>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p>
        </w:tc>
        <w:tc>
          <w:tcPr>
            <w:tcW w:w="1275" w:type="dxa"/>
            <w:tcBorders>
              <w:top w:val="single" w:color="auto" w:sz="4" w:space="0"/>
              <w:left w:val="single" w:color="auto" w:sz="4" w:space="0"/>
              <w:bottom w:val="single" w:color="auto" w:sz="4" w:space="0"/>
              <w:right w:val="single" w:color="auto" w:sz="4" w:space="0"/>
            </w:tcBorders>
          </w:tcPr>
          <w:p>
            <w:pPr>
              <w:rPr>
                <w:rFonts w:asciiTheme="majorEastAsia" w:hAnsiTheme="majorEastAsia" w:eastAsiaTheme="majorEastAsia" w:cstheme="majorEastAsia"/>
                <w:szCs w:val="21"/>
              </w:rPr>
            </w:pPr>
          </w:p>
        </w:tc>
        <w:tc>
          <w:tcPr>
            <w:tcW w:w="1701" w:type="dxa"/>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p>
        </w:tc>
        <w:tc>
          <w:tcPr>
            <w:tcW w:w="1985" w:type="dxa"/>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p>
        </w:tc>
      </w:tr>
    </w:tbl>
    <w:p>
      <w:pPr>
        <w:spacing w:line="360" w:lineRule="auto"/>
        <w:ind w:firstLine="482" w:firstLineChars="200"/>
        <w:rPr>
          <w:rFonts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注：1、“项目实施人员”指供应商针对该项目的销售、培训、售后服务等完成本项目所配备的人员。</w:t>
      </w:r>
    </w:p>
    <w:p>
      <w:pPr>
        <w:spacing w:line="360" w:lineRule="auto"/>
        <w:ind w:firstLine="964" w:firstLineChars="400"/>
        <w:rPr>
          <w:rFonts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2、附各专业人员简历及相关证明材料复印件；</w:t>
      </w:r>
    </w:p>
    <w:p>
      <w:pPr>
        <w:spacing w:line="360" w:lineRule="auto"/>
        <w:ind w:firstLine="964" w:firstLineChars="400"/>
        <w:rPr>
          <w:rFonts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3、表格不够填写可添加。</w:t>
      </w:r>
    </w:p>
    <w:p>
      <w:pPr>
        <w:wordWrap w:val="0"/>
        <w:snapToGrid w:val="0"/>
        <w:spacing w:before="120" w:beforeLines="50" w:line="400" w:lineRule="exact"/>
        <w:ind w:firstLine="200"/>
        <w:jc w:val="right"/>
        <w:rPr>
          <w:rFonts w:asciiTheme="majorEastAsia" w:hAnsiTheme="majorEastAsia" w:eastAsiaTheme="majorEastAsia" w:cstheme="majorEastAsia"/>
          <w:szCs w:val="20"/>
          <w:u w:val="single"/>
        </w:rPr>
      </w:pPr>
      <w:r>
        <w:rPr>
          <w:rFonts w:hint="eastAsia" w:asciiTheme="majorEastAsia" w:hAnsiTheme="majorEastAsia" w:eastAsiaTheme="majorEastAsia" w:cstheme="majorEastAsia"/>
        </w:rPr>
        <w:t xml:space="preserve">法定代表人或被授权人签字（或盖章）：      </w:t>
      </w:r>
    </w:p>
    <w:p>
      <w:pPr>
        <w:ind w:firstLine="5040" w:firstLineChars="2100"/>
        <w:rPr>
          <w:rFonts w:asciiTheme="majorEastAsia" w:hAnsiTheme="majorEastAsia" w:eastAsiaTheme="majorEastAsia" w:cstheme="majorEastAsia"/>
        </w:rPr>
      </w:pPr>
      <w:r>
        <w:rPr>
          <w:rFonts w:hint="eastAsia" w:asciiTheme="majorEastAsia" w:hAnsiTheme="majorEastAsia" w:eastAsiaTheme="majorEastAsia" w:cstheme="majorEastAsia"/>
        </w:rPr>
        <w:t>投标供应商名称（</w:t>
      </w:r>
      <w:r>
        <w:rPr>
          <w:rFonts w:hint="eastAsia" w:asciiTheme="majorEastAsia" w:hAnsiTheme="majorEastAsia" w:eastAsiaTheme="majorEastAsia" w:cstheme="majorEastAsia"/>
          <w:kern w:val="0"/>
          <w:lang w:val="zh-CN"/>
        </w:rPr>
        <w:t>盖章</w:t>
      </w:r>
      <w:r>
        <w:rPr>
          <w:rFonts w:hint="eastAsia" w:asciiTheme="majorEastAsia" w:hAnsiTheme="majorEastAsia" w:eastAsiaTheme="majorEastAsia" w:cstheme="majorEastAsia"/>
        </w:rPr>
        <w:t xml:space="preserve">）：             </w:t>
      </w:r>
    </w:p>
    <w:p>
      <w:pPr>
        <w:spacing w:line="360" w:lineRule="auto"/>
        <w:ind w:firstLine="3360" w:firstLineChars="1400"/>
        <w:rPr>
          <w:rFonts w:asciiTheme="majorEastAsia" w:hAnsiTheme="majorEastAsia" w:eastAsiaTheme="majorEastAsia" w:cstheme="majorEastAsia"/>
        </w:rPr>
      </w:pPr>
      <w:r>
        <w:rPr>
          <w:rFonts w:hint="eastAsia" w:asciiTheme="majorEastAsia" w:hAnsiTheme="majorEastAsia" w:eastAsiaTheme="majorEastAsia" w:cstheme="majorEastAsia"/>
        </w:rPr>
        <w:t xml:space="preserve"> </w:t>
      </w:r>
      <w:r>
        <w:rPr>
          <w:rFonts w:asciiTheme="majorEastAsia" w:hAnsiTheme="majorEastAsia" w:eastAsiaTheme="majorEastAsia" w:cstheme="majorEastAsia"/>
        </w:rPr>
        <w:t xml:space="preserve">             </w:t>
      </w:r>
      <w:r>
        <w:rPr>
          <w:rFonts w:hint="eastAsia" w:asciiTheme="majorEastAsia" w:hAnsiTheme="majorEastAsia" w:eastAsiaTheme="majorEastAsia" w:cstheme="majorEastAsia"/>
        </w:rPr>
        <w:t>日期：   年   月   日</w:t>
      </w:r>
    </w:p>
    <w:p>
      <w:pPr>
        <w:pStyle w:val="569"/>
        <w:spacing w:line="360" w:lineRule="auto"/>
        <w:rPr>
          <w:rFonts w:asciiTheme="majorEastAsia" w:hAnsiTheme="majorEastAsia" w:eastAsiaTheme="majorEastAsia" w:cstheme="majorEastAsia"/>
          <w:b/>
          <w:sz w:val="24"/>
        </w:rPr>
      </w:pPr>
      <w:r>
        <w:rPr>
          <w:rFonts w:hint="eastAsia" w:asciiTheme="majorEastAsia" w:hAnsiTheme="majorEastAsia" w:eastAsiaTheme="majorEastAsia" w:cstheme="majorEastAsia"/>
          <w:b/>
          <w:sz w:val="24"/>
          <w:szCs w:val="24"/>
        </w:rPr>
        <w:t>5.投入设备一览表</w:t>
      </w:r>
    </w:p>
    <w:p>
      <w:pPr>
        <w:pStyle w:val="8"/>
        <w:overflowPunct w:val="0"/>
        <w:ind w:firstLine="0"/>
        <w:jc w:val="center"/>
        <w:rPr>
          <w:rFonts w:asciiTheme="majorEastAsia" w:hAnsiTheme="majorEastAsia" w:eastAsiaTheme="majorEastAsia" w:cstheme="majorEastAsia"/>
          <w:b/>
          <w:sz w:val="28"/>
          <w:szCs w:val="28"/>
        </w:rPr>
      </w:pPr>
      <w:r>
        <w:rPr>
          <w:rFonts w:hint="eastAsia" w:asciiTheme="majorEastAsia" w:hAnsiTheme="majorEastAsia" w:eastAsiaTheme="majorEastAsia" w:cstheme="majorEastAsia"/>
          <w:b/>
          <w:sz w:val="28"/>
          <w:szCs w:val="28"/>
        </w:rPr>
        <w:t>投入设备一览表</w:t>
      </w:r>
    </w:p>
    <w:p>
      <w:pPr>
        <w:pStyle w:val="8"/>
        <w:overflowPunct w:val="0"/>
        <w:ind w:firstLine="0"/>
        <w:rPr>
          <w:rFonts w:asciiTheme="majorEastAsia" w:hAnsiTheme="majorEastAsia" w:eastAsiaTheme="majorEastAsia" w:cstheme="majorEastAsia"/>
          <w:b/>
          <w:szCs w:val="21"/>
        </w:rPr>
      </w:pPr>
    </w:p>
    <w:tbl>
      <w:tblPr>
        <w:tblStyle w:val="5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2"/>
        <w:gridCol w:w="1816"/>
        <w:gridCol w:w="1211"/>
        <w:gridCol w:w="1211"/>
        <w:gridCol w:w="679"/>
        <w:gridCol w:w="679"/>
        <w:gridCol w:w="24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752" w:type="dxa"/>
            <w:vAlign w:val="center"/>
          </w:tcPr>
          <w:p>
            <w:pPr>
              <w:pStyle w:val="569"/>
              <w:jc w:val="center"/>
              <w:rPr>
                <w:rFonts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序号</w:t>
            </w:r>
          </w:p>
        </w:tc>
        <w:tc>
          <w:tcPr>
            <w:tcW w:w="1816" w:type="dxa"/>
            <w:vAlign w:val="center"/>
          </w:tcPr>
          <w:p>
            <w:pPr>
              <w:pStyle w:val="569"/>
              <w:jc w:val="center"/>
              <w:rPr>
                <w:rFonts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名称</w:t>
            </w:r>
          </w:p>
        </w:tc>
        <w:tc>
          <w:tcPr>
            <w:tcW w:w="1211" w:type="dxa"/>
            <w:vAlign w:val="center"/>
          </w:tcPr>
          <w:p>
            <w:pPr>
              <w:pStyle w:val="569"/>
              <w:jc w:val="center"/>
              <w:rPr>
                <w:rFonts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品牌</w:t>
            </w:r>
          </w:p>
        </w:tc>
        <w:tc>
          <w:tcPr>
            <w:tcW w:w="1211" w:type="dxa"/>
            <w:vAlign w:val="center"/>
          </w:tcPr>
          <w:p>
            <w:pPr>
              <w:pStyle w:val="569"/>
              <w:jc w:val="center"/>
              <w:rPr>
                <w:rFonts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型号、规格</w:t>
            </w:r>
          </w:p>
        </w:tc>
        <w:tc>
          <w:tcPr>
            <w:tcW w:w="679" w:type="dxa"/>
            <w:vAlign w:val="center"/>
          </w:tcPr>
          <w:p>
            <w:pPr>
              <w:pStyle w:val="569"/>
              <w:jc w:val="center"/>
              <w:rPr>
                <w:rFonts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w:t>
            </w:r>
          </w:p>
        </w:tc>
        <w:tc>
          <w:tcPr>
            <w:tcW w:w="679" w:type="dxa"/>
            <w:vAlign w:val="center"/>
          </w:tcPr>
          <w:p>
            <w:pPr>
              <w:pStyle w:val="569"/>
              <w:jc w:val="center"/>
              <w:rPr>
                <w:rFonts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数量</w:t>
            </w:r>
          </w:p>
        </w:tc>
        <w:tc>
          <w:tcPr>
            <w:tcW w:w="2400" w:type="dxa"/>
            <w:vAlign w:val="center"/>
          </w:tcPr>
          <w:p>
            <w:pPr>
              <w:pStyle w:val="569"/>
              <w:jc w:val="center"/>
              <w:rPr>
                <w:rFonts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设备性质（自有/租赁）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752" w:type="dxa"/>
            <w:vAlign w:val="center"/>
          </w:tcPr>
          <w:p>
            <w:pPr>
              <w:pStyle w:val="569"/>
              <w:jc w:val="center"/>
              <w:rPr>
                <w:rFonts w:asciiTheme="majorEastAsia" w:hAnsiTheme="majorEastAsia" w:eastAsiaTheme="majorEastAsia" w:cstheme="majorEastAsia"/>
                <w:sz w:val="21"/>
                <w:szCs w:val="21"/>
              </w:rPr>
            </w:pPr>
          </w:p>
        </w:tc>
        <w:tc>
          <w:tcPr>
            <w:tcW w:w="1816" w:type="dxa"/>
            <w:vAlign w:val="center"/>
          </w:tcPr>
          <w:p>
            <w:pPr>
              <w:pStyle w:val="569"/>
              <w:jc w:val="center"/>
              <w:rPr>
                <w:rFonts w:asciiTheme="majorEastAsia" w:hAnsiTheme="majorEastAsia" w:eastAsiaTheme="majorEastAsia" w:cstheme="majorEastAsia"/>
                <w:sz w:val="21"/>
                <w:szCs w:val="21"/>
              </w:rPr>
            </w:pPr>
          </w:p>
        </w:tc>
        <w:tc>
          <w:tcPr>
            <w:tcW w:w="1211" w:type="dxa"/>
          </w:tcPr>
          <w:p>
            <w:pPr>
              <w:pStyle w:val="569"/>
              <w:jc w:val="center"/>
              <w:rPr>
                <w:rFonts w:asciiTheme="majorEastAsia" w:hAnsiTheme="majorEastAsia" w:eastAsiaTheme="majorEastAsia" w:cstheme="majorEastAsia"/>
                <w:sz w:val="21"/>
                <w:szCs w:val="21"/>
              </w:rPr>
            </w:pPr>
          </w:p>
        </w:tc>
        <w:tc>
          <w:tcPr>
            <w:tcW w:w="1211" w:type="dxa"/>
            <w:vAlign w:val="center"/>
          </w:tcPr>
          <w:p>
            <w:pPr>
              <w:pStyle w:val="569"/>
              <w:jc w:val="center"/>
              <w:rPr>
                <w:rFonts w:asciiTheme="majorEastAsia" w:hAnsiTheme="majorEastAsia" w:eastAsiaTheme="majorEastAsia" w:cstheme="majorEastAsia"/>
                <w:sz w:val="21"/>
                <w:szCs w:val="21"/>
              </w:rPr>
            </w:pPr>
          </w:p>
        </w:tc>
        <w:tc>
          <w:tcPr>
            <w:tcW w:w="679" w:type="dxa"/>
            <w:vAlign w:val="center"/>
          </w:tcPr>
          <w:p>
            <w:pPr>
              <w:pStyle w:val="569"/>
              <w:jc w:val="center"/>
              <w:rPr>
                <w:rFonts w:asciiTheme="majorEastAsia" w:hAnsiTheme="majorEastAsia" w:eastAsiaTheme="majorEastAsia" w:cstheme="majorEastAsia"/>
                <w:sz w:val="21"/>
                <w:szCs w:val="21"/>
              </w:rPr>
            </w:pPr>
          </w:p>
        </w:tc>
        <w:tc>
          <w:tcPr>
            <w:tcW w:w="679" w:type="dxa"/>
            <w:vAlign w:val="center"/>
          </w:tcPr>
          <w:p>
            <w:pPr>
              <w:pStyle w:val="569"/>
              <w:jc w:val="center"/>
              <w:rPr>
                <w:rFonts w:asciiTheme="majorEastAsia" w:hAnsiTheme="majorEastAsia" w:eastAsiaTheme="majorEastAsia" w:cstheme="majorEastAsia"/>
                <w:sz w:val="21"/>
                <w:szCs w:val="21"/>
              </w:rPr>
            </w:pPr>
          </w:p>
        </w:tc>
        <w:tc>
          <w:tcPr>
            <w:tcW w:w="2400" w:type="dxa"/>
            <w:vAlign w:val="center"/>
          </w:tcPr>
          <w:p>
            <w:pPr>
              <w:pStyle w:val="569"/>
              <w:jc w:val="center"/>
              <w:rPr>
                <w:rFonts w:asciiTheme="majorEastAsia" w:hAnsiTheme="majorEastAsia" w:eastAsiaTheme="majorEastAsia" w:cstheme="maj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752" w:type="dxa"/>
            <w:vAlign w:val="center"/>
          </w:tcPr>
          <w:p>
            <w:pPr>
              <w:pStyle w:val="569"/>
              <w:jc w:val="center"/>
              <w:rPr>
                <w:rFonts w:asciiTheme="majorEastAsia" w:hAnsiTheme="majorEastAsia" w:eastAsiaTheme="majorEastAsia" w:cstheme="majorEastAsia"/>
                <w:sz w:val="21"/>
                <w:szCs w:val="21"/>
              </w:rPr>
            </w:pPr>
          </w:p>
        </w:tc>
        <w:tc>
          <w:tcPr>
            <w:tcW w:w="1816" w:type="dxa"/>
            <w:vAlign w:val="center"/>
          </w:tcPr>
          <w:p>
            <w:pPr>
              <w:pStyle w:val="569"/>
              <w:jc w:val="center"/>
              <w:rPr>
                <w:rFonts w:asciiTheme="majorEastAsia" w:hAnsiTheme="majorEastAsia" w:eastAsiaTheme="majorEastAsia" w:cstheme="majorEastAsia"/>
                <w:sz w:val="21"/>
                <w:szCs w:val="21"/>
              </w:rPr>
            </w:pPr>
          </w:p>
        </w:tc>
        <w:tc>
          <w:tcPr>
            <w:tcW w:w="1211" w:type="dxa"/>
          </w:tcPr>
          <w:p>
            <w:pPr>
              <w:pStyle w:val="569"/>
              <w:jc w:val="center"/>
              <w:rPr>
                <w:rFonts w:asciiTheme="majorEastAsia" w:hAnsiTheme="majorEastAsia" w:eastAsiaTheme="majorEastAsia" w:cstheme="majorEastAsia"/>
                <w:sz w:val="21"/>
                <w:szCs w:val="21"/>
              </w:rPr>
            </w:pPr>
          </w:p>
        </w:tc>
        <w:tc>
          <w:tcPr>
            <w:tcW w:w="1211" w:type="dxa"/>
            <w:vAlign w:val="center"/>
          </w:tcPr>
          <w:p>
            <w:pPr>
              <w:pStyle w:val="569"/>
              <w:jc w:val="center"/>
              <w:rPr>
                <w:rFonts w:asciiTheme="majorEastAsia" w:hAnsiTheme="majorEastAsia" w:eastAsiaTheme="majorEastAsia" w:cstheme="majorEastAsia"/>
                <w:sz w:val="21"/>
                <w:szCs w:val="21"/>
              </w:rPr>
            </w:pPr>
          </w:p>
        </w:tc>
        <w:tc>
          <w:tcPr>
            <w:tcW w:w="679" w:type="dxa"/>
            <w:vAlign w:val="center"/>
          </w:tcPr>
          <w:p>
            <w:pPr>
              <w:pStyle w:val="569"/>
              <w:jc w:val="center"/>
              <w:rPr>
                <w:rFonts w:asciiTheme="majorEastAsia" w:hAnsiTheme="majorEastAsia" w:eastAsiaTheme="majorEastAsia" w:cstheme="majorEastAsia"/>
                <w:sz w:val="21"/>
                <w:szCs w:val="21"/>
              </w:rPr>
            </w:pPr>
          </w:p>
        </w:tc>
        <w:tc>
          <w:tcPr>
            <w:tcW w:w="679" w:type="dxa"/>
            <w:vAlign w:val="center"/>
          </w:tcPr>
          <w:p>
            <w:pPr>
              <w:pStyle w:val="569"/>
              <w:jc w:val="center"/>
              <w:rPr>
                <w:rFonts w:asciiTheme="majorEastAsia" w:hAnsiTheme="majorEastAsia" w:eastAsiaTheme="majorEastAsia" w:cstheme="majorEastAsia"/>
                <w:sz w:val="21"/>
                <w:szCs w:val="21"/>
              </w:rPr>
            </w:pPr>
          </w:p>
        </w:tc>
        <w:tc>
          <w:tcPr>
            <w:tcW w:w="2400" w:type="dxa"/>
            <w:vAlign w:val="center"/>
          </w:tcPr>
          <w:p>
            <w:pPr>
              <w:pStyle w:val="569"/>
              <w:jc w:val="center"/>
              <w:rPr>
                <w:rFonts w:asciiTheme="majorEastAsia" w:hAnsiTheme="majorEastAsia" w:eastAsiaTheme="majorEastAsia" w:cstheme="maj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752" w:type="dxa"/>
            <w:vAlign w:val="center"/>
          </w:tcPr>
          <w:p>
            <w:pPr>
              <w:pStyle w:val="569"/>
              <w:jc w:val="center"/>
              <w:rPr>
                <w:rFonts w:asciiTheme="majorEastAsia" w:hAnsiTheme="majorEastAsia" w:eastAsiaTheme="majorEastAsia" w:cstheme="majorEastAsia"/>
                <w:sz w:val="21"/>
                <w:szCs w:val="21"/>
              </w:rPr>
            </w:pPr>
          </w:p>
        </w:tc>
        <w:tc>
          <w:tcPr>
            <w:tcW w:w="1816" w:type="dxa"/>
            <w:vAlign w:val="center"/>
          </w:tcPr>
          <w:p>
            <w:pPr>
              <w:pStyle w:val="569"/>
              <w:jc w:val="center"/>
              <w:rPr>
                <w:rFonts w:asciiTheme="majorEastAsia" w:hAnsiTheme="majorEastAsia" w:eastAsiaTheme="majorEastAsia" w:cstheme="majorEastAsia"/>
                <w:sz w:val="21"/>
                <w:szCs w:val="21"/>
              </w:rPr>
            </w:pPr>
          </w:p>
        </w:tc>
        <w:tc>
          <w:tcPr>
            <w:tcW w:w="1211" w:type="dxa"/>
          </w:tcPr>
          <w:p>
            <w:pPr>
              <w:pStyle w:val="569"/>
              <w:jc w:val="center"/>
              <w:rPr>
                <w:rFonts w:asciiTheme="majorEastAsia" w:hAnsiTheme="majorEastAsia" w:eastAsiaTheme="majorEastAsia" w:cstheme="majorEastAsia"/>
                <w:sz w:val="21"/>
                <w:szCs w:val="21"/>
              </w:rPr>
            </w:pPr>
          </w:p>
        </w:tc>
        <w:tc>
          <w:tcPr>
            <w:tcW w:w="1211" w:type="dxa"/>
            <w:vAlign w:val="center"/>
          </w:tcPr>
          <w:p>
            <w:pPr>
              <w:pStyle w:val="569"/>
              <w:jc w:val="center"/>
              <w:rPr>
                <w:rFonts w:asciiTheme="majorEastAsia" w:hAnsiTheme="majorEastAsia" w:eastAsiaTheme="majorEastAsia" w:cstheme="majorEastAsia"/>
                <w:sz w:val="21"/>
                <w:szCs w:val="21"/>
              </w:rPr>
            </w:pPr>
          </w:p>
        </w:tc>
        <w:tc>
          <w:tcPr>
            <w:tcW w:w="679" w:type="dxa"/>
            <w:vAlign w:val="center"/>
          </w:tcPr>
          <w:p>
            <w:pPr>
              <w:pStyle w:val="569"/>
              <w:jc w:val="center"/>
              <w:rPr>
                <w:rFonts w:asciiTheme="majorEastAsia" w:hAnsiTheme="majorEastAsia" w:eastAsiaTheme="majorEastAsia" w:cstheme="majorEastAsia"/>
                <w:sz w:val="21"/>
                <w:szCs w:val="21"/>
              </w:rPr>
            </w:pPr>
          </w:p>
        </w:tc>
        <w:tc>
          <w:tcPr>
            <w:tcW w:w="679" w:type="dxa"/>
            <w:vAlign w:val="center"/>
          </w:tcPr>
          <w:p>
            <w:pPr>
              <w:pStyle w:val="569"/>
              <w:jc w:val="center"/>
              <w:rPr>
                <w:rFonts w:asciiTheme="majorEastAsia" w:hAnsiTheme="majorEastAsia" w:eastAsiaTheme="majorEastAsia" w:cstheme="majorEastAsia"/>
                <w:sz w:val="21"/>
                <w:szCs w:val="21"/>
              </w:rPr>
            </w:pPr>
          </w:p>
        </w:tc>
        <w:tc>
          <w:tcPr>
            <w:tcW w:w="2400" w:type="dxa"/>
            <w:vAlign w:val="center"/>
          </w:tcPr>
          <w:p>
            <w:pPr>
              <w:pStyle w:val="569"/>
              <w:jc w:val="center"/>
              <w:rPr>
                <w:rFonts w:asciiTheme="majorEastAsia" w:hAnsiTheme="majorEastAsia" w:eastAsiaTheme="majorEastAsia" w:cstheme="majorEastAsia"/>
                <w:sz w:val="21"/>
                <w:szCs w:val="21"/>
              </w:rPr>
            </w:pPr>
          </w:p>
        </w:tc>
      </w:tr>
    </w:tbl>
    <w:p>
      <w:pPr>
        <w:wordWrap w:val="0"/>
        <w:snapToGrid w:val="0"/>
        <w:spacing w:before="120" w:beforeLines="50" w:line="400" w:lineRule="exact"/>
        <w:ind w:firstLine="200"/>
        <w:jc w:val="right"/>
        <w:rPr>
          <w:rFonts w:asciiTheme="majorEastAsia" w:hAnsiTheme="majorEastAsia" w:eastAsiaTheme="majorEastAsia" w:cstheme="majorEastAsia"/>
          <w:szCs w:val="20"/>
          <w:u w:val="single"/>
        </w:rPr>
      </w:pPr>
      <w:r>
        <w:rPr>
          <w:rFonts w:hint="eastAsia" w:asciiTheme="majorEastAsia" w:hAnsiTheme="majorEastAsia" w:eastAsiaTheme="majorEastAsia" w:cstheme="majorEastAsia"/>
        </w:rPr>
        <w:t xml:space="preserve">法定代表人或被授权人签字（或盖章）：      </w:t>
      </w:r>
    </w:p>
    <w:p>
      <w:pPr>
        <w:ind w:firstLine="5040" w:firstLineChars="2100"/>
        <w:rPr>
          <w:rFonts w:asciiTheme="majorEastAsia" w:hAnsiTheme="majorEastAsia" w:eastAsiaTheme="majorEastAsia" w:cstheme="majorEastAsia"/>
        </w:rPr>
      </w:pPr>
      <w:r>
        <w:rPr>
          <w:rFonts w:hint="eastAsia" w:asciiTheme="majorEastAsia" w:hAnsiTheme="majorEastAsia" w:eastAsiaTheme="majorEastAsia" w:cstheme="majorEastAsia"/>
        </w:rPr>
        <w:t>投标供应商名称（</w:t>
      </w:r>
      <w:r>
        <w:rPr>
          <w:rFonts w:hint="eastAsia" w:asciiTheme="majorEastAsia" w:hAnsiTheme="majorEastAsia" w:eastAsiaTheme="majorEastAsia" w:cstheme="majorEastAsia"/>
          <w:kern w:val="0"/>
          <w:lang w:val="zh-CN"/>
        </w:rPr>
        <w:t>盖章</w:t>
      </w:r>
      <w:r>
        <w:rPr>
          <w:rFonts w:hint="eastAsia" w:asciiTheme="majorEastAsia" w:hAnsiTheme="majorEastAsia" w:eastAsiaTheme="majorEastAsia" w:cstheme="majorEastAsia"/>
        </w:rPr>
        <w:t xml:space="preserve">）：             </w:t>
      </w:r>
    </w:p>
    <w:p>
      <w:pPr>
        <w:spacing w:line="360" w:lineRule="auto"/>
        <w:ind w:firstLine="3360" w:firstLineChars="1400"/>
        <w:rPr>
          <w:rFonts w:asciiTheme="majorEastAsia" w:hAnsiTheme="majorEastAsia" w:eastAsiaTheme="majorEastAsia" w:cstheme="majorEastAsia"/>
        </w:rPr>
      </w:pPr>
      <w:r>
        <w:rPr>
          <w:rFonts w:hint="eastAsia" w:asciiTheme="majorEastAsia" w:hAnsiTheme="majorEastAsia" w:eastAsiaTheme="majorEastAsia" w:cstheme="majorEastAsia"/>
        </w:rPr>
        <w:t xml:space="preserve"> </w:t>
      </w:r>
      <w:r>
        <w:rPr>
          <w:rFonts w:asciiTheme="majorEastAsia" w:hAnsiTheme="majorEastAsia" w:eastAsiaTheme="majorEastAsia" w:cstheme="majorEastAsia"/>
        </w:rPr>
        <w:t xml:space="preserve">             </w:t>
      </w:r>
      <w:r>
        <w:rPr>
          <w:rFonts w:hint="eastAsia" w:asciiTheme="majorEastAsia" w:hAnsiTheme="majorEastAsia" w:eastAsiaTheme="majorEastAsia" w:cstheme="majorEastAsia"/>
        </w:rPr>
        <w:t>日期：   年   月   日</w:t>
      </w:r>
    </w:p>
    <w:p>
      <w:pPr>
        <w:pStyle w:val="569"/>
        <w:spacing w:line="360" w:lineRule="auto"/>
        <w:rPr>
          <w:rFonts w:asciiTheme="majorEastAsia" w:hAnsiTheme="majorEastAsia" w:eastAsiaTheme="majorEastAsia" w:cstheme="majorEastAsia"/>
          <w:b/>
          <w:sz w:val="24"/>
          <w:szCs w:val="24"/>
        </w:rPr>
      </w:pPr>
    </w:p>
    <w:p>
      <w:pPr>
        <w:pStyle w:val="569"/>
        <w:spacing w:line="360" w:lineRule="auto"/>
        <w:rPr>
          <w:rFonts w:asciiTheme="majorEastAsia" w:hAnsiTheme="majorEastAsia" w:eastAsiaTheme="majorEastAsia" w:cstheme="majorEastAsia"/>
          <w:b/>
          <w:sz w:val="24"/>
        </w:rPr>
      </w:pPr>
      <w:r>
        <w:rPr>
          <w:rFonts w:hint="eastAsia" w:asciiTheme="majorEastAsia" w:hAnsiTheme="majorEastAsia" w:eastAsiaTheme="majorEastAsia" w:cstheme="majorEastAsia"/>
          <w:b/>
          <w:sz w:val="24"/>
          <w:szCs w:val="24"/>
        </w:rPr>
        <w:t>6.选配件、专用耗材、售后服务优惠表</w:t>
      </w:r>
    </w:p>
    <w:p>
      <w:pPr>
        <w:pStyle w:val="8"/>
        <w:overflowPunct w:val="0"/>
        <w:ind w:firstLine="0"/>
        <w:jc w:val="center"/>
        <w:rPr>
          <w:rFonts w:asciiTheme="majorEastAsia" w:hAnsiTheme="majorEastAsia" w:eastAsiaTheme="majorEastAsia" w:cstheme="majorEastAsia"/>
          <w:b/>
          <w:sz w:val="28"/>
          <w:szCs w:val="28"/>
        </w:rPr>
      </w:pPr>
      <w:r>
        <w:rPr>
          <w:rFonts w:hint="eastAsia" w:asciiTheme="majorEastAsia" w:hAnsiTheme="majorEastAsia" w:eastAsiaTheme="majorEastAsia" w:cstheme="majorEastAsia"/>
          <w:b/>
          <w:sz w:val="28"/>
          <w:szCs w:val="28"/>
        </w:rPr>
        <w:t>选配件、专用耗材、售后服务优惠表</w:t>
      </w:r>
    </w:p>
    <w:p>
      <w:pPr>
        <w:pStyle w:val="8"/>
        <w:overflowPunct w:val="0"/>
        <w:ind w:firstLine="0"/>
        <w:rPr>
          <w:rFonts w:asciiTheme="majorEastAsia" w:hAnsiTheme="majorEastAsia" w:eastAsiaTheme="majorEastAsia" w:cstheme="majorEastAsia"/>
          <w:b/>
          <w:szCs w:val="21"/>
        </w:rPr>
      </w:pPr>
    </w:p>
    <w:tbl>
      <w:tblPr>
        <w:tblStyle w:val="5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039"/>
        <w:gridCol w:w="2506"/>
        <w:gridCol w:w="1671"/>
        <w:gridCol w:w="331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87" w:hRule="atLeast"/>
          <w:jc w:val="center"/>
        </w:trPr>
        <w:tc>
          <w:tcPr>
            <w:tcW w:w="1039" w:type="dxa"/>
            <w:vAlign w:val="center"/>
          </w:tcPr>
          <w:p>
            <w:pPr>
              <w:pStyle w:val="569"/>
              <w:jc w:val="center"/>
              <w:rPr>
                <w:rFonts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序号</w:t>
            </w:r>
          </w:p>
        </w:tc>
        <w:tc>
          <w:tcPr>
            <w:tcW w:w="2506" w:type="dxa"/>
            <w:vAlign w:val="center"/>
          </w:tcPr>
          <w:p>
            <w:pPr>
              <w:pStyle w:val="569"/>
              <w:jc w:val="center"/>
              <w:rPr>
                <w:rFonts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优惠内容</w:t>
            </w:r>
          </w:p>
        </w:tc>
        <w:tc>
          <w:tcPr>
            <w:tcW w:w="1671" w:type="dxa"/>
            <w:vAlign w:val="center"/>
          </w:tcPr>
          <w:p>
            <w:pPr>
              <w:pStyle w:val="569"/>
              <w:jc w:val="center"/>
              <w:rPr>
                <w:rFonts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单价</w:t>
            </w:r>
          </w:p>
        </w:tc>
        <w:tc>
          <w:tcPr>
            <w:tcW w:w="3312" w:type="dxa"/>
            <w:vAlign w:val="center"/>
          </w:tcPr>
          <w:p>
            <w:pPr>
              <w:pStyle w:val="569"/>
              <w:jc w:val="center"/>
              <w:rPr>
                <w:rFonts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比投标报价优惠率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87" w:hRule="atLeast"/>
          <w:jc w:val="center"/>
        </w:trPr>
        <w:tc>
          <w:tcPr>
            <w:tcW w:w="1039" w:type="dxa"/>
            <w:vAlign w:val="center"/>
          </w:tcPr>
          <w:p>
            <w:pPr>
              <w:pStyle w:val="569"/>
              <w:jc w:val="center"/>
              <w:rPr>
                <w:rFonts w:asciiTheme="majorEastAsia" w:hAnsiTheme="majorEastAsia" w:eastAsiaTheme="majorEastAsia" w:cstheme="majorEastAsia"/>
                <w:sz w:val="21"/>
                <w:szCs w:val="21"/>
              </w:rPr>
            </w:pPr>
          </w:p>
        </w:tc>
        <w:tc>
          <w:tcPr>
            <w:tcW w:w="2506" w:type="dxa"/>
            <w:vAlign w:val="center"/>
          </w:tcPr>
          <w:p>
            <w:pPr>
              <w:pStyle w:val="569"/>
              <w:jc w:val="center"/>
              <w:rPr>
                <w:rFonts w:asciiTheme="majorEastAsia" w:hAnsiTheme="majorEastAsia" w:eastAsiaTheme="majorEastAsia" w:cstheme="majorEastAsia"/>
                <w:sz w:val="21"/>
                <w:szCs w:val="21"/>
              </w:rPr>
            </w:pPr>
          </w:p>
        </w:tc>
        <w:tc>
          <w:tcPr>
            <w:tcW w:w="1671" w:type="dxa"/>
          </w:tcPr>
          <w:p>
            <w:pPr>
              <w:pStyle w:val="569"/>
              <w:jc w:val="center"/>
              <w:rPr>
                <w:rFonts w:asciiTheme="majorEastAsia" w:hAnsiTheme="majorEastAsia" w:eastAsiaTheme="majorEastAsia" w:cstheme="majorEastAsia"/>
                <w:sz w:val="21"/>
                <w:szCs w:val="21"/>
              </w:rPr>
            </w:pPr>
          </w:p>
        </w:tc>
        <w:tc>
          <w:tcPr>
            <w:tcW w:w="3312" w:type="dxa"/>
            <w:vAlign w:val="center"/>
          </w:tcPr>
          <w:p>
            <w:pPr>
              <w:pStyle w:val="569"/>
              <w:jc w:val="center"/>
              <w:rPr>
                <w:rFonts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u w:val="single"/>
              </w:rPr>
              <w:t xml:space="preserve">          </w:t>
            </w:r>
            <w:r>
              <w:rPr>
                <w:rFonts w:hint="eastAsia" w:asciiTheme="majorEastAsia" w:hAnsiTheme="majorEastAsia" w:eastAsiaTheme="majorEastAsia" w:cstheme="majorEastAsia"/>
                <w:sz w:val="21"/>
                <w:szCs w:val="21"/>
              </w:rPr>
              <w:t xml:space="preserve">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87" w:hRule="atLeast"/>
          <w:jc w:val="center"/>
        </w:trPr>
        <w:tc>
          <w:tcPr>
            <w:tcW w:w="1039" w:type="dxa"/>
            <w:vAlign w:val="center"/>
          </w:tcPr>
          <w:p>
            <w:pPr>
              <w:pStyle w:val="569"/>
              <w:jc w:val="center"/>
              <w:rPr>
                <w:rFonts w:asciiTheme="majorEastAsia" w:hAnsiTheme="majorEastAsia" w:eastAsiaTheme="majorEastAsia" w:cstheme="majorEastAsia"/>
                <w:sz w:val="21"/>
                <w:szCs w:val="21"/>
              </w:rPr>
            </w:pPr>
          </w:p>
        </w:tc>
        <w:tc>
          <w:tcPr>
            <w:tcW w:w="2506" w:type="dxa"/>
            <w:vAlign w:val="center"/>
          </w:tcPr>
          <w:p>
            <w:pPr>
              <w:pStyle w:val="569"/>
              <w:jc w:val="center"/>
              <w:rPr>
                <w:rFonts w:asciiTheme="majorEastAsia" w:hAnsiTheme="majorEastAsia" w:eastAsiaTheme="majorEastAsia" w:cstheme="majorEastAsia"/>
                <w:sz w:val="21"/>
                <w:szCs w:val="21"/>
              </w:rPr>
            </w:pPr>
          </w:p>
        </w:tc>
        <w:tc>
          <w:tcPr>
            <w:tcW w:w="1671" w:type="dxa"/>
          </w:tcPr>
          <w:p>
            <w:pPr>
              <w:pStyle w:val="569"/>
              <w:jc w:val="center"/>
              <w:rPr>
                <w:rFonts w:asciiTheme="majorEastAsia" w:hAnsiTheme="majorEastAsia" w:eastAsiaTheme="majorEastAsia" w:cstheme="majorEastAsia"/>
                <w:sz w:val="21"/>
                <w:szCs w:val="21"/>
              </w:rPr>
            </w:pPr>
          </w:p>
        </w:tc>
        <w:tc>
          <w:tcPr>
            <w:tcW w:w="3312" w:type="dxa"/>
            <w:vAlign w:val="center"/>
          </w:tcPr>
          <w:p>
            <w:pPr>
              <w:pStyle w:val="569"/>
              <w:jc w:val="center"/>
              <w:rPr>
                <w:rFonts w:asciiTheme="majorEastAsia" w:hAnsiTheme="majorEastAsia" w:eastAsiaTheme="majorEastAsia" w:cstheme="majorEastAsia"/>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87" w:hRule="atLeast"/>
          <w:jc w:val="center"/>
        </w:trPr>
        <w:tc>
          <w:tcPr>
            <w:tcW w:w="1039" w:type="dxa"/>
            <w:vAlign w:val="center"/>
          </w:tcPr>
          <w:p>
            <w:pPr>
              <w:pStyle w:val="569"/>
              <w:jc w:val="center"/>
              <w:rPr>
                <w:rFonts w:asciiTheme="majorEastAsia" w:hAnsiTheme="majorEastAsia" w:eastAsiaTheme="majorEastAsia" w:cstheme="majorEastAsia"/>
                <w:sz w:val="21"/>
                <w:szCs w:val="21"/>
              </w:rPr>
            </w:pPr>
          </w:p>
        </w:tc>
        <w:tc>
          <w:tcPr>
            <w:tcW w:w="2506" w:type="dxa"/>
            <w:vAlign w:val="center"/>
          </w:tcPr>
          <w:p>
            <w:pPr>
              <w:pStyle w:val="569"/>
              <w:jc w:val="center"/>
              <w:rPr>
                <w:rFonts w:asciiTheme="majorEastAsia" w:hAnsiTheme="majorEastAsia" w:eastAsiaTheme="majorEastAsia" w:cstheme="majorEastAsia"/>
                <w:sz w:val="21"/>
                <w:szCs w:val="21"/>
              </w:rPr>
            </w:pPr>
          </w:p>
        </w:tc>
        <w:tc>
          <w:tcPr>
            <w:tcW w:w="1671" w:type="dxa"/>
          </w:tcPr>
          <w:p>
            <w:pPr>
              <w:pStyle w:val="569"/>
              <w:jc w:val="center"/>
              <w:rPr>
                <w:rFonts w:asciiTheme="majorEastAsia" w:hAnsiTheme="majorEastAsia" w:eastAsiaTheme="majorEastAsia" w:cstheme="majorEastAsia"/>
                <w:sz w:val="21"/>
                <w:szCs w:val="21"/>
              </w:rPr>
            </w:pPr>
          </w:p>
        </w:tc>
        <w:tc>
          <w:tcPr>
            <w:tcW w:w="3312" w:type="dxa"/>
            <w:vAlign w:val="center"/>
          </w:tcPr>
          <w:p>
            <w:pPr>
              <w:pStyle w:val="569"/>
              <w:jc w:val="center"/>
              <w:rPr>
                <w:rFonts w:asciiTheme="majorEastAsia" w:hAnsiTheme="majorEastAsia" w:eastAsiaTheme="majorEastAsia" w:cstheme="majorEastAsia"/>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87" w:hRule="atLeast"/>
          <w:jc w:val="center"/>
        </w:trPr>
        <w:tc>
          <w:tcPr>
            <w:tcW w:w="1039" w:type="dxa"/>
            <w:vAlign w:val="center"/>
          </w:tcPr>
          <w:p>
            <w:pPr>
              <w:pStyle w:val="569"/>
              <w:jc w:val="center"/>
              <w:rPr>
                <w:rFonts w:asciiTheme="majorEastAsia" w:hAnsiTheme="majorEastAsia" w:eastAsiaTheme="majorEastAsia" w:cstheme="majorEastAsia"/>
                <w:sz w:val="21"/>
                <w:szCs w:val="21"/>
              </w:rPr>
            </w:pPr>
          </w:p>
        </w:tc>
        <w:tc>
          <w:tcPr>
            <w:tcW w:w="2506" w:type="dxa"/>
            <w:vAlign w:val="center"/>
          </w:tcPr>
          <w:p>
            <w:pPr>
              <w:pStyle w:val="569"/>
              <w:jc w:val="center"/>
              <w:rPr>
                <w:rFonts w:asciiTheme="majorEastAsia" w:hAnsiTheme="majorEastAsia" w:eastAsiaTheme="majorEastAsia" w:cstheme="majorEastAsia"/>
                <w:sz w:val="21"/>
                <w:szCs w:val="21"/>
              </w:rPr>
            </w:pPr>
          </w:p>
        </w:tc>
        <w:tc>
          <w:tcPr>
            <w:tcW w:w="1671" w:type="dxa"/>
          </w:tcPr>
          <w:p>
            <w:pPr>
              <w:pStyle w:val="569"/>
              <w:jc w:val="center"/>
              <w:rPr>
                <w:rFonts w:asciiTheme="majorEastAsia" w:hAnsiTheme="majorEastAsia" w:eastAsiaTheme="majorEastAsia" w:cstheme="majorEastAsia"/>
                <w:sz w:val="21"/>
                <w:szCs w:val="21"/>
              </w:rPr>
            </w:pPr>
          </w:p>
        </w:tc>
        <w:tc>
          <w:tcPr>
            <w:tcW w:w="3312" w:type="dxa"/>
            <w:vAlign w:val="center"/>
          </w:tcPr>
          <w:p>
            <w:pPr>
              <w:pStyle w:val="569"/>
              <w:jc w:val="center"/>
              <w:rPr>
                <w:rFonts w:asciiTheme="majorEastAsia" w:hAnsiTheme="majorEastAsia" w:eastAsiaTheme="majorEastAsia" w:cstheme="majorEastAsia"/>
                <w:sz w:val="21"/>
                <w:szCs w:val="21"/>
              </w:rPr>
            </w:pPr>
          </w:p>
        </w:tc>
      </w:tr>
    </w:tbl>
    <w:p>
      <w:pPr>
        <w:wordWrap w:val="0"/>
        <w:snapToGrid w:val="0"/>
        <w:spacing w:before="120" w:beforeLines="50" w:line="400" w:lineRule="exact"/>
        <w:ind w:firstLine="200"/>
        <w:jc w:val="right"/>
        <w:rPr>
          <w:rFonts w:asciiTheme="majorEastAsia" w:hAnsiTheme="majorEastAsia" w:eastAsiaTheme="majorEastAsia" w:cstheme="majorEastAsia"/>
          <w:szCs w:val="20"/>
          <w:u w:val="single"/>
        </w:rPr>
      </w:pPr>
      <w:r>
        <w:rPr>
          <w:rFonts w:hint="eastAsia" w:asciiTheme="majorEastAsia" w:hAnsiTheme="majorEastAsia" w:eastAsiaTheme="majorEastAsia" w:cstheme="majorEastAsia"/>
        </w:rPr>
        <w:t xml:space="preserve">法定代表人或被授权人签字（或盖章）：      </w:t>
      </w:r>
    </w:p>
    <w:p>
      <w:pPr>
        <w:ind w:firstLine="5040" w:firstLineChars="2100"/>
        <w:rPr>
          <w:rFonts w:asciiTheme="majorEastAsia" w:hAnsiTheme="majorEastAsia" w:eastAsiaTheme="majorEastAsia" w:cstheme="majorEastAsia"/>
        </w:rPr>
      </w:pPr>
      <w:r>
        <w:rPr>
          <w:rFonts w:hint="eastAsia" w:asciiTheme="majorEastAsia" w:hAnsiTheme="majorEastAsia" w:eastAsiaTheme="majorEastAsia" w:cstheme="majorEastAsia"/>
        </w:rPr>
        <w:t>投标供应商名称（</w:t>
      </w:r>
      <w:r>
        <w:rPr>
          <w:rFonts w:hint="eastAsia" w:asciiTheme="majorEastAsia" w:hAnsiTheme="majorEastAsia" w:eastAsiaTheme="majorEastAsia" w:cstheme="majorEastAsia"/>
          <w:kern w:val="0"/>
          <w:lang w:val="zh-CN"/>
        </w:rPr>
        <w:t>盖章</w:t>
      </w:r>
      <w:r>
        <w:rPr>
          <w:rFonts w:hint="eastAsia" w:asciiTheme="majorEastAsia" w:hAnsiTheme="majorEastAsia" w:eastAsiaTheme="majorEastAsia" w:cstheme="majorEastAsia"/>
        </w:rPr>
        <w:t xml:space="preserve">）：             </w:t>
      </w:r>
    </w:p>
    <w:p>
      <w:pPr>
        <w:spacing w:line="360" w:lineRule="auto"/>
        <w:ind w:firstLine="4800" w:firstLineChars="2000"/>
        <w:rPr>
          <w:rFonts w:asciiTheme="majorEastAsia" w:hAnsiTheme="majorEastAsia" w:eastAsiaTheme="majorEastAsia" w:cstheme="majorEastAsia"/>
        </w:rPr>
      </w:pPr>
      <w:r>
        <w:rPr>
          <w:rFonts w:hint="eastAsia" w:asciiTheme="majorEastAsia" w:hAnsiTheme="majorEastAsia" w:eastAsiaTheme="majorEastAsia" w:cstheme="majorEastAsia"/>
        </w:rPr>
        <w:t xml:space="preserve"> 日期：   年   月   日</w:t>
      </w:r>
    </w:p>
    <w:p>
      <w:pPr>
        <w:pStyle w:val="569"/>
        <w:spacing w:line="360" w:lineRule="auto"/>
        <w:ind w:right="480"/>
        <w:rPr>
          <w:rFonts w:asciiTheme="majorEastAsia" w:hAnsiTheme="majorEastAsia" w:eastAsiaTheme="majorEastAsia" w:cstheme="majorEastAsia"/>
          <w:sz w:val="24"/>
          <w:szCs w:val="24"/>
        </w:rPr>
      </w:pPr>
    </w:p>
    <w:p>
      <w:pPr>
        <w:pStyle w:val="217"/>
        <w:spacing w:line="480" w:lineRule="auto"/>
        <w:jc w:val="left"/>
        <w:rPr>
          <w:rFonts w:asciiTheme="majorEastAsia" w:hAnsiTheme="majorEastAsia" w:eastAsiaTheme="majorEastAsia" w:cstheme="majorEastAsia"/>
          <w:sz w:val="24"/>
          <w:szCs w:val="24"/>
        </w:rPr>
      </w:pPr>
    </w:p>
    <w:p>
      <w:pPr>
        <w:pStyle w:val="28"/>
        <w:ind w:left="0"/>
        <w:rPr>
          <w:rFonts w:asciiTheme="majorEastAsia" w:hAnsiTheme="majorEastAsia" w:eastAsiaTheme="majorEastAsia" w:cstheme="majorEastAsia"/>
          <w:b/>
          <w:kern w:val="0"/>
        </w:rPr>
      </w:pPr>
    </w:p>
    <w:p>
      <w:pPr>
        <w:jc w:val="left"/>
        <w:rPr>
          <w:rFonts w:asciiTheme="majorEastAsia" w:hAnsiTheme="majorEastAsia" w:eastAsiaTheme="majorEastAsia" w:cstheme="majorEastAsia"/>
        </w:rPr>
      </w:pPr>
    </w:p>
    <w:p>
      <w:pPr>
        <w:jc w:val="center"/>
        <w:rPr>
          <w:rFonts w:asciiTheme="majorEastAsia" w:hAnsiTheme="majorEastAsia" w:eastAsiaTheme="majorEastAsia" w:cstheme="majorEastAsia"/>
          <w:b/>
          <w:kern w:val="0"/>
          <w:sz w:val="32"/>
          <w:szCs w:val="32"/>
        </w:rPr>
      </w:pPr>
    </w:p>
    <w:p>
      <w:pPr>
        <w:jc w:val="center"/>
        <w:rPr>
          <w:rFonts w:asciiTheme="majorEastAsia" w:hAnsiTheme="majorEastAsia" w:eastAsiaTheme="majorEastAsia" w:cstheme="majorEastAsia"/>
          <w:b/>
          <w:kern w:val="0"/>
          <w:sz w:val="32"/>
          <w:szCs w:val="32"/>
        </w:rPr>
      </w:pPr>
    </w:p>
    <w:p>
      <w:pPr>
        <w:jc w:val="center"/>
        <w:rPr>
          <w:rFonts w:asciiTheme="majorEastAsia" w:hAnsiTheme="majorEastAsia" w:eastAsiaTheme="majorEastAsia" w:cstheme="majorEastAsia"/>
          <w:b/>
          <w:kern w:val="0"/>
          <w:sz w:val="32"/>
          <w:szCs w:val="32"/>
        </w:rPr>
      </w:pPr>
    </w:p>
    <w:p>
      <w:pPr>
        <w:jc w:val="center"/>
        <w:rPr>
          <w:rFonts w:asciiTheme="majorEastAsia" w:hAnsiTheme="majorEastAsia" w:eastAsiaTheme="majorEastAsia" w:cstheme="majorEastAsia"/>
          <w:b/>
          <w:kern w:val="0"/>
          <w:sz w:val="32"/>
          <w:szCs w:val="32"/>
        </w:rPr>
      </w:pPr>
    </w:p>
    <w:p>
      <w:pPr>
        <w:rPr>
          <w:rFonts w:asciiTheme="majorEastAsia" w:hAnsiTheme="majorEastAsia" w:eastAsiaTheme="majorEastAsia" w:cstheme="majorEastAsia"/>
          <w:b/>
          <w:kern w:val="0"/>
          <w:sz w:val="32"/>
          <w:szCs w:val="32"/>
        </w:rPr>
      </w:pPr>
    </w:p>
    <w:p>
      <w:pPr>
        <w:spacing w:line="360" w:lineRule="auto"/>
        <w:rPr>
          <w:rFonts w:asciiTheme="majorEastAsia" w:hAnsiTheme="majorEastAsia" w:eastAsiaTheme="majorEastAsia" w:cstheme="majorEastAsia"/>
          <w:b/>
          <w:bCs/>
        </w:rPr>
        <w:sectPr>
          <w:headerReference r:id="rId7" w:type="first"/>
          <w:footerReference r:id="rId9" w:type="first"/>
          <w:headerReference r:id="rId6" w:type="default"/>
          <w:footerReference r:id="rId8" w:type="default"/>
          <w:pgSz w:w="11849" w:h="16781"/>
          <w:pgMar w:top="907" w:right="1247" w:bottom="907" w:left="1247" w:header="851" w:footer="992" w:gutter="0"/>
          <w:cols w:space="720" w:num="1"/>
          <w:titlePg/>
          <w:docGrid w:linePitch="312" w:charSpace="0"/>
        </w:sectPr>
      </w:pPr>
    </w:p>
    <w:p>
      <w:pPr>
        <w:spacing w:line="360" w:lineRule="auto"/>
        <w:jc w:val="center"/>
        <w:outlineLvl w:val="0"/>
        <w:rPr>
          <w:rFonts w:asciiTheme="majorEastAsia" w:hAnsiTheme="majorEastAsia" w:eastAsiaTheme="majorEastAsia" w:cstheme="majorEastAsia"/>
          <w:b/>
          <w:kern w:val="0"/>
          <w:sz w:val="36"/>
          <w:szCs w:val="36"/>
        </w:rPr>
      </w:pPr>
      <w:bookmarkStart w:id="205" w:name="_Toc1417901787"/>
      <w:bookmarkStart w:id="206" w:name="_Toc709061477"/>
      <w:bookmarkStart w:id="207" w:name="_Toc1387088454"/>
      <w:bookmarkStart w:id="208" w:name="_Toc1351818422"/>
      <w:bookmarkStart w:id="209" w:name="_Toc395811467"/>
      <w:r>
        <w:rPr>
          <w:rFonts w:hint="eastAsia" w:asciiTheme="majorEastAsia" w:hAnsiTheme="majorEastAsia" w:eastAsiaTheme="majorEastAsia" w:cstheme="majorEastAsia"/>
          <w:b/>
          <w:kern w:val="0"/>
          <w:sz w:val="36"/>
          <w:szCs w:val="36"/>
        </w:rPr>
        <w:t>报价文件部分</w:t>
      </w:r>
      <w:bookmarkEnd w:id="205"/>
      <w:bookmarkEnd w:id="206"/>
      <w:bookmarkEnd w:id="207"/>
      <w:bookmarkEnd w:id="208"/>
      <w:bookmarkEnd w:id="209"/>
    </w:p>
    <w:p>
      <w:pPr>
        <w:spacing w:line="360" w:lineRule="auto"/>
        <w:jc w:val="center"/>
        <w:outlineLvl w:val="0"/>
        <w:rPr>
          <w:rFonts w:asciiTheme="majorEastAsia" w:hAnsiTheme="majorEastAsia" w:eastAsiaTheme="majorEastAsia" w:cstheme="majorEastAsia"/>
          <w:b/>
          <w:kern w:val="0"/>
          <w:sz w:val="36"/>
          <w:szCs w:val="36"/>
        </w:rPr>
      </w:pPr>
      <w:bookmarkStart w:id="210" w:name="_Toc1086669306"/>
      <w:bookmarkStart w:id="211" w:name="_Toc1741130188"/>
      <w:bookmarkStart w:id="212" w:name="_Toc1579933531"/>
      <w:bookmarkStart w:id="213" w:name="_Toc1682066599"/>
      <w:bookmarkStart w:id="214" w:name="_Toc1831385024"/>
      <w:r>
        <w:rPr>
          <w:rFonts w:hint="eastAsia" w:asciiTheme="majorEastAsia" w:hAnsiTheme="majorEastAsia" w:eastAsiaTheme="majorEastAsia" w:cstheme="majorEastAsia"/>
          <w:b/>
          <w:kern w:val="0"/>
          <w:sz w:val="36"/>
          <w:szCs w:val="36"/>
        </w:rPr>
        <w:t>目录</w:t>
      </w:r>
      <w:bookmarkEnd w:id="210"/>
      <w:bookmarkEnd w:id="211"/>
      <w:bookmarkEnd w:id="212"/>
      <w:bookmarkEnd w:id="213"/>
      <w:bookmarkEnd w:id="214"/>
    </w:p>
    <w:p>
      <w:pPr>
        <w:spacing w:line="360" w:lineRule="auto"/>
        <w:jc w:val="center"/>
        <w:outlineLvl w:val="0"/>
        <w:rPr>
          <w:rFonts w:asciiTheme="majorEastAsia" w:hAnsiTheme="majorEastAsia" w:eastAsiaTheme="majorEastAsia" w:cstheme="majorEastAsia"/>
          <w:b/>
          <w:kern w:val="0"/>
          <w:sz w:val="36"/>
          <w:szCs w:val="36"/>
        </w:rPr>
      </w:pPr>
    </w:p>
    <w:p>
      <w:pPr>
        <w:snapToGrid w:val="0"/>
        <w:spacing w:line="360" w:lineRule="auto"/>
        <w:rPr>
          <w:rFonts w:asciiTheme="majorEastAsia" w:hAnsiTheme="majorEastAsia" w:eastAsiaTheme="majorEastAsia" w:cstheme="majorEastAsia"/>
        </w:rPr>
      </w:pPr>
      <w:r>
        <w:rPr>
          <w:rFonts w:hint="eastAsia" w:asciiTheme="majorEastAsia" w:hAnsiTheme="majorEastAsia" w:eastAsiaTheme="majorEastAsia" w:cstheme="majorEastAsia"/>
        </w:rPr>
        <w:t>（1）开标一览表（报价表）……………………………………………（页码）</w:t>
      </w:r>
    </w:p>
    <w:p>
      <w:pPr>
        <w:snapToGrid w:val="0"/>
        <w:spacing w:line="360" w:lineRule="auto"/>
        <w:rPr>
          <w:rFonts w:asciiTheme="majorEastAsia" w:hAnsiTheme="majorEastAsia" w:eastAsiaTheme="majorEastAsia" w:cstheme="majorEastAsia"/>
        </w:rPr>
      </w:pPr>
      <w:r>
        <w:rPr>
          <w:rFonts w:hint="eastAsia" w:asciiTheme="majorEastAsia" w:hAnsiTheme="majorEastAsia" w:eastAsiaTheme="majorEastAsia" w:cstheme="majorEastAsia"/>
        </w:rPr>
        <w:t>（2）中小企业声明函……………………………………………………（页码）</w:t>
      </w:r>
    </w:p>
    <w:p>
      <w:pPr>
        <w:snapToGrid w:val="0"/>
        <w:spacing w:line="360" w:lineRule="auto"/>
        <w:ind w:right="480"/>
        <w:jc w:val="center"/>
        <w:rPr>
          <w:rFonts w:asciiTheme="majorEastAsia" w:hAnsiTheme="majorEastAsia" w:eastAsiaTheme="majorEastAsia" w:cstheme="majorEastAsia"/>
          <w:b/>
          <w:kern w:val="0"/>
          <w:sz w:val="32"/>
          <w:szCs w:val="32"/>
        </w:rPr>
      </w:pPr>
    </w:p>
    <w:p>
      <w:pPr>
        <w:snapToGrid w:val="0"/>
        <w:spacing w:line="360" w:lineRule="auto"/>
        <w:ind w:right="480"/>
        <w:jc w:val="center"/>
        <w:rPr>
          <w:rFonts w:asciiTheme="majorEastAsia" w:hAnsiTheme="majorEastAsia" w:eastAsiaTheme="majorEastAsia" w:cstheme="majorEastAsia"/>
          <w:b/>
          <w:kern w:val="0"/>
          <w:sz w:val="32"/>
          <w:szCs w:val="32"/>
        </w:rPr>
      </w:pPr>
    </w:p>
    <w:p>
      <w:pPr>
        <w:snapToGrid w:val="0"/>
        <w:spacing w:line="360" w:lineRule="auto"/>
        <w:ind w:right="480"/>
        <w:jc w:val="center"/>
        <w:rPr>
          <w:rFonts w:asciiTheme="majorEastAsia" w:hAnsiTheme="majorEastAsia" w:eastAsiaTheme="majorEastAsia" w:cstheme="majorEastAsia"/>
          <w:b/>
          <w:kern w:val="0"/>
          <w:sz w:val="32"/>
          <w:szCs w:val="32"/>
        </w:rPr>
      </w:pPr>
    </w:p>
    <w:p>
      <w:pPr>
        <w:snapToGrid w:val="0"/>
        <w:spacing w:line="360" w:lineRule="auto"/>
        <w:ind w:right="480"/>
        <w:jc w:val="center"/>
        <w:rPr>
          <w:rFonts w:asciiTheme="majorEastAsia" w:hAnsiTheme="majorEastAsia" w:eastAsiaTheme="majorEastAsia" w:cstheme="majorEastAsia"/>
          <w:b/>
          <w:kern w:val="0"/>
          <w:sz w:val="32"/>
          <w:szCs w:val="32"/>
        </w:rPr>
      </w:pPr>
    </w:p>
    <w:p>
      <w:pPr>
        <w:snapToGrid w:val="0"/>
        <w:spacing w:line="360" w:lineRule="auto"/>
        <w:ind w:right="480"/>
        <w:jc w:val="center"/>
        <w:rPr>
          <w:rFonts w:asciiTheme="majorEastAsia" w:hAnsiTheme="majorEastAsia" w:eastAsiaTheme="majorEastAsia" w:cstheme="majorEastAsia"/>
          <w:b/>
          <w:kern w:val="0"/>
          <w:sz w:val="32"/>
          <w:szCs w:val="32"/>
        </w:rPr>
      </w:pPr>
    </w:p>
    <w:p>
      <w:pPr>
        <w:snapToGrid w:val="0"/>
        <w:spacing w:line="360" w:lineRule="auto"/>
        <w:ind w:right="480"/>
        <w:jc w:val="center"/>
        <w:rPr>
          <w:rFonts w:asciiTheme="majorEastAsia" w:hAnsiTheme="majorEastAsia" w:eastAsiaTheme="majorEastAsia" w:cstheme="majorEastAsia"/>
          <w:b/>
          <w:kern w:val="0"/>
          <w:sz w:val="32"/>
          <w:szCs w:val="32"/>
        </w:rPr>
      </w:pPr>
    </w:p>
    <w:p>
      <w:pPr>
        <w:snapToGrid w:val="0"/>
        <w:spacing w:line="360" w:lineRule="auto"/>
        <w:ind w:right="480"/>
        <w:jc w:val="center"/>
        <w:rPr>
          <w:rFonts w:asciiTheme="majorEastAsia" w:hAnsiTheme="majorEastAsia" w:eastAsiaTheme="majorEastAsia" w:cstheme="majorEastAsia"/>
          <w:b/>
          <w:kern w:val="0"/>
          <w:sz w:val="32"/>
          <w:szCs w:val="32"/>
        </w:rPr>
      </w:pPr>
    </w:p>
    <w:p>
      <w:pPr>
        <w:snapToGrid w:val="0"/>
        <w:spacing w:line="360" w:lineRule="auto"/>
        <w:ind w:right="480"/>
        <w:jc w:val="center"/>
        <w:rPr>
          <w:rFonts w:asciiTheme="majorEastAsia" w:hAnsiTheme="majorEastAsia" w:eastAsiaTheme="majorEastAsia" w:cstheme="majorEastAsia"/>
          <w:b/>
          <w:kern w:val="0"/>
          <w:sz w:val="32"/>
          <w:szCs w:val="32"/>
        </w:rPr>
      </w:pPr>
    </w:p>
    <w:p>
      <w:pPr>
        <w:snapToGrid w:val="0"/>
        <w:spacing w:line="360" w:lineRule="auto"/>
        <w:ind w:right="480"/>
        <w:jc w:val="center"/>
        <w:rPr>
          <w:rFonts w:asciiTheme="majorEastAsia" w:hAnsiTheme="majorEastAsia" w:eastAsiaTheme="majorEastAsia" w:cstheme="majorEastAsia"/>
          <w:b/>
          <w:kern w:val="0"/>
          <w:sz w:val="32"/>
          <w:szCs w:val="32"/>
        </w:rPr>
      </w:pPr>
    </w:p>
    <w:p>
      <w:pPr>
        <w:snapToGrid w:val="0"/>
        <w:spacing w:line="360" w:lineRule="auto"/>
        <w:ind w:right="480"/>
        <w:jc w:val="center"/>
        <w:rPr>
          <w:rFonts w:asciiTheme="majorEastAsia" w:hAnsiTheme="majorEastAsia" w:eastAsiaTheme="majorEastAsia" w:cstheme="majorEastAsia"/>
          <w:b/>
          <w:kern w:val="0"/>
          <w:sz w:val="32"/>
          <w:szCs w:val="32"/>
        </w:rPr>
      </w:pPr>
    </w:p>
    <w:p>
      <w:pPr>
        <w:snapToGrid w:val="0"/>
        <w:spacing w:line="360" w:lineRule="auto"/>
        <w:ind w:right="480"/>
        <w:jc w:val="center"/>
        <w:rPr>
          <w:rFonts w:asciiTheme="majorEastAsia" w:hAnsiTheme="majorEastAsia" w:eastAsiaTheme="majorEastAsia" w:cstheme="majorEastAsia"/>
          <w:b/>
          <w:kern w:val="0"/>
          <w:sz w:val="32"/>
          <w:szCs w:val="32"/>
        </w:rPr>
      </w:pPr>
    </w:p>
    <w:p>
      <w:pPr>
        <w:snapToGrid w:val="0"/>
        <w:spacing w:line="360" w:lineRule="auto"/>
        <w:ind w:right="480"/>
        <w:jc w:val="center"/>
        <w:rPr>
          <w:rFonts w:asciiTheme="majorEastAsia" w:hAnsiTheme="majorEastAsia" w:eastAsiaTheme="majorEastAsia" w:cstheme="majorEastAsia"/>
          <w:b/>
          <w:kern w:val="0"/>
          <w:sz w:val="32"/>
          <w:szCs w:val="32"/>
        </w:rPr>
      </w:pPr>
    </w:p>
    <w:p>
      <w:pPr>
        <w:snapToGrid w:val="0"/>
        <w:spacing w:line="360" w:lineRule="auto"/>
        <w:ind w:right="480"/>
        <w:rPr>
          <w:rFonts w:asciiTheme="majorEastAsia" w:hAnsiTheme="majorEastAsia" w:eastAsiaTheme="majorEastAsia" w:cstheme="majorEastAsia"/>
          <w:b/>
          <w:kern w:val="0"/>
          <w:sz w:val="32"/>
          <w:szCs w:val="32"/>
        </w:rPr>
      </w:pPr>
    </w:p>
    <w:p>
      <w:pPr>
        <w:pStyle w:val="511"/>
        <w:keepNext w:val="0"/>
        <w:pageBreakBefore w:val="0"/>
        <w:tabs>
          <w:tab w:val="clear" w:pos="720"/>
        </w:tabs>
        <w:snapToGrid w:val="0"/>
        <w:spacing w:before="120" w:after="120"/>
        <w:jc w:val="both"/>
        <w:outlineLvl w:val="9"/>
        <w:rPr>
          <w:rFonts w:asciiTheme="majorEastAsia" w:hAnsiTheme="majorEastAsia" w:eastAsiaTheme="majorEastAsia" w:cstheme="majorEastAsia"/>
          <w:kern w:val="2"/>
          <w:sz w:val="32"/>
          <w:szCs w:val="32"/>
        </w:rPr>
        <w:sectPr>
          <w:headerReference r:id="rId11" w:type="first"/>
          <w:footerReference r:id="rId13" w:type="first"/>
          <w:headerReference r:id="rId10" w:type="default"/>
          <w:footerReference r:id="rId12" w:type="default"/>
          <w:pgSz w:w="11849" w:h="16781"/>
          <w:pgMar w:top="907" w:right="907" w:bottom="907" w:left="907" w:header="851" w:footer="992" w:gutter="0"/>
          <w:cols w:space="720" w:num="1"/>
          <w:titlePg/>
          <w:docGrid w:linePitch="312" w:charSpace="0"/>
        </w:sectPr>
      </w:pPr>
    </w:p>
    <w:p>
      <w:pPr>
        <w:pStyle w:val="511"/>
        <w:keepNext w:val="0"/>
        <w:pageBreakBefore w:val="0"/>
        <w:tabs>
          <w:tab w:val="clear" w:pos="720"/>
        </w:tabs>
        <w:snapToGrid w:val="0"/>
        <w:spacing w:before="120" w:after="120"/>
        <w:ind w:firstLine="643"/>
        <w:outlineLvl w:val="9"/>
        <w:rPr>
          <w:rFonts w:asciiTheme="majorEastAsia" w:hAnsiTheme="majorEastAsia" w:eastAsiaTheme="majorEastAsia" w:cstheme="majorEastAsia"/>
          <w:kern w:val="2"/>
          <w:sz w:val="32"/>
          <w:szCs w:val="32"/>
        </w:rPr>
      </w:pPr>
      <w:bookmarkStart w:id="215" w:name="_Toc40721788"/>
      <w:bookmarkStart w:id="216" w:name="_Toc775231200"/>
      <w:bookmarkStart w:id="217" w:name="_Toc1225735617"/>
      <w:bookmarkStart w:id="218" w:name="_Toc1977725363"/>
      <w:bookmarkStart w:id="219" w:name="_Toc43986678"/>
      <w:r>
        <w:rPr>
          <w:rFonts w:hint="eastAsia" w:asciiTheme="majorEastAsia" w:hAnsiTheme="majorEastAsia" w:eastAsiaTheme="majorEastAsia" w:cstheme="majorEastAsia"/>
          <w:kern w:val="2"/>
          <w:sz w:val="32"/>
          <w:szCs w:val="32"/>
        </w:rPr>
        <w:t>一、开标一览表（报价表）</w:t>
      </w:r>
      <w:bookmarkEnd w:id="215"/>
      <w:bookmarkEnd w:id="216"/>
      <w:bookmarkEnd w:id="217"/>
      <w:bookmarkEnd w:id="218"/>
      <w:bookmarkEnd w:id="219"/>
    </w:p>
    <w:p>
      <w:pPr>
        <w:snapToGrid w:val="0"/>
        <w:spacing w:line="360" w:lineRule="auto"/>
        <w:rPr>
          <w:rFonts w:asciiTheme="majorEastAsia" w:hAnsiTheme="majorEastAsia" w:eastAsiaTheme="majorEastAsia" w:cstheme="majorEastAsia"/>
          <w:kern w:val="0"/>
        </w:rPr>
      </w:pPr>
      <w:r>
        <w:rPr>
          <w:rFonts w:hint="eastAsia" w:asciiTheme="majorEastAsia" w:hAnsiTheme="majorEastAsia" w:eastAsiaTheme="majorEastAsia" w:cstheme="majorEastAsia"/>
          <w:kern w:val="0"/>
          <w:lang w:eastAsia="zh-CN"/>
        </w:rPr>
        <w:t>嘉兴市秀洲区人民政府高照街道办事处</w:t>
      </w:r>
      <w:r>
        <w:rPr>
          <w:rFonts w:hint="eastAsia" w:asciiTheme="majorEastAsia" w:hAnsiTheme="majorEastAsia" w:eastAsiaTheme="majorEastAsia" w:cstheme="majorEastAsia"/>
          <w:kern w:val="0"/>
        </w:rPr>
        <w:t>、</w:t>
      </w:r>
      <w:r>
        <w:rPr>
          <w:rFonts w:hint="eastAsia" w:asciiTheme="majorEastAsia" w:hAnsiTheme="majorEastAsia" w:eastAsiaTheme="majorEastAsia" w:cstheme="majorEastAsia"/>
          <w:kern w:val="0"/>
          <w:lang w:eastAsia="zh-CN"/>
        </w:rPr>
        <w:t>浙江圣加工程管理咨询有限公司</w:t>
      </w:r>
      <w:r>
        <w:rPr>
          <w:rFonts w:hint="eastAsia" w:asciiTheme="majorEastAsia" w:hAnsiTheme="majorEastAsia" w:eastAsiaTheme="majorEastAsia" w:cstheme="majorEastAsia"/>
          <w:kern w:val="0"/>
          <w:lang w:val="zh-CN"/>
        </w:rPr>
        <w:t>：</w:t>
      </w:r>
    </w:p>
    <w:p>
      <w:pPr>
        <w:snapToGrid w:val="0"/>
        <w:spacing w:line="360" w:lineRule="auto"/>
        <w:ind w:firstLine="482"/>
        <w:rPr>
          <w:rFonts w:asciiTheme="majorEastAsia" w:hAnsiTheme="majorEastAsia" w:eastAsiaTheme="majorEastAsia" w:cstheme="majorEastAsia"/>
          <w:kern w:val="0"/>
          <w:lang w:val="zh-CN"/>
        </w:rPr>
      </w:pPr>
      <w:r>
        <w:rPr>
          <w:rFonts w:hint="eastAsia" w:asciiTheme="majorEastAsia" w:hAnsiTheme="majorEastAsia" w:eastAsiaTheme="majorEastAsia" w:cstheme="majorEastAsia"/>
          <w:kern w:val="0"/>
          <w:lang w:val="zh-CN"/>
        </w:rPr>
        <w:t>按你方招标文件要求，我方</w:t>
      </w:r>
      <w:r>
        <w:rPr>
          <w:rFonts w:hint="eastAsia" w:asciiTheme="majorEastAsia" w:hAnsiTheme="majorEastAsia" w:eastAsiaTheme="majorEastAsia" w:cstheme="majorEastAsia"/>
          <w:kern w:val="0"/>
          <w:u w:val="single"/>
        </w:rPr>
        <w:t xml:space="preserve">              </w:t>
      </w:r>
      <w:r>
        <w:rPr>
          <w:rFonts w:hint="eastAsia" w:asciiTheme="majorEastAsia" w:hAnsiTheme="majorEastAsia" w:eastAsiaTheme="majorEastAsia" w:cstheme="majorEastAsia"/>
          <w:kern w:val="0"/>
          <w:lang w:val="zh-CN"/>
        </w:rPr>
        <w:t>，本投标文件签字方，谨此向你方发出要约如下：如你方接受本投标，我方承诺按照如下开标一览表（报价表）的价格完成</w:t>
      </w:r>
      <w:r>
        <w:rPr>
          <w:rFonts w:hint="eastAsia" w:asciiTheme="majorEastAsia" w:hAnsiTheme="majorEastAsia" w:eastAsiaTheme="majorEastAsia" w:cstheme="majorEastAsia"/>
          <w:u w:val="single"/>
        </w:rPr>
        <w:t>（项目名称）</w:t>
      </w:r>
      <w:r>
        <w:rPr>
          <w:rFonts w:hint="eastAsia" w:asciiTheme="majorEastAsia" w:hAnsiTheme="majorEastAsia" w:eastAsiaTheme="majorEastAsia" w:cstheme="majorEastAsia"/>
          <w:kern w:val="0"/>
          <w:lang w:val="zh-CN"/>
        </w:rPr>
        <w:t>【招标编号：</w:t>
      </w:r>
      <w:r>
        <w:rPr>
          <w:rFonts w:hint="eastAsia" w:asciiTheme="majorEastAsia" w:hAnsiTheme="majorEastAsia" w:eastAsiaTheme="majorEastAsia" w:cstheme="majorEastAsia"/>
          <w:kern w:val="0"/>
          <w:u w:val="single"/>
        </w:rPr>
        <w:t xml:space="preserve">      </w:t>
      </w:r>
      <w:r>
        <w:rPr>
          <w:rFonts w:hint="eastAsia" w:asciiTheme="majorEastAsia" w:hAnsiTheme="majorEastAsia" w:eastAsiaTheme="majorEastAsia" w:cstheme="majorEastAsia"/>
          <w:kern w:val="0"/>
        </w:rPr>
        <w:t xml:space="preserve">  </w:t>
      </w:r>
      <w:r>
        <w:rPr>
          <w:rFonts w:hint="eastAsia" w:asciiTheme="majorEastAsia" w:hAnsiTheme="majorEastAsia" w:eastAsiaTheme="majorEastAsia" w:cstheme="majorEastAsia"/>
        </w:rPr>
        <w:t>】的实施</w:t>
      </w:r>
      <w:r>
        <w:rPr>
          <w:rFonts w:hint="eastAsia" w:asciiTheme="majorEastAsia" w:hAnsiTheme="majorEastAsia" w:eastAsiaTheme="majorEastAsia" w:cstheme="majorEastAsia"/>
          <w:kern w:val="0"/>
          <w:lang w:val="zh-CN"/>
        </w:rPr>
        <w:t>。</w:t>
      </w:r>
    </w:p>
    <w:p>
      <w:pPr>
        <w:spacing w:line="360" w:lineRule="auto"/>
        <w:jc w:val="center"/>
        <w:rPr>
          <w:rFonts w:asciiTheme="majorEastAsia" w:hAnsiTheme="majorEastAsia" w:eastAsiaTheme="majorEastAsia" w:cstheme="majorEastAsia"/>
          <w:b/>
          <w:kern w:val="0"/>
          <w:lang w:val="zh-CN"/>
        </w:rPr>
      </w:pPr>
      <w:r>
        <w:rPr>
          <w:rFonts w:hint="eastAsia" w:asciiTheme="majorEastAsia" w:hAnsiTheme="majorEastAsia" w:eastAsiaTheme="majorEastAsia" w:cstheme="majorEastAsia"/>
          <w:b/>
          <w:kern w:val="0"/>
          <w:lang w:val="zh-CN"/>
        </w:rPr>
        <w:t>开标一览表（报价表）(单位均为人民币元)</w:t>
      </w:r>
    </w:p>
    <w:tbl>
      <w:tblPr>
        <w:tblStyle w:val="56"/>
        <w:tblW w:w="873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75"/>
        <w:gridCol w:w="1751"/>
        <w:gridCol w:w="1705"/>
        <w:gridCol w:w="1592"/>
        <w:gridCol w:w="842"/>
        <w:gridCol w:w="889"/>
        <w:gridCol w:w="128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6" w:hRule="atLeast"/>
          <w:jc w:val="center"/>
        </w:trPr>
        <w:tc>
          <w:tcPr>
            <w:tcW w:w="675"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r>
              <w:rPr>
                <w:rFonts w:hint="eastAsia" w:asciiTheme="majorEastAsia" w:hAnsiTheme="majorEastAsia" w:eastAsiaTheme="majorEastAsia" w:cstheme="majorEastAsia"/>
                <w:b/>
                <w:szCs w:val="30"/>
              </w:rPr>
              <w:t>序号</w:t>
            </w:r>
          </w:p>
        </w:tc>
        <w:tc>
          <w:tcPr>
            <w:tcW w:w="1751"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r>
              <w:rPr>
                <w:rFonts w:hint="eastAsia" w:asciiTheme="majorEastAsia" w:hAnsiTheme="majorEastAsia" w:eastAsiaTheme="majorEastAsia" w:cstheme="majorEastAsia"/>
                <w:b/>
              </w:rPr>
              <w:t>设备名称/服务内容</w:t>
            </w:r>
          </w:p>
        </w:tc>
        <w:tc>
          <w:tcPr>
            <w:tcW w:w="1705"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r>
              <w:rPr>
                <w:rFonts w:hint="eastAsia" w:asciiTheme="majorEastAsia" w:hAnsiTheme="majorEastAsia" w:eastAsiaTheme="majorEastAsia" w:cstheme="majorEastAsia"/>
                <w:b/>
                <w:szCs w:val="30"/>
              </w:rPr>
              <w:t>品牌及厂家</w:t>
            </w:r>
          </w:p>
        </w:tc>
        <w:tc>
          <w:tcPr>
            <w:tcW w:w="1592"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r>
              <w:rPr>
                <w:rFonts w:hint="eastAsia" w:asciiTheme="majorEastAsia" w:hAnsiTheme="majorEastAsia" w:eastAsiaTheme="majorEastAsia" w:cstheme="majorEastAsia"/>
                <w:b/>
                <w:szCs w:val="30"/>
              </w:rPr>
              <w:t>规格型号</w:t>
            </w:r>
          </w:p>
        </w:tc>
        <w:tc>
          <w:tcPr>
            <w:tcW w:w="842"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r>
              <w:rPr>
                <w:rFonts w:hint="eastAsia" w:asciiTheme="majorEastAsia" w:hAnsiTheme="majorEastAsia" w:eastAsiaTheme="majorEastAsia" w:cstheme="majorEastAsia"/>
                <w:b/>
                <w:szCs w:val="30"/>
              </w:rPr>
              <w:t>数量</w:t>
            </w:r>
          </w:p>
        </w:tc>
        <w:tc>
          <w:tcPr>
            <w:tcW w:w="88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r>
              <w:rPr>
                <w:rFonts w:hint="eastAsia" w:asciiTheme="majorEastAsia" w:hAnsiTheme="majorEastAsia" w:eastAsiaTheme="majorEastAsia" w:cstheme="majorEastAsia"/>
                <w:b/>
                <w:szCs w:val="30"/>
              </w:rPr>
              <w:t>单价</w:t>
            </w:r>
          </w:p>
        </w:tc>
        <w:tc>
          <w:tcPr>
            <w:tcW w:w="128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r>
              <w:rPr>
                <w:rFonts w:hint="eastAsia" w:asciiTheme="majorEastAsia" w:hAnsiTheme="majorEastAsia" w:eastAsiaTheme="majorEastAsia" w:cstheme="majorEastAsia"/>
                <w:b/>
                <w:szCs w:val="30"/>
              </w:rPr>
              <w:t>投标报价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6" w:hRule="atLeast"/>
          <w:jc w:val="center"/>
        </w:trPr>
        <w:tc>
          <w:tcPr>
            <w:tcW w:w="675"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Cs/>
                <w:szCs w:val="30"/>
              </w:rPr>
            </w:pPr>
            <w:r>
              <w:rPr>
                <w:rFonts w:hint="eastAsia" w:asciiTheme="majorEastAsia" w:hAnsiTheme="majorEastAsia" w:eastAsiaTheme="majorEastAsia" w:cstheme="majorEastAsia"/>
                <w:bCs/>
                <w:szCs w:val="30"/>
              </w:rPr>
              <w:t>1</w:t>
            </w:r>
          </w:p>
        </w:tc>
        <w:tc>
          <w:tcPr>
            <w:tcW w:w="1751"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p>
        </w:tc>
        <w:tc>
          <w:tcPr>
            <w:tcW w:w="1705"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p>
        </w:tc>
        <w:tc>
          <w:tcPr>
            <w:tcW w:w="1592"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p>
        </w:tc>
        <w:tc>
          <w:tcPr>
            <w:tcW w:w="842"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p>
        </w:tc>
        <w:tc>
          <w:tcPr>
            <w:tcW w:w="88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p>
        </w:tc>
        <w:tc>
          <w:tcPr>
            <w:tcW w:w="128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6" w:hRule="atLeast"/>
          <w:jc w:val="center"/>
        </w:trPr>
        <w:tc>
          <w:tcPr>
            <w:tcW w:w="675"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Cs/>
                <w:szCs w:val="30"/>
              </w:rPr>
            </w:pPr>
            <w:r>
              <w:rPr>
                <w:rFonts w:hint="eastAsia" w:asciiTheme="majorEastAsia" w:hAnsiTheme="majorEastAsia" w:eastAsiaTheme="majorEastAsia" w:cstheme="majorEastAsia"/>
                <w:bCs/>
                <w:szCs w:val="30"/>
              </w:rPr>
              <w:t>2</w:t>
            </w:r>
          </w:p>
        </w:tc>
        <w:tc>
          <w:tcPr>
            <w:tcW w:w="1751"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p>
        </w:tc>
        <w:tc>
          <w:tcPr>
            <w:tcW w:w="1705"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p>
        </w:tc>
        <w:tc>
          <w:tcPr>
            <w:tcW w:w="1592"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p>
        </w:tc>
        <w:tc>
          <w:tcPr>
            <w:tcW w:w="842"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p>
        </w:tc>
        <w:tc>
          <w:tcPr>
            <w:tcW w:w="88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p>
        </w:tc>
        <w:tc>
          <w:tcPr>
            <w:tcW w:w="128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6" w:hRule="atLeast"/>
          <w:jc w:val="center"/>
        </w:trPr>
        <w:tc>
          <w:tcPr>
            <w:tcW w:w="675"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Cs/>
                <w:szCs w:val="30"/>
              </w:rPr>
            </w:pPr>
            <w:r>
              <w:rPr>
                <w:rFonts w:hint="eastAsia" w:asciiTheme="majorEastAsia" w:hAnsiTheme="majorEastAsia" w:eastAsiaTheme="majorEastAsia" w:cstheme="majorEastAsia"/>
                <w:bCs/>
                <w:szCs w:val="30"/>
              </w:rPr>
              <w:t>3</w:t>
            </w:r>
          </w:p>
        </w:tc>
        <w:tc>
          <w:tcPr>
            <w:tcW w:w="1751"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p>
        </w:tc>
        <w:tc>
          <w:tcPr>
            <w:tcW w:w="1705"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p>
        </w:tc>
        <w:tc>
          <w:tcPr>
            <w:tcW w:w="1592"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p>
        </w:tc>
        <w:tc>
          <w:tcPr>
            <w:tcW w:w="842"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p>
        </w:tc>
        <w:tc>
          <w:tcPr>
            <w:tcW w:w="88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p>
        </w:tc>
        <w:tc>
          <w:tcPr>
            <w:tcW w:w="128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6" w:hRule="atLeast"/>
          <w:jc w:val="center"/>
        </w:trPr>
        <w:tc>
          <w:tcPr>
            <w:tcW w:w="675"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Cs/>
                <w:szCs w:val="30"/>
              </w:rPr>
            </w:pPr>
            <w:r>
              <w:rPr>
                <w:rFonts w:hint="eastAsia" w:asciiTheme="majorEastAsia" w:hAnsiTheme="majorEastAsia" w:eastAsiaTheme="majorEastAsia" w:cstheme="majorEastAsia"/>
                <w:bCs/>
                <w:szCs w:val="30"/>
              </w:rPr>
              <w:t>4</w:t>
            </w:r>
          </w:p>
        </w:tc>
        <w:tc>
          <w:tcPr>
            <w:tcW w:w="1751"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r>
              <w:rPr>
                <w:rFonts w:hint="eastAsia" w:asciiTheme="majorEastAsia" w:hAnsiTheme="majorEastAsia" w:eastAsiaTheme="majorEastAsia" w:cstheme="majorEastAsia"/>
                <w:kern w:val="0"/>
              </w:rPr>
              <w:t>......</w:t>
            </w:r>
          </w:p>
        </w:tc>
        <w:tc>
          <w:tcPr>
            <w:tcW w:w="1705"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p>
        </w:tc>
        <w:tc>
          <w:tcPr>
            <w:tcW w:w="1592"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p>
        </w:tc>
        <w:tc>
          <w:tcPr>
            <w:tcW w:w="842"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p>
        </w:tc>
        <w:tc>
          <w:tcPr>
            <w:tcW w:w="88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p>
        </w:tc>
        <w:tc>
          <w:tcPr>
            <w:tcW w:w="128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Theme="majorEastAsia" w:hAnsiTheme="majorEastAsia" w:eastAsiaTheme="majorEastAsia" w:cstheme="majorEastAsia"/>
                <w:b/>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3" w:hRule="atLeast"/>
          <w:jc w:val="center"/>
        </w:trPr>
        <w:tc>
          <w:tcPr>
            <w:tcW w:w="8734" w:type="dxa"/>
            <w:gridSpan w:val="7"/>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left"/>
              <w:rPr>
                <w:rFonts w:asciiTheme="majorEastAsia" w:hAnsiTheme="majorEastAsia" w:eastAsiaTheme="majorEastAsia" w:cstheme="majorEastAsia"/>
                <w:spacing w:val="20"/>
              </w:rPr>
            </w:pPr>
            <w:r>
              <w:rPr>
                <w:rFonts w:hint="eastAsia" w:asciiTheme="majorEastAsia" w:hAnsiTheme="majorEastAsia" w:eastAsiaTheme="majorEastAsia" w:cstheme="majorEastAsia"/>
                <w:spacing w:val="20"/>
              </w:rPr>
              <w:t>投 标 总  价（大写）：</w:t>
            </w:r>
          </w:p>
        </w:tc>
      </w:tr>
    </w:tbl>
    <w:p>
      <w:pPr>
        <w:snapToGrid w:val="0"/>
        <w:spacing w:before="50" w:after="50"/>
        <w:jc w:val="left"/>
        <w:rPr>
          <w:rFonts w:asciiTheme="majorEastAsia" w:hAnsiTheme="majorEastAsia" w:eastAsiaTheme="majorEastAsia" w:cstheme="majorEastAsia"/>
          <w:kern w:val="0"/>
          <w:sz w:val="21"/>
          <w:szCs w:val="21"/>
          <w:lang w:val="zh-CN"/>
        </w:rPr>
      </w:pPr>
      <w:r>
        <w:rPr>
          <w:rFonts w:hint="eastAsia" w:asciiTheme="majorEastAsia" w:hAnsiTheme="majorEastAsia" w:eastAsiaTheme="majorEastAsia" w:cstheme="majorEastAsia"/>
        </w:rPr>
        <w:t>　</w:t>
      </w:r>
      <w:r>
        <w:rPr>
          <w:rFonts w:hint="eastAsia" w:asciiTheme="majorEastAsia" w:hAnsiTheme="majorEastAsia" w:eastAsiaTheme="majorEastAsia" w:cstheme="majorEastAsia"/>
          <w:b/>
          <w:kern w:val="0"/>
          <w:sz w:val="21"/>
          <w:szCs w:val="21"/>
          <w:lang w:val="zh-CN"/>
        </w:rPr>
        <w:t>注</w:t>
      </w:r>
      <w:r>
        <w:rPr>
          <w:rFonts w:hint="eastAsia" w:asciiTheme="majorEastAsia" w:hAnsiTheme="majorEastAsia" w:eastAsiaTheme="majorEastAsia" w:cstheme="majorEastAsia"/>
          <w:b/>
          <w:kern w:val="0"/>
          <w:sz w:val="21"/>
          <w:szCs w:val="21"/>
        </w:rPr>
        <w:t>：</w:t>
      </w:r>
      <w:r>
        <w:rPr>
          <w:rFonts w:hint="eastAsia" w:asciiTheme="majorEastAsia" w:hAnsiTheme="majorEastAsia" w:eastAsiaTheme="majorEastAsia" w:cstheme="majorEastAsia"/>
          <w:kern w:val="0"/>
          <w:sz w:val="21"/>
          <w:szCs w:val="21"/>
          <w:lang w:val="zh-CN"/>
        </w:rPr>
        <w:t>1、投标供应商需按本表格式填写，不得自行更改。</w:t>
      </w:r>
    </w:p>
    <w:p>
      <w:pPr>
        <w:spacing w:line="360" w:lineRule="auto"/>
        <w:ind w:firstLine="420" w:firstLineChars="200"/>
        <w:rPr>
          <w:rFonts w:asciiTheme="majorEastAsia" w:hAnsiTheme="majorEastAsia" w:eastAsiaTheme="majorEastAsia" w:cstheme="majorEastAsia"/>
          <w:kern w:val="0"/>
          <w:sz w:val="21"/>
          <w:szCs w:val="21"/>
          <w:lang w:val="zh-CN"/>
        </w:rPr>
      </w:pPr>
      <w:r>
        <w:rPr>
          <w:rFonts w:hint="eastAsia" w:asciiTheme="majorEastAsia" w:hAnsiTheme="majorEastAsia" w:eastAsiaTheme="majorEastAsia" w:cstheme="majorEastAsia"/>
          <w:kern w:val="0"/>
          <w:sz w:val="21"/>
          <w:szCs w:val="21"/>
          <w:lang w:val="zh-CN"/>
        </w:rPr>
        <w:t>2、有关本项目实施所涉及的一切费用均计入报价。</w:t>
      </w:r>
      <w:r>
        <w:rPr>
          <w:rFonts w:hint="eastAsia" w:asciiTheme="majorEastAsia" w:hAnsiTheme="majorEastAsia" w:eastAsiaTheme="majorEastAsia" w:cstheme="majorEastAsia"/>
          <w:b/>
          <w:kern w:val="0"/>
          <w:sz w:val="21"/>
          <w:szCs w:val="21"/>
          <w:lang w:val="zh-CN"/>
        </w:rPr>
        <w:t>采购人将以合同形式有偿取得货物或服务，不接受投标供应商给予的赠品、回扣或者与采购无关的其他商品、服务</w:t>
      </w:r>
      <w:r>
        <w:rPr>
          <w:rFonts w:hint="eastAsia" w:asciiTheme="majorEastAsia" w:hAnsiTheme="majorEastAsia" w:eastAsiaTheme="majorEastAsia" w:cstheme="majorEastAsia"/>
          <w:kern w:val="0"/>
          <w:sz w:val="21"/>
          <w:szCs w:val="21"/>
          <w:lang w:val="zh-CN"/>
        </w:rPr>
        <w:t>，</w:t>
      </w:r>
      <w:r>
        <w:rPr>
          <w:rFonts w:hint="eastAsia" w:asciiTheme="majorEastAsia" w:hAnsiTheme="majorEastAsia" w:eastAsiaTheme="majorEastAsia" w:cstheme="majorEastAsia"/>
          <w:b/>
          <w:kern w:val="0"/>
          <w:sz w:val="21"/>
          <w:szCs w:val="21"/>
          <w:lang w:val="zh-CN"/>
        </w:rPr>
        <w:t>不得出现“0元”“免费赠送”等形式的无偿报价，</w:t>
      </w:r>
      <w:r>
        <w:rPr>
          <w:rFonts w:hint="eastAsia" w:asciiTheme="majorEastAsia" w:hAnsiTheme="majorEastAsia" w:eastAsiaTheme="majorEastAsia" w:cstheme="majorEastAsia"/>
          <w:b/>
          <w:kern w:val="0"/>
          <w:sz w:val="21"/>
          <w:szCs w:val="21"/>
        </w:rPr>
        <w:t>否则视为</w:t>
      </w:r>
      <w:r>
        <w:rPr>
          <w:rFonts w:hint="eastAsia" w:asciiTheme="majorEastAsia" w:hAnsiTheme="majorEastAsia" w:eastAsiaTheme="majorEastAsia" w:cstheme="majorEastAsia"/>
          <w:b/>
          <w:sz w:val="21"/>
          <w:szCs w:val="21"/>
        </w:rPr>
        <w:t>投标文件含有采购人不能接受的附加条件的，投标无效</w:t>
      </w:r>
      <w:r>
        <w:rPr>
          <w:rFonts w:hint="eastAsia" w:asciiTheme="majorEastAsia" w:hAnsiTheme="majorEastAsia" w:eastAsiaTheme="majorEastAsia" w:cstheme="majorEastAsia"/>
          <w:b/>
          <w:kern w:val="0"/>
          <w:sz w:val="21"/>
          <w:szCs w:val="21"/>
          <w:lang w:val="zh-CN"/>
        </w:rPr>
        <w:t>。</w:t>
      </w:r>
    </w:p>
    <w:p>
      <w:pPr>
        <w:snapToGrid w:val="0"/>
        <w:spacing w:line="360" w:lineRule="auto"/>
        <w:ind w:firstLine="420" w:firstLineChars="200"/>
        <w:jc w:val="left"/>
        <w:rPr>
          <w:rFonts w:asciiTheme="majorEastAsia" w:hAnsiTheme="majorEastAsia" w:eastAsiaTheme="majorEastAsia" w:cstheme="majorEastAsia"/>
          <w:kern w:val="0"/>
          <w:sz w:val="21"/>
          <w:szCs w:val="21"/>
          <w:lang w:val="zh-CN"/>
        </w:rPr>
      </w:pPr>
      <w:r>
        <w:rPr>
          <w:rFonts w:hint="eastAsia" w:asciiTheme="majorEastAsia" w:hAnsiTheme="majorEastAsia" w:eastAsiaTheme="majorEastAsia" w:cstheme="majorEastAsia"/>
          <w:kern w:val="0"/>
          <w:sz w:val="21"/>
          <w:szCs w:val="21"/>
          <w:lang w:val="zh-CN"/>
        </w:rPr>
        <w:t>3、以上表格要求细分项目及报价，在“规格型号（或具体服务）”一栏中，货物类项目填写规格型号，服务类项目填写具体服务。</w:t>
      </w:r>
    </w:p>
    <w:p>
      <w:pPr>
        <w:snapToGrid w:val="0"/>
        <w:spacing w:line="360" w:lineRule="auto"/>
        <w:ind w:firstLine="420" w:firstLineChars="200"/>
        <w:jc w:val="left"/>
        <w:rPr>
          <w:rFonts w:asciiTheme="majorEastAsia" w:hAnsiTheme="majorEastAsia" w:eastAsiaTheme="majorEastAsia" w:cstheme="majorEastAsia"/>
          <w:kern w:val="0"/>
          <w:sz w:val="21"/>
          <w:szCs w:val="21"/>
          <w:lang w:val="zh-CN"/>
        </w:rPr>
      </w:pPr>
      <w:r>
        <w:rPr>
          <w:rFonts w:hint="eastAsia" w:asciiTheme="majorEastAsia" w:hAnsiTheme="majorEastAsia" w:eastAsiaTheme="majorEastAsia" w:cstheme="majorEastAsia"/>
          <w:kern w:val="0"/>
          <w:sz w:val="21"/>
          <w:szCs w:val="21"/>
          <w:lang w:val="zh-CN"/>
        </w:rPr>
        <w:t>4、特别提示：采购机构将对项目名称和项目编号，中标供应商名称、地址和中标金额，主要中标标的的名称、规格型号、数量、单价、服务要求等予以公示。</w:t>
      </w:r>
    </w:p>
    <w:p>
      <w:pPr>
        <w:snapToGrid w:val="0"/>
        <w:spacing w:line="360" w:lineRule="auto"/>
        <w:ind w:firstLine="420" w:firstLineChars="200"/>
        <w:jc w:val="left"/>
        <w:rPr>
          <w:rFonts w:asciiTheme="majorEastAsia" w:hAnsiTheme="majorEastAsia" w:eastAsiaTheme="majorEastAsia" w:cstheme="majorEastAsia"/>
          <w:kern w:val="0"/>
          <w:sz w:val="21"/>
          <w:szCs w:val="21"/>
          <w:lang w:val="zh-CN"/>
        </w:rPr>
      </w:pPr>
      <w:r>
        <w:rPr>
          <w:rFonts w:hint="eastAsia" w:asciiTheme="majorEastAsia" w:hAnsiTheme="majorEastAsia" w:eastAsiaTheme="majorEastAsia" w:cstheme="majorEastAsia"/>
          <w:kern w:val="0"/>
          <w:sz w:val="21"/>
          <w:szCs w:val="21"/>
          <w:lang w:val="zh-CN"/>
        </w:rPr>
        <w:t>5、符合招标文件中列明的可享受中小企业扶持政策的投标供应商，请填写中小企业声明函。注：投标供应商提供的中小企业声明函内容不实的，属于提供虚假材料谋取中标、成交，依照《中华人民共和国政府采购法》等国家有关规定追究相应责任。</w:t>
      </w:r>
    </w:p>
    <w:p>
      <w:pPr>
        <w:snapToGrid w:val="0"/>
        <w:spacing w:before="50" w:after="50"/>
        <w:ind w:firstLine="4320" w:firstLineChars="1800"/>
        <w:jc w:val="left"/>
        <w:rPr>
          <w:rFonts w:asciiTheme="majorEastAsia" w:hAnsiTheme="majorEastAsia" w:eastAsiaTheme="majorEastAsia" w:cstheme="majorEastAsia"/>
        </w:rPr>
      </w:pPr>
    </w:p>
    <w:p>
      <w:pPr>
        <w:snapToGrid w:val="0"/>
        <w:spacing w:before="50" w:after="50"/>
        <w:ind w:firstLine="4320" w:firstLineChars="1800"/>
        <w:jc w:val="left"/>
        <w:rPr>
          <w:rFonts w:asciiTheme="majorEastAsia" w:hAnsiTheme="majorEastAsia" w:eastAsiaTheme="majorEastAsia" w:cstheme="majorEastAsia"/>
        </w:rPr>
      </w:pPr>
    </w:p>
    <w:p>
      <w:pPr>
        <w:snapToGrid w:val="0"/>
        <w:spacing w:before="50" w:after="50"/>
        <w:ind w:firstLine="3600" w:firstLineChars="1500"/>
        <w:jc w:val="left"/>
        <w:rPr>
          <w:rFonts w:asciiTheme="majorEastAsia" w:hAnsiTheme="majorEastAsia" w:eastAsiaTheme="majorEastAsia" w:cstheme="majorEastAsia"/>
        </w:rPr>
      </w:pPr>
      <w:r>
        <w:rPr>
          <w:rFonts w:hint="eastAsia" w:asciiTheme="majorEastAsia" w:hAnsiTheme="majorEastAsia" w:eastAsiaTheme="majorEastAsia" w:cstheme="majorEastAsia"/>
        </w:rPr>
        <w:t>法定代表人或被授权人签字（或盖章）：</w:t>
      </w:r>
    </w:p>
    <w:p>
      <w:pPr>
        <w:snapToGrid w:val="0"/>
        <w:spacing w:before="50" w:after="50"/>
        <w:jc w:val="left"/>
        <w:rPr>
          <w:rFonts w:asciiTheme="majorEastAsia" w:hAnsiTheme="majorEastAsia" w:eastAsiaTheme="majorEastAsia" w:cstheme="majorEastAsia"/>
        </w:rPr>
      </w:pPr>
      <w:r>
        <w:rPr>
          <w:rFonts w:hint="eastAsia" w:asciiTheme="majorEastAsia" w:hAnsiTheme="majorEastAsia" w:eastAsiaTheme="majorEastAsia" w:cstheme="majorEastAsia"/>
        </w:rPr>
        <w:t xml:space="preserve">　                                                     </w:t>
      </w:r>
    </w:p>
    <w:p>
      <w:pPr>
        <w:snapToGrid w:val="0"/>
        <w:spacing w:before="50" w:after="50"/>
        <w:ind w:firstLine="4320" w:firstLineChars="1800"/>
        <w:jc w:val="left"/>
        <w:rPr>
          <w:rFonts w:asciiTheme="majorEastAsia" w:hAnsiTheme="majorEastAsia" w:eastAsiaTheme="majorEastAsia" w:cstheme="majorEastAsia"/>
        </w:rPr>
      </w:pPr>
      <w:r>
        <w:rPr>
          <w:rFonts w:hint="eastAsia" w:asciiTheme="majorEastAsia" w:hAnsiTheme="majorEastAsia" w:eastAsiaTheme="majorEastAsia" w:cstheme="majorEastAsia"/>
        </w:rPr>
        <w:t>供应商名称（公章）：</w:t>
      </w:r>
    </w:p>
    <w:p>
      <w:pPr>
        <w:snapToGrid w:val="0"/>
        <w:spacing w:before="50" w:after="50"/>
        <w:jc w:val="right"/>
        <w:rPr>
          <w:rFonts w:asciiTheme="majorEastAsia" w:hAnsiTheme="majorEastAsia" w:eastAsiaTheme="majorEastAsia" w:cstheme="majorEastAsia"/>
        </w:rPr>
      </w:pPr>
      <w:r>
        <w:rPr>
          <w:rFonts w:hint="eastAsia" w:asciiTheme="majorEastAsia" w:hAnsiTheme="majorEastAsia" w:eastAsiaTheme="majorEastAsia" w:cstheme="majorEastAsia"/>
        </w:rPr>
        <w:t xml:space="preserve">                             </w:t>
      </w:r>
    </w:p>
    <w:p>
      <w:pPr>
        <w:snapToGrid w:val="0"/>
        <w:spacing w:before="50" w:after="50"/>
        <w:jc w:val="center"/>
        <w:rPr>
          <w:rFonts w:asciiTheme="majorEastAsia" w:hAnsiTheme="majorEastAsia" w:eastAsiaTheme="majorEastAsia" w:cstheme="majorEastAsia"/>
          <w:sz w:val="32"/>
          <w:szCs w:val="32"/>
        </w:rPr>
        <w:sectPr>
          <w:pgSz w:w="11849" w:h="16781"/>
          <w:pgMar w:top="907" w:right="907" w:bottom="907" w:left="907" w:header="851" w:footer="992" w:gutter="0"/>
          <w:cols w:space="720" w:num="1"/>
          <w:titlePg/>
          <w:docGrid w:linePitch="312" w:charSpace="0"/>
        </w:sectPr>
      </w:pPr>
      <w:r>
        <w:rPr>
          <w:rFonts w:hint="eastAsia" w:asciiTheme="majorEastAsia" w:hAnsiTheme="majorEastAsia" w:eastAsiaTheme="majorEastAsia" w:cstheme="majorEastAsia"/>
        </w:rPr>
        <w:t xml:space="preserve">                             日期：   年   月   日  </w:t>
      </w:r>
    </w:p>
    <w:p>
      <w:pPr>
        <w:pStyle w:val="511"/>
        <w:keepNext w:val="0"/>
        <w:pageBreakBefore w:val="0"/>
        <w:tabs>
          <w:tab w:val="clear" w:pos="720"/>
        </w:tabs>
        <w:snapToGrid w:val="0"/>
        <w:spacing w:before="120" w:after="120"/>
        <w:outlineLvl w:val="9"/>
        <w:rPr>
          <w:rFonts w:asciiTheme="majorEastAsia" w:hAnsiTheme="majorEastAsia" w:eastAsiaTheme="majorEastAsia" w:cstheme="majorEastAsia"/>
          <w:sz w:val="32"/>
          <w:szCs w:val="32"/>
        </w:rPr>
      </w:pPr>
      <w:bookmarkStart w:id="220" w:name="_Toc200798296"/>
      <w:bookmarkStart w:id="221" w:name="_Toc1148016959"/>
      <w:bookmarkStart w:id="222" w:name="_Toc1030053926"/>
      <w:bookmarkStart w:id="223" w:name="_Toc1899345925"/>
      <w:bookmarkStart w:id="224" w:name="_Toc406484567"/>
      <w:r>
        <w:rPr>
          <w:rFonts w:hint="eastAsia" w:asciiTheme="majorEastAsia" w:hAnsiTheme="majorEastAsia" w:eastAsiaTheme="majorEastAsia" w:cstheme="majorEastAsia"/>
          <w:kern w:val="2"/>
          <w:sz w:val="32"/>
          <w:szCs w:val="32"/>
        </w:rPr>
        <w:t>二、</w:t>
      </w:r>
      <w:r>
        <w:rPr>
          <w:rFonts w:hint="eastAsia" w:asciiTheme="majorEastAsia" w:hAnsiTheme="majorEastAsia" w:eastAsiaTheme="majorEastAsia" w:cstheme="majorEastAsia"/>
          <w:sz w:val="32"/>
          <w:szCs w:val="32"/>
        </w:rPr>
        <w:t>中小企业声明函</w:t>
      </w:r>
      <w:bookmarkEnd w:id="220"/>
      <w:bookmarkEnd w:id="221"/>
      <w:bookmarkEnd w:id="222"/>
      <w:bookmarkEnd w:id="223"/>
      <w:bookmarkEnd w:id="224"/>
    </w:p>
    <w:p>
      <w:pPr>
        <w:widowControl/>
        <w:spacing w:line="360" w:lineRule="auto"/>
        <w:ind w:firstLine="120" w:firstLineChars="50"/>
        <w:jc w:val="left"/>
        <w:rPr>
          <w:rFonts w:asciiTheme="majorEastAsia" w:hAnsiTheme="majorEastAsia" w:eastAsiaTheme="majorEastAsia" w:cstheme="majorEastAsia"/>
          <w:b/>
        </w:rPr>
      </w:pPr>
      <w:r>
        <w:rPr>
          <w:rFonts w:hint="eastAsia" w:asciiTheme="majorEastAsia" w:hAnsiTheme="majorEastAsia" w:eastAsiaTheme="majorEastAsia" w:cstheme="majorEastAsia"/>
          <w:b/>
        </w:rPr>
        <w:t>[招标公告落实政府采购政策需满足的资格要求为“无”即本项目或标项未预留份额专门面向中小企业时，符合《政府采购促进中小企业发展管理办法》规定的小微企业拟享受价格扣除政策的，需提供中小企业声明函。]</w:t>
      </w:r>
    </w:p>
    <w:p>
      <w:pPr>
        <w:spacing w:line="480" w:lineRule="exact"/>
        <w:ind w:right="417"/>
        <w:rPr>
          <w:rFonts w:asciiTheme="majorEastAsia" w:hAnsiTheme="majorEastAsia" w:eastAsiaTheme="majorEastAsia" w:cstheme="majorEastAsia"/>
          <w:spacing w:val="-3"/>
          <w:sz w:val="28"/>
        </w:rPr>
      </w:pPr>
    </w:p>
    <w:p>
      <w:pPr>
        <w:snapToGrid w:val="0"/>
        <w:spacing w:line="360" w:lineRule="auto"/>
        <w:jc w:val="center"/>
        <w:rPr>
          <w:rFonts w:asciiTheme="majorEastAsia" w:hAnsiTheme="majorEastAsia" w:eastAsiaTheme="majorEastAsia" w:cstheme="majorEastAsia"/>
          <w:b/>
          <w:bCs/>
        </w:rPr>
      </w:pPr>
      <w:r>
        <w:rPr>
          <w:rFonts w:hint="eastAsia" w:asciiTheme="majorEastAsia" w:hAnsiTheme="majorEastAsia" w:eastAsiaTheme="majorEastAsia" w:cstheme="majorEastAsia"/>
          <w:b/>
          <w:bCs/>
        </w:rPr>
        <w:t>中小企业声明函（货物）</w:t>
      </w:r>
    </w:p>
    <w:p>
      <w:pPr>
        <w:snapToGrid w:val="0"/>
        <w:spacing w:line="360" w:lineRule="auto"/>
        <w:ind w:firstLine="720" w:firstLineChars="300"/>
        <w:jc w:val="left"/>
        <w:rPr>
          <w:rFonts w:asciiTheme="majorEastAsia" w:hAnsiTheme="majorEastAsia" w:eastAsiaTheme="majorEastAsia" w:cstheme="majorEastAsia"/>
        </w:rPr>
      </w:pPr>
      <w:r>
        <w:rPr>
          <w:rFonts w:hint="eastAsia" w:asciiTheme="majorEastAsia" w:hAnsiTheme="majorEastAsia" w:eastAsiaTheme="majorEastAsia" w:cstheme="majorEastAsia"/>
        </w:rPr>
        <w:t>本公司郑重声明，根据《政府采购促进中小企业发展管理办法》（财库﹝2020﹞46 号）的规定，本公司参加</w:t>
      </w:r>
      <w:r>
        <w:rPr>
          <w:rFonts w:hint="eastAsia" w:asciiTheme="majorEastAsia" w:hAnsiTheme="majorEastAsia" w:eastAsiaTheme="majorEastAsia" w:cstheme="majorEastAsia"/>
          <w:u w:val="single"/>
        </w:rPr>
        <w:t>（单位名称）</w:t>
      </w:r>
      <w:r>
        <w:rPr>
          <w:rFonts w:hint="eastAsia" w:asciiTheme="majorEastAsia" w:hAnsiTheme="majorEastAsia" w:eastAsiaTheme="majorEastAsia" w:cstheme="majorEastAsia"/>
        </w:rPr>
        <w:t>的</w:t>
      </w:r>
      <w:r>
        <w:rPr>
          <w:rFonts w:hint="eastAsia" w:asciiTheme="majorEastAsia" w:hAnsiTheme="majorEastAsia" w:eastAsiaTheme="majorEastAsia" w:cstheme="majorEastAsia"/>
          <w:u w:val="single"/>
        </w:rPr>
        <w:t>（项目名称）</w:t>
      </w:r>
      <w:r>
        <w:rPr>
          <w:rFonts w:hint="eastAsia" w:asciiTheme="majorEastAsia" w:hAnsiTheme="majorEastAsia" w:eastAsiaTheme="majorEastAsia" w:cstheme="majorEastAsia"/>
        </w:rPr>
        <w:t xml:space="preserve">采购活动，提供的货物全部由符合政策要求的小微企业制造。相关企业的具体情况如下： </w:t>
      </w:r>
    </w:p>
    <w:p>
      <w:pPr>
        <w:snapToGrid w:val="0"/>
        <w:spacing w:line="360" w:lineRule="auto"/>
        <w:ind w:firstLine="720" w:firstLineChars="300"/>
        <w:jc w:val="left"/>
        <w:rPr>
          <w:rFonts w:asciiTheme="majorEastAsia" w:hAnsiTheme="majorEastAsia" w:eastAsiaTheme="majorEastAsia" w:cstheme="majorEastAsia"/>
        </w:rPr>
      </w:pPr>
      <w:r>
        <w:rPr>
          <w:rFonts w:hint="eastAsia" w:asciiTheme="majorEastAsia" w:hAnsiTheme="majorEastAsia" w:eastAsiaTheme="majorEastAsia" w:cstheme="majorEastAsia"/>
        </w:rPr>
        <w:t xml:space="preserve">1. </w:t>
      </w:r>
      <w:r>
        <w:rPr>
          <w:rFonts w:hint="eastAsia" w:asciiTheme="majorEastAsia" w:hAnsiTheme="majorEastAsia" w:eastAsiaTheme="majorEastAsia" w:cstheme="majorEastAsia"/>
          <w:u w:val="single"/>
        </w:rPr>
        <w:t>（标的名称）</w:t>
      </w:r>
      <w:r>
        <w:rPr>
          <w:rFonts w:hint="eastAsia" w:asciiTheme="majorEastAsia" w:hAnsiTheme="majorEastAsia" w:eastAsiaTheme="majorEastAsia" w:cstheme="majorEastAsia"/>
        </w:rPr>
        <w:t xml:space="preserve"> ，属于</w:t>
      </w:r>
      <w:r>
        <w:rPr>
          <w:rFonts w:hint="eastAsia" w:asciiTheme="majorEastAsia" w:hAnsiTheme="majorEastAsia" w:eastAsiaTheme="majorEastAsia" w:cstheme="majorEastAsia"/>
          <w:u w:val="single"/>
        </w:rPr>
        <w:t>（采购文件中明确的所属行业）</w:t>
      </w:r>
      <w:r>
        <w:rPr>
          <w:rFonts w:hint="eastAsia" w:asciiTheme="majorEastAsia" w:hAnsiTheme="majorEastAsia" w:eastAsiaTheme="majorEastAsia" w:cstheme="majorEastAsia"/>
        </w:rPr>
        <w:t xml:space="preserve"> 行业；制造商为</w:t>
      </w:r>
      <w:r>
        <w:rPr>
          <w:rFonts w:hint="eastAsia" w:asciiTheme="majorEastAsia" w:hAnsiTheme="majorEastAsia" w:eastAsiaTheme="majorEastAsia" w:cstheme="majorEastAsia"/>
          <w:u w:val="single"/>
        </w:rPr>
        <w:t>（企业名称）</w:t>
      </w:r>
      <w:r>
        <w:rPr>
          <w:rFonts w:hint="eastAsia" w:asciiTheme="majorEastAsia" w:hAnsiTheme="majorEastAsia" w:eastAsiaTheme="majorEastAsia" w:cstheme="majorEastAsia"/>
        </w:rPr>
        <w:t>，从业人员</w:t>
      </w:r>
      <w:r>
        <w:rPr>
          <w:rFonts w:hint="eastAsia" w:asciiTheme="majorEastAsia" w:hAnsiTheme="majorEastAsia" w:eastAsiaTheme="majorEastAsia" w:cstheme="majorEastAsia"/>
          <w:u w:val="single"/>
        </w:rPr>
        <w:t xml:space="preserve">   </w:t>
      </w:r>
      <w:r>
        <w:rPr>
          <w:rFonts w:hint="eastAsia" w:asciiTheme="majorEastAsia" w:hAnsiTheme="majorEastAsia" w:eastAsiaTheme="majorEastAsia" w:cstheme="majorEastAsia"/>
        </w:rPr>
        <w:t>人，营业收入为</w:t>
      </w:r>
      <w:r>
        <w:rPr>
          <w:rFonts w:hint="eastAsia" w:asciiTheme="majorEastAsia" w:hAnsiTheme="majorEastAsia" w:eastAsiaTheme="majorEastAsia" w:cstheme="majorEastAsia"/>
          <w:u w:val="single"/>
        </w:rPr>
        <w:t xml:space="preserve">    </w:t>
      </w:r>
      <w:r>
        <w:rPr>
          <w:rFonts w:hint="eastAsia" w:asciiTheme="majorEastAsia" w:hAnsiTheme="majorEastAsia" w:eastAsiaTheme="majorEastAsia" w:cstheme="majorEastAsia"/>
        </w:rPr>
        <w:t>万元，资产总额为</w:t>
      </w:r>
      <w:r>
        <w:rPr>
          <w:rFonts w:hint="eastAsia" w:asciiTheme="majorEastAsia" w:hAnsiTheme="majorEastAsia" w:eastAsiaTheme="majorEastAsia" w:cstheme="majorEastAsia"/>
          <w:u w:val="single"/>
        </w:rPr>
        <w:t xml:space="preserve">    </w:t>
      </w:r>
      <w:r>
        <w:rPr>
          <w:rFonts w:hint="eastAsia" w:asciiTheme="majorEastAsia" w:hAnsiTheme="majorEastAsia" w:eastAsiaTheme="majorEastAsia" w:cstheme="majorEastAsia"/>
        </w:rPr>
        <w:t>万元¹，属于（</w:t>
      </w:r>
      <w:r>
        <w:rPr>
          <w:rFonts w:hint="eastAsia" w:asciiTheme="majorEastAsia" w:hAnsiTheme="majorEastAsia" w:eastAsiaTheme="majorEastAsia" w:cstheme="majorEastAsia"/>
        </w:rPr>
        <w:sym w:font="Wingdings" w:char="00A8"/>
      </w:r>
      <w:r>
        <w:rPr>
          <w:rFonts w:hint="eastAsia" w:asciiTheme="majorEastAsia" w:hAnsiTheme="majorEastAsia" w:eastAsiaTheme="majorEastAsia" w:cstheme="majorEastAsia"/>
        </w:rPr>
        <w:t>中型企业、</w:t>
      </w:r>
      <w:r>
        <w:rPr>
          <w:rFonts w:hint="eastAsia" w:asciiTheme="majorEastAsia" w:hAnsiTheme="majorEastAsia" w:eastAsiaTheme="majorEastAsia" w:cstheme="majorEastAsia"/>
        </w:rPr>
        <w:sym w:font="Wingdings" w:char="00A8"/>
      </w:r>
      <w:r>
        <w:rPr>
          <w:rFonts w:hint="eastAsia" w:asciiTheme="majorEastAsia" w:hAnsiTheme="majorEastAsia" w:eastAsiaTheme="majorEastAsia" w:cstheme="majorEastAsia"/>
        </w:rPr>
        <w:t>小型企业、</w:t>
      </w:r>
      <w:r>
        <w:rPr>
          <w:rFonts w:hint="eastAsia" w:asciiTheme="majorEastAsia" w:hAnsiTheme="majorEastAsia" w:eastAsiaTheme="majorEastAsia" w:cstheme="majorEastAsia"/>
        </w:rPr>
        <w:sym w:font="Wingdings" w:char="00A8"/>
      </w:r>
      <w:r>
        <w:rPr>
          <w:rFonts w:hint="eastAsia" w:asciiTheme="majorEastAsia" w:hAnsiTheme="majorEastAsia" w:eastAsiaTheme="majorEastAsia" w:cstheme="majorEastAsia"/>
        </w:rPr>
        <w:t xml:space="preserve">微型企业）； </w:t>
      </w:r>
    </w:p>
    <w:p>
      <w:pPr>
        <w:snapToGrid w:val="0"/>
        <w:spacing w:line="360" w:lineRule="auto"/>
        <w:ind w:firstLine="720" w:firstLineChars="300"/>
        <w:rPr>
          <w:rFonts w:asciiTheme="majorEastAsia" w:hAnsiTheme="majorEastAsia" w:eastAsiaTheme="majorEastAsia" w:cstheme="majorEastAsia"/>
        </w:rPr>
      </w:pPr>
      <w:r>
        <w:rPr>
          <w:rFonts w:hint="eastAsia" w:asciiTheme="majorEastAsia" w:hAnsiTheme="majorEastAsia" w:eastAsiaTheme="majorEastAsia" w:cstheme="majorEastAsia"/>
        </w:rPr>
        <w:t xml:space="preserve">2. </w:t>
      </w:r>
      <w:r>
        <w:rPr>
          <w:rFonts w:hint="eastAsia" w:asciiTheme="majorEastAsia" w:hAnsiTheme="majorEastAsia" w:eastAsiaTheme="majorEastAsia" w:cstheme="majorEastAsia"/>
          <w:u w:val="single"/>
        </w:rPr>
        <w:t>（标的名称）</w:t>
      </w:r>
      <w:r>
        <w:rPr>
          <w:rFonts w:hint="eastAsia" w:asciiTheme="majorEastAsia" w:hAnsiTheme="majorEastAsia" w:eastAsiaTheme="majorEastAsia" w:cstheme="majorEastAsia"/>
        </w:rPr>
        <w:t>，属于（采购文件中明确的所属行业）行业；制造商为</w:t>
      </w:r>
      <w:r>
        <w:rPr>
          <w:rFonts w:hint="eastAsia" w:asciiTheme="majorEastAsia" w:hAnsiTheme="majorEastAsia" w:eastAsiaTheme="majorEastAsia" w:cstheme="majorEastAsia"/>
          <w:u w:val="single"/>
        </w:rPr>
        <w:t>（企业名称）</w:t>
      </w:r>
      <w:r>
        <w:rPr>
          <w:rFonts w:hint="eastAsia" w:asciiTheme="majorEastAsia" w:hAnsiTheme="majorEastAsia" w:eastAsiaTheme="majorEastAsia" w:cstheme="majorEastAsia"/>
        </w:rPr>
        <w:t>，从业人员</w:t>
      </w:r>
      <w:r>
        <w:rPr>
          <w:rFonts w:hint="eastAsia" w:asciiTheme="majorEastAsia" w:hAnsiTheme="majorEastAsia" w:eastAsiaTheme="majorEastAsia" w:cstheme="majorEastAsia"/>
          <w:u w:val="single"/>
        </w:rPr>
        <w:t xml:space="preserve">    </w:t>
      </w:r>
      <w:r>
        <w:rPr>
          <w:rFonts w:hint="eastAsia" w:asciiTheme="majorEastAsia" w:hAnsiTheme="majorEastAsia" w:eastAsiaTheme="majorEastAsia" w:cstheme="majorEastAsia"/>
        </w:rPr>
        <w:t>人，营业收入为</w:t>
      </w:r>
      <w:r>
        <w:rPr>
          <w:rFonts w:hint="eastAsia" w:asciiTheme="majorEastAsia" w:hAnsiTheme="majorEastAsia" w:eastAsiaTheme="majorEastAsia" w:cstheme="majorEastAsia"/>
          <w:u w:val="single"/>
        </w:rPr>
        <w:t xml:space="preserve">     </w:t>
      </w:r>
      <w:r>
        <w:rPr>
          <w:rFonts w:hint="eastAsia" w:asciiTheme="majorEastAsia" w:hAnsiTheme="majorEastAsia" w:eastAsiaTheme="majorEastAsia" w:cstheme="majorEastAsia"/>
        </w:rPr>
        <w:t>万元，资产总额为</w:t>
      </w:r>
      <w:r>
        <w:rPr>
          <w:rFonts w:hint="eastAsia" w:asciiTheme="majorEastAsia" w:hAnsiTheme="majorEastAsia" w:eastAsiaTheme="majorEastAsia" w:cstheme="majorEastAsia"/>
          <w:u w:val="single"/>
        </w:rPr>
        <w:t xml:space="preserve">    </w:t>
      </w:r>
      <w:r>
        <w:rPr>
          <w:rFonts w:hint="eastAsia" w:asciiTheme="majorEastAsia" w:hAnsiTheme="majorEastAsia" w:eastAsiaTheme="majorEastAsia" w:cstheme="majorEastAsia"/>
        </w:rPr>
        <w:t>万元，属于</w:t>
      </w:r>
      <w:r>
        <w:rPr>
          <w:rFonts w:hint="eastAsia" w:asciiTheme="majorEastAsia" w:hAnsiTheme="majorEastAsia" w:eastAsiaTheme="majorEastAsia" w:cstheme="majorEastAsia"/>
          <w:u w:val="single"/>
        </w:rPr>
        <w:t>（</w:t>
      </w:r>
      <w:r>
        <w:rPr>
          <w:rFonts w:hint="eastAsia" w:asciiTheme="majorEastAsia" w:hAnsiTheme="majorEastAsia" w:eastAsiaTheme="majorEastAsia" w:cstheme="majorEastAsia"/>
        </w:rPr>
        <w:sym w:font="Wingdings" w:char="00A8"/>
      </w:r>
      <w:r>
        <w:rPr>
          <w:rFonts w:hint="eastAsia" w:asciiTheme="majorEastAsia" w:hAnsiTheme="majorEastAsia" w:eastAsiaTheme="majorEastAsia" w:cstheme="majorEastAsia"/>
          <w:u w:val="single"/>
        </w:rPr>
        <w:t>中型企业、</w:t>
      </w:r>
      <w:r>
        <w:rPr>
          <w:rFonts w:hint="eastAsia" w:asciiTheme="majorEastAsia" w:hAnsiTheme="majorEastAsia" w:eastAsiaTheme="majorEastAsia" w:cstheme="majorEastAsia"/>
        </w:rPr>
        <w:sym w:font="Wingdings" w:char="00A8"/>
      </w:r>
      <w:r>
        <w:rPr>
          <w:rFonts w:hint="eastAsia" w:asciiTheme="majorEastAsia" w:hAnsiTheme="majorEastAsia" w:eastAsiaTheme="majorEastAsia" w:cstheme="majorEastAsia"/>
          <w:u w:val="single"/>
        </w:rPr>
        <w:t>小型企业、</w:t>
      </w:r>
      <w:r>
        <w:rPr>
          <w:rFonts w:hint="eastAsia" w:asciiTheme="majorEastAsia" w:hAnsiTheme="majorEastAsia" w:eastAsiaTheme="majorEastAsia" w:cstheme="majorEastAsia"/>
        </w:rPr>
        <w:sym w:font="Wingdings" w:char="00A8"/>
      </w:r>
      <w:r>
        <w:rPr>
          <w:rFonts w:hint="eastAsia" w:asciiTheme="majorEastAsia" w:hAnsiTheme="majorEastAsia" w:eastAsiaTheme="majorEastAsia" w:cstheme="majorEastAsia"/>
          <w:u w:val="single"/>
        </w:rPr>
        <w:t>微型企业）</w:t>
      </w:r>
      <w:r>
        <w:rPr>
          <w:rFonts w:hint="eastAsia" w:asciiTheme="majorEastAsia" w:hAnsiTheme="majorEastAsia" w:eastAsiaTheme="majorEastAsia" w:cstheme="majorEastAsia"/>
        </w:rPr>
        <w:t xml:space="preserve">； </w:t>
      </w:r>
    </w:p>
    <w:p>
      <w:pPr>
        <w:snapToGrid w:val="0"/>
        <w:spacing w:line="360" w:lineRule="auto"/>
        <w:rPr>
          <w:rFonts w:asciiTheme="majorEastAsia" w:hAnsiTheme="majorEastAsia" w:eastAsiaTheme="majorEastAsia" w:cstheme="majorEastAsia"/>
        </w:rPr>
      </w:pPr>
      <w:r>
        <w:rPr>
          <w:rFonts w:hint="eastAsia" w:asciiTheme="majorEastAsia" w:hAnsiTheme="majorEastAsia" w:eastAsiaTheme="majorEastAsia" w:cstheme="majorEastAsia"/>
        </w:rPr>
        <w:t>……</w:t>
      </w:r>
    </w:p>
    <w:p>
      <w:pPr>
        <w:snapToGrid w:val="0"/>
        <w:spacing w:line="360" w:lineRule="auto"/>
        <w:ind w:firstLine="720" w:firstLineChars="300"/>
        <w:rPr>
          <w:rFonts w:asciiTheme="majorEastAsia" w:hAnsiTheme="majorEastAsia" w:eastAsiaTheme="majorEastAsia" w:cstheme="majorEastAsia"/>
        </w:rPr>
      </w:pPr>
      <w:r>
        <w:rPr>
          <w:rFonts w:hint="eastAsia" w:asciiTheme="majorEastAsia" w:hAnsiTheme="majorEastAsia" w:eastAsiaTheme="majorEastAsia" w:cstheme="majorEastAsia"/>
        </w:rPr>
        <w:t>以上企业，不属于大企业的分支机构，不存在控股股东为大、中企业的情形，也不存在与大、中企业的负责人为同一人的情形。</w:t>
      </w:r>
    </w:p>
    <w:p>
      <w:pPr>
        <w:snapToGrid w:val="0"/>
        <w:spacing w:line="360" w:lineRule="auto"/>
        <w:ind w:firstLine="720" w:firstLineChars="300"/>
        <w:rPr>
          <w:rFonts w:asciiTheme="majorEastAsia" w:hAnsiTheme="majorEastAsia" w:eastAsiaTheme="majorEastAsia" w:cstheme="majorEastAsia"/>
        </w:rPr>
      </w:pPr>
      <w:r>
        <w:rPr>
          <w:rFonts w:hint="eastAsia" w:asciiTheme="majorEastAsia" w:hAnsiTheme="majorEastAsia" w:eastAsiaTheme="majorEastAsia" w:cstheme="majorEastAsia"/>
        </w:rPr>
        <w:t xml:space="preserve">本企业对上述声明内容的真实性负责。如有虚假，将依法承担相应责任。 </w:t>
      </w:r>
    </w:p>
    <w:p>
      <w:pPr>
        <w:pStyle w:val="69"/>
        <w:ind w:firstLine="0" w:firstLineChars="0"/>
        <w:rPr>
          <w:rFonts w:asciiTheme="majorEastAsia" w:hAnsiTheme="majorEastAsia" w:eastAsiaTheme="majorEastAsia" w:cstheme="majorEastAsia"/>
        </w:rPr>
      </w:pPr>
    </w:p>
    <w:p>
      <w:pPr>
        <w:snapToGrid w:val="0"/>
        <w:spacing w:line="360" w:lineRule="auto"/>
        <w:ind w:firstLine="4560" w:firstLineChars="1900"/>
        <w:rPr>
          <w:rFonts w:asciiTheme="majorEastAsia" w:hAnsiTheme="majorEastAsia" w:eastAsiaTheme="majorEastAsia" w:cstheme="majorEastAsia"/>
        </w:rPr>
      </w:pPr>
      <w:r>
        <w:rPr>
          <w:rFonts w:hint="eastAsia" w:asciiTheme="majorEastAsia" w:hAnsiTheme="majorEastAsia" w:eastAsiaTheme="majorEastAsia" w:cstheme="majorEastAsia"/>
        </w:rPr>
        <w:t xml:space="preserve">企业名称（盖章）： </w:t>
      </w:r>
    </w:p>
    <w:p>
      <w:pPr>
        <w:snapToGrid w:val="0"/>
        <w:spacing w:line="360" w:lineRule="auto"/>
        <w:ind w:firstLine="4560" w:firstLineChars="1900"/>
        <w:rPr>
          <w:rFonts w:asciiTheme="majorEastAsia" w:hAnsiTheme="majorEastAsia" w:eastAsiaTheme="majorEastAsia" w:cstheme="majorEastAsia"/>
          <w:spacing w:val="-3"/>
        </w:rPr>
      </w:pPr>
      <w:r>
        <w:rPr>
          <w:rFonts w:hint="eastAsia" w:asciiTheme="majorEastAsia" w:hAnsiTheme="majorEastAsia" w:eastAsiaTheme="majorEastAsia" w:cstheme="majorEastAsia"/>
        </w:rPr>
        <w:t xml:space="preserve">日 期： </w:t>
      </w:r>
    </w:p>
    <w:p>
      <w:pPr>
        <w:snapToGrid w:val="0"/>
        <w:spacing w:line="360" w:lineRule="auto"/>
        <w:ind w:firstLine="720" w:firstLineChars="300"/>
        <w:rPr>
          <w:rFonts w:asciiTheme="majorEastAsia" w:hAnsiTheme="majorEastAsia" w:eastAsiaTheme="majorEastAsia" w:cstheme="majorEastAsia"/>
        </w:rPr>
      </w:pPr>
      <w:r>
        <w:rPr>
          <w:rFonts w:hint="eastAsia" w:asciiTheme="majorEastAsia" w:hAnsiTheme="majorEastAsia" w:eastAsiaTheme="majorEastAsia" w:cstheme="majorEastAsia"/>
        </w:rPr>
        <w:t>注：1.¹从业人员、营业收入、资产总额填报上一年度数据，无上一年度数据的新成立企业可不填报</w:t>
      </w:r>
    </w:p>
    <w:p>
      <w:pPr>
        <w:numPr>
          <w:ilvl w:val="0"/>
          <w:numId w:val="9"/>
        </w:numPr>
        <w:snapToGrid w:val="0"/>
        <w:spacing w:line="360" w:lineRule="auto"/>
        <w:ind w:firstLine="720" w:firstLineChars="300"/>
        <w:rPr>
          <w:rFonts w:asciiTheme="majorEastAsia" w:hAnsiTheme="majorEastAsia" w:eastAsiaTheme="majorEastAsia" w:cstheme="majorEastAsia"/>
        </w:rPr>
      </w:pPr>
      <w:r>
        <w:rPr>
          <w:rFonts w:hint="eastAsia" w:asciiTheme="majorEastAsia" w:hAnsiTheme="majorEastAsia" w:eastAsiaTheme="majorEastAsia" w:cstheme="majorEastAsia"/>
        </w:rPr>
        <w:t>根据财库〔2020〕46号的第十三条、第二十条规定：中标供应商享受本办法规定的中小企业扶持政策的，采购人、采购代理机构应当随中标结果公开中标供应商的《中小企业声明函》。 供应商按照本办法规定提供声明函内容不实的，属于提供虚假材料谋取中标，依照《中华人民共和国政府采购法》等国家有关规定追究相应责任。</w:t>
      </w:r>
    </w:p>
    <w:p>
      <w:pPr>
        <w:numPr>
          <w:ilvl w:val="0"/>
          <w:numId w:val="9"/>
        </w:numPr>
        <w:snapToGrid w:val="0"/>
        <w:spacing w:line="360" w:lineRule="auto"/>
        <w:ind w:firstLine="723" w:firstLineChars="300"/>
        <w:rPr>
          <w:rFonts w:asciiTheme="majorEastAsia" w:hAnsiTheme="majorEastAsia" w:eastAsiaTheme="majorEastAsia" w:cstheme="majorEastAsia"/>
          <w:b/>
          <w:bCs/>
        </w:rPr>
      </w:pPr>
      <w:r>
        <w:rPr>
          <w:rFonts w:hint="eastAsia" w:asciiTheme="majorEastAsia" w:hAnsiTheme="majorEastAsia" w:eastAsiaTheme="majorEastAsia" w:cstheme="majorEastAsia"/>
          <w:b/>
          <w:bCs/>
        </w:rPr>
        <w:t>在</w:t>
      </w:r>
      <w:r>
        <w:rPr>
          <w:rFonts w:hint="eastAsia" w:asciiTheme="majorEastAsia" w:hAnsiTheme="majorEastAsia" w:eastAsiaTheme="majorEastAsia" w:cstheme="majorEastAsia"/>
          <w:b/>
          <w:bCs/>
        </w:rPr>
        <w:sym w:font="Wingdings" w:char="00A8"/>
      </w:r>
      <w:r>
        <w:rPr>
          <w:rFonts w:hint="eastAsia" w:asciiTheme="majorEastAsia" w:hAnsiTheme="majorEastAsia" w:eastAsiaTheme="majorEastAsia" w:cstheme="majorEastAsia"/>
          <w:b/>
          <w:bCs/>
        </w:rPr>
        <w:t>中型企业、</w:t>
      </w:r>
      <w:r>
        <w:rPr>
          <w:rFonts w:hint="eastAsia" w:asciiTheme="majorEastAsia" w:hAnsiTheme="majorEastAsia" w:eastAsiaTheme="majorEastAsia" w:cstheme="majorEastAsia"/>
          <w:b/>
          <w:bCs/>
        </w:rPr>
        <w:sym w:font="Wingdings" w:char="00A8"/>
      </w:r>
      <w:r>
        <w:rPr>
          <w:rFonts w:hint="eastAsia" w:asciiTheme="majorEastAsia" w:hAnsiTheme="majorEastAsia" w:eastAsiaTheme="majorEastAsia" w:cstheme="majorEastAsia"/>
          <w:b/>
          <w:bCs/>
        </w:rPr>
        <w:t>小型企业、</w:t>
      </w:r>
      <w:r>
        <w:rPr>
          <w:rFonts w:hint="eastAsia" w:asciiTheme="majorEastAsia" w:hAnsiTheme="majorEastAsia" w:eastAsiaTheme="majorEastAsia" w:cstheme="majorEastAsia"/>
          <w:b/>
          <w:bCs/>
        </w:rPr>
        <w:sym w:font="Wingdings" w:char="00A8"/>
      </w:r>
      <w:r>
        <w:rPr>
          <w:rFonts w:hint="eastAsia" w:asciiTheme="majorEastAsia" w:hAnsiTheme="majorEastAsia" w:eastAsiaTheme="majorEastAsia" w:cstheme="majorEastAsia"/>
          <w:b/>
          <w:bCs/>
        </w:rPr>
        <w:t>微型企业处进行勾选。</w:t>
      </w:r>
    </w:p>
    <w:sectPr>
      <w:footerReference r:id="rId14" w:type="default"/>
      <w:pgSz w:w="11849" w:h="16781"/>
      <w:pgMar w:top="907" w:right="907" w:bottom="907" w:left="907" w:header="851" w:footer="850"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Cambria">
    <w:panose1 w:val="02040503050406030204"/>
    <w:charset w:val="00"/>
    <w:family w:val="roman"/>
    <w:pitch w:val="default"/>
    <w:sig w:usb0="E00006FF" w:usb1="420024FF" w:usb2="02000000" w:usb3="00000000" w:csb0="2000019F" w:csb1="00000000"/>
  </w:font>
  <w:font w:name="Songti SC Regular">
    <w:altName w:val="微软雅黑"/>
    <w:panose1 w:val="00000000000000000000"/>
    <w:charset w:val="50"/>
    <w:family w:val="auto"/>
    <w:pitch w:val="default"/>
    <w:sig w:usb0="00000000" w:usb1="00000000" w:usb2="00000010" w:usb3="00000000" w:csb0="0004009F" w:csb1="00000000"/>
  </w:font>
  <w:font w:name="微软雅黑">
    <w:panose1 w:val="020B0503020204020204"/>
    <w:charset w:val="86"/>
    <w:family w:val="auto"/>
    <w:pitch w:val="default"/>
    <w:sig w:usb0="80000287" w:usb1="2ACF3C50" w:usb2="00000016" w:usb3="00000000" w:csb0="0004001F" w:csb1="00000000"/>
  </w:font>
  <w:font w:name="Wingdings 2">
    <w:panose1 w:val="05020102010507070707"/>
    <w:charset w:val="02"/>
    <w:family w:val="roman"/>
    <w:pitch w:val="default"/>
    <w:sig w:usb0="00000000" w:usb1="00000000" w:usb2="00000000" w:usb3="00000000" w:csb0="80000000" w:csb1="00000000"/>
  </w:font>
  <w:font w:name="Tahoma">
    <w:panose1 w:val="020B0604030504040204"/>
    <w:charset w:val="00"/>
    <w:family w:val="swiss"/>
    <w:pitch w:val="default"/>
    <w:sig w:usb0="E1002EFF" w:usb1="C000605B" w:usb2="00000029" w:usb3="00000000" w:csb0="200101FF" w:csb1="20280000"/>
  </w:font>
  <w:font w:name="Helvetica">
    <w:altName w:val="Arial"/>
    <w:panose1 w:val="020B0604020202020204"/>
    <w:charset w:val="00"/>
    <w:family w:val="swiss"/>
    <w:pitch w:val="default"/>
    <w:sig w:usb0="00000000" w:usb1="00000000" w:usb2="00000009"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Calibri Light">
    <w:panose1 w:val="020F0302020204030204"/>
    <w:charset w:val="00"/>
    <w:family w:val="swiss"/>
    <w:pitch w:val="default"/>
    <w:sig w:usb0="E4002EFF" w:usb1="C000247B" w:usb2="00000009" w:usb3="00000000" w:csb0="200001FF" w:csb1="00000000"/>
  </w:font>
  <w:font w:name="Microsoft YaHei UI">
    <w:panose1 w:val="020B0503020204020204"/>
    <w:charset w:val="86"/>
    <w:family w:val="swiss"/>
    <w:pitch w:val="default"/>
    <w:sig w:usb0="80000287" w:usb1="2ACF3C50" w:usb2="00000016" w:usb3="00000000" w:csb0="0004001F" w:csb1="00000000"/>
  </w:font>
  <w:font w:name="New Century Schlbk">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ind w:right="720"/>
      <w:rPr>
        <w:sz w:val="21"/>
        <w:szCs w:val="21"/>
      </w:rPr>
    </w:pPr>
    <w:r>
      <w:rPr>
        <w:sz w:val="21"/>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527810" cy="172720"/>
              <wp:effectExtent l="0" t="0" r="0" b="0"/>
              <wp:wrapNone/>
              <wp:docPr id="4" name="4098"/>
              <wp:cNvGraphicFramePr/>
              <a:graphic xmlns:a="http://schemas.openxmlformats.org/drawingml/2006/main">
                <a:graphicData uri="http://schemas.microsoft.com/office/word/2010/wordprocessingShape">
                  <wps:wsp>
                    <wps:cNvSpPr txBox="1"/>
                    <wps:spPr>
                      <a:xfrm>
                        <a:off x="0" y="0"/>
                        <a:ext cx="1527810" cy="172720"/>
                      </a:xfrm>
                      <a:prstGeom prst="rect">
                        <a:avLst/>
                      </a:prstGeom>
                      <a:noFill/>
                      <a:ln>
                        <a:noFill/>
                      </a:ln>
                      <a:effectLst/>
                    </wps:spPr>
                    <wps:txbx>
                      <w:txbxContent>
                        <w:p>
                          <w:pPr>
                            <w:pStyle w:val="37"/>
                            <w:ind w:right="720" w:firstLine="210" w:firstLineChars="100"/>
                            <w:jc w:val="center"/>
                          </w:pPr>
                          <w:r>
                            <w:rPr>
                              <w:rFonts w:hint="eastAsia"/>
                              <w:sz w:val="21"/>
                              <w:szCs w:val="21"/>
                            </w:rPr>
                            <w:t>第</w:t>
                          </w:r>
                          <w:r>
                            <w:rPr>
                              <w:sz w:val="21"/>
                              <w:szCs w:val="21"/>
                            </w:rPr>
                            <w:fldChar w:fldCharType="begin"/>
                          </w:r>
                          <w:r>
                            <w:rPr>
                              <w:sz w:val="21"/>
                              <w:szCs w:val="21"/>
                            </w:rPr>
                            <w:instrText xml:space="preserve"> PAGE </w:instrText>
                          </w:r>
                          <w:r>
                            <w:rPr>
                              <w:sz w:val="21"/>
                              <w:szCs w:val="21"/>
                            </w:rPr>
                            <w:fldChar w:fldCharType="separate"/>
                          </w:r>
                          <w:r>
                            <w:rPr>
                              <w:sz w:val="21"/>
                              <w:szCs w:val="21"/>
                            </w:rPr>
                            <w:t>1</w:t>
                          </w:r>
                          <w:r>
                            <w:rPr>
                              <w:sz w:val="21"/>
                              <w:szCs w:val="21"/>
                            </w:rPr>
                            <w:fldChar w:fldCharType="end"/>
                          </w:r>
                          <w:r>
                            <w:rPr>
                              <w:rFonts w:hint="eastAsia"/>
                              <w:sz w:val="21"/>
                              <w:szCs w:val="21"/>
                            </w:rPr>
                            <w:t>页共</w:t>
                          </w:r>
                          <w:r>
                            <w:rPr>
                              <w:sz w:val="21"/>
                              <w:szCs w:val="21"/>
                            </w:rPr>
                            <w:fldChar w:fldCharType="begin"/>
                          </w:r>
                          <w:r>
                            <w:rPr>
                              <w:sz w:val="21"/>
                              <w:szCs w:val="21"/>
                            </w:rPr>
                            <w:instrText xml:space="preserve"> NUMPAGES </w:instrText>
                          </w:r>
                          <w:r>
                            <w:rPr>
                              <w:sz w:val="21"/>
                              <w:szCs w:val="21"/>
                            </w:rPr>
                            <w:fldChar w:fldCharType="separate"/>
                          </w:r>
                          <w:r>
                            <w:rPr>
                              <w:sz w:val="21"/>
                              <w:szCs w:val="21"/>
                            </w:rPr>
                            <w:t>56</w:t>
                          </w:r>
                          <w:r>
                            <w:rPr>
                              <w:sz w:val="21"/>
                              <w:szCs w:val="21"/>
                            </w:rPr>
                            <w:fldChar w:fldCharType="end"/>
                          </w:r>
                          <w:r>
                            <w:rPr>
                              <w:rFonts w:hint="eastAsia"/>
                              <w:sz w:val="21"/>
                              <w:szCs w:val="21"/>
                            </w:rPr>
                            <w:t>页</w:t>
                          </w:r>
                        </w:p>
                      </w:txbxContent>
                    </wps:txbx>
                    <wps:bodyPr wrap="none" lIns="0" tIns="0" rIns="0" bIns="0" upright="1">
                      <a:spAutoFit/>
                    </wps:bodyPr>
                  </wps:wsp>
                </a:graphicData>
              </a:graphic>
            </wp:anchor>
          </w:drawing>
        </mc:Choice>
        <mc:Fallback>
          <w:pict>
            <v:shape id="4098" o:spid="_x0000_s1026" o:spt="202" type="#_x0000_t202" style="position:absolute;left:0pt;margin-top:0pt;height:13.6pt;width:120.3pt;mso-position-horizontal:right;mso-position-horizontal-relative:margin;mso-wrap-style:none;z-index:251660288;mso-width-relative:page;mso-height-relative:page;" filled="f" stroked="f" coordsize="21600,21600" o:gfxdata="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oSwa+0QAAAAQBAAAPAAAAAAAAAAEAIAAAACIAAABkcnMvZG93bnJldi54bWxQSwEC&#10;FAAUAAAACACHTuJAY1DoxsIBAACfAwAADgAAAAAAAAABACAAAAAgAQAAZHJzL2Uyb0RvYy54bWxQ&#10;SwUGAAAAAAYABgBZAQAAVAUAAAAA&#10;">
              <v:fill on="f" focussize="0,0"/>
              <v:stroke on="f"/>
              <v:imagedata o:title=""/>
              <o:lock v:ext="edit" aspectratio="f"/>
              <v:textbox inset="0mm,0mm,0mm,0mm" style="mso-fit-shape-to-text:t;">
                <w:txbxContent>
                  <w:p>
                    <w:pPr>
                      <w:pStyle w:val="37"/>
                      <w:ind w:right="720" w:firstLine="210" w:firstLineChars="100"/>
                      <w:jc w:val="center"/>
                    </w:pPr>
                    <w:r>
                      <w:rPr>
                        <w:rFonts w:hint="eastAsia"/>
                        <w:sz w:val="21"/>
                        <w:szCs w:val="21"/>
                      </w:rPr>
                      <w:t>第</w:t>
                    </w:r>
                    <w:r>
                      <w:rPr>
                        <w:sz w:val="21"/>
                        <w:szCs w:val="21"/>
                      </w:rPr>
                      <w:fldChar w:fldCharType="begin"/>
                    </w:r>
                    <w:r>
                      <w:rPr>
                        <w:sz w:val="21"/>
                        <w:szCs w:val="21"/>
                      </w:rPr>
                      <w:instrText xml:space="preserve"> PAGE </w:instrText>
                    </w:r>
                    <w:r>
                      <w:rPr>
                        <w:sz w:val="21"/>
                        <w:szCs w:val="21"/>
                      </w:rPr>
                      <w:fldChar w:fldCharType="separate"/>
                    </w:r>
                    <w:r>
                      <w:rPr>
                        <w:sz w:val="21"/>
                        <w:szCs w:val="21"/>
                      </w:rPr>
                      <w:t>1</w:t>
                    </w:r>
                    <w:r>
                      <w:rPr>
                        <w:sz w:val="21"/>
                        <w:szCs w:val="21"/>
                      </w:rPr>
                      <w:fldChar w:fldCharType="end"/>
                    </w:r>
                    <w:r>
                      <w:rPr>
                        <w:rFonts w:hint="eastAsia"/>
                        <w:sz w:val="21"/>
                        <w:szCs w:val="21"/>
                      </w:rPr>
                      <w:t>页共</w:t>
                    </w:r>
                    <w:r>
                      <w:rPr>
                        <w:sz w:val="21"/>
                        <w:szCs w:val="21"/>
                      </w:rPr>
                      <w:fldChar w:fldCharType="begin"/>
                    </w:r>
                    <w:r>
                      <w:rPr>
                        <w:sz w:val="21"/>
                        <w:szCs w:val="21"/>
                      </w:rPr>
                      <w:instrText xml:space="preserve"> NUMPAGES </w:instrText>
                    </w:r>
                    <w:r>
                      <w:rPr>
                        <w:sz w:val="21"/>
                        <w:szCs w:val="21"/>
                      </w:rPr>
                      <w:fldChar w:fldCharType="separate"/>
                    </w:r>
                    <w:r>
                      <w:rPr>
                        <w:sz w:val="21"/>
                        <w:szCs w:val="21"/>
                      </w:rPr>
                      <w:t>56</w:t>
                    </w:r>
                    <w:r>
                      <w:rPr>
                        <w:sz w:val="21"/>
                        <w:szCs w:val="21"/>
                      </w:rPr>
                      <w:fldChar w:fldCharType="end"/>
                    </w:r>
                    <w:r>
                      <w:rPr>
                        <w:rFonts w:hint="eastAsia"/>
                        <w:sz w:val="21"/>
                        <w:szCs w:val="21"/>
                      </w:rPr>
                      <w:t>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ind w:right="720" w:firstLine="210" w:firstLineChars="100"/>
      <w:jc w:val="center"/>
      <w:rPr>
        <w:sz w:val="21"/>
        <w:szCs w:val="21"/>
      </w:rPr>
    </w:pPr>
    <w:r>
      <w:rPr>
        <w:sz w:val="21"/>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527810" cy="172720"/>
              <wp:effectExtent l="0" t="0" r="0" b="0"/>
              <wp:wrapNone/>
              <wp:docPr id="1" name="4099"/>
              <wp:cNvGraphicFramePr/>
              <a:graphic xmlns:a="http://schemas.openxmlformats.org/drawingml/2006/main">
                <a:graphicData uri="http://schemas.microsoft.com/office/word/2010/wordprocessingShape">
                  <wps:wsp>
                    <wps:cNvSpPr txBox="1"/>
                    <wps:spPr>
                      <a:xfrm>
                        <a:off x="0" y="0"/>
                        <a:ext cx="1527810" cy="172720"/>
                      </a:xfrm>
                      <a:prstGeom prst="rect">
                        <a:avLst/>
                      </a:prstGeom>
                      <a:noFill/>
                      <a:ln>
                        <a:noFill/>
                      </a:ln>
                      <a:effectLst/>
                    </wps:spPr>
                    <wps:txbx>
                      <w:txbxContent>
                        <w:p>
                          <w:pPr>
                            <w:pStyle w:val="37"/>
                            <w:ind w:right="720" w:firstLine="210" w:firstLineChars="100"/>
                            <w:jc w:val="center"/>
                          </w:pPr>
                          <w:r>
                            <w:rPr>
                              <w:rFonts w:hint="eastAsia"/>
                              <w:sz w:val="21"/>
                              <w:szCs w:val="21"/>
                            </w:rPr>
                            <w:t>第</w:t>
                          </w:r>
                          <w:r>
                            <w:rPr>
                              <w:sz w:val="21"/>
                              <w:szCs w:val="21"/>
                            </w:rPr>
                            <w:fldChar w:fldCharType="begin"/>
                          </w:r>
                          <w:r>
                            <w:rPr>
                              <w:sz w:val="21"/>
                              <w:szCs w:val="21"/>
                            </w:rPr>
                            <w:instrText xml:space="preserve"> PAGE </w:instrText>
                          </w:r>
                          <w:r>
                            <w:rPr>
                              <w:sz w:val="21"/>
                              <w:szCs w:val="21"/>
                            </w:rPr>
                            <w:fldChar w:fldCharType="separate"/>
                          </w:r>
                          <w:r>
                            <w:rPr>
                              <w:sz w:val="21"/>
                              <w:szCs w:val="21"/>
                            </w:rPr>
                            <w:t>55</w:t>
                          </w:r>
                          <w:r>
                            <w:rPr>
                              <w:sz w:val="21"/>
                              <w:szCs w:val="21"/>
                            </w:rPr>
                            <w:fldChar w:fldCharType="end"/>
                          </w:r>
                          <w:r>
                            <w:rPr>
                              <w:rFonts w:hint="eastAsia"/>
                              <w:sz w:val="21"/>
                              <w:szCs w:val="21"/>
                            </w:rPr>
                            <w:t>页共</w:t>
                          </w:r>
                          <w:r>
                            <w:rPr>
                              <w:sz w:val="21"/>
                              <w:szCs w:val="21"/>
                            </w:rPr>
                            <w:fldChar w:fldCharType="begin"/>
                          </w:r>
                          <w:r>
                            <w:rPr>
                              <w:sz w:val="21"/>
                              <w:szCs w:val="21"/>
                            </w:rPr>
                            <w:instrText xml:space="preserve"> NUMPAGES </w:instrText>
                          </w:r>
                          <w:r>
                            <w:rPr>
                              <w:sz w:val="21"/>
                              <w:szCs w:val="21"/>
                            </w:rPr>
                            <w:fldChar w:fldCharType="separate"/>
                          </w:r>
                          <w:r>
                            <w:rPr>
                              <w:sz w:val="21"/>
                              <w:szCs w:val="21"/>
                            </w:rPr>
                            <w:t>56</w:t>
                          </w:r>
                          <w:r>
                            <w:rPr>
                              <w:sz w:val="21"/>
                              <w:szCs w:val="21"/>
                            </w:rPr>
                            <w:fldChar w:fldCharType="end"/>
                          </w:r>
                          <w:r>
                            <w:rPr>
                              <w:rFonts w:hint="eastAsia"/>
                              <w:sz w:val="21"/>
                              <w:szCs w:val="21"/>
                            </w:rPr>
                            <w:t>页</w:t>
                          </w:r>
                        </w:p>
                      </w:txbxContent>
                    </wps:txbx>
                    <wps:bodyPr wrap="none" lIns="0" tIns="0" rIns="0" bIns="0" upright="1">
                      <a:spAutoFit/>
                    </wps:bodyPr>
                  </wps:wsp>
                </a:graphicData>
              </a:graphic>
            </wp:anchor>
          </w:drawing>
        </mc:Choice>
        <mc:Fallback>
          <w:pict>
            <v:shape id="4099" o:spid="_x0000_s1026" o:spt="202" type="#_x0000_t202" style="position:absolute;left:0pt;margin-top:0pt;height:13.6pt;width:120.3pt;mso-position-horizontal:right;mso-position-horizontal-relative:margin;mso-wrap-style:none;z-index:251659264;mso-width-relative:page;mso-height-relative:page;" filled="f" stroked="f" coordsize="21600,21600" o:gfxdata="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KhLBr7RAAAABAEAAA8AAAAAAAAAAQAgAAAAIgAAAGRycy9kb3ducmV2LnhtbFBLAQIU&#10;ABQAAAAIAIdO4kCzpN5+wQEAAJ8DAAAOAAAAAAAAAAEAIAAAACABAABkcnMvZTJvRG9jLnhtbFBL&#10;BQYAAAAABgAGAFkBAABTBQAAAAA=&#10;">
              <v:fill on="f" focussize="0,0"/>
              <v:stroke on="f"/>
              <v:imagedata o:title=""/>
              <o:lock v:ext="edit" aspectratio="f"/>
              <v:textbox inset="0mm,0mm,0mm,0mm" style="mso-fit-shape-to-text:t;">
                <w:txbxContent>
                  <w:p>
                    <w:pPr>
                      <w:pStyle w:val="37"/>
                      <w:ind w:right="720" w:firstLine="210" w:firstLineChars="100"/>
                      <w:jc w:val="center"/>
                    </w:pPr>
                    <w:r>
                      <w:rPr>
                        <w:rFonts w:hint="eastAsia"/>
                        <w:sz w:val="21"/>
                        <w:szCs w:val="21"/>
                      </w:rPr>
                      <w:t>第</w:t>
                    </w:r>
                    <w:r>
                      <w:rPr>
                        <w:sz w:val="21"/>
                        <w:szCs w:val="21"/>
                      </w:rPr>
                      <w:fldChar w:fldCharType="begin"/>
                    </w:r>
                    <w:r>
                      <w:rPr>
                        <w:sz w:val="21"/>
                        <w:szCs w:val="21"/>
                      </w:rPr>
                      <w:instrText xml:space="preserve"> PAGE </w:instrText>
                    </w:r>
                    <w:r>
                      <w:rPr>
                        <w:sz w:val="21"/>
                        <w:szCs w:val="21"/>
                      </w:rPr>
                      <w:fldChar w:fldCharType="separate"/>
                    </w:r>
                    <w:r>
                      <w:rPr>
                        <w:sz w:val="21"/>
                        <w:szCs w:val="21"/>
                      </w:rPr>
                      <w:t>55</w:t>
                    </w:r>
                    <w:r>
                      <w:rPr>
                        <w:sz w:val="21"/>
                        <w:szCs w:val="21"/>
                      </w:rPr>
                      <w:fldChar w:fldCharType="end"/>
                    </w:r>
                    <w:r>
                      <w:rPr>
                        <w:rFonts w:hint="eastAsia"/>
                        <w:sz w:val="21"/>
                        <w:szCs w:val="21"/>
                      </w:rPr>
                      <w:t>页共</w:t>
                    </w:r>
                    <w:r>
                      <w:rPr>
                        <w:sz w:val="21"/>
                        <w:szCs w:val="21"/>
                      </w:rPr>
                      <w:fldChar w:fldCharType="begin"/>
                    </w:r>
                    <w:r>
                      <w:rPr>
                        <w:sz w:val="21"/>
                        <w:szCs w:val="21"/>
                      </w:rPr>
                      <w:instrText xml:space="preserve"> NUMPAGES </w:instrText>
                    </w:r>
                    <w:r>
                      <w:rPr>
                        <w:sz w:val="21"/>
                        <w:szCs w:val="21"/>
                      </w:rPr>
                      <w:fldChar w:fldCharType="separate"/>
                    </w:r>
                    <w:r>
                      <w:rPr>
                        <w:sz w:val="21"/>
                        <w:szCs w:val="21"/>
                      </w:rPr>
                      <w:t>56</w:t>
                    </w:r>
                    <w:r>
                      <w:rPr>
                        <w:sz w:val="21"/>
                        <w:szCs w:val="21"/>
                      </w:rPr>
                      <w:fldChar w:fldCharType="end"/>
                    </w:r>
                    <w:r>
                      <w:rPr>
                        <w:rFonts w:hint="eastAsia"/>
                        <w:sz w:val="21"/>
                        <w:szCs w:val="21"/>
                      </w:rPr>
                      <w:t>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7"/>
                            <w:jc w:val="center"/>
                          </w:pPr>
                          <w:r>
                            <w:rPr>
                              <w:rFonts w:hint="eastAsia" w:ascii="仿宋_GB2312" w:eastAsia="仿宋_GB2312"/>
                            </w:rPr>
                            <w:t xml:space="preserve">第 </w:t>
                          </w:r>
                          <w:r>
                            <w:rPr>
                              <w:rFonts w:hint="eastAsia" w:ascii="仿宋_GB2312" w:eastAsia="仿宋_GB2312"/>
                            </w:rPr>
                            <w:fldChar w:fldCharType="begin"/>
                          </w:r>
                          <w:r>
                            <w:rPr>
                              <w:rFonts w:hint="eastAsia" w:ascii="仿宋_GB2312" w:eastAsia="仿宋_GB2312"/>
                            </w:rPr>
                            <w:instrText xml:space="preserve"> PAGE </w:instrText>
                          </w:r>
                          <w:r>
                            <w:rPr>
                              <w:rFonts w:hint="eastAsia" w:ascii="仿宋_GB2312" w:eastAsia="仿宋_GB2312"/>
                            </w:rPr>
                            <w:fldChar w:fldCharType="separate"/>
                          </w:r>
                          <w:r>
                            <w:rPr>
                              <w:rFonts w:ascii="仿宋_GB2312" w:eastAsia="仿宋_GB2312"/>
                            </w:rPr>
                            <w:t>83</w:t>
                          </w:r>
                          <w:r>
                            <w:rPr>
                              <w:rFonts w:hint="eastAsia" w:ascii="仿宋_GB2312" w:eastAsia="仿宋_GB2312"/>
                            </w:rPr>
                            <w:fldChar w:fldCharType="end"/>
                          </w:r>
                          <w:r>
                            <w:rPr>
                              <w:rFonts w:hint="eastAsia" w:ascii="仿宋_GB2312" w:eastAsia="仿宋_GB2312"/>
                            </w:rPr>
                            <w:t xml:space="preserve"> 页 共 </w:t>
                          </w:r>
                          <w:r>
                            <w:rPr>
                              <w:rFonts w:hint="eastAsia" w:ascii="仿宋_GB2312" w:eastAsia="仿宋_GB2312"/>
                            </w:rPr>
                            <w:fldChar w:fldCharType="begin"/>
                          </w:r>
                          <w:r>
                            <w:rPr>
                              <w:rFonts w:hint="eastAsia" w:ascii="仿宋_GB2312" w:eastAsia="仿宋_GB2312"/>
                            </w:rPr>
                            <w:instrText xml:space="preserve"> NUMPAGES </w:instrText>
                          </w:r>
                          <w:r>
                            <w:rPr>
                              <w:rFonts w:hint="eastAsia" w:ascii="仿宋_GB2312" w:eastAsia="仿宋_GB2312"/>
                            </w:rPr>
                            <w:fldChar w:fldCharType="separate"/>
                          </w:r>
                          <w:r>
                            <w:rPr>
                              <w:rFonts w:ascii="仿宋_GB2312" w:eastAsia="仿宋_GB2312"/>
                            </w:rPr>
                            <w:t>83</w:t>
                          </w:r>
                          <w:r>
                            <w:rPr>
                              <w:rFonts w:hint="eastAsia" w:ascii="仿宋_GB2312" w:eastAsia="仿宋_GB2312"/>
                            </w:rPr>
                            <w:fldChar w:fldCharType="end"/>
                          </w:r>
                          <w:r>
                            <w:rPr>
                              <w:rFonts w:hint="eastAsia" w:ascii="仿宋_GB2312" w:eastAsia="仿宋_GB2312"/>
                            </w:rPr>
                            <w:t xml:space="preserve"> 页</w:t>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c7cVMMBAACPAwAADgAAAGRycy9lMm9Eb2MueG1srVPNjtMwEL6vxDtY&#10;vlNni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DX2zpMRxixM///xx/vV4fvhO&#10;0IcC9QFqzLsLmJmG937AtZn9gM7Me1DR5i8yIhhHeU8XeeWQiMiPVsvVqsKQwNh8QXz29DxESB+k&#10;tyQbDY04vyIrP36CNKbOKbma87famDJD4/5yIGb2sNz72GO20rAbJkI7356QT4+jb6jDTafEfHSo&#10;bN6S2YizsZuMXAPCu0PCwqWfjDpCTcVwToXRtFN5Ef68l6yn/2jzG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M6pebnPAAAABQEAAA8AAAAAAAAAAQAgAAAAIgAAAGRycy9kb3ducmV2LnhtbFBLAQIU&#10;ABQAAAAIAIdO4kBtztxUwwEAAI8DAAAOAAAAAAAAAAEAIAAAAB4BAABkcnMvZTJvRG9jLnhtbFBL&#10;BQYAAAAABgAGAFkBAABTBQAAAAA=&#10;">
              <v:fill on="f" focussize="0,0"/>
              <v:stroke on="f"/>
              <v:imagedata o:title=""/>
              <o:lock v:ext="edit" aspectratio="f"/>
              <v:textbox inset="0mm,0mm,0mm,0mm" style="mso-fit-shape-to-text:t;">
                <w:txbxContent>
                  <w:p>
                    <w:pPr>
                      <w:pStyle w:val="37"/>
                      <w:jc w:val="center"/>
                    </w:pPr>
                    <w:r>
                      <w:rPr>
                        <w:rFonts w:hint="eastAsia" w:ascii="仿宋_GB2312" w:eastAsia="仿宋_GB2312"/>
                      </w:rPr>
                      <w:t xml:space="preserve">第 </w:t>
                    </w:r>
                    <w:r>
                      <w:rPr>
                        <w:rFonts w:hint="eastAsia" w:ascii="仿宋_GB2312" w:eastAsia="仿宋_GB2312"/>
                      </w:rPr>
                      <w:fldChar w:fldCharType="begin"/>
                    </w:r>
                    <w:r>
                      <w:rPr>
                        <w:rFonts w:hint="eastAsia" w:ascii="仿宋_GB2312" w:eastAsia="仿宋_GB2312"/>
                      </w:rPr>
                      <w:instrText xml:space="preserve"> PAGE </w:instrText>
                    </w:r>
                    <w:r>
                      <w:rPr>
                        <w:rFonts w:hint="eastAsia" w:ascii="仿宋_GB2312" w:eastAsia="仿宋_GB2312"/>
                      </w:rPr>
                      <w:fldChar w:fldCharType="separate"/>
                    </w:r>
                    <w:r>
                      <w:rPr>
                        <w:rFonts w:ascii="仿宋_GB2312" w:eastAsia="仿宋_GB2312"/>
                      </w:rPr>
                      <w:t>83</w:t>
                    </w:r>
                    <w:r>
                      <w:rPr>
                        <w:rFonts w:hint="eastAsia" w:ascii="仿宋_GB2312" w:eastAsia="仿宋_GB2312"/>
                      </w:rPr>
                      <w:fldChar w:fldCharType="end"/>
                    </w:r>
                    <w:r>
                      <w:rPr>
                        <w:rFonts w:hint="eastAsia" w:ascii="仿宋_GB2312" w:eastAsia="仿宋_GB2312"/>
                      </w:rPr>
                      <w:t xml:space="preserve"> 页 共 </w:t>
                    </w:r>
                    <w:r>
                      <w:rPr>
                        <w:rFonts w:hint="eastAsia" w:ascii="仿宋_GB2312" w:eastAsia="仿宋_GB2312"/>
                      </w:rPr>
                      <w:fldChar w:fldCharType="begin"/>
                    </w:r>
                    <w:r>
                      <w:rPr>
                        <w:rFonts w:hint="eastAsia" w:ascii="仿宋_GB2312" w:eastAsia="仿宋_GB2312"/>
                      </w:rPr>
                      <w:instrText xml:space="preserve"> NUMPAGES </w:instrText>
                    </w:r>
                    <w:r>
                      <w:rPr>
                        <w:rFonts w:hint="eastAsia" w:ascii="仿宋_GB2312" w:eastAsia="仿宋_GB2312"/>
                      </w:rPr>
                      <w:fldChar w:fldCharType="separate"/>
                    </w:r>
                    <w:r>
                      <w:rPr>
                        <w:rFonts w:ascii="仿宋_GB2312" w:eastAsia="仿宋_GB2312"/>
                      </w:rPr>
                      <w:t>83</w:t>
                    </w:r>
                    <w:r>
                      <w:rPr>
                        <w:rFonts w:hint="eastAsia" w:ascii="仿宋_GB2312" w:eastAsia="仿宋_GB2312"/>
                      </w:rPr>
                      <w:fldChar w:fldCharType="end"/>
                    </w:r>
                    <w:r>
                      <w:rPr>
                        <w:rFonts w:hint="eastAsia" w:ascii="仿宋_GB2312" w:eastAsia="仿宋_GB2312"/>
                      </w:rPr>
                      <w:t xml:space="preserve"> 页</w:t>
                    </w:r>
                  </w:p>
                </w:txbxContent>
              </v:textbox>
            </v:shape>
          </w:pict>
        </mc:Fallback>
      </mc:AlternateContent>
    </w:r>
  </w:p>
  <w:p>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7"/>
                            <w:jc w:val="center"/>
                          </w:pPr>
                          <w:r>
                            <w:rPr>
                              <w:rFonts w:hint="eastAsia" w:ascii="仿宋_GB2312" w:eastAsia="仿宋_GB2312"/>
                            </w:rPr>
                            <w:t xml:space="preserve">第 </w:t>
                          </w:r>
                          <w:r>
                            <w:rPr>
                              <w:rFonts w:hint="eastAsia" w:ascii="仿宋_GB2312" w:eastAsia="仿宋_GB2312"/>
                            </w:rPr>
                            <w:fldChar w:fldCharType="begin"/>
                          </w:r>
                          <w:r>
                            <w:rPr>
                              <w:rFonts w:hint="eastAsia" w:ascii="仿宋_GB2312" w:eastAsia="仿宋_GB2312"/>
                            </w:rPr>
                            <w:instrText xml:space="preserve"> PAGE </w:instrText>
                          </w:r>
                          <w:r>
                            <w:rPr>
                              <w:rFonts w:hint="eastAsia" w:ascii="仿宋_GB2312" w:eastAsia="仿宋_GB2312"/>
                            </w:rPr>
                            <w:fldChar w:fldCharType="separate"/>
                          </w:r>
                          <w:r>
                            <w:rPr>
                              <w:rFonts w:ascii="仿宋_GB2312" w:eastAsia="仿宋_GB2312"/>
                            </w:rPr>
                            <w:t>69</w:t>
                          </w:r>
                          <w:r>
                            <w:rPr>
                              <w:rFonts w:hint="eastAsia" w:ascii="仿宋_GB2312" w:eastAsia="仿宋_GB2312"/>
                            </w:rPr>
                            <w:fldChar w:fldCharType="end"/>
                          </w:r>
                          <w:r>
                            <w:rPr>
                              <w:rFonts w:hint="eastAsia" w:ascii="仿宋_GB2312" w:eastAsia="仿宋_GB2312"/>
                            </w:rPr>
                            <w:t xml:space="preserve"> 页 共 </w:t>
                          </w:r>
                          <w:r>
                            <w:rPr>
                              <w:rFonts w:hint="eastAsia" w:ascii="仿宋_GB2312" w:eastAsia="仿宋_GB2312"/>
                            </w:rPr>
                            <w:fldChar w:fldCharType="begin"/>
                          </w:r>
                          <w:r>
                            <w:rPr>
                              <w:rFonts w:hint="eastAsia" w:ascii="仿宋_GB2312" w:eastAsia="仿宋_GB2312"/>
                            </w:rPr>
                            <w:instrText xml:space="preserve"> NUMPAGES </w:instrText>
                          </w:r>
                          <w:r>
                            <w:rPr>
                              <w:rFonts w:hint="eastAsia" w:ascii="仿宋_GB2312" w:eastAsia="仿宋_GB2312"/>
                            </w:rPr>
                            <w:fldChar w:fldCharType="separate"/>
                          </w:r>
                          <w:r>
                            <w:rPr>
                              <w:rFonts w:ascii="仿宋_GB2312" w:eastAsia="仿宋_GB2312"/>
                            </w:rPr>
                            <w:t>69</w:t>
                          </w:r>
                          <w:r>
                            <w:rPr>
                              <w:rFonts w:hint="eastAsia" w:ascii="仿宋_GB2312" w:eastAsia="仿宋_GB2312"/>
                            </w:rPr>
                            <w:fldChar w:fldCharType="end"/>
                          </w:r>
                          <w:r>
                            <w:rPr>
                              <w:rFonts w:hint="eastAsia" w:ascii="仿宋_GB2312" w:eastAsia="仿宋_GB2312"/>
                            </w:rPr>
                            <w:t xml:space="preserve"> 页</w:t>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M6pebnPAAAABQEAAA8AAAAAAAAAAQAgAAAAIgAAAGRycy9kb3ducmV2LnhtbFBLAQIU&#10;ABQAAAAIAIdO4kAtAOb0wwEAAI8DAAAOAAAAAAAAAAEAIAAAAB4BAABkcnMvZTJvRG9jLnhtbFBL&#10;BQYAAAAABgAGAFkBAABTBQAAAAA=&#10;">
              <v:fill on="f" focussize="0,0"/>
              <v:stroke on="f"/>
              <v:imagedata o:title=""/>
              <o:lock v:ext="edit" aspectratio="f"/>
              <v:textbox inset="0mm,0mm,0mm,0mm" style="mso-fit-shape-to-text:t;">
                <w:txbxContent>
                  <w:p>
                    <w:pPr>
                      <w:pStyle w:val="37"/>
                      <w:jc w:val="center"/>
                    </w:pPr>
                    <w:r>
                      <w:rPr>
                        <w:rFonts w:hint="eastAsia" w:ascii="仿宋_GB2312" w:eastAsia="仿宋_GB2312"/>
                      </w:rPr>
                      <w:t xml:space="preserve">第 </w:t>
                    </w:r>
                    <w:r>
                      <w:rPr>
                        <w:rFonts w:hint="eastAsia" w:ascii="仿宋_GB2312" w:eastAsia="仿宋_GB2312"/>
                      </w:rPr>
                      <w:fldChar w:fldCharType="begin"/>
                    </w:r>
                    <w:r>
                      <w:rPr>
                        <w:rFonts w:hint="eastAsia" w:ascii="仿宋_GB2312" w:eastAsia="仿宋_GB2312"/>
                      </w:rPr>
                      <w:instrText xml:space="preserve"> PAGE </w:instrText>
                    </w:r>
                    <w:r>
                      <w:rPr>
                        <w:rFonts w:hint="eastAsia" w:ascii="仿宋_GB2312" w:eastAsia="仿宋_GB2312"/>
                      </w:rPr>
                      <w:fldChar w:fldCharType="separate"/>
                    </w:r>
                    <w:r>
                      <w:rPr>
                        <w:rFonts w:ascii="仿宋_GB2312" w:eastAsia="仿宋_GB2312"/>
                      </w:rPr>
                      <w:t>69</w:t>
                    </w:r>
                    <w:r>
                      <w:rPr>
                        <w:rFonts w:hint="eastAsia" w:ascii="仿宋_GB2312" w:eastAsia="仿宋_GB2312"/>
                      </w:rPr>
                      <w:fldChar w:fldCharType="end"/>
                    </w:r>
                    <w:r>
                      <w:rPr>
                        <w:rFonts w:hint="eastAsia" w:ascii="仿宋_GB2312" w:eastAsia="仿宋_GB2312"/>
                      </w:rPr>
                      <w:t xml:space="preserve"> 页 共 </w:t>
                    </w:r>
                    <w:r>
                      <w:rPr>
                        <w:rFonts w:hint="eastAsia" w:ascii="仿宋_GB2312" w:eastAsia="仿宋_GB2312"/>
                      </w:rPr>
                      <w:fldChar w:fldCharType="begin"/>
                    </w:r>
                    <w:r>
                      <w:rPr>
                        <w:rFonts w:hint="eastAsia" w:ascii="仿宋_GB2312" w:eastAsia="仿宋_GB2312"/>
                      </w:rPr>
                      <w:instrText xml:space="preserve"> NUMPAGES </w:instrText>
                    </w:r>
                    <w:r>
                      <w:rPr>
                        <w:rFonts w:hint="eastAsia" w:ascii="仿宋_GB2312" w:eastAsia="仿宋_GB2312"/>
                      </w:rPr>
                      <w:fldChar w:fldCharType="separate"/>
                    </w:r>
                    <w:r>
                      <w:rPr>
                        <w:rFonts w:ascii="仿宋_GB2312" w:eastAsia="仿宋_GB2312"/>
                      </w:rPr>
                      <w:t>69</w:t>
                    </w:r>
                    <w:r>
                      <w:rPr>
                        <w:rFonts w:hint="eastAsia" w:ascii="仿宋_GB2312" w:eastAsia="仿宋_GB2312"/>
                      </w:rPr>
                      <w:fldChar w:fldCharType="end"/>
                    </w:r>
                    <w:r>
                      <w:rPr>
                        <w:rFonts w:hint="eastAsia" w:ascii="仿宋_GB2312" w:eastAsia="仿宋_GB2312"/>
                      </w:rPr>
                      <w:t xml:space="preserve"> 页</w:t>
                    </w:r>
                  </w:p>
                </w:txbxContent>
              </v:textbox>
            </v:shape>
          </w:pict>
        </mc:Fallback>
      </mc:AlternateConten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7"/>
                            <w:jc w:val="center"/>
                          </w:pPr>
                          <w:r>
                            <w:rPr>
                              <w:rFonts w:hint="eastAsia" w:ascii="仿宋_GB2312" w:eastAsia="仿宋_GB2312"/>
                            </w:rPr>
                            <w:t xml:space="preserve">第 </w:t>
                          </w:r>
                          <w:r>
                            <w:rPr>
                              <w:rFonts w:hint="eastAsia" w:ascii="仿宋_GB2312" w:eastAsia="仿宋_GB2312"/>
                            </w:rPr>
                            <w:fldChar w:fldCharType="begin"/>
                          </w:r>
                          <w:r>
                            <w:rPr>
                              <w:rFonts w:hint="eastAsia" w:ascii="仿宋_GB2312" w:eastAsia="仿宋_GB2312"/>
                            </w:rPr>
                            <w:instrText xml:space="preserve"> PAGE </w:instrText>
                          </w:r>
                          <w:r>
                            <w:rPr>
                              <w:rFonts w:hint="eastAsia" w:ascii="仿宋_GB2312" w:eastAsia="仿宋_GB2312"/>
                            </w:rPr>
                            <w:fldChar w:fldCharType="separate"/>
                          </w:r>
                          <w:r>
                            <w:rPr>
                              <w:rFonts w:ascii="仿宋_GB2312" w:eastAsia="仿宋_GB2312"/>
                            </w:rPr>
                            <w:t>86</w:t>
                          </w:r>
                          <w:r>
                            <w:rPr>
                              <w:rFonts w:hint="eastAsia" w:ascii="仿宋_GB2312" w:eastAsia="仿宋_GB2312"/>
                            </w:rPr>
                            <w:fldChar w:fldCharType="end"/>
                          </w:r>
                          <w:r>
                            <w:rPr>
                              <w:rFonts w:hint="eastAsia" w:ascii="仿宋_GB2312" w:eastAsia="仿宋_GB2312"/>
                            </w:rPr>
                            <w:t xml:space="preserve"> 页 共 </w:t>
                          </w:r>
                          <w:r>
                            <w:rPr>
                              <w:rFonts w:hint="eastAsia" w:ascii="仿宋_GB2312" w:eastAsia="仿宋_GB2312"/>
                            </w:rPr>
                            <w:fldChar w:fldCharType="begin"/>
                          </w:r>
                          <w:r>
                            <w:rPr>
                              <w:rFonts w:hint="eastAsia" w:ascii="仿宋_GB2312" w:eastAsia="仿宋_GB2312"/>
                            </w:rPr>
                            <w:instrText xml:space="preserve"> NUMPAGES </w:instrText>
                          </w:r>
                          <w:r>
                            <w:rPr>
                              <w:rFonts w:hint="eastAsia" w:ascii="仿宋_GB2312" w:eastAsia="仿宋_GB2312"/>
                            </w:rPr>
                            <w:fldChar w:fldCharType="separate"/>
                          </w:r>
                          <w:r>
                            <w:rPr>
                              <w:rFonts w:ascii="仿宋_GB2312" w:eastAsia="仿宋_GB2312"/>
                            </w:rPr>
                            <w:t>86</w:t>
                          </w:r>
                          <w:r>
                            <w:rPr>
                              <w:rFonts w:hint="eastAsia" w:ascii="仿宋_GB2312" w:eastAsia="仿宋_GB2312"/>
                            </w:rPr>
                            <w:fldChar w:fldCharType="end"/>
                          </w:r>
                          <w:r>
                            <w:rPr>
                              <w:rFonts w:hint="eastAsia" w:ascii="仿宋_GB2312" w:eastAsia="仿宋_GB2312"/>
                            </w:rPr>
                            <w:t xml:space="preserve"> 页</w:t>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M6pebnPAAAABQEAAA8AAAAAAAAAAQAgAAAAIgAAAGRycy9kb3ducmV2LnhtbFBLAQIU&#10;ABQAAAAIAIdO4kBAc3l2wwEAAI8DAAAOAAAAAAAAAAEAIAAAAB4BAABkcnMvZTJvRG9jLnhtbFBL&#10;BQYAAAAABgAGAFkBAABTBQAAAAA=&#10;">
              <v:fill on="f" focussize="0,0"/>
              <v:stroke on="f"/>
              <v:imagedata o:title=""/>
              <o:lock v:ext="edit" aspectratio="f"/>
              <v:textbox inset="0mm,0mm,0mm,0mm" style="mso-fit-shape-to-text:t;">
                <w:txbxContent>
                  <w:p>
                    <w:pPr>
                      <w:pStyle w:val="37"/>
                      <w:jc w:val="center"/>
                    </w:pPr>
                    <w:r>
                      <w:rPr>
                        <w:rFonts w:hint="eastAsia" w:ascii="仿宋_GB2312" w:eastAsia="仿宋_GB2312"/>
                      </w:rPr>
                      <w:t xml:space="preserve">第 </w:t>
                    </w:r>
                    <w:r>
                      <w:rPr>
                        <w:rFonts w:hint="eastAsia" w:ascii="仿宋_GB2312" w:eastAsia="仿宋_GB2312"/>
                      </w:rPr>
                      <w:fldChar w:fldCharType="begin"/>
                    </w:r>
                    <w:r>
                      <w:rPr>
                        <w:rFonts w:hint="eastAsia" w:ascii="仿宋_GB2312" w:eastAsia="仿宋_GB2312"/>
                      </w:rPr>
                      <w:instrText xml:space="preserve"> PAGE </w:instrText>
                    </w:r>
                    <w:r>
                      <w:rPr>
                        <w:rFonts w:hint="eastAsia" w:ascii="仿宋_GB2312" w:eastAsia="仿宋_GB2312"/>
                      </w:rPr>
                      <w:fldChar w:fldCharType="separate"/>
                    </w:r>
                    <w:r>
                      <w:rPr>
                        <w:rFonts w:ascii="仿宋_GB2312" w:eastAsia="仿宋_GB2312"/>
                      </w:rPr>
                      <w:t>86</w:t>
                    </w:r>
                    <w:r>
                      <w:rPr>
                        <w:rFonts w:hint="eastAsia" w:ascii="仿宋_GB2312" w:eastAsia="仿宋_GB2312"/>
                      </w:rPr>
                      <w:fldChar w:fldCharType="end"/>
                    </w:r>
                    <w:r>
                      <w:rPr>
                        <w:rFonts w:hint="eastAsia" w:ascii="仿宋_GB2312" w:eastAsia="仿宋_GB2312"/>
                      </w:rPr>
                      <w:t xml:space="preserve"> 页 共 </w:t>
                    </w:r>
                    <w:r>
                      <w:rPr>
                        <w:rFonts w:hint="eastAsia" w:ascii="仿宋_GB2312" w:eastAsia="仿宋_GB2312"/>
                      </w:rPr>
                      <w:fldChar w:fldCharType="begin"/>
                    </w:r>
                    <w:r>
                      <w:rPr>
                        <w:rFonts w:hint="eastAsia" w:ascii="仿宋_GB2312" w:eastAsia="仿宋_GB2312"/>
                      </w:rPr>
                      <w:instrText xml:space="preserve"> NUMPAGES </w:instrText>
                    </w:r>
                    <w:r>
                      <w:rPr>
                        <w:rFonts w:hint="eastAsia" w:ascii="仿宋_GB2312" w:eastAsia="仿宋_GB2312"/>
                      </w:rPr>
                      <w:fldChar w:fldCharType="separate"/>
                    </w:r>
                    <w:r>
                      <w:rPr>
                        <w:rFonts w:ascii="仿宋_GB2312" w:eastAsia="仿宋_GB2312"/>
                      </w:rPr>
                      <w:t>86</w:t>
                    </w:r>
                    <w:r>
                      <w:rPr>
                        <w:rFonts w:hint="eastAsia" w:ascii="仿宋_GB2312" w:eastAsia="仿宋_GB2312"/>
                      </w:rPr>
                      <w:fldChar w:fldCharType="end"/>
                    </w:r>
                    <w:r>
                      <w:rPr>
                        <w:rFonts w:hint="eastAsia" w:ascii="仿宋_GB2312" w:eastAsia="仿宋_GB2312"/>
                      </w:rPr>
                      <w:t xml:space="preserve"> 页</w:t>
                    </w:r>
                  </w:p>
                </w:txbxContent>
              </v:textbox>
            </v:shape>
          </w:pict>
        </mc:Fallback>
      </mc:AlternateConten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7"/>
                            <w:jc w:val="center"/>
                          </w:pPr>
                          <w:r>
                            <w:rPr>
                              <w:rFonts w:hint="eastAsia" w:ascii="仿宋_GB2312" w:eastAsia="仿宋_GB2312"/>
                            </w:rPr>
                            <w:t xml:space="preserve">第 </w:t>
                          </w:r>
                          <w:r>
                            <w:rPr>
                              <w:rFonts w:hint="eastAsia" w:ascii="仿宋_GB2312" w:eastAsia="仿宋_GB2312"/>
                            </w:rPr>
                            <w:fldChar w:fldCharType="begin"/>
                          </w:r>
                          <w:r>
                            <w:rPr>
                              <w:rFonts w:hint="eastAsia" w:ascii="仿宋_GB2312" w:eastAsia="仿宋_GB2312"/>
                            </w:rPr>
                            <w:instrText xml:space="preserve"> PAGE </w:instrText>
                          </w:r>
                          <w:r>
                            <w:rPr>
                              <w:rFonts w:hint="eastAsia" w:ascii="仿宋_GB2312" w:eastAsia="仿宋_GB2312"/>
                            </w:rPr>
                            <w:fldChar w:fldCharType="separate"/>
                          </w:r>
                          <w:r>
                            <w:rPr>
                              <w:rFonts w:ascii="仿宋_GB2312" w:eastAsia="仿宋_GB2312"/>
                            </w:rPr>
                            <w:t>85</w:t>
                          </w:r>
                          <w:r>
                            <w:rPr>
                              <w:rFonts w:hint="eastAsia" w:ascii="仿宋_GB2312" w:eastAsia="仿宋_GB2312"/>
                            </w:rPr>
                            <w:fldChar w:fldCharType="end"/>
                          </w:r>
                          <w:r>
                            <w:rPr>
                              <w:rFonts w:hint="eastAsia" w:ascii="仿宋_GB2312" w:eastAsia="仿宋_GB2312"/>
                            </w:rPr>
                            <w:t xml:space="preserve"> 页 共 </w:t>
                          </w:r>
                          <w:r>
                            <w:rPr>
                              <w:rFonts w:hint="eastAsia" w:ascii="仿宋_GB2312" w:eastAsia="仿宋_GB2312"/>
                            </w:rPr>
                            <w:fldChar w:fldCharType="begin"/>
                          </w:r>
                          <w:r>
                            <w:rPr>
                              <w:rFonts w:hint="eastAsia" w:ascii="仿宋_GB2312" w:eastAsia="仿宋_GB2312"/>
                            </w:rPr>
                            <w:instrText xml:space="preserve"> NUMPAGES </w:instrText>
                          </w:r>
                          <w:r>
                            <w:rPr>
                              <w:rFonts w:hint="eastAsia" w:ascii="仿宋_GB2312" w:eastAsia="仿宋_GB2312"/>
                            </w:rPr>
                            <w:fldChar w:fldCharType="separate"/>
                          </w:r>
                          <w:r>
                            <w:rPr>
                              <w:rFonts w:ascii="仿宋_GB2312" w:eastAsia="仿宋_GB2312"/>
                            </w:rPr>
                            <w:t>85</w:t>
                          </w:r>
                          <w:r>
                            <w:rPr>
                              <w:rFonts w:hint="eastAsia" w:ascii="仿宋_GB2312" w:eastAsia="仿宋_GB2312"/>
                            </w:rPr>
                            <w:fldChar w:fldCharType="end"/>
                          </w:r>
                          <w:r>
                            <w:rPr>
                              <w:rFonts w:hint="eastAsia" w:ascii="仿宋_GB2312" w:eastAsia="仿宋_GB2312"/>
                            </w:rPr>
                            <w:t xml:space="preserve"> 页</w:t>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M6pebnPAAAABQEAAA8AAAAAAAAAAQAgAAAAIgAAAGRycy9kb3ducmV2LnhtbFBLAQIU&#10;ABQAAAAIAIdO4kCbXQwIwwEAAI8DAAAOAAAAAAAAAAEAIAAAAB4BAABkcnMvZTJvRG9jLnhtbFBL&#10;BQYAAAAABgAGAFkBAABTBQAAAAA=&#10;">
              <v:fill on="f" focussize="0,0"/>
              <v:stroke on="f"/>
              <v:imagedata o:title=""/>
              <o:lock v:ext="edit" aspectratio="f"/>
              <v:textbox inset="0mm,0mm,0mm,0mm" style="mso-fit-shape-to-text:t;">
                <w:txbxContent>
                  <w:p>
                    <w:pPr>
                      <w:pStyle w:val="37"/>
                      <w:jc w:val="center"/>
                    </w:pPr>
                    <w:r>
                      <w:rPr>
                        <w:rFonts w:hint="eastAsia" w:ascii="仿宋_GB2312" w:eastAsia="仿宋_GB2312"/>
                      </w:rPr>
                      <w:t xml:space="preserve">第 </w:t>
                    </w:r>
                    <w:r>
                      <w:rPr>
                        <w:rFonts w:hint="eastAsia" w:ascii="仿宋_GB2312" w:eastAsia="仿宋_GB2312"/>
                      </w:rPr>
                      <w:fldChar w:fldCharType="begin"/>
                    </w:r>
                    <w:r>
                      <w:rPr>
                        <w:rFonts w:hint="eastAsia" w:ascii="仿宋_GB2312" w:eastAsia="仿宋_GB2312"/>
                      </w:rPr>
                      <w:instrText xml:space="preserve"> PAGE </w:instrText>
                    </w:r>
                    <w:r>
                      <w:rPr>
                        <w:rFonts w:hint="eastAsia" w:ascii="仿宋_GB2312" w:eastAsia="仿宋_GB2312"/>
                      </w:rPr>
                      <w:fldChar w:fldCharType="separate"/>
                    </w:r>
                    <w:r>
                      <w:rPr>
                        <w:rFonts w:ascii="仿宋_GB2312" w:eastAsia="仿宋_GB2312"/>
                      </w:rPr>
                      <w:t>85</w:t>
                    </w:r>
                    <w:r>
                      <w:rPr>
                        <w:rFonts w:hint="eastAsia" w:ascii="仿宋_GB2312" w:eastAsia="仿宋_GB2312"/>
                      </w:rPr>
                      <w:fldChar w:fldCharType="end"/>
                    </w:r>
                    <w:r>
                      <w:rPr>
                        <w:rFonts w:hint="eastAsia" w:ascii="仿宋_GB2312" w:eastAsia="仿宋_GB2312"/>
                      </w:rPr>
                      <w:t xml:space="preserve"> 页 共 </w:t>
                    </w:r>
                    <w:r>
                      <w:rPr>
                        <w:rFonts w:hint="eastAsia" w:ascii="仿宋_GB2312" w:eastAsia="仿宋_GB2312"/>
                      </w:rPr>
                      <w:fldChar w:fldCharType="begin"/>
                    </w:r>
                    <w:r>
                      <w:rPr>
                        <w:rFonts w:hint="eastAsia" w:ascii="仿宋_GB2312" w:eastAsia="仿宋_GB2312"/>
                      </w:rPr>
                      <w:instrText xml:space="preserve"> NUMPAGES </w:instrText>
                    </w:r>
                    <w:r>
                      <w:rPr>
                        <w:rFonts w:hint="eastAsia" w:ascii="仿宋_GB2312" w:eastAsia="仿宋_GB2312"/>
                      </w:rPr>
                      <w:fldChar w:fldCharType="separate"/>
                    </w:r>
                    <w:r>
                      <w:rPr>
                        <w:rFonts w:ascii="仿宋_GB2312" w:eastAsia="仿宋_GB2312"/>
                      </w:rPr>
                      <w:t>85</w:t>
                    </w:r>
                    <w:r>
                      <w:rPr>
                        <w:rFonts w:hint="eastAsia" w:ascii="仿宋_GB2312" w:eastAsia="仿宋_GB2312"/>
                      </w:rPr>
                      <w:fldChar w:fldCharType="end"/>
                    </w:r>
                    <w:r>
                      <w:rPr>
                        <w:rFonts w:hint="eastAsia" w:ascii="仿宋_GB2312" w:eastAsia="仿宋_GB2312"/>
                      </w:rPr>
                      <w:t xml:space="preserve"> 页</w:t>
                    </w:r>
                  </w:p>
                </w:txbxContent>
              </v:textbox>
            </v:shape>
          </w:pict>
        </mc:Fallback>
      </mc:AlternateConten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7"/>
                            <w:jc w:val="center"/>
                          </w:pPr>
                          <w:r>
                            <w:rPr>
                              <w:b/>
                              <w:bCs/>
                              <w:sz w:val="24"/>
                              <w:szCs w:val="24"/>
                            </w:rPr>
                            <w:fldChar w:fldCharType="begin"/>
                          </w:r>
                          <w:r>
                            <w:rPr>
                              <w:b/>
                              <w:bCs/>
                            </w:rPr>
                            <w:instrText xml:space="preserve">PAGE</w:instrText>
                          </w:r>
                          <w:r>
                            <w:rPr>
                              <w:b/>
                              <w:bCs/>
                              <w:sz w:val="24"/>
                              <w:szCs w:val="24"/>
                            </w:rPr>
                            <w:fldChar w:fldCharType="separate"/>
                          </w:r>
                          <w:r>
                            <w:rPr>
                              <w:b/>
                              <w:bCs/>
                            </w:rPr>
                            <w:t>90</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90</w:t>
                          </w:r>
                          <w:r>
                            <w:rPr>
                              <w:b/>
                              <w:bCs/>
                              <w:sz w:val="24"/>
                              <w:szCs w:val="24"/>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el97cMBAACPAwAADgAAAGRycy9lMm9Eb2MueG1srVPNjtMwEL6vxDtY&#10;vlNni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DX2Dc3fc4sTPP3+cfz2eH74T&#10;9KFAfYAa8+4CZqbhvR9wbWY/oDPzHlS0+YuMCMZR3tNFXjkkIvKj1XK1qjAkMDZfEJ89PQ8R0gfp&#10;LclGQyPOr8jKj58gjalzSq7m/K02pszQuL8ciJk9LPc+9pitNOyGidDOtyfk0+PoG+pw0ykxHx0q&#10;m7dkNuJs7CYj14Dw7pCwcOkno45QUzGcU2E07VRehD/vJevpP9r8B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M6pebnPAAAABQEAAA8AAAAAAAAAAQAgAAAAIgAAAGRycy9kb3ducmV2LnhtbFBLAQIU&#10;ABQAAAAIAIdO4kCB6X3twwEAAI8DAAAOAAAAAAAAAAEAIAAAAB4BAABkcnMvZTJvRG9jLnhtbFBL&#10;BQYAAAAABgAGAFkBAABTBQAAAAA=&#10;">
              <v:fill on="f" focussize="0,0"/>
              <v:stroke on="f"/>
              <v:imagedata o:title=""/>
              <o:lock v:ext="edit" aspectratio="f"/>
              <v:textbox inset="0mm,0mm,0mm,0mm" style="mso-fit-shape-to-text:t;">
                <w:txbxContent>
                  <w:p>
                    <w:pPr>
                      <w:pStyle w:val="37"/>
                      <w:jc w:val="center"/>
                    </w:pPr>
                    <w:r>
                      <w:rPr>
                        <w:b/>
                        <w:bCs/>
                        <w:sz w:val="24"/>
                        <w:szCs w:val="24"/>
                      </w:rPr>
                      <w:fldChar w:fldCharType="begin"/>
                    </w:r>
                    <w:r>
                      <w:rPr>
                        <w:b/>
                        <w:bCs/>
                      </w:rPr>
                      <w:instrText xml:space="preserve">PAGE</w:instrText>
                    </w:r>
                    <w:r>
                      <w:rPr>
                        <w:b/>
                        <w:bCs/>
                        <w:sz w:val="24"/>
                        <w:szCs w:val="24"/>
                      </w:rPr>
                      <w:fldChar w:fldCharType="separate"/>
                    </w:r>
                    <w:r>
                      <w:rPr>
                        <w:b/>
                        <w:bCs/>
                      </w:rPr>
                      <w:t>90</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90</w:t>
                    </w:r>
                    <w:r>
                      <w:rPr>
                        <w:b/>
                        <w:bCs/>
                        <w:sz w:val="24"/>
                        <w:szCs w:val="24"/>
                      </w:rPr>
                      <w:fldChar w:fldCharType="end"/>
                    </w:r>
                  </w:p>
                </w:txbxContent>
              </v:textbox>
            </v:shape>
          </w:pict>
        </mc:Fallback>
      </mc:AlternateContent>
    </w:r>
  </w:p>
  <w:p>
    <w:pPr>
      <w:pStyle w:val="37"/>
      <w:ind w:right="720" w:firstLine="210" w:firstLineChars="100"/>
      <w:jc w:val="center"/>
      <w:rPr>
        <w:sz w:val="21"/>
        <w:szCs w:val="21"/>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both"/>
      <w:rPr>
        <w:rFonts w:ascii="仿宋_GB2312" w:eastAsia="仿宋_GB2312"/>
        <w:b/>
        <w:i/>
        <w:u w:val="single"/>
      </w:rPr>
    </w:pPr>
    <w:r>
      <w:rPr>
        <w:rFonts w:hint="eastAsia"/>
      </w:rPr>
      <w:t xml:space="preserve">                                               </w:t>
    </w:r>
  </w:p>
  <w:p>
    <w:pPr>
      <w:rPr>
        <w:rFonts w:ascii="仿宋_GB2312" w:eastAsia="仿宋_GB2312"/>
        <w:b/>
        <w:i/>
        <w:sz w:val="18"/>
        <w:u w:val="singl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pPr>
    <w:r>
      <w:t></w:t>
    </w:r>
    <w:r>
      <w:rPr>
        <w:rFonts w:hint="eastAsia"/>
      </w:rPr>
      <w:t xml:space="preserve">         </w:t>
    </w:r>
  </w:p>
  <w:p>
    <w:pPr>
      <w:pStyle w:val="38"/>
    </w:pPr>
    <w:r>
      <w:rPr>
        <w:rFonts w:hint="eastAsia"/>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right"/>
      <w:rPr>
        <w:rFonts w:ascii="仿宋_GB2312" w:eastAsia="仿宋_GB2312"/>
        <w:b/>
        <w:i/>
        <w:u w:val="single"/>
      </w:rPr>
    </w:pPr>
    <w:r>
      <w:rPr>
        <w:rFonts w:hint="eastAsia"/>
      </w:rPr>
      <w:t xml:space="preserve">                                  </w:t>
    </w:r>
  </w:p>
  <w:p>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right"/>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F661A6"/>
    <w:multiLevelType w:val="singleLevel"/>
    <w:tmpl w:val="90F661A6"/>
    <w:lvl w:ilvl="0" w:tentative="0">
      <w:start w:val="2"/>
      <w:numFmt w:val="chineseCounting"/>
      <w:suff w:val="nothing"/>
      <w:lvlText w:val="（%1）"/>
      <w:lvlJc w:val="left"/>
      <w:rPr>
        <w:rFonts w:hint="eastAsia"/>
      </w:rPr>
    </w:lvl>
  </w:abstractNum>
  <w:abstractNum w:abstractNumId="1">
    <w:nsid w:val="B5DC6D3D"/>
    <w:multiLevelType w:val="singleLevel"/>
    <w:tmpl w:val="B5DC6D3D"/>
    <w:lvl w:ilvl="0" w:tentative="0">
      <w:start w:val="7"/>
      <w:numFmt w:val="chineseCounting"/>
      <w:suff w:val="nothing"/>
      <w:lvlText w:val="（%1）"/>
      <w:lvlJc w:val="left"/>
      <w:rPr>
        <w:rFonts w:hint="eastAsia"/>
      </w:rPr>
    </w:lvl>
  </w:abstractNum>
  <w:abstractNum w:abstractNumId="2">
    <w:nsid w:val="FC7E25E0"/>
    <w:multiLevelType w:val="singleLevel"/>
    <w:tmpl w:val="FC7E25E0"/>
    <w:lvl w:ilvl="0" w:tentative="0">
      <w:start w:val="2"/>
      <w:numFmt w:val="decimal"/>
      <w:lvlText w:val="%1."/>
      <w:lvlJc w:val="left"/>
      <w:pPr>
        <w:tabs>
          <w:tab w:val="left" w:pos="312"/>
        </w:tabs>
      </w:pPr>
    </w:lvl>
  </w:abstractNum>
  <w:abstractNum w:abstractNumId="3">
    <w:nsid w:val="00000002"/>
    <w:multiLevelType w:val="singleLevel"/>
    <w:tmpl w:val="00000002"/>
    <w:lvl w:ilvl="0" w:tentative="0">
      <w:start w:val="1"/>
      <w:numFmt w:val="decimal"/>
      <w:pStyle w:val="26"/>
      <w:lvlText w:val="%1."/>
      <w:lvlJc w:val="left"/>
      <w:pPr>
        <w:tabs>
          <w:tab w:val="left" w:pos="6780"/>
        </w:tabs>
        <w:ind w:left="6780" w:hanging="360"/>
      </w:pPr>
    </w:lvl>
  </w:abstractNum>
  <w:abstractNum w:abstractNumId="4">
    <w:nsid w:val="00000003"/>
    <w:multiLevelType w:val="singleLevel"/>
    <w:tmpl w:val="00000003"/>
    <w:lvl w:ilvl="0" w:tentative="0">
      <w:start w:val="1"/>
      <w:numFmt w:val="decimal"/>
      <w:pStyle w:val="20"/>
      <w:lvlText w:val="%1."/>
      <w:lvlJc w:val="left"/>
      <w:pPr>
        <w:tabs>
          <w:tab w:val="left" w:pos="360"/>
        </w:tabs>
        <w:ind w:left="360" w:hanging="360"/>
      </w:pPr>
    </w:lvl>
  </w:abstractNum>
  <w:abstractNum w:abstractNumId="5">
    <w:nsid w:val="00000004"/>
    <w:multiLevelType w:val="multilevel"/>
    <w:tmpl w:val="00000004"/>
    <w:lvl w:ilvl="0" w:tentative="0">
      <w:start w:val="1"/>
      <w:numFmt w:val="bullet"/>
      <w:pStyle w:val="176"/>
      <w:lvlText w:val=""/>
      <w:lvlJc w:val="left"/>
      <w:pPr>
        <w:tabs>
          <w:tab w:val="left" w:pos="840"/>
        </w:tabs>
        <w:ind w:left="840" w:hanging="420"/>
      </w:pPr>
      <w:rPr>
        <w:rFonts w:hint="default" w:ascii="Wingdings" w:hAnsi="Wingdings"/>
      </w:rPr>
    </w:lvl>
    <w:lvl w:ilvl="1" w:tentative="0">
      <w:start w:val="1"/>
      <w:numFmt w:val="bullet"/>
      <w:pStyle w:val="273"/>
      <w:lvlText w:val=""/>
      <w:lvlJc w:val="left"/>
      <w:pPr>
        <w:tabs>
          <w:tab w:val="left" w:pos="840"/>
        </w:tabs>
        <w:ind w:left="840" w:hanging="420"/>
      </w:pPr>
      <w:rPr>
        <w:rFonts w:hint="default" w:ascii="Wingdings" w:hAnsi="Wingdings"/>
      </w:rPr>
    </w:lvl>
    <w:lvl w:ilvl="2" w:tentative="0">
      <w:start w:val="1"/>
      <w:numFmt w:val="bullet"/>
      <w:pStyle w:val="276"/>
      <w:lvlText w:val=""/>
      <w:lvlJc w:val="left"/>
      <w:pPr>
        <w:tabs>
          <w:tab w:val="left" w:pos="1260"/>
        </w:tabs>
        <w:ind w:left="1260" w:hanging="420"/>
      </w:pPr>
      <w:rPr>
        <w:rFonts w:hint="default" w:ascii="Wingdings" w:hAnsi="Wingdings"/>
      </w:rPr>
    </w:lvl>
    <w:lvl w:ilvl="3" w:tentative="0">
      <w:start w:val="1"/>
      <w:numFmt w:val="bullet"/>
      <w:pStyle w:val="355"/>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6">
    <w:nsid w:val="00000007"/>
    <w:multiLevelType w:val="multilevel"/>
    <w:tmpl w:val="00000007"/>
    <w:lvl w:ilvl="0" w:tentative="0">
      <w:start w:val="1"/>
      <w:numFmt w:val="decimal"/>
      <w:pStyle w:val="191"/>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0000000C"/>
    <w:multiLevelType w:val="singleLevel"/>
    <w:tmpl w:val="0000000C"/>
    <w:lvl w:ilvl="0" w:tentative="0">
      <w:start w:val="6"/>
      <w:numFmt w:val="chineseCounting"/>
      <w:suff w:val="nothing"/>
      <w:lvlText w:val="第%1章　"/>
      <w:lvlJc w:val="left"/>
      <w:rPr>
        <w:rFonts w:hint="eastAsia"/>
      </w:rPr>
    </w:lvl>
  </w:abstractNum>
  <w:abstractNum w:abstractNumId="8">
    <w:nsid w:val="0000000D"/>
    <w:multiLevelType w:val="multilevel"/>
    <w:tmpl w:val="0000000D"/>
    <w:lvl w:ilvl="0" w:tentative="0">
      <w:start w:val="1"/>
      <w:numFmt w:val="decimal"/>
      <w:lvlText w:val="（%1）"/>
      <w:lvlJc w:val="left"/>
      <w:pPr>
        <w:tabs>
          <w:tab w:val="left" w:pos="420"/>
        </w:tabs>
        <w:ind w:left="420" w:hanging="420"/>
      </w:pPr>
    </w:lvl>
    <w:lvl w:ilvl="1" w:tentative="0">
      <w:start w:val="1"/>
      <w:numFmt w:val="decimal"/>
      <w:lvlText w:val="%2)"/>
      <w:lvlJc w:val="left"/>
      <w:pPr>
        <w:tabs>
          <w:tab w:val="left" w:pos="960"/>
        </w:tabs>
        <w:ind w:left="960" w:hanging="420"/>
      </w:pPr>
      <w:rPr>
        <w:color w:val="auto"/>
      </w:rPr>
    </w:lvl>
    <w:lvl w:ilvl="2" w:tentative="0">
      <w:start w:val="1"/>
      <w:numFmt w:val="decimal"/>
      <w:pStyle w:val="200"/>
      <w:lvlText w:val="3.%3"/>
      <w:lvlJc w:val="left"/>
      <w:pPr>
        <w:tabs>
          <w:tab w:val="left" w:pos="0"/>
        </w:tabs>
        <w:ind w:left="454" w:hanging="454"/>
      </w:pPr>
    </w:lvl>
    <w:lvl w:ilvl="3" w:tentative="0">
      <w:start w:val="1"/>
      <w:numFmt w:val="decimal"/>
      <w:lvlText w:val="%4)"/>
      <w:lvlJc w:val="left"/>
      <w:pPr>
        <w:tabs>
          <w:tab w:val="left" w:pos="1680"/>
        </w:tabs>
        <w:ind w:left="1680" w:hanging="420"/>
      </w:pPr>
    </w:lvl>
    <w:lvl w:ilvl="4" w:tentative="0">
      <w:start w:val="1"/>
      <w:numFmt w:val="decimal"/>
      <w:lvlText w:val="%5）"/>
      <w:lvlJc w:val="left"/>
      <w:pPr>
        <w:tabs>
          <w:tab w:val="left" w:pos="2400"/>
        </w:tabs>
        <w:ind w:left="2400" w:hanging="7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4"/>
  </w:num>
  <w:num w:numId="2">
    <w:abstractNumId w:val="3"/>
  </w:num>
  <w:num w:numId="3">
    <w:abstractNumId w:val="5"/>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1"/>
  </w:num>
  <w:num w:numId="8">
    <w:abstractNumId w:val="7"/>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GY0ODVhODJkYWVmMjM4OTRlMjMyNjY5YzUzN2Q4ZWYifQ=="/>
  </w:docVars>
  <w:rsids>
    <w:rsidRoot w:val="00172A27"/>
    <w:rsid w:val="00023407"/>
    <w:rsid w:val="00030613"/>
    <w:rsid w:val="00033D61"/>
    <w:rsid w:val="00035B91"/>
    <w:rsid w:val="00042FFB"/>
    <w:rsid w:val="00043B2E"/>
    <w:rsid w:val="00056525"/>
    <w:rsid w:val="000634C6"/>
    <w:rsid w:val="00066211"/>
    <w:rsid w:val="0007719B"/>
    <w:rsid w:val="00082A98"/>
    <w:rsid w:val="000B0537"/>
    <w:rsid w:val="000C3FCC"/>
    <w:rsid w:val="000E284E"/>
    <w:rsid w:val="000E512D"/>
    <w:rsid w:val="00101A2D"/>
    <w:rsid w:val="00102573"/>
    <w:rsid w:val="001102CB"/>
    <w:rsid w:val="00123052"/>
    <w:rsid w:val="00123C17"/>
    <w:rsid w:val="00143449"/>
    <w:rsid w:val="0015447E"/>
    <w:rsid w:val="00154EF9"/>
    <w:rsid w:val="00156DB3"/>
    <w:rsid w:val="001644D1"/>
    <w:rsid w:val="001663D7"/>
    <w:rsid w:val="00167CEE"/>
    <w:rsid w:val="0017222B"/>
    <w:rsid w:val="00172A27"/>
    <w:rsid w:val="00173254"/>
    <w:rsid w:val="00180D18"/>
    <w:rsid w:val="00182DE0"/>
    <w:rsid w:val="00183F7F"/>
    <w:rsid w:val="001842CD"/>
    <w:rsid w:val="00190177"/>
    <w:rsid w:val="001B28D2"/>
    <w:rsid w:val="001B45B5"/>
    <w:rsid w:val="001C1752"/>
    <w:rsid w:val="001C3785"/>
    <w:rsid w:val="001C4EB2"/>
    <w:rsid w:val="001D3EBB"/>
    <w:rsid w:val="001E2DC0"/>
    <w:rsid w:val="001E3F97"/>
    <w:rsid w:val="001F5DD1"/>
    <w:rsid w:val="00202A18"/>
    <w:rsid w:val="00202E53"/>
    <w:rsid w:val="00211656"/>
    <w:rsid w:val="00222741"/>
    <w:rsid w:val="002336D1"/>
    <w:rsid w:val="00233CCF"/>
    <w:rsid w:val="00247728"/>
    <w:rsid w:val="002511B7"/>
    <w:rsid w:val="00274297"/>
    <w:rsid w:val="00276275"/>
    <w:rsid w:val="00292689"/>
    <w:rsid w:val="002A1D82"/>
    <w:rsid w:val="002A38D9"/>
    <w:rsid w:val="002B417B"/>
    <w:rsid w:val="002D4EC0"/>
    <w:rsid w:val="002E1D71"/>
    <w:rsid w:val="002F16AD"/>
    <w:rsid w:val="00306D04"/>
    <w:rsid w:val="00307A28"/>
    <w:rsid w:val="00311D2B"/>
    <w:rsid w:val="00321F6C"/>
    <w:rsid w:val="00330896"/>
    <w:rsid w:val="00342931"/>
    <w:rsid w:val="00342C82"/>
    <w:rsid w:val="003451FF"/>
    <w:rsid w:val="00355110"/>
    <w:rsid w:val="00355F6C"/>
    <w:rsid w:val="003679CC"/>
    <w:rsid w:val="00383E70"/>
    <w:rsid w:val="00385316"/>
    <w:rsid w:val="00386CC9"/>
    <w:rsid w:val="00387205"/>
    <w:rsid w:val="00393685"/>
    <w:rsid w:val="003A638F"/>
    <w:rsid w:val="003B0EB0"/>
    <w:rsid w:val="003B6492"/>
    <w:rsid w:val="003D30A7"/>
    <w:rsid w:val="003D6946"/>
    <w:rsid w:val="003E1079"/>
    <w:rsid w:val="003E247B"/>
    <w:rsid w:val="003F71BE"/>
    <w:rsid w:val="00411E85"/>
    <w:rsid w:val="0044112A"/>
    <w:rsid w:val="00442331"/>
    <w:rsid w:val="00445E8B"/>
    <w:rsid w:val="004510E3"/>
    <w:rsid w:val="00452165"/>
    <w:rsid w:val="00457909"/>
    <w:rsid w:val="00466346"/>
    <w:rsid w:val="00477335"/>
    <w:rsid w:val="004803D2"/>
    <w:rsid w:val="004860DF"/>
    <w:rsid w:val="004B0CAD"/>
    <w:rsid w:val="004B6057"/>
    <w:rsid w:val="004C51EF"/>
    <w:rsid w:val="004D3CFD"/>
    <w:rsid w:val="004D48B2"/>
    <w:rsid w:val="004E0F61"/>
    <w:rsid w:val="004E6102"/>
    <w:rsid w:val="004E6864"/>
    <w:rsid w:val="004F7BD1"/>
    <w:rsid w:val="005114CD"/>
    <w:rsid w:val="005175A4"/>
    <w:rsid w:val="00520751"/>
    <w:rsid w:val="00521F1E"/>
    <w:rsid w:val="00543747"/>
    <w:rsid w:val="0054550C"/>
    <w:rsid w:val="00553584"/>
    <w:rsid w:val="00561FF2"/>
    <w:rsid w:val="005656B9"/>
    <w:rsid w:val="00565E77"/>
    <w:rsid w:val="00574899"/>
    <w:rsid w:val="00583973"/>
    <w:rsid w:val="0058662B"/>
    <w:rsid w:val="00592429"/>
    <w:rsid w:val="005A243A"/>
    <w:rsid w:val="005B49B5"/>
    <w:rsid w:val="005C24EB"/>
    <w:rsid w:val="005D0E4D"/>
    <w:rsid w:val="005E24FB"/>
    <w:rsid w:val="00626910"/>
    <w:rsid w:val="00643FA4"/>
    <w:rsid w:val="00646722"/>
    <w:rsid w:val="00646ED9"/>
    <w:rsid w:val="00656EEC"/>
    <w:rsid w:val="00657BC8"/>
    <w:rsid w:val="00665014"/>
    <w:rsid w:val="0067561D"/>
    <w:rsid w:val="00676B85"/>
    <w:rsid w:val="00681D10"/>
    <w:rsid w:val="00696570"/>
    <w:rsid w:val="006974C3"/>
    <w:rsid w:val="00697E81"/>
    <w:rsid w:val="006B7B69"/>
    <w:rsid w:val="006C317A"/>
    <w:rsid w:val="006C7D07"/>
    <w:rsid w:val="006D29F3"/>
    <w:rsid w:val="006D3E48"/>
    <w:rsid w:val="006F228B"/>
    <w:rsid w:val="006F6122"/>
    <w:rsid w:val="0070100F"/>
    <w:rsid w:val="00704209"/>
    <w:rsid w:val="00716C85"/>
    <w:rsid w:val="00720942"/>
    <w:rsid w:val="00722687"/>
    <w:rsid w:val="00724E25"/>
    <w:rsid w:val="00734C46"/>
    <w:rsid w:val="007429F1"/>
    <w:rsid w:val="00751457"/>
    <w:rsid w:val="007609A7"/>
    <w:rsid w:val="00766341"/>
    <w:rsid w:val="0077714D"/>
    <w:rsid w:val="00780F16"/>
    <w:rsid w:val="00783261"/>
    <w:rsid w:val="00793A27"/>
    <w:rsid w:val="007A4B9D"/>
    <w:rsid w:val="007A4C50"/>
    <w:rsid w:val="007B4554"/>
    <w:rsid w:val="007B6CDF"/>
    <w:rsid w:val="007D0142"/>
    <w:rsid w:val="007D0450"/>
    <w:rsid w:val="007D1EE2"/>
    <w:rsid w:val="007D434C"/>
    <w:rsid w:val="007D55AE"/>
    <w:rsid w:val="007E40B6"/>
    <w:rsid w:val="007F6D28"/>
    <w:rsid w:val="00800DF9"/>
    <w:rsid w:val="00801A86"/>
    <w:rsid w:val="00802742"/>
    <w:rsid w:val="00810E36"/>
    <w:rsid w:val="008208D2"/>
    <w:rsid w:val="008248E3"/>
    <w:rsid w:val="0082511A"/>
    <w:rsid w:val="00825E43"/>
    <w:rsid w:val="0083087D"/>
    <w:rsid w:val="0083102A"/>
    <w:rsid w:val="00840BFA"/>
    <w:rsid w:val="00855B9A"/>
    <w:rsid w:val="00856C34"/>
    <w:rsid w:val="00864B35"/>
    <w:rsid w:val="008657AA"/>
    <w:rsid w:val="00867D73"/>
    <w:rsid w:val="008743E1"/>
    <w:rsid w:val="008744A5"/>
    <w:rsid w:val="00874816"/>
    <w:rsid w:val="00880469"/>
    <w:rsid w:val="00884EC9"/>
    <w:rsid w:val="008A0BA8"/>
    <w:rsid w:val="008A4DD6"/>
    <w:rsid w:val="008B376E"/>
    <w:rsid w:val="008C55DD"/>
    <w:rsid w:val="008D117B"/>
    <w:rsid w:val="008D52C7"/>
    <w:rsid w:val="008D60D5"/>
    <w:rsid w:val="008E5AA8"/>
    <w:rsid w:val="008F0CD5"/>
    <w:rsid w:val="008F0EC8"/>
    <w:rsid w:val="008F4DC8"/>
    <w:rsid w:val="00926CB5"/>
    <w:rsid w:val="00932816"/>
    <w:rsid w:val="00942E8D"/>
    <w:rsid w:val="009433E4"/>
    <w:rsid w:val="00951830"/>
    <w:rsid w:val="0095268F"/>
    <w:rsid w:val="00956757"/>
    <w:rsid w:val="0096020D"/>
    <w:rsid w:val="00971453"/>
    <w:rsid w:val="00973A1A"/>
    <w:rsid w:val="00973CE9"/>
    <w:rsid w:val="00977C76"/>
    <w:rsid w:val="00981738"/>
    <w:rsid w:val="009850DD"/>
    <w:rsid w:val="009931CA"/>
    <w:rsid w:val="009A06FD"/>
    <w:rsid w:val="009A0E79"/>
    <w:rsid w:val="009D19C2"/>
    <w:rsid w:val="009D7624"/>
    <w:rsid w:val="009E01BB"/>
    <w:rsid w:val="009E1E57"/>
    <w:rsid w:val="009E6B31"/>
    <w:rsid w:val="009F03B5"/>
    <w:rsid w:val="009F0475"/>
    <w:rsid w:val="00A135BA"/>
    <w:rsid w:val="00A15A62"/>
    <w:rsid w:val="00A2612F"/>
    <w:rsid w:val="00A34377"/>
    <w:rsid w:val="00A50A64"/>
    <w:rsid w:val="00A62D0C"/>
    <w:rsid w:val="00A755FD"/>
    <w:rsid w:val="00A863FD"/>
    <w:rsid w:val="00A97A3A"/>
    <w:rsid w:val="00AA0429"/>
    <w:rsid w:val="00AB4BE8"/>
    <w:rsid w:val="00AC7A2D"/>
    <w:rsid w:val="00AD388B"/>
    <w:rsid w:val="00AF6C8E"/>
    <w:rsid w:val="00B05197"/>
    <w:rsid w:val="00B15384"/>
    <w:rsid w:val="00B17CCB"/>
    <w:rsid w:val="00B42A59"/>
    <w:rsid w:val="00B53C62"/>
    <w:rsid w:val="00B56B70"/>
    <w:rsid w:val="00B71142"/>
    <w:rsid w:val="00B77225"/>
    <w:rsid w:val="00B81E22"/>
    <w:rsid w:val="00B869C6"/>
    <w:rsid w:val="00B905A3"/>
    <w:rsid w:val="00BA29FB"/>
    <w:rsid w:val="00BA633C"/>
    <w:rsid w:val="00BC6B53"/>
    <w:rsid w:val="00BE28AF"/>
    <w:rsid w:val="00BE28DC"/>
    <w:rsid w:val="00BE3F47"/>
    <w:rsid w:val="00BE64BB"/>
    <w:rsid w:val="00C075F2"/>
    <w:rsid w:val="00C1071D"/>
    <w:rsid w:val="00C271A8"/>
    <w:rsid w:val="00C30E73"/>
    <w:rsid w:val="00C33F7B"/>
    <w:rsid w:val="00C36A89"/>
    <w:rsid w:val="00C431D7"/>
    <w:rsid w:val="00C443B2"/>
    <w:rsid w:val="00C56A70"/>
    <w:rsid w:val="00C577C2"/>
    <w:rsid w:val="00C64868"/>
    <w:rsid w:val="00C8266E"/>
    <w:rsid w:val="00C83967"/>
    <w:rsid w:val="00C8487C"/>
    <w:rsid w:val="00CA551F"/>
    <w:rsid w:val="00CB40BB"/>
    <w:rsid w:val="00CB417C"/>
    <w:rsid w:val="00CC7DD7"/>
    <w:rsid w:val="00CC7F7E"/>
    <w:rsid w:val="00CD40F1"/>
    <w:rsid w:val="00CE2363"/>
    <w:rsid w:val="00CE304E"/>
    <w:rsid w:val="00CF333D"/>
    <w:rsid w:val="00D32C43"/>
    <w:rsid w:val="00D32FE5"/>
    <w:rsid w:val="00D42177"/>
    <w:rsid w:val="00D47309"/>
    <w:rsid w:val="00D67E85"/>
    <w:rsid w:val="00D72AD5"/>
    <w:rsid w:val="00D75930"/>
    <w:rsid w:val="00D8018A"/>
    <w:rsid w:val="00D81DAA"/>
    <w:rsid w:val="00D834ED"/>
    <w:rsid w:val="00D8579F"/>
    <w:rsid w:val="00D90E6F"/>
    <w:rsid w:val="00D91539"/>
    <w:rsid w:val="00D9395E"/>
    <w:rsid w:val="00DA0BAB"/>
    <w:rsid w:val="00DB1898"/>
    <w:rsid w:val="00DC4DB8"/>
    <w:rsid w:val="00DD7B8B"/>
    <w:rsid w:val="00DE1909"/>
    <w:rsid w:val="00DF0891"/>
    <w:rsid w:val="00DF1255"/>
    <w:rsid w:val="00DF1B5F"/>
    <w:rsid w:val="00DF24B3"/>
    <w:rsid w:val="00E00BAC"/>
    <w:rsid w:val="00E23067"/>
    <w:rsid w:val="00E241E1"/>
    <w:rsid w:val="00E24636"/>
    <w:rsid w:val="00E454E6"/>
    <w:rsid w:val="00E552E9"/>
    <w:rsid w:val="00E612AF"/>
    <w:rsid w:val="00E614CA"/>
    <w:rsid w:val="00E67E31"/>
    <w:rsid w:val="00E76784"/>
    <w:rsid w:val="00E83E33"/>
    <w:rsid w:val="00E86AE6"/>
    <w:rsid w:val="00E9295C"/>
    <w:rsid w:val="00E94DAA"/>
    <w:rsid w:val="00EB62CB"/>
    <w:rsid w:val="00EE2CB1"/>
    <w:rsid w:val="00EE59B9"/>
    <w:rsid w:val="00EF5DA0"/>
    <w:rsid w:val="00F010C8"/>
    <w:rsid w:val="00F175FF"/>
    <w:rsid w:val="00F30CE6"/>
    <w:rsid w:val="00F337F3"/>
    <w:rsid w:val="00F33CCE"/>
    <w:rsid w:val="00F402F1"/>
    <w:rsid w:val="00F5031B"/>
    <w:rsid w:val="00F56AC3"/>
    <w:rsid w:val="00F56F6D"/>
    <w:rsid w:val="00F66CE6"/>
    <w:rsid w:val="00F7087F"/>
    <w:rsid w:val="00F751DE"/>
    <w:rsid w:val="00F83433"/>
    <w:rsid w:val="00F8414A"/>
    <w:rsid w:val="00F90763"/>
    <w:rsid w:val="00F9147F"/>
    <w:rsid w:val="00FA1C09"/>
    <w:rsid w:val="00FB1BD1"/>
    <w:rsid w:val="00FC19B7"/>
    <w:rsid w:val="00FC4A87"/>
    <w:rsid w:val="00FD0407"/>
    <w:rsid w:val="00FD50DA"/>
    <w:rsid w:val="00FD71E6"/>
    <w:rsid w:val="00FF72A5"/>
    <w:rsid w:val="01270340"/>
    <w:rsid w:val="013E7496"/>
    <w:rsid w:val="01EC5C4F"/>
    <w:rsid w:val="02056997"/>
    <w:rsid w:val="02320F27"/>
    <w:rsid w:val="02F43D28"/>
    <w:rsid w:val="03034394"/>
    <w:rsid w:val="03C370DB"/>
    <w:rsid w:val="05364F72"/>
    <w:rsid w:val="05A611D1"/>
    <w:rsid w:val="06B331CE"/>
    <w:rsid w:val="073C48C2"/>
    <w:rsid w:val="07B10D1E"/>
    <w:rsid w:val="0828574C"/>
    <w:rsid w:val="08FF4DED"/>
    <w:rsid w:val="09255E61"/>
    <w:rsid w:val="0A157CFC"/>
    <w:rsid w:val="0B095168"/>
    <w:rsid w:val="0C1B5A9E"/>
    <w:rsid w:val="0C2E1C49"/>
    <w:rsid w:val="0C9747D7"/>
    <w:rsid w:val="0D444340"/>
    <w:rsid w:val="0EDB5C89"/>
    <w:rsid w:val="0F844707"/>
    <w:rsid w:val="0FA43152"/>
    <w:rsid w:val="0FE46608"/>
    <w:rsid w:val="10116EC7"/>
    <w:rsid w:val="108D2E65"/>
    <w:rsid w:val="110C16D3"/>
    <w:rsid w:val="11126A97"/>
    <w:rsid w:val="1235320D"/>
    <w:rsid w:val="12607551"/>
    <w:rsid w:val="12FC68E6"/>
    <w:rsid w:val="1346414E"/>
    <w:rsid w:val="140E341E"/>
    <w:rsid w:val="141B1B64"/>
    <w:rsid w:val="14972257"/>
    <w:rsid w:val="149C0A46"/>
    <w:rsid w:val="14D861DE"/>
    <w:rsid w:val="15A857C0"/>
    <w:rsid w:val="17C0574B"/>
    <w:rsid w:val="1882455E"/>
    <w:rsid w:val="192C1A66"/>
    <w:rsid w:val="19C84B97"/>
    <w:rsid w:val="1B41669F"/>
    <w:rsid w:val="1D301C1D"/>
    <w:rsid w:val="1FFC43F5"/>
    <w:rsid w:val="21727167"/>
    <w:rsid w:val="22073456"/>
    <w:rsid w:val="228111AE"/>
    <w:rsid w:val="22AB2E96"/>
    <w:rsid w:val="247C31AE"/>
    <w:rsid w:val="2547399E"/>
    <w:rsid w:val="255D282B"/>
    <w:rsid w:val="256249BF"/>
    <w:rsid w:val="257071F8"/>
    <w:rsid w:val="25744C7A"/>
    <w:rsid w:val="25AE1883"/>
    <w:rsid w:val="26537C9D"/>
    <w:rsid w:val="26945BE3"/>
    <w:rsid w:val="26B47F50"/>
    <w:rsid w:val="26D4048A"/>
    <w:rsid w:val="27812138"/>
    <w:rsid w:val="28157176"/>
    <w:rsid w:val="286B4B03"/>
    <w:rsid w:val="28941656"/>
    <w:rsid w:val="290A1A52"/>
    <w:rsid w:val="2A9C636F"/>
    <w:rsid w:val="2B5751B6"/>
    <w:rsid w:val="2B887E3B"/>
    <w:rsid w:val="2B911481"/>
    <w:rsid w:val="2B983E32"/>
    <w:rsid w:val="2C593535"/>
    <w:rsid w:val="2D227FD1"/>
    <w:rsid w:val="2E026EA0"/>
    <w:rsid w:val="2E4D68BD"/>
    <w:rsid w:val="2E7C6418"/>
    <w:rsid w:val="2E8A3D90"/>
    <w:rsid w:val="2F537E2B"/>
    <w:rsid w:val="2F744903"/>
    <w:rsid w:val="2FBC4AAE"/>
    <w:rsid w:val="305F0CE6"/>
    <w:rsid w:val="31D41408"/>
    <w:rsid w:val="331123A4"/>
    <w:rsid w:val="33181210"/>
    <w:rsid w:val="334970A2"/>
    <w:rsid w:val="33720906"/>
    <w:rsid w:val="34A74E94"/>
    <w:rsid w:val="35C22CF4"/>
    <w:rsid w:val="35FB4139"/>
    <w:rsid w:val="363346DC"/>
    <w:rsid w:val="36B642DD"/>
    <w:rsid w:val="3700497E"/>
    <w:rsid w:val="374970B3"/>
    <w:rsid w:val="37702A69"/>
    <w:rsid w:val="37F074AA"/>
    <w:rsid w:val="38137719"/>
    <w:rsid w:val="386F5DB7"/>
    <w:rsid w:val="38A05E41"/>
    <w:rsid w:val="3B1B07E2"/>
    <w:rsid w:val="3B6176EE"/>
    <w:rsid w:val="3B8F2A6A"/>
    <w:rsid w:val="3BE121EE"/>
    <w:rsid w:val="3C371867"/>
    <w:rsid w:val="3C5514EE"/>
    <w:rsid w:val="3DF82F1E"/>
    <w:rsid w:val="3F1D2366"/>
    <w:rsid w:val="3F3815FB"/>
    <w:rsid w:val="3F6A4650"/>
    <w:rsid w:val="3FA0183A"/>
    <w:rsid w:val="3FFA7DB4"/>
    <w:rsid w:val="401F1D17"/>
    <w:rsid w:val="40354679"/>
    <w:rsid w:val="404974EE"/>
    <w:rsid w:val="40585191"/>
    <w:rsid w:val="40984592"/>
    <w:rsid w:val="428E5997"/>
    <w:rsid w:val="42921DBC"/>
    <w:rsid w:val="430C3059"/>
    <w:rsid w:val="439B307C"/>
    <w:rsid w:val="43D20995"/>
    <w:rsid w:val="449E6C60"/>
    <w:rsid w:val="45294EC8"/>
    <w:rsid w:val="456A0921"/>
    <w:rsid w:val="45DE1148"/>
    <w:rsid w:val="45E13AD2"/>
    <w:rsid w:val="463B5ACA"/>
    <w:rsid w:val="46C834C5"/>
    <w:rsid w:val="47757C12"/>
    <w:rsid w:val="47D22905"/>
    <w:rsid w:val="47DA2CE4"/>
    <w:rsid w:val="48042C32"/>
    <w:rsid w:val="48727057"/>
    <w:rsid w:val="48B57A8F"/>
    <w:rsid w:val="499E655B"/>
    <w:rsid w:val="4A0B3E99"/>
    <w:rsid w:val="4AF00C1D"/>
    <w:rsid w:val="4BC774C7"/>
    <w:rsid w:val="4C0808F6"/>
    <w:rsid w:val="4C627FA0"/>
    <w:rsid w:val="4C9B5DF6"/>
    <w:rsid w:val="4CB4590D"/>
    <w:rsid w:val="4DF7714B"/>
    <w:rsid w:val="4E7437A0"/>
    <w:rsid w:val="4E9E1283"/>
    <w:rsid w:val="4F1E3258"/>
    <w:rsid w:val="4F261659"/>
    <w:rsid w:val="5077628F"/>
    <w:rsid w:val="52D16152"/>
    <w:rsid w:val="53DC3555"/>
    <w:rsid w:val="55BD3463"/>
    <w:rsid w:val="56304A34"/>
    <w:rsid w:val="56B22127"/>
    <w:rsid w:val="578005C2"/>
    <w:rsid w:val="57895FA1"/>
    <w:rsid w:val="5815678D"/>
    <w:rsid w:val="589D085A"/>
    <w:rsid w:val="59281109"/>
    <w:rsid w:val="59D10E52"/>
    <w:rsid w:val="5ABB71FB"/>
    <w:rsid w:val="5B2C0F27"/>
    <w:rsid w:val="5B572602"/>
    <w:rsid w:val="5BFC2344"/>
    <w:rsid w:val="5C15079F"/>
    <w:rsid w:val="5CBE6AB5"/>
    <w:rsid w:val="5CF261E7"/>
    <w:rsid w:val="5D6269EC"/>
    <w:rsid w:val="5D754809"/>
    <w:rsid w:val="5D9D4A02"/>
    <w:rsid w:val="5E2D3827"/>
    <w:rsid w:val="5E912560"/>
    <w:rsid w:val="5E960581"/>
    <w:rsid w:val="5EBB3A1E"/>
    <w:rsid w:val="5EC66324"/>
    <w:rsid w:val="5F7C0CDD"/>
    <w:rsid w:val="5FC35967"/>
    <w:rsid w:val="5FEA34C1"/>
    <w:rsid w:val="61301633"/>
    <w:rsid w:val="61562586"/>
    <w:rsid w:val="61755ACE"/>
    <w:rsid w:val="629568BE"/>
    <w:rsid w:val="641461CF"/>
    <w:rsid w:val="65901886"/>
    <w:rsid w:val="65A95A07"/>
    <w:rsid w:val="671E4FF7"/>
    <w:rsid w:val="67D92E2C"/>
    <w:rsid w:val="682467DE"/>
    <w:rsid w:val="68500369"/>
    <w:rsid w:val="68C51A83"/>
    <w:rsid w:val="6B1B3E45"/>
    <w:rsid w:val="6BD91AAD"/>
    <w:rsid w:val="6BE9694C"/>
    <w:rsid w:val="6C805530"/>
    <w:rsid w:val="6D675B22"/>
    <w:rsid w:val="6F2A6230"/>
    <w:rsid w:val="6F460407"/>
    <w:rsid w:val="6F725376"/>
    <w:rsid w:val="6F867849"/>
    <w:rsid w:val="6FE29431"/>
    <w:rsid w:val="70497201"/>
    <w:rsid w:val="709366CE"/>
    <w:rsid w:val="7145465B"/>
    <w:rsid w:val="71973D96"/>
    <w:rsid w:val="71A04C9B"/>
    <w:rsid w:val="71C20D76"/>
    <w:rsid w:val="71C44033"/>
    <w:rsid w:val="71D12A18"/>
    <w:rsid w:val="74850B74"/>
    <w:rsid w:val="74CF1751"/>
    <w:rsid w:val="7533281E"/>
    <w:rsid w:val="75486071"/>
    <w:rsid w:val="75FE283B"/>
    <w:rsid w:val="764B1A19"/>
    <w:rsid w:val="769E72B5"/>
    <w:rsid w:val="770802B7"/>
    <w:rsid w:val="777F5BFE"/>
    <w:rsid w:val="77EA32E0"/>
    <w:rsid w:val="78082B17"/>
    <w:rsid w:val="78A00138"/>
    <w:rsid w:val="79887578"/>
    <w:rsid w:val="7BF328A5"/>
    <w:rsid w:val="7C5D7C4C"/>
    <w:rsid w:val="7CCF77DF"/>
    <w:rsid w:val="7D4B364A"/>
    <w:rsid w:val="7D5703A7"/>
    <w:rsid w:val="7D7FCEA4"/>
    <w:rsid w:val="7F4C3023"/>
    <w:rsid w:val="7F5E0EB5"/>
    <w:rsid w:val="7F7B1791"/>
    <w:rsid w:val="7FE7CD43"/>
    <w:rsid w:val="7FF58EA3"/>
    <w:rsid w:val="917D4CC6"/>
    <w:rsid w:val="AE6BE239"/>
    <w:rsid w:val="B7BF2C42"/>
    <w:rsid w:val="C9FF232D"/>
    <w:rsid w:val="EC7FB7E1"/>
    <w:rsid w:val="F5FD8DDC"/>
    <w:rsid w:val="F9F61989"/>
    <w:rsid w:val="F9FD80E8"/>
    <w:rsid w:val="FEDFA29D"/>
    <w:rsid w:val="FFFA1DB9"/>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99" w:semiHidden="0" w:name="index 1"/>
    <w:lsdException w:uiPriority="99" w:name="index 2"/>
    <w:lsdException w:uiPriority="99" w:name="index 3"/>
    <w:lsdException w:qFormat="1" w:unhideWhenUsed="0" w:uiPriority="0" w:semiHidden="0"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qFormat="1" w:unhideWhenUsed="0" w:uiPriority="99" w:semiHidden="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qFormat="1" w:unhideWhenUsed="0" w:uiPriority="0" w:semiHidden="0" w:name="table of authorities"/>
    <w:lsdException w:uiPriority="99" w:name="macro"/>
    <w:lsdException w:qFormat="1" w:unhideWhenUsed="0" w:uiPriority="99" w:semiHidden="0"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qFormat="1" w:unhideWhenUsed="0" w:uiPriority="99" w:semiHidden="0"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qFormat="1" w:unhideWhenUsed="0" w:uiPriority="99" w:semiHidden="0"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99"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4"/>
      <w:szCs w:val="24"/>
      <w:lang w:val="en-US" w:eastAsia="zh-CN" w:bidi="ar-SA"/>
    </w:rPr>
  </w:style>
  <w:style w:type="paragraph" w:styleId="6">
    <w:name w:val="heading 1"/>
    <w:basedOn w:val="1"/>
    <w:next w:val="1"/>
    <w:link w:val="116"/>
    <w:qFormat/>
    <w:uiPriority w:val="0"/>
    <w:pPr>
      <w:keepNext/>
      <w:keepLines/>
      <w:spacing w:before="340" w:after="330" w:line="360" w:lineRule="auto"/>
      <w:jc w:val="center"/>
      <w:outlineLvl w:val="0"/>
    </w:pPr>
    <w:rPr>
      <w:rFonts w:ascii="楷体_GB2312" w:eastAsia="楷体_GB2312"/>
      <w:b/>
      <w:bCs/>
      <w:kern w:val="44"/>
      <w:sz w:val="44"/>
      <w:szCs w:val="44"/>
    </w:rPr>
  </w:style>
  <w:style w:type="paragraph" w:styleId="7">
    <w:name w:val="heading 2"/>
    <w:basedOn w:val="1"/>
    <w:next w:val="8"/>
    <w:link w:val="88"/>
    <w:qFormat/>
    <w:uiPriority w:val="0"/>
    <w:pPr>
      <w:keepNext/>
      <w:keepLines/>
      <w:spacing w:before="260" w:after="260" w:line="415" w:lineRule="auto"/>
      <w:jc w:val="left"/>
      <w:outlineLvl w:val="1"/>
    </w:pPr>
    <w:rPr>
      <w:rFonts w:ascii="Arial" w:hAnsi="Arial" w:eastAsia="黑体"/>
      <w:b/>
      <w:bCs/>
      <w:kern w:val="0"/>
      <w:sz w:val="30"/>
      <w:szCs w:val="32"/>
    </w:rPr>
  </w:style>
  <w:style w:type="paragraph" w:styleId="10">
    <w:name w:val="heading 3"/>
    <w:basedOn w:val="7"/>
    <w:next w:val="8"/>
    <w:link w:val="131"/>
    <w:qFormat/>
    <w:uiPriority w:val="0"/>
    <w:pPr>
      <w:keepNext/>
      <w:keepLines/>
      <w:spacing w:before="260" w:after="260" w:line="415" w:lineRule="auto"/>
      <w:outlineLvl w:val="2"/>
    </w:pPr>
    <w:rPr>
      <w:kern w:val="0"/>
      <w:sz w:val="32"/>
      <w:szCs w:val="32"/>
    </w:rPr>
  </w:style>
  <w:style w:type="paragraph" w:styleId="11">
    <w:name w:val="heading 4"/>
    <w:basedOn w:val="1"/>
    <w:next w:val="1"/>
    <w:link w:val="70"/>
    <w:qFormat/>
    <w:uiPriority w:val="0"/>
    <w:pPr>
      <w:keepNext/>
      <w:keepLines/>
      <w:spacing w:before="280" w:after="290" w:line="374" w:lineRule="auto"/>
      <w:outlineLvl w:val="3"/>
    </w:pPr>
    <w:rPr>
      <w:rFonts w:ascii="Arial" w:hAnsi="Arial" w:eastAsia="黑体"/>
      <w:b/>
      <w:bCs/>
      <w:kern w:val="0"/>
      <w:sz w:val="28"/>
      <w:szCs w:val="28"/>
    </w:rPr>
  </w:style>
  <w:style w:type="paragraph" w:styleId="12">
    <w:name w:val="heading 5"/>
    <w:basedOn w:val="1"/>
    <w:next w:val="1"/>
    <w:link w:val="93"/>
    <w:qFormat/>
    <w:uiPriority w:val="0"/>
    <w:pPr>
      <w:keepNext/>
      <w:keepLines/>
      <w:tabs>
        <w:tab w:val="left" w:pos="1701"/>
      </w:tabs>
      <w:spacing w:before="280" w:after="290" w:line="360" w:lineRule="auto"/>
      <w:outlineLvl w:val="4"/>
    </w:pPr>
    <w:rPr>
      <w:rFonts w:ascii="楷体_GB2312" w:eastAsia="楷体_GB2312"/>
      <w:b/>
      <w:bCs/>
      <w:kern w:val="0"/>
      <w:szCs w:val="28"/>
    </w:rPr>
  </w:style>
  <w:style w:type="paragraph" w:styleId="13">
    <w:name w:val="heading 6"/>
    <w:basedOn w:val="12"/>
    <w:next w:val="1"/>
    <w:link w:val="378"/>
    <w:qFormat/>
    <w:uiPriority w:val="0"/>
    <w:pPr>
      <w:keepNext w:val="0"/>
      <w:keepLines w:val="0"/>
      <w:tabs>
        <w:tab w:val="clear" w:pos="1701"/>
      </w:tabs>
      <w:adjustRightInd w:val="0"/>
      <w:spacing w:before="0" w:after="0" w:line="400" w:lineRule="exact"/>
      <w:textAlignment w:val="baseline"/>
      <w:outlineLvl w:val="5"/>
    </w:pPr>
    <w:rPr>
      <w:rFonts w:ascii="Times New Roman" w:eastAsia="宋体"/>
      <w:b w:val="0"/>
      <w:bCs w:val="0"/>
      <w:szCs w:val="20"/>
    </w:rPr>
  </w:style>
  <w:style w:type="paragraph" w:styleId="14">
    <w:name w:val="heading 7"/>
    <w:basedOn w:val="13"/>
    <w:next w:val="1"/>
    <w:link w:val="327"/>
    <w:qFormat/>
    <w:uiPriority w:val="0"/>
    <w:pPr>
      <w:outlineLvl w:val="6"/>
    </w:pPr>
  </w:style>
  <w:style w:type="paragraph" w:styleId="15">
    <w:name w:val="heading 8"/>
    <w:basedOn w:val="14"/>
    <w:next w:val="1"/>
    <w:link w:val="380"/>
    <w:qFormat/>
    <w:uiPriority w:val="0"/>
    <w:pPr>
      <w:outlineLvl w:val="7"/>
    </w:pPr>
  </w:style>
  <w:style w:type="paragraph" w:styleId="16">
    <w:name w:val="heading 9"/>
    <w:basedOn w:val="15"/>
    <w:next w:val="1"/>
    <w:link w:val="332"/>
    <w:qFormat/>
    <w:uiPriority w:val="0"/>
    <w:pPr>
      <w:outlineLvl w:val="8"/>
    </w:pPr>
  </w:style>
  <w:style w:type="character" w:default="1" w:styleId="58">
    <w:name w:val="Default Paragraph Font"/>
    <w:semiHidden/>
    <w:unhideWhenUsed/>
    <w:qFormat/>
    <w:uiPriority w:val="1"/>
  </w:style>
  <w:style w:type="table" w:default="1" w:styleId="56">
    <w:name w:val="Normal Table"/>
    <w:semiHidden/>
    <w:unhideWhenUsed/>
    <w:qFormat/>
    <w:uiPriority w:val="99"/>
    <w:tblPr>
      <w:tblCellMar>
        <w:top w:w="0" w:type="dxa"/>
        <w:left w:w="108" w:type="dxa"/>
        <w:bottom w:w="0" w:type="dxa"/>
        <w:right w:w="108" w:type="dxa"/>
      </w:tblCellMar>
    </w:tblPr>
  </w:style>
  <w:style w:type="paragraph" w:customStyle="1" w:styleId="2">
    <w:name w:val="表格文字"/>
    <w:basedOn w:val="3"/>
    <w:next w:val="4"/>
    <w:qFormat/>
    <w:uiPriority w:val="0"/>
    <w:rPr>
      <w:rFonts w:ascii="宋体" w:hAnsi="Times New Roman" w:eastAsia="宋体" w:cs="宋体"/>
      <w:sz w:val="24"/>
      <w:lang w:val="en-US" w:eastAsia="zh-CN" w:bidi="ar-SA"/>
    </w:rPr>
  </w:style>
  <w:style w:type="paragraph" w:customStyle="1" w:styleId="3">
    <w:name w:val="表格文字（两侧对齐）"/>
    <w:basedOn w:val="1"/>
    <w:qFormat/>
    <w:uiPriority w:val="0"/>
    <w:pPr>
      <w:snapToGrid w:val="0"/>
    </w:pPr>
    <w:rPr>
      <w:rFonts w:eastAsia="宋体"/>
      <w:sz w:val="20"/>
    </w:rPr>
  </w:style>
  <w:style w:type="paragraph" w:styleId="4">
    <w:name w:val="Body Text"/>
    <w:basedOn w:val="1"/>
    <w:next w:val="5"/>
    <w:link w:val="135"/>
    <w:qFormat/>
    <w:uiPriority w:val="0"/>
    <w:pPr>
      <w:spacing w:after="120"/>
    </w:pPr>
    <w:rPr>
      <w:kern w:val="0"/>
      <w:sz w:val="28"/>
    </w:rPr>
  </w:style>
  <w:style w:type="paragraph" w:styleId="5">
    <w:name w:val="Body Text First Indent"/>
    <w:basedOn w:val="4"/>
    <w:next w:val="1"/>
    <w:link w:val="426"/>
    <w:qFormat/>
    <w:uiPriority w:val="99"/>
    <w:pPr>
      <w:ind w:firstLine="100" w:firstLineChars="100"/>
    </w:pPr>
    <w:rPr>
      <w:rFonts w:ascii="Times New Roman" w:hAnsi="Times New Roman" w:eastAsia="仿宋_GB2312" w:cs="Times New Roman"/>
      <w:kern w:val="2"/>
      <w:sz w:val="21"/>
    </w:rPr>
  </w:style>
  <w:style w:type="paragraph" w:styleId="8">
    <w:name w:val="Normal Indent"/>
    <w:basedOn w:val="1"/>
    <w:next w:val="9"/>
    <w:link w:val="120"/>
    <w:qFormat/>
    <w:uiPriority w:val="0"/>
    <w:pPr>
      <w:ind w:firstLine="420"/>
    </w:pPr>
    <w:rPr>
      <w:szCs w:val="22"/>
    </w:rPr>
  </w:style>
  <w:style w:type="paragraph" w:styleId="9">
    <w:name w:val="Body Text Indent"/>
    <w:basedOn w:val="1"/>
    <w:next w:val="8"/>
    <w:link w:val="107"/>
    <w:qFormat/>
    <w:uiPriority w:val="0"/>
    <w:pPr>
      <w:spacing w:line="200" w:lineRule="exact"/>
      <w:ind w:firstLine="301"/>
    </w:pPr>
    <w:rPr>
      <w:rFonts w:ascii="宋体" w:hAnsi="Courier New"/>
      <w:spacing w:val="-4"/>
      <w:kern w:val="0"/>
      <w:sz w:val="18"/>
      <w:szCs w:val="20"/>
    </w:rPr>
  </w:style>
  <w:style w:type="paragraph" w:styleId="17">
    <w:name w:val="toc 7"/>
    <w:basedOn w:val="1"/>
    <w:next w:val="1"/>
    <w:qFormat/>
    <w:uiPriority w:val="0"/>
    <w:pPr>
      <w:ind w:left="2520" w:leftChars="1200"/>
    </w:pPr>
  </w:style>
  <w:style w:type="paragraph" w:styleId="18">
    <w:name w:val="List Number 2"/>
    <w:basedOn w:val="1"/>
    <w:qFormat/>
    <w:uiPriority w:val="99"/>
    <w:pPr>
      <w:widowControl/>
      <w:tabs>
        <w:tab w:val="left" w:pos="1697"/>
      </w:tabs>
      <w:spacing w:afterLines="50"/>
      <w:ind w:left="1697" w:hanging="420"/>
      <w:jc w:val="left"/>
    </w:pPr>
    <w:rPr>
      <w:rFonts w:ascii="Times New Roman" w:hAnsi="Times New Roman" w:cs="Times New Roman"/>
      <w:kern w:val="0"/>
      <w:szCs w:val="20"/>
    </w:rPr>
  </w:style>
  <w:style w:type="paragraph" w:styleId="19">
    <w:name w:val="table of authorities"/>
    <w:basedOn w:val="1"/>
    <w:next w:val="1"/>
    <w:qFormat/>
    <w:uiPriority w:val="0"/>
    <w:pPr>
      <w:ind w:left="420" w:leftChars="200"/>
    </w:pPr>
    <w:rPr>
      <w:rFonts w:hint="eastAsia" w:ascii="Times New Roman" w:hAnsi="Times New Roman" w:cs="Times New Roman"/>
      <w:sz w:val="21"/>
      <w:szCs w:val="20"/>
    </w:rPr>
  </w:style>
  <w:style w:type="paragraph" w:styleId="20">
    <w:name w:val="List Number"/>
    <w:basedOn w:val="1"/>
    <w:qFormat/>
    <w:uiPriority w:val="0"/>
    <w:pPr>
      <w:widowControl/>
      <w:numPr>
        <w:ilvl w:val="0"/>
        <w:numId w:val="1"/>
      </w:numPr>
      <w:tabs>
        <w:tab w:val="left" w:pos="454"/>
        <w:tab w:val="left" w:pos="720"/>
      </w:tabs>
      <w:spacing w:afterLines="50"/>
      <w:jc w:val="left"/>
    </w:pPr>
    <w:rPr>
      <w:kern w:val="0"/>
      <w:szCs w:val="20"/>
    </w:rPr>
  </w:style>
  <w:style w:type="paragraph" w:styleId="21">
    <w:name w:val="caption"/>
    <w:basedOn w:val="1"/>
    <w:next w:val="1"/>
    <w:link w:val="295"/>
    <w:qFormat/>
    <w:uiPriority w:val="0"/>
    <w:pPr>
      <w:spacing w:before="152" w:after="160"/>
    </w:pPr>
    <w:rPr>
      <w:rFonts w:ascii="Arial" w:hAnsi="Arial" w:eastAsia="黑体" w:cs="Arial"/>
      <w:sz w:val="20"/>
      <w:szCs w:val="20"/>
    </w:rPr>
  </w:style>
  <w:style w:type="paragraph" w:styleId="22">
    <w:name w:val="Document Map"/>
    <w:basedOn w:val="1"/>
    <w:link w:val="77"/>
    <w:qFormat/>
    <w:uiPriority w:val="0"/>
    <w:pPr>
      <w:spacing w:line="360" w:lineRule="auto"/>
      <w:ind w:firstLine="200" w:firstLineChars="200"/>
    </w:pPr>
    <w:rPr>
      <w:rFonts w:ascii="宋体" w:eastAsia="楷体_GB2312"/>
      <w:kern w:val="0"/>
      <w:sz w:val="18"/>
      <w:szCs w:val="18"/>
    </w:rPr>
  </w:style>
  <w:style w:type="paragraph" w:styleId="23">
    <w:name w:val="toa heading"/>
    <w:basedOn w:val="1"/>
    <w:next w:val="1"/>
    <w:qFormat/>
    <w:uiPriority w:val="99"/>
    <w:pPr>
      <w:spacing w:before="120"/>
    </w:pPr>
    <w:rPr>
      <w:rFonts w:ascii="Arial" w:hAnsi="Arial" w:cs="Times New Roman"/>
      <w:szCs w:val="20"/>
    </w:rPr>
  </w:style>
  <w:style w:type="paragraph" w:styleId="24">
    <w:name w:val="annotation text"/>
    <w:basedOn w:val="1"/>
    <w:link w:val="96"/>
    <w:qFormat/>
    <w:uiPriority w:val="0"/>
    <w:pPr>
      <w:jc w:val="left"/>
    </w:pPr>
    <w:rPr>
      <w:kern w:val="0"/>
      <w:sz w:val="20"/>
    </w:rPr>
  </w:style>
  <w:style w:type="paragraph" w:styleId="25">
    <w:name w:val="Body Text 3"/>
    <w:basedOn w:val="1"/>
    <w:link w:val="78"/>
    <w:qFormat/>
    <w:uiPriority w:val="0"/>
    <w:pPr>
      <w:snapToGrid w:val="0"/>
      <w:spacing w:before="50" w:after="50"/>
    </w:pPr>
    <w:rPr>
      <w:rFonts w:hAnsi="宋体" w:eastAsia="仿宋_GB2312"/>
      <w:b/>
      <w:bCs/>
      <w:kern w:val="0"/>
      <w:szCs w:val="20"/>
    </w:rPr>
  </w:style>
  <w:style w:type="paragraph" w:styleId="26">
    <w:name w:val="List Number 3"/>
    <w:basedOn w:val="1"/>
    <w:qFormat/>
    <w:uiPriority w:val="0"/>
    <w:pPr>
      <w:numPr>
        <w:ilvl w:val="0"/>
        <w:numId w:val="2"/>
      </w:numPr>
      <w:tabs>
        <w:tab w:val="clear" w:pos="6780"/>
      </w:tabs>
      <w:ind w:left="420" w:hanging="420"/>
    </w:pPr>
  </w:style>
  <w:style w:type="paragraph" w:styleId="27">
    <w:name w:val="List 2"/>
    <w:basedOn w:val="1"/>
    <w:qFormat/>
    <w:uiPriority w:val="0"/>
    <w:pPr>
      <w:ind w:left="100" w:leftChars="200" w:hanging="200" w:hangingChars="200"/>
    </w:pPr>
    <w:rPr>
      <w:sz w:val="28"/>
    </w:rPr>
  </w:style>
  <w:style w:type="paragraph" w:styleId="28">
    <w:name w:val="Block Text"/>
    <w:basedOn w:val="1"/>
    <w:qFormat/>
    <w:uiPriority w:val="0"/>
    <w:pPr>
      <w:spacing w:before="120" w:line="360" w:lineRule="auto"/>
      <w:ind w:left="824" w:right="202"/>
    </w:pPr>
    <w:rPr>
      <w:rFonts w:ascii="宋体" w:hAnsi="Times New Roman" w:cs="Times New Roman"/>
      <w:szCs w:val="21"/>
    </w:rPr>
  </w:style>
  <w:style w:type="paragraph" w:styleId="29">
    <w:name w:val="index 4"/>
    <w:basedOn w:val="1"/>
    <w:next w:val="1"/>
    <w:qFormat/>
    <w:uiPriority w:val="0"/>
    <w:pPr>
      <w:ind w:left="600" w:leftChars="600"/>
    </w:pPr>
    <w:rPr>
      <w:rFonts w:hint="eastAsia" w:ascii="Verdana" w:hAnsi="Verdana" w:cs="Times New Roman"/>
      <w:kern w:val="0"/>
      <w:sz w:val="20"/>
      <w:szCs w:val="20"/>
    </w:rPr>
  </w:style>
  <w:style w:type="paragraph" w:styleId="30">
    <w:name w:val="toc 5"/>
    <w:basedOn w:val="1"/>
    <w:next w:val="1"/>
    <w:qFormat/>
    <w:uiPriority w:val="0"/>
    <w:pPr>
      <w:ind w:left="1680" w:leftChars="800"/>
    </w:pPr>
  </w:style>
  <w:style w:type="paragraph" w:styleId="31">
    <w:name w:val="toc 3"/>
    <w:basedOn w:val="1"/>
    <w:next w:val="1"/>
    <w:qFormat/>
    <w:uiPriority w:val="0"/>
    <w:pPr>
      <w:ind w:left="840" w:leftChars="400"/>
    </w:pPr>
  </w:style>
  <w:style w:type="paragraph" w:styleId="32">
    <w:name w:val="Plain Text"/>
    <w:basedOn w:val="1"/>
    <w:next w:val="1"/>
    <w:link w:val="103"/>
    <w:qFormat/>
    <w:uiPriority w:val="0"/>
    <w:pPr>
      <w:spacing w:beforeLines="50" w:afterLines="50" w:line="400" w:lineRule="exact"/>
    </w:pPr>
    <w:rPr>
      <w:rFonts w:ascii="宋体" w:hAnsi="Courier New"/>
      <w:kern w:val="0"/>
    </w:rPr>
  </w:style>
  <w:style w:type="paragraph" w:styleId="33">
    <w:name w:val="toc 8"/>
    <w:basedOn w:val="1"/>
    <w:next w:val="1"/>
    <w:qFormat/>
    <w:uiPriority w:val="0"/>
    <w:pPr>
      <w:ind w:left="2940" w:leftChars="1400"/>
    </w:pPr>
  </w:style>
  <w:style w:type="paragraph" w:styleId="34">
    <w:name w:val="Date"/>
    <w:basedOn w:val="1"/>
    <w:next w:val="1"/>
    <w:link w:val="92"/>
    <w:qFormat/>
    <w:uiPriority w:val="0"/>
    <w:pPr>
      <w:ind w:left="2500" w:leftChars="2500"/>
    </w:pPr>
    <w:rPr>
      <w:rFonts w:eastAsia="楷体_GB2312"/>
      <w:kern w:val="0"/>
      <w:sz w:val="32"/>
      <w:szCs w:val="20"/>
    </w:rPr>
  </w:style>
  <w:style w:type="paragraph" w:styleId="35">
    <w:name w:val="Body Text Indent 2"/>
    <w:basedOn w:val="1"/>
    <w:link w:val="79"/>
    <w:qFormat/>
    <w:uiPriority w:val="0"/>
    <w:pPr>
      <w:snapToGrid w:val="0"/>
      <w:ind w:firstLine="542" w:firstLineChars="225"/>
    </w:pPr>
    <w:rPr>
      <w:rFonts w:ascii="仿宋_GB2312" w:hAnsi="宋体"/>
      <w:b/>
      <w:bCs/>
      <w:color w:val="000000"/>
      <w:kern w:val="0"/>
    </w:rPr>
  </w:style>
  <w:style w:type="paragraph" w:styleId="36">
    <w:name w:val="Balloon Text"/>
    <w:basedOn w:val="1"/>
    <w:link w:val="122"/>
    <w:qFormat/>
    <w:uiPriority w:val="0"/>
    <w:rPr>
      <w:kern w:val="0"/>
      <w:sz w:val="18"/>
      <w:szCs w:val="18"/>
    </w:rPr>
  </w:style>
  <w:style w:type="paragraph" w:styleId="37">
    <w:name w:val="footer"/>
    <w:basedOn w:val="1"/>
    <w:link w:val="128"/>
    <w:qFormat/>
    <w:uiPriority w:val="0"/>
    <w:pPr>
      <w:tabs>
        <w:tab w:val="center" w:pos="4153"/>
        <w:tab w:val="right" w:pos="8306"/>
      </w:tabs>
      <w:snapToGrid w:val="0"/>
      <w:jc w:val="left"/>
    </w:pPr>
    <w:rPr>
      <w:kern w:val="0"/>
      <w:sz w:val="18"/>
      <w:szCs w:val="18"/>
    </w:rPr>
  </w:style>
  <w:style w:type="paragraph" w:styleId="38">
    <w:name w:val="header"/>
    <w:basedOn w:val="1"/>
    <w:link w:val="95"/>
    <w:qFormat/>
    <w:uiPriority w:val="0"/>
    <w:pPr>
      <w:pBdr>
        <w:bottom w:val="single" w:color="auto" w:sz="6" w:space="1"/>
      </w:pBdr>
      <w:tabs>
        <w:tab w:val="center" w:pos="4153"/>
        <w:tab w:val="right" w:pos="8306"/>
      </w:tabs>
      <w:snapToGrid w:val="0"/>
      <w:jc w:val="center"/>
    </w:pPr>
    <w:rPr>
      <w:kern w:val="0"/>
      <w:sz w:val="18"/>
      <w:szCs w:val="18"/>
    </w:rPr>
  </w:style>
  <w:style w:type="paragraph" w:styleId="39">
    <w:name w:val="toc 1"/>
    <w:basedOn w:val="1"/>
    <w:next w:val="1"/>
    <w:qFormat/>
    <w:uiPriority w:val="0"/>
  </w:style>
  <w:style w:type="paragraph" w:styleId="40">
    <w:name w:val="toc 4"/>
    <w:basedOn w:val="1"/>
    <w:next w:val="1"/>
    <w:qFormat/>
    <w:uiPriority w:val="0"/>
    <w:pPr>
      <w:ind w:left="1260" w:leftChars="600"/>
    </w:pPr>
  </w:style>
  <w:style w:type="paragraph" w:styleId="41">
    <w:name w:val="Subtitle"/>
    <w:basedOn w:val="1"/>
    <w:next w:val="1"/>
    <w:link w:val="80"/>
    <w:qFormat/>
    <w:uiPriority w:val="0"/>
    <w:pPr>
      <w:jc w:val="left"/>
    </w:pPr>
    <w:rPr>
      <w:rFonts w:ascii="Cambria" w:hAnsi="Cambria"/>
      <w:bCs/>
      <w:kern w:val="28"/>
      <w:sz w:val="18"/>
      <w:szCs w:val="32"/>
    </w:rPr>
  </w:style>
  <w:style w:type="paragraph" w:styleId="42">
    <w:name w:val="List"/>
    <w:basedOn w:val="1"/>
    <w:qFormat/>
    <w:uiPriority w:val="0"/>
    <w:pPr>
      <w:ind w:left="200" w:hanging="200" w:hangingChars="200"/>
    </w:pPr>
    <w:rPr>
      <w:sz w:val="28"/>
    </w:rPr>
  </w:style>
  <w:style w:type="paragraph" w:styleId="43">
    <w:name w:val="footnote text"/>
    <w:basedOn w:val="1"/>
    <w:link w:val="268"/>
    <w:qFormat/>
    <w:uiPriority w:val="99"/>
    <w:pPr>
      <w:snapToGrid w:val="0"/>
      <w:jc w:val="left"/>
    </w:pPr>
    <w:rPr>
      <w:sz w:val="18"/>
      <w:szCs w:val="18"/>
    </w:rPr>
  </w:style>
  <w:style w:type="paragraph" w:styleId="44">
    <w:name w:val="toc 6"/>
    <w:basedOn w:val="1"/>
    <w:next w:val="1"/>
    <w:qFormat/>
    <w:uiPriority w:val="0"/>
    <w:pPr>
      <w:ind w:left="2100" w:leftChars="1000"/>
    </w:pPr>
  </w:style>
  <w:style w:type="paragraph" w:styleId="45">
    <w:name w:val="Body Text Indent 3"/>
    <w:basedOn w:val="1"/>
    <w:link w:val="133"/>
    <w:qFormat/>
    <w:uiPriority w:val="0"/>
    <w:pPr>
      <w:snapToGrid w:val="0"/>
      <w:ind w:firstLine="480" w:firstLineChars="200"/>
      <w:jc w:val="left"/>
    </w:pPr>
    <w:rPr>
      <w:rFonts w:ascii="仿宋_GB2312" w:hAnsi="宋体" w:eastAsia="仿宋_GB2312"/>
      <w:color w:val="000000"/>
      <w:kern w:val="0"/>
    </w:rPr>
  </w:style>
  <w:style w:type="paragraph" w:styleId="46">
    <w:name w:val="toc 2"/>
    <w:basedOn w:val="1"/>
    <w:next w:val="1"/>
    <w:qFormat/>
    <w:uiPriority w:val="0"/>
    <w:pPr>
      <w:ind w:left="420" w:leftChars="200"/>
    </w:pPr>
  </w:style>
  <w:style w:type="paragraph" w:styleId="47">
    <w:name w:val="toc 9"/>
    <w:basedOn w:val="1"/>
    <w:next w:val="1"/>
    <w:qFormat/>
    <w:uiPriority w:val="0"/>
    <w:pPr>
      <w:ind w:left="3360" w:leftChars="1600"/>
    </w:pPr>
  </w:style>
  <w:style w:type="paragraph" w:styleId="48">
    <w:name w:val="Body Text 2"/>
    <w:basedOn w:val="1"/>
    <w:link w:val="134"/>
    <w:qFormat/>
    <w:uiPriority w:val="0"/>
    <w:pPr>
      <w:widowControl/>
      <w:snapToGrid w:val="0"/>
      <w:spacing w:before="50" w:afterLines="50" w:line="400" w:lineRule="exact"/>
      <w:jc w:val="left"/>
    </w:pPr>
    <w:rPr>
      <w:rFonts w:ascii="宋体" w:hAnsi="宋体"/>
      <w:color w:val="000000"/>
      <w:kern w:val="0"/>
    </w:rPr>
  </w:style>
  <w:style w:type="paragraph" w:styleId="49">
    <w:name w:val="List Continue 2"/>
    <w:basedOn w:val="1"/>
    <w:qFormat/>
    <w:uiPriority w:val="99"/>
    <w:pPr>
      <w:spacing w:after="120"/>
      <w:ind w:left="400" w:leftChars="400"/>
    </w:pPr>
    <w:rPr>
      <w:rFonts w:ascii="Times New Roman" w:hAnsi="Times New Roman" w:cs="Times New Roman"/>
      <w:sz w:val="21"/>
    </w:rPr>
  </w:style>
  <w:style w:type="paragraph" w:styleId="50">
    <w:name w:val="HTML Preformatted"/>
    <w:basedOn w:val="1"/>
    <w:link w:val="290"/>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Times New Roman" w:eastAsia="黑体" w:cs="Times New Roman"/>
      <w:kern w:val="0"/>
      <w:sz w:val="20"/>
      <w:szCs w:val="20"/>
    </w:rPr>
  </w:style>
  <w:style w:type="paragraph" w:styleId="51">
    <w:name w:val="Normal (Web)"/>
    <w:basedOn w:val="1"/>
    <w:qFormat/>
    <w:uiPriority w:val="99"/>
    <w:pPr>
      <w:widowControl/>
      <w:spacing w:before="100" w:beforeAutospacing="1" w:after="100" w:afterAutospacing="1"/>
      <w:jc w:val="left"/>
    </w:pPr>
    <w:rPr>
      <w:rFonts w:ascii="宋体" w:hAnsi="宋体"/>
      <w:kern w:val="0"/>
    </w:rPr>
  </w:style>
  <w:style w:type="paragraph" w:styleId="52">
    <w:name w:val="index 1"/>
    <w:basedOn w:val="1"/>
    <w:next w:val="1"/>
    <w:qFormat/>
    <w:uiPriority w:val="99"/>
    <w:pPr>
      <w:spacing w:line="320" w:lineRule="exact"/>
    </w:pPr>
    <w:rPr>
      <w:rFonts w:ascii="Times New Roman" w:hAnsi="Times New Roman" w:cs="Times New Roman"/>
      <w:b/>
      <w:snapToGrid w:val="0"/>
      <w:color w:val="FF6600"/>
      <w:kern w:val="0"/>
      <w:sz w:val="18"/>
      <w:szCs w:val="21"/>
    </w:rPr>
  </w:style>
  <w:style w:type="paragraph" w:styleId="53">
    <w:name w:val="Title"/>
    <w:basedOn w:val="1"/>
    <w:next w:val="1"/>
    <w:link w:val="89"/>
    <w:qFormat/>
    <w:uiPriority w:val="0"/>
    <w:pPr>
      <w:spacing w:before="240" w:after="60" w:line="360" w:lineRule="auto"/>
      <w:jc w:val="center"/>
      <w:outlineLvl w:val="0"/>
    </w:pPr>
    <w:rPr>
      <w:rFonts w:ascii="Cambria" w:hAnsi="Cambria"/>
      <w:b/>
      <w:bCs/>
      <w:kern w:val="0"/>
      <w:sz w:val="32"/>
      <w:szCs w:val="30"/>
    </w:rPr>
  </w:style>
  <w:style w:type="paragraph" w:styleId="54">
    <w:name w:val="annotation subject"/>
    <w:basedOn w:val="24"/>
    <w:next w:val="24"/>
    <w:link w:val="123"/>
    <w:qFormat/>
    <w:uiPriority w:val="0"/>
    <w:rPr>
      <w:b/>
      <w:bCs/>
    </w:rPr>
  </w:style>
  <w:style w:type="paragraph" w:styleId="55">
    <w:name w:val="Body Text First Indent 2"/>
    <w:basedOn w:val="9"/>
    <w:link w:val="336"/>
    <w:qFormat/>
    <w:uiPriority w:val="0"/>
    <w:pPr>
      <w:spacing w:after="120" w:line="240" w:lineRule="auto"/>
      <w:ind w:left="200" w:leftChars="200" w:firstLine="200" w:firstLineChars="200"/>
    </w:pPr>
    <w:rPr>
      <w:rFonts w:cs="Times New Roman"/>
      <w:kern w:val="2"/>
      <w:sz w:val="21"/>
      <w:szCs w:val="24"/>
    </w:rPr>
  </w:style>
  <w:style w:type="table" w:styleId="57">
    <w:name w:val="Table Grid"/>
    <w:basedOn w:val="56"/>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59">
    <w:name w:val="Strong"/>
    <w:qFormat/>
    <w:uiPriority w:val="0"/>
    <w:rPr>
      <w:b/>
      <w:bCs/>
    </w:rPr>
  </w:style>
  <w:style w:type="character" w:styleId="60">
    <w:name w:val="page number"/>
    <w:basedOn w:val="58"/>
    <w:qFormat/>
    <w:uiPriority w:val="0"/>
  </w:style>
  <w:style w:type="character" w:styleId="61">
    <w:name w:val="FollowedHyperlink"/>
    <w:qFormat/>
    <w:uiPriority w:val="99"/>
    <w:rPr>
      <w:color w:val="800080"/>
      <w:u w:val="single"/>
    </w:rPr>
  </w:style>
  <w:style w:type="character" w:styleId="62">
    <w:name w:val="Emphasis"/>
    <w:qFormat/>
    <w:uiPriority w:val="0"/>
    <w:rPr>
      <w:color w:val="CC0000"/>
    </w:rPr>
  </w:style>
  <w:style w:type="character" w:styleId="63">
    <w:name w:val="Hyperlink"/>
    <w:qFormat/>
    <w:uiPriority w:val="99"/>
    <w:rPr>
      <w:color w:val="0000FF"/>
      <w:u w:val="single"/>
    </w:rPr>
  </w:style>
  <w:style w:type="character" w:styleId="64">
    <w:name w:val="annotation reference"/>
    <w:qFormat/>
    <w:uiPriority w:val="0"/>
    <w:rPr>
      <w:sz w:val="21"/>
      <w:szCs w:val="21"/>
    </w:rPr>
  </w:style>
  <w:style w:type="character" w:styleId="65">
    <w:name w:val="footnote reference"/>
    <w:basedOn w:val="58"/>
    <w:qFormat/>
    <w:uiPriority w:val="99"/>
    <w:rPr>
      <w:vertAlign w:val="superscript"/>
    </w:rPr>
  </w:style>
  <w:style w:type="character" w:customStyle="1" w:styleId="66">
    <w:name w:val="标题 2 Char"/>
    <w:qFormat/>
    <w:uiPriority w:val="0"/>
    <w:rPr>
      <w:rFonts w:ascii="Arial" w:hAnsi="Arial" w:eastAsia="黑体"/>
      <w:b/>
      <w:bCs/>
      <w:kern w:val="2"/>
      <w:sz w:val="32"/>
      <w:szCs w:val="32"/>
    </w:rPr>
  </w:style>
  <w:style w:type="character" w:customStyle="1" w:styleId="67">
    <w:name w:val="标题 3 Char"/>
    <w:qFormat/>
    <w:uiPriority w:val="0"/>
    <w:rPr>
      <w:b/>
      <w:bCs/>
      <w:kern w:val="2"/>
      <w:sz w:val="32"/>
      <w:szCs w:val="32"/>
    </w:rPr>
  </w:style>
  <w:style w:type="character" w:customStyle="1" w:styleId="68">
    <w:name w:val="纯文本 Char2"/>
    <w:qFormat/>
    <w:uiPriority w:val="0"/>
    <w:rPr>
      <w:rFonts w:hint="eastAsia" w:ascii="宋体" w:hAnsi="Courier New" w:eastAsia="宋体" w:cs="Courier New"/>
      <w:kern w:val="2"/>
      <w:sz w:val="21"/>
      <w:szCs w:val="21"/>
    </w:rPr>
  </w:style>
  <w:style w:type="paragraph" w:customStyle="1" w:styleId="69">
    <w:name w:val="标准正文"/>
    <w:basedOn w:val="1"/>
    <w:qFormat/>
    <w:uiPriority w:val="0"/>
    <w:pPr>
      <w:spacing w:line="360" w:lineRule="auto"/>
      <w:ind w:firstLine="200" w:firstLineChars="200"/>
    </w:pPr>
    <w:rPr>
      <w:szCs w:val="20"/>
    </w:rPr>
  </w:style>
  <w:style w:type="character" w:customStyle="1" w:styleId="70">
    <w:name w:val="标题 4 字符"/>
    <w:link w:val="11"/>
    <w:qFormat/>
    <w:uiPriority w:val="0"/>
    <w:rPr>
      <w:rFonts w:ascii="Arial" w:hAnsi="Arial" w:eastAsia="黑体" w:cs="Times New Roman"/>
      <w:b/>
      <w:bCs/>
      <w:kern w:val="0"/>
      <w:sz w:val="28"/>
      <w:szCs w:val="28"/>
    </w:rPr>
  </w:style>
  <w:style w:type="character" w:customStyle="1" w:styleId="71">
    <w:name w:val="font81"/>
    <w:qFormat/>
    <w:uiPriority w:val="0"/>
    <w:rPr>
      <w:rFonts w:hint="default" w:ascii="Times New Roman" w:hAnsi="Times New Roman" w:cs="Times New Roman"/>
      <w:b/>
      <w:color w:val="000000"/>
      <w:sz w:val="24"/>
      <w:szCs w:val="24"/>
      <w:u w:val="none"/>
    </w:rPr>
  </w:style>
  <w:style w:type="character" w:customStyle="1" w:styleId="72">
    <w:name w:val="表正文 Char"/>
    <w:qFormat/>
    <w:uiPriority w:val="0"/>
    <w:rPr>
      <w:rFonts w:eastAsia="宋体"/>
      <w:kern w:val="2"/>
      <w:sz w:val="21"/>
      <w:lang w:val="en-US" w:eastAsia="zh-CN" w:bidi="ar-SA"/>
    </w:rPr>
  </w:style>
  <w:style w:type="character" w:customStyle="1" w:styleId="73">
    <w:name w:val="页脚 Char1"/>
    <w:qFormat/>
    <w:uiPriority w:val="0"/>
    <w:rPr>
      <w:kern w:val="2"/>
      <w:sz w:val="18"/>
      <w:szCs w:val="18"/>
    </w:rPr>
  </w:style>
  <w:style w:type="character" w:customStyle="1" w:styleId="74">
    <w:name w:val="huei12b1"/>
    <w:qFormat/>
    <w:uiPriority w:val="0"/>
    <w:rPr>
      <w:b/>
      <w:bCs/>
      <w:color w:val="333333"/>
      <w:sz w:val="20"/>
      <w:szCs w:val="20"/>
    </w:rPr>
  </w:style>
  <w:style w:type="character" w:customStyle="1" w:styleId="75">
    <w:name w:val="apple-converted-space"/>
    <w:basedOn w:val="58"/>
    <w:qFormat/>
    <w:uiPriority w:val="0"/>
  </w:style>
  <w:style w:type="character" w:customStyle="1" w:styleId="76">
    <w:name w:val="批注框文本 Char1"/>
    <w:qFormat/>
    <w:uiPriority w:val="0"/>
    <w:rPr>
      <w:kern w:val="2"/>
      <w:sz w:val="18"/>
      <w:szCs w:val="18"/>
    </w:rPr>
  </w:style>
  <w:style w:type="character" w:customStyle="1" w:styleId="77">
    <w:name w:val="文档结构图 字符"/>
    <w:link w:val="22"/>
    <w:qFormat/>
    <w:uiPriority w:val="0"/>
    <w:rPr>
      <w:rFonts w:ascii="宋体" w:hAnsi="Times New Roman" w:eastAsia="楷体_GB2312" w:cs="Times New Roman"/>
      <w:kern w:val="0"/>
      <w:sz w:val="18"/>
      <w:szCs w:val="18"/>
    </w:rPr>
  </w:style>
  <w:style w:type="character" w:customStyle="1" w:styleId="78">
    <w:name w:val="正文文本 3 字符"/>
    <w:link w:val="25"/>
    <w:qFormat/>
    <w:uiPriority w:val="0"/>
    <w:rPr>
      <w:rFonts w:ascii="Times New Roman" w:hAnsi="宋体" w:eastAsia="仿宋_GB2312" w:cs="Times New Roman"/>
      <w:b/>
      <w:bCs/>
      <w:kern w:val="0"/>
      <w:sz w:val="24"/>
      <w:szCs w:val="20"/>
    </w:rPr>
  </w:style>
  <w:style w:type="character" w:customStyle="1" w:styleId="79">
    <w:name w:val="正文文本缩进 2 字符"/>
    <w:link w:val="35"/>
    <w:qFormat/>
    <w:uiPriority w:val="0"/>
    <w:rPr>
      <w:rFonts w:ascii="仿宋_GB2312" w:hAnsi="宋体" w:eastAsia="宋体" w:cs="Times New Roman"/>
      <w:b/>
      <w:bCs/>
      <w:color w:val="000000"/>
      <w:kern w:val="0"/>
      <w:sz w:val="24"/>
      <w:szCs w:val="24"/>
    </w:rPr>
  </w:style>
  <w:style w:type="character" w:customStyle="1" w:styleId="80">
    <w:name w:val="副标题 字符"/>
    <w:link w:val="41"/>
    <w:qFormat/>
    <w:uiPriority w:val="0"/>
    <w:rPr>
      <w:rFonts w:ascii="Cambria" w:hAnsi="Cambria" w:eastAsia="宋体" w:cs="Times New Roman"/>
      <w:bCs/>
      <w:kern w:val="28"/>
      <w:sz w:val="18"/>
      <w:szCs w:val="32"/>
    </w:rPr>
  </w:style>
  <w:style w:type="character" w:customStyle="1" w:styleId="81">
    <w:name w:val="正文2 Char Char"/>
    <w:qFormat/>
    <w:uiPriority w:val="0"/>
    <w:rPr>
      <w:rFonts w:hint="default" w:ascii="Times New Roman" w:hAnsi="Times New Roman" w:cs="Times New Roman"/>
      <w:kern w:val="2"/>
      <w:sz w:val="24"/>
    </w:rPr>
  </w:style>
  <w:style w:type="character" w:customStyle="1" w:styleId="82">
    <w:name w:val="c lh15"/>
    <w:qFormat/>
    <w:uiPriority w:val="0"/>
    <w:rPr>
      <w:sz w:val="28"/>
      <w:szCs w:val="20"/>
    </w:rPr>
  </w:style>
  <w:style w:type="character" w:customStyle="1" w:styleId="83">
    <w:name w:val="font21"/>
    <w:qFormat/>
    <w:uiPriority w:val="0"/>
    <w:rPr>
      <w:rFonts w:ascii="Arial" w:hAnsi="Arial" w:cs="Arial"/>
      <w:color w:val="333333"/>
      <w:sz w:val="18"/>
      <w:szCs w:val="18"/>
      <w:u w:val="none"/>
    </w:rPr>
  </w:style>
  <w:style w:type="character" w:customStyle="1" w:styleId="84">
    <w:name w:val="font91"/>
    <w:qFormat/>
    <w:uiPriority w:val="0"/>
    <w:rPr>
      <w:rFonts w:hint="eastAsia" w:ascii="宋体" w:hAnsi="宋体" w:eastAsia="宋体" w:cs="宋体"/>
      <w:b/>
      <w:color w:val="000000"/>
      <w:sz w:val="24"/>
      <w:szCs w:val="24"/>
      <w:u w:val="none"/>
    </w:rPr>
  </w:style>
  <w:style w:type="character" w:customStyle="1" w:styleId="85">
    <w:name w:val="正文文本缩进 2 Char1"/>
    <w:qFormat/>
    <w:uiPriority w:val="0"/>
    <w:rPr>
      <w:kern w:val="2"/>
      <w:sz w:val="21"/>
      <w:szCs w:val="24"/>
    </w:rPr>
  </w:style>
  <w:style w:type="character" w:customStyle="1" w:styleId="86">
    <w:name w:val="页眉 Char1"/>
    <w:qFormat/>
    <w:uiPriority w:val="0"/>
    <w:rPr>
      <w:kern w:val="2"/>
      <w:sz w:val="18"/>
      <w:szCs w:val="18"/>
    </w:rPr>
  </w:style>
  <w:style w:type="character" w:customStyle="1" w:styleId="87">
    <w:name w:val="副标题 Char1"/>
    <w:qFormat/>
    <w:uiPriority w:val="0"/>
    <w:rPr>
      <w:rFonts w:hint="default" w:ascii="Cambria" w:hAnsi="Cambria" w:cs="Times New Roman"/>
      <w:b/>
      <w:bCs/>
      <w:kern w:val="28"/>
      <w:sz w:val="32"/>
      <w:szCs w:val="32"/>
    </w:rPr>
  </w:style>
  <w:style w:type="character" w:customStyle="1" w:styleId="88">
    <w:name w:val="标题 2 字符"/>
    <w:link w:val="7"/>
    <w:qFormat/>
    <w:uiPriority w:val="0"/>
    <w:rPr>
      <w:rFonts w:ascii="Arial" w:hAnsi="Arial" w:eastAsia="黑体"/>
      <w:b/>
      <w:bCs/>
      <w:sz w:val="30"/>
      <w:szCs w:val="32"/>
    </w:rPr>
  </w:style>
  <w:style w:type="character" w:customStyle="1" w:styleId="89">
    <w:name w:val="标题 字符"/>
    <w:link w:val="53"/>
    <w:qFormat/>
    <w:uiPriority w:val="0"/>
    <w:rPr>
      <w:rFonts w:ascii="Cambria" w:hAnsi="Cambria" w:eastAsia="宋体" w:cs="Times New Roman"/>
      <w:b/>
      <w:bCs/>
      <w:kern w:val="0"/>
      <w:sz w:val="32"/>
      <w:szCs w:val="30"/>
    </w:rPr>
  </w:style>
  <w:style w:type="character" w:customStyle="1" w:styleId="90">
    <w:name w:val="正文文本 2 Char1"/>
    <w:qFormat/>
    <w:uiPriority w:val="0"/>
    <w:rPr>
      <w:kern w:val="2"/>
      <w:sz w:val="21"/>
      <w:szCs w:val="24"/>
    </w:rPr>
  </w:style>
  <w:style w:type="character" w:customStyle="1" w:styleId="91">
    <w:name w:val="纯文本 Char"/>
    <w:qFormat/>
    <w:uiPriority w:val="0"/>
    <w:rPr>
      <w:rFonts w:ascii="宋体" w:hAnsi="Courier New" w:eastAsia="宋体" w:cs="Courier New"/>
      <w:szCs w:val="21"/>
    </w:rPr>
  </w:style>
  <w:style w:type="character" w:customStyle="1" w:styleId="92">
    <w:name w:val="日期 字符"/>
    <w:link w:val="34"/>
    <w:qFormat/>
    <w:uiPriority w:val="0"/>
    <w:rPr>
      <w:rFonts w:ascii="Times New Roman" w:hAnsi="Times New Roman" w:eastAsia="楷体_GB2312" w:cs="Times New Roman"/>
      <w:kern w:val="0"/>
      <w:sz w:val="32"/>
      <w:szCs w:val="20"/>
    </w:rPr>
  </w:style>
  <w:style w:type="character" w:customStyle="1" w:styleId="93">
    <w:name w:val="标题 5 字符"/>
    <w:link w:val="12"/>
    <w:qFormat/>
    <w:uiPriority w:val="0"/>
    <w:rPr>
      <w:rFonts w:ascii="楷体_GB2312" w:hAnsi="Times New Roman" w:eastAsia="楷体_GB2312" w:cs="Times New Roman"/>
      <w:b/>
      <w:bCs/>
      <w:kern w:val="0"/>
      <w:sz w:val="24"/>
      <w:szCs w:val="28"/>
    </w:rPr>
  </w:style>
  <w:style w:type="character" w:customStyle="1" w:styleId="94">
    <w:name w:val="font71"/>
    <w:qFormat/>
    <w:uiPriority w:val="0"/>
    <w:rPr>
      <w:rFonts w:hint="eastAsia" w:ascii="宋体" w:hAnsi="宋体" w:eastAsia="宋体" w:cs="宋体"/>
      <w:color w:val="000000"/>
      <w:sz w:val="24"/>
      <w:szCs w:val="24"/>
      <w:u w:val="none"/>
    </w:rPr>
  </w:style>
  <w:style w:type="character" w:customStyle="1" w:styleId="95">
    <w:name w:val="页眉 字符"/>
    <w:link w:val="38"/>
    <w:qFormat/>
    <w:uiPriority w:val="0"/>
    <w:rPr>
      <w:sz w:val="18"/>
      <w:szCs w:val="18"/>
    </w:rPr>
  </w:style>
  <w:style w:type="character" w:customStyle="1" w:styleId="96">
    <w:name w:val="批注文字 字符"/>
    <w:link w:val="24"/>
    <w:qFormat/>
    <w:uiPriority w:val="0"/>
    <w:rPr>
      <w:rFonts w:ascii="Times New Roman" w:hAnsi="Times New Roman" w:eastAsia="宋体" w:cs="Times New Roman"/>
      <w:kern w:val="0"/>
      <w:sz w:val="20"/>
      <w:szCs w:val="24"/>
    </w:rPr>
  </w:style>
  <w:style w:type="character" w:customStyle="1" w:styleId="97">
    <w:name w:val="style8"/>
    <w:qFormat/>
    <w:uiPriority w:val="0"/>
    <w:rPr>
      <w:sz w:val="28"/>
      <w:szCs w:val="20"/>
    </w:rPr>
  </w:style>
  <w:style w:type="character" w:customStyle="1" w:styleId="98">
    <w:name w:val="论文正文样式 Char Char"/>
    <w:link w:val="99"/>
    <w:qFormat/>
    <w:uiPriority w:val="0"/>
    <w:rPr>
      <w:szCs w:val="21"/>
    </w:rPr>
  </w:style>
  <w:style w:type="paragraph" w:customStyle="1" w:styleId="99">
    <w:name w:val="论文正文样式"/>
    <w:basedOn w:val="1"/>
    <w:link w:val="98"/>
    <w:qFormat/>
    <w:uiPriority w:val="0"/>
    <w:pPr>
      <w:spacing w:line="360" w:lineRule="auto"/>
    </w:pPr>
    <w:rPr>
      <w:kern w:val="0"/>
      <w:sz w:val="20"/>
      <w:szCs w:val="21"/>
    </w:rPr>
  </w:style>
  <w:style w:type="character" w:customStyle="1" w:styleId="100">
    <w:name w:val="论文正文样式 Char"/>
    <w:qFormat/>
    <w:uiPriority w:val="0"/>
    <w:rPr>
      <w:rFonts w:hint="default" w:ascii="Times New Roman" w:hAnsi="Times New Roman" w:cs="Times New Roman"/>
      <w:kern w:val="2"/>
      <w:sz w:val="21"/>
      <w:szCs w:val="21"/>
    </w:rPr>
  </w:style>
  <w:style w:type="character" w:customStyle="1" w:styleId="101">
    <w:name w:val="书籍标题1"/>
    <w:qFormat/>
    <w:uiPriority w:val="0"/>
    <w:rPr>
      <w:rFonts w:eastAsia="Songti SC Regular"/>
      <w:bCs/>
      <w:smallCaps/>
      <w:spacing w:val="5"/>
      <w:sz w:val="32"/>
    </w:rPr>
  </w:style>
  <w:style w:type="character" w:customStyle="1" w:styleId="102">
    <w:name w:val="批注文字 Char1"/>
    <w:qFormat/>
    <w:uiPriority w:val="0"/>
    <w:rPr>
      <w:kern w:val="2"/>
      <w:sz w:val="21"/>
      <w:szCs w:val="24"/>
    </w:rPr>
  </w:style>
  <w:style w:type="character" w:customStyle="1" w:styleId="103">
    <w:name w:val="纯文本 字符"/>
    <w:link w:val="32"/>
    <w:qFormat/>
    <w:uiPriority w:val="0"/>
    <w:rPr>
      <w:rFonts w:ascii="宋体" w:hAnsi="Courier New" w:eastAsia="宋体"/>
      <w:sz w:val="24"/>
      <w:szCs w:val="24"/>
    </w:rPr>
  </w:style>
  <w:style w:type="character" w:customStyle="1" w:styleId="104">
    <w:name w:val="无间隔 Char"/>
    <w:link w:val="105"/>
    <w:qFormat/>
    <w:uiPriority w:val="0"/>
    <w:rPr>
      <w:rFonts w:ascii="楷体_GB2312" w:eastAsia="楷体_GB2312"/>
      <w:kern w:val="2"/>
      <w:sz w:val="24"/>
      <w:szCs w:val="22"/>
      <w:lang w:val="en-US" w:eastAsia="zh-CN" w:bidi="ar-SA"/>
    </w:rPr>
  </w:style>
  <w:style w:type="paragraph" w:customStyle="1" w:styleId="105">
    <w:name w:val="无间隔1"/>
    <w:link w:val="104"/>
    <w:qFormat/>
    <w:uiPriority w:val="0"/>
    <w:pPr>
      <w:widowControl w:val="0"/>
      <w:jc w:val="both"/>
    </w:pPr>
    <w:rPr>
      <w:rFonts w:ascii="楷体_GB2312" w:hAnsi="Calibri" w:eastAsia="楷体_GB2312" w:cs="宋体"/>
      <w:kern w:val="2"/>
      <w:sz w:val="24"/>
      <w:szCs w:val="22"/>
      <w:lang w:val="en-US" w:eastAsia="zh-CN" w:bidi="ar-SA"/>
    </w:rPr>
  </w:style>
  <w:style w:type="character" w:customStyle="1" w:styleId="106">
    <w:name w:val="标题 1 Char Char"/>
    <w:qFormat/>
    <w:uiPriority w:val="0"/>
    <w:rPr>
      <w:rFonts w:eastAsia="宋体"/>
      <w:b/>
      <w:spacing w:val="-2"/>
      <w:sz w:val="24"/>
      <w:lang w:val="en-US" w:eastAsia="zh-CN" w:bidi="ar-SA"/>
    </w:rPr>
  </w:style>
  <w:style w:type="character" w:customStyle="1" w:styleId="107">
    <w:name w:val="正文文本缩进 字符"/>
    <w:link w:val="9"/>
    <w:qFormat/>
    <w:uiPriority w:val="0"/>
    <w:rPr>
      <w:rFonts w:ascii="宋体" w:hAnsi="Courier New" w:eastAsia="宋体" w:cs="Times New Roman"/>
      <w:spacing w:val="-4"/>
      <w:kern w:val="0"/>
      <w:sz w:val="18"/>
      <w:szCs w:val="20"/>
    </w:rPr>
  </w:style>
  <w:style w:type="character" w:customStyle="1" w:styleId="108">
    <w:name w:val="font61"/>
    <w:qFormat/>
    <w:uiPriority w:val="0"/>
    <w:rPr>
      <w:rFonts w:hint="default" w:ascii="Times New Roman" w:hAnsi="Times New Roman" w:cs="Times New Roman"/>
      <w:color w:val="000000"/>
      <w:sz w:val="24"/>
      <w:szCs w:val="24"/>
      <w:u w:val="none"/>
    </w:rPr>
  </w:style>
  <w:style w:type="character" w:customStyle="1" w:styleId="109">
    <w:name w:val="段落行文 Char"/>
    <w:link w:val="110"/>
    <w:qFormat/>
    <w:uiPriority w:val="0"/>
    <w:rPr>
      <w:rFonts w:ascii="仿宋_GB2312" w:eastAsia="仿宋_GB2312"/>
      <w:sz w:val="24"/>
      <w:szCs w:val="24"/>
    </w:rPr>
  </w:style>
  <w:style w:type="paragraph" w:customStyle="1" w:styleId="110">
    <w:name w:val="段落行文"/>
    <w:basedOn w:val="1"/>
    <w:link w:val="109"/>
    <w:qFormat/>
    <w:uiPriority w:val="0"/>
    <w:pPr>
      <w:adjustRightInd w:val="0"/>
      <w:snapToGrid w:val="0"/>
      <w:spacing w:line="480" w:lineRule="auto"/>
      <w:ind w:firstLine="480" w:firstLineChars="200"/>
    </w:pPr>
    <w:rPr>
      <w:rFonts w:ascii="仿宋_GB2312" w:eastAsia="仿宋_GB2312"/>
      <w:kern w:val="0"/>
    </w:rPr>
  </w:style>
  <w:style w:type="character" w:customStyle="1" w:styleId="111">
    <w:name w:val="列出段落 字符"/>
    <w:link w:val="112"/>
    <w:qFormat/>
    <w:uiPriority w:val="0"/>
    <w:rPr>
      <w:kern w:val="2"/>
      <w:sz w:val="24"/>
      <w:szCs w:val="22"/>
    </w:rPr>
  </w:style>
  <w:style w:type="paragraph" w:customStyle="1" w:styleId="112">
    <w:name w:val="列出段落1"/>
    <w:basedOn w:val="1"/>
    <w:link w:val="111"/>
    <w:qFormat/>
    <w:uiPriority w:val="0"/>
    <w:pPr>
      <w:spacing w:line="360" w:lineRule="auto"/>
      <w:ind w:firstLine="420" w:firstLineChars="200"/>
    </w:pPr>
    <w:rPr>
      <w:szCs w:val="22"/>
    </w:rPr>
  </w:style>
  <w:style w:type="character" w:customStyle="1" w:styleId="113">
    <w:name w:val="正文文本 Char1"/>
    <w:qFormat/>
    <w:uiPriority w:val="0"/>
    <w:rPr>
      <w:kern w:val="2"/>
      <w:sz w:val="21"/>
      <w:szCs w:val="24"/>
    </w:rPr>
  </w:style>
  <w:style w:type="character" w:customStyle="1" w:styleId="114">
    <w:name w:val="纯文本 Char Char Char2"/>
    <w:qFormat/>
    <w:uiPriority w:val="0"/>
    <w:rPr>
      <w:rFonts w:ascii="宋体" w:hAnsi="Courier New" w:eastAsia="宋体"/>
      <w:kern w:val="2"/>
      <w:sz w:val="21"/>
      <w:szCs w:val="20"/>
      <w:lang w:val="en-US" w:eastAsia="zh-CN" w:bidi="ar-SA"/>
    </w:rPr>
  </w:style>
  <w:style w:type="character" w:customStyle="1" w:styleId="115">
    <w:name w:val="gheadertext1"/>
    <w:qFormat/>
    <w:uiPriority w:val="0"/>
    <w:rPr>
      <w:rFonts w:hint="default" w:ascii="Arial" w:hAnsi="Arial" w:cs="Arial"/>
      <w:b/>
      <w:bCs/>
      <w:color w:val="005E00"/>
      <w:sz w:val="26"/>
      <w:szCs w:val="26"/>
    </w:rPr>
  </w:style>
  <w:style w:type="character" w:customStyle="1" w:styleId="116">
    <w:name w:val="标题 1 字符"/>
    <w:link w:val="6"/>
    <w:qFormat/>
    <w:uiPriority w:val="0"/>
    <w:rPr>
      <w:rFonts w:ascii="楷体_GB2312" w:hAnsi="Times New Roman" w:eastAsia="楷体_GB2312" w:cs="Times New Roman"/>
      <w:b/>
      <w:bCs/>
      <w:kern w:val="44"/>
      <w:sz w:val="44"/>
      <w:szCs w:val="44"/>
    </w:rPr>
  </w:style>
  <w:style w:type="character" w:customStyle="1" w:styleId="117">
    <w:name w:val="正文2 Char"/>
    <w:link w:val="118"/>
    <w:qFormat/>
    <w:uiPriority w:val="0"/>
    <w:rPr>
      <w:sz w:val="24"/>
    </w:rPr>
  </w:style>
  <w:style w:type="paragraph" w:customStyle="1" w:styleId="118">
    <w:name w:val="正文2"/>
    <w:basedOn w:val="1"/>
    <w:link w:val="117"/>
    <w:qFormat/>
    <w:uiPriority w:val="0"/>
    <w:pPr>
      <w:spacing w:before="156" w:line="360" w:lineRule="auto"/>
      <w:ind w:firstLine="510" w:firstLineChars="200"/>
    </w:pPr>
    <w:rPr>
      <w:kern w:val="0"/>
      <w:szCs w:val="20"/>
    </w:rPr>
  </w:style>
  <w:style w:type="character" w:customStyle="1" w:styleId="119">
    <w:name w:val="font51"/>
    <w:qFormat/>
    <w:uiPriority w:val="0"/>
    <w:rPr>
      <w:rFonts w:ascii="Arial" w:hAnsi="Arial" w:cs="Arial"/>
      <w:color w:val="333333"/>
      <w:sz w:val="18"/>
      <w:szCs w:val="18"/>
      <w:u w:val="none"/>
    </w:rPr>
  </w:style>
  <w:style w:type="character" w:customStyle="1" w:styleId="120">
    <w:name w:val="正文缩进 字符"/>
    <w:link w:val="8"/>
    <w:qFormat/>
    <w:uiPriority w:val="0"/>
  </w:style>
  <w:style w:type="character" w:customStyle="1" w:styleId="121">
    <w:name w:val="日期 Char1"/>
    <w:qFormat/>
    <w:uiPriority w:val="0"/>
    <w:rPr>
      <w:kern w:val="2"/>
      <w:sz w:val="21"/>
      <w:szCs w:val="24"/>
    </w:rPr>
  </w:style>
  <w:style w:type="character" w:customStyle="1" w:styleId="122">
    <w:name w:val="批注框文本 字符"/>
    <w:link w:val="36"/>
    <w:qFormat/>
    <w:uiPriority w:val="0"/>
    <w:rPr>
      <w:rFonts w:ascii="Times New Roman" w:hAnsi="Times New Roman" w:eastAsia="宋体" w:cs="Times New Roman"/>
      <w:kern w:val="0"/>
      <w:sz w:val="18"/>
      <w:szCs w:val="18"/>
    </w:rPr>
  </w:style>
  <w:style w:type="character" w:customStyle="1" w:styleId="123">
    <w:name w:val="批注主题 字符"/>
    <w:link w:val="54"/>
    <w:qFormat/>
    <w:uiPriority w:val="0"/>
    <w:rPr>
      <w:rFonts w:ascii="Times New Roman" w:hAnsi="Times New Roman" w:eastAsia="宋体" w:cs="Times New Roman"/>
      <w:b/>
      <w:bCs/>
      <w:kern w:val="0"/>
      <w:sz w:val="20"/>
      <w:szCs w:val="24"/>
    </w:rPr>
  </w:style>
  <w:style w:type="character" w:customStyle="1" w:styleId="124">
    <w:name w:val="正文文本缩进 3 Char1"/>
    <w:qFormat/>
    <w:uiPriority w:val="0"/>
    <w:rPr>
      <w:kern w:val="2"/>
      <w:sz w:val="16"/>
      <w:szCs w:val="16"/>
    </w:rPr>
  </w:style>
  <w:style w:type="character" w:customStyle="1" w:styleId="125">
    <w:name w:val="lineb1"/>
    <w:qFormat/>
    <w:uiPriority w:val="0"/>
  </w:style>
  <w:style w:type="character" w:customStyle="1" w:styleId="126">
    <w:name w:val="标题 Char1"/>
    <w:qFormat/>
    <w:uiPriority w:val="0"/>
    <w:rPr>
      <w:rFonts w:hint="default" w:ascii="Cambria" w:hAnsi="Cambria" w:cs="Times New Roman"/>
      <w:b/>
      <w:bCs/>
      <w:kern w:val="2"/>
      <w:sz w:val="32"/>
      <w:szCs w:val="32"/>
    </w:rPr>
  </w:style>
  <w:style w:type="character" w:customStyle="1" w:styleId="127">
    <w:name w:val="apple-style-span"/>
    <w:qFormat/>
    <w:uiPriority w:val="0"/>
  </w:style>
  <w:style w:type="character" w:customStyle="1" w:styleId="128">
    <w:name w:val="页脚 字符"/>
    <w:link w:val="37"/>
    <w:qFormat/>
    <w:uiPriority w:val="0"/>
    <w:rPr>
      <w:sz w:val="18"/>
      <w:szCs w:val="18"/>
    </w:rPr>
  </w:style>
  <w:style w:type="character" w:customStyle="1" w:styleId="129">
    <w:name w:val="para1"/>
    <w:qFormat/>
    <w:uiPriority w:val="0"/>
    <w:rPr>
      <w:rFonts w:hint="default" w:ascii="Arial" w:hAnsi="Arial" w:cs="Arial"/>
      <w:sz w:val="18"/>
      <w:szCs w:val="18"/>
    </w:rPr>
  </w:style>
  <w:style w:type="character" w:customStyle="1" w:styleId="130">
    <w:name w:val="正文文本 Char Char"/>
    <w:qFormat/>
    <w:uiPriority w:val="0"/>
    <w:rPr>
      <w:kern w:val="2"/>
      <w:sz w:val="28"/>
      <w:szCs w:val="24"/>
    </w:rPr>
  </w:style>
  <w:style w:type="character" w:customStyle="1" w:styleId="131">
    <w:name w:val="标题 3 字符"/>
    <w:link w:val="10"/>
    <w:qFormat/>
    <w:uiPriority w:val="0"/>
    <w:rPr>
      <w:rFonts w:ascii="Times New Roman" w:hAnsi="Times New Roman" w:eastAsia="宋体" w:cs="Times New Roman"/>
      <w:b/>
      <w:bCs/>
      <w:kern w:val="0"/>
      <w:sz w:val="32"/>
      <w:szCs w:val="32"/>
    </w:rPr>
  </w:style>
  <w:style w:type="character" w:customStyle="1" w:styleId="132">
    <w:name w:val="style1"/>
    <w:qFormat/>
    <w:uiPriority w:val="0"/>
    <w:rPr>
      <w:sz w:val="28"/>
      <w:szCs w:val="20"/>
    </w:rPr>
  </w:style>
  <w:style w:type="character" w:customStyle="1" w:styleId="133">
    <w:name w:val="正文文本缩进 3 字符"/>
    <w:link w:val="45"/>
    <w:qFormat/>
    <w:uiPriority w:val="0"/>
    <w:rPr>
      <w:rFonts w:ascii="仿宋_GB2312" w:hAnsi="宋体" w:eastAsia="仿宋_GB2312" w:cs="Times New Roman"/>
      <w:color w:val="000000"/>
      <w:kern w:val="0"/>
      <w:sz w:val="24"/>
      <w:szCs w:val="24"/>
    </w:rPr>
  </w:style>
  <w:style w:type="character" w:customStyle="1" w:styleId="134">
    <w:name w:val="正文文本 2 字符"/>
    <w:link w:val="48"/>
    <w:qFormat/>
    <w:uiPriority w:val="0"/>
    <w:rPr>
      <w:rFonts w:ascii="宋体" w:hAnsi="宋体" w:eastAsia="宋体" w:cs="Times New Roman"/>
      <w:color w:val="000000"/>
      <w:kern w:val="0"/>
      <w:sz w:val="24"/>
      <w:szCs w:val="24"/>
    </w:rPr>
  </w:style>
  <w:style w:type="character" w:customStyle="1" w:styleId="135">
    <w:name w:val="正文文本 字符"/>
    <w:link w:val="4"/>
    <w:qFormat/>
    <w:uiPriority w:val="0"/>
    <w:rPr>
      <w:rFonts w:ascii="Times New Roman" w:hAnsi="Times New Roman" w:eastAsia="宋体" w:cs="Times New Roman"/>
      <w:kern w:val="0"/>
      <w:sz w:val="28"/>
      <w:szCs w:val="24"/>
    </w:rPr>
  </w:style>
  <w:style w:type="character" w:customStyle="1" w:styleId="136">
    <w:name w:val="文档结构图 Char1"/>
    <w:qFormat/>
    <w:uiPriority w:val="0"/>
    <w:rPr>
      <w:rFonts w:hint="eastAsia" w:ascii="宋体" w:hAnsi="宋体" w:eastAsia="宋体"/>
      <w:kern w:val="2"/>
      <w:sz w:val="18"/>
      <w:szCs w:val="18"/>
    </w:rPr>
  </w:style>
  <w:style w:type="character" w:customStyle="1" w:styleId="137">
    <w:name w:val="font41"/>
    <w:qFormat/>
    <w:uiPriority w:val="0"/>
    <w:rPr>
      <w:rFonts w:ascii="Arial" w:hAnsi="Arial" w:cs="Arial"/>
      <w:color w:val="333333"/>
      <w:sz w:val="18"/>
      <w:szCs w:val="18"/>
      <w:u w:val="none"/>
    </w:rPr>
  </w:style>
  <w:style w:type="character" w:customStyle="1" w:styleId="138">
    <w:name w:val="正文文本 3 Char1"/>
    <w:qFormat/>
    <w:uiPriority w:val="0"/>
    <w:rPr>
      <w:kern w:val="2"/>
      <w:sz w:val="16"/>
      <w:szCs w:val="16"/>
    </w:rPr>
  </w:style>
  <w:style w:type="character" w:customStyle="1" w:styleId="139">
    <w:name w:val="批注主题 Char1"/>
    <w:qFormat/>
    <w:uiPriority w:val="0"/>
    <w:rPr>
      <w:b/>
      <w:bCs/>
      <w:kern w:val="2"/>
      <w:sz w:val="21"/>
      <w:szCs w:val="24"/>
    </w:rPr>
  </w:style>
  <w:style w:type="character" w:customStyle="1" w:styleId="140">
    <w:name w:val="正文文本缩进 Char1"/>
    <w:qFormat/>
    <w:uiPriority w:val="0"/>
    <w:rPr>
      <w:kern w:val="2"/>
      <w:sz w:val="21"/>
      <w:szCs w:val="24"/>
    </w:rPr>
  </w:style>
  <w:style w:type="character" w:customStyle="1" w:styleId="141">
    <w:name w:val="font01"/>
    <w:qFormat/>
    <w:uiPriority w:val="0"/>
    <w:rPr>
      <w:rFonts w:ascii="Wingdings 2" w:hAnsi="Wingdings 2" w:eastAsia="Wingdings 2" w:cs="Wingdings 2"/>
      <w:color w:val="333333"/>
      <w:sz w:val="18"/>
      <w:szCs w:val="18"/>
      <w:u w:val="none"/>
    </w:rPr>
  </w:style>
  <w:style w:type="paragraph" w:customStyle="1" w:styleId="142">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000000"/>
      <w:kern w:val="0"/>
      <w:sz w:val="20"/>
      <w:szCs w:val="20"/>
    </w:rPr>
  </w:style>
  <w:style w:type="paragraph" w:customStyle="1" w:styleId="143">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0000FF"/>
      <w:kern w:val="0"/>
      <w:sz w:val="18"/>
      <w:szCs w:val="18"/>
    </w:rPr>
  </w:style>
  <w:style w:type="paragraph" w:customStyle="1" w:styleId="144">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FF"/>
      <w:kern w:val="0"/>
      <w:sz w:val="20"/>
      <w:szCs w:val="20"/>
    </w:rPr>
  </w:style>
  <w:style w:type="paragraph" w:customStyle="1" w:styleId="145">
    <w:name w:val="xl10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FF0000"/>
      <w:kern w:val="0"/>
      <w:sz w:val="20"/>
      <w:szCs w:val="20"/>
    </w:rPr>
  </w:style>
  <w:style w:type="paragraph" w:customStyle="1" w:styleId="146">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147">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olor w:val="0000FF"/>
      <w:kern w:val="0"/>
      <w:sz w:val="18"/>
      <w:szCs w:val="18"/>
    </w:rPr>
  </w:style>
  <w:style w:type="paragraph" w:customStyle="1" w:styleId="148">
    <w:name w:val="xl1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szCs w:val="20"/>
    </w:rPr>
  </w:style>
  <w:style w:type="paragraph" w:customStyle="1" w:styleId="149">
    <w:name w:val="样式 首行缩进:  2 字符 段后: 0.5 行"/>
    <w:basedOn w:val="1"/>
    <w:qFormat/>
    <w:uiPriority w:val="0"/>
    <w:pPr>
      <w:spacing w:line="360" w:lineRule="auto"/>
      <w:ind w:firstLine="480" w:firstLineChars="200"/>
    </w:pPr>
    <w:rPr>
      <w:rFonts w:ascii="宋体" w:hAnsi="宋体"/>
    </w:rPr>
  </w:style>
  <w:style w:type="paragraph" w:customStyle="1" w:styleId="150">
    <w:name w:val="Default"/>
    <w:qFormat/>
    <w:uiPriority w:val="99"/>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151">
    <w:name w:val="xl11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kern w:val="0"/>
      <w:sz w:val="20"/>
      <w:szCs w:val="20"/>
    </w:rPr>
  </w:style>
  <w:style w:type="paragraph" w:customStyle="1" w:styleId="152">
    <w:name w:val="font6"/>
    <w:basedOn w:val="1"/>
    <w:qFormat/>
    <w:uiPriority w:val="0"/>
    <w:pPr>
      <w:widowControl/>
      <w:spacing w:before="100" w:beforeAutospacing="1" w:after="100" w:afterAutospacing="1"/>
      <w:jc w:val="left"/>
    </w:pPr>
    <w:rPr>
      <w:rFonts w:ascii="宋体" w:hAnsi="宋体"/>
      <w:kern w:val="0"/>
      <w:sz w:val="20"/>
      <w:szCs w:val="20"/>
    </w:rPr>
  </w:style>
  <w:style w:type="paragraph" w:customStyle="1" w:styleId="153">
    <w:name w:val="xl112"/>
    <w:basedOn w:val="1"/>
    <w:qFormat/>
    <w:uiPriority w:val="0"/>
    <w:pPr>
      <w:widowControl/>
      <w:pBdr>
        <w:top w:val="single" w:color="000000" w:sz="4" w:space="0"/>
        <w:bottom w:val="single" w:color="000000" w:sz="4" w:space="0"/>
        <w:right w:val="single" w:color="000000" w:sz="4" w:space="0"/>
      </w:pBdr>
      <w:spacing w:before="100" w:beforeAutospacing="1" w:after="100" w:afterAutospacing="1"/>
      <w:jc w:val="center"/>
    </w:pPr>
    <w:rPr>
      <w:rFonts w:ascii="宋体" w:hAnsi="宋体"/>
      <w:kern w:val="0"/>
      <w:sz w:val="20"/>
      <w:szCs w:val="20"/>
    </w:rPr>
  </w:style>
  <w:style w:type="paragraph" w:customStyle="1" w:styleId="154">
    <w:name w:val="无间隔2"/>
    <w:qFormat/>
    <w:uiPriority w:val="0"/>
    <w:rPr>
      <w:rFonts w:ascii="Calibri" w:hAnsi="Calibri" w:eastAsia="宋体" w:cs="宋体"/>
      <w:sz w:val="22"/>
      <w:szCs w:val="22"/>
      <w:lang w:val="en-US" w:eastAsia="zh-CN" w:bidi="ar-SA"/>
    </w:rPr>
  </w:style>
  <w:style w:type="paragraph" w:customStyle="1" w:styleId="155">
    <w:name w:val="Char Char1 Char"/>
    <w:basedOn w:val="1"/>
    <w:qFormat/>
    <w:uiPriority w:val="0"/>
    <w:pPr>
      <w:tabs>
        <w:tab w:val="left" w:pos="360"/>
      </w:tabs>
    </w:pPr>
  </w:style>
  <w:style w:type="paragraph" w:customStyle="1" w:styleId="156">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olor w:val="0000FF"/>
      <w:kern w:val="0"/>
      <w:sz w:val="18"/>
      <w:szCs w:val="18"/>
    </w:rPr>
  </w:style>
  <w:style w:type="paragraph" w:customStyle="1" w:styleId="157">
    <w:name w:val="p0"/>
    <w:basedOn w:val="1"/>
    <w:qFormat/>
    <w:uiPriority w:val="0"/>
    <w:pPr>
      <w:widowControl/>
      <w:spacing w:line="360" w:lineRule="auto"/>
      <w:jc w:val="left"/>
    </w:pPr>
    <w:rPr>
      <w:rFonts w:ascii="宋体" w:hAnsi="宋体"/>
      <w:kern w:val="0"/>
    </w:rPr>
  </w:style>
  <w:style w:type="paragraph" w:customStyle="1" w:styleId="158">
    <w:name w:val="xl10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olor w:val="000000"/>
      <w:kern w:val="0"/>
      <w:sz w:val="18"/>
      <w:szCs w:val="18"/>
    </w:rPr>
  </w:style>
  <w:style w:type="paragraph" w:customStyle="1" w:styleId="159">
    <w:name w:val="itemlist"/>
    <w:basedOn w:val="1"/>
    <w:qFormat/>
    <w:uiPriority w:val="0"/>
    <w:pPr>
      <w:widowControl/>
      <w:spacing w:before="100" w:beforeAutospacing="1" w:after="100" w:afterAutospacing="1"/>
      <w:jc w:val="left"/>
    </w:pPr>
    <w:rPr>
      <w:rFonts w:ascii="宋体" w:hAnsi="宋体"/>
      <w:kern w:val="0"/>
    </w:rPr>
  </w:style>
  <w:style w:type="paragraph" w:customStyle="1" w:styleId="160">
    <w:name w:val="xl9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0000FF"/>
      <w:kern w:val="0"/>
      <w:sz w:val="18"/>
      <w:szCs w:val="18"/>
    </w:rPr>
  </w:style>
  <w:style w:type="paragraph" w:customStyle="1" w:styleId="161">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szCs w:val="20"/>
    </w:rPr>
  </w:style>
  <w:style w:type="paragraph" w:customStyle="1" w:styleId="162">
    <w:name w:val="Char21"/>
    <w:basedOn w:val="1"/>
    <w:qFormat/>
    <w:uiPriority w:val="0"/>
    <w:pPr>
      <w:tabs>
        <w:tab w:val="left" w:pos="360"/>
      </w:tabs>
      <w:ind w:left="360" w:hanging="360" w:hangingChars="200"/>
    </w:pPr>
  </w:style>
  <w:style w:type="paragraph" w:customStyle="1" w:styleId="163">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olor w:val="000000"/>
      <w:kern w:val="0"/>
      <w:sz w:val="18"/>
      <w:szCs w:val="18"/>
    </w:rPr>
  </w:style>
  <w:style w:type="paragraph" w:customStyle="1" w:styleId="164">
    <w:name w:val="正文段"/>
    <w:basedOn w:val="1"/>
    <w:link w:val="406"/>
    <w:qFormat/>
    <w:uiPriority w:val="0"/>
    <w:pPr>
      <w:widowControl/>
      <w:snapToGrid w:val="0"/>
      <w:spacing w:afterLines="50"/>
      <w:ind w:firstLine="200" w:firstLineChars="200"/>
    </w:pPr>
    <w:rPr>
      <w:kern w:val="0"/>
      <w:szCs w:val="20"/>
    </w:rPr>
  </w:style>
  <w:style w:type="paragraph" w:customStyle="1" w:styleId="165">
    <w:name w:val="tabletext"/>
    <w:basedOn w:val="1"/>
    <w:qFormat/>
    <w:uiPriority w:val="0"/>
    <w:pPr>
      <w:widowControl/>
      <w:spacing w:before="100" w:beforeAutospacing="1" w:after="100" w:afterAutospacing="1"/>
      <w:jc w:val="left"/>
    </w:pPr>
    <w:rPr>
      <w:rFonts w:ascii="宋体" w:hAnsi="宋体"/>
      <w:kern w:val="0"/>
    </w:rPr>
  </w:style>
  <w:style w:type="paragraph" w:customStyle="1" w:styleId="166">
    <w:name w:val="xl8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kern w:val="0"/>
      <w:szCs w:val="21"/>
    </w:rPr>
  </w:style>
  <w:style w:type="paragraph" w:customStyle="1" w:styleId="167">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黑体" w:hAnsi="宋体" w:eastAsia="黑体"/>
      <w:color w:val="000000"/>
      <w:kern w:val="0"/>
      <w:sz w:val="20"/>
      <w:szCs w:val="20"/>
    </w:rPr>
  </w:style>
  <w:style w:type="paragraph" w:customStyle="1" w:styleId="168">
    <w:name w:val="Char Char7 Char"/>
    <w:basedOn w:val="1"/>
    <w:qFormat/>
    <w:uiPriority w:val="0"/>
    <w:pPr>
      <w:tabs>
        <w:tab w:val="left" w:pos="425"/>
      </w:tabs>
      <w:ind w:left="420" w:leftChars="200" w:firstLine="270" w:firstLineChars="150"/>
    </w:pPr>
    <w:rPr>
      <w:rFonts w:ascii="宋体" w:hAnsi="宋体" w:cs="Arial"/>
      <w:color w:val="5E5E5E"/>
      <w:kern w:val="0"/>
      <w:sz w:val="21"/>
      <w:szCs w:val="21"/>
    </w:rPr>
  </w:style>
  <w:style w:type="paragraph" w:customStyle="1" w:styleId="169">
    <w:name w:val="正文－恩普"/>
    <w:basedOn w:val="8"/>
    <w:qFormat/>
    <w:uiPriority w:val="0"/>
    <w:pPr>
      <w:widowControl/>
      <w:spacing w:afterLines="50" w:line="360" w:lineRule="auto"/>
      <w:ind w:firstLine="480" w:firstLineChars="200"/>
      <w:jc w:val="left"/>
    </w:pPr>
  </w:style>
  <w:style w:type="paragraph" w:customStyle="1" w:styleId="170">
    <w:name w:val="Char Char Char Char Char Char Char1"/>
    <w:basedOn w:val="1"/>
    <w:qFormat/>
    <w:uiPriority w:val="0"/>
    <w:rPr>
      <w:rFonts w:ascii="Arial" w:hAnsi="Arial" w:cs="Arial"/>
      <w:sz w:val="21"/>
      <w:szCs w:val="21"/>
    </w:rPr>
  </w:style>
  <w:style w:type="paragraph" w:customStyle="1" w:styleId="171">
    <w:name w:val="Char Char7 Char Char Char Char"/>
    <w:basedOn w:val="1"/>
    <w:qFormat/>
    <w:uiPriority w:val="0"/>
    <w:pPr>
      <w:spacing w:line="360" w:lineRule="auto"/>
      <w:ind w:firstLine="200" w:firstLineChars="200"/>
    </w:pPr>
    <w:rPr>
      <w:rFonts w:ascii="Tahoma" w:hAnsi="Tahoma" w:eastAsia="楷体_GB2312"/>
      <w:szCs w:val="20"/>
    </w:rPr>
  </w:style>
  <w:style w:type="paragraph" w:customStyle="1" w:styleId="172">
    <w:name w:val="font9"/>
    <w:basedOn w:val="1"/>
    <w:qFormat/>
    <w:uiPriority w:val="0"/>
    <w:pPr>
      <w:widowControl/>
      <w:spacing w:before="100" w:beforeAutospacing="1" w:after="100" w:afterAutospacing="1"/>
      <w:jc w:val="left"/>
    </w:pPr>
    <w:rPr>
      <w:rFonts w:ascii="宋体" w:hAnsi="宋体"/>
      <w:kern w:val="0"/>
      <w:sz w:val="18"/>
      <w:szCs w:val="18"/>
    </w:rPr>
  </w:style>
  <w:style w:type="paragraph" w:customStyle="1" w:styleId="173">
    <w:name w:val="Char4"/>
    <w:basedOn w:val="1"/>
    <w:qFormat/>
    <w:uiPriority w:val="0"/>
    <w:rPr>
      <w:rFonts w:ascii="仿宋_GB2312" w:eastAsia="仿宋_GB2312"/>
      <w:b/>
      <w:sz w:val="32"/>
      <w:szCs w:val="32"/>
    </w:rPr>
  </w:style>
  <w:style w:type="paragraph" w:customStyle="1" w:styleId="174">
    <w:name w:val="Char Char Char Char Char Char Char Char Char"/>
    <w:basedOn w:val="1"/>
    <w:qFormat/>
    <w:uiPriority w:val="0"/>
    <w:rPr>
      <w:sz w:val="21"/>
    </w:rPr>
  </w:style>
  <w:style w:type="paragraph" w:customStyle="1" w:styleId="175">
    <w:name w:val="表格"/>
    <w:basedOn w:val="1"/>
    <w:link w:val="390"/>
    <w:qFormat/>
    <w:uiPriority w:val="0"/>
    <w:pPr>
      <w:spacing w:line="400" w:lineRule="exact"/>
    </w:pPr>
  </w:style>
  <w:style w:type="paragraph" w:customStyle="1" w:styleId="176">
    <w:name w:val="列表内容"/>
    <w:basedOn w:val="1"/>
    <w:next w:val="1"/>
    <w:qFormat/>
    <w:uiPriority w:val="0"/>
    <w:pPr>
      <w:widowControl/>
      <w:numPr>
        <w:ilvl w:val="0"/>
        <w:numId w:val="3"/>
      </w:numPr>
      <w:jc w:val="left"/>
    </w:pPr>
    <w:rPr>
      <w:kern w:val="0"/>
      <w:sz w:val="18"/>
      <w:szCs w:val="20"/>
    </w:rPr>
  </w:style>
  <w:style w:type="paragraph" w:customStyle="1" w:styleId="177">
    <w:name w:val="正文1"/>
    <w:qFormat/>
    <w:uiPriority w:val="0"/>
    <w:pPr>
      <w:widowControl w:val="0"/>
      <w:jc w:val="both"/>
    </w:pPr>
    <w:rPr>
      <w:rFonts w:hint="eastAsia" w:ascii="Calibri" w:hAnsi="Calibri" w:eastAsia="宋体" w:cs="宋体"/>
      <w:kern w:val="2"/>
      <w:sz w:val="21"/>
      <w:lang w:val="en-US" w:eastAsia="zh-CN" w:bidi="ar-SA"/>
    </w:rPr>
  </w:style>
  <w:style w:type="paragraph" w:customStyle="1" w:styleId="178">
    <w:name w:val="xl83"/>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kern w:val="0"/>
      <w:sz w:val="18"/>
      <w:szCs w:val="18"/>
    </w:rPr>
  </w:style>
  <w:style w:type="paragraph" w:customStyle="1" w:styleId="179">
    <w:name w:val="Char Char2"/>
    <w:basedOn w:val="22"/>
    <w:qFormat/>
    <w:uiPriority w:val="0"/>
    <w:pPr>
      <w:shd w:val="clear" w:color="auto" w:fill="000080"/>
      <w:spacing w:line="240" w:lineRule="auto"/>
      <w:ind w:firstLine="0" w:firstLineChars="0"/>
      <w:jc w:val="left"/>
    </w:pPr>
    <w:rPr>
      <w:rFonts w:ascii="Tahoma" w:hAnsi="Tahoma" w:eastAsia="宋体" w:cs="Tahoma"/>
      <w:szCs w:val="24"/>
    </w:rPr>
  </w:style>
  <w:style w:type="paragraph" w:customStyle="1" w:styleId="180">
    <w:name w:val="1"/>
    <w:basedOn w:val="6"/>
    <w:qFormat/>
    <w:uiPriority w:val="0"/>
    <w:pPr>
      <w:adjustRightInd w:val="0"/>
      <w:snapToGrid w:val="0"/>
      <w:spacing w:before="240" w:after="240" w:line="348" w:lineRule="auto"/>
    </w:pPr>
    <w:rPr>
      <w:rFonts w:ascii="Times New Roman" w:eastAsia="宋体"/>
      <w:sz w:val="32"/>
    </w:rPr>
  </w:style>
  <w:style w:type="paragraph" w:customStyle="1" w:styleId="181">
    <w:name w:val="Char Char Char Char"/>
    <w:basedOn w:val="1"/>
    <w:qFormat/>
    <w:uiPriority w:val="0"/>
    <w:pPr>
      <w:widowControl/>
      <w:jc w:val="left"/>
    </w:pPr>
    <w:rPr>
      <w:kern w:val="0"/>
    </w:rPr>
  </w:style>
  <w:style w:type="paragraph" w:customStyle="1" w:styleId="182">
    <w:name w:val="xl1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0000FF"/>
      <w:kern w:val="0"/>
    </w:rPr>
  </w:style>
  <w:style w:type="paragraph" w:customStyle="1" w:styleId="183">
    <w:name w:val="xl82"/>
    <w:basedOn w:val="1"/>
    <w:qFormat/>
    <w:uiPriority w:val="0"/>
    <w:pPr>
      <w:widowControl/>
      <w:pBdr>
        <w:top w:val="single" w:color="000000" w:sz="4" w:space="0"/>
        <w:bottom w:val="single" w:color="000000" w:sz="4" w:space="0"/>
        <w:right w:val="single" w:color="000000" w:sz="4" w:space="0"/>
      </w:pBdr>
      <w:spacing w:before="100" w:beforeAutospacing="1" w:after="100" w:afterAutospacing="1"/>
      <w:jc w:val="center"/>
    </w:pPr>
    <w:rPr>
      <w:kern w:val="0"/>
      <w:szCs w:val="21"/>
    </w:rPr>
  </w:style>
  <w:style w:type="paragraph" w:customStyle="1" w:styleId="184">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18"/>
      <w:szCs w:val="18"/>
    </w:rPr>
  </w:style>
  <w:style w:type="paragraph" w:customStyle="1" w:styleId="185">
    <w:name w:val="标题6"/>
    <w:basedOn w:val="1"/>
    <w:next w:val="6"/>
    <w:qFormat/>
    <w:uiPriority w:val="0"/>
    <w:pPr>
      <w:widowControl/>
      <w:snapToGrid w:val="0"/>
      <w:spacing w:beforeLines="50" w:afterLines="50" w:line="520" w:lineRule="atLeast"/>
      <w:ind w:firstLine="200" w:firstLineChars="200"/>
    </w:pPr>
    <w:rPr>
      <w:rFonts w:cs="Arial"/>
      <w:b/>
    </w:rPr>
  </w:style>
  <w:style w:type="paragraph" w:customStyle="1" w:styleId="186">
    <w:name w:val="xl12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olor w:val="0000FF"/>
      <w:kern w:val="0"/>
      <w:sz w:val="18"/>
      <w:szCs w:val="18"/>
    </w:rPr>
  </w:style>
  <w:style w:type="paragraph" w:customStyle="1" w:styleId="187">
    <w:name w:val="样式 样式 宋体 + 首行缩进:  2 字符"/>
    <w:basedOn w:val="1"/>
    <w:qFormat/>
    <w:uiPriority w:val="0"/>
    <w:pPr>
      <w:spacing w:line="360" w:lineRule="auto"/>
      <w:ind w:firstLine="560" w:firstLineChars="200"/>
      <w:jc w:val="left"/>
    </w:pPr>
    <w:rPr>
      <w:rFonts w:ascii="仿宋_GB2312" w:hAnsi="仿宋" w:eastAsia="仿宋_GB2312"/>
      <w:sz w:val="28"/>
      <w:szCs w:val="20"/>
    </w:rPr>
  </w:style>
  <w:style w:type="paragraph" w:customStyle="1" w:styleId="188">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0000FF"/>
      <w:kern w:val="0"/>
    </w:rPr>
  </w:style>
  <w:style w:type="paragraph" w:customStyle="1" w:styleId="189">
    <w:name w:val="列出段落2"/>
    <w:basedOn w:val="1"/>
    <w:qFormat/>
    <w:uiPriority w:val="0"/>
    <w:pPr>
      <w:ind w:firstLine="420" w:firstLineChars="200"/>
    </w:pPr>
    <w:rPr>
      <w:szCs w:val="22"/>
    </w:rPr>
  </w:style>
  <w:style w:type="paragraph" w:customStyle="1" w:styleId="190">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191">
    <w:name w:val="Char2"/>
    <w:basedOn w:val="1"/>
    <w:qFormat/>
    <w:uiPriority w:val="0"/>
    <w:pPr>
      <w:numPr>
        <w:ilvl w:val="0"/>
        <w:numId w:val="4"/>
      </w:numPr>
      <w:tabs>
        <w:tab w:val="clear" w:pos="420"/>
      </w:tabs>
    </w:pPr>
  </w:style>
  <w:style w:type="paragraph" w:customStyle="1" w:styleId="192">
    <w:name w:val="1 Char Char Char Char"/>
    <w:basedOn w:val="1"/>
    <w:qFormat/>
    <w:uiPriority w:val="0"/>
    <w:rPr>
      <w:rFonts w:ascii="Tahoma" w:hAnsi="Tahoma"/>
      <w:szCs w:val="20"/>
    </w:rPr>
  </w:style>
  <w:style w:type="paragraph" w:customStyle="1" w:styleId="193">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194">
    <w:name w:val="font8"/>
    <w:basedOn w:val="1"/>
    <w:qFormat/>
    <w:uiPriority w:val="0"/>
    <w:pPr>
      <w:widowControl/>
      <w:spacing w:before="100" w:beforeAutospacing="1" w:after="100" w:afterAutospacing="1"/>
      <w:jc w:val="left"/>
    </w:pPr>
    <w:rPr>
      <w:color w:val="0000FF"/>
      <w:kern w:val="0"/>
      <w:sz w:val="20"/>
      <w:szCs w:val="20"/>
    </w:rPr>
  </w:style>
  <w:style w:type="paragraph" w:customStyle="1" w:styleId="195">
    <w:name w:val="xl31"/>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kern w:val="0"/>
      <w:sz w:val="21"/>
      <w:szCs w:val="21"/>
    </w:rPr>
  </w:style>
  <w:style w:type="paragraph" w:customStyle="1" w:styleId="196">
    <w:name w:val="Table Text"/>
    <w:basedOn w:val="1"/>
    <w:link w:val="385"/>
    <w:qFormat/>
    <w:uiPriority w:val="0"/>
    <w:pPr>
      <w:topLinePunct/>
      <w:adjustRightInd w:val="0"/>
      <w:snapToGrid w:val="0"/>
      <w:spacing w:before="80" w:after="80" w:line="240" w:lineRule="atLeast"/>
      <w:jc w:val="left"/>
    </w:pPr>
    <w:rPr>
      <w:rFonts w:cs="Arial"/>
      <w:kern w:val="0"/>
      <w:szCs w:val="21"/>
    </w:rPr>
  </w:style>
  <w:style w:type="paragraph" w:customStyle="1" w:styleId="197">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18"/>
      <w:szCs w:val="18"/>
    </w:rPr>
  </w:style>
  <w:style w:type="paragraph" w:customStyle="1" w:styleId="198">
    <w:name w:val="xl1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18"/>
      <w:szCs w:val="18"/>
    </w:rPr>
  </w:style>
  <w:style w:type="paragraph" w:customStyle="1" w:styleId="199">
    <w:name w:val="段落样式"/>
    <w:basedOn w:val="1"/>
    <w:qFormat/>
    <w:uiPriority w:val="0"/>
    <w:pPr>
      <w:spacing w:line="360" w:lineRule="auto"/>
    </w:pPr>
    <w:rPr>
      <w:szCs w:val="20"/>
    </w:rPr>
  </w:style>
  <w:style w:type="paragraph" w:customStyle="1" w:styleId="200">
    <w:name w:val="样式 标题 3 + 小四 非加粗 段前: 0 磅 段后: 0 磅 行距: 单倍行距"/>
    <w:basedOn w:val="10"/>
    <w:qFormat/>
    <w:uiPriority w:val="0"/>
    <w:pPr>
      <w:keepNext w:val="0"/>
      <w:keepLines w:val="0"/>
      <w:numPr>
        <w:ilvl w:val="2"/>
        <w:numId w:val="5"/>
      </w:numPr>
      <w:spacing w:before="120" w:after="120" w:line="240" w:lineRule="auto"/>
      <w:jc w:val="left"/>
    </w:pPr>
    <w:rPr>
      <w:b w:val="0"/>
      <w:bCs w:val="0"/>
      <w:color w:val="000000"/>
      <w:sz w:val="24"/>
      <w:szCs w:val="20"/>
    </w:rPr>
  </w:style>
  <w:style w:type="paragraph" w:customStyle="1" w:styleId="201">
    <w:name w:val="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202">
    <w:name w:val="xl11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olor w:val="0000FF"/>
      <w:kern w:val="0"/>
      <w:sz w:val="18"/>
      <w:szCs w:val="18"/>
    </w:rPr>
  </w:style>
  <w:style w:type="paragraph" w:customStyle="1" w:styleId="203">
    <w:name w:val="xl98"/>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黑体" w:hAnsi="宋体" w:eastAsia="黑体"/>
      <w:kern w:val="0"/>
      <w:sz w:val="20"/>
      <w:szCs w:val="20"/>
    </w:rPr>
  </w:style>
  <w:style w:type="paragraph" w:customStyle="1" w:styleId="204">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18"/>
      <w:szCs w:val="18"/>
    </w:rPr>
  </w:style>
  <w:style w:type="paragraph" w:customStyle="1" w:styleId="205">
    <w:name w:val="a2"/>
    <w:basedOn w:val="1"/>
    <w:qFormat/>
    <w:uiPriority w:val="0"/>
    <w:pPr>
      <w:widowControl/>
      <w:spacing w:before="100" w:beforeAutospacing="1" w:after="100" w:afterAutospacing="1"/>
      <w:jc w:val="left"/>
    </w:pPr>
    <w:rPr>
      <w:rFonts w:ascii="宋体" w:hAnsi="宋体"/>
      <w:kern w:val="0"/>
    </w:rPr>
  </w:style>
  <w:style w:type="paragraph" w:customStyle="1" w:styleId="206">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olor w:val="FF0000"/>
      <w:kern w:val="0"/>
      <w:sz w:val="18"/>
      <w:szCs w:val="18"/>
    </w:rPr>
  </w:style>
  <w:style w:type="paragraph" w:customStyle="1" w:styleId="207">
    <w:name w:val="xl1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18"/>
      <w:szCs w:val="18"/>
    </w:rPr>
  </w:style>
  <w:style w:type="paragraph" w:customStyle="1" w:styleId="208">
    <w:name w:val="font5"/>
    <w:basedOn w:val="1"/>
    <w:qFormat/>
    <w:uiPriority w:val="0"/>
    <w:pPr>
      <w:widowControl/>
      <w:spacing w:before="100" w:beforeAutospacing="1" w:after="100" w:afterAutospacing="1"/>
      <w:jc w:val="left"/>
    </w:pPr>
    <w:rPr>
      <w:rFonts w:ascii="宋体" w:hAnsi="宋体"/>
      <w:kern w:val="0"/>
      <w:sz w:val="18"/>
      <w:szCs w:val="18"/>
    </w:rPr>
  </w:style>
  <w:style w:type="paragraph" w:customStyle="1" w:styleId="209">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0000FF"/>
      <w:kern w:val="0"/>
      <w:sz w:val="20"/>
      <w:szCs w:val="20"/>
    </w:rPr>
  </w:style>
  <w:style w:type="paragraph" w:customStyle="1" w:styleId="210">
    <w:name w:val="xl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0000FF"/>
      <w:kern w:val="0"/>
      <w:sz w:val="18"/>
      <w:szCs w:val="18"/>
    </w:rPr>
  </w:style>
  <w:style w:type="paragraph" w:customStyle="1" w:styleId="211">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olor w:val="0000FF"/>
      <w:kern w:val="0"/>
      <w:sz w:val="20"/>
      <w:szCs w:val="20"/>
    </w:rPr>
  </w:style>
  <w:style w:type="paragraph" w:customStyle="1" w:styleId="212">
    <w:name w:val="列出段落111"/>
    <w:basedOn w:val="1"/>
    <w:link w:val="330"/>
    <w:qFormat/>
    <w:uiPriority w:val="34"/>
    <w:pPr>
      <w:ind w:firstLine="420" w:firstLineChars="200"/>
    </w:pPr>
    <w:rPr>
      <w:szCs w:val="22"/>
    </w:rPr>
  </w:style>
  <w:style w:type="paragraph" w:customStyle="1" w:styleId="213">
    <w:name w:val="font7"/>
    <w:basedOn w:val="1"/>
    <w:qFormat/>
    <w:uiPriority w:val="0"/>
    <w:pPr>
      <w:widowControl/>
      <w:spacing w:before="100" w:beforeAutospacing="1" w:after="100" w:afterAutospacing="1"/>
      <w:jc w:val="left"/>
    </w:pPr>
    <w:rPr>
      <w:rFonts w:ascii="宋体" w:hAnsi="宋体"/>
      <w:color w:val="0000FF"/>
      <w:kern w:val="0"/>
      <w:sz w:val="20"/>
      <w:szCs w:val="20"/>
    </w:rPr>
  </w:style>
  <w:style w:type="paragraph" w:customStyle="1" w:styleId="214">
    <w:name w:val="xl10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olor w:val="000000"/>
      <w:kern w:val="0"/>
      <w:sz w:val="18"/>
      <w:szCs w:val="18"/>
    </w:rPr>
  </w:style>
  <w:style w:type="paragraph" w:customStyle="1" w:styleId="215">
    <w:name w:val="默认段落字体 Para Char Char Char Char Char Char Char Char Char1 Char Char Char Char"/>
    <w:basedOn w:val="1"/>
    <w:qFormat/>
    <w:uiPriority w:val="0"/>
    <w:rPr>
      <w:rFonts w:ascii="Tahoma" w:hAnsi="Tahoma"/>
      <w:szCs w:val="20"/>
    </w:rPr>
  </w:style>
  <w:style w:type="paragraph" w:customStyle="1" w:styleId="216">
    <w:name w:val="Char Char Char Char Char Char"/>
    <w:basedOn w:val="1"/>
    <w:qFormat/>
    <w:uiPriority w:val="0"/>
    <w:pPr>
      <w:ind w:firstLine="200" w:firstLineChars="200"/>
    </w:pPr>
    <w:rPr>
      <w:rFonts w:ascii="Tahoma" w:hAnsi="Tahoma" w:cs="Tahoma"/>
    </w:rPr>
  </w:style>
  <w:style w:type="paragraph" w:customStyle="1" w:styleId="217">
    <w:name w:val="纯文本1"/>
    <w:basedOn w:val="1"/>
    <w:qFormat/>
    <w:uiPriority w:val="0"/>
    <w:pPr>
      <w:adjustRightInd w:val="0"/>
      <w:textAlignment w:val="baseline"/>
    </w:pPr>
    <w:rPr>
      <w:rFonts w:ascii="宋体" w:hAnsi="Courier New" w:eastAsia="楷体_GB2312"/>
      <w:sz w:val="26"/>
      <w:szCs w:val="20"/>
    </w:rPr>
  </w:style>
  <w:style w:type="paragraph" w:customStyle="1" w:styleId="218">
    <w:name w:val="xl93"/>
    <w:basedOn w:val="1"/>
    <w:qFormat/>
    <w:uiPriority w:val="0"/>
    <w:pPr>
      <w:widowControl/>
      <w:spacing w:before="100" w:beforeAutospacing="1" w:after="100" w:afterAutospacing="1"/>
      <w:jc w:val="left"/>
    </w:pPr>
    <w:rPr>
      <w:rFonts w:ascii="宋体" w:hAnsi="宋体"/>
      <w:color w:val="0000FF"/>
      <w:kern w:val="0"/>
    </w:rPr>
  </w:style>
  <w:style w:type="paragraph" w:customStyle="1" w:styleId="219">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0000FF"/>
      <w:kern w:val="0"/>
      <w:sz w:val="20"/>
      <w:szCs w:val="20"/>
    </w:rPr>
  </w:style>
  <w:style w:type="paragraph" w:customStyle="1" w:styleId="220">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0000FF"/>
      <w:kern w:val="0"/>
      <w:sz w:val="20"/>
      <w:szCs w:val="20"/>
    </w:rPr>
  </w:style>
  <w:style w:type="paragraph" w:customStyle="1" w:styleId="221">
    <w:name w:val="Char Char Char Char1"/>
    <w:basedOn w:val="1"/>
    <w:qFormat/>
    <w:uiPriority w:val="0"/>
    <w:pPr>
      <w:widowControl/>
      <w:jc w:val="left"/>
    </w:pPr>
    <w:rPr>
      <w:kern w:val="0"/>
    </w:rPr>
  </w:style>
  <w:style w:type="paragraph" w:customStyle="1" w:styleId="222">
    <w:name w:val="xl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olor w:val="0000FF"/>
      <w:kern w:val="0"/>
      <w:sz w:val="20"/>
      <w:szCs w:val="20"/>
    </w:rPr>
  </w:style>
  <w:style w:type="paragraph" w:customStyle="1" w:styleId="223">
    <w:name w:val="Char"/>
    <w:basedOn w:val="1"/>
    <w:qFormat/>
    <w:uiPriority w:val="0"/>
    <w:pPr>
      <w:widowControl/>
      <w:spacing w:after="160" w:line="240" w:lineRule="exact"/>
      <w:jc w:val="left"/>
    </w:pPr>
    <w:rPr>
      <w:rFonts w:ascii="Verdana" w:hAnsi="Verdana" w:eastAsia="仿宋_GB2312"/>
      <w:kern w:val="0"/>
      <w:szCs w:val="20"/>
      <w:lang w:eastAsia="en-US"/>
    </w:rPr>
  </w:style>
  <w:style w:type="paragraph" w:customStyle="1" w:styleId="224">
    <w:name w:val="XH BodyTextV1"/>
    <w:basedOn w:val="1"/>
    <w:qFormat/>
    <w:uiPriority w:val="0"/>
    <w:pPr>
      <w:spacing w:after="120" w:line="288" w:lineRule="auto"/>
      <w:jc w:val="left"/>
    </w:pPr>
    <w:rPr>
      <w:b/>
      <w:color w:val="FF0000"/>
      <w:szCs w:val="22"/>
    </w:rPr>
  </w:style>
  <w:style w:type="paragraph" w:customStyle="1" w:styleId="225">
    <w:name w:val="xl1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18"/>
      <w:szCs w:val="18"/>
    </w:rPr>
  </w:style>
  <w:style w:type="paragraph" w:customStyle="1" w:styleId="226">
    <w:name w:val="xl1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18"/>
      <w:szCs w:val="18"/>
    </w:rPr>
  </w:style>
  <w:style w:type="paragraph" w:customStyle="1" w:styleId="227">
    <w:name w:val="xl9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0000FF"/>
      <w:kern w:val="0"/>
      <w:sz w:val="16"/>
      <w:szCs w:val="16"/>
    </w:rPr>
  </w:style>
  <w:style w:type="paragraph" w:customStyle="1" w:styleId="228">
    <w:name w:val="正文缩进1"/>
    <w:basedOn w:val="1"/>
    <w:next w:val="9"/>
    <w:qFormat/>
    <w:uiPriority w:val="0"/>
    <w:pPr>
      <w:autoSpaceDE w:val="0"/>
      <w:autoSpaceDN w:val="0"/>
      <w:adjustRightInd w:val="0"/>
      <w:snapToGrid w:val="0"/>
      <w:spacing w:after="120" w:line="360" w:lineRule="auto"/>
      <w:ind w:left="420" w:firstLine="480"/>
    </w:pPr>
    <w:rPr>
      <w:szCs w:val="20"/>
    </w:rPr>
  </w:style>
  <w:style w:type="paragraph" w:customStyle="1" w:styleId="229">
    <w:name w:val="xl113"/>
    <w:basedOn w:val="1"/>
    <w:qFormat/>
    <w:uiPriority w:val="0"/>
    <w:pPr>
      <w:widowControl/>
      <w:spacing w:before="100" w:beforeAutospacing="1" w:after="100" w:afterAutospacing="1"/>
      <w:jc w:val="center"/>
    </w:pPr>
    <w:rPr>
      <w:rFonts w:ascii="宋体" w:hAnsi="宋体"/>
      <w:kern w:val="0"/>
      <w:sz w:val="20"/>
      <w:szCs w:val="20"/>
    </w:rPr>
  </w:style>
  <w:style w:type="paragraph" w:customStyle="1" w:styleId="230">
    <w:name w:val="font10"/>
    <w:basedOn w:val="1"/>
    <w:qFormat/>
    <w:uiPriority w:val="0"/>
    <w:pPr>
      <w:widowControl/>
      <w:spacing w:before="100" w:beforeAutospacing="1" w:after="100" w:afterAutospacing="1"/>
      <w:jc w:val="left"/>
    </w:pPr>
    <w:rPr>
      <w:rFonts w:ascii="宋体" w:hAnsi="宋体"/>
      <w:kern w:val="0"/>
      <w:sz w:val="20"/>
      <w:szCs w:val="20"/>
    </w:rPr>
  </w:style>
  <w:style w:type="paragraph" w:customStyle="1" w:styleId="231">
    <w:name w:val="Char3"/>
    <w:basedOn w:val="1"/>
    <w:qFormat/>
    <w:uiPriority w:val="0"/>
    <w:pPr>
      <w:widowControl/>
      <w:spacing w:after="160" w:line="240" w:lineRule="exact"/>
      <w:jc w:val="left"/>
    </w:pPr>
    <w:rPr>
      <w:rFonts w:ascii="Verdana" w:hAnsi="Verdana" w:eastAsia="仿宋_GB2312"/>
      <w:kern w:val="0"/>
      <w:szCs w:val="20"/>
      <w:lang w:eastAsia="en-US"/>
    </w:rPr>
  </w:style>
  <w:style w:type="paragraph" w:customStyle="1" w:styleId="232">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黑体" w:hAnsi="宋体" w:eastAsia="黑体"/>
      <w:kern w:val="0"/>
      <w:sz w:val="20"/>
      <w:szCs w:val="20"/>
    </w:rPr>
  </w:style>
  <w:style w:type="paragraph" w:customStyle="1" w:styleId="233">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000000"/>
      <w:kern w:val="0"/>
      <w:sz w:val="20"/>
      <w:szCs w:val="20"/>
    </w:rPr>
  </w:style>
  <w:style w:type="paragraph" w:customStyle="1" w:styleId="234">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olor w:val="0000FF"/>
      <w:kern w:val="0"/>
      <w:sz w:val="18"/>
      <w:szCs w:val="18"/>
    </w:rPr>
  </w:style>
  <w:style w:type="paragraph" w:customStyle="1" w:styleId="235">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18"/>
      <w:szCs w:val="18"/>
    </w:rPr>
  </w:style>
  <w:style w:type="paragraph" w:customStyle="1" w:styleId="236">
    <w:name w:val="xl1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18"/>
      <w:szCs w:val="18"/>
    </w:rPr>
  </w:style>
  <w:style w:type="paragraph" w:customStyle="1" w:styleId="237">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0000FF"/>
      <w:kern w:val="0"/>
      <w:sz w:val="20"/>
      <w:szCs w:val="20"/>
    </w:rPr>
  </w:style>
  <w:style w:type="paragraph" w:customStyle="1" w:styleId="238">
    <w:name w:val="TOC 标题1"/>
    <w:basedOn w:val="6"/>
    <w:next w:val="1"/>
    <w:qFormat/>
    <w:uiPriority w:val="0"/>
    <w:pPr>
      <w:widowControl/>
      <w:spacing w:before="480" w:after="0" w:line="276" w:lineRule="auto"/>
      <w:jc w:val="left"/>
      <w:outlineLvl w:val="9"/>
    </w:pPr>
    <w:rPr>
      <w:rFonts w:ascii="Cambria" w:hAnsi="Cambria" w:eastAsia="宋体"/>
      <w:color w:val="365F91"/>
      <w:kern w:val="0"/>
      <w:sz w:val="28"/>
      <w:szCs w:val="28"/>
    </w:rPr>
  </w:style>
  <w:style w:type="paragraph" w:customStyle="1" w:styleId="239">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szCs w:val="20"/>
    </w:rPr>
  </w:style>
  <w:style w:type="paragraph" w:customStyle="1" w:styleId="240">
    <w:name w:val="Char Char Char Char Char Char Char Char Char Char"/>
    <w:basedOn w:val="1"/>
    <w:qFormat/>
    <w:uiPriority w:val="0"/>
    <w:pPr>
      <w:widowControl/>
      <w:spacing w:after="160" w:line="360" w:lineRule="auto"/>
      <w:jc w:val="left"/>
    </w:pPr>
    <w:rPr>
      <w:rFonts w:ascii="Verdana" w:hAnsi="Verdana" w:cs="Verdana"/>
      <w:kern w:val="0"/>
      <w:szCs w:val="21"/>
      <w:lang w:eastAsia="en-US"/>
    </w:rPr>
  </w:style>
  <w:style w:type="paragraph" w:customStyle="1" w:styleId="241">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000000"/>
      <w:kern w:val="0"/>
      <w:sz w:val="18"/>
      <w:szCs w:val="18"/>
    </w:rPr>
  </w:style>
  <w:style w:type="paragraph" w:customStyle="1" w:styleId="242">
    <w:name w:val="样式1"/>
    <w:basedOn w:val="1"/>
    <w:qFormat/>
    <w:uiPriority w:val="0"/>
    <w:pPr>
      <w:tabs>
        <w:tab w:val="left" w:pos="709"/>
        <w:tab w:val="left" w:pos="6780"/>
      </w:tabs>
      <w:adjustRightInd w:val="0"/>
      <w:ind w:left="6780" w:leftChars="400" w:hanging="360" w:hangingChars="200"/>
      <w:textAlignment w:val="baseline"/>
    </w:pPr>
    <w:rPr>
      <w:rFonts w:ascii="宋体" w:hAnsi="宋体"/>
      <w:kern w:val="0"/>
      <w:sz w:val="21"/>
      <w:szCs w:val="21"/>
    </w:rPr>
  </w:style>
  <w:style w:type="paragraph" w:customStyle="1" w:styleId="243">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黑体" w:hAnsi="宋体" w:eastAsia="黑体"/>
      <w:color w:val="000000"/>
      <w:kern w:val="0"/>
      <w:sz w:val="20"/>
      <w:szCs w:val="20"/>
    </w:rPr>
  </w:style>
  <w:style w:type="paragraph" w:customStyle="1" w:styleId="244">
    <w:name w:val="Char Char1 Char1"/>
    <w:basedOn w:val="1"/>
    <w:qFormat/>
    <w:uiPriority w:val="0"/>
    <w:pPr>
      <w:tabs>
        <w:tab w:val="left" w:pos="360"/>
      </w:tabs>
    </w:pPr>
  </w:style>
  <w:style w:type="paragraph" w:customStyle="1" w:styleId="245">
    <w:name w:val="xl106"/>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olor w:val="000000"/>
      <w:kern w:val="0"/>
      <w:sz w:val="20"/>
      <w:szCs w:val="20"/>
    </w:rPr>
  </w:style>
  <w:style w:type="paragraph" w:customStyle="1" w:styleId="246">
    <w:name w:val="xl1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olor w:val="000000"/>
      <w:kern w:val="0"/>
      <w:sz w:val="20"/>
      <w:szCs w:val="20"/>
    </w:rPr>
  </w:style>
  <w:style w:type="paragraph" w:customStyle="1" w:styleId="247">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000000"/>
      <w:kern w:val="0"/>
    </w:rPr>
  </w:style>
  <w:style w:type="paragraph" w:customStyle="1" w:styleId="248">
    <w:name w:val="默认段落字体 Para Char Char Char Char"/>
    <w:basedOn w:val="1"/>
    <w:qFormat/>
    <w:uiPriority w:val="0"/>
    <w:rPr>
      <w:rFonts w:ascii="Arial" w:hAnsi="Arial" w:cs="Arial"/>
      <w:szCs w:val="21"/>
    </w:rPr>
  </w:style>
  <w:style w:type="paragraph" w:customStyle="1" w:styleId="249">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18"/>
      <w:szCs w:val="18"/>
    </w:rPr>
  </w:style>
  <w:style w:type="paragraph" w:customStyle="1" w:styleId="250">
    <w:name w:val="Char Char Char Char Char Char Char"/>
    <w:basedOn w:val="1"/>
    <w:qFormat/>
    <w:uiPriority w:val="0"/>
    <w:rPr>
      <w:szCs w:val="21"/>
    </w:rPr>
  </w:style>
  <w:style w:type="paragraph" w:customStyle="1" w:styleId="251">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252">
    <w:name w:val="纯文本2"/>
    <w:basedOn w:val="1"/>
    <w:qFormat/>
    <w:uiPriority w:val="0"/>
    <w:pPr>
      <w:adjustRightInd w:val="0"/>
      <w:textAlignment w:val="baseline"/>
    </w:pPr>
    <w:rPr>
      <w:rFonts w:ascii="宋体" w:hAnsi="Courier New" w:eastAsia="楷体_GB2312"/>
      <w:sz w:val="26"/>
      <w:szCs w:val="20"/>
    </w:rPr>
  </w:style>
  <w:style w:type="paragraph" w:customStyle="1" w:styleId="253">
    <w:name w:val="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54">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olor w:val="000000"/>
      <w:kern w:val="0"/>
      <w:sz w:val="20"/>
      <w:szCs w:val="20"/>
    </w:rPr>
  </w:style>
  <w:style w:type="paragraph" w:customStyle="1" w:styleId="255">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FF"/>
      <w:kern w:val="0"/>
      <w:sz w:val="20"/>
      <w:szCs w:val="20"/>
    </w:rPr>
  </w:style>
  <w:style w:type="paragraph" w:customStyle="1" w:styleId="256">
    <w:name w:val="样式 标题4 + 首行缩进:  1.47 字符"/>
    <w:basedOn w:val="1"/>
    <w:qFormat/>
    <w:uiPriority w:val="0"/>
    <w:pPr>
      <w:keepNext/>
      <w:keepLines/>
      <w:spacing w:before="60" w:after="60" w:line="377" w:lineRule="auto"/>
      <w:ind w:firstLine="147" w:firstLineChars="147"/>
      <w:outlineLvl w:val="3"/>
    </w:pPr>
    <w:rPr>
      <w:rFonts w:ascii="Arial" w:hAnsi="Arial"/>
      <w:b/>
      <w:bCs/>
      <w:szCs w:val="20"/>
    </w:rPr>
  </w:style>
  <w:style w:type="paragraph" w:customStyle="1" w:styleId="257">
    <w:name w:val="列出段落11"/>
    <w:basedOn w:val="1"/>
    <w:qFormat/>
    <w:uiPriority w:val="0"/>
    <w:pPr>
      <w:ind w:firstLine="420" w:firstLineChars="200"/>
    </w:pPr>
  </w:style>
  <w:style w:type="paragraph" w:customStyle="1" w:styleId="258">
    <w:name w:val="表内文字"/>
    <w:basedOn w:val="1"/>
    <w:qFormat/>
    <w:uiPriority w:val="0"/>
    <w:pPr>
      <w:tabs>
        <w:tab w:val="left" w:pos="1418"/>
      </w:tabs>
      <w:spacing w:line="360" w:lineRule="auto"/>
      <w:jc w:val="center"/>
    </w:pPr>
    <w:rPr>
      <w:rFonts w:ascii="仿宋_GB2312" w:eastAsia="仿宋_GB2312"/>
      <w:spacing w:val="-20"/>
      <w:kern w:val="0"/>
    </w:rPr>
  </w:style>
  <w:style w:type="paragraph" w:customStyle="1" w:styleId="259">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000000"/>
      <w:kern w:val="0"/>
      <w:sz w:val="20"/>
      <w:szCs w:val="20"/>
    </w:rPr>
  </w:style>
  <w:style w:type="paragraph" w:customStyle="1" w:styleId="260">
    <w:name w:val="font11"/>
    <w:basedOn w:val="1"/>
    <w:qFormat/>
    <w:uiPriority w:val="0"/>
    <w:pPr>
      <w:widowControl/>
      <w:spacing w:before="100" w:beforeAutospacing="1" w:after="100" w:afterAutospacing="1"/>
      <w:jc w:val="left"/>
    </w:pPr>
    <w:rPr>
      <w:rFonts w:ascii="宋体" w:hAnsi="宋体"/>
      <w:color w:val="0000FF"/>
      <w:kern w:val="0"/>
      <w:sz w:val="20"/>
      <w:szCs w:val="20"/>
    </w:rPr>
  </w:style>
  <w:style w:type="paragraph" w:customStyle="1" w:styleId="261">
    <w:name w:val="xl114"/>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kern w:val="0"/>
      <w:sz w:val="18"/>
      <w:szCs w:val="18"/>
    </w:rPr>
  </w:style>
  <w:style w:type="paragraph" w:customStyle="1" w:styleId="262">
    <w:name w:val="xl10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000000"/>
      <w:kern w:val="0"/>
      <w:sz w:val="18"/>
      <w:szCs w:val="18"/>
    </w:rPr>
  </w:style>
  <w:style w:type="paragraph" w:customStyle="1" w:styleId="263">
    <w:name w:val="字元 字元"/>
    <w:basedOn w:val="1"/>
    <w:qFormat/>
    <w:uiPriority w:val="0"/>
    <w:pPr>
      <w:widowControl/>
      <w:spacing w:after="160" w:line="240" w:lineRule="exact"/>
      <w:jc w:val="left"/>
    </w:pPr>
    <w:rPr>
      <w:sz w:val="28"/>
      <w:szCs w:val="20"/>
    </w:rPr>
  </w:style>
  <w:style w:type="paragraph" w:customStyle="1" w:styleId="264">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kern w:val="0"/>
    </w:rPr>
  </w:style>
  <w:style w:type="character" w:customStyle="1" w:styleId="265">
    <w:name w:val="未处理的提及1"/>
    <w:basedOn w:val="58"/>
    <w:qFormat/>
    <w:uiPriority w:val="0"/>
    <w:rPr>
      <w:color w:val="605E5C"/>
      <w:shd w:val="clear" w:color="auto" w:fill="E1DFDD"/>
    </w:rPr>
  </w:style>
  <w:style w:type="character" w:customStyle="1" w:styleId="266">
    <w:name w:val="纯文本 字符2"/>
    <w:qFormat/>
    <w:uiPriority w:val="0"/>
    <w:rPr>
      <w:rFonts w:ascii="宋体" w:hAnsi="Courier New" w:eastAsia="宋体"/>
      <w:kern w:val="2"/>
      <w:sz w:val="24"/>
      <w:szCs w:val="24"/>
      <w:lang w:val="en-US" w:eastAsia="zh-CN" w:bidi="ar-SA"/>
    </w:rPr>
  </w:style>
  <w:style w:type="character" w:customStyle="1" w:styleId="267">
    <w:name w:val="正文文本缩进 字符1"/>
    <w:qFormat/>
    <w:uiPriority w:val="0"/>
    <w:rPr>
      <w:rFonts w:ascii="宋体" w:hAnsi="Courier New"/>
      <w:spacing w:val="-4"/>
      <w:kern w:val="2"/>
      <w:sz w:val="18"/>
    </w:rPr>
  </w:style>
  <w:style w:type="character" w:customStyle="1" w:styleId="268">
    <w:name w:val="脚注文本 字符"/>
    <w:basedOn w:val="58"/>
    <w:link w:val="43"/>
    <w:qFormat/>
    <w:uiPriority w:val="99"/>
    <w:rPr>
      <w:rFonts w:ascii="Calibri" w:hAnsi="Calibri" w:cs="宋体"/>
      <w:kern w:val="2"/>
      <w:sz w:val="18"/>
      <w:szCs w:val="18"/>
    </w:rPr>
  </w:style>
  <w:style w:type="character" w:customStyle="1" w:styleId="269">
    <w:name w:val="占位符文本1"/>
    <w:basedOn w:val="58"/>
    <w:qFormat/>
    <w:uiPriority w:val="99"/>
    <w:rPr>
      <w:color w:val="808080"/>
    </w:rPr>
  </w:style>
  <w:style w:type="character" w:customStyle="1" w:styleId="270">
    <w:name w:val="font31"/>
    <w:qFormat/>
    <w:uiPriority w:val="0"/>
    <w:rPr>
      <w:rFonts w:ascii="宋体" w:eastAsia="宋体" w:cs="宋体"/>
      <w:b/>
      <w:color w:val="000000"/>
      <w:sz w:val="24"/>
      <w:szCs w:val="24"/>
      <w:u w:val="none"/>
      <w:lang w:bidi="ar-SA"/>
    </w:rPr>
  </w:style>
  <w:style w:type="character" w:customStyle="1" w:styleId="271">
    <w:name w:val="标题 6 Char1"/>
    <w:qFormat/>
    <w:uiPriority w:val="0"/>
    <w:rPr>
      <w:rFonts w:ascii="宋体"/>
      <w:sz w:val="24"/>
    </w:rPr>
  </w:style>
  <w:style w:type="character" w:customStyle="1" w:styleId="272">
    <w:name w:val="2级标题 Char"/>
    <w:link w:val="273"/>
    <w:qFormat/>
    <w:uiPriority w:val="0"/>
    <w:rPr>
      <w:rFonts w:ascii="黑体" w:hAnsi="黑体" w:eastAsia="黑体"/>
      <w:sz w:val="32"/>
      <w:szCs w:val="36"/>
      <w:lang w:eastAsia="en-US" w:bidi="en-US"/>
    </w:rPr>
  </w:style>
  <w:style w:type="paragraph" w:customStyle="1" w:styleId="273">
    <w:name w:val="2级标题"/>
    <w:basedOn w:val="112"/>
    <w:link w:val="272"/>
    <w:qFormat/>
    <w:uiPriority w:val="0"/>
    <w:pPr>
      <w:keepLines/>
      <w:numPr>
        <w:ilvl w:val="1"/>
        <w:numId w:val="3"/>
      </w:numPr>
      <w:spacing w:before="240" w:after="120"/>
      <w:ind w:firstLine="0" w:firstLineChars="0"/>
      <w:contextualSpacing/>
      <w:jc w:val="left"/>
      <w:outlineLvl w:val="1"/>
    </w:pPr>
    <w:rPr>
      <w:rFonts w:ascii="黑体" w:hAnsi="黑体" w:eastAsia="黑体" w:cs="Times New Roman"/>
      <w:kern w:val="0"/>
      <w:sz w:val="32"/>
      <w:szCs w:val="36"/>
      <w:lang w:eastAsia="en-US" w:bidi="en-US"/>
    </w:rPr>
  </w:style>
  <w:style w:type="character" w:customStyle="1" w:styleId="274">
    <w:name w:val="15"/>
    <w:qFormat/>
    <w:uiPriority w:val="99"/>
    <w:rPr>
      <w:rFonts w:ascii="Times New Roman" w:hAnsi="Times New Roman"/>
      <w:b/>
      <w:sz w:val="20"/>
    </w:rPr>
  </w:style>
  <w:style w:type="character" w:customStyle="1" w:styleId="275">
    <w:name w:val="3级标题 Char"/>
    <w:link w:val="276"/>
    <w:qFormat/>
    <w:uiPriority w:val="0"/>
    <w:rPr>
      <w:rFonts w:ascii="黑体" w:hAnsi="黑体" w:eastAsia="黑体"/>
      <w:sz w:val="28"/>
      <w:szCs w:val="36"/>
      <w:lang w:eastAsia="en-US" w:bidi="en-US"/>
    </w:rPr>
  </w:style>
  <w:style w:type="paragraph" w:customStyle="1" w:styleId="276">
    <w:name w:val="3级标题"/>
    <w:basedOn w:val="112"/>
    <w:link w:val="275"/>
    <w:qFormat/>
    <w:uiPriority w:val="0"/>
    <w:pPr>
      <w:keepLines/>
      <w:numPr>
        <w:ilvl w:val="2"/>
        <w:numId w:val="3"/>
      </w:numPr>
      <w:spacing w:before="120" w:after="120"/>
      <w:ind w:firstLine="0" w:firstLineChars="0"/>
      <w:contextualSpacing/>
      <w:jc w:val="left"/>
      <w:outlineLvl w:val="2"/>
    </w:pPr>
    <w:rPr>
      <w:rFonts w:ascii="黑体" w:hAnsi="黑体" w:eastAsia="黑体" w:cs="Times New Roman"/>
      <w:kern w:val="0"/>
      <w:sz w:val="28"/>
      <w:szCs w:val="36"/>
      <w:lang w:eastAsia="en-US" w:bidi="en-US"/>
    </w:rPr>
  </w:style>
  <w:style w:type="character" w:customStyle="1" w:styleId="277">
    <w:name w:val="副标题 Char"/>
    <w:qFormat/>
    <w:uiPriority w:val="0"/>
    <w:rPr>
      <w:rFonts w:ascii="Cambria" w:hAnsi="Cambria"/>
      <w:b/>
      <w:bCs/>
      <w:kern w:val="28"/>
      <w:sz w:val="32"/>
      <w:szCs w:val="32"/>
    </w:rPr>
  </w:style>
  <w:style w:type="character" w:customStyle="1" w:styleId="278">
    <w:name w:val="批注主题 Char"/>
    <w:link w:val="279"/>
    <w:qFormat/>
    <w:uiPriority w:val="0"/>
    <w:rPr>
      <w:b/>
      <w:bCs/>
      <w:kern w:val="2"/>
      <w:sz w:val="21"/>
      <w:szCs w:val="24"/>
    </w:rPr>
  </w:style>
  <w:style w:type="paragraph" w:customStyle="1" w:styleId="279">
    <w:name w:val="批注主题1"/>
    <w:basedOn w:val="280"/>
    <w:next w:val="280"/>
    <w:link w:val="278"/>
    <w:qFormat/>
    <w:uiPriority w:val="0"/>
    <w:rPr>
      <w:b/>
      <w:bCs/>
    </w:rPr>
  </w:style>
  <w:style w:type="paragraph" w:customStyle="1" w:styleId="280">
    <w:name w:val="批注文字1"/>
    <w:basedOn w:val="1"/>
    <w:link w:val="294"/>
    <w:qFormat/>
    <w:uiPriority w:val="0"/>
    <w:pPr>
      <w:jc w:val="left"/>
    </w:pPr>
    <w:rPr>
      <w:rFonts w:ascii="Times New Roman" w:hAnsi="Times New Roman" w:cs="Times New Roman"/>
      <w:sz w:val="21"/>
    </w:rPr>
  </w:style>
  <w:style w:type="character" w:customStyle="1" w:styleId="281">
    <w:name w:val="正文文本 2 Char2"/>
    <w:qFormat/>
    <w:uiPriority w:val="99"/>
    <w:rPr>
      <w:rFonts w:ascii="Times New Roman" w:hAnsi="Times New Roman"/>
      <w:kern w:val="2"/>
      <w:sz w:val="21"/>
      <w:szCs w:val="24"/>
    </w:rPr>
  </w:style>
  <w:style w:type="character" w:customStyle="1" w:styleId="282">
    <w:name w:val="批注文字 Char2"/>
    <w:qFormat/>
    <w:uiPriority w:val="0"/>
    <w:rPr>
      <w:kern w:val="2"/>
      <w:sz w:val="21"/>
      <w:szCs w:val="24"/>
    </w:rPr>
  </w:style>
  <w:style w:type="character" w:customStyle="1" w:styleId="283">
    <w:name w:val="标书正文 Char Char"/>
    <w:link w:val="284"/>
    <w:qFormat/>
    <w:uiPriority w:val="0"/>
    <w:rPr>
      <w:color w:val="000000"/>
      <w:kern w:val="2"/>
      <w:sz w:val="24"/>
    </w:rPr>
  </w:style>
  <w:style w:type="paragraph" w:customStyle="1" w:styleId="284">
    <w:name w:val="标书正文"/>
    <w:basedOn w:val="1"/>
    <w:link w:val="283"/>
    <w:qFormat/>
    <w:uiPriority w:val="0"/>
    <w:pPr>
      <w:spacing w:line="360" w:lineRule="auto"/>
      <w:ind w:firstLine="200" w:firstLineChars="200"/>
      <w:jc w:val="left"/>
    </w:pPr>
    <w:rPr>
      <w:rFonts w:ascii="Times New Roman" w:hAnsi="Times New Roman" w:cs="Times New Roman"/>
      <w:color w:val="000000"/>
      <w:szCs w:val="20"/>
    </w:rPr>
  </w:style>
  <w:style w:type="character" w:customStyle="1" w:styleId="285">
    <w:name w:val="style131"/>
    <w:qFormat/>
    <w:uiPriority w:val="0"/>
    <w:rPr>
      <w:rFonts w:ascii="Arial" w:hAnsi="Arial" w:cs="Arial"/>
      <w:b/>
      <w:color w:val="BD0000"/>
      <w:sz w:val="24"/>
      <w:szCs w:val="24"/>
    </w:rPr>
  </w:style>
  <w:style w:type="character" w:customStyle="1" w:styleId="286">
    <w:name w:val="书籍标题2"/>
    <w:qFormat/>
    <w:uiPriority w:val="0"/>
    <w:rPr>
      <w:b/>
      <w:bCs/>
      <w:smallCaps/>
      <w:spacing w:val="5"/>
    </w:rPr>
  </w:style>
  <w:style w:type="character" w:customStyle="1" w:styleId="287">
    <w:name w:val="标题 5 Char1"/>
    <w:qFormat/>
    <w:uiPriority w:val="0"/>
    <w:rPr>
      <w:sz w:val="24"/>
    </w:rPr>
  </w:style>
  <w:style w:type="paragraph" w:customStyle="1" w:styleId="288">
    <w:name w:val="_Style 267"/>
    <w:qFormat/>
    <w:uiPriority w:val="0"/>
    <w:pPr>
      <w:widowControl w:val="0"/>
      <w:jc w:val="both"/>
    </w:pPr>
    <w:rPr>
      <w:rFonts w:ascii="Calibri" w:hAnsi="Calibri" w:eastAsia="宋体" w:cs="宋体"/>
      <w:kern w:val="2"/>
      <w:sz w:val="24"/>
      <w:szCs w:val="24"/>
      <w:lang w:val="en-US" w:eastAsia="zh-CN" w:bidi="ar-SA"/>
    </w:rPr>
  </w:style>
  <w:style w:type="character" w:customStyle="1" w:styleId="289">
    <w:name w:val="正文文本 2 Char"/>
    <w:qFormat/>
    <w:uiPriority w:val="0"/>
    <w:rPr>
      <w:rFonts w:ascii="宋体" w:hAnsi="宋体"/>
      <w:color w:val="000000"/>
      <w:kern w:val="2"/>
      <w:sz w:val="24"/>
      <w:szCs w:val="24"/>
    </w:rPr>
  </w:style>
  <w:style w:type="character" w:customStyle="1" w:styleId="290">
    <w:name w:val="HTML 预设格式 字符1"/>
    <w:link w:val="50"/>
    <w:qFormat/>
    <w:uiPriority w:val="99"/>
    <w:rPr>
      <w:rFonts w:ascii="黑体" w:eastAsia="黑体"/>
    </w:rPr>
  </w:style>
  <w:style w:type="character" w:customStyle="1" w:styleId="291">
    <w:name w:val="样式 正文缩进 + 首行缩进:  2 字符 Char"/>
    <w:link w:val="292"/>
    <w:qFormat/>
    <w:uiPriority w:val="99"/>
    <w:rPr>
      <w:rFonts w:ascii="宋体"/>
      <w:color w:val="000000"/>
      <w:sz w:val="24"/>
    </w:rPr>
  </w:style>
  <w:style w:type="paragraph" w:customStyle="1" w:styleId="292">
    <w:name w:val="样式 正文缩进 + 首行缩进:  2 字符"/>
    <w:basedOn w:val="8"/>
    <w:link w:val="291"/>
    <w:qFormat/>
    <w:uiPriority w:val="99"/>
    <w:pPr>
      <w:spacing w:line="360" w:lineRule="auto"/>
      <w:ind w:firstLine="200" w:firstLineChars="200"/>
    </w:pPr>
    <w:rPr>
      <w:rFonts w:ascii="宋体" w:hAnsi="Times New Roman" w:cs="Times New Roman"/>
      <w:color w:val="000000"/>
      <w:kern w:val="0"/>
      <w:szCs w:val="20"/>
    </w:rPr>
  </w:style>
  <w:style w:type="character" w:customStyle="1" w:styleId="293">
    <w:name w:val="标题 3 Char1"/>
    <w:qFormat/>
    <w:uiPriority w:val="0"/>
    <w:rPr>
      <w:rFonts w:eastAsia="楷体_GB2312"/>
      <w:sz w:val="24"/>
    </w:rPr>
  </w:style>
  <w:style w:type="character" w:customStyle="1" w:styleId="294">
    <w:name w:val="批注文字 Char"/>
    <w:link w:val="280"/>
    <w:qFormat/>
    <w:uiPriority w:val="0"/>
    <w:rPr>
      <w:kern w:val="2"/>
      <w:sz w:val="21"/>
      <w:szCs w:val="24"/>
    </w:rPr>
  </w:style>
  <w:style w:type="character" w:customStyle="1" w:styleId="295">
    <w:name w:val="题注 字符"/>
    <w:link w:val="21"/>
    <w:qFormat/>
    <w:uiPriority w:val="35"/>
    <w:rPr>
      <w:rFonts w:ascii="Arial" w:hAnsi="Arial" w:eastAsia="黑体" w:cs="Arial"/>
      <w:kern w:val="2"/>
    </w:rPr>
  </w:style>
  <w:style w:type="character" w:customStyle="1" w:styleId="296">
    <w:name w:val="正文文本缩进 Char"/>
    <w:qFormat/>
    <w:uiPriority w:val="0"/>
    <w:rPr>
      <w:rFonts w:ascii="宋体" w:hAnsi="Courier New"/>
      <w:spacing w:val="-4"/>
      <w:kern w:val="2"/>
      <w:sz w:val="18"/>
    </w:rPr>
  </w:style>
  <w:style w:type="character" w:customStyle="1" w:styleId="297">
    <w:name w:val="日期 Char"/>
    <w:qFormat/>
    <w:uiPriority w:val="0"/>
    <w:rPr>
      <w:rFonts w:eastAsia="楷体_GB2312"/>
      <w:kern w:val="2"/>
      <w:sz w:val="32"/>
    </w:rPr>
  </w:style>
  <w:style w:type="character" w:customStyle="1" w:styleId="298">
    <w:name w:val="Table Text Char Char1"/>
    <w:link w:val="299"/>
    <w:qFormat/>
    <w:uiPriority w:val="99"/>
    <w:rPr>
      <w:rFonts w:ascii="Arial" w:hAnsi="Arial"/>
      <w:kern w:val="2"/>
      <w:sz w:val="18"/>
      <w:szCs w:val="22"/>
    </w:rPr>
  </w:style>
  <w:style w:type="paragraph" w:customStyle="1" w:styleId="299">
    <w:name w:val="Table Text Char"/>
    <w:link w:val="298"/>
    <w:qFormat/>
    <w:uiPriority w:val="99"/>
    <w:pPr>
      <w:snapToGrid w:val="0"/>
      <w:spacing w:before="80" w:after="80"/>
    </w:pPr>
    <w:rPr>
      <w:rFonts w:ascii="Arial" w:hAnsi="Arial" w:eastAsia="宋体" w:cs="Times New Roman"/>
      <w:kern w:val="2"/>
      <w:sz w:val="18"/>
      <w:szCs w:val="22"/>
      <w:lang w:val="en-US" w:eastAsia="zh-CN" w:bidi="ar-SA"/>
    </w:rPr>
  </w:style>
  <w:style w:type="character" w:customStyle="1" w:styleId="300">
    <w:name w:val="标题 4 Char"/>
    <w:qFormat/>
    <w:uiPriority w:val="0"/>
    <w:rPr>
      <w:rFonts w:eastAsia="楷体_GB2312"/>
      <w:sz w:val="24"/>
    </w:rPr>
  </w:style>
  <w:style w:type="character" w:customStyle="1" w:styleId="301">
    <w:name w:val="Figure Description Char Char"/>
    <w:qFormat/>
    <w:uiPriority w:val="99"/>
    <w:rPr>
      <w:rFonts w:ascii="Arial" w:hAnsi="Arial" w:eastAsia="黑体"/>
      <w:sz w:val="18"/>
      <w:lang w:val="en-US" w:eastAsia="zh-CN"/>
    </w:rPr>
  </w:style>
  <w:style w:type="character" w:customStyle="1" w:styleId="302">
    <w:name w:val="Item List Char Char"/>
    <w:link w:val="303"/>
    <w:qFormat/>
    <w:uiPriority w:val="99"/>
    <w:rPr>
      <w:rFonts w:ascii="Arial" w:hAnsi="Arial"/>
      <w:kern w:val="2"/>
      <w:sz w:val="21"/>
      <w:szCs w:val="22"/>
    </w:rPr>
  </w:style>
  <w:style w:type="paragraph" w:customStyle="1" w:styleId="303">
    <w:name w:val="Item List Char"/>
    <w:link w:val="302"/>
    <w:qFormat/>
    <w:uiPriority w:val="99"/>
    <w:pPr>
      <w:tabs>
        <w:tab w:val="left" w:pos="936"/>
        <w:tab w:val="left" w:pos="8451"/>
      </w:tabs>
      <w:spacing w:line="300" w:lineRule="auto"/>
      <w:ind w:left="8451" w:hanging="1080"/>
      <w:jc w:val="both"/>
    </w:pPr>
    <w:rPr>
      <w:rFonts w:ascii="Arial" w:hAnsi="Arial" w:eastAsia="宋体" w:cs="Times New Roman"/>
      <w:kern w:val="2"/>
      <w:sz w:val="21"/>
      <w:szCs w:val="22"/>
      <w:lang w:val="en-US" w:eastAsia="zh-CN" w:bidi="ar-SA"/>
    </w:rPr>
  </w:style>
  <w:style w:type="character" w:customStyle="1" w:styleId="304">
    <w:name w:val="正文无缩进 Char"/>
    <w:link w:val="305"/>
    <w:qFormat/>
    <w:uiPriority w:val="99"/>
    <w:rPr>
      <w:rFonts w:ascii="宋体"/>
      <w:color w:val="000000"/>
      <w:kern w:val="2"/>
      <w:sz w:val="24"/>
      <w:szCs w:val="24"/>
    </w:rPr>
  </w:style>
  <w:style w:type="paragraph" w:customStyle="1" w:styleId="305">
    <w:name w:val="正文无缩进"/>
    <w:basedOn w:val="1"/>
    <w:link w:val="304"/>
    <w:qFormat/>
    <w:uiPriority w:val="99"/>
    <w:pPr>
      <w:spacing w:line="360" w:lineRule="auto"/>
    </w:pPr>
    <w:rPr>
      <w:rFonts w:ascii="宋体" w:hAnsi="Times New Roman" w:cs="Times New Roman"/>
      <w:color w:val="000000"/>
    </w:rPr>
  </w:style>
  <w:style w:type="character" w:customStyle="1" w:styleId="306">
    <w:name w:val="正文缩进2"/>
    <w:qFormat/>
    <w:uiPriority w:val="99"/>
    <w:rPr>
      <w:rFonts w:eastAsia="宋体"/>
      <w:kern w:val="2"/>
      <w:sz w:val="24"/>
      <w:lang w:val="en-US" w:eastAsia="zh-CN"/>
    </w:rPr>
  </w:style>
  <w:style w:type="character" w:customStyle="1" w:styleId="307">
    <w:name w:val="内容文本 Char"/>
    <w:link w:val="308"/>
    <w:qFormat/>
    <w:uiPriority w:val="0"/>
    <w:rPr>
      <w:rFonts w:ascii="宋体" w:hAnsi="宋体"/>
      <w:sz w:val="24"/>
      <w:szCs w:val="24"/>
      <w:lang w:eastAsia="en-US" w:bidi="en-US"/>
    </w:rPr>
  </w:style>
  <w:style w:type="paragraph" w:customStyle="1" w:styleId="308">
    <w:name w:val="内容文本"/>
    <w:basedOn w:val="112"/>
    <w:link w:val="307"/>
    <w:qFormat/>
    <w:uiPriority w:val="0"/>
    <w:pPr>
      <w:ind w:firstLine="200"/>
      <w:contextualSpacing/>
      <w:jc w:val="left"/>
    </w:pPr>
    <w:rPr>
      <w:rFonts w:ascii="宋体" w:hAnsi="宋体" w:cs="Times New Roman"/>
      <w:kern w:val="0"/>
      <w:szCs w:val="24"/>
      <w:lang w:eastAsia="en-US" w:bidi="en-US"/>
    </w:rPr>
  </w:style>
  <w:style w:type="character" w:customStyle="1" w:styleId="309">
    <w:name w:val="Char Char"/>
    <w:qFormat/>
    <w:uiPriority w:val="0"/>
    <w:rPr>
      <w:rFonts w:ascii="宋体" w:hAnsi="Courier New" w:eastAsia="楷体_GB2312"/>
      <w:kern w:val="2"/>
      <w:sz w:val="26"/>
      <w:lang w:val="en-US" w:eastAsia="zh-CN" w:bidi="ar-SA"/>
    </w:rPr>
  </w:style>
  <w:style w:type="character" w:customStyle="1" w:styleId="310">
    <w:name w:val="Plain Text Char"/>
    <w:qFormat/>
    <w:uiPriority w:val="0"/>
    <w:rPr>
      <w:rFonts w:ascii="宋体" w:eastAsia="宋体"/>
      <w:snapToGrid w:val="0"/>
      <w:sz w:val="21"/>
    </w:rPr>
  </w:style>
  <w:style w:type="character" w:customStyle="1" w:styleId="311">
    <w:name w:val="正文（缩进2汉字） Char"/>
    <w:link w:val="312"/>
    <w:qFormat/>
    <w:uiPriority w:val="99"/>
    <w:rPr>
      <w:rFonts w:ascii="宋体"/>
      <w:kern w:val="2"/>
      <w:sz w:val="21"/>
    </w:rPr>
  </w:style>
  <w:style w:type="paragraph" w:customStyle="1" w:styleId="312">
    <w:name w:val="正文（缩进2汉字）"/>
    <w:basedOn w:val="1"/>
    <w:link w:val="311"/>
    <w:qFormat/>
    <w:uiPriority w:val="99"/>
    <w:pPr>
      <w:tabs>
        <w:tab w:val="left" w:pos="525"/>
      </w:tabs>
      <w:spacing w:before="100" w:beforeAutospacing="1" w:after="100" w:afterAutospacing="1"/>
      <w:ind w:left="50" w:leftChars="50" w:firstLine="206" w:firstLineChars="206"/>
    </w:pPr>
    <w:rPr>
      <w:rFonts w:ascii="宋体" w:hAnsi="Times New Roman" w:cs="Times New Roman"/>
      <w:sz w:val="21"/>
      <w:szCs w:val="20"/>
    </w:rPr>
  </w:style>
  <w:style w:type="character" w:customStyle="1" w:styleId="313">
    <w:name w:val="正式正文样式 Char"/>
    <w:link w:val="314"/>
    <w:qFormat/>
    <w:uiPriority w:val="0"/>
    <w:rPr>
      <w:rFonts w:ascii="Calibri" w:hAnsi="Calibri"/>
      <w:sz w:val="24"/>
      <w:szCs w:val="24"/>
    </w:rPr>
  </w:style>
  <w:style w:type="paragraph" w:customStyle="1" w:styleId="314">
    <w:name w:val="正式正文样式"/>
    <w:basedOn w:val="1"/>
    <w:link w:val="313"/>
    <w:qFormat/>
    <w:uiPriority w:val="0"/>
    <w:pPr>
      <w:widowControl/>
      <w:spacing w:line="360" w:lineRule="auto"/>
      <w:ind w:firstLine="480" w:firstLineChars="200"/>
      <w:jc w:val="left"/>
    </w:pPr>
    <w:rPr>
      <w:rFonts w:cs="Times New Roman"/>
      <w:kern w:val="0"/>
    </w:rPr>
  </w:style>
  <w:style w:type="character" w:customStyle="1" w:styleId="315">
    <w:name w:val="zbggmain style9"/>
    <w:basedOn w:val="58"/>
    <w:qFormat/>
    <w:uiPriority w:val="0"/>
  </w:style>
  <w:style w:type="character" w:customStyle="1" w:styleId="316">
    <w:name w:val="style51"/>
    <w:qFormat/>
    <w:uiPriority w:val="99"/>
    <w:rPr>
      <w:sz w:val="21"/>
      <w:szCs w:val="21"/>
    </w:rPr>
  </w:style>
  <w:style w:type="character" w:customStyle="1" w:styleId="317">
    <w:name w:val="标准正文格式 Char Char"/>
    <w:link w:val="318"/>
    <w:qFormat/>
    <w:uiPriority w:val="0"/>
    <w:rPr>
      <w:rFonts w:ascii="宋体" w:eastAsia="仿宋_GB2312" w:cs="宋体"/>
      <w:color w:val="000000"/>
      <w:sz w:val="24"/>
    </w:rPr>
  </w:style>
  <w:style w:type="paragraph" w:customStyle="1" w:styleId="318">
    <w:name w:val="标准正文格式"/>
    <w:basedOn w:val="1"/>
    <w:link w:val="317"/>
    <w:qFormat/>
    <w:uiPriority w:val="0"/>
    <w:pPr>
      <w:widowControl/>
      <w:adjustRightInd w:val="0"/>
      <w:spacing w:before="60" w:after="120" w:line="360" w:lineRule="auto"/>
      <w:ind w:firstLine="200" w:firstLineChars="200"/>
      <w:textAlignment w:val="baseline"/>
    </w:pPr>
    <w:rPr>
      <w:rFonts w:ascii="宋体" w:hAnsi="Times New Roman" w:eastAsia="仿宋_GB2312"/>
      <w:color w:val="000000"/>
      <w:kern w:val="0"/>
      <w:szCs w:val="20"/>
    </w:rPr>
  </w:style>
  <w:style w:type="character" w:customStyle="1" w:styleId="319">
    <w:name w:val="Char Char9"/>
    <w:qFormat/>
    <w:uiPriority w:val="99"/>
    <w:rPr>
      <w:b/>
      <w:kern w:val="2"/>
      <w:sz w:val="24"/>
      <w:szCs w:val="24"/>
    </w:rPr>
  </w:style>
  <w:style w:type="character" w:customStyle="1" w:styleId="320">
    <w:name w:val="Comment Text Char"/>
    <w:qFormat/>
    <w:uiPriority w:val="0"/>
    <w:rPr>
      <w:rFonts w:ascii="Times New Roman" w:hAnsi="Times New Roman" w:eastAsia="宋体" w:cs="Times New Roman"/>
      <w:kern w:val="0"/>
      <w:sz w:val="24"/>
      <w:szCs w:val="24"/>
      <w:lang w:val="zh-CN" w:eastAsia="zh-CN" w:bidi="ar-SA"/>
    </w:rPr>
  </w:style>
  <w:style w:type="character" w:customStyle="1" w:styleId="321">
    <w:name w:val="标题 5 Char"/>
    <w:qFormat/>
    <w:uiPriority w:val="0"/>
    <w:rPr>
      <w:rFonts w:eastAsia="楷体_GB2312"/>
      <w:sz w:val="22"/>
    </w:rPr>
  </w:style>
  <w:style w:type="character" w:customStyle="1" w:styleId="322">
    <w:name w:val="纯文本 Char1"/>
    <w:qFormat/>
    <w:uiPriority w:val="0"/>
    <w:rPr>
      <w:rFonts w:ascii="宋体" w:hAnsi="Courier New" w:eastAsia="宋体" w:cs="Courier New"/>
      <w:szCs w:val="21"/>
    </w:rPr>
  </w:style>
  <w:style w:type="character" w:customStyle="1" w:styleId="323">
    <w:name w:val="Char Char8"/>
    <w:qFormat/>
    <w:uiPriority w:val="99"/>
    <w:rPr>
      <w:rFonts w:ascii="宋体" w:eastAsia="宋体"/>
      <w:kern w:val="2"/>
      <w:sz w:val="28"/>
      <w:lang w:val="en-US" w:eastAsia="zh-CN" w:bidi="ar-SA"/>
    </w:rPr>
  </w:style>
  <w:style w:type="character" w:customStyle="1" w:styleId="324">
    <w:name w:val="Char Char7"/>
    <w:qFormat/>
    <w:uiPriority w:val="99"/>
    <w:rPr>
      <w:rFonts w:eastAsia="仿宋_GB2312"/>
      <w:kern w:val="2"/>
      <w:sz w:val="24"/>
      <w:szCs w:val="24"/>
      <w:lang w:val="en-US" w:eastAsia="zh-CN" w:bidi="ar-SA"/>
    </w:rPr>
  </w:style>
  <w:style w:type="character" w:customStyle="1" w:styleId="325">
    <w:name w:val="不明显强调1"/>
    <w:qFormat/>
    <w:uiPriority w:val="0"/>
    <w:rPr>
      <w:i/>
      <w:iCs/>
      <w:color w:val="808080"/>
    </w:rPr>
  </w:style>
  <w:style w:type="character" w:customStyle="1" w:styleId="326">
    <w:name w:val="明显强调1"/>
    <w:qFormat/>
    <w:uiPriority w:val="0"/>
    <w:rPr>
      <w:b/>
      <w:bCs/>
      <w:i/>
      <w:iCs/>
      <w:color w:val="4F81BD"/>
    </w:rPr>
  </w:style>
  <w:style w:type="character" w:customStyle="1" w:styleId="327">
    <w:name w:val="标题 7 字符"/>
    <w:link w:val="14"/>
    <w:qFormat/>
    <w:uiPriority w:val="0"/>
    <w:rPr>
      <w:rFonts w:hAnsi="Calibri" w:cs="宋体"/>
      <w:sz w:val="24"/>
    </w:rPr>
  </w:style>
  <w:style w:type="character" w:customStyle="1" w:styleId="328">
    <w:name w:val="Header Char_3893b1c7-dfa9-4aa6-b338-4cc3b87c9e16"/>
    <w:qFormat/>
    <w:uiPriority w:val="0"/>
    <w:rPr>
      <w:rFonts w:ascii="Times New Roman" w:hAnsi="Times New Roman" w:eastAsia="宋体" w:cs="Times New Roman"/>
      <w:sz w:val="18"/>
      <w:szCs w:val="18"/>
      <w:lang w:bidi="ar-SA"/>
    </w:rPr>
  </w:style>
  <w:style w:type="character" w:customStyle="1" w:styleId="329">
    <w:name w:val="font1"/>
    <w:qFormat/>
    <w:uiPriority w:val="99"/>
    <w:rPr>
      <w:color w:val="999999"/>
      <w:sz w:val="18"/>
      <w:szCs w:val="18"/>
      <w:u w:val="none"/>
    </w:rPr>
  </w:style>
  <w:style w:type="character" w:customStyle="1" w:styleId="330">
    <w:name w:val="List Paragraph Char"/>
    <w:link w:val="212"/>
    <w:qFormat/>
    <w:uiPriority w:val="34"/>
    <w:rPr>
      <w:rFonts w:ascii="Calibri" w:hAnsi="Calibri" w:cs="宋体"/>
      <w:kern w:val="2"/>
      <w:sz w:val="24"/>
      <w:szCs w:val="22"/>
    </w:rPr>
  </w:style>
  <w:style w:type="character" w:customStyle="1" w:styleId="331">
    <w:name w:val="info"/>
    <w:qFormat/>
    <w:uiPriority w:val="99"/>
  </w:style>
  <w:style w:type="character" w:customStyle="1" w:styleId="332">
    <w:name w:val="标题 9 字符"/>
    <w:link w:val="16"/>
    <w:qFormat/>
    <w:uiPriority w:val="0"/>
    <w:rPr>
      <w:rFonts w:hAnsi="Calibri" w:cs="宋体"/>
      <w:sz w:val="24"/>
    </w:rPr>
  </w:style>
  <w:style w:type="character" w:customStyle="1" w:styleId="333">
    <w:name w:val="批注框文本 Char"/>
    <w:qFormat/>
    <w:uiPriority w:val="0"/>
    <w:rPr>
      <w:kern w:val="2"/>
      <w:sz w:val="18"/>
      <w:szCs w:val="18"/>
    </w:rPr>
  </w:style>
  <w:style w:type="character" w:customStyle="1" w:styleId="334">
    <w:name w:val="列出段落 Char"/>
    <w:qFormat/>
    <w:uiPriority w:val="0"/>
    <w:rPr>
      <w:rFonts w:ascii="Calibri" w:hAnsi="Calibri"/>
      <w:kern w:val="2"/>
      <w:sz w:val="24"/>
      <w:szCs w:val="22"/>
    </w:rPr>
  </w:style>
  <w:style w:type="character" w:customStyle="1" w:styleId="335">
    <w:name w:val="Normal Indent Char"/>
    <w:qFormat/>
    <w:uiPriority w:val="0"/>
    <w:rPr>
      <w:rFonts w:ascii="宋体" w:eastAsia="宋体"/>
      <w:snapToGrid w:val="0"/>
      <w:color w:val="000000"/>
      <w:kern w:val="28"/>
      <w:sz w:val="28"/>
    </w:rPr>
  </w:style>
  <w:style w:type="character" w:customStyle="1" w:styleId="336">
    <w:name w:val="正文文本首行缩进 2 字符"/>
    <w:link w:val="55"/>
    <w:qFormat/>
    <w:uiPriority w:val="0"/>
    <w:rPr>
      <w:rFonts w:ascii="宋体" w:hAnsi="Courier New"/>
      <w:spacing w:val="-4"/>
      <w:kern w:val="2"/>
      <w:sz w:val="21"/>
      <w:szCs w:val="24"/>
    </w:rPr>
  </w:style>
  <w:style w:type="character" w:customStyle="1" w:styleId="337">
    <w:name w:val="标题 1 Char"/>
    <w:qFormat/>
    <w:uiPriority w:val="0"/>
    <w:rPr>
      <w:b/>
      <w:bCs/>
      <w:kern w:val="44"/>
      <w:sz w:val="32"/>
      <w:szCs w:val="44"/>
    </w:rPr>
  </w:style>
  <w:style w:type="character" w:customStyle="1" w:styleId="338">
    <w:name w:val="页脚 Char2"/>
    <w:qFormat/>
    <w:uiPriority w:val="0"/>
    <w:rPr>
      <w:rFonts w:eastAsia="黑体"/>
      <w:snapToGrid w:val="0"/>
      <w:sz w:val="18"/>
      <w:szCs w:val="18"/>
    </w:rPr>
  </w:style>
  <w:style w:type="character" w:customStyle="1" w:styleId="339">
    <w:name w:val="标题 Char"/>
    <w:qFormat/>
    <w:uiPriority w:val="0"/>
    <w:rPr>
      <w:rFonts w:ascii="Cambria" w:hAnsi="Cambria" w:cs="Times New Roman"/>
      <w:b/>
      <w:bCs/>
      <w:kern w:val="2"/>
      <w:sz w:val="32"/>
      <w:szCs w:val="32"/>
    </w:rPr>
  </w:style>
  <w:style w:type="character" w:customStyle="1" w:styleId="340">
    <w:name w:val="正文缩进 Char1"/>
    <w:qFormat/>
    <w:uiPriority w:val="0"/>
    <w:rPr>
      <w:rFonts w:eastAsia="宋体"/>
      <w:kern w:val="2"/>
      <w:sz w:val="21"/>
      <w:lang w:val="en-US" w:eastAsia="zh-CN" w:bidi="ar-SA"/>
    </w:rPr>
  </w:style>
  <w:style w:type="character" w:customStyle="1" w:styleId="341">
    <w:name w:val="批注文字 字符1"/>
    <w:qFormat/>
    <w:uiPriority w:val="0"/>
    <w:rPr>
      <w:kern w:val="2"/>
      <w:sz w:val="21"/>
      <w:szCs w:val="24"/>
    </w:rPr>
  </w:style>
  <w:style w:type="character" w:customStyle="1" w:styleId="342">
    <w:name w:val="标题 Char2"/>
    <w:qFormat/>
    <w:uiPriority w:val="0"/>
    <w:rPr>
      <w:rFonts w:ascii="Calibri Light" w:hAnsi="Calibri Light"/>
      <w:b/>
      <w:bCs/>
      <w:kern w:val="2"/>
      <w:sz w:val="32"/>
      <w:szCs w:val="32"/>
    </w:rPr>
  </w:style>
  <w:style w:type="character" w:customStyle="1" w:styleId="343">
    <w:name w:val="插图题注 Char Char"/>
    <w:qFormat/>
    <w:uiPriority w:val="99"/>
    <w:rPr>
      <w:rFonts w:ascii="Arial" w:hAnsi="Arial" w:eastAsia="宋体"/>
      <w:b/>
      <w:kern w:val="2"/>
      <w:sz w:val="18"/>
      <w:lang w:val="en-US" w:eastAsia="zh-CN"/>
    </w:rPr>
  </w:style>
  <w:style w:type="character" w:customStyle="1" w:styleId="344">
    <w:name w:val="汇视源正文 Char"/>
    <w:link w:val="345"/>
    <w:qFormat/>
    <w:uiPriority w:val="0"/>
    <w:rPr>
      <w:kern w:val="2"/>
      <w:sz w:val="24"/>
    </w:rPr>
  </w:style>
  <w:style w:type="paragraph" w:customStyle="1" w:styleId="345">
    <w:name w:val="汇视源正文"/>
    <w:link w:val="344"/>
    <w:qFormat/>
    <w:uiPriority w:val="0"/>
    <w:pPr>
      <w:widowControl w:val="0"/>
      <w:spacing w:beforeLines="50" w:line="360" w:lineRule="auto"/>
      <w:ind w:firstLine="200" w:firstLineChars="200"/>
      <w:jc w:val="both"/>
    </w:pPr>
    <w:rPr>
      <w:rFonts w:ascii="Times New Roman" w:hAnsi="Times New Roman" w:eastAsia="宋体" w:cs="Times New Roman"/>
      <w:kern w:val="2"/>
      <w:sz w:val="24"/>
      <w:lang w:val="en-US" w:eastAsia="zh-CN" w:bidi="ar-SA"/>
    </w:rPr>
  </w:style>
  <w:style w:type="character" w:customStyle="1" w:styleId="346">
    <w:name w:val="Table Heading Char Char Char"/>
    <w:link w:val="347"/>
    <w:qFormat/>
    <w:uiPriority w:val="99"/>
    <w:rPr>
      <w:rFonts w:ascii="Arial" w:hAnsi="Arial" w:eastAsia="黑体"/>
      <w:kern w:val="2"/>
      <w:sz w:val="18"/>
      <w:szCs w:val="22"/>
    </w:rPr>
  </w:style>
  <w:style w:type="paragraph" w:customStyle="1" w:styleId="347">
    <w:name w:val="Table Heading Char Char"/>
    <w:link w:val="346"/>
    <w:qFormat/>
    <w:uiPriority w:val="99"/>
    <w:pPr>
      <w:snapToGrid w:val="0"/>
      <w:jc w:val="center"/>
    </w:pPr>
    <w:rPr>
      <w:rFonts w:ascii="Arial" w:hAnsi="Arial" w:eastAsia="黑体" w:cs="Times New Roman"/>
      <w:kern w:val="2"/>
      <w:sz w:val="18"/>
      <w:szCs w:val="22"/>
      <w:lang w:val="en-US" w:eastAsia="zh-CN" w:bidi="ar-SA"/>
    </w:rPr>
  </w:style>
  <w:style w:type="character" w:customStyle="1" w:styleId="348">
    <w:name w:val="unnamed1"/>
    <w:basedOn w:val="58"/>
    <w:qFormat/>
    <w:uiPriority w:val="0"/>
  </w:style>
  <w:style w:type="character" w:customStyle="1" w:styleId="349">
    <w:name w:val="明显引用 字符1"/>
    <w:link w:val="350"/>
    <w:qFormat/>
    <w:uiPriority w:val="30"/>
    <w:rPr>
      <w:rFonts w:eastAsia="楷体_GB2312"/>
      <w:b/>
      <w:bCs/>
      <w:i/>
      <w:iCs/>
      <w:color w:val="4F81BD"/>
      <w:kern w:val="2"/>
      <w:sz w:val="24"/>
    </w:rPr>
  </w:style>
  <w:style w:type="paragraph" w:customStyle="1" w:styleId="350">
    <w:name w:val="明显引用1"/>
    <w:basedOn w:val="1"/>
    <w:next w:val="1"/>
    <w:link w:val="349"/>
    <w:qFormat/>
    <w:uiPriority w:val="30"/>
    <w:pPr>
      <w:pBdr>
        <w:bottom w:val="single" w:color="4F81BD" w:sz="4" w:space="4"/>
      </w:pBdr>
      <w:spacing w:before="200" w:after="280"/>
      <w:ind w:left="936" w:right="936"/>
    </w:pPr>
    <w:rPr>
      <w:rFonts w:ascii="Times New Roman" w:hAnsi="Times New Roman" w:eastAsia="楷体_GB2312" w:cs="Times New Roman"/>
      <w:b/>
      <w:bCs/>
      <w:i/>
      <w:iCs/>
      <w:color w:val="4F81BD"/>
      <w:szCs w:val="20"/>
    </w:rPr>
  </w:style>
  <w:style w:type="character" w:customStyle="1" w:styleId="351">
    <w:name w:val="标题 8 Char1"/>
    <w:qFormat/>
    <w:uiPriority w:val="0"/>
    <w:rPr>
      <w:rFonts w:ascii="Arial" w:hAnsi="Arial" w:eastAsia="黑体"/>
      <w:sz w:val="24"/>
    </w:rPr>
  </w:style>
  <w:style w:type="character" w:customStyle="1" w:styleId="352">
    <w:name w:val="style21"/>
    <w:qFormat/>
    <w:uiPriority w:val="99"/>
    <w:rPr>
      <w:sz w:val="15"/>
      <w:szCs w:val="15"/>
    </w:rPr>
  </w:style>
  <w:style w:type="character" w:customStyle="1" w:styleId="353">
    <w:name w:val="标题 9 Char1"/>
    <w:qFormat/>
    <w:uiPriority w:val="0"/>
    <w:rPr>
      <w:rFonts w:ascii="Arial" w:hAnsi="Arial" w:eastAsia="黑体"/>
      <w:sz w:val="24"/>
    </w:rPr>
  </w:style>
  <w:style w:type="character" w:customStyle="1" w:styleId="354">
    <w:name w:val="4级标题 Char"/>
    <w:link w:val="355"/>
    <w:qFormat/>
    <w:uiPriority w:val="0"/>
    <w:rPr>
      <w:rFonts w:ascii="黑体" w:hAnsi="黑体" w:eastAsia="黑体"/>
      <w:sz w:val="24"/>
      <w:szCs w:val="24"/>
      <w:lang w:eastAsia="en-US" w:bidi="en-US"/>
    </w:rPr>
  </w:style>
  <w:style w:type="paragraph" w:customStyle="1" w:styleId="355">
    <w:name w:val="4级标题"/>
    <w:basedOn w:val="112"/>
    <w:link w:val="354"/>
    <w:qFormat/>
    <w:uiPriority w:val="0"/>
    <w:pPr>
      <w:keepLines/>
      <w:numPr>
        <w:ilvl w:val="3"/>
        <w:numId w:val="3"/>
      </w:numPr>
      <w:ind w:firstLine="0" w:firstLineChars="0"/>
      <w:contextualSpacing/>
      <w:jc w:val="left"/>
      <w:outlineLvl w:val="3"/>
    </w:pPr>
    <w:rPr>
      <w:rFonts w:ascii="黑体" w:hAnsi="黑体" w:eastAsia="黑体" w:cs="Times New Roman"/>
      <w:kern w:val="0"/>
      <w:szCs w:val="24"/>
      <w:lang w:eastAsia="en-US" w:bidi="en-US"/>
    </w:rPr>
  </w:style>
  <w:style w:type="character" w:customStyle="1" w:styleId="356">
    <w:name w:val="页眉 Char"/>
    <w:qFormat/>
    <w:uiPriority w:val="0"/>
    <w:rPr>
      <w:rFonts w:eastAsia="仿宋_GB2312"/>
      <w:kern w:val="2"/>
      <w:sz w:val="18"/>
    </w:rPr>
  </w:style>
  <w:style w:type="character" w:customStyle="1" w:styleId="357">
    <w:name w:val="Char Char10"/>
    <w:qFormat/>
    <w:uiPriority w:val="99"/>
    <w:rPr>
      <w:b/>
      <w:kern w:val="2"/>
      <w:sz w:val="28"/>
      <w:szCs w:val="28"/>
    </w:rPr>
  </w:style>
  <w:style w:type="character" w:customStyle="1" w:styleId="358">
    <w:name w:val="日期 Char2"/>
    <w:qFormat/>
    <w:uiPriority w:val="0"/>
    <w:rPr>
      <w:rFonts w:ascii="楷体_GB2312" w:eastAsia="楷体_GB2312"/>
      <w:b/>
      <w:kern w:val="2"/>
      <w:sz w:val="28"/>
    </w:rPr>
  </w:style>
  <w:style w:type="character" w:customStyle="1" w:styleId="359">
    <w:name w:val="正文首行缩进小四宋体 字符"/>
    <w:link w:val="360"/>
    <w:qFormat/>
    <w:uiPriority w:val="0"/>
    <w:rPr>
      <w:sz w:val="24"/>
      <w:szCs w:val="24"/>
    </w:rPr>
  </w:style>
  <w:style w:type="paragraph" w:customStyle="1" w:styleId="360">
    <w:name w:val="正文首行缩进小四宋体"/>
    <w:basedOn w:val="1"/>
    <w:link w:val="359"/>
    <w:qFormat/>
    <w:uiPriority w:val="0"/>
    <w:pPr>
      <w:spacing w:line="360" w:lineRule="auto"/>
      <w:ind w:firstLine="480" w:firstLineChars="200"/>
    </w:pPr>
    <w:rPr>
      <w:rFonts w:ascii="Times New Roman" w:hAnsi="Times New Roman" w:cs="Times New Roman"/>
      <w:kern w:val="0"/>
    </w:rPr>
  </w:style>
  <w:style w:type="character" w:customStyle="1" w:styleId="361">
    <w:name w:val="16"/>
    <w:qFormat/>
    <w:uiPriority w:val="99"/>
    <w:rPr>
      <w:rFonts w:ascii="Times New Roman" w:hAnsi="Times New Roman"/>
      <w:color w:val="0000FF"/>
      <w:sz w:val="20"/>
      <w:u w:val="single"/>
    </w:rPr>
  </w:style>
  <w:style w:type="character" w:customStyle="1" w:styleId="362">
    <w:name w:val="表格文字 Char"/>
    <w:qFormat/>
    <w:uiPriority w:val="0"/>
    <w:rPr>
      <w:sz w:val="20"/>
    </w:rPr>
  </w:style>
  <w:style w:type="character" w:customStyle="1" w:styleId="363">
    <w:name w:val="引用 字符1"/>
    <w:link w:val="364"/>
    <w:qFormat/>
    <w:uiPriority w:val="29"/>
    <w:rPr>
      <w:rFonts w:eastAsia="楷体_GB2312"/>
      <w:i/>
      <w:iCs/>
      <w:color w:val="000000"/>
      <w:kern w:val="2"/>
      <w:sz w:val="24"/>
    </w:rPr>
  </w:style>
  <w:style w:type="paragraph" w:customStyle="1" w:styleId="364">
    <w:name w:val="引用1"/>
    <w:basedOn w:val="1"/>
    <w:next w:val="1"/>
    <w:link w:val="363"/>
    <w:qFormat/>
    <w:uiPriority w:val="29"/>
    <w:rPr>
      <w:rFonts w:ascii="Times New Roman" w:hAnsi="Times New Roman" w:eastAsia="楷体_GB2312" w:cs="Times New Roman"/>
      <w:i/>
      <w:iCs/>
      <w:color w:val="000000"/>
      <w:szCs w:val="20"/>
    </w:rPr>
  </w:style>
  <w:style w:type="character" w:customStyle="1" w:styleId="365">
    <w:name w:val="正文文本缩进 2 Char"/>
    <w:qFormat/>
    <w:uiPriority w:val="0"/>
    <w:rPr>
      <w:rFonts w:ascii="仿宋_GB2312" w:hAnsi="宋体" w:cs="Arial"/>
      <w:b/>
      <w:bCs/>
      <w:color w:val="000000"/>
      <w:kern w:val="2"/>
      <w:sz w:val="24"/>
      <w:szCs w:val="24"/>
    </w:rPr>
  </w:style>
  <w:style w:type="character" w:customStyle="1" w:styleId="366">
    <w:name w:val="Char Char11"/>
    <w:qFormat/>
    <w:uiPriority w:val="99"/>
    <w:rPr>
      <w:b/>
      <w:kern w:val="44"/>
      <w:sz w:val="44"/>
    </w:rPr>
  </w:style>
  <w:style w:type="character" w:customStyle="1" w:styleId="367">
    <w:name w:val="Char Char3"/>
    <w:qFormat/>
    <w:uiPriority w:val="99"/>
    <w:rPr>
      <w:rFonts w:ascii="宋体" w:hAnsi="Courier New" w:eastAsia="宋体"/>
      <w:kern w:val="2"/>
      <w:sz w:val="24"/>
      <w:szCs w:val="24"/>
      <w:lang w:val="en-US" w:eastAsia="zh-CN" w:bidi="ar-SA"/>
    </w:rPr>
  </w:style>
  <w:style w:type="character" w:customStyle="1" w:styleId="368">
    <w:name w:val="批注引用1"/>
    <w:qFormat/>
    <w:uiPriority w:val="0"/>
    <w:rPr>
      <w:sz w:val="21"/>
    </w:rPr>
  </w:style>
  <w:style w:type="character" w:customStyle="1" w:styleId="369">
    <w:name w:val="不明显参考1"/>
    <w:qFormat/>
    <w:uiPriority w:val="0"/>
    <w:rPr>
      <w:smallCaps/>
      <w:color w:val="C0504D"/>
      <w:u w:val="single"/>
    </w:rPr>
  </w:style>
  <w:style w:type="character" w:customStyle="1" w:styleId="370">
    <w:name w:val="HTML 预设格式 Char"/>
    <w:qFormat/>
    <w:uiPriority w:val="99"/>
    <w:rPr>
      <w:sz w:val="20"/>
    </w:rPr>
  </w:style>
  <w:style w:type="character" w:customStyle="1" w:styleId="371">
    <w:name w:val="表头样式 Char Char Char"/>
    <w:qFormat/>
    <w:uiPriority w:val="99"/>
    <w:rPr>
      <w:rFonts w:ascii="Arial" w:hAnsi="Arial" w:eastAsia="宋体"/>
      <w:b/>
      <w:sz w:val="21"/>
      <w:lang w:val="en-US" w:eastAsia="zh-CN"/>
    </w:rPr>
  </w:style>
  <w:style w:type="character" w:customStyle="1" w:styleId="372">
    <w:name w:val="ca-3"/>
    <w:qFormat/>
    <w:uiPriority w:val="99"/>
  </w:style>
  <w:style w:type="character" w:customStyle="1" w:styleId="373">
    <w:name w:val="页脚 Char"/>
    <w:qFormat/>
    <w:uiPriority w:val="0"/>
    <w:rPr>
      <w:rFonts w:eastAsia="黑体"/>
      <w:snapToGrid w:val="0"/>
      <w:sz w:val="18"/>
      <w:szCs w:val="18"/>
    </w:rPr>
  </w:style>
  <w:style w:type="character" w:customStyle="1" w:styleId="374">
    <w:name w:val="样式2 Char Char Char Char"/>
    <w:link w:val="375"/>
    <w:qFormat/>
    <w:uiPriority w:val="99"/>
    <w:rPr>
      <w:rFonts w:ascii="宋体"/>
      <w:sz w:val="24"/>
      <w:lang w:eastAsia="en-US"/>
    </w:rPr>
  </w:style>
  <w:style w:type="paragraph" w:customStyle="1" w:styleId="375">
    <w:name w:val="样式2 Char Char Char"/>
    <w:basedOn w:val="1"/>
    <w:link w:val="374"/>
    <w:qFormat/>
    <w:uiPriority w:val="99"/>
    <w:pPr>
      <w:widowControl/>
      <w:spacing w:line="360" w:lineRule="auto"/>
      <w:ind w:firstLine="480" w:firstLineChars="200"/>
      <w:jc w:val="left"/>
    </w:pPr>
    <w:rPr>
      <w:rFonts w:ascii="宋体" w:hAnsi="Times New Roman" w:cs="Times New Roman"/>
      <w:kern w:val="0"/>
      <w:szCs w:val="20"/>
      <w:lang w:eastAsia="en-US"/>
    </w:rPr>
  </w:style>
  <w:style w:type="character" w:customStyle="1" w:styleId="376">
    <w:name w:val="Item List Char Char1"/>
    <w:qFormat/>
    <w:uiPriority w:val="99"/>
    <w:rPr>
      <w:rFonts w:ascii="Arial" w:hAnsi="Arial" w:eastAsia="宋体"/>
      <w:kern w:val="2"/>
      <w:sz w:val="21"/>
      <w:lang w:val="en-US" w:eastAsia="zh-CN"/>
    </w:rPr>
  </w:style>
  <w:style w:type="character" w:customStyle="1" w:styleId="377">
    <w:name w:val="Date Char"/>
    <w:qFormat/>
    <w:uiPriority w:val="0"/>
    <w:rPr>
      <w:rFonts w:ascii="宋体"/>
      <w:sz w:val="21"/>
      <w:lang w:val="zh-CN" w:eastAsia="zh-CN"/>
    </w:rPr>
  </w:style>
  <w:style w:type="character" w:customStyle="1" w:styleId="378">
    <w:name w:val="标题 6 字符"/>
    <w:link w:val="13"/>
    <w:qFormat/>
    <w:uiPriority w:val="0"/>
    <w:rPr>
      <w:rFonts w:hAnsi="Calibri" w:cs="宋体"/>
      <w:sz w:val="24"/>
    </w:rPr>
  </w:style>
  <w:style w:type="character" w:customStyle="1" w:styleId="379">
    <w:name w:val="标题 7 Char1"/>
    <w:qFormat/>
    <w:uiPriority w:val="0"/>
    <w:rPr>
      <w:rFonts w:ascii="宋体"/>
      <w:b/>
      <w:sz w:val="24"/>
    </w:rPr>
  </w:style>
  <w:style w:type="character" w:customStyle="1" w:styleId="380">
    <w:name w:val="标题 8 字符"/>
    <w:link w:val="15"/>
    <w:qFormat/>
    <w:uiPriority w:val="0"/>
    <w:rPr>
      <w:rFonts w:hAnsi="Calibri" w:cs="宋体"/>
      <w:sz w:val="24"/>
    </w:rPr>
  </w:style>
  <w:style w:type="character" w:customStyle="1" w:styleId="381">
    <w:name w:val="文档结构图 Char2"/>
    <w:qFormat/>
    <w:uiPriority w:val="99"/>
    <w:rPr>
      <w:kern w:val="2"/>
      <w:sz w:val="21"/>
      <w:szCs w:val="24"/>
      <w:shd w:val="clear" w:color="auto" w:fill="000080"/>
    </w:rPr>
  </w:style>
  <w:style w:type="character" w:customStyle="1" w:styleId="382">
    <w:name w:val="bulletintext1"/>
    <w:qFormat/>
    <w:uiPriority w:val="99"/>
    <w:rPr>
      <w:rFonts w:ascii="宋体" w:eastAsia="宋体"/>
      <w:sz w:val="18"/>
      <w:szCs w:val="18"/>
    </w:rPr>
  </w:style>
  <w:style w:type="character" w:customStyle="1" w:styleId="383">
    <w:name w:val="自定义正文 Char"/>
    <w:link w:val="384"/>
    <w:qFormat/>
    <w:uiPriority w:val="99"/>
    <w:rPr>
      <w:rFonts w:ascii="仿宋_GB2312" w:eastAsia="仿宋_GB2312"/>
      <w:kern w:val="2"/>
      <w:sz w:val="28"/>
      <w:szCs w:val="24"/>
    </w:rPr>
  </w:style>
  <w:style w:type="paragraph" w:customStyle="1" w:styleId="384">
    <w:name w:val="自定义正文"/>
    <w:basedOn w:val="1"/>
    <w:link w:val="383"/>
    <w:qFormat/>
    <w:uiPriority w:val="99"/>
    <w:pPr>
      <w:spacing w:line="480" w:lineRule="exact"/>
      <w:ind w:firstLine="200" w:firstLineChars="200"/>
      <w:jc w:val="left"/>
    </w:pPr>
    <w:rPr>
      <w:rFonts w:ascii="仿宋_GB2312" w:hAnsi="Times New Roman" w:eastAsia="仿宋_GB2312" w:cs="Times New Roman"/>
      <w:sz w:val="28"/>
    </w:rPr>
  </w:style>
  <w:style w:type="character" w:customStyle="1" w:styleId="385">
    <w:name w:val="Table Text Char1"/>
    <w:link w:val="196"/>
    <w:qFormat/>
    <w:uiPriority w:val="99"/>
    <w:rPr>
      <w:rFonts w:ascii="Calibri" w:hAnsi="Calibri" w:cs="Arial"/>
      <w:sz w:val="24"/>
      <w:szCs w:val="21"/>
    </w:rPr>
  </w:style>
  <w:style w:type="character" w:customStyle="1" w:styleId="386">
    <w:name w:val="style11"/>
    <w:qFormat/>
    <w:uiPriority w:val="99"/>
    <w:rPr>
      <w:b/>
      <w:bCs/>
      <w:color w:val="FF0000"/>
    </w:rPr>
  </w:style>
  <w:style w:type="character" w:customStyle="1" w:styleId="387">
    <w:name w:val="Table Text Char Char Char"/>
    <w:link w:val="388"/>
    <w:qFormat/>
    <w:uiPriority w:val="99"/>
    <w:rPr>
      <w:rFonts w:ascii="Arial" w:hAnsi="Arial"/>
      <w:kern w:val="2"/>
      <w:sz w:val="18"/>
      <w:szCs w:val="22"/>
    </w:rPr>
  </w:style>
  <w:style w:type="paragraph" w:customStyle="1" w:styleId="388">
    <w:name w:val="Table Text Char Char"/>
    <w:link w:val="387"/>
    <w:qFormat/>
    <w:uiPriority w:val="99"/>
    <w:pPr>
      <w:snapToGrid w:val="0"/>
      <w:spacing w:before="80" w:after="80"/>
    </w:pPr>
    <w:rPr>
      <w:rFonts w:ascii="Arial" w:hAnsi="Arial" w:eastAsia="宋体" w:cs="Times New Roman"/>
      <w:kern w:val="2"/>
      <w:sz w:val="18"/>
      <w:szCs w:val="22"/>
      <w:lang w:val="en-US" w:eastAsia="zh-CN" w:bidi="ar-SA"/>
    </w:rPr>
  </w:style>
  <w:style w:type="character" w:customStyle="1" w:styleId="389">
    <w:name w:val="正文首行缩进 Char"/>
    <w:qFormat/>
    <w:uiPriority w:val="99"/>
    <w:rPr>
      <w:rFonts w:ascii="Times New Roman" w:hAnsi="Times New Roman"/>
      <w:kern w:val="2"/>
      <w:sz w:val="21"/>
      <w:szCs w:val="24"/>
    </w:rPr>
  </w:style>
  <w:style w:type="character" w:customStyle="1" w:styleId="390">
    <w:name w:val="表格 Char Char"/>
    <w:link w:val="175"/>
    <w:qFormat/>
    <w:uiPriority w:val="99"/>
    <w:rPr>
      <w:rFonts w:ascii="Calibri" w:hAnsi="Calibri" w:cs="宋体"/>
      <w:kern w:val="2"/>
      <w:sz w:val="24"/>
      <w:szCs w:val="24"/>
    </w:rPr>
  </w:style>
  <w:style w:type="character" w:customStyle="1" w:styleId="391">
    <w:name w:val="文档结构图 Char"/>
    <w:qFormat/>
    <w:uiPriority w:val="0"/>
    <w:rPr>
      <w:rFonts w:ascii="宋体"/>
      <w:kern w:val="2"/>
      <w:sz w:val="18"/>
      <w:szCs w:val="18"/>
    </w:rPr>
  </w:style>
  <w:style w:type="character" w:customStyle="1" w:styleId="392">
    <w:name w:val="Figure Description Char"/>
    <w:link w:val="393"/>
    <w:qFormat/>
    <w:uiPriority w:val="99"/>
    <w:rPr>
      <w:rFonts w:ascii="Arial" w:hAnsi="Arial" w:eastAsia="黑体"/>
      <w:kern w:val="2"/>
      <w:sz w:val="18"/>
      <w:szCs w:val="22"/>
    </w:rPr>
  </w:style>
  <w:style w:type="paragraph" w:customStyle="1" w:styleId="393">
    <w:name w:val="Figure Description"/>
    <w:next w:val="1"/>
    <w:link w:val="392"/>
    <w:qFormat/>
    <w:uiPriority w:val="99"/>
    <w:pPr>
      <w:snapToGrid w:val="0"/>
      <w:spacing w:before="80" w:after="320"/>
      <w:jc w:val="center"/>
    </w:pPr>
    <w:rPr>
      <w:rFonts w:ascii="Arial" w:hAnsi="Arial" w:eastAsia="黑体" w:cs="Times New Roman"/>
      <w:kern w:val="2"/>
      <w:sz w:val="18"/>
      <w:szCs w:val="22"/>
      <w:lang w:val="en-US" w:eastAsia="zh-CN" w:bidi="ar-SA"/>
    </w:rPr>
  </w:style>
  <w:style w:type="character" w:customStyle="1" w:styleId="394">
    <w:name w:val="正文文本缩进 Char2"/>
    <w:qFormat/>
    <w:uiPriority w:val="0"/>
    <w:rPr>
      <w:rFonts w:ascii="宋体" w:hAnsi="Courier New"/>
      <w:spacing w:val="-4"/>
      <w:kern w:val="2"/>
      <w:sz w:val="18"/>
    </w:rPr>
  </w:style>
  <w:style w:type="character" w:customStyle="1" w:styleId="395">
    <w:name w:val="表格内文字 Char"/>
    <w:link w:val="396"/>
    <w:qFormat/>
    <w:uiPriority w:val="99"/>
    <w:rPr>
      <w:rFonts w:ascii="Arial" w:hAnsi="Arial"/>
      <w:sz w:val="18"/>
    </w:rPr>
  </w:style>
  <w:style w:type="paragraph" w:customStyle="1" w:styleId="396">
    <w:name w:val="表格内文字"/>
    <w:basedOn w:val="1"/>
    <w:link w:val="395"/>
    <w:qFormat/>
    <w:uiPriority w:val="99"/>
    <w:pPr>
      <w:keepLines/>
      <w:widowControl/>
      <w:spacing w:before="40" w:after="40"/>
      <w:jc w:val="left"/>
      <w:textAlignment w:val="top"/>
    </w:pPr>
    <w:rPr>
      <w:rFonts w:ascii="Arial" w:hAnsi="Arial" w:cs="Times New Roman"/>
      <w:kern w:val="0"/>
      <w:sz w:val="18"/>
      <w:szCs w:val="20"/>
    </w:rPr>
  </w:style>
  <w:style w:type="character" w:customStyle="1" w:styleId="397">
    <w:name w:val="缺省文本 Char"/>
    <w:link w:val="398"/>
    <w:qFormat/>
    <w:uiPriority w:val="99"/>
    <w:rPr>
      <w:sz w:val="24"/>
      <w:szCs w:val="24"/>
    </w:rPr>
  </w:style>
  <w:style w:type="paragraph" w:customStyle="1" w:styleId="398">
    <w:name w:val="缺省文本"/>
    <w:basedOn w:val="1"/>
    <w:link w:val="397"/>
    <w:qFormat/>
    <w:uiPriority w:val="99"/>
    <w:pPr>
      <w:autoSpaceDE w:val="0"/>
      <w:autoSpaceDN w:val="0"/>
      <w:adjustRightInd w:val="0"/>
      <w:jc w:val="left"/>
    </w:pPr>
    <w:rPr>
      <w:rFonts w:ascii="Times New Roman" w:hAnsi="Times New Roman" w:cs="Times New Roman"/>
      <w:kern w:val="0"/>
    </w:rPr>
  </w:style>
  <w:style w:type="character" w:customStyle="1" w:styleId="399">
    <w:name w:val="Char Char1"/>
    <w:qFormat/>
    <w:uiPriority w:val="0"/>
    <w:rPr>
      <w:rFonts w:ascii="宋体" w:hAnsi="Courier New" w:eastAsia="楷体_GB2312"/>
      <w:kern w:val="2"/>
      <w:sz w:val="26"/>
      <w:lang w:val="en-US" w:eastAsia="zh-CN" w:bidi="ar-SA"/>
    </w:rPr>
  </w:style>
  <w:style w:type="character" w:customStyle="1" w:styleId="400">
    <w:name w:val="正文文本缩进 2 Char2"/>
    <w:qFormat/>
    <w:uiPriority w:val="99"/>
    <w:rPr>
      <w:rFonts w:ascii="Times New Roman" w:hAnsi="Times New Roman"/>
      <w:kern w:val="2"/>
      <w:sz w:val="21"/>
      <w:szCs w:val="24"/>
    </w:rPr>
  </w:style>
  <w:style w:type="character" w:customStyle="1" w:styleId="401">
    <w:name w:val="正文文本 3 Char"/>
    <w:qFormat/>
    <w:uiPriority w:val="0"/>
    <w:rPr>
      <w:rFonts w:hAnsi="宋体" w:eastAsia="仿宋_GB2312"/>
      <w:b/>
      <w:bCs/>
      <w:kern w:val="2"/>
      <w:sz w:val="24"/>
    </w:rPr>
  </w:style>
  <w:style w:type="character" w:customStyle="1" w:styleId="402">
    <w:name w:val="批注主题 Char2"/>
    <w:qFormat/>
    <w:uiPriority w:val="0"/>
    <w:rPr>
      <w:b/>
      <w:bCs/>
      <w:kern w:val="2"/>
      <w:sz w:val="24"/>
      <w:szCs w:val="24"/>
    </w:rPr>
  </w:style>
  <w:style w:type="character" w:customStyle="1" w:styleId="403">
    <w:name w:val="param-name"/>
    <w:qFormat/>
    <w:uiPriority w:val="0"/>
  </w:style>
  <w:style w:type="character" w:customStyle="1" w:styleId="404">
    <w:name w:val="插图题注 Char Char Char"/>
    <w:qFormat/>
    <w:uiPriority w:val="99"/>
    <w:rPr>
      <w:rFonts w:ascii="Arial" w:hAnsi="Arial" w:eastAsia="宋体"/>
      <w:b/>
      <w:kern w:val="2"/>
      <w:sz w:val="18"/>
      <w:lang w:val="en-US" w:eastAsia="zh-CN"/>
    </w:rPr>
  </w:style>
  <w:style w:type="character" w:customStyle="1" w:styleId="405">
    <w:name w:val="标题 Char3"/>
    <w:qFormat/>
    <w:uiPriority w:val="10"/>
    <w:rPr>
      <w:rFonts w:ascii="Cambria" w:hAnsi="Cambria" w:eastAsia="楷体_GB2312"/>
      <w:b/>
      <w:bCs/>
      <w:sz w:val="32"/>
      <w:szCs w:val="32"/>
    </w:rPr>
  </w:style>
  <w:style w:type="character" w:customStyle="1" w:styleId="406">
    <w:name w:val="正文段 Char"/>
    <w:link w:val="164"/>
    <w:qFormat/>
    <w:uiPriority w:val="0"/>
    <w:rPr>
      <w:rFonts w:ascii="Calibri" w:hAnsi="Calibri" w:cs="宋体"/>
      <w:sz w:val="24"/>
    </w:rPr>
  </w:style>
  <w:style w:type="character" w:customStyle="1" w:styleId="407">
    <w:name w:val="标题 4 Char1"/>
    <w:qFormat/>
    <w:uiPriority w:val="0"/>
    <w:rPr>
      <w:rFonts w:ascii="Arial" w:hAnsi="Arial" w:eastAsia="黑体"/>
      <w:b/>
      <w:kern w:val="2"/>
      <w:sz w:val="28"/>
    </w:rPr>
  </w:style>
  <w:style w:type="character" w:customStyle="1" w:styleId="408">
    <w:name w:val="正文文本缩进 3 Char"/>
    <w:qFormat/>
    <w:uiPriority w:val="0"/>
    <w:rPr>
      <w:rFonts w:ascii="仿宋_GB2312" w:hAnsi="宋体" w:eastAsia="仿宋_GB2312"/>
      <w:color w:val="000000"/>
      <w:kern w:val="2"/>
      <w:sz w:val="24"/>
      <w:szCs w:val="24"/>
    </w:rPr>
  </w:style>
  <w:style w:type="character" w:customStyle="1" w:styleId="409">
    <w:name w:val="tpc_content1"/>
    <w:qFormat/>
    <w:uiPriority w:val="99"/>
    <w:rPr>
      <w:sz w:val="20"/>
      <w:szCs w:val="20"/>
    </w:rPr>
  </w:style>
  <w:style w:type="character" w:customStyle="1" w:styleId="410">
    <w:name w:val="项目排列 Char"/>
    <w:link w:val="411"/>
    <w:qFormat/>
    <w:uiPriority w:val="99"/>
    <w:rPr>
      <w:kern w:val="2"/>
      <w:sz w:val="24"/>
      <w:szCs w:val="24"/>
    </w:rPr>
  </w:style>
  <w:style w:type="paragraph" w:customStyle="1" w:styleId="411">
    <w:name w:val="项目排列"/>
    <w:basedOn w:val="1"/>
    <w:link w:val="410"/>
    <w:qFormat/>
    <w:uiPriority w:val="99"/>
    <w:pPr>
      <w:tabs>
        <w:tab w:val="left" w:pos="840"/>
        <w:tab w:val="left" w:pos="900"/>
      </w:tabs>
      <w:spacing w:beforeLines="50" w:afterLines="50" w:line="300" w:lineRule="auto"/>
      <w:ind w:left="840" w:hanging="420"/>
    </w:pPr>
    <w:rPr>
      <w:rFonts w:ascii="Times New Roman" w:hAnsi="Times New Roman" w:cs="Times New Roman"/>
    </w:rPr>
  </w:style>
  <w:style w:type="character" w:customStyle="1" w:styleId="412">
    <w:name w:val="fontstyle01"/>
    <w:qFormat/>
    <w:uiPriority w:val="0"/>
    <w:rPr>
      <w:rFonts w:ascii="宋体" w:eastAsia="宋体" w:cs="宋体"/>
      <w:color w:val="000000"/>
      <w:sz w:val="18"/>
      <w:szCs w:val="18"/>
      <w:lang w:bidi="ar-SA"/>
    </w:rPr>
  </w:style>
  <w:style w:type="character" w:customStyle="1" w:styleId="413">
    <w:name w:val="10"/>
    <w:qFormat/>
    <w:uiPriority w:val="0"/>
    <w:rPr>
      <w:sz w:val="20"/>
    </w:rPr>
  </w:style>
  <w:style w:type="character" w:customStyle="1" w:styleId="414">
    <w:name w:val="Figure Char Char"/>
    <w:qFormat/>
    <w:uiPriority w:val="99"/>
    <w:rPr>
      <w:rFonts w:ascii="Arial" w:hAnsi="Arial" w:eastAsia="宋体"/>
      <w:sz w:val="21"/>
      <w:lang w:val="en-US" w:eastAsia="zh-CN"/>
    </w:rPr>
  </w:style>
  <w:style w:type="character" w:customStyle="1" w:styleId="415">
    <w:name w:val="文档结构图 字符1"/>
    <w:qFormat/>
    <w:uiPriority w:val="0"/>
    <w:rPr>
      <w:rFonts w:ascii="Microsoft YaHei UI" w:eastAsia="Microsoft YaHei UI"/>
      <w:kern w:val="2"/>
      <w:sz w:val="18"/>
      <w:szCs w:val="18"/>
    </w:rPr>
  </w:style>
  <w:style w:type="character" w:customStyle="1" w:styleId="416">
    <w:name w:val="正文文本 Char"/>
    <w:qFormat/>
    <w:uiPriority w:val="0"/>
    <w:rPr>
      <w:kern w:val="2"/>
      <w:sz w:val="28"/>
      <w:szCs w:val="24"/>
    </w:rPr>
  </w:style>
  <w:style w:type="character" w:customStyle="1" w:styleId="417">
    <w:name w:val="正文（绿盟科技） Char"/>
    <w:link w:val="418"/>
    <w:qFormat/>
    <w:uiPriority w:val="0"/>
    <w:rPr>
      <w:rFonts w:ascii="Arial" w:hAnsi="Arial"/>
      <w:szCs w:val="21"/>
    </w:rPr>
  </w:style>
  <w:style w:type="paragraph" w:customStyle="1" w:styleId="418">
    <w:name w:val="正文（绿盟科技）"/>
    <w:link w:val="417"/>
    <w:qFormat/>
    <w:uiPriority w:val="0"/>
    <w:pPr>
      <w:spacing w:line="300" w:lineRule="auto"/>
    </w:pPr>
    <w:rPr>
      <w:rFonts w:ascii="Arial" w:hAnsi="Arial" w:eastAsia="宋体" w:cs="Times New Roman"/>
      <w:szCs w:val="21"/>
      <w:lang w:val="en-US" w:eastAsia="zh-CN" w:bidi="ar-SA"/>
    </w:rPr>
  </w:style>
  <w:style w:type="character" w:customStyle="1" w:styleId="419">
    <w:name w:val="1级标题 Char"/>
    <w:link w:val="420"/>
    <w:qFormat/>
    <w:uiPriority w:val="0"/>
    <w:rPr>
      <w:rFonts w:ascii="黑体" w:hAnsi="黑体" w:eastAsia="黑体"/>
      <w:sz w:val="36"/>
      <w:szCs w:val="36"/>
      <w:lang w:eastAsia="en-US" w:bidi="en-US"/>
    </w:rPr>
  </w:style>
  <w:style w:type="paragraph" w:customStyle="1" w:styleId="420">
    <w:name w:val="1级标题"/>
    <w:basedOn w:val="112"/>
    <w:link w:val="419"/>
    <w:qFormat/>
    <w:uiPriority w:val="0"/>
    <w:pPr>
      <w:keepLines/>
      <w:pageBreakBefore/>
      <w:tabs>
        <w:tab w:val="left" w:pos="840"/>
      </w:tabs>
      <w:spacing w:before="240" w:after="240"/>
      <w:ind w:left="840" w:firstLine="0" w:firstLineChars="0"/>
      <w:contextualSpacing/>
      <w:jc w:val="center"/>
      <w:outlineLvl w:val="0"/>
    </w:pPr>
    <w:rPr>
      <w:rFonts w:ascii="黑体" w:hAnsi="黑体" w:eastAsia="黑体" w:cs="Times New Roman"/>
      <w:kern w:val="0"/>
      <w:sz w:val="36"/>
      <w:szCs w:val="36"/>
      <w:lang w:eastAsia="en-US" w:bidi="en-US"/>
    </w:rPr>
  </w:style>
  <w:style w:type="character" w:customStyle="1" w:styleId="421">
    <w:name w:val="fontstyle21"/>
    <w:qFormat/>
    <w:uiPriority w:val="0"/>
    <w:rPr>
      <w:rFonts w:hint="eastAsia" w:ascii="宋体" w:hAnsi="宋体" w:eastAsia="宋体"/>
      <w:color w:val="000000"/>
      <w:sz w:val="24"/>
      <w:szCs w:val="24"/>
    </w:rPr>
  </w:style>
  <w:style w:type="character" w:customStyle="1" w:styleId="422">
    <w:name w:val="明显参考1"/>
    <w:qFormat/>
    <w:uiPriority w:val="0"/>
    <w:rPr>
      <w:b/>
      <w:bCs/>
      <w:smallCaps/>
      <w:color w:val="C0504D"/>
      <w:spacing w:val="5"/>
      <w:u w:val="single"/>
    </w:rPr>
  </w:style>
  <w:style w:type="character" w:customStyle="1" w:styleId="423">
    <w:name w:val="正文缩进 Char"/>
    <w:qFormat/>
    <w:uiPriority w:val="0"/>
    <w:rPr>
      <w:rFonts w:eastAsia="宋体"/>
      <w:kern w:val="2"/>
      <w:sz w:val="21"/>
      <w:lang w:val="en-US" w:eastAsia="zh-CN" w:bidi="ar-SA"/>
    </w:rPr>
  </w:style>
  <w:style w:type="character" w:customStyle="1" w:styleId="424">
    <w:name w:val="标准文本 Char"/>
    <w:link w:val="425"/>
    <w:qFormat/>
    <w:uiPriority w:val="99"/>
    <w:rPr>
      <w:rFonts w:cs="宋体"/>
      <w:kern w:val="2"/>
      <w:sz w:val="24"/>
    </w:rPr>
  </w:style>
  <w:style w:type="paragraph" w:customStyle="1" w:styleId="425">
    <w:name w:val="标准文本"/>
    <w:basedOn w:val="1"/>
    <w:link w:val="424"/>
    <w:qFormat/>
    <w:uiPriority w:val="99"/>
    <w:pPr>
      <w:spacing w:line="360" w:lineRule="auto"/>
      <w:ind w:firstLine="200" w:firstLineChars="200"/>
    </w:pPr>
    <w:rPr>
      <w:rFonts w:ascii="Times New Roman" w:hAnsi="Times New Roman"/>
      <w:szCs w:val="20"/>
    </w:rPr>
  </w:style>
  <w:style w:type="character" w:customStyle="1" w:styleId="426">
    <w:name w:val="正文文本首行缩进 字符"/>
    <w:link w:val="5"/>
    <w:qFormat/>
    <w:uiPriority w:val="99"/>
    <w:rPr>
      <w:rFonts w:eastAsia="仿宋_GB2312"/>
      <w:kern w:val="2"/>
      <w:sz w:val="21"/>
      <w:szCs w:val="24"/>
    </w:rPr>
  </w:style>
  <w:style w:type="character" w:customStyle="1" w:styleId="427">
    <w:name w:val="正文首行缩进 2 字符"/>
    <w:basedOn w:val="107"/>
    <w:qFormat/>
    <w:uiPriority w:val="99"/>
    <w:rPr>
      <w:rFonts w:ascii="Calibri" w:hAnsi="Calibri" w:eastAsia="宋体" w:cs="宋体"/>
      <w:spacing w:val="-4"/>
      <w:kern w:val="2"/>
      <w:sz w:val="24"/>
      <w:szCs w:val="24"/>
    </w:rPr>
  </w:style>
  <w:style w:type="character" w:customStyle="1" w:styleId="428">
    <w:name w:val="正文首行缩进 字符"/>
    <w:basedOn w:val="135"/>
    <w:qFormat/>
    <w:uiPriority w:val="99"/>
    <w:rPr>
      <w:rFonts w:ascii="Calibri" w:hAnsi="Calibri" w:eastAsia="宋体" w:cs="宋体"/>
      <w:kern w:val="2"/>
      <w:sz w:val="24"/>
      <w:szCs w:val="24"/>
    </w:rPr>
  </w:style>
  <w:style w:type="character" w:customStyle="1" w:styleId="429">
    <w:name w:val="HTML 预设格式 字符"/>
    <w:basedOn w:val="58"/>
    <w:qFormat/>
    <w:uiPriority w:val="99"/>
    <w:rPr>
      <w:rFonts w:ascii="Courier New" w:hAnsi="Courier New" w:cs="Courier New"/>
      <w:kern w:val="2"/>
    </w:rPr>
  </w:style>
  <w:style w:type="paragraph" w:customStyle="1" w:styleId="430">
    <w:name w:val="正文 New New New New"/>
    <w:qFormat/>
    <w:uiPriority w:val="0"/>
    <w:pPr>
      <w:widowControl w:val="0"/>
      <w:jc w:val="both"/>
    </w:pPr>
    <w:rPr>
      <w:rFonts w:ascii="Calibri" w:hAnsi="Calibri" w:eastAsia="宋体" w:cs="Times New Roman"/>
      <w:sz w:val="21"/>
      <w:szCs w:val="24"/>
      <w:lang w:val="en-US" w:eastAsia="zh-CN" w:bidi="ar-SA"/>
    </w:rPr>
  </w:style>
  <w:style w:type="paragraph" w:customStyle="1" w:styleId="431">
    <w:name w:val="导言及总论正文"/>
    <w:basedOn w:val="1"/>
    <w:qFormat/>
    <w:uiPriority w:val="99"/>
    <w:pPr>
      <w:autoSpaceDE w:val="0"/>
      <w:autoSpaceDN w:val="0"/>
      <w:adjustRightInd w:val="0"/>
      <w:spacing w:before="80" w:after="80" w:line="360" w:lineRule="auto"/>
      <w:ind w:left="720" w:right="720" w:firstLine="437"/>
    </w:pPr>
    <w:rPr>
      <w:rFonts w:ascii="宋体" w:hAnsi="Times New Roman" w:cs="Times New Roman"/>
      <w:kern w:val="0"/>
      <w:sz w:val="21"/>
      <w:szCs w:val="20"/>
    </w:rPr>
  </w:style>
  <w:style w:type="paragraph" w:customStyle="1" w:styleId="432">
    <w:name w:val="报告正文"/>
    <w:basedOn w:val="1"/>
    <w:qFormat/>
    <w:uiPriority w:val="99"/>
    <w:pPr>
      <w:widowControl/>
      <w:overflowPunct w:val="0"/>
      <w:autoSpaceDE w:val="0"/>
      <w:autoSpaceDN w:val="0"/>
      <w:adjustRightInd w:val="0"/>
      <w:spacing w:after="80" w:line="360" w:lineRule="auto"/>
      <w:ind w:left="570"/>
      <w:textAlignment w:val="baseline"/>
    </w:pPr>
    <w:rPr>
      <w:rFonts w:ascii="Times New Roman" w:hAnsi="Times New Roman" w:cs="Times New Roman"/>
      <w:bCs/>
      <w:kern w:val="0"/>
      <w:szCs w:val="20"/>
    </w:rPr>
  </w:style>
  <w:style w:type="paragraph" w:customStyle="1" w:styleId="433">
    <w:name w:val="_Style 42"/>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34">
    <w:name w:val="表格文本"/>
    <w:basedOn w:val="1"/>
    <w:qFormat/>
    <w:uiPriority w:val="99"/>
    <w:pPr>
      <w:tabs>
        <w:tab w:val="decimal" w:pos="0"/>
      </w:tabs>
      <w:autoSpaceDE w:val="0"/>
      <w:autoSpaceDN w:val="0"/>
      <w:adjustRightInd w:val="0"/>
      <w:jc w:val="left"/>
    </w:pPr>
    <w:rPr>
      <w:rFonts w:ascii="Times New Roman" w:hAnsi="Times New Roman" w:cs="Times New Roman"/>
      <w:kern w:val="0"/>
      <w:sz w:val="21"/>
      <w:szCs w:val="21"/>
    </w:rPr>
  </w:style>
  <w:style w:type="paragraph" w:customStyle="1" w:styleId="435">
    <w:name w:val="编10号"/>
    <w:basedOn w:val="1"/>
    <w:qFormat/>
    <w:uiPriority w:val="99"/>
    <w:pPr>
      <w:tabs>
        <w:tab w:val="left" w:pos="1200"/>
        <w:tab w:val="left" w:pos="1620"/>
      </w:tabs>
      <w:ind w:left="1200" w:hanging="360"/>
    </w:pPr>
    <w:rPr>
      <w:rFonts w:ascii="Times New Roman" w:hAnsi="Times New Roman" w:cs="Times New Roman"/>
      <w:sz w:val="21"/>
    </w:rPr>
  </w:style>
  <w:style w:type="paragraph" w:customStyle="1" w:styleId="436">
    <w:name w:val="blue"/>
    <w:basedOn w:val="1"/>
    <w:qFormat/>
    <w:uiPriority w:val="99"/>
    <w:pPr>
      <w:widowControl/>
      <w:spacing w:before="100" w:beforeAutospacing="1" w:after="100" w:afterAutospacing="1"/>
      <w:jc w:val="left"/>
    </w:pPr>
    <w:rPr>
      <w:rFonts w:ascii="Arial Unicode MS" w:hAnsi="Times New Roman" w:eastAsia="Arial Unicode MS" w:cs="Times New Roman"/>
      <w:kern w:val="0"/>
      <w:szCs w:val="20"/>
    </w:rPr>
  </w:style>
  <w:style w:type="paragraph" w:customStyle="1" w:styleId="437">
    <w:name w:val="表正文中"/>
    <w:qFormat/>
    <w:uiPriority w:val="99"/>
    <w:pPr>
      <w:jc w:val="center"/>
    </w:pPr>
    <w:rPr>
      <w:rFonts w:ascii="Arial" w:hAnsi="Arial" w:eastAsia="宋体" w:cs="Times New Roman"/>
      <w:kern w:val="2"/>
      <w:sz w:val="18"/>
      <w:szCs w:val="24"/>
      <w:lang w:val="en-US" w:eastAsia="zh-CN" w:bidi="ar-SA"/>
    </w:rPr>
  </w:style>
  <w:style w:type="paragraph" w:customStyle="1" w:styleId="438">
    <w:name w:val="批注框文本1"/>
    <w:basedOn w:val="1"/>
    <w:qFormat/>
    <w:uiPriority w:val="0"/>
    <w:rPr>
      <w:rFonts w:ascii="Times New Roman" w:hAnsi="Times New Roman" w:cs="Times New Roman"/>
      <w:sz w:val="18"/>
      <w:szCs w:val="18"/>
    </w:rPr>
  </w:style>
  <w:style w:type="paragraph" w:customStyle="1" w:styleId="439">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szCs w:val="20"/>
    </w:rPr>
  </w:style>
  <w:style w:type="paragraph" w:customStyle="1" w:styleId="440">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b/>
      <w:bCs/>
      <w:kern w:val="0"/>
      <w:sz w:val="20"/>
      <w:szCs w:val="20"/>
    </w:rPr>
  </w:style>
  <w:style w:type="paragraph" w:customStyle="1" w:styleId="441">
    <w:name w:val="Normal_0"/>
    <w:qFormat/>
    <w:uiPriority w:val="99"/>
    <w:pPr>
      <w:spacing w:before="120" w:after="240"/>
      <w:jc w:val="both"/>
    </w:pPr>
    <w:rPr>
      <w:rFonts w:ascii="Calibri" w:hAnsi="Calibri" w:eastAsia="宋体" w:cs="Times New Roman"/>
      <w:sz w:val="22"/>
      <w:szCs w:val="22"/>
      <w:lang w:val="ru-RU" w:eastAsia="en-US" w:bidi="ar-SA"/>
    </w:rPr>
  </w:style>
  <w:style w:type="paragraph" w:customStyle="1" w:styleId="442">
    <w:name w:val="Table Description"/>
    <w:next w:val="1"/>
    <w:qFormat/>
    <w:uiPriority w:val="99"/>
    <w:pPr>
      <w:keepNext/>
      <w:snapToGrid w:val="0"/>
      <w:spacing w:before="160" w:after="80"/>
      <w:jc w:val="center"/>
    </w:pPr>
    <w:rPr>
      <w:rFonts w:ascii="Arial" w:hAnsi="Arial" w:eastAsia="黑体" w:cs="Times New Roman"/>
      <w:sz w:val="18"/>
      <w:lang w:val="en-US" w:eastAsia="zh-CN" w:bidi="ar-SA"/>
    </w:rPr>
  </w:style>
  <w:style w:type="paragraph" w:customStyle="1" w:styleId="443">
    <w:name w:val="标题1"/>
    <w:basedOn w:val="1"/>
    <w:qFormat/>
    <w:uiPriority w:val="99"/>
    <w:pPr>
      <w:spacing w:line="360" w:lineRule="auto"/>
      <w:jc w:val="center"/>
      <w:outlineLvl w:val="1"/>
    </w:pPr>
    <w:rPr>
      <w:rFonts w:ascii="楷体_GB2312" w:hAnsi="Times New Roman" w:eastAsia="楷体_GB2312" w:cs="Times New Roman"/>
      <w:b/>
      <w:sz w:val="36"/>
      <w:szCs w:val="36"/>
    </w:rPr>
  </w:style>
  <w:style w:type="paragraph" w:customStyle="1" w:styleId="444">
    <w:name w:val="xl67"/>
    <w:basedOn w:val="1"/>
    <w:qFormat/>
    <w:uiPriority w:val="0"/>
    <w:pPr>
      <w:widowControl/>
      <w:spacing w:before="100" w:beforeAutospacing="1" w:after="100" w:afterAutospacing="1"/>
      <w:jc w:val="left"/>
    </w:pPr>
    <w:rPr>
      <w:rFonts w:ascii="宋体" w:hAnsi="宋体"/>
      <w:kern w:val="0"/>
    </w:rPr>
  </w:style>
  <w:style w:type="paragraph" w:customStyle="1" w:styleId="445">
    <w:name w:val="正文（首行不缩进）"/>
    <w:basedOn w:val="1"/>
    <w:qFormat/>
    <w:uiPriority w:val="99"/>
    <w:pPr>
      <w:autoSpaceDE w:val="0"/>
      <w:autoSpaceDN w:val="0"/>
      <w:adjustRightInd w:val="0"/>
      <w:spacing w:line="360" w:lineRule="auto"/>
      <w:jc w:val="left"/>
    </w:pPr>
    <w:rPr>
      <w:rFonts w:ascii="Times New Roman" w:hAnsi="Times New Roman" w:cs="Times New Roman"/>
      <w:kern w:val="0"/>
      <w:sz w:val="21"/>
      <w:szCs w:val="20"/>
    </w:rPr>
  </w:style>
  <w:style w:type="paragraph" w:customStyle="1" w:styleId="446">
    <w:name w:val="TOC 标题2"/>
    <w:basedOn w:val="6"/>
    <w:next w:val="1"/>
    <w:qFormat/>
    <w:uiPriority w:val="0"/>
    <w:pPr>
      <w:widowControl/>
      <w:spacing w:before="480" w:after="0" w:line="276" w:lineRule="auto"/>
      <w:jc w:val="left"/>
      <w:outlineLvl w:val="9"/>
    </w:pPr>
    <w:rPr>
      <w:rFonts w:ascii="Cambria" w:hAnsi="Cambria" w:cs="Times New Roman"/>
      <w:color w:val="365F91"/>
      <w:kern w:val="0"/>
      <w:sz w:val="28"/>
      <w:szCs w:val="28"/>
    </w:rPr>
  </w:style>
  <w:style w:type="paragraph" w:customStyle="1" w:styleId="447">
    <w:name w:val="正文3"/>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448">
    <w:name w:val="Char Char4"/>
    <w:basedOn w:val="1"/>
    <w:qFormat/>
    <w:uiPriority w:val="0"/>
    <w:pPr>
      <w:widowControl/>
      <w:spacing w:after="160" w:line="240" w:lineRule="exact"/>
      <w:jc w:val="left"/>
    </w:pPr>
    <w:rPr>
      <w:rFonts w:ascii="Times New Roman" w:hAnsi="Times New Roman" w:cs="Times New Roman"/>
      <w:sz w:val="28"/>
      <w:szCs w:val="20"/>
    </w:rPr>
  </w:style>
  <w:style w:type="paragraph" w:customStyle="1" w:styleId="449">
    <w:name w:val="Table Heading"/>
    <w:qFormat/>
    <w:uiPriority w:val="99"/>
    <w:pPr>
      <w:keepNext/>
      <w:snapToGrid w:val="0"/>
      <w:spacing w:before="80" w:after="80"/>
      <w:jc w:val="center"/>
    </w:pPr>
    <w:rPr>
      <w:rFonts w:ascii="Arial" w:hAnsi="Arial" w:eastAsia="黑体" w:cs="Times New Roman"/>
      <w:sz w:val="18"/>
      <w:lang w:val="en-US" w:eastAsia="zh-CN" w:bidi="ar-SA"/>
    </w:rPr>
  </w:style>
  <w:style w:type="paragraph" w:customStyle="1" w:styleId="450">
    <w:name w:val="标题 4（绿盟科技）"/>
    <w:basedOn w:val="11"/>
    <w:next w:val="418"/>
    <w:qFormat/>
    <w:uiPriority w:val="0"/>
    <w:pPr>
      <w:keepNext w:val="0"/>
      <w:keepLines w:val="0"/>
      <w:widowControl/>
      <w:tabs>
        <w:tab w:val="left" w:pos="1440"/>
        <w:tab w:val="left" w:pos="6780"/>
      </w:tabs>
      <w:spacing w:before="240" w:after="156" w:line="240" w:lineRule="auto"/>
      <w:ind w:left="6780" w:hanging="360"/>
      <w:jc w:val="left"/>
    </w:pPr>
    <w:rPr>
      <w:rFonts w:cs="Times New Roman"/>
      <w:b w:val="0"/>
      <w:bCs w:val="0"/>
      <w:sz w:val="24"/>
      <w:szCs w:val="20"/>
    </w:rPr>
  </w:style>
  <w:style w:type="paragraph" w:customStyle="1" w:styleId="451">
    <w:name w:val="List Paragraph1"/>
    <w:basedOn w:val="1"/>
    <w:qFormat/>
    <w:uiPriority w:val="99"/>
    <w:pPr>
      <w:ind w:firstLine="420" w:firstLineChars="200"/>
    </w:pPr>
    <w:rPr>
      <w:rFonts w:cs="Times New Roman"/>
      <w:sz w:val="21"/>
      <w:szCs w:val="22"/>
    </w:rPr>
  </w:style>
  <w:style w:type="paragraph" w:customStyle="1" w:styleId="452">
    <w:name w:val="p19"/>
    <w:basedOn w:val="1"/>
    <w:qFormat/>
    <w:uiPriority w:val="0"/>
    <w:pPr>
      <w:widowControl/>
      <w:spacing w:line="300" w:lineRule="auto"/>
      <w:jc w:val="left"/>
    </w:pPr>
    <w:rPr>
      <w:rFonts w:ascii="Arial" w:hAnsi="Arial" w:cs="Arial"/>
      <w:kern w:val="0"/>
      <w:sz w:val="21"/>
      <w:szCs w:val="21"/>
    </w:rPr>
  </w:style>
  <w:style w:type="paragraph" w:customStyle="1" w:styleId="453">
    <w:name w:val="表"/>
    <w:basedOn w:val="1"/>
    <w:qFormat/>
    <w:uiPriority w:val="0"/>
    <w:rPr>
      <w:rFonts w:ascii="Times New Roman" w:hAnsi="宋体" w:cs="Times New Roman"/>
      <w:kern w:val="0"/>
      <w:sz w:val="21"/>
      <w:szCs w:val="20"/>
    </w:rPr>
  </w:style>
  <w:style w:type="paragraph" w:customStyle="1" w:styleId="454">
    <w:name w:val="列出段落4"/>
    <w:basedOn w:val="1"/>
    <w:qFormat/>
    <w:uiPriority w:val="99"/>
    <w:pPr>
      <w:ind w:firstLine="420" w:firstLineChars="200"/>
    </w:pPr>
    <w:rPr>
      <w:rFonts w:ascii="Times New Roman" w:hAnsi="Times New Roman" w:cs="Times New Roman"/>
      <w:sz w:val="21"/>
    </w:rPr>
  </w:style>
  <w:style w:type="paragraph" w:customStyle="1" w:styleId="455">
    <w:name w:val="Char Char27"/>
    <w:basedOn w:val="1"/>
    <w:qFormat/>
    <w:uiPriority w:val="0"/>
    <w:pPr>
      <w:snapToGrid w:val="0"/>
      <w:spacing w:line="360" w:lineRule="auto"/>
    </w:pPr>
    <w:rPr>
      <w:rFonts w:ascii="Arial" w:hAnsi="Arial" w:eastAsia="黑体" w:cs="Times New Roman"/>
      <w:snapToGrid w:val="0"/>
      <w:kern w:val="0"/>
      <w:sz w:val="20"/>
      <w:szCs w:val="21"/>
    </w:rPr>
  </w:style>
  <w:style w:type="paragraph" w:customStyle="1" w:styleId="456">
    <w:name w:val="正文文本3"/>
    <w:basedOn w:val="1"/>
    <w:qFormat/>
    <w:uiPriority w:val="0"/>
    <w:pPr>
      <w:shd w:val="clear" w:color="auto" w:fill="FFFFFF"/>
      <w:spacing w:before="180" w:line="425" w:lineRule="exact"/>
      <w:jc w:val="distribute"/>
    </w:pPr>
    <w:rPr>
      <w:rFonts w:ascii="宋体" w:hAnsi="宋体" w:cs="Times New Roman"/>
      <w:kern w:val="0"/>
      <w:sz w:val="23"/>
      <w:szCs w:val="23"/>
    </w:rPr>
  </w:style>
  <w:style w:type="paragraph" w:customStyle="1" w:styleId="457">
    <w:name w:val="默认段落字体 Para Char Char Char Char Char Char Char Char Char1"/>
    <w:basedOn w:val="1"/>
    <w:qFormat/>
    <w:uiPriority w:val="99"/>
    <w:rPr>
      <w:rFonts w:ascii="Tahoma" w:hAnsi="Tahoma" w:cs="Times New Roman"/>
      <w:szCs w:val="20"/>
    </w:rPr>
  </w:style>
  <w:style w:type="paragraph" w:customStyle="1" w:styleId="458">
    <w:name w:val="p15"/>
    <w:basedOn w:val="1"/>
    <w:qFormat/>
    <w:uiPriority w:val="99"/>
    <w:pPr>
      <w:widowControl/>
      <w:snapToGrid w:val="0"/>
      <w:spacing w:line="300" w:lineRule="auto"/>
      <w:ind w:left="489" w:hanging="510"/>
    </w:pPr>
    <w:rPr>
      <w:rFonts w:ascii="Arial" w:hAnsi="Arial" w:cs="Arial"/>
      <w:kern w:val="0"/>
      <w:sz w:val="18"/>
      <w:szCs w:val="18"/>
    </w:rPr>
  </w:style>
  <w:style w:type="paragraph" w:customStyle="1" w:styleId="459">
    <w:name w:val="正文缩近"/>
    <w:basedOn w:val="1"/>
    <w:qFormat/>
    <w:uiPriority w:val="0"/>
    <w:pPr>
      <w:adjustRightInd w:val="0"/>
      <w:snapToGrid w:val="0"/>
      <w:spacing w:line="540" w:lineRule="atLeast"/>
      <w:ind w:firstLine="608"/>
      <w:textAlignment w:val="baseline"/>
    </w:pPr>
    <w:rPr>
      <w:rFonts w:ascii="仿宋_GB2312" w:hAnsi="Times New Roman" w:eastAsia="仿宋_GB2312"/>
      <w:kern w:val="0"/>
      <w:sz w:val="30"/>
      <w:szCs w:val="20"/>
    </w:rPr>
  </w:style>
  <w:style w:type="paragraph" w:customStyle="1" w:styleId="460">
    <w:name w:val="text"/>
    <w:basedOn w:val="1"/>
    <w:qFormat/>
    <w:uiPriority w:val="99"/>
    <w:pPr>
      <w:widowControl/>
      <w:ind w:firstLine="200" w:firstLineChars="200"/>
      <w:jc w:val="left"/>
    </w:pPr>
    <w:rPr>
      <w:rFonts w:ascii="Arial" w:hAnsi="Arial" w:cs="Times New Roman"/>
      <w:kern w:val="0"/>
      <w:szCs w:val="20"/>
      <w:lang w:eastAsia="en-US"/>
    </w:rPr>
  </w:style>
  <w:style w:type="paragraph" w:customStyle="1" w:styleId="461">
    <w:name w:val="插图题注"/>
    <w:next w:val="1"/>
    <w:qFormat/>
    <w:uiPriority w:val="99"/>
    <w:pPr>
      <w:spacing w:afterLines="100"/>
      <w:jc w:val="center"/>
    </w:pPr>
    <w:rPr>
      <w:rFonts w:ascii="Arial" w:hAnsi="Arial" w:eastAsia="宋体" w:cs="Times New Roman"/>
      <w:sz w:val="18"/>
      <w:szCs w:val="18"/>
      <w:lang w:val="en-US" w:eastAsia="zh-CN" w:bidi="ar-SA"/>
    </w:rPr>
  </w:style>
  <w:style w:type="paragraph" w:customStyle="1" w:styleId="462">
    <w:name w:val="Char Char1 Char Char Char Char1 Char Char Char"/>
    <w:basedOn w:val="1"/>
    <w:qFormat/>
    <w:uiPriority w:val="99"/>
    <w:pPr>
      <w:adjustRightInd w:val="0"/>
      <w:spacing w:line="360" w:lineRule="atLeast"/>
    </w:pPr>
    <w:rPr>
      <w:rFonts w:ascii="Tahoma" w:hAnsi="Tahoma" w:cs="Times New Roman"/>
      <w:szCs w:val="20"/>
    </w:rPr>
  </w:style>
  <w:style w:type="paragraph" w:customStyle="1" w:styleId="463">
    <w:name w:val="样式 加粗 段前: 7.8 磅 段后: 7.8 磅 行距: 固定值 20 磅"/>
    <w:basedOn w:val="1"/>
    <w:qFormat/>
    <w:uiPriority w:val="0"/>
    <w:pPr>
      <w:spacing w:before="60" w:after="60" w:line="360" w:lineRule="exact"/>
    </w:pPr>
    <w:rPr>
      <w:rFonts w:ascii="Times New Roman" w:hAnsi="Times New Roman"/>
      <w:b/>
      <w:bCs/>
      <w:spacing w:val="-2"/>
      <w:szCs w:val="20"/>
    </w:rPr>
  </w:style>
  <w:style w:type="paragraph" w:customStyle="1" w:styleId="464">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465">
    <w:name w:val="reader-word-layer reader-word-s1-8"/>
    <w:basedOn w:val="1"/>
    <w:qFormat/>
    <w:uiPriority w:val="0"/>
    <w:pPr>
      <w:widowControl/>
      <w:spacing w:before="100" w:beforeAutospacing="1" w:after="100" w:afterAutospacing="1"/>
      <w:jc w:val="left"/>
    </w:pPr>
    <w:rPr>
      <w:rFonts w:ascii="宋体" w:hAnsi="Times New Roman"/>
      <w:kern w:val="0"/>
    </w:rPr>
  </w:style>
  <w:style w:type="paragraph" w:customStyle="1" w:styleId="466">
    <w:name w:val="Char Char1 Char Char Char Char Char Char Char Char Char Char"/>
    <w:basedOn w:val="1"/>
    <w:qFormat/>
    <w:uiPriority w:val="99"/>
    <w:pPr>
      <w:widowControl/>
      <w:spacing w:after="160" w:line="240" w:lineRule="exact"/>
      <w:jc w:val="left"/>
    </w:pPr>
    <w:rPr>
      <w:rFonts w:ascii="Verdana" w:hAnsi="Verdana" w:eastAsia="仿宋_GB2312" w:cs="Times New Roman"/>
      <w:kern w:val="0"/>
      <w:szCs w:val="20"/>
      <w:lang w:eastAsia="en-US"/>
    </w:rPr>
  </w:style>
  <w:style w:type="paragraph" w:customStyle="1" w:styleId="467">
    <w:name w:val="表正文左"/>
    <w:qFormat/>
    <w:uiPriority w:val="99"/>
    <w:rPr>
      <w:rFonts w:ascii="Arial" w:hAnsi="Arial" w:eastAsia="宋体" w:cs="Times New Roman"/>
      <w:kern w:val="2"/>
      <w:sz w:val="18"/>
      <w:szCs w:val="24"/>
      <w:lang w:val="en-US" w:eastAsia="zh-CN" w:bidi="ar-SA"/>
    </w:rPr>
  </w:style>
  <w:style w:type="paragraph" w:customStyle="1" w:styleId="468">
    <w:name w:val="默认段落字体 Para Char Char Char Char Char Char Char Char Char Char Char Char"/>
    <w:basedOn w:val="1"/>
    <w:qFormat/>
    <w:uiPriority w:val="99"/>
    <w:pPr>
      <w:tabs>
        <w:tab w:val="right" w:pos="-2120"/>
      </w:tabs>
      <w:snapToGrid w:val="0"/>
    </w:pPr>
    <w:rPr>
      <w:rFonts w:ascii="Tahoma" w:hAnsi="Tahoma" w:cs="Times New Roman"/>
      <w:spacing w:val="6"/>
      <w:szCs w:val="20"/>
    </w:rPr>
  </w:style>
  <w:style w:type="paragraph" w:customStyle="1" w:styleId="469">
    <w:name w:val="图号"/>
    <w:basedOn w:val="1"/>
    <w:qFormat/>
    <w:uiPriority w:val="99"/>
    <w:pPr>
      <w:autoSpaceDE w:val="0"/>
      <w:autoSpaceDN w:val="0"/>
      <w:adjustRightInd w:val="0"/>
      <w:spacing w:before="210" w:after="105" w:line="360" w:lineRule="auto"/>
      <w:ind w:left="544" w:hanging="544"/>
      <w:jc w:val="center"/>
    </w:pPr>
    <w:rPr>
      <w:rFonts w:ascii="宋体" w:hAnsi="Times New Roman" w:cs="Times New Roman"/>
      <w:kern w:val="0"/>
      <w:sz w:val="21"/>
      <w:szCs w:val="20"/>
    </w:rPr>
  </w:style>
  <w:style w:type="paragraph" w:customStyle="1" w:styleId="470">
    <w:name w:val="标题2def"/>
    <w:basedOn w:val="53"/>
    <w:qFormat/>
    <w:uiPriority w:val="0"/>
    <w:pPr>
      <w:widowControl/>
      <w:overflowPunct w:val="0"/>
      <w:autoSpaceDE w:val="0"/>
      <w:autoSpaceDN w:val="0"/>
      <w:adjustRightInd w:val="0"/>
      <w:snapToGrid w:val="0"/>
      <w:spacing w:before="160" w:after="200"/>
      <w:textAlignment w:val="baseline"/>
    </w:pPr>
    <w:rPr>
      <w:rFonts w:ascii="Times New Roman" w:hAnsi="Times New Roman" w:eastAsia="仿宋_GB2312" w:cs="Times New Roman"/>
      <w:bCs w:val="0"/>
      <w:szCs w:val="20"/>
      <w:lang w:val="en-GB" w:eastAsia="en-GB"/>
    </w:rPr>
  </w:style>
  <w:style w:type="paragraph" w:customStyle="1" w:styleId="471">
    <w:name w:val="章正文"/>
    <w:basedOn w:val="1"/>
    <w:qFormat/>
    <w:uiPriority w:val="0"/>
    <w:pPr>
      <w:spacing w:beforeLines="50" w:after="120" w:line="300" w:lineRule="auto"/>
      <w:ind w:firstLine="480"/>
    </w:pPr>
    <w:rPr>
      <w:rFonts w:ascii="Helvetica" w:hAnsi="Helvetica" w:cs="Times New Roman"/>
      <w:sz w:val="21"/>
    </w:rPr>
  </w:style>
  <w:style w:type="paragraph" w:customStyle="1" w:styleId="472">
    <w:name w:val="模板普通正文"/>
    <w:basedOn w:val="9"/>
    <w:qFormat/>
    <w:uiPriority w:val="99"/>
    <w:pPr>
      <w:spacing w:beforeLines="50" w:after="10" w:line="360" w:lineRule="auto"/>
      <w:ind w:firstLine="175" w:firstLineChars="175"/>
      <w:jc w:val="left"/>
    </w:pPr>
    <w:rPr>
      <w:rFonts w:ascii="Calibri" w:hAnsi="Calibri" w:cs="Times New Roman"/>
      <w:spacing w:val="0"/>
      <w:kern w:val="2"/>
      <w:sz w:val="24"/>
      <w:szCs w:val="24"/>
    </w:rPr>
  </w:style>
  <w:style w:type="paragraph" w:customStyle="1" w:styleId="473">
    <w:name w:val="样式一"/>
    <w:basedOn w:val="1"/>
    <w:qFormat/>
    <w:uiPriority w:val="99"/>
    <w:pPr>
      <w:widowControl/>
      <w:spacing w:line="360" w:lineRule="auto"/>
      <w:jc w:val="center"/>
    </w:pPr>
    <w:rPr>
      <w:rFonts w:ascii="Times New Roman" w:hAnsi="Times New Roman" w:cs="Times New Roman"/>
      <w:b/>
      <w:kern w:val="0"/>
      <w:sz w:val="44"/>
      <w:szCs w:val="44"/>
    </w:rPr>
  </w:style>
  <w:style w:type="paragraph" w:customStyle="1" w:styleId="474">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75">
    <w:name w:val="表头"/>
    <w:basedOn w:val="1"/>
    <w:qFormat/>
    <w:uiPriority w:val="99"/>
    <w:pPr>
      <w:autoSpaceDE w:val="0"/>
      <w:autoSpaceDN w:val="0"/>
      <w:adjustRightInd w:val="0"/>
      <w:jc w:val="center"/>
    </w:pPr>
    <w:rPr>
      <w:rFonts w:ascii="Arial" w:hAnsi="Arial" w:cs="Times New Roman"/>
      <w:kern w:val="0"/>
      <w:sz w:val="18"/>
      <w:szCs w:val="20"/>
    </w:rPr>
  </w:style>
  <w:style w:type="paragraph" w:customStyle="1" w:styleId="476">
    <w:name w:val="Char Char1 Char Char Char Char Char Char"/>
    <w:basedOn w:val="1"/>
    <w:qFormat/>
    <w:uiPriority w:val="99"/>
    <w:pPr>
      <w:widowControl/>
      <w:spacing w:after="160" w:line="240" w:lineRule="exact"/>
      <w:jc w:val="left"/>
    </w:pPr>
    <w:rPr>
      <w:rFonts w:ascii="Times New Roman" w:hAnsi="Times New Roman" w:cs="Times New Roman"/>
      <w:sz w:val="21"/>
    </w:rPr>
  </w:style>
  <w:style w:type="paragraph" w:customStyle="1" w:styleId="477">
    <w:name w:val="Item Step"/>
    <w:qFormat/>
    <w:uiPriority w:val="99"/>
    <w:pPr>
      <w:tabs>
        <w:tab w:val="left" w:pos="1644"/>
      </w:tabs>
      <w:ind w:left="1644" w:hanging="510"/>
    </w:pPr>
    <w:rPr>
      <w:rFonts w:ascii="Arial" w:hAnsi="Arial" w:eastAsia="宋体" w:cs="Arial"/>
      <w:sz w:val="21"/>
      <w:szCs w:val="21"/>
      <w:lang w:val="en-US" w:eastAsia="zh-CN" w:bidi="ar-SA"/>
    </w:rPr>
  </w:style>
  <w:style w:type="paragraph" w:customStyle="1" w:styleId="478">
    <w:name w:val="标书_正文"/>
    <w:basedOn w:val="1"/>
    <w:qFormat/>
    <w:uiPriority w:val="99"/>
    <w:pPr>
      <w:adjustRightInd w:val="0"/>
      <w:snapToGrid w:val="0"/>
      <w:spacing w:line="400" w:lineRule="exact"/>
      <w:ind w:firstLine="200" w:firstLineChars="200"/>
    </w:pPr>
    <w:rPr>
      <w:rFonts w:ascii="仿宋_GB2312" w:hAnsi="Times New Roman" w:eastAsia="仿宋_GB2312"/>
      <w:bCs/>
      <w:color w:val="000000"/>
      <w:kern w:val="0"/>
      <w:sz w:val="28"/>
      <w:szCs w:val="28"/>
    </w:rPr>
  </w:style>
  <w:style w:type="paragraph" w:customStyle="1" w:styleId="47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480">
    <w:name w:val="p16"/>
    <w:basedOn w:val="1"/>
    <w:qFormat/>
    <w:uiPriority w:val="99"/>
    <w:pPr>
      <w:widowControl/>
      <w:spacing w:before="60"/>
      <w:ind w:left="426"/>
    </w:pPr>
    <w:rPr>
      <w:rFonts w:ascii="Arial" w:hAnsi="Arial" w:cs="Arial"/>
      <w:kern w:val="0"/>
      <w:sz w:val="21"/>
      <w:szCs w:val="21"/>
    </w:rPr>
  </w:style>
  <w:style w:type="character" w:customStyle="1" w:styleId="481">
    <w:name w:val="明显引用 字符"/>
    <w:basedOn w:val="58"/>
    <w:qFormat/>
    <w:uiPriority w:val="99"/>
    <w:rPr>
      <w:rFonts w:ascii="Calibri" w:hAnsi="Calibri" w:cs="宋体"/>
      <w:i/>
      <w:iCs/>
      <w:color w:val="4F81BD"/>
      <w:kern w:val="2"/>
      <w:sz w:val="24"/>
      <w:szCs w:val="24"/>
    </w:rPr>
  </w:style>
  <w:style w:type="paragraph" w:customStyle="1" w:styleId="482">
    <w:name w:val="默认段落字体 Para Char Char Char Char Char Char Char Char Char Char Char Char1 Char"/>
    <w:basedOn w:val="1"/>
    <w:qFormat/>
    <w:uiPriority w:val="99"/>
    <w:pPr>
      <w:tabs>
        <w:tab w:val="right" w:pos="-2120"/>
      </w:tabs>
      <w:snapToGrid w:val="0"/>
    </w:pPr>
    <w:rPr>
      <w:rFonts w:ascii="Tahoma" w:hAnsi="Tahoma" w:cs="Times New Roman"/>
      <w:spacing w:val="6"/>
      <w:szCs w:val="20"/>
    </w:rPr>
  </w:style>
  <w:style w:type="paragraph" w:customStyle="1" w:styleId="483">
    <w:name w:val="Char Char Char1 Char Char Char1 Char Char Char Char"/>
    <w:basedOn w:val="1"/>
    <w:qFormat/>
    <w:uiPriority w:val="99"/>
    <w:rPr>
      <w:rFonts w:ascii="Times New Roman" w:hAnsi="Times New Roman" w:cs="Times New Roman"/>
      <w:sz w:val="21"/>
    </w:rPr>
  </w:style>
  <w:style w:type="paragraph" w:customStyle="1" w:styleId="484">
    <w:name w:val="默认段落字体 Para Char Char Char Char Char Char Char Char Char1 Char Char Char Char Char Char1 Char Char Char"/>
    <w:basedOn w:val="1"/>
    <w:qFormat/>
    <w:uiPriority w:val="99"/>
    <w:pPr>
      <w:ind w:firstLine="420" w:firstLineChars="200"/>
      <w:jc w:val="left"/>
    </w:pPr>
    <w:rPr>
      <w:rFonts w:ascii="Tahoma" w:hAnsi="Tahoma" w:cs="Times New Roman"/>
      <w:szCs w:val="20"/>
    </w:rPr>
  </w:style>
  <w:style w:type="paragraph" w:customStyle="1" w:styleId="485">
    <w:name w:val="Char Char Char1 Char Char Char Char"/>
    <w:basedOn w:val="1"/>
    <w:qFormat/>
    <w:uiPriority w:val="0"/>
    <w:pPr>
      <w:widowControl/>
      <w:spacing w:after="160" w:line="240" w:lineRule="exact"/>
      <w:jc w:val="left"/>
    </w:pPr>
    <w:rPr>
      <w:rFonts w:ascii="Times New Roman" w:hAnsi="Times New Roman" w:cs="Times New Roman"/>
      <w:sz w:val="21"/>
    </w:rPr>
  </w:style>
  <w:style w:type="paragraph" w:customStyle="1" w:styleId="486">
    <w:name w:val="项目正文"/>
    <w:basedOn w:val="1"/>
    <w:qFormat/>
    <w:uiPriority w:val="0"/>
    <w:pPr>
      <w:tabs>
        <w:tab w:val="left" w:pos="360"/>
      </w:tabs>
      <w:ind w:left="317" w:hanging="317"/>
    </w:pPr>
    <w:rPr>
      <w:rFonts w:ascii="Times New Roman" w:hAnsi="Times New Roman" w:cs="Times New Roman"/>
      <w:sz w:val="21"/>
    </w:rPr>
  </w:style>
  <w:style w:type="paragraph" w:customStyle="1" w:styleId="487">
    <w:name w:val="样式 仿宋_GB2312 五号 黑色 行距: 单倍行距"/>
    <w:basedOn w:val="1"/>
    <w:qFormat/>
    <w:uiPriority w:val="0"/>
    <w:pPr>
      <w:snapToGrid w:val="0"/>
    </w:pPr>
    <w:rPr>
      <w:rFonts w:ascii="仿宋_GB2312" w:hAnsi="Times New Roman" w:eastAsia="仿宋_GB2312"/>
      <w:color w:val="000000"/>
      <w:szCs w:val="20"/>
    </w:rPr>
  </w:style>
  <w:style w:type="paragraph" w:customStyle="1" w:styleId="488">
    <w:name w:val="xl25"/>
    <w:basedOn w:val="1"/>
    <w:qFormat/>
    <w:uiPriority w:val="99"/>
    <w:pPr>
      <w:widowControl/>
      <w:spacing w:before="100" w:beforeAutospacing="1" w:after="100" w:afterAutospacing="1"/>
      <w:jc w:val="center"/>
      <w:textAlignment w:val="center"/>
    </w:pPr>
    <w:rPr>
      <w:rFonts w:ascii="宋体" w:hAnsi="Times New Roman" w:cs="Times New Roman"/>
      <w:kern w:val="0"/>
      <w:sz w:val="20"/>
      <w:szCs w:val="20"/>
    </w:rPr>
  </w:style>
  <w:style w:type="paragraph" w:customStyle="1" w:styleId="489">
    <w:name w:val="*正文"/>
    <w:basedOn w:val="1"/>
    <w:qFormat/>
    <w:uiPriority w:val="0"/>
    <w:pPr>
      <w:spacing w:line="360" w:lineRule="auto"/>
      <w:ind w:firstLine="480" w:firstLineChars="200"/>
    </w:pPr>
    <w:rPr>
      <w:rFonts w:cs="仿宋_GB2312"/>
    </w:rPr>
  </w:style>
  <w:style w:type="paragraph" w:customStyle="1" w:styleId="490">
    <w:name w:val="SideBar"/>
    <w:basedOn w:val="1"/>
    <w:qFormat/>
    <w:uiPriority w:val="99"/>
    <w:pPr>
      <w:widowControl/>
      <w:spacing w:before="120"/>
      <w:jc w:val="left"/>
    </w:pPr>
    <w:rPr>
      <w:rFonts w:ascii="New Century Schlbk" w:hAnsi="New Century Schlbk" w:cs="Times New Roman"/>
      <w:kern w:val="0"/>
      <w:sz w:val="22"/>
    </w:rPr>
  </w:style>
  <w:style w:type="paragraph" w:customStyle="1" w:styleId="491">
    <w:name w:val="默认段落字体 Para Char Char Char Char Char Char Char Char Char"/>
    <w:basedOn w:val="1"/>
    <w:qFormat/>
    <w:uiPriority w:val="99"/>
    <w:rPr>
      <w:rFonts w:ascii="Tahoma" w:hAnsi="Tahoma" w:cs="Times New Roman"/>
      <w:szCs w:val="20"/>
    </w:rPr>
  </w:style>
  <w:style w:type="paragraph" w:customStyle="1" w:styleId="492">
    <w:name w:val="Char1 Char Char Char Char Char Char"/>
    <w:basedOn w:val="1"/>
    <w:qFormat/>
    <w:uiPriority w:val="99"/>
    <w:rPr>
      <w:rFonts w:ascii="Tahoma" w:hAnsi="Tahoma" w:cs="Times New Roman"/>
      <w:szCs w:val="20"/>
    </w:rPr>
  </w:style>
  <w:style w:type="paragraph" w:customStyle="1" w:styleId="493">
    <w:name w:val="正文 New New"/>
    <w:qFormat/>
    <w:uiPriority w:val="99"/>
    <w:pPr>
      <w:widowControl w:val="0"/>
      <w:jc w:val="both"/>
    </w:pPr>
    <w:rPr>
      <w:rFonts w:ascii="Times New Roman" w:hAnsi="Times New Roman" w:eastAsia="宋体" w:cs="Times New Roman"/>
      <w:kern w:val="2"/>
      <w:sz w:val="21"/>
      <w:lang w:val="en-US" w:eastAsia="zh-CN" w:bidi="ar-SA"/>
    </w:rPr>
  </w:style>
  <w:style w:type="paragraph" w:customStyle="1" w:styleId="494">
    <w:name w:val="项目1"/>
    <w:basedOn w:val="1"/>
    <w:qFormat/>
    <w:uiPriority w:val="99"/>
    <w:pPr>
      <w:tabs>
        <w:tab w:val="left" w:pos="840"/>
      </w:tabs>
      <w:spacing w:after="60"/>
      <w:ind w:left="840" w:hanging="420"/>
    </w:pPr>
    <w:rPr>
      <w:rFonts w:ascii="宋体" w:hAnsi="Times New Roman" w:cs="Times New Roman"/>
      <w:spacing w:val="4"/>
      <w:sz w:val="21"/>
      <w:szCs w:val="20"/>
    </w:rPr>
  </w:style>
  <w:style w:type="paragraph" w:customStyle="1" w:styleId="495">
    <w:name w:val="Char4 Char Char Char"/>
    <w:basedOn w:val="22"/>
    <w:qFormat/>
    <w:uiPriority w:val="99"/>
    <w:pPr>
      <w:shd w:val="clear" w:color="auto" w:fill="000080"/>
      <w:spacing w:line="240" w:lineRule="auto"/>
      <w:ind w:firstLine="0" w:firstLineChars="0"/>
    </w:pPr>
    <w:rPr>
      <w:rFonts w:ascii="Times New Roman" w:hAnsi="Times New Roman" w:eastAsia="宋体" w:cs="Times New Roman"/>
      <w:sz w:val="20"/>
      <w:szCs w:val="20"/>
    </w:rPr>
  </w:style>
  <w:style w:type="paragraph" w:customStyle="1" w:styleId="496">
    <w:name w:val="--规划正文"/>
    <w:basedOn w:val="1"/>
    <w:qFormat/>
    <w:uiPriority w:val="0"/>
    <w:pPr>
      <w:widowControl/>
      <w:suppressAutoHyphens/>
      <w:spacing w:line="360" w:lineRule="auto"/>
      <w:ind w:firstLine="200"/>
      <w:jc w:val="left"/>
    </w:pPr>
    <w:rPr>
      <w:rFonts w:ascii="Times New Roman" w:hAnsi="Times New Roman" w:cs="Times New Roman"/>
      <w:kern w:val="1"/>
      <w:sz w:val="21"/>
      <w:szCs w:val="20"/>
      <w:lang w:eastAsia="ar-SA"/>
    </w:rPr>
  </w:style>
  <w:style w:type="paragraph" w:customStyle="1" w:styleId="497">
    <w:name w:val="_Style 39"/>
    <w:basedOn w:val="22"/>
    <w:qFormat/>
    <w:uiPriority w:val="0"/>
    <w:pPr>
      <w:shd w:val="clear" w:color="auto" w:fill="000080"/>
      <w:spacing w:line="240" w:lineRule="auto"/>
      <w:ind w:firstLine="0" w:firstLineChars="0"/>
    </w:pPr>
    <w:rPr>
      <w:rFonts w:ascii="Times New Roman" w:hAnsi="Times New Roman" w:eastAsia="宋体" w:cs="Times New Roman"/>
      <w:kern w:val="2"/>
      <w:sz w:val="21"/>
      <w:szCs w:val="24"/>
    </w:rPr>
  </w:style>
  <w:style w:type="paragraph" w:customStyle="1" w:styleId="498">
    <w:name w:val="Char Char Char Char Char Char Char2"/>
    <w:basedOn w:val="1"/>
    <w:qFormat/>
    <w:uiPriority w:val="0"/>
    <w:rPr>
      <w:rFonts w:ascii="Times New Roman" w:hAnsi="Times New Roman" w:cs="Times New Roman"/>
      <w:sz w:val="21"/>
      <w:szCs w:val="21"/>
    </w:rPr>
  </w:style>
  <w:style w:type="paragraph" w:customStyle="1" w:styleId="499">
    <w:name w:val="样式 T - 文档正文 + 首行缩进:  2 字符 段后: 1 行"/>
    <w:basedOn w:val="1"/>
    <w:qFormat/>
    <w:uiPriority w:val="99"/>
    <w:pPr>
      <w:spacing w:beforeLines="50" w:afterLines="50"/>
      <w:ind w:firstLine="200" w:firstLineChars="200"/>
    </w:pPr>
    <w:rPr>
      <w:rFonts w:ascii="Verdana" w:hAnsi="Verdana" w:eastAsia="仿宋_GB2312"/>
      <w:sz w:val="28"/>
      <w:szCs w:val="20"/>
    </w:rPr>
  </w:style>
  <w:style w:type="paragraph" w:customStyle="1" w:styleId="500">
    <w:name w:val="章节标题"/>
    <w:basedOn w:val="6"/>
    <w:qFormat/>
    <w:uiPriority w:val="99"/>
    <w:pPr>
      <w:tabs>
        <w:tab w:val="left" w:pos="425"/>
        <w:tab w:val="left" w:pos="900"/>
        <w:tab w:val="left" w:pos="2608"/>
        <w:tab w:val="center" w:pos="4153"/>
      </w:tabs>
      <w:spacing w:before="360" w:after="360" w:line="480" w:lineRule="auto"/>
      <w:ind w:left="900" w:hanging="420"/>
    </w:pPr>
    <w:rPr>
      <w:rFonts w:hAnsi="Times New Roman" w:cs="Times New Roman"/>
      <w:color w:val="000000"/>
    </w:rPr>
  </w:style>
  <w:style w:type="paragraph" w:customStyle="1" w:styleId="501">
    <w:name w:val="正文文本 21"/>
    <w:basedOn w:val="1"/>
    <w:qFormat/>
    <w:uiPriority w:val="99"/>
    <w:pPr>
      <w:adjustRightInd w:val="0"/>
      <w:spacing w:line="300" w:lineRule="auto"/>
      <w:jc w:val="center"/>
    </w:pPr>
    <w:rPr>
      <w:rFonts w:ascii="宋体" w:hAnsi="宋体" w:cs="Times New Roman"/>
      <w:szCs w:val="20"/>
    </w:rPr>
  </w:style>
  <w:style w:type="paragraph" w:customStyle="1" w:styleId="502">
    <w:name w:val="修订1"/>
    <w:qFormat/>
    <w:uiPriority w:val="99"/>
    <w:rPr>
      <w:rFonts w:ascii="Times New Roman" w:hAnsi="Times New Roman" w:eastAsia="宋体" w:cs="Times New Roman"/>
      <w:kern w:val="2"/>
      <w:sz w:val="21"/>
      <w:szCs w:val="24"/>
      <w:lang w:val="en-US" w:eastAsia="zh-CN" w:bidi="ar-SA"/>
    </w:rPr>
  </w:style>
  <w:style w:type="paragraph" w:customStyle="1" w:styleId="503">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504">
    <w:name w:val="xl32"/>
    <w:basedOn w:val="1"/>
    <w:qFormat/>
    <w:uiPriority w:val="99"/>
    <w:pPr>
      <w:widowControl/>
      <w:pBdr>
        <w:left w:val="single" w:color="auto" w:sz="4" w:space="0"/>
        <w:right w:val="single" w:color="auto" w:sz="4" w:space="0"/>
      </w:pBdr>
      <w:spacing w:before="100" w:beforeAutospacing="1" w:after="100" w:afterAutospacing="1"/>
    </w:pPr>
    <w:rPr>
      <w:rFonts w:ascii="Times New Roman" w:hAnsi="Times New Roman" w:cs="Times New Roman"/>
      <w:kern w:val="0"/>
      <w:sz w:val="21"/>
      <w:szCs w:val="21"/>
    </w:rPr>
  </w:style>
  <w:style w:type="paragraph" w:customStyle="1" w:styleId="505">
    <w:name w:val="IN Step"/>
    <w:basedOn w:val="1"/>
    <w:qFormat/>
    <w:uiPriority w:val="99"/>
    <w:pPr>
      <w:keepLines/>
      <w:widowControl/>
      <w:tabs>
        <w:tab w:val="left" w:pos="1134"/>
      </w:tabs>
      <w:spacing w:before="80" w:after="80" w:line="300" w:lineRule="auto"/>
      <w:ind w:left="1134" w:hanging="907"/>
      <w:outlineLvl w:val="8"/>
    </w:pPr>
    <w:rPr>
      <w:rFonts w:ascii="Arial" w:hAnsi="Arial" w:cs="Arial"/>
      <w:kern w:val="0"/>
      <w:sz w:val="21"/>
      <w:szCs w:val="21"/>
    </w:rPr>
  </w:style>
  <w:style w:type="paragraph" w:customStyle="1" w:styleId="506">
    <w:name w:val="表头样式 Char Char"/>
    <w:basedOn w:val="1"/>
    <w:qFormat/>
    <w:uiPriority w:val="99"/>
    <w:pPr>
      <w:autoSpaceDE w:val="0"/>
      <w:autoSpaceDN w:val="0"/>
      <w:adjustRightInd w:val="0"/>
      <w:jc w:val="center"/>
    </w:pPr>
    <w:rPr>
      <w:rFonts w:ascii="Arial" w:hAnsi="Arial" w:cs="Times New Roman"/>
      <w:b/>
      <w:kern w:val="0"/>
      <w:sz w:val="21"/>
      <w:szCs w:val="21"/>
    </w:rPr>
  </w:style>
  <w:style w:type="paragraph" w:customStyle="1" w:styleId="507">
    <w:name w:val="p18"/>
    <w:basedOn w:val="1"/>
    <w:qFormat/>
    <w:uiPriority w:val="99"/>
    <w:pPr>
      <w:widowControl/>
      <w:spacing w:line="60" w:lineRule="atLeast"/>
      <w:ind w:firstLine="420"/>
    </w:pPr>
    <w:rPr>
      <w:rFonts w:ascii="Arial" w:hAnsi="Arial" w:cs="Arial"/>
      <w:kern w:val="0"/>
      <w:sz w:val="21"/>
      <w:szCs w:val="21"/>
    </w:rPr>
  </w:style>
  <w:style w:type="paragraph" w:customStyle="1" w:styleId="508">
    <w:name w:val="样式 列表编号 + 段后: 0.5 行"/>
    <w:basedOn w:val="20"/>
    <w:qFormat/>
    <w:uiPriority w:val="99"/>
    <w:pPr>
      <w:numPr>
        <w:ilvl w:val="0"/>
        <w:numId w:val="0"/>
      </w:numPr>
      <w:tabs>
        <w:tab w:val="clear" w:pos="360"/>
        <w:tab w:val="clear" w:pos="720"/>
      </w:tabs>
      <w:ind w:left="425" w:hanging="425"/>
    </w:pPr>
    <w:rPr>
      <w:rFonts w:ascii="Times New Roman" w:hAnsi="Times New Roman"/>
    </w:rPr>
  </w:style>
  <w:style w:type="paragraph" w:customStyle="1" w:styleId="509">
    <w:name w:val="p20"/>
    <w:basedOn w:val="1"/>
    <w:qFormat/>
    <w:uiPriority w:val="99"/>
    <w:pPr>
      <w:widowControl/>
      <w:snapToGrid w:val="0"/>
      <w:spacing w:before="240" w:after="60" w:line="360" w:lineRule="auto"/>
      <w:jc w:val="center"/>
    </w:pPr>
    <w:rPr>
      <w:rFonts w:ascii="Cambria" w:hAnsi="Cambria"/>
      <w:b/>
      <w:bCs/>
      <w:kern w:val="0"/>
      <w:sz w:val="32"/>
      <w:szCs w:val="32"/>
    </w:rPr>
  </w:style>
  <w:style w:type="paragraph" w:customStyle="1" w:styleId="510">
    <w:name w:val="插图题注 Char"/>
    <w:next w:val="1"/>
    <w:qFormat/>
    <w:uiPriority w:val="99"/>
    <w:pPr>
      <w:spacing w:afterLines="100"/>
      <w:jc w:val="center"/>
    </w:pPr>
    <w:rPr>
      <w:rFonts w:ascii="Arial" w:hAnsi="Arial" w:eastAsia="宋体" w:cs="Times New Roman"/>
      <w:b/>
      <w:kern w:val="2"/>
      <w:sz w:val="18"/>
      <w:szCs w:val="18"/>
      <w:lang w:val="en-US" w:eastAsia="zh-CN" w:bidi="ar-SA"/>
    </w:rPr>
  </w:style>
  <w:style w:type="paragraph" w:customStyle="1" w:styleId="511">
    <w:name w:val="部分1"/>
    <w:basedOn w:val="1"/>
    <w:qFormat/>
    <w:uiPriority w:val="0"/>
    <w:pPr>
      <w:keepNext/>
      <w:pageBreakBefore/>
      <w:tabs>
        <w:tab w:val="left" w:pos="720"/>
      </w:tabs>
      <w:spacing w:line="360" w:lineRule="auto"/>
      <w:jc w:val="center"/>
      <w:outlineLvl w:val="0"/>
    </w:pPr>
    <w:rPr>
      <w:rFonts w:ascii="Times New Roman" w:hAnsi="Times New Roman" w:eastAsia="黑体" w:cs="Times New Roman"/>
      <w:b/>
      <w:kern w:val="44"/>
      <w:sz w:val="36"/>
      <w:szCs w:val="20"/>
    </w:rPr>
  </w:style>
  <w:style w:type="paragraph" w:customStyle="1" w:styleId="512">
    <w:name w:val="页眉1"/>
    <w:basedOn w:val="1"/>
    <w:qFormat/>
    <w:uiPriority w:val="0"/>
    <w:pPr>
      <w:pBdr>
        <w:bottom w:val="single" w:color="auto" w:sz="6" w:space="1"/>
      </w:pBdr>
      <w:tabs>
        <w:tab w:val="center" w:pos="4153"/>
        <w:tab w:val="right" w:pos="8306"/>
      </w:tabs>
      <w:snapToGrid w:val="0"/>
      <w:jc w:val="center"/>
    </w:pPr>
    <w:rPr>
      <w:rFonts w:ascii="Times New Roman" w:hAnsi="Times New Roman" w:cs="Times New Roman"/>
      <w:sz w:val="18"/>
      <w:szCs w:val="18"/>
    </w:rPr>
  </w:style>
  <w:style w:type="paragraph" w:customStyle="1" w:styleId="513">
    <w:name w:val="Body"/>
    <w:basedOn w:val="1"/>
    <w:qFormat/>
    <w:uiPriority w:val="99"/>
    <w:pPr>
      <w:widowControl/>
      <w:tabs>
        <w:tab w:val="left" w:pos="567"/>
        <w:tab w:val="left" w:pos="840"/>
        <w:tab w:val="left" w:pos="1843"/>
      </w:tabs>
      <w:spacing w:beforeLines="50" w:afterLines="50" w:line="360" w:lineRule="auto"/>
      <w:ind w:left="840" w:hanging="420"/>
    </w:pPr>
    <w:rPr>
      <w:rFonts w:ascii="Times New Roman" w:hAnsi="Times New Roman" w:cs="Times New Roman"/>
      <w:b/>
      <w:kern w:val="0"/>
      <w:sz w:val="28"/>
      <w:szCs w:val="28"/>
      <w:lang w:val="pt-BR"/>
    </w:rPr>
  </w:style>
  <w:style w:type="paragraph" w:customStyle="1" w:styleId="514">
    <w:name w:val="规范正文"/>
    <w:basedOn w:val="1"/>
    <w:qFormat/>
    <w:uiPriority w:val="0"/>
    <w:pPr>
      <w:spacing w:line="240" w:lineRule="atLeast"/>
    </w:pPr>
    <w:rPr>
      <w:rFonts w:ascii="Times New Roman" w:hAnsi="Times New Roman" w:cs="Times New Roman"/>
      <w:sz w:val="28"/>
    </w:rPr>
  </w:style>
  <w:style w:type="character" w:customStyle="1" w:styleId="515">
    <w:name w:val="引用 字符"/>
    <w:basedOn w:val="58"/>
    <w:qFormat/>
    <w:uiPriority w:val="99"/>
    <w:rPr>
      <w:rFonts w:ascii="Calibri" w:hAnsi="Calibri" w:cs="宋体"/>
      <w:i/>
      <w:iCs/>
      <w:color w:val="404040"/>
      <w:kern w:val="2"/>
      <w:sz w:val="24"/>
      <w:szCs w:val="24"/>
    </w:rPr>
  </w:style>
  <w:style w:type="paragraph" w:customStyle="1" w:styleId="516">
    <w:name w:val="正文 A"/>
    <w:next w:val="1"/>
    <w:qFormat/>
    <w:uiPriority w:val="0"/>
    <w:pPr>
      <w:widowControl w:val="0"/>
      <w:jc w:val="both"/>
    </w:pPr>
    <w:rPr>
      <w:rFonts w:ascii="宋体" w:hAnsi="宋体" w:eastAsia="Calibri" w:cs="宋体"/>
      <w:color w:val="000000"/>
      <w:sz w:val="18"/>
      <w:lang w:val="en-US" w:eastAsia="zh-CN" w:bidi="ar-SA"/>
    </w:rPr>
  </w:style>
  <w:style w:type="paragraph" w:customStyle="1" w:styleId="517">
    <w:name w:val="表格题注"/>
    <w:next w:val="1"/>
    <w:qFormat/>
    <w:uiPriority w:val="99"/>
    <w:pPr>
      <w:keepLines/>
      <w:tabs>
        <w:tab w:val="left" w:pos="405"/>
      </w:tabs>
      <w:spacing w:beforeLines="100"/>
      <w:ind w:left="405" w:hanging="405"/>
      <w:jc w:val="center"/>
    </w:pPr>
    <w:rPr>
      <w:rFonts w:ascii="Arial" w:hAnsi="Arial" w:eastAsia="宋体" w:cs="Times New Roman"/>
      <w:sz w:val="18"/>
      <w:szCs w:val="18"/>
      <w:lang w:val="en-US" w:eastAsia="zh-CN" w:bidi="ar-SA"/>
    </w:rPr>
  </w:style>
  <w:style w:type="paragraph" w:customStyle="1" w:styleId="518">
    <w:name w:val="表头样式"/>
    <w:basedOn w:val="1"/>
    <w:qFormat/>
    <w:uiPriority w:val="99"/>
    <w:pPr>
      <w:autoSpaceDE w:val="0"/>
      <w:autoSpaceDN w:val="0"/>
      <w:adjustRightInd w:val="0"/>
      <w:jc w:val="center"/>
    </w:pPr>
    <w:rPr>
      <w:rFonts w:ascii="Arial" w:hAnsi="Arial" w:cs="Times New Roman"/>
      <w:b/>
      <w:kern w:val="0"/>
      <w:sz w:val="21"/>
      <w:szCs w:val="21"/>
    </w:rPr>
  </w:style>
  <w:style w:type="paragraph" w:customStyle="1" w:styleId="519">
    <w:name w:val="自定义表格文字"/>
    <w:basedOn w:val="1"/>
    <w:qFormat/>
    <w:uiPriority w:val="99"/>
    <w:pPr>
      <w:spacing w:before="60" w:after="60" w:line="320" w:lineRule="exact"/>
      <w:jc w:val="left"/>
    </w:pPr>
    <w:rPr>
      <w:rFonts w:ascii="宋体" w:hAnsi="宋体" w:eastAsia="楷体_GB2312" w:cs="Times New Roman"/>
      <w:sz w:val="21"/>
    </w:rPr>
  </w:style>
  <w:style w:type="paragraph" w:customStyle="1" w:styleId="520">
    <w:name w:val="IN Feature"/>
    <w:next w:val="505"/>
    <w:qFormat/>
    <w:uiPriority w:val="99"/>
    <w:pPr>
      <w:keepNext/>
      <w:keepLines/>
      <w:spacing w:before="240" w:after="240"/>
      <w:outlineLvl w:val="7"/>
    </w:pPr>
    <w:rPr>
      <w:rFonts w:ascii="Arial" w:hAnsi="Arial" w:eastAsia="黑体" w:cs="Arial"/>
      <w:sz w:val="21"/>
      <w:szCs w:val="21"/>
      <w:lang w:val="en-US" w:eastAsia="zh-CN" w:bidi="ar-SA"/>
    </w:rPr>
  </w:style>
  <w:style w:type="paragraph" w:customStyle="1" w:styleId="521">
    <w:name w:val="Char Char12"/>
    <w:basedOn w:val="1"/>
    <w:qFormat/>
    <w:uiPriority w:val="0"/>
    <w:rPr>
      <w:rFonts w:ascii="Times New Roman" w:hAnsi="Times New Roman" w:cs="Times New Roman"/>
      <w:sz w:val="21"/>
      <w:szCs w:val="21"/>
    </w:rPr>
  </w:style>
  <w:style w:type="paragraph" w:customStyle="1" w:styleId="522">
    <w:name w:val="默认段落字体 Para Char Char Char Char Char Char Char Char Char1 Char Char Char"/>
    <w:basedOn w:val="1"/>
    <w:qFormat/>
    <w:uiPriority w:val="99"/>
    <w:rPr>
      <w:rFonts w:ascii="Tahoma" w:hAnsi="Tahoma" w:cs="Times New Roman"/>
      <w:szCs w:val="20"/>
    </w:rPr>
  </w:style>
  <w:style w:type="paragraph" w:customStyle="1" w:styleId="523">
    <w:name w:val="p17"/>
    <w:basedOn w:val="1"/>
    <w:qFormat/>
    <w:uiPriority w:val="99"/>
    <w:pPr>
      <w:widowControl/>
      <w:spacing w:before="120" w:after="120" w:line="120" w:lineRule="atLeast"/>
      <w:jc w:val="left"/>
    </w:pPr>
    <w:rPr>
      <w:rFonts w:ascii="Arial" w:hAnsi="Arial" w:cs="Arial"/>
      <w:b/>
      <w:bCs/>
      <w:kern w:val="0"/>
      <w:position w:val="20"/>
    </w:rPr>
  </w:style>
  <w:style w:type="paragraph" w:customStyle="1" w:styleId="524">
    <w:name w:val="Command"/>
    <w:qFormat/>
    <w:uiPriority w:val="99"/>
    <w:pPr>
      <w:spacing w:before="160" w:after="160"/>
    </w:pPr>
    <w:rPr>
      <w:rFonts w:ascii="Arial" w:hAnsi="Arial" w:eastAsia="黑体" w:cs="Times New Roman"/>
      <w:sz w:val="21"/>
      <w:lang w:val="en-US" w:eastAsia="zh-CN" w:bidi="ar-SA"/>
    </w:rPr>
  </w:style>
  <w:style w:type="paragraph" w:customStyle="1" w:styleId="525">
    <w:name w:val="纯文本3"/>
    <w:basedOn w:val="1"/>
    <w:qFormat/>
    <w:uiPriority w:val="0"/>
    <w:pPr>
      <w:adjustRightInd w:val="0"/>
      <w:textAlignment w:val="baseline"/>
    </w:pPr>
    <w:rPr>
      <w:rFonts w:ascii="宋体" w:hAnsi="Courier New" w:eastAsia="楷体_GB2312" w:cs="Times New Roman"/>
      <w:sz w:val="26"/>
      <w:szCs w:val="20"/>
    </w:rPr>
  </w:style>
  <w:style w:type="paragraph" w:customStyle="1" w:styleId="526">
    <w:name w:val="xl68"/>
    <w:basedOn w:val="1"/>
    <w:qFormat/>
    <w:uiPriority w:val="0"/>
    <w:pPr>
      <w:widowControl/>
      <w:shd w:val="clear" w:color="000000" w:fill="FFFFFF"/>
      <w:spacing w:before="100" w:beforeAutospacing="1" w:after="100" w:afterAutospacing="1"/>
      <w:jc w:val="left"/>
    </w:pPr>
    <w:rPr>
      <w:rFonts w:ascii="宋体" w:hAnsi="宋体"/>
      <w:kern w:val="0"/>
    </w:rPr>
  </w:style>
  <w:style w:type="paragraph" w:customStyle="1" w:styleId="527">
    <w:name w:val="正文 New New New New New New New New New New New New New New New New New New New New New New New New New"/>
    <w:qFormat/>
    <w:uiPriority w:val="99"/>
    <w:pPr>
      <w:widowControl w:val="0"/>
      <w:spacing w:line="440" w:lineRule="exact"/>
      <w:jc w:val="both"/>
    </w:pPr>
    <w:rPr>
      <w:rFonts w:ascii="Times New Roman" w:hAnsi="Times New Roman" w:eastAsia="宋体" w:cs="Times New Roman"/>
      <w:kern w:val="2"/>
      <w:sz w:val="28"/>
      <w:szCs w:val="24"/>
      <w:lang w:val="en-US" w:eastAsia="zh-CN" w:bidi="ar-SA"/>
    </w:rPr>
  </w:style>
  <w:style w:type="paragraph" w:customStyle="1" w:styleId="528">
    <w:name w:val="无间隔21"/>
    <w:qFormat/>
    <w:uiPriority w:val="0"/>
    <w:rPr>
      <w:rFonts w:ascii="Calibri" w:hAnsi="Calibri" w:eastAsia="宋体" w:cs="Times New Roman"/>
      <w:sz w:val="22"/>
      <w:szCs w:val="22"/>
      <w:lang w:val="en-US" w:eastAsia="zh-CN" w:bidi="ar-SA"/>
    </w:rPr>
  </w:style>
  <w:style w:type="paragraph" w:customStyle="1" w:styleId="529">
    <w:name w:val="金保文档标准正文 Char"/>
    <w:basedOn w:val="1"/>
    <w:qFormat/>
    <w:uiPriority w:val="0"/>
    <w:pPr>
      <w:spacing w:line="360" w:lineRule="auto"/>
      <w:ind w:firstLine="480" w:firstLineChars="200"/>
      <w:jc w:val="left"/>
    </w:pPr>
    <w:rPr>
      <w:rFonts w:ascii="Times New Roman" w:hAnsi="Times New Roman" w:cs="Times New Roman"/>
      <w:sz w:val="21"/>
    </w:rPr>
  </w:style>
  <w:style w:type="paragraph" w:customStyle="1" w:styleId="530">
    <w:name w:val="Char Char Char 字元 字元"/>
    <w:basedOn w:val="1"/>
    <w:qFormat/>
    <w:uiPriority w:val="99"/>
    <w:pPr>
      <w:spacing w:line="360" w:lineRule="auto"/>
      <w:ind w:firstLine="200" w:firstLineChars="200"/>
    </w:pPr>
    <w:rPr>
      <w:rFonts w:ascii="Times New Roman" w:hAnsi="Times New Roman" w:cs="Times New Roman"/>
      <w:sz w:val="21"/>
      <w:szCs w:val="20"/>
    </w:rPr>
  </w:style>
  <w:style w:type="paragraph" w:customStyle="1" w:styleId="53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32">
    <w:name w:val="_Style 2"/>
    <w:basedOn w:val="1"/>
    <w:next w:val="8"/>
    <w:qFormat/>
    <w:uiPriority w:val="0"/>
    <w:pPr>
      <w:widowControl/>
    </w:pPr>
    <w:rPr>
      <w:kern w:val="0"/>
      <w:szCs w:val="20"/>
    </w:rPr>
  </w:style>
  <w:style w:type="paragraph" w:customStyle="1" w:styleId="533">
    <w:name w:val="Char5"/>
    <w:basedOn w:val="6"/>
    <w:qFormat/>
    <w:uiPriority w:val="0"/>
    <w:pPr>
      <w:adjustRightInd w:val="0"/>
      <w:snapToGrid w:val="0"/>
      <w:spacing w:before="240" w:after="240" w:line="348" w:lineRule="auto"/>
    </w:pPr>
    <w:rPr>
      <w:rFonts w:ascii="Times New Roman" w:hAnsi="Times New Roman" w:eastAsia="宋体" w:cs="Times New Roman"/>
      <w:sz w:val="32"/>
    </w:rPr>
  </w:style>
  <w:style w:type="paragraph" w:customStyle="1" w:styleId="534">
    <w:name w:val="段"/>
    <w:basedOn w:val="1"/>
    <w:qFormat/>
    <w:uiPriority w:val="99"/>
    <w:pPr>
      <w:ind w:firstLine="425"/>
    </w:pPr>
    <w:rPr>
      <w:rFonts w:ascii="宋体" w:hAnsi="Times New Roman" w:cs="Times New Roman"/>
      <w:sz w:val="21"/>
      <w:szCs w:val="20"/>
    </w:rPr>
  </w:style>
  <w:style w:type="paragraph" w:customStyle="1" w:styleId="535">
    <w:name w:val="Char Char2 Char Char Char Char"/>
    <w:basedOn w:val="22"/>
    <w:qFormat/>
    <w:uiPriority w:val="99"/>
    <w:pPr>
      <w:shd w:val="clear" w:color="auto" w:fill="000080"/>
      <w:spacing w:line="240" w:lineRule="auto"/>
      <w:ind w:firstLine="0" w:firstLineChars="0"/>
    </w:pPr>
    <w:rPr>
      <w:rFonts w:ascii="Times New Roman" w:hAnsi="Times New Roman" w:eastAsia="宋体" w:cs="Times New Roman"/>
      <w:kern w:val="2"/>
      <w:sz w:val="21"/>
      <w:szCs w:val="24"/>
    </w:rPr>
  </w:style>
  <w:style w:type="paragraph" w:customStyle="1" w:styleId="536">
    <w:name w:val="正文缩进 New"/>
    <w:basedOn w:val="1"/>
    <w:qFormat/>
    <w:uiPriority w:val="99"/>
    <w:pPr>
      <w:ind w:firstLine="200" w:firstLineChars="200"/>
    </w:pPr>
    <w:rPr>
      <w:rFonts w:ascii="Times New Roman" w:hAnsi="Times New Roman" w:cs="Times New Roman"/>
      <w:sz w:val="21"/>
      <w:szCs w:val="20"/>
    </w:rPr>
  </w:style>
  <w:style w:type="paragraph" w:customStyle="1" w:styleId="537">
    <w:name w:val="Char19"/>
    <w:basedOn w:val="1"/>
    <w:qFormat/>
    <w:uiPriority w:val="99"/>
    <w:rPr>
      <w:rFonts w:ascii="Times New Roman" w:hAnsi="Times New Roman" w:cs="Times New Roman"/>
      <w:sz w:val="21"/>
      <w:szCs w:val="20"/>
    </w:rPr>
  </w:style>
  <w:style w:type="paragraph" w:customStyle="1" w:styleId="538">
    <w:name w:val="标题3def"/>
    <w:basedOn w:val="10"/>
    <w:next w:val="1"/>
    <w:qFormat/>
    <w:uiPriority w:val="0"/>
    <w:pPr>
      <w:tabs>
        <w:tab w:val="left" w:pos="2651"/>
      </w:tabs>
      <w:adjustRightInd w:val="0"/>
      <w:snapToGrid w:val="0"/>
      <w:spacing w:before="80" w:after="160" w:line="400" w:lineRule="exact"/>
    </w:pPr>
    <w:rPr>
      <w:rFonts w:ascii="仿宋_GB2312" w:hAnsi="Times New Roman" w:eastAsia="仿宋_GB2312" w:cs="Times New Roman"/>
      <w:bCs w:val="0"/>
      <w:kern w:val="2"/>
      <w:sz w:val="24"/>
      <w:szCs w:val="20"/>
    </w:rPr>
  </w:style>
  <w:style w:type="paragraph" w:customStyle="1" w:styleId="539">
    <w:name w:val="标题2"/>
    <w:basedOn w:val="1"/>
    <w:next w:val="1"/>
    <w:qFormat/>
    <w:uiPriority w:val="0"/>
    <w:pPr>
      <w:spacing w:before="240" w:after="60"/>
      <w:jc w:val="center"/>
      <w:outlineLvl w:val="0"/>
    </w:pPr>
    <w:rPr>
      <w:rFonts w:ascii="Cambria" w:hAnsi="Cambria" w:cs="Times New Roman"/>
      <w:b/>
      <w:kern w:val="0"/>
      <w:sz w:val="32"/>
      <w:szCs w:val="20"/>
    </w:rPr>
  </w:style>
  <w:style w:type="paragraph" w:customStyle="1" w:styleId="540">
    <w:name w:val="itemstepintable"/>
    <w:basedOn w:val="1"/>
    <w:qFormat/>
    <w:uiPriority w:val="0"/>
    <w:pPr>
      <w:widowControl/>
      <w:spacing w:before="100" w:beforeAutospacing="1" w:after="100" w:afterAutospacing="1"/>
      <w:jc w:val="left"/>
    </w:pPr>
    <w:rPr>
      <w:rFonts w:ascii="宋体" w:hAnsi="Times New Roman"/>
      <w:kern w:val="0"/>
    </w:rPr>
  </w:style>
  <w:style w:type="paragraph" w:customStyle="1" w:styleId="541">
    <w:name w:val="正文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42">
    <w:name w:val="_Style 11"/>
    <w:basedOn w:val="1"/>
    <w:qFormat/>
    <w:uiPriority w:val="0"/>
    <w:rPr>
      <w:rFonts w:ascii="Tahoma" w:hAnsi="Tahoma" w:cs="Times New Roman"/>
      <w:szCs w:val="20"/>
    </w:rPr>
  </w:style>
  <w:style w:type="paragraph" w:customStyle="1" w:styleId="543">
    <w:name w:val="WW-正文文字缩进 2"/>
    <w:basedOn w:val="1"/>
    <w:qFormat/>
    <w:uiPriority w:val="99"/>
    <w:pPr>
      <w:suppressAutoHyphens/>
      <w:ind w:firstLine="420"/>
    </w:pPr>
    <w:rPr>
      <w:rFonts w:ascii="Times New Roman" w:hAnsi="Times New Roman" w:cs="Times New Roman"/>
      <w:sz w:val="21"/>
      <w:szCs w:val="20"/>
    </w:rPr>
  </w:style>
  <w:style w:type="paragraph" w:customStyle="1" w:styleId="544">
    <w:name w:val="Char Char2 Char Char"/>
    <w:basedOn w:val="1"/>
    <w:qFormat/>
    <w:uiPriority w:val="0"/>
    <w:pPr>
      <w:widowControl/>
      <w:spacing w:line="400" w:lineRule="exact"/>
      <w:jc w:val="center"/>
    </w:pPr>
    <w:rPr>
      <w:rFonts w:ascii="Verdana" w:hAnsi="Verdana" w:cs="Times New Roman"/>
      <w:kern w:val="0"/>
      <w:sz w:val="21"/>
      <w:szCs w:val="20"/>
      <w:lang w:eastAsia="en-US"/>
    </w:rPr>
  </w:style>
  <w:style w:type="paragraph" w:customStyle="1" w:styleId="545">
    <w:name w:val="列出段落3"/>
    <w:basedOn w:val="1"/>
    <w:qFormat/>
    <w:uiPriority w:val="99"/>
    <w:pPr>
      <w:ind w:firstLine="420" w:firstLineChars="200"/>
    </w:pPr>
    <w:rPr>
      <w:rFonts w:ascii="Times New Roman" w:hAnsi="Times New Roman" w:cs="Times New Roman"/>
      <w:sz w:val="21"/>
      <w:szCs w:val="22"/>
    </w:rPr>
  </w:style>
  <w:style w:type="paragraph" w:customStyle="1" w:styleId="546">
    <w:name w:val="Char Char121"/>
    <w:basedOn w:val="1"/>
    <w:qFormat/>
    <w:uiPriority w:val="0"/>
    <w:rPr>
      <w:rFonts w:ascii="Times New Roman" w:hAnsi="Times New Roman" w:cs="Times New Roman"/>
      <w:sz w:val="21"/>
      <w:szCs w:val="21"/>
    </w:rPr>
  </w:style>
  <w:style w:type="paragraph" w:customStyle="1" w:styleId="547">
    <w:name w:val="Char Char Char1 Char"/>
    <w:basedOn w:val="1"/>
    <w:qFormat/>
    <w:uiPriority w:val="99"/>
    <w:pPr>
      <w:widowControl/>
      <w:spacing w:after="160" w:line="240" w:lineRule="exact"/>
      <w:jc w:val="left"/>
    </w:pPr>
    <w:rPr>
      <w:rFonts w:ascii="Verdana" w:hAnsi="Verdana" w:eastAsia="仿宋_GB2312" w:cs="Times New Roman"/>
      <w:kern w:val="0"/>
      <w:szCs w:val="20"/>
      <w:lang w:eastAsia="en-US"/>
    </w:rPr>
  </w:style>
  <w:style w:type="paragraph" w:customStyle="1" w:styleId="548">
    <w:name w:val="页脚1"/>
    <w:basedOn w:val="1"/>
    <w:qFormat/>
    <w:uiPriority w:val="0"/>
    <w:pPr>
      <w:tabs>
        <w:tab w:val="center" w:pos="4153"/>
        <w:tab w:val="right" w:pos="8306"/>
      </w:tabs>
      <w:snapToGrid w:val="0"/>
      <w:jc w:val="left"/>
    </w:pPr>
    <w:rPr>
      <w:rFonts w:ascii="Times New Roman" w:hAnsi="宋体" w:cs="Times New Roman"/>
      <w:kern w:val="0"/>
      <w:sz w:val="18"/>
      <w:szCs w:val="20"/>
    </w:rPr>
  </w:style>
  <w:style w:type="paragraph" w:customStyle="1" w:styleId="549">
    <w:name w:val="Char Char Char"/>
    <w:basedOn w:val="22"/>
    <w:qFormat/>
    <w:uiPriority w:val="99"/>
    <w:pPr>
      <w:shd w:val="clear" w:color="auto" w:fill="000080"/>
      <w:spacing w:line="240" w:lineRule="auto"/>
      <w:ind w:firstLine="0" w:firstLineChars="0"/>
    </w:pPr>
    <w:rPr>
      <w:rFonts w:ascii="Times New Roman" w:hAnsi="Times New Roman" w:eastAsia="宋体" w:cs="Times New Roman"/>
      <w:kern w:val="2"/>
      <w:sz w:val="21"/>
      <w:szCs w:val="24"/>
    </w:rPr>
  </w:style>
  <w:style w:type="paragraph" w:customStyle="1" w:styleId="550">
    <w:name w:val="正文文本缩进 21"/>
    <w:basedOn w:val="1"/>
    <w:qFormat/>
    <w:uiPriority w:val="0"/>
    <w:pPr>
      <w:spacing w:line="520" w:lineRule="exact"/>
      <w:ind w:firstLine="303" w:firstLineChars="303"/>
    </w:pPr>
    <w:rPr>
      <w:rFonts w:ascii="黑体" w:hAnsi="Times New Roman" w:eastAsia="黑体" w:cs="黑体"/>
      <w:sz w:val="28"/>
      <w:szCs w:val="22"/>
    </w:rPr>
  </w:style>
  <w:style w:type="paragraph" w:customStyle="1" w:styleId="551">
    <w:name w:val="Char Char Char Char Char Char1"/>
    <w:basedOn w:val="1"/>
    <w:qFormat/>
    <w:uiPriority w:val="0"/>
    <w:pPr>
      <w:widowControl/>
      <w:spacing w:after="160" w:line="240" w:lineRule="exact"/>
      <w:jc w:val="left"/>
    </w:pPr>
    <w:rPr>
      <w:rFonts w:ascii="Times New Roman" w:hAnsi="Times New Roman" w:cs="Times New Roman"/>
      <w:kern w:val="0"/>
      <w:sz w:val="21"/>
      <w:szCs w:val="20"/>
    </w:rPr>
  </w:style>
  <w:style w:type="paragraph" w:customStyle="1" w:styleId="552">
    <w:name w:val="cucd-0"/>
    <w:qFormat/>
    <w:uiPriority w:val="99"/>
    <w:pPr>
      <w:spacing w:line="360" w:lineRule="auto"/>
      <w:ind w:firstLine="480" w:firstLineChars="200"/>
    </w:pPr>
    <w:rPr>
      <w:rFonts w:ascii="Times New Roman" w:hAnsi="Times New Roman" w:eastAsia="宋体" w:cs="Times New Roman"/>
      <w:kern w:val="2"/>
      <w:sz w:val="24"/>
      <w:szCs w:val="24"/>
      <w:lang w:val="en-US" w:eastAsia="zh-CN" w:bidi="ar-SA"/>
    </w:rPr>
  </w:style>
  <w:style w:type="paragraph" w:customStyle="1" w:styleId="553">
    <w:name w:val="样式 小四 行距: 1.5 倍行距 首行缩进:  2 字符"/>
    <w:basedOn w:val="1"/>
    <w:qFormat/>
    <w:uiPriority w:val="99"/>
    <w:pPr>
      <w:spacing w:line="360" w:lineRule="auto"/>
      <w:ind w:firstLine="200" w:firstLineChars="200"/>
    </w:pPr>
    <w:rPr>
      <w:rFonts w:ascii="Times New Roman" w:hAnsi="Times New Roman"/>
      <w:szCs w:val="20"/>
    </w:rPr>
  </w:style>
  <w:style w:type="paragraph" w:customStyle="1" w:styleId="554">
    <w:name w:val="Item List"/>
    <w:qFormat/>
    <w:uiPriority w:val="99"/>
    <w:pPr>
      <w:shd w:val="clear" w:color="000000" w:fill="auto"/>
      <w:tabs>
        <w:tab w:val="left" w:pos="420"/>
        <w:tab w:val="left" w:pos="851"/>
        <w:tab w:val="left" w:pos="1644"/>
      </w:tabs>
      <w:spacing w:line="300" w:lineRule="auto"/>
      <w:ind w:left="420" w:hanging="420"/>
      <w:jc w:val="both"/>
    </w:pPr>
    <w:rPr>
      <w:rFonts w:ascii="Arial" w:hAnsi="Arial" w:eastAsia="宋体" w:cs="Arial"/>
      <w:kern w:val="2"/>
      <w:sz w:val="21"/>
      <w:szCs w:val="21"/>
      <w:lang w:val="en-US" w:eastAsia="zh-CN" w:bidi="ar-SA"/>
    </w:rPr>
  </w:style>
  <w:style w:type="table" w:customStyle="1" w:styleId="555">
    <w:name w:val="网格型1"/>
    <w:basedOn w:val="5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556">
    <w:name w:val="shenbao"/>
    <w:basedOn w:val="58"/>
    <w:qFormat/>
    <w:uiPriority w:val="0"/>
    <w:rPr>
      <w:color w:val="EF6334"/>
    </w:rPr>
  </w:style>
  <w:style w:type="character" w:customStyle="1" w:styleId="557">
    <w:name w:val="chakan"/>
    <w:basedOn w:val="58"/>
    <w:qFormat/>
    <w:uiPriority w:val="0"/>
    <w:rPr>
      <w:color w:val="0064EA"/>
    </w:rPr>
  </w:style>
  <w:style w:type="character" w:customStyle="1" w:styleId="558">
    <w:name w:val="report_span2"/>
    <w:basedOn w:val="58"/>
    <w:qFormat/>
    <w:uiPriority w:val="0"/>
    <w:rPr>
      <w:sz w:val="21"/>
      <w:szCs w:val="21"/>
    </w:rPr>
  </w:style>
  <w:style w:type="character" w:customStyle="1" w:styleId="559">
    <w:name w:val="report_span"/>
    <w:basedOn w:val="58"/>
    <w:qFormat/>
    <w:uiPriority w:val="0"/>
    <w:rPr>
      <w:sz w:val="21"/>
      <w:szCs w:val="21"/>
    </w:rPr>
  </w:style>
  <w:style w:type="character" w:customStyle="1" w:styleId="560">
    <w:name w:val="bsharetext"/>
    <w:basedOn w:val="58"/>
    <w:qFormat/>
    <w:uiPriority w:val="0"/>
  </w:style>
  <w:style w:type="character" w:customStyle="1" w:styleId="561">
    <w:name w:val="znspantitle"/>
    <w:basedOn w:val="58"/>
    <w:qFormat/>
    <w:uiPriority w:val="0"/>
    <w:rPr>
      <w:b/>
      <w:color w:val="333333"/>
    </w:rPr>
  </w:style>
  <w:style w:type="character" w:customStyle="1" w:styleId="562">
    <w:name w:val="disabled"/>
    <w:basedOn w:val="58"/>
    <w:qFormat/>
    <w:uiPriority w:val="0"/>
    <w:rPr>
      <w:vanish/>
    </w:rPr>
  </w:style>
  <w:style w:type="paragraph" w:customStyle="1" w:styleId="563">
    <w:name w:val="纯文本4"/>
    <w:basedOn w:val="1"/>
    <w:qFormat/>
    <w:uiPriority w:val="0"/>
    <w:pPr>
      <w:adjustRightInd w:val="0"/>
      <w:textAlignment w:val="baseline"/>
    </w:pPr>
    <w:rPr>
      <w:rFonts w:ascii="宋体" w:hAnsi="Courier New" w:eastAsia="楷体_GB2312"/>
      <w:sz w:val="26"/>
      <w:szCs w:val="20"/>
    </w:rPr>
  </w:style>
  <w:style w:type="paragraph" w:customStyle="1" w:styleId="564">
    <w:name w:val="列出段落5"/>
    <w:basedOn w:val="1"/>
    <w:unhideWhenUsed/>
    <w:qFormat/>
    <w:uiPriority w:val="99"/>
    <w:pPr>
      <w:ind w:firstLine="420" w:firstLineChars="200"/>
    </w:pPr>
  </w:style>
  <w:style w:type="paragraph" w:customStyle="1" w:styleId="565">
    <w:name w:val="C503-正文格式"/>
    <w:basedOn w:val="1"/>
    <w:link w:val="566"/>
    <w:qFormat/>
    <w:uiPriority w:val="0"/>
    <w:pPr>
      <w:spacing w:line="360" w:lineRule="auto"/>
      <w:ind w:firstLine="480" w:firstLineChars="200"/>
    </w:pPr>
    <w:rPr>
      <w:rFonts w:ascii="Times New Roman" w:hAnsi="Times New Roman"/>
      <w:szCs w:val="20"/>
    </w:rPr>
  </w:style>
  <w:style w:type="character" w:customStyle="1" w:styleId="566">
    <w:name w:val="C503-正文格式 Char"/>
    <w:basedOn w:val="58"/>
    <w:link w:val="565"/>
    <w:qFormat/>
    <w:uiPriority w:val="0"/>
    <w:rPr>
      <w:rFonts w:ascii="Times New Roman" w:hAnsi="Times New Roman" w:cs="宋体"/>
      <w:kern w:val="2"/>
      <w:sz w:val="24"/>
    </w:rPr>
  </w:style>
  <w:style w:type="paragraph" w:customStyle="1" w:styleId="567">
    <w:name w:val="正文文字2"/>
    <w:basedOn w:val="4"/>
    <w:qFormat/>
    <w:uiPriority w:val="0"/>
    <w:pPr>
      <w:adjustRightInd w:val="0"/>
      <w:spacing w:after="60" w:line="360" w:lineRule="atLeast"/>
      <w:ind w:left="72" w:leftChars="30" w:right="72" w:rightChars="30"/>
      <w:jc w:val="center"/>
    </w:pPr>
    <w:rPr>
      <w:rFonts w:ascii="Arial" w:hAnsi="Times New Roman" w:eastAsia="黑体" w:cs="Times New Roman"/>
      <w:sz w:val="21"/>
      <w:szCs w:val="20"/>
    </w:rPr>
  </w:style>
  <w:style w:type="character" w:customStyle="1" w:styleId="568">
    <w:name w:val="无"/>
    <w:qFormat/>
    <w:uiPriority w:val="0"/>
  </w:style>
  <w:style w:type="paragraph" w:customStyle="1" w:styleId="569">
    <w:name w:val="纯文本5"/>
    <w:qFormat/>
    <w:uiPriority w:val="0"/>
    <w:pPr>
      <w:widowControl w:val="0"/>
      <w:adjustRightInd w:val="0"/>
      <w:jc w:val="both"/>
      <w:textAlignment w:val="baseline"/>
    </w:pPr>
    <w:rPr>
      <w:rFonts w:ascii="宋体" w:hAnsi="Courier New" w:eastAsia="楷体_GB2312" w:cs="Times New Roman"/>
      <w:kern w:val="2"/>
      <w:sz w:val="26"/>
      <w:lang w:val="en-US" w:eastAsia="zh-CN" w:bidi="ar-SA"/>
    </w:rPr>
  </w:style>
  <w:style w:type="character" w:customStyle="1" w:styleId="570">
    <w:name w:val="纯文本 字符1"/>
    <w:qFormat/>
    <w:uiPriority w:val="0"/>
    <w:rPr>
      <w:rFonts w:ascii="宋体" w:hAnsi="Courier New" w:eastAsia="宋体" w:cs="Times New Roman"/>
      <w:kern w:val="2"/>
      <w:sz w:val="24"/>
      <w:szCs w:val="24"/>
      <w:lang w:val="en-US" w:eastAsia="zh-CN" w:bidi="ar-SA"/>
    </w:rPr>
  </w:style>
  <w:style w:type="character" w:customStyle="1" w:styleId="571">
    <w:name w:val="表格内容"/>
    <w:qFormat/>
    <w:uiPriority w:val="0"/>
    <w:rPr>
      <w:rFonts w:ascii="Times New Roman" w:hAnsi="Times New Roman" w:eastAsia="宋体" w:cs="Times New Roman"/>
      <w:sz w:val="24"/>
    </w:rPr>
  </w:style>
  <w:style w:type="paragraph" w:customStyle="1" w:styleId="572">
    <w:name w:val="列出段落"/>
    <w:basedOn w:val="1"/>
    <w:qFormat/>
    <w:uiPriority w:val="0"/>
    <w:pPr>
      <w:spacing w:line="360" w:lineRule="auto"/>
      <w:ind w:firstLine="420" w:firstLineChars="200"/>
    </w:pPr>
    <w:rPr>
      <w:rFonts w:cs="Times New Roman"/>
      <w:szCs w:val="22"/>
      <w:lang w:val="zh-CN"/>
    </w:rPr>
  </w:style>
  <w:style w:type="character" w:customStyle="1" w:styleId="573">
    <w:name w:val="正文首行缩进 2 Char"/>
    <w:qFormat/>
    <w:uiPriority w:val="0"/>
    <w:rPr>
      <w:rFonts w:ascii="宋体" w:hAnsi="Courier New" w:eastAsia="宋体" w:cs="Times New Roman"/>
      <w:spacing w:val="-4"/>
      <w:kern w:val="2"/>
      <w:sz w:val="21"/>
      <w:szCs w:val="24"/>
    </w:rPr>
  </w:style>
  <w:style w:type="character" w:customStyle="1" w:styleId="574">
    <w:name w:val="正文缩进 字符1"/>
    <w:qFormat/>
    <w:uiPriority w:val="0"/>
    <w:rPr>
      <w:rFonts w:ascii="Times New Roman" w:hAnsi="Times New Roman" w:eastAsia="宋体" w:cs="Times New Roman"/>
      <w:kern w:val="2"/>
      <w:sz w:val="21"/>
      <w:lang w:val="en-US" w:eastAsia="zh-CN" w:bidi="ar-SA"/>
    </w:rPr>
  </w:style>
  <w:style w:type="character" w:customStyle="1" w:styleId="575">
    <w:name w:val="纯文本 Char3"/>
    <w:qFormat/>
    <w:uiPriority w:val="0"/>
    <w:rPr>
      <w:rFonts w:ascii="宋体" w:hAnsi="Courier New" w:eastAsia="宋体" w:cs="Times New Roman"/>
      <w:kern w:val="2"/>
      <w:sz w:val="24"/>
      <w:szCs w:val="24"/>
      <w:lang w:val="en-US" w:eastAsia="zh-CN" w:bidi="ar-SA"/>
    </w:rPr>
  </w:style>
  <w:style w:type="character" w:customStyle="1" w:styleId="576">
    <w:name w:val="纯文本 Char1_0"/>
    <w:link w:val="577"/>
    <w:qFormat/>
    <w:uiPriority w:val="0"/>
    <w:rPr>
      <w:rFonts w:ascii="宋体" w:hAnsi="Courier New"/>
    </w:rPr>
  </w:style>
  <w:style w:type="paragraph" w:customStyle="1" w:styleId="577">
    <w:name w:val="纯文本_0"/>
    <w:basedOn w:val="1"/>
    <w:link w:val="576"/>
    <w:qFormat/>
    <w:uiPriority w:val="0"/>
    <w:rPr>
      <w:rFonts w:ascii="宋体" w:hAnsi="Courier New" w:cs="Times New Roman"/>
      <w:kern w:val="0"/>
      <w:sz w:val="20"/>
      <w:szCs w:val="20"/>
    </w:rPr>
  </w:style>
  <w:style w:type="character" w:customStyle="1" w:styleId="578">
    <w:name w:val="标题 9 Char"/>
    <w:qFormat/>
    <w:uiPriority w:val="0"/>
    <w:rPr>
      <w:rFonts w:ascii="Times New Roman" w:hAnsi="Calibri" w:eastAsia="宋体" w:cs="宋体"/>
      <w:sz w:val="24"/>
    </w:rPr>
  </w:style>
  <w:style w:type="character" w:customStyle="1" w:styleId="579">
    <w:name w:val="font121"/>
    <w:qFormat/>
    <w:uiPriority w:val="0"/>
    <w:rPr>
      <w:rFonts w:hint="eastAsia" w:ascii="宋体" w:hAnsi="宋体" w:eastAsia="宋体" w:cs="宋体"/>
      <w:color w:val="FF0000"/>
      <w:sz w:val="20"/>
      <w:szCs w:val="20"/>
      <w:u w:val="none"/>
    </w:rPr>
  </w:style>
  <w:style w:type="character" w:customStyle="1" w:styleId="580">
    <w:name w:val="标题 8 Char"/>
    <w:qFormat/>
    <w:uiPriority w:val="0"/>
    <w:rPr>
      <w:rFonts w:ascii="Times New Roman" w:hAnsi="Calibri" w:eastAsia="宋体" w:cs="宋体"/>
      <w:sz w:val="24"/>
    </w:rPr>
  </w:style>
  <w:style w:type="character" w:customStyle="1" w:styleId="581">
    <w:name w:val="Char Char5"/>
    <w:qFormat/>
    <w:uiPriority w:val="0"/>
    <w:rPr>
      <w:rFonts w:ascii="宋体" w:hAnsi="Courier New" w:eastAsia="楷体_GB2312" w:cs="Times New Roman"/>
      <w:kern w:val="2"/>
      <w:sz w:val="26"/>
      <w:lang w:val="en-US" w:eastAsia="zh-CN" w:bidi="ar-SA"/>
    </w:rPr>
  </w:style>
  <w:style w:type="character" w:customStyle="1" w:styleId="582">
    <w:name w:val="列表段落 字符"/>
    <w:qFormat/>
    <w:uiPriority w:val="0"/>
    <w:rPr>
      <w:rFonts w:ascii="Times New Roman" w:hAnsi="Times New Roman" w:eastAsia="宋体" w:cs="Times New Roman"/>
    </w:rPr>
  </w:style>
  <w:style w:type="character" w:customStyle="1" w:styleId="583">
    <w:name w:val="列出段落 Char1"/>
    <w:link w:val="584"/>
    <w:qFormat/>
    <w:uiPriority w:val="0"/>
    <w:rPr>
      <w:rFonts w:ascii="Calibri" w:hAnsi="Calibri"/>
      <w:kern w:val="2"/>
      <w:sz w:val="24"/>
      <w:szCs w:val="22"/>
    </w:rPr>
  </w:style>
  <w:style w:type="paragraph" w:customStyle="1" w:styleId="584">
    <w:name w:val="_Style 15"/>
    <w:basedOn w:val="1"/>
    <w:next w:val="572"/>
    <w:link w:val="583"/>
    <w:qFormat/>
    <w:uiPriority w:val="0"/>
    <w:pPr>
      <w:spacing w:line="360" w:lineRule="auto"/>
      <w:ind w:firstLine="420" w:firstLineChars="200"/>
    </w:pPr>
    <w:rPr>
      <w:rFonts w:cs="Times New Roman"/>
      <w:szCs w:val="22"/>
    </w:rPr>
  </w:style>
  <w:style w:type="character" w:customStyle="1" w:styleId="585">
    <w:name w:val="未处理的提及2"/>
    <w:unhideWhenUsed/>
    <w:qFormat/>
    <w:uiPriority w:val="99"/>
    <w:rPr>
      <w:rFonts w:ascii="Times New Roman" w:hAnsi="Times New Roman" w:eastAsia="宋体" w:cs="Times New Roman"/>
      <w:color w:val="605E5C"/>
      <w:shd w:val="clear" w:color="auto" w:fill="E1DFDD"/>
    </w:rPr>
  </w:style>
  <w:style w:type="character" w:customStyle="1" w:styleId="586">
    <w:name w:val="2级标题 字符"/>
    <w:qFormat/>
    <w:uiPriority w:val="0"/>
    <w:rPr>
      <w:rFonts w:ascii="黑体" w:hAnsi="黑体" w:eastAsia="黑体"/>
      <w:kern w:val="2"/>
      <w:sz w:val="28"/>
      <w:szCs w:val="36"/>
      <w:lang w:bidi="en-US"/>
    </w:rPr>
  </w:style>
  <w:style w:type="character" w:customStyle="1" w:styleId="587">
    <w:name w:val="标题 6 Char"/>
    <w:qFormat/>
    <w:uiPriority w:val="0"/>
    <w:rPr>
      <w:rFonts w:ascii="Times New Roman" w:hAnsi="Calibri" w:eastAsia="宋体" w:cs="宋体"/>
      <w:sz w:val="24"/>
    </w:rPr>
  </w:style>
  <w:style w:type="character" w:customStyle="1" w:styleId="588">
    <w:name w:val="标题 7 Char"/>
    <w:qFormat/>
    <w:uiPriority w:val="0"/>
    <w:rPr>
      <w:rFonts w:ascii="Times New Roman" w:hAnsi="Calibri" w:eastAsia="宋体" w:cs="宋体"/>
      <w:sz w:val="24"/>
    </w:rPr>
  </w:style>
  <w:style w:type="character" w:customStyle="1" w:styleId="589">
    <w:name w:val="font112"/>
    <w:qFormat/>
    <w:uiPriority w:val="0"/>
    <w:rPr>
      <w:rFonts w:hint="eastAsia" w:ascii="宋体" w:hAnsi="宋体" w:eastAsia="宋体" w:cs="宋体"/>
      <w:color w:val="000000"/>
      <w:sz w:val="20"/>
      <w:szCs w:val="20"/>
      <w:u w:val="none"/>
    </w:rPr>
  </w:style>
  <w:style w:type="character" w:customStyle="1" w:styleId="590">
    <w:name w:val="书籍标题3"/>
    <w:qFormat/>
    <w:uiPriority w:val="0"/>
    <w:rPr>
      <w:rFonts w:ascii="Times New Roman" w:hAnsi="Times New Roman" w:eastAsia="Songti SC Regular" w:cs="Times New Roman"/>
      <w:bCs/>
      <w:smallCaps/>
      <w:spacing w:val="5"/>
      <w:sz w:val="32"/>
    </w:rPr>
  </w:style>
  <w:style w:type="character" w:customStyle="1" w:styleId="591">
    <w:name w:val="标题 3 字符1"/>
    <w:qFormat/>
    <w:uiPriority w:val="0"/>
    <w:rPr>
      <w:rFonts w:ascii="Times New Roman" w:hAnsi="Times New Roman" w:eastAsia="宋体" w:cs="Times New Roman"/>
      <w:b/>
      <w:bCs/>
      <w:kern w:val="2"/>
      <w:sz w:val="32"/>
      <w:szCs w:val="32"/>
    </w:rPr>
  </w:style>
  <w:style w:type="character" w:customStyle="1" w:styleId="592">
    <w:name w:val="标题 2 Char1"/>
    <w:qFormat/>
    <w:uiPriority w:val="0"/>
    <w:rPr>
      <w:rFonts w:ascii="Arial" w:hAnsi="Arial" w:eastAsia="黑体" w:cs="Times New Roman"/>
      <w:b/>
      <w:bCs/>
      <w:kern w:val="2"/>
      <w:sz w:val="32"/>
      <w:szCs w:val="32"/>
    </w:rPr>
  </w:style>
  <w:style w:type="paragraph" w:customStyle="1" w:styleId="593">
    <w:name w:val="_Style 192"/>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94">
    <w:name w:val="Char6"/>
    <w:basedOn w:val="6"/>
    <w:qFormat/>
    <w:uiPriority w:val="0"/>
    <w:pPr>
      <w:adjustRightInd w:val="0"/>
      <w:snapToGrid w:val="0"/>
      <w:spacing w:before="240" w:after="240" w:line="348" w:lineRule="auto"/>
    </w:pPr>
    <w:rPr>
      <w:rFonts w:ascii="Times New Roman" w:hAnsi="Times New Roman" w:eastAsia="宋体" w:cs="Times New Roman"/>
      <w:sz w:val="32"/>
      <w:lang w:val="zh-CN"/>
    </w:rPr>
  </w:style>
  <w:style w:type="paragraph" w:customStyle="1" w:styleId="595">
    <w:name w:val="修订2"/>
    <w:unhideWhenUsed/>
    <w:qFormat/>
    <w:uiPriority w:val="99"/>
    <w:rPr>
      <w:rFonts w:ascii="Times New Roman" w:hAnsi="Times New Roman" w:eastAsia="宋体" w:cs="Times New Roman"/>
      <w:kern w:val="2"/>
      <w:sz w:val="21"/>
      <w:szCs w:val="24"/>
      <w:lang w:val="en-US" w:eastAsia="zh-CN" w:bidi="ar-SA"/>
    </w:rPr>
  </w:style>
  <w:style w:type="paragraph" w:customStyle="1" w:styleId="596">
    <w:name w:val="TOC 标题3"/>
    <w:basedOn w:val="6"/>
    <w:next w:val="1"/>
    <w:qFormat/>
    <w:uiPriority w:val="0"/>
    <w:pPr>
      <w:widowControl/>
      <w:spacing w:before="480" w:after="0" w:line="276" w:lineRule="auto"/>
      <w:jc w:val="left"/>
      <w:outlineLvl w:val="9"/>
    </w:pPr>
    <w:rPr>
      <w:rFonts w:ascii="Cambria" w:hAnsi="Cambria" w:eastAsia="宋体" w:cs="Times New Roman"/>
      <w:color w:val="365F91"/>
      <w:kern w:val="0"/>
      <w:sz w:val="28"/>
      <w:szCs w:val="28"/>
      <w:lang w:val="zh-CN"/>
    </w:rPr>
  </w:style>
  <w:style w:type="paragraph" w:customStyle="1" w:styleId="597">
    <w:name w:val="Char Char Char Char Char Char Char3"/>
    <w:basedOn w:val="1"/>
    <w:qFormat/>
    <w:uiPriority w:val="0"/>
    <w:rPr>
      <w:rFonts w:hint="eastAsia" w:ascii="Times New Roman" w:hAnsi="Times New Roman" w:cs="Times New Roman"/>
      <w:sz w:val="21"/>
      <w:szCs w:val="21"/>
    </w:rPr>
  </w:style>
  <w:style w:type="paragraph" w:customStyle="1" w:styleId="598">
    <w:name w:val="正文4"/>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599">
    <w:name w:val="正文首行缩进1"/>
    <w:basedOn w:val="4"/>
    <w:qFormat/>
    <w:uiPriority w:val="0"/>
    <w:pPr>
      <w:spacing w:after="0"/>
      <w:ind w:firstLine="560"/>
      <w:jc w:val="left"/>
    </w:pPr>
    <w:rPr>
      <w:rFonts w:cs="Times New Roman"/>
      <w:kern w:val="2"/>
      <w:lang w:val="zh-CN"/>
    </w:rPr>
  </w:style>
  <w:style w:type="paragraph" w:customStyle="1" w:styleId="600">
    <w:name w:val="Char Char122"/>
    <w:basedOn w:val="1"/>
    <w:qFormat/>
    <w:uiPriority w:val="0"/>
    <w:rPr>
      <w:rFonts w:hint="eastAsia" w:ascii="Times New Roman" w:hAnsi="Times New Roman" w:cs="Times New Roman"/>
      <w:sz w:val="21"/>
      <w:szCs w:val="21"/>
    </w:rPr>
  </w:style>
  <w:style w:type="paragraph" w:customStyle="1" w:styleId="601">
    <w:name w:val="无间隔3"/>
    <w:qFormat/>
    <w:uiPriority w:val="0"/>
    <w:rPr>
      <w:rFonts w:ascii="Times New Roman" w:hAnsi="Times New Roman" w:eastAsia="宋体" w:cs="Times New Roman"/>
      <w:sz w:val="22"/>
      <w:szCs w:val="22"/>
      <w:lang w:val="en-US" w:eastAsia="zh-CN" w:bidi="ar-SA"/>
    </w:rPr>
  </w:style>
  <w:style w:type="paragraph" w:customStyle="1" w:styleId="602">
    <w:name w:val="Char Char Char1 Char Char Char Char1"/>
    <w:basedOn w:val="1"/>
    <w:qFormat/>
    <w:uiPriority w:val="0"/>
    <w:pPr>
      <w:widowControl/>
      <w:spacing w:after="160" w:line="240" w:lineRule="exact"/>
      <w:jc w:val="left"/>
    </w:pPr>
    <w:rPr>
      <w:rFonts w:hint="eastAsia" w:ascii="Times New Roman" w:hAnsi="Times New Roman" w:cs="Times New Roman"/>
      <w:sz w:val="21"/>
      <w:szCs w:val="20"/>
    </w:rPr>
  </w:style>
  <w:style w:type="paragraph" w:customStyle="1" w:styleId="603">
    <w:name w:val="Char Char Char Char Char Char2"/>
    <w:basedOn w:val="1"/>
    <w:qFormat/>
    <w:uiPriority w:val="0"/>
    <w:pPr>
      <w:widowControl/>
      <w:spacing w:after="160" w:line="240" w:lineRule="exact"/>
      <w:jc w:val="left"/>
    </w:pPr>
    <w:rPr>
      <w:rFonts w:hint="eastAsia" w:ascii="Times New Roman" w:hAnsi="Times New Roman" w:cs="Times New Roman"/>
      <w:kern w:val="0"/>
      <w:sz w:val="21"/>
      <w:szCs w:val="20"/>
    </w:rPr>
  </w:style>
  <w:style w:type="paragraph" w:customStyle="1" w:styleId="604">
    <w:name w:val="Table Paragraph"/>
    <w:basedOn w:val="1"/>
    <w:qFormat/>
    <w:uiPriority w:val="0"/>
    <w:rPr>
      <w:rFonts w:hint="eastAsia" w:ascii="宋体" w:hAnsi="宋体"/>
      <w:szCs w:val="20"/>
      <w:lang w:val="zh-CN" w:bidi="zh-CN"/>
    </w:rPr>
  </w:style>
  <w:style w:type="paragraph" w:customStyle="1" w:styleId="605">
    <w:name w:val="清單段落"/>
    <w:basedOn w:val="1"/>
    <w:qFormat/>
    <w:uiPriority w:val="0"/>
    <w:pPr>
      <w:suppressAutoHyphens/>
      <w:ind w:left="480" w:leftChars="200"/>
    </w:pPr>
    <w:rPr>
      <w:rFonts w:hint="eastAsia" w:ascii="等线" w:hAnsi="等线" w:eastAsia="等线" w:cs="Times New Roman"/>
      <w:kern w:val="1"/>
      <w:sz w:val="21"/>
      <w:szCs w:val="22"/>
    </w:rPr>
  </w:style>
  <w:style w:type="paragraph" w:styleId="606">
    <w:name w:val="No Spacing"/>
    <w:qFormat/>
    <w:uiPriority w:val="0"/>
    <w:rPr>
      <w:rFonts w:ascii="Times New Roman" w:hAnsi="Times New Roman" w:eastAsia="宋体" w:cs="宋体"/>
      <w:sz w:val="22"/>
      <w:szCs w:val="22"/>
      <w:lang w:val="en-US" w:eastAsia="zh-CN" w:bidi="ar-SA"/>
    </w:rPr>
  </w:style>
  <w:style w:type="paragraph" w:customStyle="1" w:styleId="607">
    <w:name w:val="列表段落1"/>
    <w:basedOn w:val="1"/>
    <w:qFormat/>
    <w:uiPriority w:val="0"/>
    <w:pPr>
      <w:spacing w:line="360" w:lineRule="auto"/>
      <w:ind w:firstLine="420" w:firstLineChars="200"/>
    </w:pPr>
    <w:rPr>
      <w:rFonts w:hint="eastAsia" w:ascii="Times New Roman" w:hAnsi="Times New Roman" w:cs="Times New Roman"/>
      <w:szCs w:val="20"/>
    </w:rPr>
  </w:style>
  <w:style w:type="paragraph" w:customStyle="1" w:styleId="608">
    <w:name w:val="_Style 1"/>
    <w:basedOn w:val="1"/>
    <w:qFormat/>
    <w:uiPriority w:val="0"/>
    <w:pPr>
      <w:spacing w:line="360" w:lineRule="auto"/>
      <w:ind w:firstLine="420" w:firstLineChars="200"/>
    </w:pPr>
    <w:rPr>
      <w:rFonts w:hint="eastAsia" w:cs="Times New Roman"/>
      <w:szCs w:val="22"/>
    </w:rPr>
  </w:style>
  <w:style w:type="paragraph" w:customStyle="1" w:styleId="609">
    <w:name w:val="列表段落2"/>
    <w:basedOn w:val="1"/>
    <w:qFormat/>
    <w:uiPriority w:val="0"/>
    <w:pPr>
      <w:spacing w:line="360" w:lineRule="auto"/>
      <w:ind w:firstLine="420" w:firstLineChars="200"/>
    </w:pPr>
    <w:rPr>
      <w:rFonts w:hint="eastAsia" w:ascii="Times New Roman" w:hAnsi="Times New Roman" w:cs="Times New Roman"/>
    </w:rPr>
  </w:style>
  <w:style w:type="paragraph" w:customStyle="1" w:styleId="610">
    <w:name w:val="纯文本6"/>
    <w:basedOn w:val="1"/>
    <w:qFormat/>
    <w:uiPriority w:val="0"/>
    <w:pPr>
      <w:adjustRightInd w:val="0"/>
      <w:textAlignment w:val="baseline"/>
    </w:pPr>
    <w:rPr>
      <w:rFonts w:hint="eastAsia" w:ascii="宋体" w:hAnsi="Courier New" w:eastAsia="楷体_GB2312" w:cs="Times New Roman"/>
      <w:sz w:val="26"/>
      <w:szCs w:val="20"/>
    </w:rPr>
  </w:style>
  <w:style w:type="paragraph" w:customStyle="1" w:styleId="611">
    <w:name w:val="招标正文"/>
    <w:basedOn w:val="164"/>
    <w:qFormat/>
    <w:uiPriority w:val="0"/>
    <w:pPr>
      <w:widowControl w:val="0"/>
      <w:suppressAutoHyphens/>
      <w:spacing w:afterLines="0" w:line="360" w:lineRule="auto"/>
      <w:ind w:firstLine="480" w:firstLineChars="0"/>
    </w:pPr>
    <w:rPr>
      <w:rFonts w:ascii="宋体" w:hAnsi="宋体" w:cs="Times New Roman"/>
      <w:color w:val="000000"/>
      <w:szCs w:val="21"/>
    </w:rPr>
  </w:style>
  <w:style w:type="character" w:customStyle="1" w:styleId="612">
    <w:name w:val="Char Char6"/>
    <w:qFormat/>
    <w:uiPriority w:val="0"/>
    <w:rPr>
      <w:rFonts w:ascii="宋体" w:hAnsi="Courier New" w:eastAsia="楷体_GB2312" w:cs="Times New Roman"/>
      <w:kern w:val="2"/>
      <w:sz w:val="26"/>
      <w:lang w:val="en-US" w:eastAsia="zh-CN" w:bidi="ar-SA"/>
    </w:rPr>
  </w:style>
  <w:style w:type="character" w:customStyle="1" w:styleId="613">
    <w:name w:val="Unresolved Mention"/>
    <w:unhideWhenUsed/>
    <w:qFormat/>
    <w:uiPriority w:val="99"/>
    <w:rPr>
      <w:rFonts w:ascii="Times New Roman" w:hAnsi="Times New Roman" w:eastAsia="宋体" w:cs="Times New Roman"/>
      <w:color w:val="605E5C"/>
      <w:shd w:val="clear" w:color="auto" w:fill="E1DFDD"/>
    </w:rPr>
  </w:style>
  <w:style w:type="character" w:customStyle="1" w:styleId="614">
    <w:name w:val="Book Title"/>
    <w:qFormat/>
    <w:uiPriority w:val="0"/>
    <w:rPr>
      <w:rFonts w:ascii="Times New Roman" w:hAnsi="Times New Roman" w:eastAsia="Songti SC Regular" w:cs="Times New Roman"/>
      <w:bCs/>
      <w:smallCaps/>
      <w:spacing w:val="5"/>
      <w:sz w:val="32"/>
    </w:rPr>
  </w:style>
  <w:style w:type="paragraph" w:customStyle="1" w:styleId="615">
    <w:name w:val="Char7"/>
    <w:basedOn w:val="6"/>
    <w:qFormat/>
    <w:uiPriority w:val="0"/>
    <w:pPr>
      <w:adjustRightInd w:val="0"/>
      <w:snapToGrid w:val="0"/>
      <w:spacing w:before="240" w:after="240" w:line="348" w:lineRule="auto"/>
    </w:pPr>
    <w:rPr>
      <w:rFonts w:ascii="Times New Roman" w:hAnsi="Times New Roman" w:eastAsia="宋体" w:cs="Times New Roman"/>
      <w:sz w:val="32"/>
      <w:lang w:val="zh-CN" w:eastAsia="zh-CN"/>
    </w:rPr>
  </w:style>
  <w:style w:type="paragraph" w:customStyle="1" w:styleId="616">
    <w:name w:val="Revision"/>
    <w:unhideWhenUsed/>
    <w:qFormat/>
    <w:uiPriority w:val="99"/>
    <w:rPr>
      <w:rFonts w:ascii="Times New Roman" w:hAnsi="Times New Roman" w:eastAsia="宋体" w:cs="Times New Roman"/>
      <w:kern w:val="2"/>
      <w:sz w:val="21"/>
      <w:szCs w:val="24"/>
      <w:lang w:val="en-US" w:eastAsia="zh-CN" w:bidi="ar-SA"/>
    </w:rPr>
  </w:style>
  <w:style w:type="paragraph" w:customStyle="1" w:styleId="617">
    <w:name w:val="TOC Heading"/>
    <w:basedOn w:val="6"/>
    <w:next w:val="1"/>
    <w:qFormat/>
    <w:uiPriority w:val="0"/>
    <w:pPr>
      <w:widowControl/>
      <w:spacing w:before="480" w:after="0" w:line="276" w:lineRule="auto"/>
      <w:jc w:val="left"/>
      <w:outlineLvl w:val="9"/>
    </w:pPr>
    <w:rPr>
      <w:rFonts w:ascii="Cambria" w:hAnsi="Cambria" w:eastAsia="宋体" w:cs="Times New Roman"/>
      <w:color w:val="365F91"/>
      <w:kern w:val="0"/>
      <w:sz w:val="28"/>
      <w:szCs w:val="28"/>
      <w:lang w:val="zh-CN" w:eastAsia="zh-CN"/>
    </w:rPr>
  </w:style>
  <w:style w:type="paragraph" w:customStyle="1" w:styleId="618">
    <w:name w:val="Char Char Char Char Char Char Char4"/>
    <w:basedOn w:val="1"/>
    <w:qFormat/>
    <w:uiPriority w:val="0"/>
    <w:rPr>
      <w:rFonts w:hint="eastAsia" w:ascii="Times New Roman" w:hAnsi="Times New Roman" w:cs="Times New Roman"/>
      <w:sz w:val="21"/>
      <w:szCs w:val="21"/>
    </w:rPr>
  </w:style>
  <w:style w:type="paragraph" w:customStyle="1" w:styleId="619">
    <w:name w:val="正文5"/>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620">
    <w:name w:val="Char Char123"/>
    <w:basedOn w:val="1"/>
    <w:qFormat/>
    <w:uiPriority w:val="0"/>
    <w:rPr>
      <w:rFonts w:hint="eastAsia" w:ascii="Times New Roman" w:hAnsi="Times New Roman" w:cs="Times New Roman"/>
      <w:sz w:val="21"/>
      <w:szCs w:val="21"/>
    </w:rPr>
  </w:style>
  <w:style w:type="paragraph" w:customStyle="1" w:styleId="621">
    <w:name w:val="无间隔4"/>
    <w:qFormat/>
    <w:uiPriority w:val="0"/>
    <w:rPr>
      <w:rFonts w:ascii="Times New Roman" w:hAnsi="Times New Roman" w:eastAsia="宋体" w:cs="Times New Roman"/>
      <w:sz w:val="22"/>
      <w:szCs w:val="22"/>
      <w:lang w:val="en-US" w:eastAsia="zh-CN" w:bidi="ar-SA"/>
    </w:rPr>
  </w:style>
  <w:style w:type="paragraph" w:customStyle="1" w:styleId="622">
    <w:name w:val="Char Char Char1 Char Char Char Char2"/>
    <w:basedOn w:val="1"/>
    <w:qFormat/>
    <w:uiPriority w:val="0"/>
    <w:pPr>
      <w:widowControl/>
      <w:spacing w:after="160" w:line="240" w:lineRule="exact"/>
      <w:jc w:val="left"/>
    </w:pPr>
    <w:rPr>
      <w:rFonts w:hint="eastAsia" w:ascii="Times New Roman" w:hAnsi="Times New Roman" w:cs="Times New Roman"/>
      <w:sz w:val="21"/>
      <w:szCs w:val="20"/>
    </w:rPr>
  </w:style>
  <w:style w:type="paragraph" w:customStyle="1" w:styleId="623">
    <w:name w:val="Char Char Char Char Char Char3"/>
    <w:basedOn w:val="1"/>
    <w:qFormat/>
    <w:uiPriority w:val="0"/>
    <w:pPr>
      <w:widowControl/>
      <w:spacing w:after="160" w:line="240" w:lineRule="exact"/>
      <w:jc w:val="left"/>
    </w:pPr>
    <w:rPr>
      <w:rFonts w:hint="eastAsia" w:ascii="Times New Roman" w:hAnsi="Times New Roman" w:cs="Times New Roman"/>
      <w:kern w:val="0"/>
      <w:sz w:val="21"/>
      <w:szCs w:val="20"/>
    </w:rPr>
  </w:style>
  <w:style w:type="paragraph" w:customStyle="1" w:styleId="624">
    <w:name w:val="列表段落3"/>
    <w:basedOn w:val="1"/>
    <w:qFormat/>
    <w:uiPriority w:val="0"/>
    <w:pPr>
      <w:spacing w:line="360" w:lineRule="auto"/>
      <w:ind w:firstLine="420" w:firstLineChars="200"/>
    </w:pPr>
    <w:rPr>
      <w:rFonts w:hint="eastAsia" w:ascii="Times New Roman" w:hAnsi="Times New Roman" w:cs="Times New Roman"/>
    </w:rPr>
  </w:style>
  <w:style w:type="paragraph" w:customStyle="1" w:styleId="625">
    <w:name w:val="纯文本7"/>
    <w:basedOn w:val="1"/>
    <w:qFormat/>
    <w:uiPriority w:val="0"/>
    <w:pPr>
      <w:adjustRightInd w:val="0"/>
      <w:textAlignment w:val="baseline"/>
    </w:pPr>
    <w:rPr>
      <w:rFonts w:hint="eastAsia" w:ascii="宋体" w:hAnsi="Courier New" w:eastAsia="楷体_GB2312" w:cs="Times New Roman"/>
      <w:sz w:val="26"/>
      <w:szCs w:val="20"/>
    </w:rPr>
  </w:style>
  <w:style w:type="paragraph" w:customStyle="1" w:styleId="626">
    <w:name w:val="样式 标题 2 + (中文) 黑体 四号 黑色"/>
    <w:basedOn w:val="7"/>
    <w:qFormat/>
    <w:uiPriority w:val="0"/>
    <w:pPr>
      <w:spacing w:line="520" w:lineRule="exact"/>
      <w:jc w:val="left"/>
    </w:pPr>
    <w:rPr>
      <w:rFonts w:eastAsia="黑体"/>
      <w:color w:val="000000"/>
      <w:spacing w:val="0"/>
      <w:sz w:val="28"/>
    </w:rPr>
  </w:style>
  <w:style w:type="paragraph" w:customStyle="1" w:styleId="627">
    <w:name w:val="样式 样式 标题 4 + 非加粗 + (中文) 黑体 段前: 0 磅 段后: 0 磅 行距: 固定值 22 磅"/>
    <w:basedOn w:val="628"/>
    <w:qFormat/>
    <w:uiPriority w:val="0"/>
    <w:pPr>
      <w:spacing w:before="156" w:beforeLines="50" w:after="156" w:afterLines="50" w:line="500" w:lineRule="exact"/>
    </w:pPr>
    <w:rPr>
      <w:rFonts w:cs="宋体"/>
      <w:bCs/>
      <w:spacing w:val="0"/>
    </w:rPr>
  </w:style>
  <w:style w:type="paragraph" w:customStyle="1" w:styleId="628">
    <w:name w:val="样式 标题 4 + 非加粗"/>
    <w:basedOn w:val="11"/>
    <w:qFormat/>
    <w:uiPriority w:val="0"/>
    <w:pPr>
      <w:spacing w:before="120" w:beforeLines="0" w:after="120" w:afterLines="0" w:line="377" w:lineRule="auto"/>
    </w:pPr>
    <w:rPr>
      <w:bCs w:val="0"/>
      <w:spacing w:val="4"/>
      <w:szCs w:val="24"/>
    </w:rPr>
  </w:style>
  <w:style w:type="character" w:customStyle="1" w:styleId="629">
    <w:name w:val="NormalCharacter"/>
    <w:qFormat/>
    <w:uiPriority w:val="0"/>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Hewlett-Packard Company</Company>
  <Pages>71</Pages>
  <Words>39327</Words>
  <Characters>43331</Characters>
  <Lines>288</Lines>
  <Paragraphs>81</Paragraphs>
  <TotalTime>21</TotalTime>
  <ScaleCrop>false</ScaleCrop>
  <LinksUpToDate>false</LinksUpToDate>
  <CharactersWithSpaces>45255</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2022-05-28T19:24:00Z</dcterms:created>
  <dc:creator>zxm</dc:creator>
  <cp:lastModifiedBy>biubiubiu</cp:lastModifiedBy>
  <cp:lastPrinted>2020-11-01T15:54:00Z</cp:lastPrinted>
  <dcterms:modified xsi:type="dcterms:W3CDTF">2022-07-18T01:36:15Z</dcterms:modified>
  <dc:title>七星文化综合楼和文化广场物业管理及食堂经营管理项目</dc:title>
  <cp:revision>103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44F4834EFFC042BF96130147008B18FD</vt:lpwstr>
  </property>
</Properties>
</file>