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b/>
          <w:sz w:val="44"/>
          <w:szCs w:val="44"/>
        </w:rPr>
      </w:pPr>
    </w:p>
    <w:p>
      <w:pPr>
        <w:spacing w:before="156" w:beforeLines="50"/>
        <w:jc w:val="center"/>
        <w:rPr>
          <w:rFonts w:hint="eastAsia" w:ascii="Arial" w:hAnsi="Arial" w:eastAsia="宋体" w:cs="Arial"/>
          <w:b/>
          <w:sz w:val="44"/>
          <w:szCs w:val="44"/>
          <w:lang w:eastAsia="zh-CN"/>
        </w:rPr>
      </w:pPr>
      <w:r>
        <w:rPr>
          <w:rFonts w:hint="eastAsia"/>
          <w:b/>
          <w:sz w:val="44"/>
          <w:szCs w:val="44"/>
          <w:lang w:eastAsia="zh-CN"/>
        </w:rPr>
        <w:t>2022-2023年海盐县全域“无废城市”建设技术咨询及服务项目</w:t>
      </w:r>
    </w:p>
    <w:p>
      <w:pPr>
        <w:rPr>
          <w:rFonts w:ascii="Arial" w:hAnsi="Arial" w:cs="Arial"/>
          <w:sz w:val="72"/>
        </w:rPr>
      </w:pPr>
      <w:bookmarkStart w:id="0" w:name="_Hlt162751967"/>
      <w:bookmarkEnd w:id="0"/>
    </w:p>
    <w:p>
      <w:pPr>
        <w:ind w:firstLine="1764" w:firstLineChars="245"/>
        <w:rPr>
          <w:rFonts w:ascii="黑体" w:hAnsi="Arial" w:eastAsia="黑体" w:cs="Arial"/>
          <w:b/>
          <w:bCs/>
          <w:sz w:val="72"/>
        </w:rPr>
      </w:pPr>
    </w:p>
    <w:p>
      <w:pPr>
        <w:jc w:val="center"/>
        <w:rPr>
          <w:rFonts w:ascii="宋体" w:hAnsi="宋体" w:cs="宋体"/>
          <w:b/>
          <w:bCs/>
          <w:sz w:val="72"/>
        </w:rPr>
      </w:pPr>
      <w:r>
        <w:rPr>
          <w:rFonts w:hint="eastAsia" w:ascii="宋体" w:hAnsi="宋体" w:cs="宋体"/>
          <w:b/>
          <w:bCs/>
          <w:sz w:val="72"/>
        </w:rPr>
        <w:t>竞争性磋商文件</w:t>
      </w:r>
    </w:p>
    <w:p>
      <w:pPr>
        <w:rPr>
          <w:rFonts w:ascii="Arial" w:hAnsi="Arial" w:cs="Arial"/>
          <w:sz w:val="28"/>
        </w:rPr>
      </w:pPr>
    </w:p>
    <w:p>
      <w:pPr>
        <w:rPr>
          <w:rFonts w:ascii="Arial" w:hAnsi="Arial" w:cs="Arial"/>
          <w:sz w:val="30"/>
        </w:rPr>
      </w:pPr>
    </w:p>
    <w:p>
      <w:pPr>
        <w:rPr>
          <w:rFonts w:ascii="Arial" w:hAnsi="Arial" w:cs="Arial"/>
          <w:sz w:val="30"/>
        </w:rPr>
      </w:pPr>
    </w:p>
    <w:p>
      <w:pPr>
        <w:rPr>
          <w:rFonts w:ascii="Arial" w:hAnsi="Arial" w:cs="Arial"/>
          <w:sz w:val="30"/>
        </w:rPr>
      </w:pPr>
    </w:p>
    <w:p>
      <w:pPr>
        <w:rPr>
          <w:rFonts w:ascii="Arial" w:hAnsi="Arial" w:cs="Arial"/>
          <w:sz w:val="30"/>
        </w:rPr>
      </w:pPr>
    </w:p>
    <w:p>
      <w:pPr>
        <w:rPr>
          <w:rFonts w:ascii="Arial" w:hAnsi="Arial" w:cs="Arial"/>
          <w:sz w:val="30"/>
        </w:rPr>
      </w:pPr>
    </w:p>
    <w:p>
      <w:pPr>
        <w:spacing w:line="480" w:lineRule="auto"/>
        <w:ind w:firstLine="1120" w:firstLineChars="400"/>
        <w:rPr>
          <w:rFonts w:hint="eastAsia" w:ascii="宋体" w:hAnsi="宋体" w:eastAsia="宋体" w:cs="Arial"/>
          <w:b/>
          <w:sz w:val="28"/>
          <w:szCs w:val="28"/>
          <w:u w:val="single"/>
          <w:lang w:eastAsia="zh-CN"/>
        </w:rPr>
      </w:pPr>
      <w:r>
        <w:rPr>
          <w:rFonts w:hint="eastAsia" w:ascii="宋体" w:hAnsi="宋体" w:cs="Arial"/>
          <w:b/>
          <w:sz w:val="28"/>
          <w:szCs w:val="28"/>
        </w:rPr>
        <w:t>项目编号：</w:t>
      </w:r>
      <w:r>
        <w:rPr>
          <w:rFonts w:hint="eastAsia" w:ascii="宋体" w:hAnsi="宋体" w:cs="Arial"/>
          <w:b/>
          <w:sz w:val="28"/>
          <w:szCs w:val="28"/>
          <w:u w:val="single"/>
          <w:lang w:eastAsia="zh-CN"/>
        </w:rPr>
        <w:t>中望[2022]D104号</w:t>
      </w:r>
    </w:p>
    <w:p>
      <w:pPr>
        <w:spacing w:line="480" w:lineRule="auto"/>
        <w:ind w:firstLine="1120" w:firstLineChars="400"/>
        <w:rPr>
          <w:rFonts w:hint="eastAsia" w:ascii="宋体" w:hAnsi="宋体" w:eastAsia="宋体" w:cs="Arial"/>
          <w:b/>
          <w:sz w:val="28"/>
          <w:szCs w:val="28"/>
          <w:u w:val="single"/>
          <w:lang w:eastAsia="zh-CN"/>
        </w:rPr>
      </w:pPr>
      <w:r>
        <w:rPr>
          <w:rFonts w:hint="eastAsia" w:ascii="宋体" w:hAnsi="宋体" w:cs="Arial"/>
          <w:b/>
          <w:sz w:val="28"/>
          <w:szCs w:val="28"/>
        </w:rPr>
        <w:t>项目名称：</w:t>
      </w:r>
      <w:r>
        <w:rPr>
          <w:rFonts w:hint="eastAsia" w:ascii="宋体" w:hAnsi="宋体" w:cs="Arial"/>
          <w:b/>
          <w:sz w:val="28"/>
          <w:szCs w:val="28"/>
          <w:u w:val="single"/>
          <w:lang w:eastAsia="zh-CN"/>
        </w:rPr>
        <w:t>2022-2023年海盐县全域“无废城市”建设技术咨询及服务项目</w:t>
      </w:r>
    </w:p>
    <w:p>
      <w:pPr>
        <w:spacing w:line="480" w:lineRule="auto"/>
        <w:ind w:firstLine="1120" w:firstLineChars="400"/>
        <w:rPr>
          <w:rFonts w:ascii="宋体" w:hAnsi="宋体" w:cs="Arial"/>
          <w:b/>
          <w:sz w:val="28"/>
          <w:szCs w:val="28"/>
          <w:u w:val="single"/>
        </w:rPr>
      </w:pPr>
      <w:r>
        <w:rPr>
          <w:rFonts w:hint="eastAsia" w:ascii="宋体" w:hAnsi="宋体" w:cs="Arial"/>
          <w:b/>
          <w:sz w:val="28"/>
          <w:szCs w:val="28"/>
        </w:rPr>
        <w:t>采购方式：</w:t>
      </w:r>
      <w:r>
        <w:rPr>
          <w:rFonts w:hint="eastAsia" w:ascii="宋体" w:hAnsi="宋体" w:cs="Arial"/>
          <w:b/>
          <w:sz w:val="28"/>
          <w:szCs w:val="28"/>
          <w:u w:val="single"/>
        </w:rPr>
        <w:t>竞争性磋商</w:t>
      </w:r>
    </w:p>
    <w:p>
      <w:pPr>
        <w:spacing w:line="480" w:lineRule="auto"/>
        <w:ind w:firstLine="1120" w:firstLineChars="400"/>
        <w:rPr>
          <w:rFonts w:ascii="宋体" w:hAnsi="宋体" w:cs="Arial"/>
          <w:b/>
          <w:sz w:val="28"/>
          <w:szCs w:val="28"/>
          <w:u w:val="single"/>
        </w:rPr>
      </w:pPr>
      <w:r>
        <w:rPr>
          <w:rFonts w:hint="eastAsia" w:ascii="宋体" w:hAnsi="宋体" w:cs="Arial"/>
          <w:b/>
          <w:sz w:val="28"/>
          <w:szCs w:val="28"/>
        </w:rPr>
        <w:t>采 购 人：</w:t>
      </w:r>
      <w:r>
        <w:rPr>
          <w:rFonts w:hint="eastAsia" w:ascii="宋体" w:hAnsi="宋体" w:cs="Arial"/>
          <w:b/>
          <w:sz w:val="28"/>
          <w:szCs w:val="28"/>
          <w:u w:val="single"/>
        </w:rPr>
        <w:t>嘉兴市生态环境局海盐分局</w:t>
      </w:r>
    </w:p>
    <w:p>
      <w:pPr>
        <w:spacing w:line="480" w:lineRule="auto"/>
        <w:ind w:firstLine="1120" w:firstLineChars="400"/>
        <w:rPr>
          <w:rFonts w:ascii="宋体" w:hAnsi="宋体" w:cs="Arial"/>
          <w:b/>
          <w:sz w:val="28"/>
          <w:szCs w:val="28"/>
          <w:u w:val="single"/>
        </w:rPr>
      </w:pPr>
      <w:r>
        <w:rPr>
          <w:rFonts w:hint="eastAsia" w:ascii="宋体" w:hAnsi="宋体" w:cs="Arial"/>
          <w:b/>
          <w:sz w:val="28"/>
          <w:szCs w:val="28"/>
        </w:rPr>
        <w:t>招标代理机构：</w:t>
      </w:r>
      <w:r>
        <w:rPr>
          <w:rFonts w:hint="eastAsia" w:ascii="宋体" w:hAnsi="宋体" w:cs="Arial"/>
          <w:b/>
          <w:sz w:val="28"/>
          <w:szCs w:val="28"/>
          <w:u w:val="single"/>
        </w:rPr>
        <w:t>浙江中望工程管理有限公司</w:t>
      </w:r>
    </w:p>
    <w:p>
      <w:pPr>
        <w:rPr>
          <w:rFonts w:ascii="Arial" w:hAnsi="Arial" w:cs="Arial"/>
          <w:b/>
          <w:sz w:val="30"/>
        </w:rPr>
      </w:pPr>
    </w:p>
    <w:p>
      <w:pPr>
        <w:ind w:firstLine="3138" w:firstLineChars="1046"/>
        <w:rPr>
          <w:rFonts w:ascii="Arial" w:hAnsi="Arial" w:cs="Arial"/>
          <w:b/>
          <w:sz w:val="30"/>
        </w:rPr>
      </w:pPr>
      <w:r>
        <w:rPr>
          <w:rFonts w:ascii="Arial" w:hAnsi="Arial" w:cs="Arial"/>
          <w:b/>
          <w:sz w:val="30"/>
          <w:szCs w:val="30"/>
        </w:rPr>
        <w:t>二</w:t>
      </w:r>
      <w:r>
        <w:rPr>
          <w:rFonts w:hint="eastAsia" w:ascii="Arial" w:hAnsi="Arial" w:cs="Arial"/>
          <w:b/>
          <w:sz w:val="30"/>
          <w:szCs w:val="30"/>
        </w:rPr>
        <w:t>〇二二</w:t>
      </w:r>
      <w:r>
        <w:rPr>
          <w:rFonts w:ascii="Arial" w:hAnsi="Arial" w:cs="Arial"/>
          <w:b/>
          <w:sz w:val="30"/>
          <w:szCs w:val="30"/>
        </w:rPr>
        <w:t>年</w:t>
      </w:r>
      <w:r>
        <w:rPr>
          <w:rFonts w:hint="eastAsia" w:ascii="Arial" w:hAnsi="Arial" w:cs="Arial"/>
          <w:b/>
          <w:sz w:val="30"/>
          <w:szCs w:val="30"/>
        </w:rPr>
        <w:t>十</w:t>
      </w:r>
      <w:r>
        <w:rPr>
          <w:rFonts w:hint="eastAsia" w:ascii="Arial" w:hAnsi="Arial" w:cs="Arial"/>
          <w:b/>
          <w:sz w:val="30"/>
          <w:szCs w:val="30"/>
          <w:lang w:eastAsia="zh-CN"/>
        </w:rPr>
        <w:t>一</w:t>
      </w:r>
      <w:r>
        <w:rPr>
          <w:rFonts w:ascii="Arial" w:hAnsi="Arial" w:cs="Arial"/>
          <w:b/>
          <w:sz w:val="30"/>
          <w:szCs w:val="30"/>
        </w:rPr>
        <w:t>月</w:t>
      </w:r>
    </w:p>
    <w:p>
      <w:pPr>
        <w:rPr>
          <w:rFonts w:ascii="Arial" w:hAnsi="Arial" w:cs="Arial"/>
        </w:rPr>
        <w:sectPr>
          <w:pgSz w:w="11906" w:h="16838"/>
          <w:pgMar w:top="1418" w:right="1418" w:bottom="1418" w:left="1418" w:header="680" w:footer="992" w:gutter="0"/>
          <w:pgNumType w:start="1"/>
          <w:cols w:space="720" w:num="1"/>
          <w:docGrid w:type="linesAndChars" w:linePitch="312" w:charSpace="0"/>
        </w:sectPr>
      </w:pPr>
    </w:p>
    <w:p>
      <w:pPr>
        <w:spacing w:line="276" w:lineRule="auto"/>
        <w:jc w:val="center"/>
        <w:rPr>
          <w:rFonts w:ascii="Arial" w:hAnsi="Arial" w:cs="Arial"/>
          <w:b/>
          <w:sz w:val="40"/>
          <w:szCs w:val="32"/>
        </w:rPr>
      </w:pPr>
      <w:r>
        <w:rPr>
          <w:rFonts w:ascii="Arial" w:hAnsi="Arial" w:cs="Arial"/>
          <w:b/>
          <w:sz w:val="40"/>
          <w:szCs w:val="32"/>
        </w:rPr>
        <w:t>目录</w:t>
      </w:r>
    </w:p>
    <w:p>
      <w:pPr>
        <w:spacing w:line="276" w:lineRule="auto"/>
        <w:jc w:val="center"/>
        <w:rPr>
          <w:rFonts w:ascii="Arial" w:hAnsi="Arial" w:cs="Arial"/>
          <w:b/>
          <w:sz w:val="40"/>
          <w:szCs w:val="32"/>
        </w:rPr>
      </w:pPr>
    </w:p>
    <w:p>
      <w:pPr>
        <w:pStyle w:val="17"/>
        <w:tabs>
          <w:tab w:val="right" w:leader="dot" w:pos="9070"/>
          <w:tab w:val="clear" w:pos="8948"/>
        </w:tabs>
        <w:snapToGrid w:val="0"/>
        <w:spacing w:line="360" w:lineRule="auto"/>
      </w:pPr>
      <w:r>
        <w:rPr>
          <w:rFonts w:cs="Arial"/>
          <w:b w:val="0"/>
          <w:kern w:val="2"/>
          <w:sz w:val="28"/>
          <w:szCs w:val="28"/>
        </w:rPr>
        <w:fldChar w:fldCharType="begin"/>
      </w:r>
      <w:r>
        <w:rPr>
          <w:rFonts w:cs="Arial"/>
          <w:b w:val="0"/>
          <w:kern w:val="2"/>
          <w:sz w:val="28"/>
          <w:szCs w:val="28"/>
        </w:rPr>
        <w:instrText xml:space="preserve"> TOC \o "1-3" \h \z \u </w:instrText>
      </w:r>
      <w:r>
        <w:rPr>
          <w:rFonts w:cs="Arial"/>
          <w:b w:val="0"/>
          <w:kern w:val="2"/>
          <w:sz w:val="28"/>
          <w:szCs w:val="28"/>
        </w:rPr>
        <w:fldChar w:fldCharType="separate"/>
      </w:r>
      <w:r>
        <w:fldChar w:fldCharType="begin"/>
      </w:r>
      <w:r>
        <w:instrText xml:space="preserve"> HYPERLINK \l "_Toc31463" </w:instrText>
      </w:r>
      <w:r>
        <w:fldChar w:fldCharType="separate"/>
      </w:r>
      <w:r>
        <w:rPr>
          <w:rFonts w:ascii="Arial" w:hAnsi="Arial" w:cs="Arial"/>
          <w:szCs w:val="36"/>
        </w:rPr>
        <w:t>第一部分采购公告</w:t>
      </w:r>
      <w:r>
        <w:tab/>
      </w:r>
      <w:r>
        <w:fldChar w:fldCharType="begin"/>
      </w:r>
      <w:r>
        <w:instrText xml:space="preserve"> PAGEREF _Toc31463 \h </w:instrText>
      </w:r>
      <w:r>
        <w:fldChar w:fldCharType="separate"/>
      </w:r>
      <w:r>
        <w:t>2</w:t>
      </w:r>
      <w:r>
        <w:fldChar w:fldCharType="end"/>
      </w:r>
      <w:r>
        <w:fldChar w:fldCharType="end"/>
      </w:r>
    </w:p>
    <w:p>
      <w:pPr>
        <w:pStyle w:val="17"/>
        <w:tabs>
          <w:tab w:val="right" w:leader="dot" w:pos="9070"/>
          <w:tab w:val="clear" w:pos="8948"/>
        </w:tabs>
        <w:snapToGrid w:val="0"/>
        <w:spacing w:line="360" w:lineRule="auto"/>
      </w:pPr>
      <w:r>
        <w:fldChar w:fldCharType="begin"/>
      </w:r>
      <w:r>
        <w:instrText xml:space="preserve"> HYPERLINK \l "_Toc6163" </w:instrText>
      </w:r>
      <w:r>
        <w:fldChar w:fldCharType="separate"/>
      </w:r>
      <w:r>
        <w:rPr>
          <w:rFonts w:ascii="Arial" w:hAnsi="Arial" w:cs="Arial"/>
          <w:szCs w:val="36"/>
        </w:rPr>
        <w:t>第二部分竞争性磋商供应商须知</w:t>
      </w:r>
      <w:r>
        <w:tab/>
      </w:r>
      <w:r>
        <w:fldChar w:fldCharType="begin"/>
      </w:r>
      <w:r>
        <w:instrText xml:space="preserve"> PAGEREF _Toc6163 \h </w:instrText>
      </w:r>
      <w:r>
        <w:fldChar w:fldCharType="separate"/>
      </w:r>
      <w:r>
        <w:t>6</w:t>
      </w:r>
      <w:r>
        <w:fldChar w:fldCharType="end"/>
      </w:r>
      <w:r>
        <w:fldChar w:fldCharType="end"/>
      </w:r>
    </w:p>
    <w:p>
      <w:pPr>
        <w:pStyle w:val="19"/>
        <w:tabs>
          <w:tab w:val="right" w:leader="dot" w:pos="9070"/>
          <w:tab w:val="clear" w:pos="8948"/>
        </w:tabs>
        <w:snapToGrid w:val="0"/>
        <w:spacing w:line="360" w:lineRule="auto"/>
      </w:pPr>
      <w:r>
        <w:fldChar w:fldCharType="begin"/>
      </w:r>
      <w:r>
        <w:instrText xml:space="preserve"> HYPERLINK \l "_Toc9512" </w:instrText>
      </w:r>
      <w:r>
        <w:fldChar w:fldCharType="separate"/>
      </w:r>
      <w:r>
        <w:rPr>
          <w:rFonts w:ascii="Arial" w:hAnsi="Arial" w:cs="Arial"/>
          <w:szCs w:val="24"/>
        </w:rPr>
        <w:t>（一）竞争性磋商须知前附表</w:t>
      </w:r>
      <w:r>
        <w:tab/>
      </w:r>
      <w:r>
        <w:fldChar w:fldCharType="begin"/>
      </w:r>
      <w:r>
        <w:instrText xml:space="preserve"> PAGEREF _Toc9512 \h </w:instrText>
      </w:r>
      <w:r>
        <w:fldChar w:fldCharType="separate"/>
      </w:r>
      <w:r>
        <w:t>6</w:t>
      </w:r>
      <w:r>
        <w:fldChar w:fldCharType="end"/>
      </w:r>
      <w:r>
        <w:fldChar w:fldCharType="end"/>
      </w:r>
    </w:p>
    <w:p>
      <w:pPr>
        <w:pStyle w:val="19"/>
        <w:tabs>
          <w:tab w:val="right" w:leader="dot" w:pos="9070"/>
          <w:tab w:val="clear" w:pos="8948"/>
        </w:tabs>
        <w:snapToGrid w:val="0"/>
        <w:spacing w:line="360" w:lineRule="auto"/>
      </w:pPr>
      <w:r>
        <w:fldChar w:fldCharType="begin"/>
      </w:r>
      <w:r>
        <w:instrText xml:space="preserve"> HYPERLINK \l "_Toc22409" </w:instrText>
      </w:r>
      <w:r>
        <w:fldChar w:fldCharType="separate"/>
      </w:r>
      <w:r>
        <w:rPr>
          <w:rFonts w:ascii="Arial" w:hAnsi="Arial" w:cs="Arial"/>
          <w:szCs w:val="24"/>
        </w:rPr>
        <w:t>（二）总则</w:t>
      </w:r>
      <w:r>
        <w:tab/>
      </w:r>
      <w:r>
        <w:fldChar w:fldCharType="begin"/>
      </w:r>
      <w:r>
        <w:instrText xml:space="preserve"> PAGEREF _Toc22409 \h </w:instrText>
      </w:r>
      <w:r>
        <w:fldChar w:fldCharType="separate"/>
      </w:r>
      <w:r>
        <w:t>9</w:t>
      </w:r>
      <w:r>
        <w:fldChar w:fldCharType="end"/>
      </w:r>
      <w:r>
        <w:fldChar w:fldCharType="end"/>
      </w:r>
    </w:p>
    <w:p>
      <w:pPr>
        <w:pStyle w:val="19"/>
        <w:tabs>
          <w:tab w:val="right" w:leader="dot" w:pos="9070"/>
          <w:tab w:val="clear" w:pos="8948"/>
        </w:tabs>
        <w:snapToGrid w:val="0"/>
        <w:spacing w:line="360" w:lineRule="auto"/>
      </w:pPr>
      <w:r>
        <w:fldChar w:fldCharType="begin"/>
      </w:r>
      <w:r>
        <w:instrText xml:space="preserve"> HYPERLINK \l "_Toc23866" </w:instrText>
      </w:r>
      <w:r>
        <w:fldChar w:fldCharType="separate"/>
      </w:r>
      <w:r>
        <w:rPr>
          <w:rFonts w:ascii="Arial" w:hAnsi="Arial" w:cs="Arial"/>
          <w:szCs w:val="24"/>
        </w:rPr>
        <w:t>（三）竞争性磋商文件说明</w:t>
      </w:r>
      <w:r>
        <w:tab/>
      </w:r>
      <w:r>
        <w:fldChar w:fldCharType="begin"/>
      </w:r>
      <w:r>
        <w:instrText xml:space="preserve"> PAGEREF _Toc23866 \h </w:instrText>
      </w:r>
      <w:r>
        <w:fldChar w:fldCharType="separate"/>
      </w:r>
      <w:r>
        <w:t>10</w:t>
      </w:r>
      <w:r>
        <w:fldChar w:fldCharType="end"/>
      </w:r>
      <w:r>
        <w:fldChar w:fldCharType="end"/>
      </w:r>
    </w:p>
    <w:p>
      <w:pPr>
        <w:pStyle w:val="19"/>
        <w:tabs>
          <w:tab w:val="right" w:leader="dot" w:pos="9070"/>
          <w:tab w:val="clear" w:pos="8948"/>
        </w:tabs>
        <w:snapToGrid w:val="0"/>
        <w:spacing w:line="360" w:lineRule="auto"/>
      </w:pPr>
      <w:r>
        <w:fldChar w:fldCharType="begin"/>
      </w:r>
      <w:r>
        <w:instrText xml:space="preserve"> HYPERLINK \l "_Toc14490" </w:instrText>
      </w:r>
      <w:r>
        <w:fldChar w:fldCharType="separate"/>
      </w:r>
      <w:r>
        <w:rPr>
          <w:rFonts w:ascii="Arial" w:hAnsi="Arial" w:cs="Arial"/>
          <w:szCs w:val="24"/>
        </w:rPr>
        <w:t>（四）竞争性磋商响应文件的编制</w:t>
      </w:r>
      <w:r>
        <w:tab/>
      </w:r>
      <w:r>
        <w:fldChar w:fldCharType="begin"/>
      </w:r>
      <w:r>
        <w:instrText xml:space="preserve"> PAGEREF _Toc14490 \h </w:instrText>
      </w:r>
      <w:r>
        <w:fldChar w:fldCharType="separate"/>
      </w:r>
      <w:r>
        <w:t>10</w:t>
      </w:r>
      <w:r>
        <w:fldChar w:fldCharType="end"/>
      </w:r>
      <w:r>
        <w:fldChar w:fldCharType="end"/>
      </w:r>
    </w:p>
    <w:p>
      <w:pPr>
        <w:pStyle w:val="19"/>
        <w:tabs>
          <w:tab w:val="right" w:leader="dot" w:pos="9070"/>
          <w:tab w:val="clear" w:pos="8948"/>
        </w:tabs>
        <w:snapToGrid w:val="0"/>
        <w:spacing w:line="360" w:lineRule="auto"/>
      </w:pPr>
      <w:r>
        <w:fldChar w:fldCharType="begin"/>
      </w:r>
      <w:r>
        <w:instrText xml:space="preserve"> HYPERLINK \l "_Toc22608" </w:instrText>
      </w:r>
      <w:r>
        <w:fldChar w:fldCharType="separate"/>
      </w:r>
      <w:r>
        <w:rPr>
          <w:rFonts w:ascii="Arial" w:hAnsi="Arial" w:cs="Arial"/>
          <w:szCs w:val="24"/>
        </w:rPr>
        <w:t>（五）竞争性磋商响应文件的递交</w:t>
      </w:r>
      <w:r>
        <w:tab/>
      </w:r>
      <w:r>
        <w:fldChar w:fldCharType="begin"/>
      </w:r>
      <w:r>
        <w:instrText xml:space="preserve"> PAGEREF _Toc22608 \h </w:instrText>
      </w:r>
      <w:r>
        <w:fldChar w:fldCharType="separate"/>
      </w:r>
      <w:r>
        <w:t>13</w:t>
      </w:r>
      <w:r>
        <w:fldChar w:fldCharType="end"/>
      </w:r>
      <w:r>
        <w:fldChar w:fldCharType="end"/>
      </w:r>
    </w:p>
    <w:p>
      <w:pPr>
        <w:pStyle w:val="19"/>
        <w:tabs>
          <w:tab w:val="right" w:leader="dot" w:pos="9070"/>
          <w:tab w:val="clear" w:pos="8948"/>
        </w:tabs>
        <w:snapToGrid w:val="0"/>
        <w:spacing w:line="360" w:lineRule="auto"/>
      </w:pPr>
      <w:r>
        <w:fldChar w:fldCharType="begin"/>
      </w:r>
      <w:r>
        <w:instrText xml:space="preserve"> HYPERLINK \l "_Toc15906" </w:instrText>
      </w:r>
      <w:r>
        <w:fldChar w:fldCharType="separate"/>
      </w:r>
      <w:r>
        <w:rPr>
          <w:rFonts w:ascii="Arial" w:hAnsi="Arial" w:cs="Arial"/>
          <w:szCs w:val="24"/>
        </w:rPr>
        <w:t>（六）竞争性磋商与评审</w:t>
      </w:r>
      <w:r>
        <w:tab/>
      </w:r>
      <w:r>
        <w:fldChar w:fldCharType="begin"/>
      </w:r>
      <w:r>
        <w:instrText xml:space="preserve"> PAGEREF _Toc15906 \h </w:instrText>
      </w:r>
      <w:r>
        <w:fldChar w:fldCharType="separate"/>
      </w:r>
      <w:r>
        <w:t>13</w:t>
      </w:r>
      <w:r>
        <w:fldChar w:fldCharType="end"/>
      </w:r>
      <w:r>
        <w:fldChar w:fldCharType="end"/>
      </w:r>
    </w:p>
    <w:p>
      <w:pPr>
        <w:pStyle w:val="19"/>
        <w:tabs>
          <w:tab w:val="right" w:leader="dot" w:pos="9070"/>
          <w:tab w:val="clear" w:pos="8948"/>
        </w:tabs>
        <w:snapToGrid w:val="0"/>
        <w:spacing w:line="360" w:lineRule="auto"/>
      </w:pPr>
      <w:r>
        <w:fldChar w:fldCharType="begin"/>
      </w:r>
      <w:r>
        <w:instrText xml:space="preserve"> HYPERLINK \l "_Toc28285" </w:instrText>
      </w:r>
      <w:r>
        <w:fldChar w:fldCharType="separate"/>
      </w:r>
      <w:r>
        <w:rPr>
          <w:rFonts w:ascii="Arial" w:hAnsi="Arial" w:cs="Arial"/>
          <w:szCs w:val="24"/>
        </w:rPr>
        <w:t>（七）授予合同</w:t>
      </w:r>
      <w:r>
        <w:tab/>
      </w:r>
      <w:r>
        <w:fldChar w:fldCharType="begin"/>
      </w:r>
      <w:r>
        <w:instrText xml:space="preserve"> PAGEREF _Toc28285 \h </w:instrText>
      </w:r>
      <w:r>
        <w:fldChar w:fldCharType="separate"/>
      </w:r>
      <w:r>
        <w:t>15</w:t>
      </w:r>
      <w:r>
        <w:fldChar w:fldCharType="end"/>
      </w:r>
      <w:r>
        <w:fldChar w:fldCharType="end"/>
      </w:r>
    </w:p>
    <w:p>
      <w:pPr>
        <w:pStyle w:val="17"/>
        <w:tabs>
          <w:tab w:val="right" w:leader="dot" w:pos="9070"/>
          <w:tab w:val="clear" w:pos="8948"/>
        </w:tabs>
        <w:snapToGrid w:val="0"/>
        <w:spacing w:line="360" w:lineRule="auto"/>
      </w:pPr>
      <w:r>
        <w:fldChar w:fldCharType="begin"/>
      </w:r>
      <w:r>
        <w:instrText xml:space="preserve"> HYPERLINK \l "_Toc26083" </w:instrText>
      </w:r>
      <w:r>
        <w:fldChar w:fldCharType="separate"/>
      </w:r>
      <w:r>
        <w:rPr>
          <w:rFonts w:ascii="Arial" w:hAnsi="Arial" w:cs="Arial"/>
          <w:szCs w:val="36"/>
        </w:rPr>
        <w:t>第三部分</w:t>
      </w:r>
      <w:r>
        <w:rPr>
          <w:rFonts w:hint="eastAsia" w:ascii="Arial" w:hAnsi="Arial" w:cs="Arial"/>
          <w:szCs w:val="36"/>
        </w:rPr>
        <w:t>项目采购需求</w:t>
      </w:r>
      <w:r>
        <w:tab/>
      </w:r>
      <w:r>
        <w:fldChar w:fldCharType="begin"/>
      </w:r>
      <w:r>
        <w:instrText xml:space="preserve"> PAGEREF _Toc26083 \h </w:instrText>
      </w:r>
      <w:r>
        <w:fldChar w:fldCharType="separate"/>
      </w:r>
      <w:r>
        <w:t>17</w:t>
      </w:r>
      <w:r>
        <w:fldChar w:fldCharType="end"/>
      </w:r>
      <w:r>
        <w:fldChar w:fldCharType="end"/>
      </w:r>
    </w:p>
    <w:p>
      <w:pPr>
        <w:pStyle w:val="17"/>
        <w:tabs>
          <w:tab w:val="right" w:leader="dot" w:pos="9070"/>
          <w:tab w:val="clear" w:pos="8948"/>
        </w:tabs>
        <w:snapToGrid w:val="0"/>
        <w:spacing w:line="360" w:lineRule="auto"/>
      </w:pPr>
      <w:r>
        <w:fldChar w:fldCharType="begin"/>
      </w:r>
      <w:r>
        <w:instrText xml:space="preserve"> HYPERLINK \l "_Toc25360" </w:instrText>
      </w:r>
      <w:r>
        <w:fldChar w:fldCharType="separate"/>
      </w:r>
      <w:r>
        <w:rPr>
          <w:rFonts w:hint="eastAsia" w:ascii="Arial" w:hAnsi="Arial" w:cs="Arial"/>
          <w:szCs w:val="36"/>
        </w:rPr>
        <w:t>第四部分合同条款</w:t>
      </w:r>
      <w:r>
        <w:tab/>
      </w:r>
      <w:r>
        <w:fldChar w:fldCharType="begin"/>
      </w:r>
      <w:r>
        <w:instrText xml:space="preserve"> PAGEREF _Toc25360 \h </w:instrText>
      </w:r>
      <w:r>
        <w:fldChar w:fldCharType="separate"/>
      </w:r>
      <w:r>
        <w:t>19</w:t>
      </w:r>
      <w:r>
        <w:fldChar w:fldCharType="end"/>
      </w:r>
      <w:r>
        <w:fldChar w:fldCharType="end"/>
      </w:r>
    </w:p>
    <w:p>
      <w:pPr>
        <w:pStyle w:val="17"/>
        <w:tabs>
          <w:tab w:val="right" w:leader="dot" w:pos="9070"/>
          <w:tab w:val="clear" w:pos="8948"/>
        </w:tabs>
        <w:snapToGrid w:val="0"/>
        <w:spacing w:line="360" w:lineRule="auto"/>
      </w:pPr>
      <w:r>
        <w:fldChar w:fldCharType="begin"/>
      </w:r>
      <w:r>
        <w:instrText xml:space="preserve"> HYPERLINK \l "_Toc1792" </w:instrText>
      </w:r>
      <w:r>
        <w:fldChar w:fldCharType="separate"/>
      </w:r>
      <w:r>
        <w:rPr>
          <w:rFonts w:hint="eastAsia" w:ascii="Arial" w:hAnsi="Arial" w:cs="Arial"/>
          <w:szCs w:val="36"/>
        </w:rPr>
        <w:t>第五部分竞争性磋商评定办法</w:t>
      </w:r>
      <w:r>
        <w:tab/>
      </w:r>
      <w:r>
        <w:fldChar w:fldCharType="begin"/>
      </w:r>
      <w:r>
        <w:instrText xml:space="preserve"> PAGEREF _Toc1792 \h </w:instrText>
      </w:r>
      <w:r>
        <w:fldChar w:fldCharType="separate"/>
      </w:r>
      <w:r>
        <w:t>22</w:t>
      </w:r>
      <w:r>
        <w:fldChar w:fldCharType="end"/>
      </w:r>
      <w:r>
        <w:fldChar w:fldCharType="end"/>
      </w:r>
    </w:p>
    <w:p>
      <w:pPr>
        <w:pStyle w:val="17"/>
        <w:tabs>
          <w:tab w:val="right" w:leader="dot" w:pos="9070"/>
          <w:tab w:val="clear" w:pos="8948"/>
        </w:tabs>
        <w:snapToGrid w:val="0"/>
        <w:spacing w:line="360" w:lineRule="auto"/>
      </w:pPr>
      <w:r>
        <w:fldChar w:fldCharType="begin"/>
      </w:r>
      <w:r>
        <w:instrText xml:space="preserve"> HYPERLINK \l "_Toc22727" </w:instrText>
      </w:r>
      <w:r>
        <w:fldChar w:fldCharType="separate"/>
      </w:r>
      <w:r>
        <w:rPr>
          <w:rFonts w:hint="eastAsia" w:ascii="Arial" w:hAnsi="Arial" w:cs="Arial"/>
          <w:szCs w:val="36"/>
        </w:rPr>
        <w:t>第六部分竞争性磋商响应文件格式</w:t>
      </w:r>
      <w:r>
        <w:tab/>
      </w:r>
      <w:r>
        <w:fldChar w:fldCharType="begin"/>
      </w:r>
      <w:r>
        <w:instrText xml:space="preserve"> PAGEREF _Toc22727 \h </w:instrText>
      </w:r>
      <w:r>
        <w:fldChar w:fldCharType="separate"/>
      </w:r>
      <w:r>
        <w:t>26</w:t>
      </w:r>
      <w:r>
        <w:fldChar w:fldCharType="end"/>
      </w:r>
      <w:r>
        <w:fldChar w:fldCharType="end"/>
      </w:r>
    </w:p>
    <w:p>
      <w:pPr>
        <w:pStyle w:val="19"/>
        <w:tabs>
          <w:tab w:val="right" w:leader="dot" w:pos="9070"/>
          <w:tab w:val="clear" w:pos="8948"/>
        </w:tabs>
      </w:pPr>
    </w:p>
    <w:p>
      <w:pPr>
        <w:pStyle w:val="17"/>
        <w:spacing w:line="276" w:lineRule="auto"/>
        <w:rPr>
          <w:rFonts w:cs="Arial"/>
          <w:kern w:val="2"/>
        </w:rPr>
      </w:pPr>
      <w:r>
        <w:rPr>
          <w:rFonts w:cs="Arial"/>
          <w:kern w:val="2"/>
        </w:rPr>
        <w:fldChar w:fldCharType="end"/>
      </w:r>
    </w:p>
    <w:p>
      <w:pPr>
        <w:spacing w:line="276" w:lineRule="auto"/>
        <w:rPr>
          <w:rFonts w:ascii="Arial" w:hAnsi="Arial" w:cs="Arial"/>
        </w:rPr>
        <w:sectPr>
          <w:headerReference r:id="rId3" w:type="default"/>
          <w:footerReference r:id="rId5" w:type="default"/>
          <w:headerReference r:id="rId4" w:type="even"/>
          <w:footerReference r:id="rId6" w:type="even"/>
          <w:pgSz w:w="11906" w:h="16838"/>
          <w:pgMar w:top="1418" w:right="1418" w:bottom="1418" w:left="1418" w:header="680" w:footer="992" w:gutter="0"/>
          <w:pgNumType w:start="1"/>
          <w:cols w:space="720" w:num="1"/>
          <w:docGrid w:type="linesAndChars" w:linePitch="312" w:charSpace="0"/>
        </w:sectPr>
      </w:pPr>
    </w:p>
    <w:p>
      <w:pPr>
        <w:pStyle w:val="3"/>
        <w:keepNext w:val="0"/>
        <w:keepLines w:val="0"/>
        <w:pageBreakBefore/>
        <w:spacing w:before="156" w:beforeLines="50" w:after="156" w:afterLines="50" w:line="276" w:lineRule="auto"/>
        <w:jc w:val="center"/>
        <w:rPr>
          <w:rFonts w:ascii="Arial" w:hAnsi="Arial" w:cs="Arial"/>
          <w:sz w:val="28"/>
          <w:szCs w:val="36"/>
        </w:rPr>
      </w:pPr>
      <w:bookmarkStart w:id="1" w:name="_Toc31463"/>
      <w:r>
        <w:rPr>
          <w:rFonts w:ascii="Arial" w:hAnsi="Arial" w:cs="Arial"/>
          <w:sz w:val="28"/>
          <w:szCs w:val="36"/>
        </w:rPr>
        <w:t>第一部分采购公告</w:t>
      </w:r>
      <w:bookmarkEnd w:id="1"/>
    </w:p>
    <w:p>
      <w:pPr>
        <w:spacing w:line="360" w:lineRule="auto"/>
        <w:rPr>
          <w:rFonts w:ascii="宋体" w:hAnsi="宋体" w:cs="Arial"/>
          <w:szCs w:val="21"/>
        </w:rPr>
      </w:pPr>
      <w:r>
        <w:rPr>
          <w:rFonts w:ascii="Arial" w:hAnsi="Arial" w:cs="Arial"/>
          <w:sz w:val="26"/>
          <w:szCs w:val="26"/>
        </w:rPr>
        <w:t> </w:t>
      </w:r>
      <w:r>
        <w:rPr>
          <w:rFonts w:ascii="宋体" w:hAnsi="宋体" w:cs="Arial"/>
          <w:szCs w:val="21"/>
        </w:rPr>
        <w:t>项目概况</w:t>
      </w:r>
    </w:p>
    <w:p>
      <w:pPr>
        <w:spacing w:line="360" w:lineRule="auto"/>
        <w:ind w:left="420" w:leftChars="200" w:firstLine="210" w:firstLineChars="100"/>
        <w:rPr>
          <w:rFonts w:ascii="宋体" w:hAnsi="宋体" w:cs="Arial"/>
          <w:szCs w:val="21"/>
        </w:rPr>
      </w:pPr>
      <w:r>
        <w:rPr>
          <w:rFonts w:ascii="宋体" w:hAnsi="宋体" w:cs="Arial"/>
          <w:szCs w:val="21"/>
        </w:rPr>
        <w:t> </w:t>
      </w:r>
      <w:r>
        <w:rPr>
          <w:rFonts w:hint="eastAsia" w:ascii="宋体" w:hAnsi="宋体"/>
          <w:szCs w:val="21"/>
          <w:u w:val="single"/>
          <w:lang w:eastAsia="zh-CN"/>
        </w:rPr>
        <w:t>2022-2023年海盐县全域“无废城市”建设技术咨询及服务项目</w:t>
      </w:r>
      <w:r>
        <w:rPr>
          <w:rFonts w:ascii="宋体" w:hAnsi="宋体" w:cs="Arial"/>
          <w:szCs w:val="21"/>
        </w:rPr>
        <w:t>的潜在供应商应在</w:t>
      </w:r>
      <w:r>
        <w:rPr>
          <w:rFonts w:ascii="宋体" w:hAnsi="宋体" w:cs="Arial"/>
          <w:szCs w:val="21"/>
          <w:u w:val="single"/>
        </w:rPr>
        <w:t>浙江政府采购网（http://www.zjzfcg.gov.cn）</w:t>
      </w:r>
      <w:r>
        <w:rPr>
          <w:rFonts w:ascii="宋体" w:hAnsi="宋体" w:cs="Arial"/>
          <w:szCs w:val="21"/>
        </w:rPr>
        <w:t>获取（下载）采购文件，并于</w:t>
      </w:r>
      <w:r>
        <w:rPr>
          <w:rFonts w:hint="eastAsia" w:ascii="宋体" w:hAnsi="宋体" w:cs="Arial"/>
          <w:szCs w:val="21"/>
          <w:u w:val="single"/>
        </w:rPr>
        <w:t>2022年</w:t>
      </w:r>
      <w:r>
        <w:rPr>
          <w:rFonts w:hint="eastAsia" w:ascii="宋体" w:hAnsi="宋体" w:cs="Arial"/>
          <w:szCs w:val="21"/>
          <w:u w:val="single"/>
          <w:lang w:val="en-US" w:eastAsia="zh-CN"/>
        </w:rPr>
        <w:t>11</w:t>
      </w:r>
      <w:r>
        <w:rPr>
          <w:rFonts w:hint="eastAsia" w:ascii="宋体" w:hAnsi="宋体" w:cs="Arial"/>
          <w:szCs w:val="21"/>
          <w:u w:val="single"/>
        </w:rPr>
        <w:t>月</w:t>
      </w:r>
      <w:r>
        <w:rPr>
          <w:rFonts w:hint="eastAsia" w:ascii="宋体" w:hAnsi="宋体" w:cs="Arial"/>
          <w:szCs w:val="21"/>
          <w:u w:val="single"/>
          <w:lang w:val="en-US" w:eastAsia="zh-CN"/>
        </w:rPr>
        <w:t>18</w:t>
      </w:r>
      <w:r>
        <w:rPr>
          <w:rFonts w:hint="eastAsia" w:ascii="宋体" w:hAnsi="宋体" w:cs="Arial"/>
          <w:szCs w:val="21"/>
          <w:u w:val="single"/>
        </w:rPr>
        <w:t>日14:00</w:t>
      </w:r>
      <w:r>
        <w:rPr>
          <w:rFonts w:ascii="宋体" w:hAnsi="宋体" w:cs="Arial"/>
          <w:szCs w:val="21"/>
        </w:rPr>
        <w:t>（北京时间）前提交（上传）响应文件。</w:t>
      </w:r>
    </w:p>
    <w:p>
      <w:pPr>
        <w:spacing w:line="360" w:lineRule="auto"/>
        <w:rPr>
          <w:rFonts w:ascii="宋体" w:hAnsi="宋体" w:cs="Arial"/>
          <w:szCs w:val="21"/>
        </w:rPr>
      </w:pPr>
      <w:r>
        <w:rPr>
          <w:rFonts w:ascii="宋体" w:hAnsi="宋体" w:cs="Arial"/>
          <w:b/>
          <w:bCs/>
          <w:szCs w:val="21"/>
        </w:rPr>
        <w:t>一、项目基本情况</w:t>
      </w:r>
    </w:p>
    <w:p>
      <w:pPr>
        <w:spacing w:line="360" w:lineRule="auto"/>
        <w:rPr>
          <w:rFonts w:hint="eastAsia" w:ascii="宋体" w:hAnsi="宋体" w:eastAsia="宋体" w:cs="Arial"/>
          <w:szCs w:val="21"/>
          <w:lang w:eastAsia="zh-CN"/>
        </w:rPr>
      </w:pPr>
      <w:r>
        <w:rPr>
          <w:rFonts w:ascii="宋体" w:hAnsi="宋体" w:cs="Arial"/>
          <w:szCs w:val="21"/>
        </w:rPr>
        <w:t>    项目编号：</w:t>
      </w:r>
      <w:r>
        <w:rPr>
          <w:rFonts w:hint="eastAsia" w:ascii="宋体" w:hAnsi="宋体" w:cs="Arial"/>
          <w:szCs w:val="21"/>
          <w:lang w:eastAsia="zh-CN"/>
        </w:rPr>
        <w:t>中望[2022]D104号</w:t>
      </w:r>
    </w:p>
    <w:p>
      <w:pPr>
        <w:spacing w:line="360" w:lineRule="auto"/>
        <w:rPr>
          <w:rFonts w:hint="eastAsia" w:ascii="宋体" w:hAnsi="宋体" w:eastAsia="宋体" w:cs="Arial"/>
          <w:szCs w:val="21"/>
          <w:lang w:eastAsia="zh-CN"/>
        </w:rPr>
      </w:pPr>
      <w:r>
        <w:rPr>
          <w:rFonts w:ascii="宋体" w:hAnsi="宋体" w:cs="Arial"/>
          <w:szCs w:val="21"/>
        </w:rPr>
        <w:t>    项目名称：</w:t>
      </w:r>
      <w:r>
        <w:rPr>
          <w:rFonts w:hint="eastAsia" w:ascii="宋体" w:hAnsi="宋体"/>
          <w:szCs w:val="21"/>
          <w:lang w:eastAsia="zh-CN"/>
        </w:rPr>
        <w:t>2022-2023年海盐县全域“无废城市”建设技术咨询及服务项目</w:t>
      </w:r>
    </w:p>
    <w:p>
      <w:pPr>
        <w:spacing w:line="360" w:lineRule="auto"/>
        <w:rPr>
          <w:rFonts w:ascii="宋体" w:hAnsi="宋体" w:cs="Arial"/>
          <w:szCs w:val="21"/>
        </w:rPr>
      </w:pPr>
      <w:r>
        <w:rPr>
          <w:rFonts w:ascii="宋体" w:hAnsi="宋体" w:cs="Arial"/>
          <w:szCs w:val="21"/>
        </w:rPr>
        <w:t>    采购方式：竞争性磋商</w:t>
      </w:r>
    </w:p>
    <w:p>
      <w:pPr>
        <w:spacing w:line="360" w:lineRule="auto"/>
        <w:rPr>
          <w:rFonts w:ascii="宋体" w:hAnsi="宋体" w:cs="Arial"/>
          <w:szCs w:val="21"/>
        </w:rPr>
      </w:pPr>
      <w:r>
        <w:rPr>
          <w:rFonts w:ascii="宋体" w:hAnsi="宋体" w:cs="Arial"/>
          <w:szCs w:val="21"/>
        </w:rPr>
        <w:t>    预算金额（元）：</w:t>
      </w:r>
      <w:r>
        <w:rPr>
          <w:rFonts w:hint="eastAsia" w:ascii="宋体" w:hAnsi="宋体" w:cs="Arial"/>
          <w:szCs w:val="21"/>
        </w:rPr>
        <w:t xml:space="preserve">900000 </w:t>
      </w:r>
    </w:p>
    <w:p>
      <w:pPr>
        <w:spacing w:line="360" w:lineRule="auto"/>
        <w:rPr>
          <w:rFonts w:ascii="宋体" w:hAnsi="宋体" w:cs="Arial"/>
          <w:szCs w:val="21"/>
        </w:rPr>
      </w:pPr>
      <w:r>
        <w:rPr>
          <w:rFonts w:ascii="宋体" w:hAnsi="宋体" w:cs="Arial"/>
          <w:szCs w:val="21"/>
        </w:rPr>
        <w:t>    最高限价（元）：</w:t>
      </w:r>
      <w:r>
        <w:rPr>
          <w:rFonts w:hint="eastAsia" w:ascii="宋体" w:hAnsi="宋体" w:cs="Arial"/>
          <w:szCs w:val="21"/>
        </w:rPr>
        <w:t>900000</w:t>
      </w:r>
    </w:p>
    <w:p>
      <w:pPr>
        <w:spacing w:line="360" w:lineRule="auto"/>
        <w:rPr>
          <w:rFonts w:ascii="宋体" w:hAnsi="宋体" w:cs="Arial"/>
          <w:szCs w:val="21"/>
        </w:rPr>
      </w:pPr>
      <w:r>
        <w:rPr>
          <w:rFonts w:ascii="宋体" w:hAnsi="宋体" w:cs="Arial"/>
          <w:szCs w:val="21"/>
        </w:rPr>
        <w:t>    采购需求：                                </w:t>
      </w:r>
    </w:p>
    <w:tbl>
      <w:tblPr>
        <w:tblStyle w:val="24"/>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5"/>
        <w:gridCol w:w="2341"/>
        <w:gridCol w:w="1079"/>
        <w:gridCol w:w="1262"/>
        <w:gridCol w:w="718"/>
        <w:gridCol w:w="216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45"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ascii="宋体" w:hAnsi="宋体" w:cs="宋体"/>
                <w:szCs w:val="21"/>
              </w:rPr>
              <w:t>标项序号</w:t>
            </w:r>
          </w:p>
        </w:tc>
        <w:tc>
          <w:tcPr>
            <w:tcW w:w="2341"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ascii="宋体" w:hAnsi="宋体" w:cs="宋体"/>
                <w:szCs w:val="21"/>
              </w:rPr>
              <w:t>标项名称</w:t>
            </w:r>
          </w:p>
        </w:tc>
        <w:tc>
          <w:tcPr>
            <w:tcW w:w="1079"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ascii="宋体" w:hAnsi="宋体" w:cs="宋体"/>
                <w:szCs w:val="21"/>
              </w:rPr>
              <w:t>数量</w:t>
            </w:r>
          </w:p>
        </w:tc>
        <w:tc>
          <w:tcPr>
            <w:tcW w:w="1262"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ascii="宋体" w:hAnsi="宋体" w:cs="宋体"/>
                <w:szCs w:val="21"/>
              </w:rPr>
              <w:t>预算金额(元)</w:t>
            </w:r>
          </w:p>
        </w:tc>
        <w:tc>
          <w:tcPr>
            <w:tcW w:w="718"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ascii="宋体" w:hAnsi="宋体" w:cs="宋体"/>
                <w:szCs w:val="21"/>
              </w:rPr>
              <w:t>单位</w:t>
            </w:r>
          </w:p>
        </w:tc>
        <w:tc>
          <w:tcPr>
            <w:tcW w:w="2160"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ascii="宋体" w:hAnsi="宋体" w:cs="宋体"/>
                <w:szCs w:val="21"/>
              </w:rPr>
              <w:t>简要规格描述</w:t>
            </w:r>
          </w:p>
        </w:tc>
        <w:tc>
          <w:tcPr>
            <w:tcW w:w="915"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45"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ascii="宋体" w:hAnsi="宋体" w:cs="宋体"/>
                <w:szCs w:val="21"/>
              </w:rPr>
              <w:t>1</w:t>
            </w:r>
          </w:p>
        </w:tc>
        <w:tc>
          <w:tcPr>
            <w:tcW w:w="2341" w:type="dxa"/>
            <w:tcMar>
              <w:top w:w="63" w:type="dxa"/>
              <w:left w:w="125" w:type="dxa"/>
              <w:bottom w:w="63" w:type="dxa"/>
              <w:right w:w="125" w:type="dxa"/>
            </w:tcMar>
            <w:vAlign w:val="center"/>
          </w:tcPr>
          <w:p>
            <w:pPr>
              <w:spacing w:after="125"/>
              <w:ind w:right="-123" w:rightChars="-59"/>
              <w:jc w:val="center"/>
              <w:rPr>
                <w:rFonts w:ascii="宋体" w:hAnsi="宋体" w:cs="宋体"/>
                <w:szCs w:val="21"/>
              </w:rPr>
            </w:pPr>
            <w:r>
              <w:rPr>
                <w:rFonts w:hint="eastAsia" w:ascii="宋体" w:hAnsi="宋体"/>
                <w:szCs w:val="21"/>
              </w:rPr>
              <w:t>2022-</w:t>
            </w:r>
            <w:r>
              <w:rPr>
                <w:rFonts w:ascii="宋体" w:hAnsi="宋体"/>
                <w:szCs w:val="21"/>
              </w:rPr>
              <w:t>2023</w:t>
            </w:r>
            <w:r>
              <w:rPr>
                <w:rFonts w:hint="eastAsia" w:ascii="宋体" w:hAnsi="宋体"/>
                <w:szCs w:val="21"/>
              </w:rPr>
              <w:t>年海盐县全域“无废城市”建设技术咨询及服务项目</w:t>
            </w:r>
          </w:p>
        </w:tc>
        <w:tc>
          <w:tcPr>
            <w:tcW w:w="1079"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ascii="宋体" w:hAnsi="宋体" w:cs="宋体"/>
                <w:szCs w:val="21"/>
              </w:rPr>
              <w:t>1</w:t>
            </w:r>
          </w:p>
        </w:tc>
        <w:tc>
          <w:tcPr>
            <w:tcW w:w="1262"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hint="eastAsia" w:ascii="宋体" w:hAnsi="宋体" w:cs="宋体"/>
                <w:szCs w:val="21"/>
              </w:rPr>
              <w:t xml:space="preserve"> 900000</w:t>
            </w:r>
          </w:p>
        </w:tc>
        <w:tc>
          <w:tcPr>
            <w:tcW w:w="718" w:type="dxa"/>
            <w:tcMar>
              <w:top w:w="63" w:type="dxa"/>
              <w:left w:w="125" w:type="dxa"/>
              <w:bottom w:w="63" w:type="dxa"/>
              <w:right w:w="125" w:type="dxa"/>
            </w:tcMar>
            <w:vAlign w:val="center"/>
          </w:tcPr>
          <w:p>
            <w:pPr>
              <w:wordWrap w:val="0"/>
              <w:spacing w:after="125"/>
              <w:jc w:val="center"/>
              <w:rPr>
                <w:rFonts w:ascii="宋体" w:hAnsi="宋体" w:cs="宋体"/>
                <w:szCs w:val="21"/>
              </w:rPr>
            </w:pPr>
            <w:r>
              <w:rPr>
                <w:rFonts w:ascii="宋体" w:hAnsi="宋体" w:cs="宋体"/>
                <w:szCs w:val="21"/>
              </w:rPr>
              <w:t>项</w:t>
            </w:r>
          </w:p>
        </w:tc>
        <w:tc>
          <w:tcPr>
            <w:tcW w:w="2160" w:type="dxa"/>
            <w:tcMar>
              <w:top w:w="63" w:type="dxa"/>
              <w:left w:w="125" w:type="dxa"/>
              <w:bottom w:w="63" w:type="dxa"/>
              <w:right w:w="125" w:type="dxa"/>
            </w:tcMar>
            <w:vAlign w:val="center"/>
          </w:tcPr>
          <w:p>
            <w:pPr>
              <w:spacing w:after="125"/>
              <w:jc w:val="center"/>
              <w:rPr>
                <w:rFonts w:ascii="宋体" w:hAnsi="宋体" w:cs="宋体"/>
                <w:szCs w:val="21"/>
              </w:rPr>
            </w:pPr>
            <w:r>
              <w:rPr>
                <w:rFonts w:hint="eastAsia" w:ascii="宋体" w:hAnsi="宋体"/>
                <w:szCs w:val="21"/>
              </w:rPr>
              <w:t>详见项目采购需求。</w:t>
            </w:r>
          </w:p>
        </w:tc>
        <w:tc>
          <w:tcPr>
            <w:tcW w:w="915" w:type="dxa"/>
            <w:tcMar>
              <w:top w:w="63" w:type="dxa"/>
              <w:left w:w="125" w:type="dxa"/>
              <w:bottom w:w="63" w:type="dxa"/>
              <w:right w:w="125" w:type="dxa"/>
            </w:tcMar>
            <w:vAlign w:val="center"/>
          </w:tcPr>
          <w:p>
            <w:pPr>
              <w:wordWrap w:val="0"/>
              <w:spacing w:after="125"/>
              <w:jc w:val="center"/>
              <w:rPr>
                <w:rFonts w:ascii="宋体" w:hAnsi="宋体" w:cs="宋体"/>
                <w:szCs w:val="21"/>
              </w:rPr>
            </w:pPr>
          </w:p>
        </w:tc>
      </w:tr>
    </w:tbl>
    <w:p>
      <w:pPr>
        <w:spacing w:line="360" w:lineRule="auto"/>
        <w:ind w:firstLine="420" w:firstLineChars="200"/>
        <w:rPr>
          <w:rFonts w:ascii="宋体" w:hAnsi="宋体" w:cs="宋体"/>
          <w:szCs w:val="21"/>
          <w:highlight w:val="none"/>
        </w:rPr>
      </w:pPr>
      <w:r>
        <w:rPr>
          <w:rFonts w:ascii="宋体" w:hAnsi="宋体" w:cs="Arial"/>
          <w:szCs w:val="21"/>
        </w:rPr>
        <w:t>合同履行期</w:t>
      </w:r>
      <w:r>
        <w:rPr>
          <w:rFonts w:ascii="宋体" w:hAnsi="宋体" w:cs="Arial"/>
          <w:szCs w:val="21"/>
          <w:highlight w:val="none"/>
        </w:rPr>
        <w:t>限：</w:t>
      </w:r>
      <w:r>
        <w:rPr>
          <w:rFonts w:hint="eastAsia" w:ascii="宋体" w:hAnsi="宋体" w:cs="宋体"/>
          <w:szCs w:val="21"/>
          <w:highlight w:val="none"/>
        </w:rPr>
        <w:t>合同签订之日起至202</w:t>
      </w:r>
      <w:r>
        <w:rPr>
          <w:rFonts w:ascii="宋体" w:hAnsi="宋体" w:cs="宋体"/>
          <w:szCs w:val="21"/>
          <w:highlight w:val="none"/>
        </w:rPr>
        <w:t>3</w:t>
      </w:r>
      <w:r>
        <w:rPr>
          <w:rFonts w:hint="eastAsia" w:ascii="宋体" w:hAnsi="宋体" w:cs="宋体"/>
          <w:szCs w:val="21"/>
          <w:highlight w:val="none"/>
        </w:rPr>
        <w:t>年度申报工作完成。</w:t>
      </w:r>
      <w:r>
        <w:rPr>
          <w:rFonts w:hint="eastAsia" w:ascii="宋体" w:hAnsi="宋体" w:cs="宋体"/>
          <w:kern w:val="2"/>
          <w:szCs w:val="21"/>
          <w:highlight w:val="none"/>
        </w:rPr>
        <w:t>做好“无废城市”创建服务指导、申报工作、成果维护等工作。</w:t>
      </w:r>
    </w:p>
    <w:p>
      <w:pPr>
        <w:spacing w:line="360" w:lineRule="auto"/>
        <w:rPr>
          <w:rFonts w:ascii="宋体" w:hAnsi="宋体" w:cs="Arial"/>
          <w:szCs w:val="21"/>
        </w:rPr>
      </w:pPr>
      <w:r>
        <w:rPr>
          <w:rFonts w:ascii="宋体" w:hAnsi="宋体" w:cs="Arial"/>
          <w:szCs w:val="21"/>
        </w:rPr>
        <w:t xml:space="preserve">   本项目（否）接受联合体。 </w:t>
      </w:r>
    </w:p>
    <w:p>
      <w:pPr>
        <w:spacing w:line="360" w:lineRule="auto"/>
        <w:jc w:val="both"/>
        <w:rPr>
          <w:rFonts w:ascii="宋体" w:hAnsi="宋体" w:cs="Arial"/>
          <w:szCs w:val="21"/>
        </w:rPr>
      </w:pPr>
      <w:r>
        <w:rPr>
          <w:rFonts w:ascii="宋体" w:hAnsi="宋体" w:cs="Arial"/>
          <w:b/>
          <w:bCs/>
          <w:szCs w:val="21"/>
        </w:rPr>
        <w:t>二、申请人的资格要求：</w:t>
      </w:r>
    </w:p>
    <w:p>
      <w:pPr>
        <w:spacing w:line="336" w:lineRule="auto"/>
        <w:ind w:firstLine="525" w:firstLineChars="250"/>
        <w:rPr>
          <w:rFonts w:hAnsi="宋体"/>
          <w:szCs w:val="21"/>
        </w:rPr>
      </w:pPr>
      <w:r>
        <w:rPr>
          <w:rFonts w:hint="eastAsia"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525" w:firstLineChars="250"/>
        <w:rPr>
          <w:rFonts w:hAnsi="宋体"/>
          <w:szCs w:val="21"/>
          <w:highlight w:val="none"/>
        </w:rPr>
      </w:pPr>
      <w:r>
        <w:rPr>
          <w:rFonts w:hint="eastAsia" w:hAnsi="宋体"/>
          <w:szCs w:val="21"/>
        </w:rPr>
        <w:t>2.落实政府采购政策需满足的资格要</w:t>
      </w:r>
      <w:r>
        <w:rPr>
          <w:rFonts w:hint="eastAsia" w:hAnsi="宋体"/>
          <w:szCs w:val="21"/>
          <w:highlight w:val="none"/>
        </w:rPr>
        <w:t>求：供应商为中小企业/小微企业，供应商应为监狱企业，供应商应为残疾人福利企业。</w:t>
      </w:r>
    </w:p>
    <w:p>
      <w:pPr>
        <w:spacing w:line="336" w:lineRule="auto"/>
        <w:ind w:firstLine="525" w:firstLineChars="250"/>
      </w:pPr>
      <w:r>
        <w:rPr>
          <w:rFonts w:hint="eastAsia" w:hAnsi="宋体"/>
          <w:szCs w:val="21"/>
        </w:rPr>
        <w:t>3.本项目的特定资格要求：无</w:t>
      </w:r>
    </w:p>
    <w:p>
      <w:pPr>
        <w:spacing w:line="360" w:lineRule="auto"/>
        <w:jc w:val="both"/>
        <w:rPr>
          <w:rFonts w:ascii="宋体" w:hAnsi="宋体" w:cs="Arial"/>
          <w:szCs w:val="21"/>
        </w:rPr>
      </w:pPr>
      <w:r>
        <w:rPr>
          <w:rFonts w:ascii="宋体" w:hAnsi="宋体" w:cs="Arial"/>
          <w:b/>
          <w:bCs/>
          <w:szCs w:val="21"/>
        </w:rPr>
        <w:t>三、获取（下载）采购文件</w:t>
      </w:r>
    </w:p>
    <w:p>
      <w:pPr>
        <w:spacing w:line="360" w:lineRule="auto"/>
        <w:rPr>
          <w:rFonts w:ascii="宋体" w:hAnsi="宋体" w:cs="Arial"/>
          <w:szCs w:val="21"/>
        </w:rPr>
      </w:pPr>
      <w:r>
        <w:rPr>
          <w:rFonts w:ascii="宋体" w:hAnsi="宋体" w:cs="Arial"/>
          <w:szCs w:val="21"/>
        </w:rPr>
        <w:t>    时间：</w:t>
      </w:r>
      <w:r>
        <w:rPr>
          <w:rFonts w:ascii="宋体" w:hAnsi="宋体" w:cs="Arial"/>
          <w:szCs w:val="21"/>
          <w:u w:val="single"/>
        </w:rPr>
        <w:t>/</w:t>
      </w:r>
      <w:r>
        <w:rPr>
          <w:rFonts w:ascii="宋体" w:hAnsi="宋体" w:cs="Arial"/>
          <w:szCs w:val="21"/>
        </w:rPr>
        <w:t>至</w:t>
      </w:r>
      <w:r>
        <w:rPr>
          <w:rFonts w:hint="eastAsia" w:ascii="宋体" w:hAnsi="宋体" w:cs="Arial"/>
          <w:szCs w:val="21"/>
          <w:u w:val="single"/>
        </w:rPr>
        <w:t>2022年</w:t>
      </w:r>
      <w:r>
        <w:rPr>
          <w:rFonts w:hint="eastAsia" w:ascii="宋体" w:hAnsi="宋体" w:cs="Arial"/>
          <w:szCs w:val="21"/>
          <w:u w:val="single"/>
          <w:lang w:val="en-US" w:eastAsia="zh-CN"/>
        </w:rPr>
        <w:t>11</w:t>
      </w:r>
      <w:r>
        <w:rPr>
          <w:rFonts w:hint="eastAsia" w:ascii="宋体" w:hAnsi="宋体" w:cs="Arial"/>
          <w:szCs w:val="21"/>
          <w:u w:val="single"/>
        </w:rPr>
        <w:t>月</w:t>
      </w:r>
      <w:r>
        <w:rPr>
          <w:rFonts w:hint="eastAsia" w:ascii="宋体" w:hAnsi="宋体" w:cs="Arial"/>
          <w:szCs w:val="21"/>
          <w:u w:val="single"/>
          <w:lang w:val="en-US" w:eastAsia="zh-CN"/>
        </w:rPr>
        <w:t>18</w:t>
      </w:r>
      <w:r>
        <w:rPr>
          <w:rFonts w:hint="eastAsia" w:ascii="宋体" w:hAnsi="宋体" w:cs="Arial"/>
          <w:szCs w:val="21"/>
          <w:u w:val="single"/>
        </w:rPr>
        <w:t>日</w:t>
      </w:r>
      <w:r>
        <w:rPr>
          <w:rFonts w:ascii="宋体" w:hAnsi="宋体" w:cs="Arial"/>
          <w:szCs w:val="21"/>
        </w:rPr>
        <w:t>，每天上午</w:t>
      </w:r>
      <w:r>
        <w:rPr>
          <w:rFonts w:ascii="宋体" w:hAnsi="宋体" w:cs="Arial"/>
          <w:szCs w:val="21"/>
          <w:u w:val="single"/>
        </w:rPr>
        <w:t>00:00至12:00</w:t>
      </w:r>
      <w:r>
        <w:rPr>
          <w:rFonts w:ascii="宋体" w:hAnsi="宋体" w:cs="Arial"/>
          <w:szCs w:val="21"/>
        </w:rPr>
        <w:t>，下午</w:t>
      </w:r>
      <w:r>
        <w:rPr>
          <w:rFonts w:ascii="宋体" w:hAnsi="宋体" w:cs="Arial"/>
          <w:szCs w:val="21"/>
          <w:u w:val="single"/>
        </w:rPr>
        <w:t>12:00至23:59</w:t>
      </w:r>
      <w:r>
        <w:rPr>
          <w:rFonts w:ascii="宋体" w:hAnsi="宋体" w:cs="Arial"/>
          <w:szCs w:val="21"/>
        </w:rPr>
        <w:t>（北京时间，线上获取法定节假日均可，线下获取文件法定节假日除外）</w:t>
      </w:r>
    </w:p>
    <w:p>
      <w:pPr>
        <w:spacing w:line="360" w:lineRule="auto"/>
        <w:rPr>
          <w:rFonts w:ascii="宋体" w:hAnsi="宋体" w:cs="Arial"/>
          <w:szCs w:val="21"/>
        </w:rPr>
      </w:pPr>
      <w:r>
        <w:rPr>
          <w:rFonts w:ascii="宋体" w:hAnsi="宋体" w:cs="Arial"/>
          <w:szCs w:val="21"/>
        </w:rPr>
        <w:t>    地点（网址）：浙江政府采购网（http://www.zjzfcg.gov.cn） </w:t>
      </w:r>
    </w:p>
    <w:p>
      <w:pPr>
        <w:spacing w:line="360" w:lineRule="auto"/>
        <w:rPr>
          <w:rFonts w:ascii="宋体" w:hAnsi="宋体" w:cs="Arial"/>
          <w:szCs w:val="21"/>
        </w:rPr>
      </w:pPr>
      <w:r>
        <w:rPr>
          <w:rFonts w:ascii="宋体" w:hAnsi="宋体" w:cs="Arial"/>
          <w:szCs w:val="21"/>
        </w:rPr>
        <w:t>    方式：在线获取  </w:t>
      </w:r>
    </w:p>
    <w:p>
      <w:pPr>
        <w:spacing w:line="360" w:lineRule="auto"/>
        <w:ind w:firstLine="630"/>
        <w:rPr>
          <w:rFonts w:ascii="宋体" w:hAnsi="宋体" w:cs="Arial"/>
          <w:szCs w:val="21"/>
        </w:rPr>
      </w:pPr>
      <w:r>
        <w:rPr>
          <w:rFonts w:ascii="宋体" w:hAnsi="宋体" w:cs="Arial"/>
          <w:szCs w:val="21"/>
        </w:rPr>
        <w:t>售价（元）：0 </w:t>
      </w:r>
    </w:p>
    <w:p>
      <w:pPr>
        <w:spacing w:line="360" w:lineRule="auto"/>
        <w:ind w:firstLine="630"/>
        <w:rPr>
          <w:rFonts w:ascii="宋体" w:hAnsi="宋体" w:cs="Arial"/>
          <w:szCs w:val="21"/>
        </w:rPr>
      </w:pPr>
      <w:r>
        <w:rPr>
          <w:rFonts w:hint="eastAsia" w:hAnsi="宋体"/>
          <w:szCs w:val="21"/>
        </w:rPr>
        <w:t>报名方式：供应商登录浙江政府采购网进行报名。《供应商网上报名操作指南》位置：“首页-办事指南-省采中心-网上报名”供应商获取文件时须提交的文件资料：有效的营业执照扫描件、资质证书扫描件等（以上资料均需加盖公章，并经政采云系统上传审核）。</w:t>
      </w:r>
      <w:r>
        <w:rPr>
          <w:rFonts w:ascii="宋体" w:hAnsi="宋体" w:cs="Arial"/>
          <w:szCs w:val="21"/>
        </w:rPr>
        <w:t> </w:t>
      </w:r>
    </w:p>
    <w:p>
      <w:pPr>
        <w:spacing w:line="360" w:lineRule="auto"/>
        <w:jc w:val="both"/>
        <w:rPr>
          <w:rFonts w:ascii="宋体" w:hAnsi="宋体" w:cs="Arial"/>
          <w:szCs w:val="21"/>
        </w:rPr>
      </w:pPr>
      <w:r>
        <w:rPr>
          <w:rFonts w:ascii="宋体" w:hAnsi="宋体" w:cs="Arial"/>
          <w:b/>
          <w:bCs/>
          <w:szCs w:val="21"/>
        </w:rPr>
        <w:t>四、响应文件提交（上传）</w:t>
      </w:r>
    </w:p>
    <w:p>
      <w:pPr>
        <w:spacing w:line="360" w:lineRule="auto"/>
        <w:rPr>
          <w:rFonts w:ascii="宋体" w:hAnsi="宋体" w:cs="Arial"/>
          <w:szCs w:val="21"/>
        </w:rPr>
      </w:pPr>
      <w:r>
        <w:rPr>
          <w:rFonts w:ascii="宋体" w:hAnsi="宋体" w:cs="Arial"/>
          <w:szCs w:val="21"/>
        </w:rPr>
        <w:t>    截止时间：</w:t>
      </w:r>
      <w:r>
        <w:rPr>
          <w:rFonts w:hint="eastAsia" w:ascii="宋体" w:hAnsi="宋体" w:cs="Arial"/>
          <w:szCs w:val="21"/>
          <w:u w:val="single"/>
        </w:rPr>
        <w:t>2022年</w:t>
      </w:r>
      <w:r>
        <w:rPr>
          <w:rFonts w:hint="eastAsia" w:ascii="宋体" w:hAnsi="宋体" w:cs="Arial"/>
          <w:szCs w:val="21"/>
          <w:u w:val="single"/>
          <w:lang w:val="en-US" w:eastAsia="zh-CN"/>
        </w:rPr>
        <w:t>11</w:t>
      </w:r>
      <w:r>
        <w:rPr>
          <w:rFonts w:hint="eastAsia" w:ascii="宋体" w:hAnsi="宋体" w:cs="Arial"/>
          <w:szCs w:val="21"/>
          <w:u w:val="single"/>
        </w:rPr>
        <w:t>月</w:t>
      </w:r>
      <w:r>
        <w:rPr>
          <w:rFonts w:hint="eastAsia" w:ascii="宋体" w:hAnsi="宋体" w:cs="Arial"/>
          <w:szCs w:val="21"/>
          <w:u w:val="single"/>
          <w:lang w:val="en-US" w:eastAsia="zh-CN"/>
        </w:rPr>
        <w:t>18</w:t>
      </w:r>
      <w:r>
        <w:rPr>
          <w:rFonts w:hint="eastAsia" w:ascii="宋体" w:hAnsi="宋体" w:cs="Arial"/>
          <w:szCs w:val="21"/>
          <w:u w:val="single"/>
        </w:rPr>
        <w:t>日14:00</w:t>
      </w:r>
      <w:r>
        <w:rPr>
          <w:rFonts w:ascii="宋体" w:hAnsi="宋体" w:cs="Arial"/>
          <w:szCs w:val="21"/>
        </w:rPr>
        <w:t>（北京时间）</w:t>
      </w:r>
    </w:p>
    <w:p>
      <w:pPr>
        <w:spacing w:line="360" w:lineRule="auto"/>
        <w:rPr>
          <w:rFonts w:ascii="宋体" w:hAnsi="宋体" w:cs="Arial"/>
          <w:szCs w:val="21"/>
        </w:rPr>
      </w:pPr>
      <w:r>
        <w:rPr>
          <w:rFonts w:ascii="宋体" w:hAnsi="宋体" w:cs="Arial"/>
          <w:szCs w:val="21"/>
        </w:rPr>
        <w:t>    地点（网址）：</w:t>
      </w:r>
      <w:r>
        <w:rPr>
          <w:rFonts w:hint="eastAsia" w:ascii="宋体" w:hAnsi="宋体" w:cs="Arial"/>
          <w:szCs w:val="21"/>
          <w:u w:val="single"/>
        </w:rPr>
        <w:t>在线递交，通过“政府采购云平台</w:t>
      </w:r>
      <w:r>
        <w:rPr>
          <w:rFonts w:ascii="宋体" w:hAnsi="宋体" w:cs="Arial"/>
          <w:szCs w:val="21"/>
          <w:u w:val="single"/>
        </w:rPr>
        <w:t>”</w:t>
      </w:r>
      <w:r>
        <w:rPr>
          <w:rFonts w:hint="eastAsia" w:ascii="宋体" w:hAnsi="宋体" w:cs="Arial"/>
          <w:szCs w:val="21"/>
          <w:u w:val="single"/>
        </w:rPr>
        <w:t>实行在线投标响应</w:t>
      </w:r>
    </w:p>
    <w:p>
      <w:pPr>
        <w:spacing w:line="360" w:lineRule="auto"/>
        <w:jc w:val="both"/>
        <w:rPr>
          <w:rFonts w:ascii="宋体" w:hAnsi="宋体" w:cs="Arial"/>
          <w:szCs w:val="21"/>
        </w:rPr>
      </w:pPr>
      <w:r>
        <w:rPr>
          <w:rFonts w:ascii="宋体" w:hAnsi="宋体" w:cs="Arial"/>
          <w:b/>
          <w:bCs/>
          <w:szCs w:val="21"/>
        </w:rPr>
        <w:t>五、响应文件开启</w:t>
      </w:r>
    </w:p>
    <w:p>
      <w:pPr>
        <w:spacing w:line="360" w:lineRule="auto"/>
        <w:rPr>
          <w:rFonts w:ascii="宋体" w:hAnsi="宋体" w:cs="Arial"/>
          <w:szCs w:val="21"/>
        </w:rPr>
      </w:pPr>
      <w:r>
        <w:rPr>
          <w:rFonts w:ascii="宋体" w:hAnsi="宋体" w:cs="Arial"/>
          <w:szCs w:val="21"/>
        </w:rPr>
        <w:t>    开启时间：</w:t>
      </w:r>
      <w:r>
        <w:rPr>
          <w:rFonts w:hint="eastAsia" w:ascii="宋体" w:hAnsi="宋体" w:cs="Arial"/>
          <w:szCs w:val="21"/>
          <w:u w:val="single"/>
        </w:rPr>
        <w:t>2022年</w:t>
      </w:r>
      <w:r>
        <w:rPr>
          <w:rFonts w:hint="eastAsia" w:ascii="宋体" w:hAnsi="宋体" w:cs="Arial"/>
          <w:szCs w:val="21"/>
          <w:u w:val="single"/>
          <w:lang w:val="en-US" w:eastAsia="zh-CN"/>
        </w:rPr>
        <w:t>11</w:t>
      </w:r>
      <w:r>
        <w:rPr>
          <w:rFonts w:hint="eastAsia" w:ascii="宋体" w:hAnsi="宋体" w:cs="Arial"/>
          <w:szCs w:val="21"/>
          <w:u w:val="single"/>
        </w:rPr>
        <w:t>月</w:t>
      </w:r>
      <w:r>
        <w:rPr>
          <w:rFonts w:hint="eastAsia" w:ascii="宋体" w:hAnsi="宋体" w:cs="Arial"/>
          <w:szCs w:val="21"/>
          <w:u w:val="single"/>
          <w:lang w:val="en-US" w:eastAsia="zh-CN"/>
        </w:rPr>
        <w:t>18</w:t>
      </w:r>
      <w:r>
        <w:rPr>
          <w:rFonts w:hint="eastAsia" w:ascii="宋体" w:hAnsi="宋体" w:cs="Arial"/>
          <w:szCs w:val="21"/>
          <w:u w:val="single"/>
        </w:rPr>
        <w:t>日14:00</w:t>
      </w:r>
      <w:r>
        <w:rPr>
          <w:rFonts w:ascii="宋体" w:hAnsi="宋体" w:cs="Arial"/>
          <w:szCs w:val="21"/>
        </w:rPr>
        <w:t>（北京时间）</w:t>
      </w:r>
    </w:p>
    <w:p>
      <w:pPr>
        <w:spacing w:line="360" w:lineRule="auto"/>
        <w:rPr>
          <w:rFonts w:ascii="宋体" w:hAnsi="宋体" w:cs="Arial"/>
          <w:szCs w:val="21"/>
        </w:rPr>
      </w:pPr>
      <w:r>
        <w:rPr>
          <w:rFonts w:ascii="宋体" w:hAnsi="宋体" w:cs="Arial"/>
          <w:szCs w:val="21"/>
        </w:rPr>
        <w:t>    地点（网址）：</w:t>
      </w:r>
      <w:r>
        <w:rPr>
          <w:rFonts w:hint="eastAsia" w:ascii="宋体" w:hAnsi="宋体" w:cs="Arial"/>
          <w:szCs w:val="21"/>
          <w:u w:val="single"/>
        </w:rPr>
        <w:t>浙江中望工程管理有限公司（</w:t>
      </w:r>
      <w:r>
        <w:rPr>
          <w:rFonts w:ascii="宋体" w:hAnsi="宋体" w:cs="Arial"/>
          <w:szCs w:val="21"/>
          <w:u w:val="single"/>
        </w:rPr>
        <w:t>海盐县武原街道温州大厦A座七楼会议室</w:t>
      </w:r>
      <w:r>
        <w:rPr>
          <w:rFonts w:hint="eastAsia" w:ascii="宋体" w:hAnsi="宋体" w:cs="Arial"/>
          <w:szCs w:val="21"/>
          <w:u w:val="single"/>
        </w:rPr>
        <w:t>）</w:t>
      </w:r>
    </w:p>
    <w:p>
      <w:pPr>
        <w:spacing w:line="360" w:lineRule="auto"/>
        <w:jc w:val="both"/>
        <w:rPr>
          <w:rFonts w:ascii="宋体" w:hAnsi="宋体" w:cs="Arial"/>
          <w:szCs w:val="21"/>
        </w:rPr>
      </w:pPr>
      <w:r>
        <w:rPr>
          <w:rFonts w:ascii="宋体" w:hAnsi="宋体" w:cs="Arial"/>
          <w:b/>
          <w:bCs/>
          <w:szCs w:val="21"/>
        </w:rPr>
        <w:t>六、公告期限</w:t>
      </w:r>
    </w:p>
    <w:p>
      <w:pPr>
        <w:spacing w:line="360" w:lineRule="auto"/>
        <w:rPr>
          <w:rFonts w:ascii="宋体" w:hAnsi="宋体" w:cs="Arial"/>
          <w:szCs w:val="21"/>
        </w:rPr>
      </w:pPr>
      <w:r>
        <w:rPr>
          <w:rFonts w:ascii="宋体" w:hAnsi="宋体" w:cs="Arial"/>
          <w:szCs w:val="21"/>
        </w:rPr>
        <w:t>    自本公告发布之日起3个工作日。</w:t>
      </w:r>
    </w:p>
    <w:p>
      <w:pPr>
        <w:spacing w:line="360" w:lineRule="auto"/>
        <w:jc w:val="both"/>
        <w:rPr>
          <w:rFonts w:ascii="宋体" w:hAnsi="宋体" w:cs="Arial"/>
          <w:szCs w:val="21"/>
        </w:rPr>
      </w:pPr>
      <w:r>
        <w:rPr>
          <w:rFonts w:ascii="宋体" w:hAnsi="宋体" w:cs="Arial"/>
          <w:b/>
          <w:bCs/>
          <w:szCs w:val="21"/>
        </w:rPr>
        <w:t>七、其他补充事宜</w:t>
      </w:r>
    </w:p>
    <w:p>
      <w:pPr>
        <w:spacing w:line="336" w:lineRule="auto"/>
        <w:ind w:firstLine="525" w:firstLineChars="250"/>
        <w:rPr>
          <w:rFonts w:hAnsi="宋体"/>
          <w:szCs w:val="21"/>
        </w:rPr>
      </w:pPr>
      <w:r>
        <w:rPr>
          <w:rFonts w:hint="eastAsia" w:hAnsi="宋体"/>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36" w:lineRule="auto"/>
        <w:ind w:firstLine="525" w:firstLineChars="250"/>
        <w:rPr>
          <w:rFonts w:hAnsi="宋体"/>
          <w:szCs w:val="21"/>
        </w:rPr>
      </w:pPr>
      <w:r>
        <w:rPr>
          <w:rFonts w:hint="eastAsia" w:hAnsi="宋体"/>
          <w:szCs w:val="21"/>
        </w:rPr>
        <w:t>   2.其他事项：</w:t>
      </w:r>
    </w:p>
    <w:p>
      <w:pPr>
        <w:spacing w:line="336" w:lineRule="auto"/>
        <w:ind w:firstLine="525" w:firstLineChars="250"/>
        <w:rPr>
          <w:rFonts w:hAnsi="宋体"/>
          <w:szCs w:val="21"/>
        </w:rPr>
      </w:pPr>
      <w:r>
        <w:rPr>
          <w:rFonts w:hint="eastAsia" w:hAnsi="宋体"/>
          <w:szCs w:val="21"/>
        </w:rPr>
        <w:t>（1）惠企政策：本采购项目，中标单位与采购人签订的政府采购合同适用于嘉兴市政府采购贷款政策，简称“政采贷”,具体内容可参阅政府采购贷款流程:https://jinrong.zcy</w:t>
      </w:r>
    </w:p>
    <w:p>
      <w:pPr>
        <w:spacing w:line="336" w:lineRule="auto"/>
        <w:ind w:firstLine="525" w:firstLineChars="250"/>
        <w:rPr>
          <w:rFonts w:hAnsi="宋体"/>
          <w:szCs w:val="21"/>
        </w:rPr>
      </w:pPr>
      <w:r>
        <w:rPr>
          <w:rFonts w:hint="eastAsia" w:hAnsi="宋体"/>
          <w:szCs w:val="21"/>
        </w:rPr>
        <w:t>gov.cn/finance/loan?utm=a0017.b0048.c758920.4.44e18200bf5f11eb926cf1464ce95a5d。</w:t>
      </w:r>
    </w:p>
    <w:p>
      <w:pPr>
        <w:spacing w:line="336" w:lineRule="auto"/>
        <w:ind w:firstLine="525" w:firstLineChars="250"/>
        <w:rPr>
          <w:rFonts w:ascii="宋体" w:hAnsi="宋体" w:cs="Arial"/>
          <w:szCs w:val="21"/>
        </w:rPr>
      </w:pPr>
      <w:r>
        <w:rPr>
          <w:rFonts w:hint="eastAsia" w:hAnsi="宋体"/>
          <w:szCs w:val="21"/>
        </w:rPr>
        <w:t>（2）</w:t>
      </w:r>
      <w:r>
        <w:rPr>
          <w:rFonts w:hint="eastAsia" w:ascii="宋体" w:hAnsi="宋体" w:cs="Arial"/>
          <w:szCs w:val="21"/>
        </w:rPr>
        <w:t>供应商应于响应文件提交截止时间之前将电子响应文件上传到“政采云”平台，并应于响应文件提交截止时间前，可将以U盘等形式存储的电子备份响应文件密封快递（推荐顺丰）寄至</w:t>
      </w:r>
      <w:r>
        <w:rPr>
          <w:rFonts w:hint="eastAsia" w:ascii="宋体" w:hAnsi="宋体" w:cs="Arial"/>
          <w:szCs w:val="21"/>
          <w:u w:val="single"/>
        </w:rPr>
        <w:t>海盐县武原街道温州大厦A座七楼</w:t>
      </w:r>
      <w:r>
        <w:rPr>
          <w:rFonts w:ascii="宋体" w:hAnsi="宋体" w:cs="Arial"/>
          <w:szCs w:val="21"/>
          <w:u w:val="single"/>
        </w:rPr>
        <w:t>，</w:t>
      </w:r>
      <w:r>
        <w:rPr>
          <w:rFonts w:hint="eastAsia" w:ascii="宋体" w:hAnsi="宋体" w:cs="Arial"/>
          <w:szCs w:val="21"/>
          <w:u w:val="single"/>
        </w:rPr>
        <w:t>黄叶静</w:t>
      </w:r>
      <w:r>
        <w:rPr>
          <w:rFonts w:ascii="宋体" w:hAnsi="宋体" w:cs="Arial"/>
          <w:szCs w:val="21"/>
          <w:u w:val="single"/>
        </w:rPr>
        <w:t>收，联系电话：</w:t>
      </w:r>
      <w:r>
        <w:rPr>
          <w:rFonts w:hint="eastAsia" w:ascii="宋体" w:hAnsi="宋体" w:cs="Arial"/>
          <w:szCs w:val="21"/>
          <w:u w:val="single"/>
        </w:rPr>
        <w:t>18105388612</w:t>
      </w:r>
      <w:r>
        <w:rPr>
          <w:rFonts w:hint="eastAsia" w:ascii="宋体" w:hAnsi="宋体" w:cs="Arial"/>
          <w:szCs w:val="21"/>
        </w:rPr>
        <w:t>。</w:t>
      </w:r>
    </w:p>
    <w:p>
      <w:pPr>
        <w:spacing w:line="336" w:lineRule="auto"/>
        <w:ind w:firstLine="420" w:firstLineChars="200"/>
        <w:rPr>
          <w:rFonts w:ascii="宋体" w:hAnsi="宋体" w:cs="Arial"/>
          <w:szCs w:val="21"/>
        </w:rPr>
      </w:pPr>
      <w:r>
        <w:rPr>
          <w:rFonts w:hint="eastAsia" w:ascii="宋体" w:hAnsi="宋体" w:cs="Arial"/>
          <w:szCs w:val="21"/>
        </w:rPr>
        <w:t>（3）供应商应当在响应文件提交截止时间前完成电子响应文件的传输递交，截止时间前可以补充、修改或者撤回电子响应文件。补充或者修改电子响应文件的，应当先行撤回原文件，补充、修改后重新传输递交。</w:t>
      </w:r>
    </w:p>
    <w:p>
      <w:pPr>
        <w:spacing w:line="336" w:lineRule="auto"/>
        <w:ind w:firstLine="420" w:firstLineChars="200"/>
        <w:rPr>
          <w:rFonts w:ascii="宋体" w:hAnsi="宋体" w:cs="Arial"/>
          <w:szCs w:val="21"/>
        </w:rPr>
      </w:pPr>
      <w:r>
        <w:rPr>
          <w:rFonts w:hint="eastAsia" w:ascii="宋体" w:hAnsi="宋体" w:cs="Arial"/>
          <w:szCs w:val="21"/>
        </w:rPr>
        <w:t>（4）在线解密电子响应文件时间为响应文件提交截止时间起30分钟内。供应商可以登录“政采云”平台，用“项目采购-开标评审”功能进行解密响应文件。</w:t>
      </w:r>
    </w:p>
    <w:p>
      <w:pPr>
        <w:snapToGrid w:val="0"/>
        <w:spacing w:line="360" w:lineRule="auto"/>
        <w:ind w:firstLine="420" w:firstLineChars="200"/>
        <w:rPr>
          <w:rFonts w:ascii="宋体" w:hAnsi="宋体" w:cs="Arial"/>
          <w:szCs w:val="21"/>
        </w:rPr>
      </w:pPr>
      <w:r>
        <w:rPr>
          <w:rFonts w:hint="eastAsia" w:ascii="宋体" w:hAnsi="宋体" w:cs="Arial"/>
          <w:szCs w:val="21"/>
        </w:rPr>
        <w:t>（5）以U盘等形式存储的电子备份响应文件用于电子交易方式异常情况处理。</w:t>
      </w:r>
    </w:p>
    <w:p>
      <w:pPr>
        <w:spacing w:line="336" w:lineRule="auto"/>
        <w:ind w:firstLine="420" w:firstLineChars="200"/>
        <w:rPr>
          <w:rFonts w:ascii="宋体" w:hAnsi="宋体" w:cs="Arial"/>
          <w:szCs w:val="21"/>
        </w:rPr>
      </w:pPr>
      <w:r>
        <w:rPr>
          <w:rFonts w:hint="eastAsia" w:ascii="宋体" w:hAnsi="宋体" w:cs="Arial"/>
          <w:szCs w:val="21"/>
        </w:rPr>
        <w:t>（6）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宋体" w:hAnsi="宋体" w:cs="Arial"/>
          <w:szCs w:val="21"/>
        </w:rPr>
      </w:pPr>
      <w:r>
        <w:rPr>
          <w:rFonts w:ascii="宋体" w:hAnsi="宋体" w:cs="Arial"/>
          <w:szCs w:val="21"/>
        </w:rPr>
        <w:t> </w:t>
      </w:r>
      <w:r>
        <w:rPr>
          <w:rFonts w:ascii="宋体" w:hAnsi="宋体" w:cs="Arial"/>
          <w:b/>
          <w:bCs/>
          <w:szCs w:val="21"/>
        </w:rPr>
        <w:t>八、对本次采购提出询问、质疑、投诉，请按以下方式联系。</w:t>
      </w:r>
      <w:r>
        <w:rPr>
          <w:rFonts w:ascii="宋体" w:hAnsi="宋体" w:cs="Arial"/>
          <w:szCs w:val="21"/>
        </w:rPr>
        <w:t>　　　　　　　　　　　　</w:t>
      </w:r>
    </w:p>
    <w:p>
      <w:pPr>
        <w:spacing w:line="360" w:lineRule="auto"/>
        <w:rPr>
          <w:rFonts w:ascii="宋体" w:hAnsi="宋体" w:cs="Arial"/>
          <w:szCs w:val="21"/>
        </w:rPr>
      </w:pPr>
      <w:r>
        <w:rPr>
          <w:rFonts w:ascii="宋体" w:hAnsi="宋体" w:cs="Arial"/>
          <w:szCs w:val="21"/>
        </w:rPr>
        <w:t>   1.采购人信息</w:t>
      </w:r>
    </w:p>
    <w:p>
      <w:pPr>
        <w:spacing w:line="360" w:lineRule="auto"/>
        <w:rPr>
          <w:rFonts w:ascii="宋体" w:hAnsi="宋体" w:cs="Arial"/>
          <w:szCs w:val="21"/>
        </w:rPr>
      </w:pPr>
      <w:r>
        <w:rPr>
          <w:rFonts w:ascii="宋体" w:hAnsi="宋体" w:cs="Arial"/>
          <w:szCs w:val="21"/>
        </w:rPr>
        <w:t>   名    称：</w:t>
      </w:r>
      <w:r>
        <w:rPr>
          <w:rFonts w:hint="eastAsia" w:ascii="宋体" w:hAnsi="宋体" w:cs="Arial"/>
          <w:szCs w:val="21"/>
          <w:u w:val="single"/>
        </w:rPr>
        <w:t>嘉兴市生态环境局海盐分局</w:t>
      </w:r>
    </w:p>
    <w:p>
      <w:pPr>
        <w:spacing w:line="360" w:lineRule="auto"/>
        <w:rPr>
          <w:rFonts w:ascii="宋体" w:hAnsi="宋体" w:cs="Arial"/>
          <w:szCs w:val="21"/>
        </w:rPr>
      </w:pPr>
      <w:r>
        <w:rPr>
          <w:rFonts w:ascii="宋体" w:hAnsi="宋体" w:cs="Arial"/>
          <w:szCs w:val="21"/>
        </w:rPr>
        <w:t>   地    址：</w:t>
      </w:r>
      <w:r>
        <w:rPr>
          <w:rFonts w:hint="eastAsia" w:ascii="宋体" w:hAnsi="宋体" w:cs="Arial"/>
          <w:szCs w:val="21"/>
          <w:u w:val="single"/>
        </w:rPr>
        <w:t>海盐县武原街道长潭路83号</w:t>
      </w:r>
    </w:p>
    <w:p>
      <w:pPr>
        <w:spacing w:line="360" w:lineRule="auto"/>
        <w:rPr>
          <w:rFonts w:ascii="宋体" w:hAnsi="宋体" w:cs="Arial"/>
          <w:szCs w:val="21"/>
        </w:rPr>
      </w:pPr>
      <w:r>
        <w:rPr>
          <w:rFonts w:ascii="宋体" w:hAnsi="宋体" w:cs="Arial"/>
          <w:szCs w:val="21"/>
        </w:rPr>
        <w:t>   传    真：</w:t>
      </w:r>
      <w:r>
        <w:rPr>
          <w:rFonts w:ascii="宋体" w:hAnsi="宋体" w:cs="Arial"/>
          <w:szCs w:val="21"/>
          <w:u w:val="single"/>
        </w:rPr>
        <w:t> /  　　</w:t>
      </w:r>
    </w:p>
    <w:p>
      <w:pPr>
        <w:spacing w:line="360" w:lineRule="auto"/>
        <w:rPr>
          <w:rFonts w:ascii="宋体" w:hAnsi="宋体" w:cs="Arial"/>
          <w:color w:val="auto"/>
          <w:szCs w:val="21"/>
        </w:rPr>
      </w:pPr>
      <w:r>
        <w:rPr>
          <w:rFonts w:ascii="宋体" w:hAnsi="宋体" w:cs="Arial"/>
          <w:szCs w:val="21"/>
        </w:rPr>
        <w:t>   项目联系人（</w:t>
      </w:r>
      <w:r>
        <w:rPr>
          <w:rFonts w:ascii="宋体" w:hAnsi="宋体" w:cs="Arial"/>
          <w:color w:val="auto"/>
          <w:szCs w:val="21"/>
        </w:rPr>
        <w:t>询问）：</w:t>
      </w:r>
      <w:r>
        <w:rPr>
          <w:rFonts w:hint="eastAsia" w:ascii="宋体" w:hAnsi="宋体" w:cs="Arial"/>
          <w:color w:val="auto"/>
          <w:szCs w:val="21"/>
          <w:u w:val="single"/>
        </w:rPr>
        <w:t>阮侃尔</w:t>
      </w:r>
    </w:p>
    <w:p>
      <w:pPr>
        <w:spacing w:line="360" w:lineRule="auto"/>
        <w:rPr>
          <w:rFonts w:ascii="宋体" w:hAnsi="宋体" w:cs="Arial"/>
          <w:color w:val="auto"/>
          <w:szCs w:val="21"/>
          <w:u w:val="single"/>
        </w:rPr>
      </w:pPr>
      <w:r>
        <w:rPr>
          <w:rFonts w:ascii="宋体" w:hAnsi="宋体" w:cs="Arial"/>
          <w:color w:val="auto"/>
          <w:szCs w:val="21"/>
        </w:rPr>
        <w:t>   项目联系方式（询问</w:t>
      </w:r>
      <w:r>
        <w:rPr>
          <w:rFonts w:ascii="宋体" w:hAnsi="宋体" w:cs="Arial"/>
          <w:color w:val="auto"/>
          <w:szCs w:val="21"/>
          <w:highlight w:val="none"/>
        </w:rPr>
        <w:t>）</w:t>
      </w:r>
      <w:r>
        <w:rPr>
          <w:rFonts w:ascii="宋体" w:hAnsi="宋体" w:cs="Arial"/>
          <w:color w:val="auto"/>
          <w:szCs w:val="21"/>
          <w:highlight w:val="none"/>
          <w:u w:val="none"/>
        </w:rPr>
        <w:t>：</w:t>
      </w:r>
      <w:r>
        <w:rPr>
          <w:rFonts w:hint="eastAsia" w:ascii="宋体" w:hAnsi="宋体" w:cs="Arial"/>
          <w:color w:val="auto"/>
          <w:szCs w:val="21"/>
          <w:highlight w:val="none"/>
          <w:u w:val="single"/>
        </w:rPr>
        <w:t>0573-</w:t>
      </w:r>
      <w:r>
        <w:rPr>
          <w:rFonts w:hint="eastAsia" w:ascii="宋体" w:hAnsi="宋体" w:cs="Arial"/>
          <w:color w:val="auto"/>
          <w:szCs w:val="21"/>
          <w:highlight w:val="none"/>
          <w:u w:val="single"/>
          <w:lang w:val="en-US" w:eastAsia="zh-CN"/>
        </w:rPr>
        <w:t>86115262</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none"/>
        </w:rPr>
        <w:t xml:space="preserve"> </w:t>
      </w:r>
      <w:r>
        <w:rPr>
          <w:rFonts w:hint="eastAsia" w:ascii="宋体" w:hAnsi="宋体" w:cs="Arial"/>
          <w:color w:val="auto"/>
          <w:szCs w:val="21"/>
          <w:u w:val="single"/>
        </w:rPr>
        <w:t xml:space="preserve">   </w:t>
      </w:r>
    </w:p>
    <w:p>
      <w:pPr>
        <w:spacing w:line="360" w:lineRule="auto"/>
        <w:rPr>
          <w:rFonts w:ascii="宋体" w:hAnsi="宋体" w:cs="Arial"/>
          <w:color w:val="auto"/>
          <w:szCs w:val="21"/>
        </w:rPr>
      </w:pPr>
      <w:r>
        <w:rPr>
          <w:rFonts w:ascii="宋体" w:hAnsi="宋体" w:cs="Arial"/>
          <w:color w:val="auto"/>
          <w:szCs w:val="21"/>
        </w:rPr>
        <w:t>   质疑联系人：</w:t>
      </w:r>
      <w:r>
        <w:rPr>
          <w:rFonts w:ascii="宋体" w:hAnsi="宋体" w:cs="Arial"/>
          <w:color w:val="auto"/>
          <w:szCs w:val="21"/>
          <w:u w:val="single"/>
        </w:rPr>
        <w:t>王浩</w:t>
      </w:r>
    </w:p>
    <w:p>
      <w:pPr>
        <w:spacing w:line="360" w:lineRule="auto"/>
        <w:rPr>
          <w:rFonts w:ascii="宋体" w:hAnsi="宋体" w:cs="Arial"/>
          <w:szCs w:val="21"/>
          <w:u w:val="single"/>
        </w:rPr>
      </w:pPr>
      <w:r>
        <w:rPr>
          <w:rFonts w:ascii="宋体" w:hAnsi="宋体" w:cs="Arial"/>
          <w:szCs w:val="21"/>
        </w:rPr>
        <w:t>   质疑联系方式：</w:t>
      </w:r>
      <w:r>
        <w:rPr>
          <w:rFonts w:ascii="宋体" w:hAnsi="宋体" w:cs="Arial"/>
          <w:szCs w:val="21"/>
          <w:u w:val="single"/>
        </w:rPr>
        <w:t>0573-86129010</w:t>
      </w:r>
    </w:p>
    <w:p>
      <w:pPr>
        <w:spacing w:line="360" w:lineRule="auto"/>
        <w:rPr>
          <w:rFonts w:ascii="宋体" w:hAnsi="宋体" w:cs="Arial"/>
          <w:szCs w:val="21"/>
        </w:rPr>
      </w:pPr>
      <w:r>
        <w:rPr>
          <w:rFonts w:ascii="宋体" w:hAnsi="宋体" w:cs="Arial"/>
          <w:szCs w:val="21"/>
        </w:rPr>
        <w:t xml:space="preserve">  </w:t>
      </w:r>
    </w:p>
    <w:p>
      <w:pPr>
        <w:spacing w:line="360" w:lineRule="auto"/>
        <w:rPr>
          <w:rFonts w:cs="Arial"/>
        </w:rPr>
      </w:pPr>
      <w:r>
        <w:rPr>
          <w:rFonts w:cs="Arial"/>
        </w:rPr>
        <w:t>2.采购代理机构信息</w:t>
      </w:r>
    </w:p>
    <w:p>
      <w:pPr>
        <w:spacing w:line="360" w:lineRule="auto"/>
        <w:rPr>
          <w:rFonts w:cs="Arial"/>
        </w:rPr>
      </w:pPr>
      <w:r>
        <w:rPr>
          <w:rFonts w:cs="Arial"/>
        </w:rPr>
        <w:t>     名    称：</w:t>
      </w:r>
      <w:r>
        <w:rPr>
          <w:rFonts w:hint="eastAsia" w:cs="Arial"/>
          <w:u w:val="single"/>
        </w:rPr>
        <w:t>浙江中望工程管理有限公司</w:t>
      </w:r>
    </w:p>
    <w:p>
      <w:pPr>
        <w:spacing w:line="360" w:lineRule="auto"/>
        <w:rPr>
          <w:rFonts w:cs="Arial"/>
        </w:rPr>
      </w:pPr>
      <w:r>
        <w:rPr>
          <w:rFonts w:cs="Arial"/>
        </w:rPr>
        <w:t>     地    址：</w:t>
      </w:r>
      <w:r>
        <w:rPr>
          <w:rFonts w:hint="eastAsia" w:cs="Arial"/>
          <w:szCs w:val="21"/>
          <w:u w:val="single"/>
        </w:rPr>
        <w:t>海盐县武原街道温州大厦A座7楼</w:t>
      </w:r>
    </w:p>
    <w:p>
      <w:pPr>
        <w:spacing w:line="360" w:lineRule="auto"/>
        <w:rPr>
          <w:rFonts w:cs="Arial"/>
        </w:rPr>
      </w:pPr>
      <w:r>
        <w:rPr>
          <w:rFonts w:cs="Arial"/>
        </w:rPr>
        <w:t>     传    真：</w:t>
      </w:r>
      <w:r>
        <w:rPr>
          <w:rFonts w:hint="eastAsia" w:cs="Arial"/>
          <w:u w:val="single"/>
        </w:rPr>
        <w:t>0573-86118612</w:t>
      </w:r>
    </w:p>
    <w:p>
      <w:pPr>
        <w:spacing w:line="360" w:lineRule="auto"/>
        <w:rPr>
          <w:rFonts w:cs="Arial"/>
        </w:rPr>
      </w:pPr>
      <w:r>
        <w:rPr>
          <w:rFonts w:cs="Arial"/>
        </w:rPr>
        <w:t>     项目联系人（询问）：</w:t>
      </w:r>
      <w:r>
        <w:rPr>
          <w:rFonts w:hint="eastAsia" w:cs="Arial"/>
          <w:u w:val="single"/>
        </w:rPr>
        <w:t>王洁</w:t>
      </w:r>
    </w:p>
    <w:p>
      <w:pPr>
        <w:spacing w:line="360" w:lineRule="auto"/>
        <w:rPr>
          <w:rFonts w:cs="Arial"/>
        </w:rPr>
      </w:pPr>
      <w:r>
        <w:rPr>
          <w:rFonts w:cs="Arial"/>
        </w:rPr>
        <w:t>     项目联系方式（询问）：</w:t>
      </w:r>
      <w:r>
        <w:rPr>
          <w:rFonts w:hint="eastAsia" w:cs="Arial"/>
          <w:u w:val="single"/>
        </w:rPr>
        <w:t>0573-86118612</w:t>
      </w:r>
    </w:p>
    <w:p>
      <w:pPr>
        <w:spacing w:line="360" w:lineRule="auto"/>
        <w:rPr>
          <w:rFonts w:cs="Arial"/>
        </w:rPr>
      </w:pPr>
      <w:r>
        <w:rPr>
          <w:rFonts w:cs="Arial"/>
        </w:rPr>
        <w:t>     质疑联系人：</w:t>
      </w:r>
      <w:r>
        <w:rPr>
          <w:rFonts w:hint="eastAsia" w:cs="Arial"/>
          <w:u w:val="single"/>
        </w:rPr>
        <w:t>黄叶静</w:t>
      </w:r>
    </w:p>
    <w:p>
      <w:pPr>
        <w:spacing w:line="360" w:lineRule="auto"/>
        <w:rPr>
          <w:rFonts w:cs="Arial"/>
        </w:rPr>
      </w:pPr>
      <w:r>
        <w:rPr>
          <w:rFonts w:cs="Arial"/>
        </w:rPr>
        <w:t>     质疑联系方式：</w:t>
      </w:r>
      <w:r>
        <w:rPr>
          <w:rFonts w:hint="eastAsia" w:cs="Arial"/>
          <w:u w:val="single"/>
        </w:rPr>
        <w:t>18105388612 </w:t>
      </w:r>
    </w:p>
    <w:p>
      <w:pPr>
        <w:spacing w:line="360" w:lineRule="auto"/>
        <w:rPr>
          <w:rFonts w:cs="Arial"/>
        </w:rPr>
      </w:pPr>
    </w:p>
    <w:p>
      <w:pPr>
        <w:spacing w:line="360" w:lineRule="auto"/>
        <w:rPr>
          <w:rFonts w:cs="Arial"/>
        </w:rPr>
      </w:pPr>
      <w:r>
        <w:rPr>
          <w:rFonts w:cs="Arial"/>
        </w:rPr>
        <w:t>3.同级政府采购监督管理部门</w:t>
      </w:r>
    </w:p>
    <w:p>
      <w:pPr>
        <w:spacing w:line="360" w:lineRule="auto"/>
        <w:rPr>
          <w:rFonts w:cs="Arial"/>
        </w:rPr>
      </w:pPr>
      <w:r>
        <w:rPr>
          <w:rFonts w:cs="Arial"/>
        </w:rPr>
        <w:t>   名    称：</w:t>
      </w:r>
      <w:r>
        <w:rPr>
          <w:rFonts w:cs="Arial"/>
          <w:u w:val="single"/>
        </w:rPr>
        <w:t>海盐县财政局政府采购监管科</w:t>
      </w:r>
    </w:p>
    <w:p>
      <w:pPr>
        <w:spacing w:line="360" w:lineRule="auto"/>
        <w:rPr>
          <w:rFonts w:cs="Arial"/>
        </w:rPr>
      </w:pPr>
      <w:r>
        <w:rPr>
          <w:rFonts w:cs="Arial"/>
        </w:rPr>
        <w:t>   地    址：</w:t>
      </w:r>
      <w:r>
        <w:rPr>
          <w:rFonts w:cs="Arial"/>
          <w:u w:val="single"/>
        </w:rPr>
        <w:t>海盐县武原街道新桥北路168号</w:t>
      </w:r>
      <w:r>
        <w:rPr>
          <w:rFonts w:cs="Arial"/>
        </w:rPr>
        <w:t>　　</w:t>
      </w:r>
    </w:p>
    <w:p>
      <w:pPr>
        <w:spacing w:line="360" w:lineRule="auto"/>
        <w:rPr>
          <w:rFonts w:cs="Arial"/>
        </w:rPr>
      </w:pPr>
      <w:r>
        <w:rPr>
          <w:rFonts w:cs="Arial"/>
        </w:rPr>
        <w:t>   传   真：</w:t>
      </w:r>
      <w:r>
        <w:rPr>
          <w:rFonts w:cs="Arial"/>
          <w:u w:val="single"/>
        </w:rPr>
        <w:t> / 　</w:t>
      </w:r>
    </w:p>
    <w:p>
      <w:pPr>
        <w:spacing w:line="360" w:lineRule="auto"/>
        <w:rPr>
          <w:rFonts w:cs="Arial"/>
        </w:rPr>
      </w:pPr>
      <w:r>
        <w:rPr>
          <w:rFonts w:cs="Arial"/>
        </w:rPr>
        <w:t>   联系人： </w:t>
      </w:r>
      <w:r>
        <w:rPr>
          <w:rFonts w:hint="eastAsia" w:cs="Arial"/>
          <w:u w:val="single"/>
        </w:rPr>
        <w:t>郭科、张科</w:t>
      </w:r>
    </w:p>
    <w:p>
      <w:pPr>
        <w:spacing w:line="360" w:lineRule="auto"/>
        <w:rPr>
          <w:rFonts w:cs="Arial"/>
        </w:rPr>
      </w:pPr>
      <w:r>
        <w:rPr>
          <w:rFonts w:cs="Arial"/>
        </w:rPr>
        <w:t>   监督投诉电话：</w:t>
      </w:r>
      <w:r>
        <w:rPr>
          <w:rFonts w:cs="Arial"/>
          <w:u w:val="single"/>
        </w:rPr>
        <w:t>0573-861</w:t>
      </w:r>
      <w:r>
        <w:rPr>
          <w:rFonts w:hint="eastAsia" w:cs="Arial"/>
          <w:u w:val="single"/>
        </w:rPr>
        <w:t>22512</w:t>
      </w:r>
      <w:r>
        <w:rPr>
          <w:rFonts w:cs="Arial"/>
        </w:rPr>
        <w:t>　</w:t>
      </w:r>
    </w:p>
    <w:p>
      <w:pPr>
        <w:spacing w:line="400" w:lineRule="atLeast"/>
        <w:ind w:firstLine="420" w:firstLineChars="200"/>
        <w:rPr>
          <w:rFonts w:cs="Arial"/>
        </w:rPr>
      </w:pPr>
    </w:p>
    <w:p>
      <w:pPr>
        <w:spacing w:line="360" w:lineRule="auto"/>
        <w:ind w:firstLine="420" w:firstLineChars="200"/>
        <w:rPr>
          <w:rFonts w:cs="Arial"/>
        </w:rPr>
      </w:pPr>
      <w:r>
        <w:rPr>
          <w:rFonts w:cs="Arial"/>
        </w:rPr>
        <w:t>若对项目采购电子交易系统操作有疑问，可登录政采云（https://www.zcygov.cn/），点击右侧咨询小采，获取采小蜜智能服务管家帮助，或拨打政采云服务热线400-881-7190获取热线服务帮助。</w:t>
      </w:r>
    </w:p>
    <w:p>
      <w:pPr>
        <w:spacing w:line="360" w:lineRule="auto"/>
        <w:rPr>
          <w:rFonts w:ascii="宋体" w:hAnsi="宋体"/>
          <w:szCs w:val="21"/>
        </w:rPr>
      </w:pPr>
      <w:r>
        <w:rPr>
          <w:rFonts w:cs="Arial"/>
        </w:rPr>
        <w:t>CA问题联系电话（人工）：汇信CA 400-888-4636；天谷CA 400-087-8198。</w:t>
      </w:r>
    </w:p>
    <w:p>
      <w:pPr>
        <w:pStyle w:val="3"/>
        <w:keepNext w:val="0"/>
        <w:keepLines w:val="0"/>
        <w:pageBreakBefore/>
        <w:spacing w:before="312" w:beforeLines="100" w:after="312" w:afterLines="100" w:line="240" w:lineRule="auto"/>
        <w:jc w:val="center"/>
        <w:rPr>
          <w:rFonts w:ascii="Arial" w:hAnsi="Arial" w:cs="Arial"/>
          <w:sz w:val="28"/>
          <w:szCs w:val="36"/>
        </w:rPr>
      </w:pPr>
      <w:bookmarkStart w:id="2" w:name="_Toc6163"/>
      <w:r>
        <w:rPr>
          <w:rFonts w:ascii="Arial" w:hAnsi="Arial" w:cs="Arial"/>
          <w:sz w:val="28"/>
          <w:szCs w:val="36"/>
        </w:rPr>
        <w:t>第二部分竞争性磋商供应商须知</w:t>
      </w:r>
      <w:bookmarkEnd w:id="2"/>
    </w:p>
    <w:p>
      <w:pPr>
        <w:pStyle w:val="4"/>
        <w:spacing w:before="156" w:beforeLines="50" w:after="156" w:afterLines="50" w:line="240" w:lineRule="auto"/>
        <w:jc w:val="center"/>
        <w:rPr>
          <w:rFonts w:ascii="Arial" w:hAnsi="Arial" w:cs="Arial"/>
          <w:bCs w:val="0"/>
          <w:sz w:val="24"/>
          <w:szCs w:val="24"/>
        </w:rPr>
      </w:pPr>
      <w:bookmarkStart w:id="3" w:name="_Toc9512"/>
      <w:r>
        <w:rPr>
          <w:rFonts w:ascii="Arial" w:hAnsi="Arial" w:cs="Arial"/>
          <w:sz w:val="24"/>
          <w:szCs w:val="24"/>
        </w:rPr>
        <w:t>（一）</w:t>
      </w:r>
      <w:r>
        <w:rPr>
          <w:rFonts w:ascii="Arial" w:hAnsi="Arial" w:cs="Arial"/>
          <w:bCs w:val="0"/>
          <w:sz w:val="24"/>
          <w:szCs w:val="24"/>
        </w:rPr>
        <w:t>竞争性磋商须知前附表</w:t>
      </w:r>
      <w:bookmarkEnd w:id="3"/>
    </w:p>
    <w:tbl>
      <w:tblPr>
        <w:tblStyle w:val="24"/>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6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jc w:val="center"/>
              <w:rPr>
                <w:rFonts w:ascii="Arial" w:hAnsi="Arial" w:cs="Arial"/>
                <w:b/>
                <w:szCs w:val="21"/>
              </w:rPr>
            </w:pPr>
            <w:r>
              <w:rPr>
                <w:rFonts w:ascii="Arial" w:hAnsi="Arial" w:cs="Arial"/>
                <w:b/>
                <w:szCs w:val="21"/>
              </w:rPr>
              <w:t>项号</w:t>
            </w:r>
          </w:p>
        </w:tc>
        <w:tc>
          <w:tcPr>
            <w:tcW w:w="1920" w:type="dxa"/>
            <w:vAlign w:val="center"/>
          </w:tcPr>
          <w:p>
            <w:pPr>
              <w:jc w:val="center"/>
              <w:rPr>
                <w:rFonts w:ascii="Arial" w:hAnsi="Arial" w:cs="Arial"/>
                <w:b/>
                <w:szCs w:val="21"/>
              </w:rPr>
            </w:pPr>
            <w:r>
              <w:rPr>
                <w:rFonts w:ascii="Arial" w:hAnsi="Arial" w:cs="Arial"/>
                <w:b/>
                <w:szCs w:val="21"/>
              </w:rPr>
              <w:t>内容</w:t>
            </w:r>
          </w:p>
        </w:tc>
        <w:tc>
          <w:tcPr>
            <w:tcW w:w="6530" w:type="dxa"/>
            <w:vAlign w:val="center"/>
          </w:tcPr>
          <w:p>
            <w:pPr>
              <w:jc w:val="center"/>
              <w:rPr>
                <w:rFonts w:ascii="Arial" w:hAnsi="Arial" w:cs="Arial"/>
                <w:b/>
                <w:szCs w:val="21"/>
              </w:rPr>
            </w:pPr>
            <w:r>
              <w:rPr>
                <w:rFonts w:ascii="Arial" w:hAnsi="Arial" w:cs="Arial"/>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jc w:val="center"/>
              <w:rPr>
                <w:rFonts w:ascii="Arial" w:hAnsi="Arial" w:cs="Arial"/>
                <w:szCs w:val="21"/>
              </w:rPr>
            </w:pPr>
            <w:r>
              <w:rPr>
                <w:rFonts w:ascii="Arial" w:hAnsi="Arial" w:cs="Arial"/>
                <w:szCs w:val="21"/>
              </w:rPr>
              <w:t>1</w:t>
            </w:r>
          </w:p>
        </w:tc>
        <w:tc>
          <w:tcPr>
            <w:tcW w:w="1920" w:type="dxa"/>
            <w:vAlign w:val="center"/>
          </w:tcPr>
          <w:p>
            <w:pPr>
              <w:jc w:val="center"/>
              <w:rPr>
                <w:rFonts w:ascii="宋体" w:hAnsi="宋体" w:cs="Arial"/>
                <w:szCs w:val="21"/>
              </w:rPr>
            </w:pPr>
            <w:r>
              <w:rPr>
                <w:rFonts w:ascii="宋体" w:hAnsi="宋体" w:cs="Arial"/>
                <w:szCs w:val="21"/>
              </w:rPr>
              <w:t>项目名称</w:t>
            </w:r>
          </w:p>
        </w:tc>
        <w:tc>
          <w:tcPr>
            <w:tcW w:w="6530" w:type="dxa"/>
            <w:vAlign w:val="center"/>
          </w:tcPr>
          <w:p>
            <w:pPr>
              <w:rPr>
                <w:rFonts w:ascii="宋体" w:hAnsi="宋体" w:cs="Arial"/>
                <w:szCs w:val="21"/>
              </w:rPr>
            </w:pPr>
            <w:r>
              <w:rPr>
                <w:rFonts w:hint="eastAsia" w:ascii="宋体" w:hAnsi="宋体"/>
                <w:szCs w:val="21"/>
              </w:rPr>
              <w:t>2022年-</w:t>
            </w:r>
            <w:r>
              <w:rPr>
                <w:rFonts w:ascii="宋体" w:hAnsi="宋体"/>
                <w:szCs w:val="21"/>
              </w:rPr>
              <w:t>2023</w:t>
            </w:r>
            <w:r>
              <w:rPr>
                <w:rFonts w:hint="eastAsia" w:ascii="宋体" w:hAnsi="宋体"/>
                <w:szCs w:val="21"/>
              </w:rPr>
              <w:t>年海盐县全域“无废城市”建设技术咨询及服务项目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jc w:val="center"/>
              <w:rPr>
                <w:rFonts w:ascii="Arial" w:hAnsi="Arial" w:cs="Arial"/>
                <w:szCs w:val="21"/>
              </w:rPr>
            </w:pPr>
            <w:r>
              <w:rPr>
                <w:rFonts w:ascii="Arial" w:hAnsi="Arial" w:cs="Arial"/>
                <w:szCs w:val="21"/>
              </w:rPr>
              <w:t>2</w:t>
            </w:r>
          </w:p>
        </w:tc>
        <w:tc>
          <w:tcPr>
            <w:tcW w:w="1920" w:type="dxa"/>
            <w:vAlign w:val="center"/>
          </w:tcPr>
          <w:p>
            <w:pPr>
              <w:jc w:val="center"/>
              <w:rPr>
                <w:rFonts w:ascii="宋体" w:hAnsi="宋体" w:cs="Arial"/>
                <w:szCs w:val="21"/>
              </w:rPr>
            </w:pPr>
            <w:r>
              <w:rPr>
                <w:rFonts w:ascii="宋体" w:hAnsi="宋体" w:cs="Arial"/>
                <w:szCs w:val="21"/>
              </w:rPr>
              <w:t>项目编号</w:t>
            </w:r>
          </w:p>
        </w:tc>
        <w:tc>
          <w:tcPr>
            <w:tcW w:w="6530" w:type="dxa"/>
            <w:vAlign w:val="center"/>
          </w:tcPr>
          <w:p>
            <w:pPr>
              <w:rPr>
                <w:rFonts w:hint="eastAsia" w:ascii="宋体" w:hAnsi="宋体" w:eastAsia="宋体" w:cs="Arial"/>
                <w:szCs w:val="21"/>
                <w:lang w:eastAsia="zh-CN"/>
              </w:rPr>
            </w:pPr>
            <w:r>
              <w:rPr>
                <w:rFonts w:hint="eastAsia" w:ascii="宋体" w:hAnsi="宋体" w:cs="Arial"/>
                <w:szCs w:val="21"/>
                <w:lang w:eastAsia="zh-CN"/>
              </w:rPr>
              <w:t>中望[2022]D104号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jc w:val="center"/>
              <w:rPr>
                <w:rFonts w:ascii="Arial" w:hAnsi="Arial" w:cs="Arial"/>
                <w:szCs w:val="21"/>
              </w:rPr>
            </w:pPr>
            <w:r>
              <w:rPr>
                <w:rFonts w:hint="eastAsia" w:ascii="Arial" w:hAnsi="Arial" w:cs="Arial"/>
                <w:szCs w:val="21"/>
              </w:rPr>
              <w:t>3</w:t>
            </w:r>
          </w:p>
        </w:tc>
        <w:tc>
          <w:tcPr>
            <w:tcW w:w="1920" w:type="dxa"/>
            <w:vAlign w:val="center"/>
          </w:tcPr>
          <w:p>
            <w:pPr>
              <w:spacing w:line="276" w:lineRule="auto"/>
              <w:jc w:val="center"/>
              <w:rPr>
                <w:rFonts w:ascii="宋体" w:hAnsi="宋体" w:cs="Arial"/>
                <w:szCs w:val="21"/>
              </w:rPr>
            </w:pPr>
            <w:r>
              <w:rPr>
                <w:rFonts w:hint="eastAsia" w:ascii="宋体" w:hAnsi="宋体"/>
                <w:szCs w:val="21"/>
              </w:rPr>
              <w:t>资金来源</w:t>
            </w:r>
          </w:p>
        </w:tc>
        <w:tc>
          <w:tcPr>
            <w:tcW w:w="6530" w:type="dxa"/>
            <w:vAlign w:val="center"/>
          </w:tcPr>
          <w:p>
            <w:pPr>
              <w:spacing w:line="276" w:lineRule="auto"/>
              <w:rPr>
                <w:rFonts w:ascii="宋体" w:hAnsi="宋体" w:cs="Arial"/>
                <w:szCs w:val="21"/>
              </w:rPr>
            </w:pPr>
            <w:r>
              <w:rPr>
                <w:rFonts w:hint="eastAsia" w:ascii="宋体" w:hAnsi="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jc w:val="center"/>
              <w:rPr>
                <w:rFonts w:ascii="Arial" w:hAnsi="Arial" w:cs="Arial"/>
                <w:szCs w:val="21"/>
              </w:rPr>
            </w:pPr>
            <w:r>
              <w:rPr>
                <w:rFonts w:ascii="Arial" w:hAnsi="Arial" w:cs="Arial"/>
                <w:szCs w:val="21"/>
              </w:rPr>
              <w:t>4</w:t>
            </w:r>
          </w:p>
        </w:tc>
        <w:tc>
          <w:tcPr>
            <w:tcW w:w="1920" w:type="dxa"/>
            <w:vAlign w:val="center"/>
          </w:tcPr>
          <w:p>
            <w:pPr>
              <w:adjustRightInd w:val="0"/>
              <w:jc w:val="center"/>
              <w:rPr>
                <w:rFonts w:ascii="宋体" w:hAnsi="宋体" w:cs="Arial"/>
                <w:szCs w:val="21"/>
              </w:rPr>
            </w:pPr>
            <w:r>
              <w:rPr>
                <w:rFonts w:ascii="宋体" w:hAnsi="宋体" w:cs="Arial"/>
                <w:szCs w:val="21"/>
              </w:rPr>
              <w:t>采购人</w:t>
            </w:r>
          </w:p>
        </w:tc>
        <w:tc>
          <w:tcPr>
            <w:tcW w:w="6530" w:type="dxa"/>
            <w:vAlign w:val="center"/>
          </w:tcPr>
          <w:p>
            <w:pPr>
              <w:adjustRightInd w:val="0"/>
              <w:rPr>
                <w:rFonts w:ascii="宋体" w:hAnsi="宋体" w:cs="Arial"/>
                <w:szCs w:val="21"/>
              </w:rPr>
            </w:pPr>
            <w:r>
              <w:rPr>
                <w:rFonts w:ascii="宋体" w:hAnsi="宋体" w:cs="Arial"/>
                <w:szCs w:val="21"/>
              </w:rPr>
              <w:t>名称：</w:t>
            </w:r>
            <w:r>
              <w:rPr>
                <w:rFonts w:hint="eastAsia" w:ascii="宋体" w:hAnsi="宋体" w:cs="Arial"/>
                <w:szCs w:val="21"/>
              </w:rPr>
              <w:t>嘉兴市生态环境局海盐分局</w:t>
            </w:r>
          </w:p>
          <w:p>
            <w:pPr>
              <w:adjustRightInd w:val="0"/>
              <w:rPr>
                <w:rFonts w:ascii="宋体" w:hAnsi="宋体" w:cs="Arial"/>
                <w:szCs w:val="21"/>
              </w:rPr>
            </w:pPr>
            <w:r>
              <w:rPr>
                <w:rFonts w:ascii="宋体" w:hAnsi="宋体" w:cs="Arial"/>
                <w:szCs w:val="21"/>
              </w:rPr>
              <w:t>联系</w:t>
            </w:r>
            <w:r>
              <w:rPr>
                <w:rFonts w:hint="eastAsia" w:ascii="宋体" w:hAnsi="宋体" w:cs="Arial"/>
                <w:szCs w:val="21"/>
              </w:rPr>
              <w:t>人：阮侃尔</w:t>
            </w:r>
          </w:p>
          <w:p>
            <w:pPr>
              <w:adjustRightInd w:val="0"/>
              <w:rPr>
                <w:rFonts w:ascii="宋体" w:hAnsi="宋体" w:cs="Arial"/>
                <w:szCs w:val="21"/>
              </w:rPr>
            </w:pPr>
            <w:r>
              <w:rPr>
                <w:rFonts w:hint="eastAsia" w:ascii="宋体" w:hAnsi="宋体" w:cs="Arial"/>
                <w:szCs w:val="21"/>
              </w:rPr>
              <w:t>联系电话：0573-</w:t>
            </w:r>
            <w:r>
              <w:rPr>
                <w:rFonts w:hint="eastAsia" w:ascii="宋体" w:hAnsi="宋体" w:cs="Arial"/>
                <w:szCs w:val="21"/>
                <w:lang w:val="en-US" w:eastAsia="zh-CN"/>
              </w:rPr>
              <w:t>86115262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0" w:hRule="atLeast"/>
          <w:jc w:val="center"/>
        </w:trPr>
        <w:tc>
          <w:tcPr>
            <w:tcW w:w="645" w:type="dxa"/>
            <w:vAlign w:val="center"/>
          </w:tcPr>
          <w:p>
            <w:pPr>
              <w:jc w:val="center"/>
              <w:rPr>
                <w:rFonts w:ascii="Arial" w:hAnsi="Arial" w:cs="Arial"/>
                <w:szCs w:val="21"/>
              </w:rPr>
            </w:pPr>
            <w:r>
              <w:rPr>
                <w:rFonts w:hint="eastAsia" w:ascii="Arial" w:hAnsi="Arial" w:cs="Arial"/>
                <w:szCs w:val="21"/>
              </w:rPr>
              <w:t>5</w:t>
            </w:r>
          </w:p>
        </w:tc>
        <w:tc>
          <w:tcPr>
            <w:tcW w:w="1920" w:type="dxa"/>
            <w:vAlign w:val="center"/>
          </w:tcPr>
          <w:p>
            <w:pPr>
              <w:adjustRightInd w:val="0"/>
              <w:jc w:val="center"/>
              <w:rPr>
                <w:rFonts w:ascii="宋体" w:hAnsi="宋体" w:cs="Arial"/>
                <w:szCs w:val="21"/>
              </w:rPr>
            </w:pPr>
            <w:r>
              <w:rPr>
                <w:rFonts w:ascii="宋体" w:hAnsi="宋体" w:cs="Arial"/>
                <w:szCs w:val="21"/>
              </w:rPr>
              <w:t>采购代理机构</w:t>
            </w:r>
          </w:p>
        </w:tc>
        <w:tc>
          <w:tcPr>
            <w:tcW w:w="6530" w:type="dxa"/>
            <w:vAlign w:val="center"/>
          </w:tcPr>
          <w:p>
            <w:pPr>
              <w:adjustRightInd w:val="0"/>
              <w:rPr>
                <w:rFonts w:ascii="宋体" w:hAnsi="宋体" w:cs="Arial"/>
                <w:szCs w:val="21"/>
              </w:rPr>
            </w:pPr>
            <w:r>
              <w:rPr>
                <w:rFonts w:ascii="宋体" w:hAnsi="宋体" w:cs="Arial"/>
                <w:szCs w:val="21"/>
              </w:rPr>
              <w:t>名称</w:t>
            </w:r>
            <w:r>
              <w:rPr>
                <w:rFonts w:hint="eastAsia" w:ascii="宋体" w:hAnsi="宋体" w:cs="Arial"/>
                <w:szCs w:val="21"/>
              </w:rPr>
              <w:t>：浙江中望工程管理有限公司</w:t>
            </w:r>
          </w:p>
          <w:p>
            <w:pPr>
              <w:adjustRightInd w:val="0"/>
              <w:rPr>
                <w:rFonts w:ascii="宋体" w:hAnsi="宋体" w:cs="Arial"/>
                <w:szCs w:val="21"/>
              </w:rPr>
            </w:pPr>
            <w:r>
              <w:rPr>
                <w:rFonts w:hint="eastAsia" w:ascii="宋体" w:hAnsi="宋体" w:cs="Arial"/>
                <w:szCs w:val="21"/>
              </w:rPr>
              <w:t>联系人：王洁</w:t>
            </w:r>
          </w:p>
          <w:p>
            <w:pPr>
              <w:adjustRightInd w:val="0"/>
              <w:rPr>
                <w:rFonts w:ascii="宋体" w:hAnsi="宋体" w:cs="Arial"/>
                <w:szCs w:val="21"/>
              </w:rPr>
            </w:pPr>
            <w:r>
              <w:rPr>
                <w:rFonts w:hint="eastAsia" w:ascii="宋体" w:hAnsi="宋体" w:cs="Arial"/>
                <w:szCs w:val="21"/>
              </w:rPr>
              <w:t>联系电话：0573-86118612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0" w:hRule="atLeast"/>
          <w:jc w:val="center"/>
        </w:trPr>
        <w:tc>
          <w:tcPr>
            <w:tcW w:w="645" w:type="dxa"/>
            <w:vAlign w:val="center"/>
          </w:tcPr>
          <w:p>
            <w:pPr>
              <w:jc w:val="center"/>
              <w:rPr>
                <w:rFonts w:ascii="Arial" w:hAnsi="Arial" w:cs="Arial"/>
                <w:szCs w:val="21"/>
              </w:rPr>
            </w:pPr>
            <w:r>
              <w:rPr>
                <w:rFonts w:hint="eastAsia" w:ascii="Arial" w:hAnsi="Arial" w:cs="Arial"/>
                <w:szCs w:val="21"/>
              </w:rPr>
              <w:t>6</w:t>
            </w:r>
          </w:p>
        </w:tc>
        <w:tc>
          <w:tcPr>
            <w:tcW w:w="1920" w:type="dxa"/>
            <w:vAlign w:val="center"/>
          </w:tcPr>
          <w:p>
            <w:pPr>
              <w:jc w:val="center"/>
              <w:rPr>
                <w:rFonts w:ascii="宋体" w:hAnsi="宋体" w:cs="Arial"/>
                <w:szCs w:val="21"/>
              </w:rPr>
            </w:pPr>
            <w:r>
              <w:rPr>
                <w:rFonts w:ascii="宋体" w:hAnsi="宋体" w:cs="Arial"/>
                <w:szCs w:val="21"/>
              </w:rPr>
              <w:t>采购内容</w:t>
            </w:r>
          </w:p>
        </w:tc>
        <w:tc>
          <w:tcPr>
            <w:tcW w:w="6530" w:type="dxa"/>
            <w:vAlign w:val="center"/>
          </w:tcPr>
          <w:p>
            <w:pPr>
              <w:rPr>
                <w:rFonts w:ascii="宋体" w:hAnsi="宋体" w:cs="Arial"/>
                <w:szCs w:val="21"/>
              </w:rPr>
            </w:pPr>
            <w:r>
              <w:rPr>
                <w:rFonts w:hint="eastAsia" w:ascii="宋体" w:hAnsi="宋体"/>
                <w:szCs w:val="21"/>
              </w:rPr>
              <w:t>2022年-</w:t>
            </w:r>
            <w:r>
              <w:rPr>
                <w:rFonts w:ascii="宋体" w:hAnsi="宋体"/>
                <w:szCs w:val="21"/>
              </w:rPr>
              <w:t>2023年</w:t>
            </w:r>
            <w:r>
              <w:rPr>
                <w:rFonts w:hint="eastAsia" w:ascii="宋体" w:hAnsi="宋体"/>
                <w:szCs w:val="21"/>
              </w:rPr>
              <w:t>海盐县全域“无废城市”建设技术咨询及服务项目</w:t>
            </w:r>
            <w:r>
              <w:rPr>
                <w:rFonts w:ascii="宋体" w:hAnsi="宋体" w:cs="Arial"/>
                <w:szCs w:val="21"/>
              </w:rPr>
              <w:t>，详见本</w:t>
            </w:r>
            <w:r>
              <w:rPr>
                <w:rFonts w:hint="eastAsia" w:ascii="宋体" w:hAnsi="宋体" w:cs="Arial"/>
                <w:szCs w:val="21"/>
              </w:rPr>
              <w:t>磋商</w:t>
            </w:r>
            <w:r>
              <w:rPr>
                <w:rFonts w:ascii="宋体" w:hAnsi="宋体" w:cs="Arial"/>
                <w:szCs w:val="21"/>
              </w:rPr>
              <w:t>文件</w:t>
            </w:r>
            <w:r>
              <w:rPr>
                <w:rFonts w:hint="eastAsia" w:ascii="宋体" w:hAnsi="宋体" w:cs="Arial"/>
                <w:szCs w:val="21"/>
              </w:rPr>
              <w:t>第三</w:t>
            </w:r>
            <w:r>
              <w:rPr>
                <w:rFonts w:ascii="宋体" w:hAnsi="宋体" w:cs="Arial"/>
                <w:szCs w:val="21"/>
              </w:rPr>
              <w:t>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645" w:type="dxa"/>
            <w:vAlign w:val="center"/>
          </w:tcPr>
          <w:p>
            <w:pPr>
              <w:jc w:val="center"/>
              <w:rPr>
                <w:rFonts w:ascii="Arial" w:hAnsi="Arial" w:cs="Arial"/>
                <w:szCs w:val="21"/>
              </w:rPr>
            </w:pPr>
            <w:r>
              <w:rPr>
                <w:rFonts w:hint="eastAsia" w:ascii="Arial" w:hAnsi="Arial" w:cs="Arial"/>
                <w:szCs w:val="21"/>
              </w:rPr>
              <w:t>7</w:t>
            </w:r>
          </w:p>
        </w:tc>
        <w:tc>
          <w:tcPr>
            <w:tcW w:w="1920" w:type="dxa"/>
            <w:vAlign w:val="center"/>
          </w:tcPr>
          <w:p>
            <w:pPr>
              <w:jc w:val="center"/>
              <w:rPr>
                <w:rFonts w:ascii="宋体" w:hAnsi="宋体" w:cs="Arial"/>
                <w:szCs w:val="21"/>
              </w:rPr>
            </w:pPr>
            <w:r>
              <w:rPr>
                <w:rFonts w:ascii="宋体" w:hAnsi="宋体" w:cs="Arial"/>
                <w:szCs w:val="21"/>
              </w:rPr>
              <w:t>竞争性磋商供应商</w:t>
            </w:r>
          </w:p>
          <w:p>
            <w:pPr>
              <w:jc w:val="center"/>
              <w:rPr>
                <w:rFonts w:ascii="宋体" w:hAnsi="宋体" w:cs="Arial"/>
                <w:szCs w:val="21"/>
              </w:rPr>
            </w:pPr>
            <w:r>
              <w:rPr>
                <w:rFonts w:ascii="宋体" w:hAnsi="宋体" w:cs="Arial"/>
                <w:szCs w:val="21"/>
              </w:rPr>
              <w:t>资格要求</w:t>
            </w:r>
          </w:p>
        </w:tc>
        <w:tc>
          <w:tcPr>
            <w:tcW w:w="6530" w:type="dxa"/>
            <w:vAlign w:val="center"/>
          </w:tcPr>
          <w:p>
            <w:pPr>
              <w:spacing w:line="336" w:lineRule="auto"/>
              <w:rPr>
                <w:rFonts w:hAnsi="宋体"/>
                <w:szCs w:val="21"/>
              </w:rPr>
            </w:pPr>
            <w:r>
              <w:rPr>
                <w:rFonts w:hint="eastAsia"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rPr>
                <w:rFonts w:hAnsi="宋体"/>
                <w:szCs w:val="21"/>
              </w:rPr>
            </w:pPr>
            <w:r>
              <w:rPr>
                <w:rFonts w:hint="eastAsia" w:hAnsi="宋体"/>
                <w:szCs w:val="21"/>
              </w:rPr>
              <w:t>2.落实政府采购政策需满足的资格要求：</w:t>
            </w:r>
            <w:r>
              <w:rPr>
                <w:rFonts w:hint="eastAsia" w:hAnsi="宋体"/>
                <w:szCs w:val="21"/>
                <w:highlight w:val="none"/>
              </w:rPr>
              <w:t>供应商为中小企业/小微企业，供应商应为监狱企业，供应商应为残疾人福利企业。</w:t>
            </w:r>
            <w:r>
              <w:rPr>
                <w:rFonts w:hint="eastAsia" w:hAnsi="宋体"/>
                <w:szCs w:val="21"/>
              </w:rPr>
              <w:t> </w:t>
            </w:r>
          </w:p>
          <w:p>
            <w:pPr>
              <w:spacing w:line="336" w:lineRule="auto"/>
              <w:rPr>
                <w:rFonts w:ascii="宋体" w:hAnsi="宋体"/>
                <w:szCs w:val="21"/>
              </w:rPr>
            </w:pPr>
            <w:r>
              <w:rPr>
                <w:rFonts w:hint="eastAsia" w:hAnsi="宋体"/>
                <w:szCs w:val="21"/>
              </w:rPr>
              <w:t>3.本项目的特定资格要求：无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jc w:val="center"/>
              <w:rPr>
                <w:rFonts w:ascii="Arial" w:hAnsi="Arial" w:cs="Arial"/>
                <w:szCs w:val="21"/>
              </w:rPr>
            </w:pPr>
            <w:r>
              <w:rPr>
                <w:rFonts w:hint="eastAsia" w:ascii="Arial" w:hAnsi="Arial" w:cs="Arial"/>
                <w:szCs w:val="21"/>
              </w:rPr>
              <w:t>8</w:t>
            </w:r>
          </w:p>
        </w:tc>
        <w:tc>
          <w:tcPr>
            <w:tcW w:w="1920" w:type="dxa"/>
            <w:vAlign w:val="center"/>
          </w:tcPr>
          <w:p>
            <w:pPr>
              <w:adjustRightInd w:val="0"/>
              <w:jc w:val="center"/>
              <w:rPr>
                <w:rFonts w:ascii="Arial" w:hAnsi="Arial" w:cs="Arial"/>
                <w:szCs w:val="21"/>
              </w:rPr>
            </w:pPr>
            <w:r>
              <w:rPr>
                <w:rFonts w:ascii="Arial" w:hAnsi="Arial" w:cs="Arial"/>
                <w:szCs w:val="21"/>
              </w:rPr>
              <w:t>是否接受联合体投标</w:t>
            </w:r>
          </w:p>
        </w:tc>
        <w:tc>
          <w:tcPr>
            <w:tcW w:w="6530" w:type="dxa"/>
            <w:vAlign w:val="center"/>
          </w:tcPr>
          <w:p>
            <w:pPr>
              <w:adjustRightInd w:val="0"/>
              <w:rPr>
                <w:rFonts w:ascii="Arial" w:hAnsi="Arial" w:cs="Arial"/>
                <w:szCs w:val="21"/>
              </w:rPr>
            </w:pPr>
            <w:r>
              <w:rPr>
                <w:rFonts w:ascii="宋体" w:hAnsi="宋体"/>
                <w:b/>
                <w:szCs w:val="21"/>
              </w:rPr>
              <w:fldChar w:fldCharType="begin"/>
            </w:r>
            <w:r>
              <w:rPr>
                <w:rFonts w:hint="eastAsia" w:ascii="宋体" w:hAnsi="宋体"/>
                <w:b/>
                <w:szCs w:val="21"/>
              </w:rPr>
              <w:instrText xml:space="preserve">eq \o\ac(□,√)</w:instrText>
            </w:r>
            <w:r>
              <w:rPr>
                <w:rFonts w:ascii="宋体" w:hAnsi="宋体"/>
                <w:b/>
                <w:szCs w:val="21"/>
              </w:rPr>
              <w:fldChar w:fldCharType="end"/>
            </w:r>
            <w:r>
              <w:rPr>
                <w:rFonts w:ascii="Arial" w:hAnsi="Arial" w:cs="Arial"/>
                <w:szCs w:val="21"/>
              </w:rPr>
              <w:t>不接受</w:t>
            </w:r>
          </w:p>
          <w:p>
            <w:pPr>
              <w:adjustRightInd w:val="0"/>
              <w:rPr>
                <w:rFonts w:ascii="Arial" w:hAnsi="Arial" w:cs="Arial"/>
                <w:i/>
                <w:szCs w:val="21"/>
              </w:rPr>
            </w:pPr>
            <w:r>
              <w:rPr>
                <w:rFonts w:ascii="宋体" w:hAnsi="宋体"/>
                <w:szCs w:val="21"/>
              </w:rPr>
              <w:t>□</w:t>
            </w:r>
            <w:r>
              <w:rPr>
                <w:rFonts w:ascii="Arial" w:hAnsi="Arial" w:cs="Arial"/>
                <w:szCs w:val="21"/>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jc w:val="center"/>
              <w:rPr>
                <w:rFonts w:ascii="Arial" w:hAnsi="Arial" w:cs="Arial"/>
                <w:szCs w:val="21"/>
              </w:rPr>
            </w:pPr>
            <w:r>
              <w:rPr>
                <w:rFonts w:hint="eastAsia" w:ascii="Arial" w:hAnsi="Arial" w:cs="Arial"/>
                <w:szCs w:val="21"/>
              </w:rPr>
              <w:t>9</w:t>
            </w:r>
          </w:p>
        </w:tc>
        <w:tc>
          <w:tcPr>
            <w:tcW w:w="1920" w:type="dxa"/>
            <w:vAlign w:val="center"/>
          </w:tcPr>
          <w:p>
            <w:pPr>
              <w:adjustRightInd w:val="0"/>
              <w:jc w:val="center"/>
              <w:rPr>
                <w:rFonts w:ascii="Arial" w:hAnsi="Arial" w:cs="Arial"/>
                <w:szCs w:val="21"/>
              </w:rPr>
            </w:pPr>
            <w:r>
              <w:rPr>
                <w:rFonts w:ascii="Arial" w:hAnsi="Arial" w:cs="Arial"/>
                <w:szCs w:val="21"/>
              </w:rPr>
              <w:t>踏勘现场</w:t>
            </w:r>
          </w:p>
        </w:tc>
        <w:tc>
          <w:tcPr>
            <w:tcW w:w="6530" w:type="dxa"/>
            <w:vAlign w:val="center"/>
          </w:tcPr>
          <w:p>
            <w:pPr>
              <w:adjustRightInd w:val="0"/>
              <w:rPr>
                <w:rFonts w:ascii="Arial" w:hAnsi="Arial" w:cs="Arial"/>
                <w:szCs w:val="21"/>
              </w:rPr>
            </w:pPr>
            <w:r>
              <w:rPr>
                <w:rFonts w:ascii="宋体" w:hAnsi="宋体"/>
                <w:b/>
                <w:szCs w:val="21"/>
              </w:rPr>
              <w:fldChar w:fldCharType="begin"/>
            </w:r>
            <w:r>
              <w:rPr>
                <w:rFonts w:hint="eastAsia" w:ascii="宋体" w:hAnsi="宋体"/>
                <w:b/>
                <w:szCs w:val="21"/>
              </w:rPr>
              <w:instrText xml:space="preserve">eq \o\ac(□,√)</w:instrText>
            </w:r>
            <w:r>
              <w:rPr>
                <w:rFonts w:ascii="宋体" w:hAnsi="宋体"/>
                <w:b/>
                <w:szCs w:val="21"/>
              </w:rPr>
              <w:fldChar w:fldCharType="end"/>
            </w:r>
            <w:r>
              <w:rPr>
                <w:rFonts w:ascii="Arial" w:hAnsi="Arial" w:cs="Arial"/>
                <w:szCs w:val="21"/>
              </w:rPr>
              <w:t>不组织</w:t>
            </w:r>
          </w:p>
          <w:p>
            <w:pPr>
              <w:adjustRightInd w:val="0"/>
              <w:rPr>
                <w:rFonts w:ascii="Arial" w:hAnsi="Arial" w:cs="Arial"/>
                <w:i/>
                <w:szCs w:val="21"/>
              </w:rPr>
            </w:pPr>
            <w:r>
              <w:rPr>
                <w:rFonts w:ascii="宋体" w:hAnsi="宋体"/>
                <w:szCs w:val="21"/>
              </w:rPr>
              <w:t>□</w:t>
            </w:r>
            <w:r>
              <w:rPr>
                <w:rFonts w:ascii="Arial" w:hAnsi="Arial" w:cs="Arial"/>
                <w:szCs w:val="21"/>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jc w:val="center"/>
              <w:rPr>
                <w:rFonts w:ascii="Arial" w:hAnsi="Arial" w:cs="Arial"/>
                <w:szCs w:val="21"/>
              </w:rPr>
            </w:pPr>
            <w:r>
              <w:rPr>
                <w:rFonts w:hint="eastAsia" w:ascii="Arial" w:hAnsi="Arial" w:cs="Arial"/>
                <w:szCs w:val="21"/>
              </w:rPr>
              <w:t>10</w:t>
            </w:r>
          </w:p>
        </w:tc>
        <w:tc>
          <w:tcPr>
            <w:tcW w:w="1920" w:type="dxa"/>
            <w:vAlign w:val="center"/>
          </w:tcPr>
          <w:p>
            <w:pPr>
              <w:adjustRightInd w:val="0"/>
              <w:spacing w:line="276" w:lineRule="auto"/>
              <w:jc w:val="center"/>
              <w:rPr>
                <w:rFonts w:ascii="宋体" w:hAnsi="宋体"/>
                <w:szCs w:val="21"/>
              </w:rPr>
            </w:pPr>
            <w:r>
              <w:rPr>
                <w:rFonts w:hint="eastAsia" w:ascii="宋体" w:hAnsi="宋体"/>
                <w:szCs w:val="21"/>
              </w:rPr>
              <w:t>是否允许递交备选投标方案</w:t>
            </w:r>
          </w:p>
        </w:tc>
        <w:tc>
          <w:tcPr>
            <w:tcW w:w="6530" w:type="dxa"/>
            <w:vAlign w:val="center"/>
          </w:tcPr>
          <w:p>
            <w:pPr>
              <w:adjustRightInd w:val="0"/>
              <w:spacing w:line="276" w:lineRule="auto"/>
              <w:rPr>
                <w:rFonts w:ascii="宋体" w:hAnsi="宋体"/>
                <w:szCs w:val="21"/>
              </w:rPr>
            </w:pPr>
            <w:r>
              <w:rPr>
                <w:rFonts w:ascii="宋体" w:hAnsi="宋体"/>
                <w:b/>
                <w:szCs w:val="21"/>
              </w:rPr>
              <w:fldChar w:fldCharType="begin"/>
            </w:r>
            <w:r>
              <w:rPr>
                <w:rFonts w:hint="eastAsia" w:ascii="宋体" w:hAnsi="宋体"/>
                <w:b/>
                <w:szCs w:val="21"/>
              </w:rPr>
              <w:instrText xml:space="preserve">eq \o\ac(□,√)</w:instrText>
            </w:r>
            <w:r>
              <w:rPr>
                <w:rFonts w:ascii="宋体" w:hAnsi="宋体"/>
                <w:b/>
                <w:szCs w:val="21"/>
              </w:rPr>
              <w:fldChar w:fldCharType="end"/>
            </w:r>
            <w:r>
              <w:rPr>
                <w:rFonts w:hint="eastAsia" w:ascii="宋体" w:hAnsi="宋体"/>
                <w:szCs w:val="21"/>
              </w:rPr>
              <w:t>不允许</w:t>
            </w:r>
          </w:p>
          <w:p>
            <w:pPr>
              <w:adjustRightInd w:val="0"/>
              <w:spacing w:line="276" w:lineRule="auto"/>
              <w:rPr>
                <w:rFonts w:ascii="宋体" w:hAnsi="宋体" w:cs="仿宋_GB2312"/>
                <w:szCs w:val="21"/>
              </w:rPr>
            </w:pPr>
            <w:r>
              <w:rPr>
                <w:rFonts w:ascii="宋体" w:hAnsi="宋体"/>
                <w:szCs w:val="21"/>
              </w:rPr>
              <w:t>□</w:t>
            </w:r>
            <w:r>
              <w:rPr>
                <w:rFonts w:hint="eastAsia" w:ascii="宋体" w:hAnsi="宋体"/>
                <w:szCs w:val="21"/>
              </w:rPr>
              <w:t xml:space="preserve">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45" w:type="dxa"/>
            <w:vAlign w:val="center"/>
          </w:tcPr>
          <w:p>
            <w:pPr>
              <w:jc w:val="center"/>
              <w:rPr>
                <w:rFonts w:ascii="Arial" w:hAnsi="Arial" w:cs="Arial"/>
                <w:szCs w:val="21"/>
              </w:rPr>
            </w:pPr>
            <w:r>
              <w:rPr>
                <w:rFonts w:hint="eastAsia" w:ascii="Arial" w:hAnsi="Arial" w:cs="Arial"/>
                <w:szCs w:val="21"/>
              </w:rPr>
              <w:t>11</w:t>
            </w:r>
          </w:p>
        </w:tc>
        <w:tc>
          <w:tcPr>
            <w:tcW w:w="1920" w:type="dxa"/>
            <w:vAlign w:val="center"/>
          </w:tcPr>
          <w:p>
            <w:pPr>
              <w:adjustRightInd w:val="0"/>
              <w:jc w:val="center"/>
              <w:rPr>
                <w:rFonts w:ascii="Arial" w:hAnsi="Arial" w:cs="Arial"/>
                <w:szCs w:val="21"/>
              </w:rPr>
            </w:pPr>
            <w:r>
              <w:rPr>
                <w:rFonts w:ascii="Arial" w:hAnsi="Arial" w:cs="Arial"/>
                <w:szCs w:val="21"/>
              </w:rPr>
              <w:t>报价货币</w:t>
            </w:r>
          </w:p>
        </w:tc>
        <w:tc>
          <w:tcPr>
            <w:tcW w:w="6530" w:type="dxa"/>
            <w:vAlign w:val="center"/>
          </w:tcPr>
          <w:p>
            <w:pPr>
              <w:adjustRightInd w:val="0"/>
              <w:rPr>
                <w:rFonts w:ascii="Arial" w:hAnsi="Arial" w:cs="Arial"/>
                <w:szCs w:val="21"/>
              </w:rPr>
            </w:pPr>
            <w:r>
              <w:rPr>
                <w:rFonts w:ascii="Arial" w:hAnsi="Arial" w:cs="Arial"/>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vAlign w:val="center"/>
          </w:tcPr>
          <w:p>
            <w:pPr>
              <w:jc w:val="center"/>
              <w:rPr>
                <w:rFonts w:ascii="Arial" w:hAnsi="Arial" w:cs="Arial"/>
                <w:szCs w:val="21"/>
              </w:rPr>
            </w:pPr>
            <w:r>
              <w:rPr>
                <w:rFonts w:ascii="Arial" w:hAnsi="Arial" w:cs="Arial"/>
                <w:szCs w:val="21"/>
              </w:rPr>
              <w:t>1</w:t>
            </w:r>
            <w:r>
              <w:rPr>
                <w:rFonts w:hint="eastAsia" w:ascii="Arial" w:hAnsi="Arial" w:cs="Arial"/>
                <w:szCs w:val="21"/>
              </w:rPr>
              <w:t>2</w:t>
            </w:r>
          </w:p>
        </w:tc>
        <w:tc>
          <w:tcPr>
            <w:tcW w:w="1920" w:type="dxa"/>
            <w:vAlign w:val="center"/>
          </w:tcPr>
          <w:p>
            <w:pPr>
              <w:adjustRightInd w:val="0"/>
              <w:jc w:val="center"/>
              <w:rPr>
                <w:rFonts w:ascii="Arial" w:hAnsi="Arial" w:cs="Arial"/>
                <w:szCs w:val="21"/>
              </w:rPr>
            </w:pPr>
            <w:r>
              <w:rPr>
                <w:rFonts w:ascii="Arial" w:hAnsi="Arial" w:cs="Arial"/>
                <w:szCs w:val="21"/>
              </w:rPr>
              <w:t>报价语言</w:t>
            </w:r>
          </w:p>
        </w:tc>
        <w:tc>
          <w:tcPr>
            <w:tcW w:w="6530" w:type="dxa"/>
            <w:vAlign w:val="center"/>
          </w:tcPr>
          <w:p>
            <w:pPr>
              <w:adjustRightInd w:val="0"/>
              <w:rPr>
                <w:rFonts w:ascii="Arial" w:hAnsi="Arial" w:cs="Arial"/>
                <w:szCs w:val="21"/>
              </w:rPr>
            </w:pPr>
            <w:r>
              <w:rPr>
                <w:rFonts w:ascii="Arial" w:hAnsi="Arial" w:cs="Arial"/>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pPr>
              <w:jc w:val="center"/>
              <w:rPr>
                <w:rFonts w:ascii="Arial" w:hAnsi="Arial" w:cs="Arial"/>
                <w:szCs w:val="21"/>
              </w:rPr>
            </w:pPr>
            <w:r>
              <w:rPr>
                <w:rFonts w:ascii="Arial" w:hAnsi="Arial" w:cs="Arial"/>
                <w:szCs w:val="21"/>
              </w:rPr>
              <w:t>1</w:t>
            </w:r>
            <w:r>
              <w:rPr>
                <w:rFonts w:hint="eastAsia" w:ascii="Arial" w:hAnsi="Arial" w:cs="Arial"/>
                <w:szCs w:val="21"/>
              </w:rPr>
              <w:t>3</w:t>
            </w:r>
          </w:p>
        </w:tc>
        <w:tc>
          <w:tcPr>
            <w:tcW w:w="1920" w:type="dxa"/>
            <w:vAlign w:val="center"/>
          </w:tcPr>
          <w:p>
            <w:pPr>
              <w:jc w:val="center"/>
              <w:rPr>
                <w:rFonts w:ascii="Arial" w:hAnsi="Arial" w:cs="Arial"/>
                <w:szCs w:val="21"/>
              </w:rPr>
            </w:pPr>
            <w:r>
              <w:rPr>
                <w:rFonts w:ascii="Arial" w:hAnsi="Arial" w:cs="Arial"/>
                <w:szCs w:val="21"/>
              </w:rPr>
              <w:t>竞争性磋商</w:t>
            </w:r>
            <w:r>
              <w:rPr>
                <w:rFonts w:hint="eastAsia" w:ascii="Arial" w:hAnsi="Arial" w:cs="Arial"/>
                <w:szCs w:val="21"/>
              </w:rPr>
              <w:t>纸质</w:t>
            </w:r>
            <w:r>
              <w:rPr>
                <w:rFonts w:ascii="Arial" w:hAnsi="Arial" w:cs="Arial"/>
                <w:szCs w:val="21"/>
              </w:rPr>
              <w:t>响应文件份数</w:t>
            </w:r>
          </w:p>
        </w:tc>
        <w:tc>
          <w:tcPr>
            <w:tcW w:w="6530" w:type="dxa"/>
            <w:vAlign w:val="center"/>
          </w:tcPr>
          <w:p>
            <w:pPr>
              <w:pStyle w:val="17"/>
              <w:jc w:val="both"/>
              <w:rPr>
                <w:rFonts w:ascii="Arial" w:hAnsi="Arial" w:cs="Arial"/>
              </w:rPr>
            </w:pPr>
            <w:r>
              <w:rPr>
                <w:rFonts w:hint="eastAsia" w:ascii="Arial" w:hAnsi="Arial" w:cs="Aria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jc w:val="center"/>
              <w:rPr>
                <w:rFonts w:ascii="Arial" w:hAnsi="Arial" w:cs="Arial"/>
                <w:szCs w:val="21"/>
              </w:rPr>
            </w:pPr>
            <w:r>
              <w:rPr>
                <w:rFonts w:ascii="Arial" w:hAnsi="Arial" w:cs="Arial"/>
                <w:szCs w:val="21"/>
              </w:rPr>
              <w:t>1</w:t>
            </w:r>
            <w:r>
              <w:rPr>
                <w:rFonts w:hint="eastAsia" w:ascii="Arial" w:hAnsi="Arial" w:cs="Arial"/>
                <w:szCs w:val="21"/>
              </w:rPr>
              <w:t>4</w:t>
            </w:r>
          </w:p>
        </w:tc>
        <w:tc>
          <w:tcPr>
            <w:tcW w:w="1920" w:type="dxa"/>
            <w:vAlign w:val="center"/>
          </w:tcPr>
          <w:p>
            <w:pPr>
              <w:jc w:val="center"/>
              <w:rPr>
                <w:rFonts w:ascii="Arial" w:hAnsi="Arial" w:cs="Arial"/>
                <w:szCs w:val="21"/>
              </w:rPr>
            </w:pPr>
            <w:r>
              <w:rPr>
                <w:rFonts w:ascii="Arial" w:hAnsi="Arial" w:cs="Arial"/>
                <w:szCs w:val="21"/>
              </w:rPr>
              <w:t>竞争性磋商有效期</w:t>
            </w:r>
          </w:p>
        </w:tc>
        <w:tc>
          <w:tcPr>
            <w:tcW w:w="6530" w:type="dxa"/>
            <w:vAlign w:val="center"/>
          </w:tcPr>
          <w:p>
            <w:pPr>
              <w:rPr>
                <w:rFonts w:ascii="Arial" w:hAnsi="Arial" w:cs="Arial"/>
                <w:szCs w:val="21"/>
              </w:rPr>
            </w:pPr>
            <w:r>
              <w:rPr>
                <w:rFonts w:ascii="Arial" w:hAnsi="Arial" w:cs="Arial"/>
                <w:szCs w:val="21"/>
              </w:rPr>
              <w:t>提交竞争性磋商响应文件截止日起60天</w:t>
            </w:r>
            <w:r>
              <w:rPr>
                <w:rFonts w:hint="eastAsia" w:ascii="Arial" w:hAnsi="Arial" w:cs="Aria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jc w:val="center"/>
              <w:rPr>
                <w:rFonts w:ascii="Arial" w:hAnsi="Arial" w:cs="Arial"/>
                <w:szCs w:val="21"/>
              </w:rPr>
            </w:pPr>
            <w:r>
              <w:rPr>
                <w:rFonts w:ascii="Arial" w:hAnsi="Arial" w:cs="Arial"/>
                <w:szCs w:val="21"/>
              </w:rPr>
              <w:t>1</w:t>
            </w:r>
            <w:r>
              <w:rPr>
                <w:rFonts w:hint="eastAsia" w:ascii="Arial" w:hAnsi="Arial" w:cs="Arial"/>
                <w:szCs w:val="21"/>
              </w:rPr>
              <w:t>5</w:t>
            </w:r>
          </w:p>
        </w:tc>
        <w:tc>
          <w:tcPr>
            <w:tcW w:w="1920" w:type="dxa"/>
            <w:vAlign w:val="center"/>
          </w:tcPr>
          <w:p>
            <w:pPr>
              <w:jc w:val="center"/>
              <w:rPr>
                <w:rFonts w:ascii="Arial" w:hAnsi="Arial" w:cs="Arial"/>
                <w:szCs w:val="21"/>
              </w:rPr>
            </w:pPr>
            <w:r>
              <w:rPr>
                <w:rFonts w:ascii="Arial" w:hAnsi="Arial" w:cs="Arial"/>
                <w:szCs w:val="21"/>
              </w:rPr>
              <w:t>签字或盖章要求</w:t>
            </w:r>
          </w:p>
        </w:tc>
        <w:tc>
          <w:tcPr>
            <w:tcW w:w="6530" w:type="dxa"/>
            <w:vAlign w:val="center"/>
          </w:tcPr>
          <w:p>
            <w:pPr>
              <w:rPr>
                <w:rFonts w:ascii="Arial" w:hAnsi="Arial" w:cs="Arial"/>
                <w:szCs w:val="21"/>
              </w:rPr>
            </w:pPr>
            <w:r>
              <w:rPr>
                <w:rFonts w:hint="eastAsia" w:ascii="宋体" w:hAnsi="宋体"/>
                <w:szCs w:val="21"/>
              </w:rPr>
              <w:t>竞争性磋商响应文件中需签字或盖章的地方均加盖竞争性磋商供应商单位全称的公章，不得使用投标专用章、合同章等类似图章代替，并经法定代表人或其委托代理人签字或盖章，</w:t>
            </w:r>
            <w:r>
              <w:rPr>
                <w:rFonts w:ascii="宋体" w:hAnsi="宋体"/>
                <w:szCs w:val="21"/>
              </w:rPr>
              <w:t>否则作无效标处理</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jc w:val="center"/>
              <w:rPr>
                <w:rFonts w:ascii="Arial" w:hAnsi="Arial" w:cs="Arial"/>
                <w:szCs w:val="21"/>
              </w:rPr>
            </w:pPr>
            <w:r>
              <w:rPr>
                <w:rFonts w:ascii="Arial" w:hAnsi="Arial" w:cs="Arial"/>
                <w:szCs w:val="21"/>
              </w:rPr>
              <w:t>1</w:t>
            </w:r>
            <w:r>
              <w:rPr>
                <w:rFonts w:hint="eastAsia" w:ascii="Arial" w:hAnsi="Arial" w:cs="Arial"/>
                <w:szCs w:val="21"/>
              </w:rPr>
              <w:t>6</w:t>
            </w:r>
          </w:p>
        </w:tc>
        <w:tc>
          <w:tcPr>
            <w:tcW w:w="1920" w:type="dxa"/>
            <w:vAlign w:val="center"/>
          </w:tcPr>
          <w:p>
            <w:pPr>
              <w:jc w:val="center"/>
              <w:rPr>
                <w:rFonts w:ascii="Arial" w:hAnsi="Arial" w:cs="Arial"/>
                <w:szCs w:val="21"/>
              </w:rPr>
            </w:pPr>
            <w:r>
              <w:rPr>
                <w:rFonts w:ascii="Arial" w:hAnsi="Arial" w:cs="Arial"/>
                <w:szCs w:val="21"/>
              </w:rPr>
              <w:t>密封、装订要求</w:t>
            </w:r>
          </w:p>
        </w:tc>
        <w:tc>
          <w:tcPr>
            <w:tcW w:w="6530" w:type="dxa"/>
            <w:vAlign w:val="center"/>
          </w:tcPr>
          <w:p>
            <w:pPr>
              <w:rPr>
                <w:rFonts w:ascii="Arial" w:hAnsi="Arial" w:cs="Arial"/>
                <w:szCs w:val="21"/>
              </w:rPr>
            </w:pPr>
            <w:r>
              <w:rPr>
                <w:rFonts w:hint="eastAsia" w:ascii="Arial" w:hAnsi="Arial" w:cs="Aria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1" w:hRule="atLeast"/>
          <w:jc w:val="center"/>
        </w:trPr>
        <w:tc>
          <w:tcPr>
            <w:tcW w:w="645" w:type="dxa"/>
            <w:vAlign w:val="center"/>
          </w:tcPr>
          <w:p>
            <w:pPr>
              <w:jc w:val="center"/>
              <w:rPr>
                <w:rFonts w:ascii="Arial" w:hAnsi="Arial" w:cs="Arial"/>
                <w:szCs w:val="21"/>
              </w:rPr>
            </w:pPr>
            <w:r>
              <w:rPr>
                <w:rFonts w:ascii="Arial" w:hAnsi="Arial" w:cs="Arial"/>
                <w:szCs w:val="21"/>
              </w:rPr>
              <w:t>1</w:t>
            </w:r>
            <w:r>
              <w:rPr>
                <w:rFonts w:hint="eastAsia" w:ascii="Arial" w:hAnsi="Arial" w:cs="Arial"/>
                <w:szCs w:val="21"/>
              </w:rPr>
              <w:t>7</w:t>
            </w:r>
          </w:p>
        </w:tc>
        <w:tc>
          <w:tcPr>
            <w:tcW w:w="1920" w:type="dxa"/>
            <w:vAlign w:val="center"/>
          </w:tcPr>
          <w:p>
            <w:pPr>
              <w:jc w:val="center"/>
              <w:rPr>
                <w:rFonts w:ascii="Arial" w:hAnsi="Arial" w:cs="Arial"/>
                <w:szCs w:val="21"/>
              </w:rPr>
            </w:pPr>
            <w:r>
              <w:rPr>
                <w:rFonts w:ascii="Arial" w:hAnsi="Arial" w:cs="Arial"/>
                <w:szCs w:val="21"/>
              </w:rPr>
              <w:t>竞争性磋商样品</w:t>
            </w:r>
          </w:p>
        </w:tc>
        <w:tc>
          <w:tcPr>
            <w:tcW w:w="6530" w:type="dxa"/>
            <w:vAlign w:val="center"/>
          </w:tcPr>
          <w:p>
            <w:pPr>
              <w:rPr>
                <w:rFonts w:ascii="Arial" w:hAnsi="Arial" w:cs="Arial"/>
                <w:szCs w:val="21"/>
              </w:rPr>
            </w:pPr>
            <w:r>
              <w:rPr>
                <w:rFonts w:ascii="宋体" w:hAnsi="宋体"/>
                <w:szCs w:val="21"/>
              </w:rPr>
              <w:fldChar w:fldCharType="begin"/>
            </w:r>
            <w:r>
              <w:rPr>
                <w:rFonts w:hint="eastAsia" w:ascii="宋体" w:hAnsi="宋体"/>
                <w:szCs w:val="21"/>
              </w:rPr>
              <w:instrText xml:space="preserve">eq \o\ac(□,√)</w:instrText>
            </w:r>
            <w:r>
              <w:rPr>
                <w:rFonts w:ascii="宋体" w:hAnsi="宋体"/>
                <w:szCs w:val="21"/>
              </w:rPr>
              <w:fldChar w:fldCharType="end"/>
            </w:r>
            <w:r>
              <w:rPr>
                <w:rFonts w:ascii="Arial" w:hAnsi="Arial" w:cs="Arial"/>
                <w:szCs w:val="21"/>
              </w:rPr>
              <w:t>不需要</w:t>
            </w:r>
          </w:p>
          <w:p>
            <w:pPr>
              <w:rPr>
                <w:rFonts w:ascii="Arial" w:hAnsi="Arial" w:cs="Arial"/>
                <w:szCs w:val="21"/>
              </w:rPr>
            </w:pPr>
            <w:r>
              <w:rPr>
                <w:rFonts w:ascii="宋体" w:hAnsi="宋体"/>
                <w:szCs w:val="21"/>
              </w:rPr>
              <w:t>□</w:t>
            </w:r>
            <w:r>
              <w:rPr>
                <w:rFonts w:ascii="Arial" w:hAnsi="Arial" w:cs="Arial"/>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3" w:hRule="atLeast"/>
          <w:jc w:val="center"/>
        </w:trPr>
        <w:tc>
          <w:tcPr>
            <w:tcW w:w="645" w:type="dxa"/>
            <w:vAlign w:val="center"/>
          </w:tcPr>
          <w:p>
            <w:pPr>
              <w:jc w:val="center"/>
              <w:rPr>
                <w:rFonts w:ascii="Arial" w:hAnsi="Arial" w:cs="Arial"/>
                <w:szCs w:val="21"/>
              </w:rPr>
            </w:pPr>
            <w:r>
              <w:rPr>
                <w:rFonts w:ascii="Arial" w:hAnsi="Arial" w:cs="Arial"/>
                <w:szCs w:val="21"/>
              </w:rPr>
              <w:t>1</w:t>
            </w:r>
            <w:r>
              <w:rPr>
                <w:rFonts w:hint="eastAsia" w:ascii="Arial" w:hAnsi="Arial" w:cs="Arial"/>
                <w:szCs w:val="21"/>
              </w:rPr>
              <w:t>8</w:t>
            </w:r>
          </w:p>
        </w:tc>
        <w:tc>
          <w:tcPr>
            <w:tcW w:w="1920" w:type="dxa"/>
            <w:vAlign w:val="center"/>
          </w:tcPr>
          <w:p>
            <w:pPr>
              <w:jc w:val="center"/>
              <w:rPr>
                <w:rFonts w:ascii="Arial" w:hAnsi="Arial" w:cs="Arial"/>
                <w:szCs w:val="21"/>
              </w:rPr>
            </w:pPr>
            <w:r>
              <w:rPr>
                <w:rFonts w:hint="eastAsia" w:ascii="Arial" w:hAnsi="Arial" w:cs="Arial"/>
                <w:szCs w:val="21"/>
              </w:rPr>
              <w:t>投标保证金</w:t>
            </w:r>
          </w:p>
        </w:tc>
        <w:tc>
          <w:tcPr>
            <w:tcW w:w="6530" w:type="dxa"/>
            <w:vAlign w:val="center"/>
          </w:tcPr>
          <w:p>
            <w:pPr>
              <w:rPr>
                <w:rFonts w:ascii="Arial" w:hAnsi="Arial" w:cs="Arial"/>
                <w:szCs w:val="21"/>
              </w:rPr>
            </w:pPr>
            <w:r>
              <w:rPr>
                <w:rFonts w:hint="eastAsia" w:ascii="宋体" w:hAnsi="宋体" w:cs="Arial"/>
                <w:szCs w:val="21"/>
              </w:rPr>
              <w:t>不设保证金。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pPr>
              <w:jc w:val="center"/>
              <w:rPr>
                <w:rFonts w:ascii="Arial" w:hAnsi="Arial" w:cs="Arial"/>
                <w:szCs w:val="21"/>
              </w:rPr>
            </w:pPr>
            <w:r>
              <w:rPr>
                <w:rFonts w:ascii="Arial" w:hAnsi="Arial" w:cs="Arial"/>
                <w:szCs w:val="21"/>
              </w:rPr>
              <w:t>1</w:t>
            </w:r>
            <w:r>
              <w:rPr>
                <w:rFonts w:hint="eastAsia" w:ascii="Arial" w:hAnsi="Arial" w:cs="Arial"/>
                <w:szCs w:val="21"/>
              </w:rPr>
              <w:t>9</w:t>
            </w:r>
          </w:p>
        </w:tc>
        <w:tc>
          <w:tcPr>
            <w:tcW w:w="1920" w:type="dxa"/>
            <w:vAlign w:val="center"/>
          </w:tcPr>
          <w:p>
            <w:pPr>
              <w:adjustRightInd w:val="0"/>
              <w:jc w:val="center"/>
              <w:rPr>
                <w:rFonts w:ascii="Arial" w:hAnsi="Arial" w:cs="Arial"/>
                <w:szCs w:val="21"/>
              </w:rPr>
            </w:pPr>
            <w:r>
              <w:rPr>
                <w:rFonts w:ascii="Arial" w:hAnsi="Arial" w:cs="Arial"/>
                <w:szCs w:val="21"/>
              </w:rPr>
              <w:t>履约担保</w:t>
            </w:r>
          </w:p>
        </w:tc>
        <w:tc>
          <w:tcPr>
            <w:tcW w:w="6530" w:type="dxa"/>
            <w:vAlign w:val="center"/>
          </w:tcPr>
          <w:p>
            <w:pPr>
              <w:rPr>
                <w:rFonts w:ascii="Arial" w:hAnsi="Arial" w:cs="Arial"/>
                <w:szCs w:val="21"/>
              </w:rPr>
            </w:pPr>
            <w:r>
              <w:rPr>
                <w:rFonts w:ascii="宋体" w:hAnsi="宋体"/>
                <w:b/>
                <w:bCs/>
                <w:szCs w:val="21"/>
              </w:rPr>
              <w:fldChar w:fldCharType="begin"/>
            </w:r>
            <w:r>
              <w:rPr>
                <w:rFonts w:hint="eastAsia" w:ascii="宋体" w:hAnsi="宋体"/>
                <w:b/>
                <w:bCs/>
                <w:szCs w:val="21"/>
              </w:rPr>
              <w:instrText xml:space="preserve">eq \o\ac(□,</w:instrText>
            </w:r>
            <w:r>
              <w:rPr>
                <w:rFonts w:hint="eastAsia" w:ascii="宋体" w:hAnsi="宋体"/>
                <w:b/>
                <w:bCs/>
                <w:position w:val="2"/>
                <w:sz w:val="13"/>
                <w:szCs w:val="21"/>
              </w:rPr>
              <w:instrText xml:space="preserve">√</w:instrText>
            </w:r>
            <w:r>
              <w:rPr>
                <w:rFonts w:hint="eastAsia" w:ascii="宋体" w:hAnsi="宋体"/>
                <w:b/>
                <w:bCs/>
                <w:szCs w:val="21"/>
              </w:rPr>
              <w:instrText xml:space="preserve">)</w:instrText>
            </w:r>
            <w:r>
              <w:rPr>
                <w:rFonts w:ascii="宋体" w:hAnsi="宋体"/>
                <w:b/>
                <w:bCs/>
                <w:szCs w:val="21"/>
              </w:rPr>
              <w:fldChar w:fldCharType="end"/>
            </w:r>
            <w:r>
              <w:rPr>
                <w:rFonts w:ascii="Arial" w:hAnsi="Arial" w:cs="Arial"/>
                <w:szCs w:val="21"/>
              </w:rPr>
              <w:t>不需要</w:t>
            </w:r>
          </w:p>
          <w:p>
            <w:pPr>
              <w:adjustRightInd w:val="0"/>
              <w:rPr>
                <w:rFonts w:ascii="Arial" w:hAnsi="Arial" w:cs="Arial"/>
                <w:szCs w:val="21"/>
              </w:rPr>
            </w:pPr>
            <w:r>
              <w:rPr>
                <w:rFonts w:ascii="宋体" w:hAnsi="宋体"/>
                <w:b/>
                <w:bCs/>
                <w:szCs w:val="21"/>
              </w:rPr>
              <w:fldChar w:fldCharType="begin"/>
            </w:r>
            <w:r>
              <w:rPr>
                <w:rFonts w:hint="eastAsia" w:ascii="宋体" w:hAnsi="宋体"/>
                <w:b/>
                <w:bCs/>
                <w:szCs w:val="21"/>
              </w:rPr>
              <w:instrText xml:space="preserve">eq \o\ac(□)</w:instrText>
            </w:r>
            <w:r>
              <w:rPr>
                <w:rFonts w:ascii="宋体" w:hAnsi="宋体"/>
                <w:b/>
                <w:bCs/>
                <w:szCs w:val="21"/>
              </w:rPr>
              <w:fldChar w:fldCharType="end"/>
            </w:r>
            <w:r>
              <w:rPr>
                <w:rFonts w:ascii="Arial" w:hAnsi="Arial" w:cs="Arial"/>
                <w:szCs w:val="21"/>
              </w:rPr>
              <w:t>需要</w:t>
            </w:r>
            <w:r>
              <w:rPr>
                <w:rFonts w:hint="eastAsia" w:ascii="Arial" w:hAnsi="Arial" w:cs="Arial"/>
                <w:szCs w:val="21"/>
              </w:rPr>
              <w:t>同</w:t>
            </w:r>
            <w:r>
              <w:rPr>
                <w:rFonts w:ascii="Arial" w:hAnsi="Arial" w:cs="Arial"/>
                <w:szCs w:val="21"/>
              </w:rPr>
              <w:t>采购人缴纳</w:t>
            </w:r>
            <w:r>
              <w:rPr>
                <w:rFonts w:hint="eastAsia" w:ascii="Arial" w:hAnsi="Arial" w:cs="Arial"/>
                <w:szCs w:val="21"/>
              </w:rPr>
              <w:t>人民币</w:t>
            </w:r>
            <w:r>
              <w:rPr>
                <w:rFonts w:hint="eastAsia" w:ascii="Arial" w:hAnsi="Arial" w:cs="Arial"/>
                <w:b/>
                <w:szCs w:val="21"/>
                <w:u w:val="single"/>
              </w:rPr>
              <w:t xml:space="preserve">   /   </w:t>
            </w:r>
            <w:r>
              <w:rPr>
                <w:rFonts w:hint="eastAsia" w:ascii="Arial" w:hAnsi="Arial" w:cs="Arial"/>
                <w:szCs w:val="21"/>
              </w:rPr>
              <w:t>的</w:t>
            </w:r>
            <w:r>
              <w:rPr>
                <w:rFonts w:ascii="Arial" w:hAnsi="Arial" w:cs="Arial"/>
                <w:szCs w:val="21"/>
              </w:rPr>
              <w:t>履约保证金</w:t>
            </w:r>
            <w:r>
              <w:rPr>
                <w:rFonts w:hint="eastAsia" w:ascii="Arial" w:hAnsi="Arial" w:cs="Arial"/>
                <w:szCs w:val="21"/>
              </w:rPr>
              <w:t>（现金或银行保函），在项目服务期满后7个工作日内无息退还。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pPr>
              <w:jc w:val="center"/>
              <w:rPr>
                <w:rFonts w:ascii="Arial" w:hAnsi="Arial" w:cs="Arial"/>
                <w:szCs w:val="21"/>
              </w:rPr>
            </w:pPr>
            <w:r>
              <w:rPr>
                <w:rFonts w:hint="eastAsia" w:ascii="Arial" w:hAnsi="Arial" w:cs="Arial"/>
                <w:szCs w:val="21"/>
              </w:rPr>
              <w:t>20</w:t>
            </w:r>
          </w:p>
        </w:tc>
        <w:tc>
          <w:tcPr>
            <w:tcW w:w="1920" w:type="dxa"/>
            <w:vAlign w:val="center"/>
          </w:tcPr>
          <w:p>
            <w:pPr>
              <w:jc w:val="center"/>
              <w:rPr>
                <w:rFonts w:ascii="Arial" w:hAnsi="Arial" w:cs="Arial"/>
                <w:szCs w:val="21"/>
              </w:rPr>
            </w:pPr>
            <w:r>
              <w:rPr>
                <w:rFonts w:ascii="Arial" w:hAnsi="Arial" w:cs="Arial"/>
                <w:szCs w:val="21"/>
              </w:rPr>
              <w:t>竞争性磋商</w:t>
            </w:r>
            <w:r>
              <w:rPr>
                <w:rFonts w:hint="eastAsia" w:ascii="Arial" w:hAnsi="Arial" w:cs="Arial"/>
                <w:szCs w:val="21"/>
              </w:rPr>
              <w:t>报名</w:t>
            </w:r>
            <w:r>
              <w:rPr>
                <w:rFonts w:ascii="Arial" w:hAnsi="Arial" w:cs="Arial"/>
                <w:szCs w:val="21"/>
              </w:rPr>
              <w:t>时间及获取方式</w:t>
            </w:r>
          </w:p>
        </w:tc>
        <w:tc>
          <w:tcPr>
            <w:tcW w:w="6530" w:type="dxa"/>
            <w:vAlign w:val="center"/>
          </w:tcPr>
          <w:p>
            <w:pPr>
              <w:rPr>
                <w:rFonts w:ascii="Arial" w:hAnsi="Arial" w:cs="Arial"/>
                <w:szCs w:val="21"/>
              </w:rPr>
            </w:pPr>
            <w:r>
              <w:rPr>
                <w:rFonts w:ascii="Arial" w:hAnsi="Arial" w:cs="Arial"/>
                <w:szCs w:val="21"/>
              </w:rPr>
              <w:t>竞争性磋商</w:t>
            </w:r>
            <w:r>
              <w:rPr>
                <w:rFonts w:hint="eastAsia" w:ascii="Arial" w:hAnsi="Arial" w:cs="Arial"/>
                <w:szCs w:val="21"/>
              </w:rPr>
              <w:t>报名</w:t>
            </w:r>
            <w:r>
              <w:rPr>
                <w:rFonts w:ascii="Arial" w:hAnsi="Arial" w:cs="Arial"/>
                <w:szCs w:val="21"/>
              </w:rPr>
              <w:t>时间</w:t>
            </w:r>
            <w:r>
              <w:rPr>
                <w:rFonts w:hint="eastAsia" w:ascii="Arial" w:hAnsi="Arial" w:cs="Arial"/>
                <w:szCs w:val="21"/>
              </w:rPr>
              <w:t>：</w:t>
            </w:r>
            <w:r>
              <w:rPr>
                <w:rFonts w:ascii="Arial" w:hAnsi="Arial" w:cs="Arial"/>
                <w:szCs w:val="21"/>
              </w:rPr>
              <w:t>磋商公告发布之日起至</w:t>
            </w:r>
            <w:r>
              <w:rPr>
                <w:rFonts w:hint="eastAsia" w:ascii="Arial" w:hAnsi="Arial" w:cs="Arial"/>
                <w:szCs w:val="21"/>
              </w:rPr>
              <w:t>投标截止时间；</w:t>
            </w:r>
          </w:p>
          <w:p>
            <w:pPr>
              <w:rPr>
                <w:rFonts w:ascii="Arial" w:hAnsi="Arial" w:cs="Arial"/>
                <w:szCs w:val="21"/>
              </w:rPr>
            </w:pPr>
            <w:r>
              <w:rPr>
                <w:rFonts w:ascii="Arial" w:hAnsi="Arial" w:cs="Arial"/>
                <w:szCs w:val="21"/>
              </w:rPr>
              <w:t>获取方式</w:t>
            </w:r>
            <w:r>
              <w:rPr>
                <w:rFonts w:hint="eastAsia" w:ascii="Arial" w:hAnsi="Arial" w:cs="Arial"/>
                <w:szCs w:val="21"/>
              </w:rPr>
              <w:t>：在线下载获取。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pPr>
              <w:jc w:val="center"/>
              <w:rPr>
                <w:rFonts w:ascii="Arial" w:hAnsi="Arial" w:cs="Arial"/>
                <w:szCs w:val="21"/>
              </w:rPr>
            </w:pPr>
            <w:r>
              <w:rPr>
                <w:rFonts w:hint="eastAsia" w:ascii="Arial" w:hAnsi="Arial" w:cs="Arial"/>
                <w:szCs w:val="21"/>
              </w:rPr>
              <w:t>21</w:t>
            </w:r>
          </w:p>
        </w:tc>
        <w:tc>
          <w:tcPr>
            <w:tcW w:w="1920" w:type="dxa"/>
            <w:vAlign w:val="center"/>
          </w:tcPr>
          <w:p>
            <w:pPr>
              <w:spacing w:line="276" w:lineRule="auto"/>
              <w:jc w:val="center"/>
              <w:rPr>
                <w:rFonts w:ascii="Arial" w:hAnsi="Arial" w:cs="Arial"/>
                <w:szCs w:val="21"/>
              </w:rPr>
            </w:pPr>
            <w:r>
              <w:rPr>
                <w:rFonts w:hint="eastAsia" w:ascii="宋体" w:hAnsi="宋体"/>
                <w:szCs w:val="21"/>
              </w:rPr>
              <w:t>竞争性磋商响应文件递交方式及截止时间</w:t>
            </w:r>
          </w:p>
        </w:tc>
        <w:tc>
          <w:tcPr>
            <w:tcW w:w="6530" w:type="dxa"/>
            <w:vAlign w:val="center"/>
          </w:tcPr>
          <w:p>
            <w:pPr>
              <w:spacing w:line="360" w:lineRule="auto"/>
              <w:rPr>
                <w:rFonts w:ascii="Arial" w:hAnsi="Arial" w:cs="Arial"/>
                <w:b/>
                <w:szCs w:val="21"/>
              </w:rPr>
            </w:pPr>
            <w:r>
              <w:rPr>
                <w:rFonts w:hint="eastAsia" w:ascii="宋体" w:hAnsi="宋体"/>
                <w:szCs w:val="21"/>
              </w:rPr>
              <w:t>竞争性磋商响应文件递交方式：</w:t>
            </w:r>
            <w:r>
              <w:rPr>
                <w:rFonts w:hint="eastAsia" w:ascii="宋体" w:hAnsi="宋体" w:cs="Arial"/>
                <w:szCs w:val="21"/>
                <w:u w:val="single"/>
              </w:rPr>
              <w:t>通过“政府采购云平台</w:t>
            </w:r>
            <w:r>
              <w:rPr>
                <w:rFonts w:ascii="宋体" w:hAnsi="宋体" w:cs="Arial"/>
                <w:szCs w:val="21"/>
                <w:u w:val="single"/>
              </w:rPr>
              <w:t>”</w:t>
            </w:r>
            <w:r>
              <w:rPr>
                <w:rFonts w:hint="eastAsia" w:ascii="宋体" w:hAnsi="宋体" w:cs="Arial"/>
                <w:szCs w:val="21"/>
                <w:u w:val="single"/>
              </w:rPr>
              <w:t>实行在线投标响应</w:t>
            </w:r>
            <w:r>
              <w:rPr>
                <w:rFonts w:hint="eastAsia" w:ascii="Arial" w:hAnsi="Arial" w:cs="Arial"/>
                <w:szCs w:val="21"/>
              </w:rPr>
              <w:t>。截止上传时间：</w:t>
            </w:r>
            <w:r>
              <w:rPr>
                <w:rFonts w:hint="eastAsia" w:ascii="Arial" w:hAnsi="Arial" w:cs="Arial"/>
                <w:b/>
                <w:szCs w:val="21"/>
              </w:rPr>
              <w:t>2022年</w:t>
            </w:r>
            <w:r>
              <w:rPr>
                <w:rFonts w:hint="eastAsia" w:ascii="Arial" w:hAnsi="Arial" w:cs="Arial"/>
                <w:b/>
                <w:szCs w:val="21"/>
                <w:lang w:val="en-US" w:eastAsia="zh-CN"/>
              </w:rPr>
              <w:t>11</w:t>
            </w:r>
            <w:r>
              <w:rPr>
                <w:rFonts w:hint="eastAsia" w:ascii="Arial" w:hAnsi="Arial" w:cs="Arial"/>
                <w:b/>
                <w:szCs w:val="21"/>
              </w:rPr>
              <w:t>月</w:t>
            </w:r>
            <w:r>
              <w:rPr>
                <w:rFonts w:hint="eastAsia" w:ascii="Arial" w:hAnsi="Arial" w:cs="Arial"/>
                <w:b/>
                <w:szCs w:val="21"/>
                <w:lang w:val="en-US" w:eastAsia="zh-CN"/>
              </w:rPr>
              <w:t>18</w:t>
            </w:r>
            <w:r>
              <w:rPr>
                <w:rFonts w:hint="eastAsia" w:ascii="Arial" w:hAnsi="Arial" w:cs="Arial"/>
                <w:b/>
                <w:szCs w:val="21"/>
              </w:rPr>
              <w:t>日14:00；</w:t>
            </w:r>
          </w:p>
          <w:p>
            <w:pPr>
              <w:rPr>
                <w:szCs w:val="21"/>
              </w:rPr>
            </w:pPr>
            <w:r>
              <w:rPr>
                <w:rFonts w:hint="eastAsia"/>
                <w:szCs w:val="21"/>
              </w:rPr>
              <w:t>“电子加密投标文件”的上传、递交：</w:t>
            </w:r>
          </w:p>
          <w:p>
            <w:pPr>
              <w:rPr>
                <w:szCs w:val="21"/>
              </w:rPr>
            </w:pPr>
            <w:r>
              <w:rPr>
                <w:szCs w:val="21"/>
              </w:rPr>
              <w:t>（1）</w:t>
            </w:r>
            <w:r>
              <w:rPr>
                <w:rFonts w:hint="eastAsia"/>
                <w:szCs w:val="21"/>
              </w:rPr>
              <w:t>投标供应商应在投标截止时间前将“电子加密投标文件”成功上传递交至“政府采购云平台”，否则投标无效。</w:t>
            </w:r>
          </w:p>
          <w:p>
            <w:pPr>
              <w:rPr>
                <w:rFonts w:ascii="Arial" w:hAnsi="Arial" w:cs="Arial"/>
                <w:b/>
                <w:szCs w:val="21"/>
              </w:rPr>
            </w:pPr>
            <w:r>
              <w:rPr>
                <w:szCs w:val="21"/>
              </w:rPr>
              <w:t>（2）</w:t>
            </w:r>
            <w:r>
              <w:rPr>
                <w:rFonts w:hint="eastAsia"/>
                <w:szCs w:val="21"/>
              </w:rPr>
              <w:t>“电子加密投标文件”成功上传递交后，供应商可自行打印投标文件接收回执。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pPr>
              <w:jc w:val="center"/>
              <w:rPr>
                <w:rFonts w:ascii="Arial" w:hAnsi="Arial" w:cs="Arial"/>
                <w:szCs w:val="21"/>
              </w:rPr>
            </w:pPr>
            <w:r>
              <w:rPr>
                <w:rFonts w:hint="eastAsia" w:ascii="Arial" w:hAnsi="Arial" w:cs="Arial"/>
                <w:szCs w:val="21"/>
              </w:rPr>
              <w:t>22</w:t>
            </w:r>
          </w:p>
        </w:tc>
        <w:tc>
          <w:tcPr>
            <w:tcW w:w="1920" w:type="dxa"/>
            <w:vAlign w:val="center"/>
          </w:tcPr>
          <w:p>
            <w:pPr>
              <w:jc w:val="center"/>
              <w:rPr>
                <w:rFonts w:ascii="Arial" w:hAnsi="Arial" w:cs="Arial"/>
                <w:szCs w:val="21"/>
              </w:rPr>
            </w:pPr>
            <w:r>
              <w:rPr>
                <w:rFonts w:ascii="Arial" w:hAnsi="Arial" w:cs="Arial"/>
                <w:szCs w:val="21"/>
              </w:rPr>
              <w:t>竞争性磋商开始时间</w:t>
            </w:r>
          </w:p>
          <w:p>
            <w:pPr>
              <w:jc w:val="center"/>
              <w:rPr>
                <w:rFonts w:ascii="Arial" w:hAnsi="Arial" w:cs="Arial"/>
                <w:szCs w:val="21"/>
              </w:rPr>
            </w:pPr>
            <w:r>
              <w:rPr>
                <w:rFonts w:ascii="Arial" w:hAnsi="Arial" w:cs="Arial"/>
                <w:szCs w:val="21"/>
              </w:rPr>
              <w:t>竞争性磋商地点</w:t>
            </w:r>
          </w:p>
        </w:tc>
        <w:tc>
          <w:tcPr>
            <w:tcW w:w="6530" w:type="dxa"/>
            <w:vAlign w:val="center"/>
          </w:tcPr>
          <w:p>
            <w:pPr>
              <w:rPr>
                <w:rFonts w:ascii="Arial" w:hAnsi="Arial" w:cs="Arial"/>
                <w:szCs w:val="21"/>
              </w:rPr>
            </w:pPr>
            <w:r>
              <w:rPr>
                <w:rFonts w:ascii="Arial" w:hAnsi="Arial" w:cs="Arial"/>
                <w:szCs w:val="21"/>
              </w:rPr>
              <w:t>竞争性磋商开始时间：</w:t>
            </w:r>
            <w:r>
              <w:rPr>
                <w:rFonts w:hint="eastAsia" w:ascii="Arial" w:hAnsi="Arial" w:cs="Arial"/>
                <w:b/>
                <w:szCs w:val="21"/>
              </w:rPr>
              <w:t>2022年</w:t>
            </w:r>
            <w:r>
              <w:rPr>
                <w:rFonts w:hint="eastAsia" w:ascii="Arial" w:hAnsi="Arial" w:cs="Arial"/>
                <w:b/>
                <w:szCs w:val="21"/>
                <w:lang w:val="en-US" w:eastAsia="zh-CN"/>
              </w:rPr>
              <w:t>11</w:t>
            </w:r>
            <w:r>
              <w:rPr>
                <w:rFonts w:hint="eastAsia" w:ascii="Arial" w:hAnsi="Arial" w:cs="Arial"/>
                <w:b/>
                <w:szCs w:val="21"/>
              </w:rPr>
              <w:t>月</w:t>
            </w:r>
            <w:r>
              <w:rPr>
                <w:rFonts w:hint="eastAsia" w:ascii="Arial" w:hAnsi="Arial" w:cs="Arial"/>
                <w:b/>
                <w:szCs w:val="21"/>
                <w:lang w:val="en-US" w:eastAsia="zh-CN"/>
              </w:rPr>
              <w:t>18</w:t>
            </w:r>
            <w:r>
              <w:rPr>
                <w:rFonts w:hint="eastAsia" w:ascii="Arial" w:hAnsi="Arial" w:cs="Arial"/>
                <w:b/>
                <w:szCs w:val="21"/>
              </w:rPr>
              <w:t xml:space="preserve">日14:00 </w:t>
            </w:r>
            <w:r>
              <w:rPr>
                <w:rFonts w:ascii="Arial" w:hAnsi="Arial" w:cs="Arial"/>
                <w:szCs w:val="21"/>
              </w:rPr>
              <w:t>(北京时间)</w:t>
            </w:r>
          </w:p>
          <w:p>
            <w:pPr>
              <w:rPr>
                <w:rFonts w:ascii="Arial" w:hAnsi="Arial" w:cs="Arial"/>
                <w:szCs w:val="21"/>
              </w:rPr>
            </w:pPr>
            <w:r>
              <w:rPr>
                <w:rFonts w:ascii="Arial" w:hAnsi="Arial" w:cs="Arial"/>
                <w:szCs w:val="21"/>
              </w:rPr>
              <w:t>竞争性磋商地点：</w:t>
            </w:r>
            <w:r>
              <w:rPr>
                <w:rFonts w:hint="eastAsia" w:ascii="Arial" w:hAnsi="Arial" w:cs="Arial"/>
                <w:szCs w:val="21"/>
              </w:rPr>
              <w:t>浙江中望工程管理有限公司（</w:t>
            </w:r>
            <w:r>
              <w:rPr>
                <w:rFonts w:ascii="Arial" w:hAnsi="Arial" w:cs="Arial"/>
                <w:szCs w:val="21"/>
              </w:rPr>
              <w:t>海盐县武原街道温州大厦A座七楼会议室</w:t>
            </w:r>
            <w:r>
              <w:rPr>
                <w:rFonts w:hint="eastAsia" w:ascii="Arial" w:hAnsi="Arial" w:cs="Aria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645" w:type="dxa"/>
            <w:vAlign w:val="center"/>
          </w:tcPr>
          <w:p>
            <w:pPr>
              <w:jc w:val="center"/>
              <w:rPr>
                <w:rFonts w:ascii="Arial" w:hAnsi="Arial" w:cs="Arial"/>
                <w:szCs w:val="21"/>
              </w:rPr>
            </w:pPr>
            <w:r>
              <w:rPr>
                <w:rFonts w:ascii="Arial" w:hAnsi="Arial" w:cs="Arial"/>
                <w:szCs w:val="21"/>
              </w:rPr>
              <w:t>2</w:t>
            </w:r>
            <w:r>
              <w:rPr>
                <w:rFonts w:hint="eastAsia" w:ascii="Arial" w:hAnsi="Arial" w:cs="Arial"/>
                <w:szCs w:val="21"/>
              </w:rPr>
              <w:t>3</w:t>
            </w:r>
          </w:p>
        </w:tc>
        <w:tc>
          <w:tcPr>
            <w:tcW w:w="1920" w:type="dxa"/>
            <w:vAlign w:val="center"/>
          </w:tcPr>
          <w:p>
            <w:pPr>
              <w:jc w:val="center"/>
              <w:rPr>
                <w:rFonts w:ascii="Arial" w:hAnsi="Arial" w:cs="Arial"/>
                <w:szCs w:val="21"/>
              </w:rPr>
            </w:pPr>
            <w:r>
              <w:rPr>
                <w:rFonts w:ascii="Arial" w:hAnsi="Arial" w:cs="Arial"/>
                <w:szCs w:val="21"/>
              </w:rPr>
              <w:t>竞争性磋商</w:t>
            </w:r>
          </w:p>
          <w:p>
            <w:pPr>
              <w:jc w:val="center"/>
              <w:rPr>
                <w:rFonts w:ascii="Arial" w:hAnsi="Arial" w:cs="Arial"/>
                <w:szCs w:val="21"/>
              </w:rPr>
            </w:pPr>
            <w:r>
              <w:rPr>
                <w:rFonts w:ascii="Arial" w:hAnsi="Arial" w:cs="Arial"/>
                <w:szCs w:val="21"/>
              </w:rPr>
              <w:t>开标程序</w:t>
            </w:r>
          </w:p>
        </w:tc>
        <w:tc>
          <w:tcPr>
            <w:tcW w:w="6530" w:type="dxa"/>
            <w:vAlign w:val="center"/>
          </w:tcPr>
          <w:p>
            <w:pPr>
              <w:rPr>
                <w:szCs w:val="21"/>
              </w:rPr>
            </w:pPr>
            <w:r>
              <w:rPr>
                <w:rFonts w:hint="eastAsia"/>
                <w:szCs w:val="21"/>
              </w:rPr>
              <w:t>（1）开标后，采购组织机构将向各投标供应商发出“电子加密投标文件”的解密通知，各投标供应商代表应当在接到解密通知后30分钟内自行完成“电子加密投标文件”的在线解密。</w:t>
            </w:r>
          </w:p>
          <w:p>
            <w:pPr>
              <w:rPr>
                <w:szCs w:val="21"/>
              </w:rPr>
            </w:pPr>
            <w:r>
              <w:rPr>
                <w:rFonts w:hint="eastAsia"/>
                <w:szCs w:val="21"/>
              </w:rPr>
              <w:t>（2）通过“政府采购云平台”成功上传递交的“电子加密投标文件”无法按时解密，投标供应商如按规定递交了“备份投标文件存储的数据电文”的，以“备份投标文件存储的数据电文”为依据（由采购组织机构按“政府采购云平台”操作规范将“备份投标文件.bfbs”上传至“政府采购云平台”，上传成功后，“电子加密投标文件”自动失效），否则视为投标文件撤回。</w:t>
            </w:r>
          </w:p>
          <w:p>
            <w:pPr>
              <w:rPr>
                <w:szCs w:val="21"/>
              </w:rPr>
            </w:pPr>
            <w:r>
              <w:rPr>
                <w:rFonts w:hint="eastAsia"/>
                <w:szCs w:val="21"/>
              </w:rPr>
              <w:t>（3）投标截止时间前，投标供应商仅递交了“备份投标文件”而未将电子加密投标文件上传至“政府采购云平台”的，投标无效。</w:t>
            </w:r>
          </w:p>
          <w:p>
            <w:pPr>
              <w:rPr>
                <w:rFonts w:ascii="Arial" w:hAnsi="Arial" w:cs="Arial"/>
                <w:szCs w:val="21"/>
              </w:rPr>
            </w:pPr>
            <w:r>
              <w:rPr>
                <w:rFonts w:hint="eastAsia"/>
                <w:szCs w:val="21"/>
              </w:rPr>
              <w:t>（4）投标截止时间前，投标供应商未递交“备份投标文件”而将电子加密投标文件上传至“政府采购云平台”并成功解密的，投标有效。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vAlign w:val="center"/>
          </w:tcPr>
          <w:p>
            <w:pPr>
              <w:jc w:val="center"/>
              <w:rPr>
                <w:rFonts w:ascii="Arial" w:hAnsi="Arial" w:cs="Arial"/>
                <w:szCs w:val="21"/>
              </w:rPr>
            </w:pPr>
            <w:r>
              <w:rPr>
                <w:rFonts w:ascii="Arial" w:hAnsi="Arial" w:cs="Arial"/>
                <w:szCs w:val="21"/>
              </w:rPr>
              <w:t>2</w:t>
            </w:r>
            <w:r>
              <w:rPr>
                <w:rFonts w:hint="eastAsia" w:ascii="Arial" w:hAnsi="Arial" w:cs="Arial"/>
                <w:szCs w:val="21"/>
              </w:rPr>
              <w:t>4</w:t>
            </w:r>
          </w:p>
        </w:tc>
        <w:tc>
          <w:tcPr>
            <w:tcW w:w="1920" w:type="dxa"/>
            <w:vAlign w:val="center"/>
          </w:tcPr>
          <w:p>
            <w:pPr>
              <w:jc w:val="center"/>
              <w:rPr>
                <w:rFonts w:ascii="Arial" w:hAnsi="Arial" w:cs="Arial"/>
                <w:szCs w:val="21"/>
              </w:rPr>
            </w:pPr>
            <w:r>
              <w:rPr>
                <w:rFonts w:ascii="Arial" w:hAnsi="Arial" w:cs="Arial"/>
                <w:szCs w:val="21"/>
              </w:rPr>
              <w:t>竞争性磋商小组的组建</w:t>
            </w:r>
          </w:p>
        </w:tc>
        <w:tc>
          <w:tcPr>
            <w:tcW w:w="6530" w:type="dxa"/>
            <w:vAlign w:val="center"/>
          </w:tcPr>
          <w:p>
            <w:pPr>
              <w:rPr>
                <w:rFonts w:ascii="Arial" w:hAnsi="Arial" w:cs="Arial"/>
                <w:szCs w:val="21"/>
              </w:rPr>
            </w:pPr>
            <w:r>
              <w:rPr>
                <w:rFonts w:ascii="Arial" w:hAnsi="Arial" w:cs="Arial"/>
                <w:szCs w:val="21"/>
              </w:rPr>
              <w:t>竞争性磋商小组的构成：由采购人代表</w:t>
            </w:r>
            <w:r>
              <w:rPr>
                <w:rFonts w:hint="eastAsia" w:ascii="Arial" w:hAnsi="Arial" w:cs="Arial"/>
                <w:szCs w:val="21"/>
              </w:rPr>
              <w:t>1名</w:t>
            </w:r>
            <w:r>
              <w:rPr>
                <w:rFonts w:ascii="Arial" w:hAnsi="Arial" w:cs="Arial"/>
                <w:szCs w:val="21"/>
              </w:rPr>
              <w:t>以及有关技术、经济等方面的专家2</w:t>
            </w:r>
            <w:r>
              <w:rPr>
                <w:rFonts w:hint="eastAsia" w:ascii="Arial" w:hAnsi="Arial" w:cs="Arial"/>
                <w:szCs w:val="21"/>
              </w:rPr>
              <w:t>名，共</w:t>
            </w:r>
            <w:r>
              <w:rPr>
                <w:rFonts w:ascii="Arial" w:hAnsi="Arial" w:cs="Arial"/>
                <w:szCs w:val="21"/>
              </w:rPr>
              <w:t>3</w:t>
            </w:r>
            <w:r>
              <w:rPr>
                <w:rFonts w:hint="eastAsia" w:ascii="Arial" w:hAnsi="Arial" w:cs="Arial"/>
                <w:szCs w:val="21"/>
              </w:rPr>
              <w:t>人</w:t>
            </w:r>
            <w:r>
              <w:rPr>
                <w:rFonts w:ascii="Arial" w:hAnsi="Arial" w:cs="Arial"/>
                <w:szCs w:val="21"/>
              </w:rPr>
              <w:t>组成；</w:t>
            </w:r>
          </w:p>
          <w:p>
            <w:pPr>
              <w:rPr>
                <w:rFonts w:ascii="Arial" w:hAnsi="Arial" w:cs="Arial"/>
                <w:szCs w:val="21"/>
              </w:rPr>
            </w:pPr>
            <w:r>
              <w:rPr>
                <w:rFonts w:ascii="Arial" w:hAnsi="Arial" w:cs="Arial"/>
                <w:szCs w:val="21"/>
              </w:rPr>
              <w:t>评审专家确定方式：按相关规定</w:t>
            </w:r>
            <w:r>
              <w:rPr>
                <w:rFonts w:hint="eastAsia" w:ascii="Arial" w:hAnsi="Arial" w:cs="Arial"/>
                <w:szCs w:val="21"/>
              </w:rPr>
              <w:t>执行</w:t>
            </w:r>
            <w:r>
              <w:rPr>
                <w:rFonts w:ascii="Arial" w:hAnsi="Arial" w:cs="Aria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45" w:type="dxa"/>
            <w:vAlign w:val="center"/>
          </w:tcPr>
          <w:p>
            <w:pPr>
              <w:jc w:val="center"/>
              <w:rPr>
                <w:rFonts w:ascii="Arial" w:hAnsi="Arial" w:cs="Arial"/>
                <w:szCs w:val="21"/>
              </w:rPr>
            </w:pPr>
            <w:r>
              <w:rPr>
                <w:rFonts w:ascii="Arial" w:hAnsi="Arial" w:cs="Arial"/>
                <w:szCs w:val="21"/>
              </w:rPr>
              <w:t>2</w:t>
            </w:r>
            <w:r>
              <w:rPr>
                <w:rFonts w:hint="eastAsia" w:ascii="Arial" w:hAnsi="Arial" w:cs="Arial"/>
                <w:szCs w:val="21"/>
              </w:rPr>
              <w:t>5</w:t>
            </w:r>
          </w:p>
        </w:tc>
        <w:tc>
          <w:tcPr>
            <w:tcW w:w="1920" w:type="dxa"/>
            <w:vAlign w:val="center"/>
          </w:tcPr>
          <w:p>
            <w:pPr>
              <w:jc w:val="center"/>
              <w:rPr>
                <w:rFonts w:ascii="Arial" w:hAnsi="Arial" w:cs="Arial"/>
                <w:szCs w:val="21"/>
              </w:rPr>
            </w:pPr>
            <w:r>
              <w:rPr>
                <w:rFonts w:hint="eastAsia" w:ascii="Arial" w:hAnsi="Arial" w:cs="Arial"/>
                <w:szCs w:val="21"/>
              </w:rPr>
              <w:t>质疑</w:t>
            </w:r>
          </w:p>
        </w:tc>
        <w:tc>
          <w:tcPr>
            <w:tcW w:w="6530" w:type="dxa"/>
            <w:vAlign w:val="center"/>
          </w:tcPr>
          <w:p>
            <w:pPr>
              <w:rPr>
                <w:rFonts w:ascii="Arial" w:hAnsi="Arial" w:cs="Arial"/>
                <w:szCs w:val="21"/>
              </w:rPr>
            </w:pPr>
            <w:r>
              <w:rPr>
                <w:rFonts w:hint="eastAsia" w:ascii="Arial" w:hAnsi="Arial" w:cs="Arial"/>
                <w:szCs w:val="21"/>
              </w:rPr>
              <w:t>供应商认为磋商文件、磋商过程和成交、成交结果使自己的权益受到损害的，可以在知道或者应知其权益受到损害之日起七个工作日内，以书面形式向采购人、采购代理机构提出质疑。</w:t>
            </w:r>
          </w:p>
          <w:p>
            <w:pPr>
              <w:rPr>
                <w:rFonts w:ascii="Arial" w:hAnsi="Arial" w:cs="Arial"/>
                <w:szCs w:val="21"/>
              </w:rPr>
            </w:pPr>
            <w:r>
              <w:rPr>
                <w:rFonts w:hint="eastAsia" w:ascii="Arial" w:hAnsi="Arial" w:cs="Arial"/>
                <w:szCs w:val="21"/>
              </w:rPr>
              <w:t>（一）对可以质疑的磋商文件提出质疑的，为收到磋商文件之日或者磋商文件公告期限届满之日；</w:t>
            </w:r>
          </w:p>
          <w:p>
            <w:pPr>
              <w:rPr>
                <w:rFonts w:ascii="Arial" w:hAnsi="Arial" w:cs="Arial"/>
                <w:szCs w:val="21"/>
              </w:rPr>
            </w:pPr>
            <w:r>
              <w:rPr>
                <w:rFonts w:hint="eastAsia" w:ascii="Arial" w:hAnsi="Arial" w:cs="Arial"/>
                <w:szCs w:val="21"/>
              </w:rPr>
              <w:t>（二）对采购过程提出质疑的，为各采购程序环节结束之日；</w:t>
            </w:r>
          </w:p>
          <w:p>
            <w:pPr>
              <w:rPr>
                <w:rFonts w:ascii="Arial" w:hAnsi="Arial" w:cs="Arial"/>
                <w:szCs w:val="21"/>
              </w:rPr>
            </w:pPr>
            <w:r>
              <w:rPr>
                <w:rFonts w:hint="eastAsia" w:ascii="Arial" w:hAnsi="Arial" w:cs="Arial"/>
                <w:szCs w:val="21"/>
              </w:rPr>
              <w:t>（三）对成交结果提出质疑的，为成交结果公告期限届满之日。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27</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投诉</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ascii="Arial" w:hAnsi="Arial" w:cs="Arial"/>
                <w:szCs w:val="21"/>
              </w:rPr>
            </w:pPr>
            <w:r>
              <w:rPr>
                <w:rFonts w:hint="eastAsia" w:ascii="Arial" w:hAnsi="Arial" w:cs="Arial"/>
                <w:szCs w:val="21"/>
              </w:rPr>
              <w:t>质疑供应商对采购人、采购代理机构的答复不满意或者采购人、采购代理机构未在规定的时间内作出答复的，可以在答复期满后十五个工作日内向同级政府采购监督部门投诉。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7"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28</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注意事项</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ascii="Arial" w:hAnsi="Arial" w:cs="Arial"/>
                <w:szCs w:val="21"/>
              </w:rPr>
            </w:pPr>
            <w:r>
              <w:rPr>
                <w:rFonts w:ascii="Arial" w:hAnsi="Arial" w:cs="Arial"/>
                <w:szCs w:val="21"/>
              </w:rPr>
              <w:t>1.磋商供应商如发现磋商文件及其评审办法中歧视性不公正条款或违法违规等内容时，请于答疑截止日期前同时向采购人、采购代理机构反映，逾期不得再对磋商文件的条款提出质疑。</w:t>
            </w:r>
          </w:p>
          <w:p>
            <w:pPr>
              <w:rPr>
                <w:rFonts w:ascii="Arial" w:hAnsi="Arial" w:cs="Arial"/>
                <w:szCs w:val="21"/>
              </w:rPr>
            </w:pPr>
            <w:r>
              <w:rPr>
                <w:rFonts w:hint="eastAsia" w:ascii="Arial" w:hAnsi="Arial" w:cs="Arial"/>
                <w:szCs w:val="21"/>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pPr>
              <w:rPr>
                <w:rFonts w:ascii="Arial" w:hAnsi="Arial" w:cs="Arial"/>
                <w:szCs w:val="21"/>
              </w:rPr>
            </w:pPr>
            <w:r>
              <w:rPr>
                <w:rFonts w:hint="eastAsia" w:ascii="Arial" w:hAnsi="Arial" w:cs="Arial"/>
                <w:szCs w:val="21"/>
              </w:rPr>
              <w:t>3．质疑、投诉人未按前列序号第26条规定进行质疑、投诉（申诉）、举报等，均属于扰乱市场不良行为，直至公示。</w:t>
            </w:r>
          </w:p>
          <w:p>
            <w:pPr>
              <w:rPr>
                <w:rFonts w:ascii="Arial" w:hAnsi="Arial" w:cs="Arial"/>
                <w:szCs w:val="21"/>
              </w:rPr>
            </w:pPr>
            <w:r>
              <w:rPr>
                <w:rFonts w:hint="eastAsia" w:ascii="Arial" w:hAnsi="Arial" w:cs="Arial"/>
                <w:szCs w:val="21"/>
              </w:rPr>
              <w:t>4.磋商文件中凡标注“▲”的条款均为实质性要求，未响应的响应文件将作无效标处理。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2</w:t>
            </w:r>
            <w:r>
              <w:rPr>
                <w:rFonts w:hint="eastAsia" w:ascii="Arial" w:hAnsi="Arial" w:cs="Arial"/>
                <w:szCs w:val="21"/>
              </w:rPr>
              <w:t>9</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疫情防控期间开评标管理</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ascii="Arial" w:hAnsi="Arial" w:cs="Arial"/>
                <w:szCs w:val="21"/>
              </w:rPr>
            </w:pPr>
            <w:r>
              <w:rPr>
                <w:rFonts w:hint="eastAsia" w:ascii="Arial" w:hAnsi="Arial" w:cs="Arial"/>
                <w:szCs w:val="21"/>
              </w:rPr>
              <w:t>根据浙江省省委省政府关于新型冠状病毒感染肺炎疫情防控工作相关部署要求</w:t>
            </w:r>
            <w:r>
              <w:rPr>
                <w:rFonts w:ascii="Arial" w:hAnsi="Arial" w:cs="Arial"/>
                <w:szCs w:val="21"/>
              </w:rPr>
              <w:t>，</w:t>
            </w:r>
            <w:r>
              <w:rPr>
                <w:rFonts w:hint="eastAsia" w:ascii="Arial" w:hAnsi="Arial" w:cs="Arial"/>
                <w:szCs w:val="21"/>
              </w:rPr>
              <w:t>按照“不见面，少接触”原则，</w:t>
            </w:r>
            <w:r>
              <w:rPr>
                <w:rFonts w:ascii="Arial" w:hAnsi="Arial" w:cs="Arial"/>
                <w:szCs w:val="21"/>
              </w:rPr>
              <w:t>供应商无需前来</w:t>
            </w:r>
            <w:r>
              <w:rPr>
                <w:rFonts w:hint="eastAsia" w:ascii="Arial" w:hAnsi="Arial" w:cs="Arial"/>
                <w:szCs w:val="21"/>
              </w:rPr>
              <w:t>开标现场</w:t>
            </w:r>
            <w:r>
              <w:rPr>
                <w:rFonts w:ascii="Arial" w:hAnsi="Arial" w:cs="Arial"/>
                <w:szCs w:val="21"/>
              </w:rPr>
              <w:t>，评标</w:t>
            </w:r>
            <w:r>
              <w:rPr>
                <w:rFonts w:hint="eastAsia" w:ascii="Arial" w:hAnsi="Arial" w:cs="Arial"/>
                <w:szCs w:val="21"/>
              </w:rPr>
              <w:t>人员进入评标室前均须测量体温，经酒精消毒，领取医用一次性口罩、手套并佩戴完毕。</w:t>
            </w:r>
          </w:p>
          <w:p>
            <w:pPr>
              <w:rPr>
                <w:rFonts w:ascii="Arial" w:hAnsi="Arial" w:cs="Arial"/>
                <w:szCs w:val="21"/>
              </w:rPr>
            </w:pPr>
            <w:r>
              <w:rPr>
                <w:rFonts w:hint="eastAsia" w:ascii="Arial" w:hAnsi="Arial" w:cs="Arial"/>
                <w:szCs w:val="21"/>
              </w:rPr>
              <w:t>评审小组要求供应商澄清、说明或者补正，供应商授权代表须通过指定的电子邮箱、传真号码等作出澄清、说明或者补正。评审小组给予供应商提交澄清、说明或补正的时间不得少于半小时，供应商已经明确表示澄清、说明或补正完毕的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30</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其他</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ascii="Arial" w:hAnsi="Arial" w:cs="Arial"/>
                <w:szCs w:val="21"/>
              </w:rPr>
            </w:pPr>
            <w:r>
              <w:rPr>
                <w:rFonts w:hint="eastAsia" w:ascii="Arial" w:hAnsi="Arial" w:cs="Arial"/>
                <w:szCs w:val="21"/>
              </w:rPr>
              <w:t>是否允许采购进口产品：否。</w:t>
            </w:r>
          </w:p>
          <w:p>
            <w:pPr>
              <w:rPr>
                <w:rFonts w:ascii="Arial" w:hAnsi="Arial" w:cs="Arial"/>
                <w:szCs w:val="21"/>
              </w:rPr>
            </w:pPr>
            <w:r>
              <w:rPr>
                <w:rFonts w:ascii="Arial" w:hAnsi="Arial" w:cs="Arial"/>
                <w:szCs w:val="21"/>
              </w:rPr>
              <w:t>本项目不适用节能产品条款</w:t>
            </w:r>
            <w:r>
              <w:rPr>
                <w:rFonts w:hint="eastAsia" w:ascii="Arial" w:hAnsi="Arial" w:cs="Aria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31</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解释权</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ascii="Arial" w:hAnsi="Arial" w:cs="Arial"/>
                <w:szCs w:val="21"/>
              </w:rPr>
            </w:pPr>
            <w:r>
              <w:rPr>
                <w:rFonts w:ascii="Arial" w:hAnsi="Arial" w:cs="Arial"/>
                <w:szCs w:val="21"/>
              </w:rPr>
              <w:t>构成本竞争性磋商文件的各个组成文件应互为解释，互为说明；如有不明确或不一致，构成合同文件组成内容的，以合同文件约定内容为准；仅适用于竞争性磋商阶段的约定，按采购公告、竞争性磋商供应商须知、评定办法、竞争性磋商响应文件格式的先后顺序解释；同一文件中就同一事项的约定不一致的，以逻辑顺序在后者为准；同一文件不同版本之间有不一致的，以形成时间在后者为准。按本款前述约定仍不能形成结论的，由采购组织单位负责解释。</w:t>
            </w:r>
          </w:p>
        </w:tc>
      </w:tr>
    </w:tbl>
    <w:p/>
    <w:p>
      <w:pPr>
        <w:pStyle w:val="4"/>
        <w:spacing w:before="156" w:beforeLines="50" w:after="156" w:afterLines="50" w:line="240" w:lineRule="auto"/>
        <w:jc w:val="center"/>
        <w:rPr>
          <w:rFonts w:ascii="Arial" w:hAnsi="Arial" w:cs="Arial"/>
          <w:sz w:val="24"/>
          <w:szCs w:val="24"/>
        </w:rPr>
      </w:pPr>
      <w:bookmarkStart w:id="4" w:name="_Toc22409"/>
      <w:r>
        <w:rPr>
          <w:rFonts w:ascii="Arial" w:hAnsi="Arial" w:cs="Arial"/>
          <w:sz w:val="24"/>
          <w:szCs w:val="24"/>
        </w:rPr>
        <w:t>（二）总则</w:t>
      </w:r>
      <w:bookmarkEnd w:id="4"/>
    </w:p>
    <w:p>
      <w:pPr>
        <w:numPr>
          <w:ilvl w:val="0"/>
          <w:numId w:val="1"/>
        </w:numPr>
        <w:snapToGrid w:val="0"/>
        <w:spacing w:line="400" w:lineRule="atLeast"/>
        <w:jc w:val="both"/>
        <w:rPr>
          <w:rFonts w:ascii="Arial" w:hAnsi="Arial" w:cs="Arial"/>
          <w:b/>
          <w:sz w:val="24"/>
        </w:rPr>
      </w:pPr>
      <w:r>
        <w:rPr>
          <w:rFonts w:ascii="Arial" w:hAnsi="Arial" w:cs="Arial"/>
          <w:b/>
          <w:sz w:val="24"/>
        </w:rPr>
        <w:t>说明</w:t>
      </w:r>
    </w:p>
    <w:p>
      <w:pPr>
        <w:numPr>
          <w:ilvl w:val="1"/>
          <w:numId w:val="1"/>
        </w:numPr>
        <w:snapToGrid w:val="0"/>
        <w:spacing w:line="400" w:lineRule="atLeast"/>
        <w:jc w:val="both"/>
        <w:rPr>
          <w:rFonts w:ascii="Arial" w:hAnsi="Arial" w:cs="Arial"/>
        </w:rPr>
      </w:pPr>
      <w:r>
        <w:rPr>
          <w:rFonts w:ascii="Arial" w:hAnsi="Arial" w:cs="Arial"/>
        </w:rPr>
        <w:t>本次竞争性磋商工作是按照《中华人民共和国政府采购法》、浙江省及项目所在地的有关政府采购规定，结合本项目的实际，组织和实施。</w:t>
      </w:r>
    </w:p>
    <w:p>
      <w:pPr>
        <w:numPr>
          <w:ilvl w:val="1"/>
          <w:numId w:val="1"/>
        </w:numPr>
        <w:snapToGrid w:val="0"/>
        <w:spacing w:line="400" w:lineRule="atLeast"/>
        <w:jc w:val="both"/>
        <w:rPr>
          <w:rFonts w:ascii="Arial" w:hAnsi="Arial" w:cs="Arial"/>
        </w:rPr>
      </w:pPr>
      <w:r>
        <w:rPr>
          <w:rFonts w:ascii="Arial" w:hAnsi="Arial" w:cs="Arial"/>
        </w:rPr>
        <w:t>资金来源：已落实。</w:t>
      </w:r>
    </w:p>
    <w:p>
      <w:pPr>
        <w:numPr>
          <w:ilvl w:val="0"/>
          <w:numId w:val="1"/>
        </w:numPr>
        <w:snapToGrid w:val="0"/>
        <w:spacing w:line="400" w:lineRule="atLeast"/>
        <w:jc w:val="both"/>
        <w:rPr>
          <w:rFonts w:ascii="Arial" w:hAnsi="Arial" w:cs="Arial"/>
          <w:b/>
          <w:sz w:val="24"/>
        </w:rPr>
      </w:pPr>
      <w:r>
        <w:rPr>
          <w:rFonts w:ascii="Arial" w:hAnsi="Arial" w:cs="Arial"/>
          <w:b/>
          <w:sz w:val="24"/>
        </w:rPr>
        <w:t>定义及解释</w:t>
      </w:r>
    </w:p>
    <w:p>
      <w:pPr>
        <w:numPr>
          <w:ilvl w:val="1"/>
          <w:numId w:val="1"/>
        </w:numPr>
        <w:snapToGrid w:val="0"/>
        <w:spacing w:line="400" w:lineRule="atLeast"/>
        <w:jc w:val="both"/>
        <w:rPr>
          <w:rFonts w:ascii="Arial" w:hAnsi="Arial" w:cs="Arial"/>
        </w:rPr>
      </w:pPr>
      <w:r>
        <w:rPr>
          <w:rFonts w:ascii="Arial" w:hAnsi="Arial" w:cs="Arial"/>
        </w:rPr>
        <w:t>采购人：</w:t>
      </w:r>
      <w:r>
        <w:rPr>
          <w:rFonts w:hint="eastAsia" w:ascii="Arial" w:hAnsi="Arial" w:cs="Arial"/>
        </w:rPr>
        <w:t>嘉兴市生态环境局海盐分局</w:t>
      </w:r>
      <w:r>
        <w:rPr>
          <w:rFonts w:ascii="Arial" w:hAnsi="Arial" w:cs="Arial"/>
        </w:rPr>
        <w:t>；</w:t>
      </w:r>
    </w:p>
    <w:p>
      <w:pPr>
        <w:numPr>
          <w:ilvl w:val="1"/>
          <w:numId w:val="1"/>
        </w:numPr>
        <w:snapToGrid w:val="0"/>
        <w:spacing w:line="400" w:lineRule="atLeast"/>
        <w:jc w:val="both"/>
        <w:rPr>
          <w:rFonts w:ascii="Arial" w:hAnsi="Arial" w:cs="Arial"/>
        </w:rPr>
      </w:pPr>
      <w:r>
        <w:rPr>
          <w:rFonts w:ascii="Arial" w:hAnsi="Arial" w:cs="Arial"/>
        </w:rPr>
        <w:t>采购代理机构：</w:t>
      </w:r>
      <w:r>
        <w:rPr>
          <w:rFonts w:hint="eastAsia" w:ascii="Arial" w:hAnsi="Arial" w:cs="Arial"/>
        </w:rPr>
        <w:t>浙江中望工程管理有限公司</w:t>
      </w:r>
      <w:r>
        <w:rPr>
          <w:rFonts w:ascii="Arial" w:hAnsi="Arial" w:cs="Arial"/>
        </w:rPr>
        <w:t>；</w:t>
      </w:r>
    </w:p>
    <w:p>
      <w:pPr>
        <w:numPr>
          <w:ilvl w:val="1"/>
          <w:numId w:val="1"/>
        </w:numPr>
        <w:snapToGrid w:val="0"/>
        <w:spacing w:line="400" w:lineRule="atLeast"/>
        <w:jc w:val="both"/>
        <w:rPr>
          <w:rFonts w:ascii="Arial" w:hAnsi="Arial" w:cs="Arial"/>
        </w:rPr>
      </w:pPr>
      <w:r>
        <w:rPr>
          <w:rFonts w:ascii="Arial" w:hAnsi="Arial" w:cs="Arial"/>
        </w:rPr>
        <w:t>竞争性磋商供应商：竞争性磋商供应商是响应采购、参加竞争性磋商竞争的依法成立的的供应商；</w:t>
      </w:r>
    </w:p>
    <w:p>
      <w:pPr>
        <w:numPr>
          <w:ilvl w:val="1"/>
          <w:numId w:val="1"/>
        </w:numPr>
        <w:snapToGrid w:val="0"/>
        <w:spacing w:line="400" w:lineRule="atLeast"/>
        <w:jc w:val="both"/>
        <w:rPr>
          <w:rFonts w:ascii="Arial" w:hAnsi="Arial" w:cs="Arial"/>
        </w:rPr>
      </w:pPr>
      <w:r>
        <w:rPr>
          <w:rFonts w:ascii="Arial" w:hAnsi="Arial" w:cs="Arial"/>
        </w:rPr>
        <w:t>成交供应商：系指在本次竞争性磋商中成交的竞争性磋商供应商；</w:t>
      </w:r>
    </w:p>
    <w:p>
      <w:pPr>
        <w:numPr>
          <w:ilvl w:val="1"/>
          <w:numId w:val="1"/>
        </w:numPr>
        <w:snapToGrid w:val="0"/>
        <w:spacing w:line="400" w:lineRule="atLeast"/>
        <w:jc w:val="both"/>
        <w:rPr>
          <w:rFonts w:ascii="Arial" w:hAnsi="Arial" w:cs="Arial"/>
        </w:rPr>
      </w:pPr>
      <w:r>
        <w:rPr>
          <w:rFonts w:ascii="Arial" w:hAnsi="Arial" w:cs="Arial"/>
        </w:rPr>
        <w:t>竞争性磋商小组：竞争性磋商小组是依《政府采购法》组建的专门负责采购评审工作的临时性机构；</w:t>
      </w:r>
    </w:p>
    <w:p>
      <w:pPr>
        <w:numPr>
          <w:ilvl w:val="1"/>
          <w:numId w:val="1"/>
        </w:numPr>
        <w:snapToGrid w:val="0"/>
        <w:spacing w:line="400" w:lineRule="atLeast"/>
        <w:jc w:val="both"/>
        <w:rPr>
          <w:rFonts w:ascii="Arial" w:hAnsi="Arial" w:cs="Arial"/>
        </w:rPr>
      </w:pPr>
      <w:r>
        <w:rPr>
          <w:rFonts w:ascii="Arial" w:hAnsi="Arial" w:cs="Arial"/>
        </w:rPr>
        <w:t>日期：指公历日；</w:t>
      </w:r>
    </w:p>
    <w:p>
      <w:pPr>
        <w:numPr>
          <w:ilvl w:val="1"/>
          <w:numId w:val="1"/>
        </w:numPr>
        <w:snapToGrid w:val="0"/>
        <w:spacing w:line="400" w:lineRule="atLeast"/>
        <w:jc w:val="both"/>
        <w:rPr>
          <w:rFonts w:ascii="Arial" w:hAnsi="Arial" w:cs="Arial"/>
        </w:rPr>
      </w:pPr>
      <w:r>
        <w:rPr>
          <w:rFonts w:ascii="Arial" w:hAnsi="Arial" w:cs="Arial"/>
        </w:rPr>
        <w:t>合同：指由采购所产生的合同或合约文件</w:t>
      </w:r>
      <w:r>
        <w:rPr>
          <w:rFonts w:hint="eastAsia" w:ascii="Arial" w:hAnsi="Arial" w:cs="Arial"/>
        </w:rPr>
        <w:t>；</w:t>
      </w:r>
    </w:p>
    <w:p>
      <w:pPr>
        <w:numPr>
          <w:ilvl w:val="1"/>
          <w:numId w:val="1"/>
        </w:numPr>
        <w:snapToGrid w:val="0"/>
        <w:spacing w:line="400" w:lineRule="atLeast"/>
        <w:jc w:val="both"/>
        <w:rPr>
          <w:rFonts w:ascii="Arial" w:hAnsi="Arial" w:cs="Arial"/>
        </w:rPr>
      </w:pPr>
      <w:r>
        <w:rPr>
          <w:rFonts w:ascii="Arial" w:hAnsi="Arial" w:cs="Arial"/>
        </w:rPr>
        <w:t>“书面形式”是指任何手写的、打印的或印刷的文件，包括电报和传真发送。</w:t>
      </w:r>
    </w:p>
    <w:p>
      <w:pPr>
        <w:numPr>
          <w:ilvl w:val="0"/>
          <w:numId w:val="1"/>
        </w:numPr>
        <w:snapToGrid w:val="0"/>
        <w:spacing w:line="400" w:lineRule="atLeast"/>
        <w:jc w:val="both"/>
        <w:rPr>
          <w:rFonts w:ascii="Arial" w:hAnsi="Arial" w:cs="Arial"/>
          <w:b/>
          <w:sz w:val="24"/>
        </w:rPr>
      </w:pPr>
      <w:r>
        <w:rPr>
          <w:rFonts w:ascii="Arial" w:hAnsi="Arial" w:cs="Arial"/>
          <w:b/>
          <w:sz w:val="24"/>
        </w:rPr>
        <w:t>合格的竞争性磋商供应商</w:t>
      </w:r>
    </w:p>
    <w:p>
      <w:pPr>
        <w:numPr>
          <w:ilvl w:val="1"/>
          <w:numId w:val="1"/>
        </w:numPr>
        <w:snapToGrid w:val="0"/>
        <w:spacing w:line="400" w:lineRule="atLeast"/>
        <w:jc w:val="both"/>
        <w:rPr>
          <w:rFonts w:ascii="Arial" w:hAnsi="Arial" w:cs="Arial"/>
        </w:rPr>
      </w:pPr>
      <w:r>
        <w:rPr>
          <w:rFonts w:hint="eastAsia" w:ascii="Arial" w:hAnsi="Arial" w:cs="Arial"/>
        </w:rPr>
        <w:t>满足《中华人民共和国政府采购法》第二十二条规定；未被“信用中国”（www.creditchina.gov.cn)、中国政府采购网（www.ccgp.gov.cn）列入失信被执行人、重大税收违法案件当事人名单、政府采购严重违法失信行为记录名单。</w:t>
      </w:r>
    </w:p>
    <w:p>
      <w:pPr>
        <w:numPr>
          <w:ilvl w:val="1"/>
          <w:numId w:val="1"/>
        </w:numPr>
        <w:snapToGrid w:val="0"/>
        <w:spacing w:line="400" w:lineRule="atLeast"/>
        <w:jc w:val="both"/>
        <w:rPr>
          <w:rFonts w:ascii="Arial" w:hAnsi="Arial" w:cs="Arial"/>
        </w:rPr>
      </w:pPr>
      <w:r>
        <w:rPr>
          <w:rFonts w:hint="eastAsia" w:ascii="Arial" w:hAnsi="Arial" w:cs="Arial"/>
        </w:rPr>
        <w:t>落实政府采购政策需满足的资格要求：</w:t>
      </w:r>
      <w:r>
        <w:rPr>
          <w:rFonts w:hint="eastAsia" w:hAnsi="宋体"/>
          <w:szCs w:val="21"/>
          <w:highlight w:val="none"/>
        </w:rPr>
        <w:t>供应商为中小企业/小微企业，供应商应为监狱企业，供应商应为残疾人福利企业。</w:t>
      </w:r>
    </w:p>
    <w:p>
      <w:pPr>
        <w:numPr>
          <w:ilvl w:val="1"/>
          <w:numId w:val="1"/>
        </w:numPr>
        <w:snapToGrid w:val="0"/>
        <w:spacing w:line="400" w:lineRule="atLeast"/>
        <w:jc w:val="both"/>
        <w:rPr>
          <w:rFonts w:ascii="Arial" w:hAnsi="Arial" w:cs="Arial"/>
        </w:rPr>
      </w:pPr>
      <w:r>
        <w:rPr>
          <w:rFonts w:hint="eastAsia" w:ascii="Arial" w:hAnsi="Arial" w:cs="Arial"/>
        </w:rPr>
        <w:t>本项目的特定资格要求：无</w:t>
      </w:r>
    </w:p>
    <w:p>
      <w:pPr>
        <w:numPr>
          <w:ilvl w:val="0"/>
          <w:numId w:val="1"/>
        </w:numPr>
        <w:spacing w:line="400" w:lineRule="atLeast"/>
        <w:rPr>
          <w:rFonts w:ascii="Arial" w:hAnsi="Arial" w:cs="Arial"/>
          <w:b/>
          <w:sz w:val="24"/>
        </w:rPr>
      </w:pPr>
      <w:r>
        <w:rPr>
          <w:rFonts w:ascii="Arial" w:hAnsi="Arial" w:cs="Arial"/>
          <w:b/>
          <w:sz w:val="24"/>
        </w:rPr>
        <w:t>保密与披露事项</w:t>
      </w:r>
    </w:p>
    <w:p>
      <w:pPr>
        <w:numPr>
          <w:ilvl w:val="1"/>
          <w:numId w:val="1"/>
        </w:numPr>
        <w:spacing w:line="400" w:lineRule="atLeast"/>
        <w:rPr>
          <w:rFonts w:ascii="Arial" w:hAnsi="Arial" w:cs="Arial"/>
        </w:rPr>
      </w:pPr>
      <w:r>
        <w:rPr>
          <w:rFonts w:ascii="Arial" w:hAnsi="Arial" w:cs="Arial"/>
        </w:rPr>
        <w:t>竞争性磋商供应商不得串通，以不正当的手段妨碍排挤其他竞争性磋商供应商，扰乱市场，破坏公平竞争原则。</w:t>
      </w:r>
    </w:p>
    <w:p>
      <w:pPr>
        <w:numPr>
          <w:ilvl w:val="1"/>
          <w:numId w:val="1"/>
        </w:numPr>
        <w:spacing w:line="400" w:lineRule="atLeast"/>
        <w:jc w:val="both"/>
        <w:rPr>
          <w:rFonts w:ascii="Arial" w:hAnsi="Arial" w:cs="Arial"/>
        </w:rPr>
      </w:pPr>
      <w:r>
        <w:rPr>
          <w:rFonts w:ascii="Arial" w:hAnsi="Arial" w:cs="Arial"/>
        </w:rPr>
        <w:t>竞争性磋商供应商自</w:t>
      </w:r>
      <w:r>
        <w:rPr>
          <w:rFonts w:hint="eastAsia" w:ascii="Arial" w:hAnsi="Arial" w:cs="Arial"/>
        </w:rPr>
        <w:t>获取</w:t>
      </w:r>
      <w:r>
        <w:rPr>
          <w:rFonts w:ascii="Arial" w:hAnsi="Arial" w:cs="Arial"/>
        </w:rPr>
        <w:t>竞争性磋商文件之日起，须承诺承担本竞争性磋商项目下保密义务，不得将因本次竞争性磋商获得的信息向第三方外传。</w:t>
      </w:r>
    </w:p>
    <w:p>
      <w:pPr>
        <w:numPr>
          <w:ilvl w:val="1"/>
          <w:numId w:val="1"/>
        </w:numPr>
        <w:spacing w:line="400" w:lineRule="atLeast"/>
        <w:jc w:val="both"/>
        <w:rPr>
          <w:rFonts w:ascii="Arial" w:hAnsi="Arial" w:cs="Arial"/>
        </w:rPr>
      </w:pPr>
      <w:r>
        <w:rPr>
          <w:rFonts w:ascii="Arial" w:hAnsi="Arial" w:cs="Arial"/>
        </w:rPr>
        <w:t>采购代理机构有权将竞争性磋商供应商提供的所有资料向其他政府部门或有关的非政府机构负责评审标书的人员或与评审有关的人员披露。</w:t>
      </w:r>
    </w:p>
    <w:p>
      <w:pPr>
        <w:numPr>
          <w:ilvl w:val="1"/>
          <w:numId w:val="1"/>
        </w:numPr>
        <w:spacing w:line="400" w:lineRule="atLeast"/>
        <w:jc w:val="both"/>
        <w:rPr>
          <w:rFonts w:ascii="Arial" w:hAnsi="Arial" w:cs="Arial"/>
          <w:sz w:val="24"/>
        </w:rPr>
      </w:pPr>
      <w:r>
        <w:rPr>
          <w:rFonts w:ascii="Arial" w:hAnsi="Arial" w:cs="Arial"/>
        </w:rPr>
        <w:t>采购代理机构有权在认为适当时，或在任何第三者提出要求（书面或其他方式）时，无须事先征求成交供应商同意而披露关于已订立合约的资料、成交供应商的名称及地址、成交服务的有关信息以及合约条款等。</w:t>
      </w:r>
    </w:p>
    <w:p>
      <w:pPr>
        <w:numPr>
          <w:ilvl w:val="0"/>
          <w:numId w:val="1"/>
        </w:numPr>
        <w:spacing w:line="400" w:lineRule="atLeast"/>
        <w:rPr>
          <w:rFonts w:ascii="Arial" w:hAnsi="Arial" w:cs="Arial"/>
          <w:b/>
          <w:sz w:val="24"/>
        </w:rPr>
      </w:pPr>
      <w:r>
        <w:rPr>
          <w:rFonts w:ascii="Arial" w:hAnsi="Arial" w:cs="Arial"/>
          <w:b/>
          <w:sz w:val="24"/>
        </w:rPr>
        <w:t>竞争性磋商费用</w:t>
      </w:r>
    </w:p>
    <w:p>
      <w:pPr>
        <w:numPr>
          <w:ilvl w:val="1"/>
          <w:numId w:val="1"/>
        </w:numPr>
        <w:spacing w:line="400" w:lineRule="atLeast"/>
        <w:rPr>
          <w:rFonts w:ascii="Arial" w:hAnsi="Arial" w:cs="Arial"/>
        </w:rPr>
      </w:pPr>
      <w:r>
        <w:rPr>
          <w:rFonts w:ascii="Arial" w:hAnsi="Arial" w:cs="Arial"/>
        </w:rPr>
        <w:t>竞争性磋商供应商应承担所有与编写和提交竞争性磋商响应文件有关的费用，不论竞争性磋商的结果如何，采购代理机构和采购人在任何情况下均无义务和责任承担这些费用。</w:t>
      </w:r>
    </w:p>
    <w:p>
      <w:pPr>
        <w:numPr>
          <w:ilvl w:val="0"/>
          <w:numId w:val="1"/>
        </w:numPr>
        <w:spacing w:line="400" w:lineRule="atLeast"/>
        <w:rPr>
          <w:rFonts w:ascii="Arial" w:hAnsi="Arial" w:cs="Arial"/>
          <w:b/>
          <w:sz w:val="24"/>
        </w:rPr>
      </w:pPr>
      <w:r>
        <w:rPr>
          <w:rFonts w:ascii="Arial" w:hAnsi="Arial" w:cs="Arial"/>
          <w:b/>
          <w:sz w:val="24"/>
        </w:rPr>
        <w:t>现场踏勘：</w:t>
      </w:r>
      <w:r>
        <w:rPr>
          <w:rFonts w:hint="eastAsia" w:ascii="Arial" w:hAnsi="Arial" w:cs="Arial"/>
        </w:rPr>
        <w:t>/</w:t>
      </w:r>
    </w:p>
    <w:p>
      <w:pPr>
        <w:numPr>
          <w:ilvl w:val="0"/>
          <w:numId w:val="1"/>
        </w:numPr>
        <w:spacing w:line="400" w:lineRule="atLeast"/>
        <w:rPr>
          <w:rFonts w:ascii="Arial" w:hAnsi="Arial" w:cs="Arial"/>
          <w:b/>
          <w:sz w:val="24"/>
        </w:rPr>
      </w:pPr>
      <w:r>
        <w:rPr>
          <w:rFonts w:ascii="Arial" w:hAnsi="Arial" w:cs="Arial"/>
          <w:b/>
          <w:sz w:val="24"/>
        </w:rPr>
        <w:t>竞争性磋商委托</w:t>
      </w:r>
    </w:p>
    <w:p>
      <w:pPr>
        <w:spacing w:line="400" w:lineRule="atLeast"/>
        <w:ind w:left="840" w:leftChars="400"/>
        <w:rPr>
          <w:rFonts w:ascii="Arial" w:hAnsi="Arial" w:cs="Arial"/>
        </w:rPr>
      </w:pPr>
      <w:r>
        <w:rPr>
          <w:rFonts w:ascii="Arial" w:hAnsi="Arial" w:cs="Arial"/>
        </w:rPr>
        <w:t>如竞争性磋商供应商代表不是法定代表人，须持有《法定代表人授权委托书》。</w:t>
      </w:r>
    </w:p>
    <w:p>
      <w:pPr>
        <w:rPr>
          <w:rFonts w:ascii="Arial" w:hAnsi="Arial" w:cs="Arial"/>
        </w:rPr>
      </w:pPr>
    </w:p>
    <w:p>
      <w:pPr>
        <w:pStyle w:val="4"/>
        <w:spacing w:before="156" w:beforeLines="50" w:after="156" w:afterLines="50" w:line="240" w:lineRule="auto"/>
        <w:jc w:val="center"/>
        <w:rPr>
          <w:rFonts w:ascii="Arial" w:hAnsi="Arial" w:cs="Arial"/>
          <w:sz w:val="24"/>
          <w:szCs w:val="24"/>
        </w:rPr>
      </w:pPr>
      <w:bookmarkStart w:id="5" w:name="_Toc23866"/>
      <w:r>
        <w:rPr>
          <w:rFonts w:ascii="Arial" w:hAnsi="Arial" w:cs="Arial"/>
          <w:sz w:val="24"/>
          <w:szCs w:val="24"/>
        </w:rPr>
        <w:t>（三）竞争性磋商文件说明</w:t>
      </w:r>
      <w:bookmarkEnd w:id="5"/>
    </w:p>
    <w:p>
      <w:pPr>
        <w:numPr>
          <w:ilvl w:val="0"/>
          <w:numId w:val="1"/>
        </w:numPr>
        <w:snapToGrid w:val="0"/>
        <w:spacing w:line="400" w:lineRule="atLeast"/>
        <w:jc w:val="both"/>
        <w:rPr>
          <w:rFonts w:ascii="Arial" w:hAnsi="Arial" w:cs="Arial"/>
          <w:b/>
          <w:sz w:val="24"/>
        </w:rPr>
      </w:pPr>
      <w:r>
        <w:rPr>
          <w:rFonts w:ascii="Arial" w:hAnsi="Arial" w:cs="Arial"/>
          <w:b/>
          <w:sz w:val="24"/>
        </w:rPr>
        <w:t>竞争性磋商文件构成</w:t>
      </w:r>
    </w:p>
    <w:p>
      <w:pPr>
        <w:numPr>
          <w:ilvl w:val="1"/>
          <w:numId w:val="1"/>
        </w:numPr>
        <w:snapToGrid w:val="0"/>
        <w:spacing w:line="400" w:lineRule="atLeast"/>
        <w:jc w:val="both"/>
        <w:rPr>
          <w:rFonts w:ascii="Arial" w:hAnsi="Arial" w:cs="Arial"/>
          <w:szCs w:val="21"/>
        </w:rPr>
      </w:pPr>
      <w:r>
        <w:rPr>
          <w:rFonts w:ascii="Arial" w:hAnsi="Arial" w:cs="Arial"/>
          <w:szCs w:val="21"/>
        </w:rPr>
        <w:t>竞争性磋商文件是用以阐明所需货物、服务，以及竞争性磋商、竞争性磋商程序和相应的合同条款。“竞争性磋商文件”由下述部分组成：</w:t>
      </w:r>
    </w:p>
    <w:p>
      <w:pPr>
        <w:snapToGrid w:val="0"/>
        <w:spacing w:line="400" w:lineRule="atLeast"/>
        <w:ind w:left="840" w:leftChars="400"/>
        <w:jc w:val="both"/>
        <w:rPr>
          <w:rFonts w:ascii="Arial" w:hAnsi="Arial" w:cs="Arial"/>
          <w:szCs w:val="21"/>
        </w:rPr>
      </w:pPr>
      <w:r>
        <w:rPr>
          <w:rFonts w:ascii="Arial" w:hAnsi="Arial" w:cs="Arial"/>
          <w:szCs w:val="21"/>
        </w:rPr>
        <w:t>第一部分采购公告</w:t>
      </w:r>
    </w:p>
    <w:p>
      <w:pPr>
        <w:snapToGrid w:val="0"/>
        <w:spacing w:line="400" w:lineRule="atLeast"/>
        <w:ind w:left="840" w:leftChars="400"/>
        <w:jc w:val="both"/>
        <w:rPr>
          <w:rFonts w:ascii="Arial" w:hAnsi="Arial" w:cs="Arial"/>
          <w:szCs w:val="21"/>
        </w:rPr>
      </w:pPr>
      <w:r>
        <w:rPr>
          <w:rFonts w:ascii="Arial" w:hAnsi="Arial" w:cs="Arial"/>
          <w:szCs w:val="21"/>
        </w:rPr>
        <w:t>第二部分竞争性磋商供应商须知</w:t>
      </w:r>
    </w:p>
    <w:p>
      <w:pPr>
        <w:snapToGrid w:val="0"/>
        <w:spacing w:line="400" w:lineRule="atLeast"/>
        <w:ind w:left="840" w:leftChars="400"/>
        <w:jc w:val="both"/>
        <w:rPr>
          <w:rFonts w:ascii="Arial" w:hAnsi="Arial" w:cs="Arial"/>
          <w:szCs w:val="21"/>
        </w:rPr>
      </w:pPr>
      <w:r>
        <w:rPr>
          <w:rFonts w:ascii="Arial" w:hAnsi="Arial" w:cs="Arial"/>
          <w:szCs w:val="21"/>
        </w:rPr>
        <w:t>第三部分竞争性磋商内容及技术要求</w:t>
      </w:r>
    </w:p>
    <w:p>
      <w:pPr>
        <w:snapToGrid w:val="0"/>
        <w:spacing w:line="400" w:lineRule="atLeast"/>
        <w:ind w:left="840" w:leftChars="400"/>
        <w:jc w:val="both"/>
        <w:rPr>
          <w:rFonts w:ascii="Arial" w:hAnsi="Arial" w:cs="Arial"/>
          <w:szCs w:val="21"/>
        </w:rPr>
      </w:pPr>
      <w:r>
        <w:rPr>
          <w:rFonts w:ascii="Arial" w:hAnsi="Arial" w:cs="Arial"/>
          <w:szCs w:val="21"/>
        </w:rPr>
        <w:t>第四部分合同条款</w:t>
      </w:r>
    </w:p>
    <w:p>
      <w:pPr>
        <w:snapToGrid w:val="0"/>
        <w:spacing w:line="400" w:lineRule="atLeast"/>
        <w:ind w:left="840" w:leftChars="400"/>
        <w:jc w:val="both"/>
        <w:rPr>
          <w:rFonts w:ascii="Arial" w:hAnsi="Arial" w:cs="Arial"/>
          <w:szCs w:val="21"/>
        </w:rPr>
      </w:pPr>
      <w:r>
        <w:rPr>
          <w:rFonts w:ascii="Arial" w:hAnsi="Arial" w:cs="Arial"/>
          <w:szCs w:val="21"/>
        </w:rPr>
        <w:t>第五部分评定办法</w:t>
      </w:r>
    </w:p>
    <w:p>
      <w:pPr>
        <w:snapToGrid w:val="0"/>
        <w:spacing w:line="400" w:lineRule="atLeast"/>
        <w:ind w:left="840" w:leftChars="400"/>
        <w:jc w:val="both"/>
        <w:rPr>
          <w:rFonts w:ascii="Arial" w:hAnsi="Arial" w:cs="Arial"/>
          <w:szCs w:val="21"/>
        </w:rPr>
      </w:pPr>
      <w:r>
        <w:rPr>
          <w:rFonts w:ascii="Arial" w:hAnsi="Arial" w:cs="Arial"/>
          <w:szCs w:val="21"/>
        </w:rPr>
        <w:t>第</w:t>
      </w:r>
      <w:r>
        <w:rPr>
          <w:rFonts w:hint="eastAsia" w:ascii="Arial" w:hAnsi="Arial" w:cs="Arial"/>
          <w:szCs w:val="21"/>
        </w:rPr>
        <w:t>六</w:t>
      </w:r>
      <w:r>
        <w:rPr>
          <w:rFonts w:ascii="Arial" w:hAnsi="Arial" w:cs="Arial"/>
          <w:szCs w:val="21"/>
        </w:rPr>
        <w:t>部分</w:t>
      </w:r>
      <w:r>
        <w:rPr>
          <w:rFonts w:hint="eastAsia" w:ascii="Arial" w:hAnsi="Arial" w:cs="Arial"/>
          <w:szCs w:val="21"/>
        </w:rPr>
        <w:t>参考格式</w:t>
      </w:r>
    </w:p>
    <w:p>
      <w:pPr>
        <w:numPr>
          <w:ilvl w:val="1"/>
          <w:numId w:val="1"/>
        </w:numPr>
        <w:snapToGrid w:val="0"/>
        <w:spacing w:line="400" w:lineRule="atLeast"/>
        <w:jc w:val="both"/>
        <w:rPr>
          <w:rFonts w:ascii="Arial" w:hAnsi="Arial" w:cs="Arial"/>
          <w:szCs w:val="21"/>
        </w:rPr>
      </w:pPr>
      <w:r>
        <w:rPr>
          <w:rFonts w:ascii="Arial" w:hAnsi="Arial" w:cs="Arial"/>
          <w:szCs w:val="21"/>
        </w:rPr>
        <w:t>本竞争性磋商文件要求竞争性磋商供应商作出实质性响应的有关技术和商务条款，将在该条款前以“▲” 醒目标识。</w:t>
      </w:r>
    </w:p>
    <w:p>
      <w:pPr>
        <w:numPr>
          <w:ilvl w:val="0"/>
          <w:numId w:val="1"/>
        </w:numPr>
        <w:snapToGrid w:val="0"/>
        <w:spacing w:line="400" w:lineRule="atLeast"/>
        <w:jc w:val="both"/>
        <w:rPr>
          <w:rFonts w:ascii="Arial" w:hAnsi="Arial" w:cs="Arial"/>
          <w:b/>
          <w:sz w:val="24"/>
        </w:rPr>
      </w:pPr>
      <w:r>
        <w:rPr>
          <w:rFonts w:ascii="Arial" w:hAnsi="Arial" w:cs="Arial"/>
          <w:b/>
          <w:sz w:val="24"/>
        </w:rPr>
        <w:t>竞争性磋商文件的澄清</w:t>
      </w:r>
    </w:p>
    <w:p>
      <w:pPr>
        <w:numPr>
          <w:ilvl w:val="1"/>
          <w:numId w:val="1"/>
        </w:numPr>
        <w:snapToGrid w:val="0"/>
        <w:spacing w:line="400" w:lineRule="atLeast"/>
        <w:jc w:val="both"/>
        <w:rPr>
          <w:rFonts w:ascii="Arial" w:hAnsi="Arial" w:cs="Arial"/>
        </w:rPr>
      </w:pPr>
      <w:r>
        <w:rPr>
          <w:rFonts w:ascii="Arial" w:hAnsi="Arial" w:cs="Arial"/>
        </w:rPr>
        <w:t>任何要求对竞争性磋商文件进行澄清的竞争性磋商供应商，均应在答疑截止期规定时间以前以书面形式传真或寄送给采购代理机构，采购代理机构对答疑截止期规定时间以前收到的任何澄清要求将以书面形式予以答复，同时将书面答复以邮寄、传真或类似的方式送达所有竞争性磋商供应商，答复中包括原提出的问题，但不包括问题的来源。</w:t>
      </w:r>
    </w:p>
    <w:p>
      <w:pPr>
        <w:rPr>
          <w:rFonts w:ascii="Arial" w:hAnsi="Arial" w:cs="Arial"/>
        </w:rPr>
      </w:pPr>
    </w:p>
    <w:p>
      <w:pPr>
        <w:pStyle w:val="4"/>
        <w:spacing w:before="156" w:beforeLines="50" w:after="156" w:afterLines="50" w:line="240" w:lineRule="auto"/>
        <w:jc w:val="center"/>
        <w:rPr>
          <w:rFonts w:ascii="Arial" w:hAnsi="Arial" w:cs="Arial"/>
          <w:sz w:val="24"/>
          <w:szCs w:val="24"/>
        </w:rPr>
      </w:pPr>
      <w:bookmarkStart w:id="6" w:name="_Toc14490"/>
      <w:r>
        <w:rPr>
          <w:rFonts w:ascii="Arial" w:hAnsi="Arial" w:cs="Arial"/>
          <w:sz w:val="24"/>
          <w:szCs w:val="24"/>
        </w:rPr>
        <w:t>（四）竞争性磋商响应文件的编制</w:t>
      </w:r>
      <w:bookmarkEnd w:id="6"/>
    </w:p>
    <w:p>
      <w:pPr>
        <w:numPr>
          <w:ilvl w:val="0"/>
          <w:numId w:val="1"/>
        </w:numPr>
        <w:snapToGrid w:val="0"/>
        <w:spacing w:line="400" w:lineRule="atLeast"/>
        <w:jc w:val="both"/>
        <w:rPr>
          <w:rFonts w:ascii="Arial" w:hAnsi="Arial" w:cs="Arial"/>
          <w:b/>
          <w:bCs/>
          <w:sz w:val="24"/>
        </w:rPr>
      </w:pPr>
      <w:r>
        <w:rPr>
          <w:rFonts w:ascii="Arial" w:hAnsi="Arial" w:cs="Arial"/>
          <w:b/>
          <w:bCs/>
          <w:sz w:val="24"/>
        </w:rPr>
        <w:t>竞争性磋商响应文件的说明</w:t>
      </w:r>
    </w:p>
    <w:p>
      <w:pPr>
        <w:numPr>
          <w:ilvl w:val="1"/>
          <w:numId w:val="1"/>
        </w:numPr>
        <w:snapToGrid w:val="0"/>
        <w:spacing w:line="400" w:lineRule="atLeast"/>
        <w:jc w:val="both"/>
        <w:rPr>
          <w:rFonts w:ascii="Arial" w:hAnsi="Arial" w:cs="Arial"/>
        </w:rPr>
      </w:pPr>
      <w:r>
        <w:rPr>
          <w:rFonts w:ascii="Arial" w:hAnsi="Arial" w:cs="Arial"/>
        </w:rPr>
        <w:t>竞争性磋商响应文件应字迹清楚、内容齐全、不得涂改。如有修改，修改处须有法定代表人或其同一授权代表签章。</w:t>
      </w:r>
    </w:p>
    <w:p>
      <w:pPr>
        <w:numPr>
          <w:ilvl w:val="1"/>
          <w:numId w:val="1"/>
        </w:numPr>
        <w:snapToGrid w:val="0"/>
        <w:spacing w:line="400" w:lineRule="atLeast"/>
        <w:jc w:val="both"/>
        <w:rPr>
          <w:rFonts w:ascii="Arial" w:hAnsi="Arial" w:cs="Arial"/>
        </w:rPr>
      </w:pPr>
      <w:r>
        <w:rPr>
          <w:rFonts w:ascii="Arial" w:hAnsi="Arial" w:cs="Arial"/>
        </w:rPr>
        <w:t>投标人必须按竞争性磋商文件的要求提供相关技术参数、资料，包括采用的计量单位，并保证竞争性磋商响应文件的正确性和真实性，否则竞争性磋商小组将作出不利于其投标的评定。技术和商务如有偏离均应填写偏离表。不按竞争性磋商文件的要求提供的竞争性磋商响应文件可能导致</w:t>
      </w:r>
      <w:r>
        <w:rPr>
          <w:rFonts w:hint="eastAsia" w:ascii="宋体" w:hAnsi="宋体"/>
        </w:rPr>
        <w:t>无效</w:t>
      </w:r>
      <w:r>
        <w:rPr>
          <w:rFonts w:ascii="Arial" w:hAnsi="Arial" w:cs="Arial"/>
        </w:rPr>
        <w:t>。</w:t>
      </w:r>
    </w:p>
    <w:p>
      <w:pPr>
        <w:numPr>
          <w:ilvl w:val="0"/>
          <w:numId w:val="1"/>
        </w:numPr>
        <w:snapToGrid w:val="0"/>
        <w:spacing w:line="400" w:lineRule="atLeast"/>
        <w:jc w:val="both"/>
        <w:rPr>
          <w:rFonts w:ascii="Arial" w:hAnsi="Arial" w:cs="Arial"/>
          <w:b/>
          <w:bCs/>
          <w:sz w:val="24"/>
        </w:rPr>
      </w:pPr>
      <w:r>
        <w:rPr>
          <w:rFonts w:ascii="Arial" w:hAnsi="Arial" w:cs="Arial"/>
          <w:b/>
          <w:bCs/>
          <w:sz w:val="24"/>
        </w:rPr>
        <w:t>竞争性磋商响应文件的组成</w:t>
      </w:r>
    </w:p>
    <w:p>
      <w:pPr>
        <w:numPr>
          <w:ilvl w:val="1"/>
          <w:numId w:val="1"/>
        </w:numPr>
        <w:snapToGrid w:val="0"/>
        <w:spacing w:line="400" w:lineRule="atLeast"/>
        <w:jc w:val="both"/>
        <w:rPr>
          <w:rFonts w:ascii="Arial" w:hAnsi="Arial" w:cs="Arial"/>
          <w:sz w:val="24"/>
        </w:rPr>
      </w:pPr>
      <w:r>
        <w:rPr>
          <w:rFonts w:ascii="Arial" w:hAnsi="Arial" w:cs="Arial"/>
        </w:rPr>
        <w:t>竞争性磋商供应商编写的竞争性磋商响应文件应包括下列部分：</w:t>
      </w:r>
    </w:p>
    <w:p>
      <w:pPr>
        <w:snapToGrid w:val="0"/>
        <w:spacing w:line="400" w:lineRule="atLeast"/>
        <w:jc w:val="both"/>
        <w:rPr>
          <w:rFonts w:ascii="Arial" w:hAnsi="Arial" w:cs="Arial"/>
          <w:b/>
          <w:szCs w:val="21"/>
        </w:rPr>
      </w:pPr>
      <w:r>
        <w:rPr>
          <w:rFonts w:hint="eastAsia" w:ascii="Arial" w:hAnsi="Arial" w:cs="Arial"/>
          <w:b/>
          <w:szCs w:val="21"/>
        </w:rPr>
        <w:t>11.1.1资格文件</w:t>
      </w:r>
    </w:p>
    <w:p>
      <w:pPr>
        <w:numPr>
          <w:ilvl w:val="0"/>
          <w:numId w:val="2"/>
        </w:numPr>
        <w:snapToGrid w:val="0"/>
        <w:spacing w:line="400" w:lineRule="atLeast"/>
        <w:jc w:val="both"/>
        <w:rPr>
          <w:rFonts w:ascii="Arial" w:hAnsi="Arial" w:cs="Arial"/>
          <w:szCs w:val="21"/>
        </w:rPr>
      </w:pPr>
      <w:r>
        <w:rPr>
          <w:rFonts w:ascii="Arial" w:hAnsi="Arial" w:cs="Arial"/>
          <w:szCs w:val="21"/>
        </w:rPr>
        <w:t>法定代表人授权委托书（见附件</w:t>
      </w:r>
      <w:r>
        <w:rPr>
          <w:rFonts w:hint="eastAsia" w:ascii="Arial" w:hAnsi="Arial" w:cs="Arial"/>
          <w:szCs w:val="21"/>
        </w:rPr>
        <w:t>二</w:t>
      </w:r>
      <w:r>
        <w:rPr>
          <w:rFonts w:ascii="Arial" w:hAnsi="Arial" w:cs="Arial"/>
          <w:szCs w:val="21"/>
        </w:rPr>
        <w:t>）；</w:t>
      </w:r>
    </w:p>
    <w:p>
      <w:pPr>
        <w:numPr>
          <w:ilvl w:val="0"/>
          <w:numId w:val="2"/>
        </w:numPr>
        <w:snapToGrid w:val="0"/>
        <w:spacing w:line="400" w:lineRule="atLeast"/>
        <w:jc w:val="both"/>
        <w:rPr>
          <w:rFonts w:ascii="Arial" w:hAnsi="Arial" w:cs="Arial"/>
          <w:szCs w:val="21"/>
        </w:rPr>
      </w:pPr>
      <w:r>
        <w:rPr>
          <w:rFonts w:hint="eastAsia" w:ascii="Arial" w:hAnsi="Arial" w:cs="Arial"/>
        </w:rPr>
        <w:t>法定代表人身份证明（见</w:t>
      </w:r>
      <w:r>
        <w:rPr>
          <w:rFonts w:ascii="Arial" w:hAnsi="Arial" w:cs="Arial"/>
        </w:rPr>
        <w:t>附件</w:t>
      </w:r>
      <w:r>
        <w:rPr>
          <w:rFonts w:hint="eastAsia" w:ascii="Arial" w:hAnsi="Arial" w:cs="Arial"/>
        </w:rPr>
        <w:t>三</w:t>
      </w:r>
      <w:r>
        <w:rPr>
          <w:rFonts w:ascii="Arial" w:hAnsi="Arial" w:cs="Arial"/>
        </w:rPr>
        <w:t>）</w:t>
      </w:r>
      <w:r>
        <w:rPr>
          <w:rFonts w:hint="eastAsia" w:ascii="Arial" w:hAnsi="Arial" w:cs="Arial"/>
        </w:rPr>
        <w:t>；</w:t>
      </w:r>
    </w:p>
    <w:p>
      <w:pPr>
        <w:numPr>
          <w:ilvl w:val="0"/>
          <w:numId w:val="2"/>
        </w:numPr>
        <w:snapToGrid w:val="0"/>
        <w:spacing w:line="400" w:lineRule="atLeast"/>
        <w:jc w:val="both"/>
        <w:rPr>
          <w:rFonts w:ascii="Arial" w:hAnsi="Arial" w:cs="Arial"/>
          <w:szCs w:val="21"/>
        </w:rPr>
      </w:pPr>
      <w:r>
        <w:rPr>
          <w:rFonts w:hint="eastAsia" w:ascii="Arial" w:hAnsi="Arial" w:cs="Arial"/>
          <w:szCs w:val="21"/>
        </w:rPr>
        <w:t>关于资格、资质证明文件的声明函</w:t>
      </w:r>
      <w:r>
        <w:rPr>
          <w:rFonts w:ascii="Arial" w:hAnsi="Arial" w:cs="Arial"/>
          <w:szCs w:val="21"/>
        </w:rPr>
        <w:t>（见附件</w:t>
      </w:r>
      <w:r>
        <w:rPr>
          <w:rFonts w:hint="eastAsia" w:ascii="Arial" w:hAnsi="Arial" w:cs="Arial"/>
          <w:szCs w:val="21"/>
        </w:rPr>
        <w:t>七</w:t>
      </w:r>
      <w:r>
        <w:rPr>
          <w:rFonts w:ascii="Arial" w:hAnsi="Arial" w:cs="Arial"/>
          <w:szCs w:val="21"/>
        </w:rPr>
        <w:t>）</w:t>
      </w:r>
      <w:r>
        <w:rPr>
          <w:rFonts w:hint="eastAsia" w:ascii="Arial" w:hAnsi="Arial" w:cs="Arial"/>
          <w:szCs w:val="21"/>
        </w:rPr>
        <w:t>；</w:t>
      </w:r>
    </w:p>
    <w:p>
      <w:pPr>
        <w:numPr>
          <w:ilvl w:val="0"/>
          <w:numId w:val="2"/>
        </w:numPr>
        <w:snapToGrid w:val="0"/>
        <w:spacing w:line="400" w:lineRule="atLeast"/>
        <w:jc w:val="both"/>
        <w:rPr>
          <w:rFonts w:ascii="Arial" w:hAnsi="Arial" w:cs="Arial"/>
          <w:szCs w:val="21"/>
        </w:rPr>
      </w:pPr>
      <w:r>
        <w:rPr>
          <w:rFonts w:hint="eastAsia" w:ascii="宋体" w:hAnsi="宋体" w:cs="宋体"/>
          <w:szCs w:val="21"/>
        </w:rPr>
        <w:t>竞争性磋商供应商法人有效营业执照副本（复印件加盖公章）</w:t>
      </w:r>
    </w:p>
    <w:p>
      <w:pPr>
        <w:numPr>
          <w:ilvl w:val="0"/>
          <w:numId w:val="2"/>
        </w:numPr>
        <w:snapToGrid w:val="0"/>
        <w:spacing w:line="400" w:lineRule="atLeast"/>
        <w:jc w:val="both"/>
        <w:rPr>
          <w:rFonts w:ascii="Arial" w:hAnsi="Arial" w:cs="Arial"/>
          <w:szCs w:val="21"/>
        </w:rPr>
      </w:pPr>
      <w:r>
        <w:rPr>
          <w:rFonts w:hint="eastAsia" w:ascii="Arial" w:hAnsi="Arial" w:cs="Arial"/>
          <w:szCs w:val="21"/>
        </w:rPr>
        <w:t>提供最近一个季度依法缴纳税收的证明（税费凭证复印件或依法免缴税费的证明复印件）；</w:t>
      </w:r>
    </w:p>
    <w:p>
      <w:pPr>
        <w:numPr>
          <w:ilvl w:val="0"/>
          <w:numId w:val="2"/>
        </w:numPr>
        <w:snapToGrid w:val="0"/>
        <w:spacing w:line="360" w:lineRule="auto"/>
        <w:jc w:val="both"/>
        <w:rPr>
          <w:rFonts w:ascii="Arial" w:hAnsi="Arial" w:cs="Arial"/>
          <w:szCs w:val="21"/>
        </w:rPr>
      </w:pPr>
      <w:r>
        <w:rPr>
          <w:rFonts w:hint="eastAsia" w:ascii="Arial" w:hAnsi="Arial" w:cs="Arial"/>
          <w:szCs w:val="21"/>
        </w:rPr>
        <w:t>提供最近一个季度社保的证明；</w:t>
      </w:r>
    </w:p>
    <w:p>
      <w:pPr>
        <w:numPr>
          <w:ilvl w:val="0"/>
          <w:numId w:val="2"/>
        </w:numPr>
        <w:snapToGrid w:val="0"/>
        <w:spacing w:line="360" w:lineRule="auto"/>
        <w:jc w:val="both"/>
        <w:rPr>
          <w:rFonts w:ascii="Arial" w:hAnsi="Arial" w:cs="Arial"/>
          <w:szCs w:val="21"/>
        </w:rPr>
      </w:pPr>
      <w:r>
        <w:rPr>
          <w:rFonts w:hint="eastAsia" w:ascii="Arial" w:hAnsi="Arial" w:cs="Arial"/>
          <w:szCs w:val="21"/>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numPr>
          <w:ilvl w:val="0"/>
          <w:numId w:val="2"/>
        </w:numPr>
        <w:snapToGrid w:val="0"/>
        <w:spacing w:line="360" w:lineRule="auto"/>
        <w:jc w:val="both"/>
        <w:rPr>
          <w:rFonts w:ascii="Arial" w:hAnsi="Arial" w:cs="Arial"/>
          <w:szCs w:val="21"/>
        </w:rPr>
      </w:pPr>
      <w:r>
        <w:rPr>
          <w:rFonts w:hint="eastAsia" w:ascii="Arial" w:hAnsi="Arial" w:cs="Arial"/>
          <w:szCs w:val="21"/>
        </w:rPr>
        <w:t>投标人情况简要介绍（格式自拟）。</w:t>
      </w:r>
    </w:p>
    <w:p>
      <w:pPr>
        <w:snapToGrid w:val="0"/>
        <w:spacing w:line="360" w:lineRule="auto"/>
        <w:jc w:val="both"/>
        <w:rPr>
          <w:rFonts w:ascii="Arial" w:hAnsi="Arial" w:cs="Arial"/>
          <w:b/>
          <w:szCs w:val="21"/>
        </w:rPr>
      </w:pPr>
      <w:r>
        <w:rPr>
          <w:rFonts w:hint="eastAsia" w:ascii="Arial" w:hAnsi="Arial" w:cs="Arial"/>
          <w:b/>
          <w:szCs w:val="21"/>
        </w:rPr>
        <w:t>11.1.2资信、技术文件</w:t>
      </w:r>
    </w:p>
    <w:p>
      <w:pPr>
        <w:numPr>
          <w:ilvl w:val="0"/>
          <w:numId w:val="2"/>
        </w:numPr>
        <w:snapToGrid w:val="0"/>
        <w:spacing w:line="360" w:lineRule="auto"/>
        <w:jc w:val="both"/>
        <w:rPr>
          <w:rFonts w:ascii="Arial" w:hAnsi="Arial" w:cs="Arial"/>
          <w:szCs w:val="21"/>
        </w:rPr>
      </w:pPr>
      <w:r>
        <w:rPr>
          <w:rFonts w:hint="eastAsia" w:ascii="Arial" w:hAnsi="Arial" w:cs="Arial"/>
          <w:szCs w:val="21"/>
        </w:rPr>
        <w:t>诚信承诺函；（见附件十一）</w:t>
      </w:r>
    </w:p>
    <w:p>
      <w:pPr>
        <w:numPr>
          <w:ilvl w:val="0"/>
          <w:numId w:val="2"/>
        </w:numPr>
        <w:snapToGrid w:val="0"/>
        <w:spacing w:line="360" w:lineRule="auto"/>
        <w:jc w:val="both"/>
        <w:rPr>
          <w:rFonts w:ascii="Arial" w:hAnsi="Arial" w:cs="Arial"/>
          <w:szCs w:val="21"/>
        </w:rPr>
      </w:pPr>
      <w:r>
        <w:rPr>
          <w:rFonts w:hint="eastAsia" w:ascii="Arial" w:hAnsi="Arial" w:cs="Arial"/>
          <w:szCs w:val="21"/>
        </w:rPr>
        <w:t>与本项目实施相关的投标人各类资质证书、认证证书等；</w:t>
      </w:r>
    </w:p>
    <w:p>
      <w:pPr>
        <w:numPr>
          <w:ilvl w:val="0"/>
          <w:numId w:val="2"/>
        </w:numPr>
        <w:snapToGrid w:val="0"/>
        <w:spacing w:line="360" w:lineRule="auto"/>
        <w:jc w:val="both"/>
        <w:rPr>
          <w:rFonts w:ascii="Arial" w:hAnsi="Arial" w:cs="Arial"/>
          <w:szCs w:val="21"/>
        </w:rPr>
      </w:pPr>
      <w:r>
        <w:rPr>
          <w:rFonts w:hint="eastAsia" w:ascii="Arial" w:hAnsi="Arial" w:cs="Arial"/>
          <w:szCs w:val="21"/>
        </w:rPr>
        <w:t>提供投标单位承担同类项目的业绩证明（见附件十）；</w:t>
      </w:r>
    </w:p>
    <w:p>
      <w:pPr>
        <w:numPr>
          <w:ilvl w:val="0"/>
          <w:numId w:val="2"/>
        </w:numPr>
        <w:snapToGrid w:val="0"/>
        <w:spacing w:line="360" w:lineRule="auto"/>
        <w:jc w:val="both"/>
        <w:rPr>
          <w:rFonts w:ascii="Arial" w:hAnsi="Arial" w:cs="Arial"/>
          <w:szCs w:val="21"/>
        </w:rPr>
      </w:pPr>
      <w:r>
        <w:rPr>
          <w:rFonts w:hint="eastAsia" w:ascii="Arial" w:hAnsi="Arial" w:cs="Arial"/>
          <w:szCs w:val="21"/>
        </w:rPr>
        <w:t>对项目的理解以及项目实施方案；</w:t>
      </w:r>
    </w:p>
    <w:p>
      <w:pPr>
        <w:numPr>
          <w:ilvl w:val="0"/>
          <w:numId w:val="2"/>
        </w:numPr>
        <w:snapToGrid w:val="0"/>
        <w:spacing w:line="360" w:lineRule="auto"/>
        <w:jc w:val="both"/>
        <w:rPr>
          <w:rFonts w:ascii="Arial" w:hAnsi="Arial" w:cs="Arial"/>
          <w:szCs w:val="21"/>
        </w:rPr>
      </w:pPr>
      <w:r>
        <w:rPr>
          <w:rFonts w:hint="eastAsia" w:ascii="Arial" w:hAnsi="Arial" w:cs="Arial"/>
          <w:szCs w:val="21"/>
        </w:rPr>
        <w:t>人员配备，其中项目实施人员一览表（见附件九）；</w:t>
      </w:r>
    </w:p>
    <w:p>
      <w:pPr>
        <w:numPr>
          <w:ilvl w:val="0"/>
          <w:numId w:val="2"/>
        </w:numPr>
        <w:snapToGrid w:val="0"/>
        <w:spacing w:line="360" w:lineRule="auto"/>
        <w:jc w:val="both"/>
        <w:rPr>
          <w:rFonts w:ascii="Arial" w:hAnsi="Arial" w:cs="Arial"/>
          <w:szCs w:val="21"/>
        </w:rPr>
      </w:pPr>
      <w:r>
        <w:rPr>
          <w:rFonts w:hint="eastAsia" w:ascii="Arial" w:hAnsi="Arial" w:cs="Arial"/>
          <w:szCs w:val="21"/>
        </w:rPr>
        <w:t>进度安排、质量保证措施、合理化建议、重难点分析、售后服务等；</w:t>
      </w:r>
    </w:p>
    <w:p>
      <w:pPr>
        <w:numPr>
          <w:ilvl w:val="0"/>
          <w:numId w:val="2"/>
        </w:numPr>
        <w:snapToGrid w:val="0"/>
        <w:spacing w:line="360" w:lineRule="auto"/>
        <w:jc w:val="both"/>
      </w:pPr>
      <w:r>
        <w:rPr>
          <w:rFonts w:hint="eastAsia" w:ascii="Arial" w:hAnsi="Arial" w:cs="Arial"/>
          <w:szCs w:val="21"/>
        </w:rPr>
        <w:t>招标文件规定需要的其他资料及投标人需要说明的其他事项。</w:t>
      </w:r>
    </w:p>
    <w:p>
      <w:pPr>
        <w:snapToGrid w:val="0"/>
        <w:spacing w:line="400" w:lineRule="atLeast"/>
        <w:jc w:val="both"/>
        <w:rPr>
          <w:rFonts w:ascii="Arial" w:hAnsi="Arial" w:cs="Arial"/>
          <w:b/>
          <w:szCs w:val="21"/>
        </w:rPr>
      </w:pPr>
      <w:r>
        <w:rPr>
          <w:rFonts w:hint="eastAsia" w:ascii="Arial" w:hAnsi="Arial" w:cs="Arial"/>
          <w:b/>
          <w:szCs w:val="21"/>
        </w:rPr>
        <w:t>11.1.3报价文件</w:t>
      </w:r>
    </w:p>
    <w:p>
      <w:pPr>
        <w:numPr>
          <w:ilvl w:val="0"/>
          <w:numId w:val="2"/>
        </w:numPr>
        <w:snapToGrid w:val="0"/>
        <w:spacing w:line="400" w:lineRule="atLeast"/>
        <w:jc w:val="both"/>
        <w:rPr>
          <w:rFonts w:ascii="Arial" w:hAnsi="Arial" w:cs="Arial"/>
          <w:szCs w:val="21"/>
        </w:rPr>
      </w:pPr>
      <w:r>
        <w:rPr>
          <w:rFonts w:ascii="Arial" w:hAnsi="Arial" w:cs="Arial"/>
          <w:szCs w:val="21"/>
        </w:rPr>
        <w:t>竞争性磋商函（见附件</w:t>
      </w:r>
      <w:r>
        <w:rPr>
          <w:rFonts w:hint="eastAsia" w:ascii="Arial" w:hAnsi="Arial" w:cs="Arial"/>
          <w:szCs w:val="21"/>
        </w:rPr>
        <w:t>四</w:t>
      </w:r>
      <w:r>
        <w:rPr>
          <w:rFonts w:ascii="Arial" w:hAnsi="Arial" w:cs="Arial"/>
          <w:szCs w:val="21"/>
        </w:rPr>
        <w:t>）；</w:t>
      </w:r>
    </w:p>
    <w:p>
      <w:pPr>
        <w:numPr>
          <w:ilvl w:val="0"/>
          <w:numId w:val="2"/>
        </w:numPr>
        <w:snapToGrid w:val="0"/>
        <w:spacing w:line="400" w:lineRule="atLeast"/>
        <w:jc w:val="both"/>
        <w:rPr>
          <w:rFonts w:ascii="Arial" w:hAnsi="Arial" w:cs="Arial"/>
          <w:szCs w:val="21"/>
        </w:rPr>
      </w:pPr>
      <w:r>
        <w:rPr>
          <w:rFonts w:ascii="Arial" w:hAnsi="Arial" w:cs="Arial"/>
          <w:szCs w:val="21"/>
        </w:rPr>
        <w:t>第</w:t>
      </w:r>
      <w:r>
        <w:rPr>
          <w:rFonts w:hint="eastAsia" w:ascii="Arial" w:hAnsi="Arial" w:cs="Arial"/>
          <w:szCs w:val="21"/>
        </w:rPr>
        <w:t>一</w:t>
      </w:r>
      <w:r>
        <w:rPr>
          <w:rFonts w:ascii="Arial" w:hAnsi="Arial" w:cs="Arial"/>
          <w:szCs w:val="21"/>
        </w:rPr>
        <w:t>（大写数字）轮报价一览表（见附件</w:t>
      </w:r>
      <w:r>
        <w:rPr>
          <w:rFonts w:hint="eastAsia" w:ascii="Arial" w:hAnsi="Arial" w:cs="Arial"/>
          <w:szCs w:val="21"/>
        </w:rPr>
        <w:t>五</w:t>
      </w:r>
      <w:r>
        <w:rPr>
          <w:rFonts w:ascii="Arial" w:hAnsi="Arial" w:cs="Arial"/>
          <w:szCs w:val="21"/>
        </w:rPr>
        <w:t>）；</w:t>
      </w:r>
    </w:p>
    <w:p>
      <w:pPr>
        <w:numPr>
          <w:ilvl w:val="0"/>
          <w:numId w:val="2"/>
        </w:numPr>
        <w:snapToGrid w:val="0"/>
        <w:spacing w:line="400" w:lineRule="atLeast"/>
        <w:jc w:val="both"/>
        <w:rPr>
          <w:rFonts w:ascii="Arial" w:hAnsi="Arial" w:cs="Arial"/>
          <w:szCs w:val="21"/>
        </w:rPr>
      </w:pPr>
      <w:r>
        <w:rPr>
          <w:rFonts w:hint="eastAsia" w:ascii="Arial" w:hAnsi="Arial" w:cs="Arial"/>
          <w:szCs w:val="21"/>
        </w:rPr>
        <w:t>投标价格分项表（见附件六）</w:t>
      </w:r>
      <w:r>
        <w:rPr>
          <w:rFonts w:ascii="Arial" w:hAnsi="Arial" w:cs="Arial"/>
          <w:szCs w:val="21"/>
        </w:rPr>
        <w:t>；</w:t>
      </w:r>
    </w:p>
    <w:p>
      <w:pPr>
        <w:numPr>
          <w:ilvl w:val="0"/>
          <w:numId w:val="2"/>
        </w:numPr>
        <w:snapToGrid w:val="0"/>
        <w:spacing w:line="400" w:lineRule="atLeast"/>
        <w:ind w:left="840" w:firstLine="0"/>
        <w:jc w:val="both"/>
        <w:rPr>
          <w:rFonts w:ascii="Arial" w:hAnsi="Arial" w:cs="Arial"/>
          <w:szCs w:val="21"/>
        </w:rPr>
      </w:pPr>
      <w:r>
        <w:rPr>
          <w:rFonts w:hint="eastAsia" w:ascii="Arial" w:hAnsi="Arial" w:cs="Arial"/>
          <w:szCs w:val="21"/>
        </w:rPr>
        <w:t>提供中小企声明函并加盖投标单位公章或提供监狱企业或</w:t>
      </w:r>
      <w:r>
        <w:rPr>
          <w:rFonts w:hint="eastAsia" w:ascii="宋体" w:hAnsi="宋体"/>
          <w:szCs w:val="21"/>
        </w:rPr>
        <w:t>残疾人福利性单位证明文件</w:t>
      </w:r>
      <w:r>
        <w:rPr>
          <w:rFonts w:hint="eastAsia" w:ascii="Arial" w:hAnsi="Arial" w:cs="Arial"/>
          <w:szCs w:val="21"/>
        </w:rPr>
        <w:t>；</w:t>
      </w:r>
      <w:r>
        <w:rPr>
          <w:rFonts w:ascii="Arial" w:hAnsi="Arial" w:cs="Arial"/>
          <w:szCs w:val="21"/>
        </w:rPr>
        <w:t>（见附件</w:t>
      </w:r>
      <w:r>
        <w:rPr>
          <w:rFonts w:hint="eastAsia" w:ascii="Arial" w:hAnsi="Arial" w:cs="Arial"/>
          <w:szCs w:val="21"/>
        </w:rPr>
        <w:t>八</w:t>
      </w:r>
      <w:r>
        <w:rPr>
          <w:rFonts w:ascii="Arial" w:hAnsi="Arial" w:cs="Arial"/>
          <w:szCs w:val="21"/>
        </w:rPr>
        <w:t>）；</w:t>
      </w:r>
    </w:p>
    <w:p>
      <w:pPr>
        <w:numPr>
          <w:ilvl w:val="0"/>
          <w:numId w:val="2"/>
        </w:numPr>
        <w:snapToGrid w:val="0"/>
        <w:spacing w:line="400" w:lineRule="atLeast"/>
        <w:jc w:val="both"/>
      </w:pPr>
      <w:r>
        <w:rPr>
          <w:rFonts w:hint="eastAsia" w:ascii="Arial" w:hAnsi="Arial" w:cs="Arial"/>
          <w:szCs w:val="21"/>
        </w:rPr>
        <w:t>招标文件规定需要的其他资料及投标人需要说明的其他事项。</w:t>
      </w:r>
    </w:p>
    <w:p>
      <w:pPr>
        <w:numPr>
          <w:ilvl w:val="0"/>
          <w:numId w:val="1"/>
        </w:numPr>
        <w:snapToGrid w:val="0"/>
        <w:spacing w:line="400" w:lineRule="atLeast"/>
        <w:jc w:val="both"/>
        <w:rPr>
          <w:rFonts w:ascii="Arial" w:hAnsi="Arial" w:cs="Arial"/>
          <w:b/>
          <w:bCs/>
          <w:sz w:val="24"/>
        </w:rPr>
      </w:pPr>
      <w:r>
        <w:rPr>
          <w:rFonts w:ascii="Arial" w:hAnsi="Arial" w:cs="Arial"/>
          <w:b/>
          <w:bCs/>
          <w:sz w:val="24"/>
        </w:rPr>
        <w:t>竞争性磋商响应格式填写说明</w:t>
      </w:r>
    </w:p>
    <w:p>
      <w:pPr>
        <w:numPr>
          <w:ilvl w:val="1"/>
          <w:numId w:val="1"/>
        </w:numPr>
        <w:snapToGrid w:val="0"/>
        <w:spacing w:line="400" w:lineRule="atLeast"/>
        <w:jc w:val="both"/>
        <w:rPr>
          <w:rFonts w:ascii="Arial" w:hAnsi="Arial" w:cs="Arial"/>
        </w:rPr>
      </w:pPr>
      <w:r>
        <w:rPr>
          <w:rFonts w:ascii="Arial" w:hAnsi="Arial" w:cs="Arial"/>
        </w:rPr>
        <w:t>竞争性磋商供应商应在认真阅读竞争性磋商文件所有内容的基础上，按照竞争性磋商文件的要求编制完整的竞争性磋商响应文件。竞争性磋商响应文件应按照竞争性磋商文件中规定的统一格式填写，严格按照规定的顺序编制目录，混乱的编排导致竞争性磋商响应文件被误读或采购代理机构查找不到有效文件是竞争性磋商供应商的风险。</w:t>
      </w:r>
    </w:p>
    <w:p>
      <w:pPr>
        <w:numPr>
          <w:ilvl w:val="1"/>
          <w:numId w:val="1"/>
        </w:numPr>
        <w:snapToGrid w:val="0"/>
        <w:spacing w:line="400" w:lineRule="atLeast"/>
        <w:jc w:val="both"/>
        <w:rPr>
          <w:rFonts w:ascii="Arial" w:hAnsi="Arial" w:cs="Arial"/>
          <w:szCs w:val="21"/>
        </w:rPr>
      </w:pPr>
      <w:r>
        <w:rPr>
          <w:rFonts w:ascii="Arial" w:hAnsi="Arial" w:cs="Arial"/>
        </w:rPr>
        <w:t>竞争性磋商供应商必须保证竞争性磋商响应文件所提供的全部资料真实可靠，并接受采购代理机构对其中任何资料进一步审查的要求。提供虚假证明的竞争性磋商供应商将被取消政府采购供应商资格，并在政府采购宣传媒体上予以公告。</w:t>
      </w:r>
    </w:p>
    <w:p>
      <w:pPr>
        <w:numPr>
          <w:ilvl w:val="0"/>
          <w:numId w:val="1"/>
        </w:numPr>
        <w:snapToGrid w:val="0"/>
        <w:spacing w:line="400" w:lineRule="atLeast"/>
        <w:jc w:val="both"/>
        <w:rPr>
          <w:rFonts w:ascii="Arial" w:hAnsi="Arial" w:cs="Arial"/>
          <w:b/>
          <w:sz w:val="24"/>
        </w:rPr>
      </w:pPr>
      <w:r>
        <w:rPr>
          <w:rFonts w:ascii="Arial" w:hAnsi="Arial" w:cs="Arial"/>
          <w:b/>
          <w:sz w:val="24"/>
        </w:rPr>
        <w:t>竞争性磋商有效期</w:t>
      </w:r>
    </w:p>
    <w:p>
      <w:pPr>
        <w:numPr>
          <w:ilvl w:val="1"/>
          <w:numId w:val="1"/>
        </w:numPr>
        <w:snapToGrid w:val="0"/>
        <w:spacing w:line="400" w:lineRule="atLeast"/>
        <w:jc w:val="both"/>
        <w:rPr>
          <w:rFonts w:ascii="Arial" w:hAnsi="Arial" w:cs="Arial"/>
          <w:szCs w:val="21"/>
        </w:rPr>
      </w:pPr>
      <w:r>
        <w:rPr>
          <w:rFonts w:ascii="Arial" w:hAnsi="Arial" w:cs="Arial"/>
          <w:szCs w:val="21"/>
        </w:rPr>
        <w:t>▲提交竞争性磋商响应文件截止日起60天，竞争性磋商响应文件应保持有效。竞争性磋商有效期比规定期限短的将被视为非响应竞争性磋商而予以</w:t>
      </w:r>
      <w:r>
        <w:rPr>
          <w:rFonts w:hint="eastAsia" w:ascii="宋体" w:hAnsi="宋体"/>
          <w:szCs w:val="21"/>
        </w:rPr>
        <w:t>否决</w:t>
      </w:r>
      <w:r>
        <w:rPr>
          <w:rFonts w:ascii="Arial" w:hAnsi="Arial" w:cs="Arial"/>
          <w:szCs w:val="21"/>
        </w:rPr>
        <w:t>。</w:t>
      </w:r>
    </w:p>
    <w:p>
      <w:pPr>
        <w:numPr>
          <w:ilvl w:val="1"/>
          <w:numId w:val="1"/>
        </w:numPr>
        <w:snapToGrid w:val="0"/>
        <w:spacing w:line="400" w:lineRule="atLeast"/>
        <w:jc w:val="both"/>
        <w:rPr>
          <w:rFonts w:ascii="Arial" w:hAnsi="Arial" w:cs="Arial"/>
        </w:rPr>
      </w:pPr>
      <w:r>
        <w:rPr>
          <w:rFonts w:ascii="Arial" w:hAnsi="Arial" w:cs="Arial"/>
          <w:szCs w:val="21"/>
        </w:rPr>
        <w:t>特殊情况下，采购代理机构可于竞争性磋商有效期满之前要求竞争性磋商供应商同意延长有效期，要求与答复均应为书面形式。</w:t>
      </w:r>
    </w:p>
    <w:p>
      <w:pPr>
        <w:numPr>
          <w:ilvl w:val="0"/>
          <w:numId w:val="1"/>
        </w:numPr>
        <w:snapToGrid w:val="0"/>
        <w:spacing w:line="400" w:lineRule="atLeast"/>
        <w:jc w:val="both"/>
        <w:rPr>
          <w:rFonts w:ascii="Arial" w:hAnsi="Arial" w:cs="Arial"/>
          <w:b/>
          <w:sz w:val="24"/>
        </w:rPr>
      </w:pPr>
      <w:r>
        <w:rPr>
          <w:rFonts w:ascii="Arial" w:hAnsi="Arial" w:cs="Arial"/>
          <w:b/>
          <w:sz w:val="24"/>
          <w:szCs w:val="24"/>
        </w:rPr>
        <w:t>竞争性磋商报价</w:t>
      </w:r>
    </w:p>
    <w:p>
      <w:pPr>
        <w:numPr>
          <w:ilvl w:val="1"/>
          <w:numId w:val="1"/>
        </w:numPr>
        <w:snapToGrid w:val="0"/>
        <w:spacing w:line="400" w:lineRule="atLeast"/>
        <w:jc w:val="both"/>
        <w:rPr>
          <w:rFonts w:ascii="Arial" w:hAnsi="Arial" w:cs="Arial"/>
          <w:szCs w:val="21"/>
        </w:rPr>
      </w:pPr>
      <w:r>
        <w:rPr>
          <w:rFonts w:ascii="Arial" w:hAnsi="Arial" w:cs="Arial"/>
          <w:szCs w:val="21"/>
        </w:rPr>
        <w:t>竞争性磋商供应商提供的货物和服务价格应该用人民币表示。竞争性磋商报价应包括完成供货和服务所需的一切费用。</w:t>
      </w:r>
    </w:p>
    <w:p>
      <w:pPr>
        <w:numPr>
          <w:ilvl w:val="1"/>
          <w:numId w:val="1"/>
        </w:numPr>
        <w:snapToGrid w:val="0"/>
        <w:spacing w:line="400" w:lineRule="atLeast"/>
        <w:jc w:val="both"/>
        <w:rPr>
          <w:rFonts w:ascii="Arial" w:hAnsi="Arial" w:cs="Arial"/>
          <w:szCs w:val="21"/>
        </w:rPr>
      </w:pPr>
      <w:r>
        <w:rPr>
          <w:rFonts w:ascii="Arial" w:hAnsi="Arial" w:cs="Arial"/>
          <w:szCs w:val="21"/>
        </w:rPr>
        <w:t>根据本次竞争性磋商采购工作要求，最后只允许有一个竞争性磋商报价，竞争性磋商供应商应在各自技术和商务占优势的基础上并充分考虑本项目的重要性，在竞争性磋商结束后提供给采购代理机构及采购人最优惠的竞争性磋商价格。</w:t>
      </w:r>
    </w:p>
    <w:p>
      <w:pPr>
        <w:numPr>
          <w:ilvl w:val="1"/>
          <w:numId w:val="1"/>
        </w:numPr>
        <w:snapToGrid w:val="0"/>
        <w:spacing w:line="400" w:lineRule="atLeast"/>
        <w:jc w:val="both"/>
        <w:rPr>
          <w:rFonts w:ascii="Arial" w:hAnsi="Arial" w:cs="Arial"/>
          <w:b/>
          <w:bCs/>
          <w:szCs w:val="21"/>
        </w:rPr>
      </w:pPr>
      <w:r>
        <w:rPr>
          <w:rFonts w:ascii="Arial" w:hAnsi="Arial" w:cs="Arial"/>
          <w:b/>
          <w:bCs/>
          <w:szCs w:val="21"/>
        </w:rPr>
        <w:t>最后的竞争性磋商报价</w:t>
      </w:r>
      <w:r>
        <w:rPr>
          <w:rFonts w:hint="eastAsia" w:ascii="Arial" w:hAnsi="Arial" w:cs="Arial"/>
          <w:b/>
          <w:bCs/>
          <w:szCs w:val="21"/>
        </w:rPr>
        <w:t>需</w:t>
      </w:r>
      <w:r>
        <w:rPr>
          <w:rFonts w:ascii="Arial" w:hAnsi="Arial" w:cs="Arial"/>
          <w:b/>
          <w:bCs/>
          <w:szCs w:val="21"/>
        </w:rPr>
        <w:t>低于首次报价。</w:t>
      </w:r>
    </w:p>
    <w:p>
      <w:pPr>
        <w:numPr>
          <w:ilvl w:val="0"/>
          <w:numId w:val="1"/>
        </w:numPr>
        <w:snapToGrid w:val="0"/>
        <w:spacing w:line="400" w:lineRule="atLeast"/>
        <w:jc w:val="both"/>
        <w:rPr>
          <w:rFonts w:ascii="Arial" w:hAnsi="Arial" w:cs="Arial"/>
        </w:rPr>
      </w:pPr>
      <w:r>
        <w:rPr>
          <w:rFonts w:ascii="Arial" w:hAnsi="Arial" w:cs="Arial"/>
          <w:b/>
          <w:sz w:val="24"/>
        </w:rPr>
        <w:t>竞争性磋商响应文件的式样和签署</w:t>
      </w:r>
    </w:p>
    <w:p>
      <w:pPr>
        <w:numPr>
          <w:ilvl w:val="1"/>
          <w:numId w:val="1"/>
        </w:numPr>
        <w:snapToGrid w:val="0"/>
        <w:spacing w:line="400" w:lineRule="atLeast"/>
        <w:jc w:val="both"/>
        <w:rPr>
          <w:rFonts w:ascii="Arial" w:hAnsi="Arial" w:cs="Arial"/>
          <w:szCs w:val="21"/>
        </w:rPr>
      </w:pPr>
      <w:r>
        <w:rPr>
          <w:rFonts w:ascii="Arial" w:hAnsi="Arial" w:cs="Arial"/>
          <w:szCs w:val="21"/>
        </w:rPr>
        <w:t>竞争性磋商响应文件的内容是属于供应商自己制作的均须用不褪色墨水书写或打印，并在“竞争性磋商文件格式”规定处由供应商的法定代表人或其授权代表印章（或签字</w:t>
      </w:r>
      <w:r>
        <w:rPr>
          <w:rFonts w:hint="eastAsia" w:ascii="Arial" w:hAnsi="Arial" w:cs="Arial"/>
          <w:szCs w:val="21"/>
        </w:rPr>
        <w:t>或电子章</w:t>
      </w:r>
      <w:r>
        <w:rPr>
          <w:rFonts w:ascii="Arial" w:hAnsi="Arial" w:cs="Arial"/>
          <w:szCs w:val="21"/>
        </w:rPr>
        <w:t>）。</w:t>
      </w:r>
    </w:p>
    <w:p>
      <w:pPr>
        <w:numPr>
          <w:ilvl w:val="1"/>
          <w:numId w:val="1"/>
        </w:numPr>
        <w:snapToGrid w:val="0"/>
        <w:spacing w:line="400" w:lineRule="atLeast"/>
        <w:jc w:val="both"/>
        <w:rPr>
          <w:rFonts w:ascii="Arial" w:hAnsi="Arial" w:cs="Arial"/>
        </w:rPr>
      </w:pPr>
      <w:r>
        <w:rPr>
          <w:rFonts w:ascii="Arial" w:hAnsi="Arial" w:cs="Arial"/>
          <w:szCs w:val="21"/>
        </w:rPr>
        <w:t>竞争性磋商响应文件不得涂改和增删，如有修改错漏处，必须由同一签署人签字或盖章。</w:t>
      </w:r>
    </w:p>
    <w:p>
      <w:pPr>
        <w:numPr>
          <w:ilvl w:val="1"/>
          <w:numId w:val="1"/>
        </w:numPr>
        <w:snapToGrid w:val="0"/>
        <w:spacing w:line="400" w:lineRule="atLeast"/>
        <w:jc w:val="both"/>
        <w:rPr>
          <w:rFonts w:ascii="Arial" w:hAnsi="Arial" w:cs="Arial"/>
        </w:rPr>
      </w:pPr>
      <w:r>
        <w:rPr>
          <w:rFonts w:ascii="Arial" w:hAnsi="Arial" w:cs="Arial"/>
        </w:rPr>
        <w:t>供应商或采购组织单位有下列情形之一的，应按串通行为认定：</w:t>
      </w:r>
    </w:p>
    <w:p>
      <w:pPr>
        <w:numPr>
          <w:ilvl w:val="0"/>
          <w:numId w:val="3"/>
        </w:numPr>
        <w:snapToGrid w:val="0"/>
        <w:spacing w:line="400" w:lineRule="atLeast"/>
        <w:jc w:val="both"/>
        <w:rPr>
          <w:rFonts w:ascii="Arial" w:hAnsi="Arial" w:cs="Arial"/>
        </w:rPr>
      </w:pPr>
      <w:r>
        <w:rPr>
          <w:rFonts w:ascii="Arial" w:hAnsi="Arial" w:cs="Arial"/>
        </w:rPr>
        <w:t>不同供应商的竞争性磋商响应文件由同一单位或人员编制的；</w:t>
      </w:r>
    </w:p>
    <w:p>
      <w:pPr>
        <w:numPr>
          <w:ilvl w:val="0"/>
          <w:numId w:val="3"/>
        </w:numPr>
        <w:snapToGrid w:val="0"/>
        <w:spacing w:line="400" w:lineRule="atLeast"/>
        <w:jc w:val="both"/>
        <w:rPr>
          <w:rFonts w:ascii="Arial" w:hAnsi="Arial" w:cs="Arial"/>
        </w:rPr>
      </w:pPr>
      <w:r>
        <w:rPr>
          <w:rFonts w:ascii="Arial" w:hAnsi="Arial" w:cs="Arial"/>
        </w:rPr>
        <w:t>不同供应商委托同一单位或人员办理投标事宜的；</w:t>
      </w:r>
    </w:p>
    <w:p>
      <w:pPr>
        <w:numPr>
          <w:ilvl w:val="0"/>
          <w:numId w:val="3"/>
        </w:numPr>
        <w:snapToGrid w:val="0"/>
        <w:spacing w:line="400" w:lineRule="atLeast"/>
        <w:jc w:val="both"/>
        <w:rPr>
          <w:rFonts w:ascii="Arial" w:hAnsi="Arial" w:cs="Arial"/>
        </w:rPr>
      </w:pPr>
      <w:r>
        <w:rPr>
          <w:rFonts w:ascii="Arial" w:hAnsi="Arial" w:cs="Arial"/>
        </w:rPr>
        <w:t>不同供应商的竞争性磋商响应文件中的内容出现非正常的一致，或者报价细目呈明显规律性变化，或在完全可比的情况下投标总价均高于市场平均价的；</w:t>
      </w:r>
    </w:p>
    <w:p>
      <w:pPr>
        <w:numPr>
          <w:ilvl w:val="0"/>
          <w:numId w:val="3"/>
        </w:numPr>
        <w:snapToGrid w:val="0"/>
        <w:spacing w:line="400" w:lineRule="atLeast"/>
        <w:jc w:val="both"/>
        <w:rPr>
          <w:rFonts w:ascii="Arial" w:hAnsi="Arial" w:cs="Arial"/>
        </w:rPr>
      </w:pPr>
      <w:r>
        <w:rPr>
          <w:rFonts w:ascii="Arial" w:hAnsi="Arial" w:cs="Arial"/>
        </w:rPr>
        <w:t>不同供应商的竞争性磋商响应文件载明的项目管理或实施人员出现同一单位的工作人员或同一人的；</w:t>
      </w:r>
    </w:p>
    <w:p>
      <w:pPr>
        <w:numPr>
          <w:ilvl w:val="0"/>
          <w:numId w:val="3"/>
        </w:numPr>
        <w:snapToGrid w:val="0"/>
        <w:spacing w:line="400" w:lineRule="atLeast"/>
        <w:jc w:val="both"/>
        <w:rPr>
          <w:rFonts w:ascii="Arial" w:hAnsi="Arial" w:cs="Arial"/>
        </w:rPr>
      </w:pPr>
      <w:r>
        <w:rPr>
          <w:rFonts w:ascii="Arial" w:hAnsi="Arial" w:cs="Arial"/>
        </w:rPr>
        <w:t>不同供应商的授权代表为同一单位的工作人员的；</w:t>
      </w:r>
    </w:p>
    <w:p>
      <w:pPr>
        <w:numPr>
          <w:ilvl w:val="0"/>
          <w:numId w:val="3"/>
        </w:numPr>
        <w:snapToGrid w:val="0"/>
        <w:spacing w:line="400" w:lineRule="atLeast"/>
        <w:jc w:val="both"/>
        <w:rPr>
          <w:rFonts w:ascii="Arial" w:hAnsi="Arial" w:cs="Arial"/>
        </w:rPr>
      </w:pPr>
      <w:r>
        <w:rPr>
          <w:rFonts w:ascii="Arial" w:hAnsi="Arial" w:cs="Arial"/>
        </w:rPr>
        <w:t>不同供应商的竞争性磋商响应文件相互混装，或在一个供应商的竞争性磋商响应文件内遗留有其他供应商的签名、盖章等不属于本供应商参加政府采购必需的信息资料的；</w:t>
      </w:r>
    </w:p>
    <w:p>
      <w:pPr>
        <w:numPr>
          <w:ilvl w:val="0"/>
          <w:numId w:val="3"/>
        </w:numPr>
        <w:snapToGrid w:val="0"/>
        <w:spacing w:line="400" w:lineRule="atLeast"/>
        <w:jc w:val="both"/>
        <w:rPr>
          <w:rFonts w:ascii="Arial" w:hAnsi="Arial" w:cs="Arial"/>
          <w:szCs w:val="22"/>
        </w:rPr>
      </w:pPr>
      <w:r>
        <w:rPr>
          <w:rFonts w:ascii="Arial" w:hAnsi="Arial" w:cs="Arial"/>
          <w:szCs w:val="22"/>
        </w:rPr>
        <w:t>采购响应截止时间后，采购组织单位协助供应商撤换或更改竞争性磋商响应文件的；</w:t>
      </w:r>
    </w:p>
    <w:p>
      <w:pPr>
        <w:numPr>
          <w:ilvl w:val="0"/>
          <w:numId w:val="3"/>
        </w:numPr>
        <w:snapToGrid w:val="0"/>
        <w:spacing w:line="400" w:lineRule="atLeast"/>
        <w:jc w:val="both"/>
        <w:rPr>
          <w:rFonts w:ascii="Arial" w:hAnsi="Arial" w:cs="Arial"/>
          <w:szCs w:val="22"/>
        </w:rPr>
      </w:pPr>
      <w:r>
        <w:rPr>
          <w:rFonts w:ascii="Arial" w:hAnsi="Arial" w:cs="Arial"/>
          <w:szCs w:val="22"/>
        </w:rPr>
        <w:t>采购组织单位泄露有意向参加政府采购的供应商名称、数量等应当保密的事项的；</w:t>
      </w:r>
    </w:p>
    <w:p>
      <w:pPr>
        <w:numPr>
          <w:ilvl w:val="0"/>
          <w:numId w:val="3"/>
        </w:numPr>
        <w:snapToGrid w:val="0"/>
        <w:spacing w:line="400" w:lineRule="atLeast"/>
        <w:jc w:val="both"/>
        <w:rPr>
          <w:rFonts w:ascii="Arial" w:hAnsi="Arial" w:cs="Arial"/>
          <w:szCs w:val="22"/>
        </w:rPr>
      </w:pPr>
      <w:r>
        <w:rPr>
          <w:rFonts w:ascii="Arial" w:hAnsi="Arial" w:cs="Arial"/>
          <w:szCs w:val="22"/>
        </w:rPr>
        <w:t>不同供应商之间私下达成书面或口头协议，指定一家供应商成交或轮流成交的；</w:t>
      </w:r>
    </w:p>
    <w:p>
      <w:pPr>
        <w:numPr>
          <w:ilvl w:val="0"/>
          <w:numId w:val="3"/>
        </w:numPr>
        <w:snapToGrid w:val="0"/>
        <w:spacing w:line="400" w:lineRule="atLeast"/>
        <w:jc w:val="both"/>
        <w:rPr>
          <w:rFonts w:ascii="Arial" w:hAnsi="Arial" w:cs="Arial"/>
          <w:szCs w:val="22"/>
        </w:rPr>
      </w:pPr>
      <w:r>
        <w:rPr>
          <w:rFonts w:ascii="Arial" w:hAnsi="Arial" w:cs="Arial"/>
          <w:szCs w:val="22"/>
        </w:rPr>
        <w:t>法律、法规或规章规定的其他串通行为。</w:t>
      </w:r>
    </w:p>
    <w:p>
      <w:pPr>
        <w:pStyle w:val="4"/>
        <w:spacing w:before="156" w:beforeLines="50" w:after="156" w:afterLines="50" w:line="240" w:lineRule="auto"/>
        <w:jc w:val="center"/>
        <w:rPr>
          <w:rFonts w:ascii="Arial" w:hAnsi="Arial" w:cs="Arial"/>
          <w:sz w:val="24"/>
          <w:szCs w:val="24"/>
        </w:rPr>
      </w:pPr>
      <w:bookmarkStart w:id="7" w:name="_Toc22608"/>
      <w:r>
        <w:rPr>
          <w:rFonts w:ascii="Arial" w:hAnsi="Arial" w:cs="Arial"/>
          <w:sz w:val="24"/>
          <w:szCs w:val="24"/>
        </w:rPr>
        <w:t>（五）竞争性磋商响应文件的递交</w:t>
      </w:r>
      <w:bookmarkEnd w:id="7"/>
    </w:p>
    <w:p>
      <w:pPr>
        <w:numPr>
          <w:ilvl w:val="0"/>
          <w:numId w:val="1"/>
        </w:numPr>
        <w:snapToGrid w:val="0"/>
        <w:spacing w:line="400" w:lineRule="atLeast"/>
        <w:jc w:val="both"/>
        <w:rPr>
          <w:rFonts w:ascii="Arial" w:hAnsi="Arial" w:cs="Arial"/>
        </w:rPr>
      </w:pPr>
      <w:r>
        <w:rPr>
          <w:rFonts w:ascii="Arial" w:hAnsi="Arial" w:cs="Arial"/>
          <w:b/>
          <w:sz w:val="24"/>
        </w:rPr>
        <w:t>竞争性磋商响应文件的密封和标记</w:t>
      </w:r>
    </w:p>
    <w:p>
      <w:pPr>
        <w:numPr>
          <w:ilvl w:val="1"/>
          <w:numId w:val="1"/>
        </w:numPr>
        <w:snapToGrid w:val="0"/>
        <w:spacing w:line="400" w:lineRule="atLeast"/>
        <w:jc w:val="both"/>
        <w:rPr>
          <w:rFonts w:ascii="Arial" w:hAnsi="Arial" w:cs="Arial"/>
        </w:rPr>
      </w:pPr>
      <w:r>
        <w:rPr>
          <w:rFonts w:ascii="Arial" w:hAnsi="Arial" w:cs="Arial"/>
        </w:rPr>
        <w:t>竞争性磋商响应文件</w:t>
      </w:r>
      <w:r>
        <w:rPr>
          <w:rFonts w:hint="eastAsia" w:ascii="Arial" w:hAnsi="Arial" w:cs="Arial"/>
        </w:rPr>
        <w:t>封面</w:t>
      </w:r>
      <w:r>
        <w:rPr>
          <w:rFonts w:ascii="Arial" w:hAnsi="Arial" w:cs="Arial"/>
        </w:rPr>
        <w:t>上写明竞争性磋商项目名称、编号、供应商名称、地址、邮政编码、电话、联系人</w:t>
      </w:r>
      <w:r>
        <w:rPr>
          <w:rFonts w:hint="eastAsia" w:ascii="Arial" w:hAnsi="Arial" w:cs="Arial"/>
        </w:rPr>
        <w:t>。</w:t>
      </w:r>
    </w:p>
    <w:p>
      <w:pPr>
        <w:numPr>
          <w:ilvl w:val="0"/>
          <w:numId w:val="1"/>
        </w:numPr>
        <w:snapToGrid w:val="0"/>
        <w:spacing w:line="400" w:lineRule="atLeast"/>
        <w:jc w:val="both"/>
        <w:rPr>
          <w:rFonts w:ascii="Arial" w:hAnsi="Arial" w:cs="Arial"/>
          <w:b/>
          <w:sz w:val="24"/>
        </w:rPr>
      </w:pPr>
      <w:r>
        <w:rPr>
          <w:rFonts w:ascii="Arial" w:hAnsi="Arial" w:cs="Arial"/>
          <w:b/>
          <w:sz w:val="24"/>
        </w:rPr>
        <w:t>竞争性磋商截止时间</w:t>
      </w:r>
    </w:p>
    <w:p>
      <w:pPr>
        <w:numPr>
          <w:ilvl w:val="1"/>
          <w:numId w:val="1"/>
        </w:numPr>
        <w:snapToGrid w:val="0"/>
        <w:spacing w:line="400" w:lineRule="atLeast"/>
        <w:jc w:val="both"/>
        <w:rPr>
          <w:rFonts w:ascii="Arial" w:hAnsi="Arial" w:cs="Arial"/>
        </w:rPr>
      </w:pPr>
      <w:r>
        <w:rPr>
          <w:rFonts w:ascii="Arial" w:hAnsi="Arial" w:cs="Arial"/>
        </w:rPr>
        <w:t>本次采购的竞争性磋商开始时间及竞争性磋商响应文件递交截止时间：见本竞争性磋商文件“</w:t>
      </w:r>
      <w:r>
        <w:rPr>
          <w:rFonts w:hint="eastAsia" w:ascii="Arial" w:hAnsi="Arial" w:cs="Arial"/>
        </w:rPr>
        <w:t>采购</w:t>
      </w:r>
      <w:r>
        <w:rPr>
          <w:rFonts w:ascii="Arial" w:hAnsi="Arial" w:cs="Arial"/>
        </w:rPr>
        <w:t>公告”。</w:t>
      </w:r>
    </w:p>
    <w:p>
      <w:pPr>
        <w:numPr>
          <w:ilvl w:val="1"/>
          <w:numId w:val="1"/>
        </w:numPr>
        <w:snapToGrid w:val="0"/>
        <w:spacing w:line="400" w:lineRule="atLeast"/>
        <w:jc w:val="both"/>
        <w:rPr>
          <w:rFonts w:ascii="Arial" w:hAnsi="Arial" w:cs="Arial"/>
        </w:rPr>
      </w:pPr>
      <w:r>
        <w:rPr>
          <w:rFonts w:ascii="Arial" w:hAnsi="Arial" w:cs="Arial"/>
        </w:rPr>
        <w:t>在推迟了竞争性磋商开始时间的情况下，采购代理机构、采购人和竞争性磋商供应商受制约的所有权利和义务均应延长至新的截止时间。</w:t>
      </w:r>
    </w:p>
    <w:p>
      <w:pPr>
        <w:numPr>
          <w:ilvl w:val="0"/>
          <w:numId w:val="1"/>
        </w:numPr>
        <w:snapToGrid w:val="0"/>
        <w:spacing w:line="400" w:lineRule="atLeast"/>
        <w:jc w:val="both"/>
        <w:rPr>
          <w:rFonts w:ascii="Arial" w:hAnsi="Arial" w:cs="Arial"/>
          <w:b/>
          <w:sz w:val="24"/>
        </w:rPr>
      </w:pPr>
      <w:r>
        <w:rPr>
          <w:rFonts w:ascii="Arial" w:hAnsi="Arial" w:cs="Arial"/>
          <w:b/>
          <w:sz w:val="24"/>
        </w:rPr>
        <w:t>竞争性磋商响应文件有下列情形之一的，采购代理机构不予受理：</w:t>
      </w:r>
    </w:p>
    <w:p>
      <w:pPr>
        <w:numPr>
          <w:ilvl w:val="1"/>
          <w:numId w:val="1"/>
        </w:numPr>
        <w:snapToGrid w:val="0"/>
        <w:spacing w:line="400" w:lineRule="atLeast"/>
        <w:jc w:val="both"/>
        <w:rPr>
          <w:rFonts w:ascii="Arial" w:hAnsi="Arial" w:cs="Arial"/>
        </w:rPr>
      </w:pPr>
      <w:r>
        <w:rPr>
          <w:rFonts w:ascii="Arial" w:hAnsi="Arial" w:cs="Arial"/>
        </w:rPr>
        <w:t>竞争性磋商响应文件逾期</w:t>
      </w:r>
      <w:r>
        <w:rPr>
          <w:rFonts w:hint="eastAsia" w:ascii="Arial" w:hAnsi="Arial" w:cs="Arial"/>
        </w:rPr>
        <w:t>上传系统</w:t>
      </w:r>
      <w:r>
        <w:rPr>
          <w:rFonts w:ascii="Arial" w:hAnsi="Arial" w:cs="Arial"/>
        </w:rPr>
        <w:t>的；</w:t>
      </w:r>
    </w:p>
    <w:p>
      <w:pPr>
        <w:numPr>
          <w:ilvl w:val="1"/>
          <w:numId w:val="1"/>
        </w:numPr>
        <w:snapToGrid w:val="0"/>
        <w:spacing w:line="400" w:lineRule="atLeast"/>
        <w:jc w:val="both"/>
        <w:rPr>
          <w:rFonts w:ascii="Arial" w:hAnsi="Arial" w:cs="Arial"/>
        </w:rPr>
      </w:pPr>
      <w:r>
        <w:rPr>
          <w:rFonts w:ascii="Arial" w:hAnsi="Arial" w:cs="Arial"/>
        </w:rPr>
        <w:t>竞争性磋商响应文件未按竞争性磋商文件要求签署、盖章的。</w:t>
      </w:r>
    </w:p>
    <w:p>
      <w:pPr>
        <w:snapToGrid w:val="0"/>
        <w:spacing w:line="400" w:lineRule="atLeast"/>
        <w:jc w:val="both"/>
        <w:rPr>
          <w:rFonts w:ascii="Arial" w:hAnsi="Arial" w:cs="Arial"/>
        </w:rPr>
      </w:pPr>
    </w:p>
    <w:p>
      <w:pPr>
        <w:pStyle w:val="4"/>
        <w:spacing w:before="156" w:beforeLines="50" w:after="156" w:afterLines="50" w:line="240" w:lineRule="auto"/>
        <w:jc w:val="center"/>
        <w:rPr>
          <w:rFonts w:ascii="Arial" w:hAnsi="Arial" w:cs="Arial"/>
          <w:sz w:val="24"/>
          <w:szCs w:val="24"/>
        </w:rPr>
      </w:pPr>
      <w:bookmarkStart w:id="8" w:name="_Toc15906"/>
      <w:r>
        <w:rPr>
          <w:rFonts w:ascii="Arial" w:hAnsi="Arial" w:cs="Arial"/>
          <w:sz w:val="24"/>
          <w:szCs w:val="24"/>
        </w:rPr>
        <w:t>（六）竞争性磋商与评审</w:t>
      </w:r>
      <w:bookmarkEnd w:id="8"/>
    </w:p>
    <w:p>
      <w:pPr>
        <w:numPr>
          <w:ilvl w:val="0"/>
          <w:numId w:val="1"/>
        </w:numPr>
        <w:snapToGrid w:val="0"/>
        <w:spacing w:line="400" w:lineRule="atLeast"/>
        <w:jc w:val="both"/>
        <w:rPr>
          <w:rFonts w:ascii="Arial" w:hAnsi="Arial" w:cs="Arial"/>
          <w:b/>
          <w:sz w:val="24"/>
        </w:rPr>
      </w:pPr>
      <w:r>
        <w:rPr>
          <w:rFonts w:ascii="Arial" w:hAnsi="Arial" w:cs="Arial"/>
          <w:b/>
          <w:sz w:val="24"/>
        </w:rPr>
        <w:t>竞争性磋商</w:t>
      </w:r>
    </w:p>
    <w:p>
      <w:pPr>
        <w:numPr>
          <w:ilvl w:val="1"/>
          <w:numId w:val="1"/>
        </w:numPr>
        <w:snapToGrid w:val="0"/>
        <w:spacing w:line="400" w:lineRule="atLeast"/>
        <w:jc w:val="both"/>
        <w:rPr>
          <w:rFonts w:ascii="Arial" w:hAnsi="Arial" w:cs="Arial"/>
        </w:rPr>
      </w:pPr>
      <w:r>
        <w:rPr>
          <w:rFonts w:ascii="Arial" w:hAnsi="Arial" w:cs="Arial"/>
        </w:rPr>
        <w:t>竞争性磋商时间和地点：见本竞争性磋商文件“采购公告”。</w:t>
      </w:r>
    </w:p>
    <w:p>
      <w:pPr>
        <w:numPr>
          <w:ilvl w:val="1"/>
          <w:numId w:val="1"/>
        </w:numPr>
        <w:snapToGrid w:val="0"/>
        <w:spacing w:line="400" w:lineRule="atLeast"/>
        <w:jc w:val="both"/>
        <w:rPr>
          <w:rFonts w:ascii="Arial" w:hAnsi="Arial" w:cs="Arial"/>
        </w:rPr>
      </w:pPr>
      <w:r>
        <w:rPr>
          <w:rFonts w:ascii="Arial" w:hAnsi="Arial" w:cs="Arial"/>
        </w:rPr>
        <w:t>采购代理机构组织和主持竞争性磋商会议，</w:t>
      </w:r>
      <w:r>
        <w:rPr>
          <w:rFonts w:hint="eastAsia" w:ascii="Arial" w:hAnsi="Arial" w:cs="Arial"/>
        </w:rPr>
        <w:t>业主代表及纪检监督人员</w:t>
      </w:r>
      <w:r>
        <w:rPr>
          <w:rFonts w:ascii="Arial" w:hAnsi="Arial" w:cs="Arial"/>
        </w:rPr>
        <w:t>参加竞争性磋商会议并签名报到以证明其出席。</w:t>
      </w:r>
    </w:p>
    <w:p>
      <w:pPr>
        <w:numPr>
          <w:ilvl w:val="0"/>
          <w:numId w:val="1"/>
        </w:numPr>
        <w:spacing w:line="400" w:lineRule="atLeast"/>
        <w:rPr>
          <w:rFonts w:ascii="Arial" w:hAnsi="Arial" w:cs="Arial"/>
          <w:b/>
          <w:sz w:val="24"/>
        </w:rPr>
      </w:pPr>
      <w:r>
        <w:rPr>
          <w:rFonts w:ascii="Arial" w:hAnsi="Arial" w:cs="Arial"/>
          <w:b/>
          <w:sz w:val="24"/>
        </w:rPr>
        <w:t>竞争性磋商小组</w:t>
      </w:r>
      <w:r>
        <w:rPr>
          <w:rFonts w:hint="eastAsia" w:ascii="Arial" w:hAnsi="Arial" w:cs="Arial"/>
          <w:b/>
          <w:sz w:val="24"/>
        </w:rPr>
        <w:t>的组建</w:t>
      </w:r>
    </w:p>
    <w:p>
      <w:pPr>
        <w:numPr>
          <w:ilvl w:val="1"/>
          <w:numId w:val="1"/>
        </w:numPr>
        <w:snapToGrid w:val="0"/>
        <w:spacing w:line="400" w:lineRule="atLeast"/>
        <w:jc w:val="both"/>
        <w:rPr>
          <w:rFonts w:ascii="Arial" w:hAnsi="Arial" w:cs="Arial"/>
        </w:rPr>
      </w:pPr>
      <w:r>
        <w:rPr>
          <w:rFonts w:ascii="Arial" w:hAnsi="Arial" w:cs="Arial"/>
        </w:rPr>
        <w:t>本次采购依法组建竞争性磋商小组。竞争性磋商小组由采购人的代表</w:t>
      </w:r>
      <w:r>
        <w:rPr>
          <w:rFonts w:hint="eastAsia" w:ascii="Arial" w:hAnsi="Arial" w:cs="Arial"/>
        </w:rPr>
        <w:t>1名</w:t>
      </w:r>
      <w:r>
        <w:rPr>
          <w:rFonts w:ascii="Arial" w:hAnsi="Arial" w:cs="Arial"/>
        </w:rPr>
        <w:t>和2</w:t>
      </w:r>
      <w:r>
        <w:rPr>
          <w:rFonts w:hint="eastAsia" w:ascii="Arial" w:hAnsi="Arial" w:cs="Arial"/>
        </w:rPr>
        <w:t>名</w:t>
      </w:r>
      <w:r>
        <w:rPr>
          <w:rFonts w:ascii="Arial" w:hAnsi="Arial" w:cs="Arial"/>
        </w:rPr>
        <w:t>有关专家共3人组成。</w:t>
      </w:r>
    </w:p>
    <w:p>
      <w:pPr>
        <w:numPr>
          <w:ilvl w:val="0"/>
          <w:numId w:val="1"/>
        </w:numPr>
        <w:spacing w:line="400" w:lineRule="atLeast"/>
        <w:rPr>
          <w:rFonts w:ascii="Arial" w:hAnsi="Arial" w:cs="Arial"/>
          <w:b/>
          <w:sz w:val="24"/>
        </w:rPr>
      </w:pPr>
      <w:r>
        <w:rPr>
          <w:rFonts w:ascii="Arial" w:hAnsi="Arial" w:cs="Arial"/>
          <w:b/>
          <w:sz w:val="24"/>
        </w:rPr>
        <w:t>竞争性磋商工作程序</w:t>
      </w:r>
    </w:p>
    <w:p>
      <w:pPr>
        <w:numPr>
          <w:ilvl w:val="1"/>
          <w:numId w:val="1"/>
        </w:numPr>
        <w:snapToGrid w:val="0"/>
        <w:spacing w:line="400" w:lineRule="atLeast"/>
        <w:jc w:val="both"/>
        <w:rPr>
          <w:rFonts w:ascii="Arial" w:hAnsi="Arial" w:cs="Arial"/>
        </w:rPr>
      </w:pPr>
      <w:r>
        <w:rPr>
          <w:rFonts w:ascii="Arial" w:hAnsi="Arial" w:cs="Arial"/>
        </w:rPr>
        <w:t>竞争性磋商响应文件在规定时间递交后，竞争性磋商小组根据竞争性磋商文件首先审查竞争性磋商响应文件提供的资格证明文件是否齐全、是否满足竞争性磋商文件的报价资格要求等；其次审查竞争性磋商响应文件提交的内容是否完整，是否按竞争性磋商文件的要求作出了相应的响应。</w:t>
      </w:r>
    </w:p>
    <w:p>
      <w:pPr>
        <w:numPr>
          <w:ilvl w:val="1"/>
          <w:numId w:val="1"/>
        </w:numPr>
        <w:snapToGrid w:val="0"/>
        <w:spacing w:line="400" w:lineRule="atLeast"/>
        <w:jc w:val="both"/>
        <w:rPr>
          <w:rFonts w:ascii="Arial" w:hAnsi="Arial" w:cs="Arial"/>
        </w:rPr>
      </w:pPr>
      <w:r>
        <w:rPr>
          <w:rFonts w:ascii="Arial" w:hAnsi="Arial" w:cs="Arial"/>
        </w:rPr>
        <w:t>竞争性磋商。竞争性磋商小组所有成员集中与各竞争性磋商供应商分别进行竞争性磋商。在竞争性磋商中，竞争性磋商的任何一方不得透露与竞争性磋商有关的其他竞争性磋商供应商的技术资料、价格和其他信息。</w:t>
      </w:r>
    </w:p>
    <w:p>
      <w:pPr>
        <w:numPr>
          <w:ilvl w:val="1"/>
          <w:numId w:val="1"/>
        </w:numPr>
        <w:snapToGrid w:val="0"/>
        <w:spacing w:line="400" w:lineRule="atLeast"/>
        <w:jc w:val="both"/>
        <w:rPr>
          <w:rFonts w:ascii="Arial" w:hAnsi="Arial" w:cs="Arial"/>
        </w:rPr>
      </w:pPr>
      <w:r>
        <w:rPr>
          <w:rFonts w:ascii="Arial" w:hAnsi="Arial" w:cs="Arial"/>
        </w:rPr>
        <w:t>竞争性磋商文件有实质性变动的（包括竞争性磋商内容及合同主要条款、评定成交标准），竞争性磋商小组应当在竞争性磋商供应商</w:t>
      </w:r>
      <w:r>
        <w:rPr>
          <w:rFonts w:hint="eastAsia" w:ascii="Arial" w:hAnsi="Arial" w:cs="Arial"/>
        </w:rPr>
        <w:t>下</w:t>
      </w:r>
      <w:r>
        <w:rPr>
          <w:rFonts w:ascii="Arial" w:hAnsi="Arial" w:cs="Arial"/>
        </w:rPr>
        <w:t>轮报价前通知所有参加竞争性磋商的竞争性磋商供应商。</w:t>
      </w:r>
    </w:p>
    <w:p>
      <w:pPr>
        <w:numPr>
          <w:ilvl w:val="1"/>
          <w:numId w:val="1"/>
        </w:numPr>
        <w:snapToGrid w:val="0"/>
        <w:spacing w:line="400" w:lineRule="atLeast"/>
        <w:jc w:val="both"/>
        <w:rPr>
          <w:rFonts w:ascii="Arial" w:hAnsi="Arial" w:cs="Arial"/>
        </w:rPr>
      </w:pPr>
      <w:r>
        <w:rPr>
          <w:rFonts w:ascii="Arial" w:hAnsi="Arial" w:cs="Arial"/>
        </w:rPr>
        <w:t>本次竞争性磋商允许两次报价，竞争性磋商响应文件为首次报价。</w:t>
      </w:r>
    </w:p>
    <w:p>
      <w:pPr>
        <w:numPr>
          <w:ilvl w:val="1"/>
          <w:numId w:val="1"/>
        </w:numPr>
        <w:snapToGrid w:val="0"/>
        <w:spacing w:line="400" w:lineRule="atLeast"/>
        <w:jc w:val="both"/>
        <w:rPr>
          <w:rFonts w:ascii="Arial" w:hAnsi="Arial" w:cs="Arial"/>
        </w:rPr>
      </w:pPr>
      <w:r>
        <w:rPr>
          <w:rFonts w:ascii="Arial" w:hAnsi="Arial" w:cs="Arial"/>
        </w:rPr>
        <w:t>竞争性磋商结束后，竞争性磋商小组应当要求合格通过的竞争性磋商供应商在规定时间</w:t>
      </w:r>
      <w:r>
        <w:rPr>
          <w:rFonts w:hint="eastAsia" w:ascii="Arial" w:hAnsi="Arial" w:cs="Arial"/>
        </w:rPr>
        <w:t>（30分钟）</w:t>
      </w:r>
      <w:r>
        <w:rPr>
          <w:rFonts w:ascii="Arial" w:hAnsi="Arial" w:cs="Arial"/>
        </w:rPr>
        <w:t>内根据商谈内容进行第二次报价（即最后报价），竞争性磋商供应商的报价原则上不得高于上轮的报价（竞争性磋商内容变更的除外），可与上轮报价相同；未报价者，视同与上轮报价相同。</w:t>
      </w:r>
    </w:p>
    <w:p>
      <w:pPr>
        <w:numPr>
          <w:ilvl w:val="1"/>
          <w:numId w:val="1"/>
        </w:numPr>
        <w:snapToGrid w:val="0"/>
        <w:spacing w:line="400" w:lineRule="atLeast"/>
        <w:jc w:val="both"/>
        <w:rPr>
          <w:rFonts w:ascii="Arial" w:hAnsi="Arial" w:cs="Arial"/>
        </w:rPr>
      </w:pPr>
      <w:r>
        <w:rPr>
          <w:rFonts w:ascii="Arial" w:hAnsi="Arial" w:cs="Arial"/>
        </w:rPr>
        <w:t>如竞争性磋商小组一致认为某个竞争性磋商供应商的报价明显不合理，有降低服务质量、不能诚信履行及不正当竞争的可能时，竞争性磋商小组有权通知竞争性磋商供应商限期进行解释。若该竞争性磋商供应商未在规定期限内做出解释，或做出的解释不合理并</w:t>
      </w:r>
      <w:r>
        <w:rPr>
          <w:rFonts w:hint="eastAsia" w:ascii="Arial" w:hAnsi="Arial" w:cs="Arial"/>
        </w:rPr>
        <w:t>否决</w:t>
      </w:r>
      <w:r>
        <w:rPr>
          <w:rFonts w:ascii="Arial" w:hAnsi="Arial" w:cs="Arial"/>
        </w:rPr>
        <w:t>改变，经竞争性磋商小组取得一致意见后，可确定拒绝该报价。</w:t>
      </w:r>
    </w:p>
    <w:p>
      <w:pPr>
        <w:numPr>
          <w:ilvl w:val="1"/>
          <w:numId w:val="1"/>
        </w:numPr>
        <w:snapToGrid w:val="0"/>
        <w:spacing w:line="400" w:lineRule="atLeast"/>
        <w:jc w:val="both"/>
        <w:rPr>
          <w:rFonts w:ascii="Arial" w:hAnsi="Arial" w:cs="Arial"/>
          <w:b/>
        </w:rPr>
      </w:pPr>
      <w:r>
        <w:rPr>
          <w:rFonts w:ascii="Arial" w:hAnsi="Arial" w:cs="Arial"/>
        </w:rPr>
        <w:t>如果候选成交供应商的报价高于政府采购预算金额或明显偏离市场正常价格时，竞争性磋商小组将取消其成交资格，对受影响的竞争性磋商供应商不承担任何责任，也无义务向受影响的竞争性磋商供应商解释采取这一行动的理由</w:t>
      </w:r>
    </w:p>
    <w:p>
      <w:pPr>
        <w:numPr>
          <w:ilvl w:val="0"/>
          <w:numId w:val="1"/>
        </w:numPr>
        <w:spacing w:line="400" w:lineRule="atLeast"/>
        <w:rPr>
          <w:rFonts w:ascii="Arial" w:hAnsi="Arial" w:cs="Arial"/>
          <w:b/>
          <w:sz w:val="24"/>
        </w:rPr>
      </w:pPr>
      <w:r>
        <w:rPr>
          <w:rFonts w:ascii="Arial" w:hAnsi="Arial" w:cs="Arial"/>
          <w:b/>
        </w:rPr>
        <w:t>评审</w:t>
      </w:r>
    </w:p>
    <w:p>
      <w:pPr>
        <w:numPr>
          <w:ilvl w:val="1"/>
          <w:numId w:val="1"/>
        </w:numPr>
        <w:snapToGrid w:val="0"/>
        <w:spacing w:line="400" w:lineRule="atLeast"/>
        <w:jc w:val="both"/>
        <w:rPr>
          <w:rFonts w:ascii="Arial" w:hAnsi="Arial" w:cs="Arial"/>
        </w:rPr>
      </w:pPr>
      <w:r>
        <w:rPr>
          <w:rFonts w:ascii="Arial" w:hAnsi="Arial" w:cs="Arial"/>
        </w:rPr>
        <w:t>在竞争性磋商时下列情况按照无效报价处理：</w:t>
      </w:r>
    </w:p>
    <w:p>
      <w:pPr>
        <w:numPr>
          <w:ilvl w:val="0"/>
          <w:numId w:val="4"/>
        </w:numPr>
        <w:tabs>
          <w:tab w:val="left" w:pos="425"/>
          <w:tab w:val="left" w:pos="1133"/>
        </w:tabs>
        <w:spacing w:line="400" w:lineRule="atLeast"/>
        <w:ind w:left="1470" w:hanging="630"/>
        <w:rPr>
          <w:rFonts w:ascii="Arial" w:hAnsi="Arial" w:cs="Arial"/>
        </w:rPr>
      </w:pPr>
      <w:r>
        <w:rPr>
          <w:rFonts w:ascii="Arial" w:hAnsi="Arial" w:cs="Arial"/>
        </w:rPr>
        <w:t>报价不是固定价的</w:t>
      </w:r>
      <w:r>
        <w:rPr>
          <w:rFonts w:hint="eastAsia" w:ascii="Arial" w:hAnsi="Arial" w:cs="Arial"/>
        </w:rPr>
        <w:t>或者</w:t>
      </w:r>
      <w:r>
        <w:rPr>
          <w:rFonts w:ascii="Arial" w:hAnsi="Arial" w:cs="Arial"/>
        </w:rPr>
        <w:t>最终报价超过财政预算的；</w:t>
      </w:r>
    </w:p>
    <w:p>
      <w:pPr>
        <w:numPr>
          <w:ilvl w:val="0"/>
          <w:numId w:val="4"/>
        </w:numPr>
        <w:tabs>
          <w:tab w:val="left" w:pos="425"/>
          <w:tab w:val="left" w:pos="1133"/>
        </w:tabs>
        <w:spacing w:line="400" w:lineRule="atLeast"/>
        <w:ind w:left="1470" w:hanging="630"/>
        <w:rPr>
          <w:rFonts w:ascii="Arial" w:hAnsi="Arial" w:cs="Arial"/>
        </w:rPr>
      </w:pPr>
      <w:r>
        <w:rPr>
          <w:rFonts w:hint="eastAsia" w:ascii="Arial" w:hAnsi="Arial" w:cs="Arial"/>
        </w:rPr>
        <w:t>提供的</w:t>
      </w:r>
      <w:r>
        <w:rPr>
          <w:rFonts w:ascii="Arial" w:hAnsi="Arial" w:cs="Arial"/>
        </w:rPr>
        <w:t>服务</w:t>
      </w:r>
      <w:r>
        <w:rPr>
          <w:rFonts w:hint="eastAsia" w:ascii="Arial" w:hAnsi="Arial" w:cs="Arial"/>
        </w:rPr>
        <w:t>不满足采购内容及技术要求以及商务有重大偏离或保留的；</w:t>
      </w:r>
    </w:p>
    <w:p>
      <w:pPr>
        <w:numPr>
          <w:ilvl w:val="0"/>
          <w:numId w:val="4"/>
        </w:numPr>
        <w:tabs>
          <w:tab w:val="left" w:pos="425"/>
          <w:tab w:val="left" w:pos="1133"/>
        </w:tabs>
        <w:spacing w:line="400" w:lineRule="atLeast"/>
        <w:ind w:left="1470" w:hanging="630"/>
        <w:rPr>
          <w:rFonts w:ascii="Arial" w:hAnsi="Arial" w:cs="Arial"/>
        </w:rPr>
      </w:pPr>
      <w:r>
        <w:rPr>
          <w:rFonts w:hint="eastAsia" w:ascii="Arial" w:hAnsi="Arial" w:cs="Arial"/>
        </w:rPr>
        <w:t>竞争性磋商响应文件中需签字或盖章的地方未加盖竞争性磋商供应商单位全称的公章，或使用投标专用章、合同章等类似图章代替，或未经法定代表人或其委托代理人签字或盖章；</w:t>
      </w:r>
    </w:p>
    <w:p>
      <w:pPr>
        <w:numPr>
          <w:ilvl w:val="0"/>
          <w:numId w:val="4"/>
        </w:numPr>
        <w:tabs>
          <w:tab w:val="left" w:pos="425"/>
          <w:tab w:val="left" w:pos="1133"/>
        </w:tabs>
        <w:spacing w:line="400" w:lineRule="atLeast"/>
        <w:ind w:left="1470" w:hanging="630"/>
        <w:rPr>
          <w:rFonts w:ascii="Arial" w:hAnsi="Arial" w:cs="Arial"/>
        </w:rPr>
      </w:pPr>
      <w:r>
        <w:rPr>
          <w:rFonts w:hint="eastAsia" w:ascii="Arial" w:hAnsi="Arial" w:cs="Arial"/>
        </w:rPr>
        <w:t>竞争性磋商小组认为竞争性磋商响应文件未实质性响应竞争性磋商文件要求的；</w:t>
      </w:r>
    </w:p>
    <w:p>
      <w:pPr>
        <w:numPr>
          <w:ilvl w:val="0"/>
          <w:numId w:val="4"/>
        </w:numPr>
        <w:tabs>
          <w:tab w:val="left" w:pos="425"/>
          <w:tab w:val="left" w:pos="1133"/>
        </w:tabs>
        <w:spacing w:line="400" w:lineRule="atLeast"/>
        <w:ind w:left="1470" w:hanging="630"/>
        <w:rPr>
          <w:rFonts w:ascii="Arial" w:hAnsi="Arial" w:cs="Arial"/>
        </w:rPr>
      </w:pPr>
      <w:r>
        <w:rPr>
          <w:rFonts w:hint="eastAsia" w:ascii="Arial" w:hAnsi="Arial" w:cs="Arial"/>
        </w:rPr>
        <w:t>不具备竞争性磋商文件中规定资格要求的；</w:t>
      </w:r>
    </w:p>
    <w:p>
      <w:pPr>
        <w:numPr>
          <w:ilvl w:val="0"/>
          <w:numId w:val="4"/>
        </w:numPr>
        <w:tabs>
          <w:tab w:val="left" w:pos="425"/>
          <w:tab w:val="left" w:pos="1133"/>
        </w:tabs>
        <w:spacing w:line="400" w:lineRule="atLeast"/>
        <w:ind w:left="1470" w:hanging="630"/>
        <w:rPr>
          <w:rFonts w:ascii="Arial" w:hAnsi="Arial" w:cs="Arial"/>
        </w:rPr>
      </w:pPr>
      <w:r>
        <w:rPr>
          <w:rFonts w:hint="eastAsia" w:ascii="Arial" w:hAnsi="Arial" w:cs="Arial"/>
        </w:rPr>
        <w:t>授权代表</w:t>
      </w:r>
      <w:r>
        <w:rPr>
          <w:rFonts w:ascii="Arial" w:hAnsi="Arial" w:cs="Arial"/>
        </w:rPr>
        <w:t>未在竞争性磋商响应文件中提供有效法定代表人授权委托书的；</w:t>
      </w:r>
    </w:p>
    <w:p>
      <w:pPr>
        <w:numPr>
          <w:ilvl w:val="0"/>
          <w:numId w:val="4"/>
        </w:numPr>
        <w:tabs>
          <w:tab w:val="left" w:pos="425"/>
          <w:tab w:val="left" w:pos="1133"/>
        </w:tabs>
        <w:spacing w:line="400" w:lineRule="atLeast"/>
        <w:ind w:left="1470" w:hanging="630"/>
        <w:rPr>
          <w:rFonts w:ascii="Arial" w:hAnsi="Arial" w:cs="Arial"/>
        </w:rPr>
      </w:pPr>
      <w:r>
        <w:rPr>
          <w:rFonts w:hint="eastAsia" w:ascii="Arial" w:hAnsi="Arial" w:cs="Arial"/>
        </w:rPr>
        <w:t>不符合法律、法规和竞争性磋商文件中规定的其他实质性要求的。</w:t>
      </w:r>
    </w:p>
    <w:p>
      <w:pPr>
        <w:numPr>
          <w:ilvl w:val="1"/>
          <w:numId w:val="1"/>
        </w:numPr>
        <w:snapToGrid w:val="0"/>
        <w:spacing w:line="400" w:lineRule="atLeast"/>
        <w:jc w:val="both"/>
        <w:rPr>
          <w:rFonts w:ascii="Arial" w:hAnsi="Arial" w:cs="Arial"/>
        </w:rPr>
      </w:pPr>
      <w:r>
        <w:rPr>
          <w:rFonts w:ascii="Arial" w:hAnsi="Arial" w:cs="Arial"/>
        </w:rPr>
        <w:t>竞争性磋商小组将根据各竞争性磋商供应商的最后报价</w:t>
      </w:r>
      <w:r>
        <w:rPr>
          <w:rFonts w:hint="eastAsia" w:ascii="Arial" w:hAnsi="Arial" w:cs="Arial"/>
        </w:rPr>
        <w:t>和承诺，</w:t>
      </w:r>
      <w:r>
        <w:rPr>
          <w:rFonts w:ascii="Arial" w:hAnsi="Arial" w:cs="Arial"/>
        </w:rPr>
        <w:t>按评定办法计算</w:t>
      </w:r>
      <w:r>
        <w:rPr>
          <w:rFonts w:hint="eastAsia" w:ascii="Arial" w:hAnsi="Arial" w:cs="Arial"/>
        </w:rPr>
        <w:t>综合得分</w:t>
      </w:r>
      <w:r>
        <w:rPr>
          <w:rFonts w:ascii="Arial" w:hAnsi="Arial" w:cs="Arial"/>
        </w:rPr>
        <w:t>，</w:t>
      </w:r>
      <w:r>
        <w:rPr>
          <w:rFonts w:hint="eastAsia" w:ascii="Arial" w:hAnsi="Arial" w:cs="Arial"/>
        </w:rPr>
        <w:t>按综合得分由高到低排序，排序第一的为</w:t>
      </w:r>
      <w:r>
        <w:rPr>
          <w:rFonts w:ascii="Arial" w:hAnsi="Arial" w:cs="Arial"/>
        </w:rPr>
        <w:t>预选成交供应商，</w:t>
      </w:r>
      <w:r>
        <w:rPr>
          <w:rFonts w:hint="eastAsia" w:ascii="Arial" w:hAnsi="Arial" w:cs="Arial"/>
        </w:rPr>
        <w:t>其余</w:t>
      </w:r>
      <w:r>
        <w:rPr>
          <w:rFonts w:ascii="Arial" w:hAnsi="Arial" w:cs="Arial"/>
        </w:rPr>
        <w:t>有效供应商按</w:t>
      </w:r>
      <w:r>
        <w:rPr>
          <w:rFonts w:hint="eastAsia" w:ascii="Arial" w:hAnsi="Arial" w:cs="Arial"/>
        </w:rPr>
        <w:t>综合得分由高到低排序</w:t>
      </w:r>
      <w:r>
        <w:rPr>
          <w:rFonts w:ascii="Arial" w:hAnsi="Arial" w:cs="Arial"/>
        </w:rPr>
        <w:t>。</w:t>
      </w:r>
    </w:p>
    <w:p>
      <w:pPr>
        <w:numPr>
          <w:ilvl w:val="0"/>
          <w:numId w:val="1"/>
        </w:numPr>
        <w:spacing w:line="400" w:lineRule="atLeast"/>
        <w:jc w:val="both"/>
        <w:rPr>
          <w:rFonts w:ascii="Arial" w:hAnsi="Arial" w:cs="Arial"/>
          <w:b/>
          <w:bCs/>
          <w:sz w:val="24"/>
        </w:rPr>
      </w:pPr>
      <w:r>
        <w:rPr>
          <w:rFonts w:ascii="Arial" w:hAnsi="Arial" w:cs="Arial"/>
          <w:b/>
          <w:sz w:val="24"/>
        </w:rPr>
        <w:t>成交供应商的确定</w:t>
      </w:r>
    </w:p>
    <w:p>
      <w:pPr>
        <w:numPr>
          <w:ilvl w:val="1"/>
          <w:numId w:val="1"/>
        </w:numPr>
        <w:snapToGrid w:val="0"/>
        <w:spacing w:line="400" w:lineRule="atLeast"/>
        <w:jc w:val="both"/>
        <w:rPr>
          <w:rFonts w:ascii="Arial" w:hAnsi="Arial" w:cs="Arial"/>
        </w:rPr>
      </w:pPr>
      <w:r>
        <w:rPr>
          <w:rFonts w:ascii="Arial" w:hAnsi="Arial" w:cs="Arial"/>
        </w:rPr>
        <w:t>采购代理机构按竞争性磋商小组的评审结果，确定预选成交供应商为成交供应商，当预选</w:t>
      </w:r>
      <w:r>
        <w:rPr>
          <w:rFonts w:hint="eastAsia" w:ascii="Arial" w:hAnsi="Arial" w:cs="Arial"/>
        </w:rPr>
        <w:t>成交</w:t>
      </w:r>
      <w:r>
        <w:rPr>
          <w:rFonts w:ascii="Arial" w:hAnsi="Arial" w:cs="Arial"/>
        </w:rPr>
        <w:t>供应商因故不能成交时，可以确定</w:t>
      </w:r>
      <w:r>
        <w:rPr>
          <w:rFonts w:hint="eastAsia" w:ascii="Arial" w:hAnsi="Arial" w:cs="Arial"/>
        </w:rPr>
        <w:t>综合得分</w:t>
      </w:r>
      <w:r>
        <w:rPr>
          <w:rFonts w:ascii="Arial" w:hAnsi="Arial" w:cs="Arial"/>
        </w:rPr>
        <w:t>排名第二</w:t>
      </w:r>
      <w:r>
        <w:rPr>
          <w:rFonts w:hint="eastAsia" w:ascii="Arial" w:hAnsi="Arial" w:cs="Arial"/>
        </w:rPr>
        <w:t>的备</w:t>
      </w:r>
      <w:r>
        <w:rPr>
          <w:rFonts w:ascii="Arial" w:hAnsi="Arial" w:cs="Arial"/>
        </w:rPr>
        <w:t>选成交供应商为成交供应商，</w:t>
      </w:r>
      <w:r>
        <w:rPr>
          <w:rFonts w:hint="eastAsia" w:ascii="Arial" w:hAnsi="Arial" w:cs="Arial"/>
        </w:rPr>
        <w:t>当其因故</w:t>
      </w:r>
      <w:r>
        <w:rPr>
          <w:rFonts w:ascii="Arial" w:hAnsi="Arial" w:cs="Arial"/>
        </w:rPr>
        <w:t>不能成交时，可以确定</w:t>
      </w:r>
      <w:r>
        <w:rPr>
          <w:rFonts w:hint="eastAsia" w:ascii="Arial" w:hAnsi="Arial" w:cs="Arial"/>
        </w:rPr>
        <w:t>综合得分</w:t>
      </w:r>
      <w:r>
        <w:rPr>
          <w:rFonts w:ascii="Arial" w:hAnsi="Arial" w:cs="Arial"/>
        </w:rPr>
        <w:t>排名第三的备选成交供应商为成交供应商，</w:t>
      </w:r>
      <w:r>
        <w:rPr>
          <w:rFonts w:hint="eastAsia" w:ascii="Arial" w:hAnsi="Arial" w:cs="Arial"/>
        </w:rPr>
        <w:t>以此</w:t>
      </w:r>
      <w:r>
        <w:rPr>
          <w:rFonts w:ascii="Arial" w:hAnsi="Arial" w:cs="Arial"/>
        </w:rPr>
        <w:t>类推。报价超过采购预算资金的除外。</w:t>
      </w:r>
    </w:p>
    <w:p>
      <w:pPr>
        <w:numPr>
          <w:ilvl w:val="1"/>
          <w:numId w:val="1"/>
        </w:numPr>
        <w:snapToGrid w:val="0"/>
        <w:spacing w:line="400" w:lineRule="atLeast"/>
        <w:jc w:val="both"/>
        <w:rPr>
          <w:rFonts w:ascii="Arial" w:hAnsi="Arial" w:cs="Arial"/>
        </w:rPr>
      </w:pPr>
      <w:r>
        <w:rPr>
          <w:rFonts w:ascii="Arial" w:hAnsi="Arial" w:cs="Arial"/>
        </w:rPr>
        <w:t>采购代理机构将在 “浙江政府采购网”（网址：www.zjzfcg.gov.cn）上发布《成交结果公</w:t>
      </w:r>
      <w:r>
        <w:rPr>
          <w:rFonts w:hint="eastAsia" w:ascii="Arial" w:hAnsi="Arial" w:cs="Arial"/>
        </w:rPr>
        <w:t>告</w:t>
      </w:r>
      <w:r>
        <w:rPr>
          <w:rFonts w:ascii="Arial" w:hAnsi="Arial" w:cs="Arial"/>
        </w:rPr>
        <w:t>》。</w:t>
      </w:r>
    </w:p>
    <w:p>
      <w:pPr>
        <w:numPr>
          <w:ilvl w:val="0"/>
          <w:numId w:val="1"/>
        </w:numPr>
        <w:spacing w:line="400" w:lineRule="atLeast"/>
        <w:jc w:val="both"/>
        <w:rPr>
          <w:rFonts w:ascii="Arial" w:hAnsi="Arial" w:cs="Arial"/>
          <w:b/>
          <w:bCs/>
          <w:sz w:val="24"/>
        </w:rPr>
      </w:pPr>
      <w:r>
        <w:rPr>
          <w:rFonts w:ascii="Arial" w:hAnsi="Arial" w:cs="Arial"/>
          <w:b/>
          <w:bCs/>
          <w:sz w:val="24"/>
        </w:rPr>
        <w:t>评审过程保密</w:t>
      </w:r>
    </w:p>
    <w:p>
      <w:pPr>
        <w:numPr>
          <w:ilvl w:val="1"/>
          <w:numId w:val="1"/>
        </w:numPr>
        <w:snapToGrid w:val="0"/>
        <w:spacing w:line="400" w:lineRule="atLeast"/>
        <w:jc w:val="both"/>
        <w:rPr>
          <w:rFonts w:ascii="Arial" w:hAnsi="Arial" w:cs="Arial"/>
        </w:rPr>
      </w:pPr>
      <w:r>
        <w:rPr>
          <w:rFonts w:ascii="Arial" w:hAnsi="Arial" w:cs="Arial"/>
        </w:rPr>
        <w:t>竞争性磋商之后，直到授予竞争性磋商供应商合同止，凡是属于审查、澄清、评价和比较竞争性磋商的有关资料以及授标意向等，均不得向竞争性磋商供应商或其他无关的人员透露。</w:t>
      </w:r>
    </w:p>
    <w:p>
      <w:pPr>
        <w:numPr>
          <w:ilvl w:val="0"/>
          <w:numId w:val="1"/>
        </w:numPr>
        <w:spacing w:line="400" w:lineRule="atLeast"/>
        <w:jc w:val="both"/>
        <w:rPr>
          <w:rFonts w:ascii="Arial" w:hAnsi="Arial" w:cs="Arial"/>
          <w:b/>
          <w:sz w:val="24"/>
        </w:rPr>
      </w:pPr>
      <w:r>
        <w:rPr>
          <w:rFonts w:hint="eastAsia" w:ascii="Arial" w:hAnsi="Arial" w:cs="Arial"/>
          <w:b/>
          <w:sz w:val="24"/>
        </w:rPr>
        <w:t>否决</w:t>
      </w:r>
      <w:r>
        <w:rPr>
          <w:rFonts w:ascii="Arial" w:hAnsi="Arial" w:cs="Arial"/>
          <w:b/>
          <w:sz w:val="24"/>
        </w:rPr>
        <w:t>任何或所有竞争性磋商的权利</w:t>
      </w:r>
    </w:p>
    <w:p>
      <w:pPr>
        <w:numPr>
          <w:ilvl w:val="1"/>
          <w:numId w:val="1"/>
        </w:numPr>
        <w:snapToGrid w:val="0"/>
        <w:spacing w:line="400" w:lineRule="atLeast"/>
        <w:jc w:val="both"/>
        <w:rPr>
          <w:rFonts w:ascii="Arial" w:hAnsi="Arial" w:cs="Arial"/>
        </w:rPr>
      </w:pPr>
      <w:r>
        <w:rPr>
          <w:rFonts w:ascii="Arial" w:hAnsi="Arial" w:cs="Arial"/>
        </w:rPr>
        <w:t>竞争性磋商小组经评审，认为所有竞争性磋商都不符合竞争性磋商文件要求的，可以否决所有竞争性磋商。</w:t>
      </w:r>
    </w:p>
    <w:p>
      <w:pPr>
        <w:numPr>
          <w:ilvl w:val="1"/>
          <w:numId w:val="1"/>
        </w:numPr>
        <w:snapToGrid w:val="0"/>
        <w:spacing w:line="400" w:lineRule="atLeast"/>
        <w:jc w:val="both"/>
        <w:rPr>
          <w:rFonts w:ascii="Arial" w:hAnsi="Arial"/>
        </w:rPr>
      </w:pPr>
      <w:r>
        <w:rPr>
          <w:rFonts w:hint="eastAsia" w:ascii="Arial" w:hAnsi="Arial"/>
        </w:rPr>
        <w:t>如果成交预选供应商不能按照竞争性磋商文件要求及其竞争性磋商响应文件的承诺签订合同或其竞争性磋商响应文件与事实不符，影响采购的公平公开及合同的实施，采购人有权在授予合同前任何时候依照法定程序将合同授予成交备选供应商。如果成交备选供应商仍无法签订合同，采购人将依法不接受或否决任何竞争性磋商，并宣布采购无效，对受影响的竞争性磋商供应商不承担任何责任，也无义务向受影响的竞争性磋商供应商解释采取这一行动的理由。</w:t>
      </w:r>
    </w:p>
    <w:p>
      <w:pPr>
        <w:numPr>
          <w:ilvl w:val="0"/>
          <w:numId w:val="1"/>
        </w:numPr>
        <w:spacing w:line="400" w:lineRule="atLeast"/>
        <w:jc w:val="both"/>
        <w:rPr>
          <w:rFonts w:ascii="Arial" w:hAnsi="Arial" w:cs="Arial"/>
          <w:b/>
          <w:sz w:val="24"/>
        </w:rPr>
      </w:pPr>
      <w:r>
        <w:rPr>
          <w:rFonts w:ascii="Arial" w:hAnsi="Arial" w:cs="Arial"/>
          <w:b/>
          <w:sz w:val="24"/>
        </w:rPr>
        <w:t>质疑与投诉</w:t>
      </w:r>
    </w:p>
    <w:p>
      <w:pPr>
        <w:numPr>
          <w:ilvl w:val="1"/>
          <w:numId w:val="1"/>
        </w:numPr>
        <w:snapToGrid w:val="0"/>
        <w:spacing w:line="400" w:lineRule="atLeast"/>
        <w:jc w:val="both"/>
        <w:rPr>
          <w:rFonts w:ascii="Arial" w:hAnsi="Arial" w:cs="Arial"/>
        </w:rPr>
      </w:pPr>
      <w:r>
        <w:rPr>
          <w:rFonts w:hint="eastAsia" w:ascii="Arial" w:hAnsi="Arial" w:cs="Arial"/>
        </w:rPr>
        <w:t>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1"/>
          <w:numId w:val="1"/>
        </w:numPr>
        <w:snapToGrid w:val="0"/>
        <w:spacing w:line="400" w:lineRule="atLeast"/>
        <w:jc w:val="both"/>
        <w:rPr>
          <w:rFonts w:ascii="Arial" w:hAnsi="Arial" w:cs="Arial"/>
        </w:rPr>
      </w:pPr>
      <w:r>
        <w:rPr>
          <w:rFonts w:hint="eastAsia" w:ascii="Arial" w:hAnsi="Arial"/>
        </w:rPr>
        <w:t>本项目</w:t>
      </w:r>
      <w:r>
        <w:rPr>
          <w:rFonts w:ascii="Arial" w:hAnsi="Arial"/>
        </w:rPr>
        <w:t>采购结果</w:t>
      </w:r>
      <w:r>
        <w:rPr>
          <w:rFonts w:hint="eastAsia" w:ascii="Arial" w:hAnsi="Arial"/>
        </w:rPr>
        <w:t>公告期限为1个工作日，各参加政府采购活动的供应商认为该中标/成交结果和采购过程等使自己的权益受到损害的，可以自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1"/>
          <w:numId w:val="1"/>
        </w:numPr>
        <w:snapToGrid w:val="0"/>
        <w:spacing w:line="400" w:lineRule="atLeast"/>
        <w:jc w:val="both"/>
        <w:rPr>
          <w:rFonts w:ascii="Arial" w:hAnsi="Arial" w:cs="Arial"/>
        </w:rPr>
      </w:pPr>
      <w:r>
        <w:rPr>
          <w:rFonts w:ascii="Arial" w:hAnsi="Arial" w:cs="Arial"/>
        </w:rPr>
        <w:t>质疑、投诉应当采用书面形式，质疑书、投诉书均应明确阐述竞争性磋商文件、竞争性磋商过程和成交结果中使自己合法权益受到损害的实质性内容，提供相关事实、依据和证据及其来源或线索，便于有关单位调查、答复和处理。</w:t>
      </w:r>
    </w:p>
    <w:p>
      <w:pPr>
        <w:numPr>
          <w:ilvl w:val="0"/>
          <w:numId w:val="5"/>
        </w:numPr>
        <w:tabs>
          <w:tab w:val="left" w:pos="425"/>
          <w:tab w:val="left" w:pos="1133"/>
        </w:tabs>
        <w:spacing w:line="400" w:lineRule="atLeast"/>
        <w:ind w:left="1453" w:leftChars="392" w:hanging="630" w:hangingChars="300"/>
        <w:rPr>
          <w:rFonts w:ascii="Arial" w:hAnsi="Arial" w:cs="Arial"/>
        </w:rPr>
      </w:pPr>
      <w:r>
        <w:rPr>
          <w:rFonts w:ascii="Arial" w:hAnsi="Arial" w:cs="Arial"/>
        </w:rPr>
        <w:t>质疑受理机构：</w:t>
      </w:r>
      <w:r>
        <w:rPr>
          <w:rFonts w:hint="eastAsia" w:ascii="Arial" w:hAnsi="Arial" w:cs="Arial"/>
        </w:rPr>
        <w:t>浙江中望工程管理有限公司</w:t>
      </w:r>
    </w:p>
    <w:p>
      <w:pPr>
        <w:tabs>
          <w:tab w:val="left" w:pos="425"/>
          <w:tab w:val="left" w:pos="1133"/>
        </w:tabs>
        <w:spacing w:line="400" w:lineRule="atLeast"/>
        <w:ind w:left="1418"/>
        <w:rPr>
          <w:rFonts w:ascii="宋体" w:hAnsi="宋体" w:cs="Arial"/>
        </w:rPr>
      </w:pPr>
      <w:r>
        <w:rPr>
          <w:rFonts w:ascii="Arial" w:hAnsi="Arial" w:cs="Arial"/>
        </w:rPr>
        <w:t>受</w:t>
      </w:r>
      <w:r>
        <w:rPr>
          <w:rFonts w:ascii="宋体" w:hAnsi="宋体" w:cs="Arial"/>
        </w:rPr>
        <w:t>理电话：0573-86</w:t>
      </w:r>
      <w:r>
        <w:rPr>
          <w:rFonts w:hint="eastAsia" w:ascii="宋体" w:hAnsi="宋体" w:cs="Arial"/>
        </w:rPr>
        <w:t>118612</w:t>
      </w:r>
    </w:p>
    <w:p>
      <w:pPr>
        <w:numPr>
          <w:ilvl w:val="0"/>
          <w:numId w:val="5"/>
        </w:numPr>
        <w:tabs>
          <w:tab w:val="left" w:pos="425"/>
          <w:tab w:val="left" w:pos="1133"/>
        </w:tabs>
        <w:spacing w:line="400" w:lineRule="atLeast"/>
        <w:ind w:left="1453" w:leftChars="392" w:hanging="630" w:hangingChars="300"/>
        <w:rPr>
          <w:rFonts w:ascii="Arial" w:hAnsi="Arial" w:cs="Arial"/>
        </w:rPr>
      </w:pPr>
      <w:r>
        <w:rPr>
          <w:rFonts w:ascii="Arial" w:hAnsi="Arial" w:cs="Arial"/>
        </w:rPr>
        <w:t>投诉受理机构：</w:t>
      </w:r>
      <w:r>
        <w:rPr>
          <w:rFonts w:hint="eastAsia" w:ascii="Arial" w:hAnsi="Arial" w:cs="Arial"/>
        </w:rPr>
        <w:t>海盐县财政局政府采购监管科</w:t>
      </w:r>
    </w:p>
    <w:p>
      <w:pPr>
        <w:tabs>
          <w:tab w:val="left" w:pos="425"/>
          <w:tab w:val="left" w:pos="1133"/>
        </w:tabs>
        <w:spacing w:line="400" w:lineRule="atLeast"/>
        <w:ind w:left="1418"/>
        <w:rPr>
          <w:rFonts w:ascii="Arial" w:hAnsi="Arial" w:cs="Arial"/>
          <w:szCs w:val="21"/>
        </w:rPr>
      </w:pPr>
      <w:r>
        <w:rPr>
          <w:rFonts w:ascii="Arial" w:hAnsi="Arial" w:cs="Arial"/>
          <w:szCs w:val="21"/>
        </w:rPr>
        <w:t>投诉电话：</w:t>
      </w:r>
      <w:r>
        <w:rPr>
          <w:rFonts w:hint="eastAsia" w:ascii="宋体" w:hAnsi="宋体"/>
          <w:szCs w:val="21"/>
        </w:rPr>
        <w:t>0573-</w:t>
      </w:r>
      <w:r>
        <w:rPr>
          <w:rFonts w:ascii="宋体" w:hAnsi="宋体"/>
          <w:szCs w:val="21"/>
        </w:rPr>
        <w:t>86</w:t>
      </w:r>
      <w:r>
        <w:rPr>
          <w:rFonts w:hint="eastAsia" w:ascii="宋体" w:hAnsi="宋体"/>
          <w:szCs w:val="21"/>
        </w:rPr>
        <w:t>122512</w:t>
      </w:r>
    </w:p>
    <w:p>
      <w:pPr>
        <w:pStyle w:val="4"/>
        <w:spacing w:before="156" w:beforeLines="50" w:after="156" w:afterLines="50" w:line="240" w:lineRule="auto"/>
        <w:jc w:val="center"/>
        <w:rPr>
          <w:rFonts w:ascii="Arial" w:hAnsi="Arial" w:cs="Arial"/>
          <w:sz w:val="24"/>
          <w:szCs w:val="24"/>
        </w:rPr>
      </w:pPr>
      <w:bookmarkStart w:id="9" w:name="_Toc28285"/>
      <w:r>
        <w:rPr>
          <w:rFonts w:ascii="Arial" w:hAnsi="Arial" w:cs="Arial"/>
          <w:sz w:val="24"/>
          <w:szCs w:val="24"/>
        </w:rPr>
        <w:t>（七）授予合同</w:t>
      </w:r>
      <w:bookmarkEnd w:id="9"/>
    </w:p>
    <w:p>
      <w:pPr>
        <w:numPr>
          <w:ilvl w:val="0"/>
          <w:numId w:val="1"/>
        </w:numPr>
        <w:spacing w:line="400" w:lineRule="atLeast"/>
        <w:jc w:val="both"/>
        <w:rPr>
          <w:rFonts w:ascii="Arial" w:hAnsi="Arial" w:cs="Arial"/>
          <w:b/>
          <w:sz w:val="24"/>
        </w:rPr>
      </w:pPr>
      <w:r>
        <w:rPr>
          <w:rFonts w:ascii="Arial" w:hAnsi="Arial" w:cs="Arial"/>
          <w:b/>
          <w:sz w:val="24"/>
        </w:rPr>
        <w:t>合同授予标准</w:t>
      </w:r>
    </w:p>
    <w:p>
      <w:pPr>
        <w:numPr>
          <w:ilvl w:val="1"/>
          <w:numId w:val="1"/>
        </w:numPr>
        <w:snapToGrid w:val="0"/>
        <w:spacing w:line="400" w:lineRule="atLeast"/>
        <w:jc w:val="both"/>
        <w:rPr>
          <w:rFonts w:ascii="Arial" w:hAnsi="Arial" w:cs="Arial"/>
        </w:rPr>
      </w:pPr>
      <w:r>
        <w:rPr>
          <w:rFonts w:ascii="Arial" w:hAnsi="Arial" w:cs="Arial"/>
        </w:rPr>
        <w:t>最终审查</w:t>
      </w:r>
    </w:p>
    <w:p>
      <w:pPr>
        <w:snapToGrid w:val="0"/>
        <w:spacing w:line="400" w:lineRule="atLeast"/>
        <w:ind w:firstLine="840" w:firstLineChars="400"/>
        <w:jc w:val="both"/>
        <w:rPr>
          <w:rFonts w:ascii="Arial" w:hAnsi="Arial" w:cs="Arial"/>
        </w:rPr>
      </w:pPr>
      <w:r>
        <w:rPr>
          <w:rFonts w:ascii="Arial" w:hAnsi="Arial" w:cs="Arial"/>
        </w:rPr>
        <w:t>竞争性磋商结束后，采购代理机构将对竞争性磋商供应商进行最终审查。最终审查的主要内容是：</w:t>
      </w:r>
    </w:p>
    <w:p>
      <w:pPr>
        <w:widowControl w:val="0"/>
        <w:numPr>
          <w:ilvl w:val="1"/>
          <w:numId w:val="6"/>
        </w:numPr>
        <w:spacing w:line="360" w:lineRule="atLeast"/>
        <w:rPr>
          <w:rFonts w:ascii="Arial" w:hAnsi="Arial" w:cs="Arial"/>
        </w:rPr>
      </w:pPr>
      <w:r>
        <w:rPr>
          <w:rFonts w:ascii="Arial" w:hAnsi="Arial" w:cs="Arial"/>
        </w:rPr>
        <w:t>竞争性磋商供应商的资质、业务能力、信誉及以往政府采购活动中的业绩和表现；</w:t>
      </w:r>
    </w:p>
    <w:p>
      <w:pPr>
        <w:widowControl w:val="0"/>
        <w:numPr>
          <w:ilvl w:val="1"/>
          <w:numId w:val="6"/>
        </w:numPr>
        <w:spacing w:line="360" w:lineRule="atLeast"/>
        <w:rPr>
          <w:rFonts w:ascii="Arial" w:hAnsi="Arial" w:cs="Arial"/>
        </w:rPr>
      </w:pPr>
      <w:r>
        <w:rPr>
          <w:rFonts w:ascii="Arial" w:hAnsi="Arial" w:cs="Arial"/>
        </w:rPr>
        <w:t>竞争性磋商供应商履行合同的能力。</w:t>
      </w:r>
    </w:p>
    <w:p>
      <w:pPr>
        <w:numPr>
          <w:ilvl w:val="1"/>
          <w:numId w:val="1"/>
        </w:numPr>
        <w:snapToGrid w:val="0"/>
        <w:spacing w:line="400" w:lineRule="atLeast"/>
        <w:jc w:val="both"/>
        <w:rPr>
          <w:rFonts w:ascii="Arial" w:hAnsi="Arial" w:cs="Arial"/>
        </w:rPr>
      </w:pPr>
      <w:r>
        <w:rPr>
          <w:rFonts w:ascii="Arial" w:hAnsi="Arial" w:cs="Arial"/>
        </w:rPr>
        <w:t>最终审查工作如需成交供应商配合，成交供应商必须接受。</w:t>
      </w:r>
    </w:p>
    <w:p>
      <w:pPr>
        <w:numPr>
          <w:ilvl w:val="1"/>
          <w:numId w:val="1"/>
        </w:numPr>
        <w:snapToGrid w:val="0"/>
        <w:spacing w:line="400" w:lineRule="atLeast"/>
        <w:jc w:val="both"/>
        <w:rPr>
          <w:rFonts w:ascii="Arial" w:hAnsi="Arial" w:cs="Arial"/>
        </w:rPr>
      </w:pPr>
      <w:r>
        <w:rPr>
          <w:rFonts w:ascii="Arial" w:hAnsi="Arial" w:cs="Arial"/>
        </w:rPr>
        <w:t>成交供应商如未能通过最终审查，采购代理机构将视具体情况，提出具体限时整改要求，成交供应商如未能达到整改要求，其成交资格将被取消。</w:t>
      </w:r>
    </w:p>
    <w:p>
      <w:pPr>
        <w:numPr>
          <w:ilvl w:val="1"/>
          <w:numId w:val="1"/>
        </w:numPr>
        <w:snapToGrid w:val="0"/>
        <w:spacing w:line="400" w:lineRule="atLeast"/>
        <w:jc w:val="both"/>
        <w:rPr>
          <w:rFonts w:ascii="Arial" w:hAnsi="Arial" w:cs="Arial"/>
        </w:rPr>
      </w:pPr>
      <w:r>
        <w:rPr>
          <w:rFonts w:ascii="Arial" w:hAnsi="Arial" w:cs="Arial"/>
        </w:rPr>
        <w:t>采购代理机构将合同授予获接受竞争性磋商的竞争性磋商供应商。</w:t>
      </w:r>
    </w:p>
    <w:p>
      <w:pPr>
        <w:numPr>
          <w:ilvl w:val="0"/>
          <w:numId w:val="1"/>
        </w:numPr>
        <w:spacing w:line="400" w:lineRule="atLeast"/>
        <w:jc w:val="both"/>
        <w:rPr>
          <w:rFonts w:ascii="Arial" w:hAnsi="Arial" w:cs="Arial"/>
        </w:rPr>
      </w:pPr>
      <w:r>
        <w:rPr>
          <w:rFonts w:ascii="Arial" w:hAnsi="Arial" w:cs="Arial"/>
          <w:b/>
          <w:sz w:val="24"/>
        </w:rPr>
        <w:t>成交通知</w:t>
      </w:r>
    </w:p>
    <w:p>
      <w:pPr>
        <w:numPr>
          <w:ilvl w:val="1"/>
          <w:numId w:val="1"/>
        </w:numPr>
        <w:snapToGrid w:val="0"/>
        <w:spacing w:line="400" w:lineRule="atLeast"/>
        <w:jc w:val="both"/>
        <w:rPr>
          <w:rFonts w:ascii="Arial" w:hAnsi="Arial" w:cs="Arial"/>
        </w:rPr>
      </w:pPr>
      <w:r>
        <w:rPr>
          <w:rFonts w:ascii="Arial" w:hAnsi="Arial" w:cs="Arial"/>
        </w:rPr>
        <w:t>在竞争性磋商有效期期满之前，采购代理机构将用书面形式向获接受的成交供应商发出书面的《成交通知书》。《成交通知书》将是合同的一个组成部分。</w:t>
      </w:r>
    </w:p>
    <w:p>
      <w:pPr>
        <w:numPr>
          <w:ilvl w:val="0"/>
          <w:numId w:val="1"/>
        </w:numPr>
        <w:snapToGrid w:val="0"/>
        <w:spacing w:line="400" w:lineRule="atLeast"/>
        <w:jc w:val="both"/>
        <w:rPr>
          <w:rFonts w:ascii="Arial" w:hAnsi="Arial" w:cs="Arial"/>
        </w:rPr>
      </w:pPr>
      <w:r>
        <w:rPr>
          <w:rFonts w:ascii="Arial" w:hAnsi="Arial" w:cs="Arial"/>
          <w:b/>
          <w:sz w:val="24"/>
        </w:rPr>
        <w:t>签订合同</w:t>
      </w:r>
    </w:p>
    <w:p>
      <w:pPr>
        <w:numPr>
          <w:ilvl w:val="1"/>
          <w:numId w:val="1"/>
        </w:numPr>
        <w:snapToGrid w:val="0"/>
        <w:spacing w:line="400" w:lineRule="atLeast"/>
        <w:jc w:val="both"/>
        <w:rPr>
          <w:rFonts w:ascii="Arial" w:hAnsi="Arial" w:cs="Arial"/>
          <w:sz w:val="24"/>
        </w:rPr>
      </w:pPr>
      <w:r>
        <w:rPr>
          <w:rFonts w:ascii="Arial" w:hAnsi="Arial" w:cs="Arial"/>
        </w:rPr>
        <w:t>成交供应商按《成交通知书》指定的时间、地点与采购人直接签订合同。</w:t>
      </w:r>
    </w:p>
    <w:p>
      <w:pPr>
        <w:numPr>
          <w:ilvl w:val="1"/>
          <w:numId w:val="1"/>
        </w:numPr>
        <w:snapToGrid w:val="0"/>
        <w:spacing w:line="400" w:lineRule="atLeast"/>
        <w:jc w:val="both"/>
        <w:rPr>
          <w:rFonts w:ascii="Arial" w:hAnsi="Arial" w:cs="Arial"/>
          <w:sz w:val="24"/>
        </w:rPr>
      </w:pPr>
      <w:r>
        <w:rPr>
          <w:rFonts w:ascii="Arial" w:hAnsi="Arial" w:cs="Arial"/>
        </w:rPr>
        <w:t>竞争性磋商文件、成交供应商的竞争性磋商响应文件及其澄清文件等，均为签订经济合同的依据。成交供应商自接到成交通知书后30天内与采购人签订合同。</w:t>
      </w:r>
    </w:p>
    <w:p>
      <w:pPr>
        <w:numPr>
          <w:ilvl w:val="1"/>
          <w:numId w:val="1"/>
        </w:numPr>
        <w:snapToGrid w:val="0"/>
        <w:spacing w:line="400" w:lineRule="atLeast"/>
        <w:jc w:val="both"/>
        <w:rPr>
          <w:rFonts w:ascii="Arial" w:hAnsi="Arial" w:cs="Arial"/>
          <w:sz w:val="24"/>
        </w:rPr>
      </w:pPr>
      <w:r>
        <w:rPr>
          <w:rFonts w:ascii="Arial" w:hAnsi="Arial" w:cs="Arial"/>
        </w:rPr>
        <w:t>成交供应商不遵守竞争性磋商文件的要约、承诺，擅自修改报价或在接到成交通知书30天内，借故拖延、拒签合同者，采购代理机构即可取消该单位的成交权，另选其它竞争性磋商供应商成效。</w:t>
      </w:r>
    </w:p>
    <w:p>
      <w:pPr>
        <w:numPr>
          <w:ilvl w:val="0"/>
          <w:numId w:val="1"/>
        </w:numPr>
        <w:snapToGrid w:val="0"/>
        <w:spacing w:line="400" w:lineRule="atLeast"/>
        <w:jc w:val="both"/>
        <w:rPr>
          <w:rFonts w:ascii="Arial" w:hAnsi="Arial" w:cs="Arial"/>
          <w:b/>
          <w:sz w:val="24"/>
        </w:rPr>
      </w:pPr>
      <w:r>
        <w:rPr>
          <w:rFonts w:ascii="Arial" w:hAnsi="Arial" w:cs="Arial"/>
          <w:b/>
          <w:sz w:val="24"/>
        </w:rPr>
        <w:t>采购结果通知</w:t>
      </w:r>
    </w:p>
    <w:p>
      <w:pPr>
        <w:snapToGrid w:val="0"/>
        <w:spacing w:line="400" w:lineRule="atLeast"/>
        <w:ind w:left="840" w:leftChars="400"/>
        <w:jc w:val="both"/>
        <w:rPr>
          <w:rFonts w:ascii="宋体" w:hAnsi="宋体" w:cs="Arial"/>
        </w:rPr>
      </w:pPr>
      <w:r>
        <w:rPr>
          <w:rFonts w:ascii="宋体" w:hAnsi="宋体" w:cs="Arial"/>
        </w:rPr>
        <w:t>采购代理机构在发出《成交通知书》的同时在 “浙江省政府采购网”（网址：www.zjzfcg.gov.cn）发布成交公告。</w:t>
      </w:r>
    </w:p>
    <w:p>
      <w:pPr>
        <w:numPr>
          <w:ilvl w:val="0"/>
          <w:numId w:val="1"/>
        </w:numPr>
        <w:snapToGrid w:val="0"/>
        <w:spacing w:line="360" w:lineRule="auto"/>
        <w:jc w:val="both"/>
        <w:rPr>
          <w:rFonts w:ascii="Arial" w:hAnsi="Arial" w:cs="Arial"/>
          <w:b/>
          <w:sz w:val="24"/>
        </w:rPr>
      </w:pPr>
      <w:r>
        <w:rPr>
          <w:rFonts w:hint="eastAsia" w:ascii="Arial" w:hAnsi="Arial" w:cs="Arial"/>
          <w:b/>
          <w:sz w:val="24"/>
        </w:rPr>
        <w:t>中小企业</w:t>
      </w:r>
    </w:p>
    <w:p>
      <w:pPr>
        <w:numPr>
          <w:ilvl w:val="1"/>
          <w:numId w:val="1"/>
        </w:numPr>
        <w:snapToGrid w:val="0"/>
        <w:spacing w:line="360" w:lineRule="auto"/>
        <w:jc w:val="both"/>
        <w:rPr>
          <w:rFonts w:ascii="Arial" w:hAnsi="Arial" w:cs="Arial"/>
        </w:rPr>
      </w:pPr>
      <w:bookmarkStart w:id="10" w:name="_Toc480892640"/>
      <w:r>
        <w:rPr>
          <w:rFonts w:hint="eastAsia" w:ascii="Arial" w:hAnsi="Arial" w:cs="Arial"/>
        </w:rPr>
        <w:t>按财库[2020]46号文件执行</w:t>
      </w:r>
    </w:p>
    <w:p>
      <w:pPr>
        <w:numPr>
          <w:ilvl w:val="0"/>
          <w:numId w:val="1"/>
        </w:numPr>
        <w:snapToGrid w:val="0"/>
        <w:spacing w:line="360" w:lineRule="auto"/>
        <w:jc w:val="both"/>
        <w:rPr>
          <w:rFonts w:ascii="宋体" w:hAnsi="宋体"/>
          <w:b/>
          <w:bCs/>
          <w:sz w:val="24"/>
        </w:rPr>
      </w:pPr>
      <w:r>
        <w:rPr>
          <w:rFonts w:ascii="宋体" w:hAnsi="宋体"/>
          <w:b/>
          <w:bCs/>
          <w:sz w:val="24"/>
        </w:rPr>
        <w:t>代理服务费</w:t>
      </w:r>
      <w:bookmarkEnd w:id="10"/>
    </w:p>
    <w:p>
      <w:pPr>
        <w:spacing w:line="360" w:lineRule="auto"/>
        <w:ind w:left="1" w:firstLine="518" w:firstLineChars="247"/>
        <w:rPr>
          <w:rFonts w:ascii="Arial" w:hAnsi="Arial" w:cs="Arial"/>
          <w:szCs w:val="21"/>
        </w:rPr>
      </w:pPr>
      <w:r>
        <w:rPr>
          <w:rFonts w:hint="eastAsia" w:ascii="Arial" w:hAnsi="Arial" w:cs="Arial"/>
          <w:szCs w:val="21"/>
        </w:rPr>
        <w:t>经采购人和代理人双方协商，本次采购代理服务费由成交供应商（中标单位）支付，代理服务费人民币13500元整。采购代理服务费请供应商在报价中予以考虑，该费用须在领取中标通知书前付清。</w:t>
      </w:r>
    </w:p>
    <w:p>
      <w:pPr>
        <w:pStyle w:val="3"/>
        <w:keepNext w:val="0"/>
        <w:keepLines w:val="0"/>
        <w:pageBreakBefore/>
        <w:spacing w:before="312" w:beforeLines="100" w:after="312" w:afterLines="100" w:line="240" w:lineRule="auto"/>
        <w:jc w:val="center"/>
        <w:rPr>
          <w:rFonts w:ascii="Arial" w:hAnsi="Arial" w:cs="Arial"/>
          <w:sz w:val="28"/>
          <w:szCs w:val="36"/>
        </w:rPr>
      </w:pPr>
      <w:bookmarkStart w:id="11" w:name="_Toc26083"/>
      <w:r>
        <w:rPr>
          <w:rFonts w:ascii="Arial" w:hAnsi="Arial" w:cs="Arial"/>
          <w:sz w:val="28"/>
          <w:szCs w:val="36"/>
        </w:rPr>
        <w:t>第三部分</w:t>
      </w:r>
      <w:r>
        <w:rPr>
          <w:rFonts w:hint="eastAsia" w:ascii="Arial" w:hAnsi="Arial" w:cs="Arial"/>
          <w:sz w:val="28"/>
          <w:szCs w:val="36"/>
        </w:rPr>
        <w:t>项目采购需求</w:t>
      </w:r>
      <w:bookmarkEnd w:id="11"/>
    </w:p>
    <w:p>
      <w:pPr>
        <w:widowControl w:val="0"/>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一、项目服务内容</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根据《浙江省全域“无废城市”建设管理规程》和《浙江省全域“无废城市”建设工作指标体系（试行）》等文件要求，围绕建设内容对海盐县开展2022年-</w:t>
      </w:r>
      <w:r>
        <w:rPr>
          <w:rFonts w:ascii="宋体" w:hAnsi="宋体" w:cs="宋体"/>
          <w:color w:val="auto"/>
          <w:szCs w:val="21"/>
          <w:highlight w:val="none"/>
        </w:rPr>
        <w:t>2023年</w:t>
      </w:r>
      <w:r>
        <w:rPr>
          <w:rFonts w:hint="eastAsia" w:ascii="宋体" w:hAnsi="宋体" w:cs="宋体"/>
          <w:color w:val="auto"/>
          <w:szCs w:val="21"/>
          <w:highlight w:val="none"/>
        </w:rPr>
        <w:t>“无废城市”建设技术指导工作，辅导完成海盐县省级全域“无废城市”创建相关工作：</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（一）海盐县“无废城市”</w:t>
      </w:r>
      <w:r>
        <w:rPr>
          <w:rFonts w:ascii="宋体" w:hAnsi="宋体" w:cs="宋体"/>
          <w:color w:val="auto"/>
          <w:szCs w:val="21"/>
          <w:highlight w:val="none"/>
        </w:rPr>
        <w:t>建设四张清单更新</w:t>
      </w:r>
      <w:r>
        <w:rPr>
          <w:rFonts w:hint="eastAsia" w:ascii="宋体" w:hAnsi="宋体" w:cs="宋体"/>
          <w:color w:val="auto"/>
          <w:szCs w:val="21"/>
          <w:highlight w:val="none"/>
        </w:rPr>
        <w:tab/>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按照《浙江省全域“无废城市”建设实施方案》和《嘉兴市全域“无废城市”建设实施方案》等相关文件要求，更新海盐县“无废城市”建设目标清单、项目清单等。</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（二）2022年-</w:t>
      </w:r>
      <w:r>
        <w:rPr>
          <w:rFonts w:ascii="宋体" w:hAnsi="宋体" w:cs="宋体"/>
          <w:color w:val="auto"/>
          <w:szCs w:val="21"/>
          <w:highlight w:val="none"/>
        </w:rPr>
        <w:t>2023年</w:t>
      </w:r>
      <w:r>
        <w:rPr>
          <w:rFonts w:hint="eastAsia" w:ascii="宋体" w:hAnsi="宋体" w:cs="宋体"/>
          <w:color w:val="auto"/>
          <w:szCs w:val="21"/>
          <w:highlight w:val="none"/>
        </w:rPr>
        <w:t>“无废城市”建设过程技术指导和服务</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1、协助生态环境局召开无废城市各类会议，包括省市调研会、县级复盘会、全县动员会、任务部署会、过程推进会等；</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2、及时为各部门解读省、市无废城市相关政策文件，解答问题；</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3、协助推进创建工作，定期分析各指标、工程的完成情况；</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4、协助完成省市调度，评估总结等；</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5、协助开展“无废细胞”培育工作；</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6、协助完成“无废城市”建设上报材料的修改把关等；</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7、配合做好省市调研、省市汇报，与省生态环境厅对接等相关工作。</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（三）海盐县“无废城市”建设特色亮点打造</w:t>
      </w:r>
      <w:r>
        <w:rPr>
          <w:rFonts w:hint="eastAsia" w:ascii="宋体" w:hAnsi="宋体" w:cs="宋体"/>
          <w:color w:val="auto"/>
          <w:szCs w:val="21"/>
          <w:highlight w:val="none"/>
        </w:rPr>
        <w:tab/>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1、赴示范区核心区、开发区和相关重点企业调研，挖掘特色；</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2、结合海盐实际，谋划海盐县无废城市建设重点工程，形成特色亮点工作，并协助开展相应宣传</w:t>
      </w:r>
      <w:r>
        <w:rPr>
          <w:rFonts w:ascii="宋体" w:hAnsi="宋体" w:cs="宋体"/>
          <w:color w:val="auto"/>
          <w:szCs w:val="21"/>
          <w:highlight w:val="none"/>
        </w:rPr>
        <w:t>。</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协助</w:t>
      </w:r>
      <w:r>
        <w:rPr>
          <w:rFonts w:hint="eastAsia" w:ascii="宋体" w:hAnsi="宋体" w:cs="宋体"/>
          <w:color w:val="auto"/>
          <w:szCs w:val="21"/>
          <w:highlight w:val="none"/>
        </w:rPr>
        <w:t>省级无废</w:t>
      </w:r>
      <w:r>
        <w:rPr>
          <w:rFonts w:hint="eastAsia" w:ascii="宋体" w:hAnsi="宋体" w:cs="宋体"/>
          <w:color w:val="auto"/>
          <w:szCs w:val="21"/>
          <w:highlight w:val="none"/>
          <w:lang w:eastAsia="zh-CN"/>
        </w:rPr>
        <w:t>之窗</w:t>
      </w:r>
      <w:r>
        <w:rPr>
          <w:rFonts w:hint="eastAsia" w:ascii="宋体" w:hAnsi="宋体" w:cs="宋体"/>
          <w:color w:val="auto"/>
          <w:szCs w:val="21"/>
          <w:highlight w:val="none"/>
        </w:rPr>
        <w:t>相关工作，加强省级媒体宣传；</w:t>
      </w:r>
    </w:p>
    <w:p>
      <w:pPr>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4、协助撰写新闻稿，做好主流媒体上的宣传。</w:t>
      </w:r>
    </w:p>
    <w:p>
      <w:pPr>
        <w:widowControl w:val="0"/>
        <w:spacing w:line="360" w:lineRule="auto"/>
        <w:ind w:firstLine="420" w:firstLineChars="200"/>
        <w:rPr>
          <w:rFonts w:ascii="宋体" w:hAnsi="宋体" w:cs="宋体"/>
          <w:color w:val="auto"/>
          <w:kern w:val="2"/>
          <w:szCs w:val="21"/>
          <w:highlight w:val="none"/>
        </w:rPr>
      </w:pPr>
      <w:r>
        <w:rPr>
          <w:rFonts w:hint="eastAsia" w:ascii="宋体" w:hAnsi="宋体" w:cs="宋体"/>
          <w:b/>
          <w:bCs/>
          <w:color w:val="auto"/>
          <w:szCs w:val="21"/>
          <w:highlight w:val="none"/>
        </w:rPr>
        <w:t>二、服务期限：</w:t>
      </w:r>
      <w:r>
        <w:rPr>
          <w:rFonts w:hint="eastAsia" w:ascii="宋体" w:hAnsi="宋体" w:cs="宋体"/>
          <w:color w:val="auto"/>
          <w:szCs w:val="21"/>
          <w:highlight w:val="none"/>
        </w:rPr>
        <w:t>合同签订之日起至202</w:t>
      </w:r>
      <w:r>
        <w:rPr>
          <w:rFonts w:ascii="宋体" w:hAnsi="宋体" w:cs="宋体"/>
          <w:color w:val="auto"/>
          <w:szCs w:val="21"/>
          <w:highlight w:val="none"/>
        </w:rPr>
        <w:t>3</w:t>
      </w:r>
      <w:r>
        <w:rPr>
          <w:rFonts w:hint="eastAsia" w:ascii="宋体" w:hAnsi="宋体" w:cs="宋体"/>
          <w:color w:val="auto"/>
          <w:szCs w:val="21"/>
          <w:highlight w:val="none"/>
        </w:rPr>
        <w:t>年度申报工作完成。</w:t>
      </w:r>
      <w:r>
        <w:rPr>
          <w:rFonts w:hint="eastAsia" w:ascii="宋体" w:hAnsi="宋体" w:cs="宋体"/>
          <w:color w:val="auto"/>
          <w:kern w:val="2"/>
          <w:szCs w:val="21"/>
          <w:highlight w:val="none"/>
        </w:rPr>
        <w:t>做好“无废城市”创建服务指导、申报工作、成果维护等工作。</w:t>
      </w:r>
    </w:p>
    <w:p>
      <w:pPr>
        <w:widowControl w:val="0"/>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三、付款方式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1、合同签订后7个工作日内，采购人向中标人支付预付款，预付款为合同总价的</w:t>
      </w:r>
      <w:r>
        <w:rPr>
          <w:rFonts w:hint="eastAsia" w:ascii="宋体" w:hAnsi="宋体"/>
          <w:color w:val="auto"/>
          <w:szCs w:val="21"/>
          <w:highlight w:val="none"/>
          <w:lang w:val="en-US" w:eastAsia="zh-CN"/>
        </w:rPr>
        <w:t>40</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2、按照省市要求，完成海盐县“无废城市”建设四张清单等材料，经业主审核通过支付合同总价的</w:t>
      </w:r>
      <w:r>
        <w:rPr>
          <w:rFonts w:hint="eastAsia" w:ascii="宋体" w:hAnsi="宋体"/>
          <w:color w:val="auto"/>
          <w:szCs w:val="21"/>
          <w:highlight w:val="none"/>
          <w:lang w:val="en-US" w:eastAsia="zh-CN"/>
        </w:rPr>
        <w:t>20</w:t>
      </w:r>
      <w:r>
        <w:rPr>
          <w:rFonts w:hint="eastAsia" w:ascii="宋体" w:hAnsi="宋体"/>
          <w:color w:val="auto"/>
          <w:szCs w:val="21"/>
          <w:highlight w:val="none"/>
        </w:rPr>
        <w:t>%。</w:t>
      </w:r>
    </w:p>
    <w:p>
      <w:pPr>
        <w:snapToGrid w:val="0"/>
        <w:spacing w:line="360" w:lineRule="auto"/>
        <w:ind w:firstLine="420" w:firstLineChars="200"/>
        <w:rPr>
          <w:szCs w:val="21"/>
          <w:highlight w:val="none"/>
        </w:rPr>
      </w:pPr>
      <w:r>
        <w:rPr>
          <w:rFonts w:hint="eastAsia" w:ascii="宋体" w:hAnsi="宋体"/>
          <w:color w:val="auto"/>
          <w:szCs w:val="21"/>
          <w:highlight w:val="none"/>
        </w:rPr>
        <w:t>3、按照省市要求，完成海盐县“无废城市”建设2022年-</w:t>
      </w:r>
      <w:r>
        <w:rPr>
          <w:rFonts w:ascii="宋体" w:hAnsi="宋体"/>
          <w:color w:val="auto"/>
          <w:szCs w:val="21"/>
          <w:highlight w:val="none"/>
        </w:rPr>
        <w:t>2023</w:t>
      </w:r>
      <w:r>
        <w:rPr>
          <w:rFonts w:ascii="宋体" w:hAnsi="宋体"/>
          <w:szCs w:val="21"/>
          <w:highlight w:val="none"/>
        </w:rPr>
        <w:t>年</w:t>
      </w:r>
      <w:r>
        <w:rPr>
          <w:rFonts w:hint="eastAsia" w:ascii="宋体" w:hAnsi="宋体"/>
          <w:szCs w:val="21"/>
          <w:highlight w:val="none"/>
        </w:rPr>
        <w:t>的技术指导和服务工作，于202</w:t>
      </w:r>
      <w:r>
        <w:rPr>
          <w:rFonts w:ascii="宋体" w:hAnsi="宋体"/>
          <w:szCs w:val="21"/>
          <w:highlight w:val="none"/>
        </w:rPr>
        <w:t>4</w:t>
      </w:r>
      <w:r>
        <w:rPr>
          <w:rFonts w:hint="eastAsia" w:ascii="宋体" w:hAnsi="宋体"/>
          <w:szCs w:val="21"/>
          <w:highlight w:val="none"/>
        </w:rPr>
        <w:t>年3月30日前支付合同总价的</w:t>
      </w:r>
      <w:r>
        <w:rPr>
          <w:rFonts w:hint="eastAsia" w:ascii="宋体" w:hAnsi="宋体"/>
          <w:szCs w:val="21"/>
          <w:highlight w:val="none"/>
          <w:lang w:val="en-US" w:eastAsia="zh-CN"/>
        </w:rPr>
        <w:t>4</w:t>
      </w:r>
      <w:r>
        <w:rPr>
          <w:rFonts w:hint="eastAsia" w:ascii="宋体" w:hAnsi="宋体"/>
          <w:szCs w:val="21"/>
          <w:highlight w:val="none"/>
        </w:rPr>
        <w:t>0%。</w:t>
      </w:r>
    </w:p>
    <w:p>
      <w:pPr>
        <w:rPr>
          <w:rFonts w:ascii="宋体" w:hAnsi="宋体" w:cs="宋体"/>
          <w:szCs w:val="21"/>
        </w:rPr>
      </w:pPr>
    </w:p>
    <w:p>
      <w:pPr>
        <w:pStyle w:val="3"/>
        <w:keepNext w:val="0"/>
        <w:keepLines w:val="0"/>
        <w:pageBreakBefore/>
        <w:spacing w:before="312" w:beforeLines="100" w:after="312" w:afterLines="100" w:line="240" w:lineRule="auto"/>
        <w:jc w:val="center"/>
        <w:rPr>
          <w:rFonts w:ascii="Arial" w:hAnsi="Arial" w:cs="Arial"/>
          <w:sz w:val="28"/>
          <w:szCs w:val="36"/>
        </w:rPr>
      </w:pPr>
      <w:bookmarkStart w:id="12" w:name="_Toc25360"/>
      <w:r>
        <w:rPr>
          <w:rFonts w:hint="eastAsia" w:ascii="Arial" w:hAnsi="Arial" w:cs="Arial"/>
          <w:sz w:val="28"/>
          <w:szCs w:val="36"/>
        </w:rPr>
        <w:t>第四部分合同条款</w:t>
      </w:r>
      <w:bookmarkEnd w:id="12"/>
    </w:p>
    <w:p>
      <w:pPr>
        <w:spacing w:line="360" w:lineRule="auto"/>
        <w:ind w:firstLine="411" w:firstLineChars="196"/>
        <w:jc w:val="center"/>
        <w:rPr>
          <w:rFonts w:ascii="宋体" w:hAnsi="宋体" w:cs="Arial"/>
          <w:b/>
          <w:bCs/>
          <w:szCs w:val="21"/>
        </w:rPr>
      </w:pPr>
      <w:r>
        <w:rPr>
          <w:rFonts w:hint="eastAsia" w:ascii="宋体" w:hAnsi="宋体" w:cs="Arial"/>
          <w:b/>
          <w:bCs/>
          <w:szCs w:val="21"/>
        </w:rPr>
        <w:t>一、通用必备条款部分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rPr>
      </w:pPr>
      <w:r>
        <w:rPr>
          <w:rFonts w:hint="eastAsia" w:ascii="宋体" w:hAnsi="宋体" w:cs="Arial"/>
          <w:szCs w:val="21"/>
        </w:rPr>
        <w:t>合同编号：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rPr>
      </w:pPr>
      <w:r>
        <w:rPr>
          <w:rFonts w:hint="eastAsia" w:ascii="宋体" w:hAnsi="宋体" w:cs="Arial"/>
          <w:szCs w:val="21"/>
        </w:rPr>
        <w:t>政府采购计划（预算）确认号：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rPr>
      </w:pPr>
      <w:r>
        <w:rPr>
          <w:rFonts w:hint="eastAsia" w:ascii="宋体" w:hAnsi="宋体" w:cs="Arial"/>
          <w:szCs w:val="21"/>
        </w:rPr>
        <w:t>预算金额：</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rPr>
      </w:pPr>
      <w:r>
        <w:rPr>
          <w:rFonts w:hint="eastAsia" w:ascii="宋体" w:hAnsi="宋体" w:cs="Arial"/>
          <w:szCs w:val="21"/>
        </w:rPr>
        <w:t>采购人（以下称甲方）：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rPr>
      </w:pPr>
      <w:r>
        <w:rPr>
          <w:rFonts w:hint="eastAsia" w:ascii="宋体" w:hAnsi="宋体" w:cs="Arial"/>
          <w:szCs w:val="21"/>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rPr>
      </w:pPr>
      <w:r>
        <w:rPr>
          <w:rFonts w:hint="eastAsia" w:ascii="宋体" w:hAnsi="宋体" w:cs="Arial"/>
          <w:szCs w:val="21"/>
        </w:rPr>
        <w:t>采购代理机构：</w:t>
      </w:r>
      <w:r>
        <w:rPr>
          <w:rFonts w:hint="eastAsia" w:ascii="宋体" w:hAnsi="宋体" w:cs="Arial"/>
          <w:szCs w:val="21"/>
          <w:u w:val="single"/>
        </w:rPr>
        <w:t>浙江中望工程管理有限公司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rPr>
      </w:pPr>
      <w:r>
        <w:rPr>
          <w:rFonts w:hint="eastAsia" w:ascii="宋体" w:hAnsi="宋体" w:cs="Arial"/>
          <w:szCs w:val="21"/>
        </w:rPr>
        <w:t>采购方式：</w:t>
      </w:r>
      <w:r>
        <w:rPr>
          <w:rFonts w:hint="eastAsia" w:ascii="宋体" w:hAnsi="宋体" w:cs="Arial"/>
          <w:szCs w:val="21"/>
          <w:u w:val="single"/>
        </w:rPr>
        <w:t>竞争性磋商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根据《中华人民共和国政府采购法》、《中华人民共和国民法典》等法律法规的规定，甲乙双方按照</w:t>
      </w:r>
      <w:r>
        <w:rPr>
          <w:rFonts w:hint="eastAsia" w:ascii="宋体" w:hAnsi="宋体"/>
          <w:szCs w:val="21"/>
          <w:u w:val="single"/>
        </w:rPr>
        <w:t>2022年-</w:t>
      </w:r>
      <w:r>
        <w:rPr>
          <w:rFonts w:ascii="宋体" w:hAnsi="宋体"/>
          <w:szCs w:val="21"/>
          <w:u w:val="single"/>
        </w:rPr>
        <w:t>2023年</w:t>
      </w:r>
      <w:r>
        <w:rPr>
          <w:rFonts w:hint="eastAsia" w:ascii="宋体" w:hAnsi="宋体"/>
          <w:szCs w:val="21"/>
          <w:u w:val="single"/>
        </w:rPr>
        <w:t>海盐县全域“无废城市”建设技术咨询及服务项目</w:t>
      </w:r>
      <w:r>
        <w:rPr>
          <w:rFonts w:hint="eastAsia" w:ascii="宋体" w:hAnsi="宋体" w:cs="Arial"/>
          <w:szCs w:val="21"/>
        </w:rPr>
        <w:t>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rPr>
      </w:pPr>
      <w:r>
        <w:rPr>
          <w:rFonts w:hint="eastAsia" w:ascii="宋体" w:hAnsi="宋体" w:cs="Arial"/>
          <w:b/>
          <w:szCs w:val="21"/>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rPr>
      </w:pPr>
      <w:r>
        <w:rPr>
          <w:rFonts w:hint="eastAsia" w:ascii="宋体" w:hAnsi="宋体" w:cs="Arial"/>
          <w:b/>
          <w:szCs w:val="21"/>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1、本次采购的是。</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rPr>
      </w:pPr>
      <w:r>
        <w:rPr>
          <w:rFonts w:hint="eastAsia" w:ascii="宋体" w:hAnsi="宋体" w:cs="Arial"/>
          <w:b/>
          <w:szCs w:val="21"/>
        </w:rPr>
        <w:t>第三条 合同价款</w:t>
      </w:r>
    </w:p>
    <w:p>
      <w:pPr>
        <w:autoSpaceDE w:val="0"/>
        <w:autoSpaceDN w:val="0"/>
        <w:adjustRightInd w:val="0"/>
        <w:snapToGrid w:val="0"/>
        <w:spacing w:line="360" w:lineRule="auto"/>
        <w:ind w:firstLine="369" w:firstLineChars="176"/>
        <w:textAlignment w:val="bottom"/>
        <w:rPr>
          <w:rFonts w:ascii="宋体" w:hAnsi="宋体" w:cs="仿宋_GB2312"/>
          <w:szCs w:val="21"/>
        </w:rPr>
      </w:pPr>
      <w:r>
        <w:rPr>
          <w:rFonts w:hint="eastAsia" w:ascii="宋体" w:hAnsi="宋体" w:cs="Arial"/>
          <w:szCs w:val="21"/>
        </w:rPr>
        <w:t>1、本合同项下总价款为人民币（大写）。</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kern w:val="2"/>
          <w:szCs w:val="21"/>
        </w:rPr>
      </w:pPr>
      <w:r>
        <w:rPr>
          <w:rFonts w:hint="eastAsia" w:ascii="宋体" w:hAnsi="宋体" w:cs="Arial"/>
          <w:szCs w:val="21"/>
        </w:rPr>
        <w:t>2、本合同总价款</w:t>
      </w:r>
      <w:r>
        <w:rPr>
          <w:rFonts w:ascii="宋体" w:hAnsi="宋体" w:cs="Arial"/>
          <w:szCs w:val="21"/>
        </w:rPr>
        <w:t>应</w:t>
      </w:r>
      <w:r>
        <w:rPr>
          <w:rFonts w:hint="eastAsia" w:ascii="宋体" w:hAnsi="宋体"/>
          <w:szCs w:val="21"/>
        </w:rPr>
        <w:t>总报价</w:t>
      </w:r>
      <w:r>
        <w:rPr>
          <w:rFonts w:ascii="宋体" w:hAnsi="宋体"/>
          <w:szCs w:val="21"/>
        </w:rPr>
        <w:t>包括</w:t>
      </w:r>
      <w:r>
        <w:rPr>
          <w:rFonts w:hint="eastAsia" w:ascii="宋体" w:hAnsi="宋体"/>
          <w:szCs w:val="21"/>
        </w:rPr>
        <w:t>完成本项目工作所涉及的材料、设备使用、人工、车辆使用、来往路费开销、住宿、招待、企业管理费、利润、风险、</w:t>
      </w:r>
      <w:r>
        <w:rPr>
          <w:rFonts w:ascii="宋体" w:hAnsi="宋体"/>
          <w:szCs w:val="21"/>
        </w:rPr>
        <w:t>税金</w:t>
      </w:r>
      <w:r>
        <w:rPr>
          <w:rFonts w:hint="eastAsia" w:ascii="宋体" w:hAnsi="宋体"/>
          <w:szCs w:val="21"/>
        </w:rPr>
        <w:t>、专家费、招标代理费等一切</w:t>
      </w:r>
      <w:r>
        <w:rPr>
          <w:rFonts w:ascii="宋体" w:hAnsi="宋体"/>
          <w:szCs w:val="21"/>
        </w:rPr>
        <w:t>费用</w:t>
      </w:r>
      <w:r>
        <w:rPr>
          <w:rFonts w:hint="eastAsia" w:ascii="宋体" w:hAnsi="宋体"/>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3、本合同付款方式为以下第</w:t>
      </w:r>
      <w:r>
        <w:rPr>
          <w:rFonts w:hint="eastAsia" w:ascii="宋体" w:hAnsi="宋体" w:cs="Arial"/>
          <w:b/>
          <w:szCs w:val="21"/>
          <w:u w:val="single"/>
        </w:rPr>
        <w:t>（1）</w:t>
      </w:r>
      <w:r>
        <w:rPr>
          <w:rFonts w:hint="eastAsia" w:ascii="宋体" w:hAnsi="宋体" w:cs="Arial"/>
          <w:szCs w:val="21"/>
        </w:rPr>
        <w:t>项：</w:t>
      </w:r>
    </w:p>
    <w:p>
      <w:pPr>
        <w:adjustRightInd w:val="0"/>
        <w:snapToGrid w:val="0"/>
        <w:spacing w:line="360" w:lineRule="auto"/>
        <w:ind w:firstLine="525" w:firstLineChars="250"/>
        <w:rPr>
          <w:rFonts w:ascii="宋体" w:hAnsi="宋体" w:cs="宋体"/>
          <w:color w:val="000000"/>
          <w:szCs w:val="21"/>
          <w:u w:val="single"/>
        </w:rPr>
      </w:pPr>
      <w:r>
        <w:rPr>
          <w:rFonts w:hint="eastAsia" w:ascii="宋体" w:hAnsi="宋体" w:cs="Arial"/>
          <w:szCs w:val="21"/>
        </w:rPr>
        <w:t>（1）本合同项下的采购资金系甲方自行支付，付款程序为:</w:t>
      </w:r>
      <w:r>
        <w:rPr>
          <w:rFonts w:hint="eastAsia" w:ascii="宋体" w:hAnsi="宋体" w:cs="宋体"/>
          <w:color w:val="000000"/>
          <w:szCs w:val="21"/>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（2）本合同项下的采购资金须财政直接支付，付款程序为</w:t>
      </w:r>
      <w:r>
        <w:rPr>
          <w:rFonts w:hint="eastAsia" w:ascii="宋体" w:hAnsi="宋体" w:cs="Arial"/>
          <w:szCs w:val="21"/>
          <w:u w:val="single"/>
        </w:rPr>
        <w:t xml:space="preserve">        /          </w:t>
      </w:r>
      <w:r>
        <w:rPr>
          <w:rFonts w:hint="eastAsia" w:ascii="宋体" w:hAnsi="宋体" w:cs="Arial"/>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i/>
          <w:szCs w:val="21"/>
        </w:rPr>
      </w:pPr>
      <w:r>
        <w:rPr>
          <w:rFonts w:hint="eastAsia" w:ascii="宋体" w:hAnsi="宋体" w:cs="Arial"/>
          <w:szCs w:val="21"/>
        </w:rPr>
        <w:t>（3）其他方式：</w:t>
      </w:r>
      <w:r>
        <w:rPr>
          <w:rFonts w:hint="eastAsia" w:ascii="宋体" w:hAnsi="宋体" w:cs="Arial"/>
          <w:szCs w:val="21"/>
          <w:u w:val="single"/>
        </w:rPr>
        <w:t xml:space="preserve">   /   </w:t>
      </w:r>
      <w:r>
        <w:rPr>
          <w:rFonts w:hint="eastAsia" w:ascii="宋体" w:hAnsi="宋体" w:cs="Arial"/>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5、本合同项下的采购资金付款进度按招投标文件规定，未规定时按以下第</w:t>
      </w:r>
      <w:r>
        <w:rPr>
          <w:rFonts w:hint="eastAsia" w:ascii="宋体" w:hAnsi="宋体" w:cs="Arial"/>
          <w:b/>
          <w:szCs w:val="21"/>
          <w:u w:val="single"/>
        </w:rPr>
        <w:t>（2）</w:t>
      </w:r>
      <w:r>
        <w:rPr>
          <w:rFonts w:hint="eastAsia" w:ascii="宋体" w:hAnsi="宋体" w:cs="Arial"/>
          <w:szCs w:val="21"/>
        </w:rPr>
        <w:t>项支付：</w:t>
      </w:r>
    </w:p>
    <w:p>
      <w:pPr>
        <w:spacing w:line="360" w:lineRule="auto"/>
        <w:ind w:firstLine="411" w:firstLineChars="196"/>
        <w:contextualSpacing/>
        <w:rPr>
          <w:rFonts w:ascii="宋体" w:hAnsi="宋体" w:cs="Arial"/>
          <w:szCs w:val="21"/>
        </w:rPr>
      </w:pPr>
      <w:r>
        <w:rPr>
          <w:rFonts w:hint="eastAsia" w:ascii="宋体" w:hAnsi="宋体" w:cs="Arial"/>
          <w:szCs w:val="21"/>
        </w:rPr>
        <w:t>（1）一次性付款：</w:t>
      </w:r>
      <w:r>
        <w:rPr>
          <w:rFonts w:hint="eastAsia" w:ascii="宋体" w:hAnsi="宋体" w:cs="Arial"/>
          <w:szCs w:val="21"/>
          <w:u w:val="single"/>
        </w:rPr>
        <w:t xml:space="preserve">        /          </w:t>
      </w:r>
      <w:r>
        <w:rPr>
          <w:rFonts w:hint="eastAsia" w:ascii="宋体" w:hAnsi="宋体" w:cs="Arial"/>
          <w:szCs w:val="21"/>
        </w:rPr>
        <w:t>；</w:t>
      </w:r>
    </w:p>
    <w:p>
      <w:pPr>
        <w:spacing w:line="360" w:lineRule="auto"/>
        <w:ind w:firstLine="411" w:firstLineChars="196"/>
        <w:contextualSpacing/>
        <w:rPr>
          <w:rFonts w:ascii="宋体" w:hAnsi="宋体"/>
          <w:szCs w:val="21"/>
          <w:u w:val="single"/>
        </w:rPr>
      </w:pPr>
      <w:r>
        <w:rPr>
          <w:rFonts w:hint="eastAsia" w:ascii="宋体" w:hAnsi="宋体" w:cs="Arial"/>
          <w:szCs w:val="21"/>
        </w:rPr>
        <w:t>（2）分期付款：</w:t>
      </w:r>
      <w:r>
        <w:rPr>
          <w:rFonts w:hint="eastAsia" w:ascii="宋体" w:hAnsi="宋体" w:cs="宋体"/>
          <w:color w:val="000000"/>
          <w:szCs w:val="21"/>
          <w:u w:val="single"/>
        </w:rPr>
        <w:t xml:space="preserve">                                     。</w:t>
      </w:r>
    </w:p>
    <w:p>
      <w:pPr>
        <w:spacing w:line="360" w:lineRule="auto"/>
        <w:ind w:firstLine="411" w:firstLineChars="196"/>
        <w:contextualSpacing/>
        <w:rPr>
          <w:rFonts w:ascii="宋体" w:hAnsi="宋体" w:cs="Arial"/>
          <w:szCs w:val="21"/>
        </w:rPr>
      </w:pPr>
      <w:r>
        <w:rPr>
          <w:rFonts w:hint="eastAsia" w:ascii="宋体" w:hAnsi="宋体" w:cs="Arial"/>
          <w:szCs w:val="21"/>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rPr>
      </w:pPr>
      <w:r>
        <w:rPr>
          <w:rFonts w:hint="eastAsia" w:ascii="宋体" w:hAnsi="宋体" w:cs="Arial"/>
          <w:b/>
          <w:szCs w:val="21"/>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highlight w:val="none"/>
        </w:rPr>
      </w:pPr>
      <w:r>
        <w:rPr>
          <w:rFonts w:hint="eastAsia" w:ascii="宋体" w:hAnsi="宋体" w:cs="Arial"/>
          <w:szCs w:val="21"/>
          <w:highlight w:val="none"/>
        </w:rPr>
        <w:t>按以下第</w:t>
      </w:r>
      <w:r>
        <w:rPr>
          <w:rFonts w:hint="eastAsia" w:ascii="宋体" w:hAnsi="宋体" w:cs="Arial"/>
          <w:b/>
          <w:szCs w:val="21"/>
          <w:highlight w:val="none"/>
          <w:u w:val="single"/>
        </w:rPr>
        <w:t xml:space="preserve"> (2) </w:t>
      </w:r>
      <w:r>
        <w:rPr>
          <w:rFonts w:hint="eastAsia" w:ascii="宋体" w:hAnsi="宋体" w:cs="Arial"/>
          <w:szCs w:val="21"/>
          <w:highlight w:val="none"/>
        </w:rPr>
        <w:t>项处理：</w:t>
      </w:r>
    </w:p>
    <w:p>
      <w:pPr>
        <w:spacing w:line="360" w:lineRule="auto"/>
        <w:ind w:firstLine="420" w:firstLineChars="200"/>
        <w:rPr>
          <w:rFonts w:ascii="宋体" w:hAnsi="宋体" w:cs="Arial"/>
          <w:szCs w:val="21"/>
        </w:rPr>
      </w:pPr>
      <w:r>
        <w:rPr>
          <w:rFonts w:hint="eastAsia" w:ascii="宋体" w:hAnsi="宋体" w:cs="Arial"/>
          <w:szCs w:val="21"/>
        </w:rPr>
        <w:t>1、本项目设置履约保证金，乙方应于</w:t>
      </w:r>
      <w:r>
        <w:rPr>
          <w:rFonts w:hint="eastAsia" w:ascii="宋体" w:hAnsi="宋体" w:cs="Arial"/>
          <w:szCs w:val="21"/>
          <w:u w:val="single"/>
        </w:rPr>
        <w:t xml:space="preserve">   /   </w:t>
      </w:r>
      <w:r>
        <w:rPr>
          <w:rFonts w:hint="eastAsia" w:ascii="宋体" w:hAnsi="宋体" w:cs="Arial"/>
          <w:szCs w:val="21"/>
        </w:rPr>
        <w:t>（时间）向甲方提交履约保证金</w:t>
      </w:r>
      <w:r>
        <w:rPr>
          <w:rFonts w:hint="eastAsia" w:ascii="宋体" w:hAnsi="宋体" w:cs="Arial"/>
          <w:szCs w:val="21"/>
          <w:u w:val="single"/>
        </w:rPr>
        <w:t xml:space="preserve">   /   </w:t>
      </w:r>
      <w:r>
        <w:rPr>
          <w:rFonts w:hint="eastAsia" w:ascii="宋体" w:hAnsi="宋体" w:cs="Arial"/>
          <w:szCs w:val="21"/>
        </w:rPr>
        <w:t>元。履约保证金</w:t>
      </w:r>
      <w:r>
        <w:rPr>
          <w:rFonts w:hint="eastAsia" w:ascii="宋体" w:hAnsi="宋体"/>
          <w:szCs w:val="21"/>
        </w:rPr>
        <w:t>返的方式：</w:t>
      </w:r>
      <w:r>
        <w:rPr>
          <w:rFonts w:hint="eastAsia" w:ascii="宋体" w:hAnsi="宋体"/>
          <w:szCs w:val="21"/>
          <w:u w:val="single"/>
        </w:rPr>
        <w:t xml:space="preserve">      /      </w:t>
      </w:r>
      <w:r>
        <w:rPr>
          <w:rFonts w:hint="eastAsia" w:ascii="宋体" w:hAnsi="宋体"/>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rPr>
      </w:pPr>
      <w:r>
        <w:rPr>
          <w:rFonts w:hint="eastAsia" w:ascii="宋体" w:hAnsi="宋体" w:cs="Arial"/>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rPr>
      </w:pPr>
      <w:r>
        <w:rPr>
          <w:rFonts w:hint="eastAsia" w:ascii="宋体" w:hAnsi="宋体" w:cs="Arial"/>
          <w:b/>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除《政府采购法》第49条、第50条第二款规定的情形外，本合同一经签订，甲乙双方不得擅自终止合同或对合同实质性条款进行变更。确有特殊情况的，须经财政部门备案同意。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rPr>
      </w:pPr>
      <w:r>
        <w:rPr>
          <w:rFonts w:hint="eastAsia" w:ascii="宋体" w:hAnsi="宋体" w:cs="Arial"/>
          <w:b/>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rPr>
      </w:pPr>
      <w:r>
        <w:rPr>
          <w:rFonts w:hint="eastAsia" w:ascii="宋体" w:hAnsi="宋体" w:cs="Arial"/>
          <w:b/>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1、因履行本合同引起的或与本合同有关的争议，甲、乙双方应首先通过友好协商解决，如果协商不能解决争议，则采取以下第</w:t>
      </w:r>
      <w:r>
        <w:rPr>
          <w:rFonts w:hint="eastAsia" w:ascii="宋体" w:hAnsi="宋体" w:cs="Arial"/>
          <w:szCs w:val="21"/>
          <w:u w:val="single"/>
        </w:rPr>
        <w:t>（1）</w:t>
      </w:r>
      <w:r>
        <w:rPr>
          <w:rFonts w:hint="eastAsia" w:ascii="宋体" w:hAnsi="宋体" w:cs="Arial"/>
          <w:szCs w:val="21"/>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（2）向</w:t>
      </w:r>
      <w:r>
        <w:rPr>
          <w:rFonts w:hint="eastAsia" w:ascii="宋体" w:hAnsi="宋体" w:cs="Arial"/>
          <w:szCs w:val="21"/>
          <w:u w:val="single"/>
        </w:rPr>
        <w:t xml:space="preserve">    /     </w:t>
      </w:r>
      <w:r>
        <w:rPr>
          <w:rFonts w:hint="eastAsia" w:ascii="宋体" w:hAnsi="宋体" w:cs="Arial"/>
          <w:szCs w:val="21"/>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rPr>
      </w:pPr>
      <w:r>
        <w:rPr>
          <w:rFonts w:hint="eastAsia" w:ascii="宋体" w:hAnsi="宋体" w:cs="Arial"/>
          <w:b/>
          <w:szCs w:val="21"/>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rPr>
      </w:pPr>
      <w:r>
        <w:rPr>
          <w:rFonts w:hint="eastAsia" w:ascii="宋体" w:hAnsi="宋体" w:cs="Arial"/>
          <w:szCs w:val="21"/>
        </w:rPr>
        <w:t>本合同一式</w:t>
      </w:r>
      <w:r>
        <w:rPr>
          <w:rFonts w:hint="eastAsia" w:ascii="宋体" w:hAnsi="宋体" w:cs="Arial"/>
          <w:szCs w:val="21"/>
          <w:u w:val="single"/>
        </w:rPr>
        <w:t xml:space="preserve"> 肆 </w:t>
      </w:r>
      <w:r>
        <w:rPr>
          <w:rFonts w:hint="eastAsia" w:ascii="宋体" w:hAnsi="宋体" w:cs="Arial"/>
          <w:szCs w:val="21"/>
        </w:rPr>
        <w:t>份，甲乙双方各执</w:t>
      </w:r>
      <w:r>
        <w:rPr>
          <w:rFonts w:hint="eastAsia" w:ascii="宋体" w:hAnsi="宋体" w:cs="Arial"/>
          <w:szCs w:val="21"/>
          <w:u w:val="single"/>
        </w:rPr>
        <w:t xml:space="preserve"> 壹 </w:t>
      </w:r>
      <w:r>
        <w:rPr>
          <w:rFonts w:hint="eastAsia" w:ascii="宋体" w:hAnsi="宋体" w:cs="Arial"/>
          <w:szCs w:val="21"/>
        </w:rPr>
        <w:t>份，1份报送政府采购监督管理部门备案，1份送代理机构备案。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szCs w:val="21"/>
        </w:rPr>
      </w:pPr>
      <w:r>
        <w:rPr>
          <w:rFonts w:hint="eastAsia" w:ascii="宋体" w:hAnsi="宋体" w:cs="Arial"/>
          <w:b/>
          <w:szCs w:val="21"/>
        </w:rPr>
        <w:t>二、特殊专用条款部分</w:t>
      </w:r>
    </w:p>
    <w:p>
      <w:pPr>
        <w:pStyle w:val="12"/>
        <w:snapToGrid w:val="0"/>
        <w:spacing w:line="360" w:lineRule="auto"/>
        <w:rPr>
          <w:rFonts w:hAnsi="宋体"/>
          <w:b/>
          <w:szCs w:val="21"/>
        </w:rPr>
      </w:pPr>
      <w:r>
        <w:rPr>
          <w:rFonts w:hint="eastAsia" w:hAnsi="宋体"/>
          <w:b/>
          <w:szCs w:val="21"/>
        </w:rPr>
        <w:t xml:space="preserve">    第一条</w:t>
      </w:r>
      <w:r>
        <w:rPr>
          <w:rFonts w:hAnsi="宋体"/>
          <w:b/>
          <w:szCs w:val="21"/>
        </w:rPr>
        <w:t>、技术资料</w:t>
      </w:r>
    </w:p>
    <w:p>
      <w:pPr>
        <w:pStyle w:val="12"/>
        <w:snapToGrid w:val="0"/>
        <w:spacing w:line="360" w:lineRule="auto"/>
        <w:ind w:left="359" w:hanging="359" w:hangingChars="171"/>
        <w:rPr>
          <w:rFonts w:hAnsi="宋体"/>
          <w:szCs w:val="21"/>
        </w:rPr>
      </w:pPr>
      <w:r>
        <w:rPr>
          <w:rFonts w:hint="eastAsia" w:hAnsi="宋体"/>
          <w:szCs w:val="21"/>
        </w:rPr>
        <w:t xml:space="preserve">    1</w:t>
      </w:r>
      <w:r>
        <w:rPr>
          <w:rFonts w:hAnsi="宋体"/>
          <w:szCs w:val="21"/>
        </w:rPr>
        <w:t>.1乙方应按招标文件规定的时间</w:t>
      </w:r>
      <w:r>
        <w:rPr>
          <w:rFonts w:hint="eastAsia" w:hAnsi="宋体"/>
          <w:szCs w:val="21"/>
        </w:rPr>
        <w:t>内</w:t>
      </w:r>
      <w:r>
        <w:rPr>
          <w:rFonts w:hAnsi="宋体"/>
          <w:szCs w:val="21"/>
        </w:rPr>
        <w:t>向甲方提供</w:t>
      </w:r>
      <w:r>
        <w:rPr>
          <w:rFonts w:hint="eastAsia" w:hAnsi="宋体"/>
          <w:szCs w:val="21"/>
        </w:rPr>
        <w:t>服务及有关成果报告等</w:t>
      </w:r>
      <w:r>
        <w:rPr>
          <w:rFonts w:hAnsi="宋体"/>
          <w:szCs w:val="21"/>
        </w:rPr>
        <w:t>有关技术资料。</w:t>
      </w:r>
    </w:p>
    <w:p>
      <w:pPr>
        <w:pStyle w:val="12"/>
        <w:snapToGrid w:val="0"/>
        <w:spacing w:line="360" w:lineRule="auto"/>
        <w:rPr>
          <w:rFonts w:hAnsi="宋体"/>
          <w:szCs w:val="21"/>
        </w:rPr>
      </w:pPr>
      <w:r>
        <w:rPr>
          <w:rFonts w:hint="eastAsia" w:hAnsi="宋体"/>
          <w:szCs w:val="21"/>
        </w:rPr>
        <w:t xml:space="preserve">    1</w:t>
      </w:r>
      <w:r>
        <w:rPr>
          <w:rFonts w:hAnsi="宋体"/>
          <w:szCs w:val="21"/>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12"/>
        <w:snapToGrid w:val="0"/>
        <w:spacing w:line="360" w:lineRule="auto"/>
        <w:ind w:left="360" w:hanging="359" w:hangingChars="171"/>
        <w:rPr>
          <w:rFonts w:hAnsi="宋体"/>
          <w:b/>
          <w:szCs w:val="21"/>
        </w:rPr>
      </w:pPr>
      <w:r>
        <w:rPr>
          <w:rFonts w:hint="eastAsia" w:hAnsi="宋体"/>
          <w:b/>
          <w:szCs w:val="21"/>
        </w:rPr>
        <w:t xml:space="preserve">    第二条</w:t>
      </w:r>
      <w:r>
        <w:rPr>
          <w:rFonts w:hAnsi="宋体"/>
          <w:b/>
          <w:szCs w:val="21"/>
        </w:rPr>
        <w:t>、知识产权</w:t>
      </w:r>
    </w:p>
    <w:p>
      <w:pPr>
        <w:pStyle w:val="12"/>
        <w:snapToGrid w:val="0"/>
        <w:spacing w:line="360" w:lineRule="auto"/>
        <w:ind w:left="359" w:hanging="359" w:hangingChars="171"/>
        <w:rPr>
          <w:rFonts w:hAnsi="宋体"/>
          <w:bCs/>
          <w:szCs w:val="21"/>
        </w:rPr>
      </w:pPr>
      <w:r>
        <w:rPr>
          <w:rFonts w:hint="eastAsia" w:hAnsi="宋体"/>
          <w:szCs w:val="21"/>
        </w:rPr>
        <w:t xml:space="preserve">    2</w:t>
      </w:r>
      <w:r>
        <w:rPr>
          <w:rFonts w:hAnsi="宋体"/>
          <w:szCs w:val="21"/>
        </w:rPr>
        <w:t>.1乙方应保证所提供的</w:t>
      </w:r>
      <w:r>
        <w:rPr>
          <w:rFonts w:hint="eastAsia" w:hAnsi="宋体"/>
          <w:szCs w:val="21"/>
        </w:rPr>
        <w:t>服务</w:t>
      </w:r>
      <w:r>
        <w:rPr>
          <w:rFonts w:hAnsi="宋体"/>
          <w:szCs w:val="21"/>
        </w:rPr>
        <w:t>或其任何一部分均不会侵犯任何第三方的知识产权</w:t>
      </w:r>
      <w:r>
        <w:rPr>
          <w:rFonts w:hAnsi="宋体"/>
          <w:bCs/>
          <w:szCs w:val="21"/>
        </w:rPr>
        <w:t>。</w:t>
      </w:r>
    </w:p>
    <w:p>
      <w:pPr>
        <w:overflowPunct w:val="0"/>
        <w:spacing w:line="360" w:lineRule="auto"/>
        <w:rPr>
          <w:b/>
        </w:rPr>
      </w:pPr>
      <w:r>
        <w:rPr>
          <w:rFonts w:hint="eastAsia"/>
          <w:b/>
        </w:rPr>
        <w:t xml:space="preserve">    第三条、转包或分包</w:t>
      </w:r>
    </w:p>
    <w:p>
      <w:pPr>
        <w:snapToGrid w:val="0"/>
        <w:spacing w:line="360" w:lineRule="auto"/>
        <w:rPr>
          <w:rFonts w:ascii="宋体" w:hAnsi="宋体"/>
          <w:szCs w:val="21"/>
        </w:rPr>
      </w:pPr>
      <w:r>
        <w:rPr>
          <w:rFonts w:hint="eastAsia" w:ascii="宋体" w:hAnsi="宋体"/>
          <w:szCs w:val="21"/>
        </w:rPr>
        <w:t xml:space="preserve">    3</w:t>
      </w:r>
      <w:r>
        <w:rPr>
          <w:rFonts w:ascii="宋体" w:hAnsi="宋体"/>
          <w:szCs w:val="21"/>
        </w:rPr>
        <w:t>.1</w:t>
      </w:r>
      <w:r>
        <w:rPr>
          <w:rFonts w:hint="eastAsia" w:ascii="宋体" w:hAnsi="宋体"/>
          <w:szCs w:val="21"/>
        </w:rPr>
        <w:t>本合同范围的服务项目，应由乙方直接供应服务，不得转让他人供应</w:t>
      </w:r>
    </w:p>
    <w:p>
      <w:pPr>
        <w:snapToGrid w:val="0"/>
        <w:spacing w:line="360" w:lineRule="auto"/>
        <w:rPr>
          <w:rFonts w:ascii="宋体" w:hAnsi="宋体"/>
          <w:szCs w:val="21"/>
        </w:rPr>
      </w:pPr>
      <w:r>
        <w:rPr>
          <w:rFonts w:hint="eastAsia" w:ascii="宋体" w:hAnsi="宋体"/>
          <w:szCs w:val="21"/>
        </w:rPr>
        <w:t xml:space="preserve">    3</w:t>
      </w:r>
      <w:r>
        <w:rPr>
          <w:rFonts w:ascii="宋体" w:hAnsi="宋体"/>
          <w:szCs w:val="21"/>
        </w:rPr>
        <w:t>.2</w:t>
      </w:r>
      <w:r>
        <w:rPr>
          <w:rFonts w:hint="eastAsia" w:ascii="宋体" w:hAnsi="宋体"/>
          <w:szCs w:val="21"/>
        </w:rPr>
        <w:t>除非得到需方的书面同意，供方不得部分分包给他人供应。需方有绝对权力阻止分包。</w:t>
      </w:r>
    </w:p>
    <w:p>
      <w:pPr>
        <w:snapToGrid w:val="0"/>
        <w:spacing w:line="360" w:lineRule="auto"/>
        <w:rPr>
          <w:rFonts w:ascii="宋体" w:hAnsi="宋体"/>
          <w:szCs w:val="21"/>
        </w:rPr>
      </w:pPr>
      <w:r>
        <w:rPr>
          <w:rFonts w:hint="eastAsia" w:ascii="宋体" w:hAnsi="宋体"/>
          <w:szCs w:val="21"/>
        </w:rPr>
        <w:t xml:space="preserve">    3</w:t>
      </w:r>
      <w:r>
        <w:rPr>
          <w:rFonts w:ascii="宋体" w:hAnsi="宋体"/>
          <w:szCs w:val="21"/>
        </w:rPr>
        <w:t>.3</w:t>
      </w:r>
      <w:r>
        <w:rPr>
          <w:rFonts w:hint="eastAsia" w:ascii="宋体" w:hAnsi="宋体"/>
          <w:szCs w:val="21"/>
        </w:rPr>
        <w:t>如有转让和未经需方同意的分包行为，需方有权给予终止合同。</w:t>
      </w:r>
    </w:p>
    <w:p>
      <w:pPr>
        <w:pStyle w:val="12"/>
        <w:snapToGrid w:val="0"/>
        <w:spacing w:line="360" w:lineRule="auto"/>
        <w:rPr>
          <w:rFonts w:hAnsi="宋体"/>
          <w:b/>
          <w:szCs w:val="21"/>
        </w:rPr>
      </w:pPr>
      <w:r>
        <w:rPr>
          <w:rFonts w:hint="eastAsia" w:hAnsi="宋体"/>
          <w:b/>
          <w:szCs w:val="21"/>
        </w:rPr>
        <w:t xml:space="preserve">    第四条、服务</w:t>
      </w:r>
      <w:r>
        <w:rPr>
          <w:rFonts w:hAnsi="宋体"/>
          <w:b/>
          <w:szCs w:val="21"/>
        </w:rPr>
        <w:t>期及</w:t>
      </w:r>
      <w:r>
        <w:rPr>
          <w:rFonts w:hint="eastAsia" w:hAnsi="宋体"/>
          <w:b/>
          <w:szCs w:val="21"/>
        </w:rPr>
        <w:t>服务</w:t>
      </w:r>
      <w:r>
        <w:rPr>
          <w:rFonts w:hAnsi="宋体"/>
          <w:b/>
          <w:szCs w:val="21"/>
        </w:rPr>
        <w:t>地点</w:t>
      </w:r>
    </w:p>
    <w:p>
      <w:pPr>
        <w:snapToGrid w:val="0"/>
        <w:spacing w:line="360" w:lineRule="auto"/>
        <w:ind w:firstLine="315" w:firstLineChars="150"/>
        <w:rPr>
          <w:rFonts w:ascii="宋体" w:hAnsi="宋体"/>
          <w:szCs w:val="21"/>
        </w:rPr>
      </w:pPr>
      <w:r>
        <w:rPr>
          <w:rFonts w:hint="eastAsia" w:ascii="宋体" w:hAnsi="宋体"/>
          <w:szCs w:val="21"/>
        </w:rPr>
        <w:t xml:space="preserve"> 4</w:t>
      </w:r>
      <w:r>
        <w:rPr>
          <w:rFonts w:ascii="宋体" w:hAnsi="宋体"/>
          <w:szCs w:val="21"/>
        </w:rPr>
        <w:t>.1</w:t>
      </w:r>
      <w:r>
        <w:rPr>
          <w:rFonts w:hint="eastAsia" w:ascii="宋体" w:hAnsi="宋体"/>
          <w:szCs w:val="21"/>
        </w:rPr>
        <w:t>服务</w:t>
      </w:r>
      <w:r>
        <w:rPr>
          <w:rFonts w:ascii="宋体" w:hAnsi="宋体"/>
          <w:szCs w:val="21"/>
        </w:rPr>
        <w:t>期：</w:t>
      </w:r>
    </w:p>
    <w:p>
      <w:pPr>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2</w:t>
      </w:r>
      <w:r>
        <w:rPr>
          <w:rFonts w:ascii="宋体" w:hAnsi="宋体"/>
          <w:szCs w:val="21"/>
        </w:rPr>
        <w:t>地点：</w:t>
      </w:r>
      <w:r>
        <w:rPr>
          <w:rFonts w:hint="eastAsia" w:ascii="宋体" w:hAnsi="宋体"/>
          <w:szCs w:val="21"/>
        </w:rPr>
        <w:t>海盐县。</w:t>
      </w:r>
    </w:p>
    <w:p>
      <w:pPr>
        <w:pStyle w:val="12"/>
        <w:snapToGrid w:val="0"/>
        <w:spacing w:line="360" w:lineRule="auto"/>
        <w:ind w:left="360" w:hanging="359" w:hangingChars="171"/>
        <w:rPr>
          <w:rFonts w:hAnsi="宋体"/>
          <w:b/>
          <w:szCs w:val="21"/>
        </w:rPr>
      </w:pPr>
      <w:r>
        <w:rPr>
          <w:rFonts w:hint="eastAsia" w:hAnsi="宋体"/>
          <w:b/>
          <w:szCs w:val="21"/>
        </w:rPr>
        <w:t xml:space="preserve">    第</w:t>
      </w:r>
      <w:r>
        <w:rPr>
          <w:rFonts w:hint="eastAsia" w:hAnsi="宋体"/>
          <w:b/>
          <w:bCs/>
          <w:kern w:val="0"/>
          <w:szCs w:val="21"/>
        </w:rPr>
        <w:t>五</w:t>
      </w:r>
      <w:r>
        <w:rPr>
          <w:rFonts w:hint="eastAsia" w:hAnsi="宋体"/>
          <w:b/>
          <w:szCs w:val="21"/>
        </w:rPr>
        <w:t>条</w:t>
      </w:r>
      <w:r>
        <w:rPr>
          <w:rFonts w:hAnsi="宋体"/>
          <w:b/>
          <w:szCs w:val="21"/>
        </w:rPr>
        <w:t>、违约责任</w:t>
      </w:r>
    </w:p>
    <w:p>
      <w:pPr>
        <w:pStyle w:val="12"/>
        <w:snapToGrid w:val="0"/>
        <w:spacing w:line="360" w:lineRule="auto"/>
        <w:ind w:left="359" w:hanging="359" w:hangingChars="171"/>
        <w:rPr>
          <w:rFonts w:hAnsi="宋体"/>
          <w:szCs w:val="21"/>
        </w:rPr>
      </w:pPr>
      <w:r>
        <w:rPr>
          <w:rFonts w:hint="eastAsia" w:hAnsi="宋体"/>
          <w:szCs w:val="21"/>
        </w:rPr>
        <w:t xml:space="preserve">    5</w:t>
      </w:r>
      <w:r>
        <w:rPr>
          <w:rFonts w:hAnsi="宋体"/>
          <w:szCs w:val="21"/>
        </w:rPr>
        <w:t>.1甲方无正当理由拒收</w:t>
      </w:r>
      <w:r>
        <w:rPr>
          <w:rFonts w:hint="eastAsia" w:hAnsi="宋体"/>
          <w:szCs w:val="21"/>
        </w:rPr>
        <w:t>服务成果</w:t>
      </w:r>
      <w:r>
        <w:rPr>
          <w:rFonts w:hAnsi="宋体"/>
          <w:szCs w:val="21"/>
        </w:rPr>
        <w:t>的，甲方向乙方偿付</w:t>
      </w:r>
      <w:r>
        <w:rPr>
          <w:rFonts w:hint="eastAsia" w:hAnsi="宋体"/>
          <w:szCs w:val="21"/>
        </w:rPr>
        <w:t>合同金额</w:t>
      </w:r>
      <w:r>
        <w:rPr>
          <w:rFonts w:hAnsi="宋体"/>
          <w:szCs w:val="21"/>
        </w:rPr>
        <w:t>总值的百分之五违约金。</w:t>
      </w:r>
    </w:p>
    <w:p>
      <w:pPr>
        <w:pStyle w:val="12"/>
        <w:snapToGrid w:val="0"/>
        <w:spacing w:line="360" w:lineRule="auto"/>
        <w:rPr>
          <w:rFonts w:hAnsi="宋体"/>
          <w:szCs w:val="21"/>
        </w:rPr>
      </w:pPr>
      <w:r>
        <w:rPr>
          <w:rFonts w:hint="eastAsia" w:hAnsi="宋体"/>
          <w:szCs w:val="21"/>
        </w:rPr>
        <w:t xml:space="preserve">    5</w:t>
      </w:r>
      <w:r>
        <w:rPr>
          <w:rFonts w:hAnsi="宋体"/>
          <w:szCs w:val="21"/>
        </w:rPr>
        <w:t>.2甲方无故逾期验收和办理货款支付手续的,甲方应按逾期付款总额每日万分之五向乙方支付违约金。</w:t>
      </w:r>
    </w:p>
    <w:p>
      <w:pPr>
        <w:pStyle w:val="12"/>
        <w:snapToGrid w:val="0"/>
        <w:spacing w:line="360" w:lineRule="auto"/>
        <w:rPr>
          <w:rFonts w:hAnsi="宋体"/>
          <w:szCs w:val="21"/>
        </w:rPr>
      </w:pPr>
      <w:r>
        <w:rPr>
          <w:rFonts w:hint="eastAsia" w:hAnsi="宋体"/>
          <w:szCs w:val="21"/>
        </w:rPr>
        <w:t xml:space="preserve">    5</w:t>
      </w:r>
      <w:r>
        <w:rPr>
          <w:rFonts w:hAnsi="宋体"/>
          <w:szCs w:val="21"/>
        </w:rPr>
        <w:t>.3乙方</w:t>
      </w:r>
      <w:r>
        <w:rPr>
          <w:rFonts w:hint="eastAsia" w:hAnsi="宋体"/>
          <w:szCs w:val="21"/>
        </w:rPr>
        <w:t>服务</w:t>
      </w:r>
      <w:r>
        <w:rPr>
          <w:rFonts w:hAnsi="宋体"/>
          <w:szCs w:val="21"/>
        </w:rPr>
        <w:t>逾期的，乙方应按</w:t>
      </w:r>
      <w:r>
        <w:rPr>
          <w:rFonts w:hint="eastAsia" w:hAnsi="宋体"/>
          <w:szCs w:val="21"/>
        </w:rPr>
        <w:t>合同金额</w:t>
      </w:r>
      <w:r>
        <w:rPr>
          <w:rFonts w:hAnsi="宋体"/>
          <w:szCs w:val="21"/>
        </w:rPr>
        <w:t>总额每日</w:t>
      </w:r>
      <w:r>
        <w:rPr>
          <w:rFonts w:hint="eastAsia" w:hAnsi="宋体"/>
          <w:szCs w:val="21"/>
        </w:rPr>
        <w:t>百</w:t>
      </w:r>
      <w:r>
        <w:rPr>
          <w:rFonts w:hAnsi="宋体"/>
          <w:szCs w:val="21"/>
        </w:rPr>
        <w:t>分之</w:t>
      </w:r>
      <w:r>
        <w:rPr>
          <w:rFonts w:hint="eastAsia" w:hAnsi="宋体"/>
          <w:szCs w:val="21"/>
        </w:rPr>
        <w:t>三</w:t>
      </w:r>
      <w:r>
        <w:rPr>
          <w:rFonts w:hAnsi="宋体"/>
          <w:szCs w:val="21"/>
        </w:rPr>
        <w:t>向甲方支付违约金，由甲方从待付</w:t>
      </w:r>
      <w:r>
        <w:rPr>
          <w:rFonts w:hint="eastAsia" w:hAnsi="宋体"/>
          <w:szCs w:val="21"/>
        </w:rPr>
        <w:t>合同价款</w:t>
      </w:r>
      <w:r>
        <w:rPr>
          <w:rFonts w:hAnsi="宋体"/>
          <w:szCs w:val="21"/>
        </w:rPr>
        <w:t>中扣除。逾期超过约定日期10个工作日不能</w:t>
      </w:r>
      <w:r>
        <w:rPr>
          <w:rFonts w:hint="eastAsia" w:hAnsi="宋体"/>
          <w:szCs w:val="21"/>
        </w:rPr>
        <w:t>提交成果报告</w:t>
      </w:r>
      <w:r>
        <w:rPr>
          <w:rFonts w:hAnsi="宋体"/>
          <w:szCs w:val="21"/>
        </w:rPr>
        <w:t>的，甲方可解除本合同。乙方因逾期</w:t>
      </w:r>
      <w:r>
        <w:rPr>
          <w:rFonts w:hint="eastAsia" w:hAnsi="宋体"/>
          <w:szCs w:val="21"/>
        </w:rPr>
        <w:t>提交成果报告</w:t>
      </w:r>
      <w:r>
        <w:rPr>
          <w:rFonts w:hAnsi="宋体"/>
          <w:szCs w:val="21"/>
        </w:rPr>
        <w:t>或因其他违约行为导致甲方解除合同的，乙方应向甲方支付合同总值5%的违约金，如造成甲方损失超过违约金的，超出部分由乙方继续承担赔偿责任。</w:t>
      </w:r>
    </w:p>
    <w:p>
      <w:pPr>
        <w:pStyle w:val="12"/>
        <w:snapToGrid w:val="0"/>
        <w:spacing w:line="360" w:lineRule="auto"/>
        <w:rPr>
          <w:rFonts w:hAnsi="宋体"/>
          <w:b/>
          <w:szCs w:val="21"/>
        </w:rPr>
      </w:pPr>
      <w:r>
        <w:rPr>
          <w:rFonts w:hint="eastAsia" w:hAnsi="宋体"/>
          <w:b/>
          <w:szCs w:val="21"/>
        </w:rPr>
        <w:t xml:space="preserve">    第</w:t>
      </w:r>
      <w:r>
        <w:rPr>
          <w:rFonts w:hint="eastAsia" w:hAnsi="宋体"/>
          <w:b/>
          <w:bCs/>
          <w:kern w:val="0"/>
          <w:szCs w:val="21"/>
        </w:rPr>
        <w:t>六</w:t>
      </w:r>
      <w:r>
        <w:rPr>
          <w:rFonts w:hint="eastAsia" w:hAnsi="宋体"/>
          <w:b/>
          <w:szCs w:val="21"/>
        </w:rPr>
        <w:t>条</w:t>
      </w:r>
      <w:r>
        <w:rPr>
          <w:rFonts w:hAnsi="宋体"/>
          <w:b/>
          <w:szCs w:val="21"/>
        </w:rPr>
        <w:t>、不可抗力事件处理</w:t>
      </w:r>
    </w:p>
    <w:p>
      <w:pPr>
        <w:pStyle w:val="12"/>
        <w:snapToGrid w:val="0"/>
        <w:spacing w:line="360" w:lineRule="auto"/>
        <w:rPr>
          <w:rFonts w:hAnsi="宋体"/>
          <w:szCs w:val="21"/>
        </w:rPr>
      </w:pPr>
      <w:r>
        <w:rPr>
          <w:rFonts w:hint="eastAsia" w:hAnsi="宋体"/>
          <w:szCs w:val="21"/>
        </w:rPr>
        <w:t xml:space="preserve">    6</w:t>
      </w:r>
      <w:r>
        <w:rPr>
          <w:rFonts w:hAnsi="宋体"/>
          <w:szCs w:val="21"/>
        </w:rPr>
        <w:t>.1在合同有效期内，任何一方因不可抗力事件导致不能履行合同，则合同履行期可延长，其延长期与不可抗力影响期相同。</w:t>
      </w:r>
    </w:p>
    <w:p>
      <w:pPr>
        <w:pStyle w:val="12"/>
        <w:snapToGrid w:val="0"/>
        <w:spacing w:line="360" w:lineRule="auto"/>
        <w:rPr>
          <w:rFonts w:hAnsi="宋体"/>
          <w:szCs w:val="21"/>
        </w:rPr>
      </w:pPr>
      <w:r>
        <w:rPr>
          <w:rFonts w:hint="eastAsia" w:hAnsi="宋体"/>
          <w:szCs w:val="21"/>
        </w:rPr>
        <w:t xml:space="preserve">    6</w:t>
      </w:r>
      <w:r>
        <w:rPr>
          <w:rFonts w:hAnsi="宋体"/>
          <w:szCs w:val="21"/>
        </w:rPr>
        <w:t>.2不可抗力事件发生后，应立即通知对方，并寄送有关权威机构出具的证明。</w:t>
      </w:r>
    </w:p>
    <w:p>
      <w:pPr>
        <w:pStyle w:val="12"/>
        <w:snapToGrid w:val="0"/>
        <w:spacing w:line="360" w:lineRule="auto"/>
        <w:rPr>
          <w:rFonts w:hAnsi="宋体"/>
          <w:szCs w:val="21"/>
        </w:rPr>
      </w:pPr>
      <w:r>
        <w:rPr>
          <w:rFonts w:hint="eastAsia" w:hAnsi="宋体"/>
          <w:szCs w:val="21"/>
        </w:rPr>
        <w:t xml:space="preserve">    6</w:t>
      </w:r>
      <w:r>
        <w:rPr>
          <w:rFonts w:hAnsi="宋体"/>
          <w:szCs w:val="21"/>
        </w:rPr>
        <w:t>.3不可抗力事件延续120天以上，双方应通过友好协商，确定是否继续履行合同。</w:t>
      </w:r>
    </w:p>
    <w:p>
      <w:pPr>
        <w:pStyle w:val="12"/>
        <w:snapToGrid w:val="0"/>
        <w:spacing w:line="360" w:lineRule="auto"/>
        <w:rPr>
          <w:rFonts w:hAnsi="宋体"/>
          <w:b/>
          <w:szCs w:val="21"/>
        </w:rPr>
      </w:pPr>
      <w:r>
        <w:rPr>
          <w:rFonts w:hint="eastAsia" w:hAnsi="宋体"/>
          <w:b/>
          <w:szCs w:val="21"/>
        </w:rPr>
        <w:t xml:space="preserve">    第</w:t>
      </w:r>
      <w:r>
        <w:rPr>
          <w:rFonts w:hint="eastAsia" w:hAnsi="宋体"/>
          <w:b/>
          <w:bCs/>
          <w:kern w:val="0"/>
          <w:szCs w:val="21"/>
        </w:rPr>
        <w:t>七</w:t>
      </w:r>
      <w:r>
        <w:rPr>
          <w:rFonts w:hint="eastAsia" w:hAnsi="宋体"/>
          <w:b/>
          <w:szCs w:val="21"/>
        </w:rPr>
        <w:t>条</w:t>
      </w:r>
      <w:r>
        <w:rPr>
          <w:rFonts w:hAnsi="宋体"/>
          <w:b/>
          <w:szCs w:val="21"/>
        </w:rPr>
        <w:t>、合同生效及其它</w:t>
      </w:r>
    </w:p>
    <w:p>
      <w:pPr>
        <w:pStyle w:val="12"/>
        <w:snapToGrid w:val="0"/>
        <w:spacing w:line="360" w:lineRule="auto"/>
        <w:rPr>
          <w:rFonts w:hAnsi="宋体"/>
          <w:szCs w:val="21"/>
        </w:rPr>
      </w:pPr>
      <w:r>
        <w:rPr>
          <w:rFonts w:hint="eastAsia" w:hAnsi="宋体"/>
          <w:szCs w:val="21"/>
        </w:rPr>
        <w:t xml:space="preserve">    7</w:t>
      </w:r>
      <w:r>
        <w:rPr>
          <w:rFonts w:hAnsi="宋体"/>
          <w:szCs w:val="21"/>
        </w:rPr>
        <w:t>.1合同经双方法定代表人或授权委托代理人签字并加盖单位公章后生效。</w:t>
      </w:r>
    </w:p>
    <w:p>
      <w:pPr>
        <w:pStyle w:val="12"/>
        <w:snapToGrid w:val="0"/>
        <w:spacing w:line="360" w:lineRule="auto"/>
        <w:rPr>
          <w:rFonts w:hAnsi="宋体"/>
          <w:szCs w:val="21"/>
        </w:rPr>
      </w:pPr>
      <w:r>
        <w:rPr>
          <w:rFonts w:hint="eastAsia" w:hAnsi="宋体"/>
          <w:szCs w:val="21"/>
        </w:rPr>
        <w:t xml:space="preserve">    7</w:t>
      </w:r>
      <w:r>
        <w:rPr>
          <w:rFonts w:hAnsi="宋体"/>
          <w:szCs w:val="21"/>
        </w:rPr>
        <w:t>.2合同执行中涉及采购资金和采购内容修改或补充的，须经海盐县财政部门审批，并签书面补充协议报海盐县政府采购监督管理部门备案，方可作为主合同不可分割的一部分。</w:t>
      </w:r>
    </w:p>
    <w:p>
      <w:pPr>
        <w:pStyle w:val="12"/>
        <w:snapToGrid w:val="0"/>
        <w:spacing w:line="360" w:lineRule="auto"/>
        <w:ind w:left="420" w:hanging="420" w:hangingChars="200"/>
        <w:rPr>
          <w:rFonts w:hAnsi="宋体"/>
          <w:szCs w:val="21"/>
        </w:rPr>
      </w:pPr>
      <w:r>
        <w:rPr>
          <w:rFonts w:hint="eastAsia" w:hAnsi="宋体"/>
          <w:szCs w:val="21"/>
        </w:rPr>
        <w:t xml:space="preserve">    7</w:t>
      </w:r>
      <w:r>
        <w:rPr>
          <w:rFonts w:hAnsi="宋体"/>
          <w:szCs w:val="21"/>
        </w:rPr>
        <w:t>.3本合同未尽事宜，遵照《</w:t>
      </w:r>
      <w:r>
        <w:rPr>
          <w:rFonts w:hint="eastAsia" w:hAnsi="宋体"/>
          <w:szCs w:val="21"/>
        </w:rPr>
        <w:t>民法典</w:t>
      </w:r>
      <w:r>
        <w:rPr>
          <w:rFonts w:hAnsi="宋体"/>
          <w:szCs w:val="21"/>
        </w:rPr>
        <w:t>》有关条文执行。</w:t>
      </w:r>
    </w:p>
    <w:p>
      <w:pPr>
        <w:spacing w:line="360" w:lineRule="auto"/>
        <w:ind w:firstLine="420" w:firstLineChars="200"/>
        <w:rPr>
          <w:rFonts w:ascii="宋体" w:hAnsi="宋体" w:cs="Arial"/>
          <w:szCs w:val="21"/>
        </w:rPr>
      </w:pPr>
      <w:r>
        <w:rPr>
          <w:rFonts w:hint="eastAsia" w:ascii="宋体" w:hAnsi="宋体"/>
          <w:kern w:val="2"/>
          <w:szCs w:val="21"/>
        </w:rPr>
        <w:t>7</w:t>
      </w:r>
      <w:r>
        <w:rPr>
          <w:rFonts w:ascii="宋体" w:hAnsi="宋体"/>
          <w:kern w:val="2"/>
          <w:szCs w:val="21"/>
        </w:rPr>
        <w:t>.4本合同正本</w:t>
      </w:r>
      <w:r>
        <w:rPr>
          <w:rFonts w:hAnsi="宋体"/>
          <w:szCs w:val="21"/>
        </w:rPr>
        <w:t>一式</w:t>
      </w:r>
      <w:r>
        <w:rPr>
          <w:rFonts w:hint="eastAsia" w:hAnsi="宋体"/>
          <w:szCs w:val="21"/>
        </w:rPr>
        <w:t>肆</w:t>
      </w:r>
      <w:r>
        <w:rPr>
          <w:rFonts w:hAnsi="宋体"/>
          <w:szCs w:val="21"/>
        </w:rPr>
        <w:t>份，具有同等法律效力，甲乙双方各执</w:t>
      </w:r>
      <w:r>
        <w:rPr>
          <w:rFonts w:hint="eastAsia" w:hAnsi="宋体"/>
          <w:szCs w:val="21"/>
        </w:rPr>
        <w:t>壹</w:t>
      </w:r>
      <w:r>
        <w:rPr>
          <w:rFonts w:hAnsi="宋体"/>
          <w:szCs w:val="21"/>
        </w:rPr>
        <w:t>份</w:t>
      </w:r>
      <w:r>
        <w:rPr>
          <w:rFonts w:hint="eastAsia" w:hAnsi="宋体"/>
          <w:szCs w:val="21"/>
        </w:rPr>
        <w:t>，壹</w:t>
      </w:r>
      <w:r>
        <w:rPr>
          <w:rFonts w:hAnsi="宋体"/>
          <w:szCs w:val="21"/>
        </w:rPr>
        <w:t>份交县财政局备案，</w:t>
      </w:r>
      <w:r>
        <w:rPr>
          <w:rFonts w:hint="eastAsia" w:hAnsi="宋体"/>
          <w:szCs w:val="21"/>
        </w:rPr>
        <w:t>壹</w:t>
      </w:r>
      <w:r>
        <w:rPr>
          <w:rFonts w:hAnsi="宋体"/>
          <w:szCs w:val="21"/>
        </w:rPr>
        <w:t>份交</w:t>
      </w:r>
      <w:r>
        <w:rPr>
          <w:rFonts w:hint="eastAsia" w:hAnsi="宋体"/>
          <w:szCs w:val="21"/>
        </w:rPr>
        <w:t>代理机构</w:t>
      </w:r>
      <w:r>
        <w:rPr>
          <w:rFonts w:hAnsi="宋体"/>
          <w:szCs w:val="21"/>
        </w:rPr>
        <w:t>存档。</w:t>
      </w:r>
    </w:p>
    <w:p>
      <w:pPr>
        <w:spacing w:line="360" w:lineRule="auto"/>
        <w:ind w:firstLine="420" w:firstLineChars="200"/>
        <w:rPr>
          <w:rFonts w:ascii="宋体" w:hAnsi="宋体" w:cs="Arial"/>
          <w:szCs w:val="21"/>
        </w:rPr>
      </w:pPr>
      <w:r>
        <w:rPr>
          <w:rFonts w:hint="eastAsia" w:ascii="宋体" w:hAnsi="宋体" w:cs="Arial"/>
          <w:szCs w:val="21"/>
        </w:rPr>
        <w:t>甲方：                                乙方：</w:t>
      </w:r>
    </w:p>
    <w:p>
      <w:pPr>
        <w:pStyle w:val="12"/>
        <w:snapToGrid w:val="0"/>
        <w:spacing w:line="360" w:lineRule="auto"/>
        <w:ind w:firstLine="420" w:firstLineChars="200"/>
        <w:rPr>
          <w:rFonts w:hAnsi="宋体"/>
          <w:szCs w:val="21"/>
        </w:rPr>
      </w:pPr>
      <w:r>
        <w:rPr>
          <w:rFonts w:hAnsi="宋体"/>
          <w:szCs w:val="21"/>
        </w:rPr>
        <w:t>地址：</w:t>
      </w:r>
      <w:r>
        <w:rPr>
          <w:rFonts w:hint="eastAsia" w:hAnsi="宋体"/>
          <w:szCs w:val="21"/>
        </w:rPr>
        <w:t xml:space="preserve">                                </w:t>
      </w:r>
      <w:r>
        <w:rPr>
          <w:rFonts w:hAnsi="宋体"/>
          <w:szCs w:val="21"/>
        </w:rPr>
        <w:t>地址：</w:t>
      </w:r>
    </w:p>
    <w:p>
      <w:pPr>
        <w:pStyle w:val="12"/>
        <w:snapToGrid w:val="0"/>
        <w:spacing w:line="360" w:lineRule="auto"/>
        <w:ind w:firstLine="420" w:firstLineChars="200"/>
      </w:pPr>
      <w:r>
        <w:rPr>
          <w:rFonts w:hAnsi="宋体"/>
          <w:szCs w:val="21"/>
        </w:rPr>
        <w:t>法定代表人：</w:t>
      </w:r>
      <w:r>
        <w:rPr>
          <w:rFonts w:hint="eastAsia" w:hAnsi="宋体"/>
          <w:szCs w:val="21"/>
        </w:rPr>
        <w:t xml:space="preserve">                          </w:t>
      </w:r>
      <w:r>
        <w:rPr>
          <w:rFonts w:hAnsi="宋体"/>
          <w:szCs w:val="21"/>
        </w:rPr>
        <w:t>法定代表人：</w:t>
      </w:r>
    </w:p>
    <w:p>
      <w:pPr>
        <w:pStyle w:val="12"/>
        <w:snapToGrid w:val="0"/>
        <w:spacing w:line="360" w:lineRule="auto"/>
        <w:ind w:firstLine="420" w:firstLineChars="200"/>
        <w:rPr>
          <w:rFonts w:hAnsi="宋体"/>
          <w:szCs w:val="21"/>
        </w:rPr>
      </w:pPr>
      <w:r>
        <w:rPr>
          <w:rFonts w:hAnsi="宋体"/>
          <w:szCs w:val="21"/>
        </w:rPr>
        <w:t>签订地点：</w:t>
      </w:r>
      <w:r>
        <w:rPr>
          <w:rFonts w:hint="eastAsia" w:hAnsi="宋体"/>
          <w:szCs w:val="21"/>
        </w:rPr>
        <w:t xml:space="preserve">                            </w:t>
      </w:r>
      <w:r>
        <w:rPr>
          <w:rFonts w:hAnsi="宋体"/>
          <w:szCs w:val="21"/>
        </w:rPr>
        <w:t>签订日期：</w:t>
      </w:r>
      <w:r>
        <w:rPr>
          <w:rFonts w:hint="eastAsia" w:hAnsi="宋体"/>
          <w:szCs w:val="21"/>
        </w:rPr>
        <w:t xml:space="preserve">             </w:t>
      </w:r>
      <w:r>
        <w:rPr>
          <w:rFonts w:hAnsi="宋体"/>
          <w:szCs w:val="21"/>
        </w:rPr>
        <w:t>年</w:t>
      </w:r>
      <w:r>
        <w:rPr>
          <w:rFonts w:hint="eastAsia" w:hAnsi="宋体"/>
          <w:szCs w:val="21"/>
        </w:rPr>
        <w:t xml:space="preserve">   </w:t>
      </w:r>
      <w:r>
        <w:rPr>
          <w:rFonts w:hAnsi="宋体"/>
          <w:szCs w:val="21"/>
        </w:rPr>
        <w:t>月</w:t>
      </w:r>
      <w:r>
        <w:rPr>
          <w:rFonts w:hint="eastAsia" w:hAnsi="宋体"/>
          <w:szCs w:val="21"/>
        </w:rPr>
        <w:t xml:space="preserve">   </w:t>
      </w:r>
      <w:r>
        <w:rPr>
          <w:rFonts w:hAnsi="宋体"/>
          <w:szCs w:val="21"/>
        </w:rPr>
        <w:t>日</w:t>
      </w:r>
    </w:p>
    <w:p>
      <w:pPr>
        <w:pStyle w:val="3"/>
        <w:keepNext w:val="0"/>
        <w:keepLines w:val="0"/>
        <w:pageBreakBefore/>
        <w:spacing w:before="312" w:beforeLines="100" w:after="312" w:afterLines="100" w:line="240" w:lineRule="auto"/>
        <w:jc w:val="center"/>
        <w:rPr>
          <w:rFonts w:ascii="Arial" w:hAnsi="Arial" w:cs="Arial"/>
          <w:sz w:val="28"/>
          <w:szCs w:val="36"/>
        </w:rPr>
      </w:pPr>
      <w:bookmarkStart w:id="13" w:name="_Toc1792"/>
      <w:r>
        <w:rPr>
          <w:rFonts w:hint="eastAsia" w:ascii="Arial" w:hAnsi="Arial" w:cs="Arial"/>
          <w:sz w:val="28"/>
          <w:szCs w:val="36"/>
        </w:rPr>
        <w:t>第五部分 竞争性磋商评定办法</w:t>
      </w:r>
      <w:bookmarkEnd w:id="13"/>
    </w:p>
    <w:p>
      <w:pPr>
        <w:spacing w:line="360" w:lineRule="auto"/>
        <w:ind w:firstLine="420" w:firstLineChars="200"/>
        <w:rPr>
          <w:rFonts w:ascii="宋体" w:hAnsi="宋体" w:cs="Arial"/>
          <w:bCs/>
          <w:kern w:val="28"/>
          <w:szCs w:val="21"/>
        </w:rPr>
      </w:pPr>
      <w:r>
        <w:rPr>
          <w:rFonts w:hint="eastAsia" w:ascii="宋体" w:hAnsi="宋体" w:cs="Arial"/>
          <w:bCs/>
          <w:kern w:val="28"/>
          <w:szCs w:val="21"/>
        </w:rPr>
        <w:t>根据《中华人民共和国政府采购法》和本项目竞争性磋商文件，按照公平、公正、科学、择优的原则选择成交单位，特制定本办法。</w:t>
      </w:r>
    </w:p>
    <w:p>
      <w:pPr>
        <w:spacing w:before="156" w:beforeLines="50" w:after="156" w:afterLines="50" w:line="360" w:lineRule="auto"/>
        <w:ind w:firstLine="420" w:firstLineChars="200"/>
        <w:rPr>
          <w:rFonts w:ascii="宋体" w:hAnsi="宋体" w:cs="Arial"/>
          <w:b/>
          <w:bCs/>
          <w:kern w:val="28"/>
          <w:szCs w:val="21"/>
        </w:rPr>
      </w:pPr>
      <w:r>
        <w:rPr>
          <w:rFonts w:hint="eastAsia" w:ascii="宋体" w:hAnsi="宋体" w:cs="Arial"/>
          <w:b/>
          <w:bCs/>
          <w:kern w:val="28"/>
          <w:szCs w:val="21"/>
        </w:rPr>
        <w:t>一、 评定原则</w:t>
      </w:r>
    </w:p>
    <w:p>
      <w:pPr>
        <w:spacing w:line="360" w:lineRule="auto"/>
        <w:ind w:firstLine="420" w:firstLineChars="200"/>
        <w:rPr>
          <w:rFonts w:ascii="宋体" w:hAnsi="宋体" w:cs="Arial"/>
          <w:bCs/>
          <w:kern w:val="28"/>
          <w:szCs w:val="21"/>
        </w:rPr>
      </w:pPr>
      <w:r>
        <w:rPr>
          <w:rFonts w:hint="eastAsia" w:ascii="宋体" w:hAnsi="宋体" w:cs="Arial"/>
          <w:bCs/>
          <w:kern w:val="28"/>
          <w:szCs w:val="21"/>
        </w:rPr>
        <w:t>评审工作遵循公平、公正、民主、科学的原则和诚实、信誉、效率的服务原则。本着科学、严谨的态度，认真进行评审，择优选定服务单位。确保服务质量，节约投资，最大限度的保护当事人权益，严格按照竞争性磋商文件的商务、技术要求，对竞争性磋商响应文件进行综合评定，编写评标报告。评定人员必须严格遵守保密规定，不得泄漏评定的有关情况，不得索贿受贿，不得接受吃请和礼品，不得参加影响公正评标的有关活动。供应商不得以任何方式干扰采购工作的进行，一经发现其竞争性磋商响应文件将被拒绝。</w:t>
      </w:r>
    </w:p>
    <w:p>
      <w:pPr>
        <w:spacing w:before="156" w:beforeLines="50" w:after="156" w:afterLines="50" w:line="360" w:lineRule="auto"/>
        <w:ind w:firstLine="420" w:firstLineChars="200"/>
        <w:rPr>
          <w:rFonts w:ascii="宋体" w:hAnsi="宋体" w:cs="Arial"/>
          <w:b/>
          <w:bCs/>
          <w:kern w:val="28"/>
          <w:szCs w:val="21"/>
        </w:rPr>
      </w:pPr>
      <w:r>
        <w:rPr>
          <w:rFonts w:hint="eastAsia" w:ascii="宋体" w:hAnsi="宋体" w:cs="Arial"/>
          <w:b/>
          <w:bCs/>
          <w:kern w:val="28"/>
          <w:szCs w:val="21"/>
        </w:rPr>
        <w:t>二、评标组织</w:t>
      </w:r>
    </w:p>
    <w:p>
      <w:pPr>
        <w:spacing w:line="360" w:lineRule="auto"/>
        <w:ind w:firstLine="420" w:firstLineChars="200"/>
        <w:rPr>
          <w:rFonts w:ascii="宋体" w:hAnsi="宋体" w:cs="Arial"/>
          <w:bCs/>
          <w:kern w:val="28"/>
          <w:szCs w:val="21"/>
        </w:rPr>
      </w:pPr>
      <w:r>
        <w:rPr>
          <w:rFonts w:hint="eastAsia" w:ascii="宋体" w:hAnsi="宋体" w:cs="Arial"/>
          <w:bCs/>
          <w:kern w:val="28"/>
          <w:szCs w:val="21"/>
        </w:rPr>
        <w:t>开标后，采购人代表或招标代理机构首先对竞争性磋商响应文件进行资格性检查，凡供应商资格不符合竞争性磋商文件要求；竞争性磋商响应文件实质性内容和格式严重不符合有关规定或不响应竞争性磋商文件要求者，经竞争性磋商小组认定作为无效投标，不再进入后续竞争性磋商。</w:t>
      </w:r>
    </w:p>
    <w:p>
      <w:pPr>
        <w:spacing w:line="360" w:lineRule="auto"/>
        <w:ind w:firstLine="420" w:firstLineChars="200"/>
        <w:rPr>
          <w:rFonts w:ascii="宋体" w:hAnsi="宋体" w:cs="Arial"/>
          <w:bCs/>
          <w:kern w:val="28"/>
          <w:szCs w:val="21"/>
        </w:rPr>
      </w:pPr>
      <w:r>
        <w:rPr>
          <w:rFonts w:hint="eastAsia" w:ascii="宋体" w:hAnsi="宋体" w:cs="Arial"/>
          <w:bCs/>
          <w:kern w:val="28"/>
          <w:szCs w:val="21"/>
        </w:rPr>
        <w:t>经资格性检查，竞争性磋商期间出现符合专业条件的供应商或者对竞争性磋商文件作出实质响应的供应商（有效供应商）不足三家，或供应商的报价均超过采购预算，按政府采购法律法规有关规定，依法继续进行或转为其它政府采购方式进行采购，或宣布本次招标失败，重新组织招标。</w:t>
      </w:r>
    </w:p>
    <w:p>
      <w:pPr>
        <w:spacing w:line="360" w:lineRule="auto"/>
        <w:ind w:firstLine="420" w:firstLineChars="200"/>
        <w:rPr>
          <w:rFonts w:ascii="宋体" w:hAnsi="宋体"/>
          <w:b/>
          <w:szCs w:val="21"/>
        </w:rPr>
      </w:pPr>
      <w:r>
        <w:rPr>
          <w:rFonts w:hint="eastAsia" w:ascii="宋体" w:hAnsi="宋体"/>
          <w:b/>
          <w:szCs w:val="21"/>
        </w:rPr>
        <w:t>三、磋商流程</w:t>
      </w:r>
    </w:p>
    <w:p>
      <w:pPr>
        <w:spacing w:line="360" w:lineRule="auto"/>
        <w:ind w:firstLine="420" w:firstLineChars="200"/>
        <w:rPr>
          <w:rFonts w:ascii="宋体" w:hAnsi="宋体" w:cs="Arial"/>
          <w:bCs/>
          <w:kern w:val="28"/>
          <w:szCs w:val="21"/>
        </w:rPr>
      </w:pPr>
      <w:r>
        <w:rPr>
          <w:rFonts w:hint="eastAsia" w:ascii="宋体" w:hAnsi="宋体" w:cs="Arial"/>
          <w:bCs/>
          <w:kern w:val="28"/>
          <w:szCs w:val="21"/>
        </w:rPr>
        <w:t>1、主持人宣布磋商的有关事项；</w:t>
      </w:r>
    </w:p>
    <w:p>
      <w:pPr>
        <w:spacing w:line="360" w:lineRule="auto"/>
        <w:ind w:firstLine="420" w:firstLineChars="200"/>
        <w:rPr>
          <w:rFonts w:ascii="宋体" w:hAnsi="宋体" w:cs="Arial"/>
          <w:bCs/>
          <w:kern w:val="28"/>
          <w:szCs w:val="21"/>
        </w:rPr>
      </w:pPr>
      <w:bookmarkStart w:id="14" w:name="_Toc182848998"/>
      <w:r>
        <w:rPr>
          <w:rFonts w:hint="eastAsia" w:ascii="宋体" w:hAnsi="宋体" w:cs="Arial"/>
          <w:bCs/>
          <w:kern w:val="28"/>
          <w:szCs w:val="21"/>
        </w:rPr>
        <w:t>2、工作人员</w:t>
      </w:r>
      <w:bookmarkEnd w:id="14"/>
      <w:r>
        <w:rPr>
          <w:rFonts w:hint="eastAsia" w:ascii="宋体" w:hAnsi="宋体" w:cs="Arial"/>
          <w:bCs/>
          <w:kern w:val="28"/>
          <w:szCs w:val="21"/>
        </w:rPr>
        <w:t>开启磋商响应文件，供应商应在收到解密提示后30分钟内解密；</w:t>
      </w:r>
    </w:p>
    <w:p>
      <w:pPr>
        <w:spacing w:line="360" w:lineRule="auto"/>
        <w:ind w:firstLine="420" w:firstLineChars="200"/>
        <w:rPr>
          <w:rFonts w:ascii="宋体" w:hAnsi="宋体" w:cs="Arial"/>
          <w:bCs/>
          <w:kern w:val="28"/>
          <w:szCs w:val="21"/>
        </w:rPr>
      </w:pPr>
      <w:r>
        <w:rPr>
          <w:rFonts w:hint="eastAsia" w:ascii="宋体" w:hAnsi="宋体" w:cs="Arial"/>
          <w:bCs/>
          <w:kern w:val="28"/>
          <w:szCs w:val="21"/>
        </w:rPr>
        <w:t>3、磋商小组对所提交的磋商响应资信及商务、技术文件进行审查，审查结束后，由主持人在线公布无效磋商响应方名单、磋商响应无效的原因、标项废标情况；</w:t>
      </w:r>
    </w:p>
    <w:p>
      <w:pPr>
        <w:spacing w:line="360" w:lineRule="auto"/>
        <w:ind w:firstLine="420" w:firstLineChars="200"/>
        <w:rPr>
          <w:rFonts w:ascii="宋体" w:hAnsi="宋体" w:cs="Arial"/>
          <w:bCs/>
          <w:kern w:val="28"/>
          <w:szCs w:val="21"/>
        </w:rPr>
      </w:pPr>
      <w:r>
        <w:rPr>
          <w:rFonts w:hint="eastAsia" w:ascii="宋体" w:hAnsi="宋体" w:cs="Arial"/>
          <w:bCs/>
          <w:kern w:val="28"/>
          <w:szCs w:val="21"/>
        </w:rPr>
        <w:t>4、磋商小组视情况与各磋商响应方就公司情况、项目需求、售后服务、价格构成、供货时间、付款方式等要素分别进行磋商。逐家磋商一次为一个轮次，磋商轮次由磋商小组视情况决定。</w:t>
      </w:r>
    </w:p>
    <w:p>
      <w:pPr>
        <w:spacing w:line="360" w:lineRule="auto"/>
        <w:ind w:firstLine="420" w:firstLineChars="200"/>
        <w:rPr>
          <w:rFonts w:ascii="宋体" w:hAnsi="宋体" w:cs="Arial"/>
          <w:bCs/>
          <w:kern w:val="28"/>
          <w:szCs w:val="21"/>
        </w:rPr>
      </w:pPr>
      <w:r>
        <w:rPr>
          <w:rFonts w:hint="eastAsia" w:ascii="宋体" w:hAnsi="宋体" w:cs="Arial"/>
          <w:bCs/>
          <w:kern w:val="28"/>
          <w:szCs w:val="21"/>
        </w:rPr>
        <w:t>5、磋商结束后，主持人宣布本次最终报价的最高限价，并要求各磋商响应方在规定时间（30分钟）内进行最终报价。在规定时间内没有提交最终报价的磋商供应商，视为放弃第二轮报价，其最终报价按上一轮报价为准（供应商明确放弃投标的情况除外）。</w:t>
      </w:r>
    </w:p>
    <w:p>
      <w:pPr>
        <w:spacing w:line="360" w:lineRule="auto"/>
        <w:ind w:firstLine="420" w:firstLineChars="200"/>
        <w:rPr>
          <w:rFonts w:ascii="宋体" w:hAnsi="宋体" w:cs="Arial"/>
          <w:bCs/>
          <w:kern w:val="28"/>
          <w:szCs w:val="21"/>
        </w:rPr>
      </w:pPr>
      <w:r>
        <w:rPr>
          <w:rFonts w:hint="eastAsia" w:ascii="宋体" w:hAnsi="宋体" w:cs="Arial"/>
          <w:bCs/>
          <w:kern w:val="28"/>
          <w:szCs w:val="21"/>
        </w:rPr>
        <w:t>6、磋商小组根据评审方法对各磋商响应方的资信及商务、技术情况进行评审打分。系统按照磋商小组独立评定结果进行算术平均值计算。</w:t>
      </w:r>
    </w:p>
    <w:p>
      <w:pPr>
        <w:spacing w:line="360" w:lineRule="auto"/>
        <w:ind w:firstLine="420" w:firstLineChars="200"/>
        <w:rPr>
          <w:rFonts w:ascii="宋体" w:hAnsi="宋体" w:cs="Arial"/>
          <w:bCs/>
          <w:kern w:val="28"/>
          <w:szCs w:val="21"/>
        </w:rPr>
      </w:pPr>
      <w:r>
        <w:rPr>
          <w:rFonts w:hint="eastAsia" w:ascii="宋体" w:hAnsi="宋体" w:cs="Arial"/>
          <w:bCs/>
          <w:kern w:val="28"/>
          <w:szCs w:val="21"/>
        </w:rPr>
        <w:t>7、主持人宣布磋商最终报价评审的有关事项。</w:t>
      </w:r>
    </w:p>
    <w:p>
      <w:pPr>
        <w:spacing w:line="360" w:lineRule="auto"/>
        <w:ind w:firstLine="420" w:firstLineChars="200"/>
        <w:rPr>
          <w:rFonts w:ascii="宋体" w:hAnsi="宋体" w:cs="Arial"/>
          <w:bCs/>
          <w:kern w:val="28"/>
          <w:szCs w:val="21"/>
        </w:rPr>
      </w:pPr>
      <w:r>
        <w:rPr>
          <w:rFonts w:hint="eastAsia" w:ascii="宋体" w:hAnsi="宋体" w:cs="Arial"/>
          <w:bCs/>
          <w:kern w:val="28"/>
          <w:szCs w:val="21"/>
        </w:rPr>
        <w:t>8、磋商结束后，系统公布有效磋商响应方的总得分结果和推荐的中标候选人。</w:t>
      </w:r>
    </w:p>
    <w:p>
      <w:pPr>
        <w:spacing w:line="360" w:lineRule="auto"/>
        <w:ind w:firstLine="420" w:firstLineChars="200"/>
        <w:rPr>
          <w:rFonts w:ascii="宋体" w:hAnsi="宋体" w:cs="Arial"/>
          <w:bCs/>
          <w:kern w:val="28"/>
          <w:szCs w:val="21"/>
        </w:rPr>
      </w:pPr>
      <w:r>
        <w:rPr>
          <w:rFonts w:hint="eastAsia" w:ascii="宋体" w:hAnsi="宋体" w:cs="Arial"/>
          <w:bCs/>
          <w:kern w:val="28"/>
          <w:szCs w:val="21"/>
        </w:rPr>
        <w:t>9、磋商原则：磋商小组必须公平、公正、客观，不带任何倾向性和启发性；不得向外界透露任何与磋商有关的内容；任何单位和个人不得干扰、影响磋商的正常进行；磋商小组及有关工作人员不得私下与磋商响应方接触。</w:t>
      </w:r>
    </w:p>
    <w:p>
      <w:pPr>
        <w:widowControl w:val="0"/>
        <w:ind w:firstLine="411" w:firstLineChars="196"/>
        <w:jc w:val="both"/>
        <w:outlineLvl w:val="0"/>
        <w:rPr>
          <w:rFonts w:ascii="宋体" w:hAnsi="宋体"/>
          <w:b/>
          <w:bCs/>
          <w:szCs w:val="21"/>
        </w:rPr>
      </w:pPr>
      <w:bookmarkStart w:id="15" w:name="_Toc11298"/>
      <w:bookmarkStart w:id="16" w:name="_Toc27912"/>
      <w:bookmarkStart w:id="17" w:name="_Toc423610067"/>
      <w:r>
        <w:rPr>
          <w:rFonts w:hint="eastAsia" w:ascii="宋体" w:hAnsi="宋体"/>
          <w:b/>
          <w:bCs/>
          <w:szCs w:val="21"/>
        </w:rPr>
        <w:t>四、竞争性磋商评标办法</w:t>
      </w:r>
      <w:bookmarkEnd w:id="15"/>
      <w:bookmarkEnd w:id="16"/>
      <w:bookmarkEnd w:id="17"/>
    </w:p>
    <w:p>
      <w:pPr>
        <w:spacing w:line="360" w:lineRule="auto"/>
        <w:ind w:firstLine="420"/>
        <w:outlineLvl w:val="0"/>
        <w:rPr>
          <w:rFonts w:ascii="宋体" w:hAnsi="宋体"/>
          <w:szCs w:val="21"/>
        </w:rPr>
      </w:pPr>
      <w:bookmarkStart w:id="18" w:name="_Toc31540"/>
      <w:bookmarkStart w:id="19" w:name="_Toc26970"/>
      <w:bookmarkStart w:id="20" w:name="_Toc423610068"/>
      <w:r>
        <w:rPr>
          <w:rFonts w:hint="eastAsia" w:ascii="宋体" w:hAnsi="宋体"/>
          <w:szCs w:val="21"/>
        </w:rPr>
        <w:t>本评标办法采用百分制综合评估法。报价10分、商务技术90分（其中：商务资信分</w:t>
      </w:r>
      <w:r>
        <w:rPr>
          <w:rFonts w:hint="eastAsia" w:ascii="宋体" w:hAnsi="宋体"/>
          <w:szCs w:val="21"/>
          <w:lang w:val="en-US" w:eastAsia="zh-CN"/>
        </w:rPr>
        <w:t>17</w:t>
      </w:r>
      <w:r>
        <w:rPr>
          <w:rFonts w:hint="eastAsia" w:ascii="宋体" w:hAnsi="宋体"/>
          <w:szCs w:val="21"/>
        </w:rPr>
        <w:t>分，技术分</w:t>
      </w:r>
      <w:r>
        <w:rPr>
          <w:rFonts w:hint="eastAsia" w:ascii="宋体" w:hAnsi="宋体"/>
          <w:szCs w:val="21"/>
          <w:lang w:val="en-US" w:eastAsia="zh-CN"/>
        </w:rPr>
        <w:t>73</w:t>
      </w:r>
      <w:r>
        <w:rPr>
          <w:rFonts w:hint="eastAsia" w:ascii="宋体" w:hAnsi="宋体"/>
          <w:szCs w:val="21"/>
        </w:rPr>
        <w:t>分）。最大限度地满足采购需求中规定的各项综合评价标准且综合得分最高的投标人，将被推荐为排序第一的中标候选人。</w:t>
      </w:r>
      <w:bookmarkEnd w:id="18"/>
      <w:bookmarkEnd w:id="19"/>
      <w:bookmarkEnd w:id="20"/>
    </w:p>
    <w:p>
      <w:pPr>
        <w:widowControl w:val="0"/>
        <w:spacing w:line="420" w:lineRule="auto"/>
        <w:ind w:firstLine="308" w:firstLineChars="147"/>
        <w:jc w:val="both"/>
        <w:outlineLvl w:val="0"/>
      </w:pPr>
      <w:bookmarkStart w:id="21" w:name="_Toc32438"/>
      <w:bookmarkStart w:id="22" w:name="_Toc19850"/>
      <w:bookmarkStart w:id="23" w:name="_Toc423610113"/>
      <w:r>
        <w:rPr>
          <w:rFonts w:hint="eastAsia" w:ascii="宋体" w:hAnsi="宋体" w:cs="新宋体"/>
          <w:szCs w:val="21"/>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技术资信部分的最终得分（四舍五入，保留小数点后二位）。下述评分项缺项按</w:t>
      </w:r>
      <w:r>
        <w:rPr>
          <w:rFonts w:hint="eastAsia"/>
          <w:szCs w:val="21"/>
        </w:rPr>
        <w:t>0</w:t>
      </w:r>
      <w:r>
        <w:rPr>
          <w:rFonts w:hint="eastAsia" w:ascii="宋体" w:hAnsi="宋体" w:cs="新宋体"/>
          <w:szCs w:val="21"/>
        </w:rPr>
        <w:t>分计。</w:t>
      </w:r>
      <w:bookmarkEnd w:id="21"/>
      <w:bookmarkEnd w:id="22"/>
    </w:p>
    <w:p>
      <w:pPr>
        <w:pStyle w:val="2"/>
        <w:spacing w:before="156" w:beforeLines="50" w:after="156" w:afterLines="50" w:line="360" w:lineRule="auto"/>
        <w:ind w:left="0" w:leftChars="0"/>
        <w:rPr>
          <w:rFonts w:hAnsi="宋体" w:cs="宋体"/>
          <w:b/>
          <w:sz w:val="24"/>
          <w:szCs w:val="24"/>
        </w:rPr>
      </w:pPr>
      <w:bookmarkStart w:id="24" w:name="_Toc10334"/>
      <w:bookmarkStart w:id="25" w:name="_Toc13204"/>
      <w:r>
        <w:rPr>
          <w:rFonts w:hint="eastAsia" w:hAnsi="宋体" w:cs="宋体"/>
          <w:b/>
          <w:sz w:val="24"/>
          <w:szCs w:val="24"/>
        </w:rPr>
        <w:t>（一）商务资信分（</w:t>
      </w:r>
      <w:r>
        <w:rPr>
          <w:rFonts w:hint="eastAsia" w:cs="宋体"/>
          <w:b/>
          <w:sz w:val="24"/>
          <w:szCs w:val="24"/>
          <w:lang w:val="en-US" w:eastAsia="zh-CN"/>
        </w:rPr>
        <w:t>17</w:t>
      </w:r>
      <w:r>
        <w:rPr>
          <w:rFonts w:hint="eastAsia" w:hAnsi="宋体" w:cs="宋体"/>
          <w:b/>
          <w:sz w:val="24"/>
          <w:szCs w:val="24"/>
        </w:rPr>
        <w:t>分）</w:t>
      </w:r>
    </w:p>
    <w:tbl>
      <w:tblPr>
        <w:tblStyle w:val="24"/>
        <w:tblW w:w="896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74"/>
        <w:gridCol w:w="844"/>
        <w:gridCol w:w="6332"/>
        <w:gridCol w:w="91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65" w:hRule="atLeast"/>
          <w:jc w:val="center"/>
        </w:trPr>
        <w:tc>
          <w:tcPr>
            <w:tcW w:w="874" w:type="dxa"/>
            <w:vMerge w:val="restart"/>
            <w:tcBorders>
              <w:right w:val="single" w:color="auto" w:sz="4" w:space="0"/>
            </w:tcBorders>
            <w:vAlign w:val="center"/>
          </w:tcPr>
          <w:p>
            <w:pPr>
              <w:widowControl w:val="0"/>
              <w:spacing w:line="360" w:lineRule="auto"/>
              <w:jc w:val="center"/>
            </w:pPr>
          </w:p>
          <w:p>
            <w:pPr>
              <w:widowControl w:val="0"/>
              <w:spacing w:line="360" w:lineRule="auto"/>
              <w:jc w:val="center"/>
            </w:pPr>
          </w:p>
          <w:p>
            <w:pPr>
              <w:widowControl w:val="0"/>
              <w:spacing w:line="360" w:lineRule="auto"/>
              <w:jc w:val="center"/>
            </w:pPr>
          </w:p>
          <w:p>
            <w:pPr>
              <w:widowControl w:val="0"/>
              <w:spacing w:line="360" w:lineRule="auto"/>
              <w:jc w:val="center"/>
            </w:pPr>
          </w:p>
          <w:p>
            <w:pPr>
              <w:widowControl w:val="0"/>
              <w:spacing w:line="360" w:lineRule="auto"/>
              <w:jc w:val="center"/>
            </w:pPr>
            <w:r>
              <w:rPr>
                <w:rFonts w:hint="eastAsia"/>
              </w:rPr>
              <w:t>商务资信分</w:t>
            </w:r>
          </w:p>
          <w:p>
            <w:pPr>
              <w:widowControl w:val="0"/>
              <w:spacing w:line="360" w:lineRule="auto"/>
              <w:jc w:val="center"/>
            </w:pPr>
            <w:r>
              <w:rPr>
                <w:rFonts w:hint="eastAsia"/>
              </w:rPr>
              <w:t>（</w:t>
            </w:r>
            <w:r>
              <w:rPr>
                <w:rFonts w:hint="eastAsia"/>
                <w:lang w:val="en-US" w:eastAsia="zh-CN"/>
              </w:rPr>
              <w:t>17</w:t>
            </w:r>
            <w:r>
              <w:rPr>
                <w:rFonts w:hint="eastAsia"/>
              </w:rPr>
              <w:t>分）</w:t>
            </w:r>
          </w:p>
          <w:p>
            <w:pPr>
              <w:pStyle w:val="18"/>
              <w:widowControl w:val="0"/>
              <w:jc w:val="center"/>
            </w:pPr>
            <w:r>
              <w:rPr>
                <w:rFonts w:hint="eastAsia"/>
              </w:rPr>
              <w:t>（）</w:t>
            </w:r>
          </w:p>
          <w:p>
            <w:pPr>
              <w:widowControl w:val="0"/>
              <w:spacing w:line="360" w:lineRule="auto"/>
              <w:jc w:val="center"/>
            </w:pPr>
          </w:p>
          <w:p>
            <w:pPr>
              <w:pStyle w:val="18"/>
              <w:widowControl w:val="0"/>
              <w:jc w:val="center"/>
            </w:pPr>
          </w:p>
          <w:p>
            <w:pPr>
              <w:widowControl w:val="0"/>
              <w:spacing w:line="360" w:lineRule="auto"/>
              <w:jc w:val="center"/>
            </w:pPr>
          </w:p>
          <w:p>
            <w:pPr>
              <w:pStyle w:val="18"/>
              <w:widowControl w:val="0"/>
              <w:jc w:val="center"/>
            </w:pPr>
          </w:p>
          <w:p>
            <w:pPr>
              <w:pStyle w:val="53"/>
              <w:tabs>
                <w:tab w:val="left" w:pos="0"/>
              </w:tabs>
              <w:spacing w:line="360" w:lineRule="auto"/>
              <w:jc w:val="center"/>
              <w:rPr>
                <w:rFonts w:hint="default" w:ascii="宋体" w:hAnsi="宋体" w:cs="宋体"/>
                <w:kern w:val="0"/>
                <w:szCs w:val="21"/>
              </w:rPr>
            </w:pPr>
          </w:p>
          <w:p>
            <w:pPr>
              <w:pStyle w:val="53"/>
              <w:tabs>
                <w:tab w:val="left" w:pos="0"/>
              </w:tabs>
              <w:spacing w:line="360" w:lineRule="auto"/>
              <w:jc w:val="center"/>
              <w:rPr>
                <w:rFonts w:hint="default" w:ascii="宋体" w:hAnsi="宋体" w:cs="宋体"/>
              </w:rPr>
            </w:pPr>
          </w:p>
        </w:tc>
        <w:tc>
          <w:tcPr>
            <w:tcW w:w="844" w:type="dxa"/>
            <w:tcBorders>
              <w:left w:val="single" w:color="auto" w:sz="4" w:space="0"/>
              <w:bottom w:val="single" w:color="auto" w:sz="4" w:space="0"/>
              <w:right w:val="single" w:color="auto" w:sz="4" w:space="0"/>
            </w:tcBorders>
            <w:vAlign w:val="center"/>
          </w:tcPr>
          <w:p>
            <w:pPr>
              <w:pStyle w:val="72"/>
              <w:snapToGrid w:val="0"/>
              <w:spacing w:line="360" w:lineRule="auto"/>
              <w:jc w:val="center"/>
              <w:rPr>
                <w:rFonts w:hint="default" w:ascii="宋体" w:hAnsi="宋体" w:cs="宋体"/>
                <w:kern w:val="0"/>
                <w:szCs w:val="21"/>
              </w:rPr>
            </w:pPr>
            <w:r>
              <w:rPr>
                <w:rFonts w:ascii="宋体" w:hAnsi="宋体" w:cs="宋体"/>
                <w:kern w:val="0"/>
                <w:szCs w:val="21"/>
              </w:rPr>
              <w:t>诚信分3分</w:t>
            </w:r>
          </w:p>
        </w:tc>
        <w:tc>
          <w:tcPr>
            <w:tcW w:w="6332" w:type="dxa"/>
            <w:tcBorders>
              <w:left w:val="single" w:color="auto" w:sz="4" w:space="0"/>
              <w:bottom w:val="single" w:color="auto" w:sz="4" w:space="0"/>
              <w:right w:val="single" w:color="auto" w:sz="4" w:space="0"/>
            </w:tcBorders>
            <w:vAlign w:val="center"/>
          </w:tcPr>
          <w:p>
            <w:pPr>
              <w:pStyle w:val="72"/>
              <w:snapToGrid w:val="0"/>
              <w:spacing w:line="360" w:lineRule="auto"/>
              <w:jc w:val="left"/>
              <w:rPr>
                <w:rFonts w:hint="default" w:ascii="宋体" w:hAnsi="宋体" w:cs="宋体"/>
                <w:kern w:val="0"/>
                <w:szCs w:val="21"/>
              </w:rPr>
            </w:pPr>
            <w:r>
              <w:rPr>
                <w:rFonts w:ascii="宋体" w:hAnsi="宋体" w:cs="宋体"/>
                <w:color w:val="000000"/>
                <w:szCs w:val="21"/>
              </w:rPr>
              <w:t>投标人投标截止时间前三年受到行政处罚或列入不良行为的，此项得分为0；承诺投标截止时间前三年未受到过</w:t>
            </w:r>
            <w:r>
              <w:rPr>
                <w:rFonts w:hint="eastAsia" w:ascii="宋体" w:hAnsi="宋体" w:cs="宋体"/>
                <w:color w:val="000000"/>
                <w:szCs w:val="21"/>
                <w:lang w:val="en-US" w:eastAsia="zh-CN"/>
              </w:rPr>
              <w:t>行政</w:t>
            </w:r>
            <w:r>
              <w:rPr>
                <w:rFonts w:ascii="宋体" w:hAnsi="宋体" w:cs="宋体"/>
                <w:color w:val="000000"/>
                <w:szCs w:val="21"/>
              </w:rPr>
              <w:t>处罚或记入不良行为的得3分（投标文件中须单独作承诺，格式自拟，否则不得分）</w:t>
            </w:r>
          </w:p>
        </w:tc>
        <w:tc>
          <w:tcPr>
            <w:tcW w:w="911" w:type="dxa"/>
            <w:tcBorders>
              <w:left w:val="single" w:color="auto" w:sz="4" w:space="0"/>
              <w:bottom w:val="single" w:color="auto" w:sz="4" w:space="0"/>
            </w:tcBorders>
            <w:vAlign w:val="center"/>
          </w:tcPr>
          <w:p>
            <w:pPr>
              <w:pStyle w:val="72"/>
              <w:snapToGrid w:val="0"/>
              <w:spacing w:line="360" w:lineRule="auto"/>
              <w:jc w:val="center"/>
              <w:rPr>
                <w:rFonts w:hint="default" w:ascii="宋体" w:hAnsi="宋体" w:cs="宋体"/>
                <w:kern w:val="0"/>
                <w:szCs w:val="21"/>
              </w:rPr>
            </w:pPr>
            <w:r>
              <w:rPr>
                <w:rFonts w:ascii="宋体" w:hAnsi="宋体" w:cs="宋体"/>
                <w:kern w:val="0"/>
                <w:szCs w:val="21"/>
              </w:rPr>
              <w:t>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12" w:hRule="atLeast"/>
          <w:jc w:val="center"/>
        </w:trPr>
        <w:tc>
          <w:tcPr>
            <w:tcW w:w="874" w:type="dxa"/>
            <w:vMerge w:val="continue"/>
            <w:tcBorders>
              <w:right w:val="single" w:color="auto" w:sz="4" w:space="0"/>
            </w:tcBorders>
            <w:vAlign w:val="center"/>
          </w:tcPr>
          <w:p>
            <w:pPr>
              <w:pStyle w:val="53"/>
              <w:tabs>
                <w:tab w:val="left" w:pos="0"/>
              </w:tabs>
              <w:spacing w:line="360" w:lineRule="auto"/>
              <w:jc w:val="center"/>
              <w:rPr>
                <w:rFonts w:hint="default" w:ascii="宋体" w:hAnsi="宋体" w:cs="宋体"/>
              </w:rPr>
            </w:pP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szCs w:val="21"/>
              </w:rPr>
            </w:pPr>
          </w:p>
          <w:p>
            <w:pPr>
              <w:widowControl w:val="0"/>
              <w:snapToGrid w:val="0"/>
              <w:spacing w:line="360" w:lineRule="auto"/>
              <w:jc w:val="center"/>
              <w:rPr>
                <w:rFonts w:hint="eastAsia"/>
              </w:rPr>
            </w:pPr>
            <w:r>
              <w:rPr>
                <w:rFonts w:hint="eastAsia" w:ascii="宋体" w:hAnsi="宋体" w:cs="宋体"/>
                <w:szCs w:val="21"/>
              </w:rPr>
              <w:t>企业实力</w:t>
            </w:r>
            <w:r>
              <w:rPr>
                <w:rFonts w:ascii="宋体" w:hAnsi="宋体" w:cs="宋体"/>
                <w:szCs w:val="21"/>
              </w:rPr>
              <w:t>3</w:t>
            </w:r>
            <w:r>
              <w:rPr>
                <w:rFonts w:hint="eastAsia" w:ascii="宋体" w:hAnsi="宋体" w:cs="宋体"/>
                <w:szCs w:val="21"/>
              </w:rPr>
              <w:t>分</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rPr>
                <w:rFonts w:ascii="宋体" w:hAnsi="宋体" w:cs="宋体"/>
                <w:color w:val="000000"/>
                <w:szCs w:val="21"/>
              </w:rPr>
            </w:pPr>
            <w:r>
              <w:rPr>
                <w:rFonts w:hint="eastAsia"/>
                <w:szCs w:val="21"/>
              </w:rPr>
              <w:t>供应商具有质量管理体系认证、环境管理体系认证、职业健康安全管理体系认证证书且在有效期内，每个得1分，得3分。</w:t>
            </w:r>
            <w:r>
              <w:rPr>
                <w:rFonts w:hint="eastAsia" w:ascii="宋体" w:hAnsi="宋体" w:cs="宋体"/>
                <w:szCs w:val="21"/>
                <w:lang w:val="zh-CN"/>
              </w:rPr>
              <w:t>（提供</w:t>
            </w:r>
            <w:r>
              <w:rPr>
                <w:rFonts w:hint="eastAsia" w:ascii="宋体" w:hAnsi="宋体" w:cs="宋体"/>
                <w:szCs w:val="21"/>
              </w:rPr>
              <w:t>相关荣誉证书</w:t>
            </w:r>
            <w:r>
              <w:rPr>
                <w:rFonts w:hint="eastAsia" w:ascii="宋体" w:hAnsi="宋体" w:cs="宋体"/>
                <w:szCs w:val="21"/>
                <w:lang w:val="zh-CN"/>
              </w:rPr>
              <w:t>复印件并加盖公章）</w:t>
            </w:r>
          </w:p>
        </w:tc>
        <w:tc>
          <w:tcPr>
            <w:tcW w:w="911" w:type="dxa"/>
            <w:tcBorders>
              <w:top w:val="single" w:color="auto" w:sz="4" w:space="0"/>
              <w:left w:val="single" w:color="auto" w:sz="4" w:space="0"/>
              <w:bottom w:val="single" w:color="auto" w:sz="4" w:space="0"/>
            </w:tcBorders>
            <w:vAlign w:val="center"/>
          </w:tcPr>
          <w:p>
            <w:pPr>
              <w:pStyle w:val="53"/>
              <w:tabs>
                <w:tab w:val="left" w:pos="0"/>
              </w:tabs>
              <w:snapToGrid w:val="0"/>
              <w:spacing w:line="360" w:lineRule="auto"/>
              <w:ind w:left="0" w:leftChars="0"/>
              <w:jc w:val="center"/>
              <w:rPr>
                <w:rFonts w:hint="default" w:ascii="宋体" w:hAnsi="宋体" w:cs="宋体"/>
                <w:kern w:val="0"/>
                <w:szCs w:val="21"/>
              </w:rPr>
            </w:pPr>
            <w:r>
              <w:rPr>
                <w:rFonts w:ascii="宋体" w:hAnsi="宋体" w:cs="宋体"/>
                <w:kern w:val="0"/>
                <w:szCs w:val="21"/>
              </w:rPr>
              <w:t>0-</w:t>
            </w:r>
            <w:r>
              <w:rPr>
                <w:rFonts w:hint="default"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874" w:type="dxa"/>
            <w:vMerge w:val="continue"/>
            <w:tcBorders>
              <w:right w:val="single" w:color="auto" w:sz="4" w:space="0"/>
            </w:tcBorders>
            <w:vAlign w:val="center"/>
          </w:tcPr>
          <w:p>
            <w:pPr>
              <w:pStyle w:val="53"/>
              <w:tabs>
                <w:tab w:val="left" w:pos="0"/>
              </w:tabs>
              <w:spacing w:line="360" w:lineRule="auto"/>
              <w:jc w:val="center"/>
              <w:rPr>
                <w:rFonts w:hint="default" w:ascii="宋体" w:hAnsi="宋体" w:cs="宋体"/>
              </w:rPr>
            </w:pP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szCs w:val="21"/>
              </w:rPr>
            </w:pPr>
            <w:r>
              <w:rPr>
                <w:szCs w:val="21"/>
              </w:rPr>
              <w:t>项目负责人</w:t>
            </w:r>
            <w:r>
              <w:rPr>
                <w:rFonts w:hint="eastAsia"/>
                <w:szCs w:val="21"/>
                <w:lang w:val="en-US" w:eastAsia="zh-CN"/>
              </w:rPr>
              <w:t>2</w:t>
            </w:r>
            <w:r>
              <w:rPr>
                <w:rFonts w:hint="eastAsia"/>
                <w:szCs w:val="21"/>
              </w:rPr>
              <w:t>分</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rPr>
                <w:rFonts w:ascii="宋体" w:hAnsi="宋体" w:cs="宋体"/>
                <w:color w:val="auto"/>
                <w:szCs w:val="21"/>
                <w:highlight w:val="none"/>
                <w:lang w:val="zh-CN"/>
              </w:rPr>
            </w:pPr>
            <w:r>
              <w:rPr>
                <w:rFonts w:hint="eastAsia"/>
                <w:color w:val="auto"/>
                <w:szCs w:val="21"/>
                <w:highlight w:val="none"/>
              </w:rPr>
              <w:t>项目负责人具有教授级高级工程师职称的，得</w:t>
            </w:r>
            <w:r>
              <w:rPr>
                <w:rFonts w:hint="eastAsia"/>
                <w:color w:val="auto"/>
                <w:szCs w:val="21"/>
                <w:highlight w:val="none"/>
                <w:lang w:val="en-US" w:eastAsia="zh-CN"/>
              </w:rPr>
              <w:t>2</w:t>
            </w:r>
            <w:r>
              <w:rPr>
                <w:rFonts w:hint="eastAsia"/>
                <w:color w:val="auto"/>
                <w:szCs w:val="21"/>
                <w:highlight w:val="none"/>
              </w:rPr>
              <w:t>分；项目负责人具有高级工程师职称的，得</w:t>
            </w:r>
            <w:r>
              <w:rPr>
                <w:rFonts w:hint="eastAsia"/>
                <w:color w:val="auto"/>
                <w:szCs w:val="21"/>
                <w:highlight w:val="none"/>
                <w:lang w:val="en-US" w:eastAsia="zh-CN"/>
              </w:rPr>
              <w:t>1</w:t>
            </w:r>
            <w:r>
              <w:rPr>
                <w:rFonts w:hint="eastAsia"/>
                <w:color w:val="auto"/>
                <w:szCs w:val="21"/>
                <w:highlight w:val="none"/>
              </w:rPr>
              <w:t>分。本项最高</w:t>
            </w:r>
            <w:r>
              <w:rPr>
                <w:rFonts w:hint="eastAsia"/>
                <w:color w:val="auto"/>
                <w:szCs w:val="21"/>
                <w:highlight w:val="none"/>
                <w:lang w:val="en-US" w:eastAsia="zh-CN"/>
              </w:rPr>
              <w:t>2</w:t>
            </w:r>
            <w:r>
              <w:rPr>
                <w:rFonts w:hint="eastAsia"/>
                <w:color w:val="auto"/>
                <w:szCs w:val="21"/>
                <w:highlight w:val="none"/>
              </w:rPr>
              <w:t>分（须提供职称证书复印件并加盖公章）。</w:t>
            </w:r>
          </w:p>
        </w:tc>
        <w:tc>
          <w:tcPr>
            <w:tcW w:w="911" w:type="dxa"/>
            <w:tcBorders>
              <w:top w:val="single" w:color="auto" w:sz="4" w:space="0"/>
              <w:left w:val="single" w:color="auto" w:sz="4" w:space="0"/>
              <w:bottom w:val="single" w:color="auto" w:sz="4" w:space="0"/>
            </w:tcBorders>
            <w:vAlign w:val="center"/>
          </w:tcPr>
          <w:p>
            <w:pPr>
              <w:pStyle w:val="53"/>
              <w:tabs>
                <w:tab w:val="left" w:pos="0"/>
              </w:tabs>
              <w:snapToGrid w:val="0"/>
              <w:spacing w:line="360" w:lineRule="auto"/>
              <w:ind w:left="0" w:leftChars="0"/>
              <w:jc w:val="center"/>
              <w:rPr>
                <w:rFonts w:hint="eastAsia" w:ascii="宋体" w:hAnsi="宋体" w:eastAsia="宋体" w:cs="宋体"/>
                <w:kern w:val="0"/>
                <w:szCs w:val="21"/>
                <w:lang w:eastAsia="zh-CN"/>
              </w:rPr>
            </w:pPr>
            <w:r>
              <w:rPr>
                <w:rFonts w:ascii="宋体" w:hAnsi="宋体" w:cs="宋体"/>
                <w:kern w:val="0"/>
                <w:szCs w:val="21"/>
              </w:rPr>
              <w:t>0-</w:t>
            </w:r>
            <w:r>
              <w:rPr>
                <w:rFonts w:hint="eastAsia" w:ascii="宋体" w:hAnsi="宋体"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874" w:type="dxa"/>
            <w:vMerge w:val="continue"/>
            <w:tcBorders>
              <w:right w:val="single" w:color="auto" w:sz="4" w:space="0"/>
            </w:tcBorders>
            <w:vAlign w:val="center"/>
          </w:tcPr>
          <w:p>
            <w:pPr>
              <w:pStyle w:val="53"/>
              <w:tabs>
                <w:tab w:val="left" w:pos="0"/>
              </w:tabs>
              <w:spacing w:line="360" w:lineRule="auto"/>
              <w:jc w:val="center"/>
              <w:rPr>
                <w:rFonts w:hint="default" w:ascii="宋体" w:hAnsi="宋体" w:cs="宋体"/>
              </w:rPr>
            </w:pP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szCs w:val="21"/>
              </w:rPr>
            </w:pPr>
            <w:r>
              <w:rPr>
                <w:rFonts w:hint="eastAsia" w:ascii="宋体" w:hAnsi="宋体" w:cs="宋体"/>
                <w:szCs w:val="21"/>
                <w:lang w:val="zh-CN"/>
              </w:rPr>
              <w:t>项目团队人员</w:t>
            </w:r>
            <w:r>
              <w:rPr>
                <w:rFonts w:ascii="宋体" w:hAnsi="宋体" w:cs="宋体"/>
                <w:szCs w:val="21"/>
              </w:rPr>
              <w:t>8</w:t>
            </w:r>
            <w:r>
              <w:rPr>
                <w:rFonts w:hint="eastAsia" w:ascii="宋体" w:hAnsi="宋体" w:cs="宋体"/>
                <w:szCs w:val="21"/>
              </w:rPr>
              <w:t>分</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rPr>
                <w:color w:val="auto"/>
                <w:szCs w:val="21"/>
                <w:highlight w:val="none"/>
              </w:rPr>
            </w:pPr>
            <w:r>
              <w:rPr>
                <w:rFonts w:hint="eastAsia"/>
                <w:color w:val="auto"/>
                <w:szCs w:val="21"/>
                <w:highlight w:val="none"/>
              </w:rPr>
              <w:t>1、</w:t>
            </w:r>
            <w:r>
              <w:rPr>
                <w:color w:val="auto"/>
                <w:szCs w:val="21"/>
                <w:highlight w:val="none"/>
              </w:rPr>
              <w:t>项目团队成员（除项目负责人）</w:t>
            </w:r>
            <w:r>
              <w:rPr>
                <w:rFonts w:hint="eastAsia"/>
                <w:color w:val="auto"/>
                <w:szCs w:val="21"/>
                <w:highlight w:val="none"/>
              </w:rPr>
              <w:t>每有一个具有环境或生态专业</w:t>
            </w:r>
            <w:r>
              <w:rPr>
                <w:color w:val="auto"/>
                <w:szCs w:val="21"/>
                <w:highlight w:val="none"/>
              </w:rPr>
              <w:t>高级职称及以上</w:t>
            </w:r>
            <w:r>
              <w:rPr>
                <w:rFonts w:hint="eastAsia"/>
                <w:color w:val="auto"/>
                <w:szCs w:val="21"/>
                <w:highlight w:val="none"/>
              </w:rPr>
              <w:t>得1分。累计最高得</w:t>
            </w:r>
            <w:r>
              <w:rPr>
                <w:color w:val="auto"/>
                <w:szCs w:val="21"/>
                <w:highlight w:val="none"/>
              </w:rPr>
              <w:t>4</w:t>
            </w:r>
            <w:r>
              <w:rPr>
                <w:rFonts w:hint="eastAsia"/>
                <w:color w:val="auto"/>
                <w:szCs w:val="21"/>
                <w:highlight w:val="none"/>
              </w:rPr>
              <w:t>分。</w:t>
            </w:r>
          </w:p>
          <w:p>
            <w:pPr>
              <w:widowControl w:val="0"/>
              <w:autoSpaceDE w:val="0"/>
              <w:autoSpaceDN w:val="0"/>
              <w:adjustRightInd w:val="0"/>
              <w:spacing w:line="360" w:lineRule="auto"/>
              <w:rPr>
                <w:color w:val="auto"/>
                <w:szCs w:val="21"/>
                <w:highlight w:val="none"/>
                <w:lang w:val="zh-CN"/>
              </w:rPr>
            </w:pPr>
            <w:r>
              <w:rPr>
                <w:rFonts w:hint="eastAsia"/>
                <w:color w:val="auto"/>
                <w:szCs w:val="21"/>
                <w:highlight w:val="none"/>
              </w:rPr>
              <w:t>2、</w:t>
            </w:r>
            <w:r>
              <w:rPr>
                <w:color w:val="auto"/>
                <w:szCs w:val="21"/>
                <w:highlight w:val="none"/>
              </w:rPr>
              <w:t>项目团队成员（除项目负责人）</w:t>
            </w:r>
            <w:r>
              <w:rPr>
                <w:rFonts w:hint="eastAsia"/>
                <w:color w:val="auto"/>
                <w:szCs w:val="21"/>
                <w:highlight w:val="none"/>
                <w:lang w:val="zh-CN"/>
              </w:rPr>
              <w:t>具有</w:t>
            </w:r>
            <w:r>
              <w:rPr>
                <w:rFonts w:hint="eastAsia"/>
                <w:color w:val="auto"/>
                <w:szCs w:val="21"/>
                <w:highlight w:val="none"/>
              </w:rPr>
              <w:t>环境科学和环境法专业、环境管理学专业、</w:t>
            </w:r>
            <w:r>
              <w:rPr>
                <w:rFonts w:hint="eastAsia"/>
                <w:color w:val="auto"/>
                <w:szCs w:val="21"/>
                <w:highlight w:val="none"/>
                <w:lang w:eastAsia="zh-CN"/>
              </w:rPr>
              <w:t>化学工程</w:t>
            </w:r>
            <w:r>
              <w:rPr>
                <w:rFonts w:hint="eastAsia"/>
                <w:color w:val="auto"/>
                <w:szCs w:val="21"/>
                <w:highlight w:val="none"/>
              </w:rPr>
              <w:t>、环境诊断与管理等</w:t>
            </w:r>
            <w:r>
              <w:rPr>
                <w:rFonts w:hint="eastAsia"/>
                <w:color w:val="auto"/>
                <w:szCs w:val="21"/>
                <w:highlight w:val="none"/>
                <w:lang w:val="en-US" w:eastAsia="zh-CN"/>
              </w:rPr>
              <w:t>相关</w:t>
            </w:r>
            <w:r>
              <w:rPr>
                <w:rFonts w:hint="eastAsia"/>
                <w:color w:val="auto"/>
                <w:szCs w:val="21"/>
                <w:highlight w:val="none"/>
              </w:rPr>
              <w:t>专业学历</w:t>
            </w:r>
            <w:r>
              <w:rPr>
                <w:rFonts w:hint="eastAsia"/>
                <w:color w:val="auto"/>
                <w:szCs w:val="21"/>
                <w:highlight w:val="none"/>
                <w:lang w:val="zh-CN"/>
              </w:rPr>
              <w:t>的，每个专业得</w:t>
            </w:r>
            <w:r>
              <w:rPr>
                <w:color w:val="auto"/>
                <w:szCs w:val="21"/>
                <w:highlight w:val="none"/>
              </w:rPr>
              <w:t>1</w:t>
            </w:r>
            <w:r>
              <w:rPr>
                <w:rFonts w:hint="eastAsia"/>
                <w:color w:val="auto"/>
                <w:szCs w:val="21"/>
                <w:highlight w:val="none"/>
                <w:lang w:val="zh-CN"/>
              </w:rPr>
              <w:t>分，最高</w:t>
            </w:r>
            <w:r>
              <w:rPr>
                <w:rFonts w:hint="eastAsia"/>
                <w:color w:val="auto"/>
                <w:szCs w:val="21"/>
                <w:highlight w:val="none"/>
              </w:rPr>
              <w:t>4</w:t>
            </w:r>
            <w:r>
              <w:rPr>
                <w:rFonts w:hint="eastAsia"/>
                <w:color w:val="auto"/>
                <w:szCs w:val="21"/>
                <w:highlight w:val="none"/>
                <w:lang w:val="zh-CN"/>
              </w:rPr>
              <w:t>分。</w:t>
            </w:r>
          </w:p>
          <w:p>
            <w:pPr>
              <w:widowControl w:val="0"/>
              <w:autoSpaceDE w:val="0"/>
              <w:autoSpaceDN w:val="0"/>
              <w:adjustRightInd w:val="0"/>
              <w:spacing w:line="360" w:lineRule="auto"/>
              <w:rPr>
                <w:color w:val="auto"/>
                <w:szCs w:val="21"/>
                <w:highlight w:val="none"/>
              </w:rPr>
            </w:pPr>
            <w:r>
              <w:rPr>
                <w:rFonts w:hint="eastAsia"/>
                <w:color w:val="auto"/>
                <w:szCs w:val="21"/>
                <w:highlight w:val="none"/>
              </w:rPr>
              <w:t>（职称证书、毕业证书以及相应技术人员的社保证明材料复印件提供在投标文件中，否则不得分）</w:t>
            </w:r>
          </w:p>
        </w:tc>
        <w:tc>
          <w:tcPr>
            <w:tcW w:w="911" w:type="dxa"/>
            <w:tcBorders>
              <w:top w:val="single" w:color="auto" w:sz="4" w:space="0"/>
              <w:left w:val="single" w:color="auto" w:sz="4" w:space="0"/>
              <w:bottom w:val="single" w:color="auto" w:sz="4" w:space="0"/>
            </w:tcBorders>
            <w:vAlign w:val="center"/>
          </w:tcPr>
          <w:p>
            <w:pPr>
              <w:widowControl w:val="0"/>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874" w:type="dxa"/>
            <w:vMerge w:val="continue"/>
            <w:tcBorders>
              <w:right w:val="single" w:color="auto" w:sz="4" w:space="0"/>
            </w:tcBorders>
            <w:vAlign w:val="center"/>
          </w:tcPr>
          <w:p>
            <w:pPr>
              <w:pStyle w:val="53"/>
              <w:tabs>
                <w:tab w:val="left" w:pos="0"/>
              </w:tabs>
              <w:spacing w:line="360" w:lineRule="auto"/>
              <w:jc w:val="center"/>
              <w:rPr>
                <w:rFonts w:hint="default" w:ascii="宋体" w:hAnsi="宋体" w:cs="宋体"/>
              </w:rPr>
            </w:pPr>
          </w:p>
        </w:tc>
        <w:tc>
          <w:tcPr>
            <w:tcW w:w="844" w:type="dxa"/>
            <w:tcBorders>
              <w:top w:val="single" w:color="auto" w:sz="4" w:space="0"/>
              <w:left w:val="single" w:color="auto" w:sz="4" w:space="0"/>
              <w:right w:val="single" w:color="auto" w:sz="4" w:space="0"/>
            </w:tcBorders>
            <w:vAlign w:val="center"/>
          </w:tcPr>
          <w:p>
            <w:pPr>
              <w:widowControl w:val="0"/>
              <w:spacing w:line="360" w:lineRule="auto"/>
              <w:jc w:val="center"/>
              <w:rPr>
                <w:rFonts w:ascii="宋体" w:hAnsi="宋体" w:cs="宋体"/>
                <w:szCs w:val="21"/>
              </w:rPr>
            </w:pPr>
            <w:r>
              <w:rPr>
                <w:rFonts w:hint="eastAsia" w:ascii="宋体" w:hAnsi="宋体" w:cs="宋体"/>
                <w:szCs w:val="21"/>
              </w:rPr>
              <w:t>业绩</w:t>
            </w:r>
            <w:r>
              <w:rPr>
                <w:rFonts w:hint="eastAsia" w:ascii="宋体" w:hAnsi="宋体" w:cs="宋体"/>
                <w:szCs w:val="21"/>
                <w:lang w:val="en-US" w:eastAsia="zh-CN"/>
              </w:rPr>
              <w:t>1</w:t>
            </w:r>
            <w:r>
              <w:rPr>
                <w:rFonts w:hint="eastAsia" w:ascii="宋体" w:hAnsi="宋体" w:cs="宋体"/>
                <w:szCs w:val="21"/>
              </w:rPr>
              <w:t>分</w:t>
            </w:r>
          </w:p>
        </w:tc>
        <w:tc>
          <w:tcPr>
            <w:tcW w:w="6332" w:type="dxa"/>
            <w:tcBorders>
              <w:top w:val="single" w:color="auto" w:sz="4" w:space="0"/>
              <w:left w:val="single" w:color="auto" w:sz="4" w:space="0"/>
              <w:right w:val="single" w:color="auto" w:sz="4" w:space="0"/>
            </w:tcBorders>
            <w:vAlign w:val="center"/>
          </w:tcPr>
          <w:p>
            <w:pPr>
              <w:widowControl w:val="0"/>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201</w:t>
            </w:r>
            <w:r>
              <w:rPr>
                <w:rFonts w:hint="eastAsia" w:ascii="宋体" w:hAnsi="宋体" w:cs="宋体"/>
                <w:szCs w:val="21"/>
              </w:rPr>
              <w:t>9</w:t>
            </w:r>
            <w:r>
              <w:rPr>
                <w:rFonts w:hint="eastAsia" w:ascii="宋体" w:hAnsi="宋体" w:cs="宋体"/>
                <w:szCs w:val="21"/>
                <w:lang w:val="zh-CN"/>
              </w:rPr>
              <w:t>年1月1日至今（以</w:t>
            </w:r>
            <w:r>
              <w:rPr>
                <w:rFonts w:hint="eastAsia" w:ascii="宋体" w:hAnsi="宋体" w:cs="宋体"/>
                <w:szCs w:val="21"/>
                <w:lang w:val="en-US" w:eastAsia="zh-CN"/>
              </w:rPr>
              <w:t>合同签订</w:t>
            </w:r>
            <w:r>
              <w:rPr>
                <w:rFonts w:hint="eastAsia" w:ascii="宋体" w:hAnsi="宋体" w:cs="宋体"/>
                <w:szCs w:val="21"/>
                <w:lang w:val="zh-CN"/>
              </w:rPr>
              <w:t>时间为准）</w:t>
            </w:r>
            <w:r>
              <w:rPr>
                <w:rFonts w:hint="eastAsia" w:ascii="宋体" w:hAnsi="宋体" w:cs="宋体"/>
                <w:szCs w:val="21"/>
                <w:lang w:val="en-US" w:eastAsia="zh-CN"/>
              </w:rPr>
              <w:t>具有类似</w:t>
            </w:r>
            <w:r>
              <w:rPr>
                <w:rFonts w:hint="eastAsia" w:ascii="宋体" w:hAnsi="宋体" w:cs="宋体"/>
                <w:szCs w:val="21"/>
                <w:lang w:val="zh-CN"/>
              </w:rPr>
              <w:t>“无废城市”方案编制、创建项目经历的，</w:t>
            </w:r>
            <w:r>
              <w:rPr>
                <w:rFonts w:hint="eastAsia" w:ascii="宋体" w:hAnsi="宋体" w:cs="宋体"/>
                <w:szCs w:val="21"/>
                <w:lang w:val="en-US" w:eastAsia="zh-CN"/>
              </w:rPr>
              <w:t>每个合同得0.5分，最高1分</w:t>
            </w:r>
            <w:r>
              <w:rPr>
                <w:rFonts w:hint="eastAsia" w:ascii="宋体" w:hAnsi="宋体" w:cs="宋体"/>
                <w:szCs w:val="21"/>
              </w:rPr>
              <w:t>。</w:t>
            </w:r>
          </w:p>
          <w:p>
            <w:pPr>
              <w:widowControl w:val="0"/>
              <w:spacing w:line="360" w:lineRule="auto"/>
              <w:rPr>
                <w:rFonts w:ascii="宋体" w:hAnsi="宋体" w:cs="宋体"/>
                <w:color w:val="000000"/>
                <w:szCs w:val="21"/>
              </w:rPr>
            </w:pPr>
            <w:r>
              <w:rPr>
                <w:rFonts w:hint="eastAsia" w:ascii="宋体" w:hAnsi="宋体" w:cs="宋体"/>
                <w:szCs w:val="21"/>
                <w:lang w:val="zh-CN"/>
              </w:rPr>
              <w:t>（投标文件中须提供合</w:t>
            </w:r>
            <w:r>
              <w:rPr>
                <w:rFonts w:hint="eastAsia" w:ascii="宋体" w:hAnsi="宋体" w:cs="宋体"/>
                <w:color w:val="auto"/>
                <w:szCs w:val="21"/>
                <w:lang w:val="zh-CN"/>
              </w:rPr>
              <w:t>同或中</w:t>
            </w:r>
            <w:r>
              <w:rPr>
                <w:rFonts w:hint="eastAsia" w:ascii="宋体" w:hAnsi="宋体" w:cs="宋体"/>
                <w:szCs w:val="21"/>
                <w:lang w:val="zh-CN"/>
              </w:rPr>
              <w:t>标通知书复印件）</w:t>
            </w:r>
          </w:p>
        </w:tc>
        <w:tc>
          <w:tcPr>
            <w:tcW w:w="911" w:type="dxa"/>
            <w:tcBorders>
              <w:top w:val="single" w:color="auto" w:sz="4" w:space="0"/>
              <w:left w:val="single" w:color="auto" w:sz="4" w:space="0"/>
            </w:tcBorders>
            <w:vAlign w:val="center"/>
          </w:tcPr>
          <w:p>
            <w:pPr>
              <w:pStyle w:val="53"/>
              <w:tabs>
                <w:tab w:val="left" w:pos="0"/>
              </w:tabs>
              <w:snapToGrid w:val="0"/>
              <w:spacing w:line="360" w:lineRule="auto"/>
              <w:ind w:left="0" w:leftChars="0"/>
              <w:jc w:val="center"/>
              <w:rPr>
                <w:rFonts w:hint="eastAsia" w:ascii="宋体" w:hAnsi="宋体" w:eastAsia="宋体" w:cs="宋体"/>
                <w:kern w:val="0"/>
                <w:szCs w:val="21"/>
                <w:lang w:eastAsia="zh-CN"/>
              </w:rPr>
            </w:pPr>
            <w:r>
              <w:rPr>
                <w:rFonts w:ascii="宋体" w:hAnsi="宋体" w:cs="宋体"/>
                <w:kern w:val="0"/>
                <w:szCs w:val="21"/>
              </w:rPr>
              <w:t>0-</w:t>
            </w:r>
            <w:r>
              <w:rPr>
                <w:rFonts w:hint="eastAsia" w:ascii="宋体" w:hAnsi="宋体" w:cs="宋体"/>
                <w:kern w:val="0"/>
                <w:szCs w:val="21"/>
                <w:lang w:val="en-US" w:eastAsia="zh-CN"/>
              </w:rPr>
              <w:t>1</w:t>
            </w:r>
          </w:p>
        </w:tc>
      </w:tr>
    </w:tbl>
    <w:p>
      <w:pPr>
        <w:widowControl w:val="0"/>
        <w:spacing w:line="360" w:lineRule="auto"/>
        <w:rPr>
          <w:rFonts w:ascii="宋体" w:hAnsi="宋体" w:cs="宋体"/>
          <w:b/>
          <w:bCs/>
          <w:szCs w:val="21"/>
        </w:rPr>
      </w:pPr>
      <w:r>
        <w:rPr>
          <w:rFonts w:hint="eastAsia" w:ascii="宋体" w:hAnsi="宋体" w:cs="宋体"/>
          <w:b/>
          <w:bCs/>
          <w:szCs w:val="21"/>
        </w:rPr>
        <w:t>注：上述要求提供证书均必须在电子标书中上传原件扫描件或图片，不是原件的该项不得分。</w:t>
      </w:r>
    </w:p>
    <w:p>
      <w:pPr>
        <w:widowControl w:val="0"/>
        <w:spacing w:line="360" w:lineRule="auto"/>
        <w:rPr>
          <w:rFonts w:hAnsi="宋体" w:cs="宋体"/>
          <w:b/>
          <w:sz w:val="24"/>
          <w:szCs w:val="24"/>
        </w:rPr>
      </w:pPr>
      <w:r>
        <w:rPr>
          <w:rFonts w:hint="eastAsia" w:cs="宋体"/>
          <w:b/>
          <w:sz w:val="24"/>
          <w:szCs w:val="24"/>
        </w:rPr>
        <w:t>（二）</w:t>
      </w:r>
      <w:r>
        <w:rPr>
          <w:rFonts w:hint="eastAsia" w:hAnsi="宋体" w:cs="宋体"/>
          <w:b/>
          <w:sz w:val="24"/>
          <w:szCs w:val="24"/>
        </w:rPr>
        <w:t>技术分（</w:t>
      </w:r>
      <w:r>
        <w:rPr>
          <w:rFonts w:hint="eastAsia" w:cs="宋体"/>
          <w:b/>
          <w:sz w:val="24"/>
          <w:szCs w:val="24"/>
          <w:lang w:val="en-US" w:eastAsia="zh-CN"/>
        </w:rPr>
        <w:t>73</w:t>
      </w:r>
      <w:r>
        <w:rPr>
          <w:rFonts w:hint="eastAsia" w:hAnsi="宋体" w:cs="宋体"/>
          <w:b/>
          <w:sz w:val="24"/>
          <w:szCs w:val="24"/>
        </w:rPr>
        <w:t>分）</w:t>
      </w:r>
    </w:p>
    <w:tbl>
      <w:tblPr>
        <w:tblStyle w:val="24"/>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955"/>
        <w:gridCol w:w="6256"/>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94" w:type="dxa"/>
            <w:vMerge w:val="restart"/>
            <w:tcBorders>
              <w:tl2br w:val="nil"/>
              <w:tr2bl w:val="nil"/>
            </w:tcBorders>
            <w:vAlign w:val="center"/>
          </w:tcPr>
          <w:p>
            <w:pPr>
              <w:pStyle w:val="53"/>
              <w:widowControl/>
              <w:tabs>
                <w:tab w:val="left" w:pos="0"/>
              </w:tabs>
              <w:spacing w:line="400" w:lineRule="atLeast"/>
              <w:ind w:left="0" w:leftChars="0"/>
              <w:jc w:val="center"/>
              <w:rPr>
                <w:rFonts w:hint="default" w:ascii="宋体" w:hAnsi="宋体" w:cs="宋体"/>
                <w:color w:val="auto"/>
                <w:kern w:val="0"/>
                <w:szCs w:val="21"/>
              </w:rPr>
            </w:pPr>
            <w:r>
              <w:rPr>
                <w:rFonts w:ascii="宋体" w:hAnsi="宋体" w:cs="宋体"/>
                <w:color w:val="auto"/>
                <w:kern w:val="0"/>
                <w:szCs w:val="21"/>
              </w:rPr>
              <w:t>技术分（</w:t>
            </w:r>
            <w:r>
              <w:rPr>
                <w:rFonts w:hint="eastAsia" w:ascii="宋体" w:hAnsi="宋体" w:cs="宋体"/>
                <w:color w:val="auto"/>
                <w:kern w:val="0"/>
                <w:szCs w:val="21"/>
                <w:lang w:val="en-US" w:eastAsia="zh-CN"/>
              </w:rPr>
              <w:t>73</w:t>
            </w:r>
            <w:r>
              <w:rPr>
                <w:rFonts w:ascii="宋体" w:hAnsi="宋体" w:cs="宋体"/>
                <w:color w:val="auto"/>
                <w:kern w:val="0"/>
                <w:szCs w:val="21"/>
              </w:rPr>
              <w:t>分）</w:t>
            </w:r>
          </w:p>
          <w:p>
            <w:pPr>
              <w:pStyle w:val="53"/>
              <w:widowControl/>
              <w:tabs>
                <w:tab w:val="left" w:pos="0"/>
              </w:tabs>
              <w:spacing w:line="360" w:lineRule="atLeast"/>
              <w:jc w:val="center"/>
              <w:rPr>
                <w:rFonts w:hint="default" w:ascii="宋体" w:hAnsi="宋体" w:cs="宋体"/>
                <w:color w:val="auto"/>
              </w:rPr>
            </w:pPr>
          </w:p>
          <w:p>
            <w:pPr>
              <w:pStyle w:val="53"/>
              <w:widowControl/>
              <w:tabs>
                <w:tab w:val="left" w:pos="0"/>
              </w:tabs>
              <w:spacing w:line="360" w:lineRule="atLeast"/>
              <w:jc w:val="center"/>
              <w:rPr>
                <w:rFonts w:hint="default" w:ascii="宋体" w:hAnsi="宋体" w:cs="宋体"/>
                <w:color w:val="auto"/>
              </w:rPr>
            </w:pPr>
          </w:p>
          <w:p>
            <w:pPr>
              <w:pStyle w:val="53"/>
              <w:tabs>
                <w:tab w:val="left" w:pos="0"/>
              </w:tabs>
              <w:spacing w:line="360" w:lineRule="atLeast"/>
              <w:jc w:val="center"/>
              <w:rPr>
                <w:rFonts w:ascii="宋体" w:hAnsi="宋体" w:cs="宋体"/>
                <w:color w:val="auto"/>
                <w:kern w:val="0"/>
                <w:szCs w:val="21"/>
              </w:rPr>
            </w:pPr>
          </w:p>
        </w:tc>
        <w:tc>
          <w:tcPr>
            <w:tcW w:w="955" w:type="dxa"/>
            <w:tcBorders>
              <w:tl2br w:val="nil"/>
              <w:tr2bl w:val="nil"/>
            </w:tcBorders>
            <w:vAlign w:val="center"/>
          </w:tcPr>
          <w:p>
            <w:pPr>
              <w:spacing w:line="300" w:lineRule="auto"/>
              <w:jc w:val="center"/>
              <w:rPr>
                <w:rFonts w:hint="eastAsia" w:ascii="宋体" w:hAnsi="宋体" w:cs="宋体"/>
                <w:color w:val="auto"/>
                <w:szCs w:val="21"/>
              </w:rPr>
            </w:pPr>
            <w:r>
              <w:rPr>
                <w:rFonts w:hint="eastAsia" w:ascii="宋体" w:hAnsi="宋体" w:cs="宋体"/>
                <w:color w:val="auto"/>
                <w:szCs w:val="21"/>
              </w:rPr>
              <w:t>需求分析</w:t>
            </w:r>
          </w:p>
        </w:tc>
        <w:tc>
          <w:tcPr>
            <w:tcW w:w="6256" w:type="dxa"/>
            <w:tcBorders>
              <w:tl2br w:val="nil"/>
              <w:tr2bl w:val="nil"/>
            </w:tcBorders>
            <w:vAlign w:val="center"/>
          </w:tcPr>
          <w:p>
            <w:pPr>
              <w:adjustRightInd w:val="0"/>
              <w:spacing w:line="360" w:lineRule="exact"/>
              <w:jc w:val="both"/>
              <w:rPr>
                <w:rFonts w:hint="eastAsia" w:ascii="宋体" w:hAnsi="宋体" w:cs="宋体"/>
                <w:color w:val="auto"/>
                <w:szCs w:val="21"/>
              </w:rPr>
            </w:pPr>
            <w:r>
              <w:rPr>
                <w:rFonts w:hint="eastAsia" w:ascii="宋体" w:hAnsi="宋体" w:cs="宋体"/>
                <w:color w:val="auto"/>
                <w:szCs w:val="21"/>
              </w:rPr>
              <w:t>根据供应商对</w:t>
            </w:r>
            <w:r>
              <w:rPr>
                <w:rFonts w:hint="eastAsia" w:ascii="宋体" w:hAnsi="宋体" w:cs="宋体"/>
                <w:color w:val="auto"/>
                <w:szCs w:val="21"/>
                <w:lang w:eastAsia="zh-CN"/>
              </w:rPr>
              <w:t>海盐县全域“无废城市”建设</w:t>
            </w:r>
            <w:r>
              <w:rPr>
                <w:rFonts w:hint="eastAsia" w:ascii="宋体" w:hAnsi="宋体" w:cs="宋体"/>
                <w:color w:val="auto"/>
                <w:szCs w:val="21"/>
              </w:rPr>
              <w:t>项目总体的理解，</w:t>
            </w:r>
            <w:r>
              <w:rPr>
                <w:rFonts w:hint="eastAsia" w:ascii="宋体" w:hAnsi="宋体" w:cs="宋体"/>
                <w:color w:val="auto"/>
                <w:szCs w:val="21"/>
                <w:lang w:val="en-US" w:eastAsia="zh-CN"/>
              </w:rPr>
              <w:t>对</w:t>
            </w:r>
            <w:r>
              <w:rPr>
                <w:rFonts w:hint="eastAsia" w:ascii="宋体" w:hAnsi="宋体" w:cs="宋体"/>
                <w:color w:val="auto"/>
                <w:szCs w:val="21"/>
              </w:rPr>
              <w:t>政策规范的了解程度等酌情评分。</w:t>
            </w:r>
          </w:p>
        </w:tc>
        <w:tc>
          <w:tcPr>
            <w:tcW w:w="874" w:type="dxa"/>
            <w:tcBorders>
              <w:tl2br w:val="nil"/>
              <w:tr2bl w:val="nil"/>
            </w:tcBorders>
            <w:vAlign w:val="center"/>
          </w:tcPr>
          <w:p>
            <w:pPr>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ascii="宋体" w:hAnsi="宋体" w:cs="宋体"/>
                <w:color w:val="auto"/>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94" w:type="dxa"/>
            <w:vMerge w:val="continue"/>
            <w:tcBorders>
              <w:tl2br w:val="nil"/>
              <w:tr2bl w:val="nil"/>
            </w:tcBorders>
            <w:vAlign w:val="center"/>
          </w:tcPr>
          <w:p>
            <w:pPr>
              <w:pStyle w:val="53"/>
              <w:widowControl/>
              <w:tabs>
                <w:tab w:val="left" w:pos="0"/>
              </w:tabs>
              <w:spacing w:line="360" w:lineRule="atLeast"/>
              <w:jc w:val="center"/>
              <w:rPr>
                <w:rFonts w:hint="default" w:ascii="宋体" w:hAnsi="宋体" w:cs="宋体"/>
                <w:color w:val="auto"/>
              </w:rPr>
            </w:pPr>
          </w:p>
        </w:tc>
        <w:tc>
          <w:tcPr>
            <w:tcW w:w="955" w:type="dxa"/>
            <w:tcBorders>
              <w:tl2br w:val="nil"/>
              <w:tr2bl w:val="nil"/>
            </w:tcBorders>
            <w:vAlign w:val="center"/>
          </w:tcPr>
          <w:p>
            <w:pPr>
              <w:spacing w:line="300" w:lineRule="auto"/>
              <w:jc w:val="center"/>
              <w:rPr>
                <w:rFonts w:ascii="宋体" w:hAnsi="宋体" w:cs="宋体"/>
                <w:color w:val="auto"/>
                <w:szCs w:val="21"/>
              </w:rPr>
            </w:pPr>
            <w:r>
              <w:rPr>
                <w:rFonts w:hint="eastAsia" w:ascii="宋体" w:hAnsi="宋体" w:cs="宋体"/>
                <w:color w:val="auto"/>
                <w:szCs w:val="21"/>
              </w:rPr>
              <w:t>区域熟悉程度</w:t>
            </w:r>
          </w:p>
        </w:tc>
        <w:tc>
          <w:tcPr>
            <w:tcW w:w="6256" w:type="dxa"/>
            <w:tcBorders>
              <w:tl2br w:val="nil"/>
              <w:tr2bl w:val="nil"/>
            </w:tcBorders>
            <w:vAlign w:val="center"/>
          </w:tcPr>
          <w:p>
            <w:pPr>
              <w:adjustRightInd w:val="0"/>
              <w:spacing w:line="360" w:lineRule="exact"/>
              <w:jc w:val="both"/>
              <w:rPr>
                <w:rFonts w:hint="eastAsia" w:ascii="宋体" w:hAnsi="宋体" w:cs="宋体"/>
                <w:color w:val="auto"/>
                <w:szCs w:val="21"/>
              </w:rPr>
            </w:pPr>
            <w:r>
              <w:rPr>
                <w:rFonts w:hint="eastAsia" w:ascii="宋体" w:hAnsi="宋体" w:cs="宋体"/>
                <w:color w:val="auto"/>
                <w:szCs w:val="21"/>
              </w:rPr>
              <w:t>对</w:t>
            </w:r>
            <w:r>
              <w:rPr>
                <w:rFonts w:hint="eastAsia" w:ascii="宋体" w:hAnsi="宋体" w:cs="宋体"/>
                <w:color w:val="auto"/>
                <w:szCs w:val="21"/>
                <w:lang w:val="en-US" w:eastAsia="zh-CN"/>
              </w:rPr>
              <w:t>海盐县</w:t>
            </w:r>
            <w:r>
              <w:rPr>
                <w:rFonts w:hint="eastAsia" w:ascii="宋体" w:hAnsi="宋体" w:cs="宋体"/>
                <w:color w:val="auto"/>
                <w:szCs w:val="21"/>
              </w:rPr>
              <w:t>区域基本情况的熟悉程度，包括社会经济发展现状、生态环境现状、产业结构现状等。</w:t>
            </w:r>
          </w:p>
        </w:tc>
        <w:tc>
          <w:tcPr>
            <w:tcW w:w="874" w:type="dxa"/>
            <w:tcBorders>
              <w:tl2br w:val="nil"/>
              <w:tr2bl w:val="nil"/>
            </w:tcBorders>
            <w:vAlign w:val="center"/>
          </w:tcPr>
          <w:p>
            <w:pPr>
              <w:adjustRightInd w:val="0"/>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94" w:type="dxa"/>
            <w:vMerge w:val="continue"/>
            <w:tcBorders>
              <w:tl2br w:val="nil"/>
              <w:tr2bl w:val="nil"/>
            </w:tcBorders>
            <w:vAlign w:val="center"/>
          </w:tcPr>
          <w:p>
            <w:pPr>
              <w:pStyle w:val="53"/>
              <w:widowControl/>
              <w:tabs>
                <w:tab w:val="left" w:pos="0"/>
              </w:tabs>
              <w:spacing w:line="360" w:lineRule="atLeast"/>
              <w:jc w:val="center"/>
              <w:rPr>
                <w:rFonts w:hint="default" w:ascii="宋体" w:hAnsi="宋体" w:cs="宋体"/>
                <w:color w:val="auto"/>
              </w:rPr>
            </w:pPr>
          </w:p>
        </w:tc>
        <w:tc>
          <w:tcPr>
            <w:tcW w:w="955" w:type="dxa"/>
            <w:vMerge w:val="restart"/>
            <w:tcBorders>
              <w:tl2br w:val="nil"/>
              <w:tr2bl w:val="nil"/>
            </w:tcBorders>
            <w:vAlign w:val="center"/>
          </w:tcPr>
          <w:p>
            <w:pPr>
              <w:spacing w:line="300" w:lineRule="auto"/>
              <w:jc w:val="center"/>
              <w:rPr>
                <w:rFonts w:ascii="宋体" w:hAnsi="宋体" w:cs="宋体"/>
                <w:color w:val="auto"/>
                <w:szCs w:val="21"/>
              </w:rPr>
            </w:pPr>
            <w:r>
              <w:rPr>
                <w:rFonts w:hint="eastAsia" w:ascii="宋体" w:hAnsi="宋体" w:cs="宋体"/>
                <w:color w:val="auto"/>
                <w:szCs w:val="21"/>
              </w:rPr>
              <w:t>技术实施</w:t>
            </w:r>
            <w:r>
              <w:rPr>
                <w:rFonts w:hint="eastAsia" w:ascii="宋体" w:hAnsi="宋体" w:cs="宋体"/>
                <w:color w:val="auto"/>
                <w:szCs w:val="21"/>
                <w:lang w:val="zh-CN"/>
              </w:rPr>
              <w:t>方案</w:t>
            </w:r>
          </w:p>
        </w:tc>
        <w:tc>
          <w:tcPr>
            <w:tcW w:w="6256" w:type="dxa"/>
            <w:tcBorders>
              <w:tl2br w:val="nil"/>
              <w:tr2bl w:val="nil"/>
            </w:tcBorders>
            <w:vAlign w:val="center"/>
          </w:tcPr>
          <w:p>
            <w:pPr>
              <w:adjustRightInd w:val="0"/>
              <w:spacing w:line="360" w:lineRule="exact"/>
              <w:jc w:val="both"/>
              <w:rPr>
                <w:rFonts w:hint="default" w:ascii="宋体" w:hAnsi="宋体" w:eastAsia="宋体" w:cs="宋体"/>
                <w:color w:val="auto"/>
                <w:szCs w:val="21"/>
                <w:lang w:val="en-US" w:eastAsia="zh-CN"/>
              </w:rPr>
            </w:pPr>
            <w:r>
              <w:rPr>
                <w:rFonts w:hint="eastAsia" w:ascii="宋体" w:hAnsi="宋体" w:cs="宋体"/>
                <w:color w:val="auto"/>
                <w:szCs w:val="21"/>
              </w:rPr>
              <w:t>（1）对项目背景的清晰了解</w:t>
            </w:r>
            <w:r>
              <w:rPr>
                <w:rFonts w:hint="eastAsia" w:ascii="宋体" w:hAnsi="宋体" w:cs="宋体"/>
                <w:color w:val="auto"/>
                <w:szCs w:val="21"/>
                <w:lang w:eastAsia="zh-CN"/>
              </w:rPr>
              <w:t>，</w:t>
            </w:r>
            <w:r>
              <w:rPr>
                <w:rFonts w:hint="eastAsia" w:ascii="宋体" w:hAnsi="宋体" w:cs="宋体"/>
                <w:color w:val="auto"/>
                <w:szCs w:val="21"/>
              </w:rPr>
              <w:t>对本项目的工作特点、工作要求是否深刻、全面</w:t>
            </w:r>
            <w:r>
              <w:rPr>
                <w:rFonts w:hint="eastAsia" w:ascii="宋体" w:hAnsi="宋体" w:cs="宋体"/>
                <w:color w:val="auto"/>
                <w:szCs w:val="21"/>
                <w:lang w:val="en-US" w:eastAsia="zh-CN"/>
              </w:rPr>
              <w:t>酌情打分。</w:t>
            </w:r>
          </w:p>
        </w:tc>
        <w:tc>
          <w:tcPr>
            <w:tcW w:w="874" w:type="dxa"/>
            <w:tcBorders>
              <w:tl2br w:val="nil"/>
              <w:tr2bl w:val="nil"/>
            </w:tcBorders>
            <w:vAlign w:val="center"/>
          </w:tcPr>
          <w:p>
            <w:pPr>
              <w:adjustRightIn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94" w:type="dxa"/>
            <w:vMerge w:val="continue"/>
            <w:tcBorders>
              <w:tl2br w:val="nil"/>
              <w:tr2bl w:val="nil"/>
            </w:tcBorders>
            <w:vAlign w:val="center"/>
          </w:tcPr>
          <w:p>
            <w:pPr>
              <w:pStyle w:val="53"/>
              <w:widowControl/>
              <w:tabs>
                <w:tab w:val="left" w:pos="0"/>
              </w:tabs>
              <w:spacing w:line="360" w:lineRule="atLeast"/>
              <w:jc w:val="center"/>
              <w:rPr>
                <w:rFonts w:hint="default" w:ascii="宋体" w:hAnsi="宋体" w:cs="宋体"/>
                <w:color w:val="auto"/>
              </w:rPr>
            </w:pPr>
          </w:p>
        </w:tc>
        <w:tc>
          <w:tcPr>
            <w:tcW w:w="955" w:type="dxa"/>
            <w:vMerge w:val="continue"/>
            <w:tcBorders>
              <w:tl2br w:val="nil"/>
              <w:tr2bl w:val="nil"/>
            </w:tcBorders>
            <w:vAlign w:val="center"/>
          </w:tcPr>
          <w:p>
            <w:pPr>
              <w:spacing w:line="300" w:lineRule="auto"/>
              <w:jc w:val="center"/>
              <w:rPr>
                <w:rFonts w:hint="eastAsia" w:ascii="宋体" w:hAnsi="宋体" w:cs="宋体"/>
                <w:color w:val="auto"/>
                <w:szCs w:val="21"/>
              </w:rPr>
            </w:pPr>
          </w:p>
        </w:tc>
        <w:tc>
          <w:tcPr>
            <w:tcW w:w="6256" w:type="dxa"/>
            <w:tcBorders>
              <w:tl2br w:val="nil"/>
              <w:tr2bl w:val="nil"/>
            </w:tcBorders>
            <w:vAlign w:val="center"/>
          </w:tcPr>
          <w:p>
            <w:pPr>
              <w:adjustRightInd w:val="0"/>
              <w:spacing w:line="360" w:lineRule="exact"/>
              <w:jc w:val="both"/>
              <w:rPr>
                <w:rFonts w:hint="eastAsia" w:ascii="宋体" w:hAnsi="宋体" w:cs="宋体"/>
                <w:color w:val="auto"/>
                <w:szCs w:val="21"/>
              </w:rPr>
            </w:pPr>
            <w:r>
              <w:rPr>
                <w:rFonts w:hint="eastAsia" w:ascii="宋体" w:hAnsi="宋体" w:cs="宋体"/>
                <w:color w:val="auto"/>
                <w:szCs w:val="21"/>
              </w:rPr>
              <w:t>（2）根据项目工作目标、工作任务是否全面体现采购需求，满足国家、生态环境部及浙江省全域“无废城市”建设部署的新要求的情况酌情评分。</w:t>
            </w:r>
          </w:p>
        </w:tc>
        <w:tc>
          <w:tcPr>
            <w:tcW w:w="874" w:type="dxa"/>
            <w:tcBorders>
              <w:tl2br w:val="nil"/>
              <w:tr2bl w:val="nil"/>
            </w:tcBorders>
            <w:vAlign w:val="center"/>
          </w:tcPr>
          <w:p>
            <w:pPr>
              <w:adjustRightInd w:val="0"/>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94" w:type="dxa"/>
            <w:vMerge w:val="continue"/>
            <w:tcBorders>
              <w:tl2br w:val="nil"/>
              <w:tr2bl w:val="nil"/>
            </w:tcBorders>
            <w:vAlign w:val="center"/>
          </w:tcPr>
          <w:p>
            <w:pPr>
              <w:adjustRightInd w:val="0"/>
              <w:spacing w:line="360" w:lineRule="exact"/>
              <w:jc w:val="center"/>
              <w:rPr>
                <w:color w:val="auto"/>
              </w:rPr>
            </w:pPr>
          </w:p>
        </w:tc>
        <w:tc>
          <w:tcPr>
            <w:tcW w:w="955" w:type="dxa"/>
            <w:vMerge w:val="continue"/>
            <w:tcBorders>
              <w:tl2br w:val="nil"/>
              <w:tr2bl w:val="nil"/>
            </w:tcBorders>
            <w:vAlign w:val="center"/>
          </w:tcPr>
          <w:p>
            <w:pPr>
              <w:adjustRightInd w:val="0"/>
              <w:spacing w:line="360" w:lineRule="exact"/>
              <w:jc w:val="center"/>
              <w:rPr>
                <w:color w:val="auto"/>
              </w:rPr>
            </w:pPr>
          </w:p>
        </w:tc>
        <w:tc>
          <w:tcPr>
            <w:tcW w:w="6256" w:type="dxa"/>
            <w:tcBorders>
              <w:tl2br w:val="nil"/>
              <w:tr2bl w:val="nil"/>
            </w:tcBorders>
            <w:vAlign w:val="center"/>
          </w:tcPr>
          <w:p>
            <w:pPr>
              <w:adjustRightInd w:val="0"/>
              <w:spacing w:line="360" w:lineRule="exact"/>
              <w:jc w:val="both"/>
              <w:rPr>
                <w:rFonts w:ascii="宋体" w:hAnsi="宋体" w:cs="宋体"/>
                <w:color w:val="auto"/>
                <w:szCs w:val="21"/>
              </w:rPr>
            </w:pPr>
            <w:r>
              <w:rPr>
                <w:rFonts w:hint="eastAsia" w:ascii="宋体" w:hAnsi="宋体" w:cs="宋体"/>
                <w:color w:val="auto"/>
                <w:szCs w:val="21"/>
              </w:rPr>
              <w:t>（3）明确项目重难点，要求描述全面，针对重难点提出合理的解决方案。</w:t>
            </w:r>
          </w:p>
        </w:tc>
        <w:tc>
          <w:tcPr>
            <w:tcW w:w="874" w:type="dxa"/>
            <w:tcBorders>
              <w:tl2br w:val="nil"/>
              <w:tr2bl w:val="nil"/>
            </w:tcBorders>
            <w:vAlign w:val="center"/>
          </w:tcPr>
          <w:p>
            <w:pPr>
              <w:adjustRightInd w:val="0"/>
              <w:spacing w:line="360" w:lineRule="exact"/>
              <w:jc w:val="center"/>
              <w:rPr>
                <w:rFonts w:ascii="宋体" w:hAnsi="宋体" w:cs="宋体"/>
                <w:color w:val="auto"/>
                <w:szCs w:val="21"/>
              </w:rPr>
            </w:pPr>
            <w:r>
              <w:rPr>
                <w:rFonts w:hint="eastAsia" w:ascii="宋体" w:hAnsi="宋体" w:cs="宋体"/>
                <w:color w:val="auto"/>
                <w:szCs w:val="21"/>
              </w:rPr>
              <w:t>0-</w:t>
            </w:r>
            <w:r>
              <w:rPr>
                <w:rFonts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094" w:type="dxa"/>
            <w:vMerge w:val="continue"/>
            <w:tcBorders>
              <w:tl2br w:val="nil"/>
              <w:tr2bl w:val="nil"/>
            </w:tcBorders>
            <w:vAlign w:val="center"/>
          </w:tcPr>
          <w:p>
            <w:pPr>
              <w:pStyle w:val="53"/>
              <w:widowControl/>
              <w:tabs>
                <w:tab w:val="left" w:pos="0"/>
              </w:tabs>
              <w:spacing w:line="360" w:lineRule="atLeast"/>
              <w:jc w:val="center"/>
              <w:rPr>
                <w:rFonts w:hint="default" w:ascii="宋体" w:hAnsi="宋体" w:cs="宋体"/>
                <w:color w:val="auto"/>
              </w:rPr>
            </w:pPr>
          </w:p>
        </w:tc>
        <w:tc>
          <w:tcPr>
            <w:tcW w:w="955" w:type="dxa"/>
            <w:vMerge w:val="continue"/>
            <w:tcBorders>
              <w:tl2br w:val="nil"/>
              <w:tr2bl w:val="nil"/>
            </w:tcBorders>
            <w:vAlign w:val="center"/>
          </w:tcPr>
          <w:p>
            <w:pPr>
              <w:spacing w:line="300" w:lineRule="auto"/>
              <w:jc w:val="center"/>
              <w:rPr>
                <w:rFonts w:ascii="宋体" w:hAnsi="宋体" w:cs="宋体"/>
                <w:color w:val="auto"/>
                <w:szCs w:val="21"/>
              </w:rPr>
            </w:pPr>
          </w:p>
        </w:tc>
        <w:tc>
          <w:tcPr>
            <w:tcW w:w="6256" w:type="dxa"/>
            <w:tcBorders>
              <w:tl2br w:val="nil"/>
              <w:tr2bl w:val="nil"/>
            </w:tcBorders>
            <w:vAlign w:val="center"/>
          </w:tcPr>
          <w:p>
            <w:pPr>
              <w:numPr>
                <w:ilvl w:val="0"/>
                <w:numId w:val="0"/>
              </w:numPr>
              <w:adjustRightInd w:val="0"/>
              <w:spacing w:line="360" w:lineRule="exact"/>
              <w:jc w:val="both"/>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lang w:val="en-US" w:eastAsia="zh-CN"/>
              </w:rPr>
              <w:t>投标人针对本项目编制的实施</w:t>
            </w:r>
            <w:r>
              <w:rPr>
                <w:rFonts w:hint="eastAsia"/>
                <w:color w:val="auto"/>
              </w:rPr>
              <w:t>方案</w:t>
            </w:r>
            <w:r>
              <w:rPr>
                <w:rFonts w:hint="eastAsia"/>
                <w:color w:val="auto"/>
                <w:lang w:eastAsia="zh-CN"/>
              </w:rPr>
              <w:t>，</w:t>
            </w:r>
            <w:r>
              <w:rPr>
                <w:rFonts w:hint="eastAsia"/>
                <w:color w:val="auto"/>
                <w:lang w:val="en-US" w:eastAsia="zh-CN"/>
              </w:rPr>
              <w:t>根据</w:t>
            </w:r>
            <w:r>
              <w:rPr>
                <w:rFonts w:hint="eastAsia"/>
                <w:color w:val="auto"/>
              </w:rPr>
              <w:t>内容分析</w:t>
            </w:r>
            <w:r>
              <w:rPr>
                <w:rFonts w:hint="eastAsia"/>
                <w:color w:val="auto"/>
                <w:lang w:val="en-US" w:eastAsia="zh-CN"/>
              </w:rPr>
              <w:t>是否</w:t>
            </w:r>
            <w:r>
              <w:rPr>
                <w:rFonts w:hint="eastAsia"/>
                <w:color w:val="auto"/>
              </w:rPr>
              <w:t>透彻、全面、科学合理，可操作性强</w:t>
            </w:r>
            <w:r>
              <w:rPr>
                <w:rFonts w:hint="eastAsia"/>
                <w:color w:val="auto"/>
                <w:lang w:val="en-US" w:eastAsia="zh-CN"/>
              </w:rPr>
              <w:t>等酌情打分</w:t>
            </w:r>
            <w:r>
              <w:rPr>
                <w:rFonts w:hint="eastAsia"/>
                <w:color w:val="auto"/>
              </w:rPr>
              <w:t>。</w:t>
            </w:r>
          </w:p>
        </w:tc>
        <w:tc>
          <w:tcPr>
            <w:tcW w:w="874" w:type="dxa"/>
            <w:tcBorders>
              <w:tl2br w:val="nil"/>
              <w:tr2bl w:val="nil"/>
            </w:tcBorders>
            <w:vAlign w:val="center"/>
          </w:tcPr>
          <w:p>
            <w:pPr>
              <w:adjustRightInd w:val="0"/>
              <w:spacing w:line="360" w:lineRule="exact"/>
              <w:jc w:val="center"/>
              <w:rPr>
                <w:rFonts w:hint="default"/>
                <w:color w:val="auto"/>
                <w:lang w:val="en-US"/>
              </w:rPr>
            </w:pPr>
            <w:r>
              <w:rPr>
                <w:rFonts w:hint="eastAsia" w:ascii="宋体" w:hAnsi="宋体" w:cs="宋体"/>
                <w:color w:val="auto"/>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94" w:type="dxa"/>
            <w:vMerge w:val="continue"/>
            <w:tcBorders>
              <w:tl2br w:val="nil"/>
              <w:tr2bl w:val="nil"/>
            </w:tcBorders>
            <w:vAlign w:val="center"/>
          </w:tcPr>
          <w:p>
            <w:pPr>
              <w:pStyle w:val="53"/>
              <w:widowControl/>
              <w:tabs>
                <w:tab w:val="left" w:pos="0"/>
              </w:tabs>
              <w:spacing w:line="360" w:lineRule="atLeast"/>
              <w:jc w:val="center"/>
              <w:rPr>
                <w:rFonts w:hint="default" w:ascii="宋体" w:hAnsi="宋体" w:cs="宋体"/>
                <w:color w:val="auto"/>
              </w:rPr>
            </w:pPr>
          </w:p>
        </w:tc>
        <w:tc>
          <w:tcPr>
            <w:tcW w:w="955" w:type="dxa"/>
            <w:vMerge w:val="continue"/>
            <w:tcBorders>
              <w:tl2br w:val="nil"/>
              <w:tr2bl w:val="nil"/>
            </w:tcBorders>
            <w:vAlign w:val="center"/>
          </w:tcPr>
          <w:p>
            <w:pPr>
              <w:spacing w:line="300" w:lineRule="auto"/>
              <w:jc w:val="center"/>
              <w:rPr>
                <w:rFonts w:ascii="宋体" w:hAnsi="宋体" w:cs="宋体"/>
                <w:color w:val="auto"/>
                <w:szCs w:val="21"/>
              </w:rPr>
            </w:pPr>
          </w:p>
        </w:tc>
        <w:tc>
          <w:tcPr>
            <w:tcW w:w="6256" w:type="dxa"/>
            <w:tcBorders>
              <w:tl2br w:val="nil"/>
              <w:tr2bl w:val="nil"/>
            </w:tcBorders>
            <w:vAlign w:val="center"/>
          </w:tcPr>
          <w:p>
            <w:pPr>
              <w:numPr>
                <w:ilvl w:val="0"/>
                <w:numId w:val="0"/>
              </w:numPr>
              <w:adjustRightInd w:val="0"/>
              <w:spacing w:line="360" w:lineRule="exact"/>
              <w:jc w:val="both"/>
              <w:rPr>
                <w:rFonts w:hint="default" w:eastAsia="宋体"/>
                <w:color w:val="auto"/>
                <w:lang w:val="en-US" w:eastAsia="zh-CN"/>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lang w:val="en-US" w:eastAsia="zh-CN"/>
              </w:rPr>
              <w:t>根据投标人编制的协助开展“无废细胞”培育工作方案，酌情打分。</w:t>
            </w:r>
          </w:p>
        </w:tc>
        <w:tc>
          <w:tcPr>
            <w:tcW w:w="874" w:type="dxa"/>
            <w:tcBorders>
              <w:tl2br w:val="nil"/>
              <w:tr2bl w:val="nil"/>
            </w:tcBorders>
            <w:vAlign w:val="center"/>
          </w:tcPr>
          <w:p>
            <w:pPr>
              <w:adjustRightInd w:val="0"/>
              <w:spacing w:line="360" w:lineRule="exact"/>
              <w:jc w:val="center"/>
              <w:rPr>
                <w:rFonts w:hint="eastAsia" w:ascii="宋体" w:hAnsi="宋体" w:cs="宋体"/>
                <w:color w:val="auto"/>
                <w:szCs w:val="21"/>
                <w:lang w:val="en-US" w:eastAsia="zh-CN"/>
              </w:rPr>
            </w:pPr>
            <w:r>
              <w:rPr>
                <w:rFonts w:hint="eastAsia" w:ascii="宋体" w:hAnsi="宋体" w:cs="宋体"/>
                <w:color w:val="auto"/>
                <w:szCs w:val="21"/>
              </w:rPr>
              <w:t>0-</w:t>
            </w:r>
            <w:r>
              <w:rPr>
                <w:rFonts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94" w:type="dxa"/>
            <w:vMerge w:val="continue"/>
            <w:tcBorders>
              <w:tl2br w:val="nil"/>
              <w:tr2bl w:val="nil"/>
            </w:tcBorders>
            <w:vAlign w:val="center"/>
          </w:tcPr>
          <w:p>
            <w:pPr>
              <w:pStyle w:val="53"/>
              <w:widowControl/>
              <w:tabs>
                <w:tab w:val="left" w:pos="0"/>
              </w:tabs>
              <w:spacing w:line="360" w:lineRule="atLeast"/>
              <w:jc w:val="center"/>
              <w:rPr>
                <w:rFonts w:hint="default" w:ascii="宋体" w:hAnsi="宋体" w:cs="宋体"/>
                <w:color w:val="auto"/>
              </w:rPr>
            </w:pPr>
          </w:p>
        </w:tc>
        <w:tc>
          <w:tcPr>
            <w:tcW w:w="955" w:type="dxa"/>
            <w:vMerge w:val="continue"/>
            <w:tcBorders>
              <w:tl2br w:val="nil"/>
              <w:tr2bl w:val="nil"/>
            </w:tcBorders>
            <w:vAlign w:val="center"/>
          </w:tcPr>
          <w:p>
            <w:pPr>
              <w:spacing w:line="300" w:lineRule="auto"/>
              <w:jc w:val="center"/>
              <w:rPr>
                <w:rFonts w:ascii="宋体" w:hAnsi="宋体" w:cs="宋体"/>
                <w:color w:val="auto"/>
                <w:szCs w:val="21"/>
              </w:rPr>
            </w:pPr>
          </w:p>
        </w:tc>
        <w:tc>
          <w:tcPr>
            <w:tcW w:w="6256" w:type="dxa"/>
            <w:tcBorders>
              <w:tl2br w:val="nil"/>
              <w:tr2bl w:val="nil"/>
            </w:tcBorders>
            <w:vAlign w:val="center"/>
          </w:tcPr>
          <w:p>
            <w:pPr>
              <w:jc w:val="both"/>
              <w:rPr>
                <w:rFonts w:ascii="宋体" w:hAnsi="宋体" w:cs="宋体"/>
                <w:color w:val="auto"/>
                <w:kern w:val="2"/>
                <w:szCs w:val="21"/>
              </w:rPr>
            </w:pPr>
            <w:r>
              <w:rPr>
                <w:rFonts w:hint="eastAsia" w:ascii="宋体" w:hAnsi="宋体" w:cs="宋体"/>
                <w:color w:val="auto"/>
                <w:kern w:val="2"/>
                <w:szCs w:val="21"/>
              </w:rPr>
              <w:t>（</w:t>
            </w:r>
            <w:r>
              <w:rPr>
                <w:rFonts w:hint="eastAsia" w:ascii="宋体" w:hAnsi="宋体" w:cs="宋体"/>
                <w:color w:val="auto"/>
                <w:kern w:val="2"/>
                <w:szCs w:val="21"/>
                <w:lang w:val="en-US" w:eastAsia="zh-CN"/>
              </w:rPr>
              <w:t>6</w:t>
            </w:r>
            <w:r>
              <w:rPr>
                <w:rFonts w:hint="eastAsia" w:ascii="宋体" w:hAnsi="宋体" w:cs="宋体"/>
                <w:color w:val="auto"/>
                <w:kern w:val="2"/>
                <w:szCs w:val="21"/>
              </w:rPr>
              <w:t>）</w:t>
            </w:r>
            <w:r>
              <w:rPr>
                <w:rFonts w:ascii="宋体" w:hAnsi="宋体" w:cs="宋体"/>
                <w:color w:val="auto"/>
                <w:szCs w:val="21"/>
              </w:rPr>
              <w:t>根据</w:t>
            </w:r>
            <w:r>
              <w:rPr>
                <w:rFonts w:hint="eastAsia" w:ascii="宋体" w:hAnsi="宋体" w:cs="宋体"/>
                <w:color w:val="auto"/>
                <w:szCs w:val="21"/>
              </w:rPr>
              <w:t>进度安排是否与采购需求切合性，节点之间是否细化合理性，进度控制措施是否科学合理等酌情评分。</w:t>
            </w:r>
          </w:p>
        </w:tc>
        <w:tc>
          <w:tcPr>
            <w:tcW w:w="874" w:type="dxa"/>
            <w:tcBorders>
              <w:tl2br w:val="nil"/>
              <w:tr2bl w:val="nil"/>
            </w:tcBorders>
            <w:vAlign w:val="center"/>
          </w:tcPr>
          <w:p>
            <w:pPr>
              <w:spacing w:line="300" w:lineRule="auto"/>
              <w:jc w:val="center"/>
              <w:rPr>
                <w:rFonts w:hint="eastAsia" w:ascii="宋体" w:hAnsi="宋体" w:eastAsia="宋体" w:cs="宋体"/>
                <w:color w:val="auto"/>
                <w:lang w:eastAsia="zh-CN"/>
              </w:rPr>
            </w:pPr>
            <w:r>
              <w:rPr>
                <w:rFonts w:hint="eastAsia" w:ascii="宋体" w:hAnsi="宋体" w:cs="宋体"/>
                <w:color w:val="auto"/>
                <w:szCs w:val="21"/>
              </w:rPr>
              <w:t>0-</w:t>
            </w:r>
            <w:r>
              <w:rPr>
                <w:rFonts w:hint="eastAsia" w:ascii="宋体" w:hAnsi="宋体"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94" w:type="dxa"/>
            <w:vMerge w:val="continue"/>
            <w:tcBorders>
              <w:tl2br w:val="nil"/>
              <w:tr2bl w:val="nil"/>
            </w:tcBorders>
            <w:vAlign w:val="center"/>
          </w:tcPr>
          <w:p>
            <w:pPr>
              <w:pStyle w:val="53"/>
              <w:widowControl/>
              <w:tabs>
                <w:tab w:val="left" w:pos="0"/>
              </w:tabs>
              <w:spacing w:line="360" w:lineRule="atLeast"/>
              <w:jc w:val="center"/>
              <w:rPr>
                <w:rFonts w:hint="default" w:ascii="宋体" w:hAnsi="宋体" w:cs="宋体"/>
                <w:color w:val="auto"/>
              </w:rPr>
            </w:pPr>
          </w:p>
        </w:tc>
        <w:tc>
          <w:tcPr>
            <w:tcW w:w="955" w:type="dxa"/>
            <w:vMerge w:val="continue"/>
            <w:tcBorders>
              <w:tl2br w:val="nil"/>
              <w:tr2bl w:val="nil"/>
            </w:tcBorders>
            <w:vAlign w:val="center"/>
          </w:tcPr>
          <w:p>
            <w:pPr>
              <w:spacing w:line="300" w:lineRule="auto"/>
              <w:jc w:val="center"/>
              <w:rPr>
                <w:rFonts w:ascii="宋体" w:hAnsi="宋体" w:cs="宋体"/>
                <w:color w:val="auto"/>
                <w:szCs w:val="21"/>
              </w:rPr>
            </w:pPr>
          </w:p>
        </w:tc>
        <w:tc>
          <w:tcPr>
            <w:tcW w:w="6256" w:type="dxa"/>
            <w:tcBorders>
              <w:tl2br w:val="nil"/>
              <w:tr2bl w:val="nil"/>
            </w:tcBorders>
            <w:vAlign w:val="center"/>
          </w:tcPr>
          <w:p>
            <w:pPr>
              <w:jc w:val="both"/>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）根据技术保证措施是否先进，组织保证措施是否完善等酌情评分。</w:t>
            </w:r>
          </w:p>
        </w:tc>
        <w:tc>
          <w:tcPr>
            <w:tcW w:w="874" w:type="dxa"/>
            <w:tcBorders>
              <w:tl2br w:val="nil"/>
              <w:tr2bl w:val="nil"/>
            </w:tcBorders>
            <w:vAlign w:val="center"/>
          </w:tcPr>
          <w:p>
            <w:pPr>
              <w:spacing w:line="300" w:lineRule="auto"/>
              <w:jc w:val="center"/>
              <w:rPr>
                <w:rFonts w:hint="eastAsia" w:ascii="宋体" w:hAnsi="宋体" w:eastAsia="宋体" w:cs="宋体"/>
                <w:color w:val="auto"/>
                <w:lang w:eastAsia="zh-CN"/>
              </w:rPr>
            </w:pPr>
            <w:r>
              <w:rPr>
                <w:rFonts w:hint="eastAsia" w:ascii="宋体" w:hAnsi="宋体" w:cs="宋体"/>
                <w:color w:val="auto"/>
                <w:szCs w:val="21"/>
              </w:rPr>
              <w:t>0-</w:t>
            </w:r>
            <w:r>
              <w:rPr>
                <w:rFonts w:hint="eastAsia" w:ascii="宋体" w:hAnsi="宋体"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94" w:type="dxa"/>
            <w:vMerge w:val="continue"/>
            <w:tcBorders>
              <w:tl2br w:val="nil"/>
              <w:tr2bl w:val="nil"/>
            </w:tcBorders>
            <w:vAlign w:val="center"/>
          </w:tcPr>
          <w:p>
            <w:pPr>
              <w:pStyle w:val="53"/>
              <w:widowControl/>
              <w:tabs>
                <w:tab w:val="left" w:pos="0"/>
              </w:tabs>
              <w:spacing w:line="360" w:lineRule="atLeast"/>
              <w:jc w:val="center"/>
              <w:rPr>
                <w:rFonts w:hint="default" w:ascii="宋体" w:hAnsi="宋体" w:cs="宋体"/>
                <w:color w:val="auto"/>
              </w:rPr>
            </w:pPr>
          </w:p>
        </w:tc>
        <w:tc>
          <w:tcPr>
            <w:tcW w:w="955" w:type="dxa"/>
            <w:vMerge w:val="continue"/>
            <w:tcBorders>
              <w:tl2br w:val="nil"/>
              <w:tr2bl w:val="nil"/>
            </w:tcBorders>
            <w:vAlign w:val="center"/>
          </w:tcPr>
          <w:p>
            <w:pPr>
              <w:spacing w:line="300" w:lineRule="auto"/>
              <w:jc w:val="center"/>
              <w:rPr>
                <w:rFonts w:ascii="宋体" w:hAnsi="宋体" w:cs="宋体"/>
                <w:color w:val="auto"/>
                <w:szCs w:val="21"/>
              </w:rPr>
            </w:pPr>
          </w:p>
        </w:tc>
        <w:tc>
          <w:tcPr>
            <w:tcW w:w="6256" w:type="dxa"/>
            <w:tcBorders>
              <w:tl2br w:val="nil"/>
              <w:tr2bl w:val="nil"/>
            </w:tcBorders>
            <w:vAlign w:val="center"/>
          </w:tcPr>
          <w:p>
            <w:pPr>
              <w:jc w:val="both"/>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）根据质量保证措施是否可行、是否具有可操作性等酌情评分。</w:t>
            </w:r>
          </w:p>
        </w:tc>
        <w:tc>
          <w:tcPr>
            <w:tcW w:w="874" w:type="dxa"/>
            <w:tcBorders>
              <w:tl2br w:val="nil"/>
              <w:tr2bl w:val="nil"/>
            </w:tcBorders>
            <w:vAlign w:val="center"/>
          </w:tcPr>
          <w:p>
            <w:pPr>
              <w:jc w:val="center"/>
              <w:rPr>
                <w:rFonts w:ascii="宋体" w:hAnsi="宋体" w:cs="宋体"/>
                <w:color w:val="auto"/>
              </w:rPr>
            </w:pPr>
            <w:r>
              <w:rPr>
                <w:rFonts w:hint="eastAsia" w:ascii="宋体" w:hAnsi="宋体" w:cs="宋体"/>
                <w:color w:val="auto"/>
                <w:szCs w:val="21"/>
              </w:rPr>
              <w:t>0-</w:t>
            </w:r>
            <w:r>
              <w:rPr>
                <w:rFonts w:hint="eastAsia" w:ascii="宋体" w:hAnsi="宋体"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94" w:type="dxa"/>
            <w:vMerge w:val="continue"/>
            <w:tcBorders>
              <w:tl2br w:val="nil"/>
              <w:tr2bl w:val="nil"/>
            </w:tcBorders>
            <w:vAlign w:val="center"/>
          </w:tcPr>
          <w:p>
            <w:pPr>
              <w:pStyle w:val="53"/>
              <w:widowControl/>
              <w:tabs>
                <w:tab w:val="left" w:pos="0"/>
              </w:tabs>
              <w:spacing w:line="360" w:lineRule="atLeast"/>
              <w:jc w:val="center"/>
              <w:rPr>
                <w:rFonts w:hint="default" w:ascii="宋体" w:hAnsi="宋体" w:cs="宋体"/>
                <w:color w:val="auto"/>
              </w:rPr>
            </w:pPr>
          </w:p>
        </w:tc>
        <w:tc>
          <w:tcPr>
            <w:tcW w:w="955" w:type="dxa"/>
            <w:vMerge w:val="continue"/>
            <w:tcBorders>
              <w:tl2br w:val="nil"/>
              <w:tr2bl w:val="nil"/>
            </w:tcBorders>
            <w:vAlign w:val="center"/>
          </w:tcPr>
          <w:p>
            <w:pPr>
              <w:spacing w:line="300" w:lineRule="auto"/>
              <w:jc w:val="center"/>
              <w:rPr>
                <w:rFonts w:ascii="宋体" w:hAnsi="宋体" w:cs="宋体"/>
                <w:color w:val="auto"/>
                <w:szCs w:val="21"/>
              </w:rPr>
            </w:pPr>
          </w:p>
        </w:tc>
        <w:tc>
          <w:tcPr>
            <w:tcW w:w="6256" w:type="dxa"/>
            <w:tcBorders>
              <w:tl2br w:val="nil"/>
              <w:tr2bl w:val="nil"/>
            </w:tcBorders>
            <w:vAlign w:val="center"/>
          </w:tcPr>
          <w:p>
            <w:pPr>
              <w:jc w:val="both"/>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9</w:t>
            </w:r>
            <w:r>
              <w:rPr>
                <w:rFonts w:hint="eastAsia" w:ascii="宋体" w:hAnsi="宋体" w:cs="宋体"/>
                <w:color w:val="auto"/>
                <w:szCs w:val="21"/>
                <w:lang w:eastAsia="zh-CN"/>
              </w:rPr>
              <w:t>）</w:t>
            </w:r>
            <w:r>
              <w:rPr>
                <w:rFonts w:hint="eastAsia" w:ascii="宋体" w:hAnsi="宋体" w:cs="宋体"/>
                <w:color w:val="auto"/>
                <w:szCs w:val="21"/>
                <w:lang w:val="en-US" w:eastAsia="zh-CN"/>
              </w:rPr>
              <w:t>根据投标人</w:t>
            </w:r>
            <w:r>
              <w:rPr>
                <w:rFonts w:hint="eastAsia" w:ascii="宋体" w:hAnsi="宋体" w:eastAsia="宋体" w:cs="宋体"/>
                <w:color w:val="auto"/>
                <w:kern w:val="0"/>
                <w:szCs w:val="21"/>
                <w:lang w:val="en-US" w:eastAsia="zh-CN"/>
              </w:rPr>
              <w:t>编制的海盐县“无废城市”宣传方工作方案酌情打分</w:t>
            </w:r>
            <w:r>
              <w:rPr>
                <w:rFonts w:hint="eastAsia" w:ascii="宋体" w:hAnsi="宋体" w:cs="宋体"/>
                <w:color w:val="auto"/>
                <w:kern w:val="0"/>
                <w:szCs w:val="21"/>
                <w:lang w:val="en-US" w:eastAsia="zh-CN"/>
              </w:rPr>
              <w:t>。</w:t>
            </w:r>
          </w:p>
        </w:tc>
        <w:tc>
          <w:tcPr>
            <w:tcW w:w="874" w:type="dxa"/>
            <w:tcBorders>
              <w:tl2br w:val="nil"/>
              <w:tr2bl w:val="nil"/>
            </w:tcBorders>
            <w:vAlign w:val="center"/>
          </w:tcPr>
          <w:p>
            <w:pPr>
              <w:jc w:val="center"/>
              <w:rPr>
                <w:rFonts w:hint="eastAsia" w:ascii="宋体" w:hAnsi="宋体" w:cs="宋体"/>
                <w:color w:val="auto"/>
              </w:rPr>
            </w:pPr>
            <w:r>
              <w:rPr>
                <w:rFonts w:hint="eastAsia" w:ascii="宋体" w:hAnsi="宋体" w:cs="宋体"/>
                <w:color w:val="auto"/>
                <w:szCs w:val="21"/>
              </w:rPr>
              <w:t>0-</w:t>
            </w:r>
            <w:r>
              <w:rPr>
                <w:rFonts w:hint="eastAsia" w:ascii="宋体" w:hAnsi="宋体"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94" w:type="dxa"/>
            <w:vMerge w:val="continue"/>
            <w:tcBorders>
              <w:tl2br w:val="nil"/>
              <w:tr2bl w:val="nil"/>
            </w:tcBorders>
            <w:vAlign w:val="center"/>
          </w:tcPr>
          <w:p>
            <w:pPr>
              <w:pStyle w:val="53"/>
              <w:widowControl/>
              <w:tabs>
                <w:tab w:val="left" w:pos="0"/>
              </w:tabs>
              <w:spacing w:line="360" w:lineRule="atLeast"/>
              <w:jc w:val="center"/>
              <w:rPr>
                <w:rFonts w:hint="default" w:ascii="宋体" w:hAnsi="宋体" w:cs="宋体"/>
                <w:color w:val="auto"/>
              </w:rPr>
            </w:pPr>
          </w:p>
        </w:tc>
        <w:tc>
          <w:tcPr>
            <w:tcW w:w="955" w:type="dxa"/>
            <w:tcBorders>
              <w:tl2br w:val="nil"/>
              <w:tr2bl w:val="nil"/>
            </w:tcBorders>
            <w:vAlign w:val="center"/>
          </w:tcPr>
          <w:p>
            <w:pPr>
              <w:spacing w:line="300" w:lineRule="auto"/>
              <w:jc w:val="center"/>
              <w:rPr>
                <w:rFonts w:ascii="宋体" w:hAnsi="宋体" w:cs="宋体"/>
                <w:color w:val="auto"/>
                <w:szCs w:val="21"/>
              </w:rPr>
            </w:pPr>
            <w:r>
              <w:rPr>
                <w:rFonts w:hint="eastAsia" w:ascii="宋体" w:hAnsi="宋体" w:cs="宋体"/>
                <w:color w:val="auto"/>
                <w:szCs w:val="21"/>
              </w:rPr>
              <w:t>服务承诺</w:t>
            </w:r>
          </w:p>
        </w:tc>
        <w:tc>
          <w:tcPr>
            <w:tcW w:w="6256" w:type="dxa"/>
            <w:tcBorders>
              <w:tl2br w:val="nil"/>
              <w:tr2bl w:val="nil"/>
            </w:tcBorders>
            <w:vAlign w:val="center"/>
          </w:tcPr>
          <w:p>
            <w:pPr>
              <w:spacing w:line="300" w:lineRule="auto"/>
              <w:jc w:val="both"/>
              <w:rPr>
                <w:rFonts w:ascii="宋体" w:hAnsi="宋体" w:cs="宋体"/>
                <w:color w:val="auto"/>
                <w:szCs w:val="21"/>
              </w:rPr>
            </w:pPr>
            <w:bookmarkStart w:id="81" w:name="_GoBack"/>
            <w:r>
              <w:rPr>
                <w:rFonts w:hint="eastAsia" w:ascii="宋体" w:hAnsi="宋体" w:cs="宋体"/>
                <w:color w:val="auto"/>
                <w:szCs w:val="21"/>
              </w:rPr>
              <w:t>根据供应商针对本项目提供的后续服务安排和措施等酌情评分。</w:t>
            </w:r>
            <w:bookmarkEnd w:id="81"/>
          </w:p>
        </w:tc>
        <w:tc>
          <w:tcPr>
            <w:tcW w:w="874" w:type="dxa"/>
            <w:tcBorders>
              <w:tl2br w:val="nil"/>
              <w:tr2bl w:val="nil"/>
            </w:tcBorders>
            <w:vAlign w:val="center"/>
          </w:tcPr>
          <w:p>
            <w:pPr>
              <w:jc w:val="center"/>
              <w:rPr>
                <w:rFonts w:ascii="宋体" w:hAnsi="宋体" w:cs="宋体"/>
                <w:color w:val="auto"/>
                <w:kern w:val="2"/>
                <w:szCs w:val="24"/>
              </w:rPr>
            </w:pPr>
            <w:r>
              <w:rPr>
                <w:rFonts w:hint="eastAsia" w:ascii="宋体" w:hAnsi="宋体" w:cs="宋体"/>
                <w:color w:val="auto"/>
              </w:rPr>
              <w:t>0-5</w:t>
            </w:r>
          </w:p>
        </w:tc>
      </w:tr>
    </w:tbl>
    <w:p>
      <w:pPr>
        <w:spacing w:line="420" w:lineRule="auto"/>
        <w:outlineLvl w:val="0"/>
        <w:rPr>
          <w:rFonts w:ascii="宋体" w:hAnsi="宋体" w:cs="宋体"/>
          <w:b/>
          <w:bCs/>
          <w:szCs w:val="21"/>
        </w:rPr>
      </w:pPr>
      <w:r>
        <w:rPr>
          <w:rFonts w:hint="eastAsia" w:ascii="宋体" w:hAnsi="宋体" w:cs="宋体"/>
          <w:b/>
          <w:bCs/>
          <w:szCs w:val="21"/>
        </w:rPr>
        <w:t>注：以上项目若缺项，则该项得0分。</w:t>
      </w:r>
    </w:p>
    <w:p>
      <w:pPr>
        <w:spacing w:line="420" w:lineRule="auto"/>
        <w:outlineLvl w:val="0"/>
        <w:rPr>
          <w:rFonts w:ascii="宋体" w:hAnsi="宋体"/>
          <w:b/>
          <w:szCs w:val="21"/>
        </w:rPr>
      </w:pPr>
      <w:r>
        <w:rPr>
          <w:rFonts w:hint="eastAsia" w:ascii="宋体" w:hAnsi="宋体"/>
          <w:b/>
          <w:szCs w:val="21"/>
        </w:rPr>
        <w:t>(三)商务报价评分（10分）</w:t>
      </w:r>
      <w:bookmarkEnd w:id="24"/>
      <w:bookmarkEnd w:id="25"/>
    </w:p>
    <w:bookmarkEnd w:id="23"/>
    <w:p>
      <w:pPr>
        <w:adjustRightInd w:val="0"/>
        <w:snapToGrid w:val="0"/>
        <w:spacing w:line="360" w:lineRule="auto"/>
        <w:ind w:firstLine="435"/>
        <w:rPr>
          <w:rFonts w:ascii="宋体" w:hAnsi="宋体"/>
          <w:szCs w:val="21"/>
        </w:rPr>
      </w:pPr>
      <w:r>
        <w:rPr>
          <w:rFonts w:hint="eastAsia" w:ascii="宋体" w:hAnsi="宋体"/>
          <w:szCs w:val="21"/>
        </w:rPr>
        <w:t>各供应商的报价得分统一采用低价优先法计算，即满足磋商文件要求且最后价格最低的报价为评标基准价，其价格分为满分。其他供应商的报价得分统一按照下列公式计算：</w:t>
      </w:r>
    </w:p>
    <w:p>
      <w:pPr>
        <w:adjustRightInd w:val="0"/>
        <w:snapToGrid w:val="0"/>
        <w:spacing w:line="360" w:lineRule="auto"/>
        <w:ind w:firstLine="435"/>
        <w:rPr>
          <w:rFonts w:ascii="宋体" w:hAnsi="宋体"/>
          <w:szCs w:val="21"/>
        </w:rPr>
      </w:pPr>
      <w:r>
        <w:rPr>
          <w:rFonts w:hint="eastAsia" w:ascii="宋体" w:hAnsi="宋体"/>
          <w:szCs w:val="21"/>
        </w:rPr>
        <w:t>报价得分=（评标基准价/最后报价）×价格权值（即10%）×100</w:t>
      </w:r>
    </w:p>
    <w:p>
      <w:pPr>
        <w:spacing w:line="360" w:lineRule="auto"/>
        <w:ind w:firstLine="420" w:firstLineChars="200"/>
      </w:pPr>
      <w:r>
        <w:rPr>
          <w:rFonts w:hint="eastAsia"/>
          <w:bCs/>
        </w:rPr>
        <w:t>评标委员会在评审时发现供应商得报价明显高于其市场报价或明显低于其他通过符合性审查的投标人报价的，应当要求供应商书面说明并提供相关证明材料。供应商不能当场合理说明原因并提供证明材料的，评标委员会应将该供应商的投标文件作无效处理，并在评审报告中说明。</w:t>
      </w:r>
    </w:p>
    <w:p>
      <w:pPr>
        <w:spacing w:line="360" w:lineRule="auto"/>
        <w:ind w:firstLine="420" w:firstLineChars="200"/>
        <w:outlineLvl w:val="0"/>
        <w:rPr>
          <w:rFonts w:ascii="宋体" w:hAnsi="宋体"/>
          <w:szCs w:val="21"/>
        </w:rPr>
      </w:pPr>
      <w:bookmarkStart w:id="26" w:name="_Toc4307"/>
      <w:bookmarkStart w:id="27" w:name="_Toc12525"/>
      <w:r>
        <w:rPr>
          <w:rFonts w:hint="eastAsia" w:ascii="宋体" w:hAnsi="宋体"/>
          <w:szCs w:val="21"/>
        </w:rPr>
        <w:t>所有供应商的商务报价均超出上限价，本次招标失败，应重新组织招标。</w:t>
      </w:r>
      <w:bookmarkEnd w:id="26"/>
      <w:bookmarkStart w:id="28" w:name="_Toc24489"/>
      <w:r>
        <w:rPr>
          <w:rFonts w:hint="eastAsia" w:ascii="宋体" w:hAnsi="宋体"/>
          <w:szCs w:val="21"/>
        </w:rPr>
        <w:t>有效供应商的综合得分为技术分和商务分的总和。</w:t>
      </w:r>
      <w:bookmarkEnd w:id="27"/>
      <w:bookmarkEnd w:id="28"/>
    </w:p>
    <w:p>
      <w:pPr>
        <w:widowControl w:val="0"/>
        <w:spacing w:line="360" w:lineRule="auto"/>
        <w:jc w:val="both"/>
        <w:outlineLvl w:val="0"/>
        <w:rPr>
          <w:rFonts w:ascii="宋体" w:hAnsi="宋体"/>
          <w:szCs w:val="21"/>
        </w:rPr>
      </w:pPr>
      <w:bookmarkStart w:id="29" w:name="_Toc32402"/>
      <w:bookmarkStart w:id="30" w:name="_Toc22781"/>
      <w:r>
        <w:rPr>
          <w:rFonts w:hint="eastAsia" w:ascii="宋体" w:hAnsi="宋体"/>
          <w:szCs w:val="21"/>
        </w:rPr>
        <w:t>（三）评标委员会按综合得分高低顺序排列，综合得分前3名供应商作为推荐中标候选人，并提交评标报告。得分相同的，按投标报价由低到高顺序排列。得分相同报价也相同的，由评委投票决定排序。</w:t>
      </w:r>
      <w:bookmarkEnd w:id="29"/>
      <w:bookmarkEnd w:id="30"/>
    </w:p>
    <w:p>
      <w:pPr>
        <w:widowControl w:val="0"/>
        <w:spacing w:line="360" w:lineRule="auto"/>
        <w:jc w:val="both"/>
        <w:outlineLvl w:val="0"/>
        <w:rPr>
          <w:rFonts w:ascii="宋体" w:hAnsi="宋体"/>
          <w:szCs w:val="21"/>
        </w:rPr>
      </w:pPr>
      <w:bookmarkStart w:id="31" w:name="_Toc2138"/>
      <w:bookmarkStart w:id="32" w:name="_Toc10349"/>
      <w:r>
        <w:rPr>
          <w:rFonts w:hint="eastAsia" w:ascii="宋体" w:hAnsi="宋体"/>
          <w:szCs w:val="21"/>
        </w:rPr>
        <w:t>（四）本办法解释权归采购人所有。</w:t>
      </w:r>
      <w:bookmarkEnd w:id="31"/>
      <w:bookmarkEnd w:id="32"/>
    </w:p>
    <w:p>
      <w:pPr>
        <w:widowControl w:val="0"/>
        <w:spacing w:line="420" w:lineRule="auto"/>
        <w:jc w:val="both"/>
        <w:outlineLvl w:val="0"/>
        <w:rPr>
          <w:rFonts w:ascii="宋体" w:hAnsi="宋体"/>
          <w:szCs w:val="21"/>
        </w:rPr>
      </w:pPr>
    </w:p>
    <w:p>
      <w:pPr>
        <w:pStyle w:val="3"/>
        <w:keepNext w:val="0"/>
        <w:keepLines w:val="0"/>
        <w:pageBreakBefore/>
        <w:spacing w:before="312" w:beforeLines="100" w:after="312" w:afterLines="100" w:line="240" w:lineRule="auto"/>
        <w:jc w:val="center"/>
        <w:rPr>
          <w:rFonts w:ascii="Arial" w:hAnsi="Arial" w:cs="Arial"/>
          <w:sz w:val="28"/>
          <w:szCs w:val="36"/>
        </w:rPr>
      </w:pPr>
      <w:bookmarkStart w:id="33" w:name="_Toc22727"/>
      <w:r>
        <w:rPr>
          <w:rFonts w:hint="eastAsia" w:ascii="Arial" w:hAnsi="Arial" w:cs="Arial"/>
          <w:sz w:val="28"/>
          <w:szCs w:val="36"/>
        </w:rPr>
        <w:t>第六部分竞争性磋商响应文件格式</w:t>
      </w:r>
      <w:bookmarkEnd w:id="33"/>
    </w:p>
    <w:p>
      <w:pPr>
        <w:snapToGrid w:val="0"/>
        <w:spacing w:before="624" w:beforeLines="200" w:after="156" w:afterLines="50"/>
        <w:jc w:val="center"/>
        <w:rPr>
          <w:rFonts w:ascii="Arial" w:hAnsi="Arial" w:cs="Arial"/>
          <w:b/>
          <w:bCs/>
          <w:sz w:val="28"/>
        </w:rPr>
      </w:pPr>
      <w:r>
        <w:rPr>
          <w:rFonts w:ascii="Arial" w:hAnsi="Arial" w:cs="Arial"/>
          <w:b/>
          <w:bCs/>
          <w:sz w:val="28"/>
        </w:rPr>
        <w:t>竞争性磋商供应商提交竞争性磋商响应文件须知</w:t>
      </w:r>
    </w:p>
    <w:p>
      <w:pPr>
        <w:snapToGrid w:val="0"/>
        <w:jc w:val="center"/>
        <w:rPr>
          <w:rFonts w:ascii="Arial" w:hAnsi="Arial" w:cs="Arial"/>
          <w:sz w:val="28"/>
          <w:szCs w:val="21"/>
        </w:rPr>
      </w:pPr>
    </w:p>
    <w:p>
      <w:pPr>
        <w:pStyle w:val="60"/>
        <w:numPr>
          <w:ilvl w:val="1"/>
          <w:numId w:val="7"/>
        </w:numPr>
        <w:snapToGrid w:val="0"/>
        <w:spacing w:line="360" w:lineRule="auto"/>
        <w:ind w:left="850" w:hanging="357" w:firstLineChars="0"/>
        <w:rPr>
          <w:rFonts w:ascii="Arial" w:hAnsi="Arial" w:cs="Arial"/>
          <w:szCs w:val="22"/>
        </w:rPr>
      </w:pPr>
      <w:r>
        <w:rPr>
          <w:rFonts w:ascii="Arial" w:hAnsi="Arial" w:cs="Arial"/>
          <w:szCs w:val="22"/>
        </w:rPr>
        <w:t>竞争性磋商供应商应严格按照竞争性磋商响应文件的组成提交下述规定的全部格式文件以及其他有关资料，混乱的编排导致竞争性磋商响应文件被误读或采购代理机构、竞争性磋商小组查找不到有效文件是竞争性磋商供应商的风险。</w:t>
      </w:r>
    </w:p>
    <w:p>
      <w:pPr>
        <w:pStyle w:val="60"/>
        <w:numPr>
          <w:ilvl w:val="1"/>
          <w:numId w:val="7"/>
        </w:numPr>
        <w:snapToGrid w:val="0"/>
        <w:spacing w:line="360" w:lineRule="auto"/>
        <w:ind w:left="850" w:hanging="357" w:firstLineChars="0"/>
        <w:rPr>
          <w:rFonts w:ascii="Arial" w:hAnsi="Arial" w:cs="Arial"/>
          <w:szCs w:val="22"/>
        </w:rPr>
      </w:pPr>
      <w:r>
        <w:rPr>
          <w:rFonts w:ascii="Arial" w:hAnsi="Arial" w:cs="Arial"/>
          <w:szCs w:val="22"/>
        </w:rPr>
        <w:t>所附表格中要求回答的全部问题和/或信息都必须正面回答。</w:t>
      </w:r>
    </w:p>
    <w:p>
      <w:pPr>
        <w:pStyle w:val="60"/>
        <w:numPr>
          <w:ilvl w:val="1"/>
          <w:numId w:val="7"/>
        </w:numPr>
        <w:snapToGrid w:val="0"/>
        <w:spacing w:line="360" w:lineRule="auto"/>
        <w:ind w:left="850" w:hanging="357" w:firstLineChars="0"/>
        <w:rPr>
          <w:rFonts w:ascii="Arial" w:hAnsi="Arial" w:cs="Arial"/>
          <w:szCs w:val="22"/>
        </w:rPr>
      </w:pPr>
      <w:r>
        <w:rPr>
          <w:rFonts w:ascii="Arial" w:hAnsi="Arial" w:cs="Arial"/>
          <w:szCs w:val="22"/>
        </w:rPr>
        <w:t>本资格声明的签字人应保证全部声明和问题的回答是真实的和准确的。</w:t>
      </w:r>
    </w:p>
    <w:p>
      <w:pPr>
        <w:pStyle w:val="60"/>
        <w:numPr>
          <w:ilvl w:val="1"/>
          <w:numId w:val="7"/>
        </w:numPr>
        <w:snapToGrid w:val="0"/>
        <w:spacing w:line="360" w:lineRule="auto"/>
        <w:ind w:left="850" w:hanging="357" w:firstLineChars="0"/>
        <w:rPr>
          <w:rFonts w:ascii="Arial" w:hAnsi="Arial" w:cs="Arial"/>
          <w:szCs w:val="22"/>
        </w:rPr>
      </w:pPr>
      <w:r>
        <w:rPr>
          <w:rFonts w:ascii="Arial" w:hAnsi="Arial" w:cs="Arial"/>
          <w:szCs w:val="22"/>
        </w:rPr>
        <w:t>采购代理机构将应用竞争性磋商供应商提交的资料根据自己的判断和考虑决定竞争性磋商供应商履行合同的合格性及能力。</w:t>
      </w:r>
    </w:p>
    <w:p>
      <w:pPr>
        <w:pStyle w:val="60"/>
        <w:numPr>
          <w:ilvl w:val="1"/>
          <w:numId w:val="7"/>
        </w:numPr>
        <w:snapToGrid w:val="0"/>
        <w:spacing w:line="360" w:lineRule="auto"/>
        <w:ind w:left="850" w:hanging="357" w:firstLineChars="0"/>
        <w:rPr>
          <w:rFonts w:ascii="Arial" w:hAnsi="Arial" w:cs="Arial"/>
          <w:szCs w:val="22"/>
        </w:rPr>
      </w:pPr>
      <w:r>
        <w:rPr>
          <w:rFonts w:ascii="Arial" w:hAnsi="Arial" w:cs="Arial"/>
          <w:szCs w:val="22"/>
        </w:rPr>
        <w:t>竞争性磋商供应商提交的材料将被保密保存，但不退还。</w:t>
      </w:r>
    </w:p>
    <w:p>
      <w:pPr>
        <w:pStyle w:val="60"/>
        <w:numPr>
          <w:ilvl w:val="1"/>
          <w:numId w:val="7"/>
        </w:numPr>
        <w:snapToGrid w:val="0"/>
        <w:spacing w:line="360" w:lineRule="auto"/>
        <w:ind w:left="850" w:hanging="357" w:firstLineChars="0"/>
        <w:rPr>
          <w:rFonts w:ascii="Arial" w:hAnsi="Arial" w:cs="Arial"/>
        </w:rPr>
      </w:pPr>
      <w:r>
        <w:rPr>
          <w:rFonts w:ascii="Arial" w:hAnsi="Arial" w:cs="Arial"/>
          <w:szCs w:val="22"/>
        </w:rPr>
        <w:t>全部文件应按竞争性磋商供应商须知中规定的语言提交。</w:t>
      </w:r>
    </w:p>
    <w:p>
      <w:pPr>
        <w:pStyle w:val="60"/>
        <w:snapToGrid w:val="0"/>
        <w:spacing w:line="400" w:lineRule="exact"/>
        <w:ind w:left="851" w:firstLine="0" w:firstLineChars="0"/>
        <w:rPr>
          <w:rFonts w:ascii="Arial" w:hAnsi="Arial" w:cs="Arial"/>
        </w:rPr>
      </w:pPr>
    </w:p>
    <w:p>
      <w:pPr>
        <w:rPr>
          <w:rFonts w:ascii="Arial" w:hAnsi="Arial" w:cs="Arial"/>
          <w:szCs w:val="21"/>
        </w:rPr>
      </w:pPr>
    </w:p>
    <w:p>
      <w:pPr>
        <w:jc w:val="center"/>
        <w:outlineLvl w:val="1"/>
        <w:rPr>
          <w:b/>
          <w:sz w:val="28"/>
        </w:rPr>
        <w:sectPr>
          <w:headerReference r:id="rId7" w:type="default"/>
          <w:footerReference r:id="rId8" w:type="default"/>
          <w:pgSz w:w="11906" w:h="16838"/>
          <w:pgMar w:top="1418" w:right="1418" w:bottom="1418" w:left="1418" w:header="680" w:footer="992" w:gutter="0"/>
          <w:cols w:space="720" w:num="1"/>
          <w:docGrid w:type="linesAndChars" w:linePitch="312" w:charSpace="0"/>
        </w:sectPr>
      </w:pPr>
      <w:bookmarkStart w:id="34" w:name="_Toc339979553"/>
    </w:p>
    <w:bookmarkEnd w:id="34"/>
    <w:p>
      <w:pPr>
        <w:rPr>
          <w:rFonts w:ascii="宋体" w:hAnsi="宋体" w:cs="宋体"/>
          <w:b/>
          <w:sz w:val="30"/>
          <w:szCs w:val="30"/>
        </w:rPr>
      </w:pPr>
      <w:bookmarkStart w:id="35" w:name="_Toc423610059"/>
      <w:bookmarkStart w:id="36" w:name="_Toc339979563"/>
      <w:r>
        <w:rPr>
          <w:rFonts w:hint="eastAsia" w:ascii="宋体" w:hAnsi="宋体" w:cs="宋体"/>
          <w:b/>
          <w:sz w:val="30"/>
          <w:szCs w:val="30"/>
        </w:rPr>
        <w:t>附件一              投标文件封面（格式供参考）</w:t>
      </w:r>
    </w:p>
    <w:p>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投标文件封面</w:t>
      </w:r>
    </w:p>
    <w:p>
      <w:pPr>
        <w:autoSpaceDE w:val="0"/>
        <w:autoSpaceDN w:val="0"/>
        <w:adjustRightInd w:val="0"/>
        <w:spacing w:line="360" w:lineRule="auto"/>
        <w:jc w:val="right"/>
        <w:rPr>
          <w:rFonts w:ascii="宋体" w:hAnsi="宋体" w:cs="宋体"/>
          <w:b/>
          <w:sz w:val="28"/>
          <w:szCs w:val="28"/>
        </w:rPr>
      </w:pPr>
      <w:r>
        <w:rPr>
          <w:rFonts w:hint="eastAsia" w:ascii="宋体" w:hAnsi="宋体" w:cs="宋体"/>
          <w:b/>
          <w:sz w:val="28"/>
          <w:szCs w:val="28"/>
        </w:rPr>
        <w:t>正本/副本</w:t>
      </w:r>
    </w:p>
    <w:p>
      <w:pPr>
        <w:autoSpaceDE w:val="0"/>
        <w:autoSpaceDN w:val="0"/>
        <w:adjustRightInd w:val="0"/>
        <w:spacing w:line="360" w:lineRule="auto"/>
        <w:jc w:val="center"/>
        <w:rPr>
          <w:rFonts w:ascii="宋体" w:hAnsi="宋体" w:cs="宋体"/>
          <w:b/>
          <w:sz w:val="48"/>
          <w:szCs w:val="48"/>
        </w:rPr>
      </w:pPr>
    </w:p>
    <w:p>
      <w:pPr>
        <w:autoSpaceDE w:val="0"/>
        <w:autoSpaceDN w:val="0"/>
        <w:adjustRightInd w:val="0"/>
        <w:spacing w:line="360" w:lineRule="auto"/>
        <w:jc w:val="center"/>
        <w:rPr>
          <w:rFonts w:ascii="宋体" w:hAnsi="宋体" w:cs="宋体"/>
          <w:b/>
          <w:sz w:val="48"/>
          <w:szCs w:val="48"/>
        </w:rPr>
      </w:pPr>
    </w:p>
    <w:p>
      <w:pPr>
        <w:autoSpaceDE w:val="0"/>
        <w:autoSpaceDN w:val="0"/>
        <w:adjustRightInd w:val="0"/>
        <w:spacing w:line="360" w:lineRule="auto"/>
        <w:jc w:val="center"/>
        <w:rPr>
          <w:rFonts w:ascii="宋体" w:hAnsi="宋体" w:cs="宋体"/>
          <w:b/>
          <w:sz w:val="48"/>
          <w:szCs w:val="48"/>
        </w:rPr>
      </w:pPr>
      <w:r>
        <w:rPr>
          <w:rFonts w:hint="eastAsia" w:ascii="宋体" w:hAnsi="宋体" w:cs="宋体"/>
          <w:b/>
          <w:sz w:val="48"/>
          <w:szCs w:val="48"/>
        </w:rPr>
        <w:t>竞争性磋商响应性文件</w:t>
      </w: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hint="eastAsia" w:ascii="宋体" w:hAnsi="宋体" w:eastAsia="宋体" w:cs="宋体"/>
          <w:b/>
          <w:sz w:val="32"/>
          <w:szCs w:val="32"/>
          <w:lang w:eastAsia="zh-CN"/>
        </w:rPr>
      </w:pPr>
      <w:r>
        <w:rPr>
          <w:rFonts w:hint="eastAsia" w:ascii="宋体" w:hAnsi="宋体" w:cs="宋体"/>
          <w:b/>
          <w:sz w:val="32"/>
          <w:szCs w:val="32"/>
        </w:rPr>
        <w:t xml:space="preserve">项目名称： </w:t>
      </w:r>
      <w:r>
        <w:rPr>
          <w:rFonts w:hint="eastAsia" w:ascii="宋体" w:hAnsi="宋体" w:cs="宋体"/>
          <w:b/>
          <w:sz w:val="32"/>
          <w:szCs w:val="32"/>
          <w:lang w:eastAsia="zh-CN"/>
        </w:rPr>
        <w:t>2022-2023年海盐县全域“无废城市”建设技术咨询及服务项目</w:t>
      </w:r>
    </w:p>
    <w:p>
      <w:pPr>
        <w:autoSpaceDE w:val="0"/>
        <w:autoSpaceDN w:val="0"/>
        <w:adjustRightInd w:val="0"/>
        <w:spacing w:line="360" w:lineRule="auto"/>
        <w:rPr>
          <w:rFonts w:hint="eastAsia" w:ascii="宋体" w:hAnsi="宋体" w:eastAsia="宋体" w:cs="宋体"/>
          <w:b/>
          <w:sz w:val="32"/>
          <w:szCs w:val="32"/>
          <w:highlight w:val="yellow"/>
          <w:u w:val="single"/>
          <w:lang w:eastAsia="zh-CN"/>
        </w:rPr>
      </w:pPr>
      <w:r>
        <w:rPr>
          <w:rFonts w:hint="eastAsia" w:ascii="宋体" w:hAnsi="宋体" w:cs="宋体"/>
          <w:b/>
          <w:sz w:val="32"/>
          <w:szCs w:val="32"/>
        </w:rPr>
        <w:t>项目编号：</w:t>
      </w:r>
      <w:r>
        <w:rPr>
          <w:rFonts w:hint="eastAsia" w:ascii="宋体" w:hAnsi="宋体" w:cs="宋体"/>
          <w:b/>
          <w:sz w:val="32"/>
          <w:szCs w:val="32"/>
          <w:u w:val="single"/>
          <w:lang w:eastAsia="zh-CN"/>
        </w:rPr>
        <w:t>中望[2022]D104号</w:t>
      </w:r>
    </w:p>
    <w:p>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投标人名称（盖章）：</w:t>
      </w:r>
      <w:bookmarkStart w:id="37" w:name="_Toc339872474"/>
    </w:p>
    <w:p>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 标人代表签字：</w:t>
      </w:r>
      <w:bookmarkEnd w:id="37"/>
    </w:p>
    <w:p>
      <w:pPr>
        <w:autoSpaceDE w:val="0"/>
        <w:autoSpaceDN w:val="0"/>
        <w:adjustRightInd w:val="0"/>
        <w:spacing w:line="360" w:lineRule="auto"/>
        <w:rPr>
          <w:rFonts w:ascii="宋体" w:hAnsi="宋体" w:cs="宋体"/>
          <w:b/>
          <w:sz w:val="32"/>
          <w:szCs w:val="32"/>
          <w:u w:val="single"/>
        </w:rPr>
      </w:pPr>
      <w:r>
        <w:rPr>
          <w:rFonts w:hint="eastAsia" w:ascii="宋体" w:hAnsi="宋体" w:cs="宋体"/>
          <w:b/>
          <w:sz w:val="32"/>
          <w:szCs w:val="32"/>
        </w:rPr>
        <w:t>投标人地址：</w:t>
      </w:r>
    </w:p>
    <w:p>
      <w:pPr>
        <w:autoSpaceDE w:val="0"/>
        <w:autoSpaceDN w:val="0"/>
        <w:adjustRightInd w:val="0"/>
        <w:spacing w:line="360" w:lineRule="auto"/>
        <w:rPr>
          <w:rFonts w:ascii="宋体" w:hAnsi="宋体" w:cs="宋体"/>
          <w:b/>
          <w:sz w:val="32"/>
          <w:szCs w:val="32"/>
          <w:u w:val="single"/>
        </w:rPr>
      </w:pPr>
      <w:r>
        <w:rPr>
          <w:rFonts w:hint="eastAsia" w:ascii="宋体" w:hAnsi="宋体" w:cs="宋体"/>
          <w:b/>
          <w:sz w:val="32"/>
          <w:szCs w:val="32"/>
        </w:rPr>
        <w:t>电  话：</w:t>
      </w:r>
    </w:p>
    <w:p>
      <w:pPr>
        <w:autoSpaceDE w:val="0"/>
        <w:autoSpaceDN w:val="0"/>
        <w:adjustRightInd w:val="0"/>
        <w:spacing w:line="360" w:lineRule="auto"/>
        <w:rPr>
          <w:rFonts w:ascii="宋体" w:hAnsi="宋体" w:cs="宋体"/>
          <w:b/>
          <w:sz w:val="32"/>
          <w:szCs w:val="32"/>
          <w:u w:val="single"/>
        </w:rPr>
      </w:pPr>
      <w:r>
        <w:rPr>
          <w:rFonts w:hint="eastAsia" w:ascii="宋体" w:hAnsi="宋体" w:cs="宋体"/>
          <w:b/>
          <w:sz w:val="32"/>
          <w:szCs w:val="32"/>
        </w:rPr>
        <w:t>联系人：</w:t>
      </w:r>
    </w:p>
    <w:p>
      <w:pPr>
        <w:autoSpaceDE w:val="0"/>
        <w:autoSpaceDN w:val="0"/>
        <w:adjustRightInd w:val="0"/>
        <w:spacing w:line="360" w:lineRule="auto"/>
        <w:ind w:firstLine="3840" w:firstLineChars="1200"/>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jc w:val="center"/>
        <w:outlineLvl w:val="1"/>
        <w:rPr>
          <w:rFonts w:ascii="宋体" w:hAnsi="宋体" w:cs="宋体"/>
          <w:b/>
          <w:sz w:val="32"/>
          <w:szCs w:val="32"/>
        </w:rPr>
      </w:pPr>
    </w:p>
    <w:p>
      <w:pPr>
        <w:pStyle w:val="8"/>
        <w:rPr>
          <w:rFonts w:ascii="宋体" w:hAnsi="宋体" w:cs="宋体"/>
          <w:b/>
          <w:sz w:val="32"/>
          <w:szCs w:val="32"/>
        </w:rPr>
      </w:pPr>
    </w:p>
    <w:p>
      <w:pPr>
        <w:pStyle w:val="8"/>
        <w:rPr>
          <w:rFonts w:ascii="宋体" w:hAnsi="宋体" w:cs="宋体"/>
          <w:b/>
          <w:sz w:val="32"/>
          <w:szCs w:val="32"/>
        </w:rPr>
      </w:pPr>
    </w:p>
    <w:p>
      <w:pPr>
        <w:outlineLvl w:val="1"/>
        <w:rPr>
          <w:rFonts w:ascii="宋体" w:hAnsi="宋体" w:cs="宋体"/>
          <w:b/>
          <w:sz w:val="30"/>
          <w:szCs w:val="30"/>
        </w:rPr>
      </w:pPr>
      <w:bookmarkStart w:id="38" w:name="_Toc7450"/>
      <w:bookmarkStart w:id="39" w:name="_Toc3167"/>
      <w:bookmarkStart w:id="40" w:name="_Toc7960"/>
      <w:r>
        <w:rPr>
          <w:rFonts w:hint="eastAsia" w:ascii="宋体" w:hAnsi="宋体" w:cs="宋体"/>
          <w:b/>
          <w:sz w:val="30"/>
          <w:szCs w:val="30"/>
        </w:rPr>
        <w:t>附件二                 法定代表人授权委托书</w:t>
      </w:r>
      <w:bookmarkEnd w:id="35"/>
      <w:bookmarkEnd w:id="38"/>
      <w:bookmarkEnd w:id="39"/>
      <w:bookmarkEnd w:id="40"/>
    </w:p>
    <w:p>
      <w:pPr>
        <w:spacing w:line="360" w:lineRule="auto"/>
        <w:rPr>
          <w:rFonts w:ascii="宋体" w:hAnsi="宋体" w:cs="宋体"/>
          <w:b/>
          <w:bCs/>
          <w:u w:val="single"/>
        </w:rPr>
      </w:pPr>
      <w:r>
        <w:rPr>
          <w:rFonts w:hint="eastAsia" w:ascii="宋体" w:hAnsi="宋体" w:cs="宋体"/>
          <w:b/>
          <w:bCs/>
          <w:szCs w:val="22"/>
          <w:u w:val="single"/>
        </w:rPr>
        <w:t>嘉兴市生态环境局海盐分局</w:t>
      </w:r>
      <w:r>
        <w:rPr>
          <w:rFonts w:hint="eastAsia" w:ascii="宋体" w:hAnsi="宋体" w:cs="宋体"/>
          <w:b/>
          <w:bCs/>
          <w:u w:val="single"/>
        </w:rPr>
        <w:t>：</w:t>
      </w:r>
    </w:p>
    <w:p>
      <w:pPr>
        <w:snapToGrid w:val="0"/>
        <w:spacing w:before="156" w:beforeLines="50" w:after="50" w:line="360" w:lineRule="auto"/>
        <w:ind w:firstLine="420" w:firstLineChars="200"/>
        <w:rPr>
          <w:rFonts w:ascii="宋体" w:hAnsi="宋体" w:cs="宋体"/>
        </w:rPr>
      </w:pPr>
      <w:r>
        <w:rPr>
          <w:rFonts w:hint="eastAsia" w:ascii="宋体" w:hAnsi="宋体" w:cs="宋体"/>
        </w:rPr>
        <w:t>本授权委托书声明：我</w:t>
      </w:r>
      <w:r>
        <w:rPr>
          <w:rFonts w:hint="eastAsia" w:ascii="宋体" w:hAnsi="宋体" w:cs="宋体"/>
          <w:u w:val="single"/>
        </w:rPr>
        <w:t>（法人代表姓名）</w:t>
      </w:r>
      <w:r>
        <w:rPr>
          <w:rFonts w:hint="eastAsia" w:ascii="宋体" w:hAnsi="宋体" w:cs="宋体"/>
        </w:rPr>
        <w:t>系</w:t>
      </w:r>
      <w:r>
        <w:rPr>
          <w:rFonts w:hint="eastAsia" w:ascii="宋体" w:hAnsi="宋体" w:cs="宋体"/>
          <w:u w:val="single"/>
        </w:rPr>
        <w:t>（竞争性磋商供应商名称）</w:t>
      </w:r>
      <w:r>
        <w:rPr>
          <w:rFonts w:hint="eastAsia" w:ascii="宋体" w:hAnsi="宋体" w:cs="宋体"/>
        </w:rPr>
        <w:t>的法定代表人，现授权委托本单位正式职工：</w:t>
      </w:r>
      <w:r>
        <w:rPr>
          <w:rFonts w:hint="eastAsia" w:ascii="宋体" w:hAnsi="宋体" w:cs="宋体"/>
          <w:u w:val="single"/>
        </w:rPr>
        <w:t>（授权代表姓名）</w:t>
      </w:r>
      <w:r>
        <w:rPr>
          <w:rFonts w:hint="eastAsia" w:ascii="宋体" w:hAnsi="宋体" w:cs="宋体"/>
        </w:rPr>
        <w:t>为我公司法定代表人授权代表，参加贵处组织的</w:t>
      </w:r>
      <w:r>
        <w:rPr>
          <w:rFonts w:hint="eastAsia" w:ascii="宋体" w:hAnsi="宋体" w:cs="宋体"/>
          <w:b/>
          <w:bCs/>
          <w:u w:val="single"/>
        </w:rPr>
        <w:t xml:space="preserve"> </w:t>
      </w:r>
      <w:r>
        <w:rPr>
          <w:rFonts w:hint="eastAsia" w:ascii="宋体" w:hAnsi="宋体" w:cs="宋体"/>
          <w:b/>
          <w:bCs/>
          <w:u w:val="single"/>
          <w:lang w:eastAsia="zh-CN"/>
        </w:rPr>
        <w:t>2022-2023年海盐县全域“无废城市”建设技术咨询及服务项目</w:t>
      </w:r>
      <w:r>
        <w:rPr>
          <w:rFonts w:hint="eastAsia" w:ascii="宋体" w:hAnsi="宋体" w:cs="宋体"/>
          <w:u w:val="single"/>
        </w:rPr>
        <w:t>（项目名称</w:t>
      </w:r>
      <w:r>
        <w:rPr>
          <w:rFonts w:hint="eastAsia" w:ascii="宋体" w:hAnsi="宋体" w:cs="宋体"/>
          <w:u w:val="single"/>
          <w:lang w:eastAsia="zh-CN"/>
        </w:rPr>
        <w:t>中望[2022]D104号</w:t>
      </w:r>
      <w:r>
        <w:rPr>
          <w:rFonts w:hint="eastAsia" w:ascii="宋体" w:hAnsi="宋体" w:cs="宋体"/>
          <w:u w:val="single"/>
        </w:rPr>
        <w:t>）</w:t>
      </w:r>
      <w:r>
        <w:rPr>
          <w:rFonts w:hint="eastAsia" w:ascii="宋体" w:hAnsi="宋体" w:cs="宋体"/>
        </w:rPr>
        <w:t>项目竞争性磋商活动，全权处理本次招投标活动中的一切事宜，并代表我方全权办理针对上述项目的竞争性磋商、评审、签约等具体事务和签署相关文件。</w:t>
      </w:r>
    </w:p>
    <w:p>
      <w:pPr>
        <w:snapToGrid w:val="0"/>
        <w:spacing w:before="156" w:beforeLines="50" w:after="50" w:line="360" w:lineRule="auto"/>
        <w:rPr>
          <w:rFonts w:ascii="宋体" w:hAnsi="宋体" w:cs="宋体"/>
        </w:rPr>
      </w:pPr>
      <w:r>
        <w:rPr>
          <w:rFonts w:hint="eastAsia" w:ascii="宋体" w:hAnsi="宋体" w:cs="宋体"/>
        </w:rPr>
        <w:t xml:space="preserve">    我方对被授权人的签名负全部责任。</w:t>
      </w:r>
    </w:p>
    <w:p>
      <w:pPr>
        <w:snapToGrid w:val="0"/>
        <w:spacing w:before="156" w:beforeLines="50" w:after="50" w:line="360" w:lineRule="auto"/>
        <w:ind w:firstLine="480"/>
        <w:rPr>
          <w:rFonts w:ascii="宋体" w:hAnsi="宋体" w:cs="宋体"/>
        </w:rPr>
      </w:pPr>
      <w:r>
        <w:rPr>
          <w:rFonts w:hint="eastAsia" w:ascii="宋体" w:hAnsi="宋体" w:cs="宋体"/>
        </w:rPr>
        <w:t>在撤销授权的书面通知以前，本授权书一直有效。被授权人在授权书有效期内签署的所有文件不因授权的撤销而失效。</w:t>
      </w:r>
    </w:p>
    <w:p>
      <w:pPr>
        <w:spacing w:line="360" w:lineRule="auto"/>
        <w:ind w:firstLine="612"/>
        <w:rPr>
          <w:rFonts w:ascii="宋体" w:hAnsi="宋体" w:cs="宋体"/>
        </w:rPr>
      </w:pPr>
      <w:r>
        <w:rPr>
          <w:rFonts w:hint="eastAsia" w:ascii="宋体" w:hAnsi="宋体" w:cs="宋体"/>
        </w:rPr>
        <w:t>被授权人无转委托权，特此委托。</w:t>
      </w:r>
    </w:p>
    <w:p>
      <w:pPr>
        <w:spacing w:line="360" w:lineRule="auto"/>
        <w:ind w:firstLine="697"/>
        <w:rPr>
          <w:rFonts w:ascii="宋体" w:hAnsi="宋体" w:cs="宋体"/>
        </w:rPr>
      </w:pPr>
      <w:r>
        <w:rPr>
          <w:rFonts w:hint="eastAsia" w:ascii="宋体" w:hAnsi="宋体" w:cs="宋体"/>
        </w:rPr>
        <w:t>（授权代表身份证复印件加盖公章）</w:t>
      </w:r>
    </w:p>
    <w:tbl>
      <w:tblPr>
        <w:tblStyle w:val="24"/>
        <w:tblW w:w="92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6" w:hRule="atLeast"/>
        </w:trPr>
        <w:tc>
          <w:tcPr>
            <w:tcW w:w="9271" w:type="dxa"/>
            <w:vAlign w:val="center"/>
          </w:tcPr>
          <w:p>
            <w:pPr>
              <w:jc w:val="center"/>
              <w:rPr>
                <w:rFonts w:ascii="宋体" w:hAnsi="宋体" w:cs="宋体"/>
              </w:rPr>
            </w:pPr>
            <w:r>
              <w:rPr>
                <w:rFonts w:hint="eastAsia" w:ascii="宋体" w:hAnsi="宋体" w:cs="宋体"/>
              </w:rPr>
              <w:t>身份证复印件（正反面）</w:t>
            </w:r>
          </w:p>
        </w:tc>
      </w:tr>
    </w:tbl>
    <w:p>
      <w:pPr>
        <w:spacing w:line="480" w:lineRule="auto"/>
        <w:ind w:firstLine="4830" w:firstLineChars="2300"/>
        <w:rPr>
          <w:rFonts w:ascii="宋体" w:hAnsi="宋体" w:cs="宋体"/>
        </w:rPr>
      </w:pPr>
      <w:r>
        <w:rPr>
          <w:rFonts w:hint="eastAsia" w:ascii="宋体" w:hAnsi="宋体" w:cs="宋体"/>
        </w:rPr>
        <w:t>竞争性磋商供应商（公章）：</w:t>
      </w:r>
    </w:p>
    <w:p>
      <w:pPr>
        <w:spacing w:line="480" w:lineRule="auto"/>
        <w:ind w:firstLine="4830" w:firstLineChars="2300"/>
        <w:rPr>
          <w:rFonts w:ascii="宋体" w:hAnsi="宋体" w:cs="宋体"/>
        </w:rPr>
      </w:pPr>
      <w:r>
        <w:rPr>
          <w:rFonts w:hint="eastAsia" w:ascii="宋体" w:hAnsi="宋体" w:cs="宋体"/>
        </w:rPr>
        <w:t>法定代表人（签字或盖章）：</w:t>
      </w:r>
    </w:p>
    <w:p>
      <w:pPr>
        <w:pStyle w:val="10"/>
        <w:spacing w:line="480" w:lineRule="auto"/>
        <w:ind w:firstLine="4830" w:firstLineChars="2300"/>
        <w:rPr>
          <w:rFonts w:ascii="宋体" w:hAnsi="宋体" w:eastAsia="宋体" w:cs="宋体"/>
          <w:kern w:val="0"/>
          <w:sz w:val="21"/>
        </w:rPr>
      </w:pPr>
      <w:r>
        <w:rPr>
          <w:rFonts w:hint="eastAsia" w:ascii="宋体" w:hAnsi="宋体" w:eastAsia="宋体" w:cs="宋体"/>
          <w:kern w:val="0"/>
          <w:sz w:val="21"/>
        </w:rPr>
        <w:t>日    期：</w:t>
      </w:r>
    </w:p>
    <w:p>
      <w:pPr>
        <w:spacing w:line="360" w:lineRule="auto"/>
        <w:rPr>
          <w:rFonts w:ascii="宋体" w:hAnsi="宋体" w:cs="宋体"/>
        </w:rPr>
      </w:pPr>
      <w:r>
        <w:rPr>
          <w:rFonts w:hint="eastAsia" w:ascii="宋体" w:hAnsi="宋体" w:cs="宋体"/>
        </w:rPr>
        <w:t xml:space="preserve">附： </w:t>
      </w:r>
    </w:p>
    <w:p>
      <w:pPr>
        <w:spacing w:line="276" w:lineRule="auto"/>
        <w:ind w:left="600" w:leftChars="286" w:firstLine="329" w:firstLineChars="157"/>
        <w:rPr>
          <w:rFonts w:ascii="宋体" w:hAnsi="宋体" w:cs="宋体"/>
        </w:rPr>
      </w:pPr>
      <w:r>
        <w:rPr>
          <w:rFonts w:hint="eastAsia" w:ascii="宋体" w:hAnsi="宋体" w:cs="宋体"/>
        </w:rPr>
        <w:t>授权代表姓名：</w:t>
      </w:r>
    </w:p>
    <w:p>
      <w:pPr>
        <w:spacing w:line="276" w:lineRule="auto"/>
        <w:ind w:firstLine="909" w:firstLineChars="433"/>
        <w:rPr>
          <w:rFonts w:ascii="宋体" w:hAnsi="宋体" w:cs="宋体"/>
        </w:rPr>
      </w:pPr>
      <w:r>
        <w:rPr>
          <w:rFonts w:hint="eastAsia" w:ascii="宋体" w:hAnsi="宋体" w:cs="宋体"/>
        </w:rPr>
        <w:t>授权代表身份证号码：</w:t>
      </w:r>
    </w:p>
    <w:p>
      <w:pPr>
        <w:spacing w:line="276" w:lineRule="auto"/>
        <w:ind w:firstLine="909" w:firstLineChars="433"/>
        <w:rPr>
          <w:rFonts w:ascii="宋体" w:hAnsi="宋体" w:cs="宋体"/>
        </w:rPr>
      </w:pPr>
      <w:r>
        <w:rPr>
          <w:rFonts w:hint="eastAsia" w:ascii="宋体" w:hAnsi="宋体" w:cs="宋体"/>
        </w:rPr>
        <w:t>职  务：</w:t>
      </w:r>
    </w:p>
    <w:p>
      <w:pPr>
        <w:spacing w:line="276" w:lineRule="auto"/>
        <w:ind w:firstLine="924" w:firstLineChars="440"/>
        <w:rPr>
          <w:rFonts w:ascii="宋体" w:hAnsi="宋体" w:cs="宋体"/>
        </w:rPr>
      </w:pPr>
      <w:r>
        <w:rPr>
          <w:rFonts w:hint="eastAsia" w:ascii="宋体" w:hAnsi="宋体" w:cs="宋体"/>
        </w:rPr>
        <w:t>详细通讯地址：</w:t>
      </w:r>
    </w:p>
    <w:p>
      <w:pPr>
        <w:spacing w:line="276" w:lineRule="auto"/>
        <w:ind w:firstLine="924" w:firstLineChars="440"/>
        <w:rPr>
          <w:rFonts w:ascii="宋体" w:hAnsi="宋体" w:cs="宋体"/>
        </w:rPr>
      </w:pPr>
      <w:r>
        <w:rPr>
          <w:rFonts w:hint="eastAsia" w:ascii="宋体" w:hAnsi="宋体" w:cs="宋体"/>
        </w:rPr>
        <w:t>传  真：</w:t>
      </w:r>
    </w:p>
    <w:p>
      <w:pPr>
        <w:spacing w:line="276" w:lineRule="auto"/>
        <w:ind w:firstLine="924" w:firstLineChars="440"/>
        <w:rPr>
          <w:rFonts w:ascii="宋体" w:hAnsi="宋体" w:cs="宋体"/>
        </w:rPr>
      </w:pPr>
      <w:r>
        <w:rPr>
          <w:rFonts w:hint="eastAsia" w:ascii="宋体" w:hAnsi="宋体" w:cs="宋体"/>
        </w:rPr>
        <w:t>电  话：</w:t>
      </w:r>
    </w:p>
    <w:p>
      <w:pPr>
        <w:spacing w:line="276" w:lineRule="auto"/>
        <w:ind w:firstLine="924" w:firstLineChars="440"/>
        <w:rPr>
          <w:rFonts w:ascii="宋体" w:hAnsi="宋体" w:cs="宋体"/>
        </w:rPr>
      </w:pPr>
      <w:r>
        <w:rPr>
          <w:rFonts w:hint="eastAsia" w:ascii="宋体" w:hAnsi="宋体" w:cs="宋体"/>
        </w:rPr>
        <w:t>邮政编码：</w:t>
      </w:r>
    </w:p>
    <w:p>
      <w:pPr>
        <w:outlineLvl w:val="1"/>
        <w:rPr>
          <w:rFonts w:ascii="宋体" w:hAnsi="宋体" w:cs="宋体"/>
          <w:b/>
          <w:sz w:val="30"/>
          <w:szCs w:val="30"/>
        </w:rPr>
      </w:pPr>
      <w:bookmarkStart w:id="41" w:name="_Toc423610060"/>
      <w:bookmarkStart w:id="42" w:name="_Toc1897"/>
    </w:p>
    <w:p>
      <w:pPr>
        <w:outlineLvl w:val="1"/>
        <w:rPr>
          <w:rFonts w:ascii="宋体" w:hAnsi="宋体" w:cs="宋体"/>
          <w:b/>
          <w:sz w:val="30"/>
          <w:szCs w:val="30"/>
        </w:rPr>
      </w:pPr>
      <w:bookmarkStart w:id="43" w:name="_Toc30829"/>
      <w:bookmarkStart w:id="44" w:name="_Toc11605"/>
      <w:r>
        <w:rPr>
          <w:rFonts w:hint="eastAsia" w:ascii="宋体" w:hAnsi="宋体" w:cs="宋体"/>
          <w:b/>
          <w:sz w:val="30"/>
          <w:szCs w:val="30"/>
        </w:rPr>
        <w:t>附件三                   法定代表人身份证明</w:t>
      </w:r>
      <w:bookmarkEnd w:id="41"/>
      <w:bookmarkEnd w:id="42"/>
      <w:bookmarkEnd w:id="43"/>
      <w:bookmarkEnd w:id="44"/>
    </w:p>
    <w:p>
      <w:pPr>
        <w:rPr>
          <w:rFonts w:ascii="宋体" w:hAnsi="宋体" w:cs="宋体"/>
        </w:rPr>
      </w:pPr>
    </w:p>
    <w:p>
      <w:pPr>
        <w:spacing w:line="400" w:lineRule="exact"/>
        <w:rPr>
          <w:rFonts w:ascii="宋体" w:hAnsi="宋体" w:cs="宋体"/>
          <w:szCs w:val="21"/>
        </w:rPr>
      </w:pPr>
      <w:r>
        <w:rPr>
          <w:rFonts w:hint="eastAsia" w:ascii="宋体" w:hAnsi="宋体" w:cs="宋体"/>
          <w:szCs w:val="21"/>
        </w:rPr>
        <w:t>申 请 人：</w:t>
      </w:r>
    </w:p>
    <w:p>
      <w:pPr>
        <w:spacing w:line="400" w:lineRule="exact"/>
        <w:rPr>
          <w:rFonts w:ascii="宋体" w:hAnsi="宋体" w:cs="宋体"/>
          <w:szCs w:val="21"/>
          <w:u w:val="single"/>
        </w:rPr>
      </w:pPr>
      <w:r>
        <w:rPr>
          <w:rFonts w:hint="eastAsia" w:ascii="宋体" w:hAnsi="宋体" w:cs="宋体"/>
          <w:szCs w:val="21"/>
        </w:rPr>
        <w:t>单位性质：</w:t>
      </w:r>
    </w:p>
    <w:p>
      <w:pPr>
        <w:spacing w:line="400" w:lineRule="exact"/>
        <w:rPr>
          <w:rFonts w:ascii="宋体" w:hAnsi="宋体" w:cs="宋体"/>
          <w:szCs w:val="21"/>
        </w:rPr>
      </w:pPr>
      <w:r>
        <w:rPr>
          <w:rFonts w:hint="eastAsia" w:ascii="宋体" w:hAnsi="宋体" w:cs="宋体"/>
          <w:szCs w:val="21"/>
        </w:rPr>
        <w:t>地    址：</w:t>
      </w:r>
    </w:p>
    <w:p>
      <w:pPr>
        <w:spacing w:line="400" w:lineRule="exact"/>
        <w:rPr>
          <w:rFonts w:ascii="宋体" w:hAnsi="宋体" w:cs="宋体"/>
          <w:szCs w:val="21"/>
        </w:rPr>
      </w:pPr>
      <w:r>
        <w:rPr>
          <w:rFonts w:hint="eastAsia" w:ascii="宋体" w:hAnsi="宋体" w:cs="宋体"/>
          <w:szCs w:val="21"/>
        </w:rPr>
        <w:t>成立时间：    年   月   日</w:t>
      </w:r>
    </w:p>
    <w:p>
      <w:pPr>
        <w:spacing w:line="400" w:lineRule="exact"/>
        <w:rPr>
          <w:rFonts w:ascii="宋体" w:hAnsi="宋体" w:cs="宋体"/>
          <w:szCs w:val="21"/>
        </w:rPr>
      </w:pPr>
      <w:r>
        <w:rPr>
          <w:rFonts w:hint="eastAsia" w:ascii="宋体" w:hAnsi="宋体" w:cs="宋体"/>
          <w:szCs w:val="21"/>
        </w:rPr>
        <w:t>经营期限：</w:t>
      </w:r>
    </w:p>
    <w:p>
      <w:pPr>
        <w:spacing w:line="400" w:lineRule="exact"/>
        <w:rPr>
          <w:rFonts w:ascii="宋体" w:hAnsi="宋体" w:cs="宋体"/>
          <w:szCs w:val="21"/>
        </w:rPr>
      </w:pPr>
      <w:r>
        <w:rPr>
          <w:rFonts w:hint="eastAsia" w:ascii="宋体" w:hAnsi="宋体" w:cs="宋体"/>
          <w:szCs w:val="21"/>
        </w:rPr>
        <w:t>姓    名：性    别：</w:t>
      </w:r>
    </w:p>
    <w:p>
      <w:pPr>
        <w:spacing w:line="400" w:lineRule="exact"/>
        <w:rPr>
          <w:rFonts w:ascii="宋体" w:hAnsi="宋体" w:cs="宋体"/>
          <w:szCs w:val="21"/>
        </w:rPr>
      </w:pPr>
      <w:r>
        <w:rPr>
          <w:rFonts w:hint="eastAsia" w:ascii="宋体" w:hAnsi="宋体" w:cs="宋体"/>
          <w:szCs w:val="21"/>
        </w:rPr>
        <w:t>年    龄：职    务：</w:t>
      </w:r>
    </w:p>
    <w:p>
      <w:pPr>
        <w:spacing w:line="400" w:lineRule="exact"/>
        <w:rPr>
          <w:rFonts w:ascii="宋体" w:hAnsi="宋体" w:cs="宋体"/>
          <w:szCs w:val="21"/>
        </w:rPr>
      </w:pPr>
      <w:r>
        <w:rPr>
          <w:rFonts w:hint="eastAsia" w:ascii="宋体" w:hAnsi="宋体" w:cs="宋体"/>
          <w:szCs w:val="21"/>
        </w:rPr>
        <w:t>系（申请人名称）的法定代表人。</w:t>
      </w:r>
    </w:p>
    <w:p>
      <w:pPr>
        <w:spacing w:line="400" w:lineRule="exact"/>
        <w:rPr>
          <w:rFonts w:ascii="宋体" w:hAnsi="宋体" w:cs="宋体"/>
          <w:szCs w:val="21"/>
        </w:rPr>
      </w:pPr>
      <w:r>
        <w:rPr>
          <w:rFonts w:hint="eastAsia" w:ascii="宋体" w:hAnsi="宋体" w:cs="宋体"/>
          <w:szCs w:val="21"/>
        </w:rPr>
        <w:t>特此证明。</w:t>
      </w:r>
    </w:p>
    <w:p>
      <w:pPr>
        <w:spacing w:line="360" w:lineRule="exact"/>
        <w:rPr>
          <w:rFonts w:ascii="宋体" w:hAnsi="宋体" w:cs="宋体"/>
          <w:szCs w:val="21"/>
        </w:rPr>
      </w:pPr>
    </w:p>
    <w:p>
      <w:pPr>
        <w:spacing w:line="360" w:lineRule="exact"/>
        <w:rPr>
          <w:rFonts w:ascii="宋体" w:hAnsi="宋体" w:cs="宋体"/>
          <w:szCs w:val="21"/>
        </w:rPr>
      </w:pPr>
      <w:r>
        <w:rPr>
          <w:rFonts w:hint="eastAsia" w:ascii="宋体" w:hAnsi="宋体" w:cs="宋体"/>
          <w:szCs w:val="21"/>
        </w:rPr>
        <w:t>附法定代表人身份证加盖公章。</w:t>
      </w:r>
    </w:p>
    <w:p>
      <w:pPr>
        <w:rPr>
          <w:rFonts w:ascii="宋体" w:hAnsi="宋体" w:cs="宋体"/>
          <w:szCs w:val="21"/>
        </w:rPr>
      </w:pPr>
    </w:p>
    <w:p>
      <w:pPr>
        <w:rPr>
          <w:rFonts w:ascii="宋体" w:hAnsi="宋体" w:cs="宋体"/>
          <w:szCs w:val="21"/>
        </w:rPr>
      </w:pPr>
    </w:p>
    <w:p>
      <w:pPr>
        <w:rPr>
          <w:rFonts w:ascii="宋体" w:hAnsi="宋体" w:cs="宋体"/>
          <w:szCs w:val="21"/>
        </w:rPr>
      </w:pPr>
    </w:p>
    <w:p>
      <w:pPr>
        <w:jc w:val="right"/>
        <w:rPr>
          <w:rFonts w:ascii="宋体" w:hAnsi="宋体" w:cs="宋体"/>
          <w:szCs w:val="21"/>
        </w:rPr>
      </w:pPr>
      <w:r>
        <w:rPr>
          <w:rFonts w:hint="eastAsia" w:ascii="宋体" w:hAnsi="宋体" w:cs="宋体"/>
          <w:szCs w:val="21"/>
        </w:rPr>
        <w:t>申请人：（盖单位章）</w:t>
      </w:r>
    </w:p>
    <w:p>
      <w:pPr>
        <w:jc w:val="right"/>
        <w:rPr>
          <w:rFonts w:ascii="宋体" w:hAnsi="宋体" w:cs="宋体"/>
          <w:szCs w:val="21"/>
        </w:rPr>
      </w:pPr>
    </w:p>
    <w:p>
      <w:pPr>
        <w:wordWrap w:val="0"/>
        <w:jc w:val="right"/>
        <w:rPr>
          <w:rFonts w:ascii="宋体" w:hAnsi="宋体" w:cs="宋体"/>
        </w:rPr>
      </w:pPr>
      <w:r>
        <w:rPr>
          <w:rFonts w:hint="eastAsia" w:ascii="宋体" w:hAnsi="宋体" w:cs="宋体"/>
          <w:szCs w:val="21"/>
        </w:rPr>
        <w:t xml:space="preserve">年月日           </w:t>
      </w:r>
    </w:p>
    <w:p>
      <w:pPr>
        <w:rPr>
          <w:rFonts w:ascii="宋体" w:hAnsi="宋体" w:cs="宋体"/>
        </w:rPr>
      </w:pPr>
    </w:p>
    <w:tbl>
      <w:tblPr>
        <w:tblStyle w:val="24"/>
        <w:tblW w:w="6155" w:type="dxa"/>
        <w:tblInd w:w="15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2" w:hRule="atLeast"/>
        </w:trPr>
        <w:tc>
          <w:tcPr>
            <w:tcW w:w="6155" w:type="dxa"/>
          </w:tcPr>
          <w:p>
            <w:pPr>
              <w:jc w:val="center"/>
              <w:rPr>
                <w:rFonts w:ascii="宋体" w:hAnsi="宋体" w:cs="宋体"/>
              </w:rPr>
            </w:pPr>
          </w:p>
          <w:p>
            <w:pPr>
              <w:jc w:val="center"/>
              <w:rPr>
                <w:rFonts w:ascii="宋体" w:hAnsi="宋体" w:cs="宋体"/>
              </w:rPr>
            </w:pPr>
            <w:r>
              <w:rPr>
                <w:rFonts w:hint="eastAsia" w:ascii="宋体" w:hAnsi="宋体" w:cs="宋体"/>
              </w:rPr>
              <w:t>身份证复印件（正反面）</w:t>
            </w:r>
          </w:p>
          <w:p>
            <w:pPr>
              <w:outlineLvl w:val="1"/>
              <w:rPr>
                <w:rFonts w:ascii="宋体" w:hAnsi="宋体" w:cs="宋体"/>
                <w:b/>
                <w:sz w:val="28"/>
              </w:rPr>
            </w:pPr>
          </w:p>
        </w:tc>
      </w:tr>
    </w:tbl>
    <w:p>
      <w:pPr>
        <w:outlineLvl w:val="1"/>
        <w:rPr>
          <w:rFonts w:ascii="宋体" w:hAnsi="宋体" w:cs="宋体"/>
          <w:b/>
          <w:sz w:val="28"/>
        </w:rPr>
        <w:sectPr>
          <w:footerReference r:id="rId9" w:type="default"/>
          <w:pgSz w:w="11906" w:h="16838"/>
          <w:pgMar w:top="1418" w:right="1418" w:bottom="1418" w:left="1418" w:header="680" w:footer="992" w:gutter="0"/>
          <w:cols w:space="720" w:num="1"/>
          <w:docGrid w:type="linesAndChars" w:linePitch="312" w:charSpace="0"/>
        </w:sectPr>
      </w:pPr>
    </w:p>
    <w:p>
      <w:pPr>
        <w:outlineLvl w:val="1"/>
        <w:rPr>
          <w:rFonts w:ascii="宋体" w:hAnsi="宋体" w:cs="宋体"/>
          <w:b/>
          <w:sz w:val="30"/>
          <w:szCs w:val="30"/>
        </w:rPr>
      </w:pPr>
      <w:bookmarkStart w:id="45" w:name="_Toc18180"/>
      <w:bookmarkStart w:id="46" w:name="_Toc339979554"/>
      <w:bookmarkStart w:id="47" w:name="_Toc423610061"/>
      <w:bookmarkStart w:id="48" w:name="_Toc32631"/>
      <w:bookmarkStart w:id="49" w:name="_Toc4273"/>
      <w:r>
        <w:rPr>
          <w:rFonts w:hint="eastAsia" w:ascii="宋体" w:hAnsi="宋体" w:cs="宋体"/>
          <w:b/>
          <w:sz w:val="30"/>
          <w:szCs w:val="30"/>
        </w:rPr>
        <w:t xml:space="preserve">附件四                   </w:t>
      </w:r>
      <w:bookmarkEnd w:id="45"/>
      <w:bookmarkEnd w:id="46"/>
      <w:bookmarkEnd w:id="47"/>
      <w:r>
        <w:rPr>
          <w:rFonts w:hint="eastAsia" w:ascii="宋体" w:hAnsi="宋体" w:cs="宋体"/>
          <w:b/>
          <w:sz w:val="30"/>
          <w:szCs w:val="30"/>
        </w:rPr>
        <w:t>竞 争 性 磋 商 函</w:t>
      </w:r>
      <w:bookmarkEnd w:id="48"/>
      <w:bookmarkEnd w:id="49"/>
    </w:p>
    <w:p>
      <w:pPr>
        <w:spacing w:line="360" w:lineRule="auto"/>
        <w:rPr>
          <w:rFonts w:ascii="宋体" w:hAnsi="宋体" w:cs="宋体"/>
          <w:b/>
          <w:bCs/>
          <w:u w:val="single"/>
        </w:rPr>
      </w:pPr>
      <w:r>
        <w:rPr>
          <w:rFonts w:hint="eastAsia" w:ascii="宋体" w:hAnsi="宋体" w:cs="宋体"/>
          <w:b/>
          <w:bCs/>
          <w:szCs w:val="22"/>
          <w:u w:val="single"/>
        </w:rPr>
        <w:t>嘉兴市生态环境局海盐分局</w:t>
      </w:r>
      <w:r>
        <w:rPr>
          <w:rFonts w:hint="eastAsia" w:ascii="宋体" w:hAnsi="宋体" w:cs="宋体"/>
          <w:b/>
          <w:bCs/>
          <w:u w:val="single"/>
        </w:rPr>
        <w:t>：</w:t>
      </w:r>
    </w:p>
    <w:p>
      <w:pPr>
        <w:spacing w:line="360" w:lineRule="auto"/>
        <w:ind w:firstLine="411" w:firstLineChars="196"/>
        <w:jc w:val="both"/>
        <w:rPr>
          <w:rFonts w:ascii="宋体" w:hAnsi="宋体" w:cs="宋体"/>
        </w:rPr>
      </w:pPr>
      <w:r>
        <w:rPr>
          <w:rFonts w:hint="eastAsia" w:ascii="宋体" w:hAnsi="宋体" w:cs="宋体"/>
          <w:u w:val="single"/>
        </w:rPr>
        <w:t xml:space="preserve">（竞争性磋商供应商全称）  </w:t>
      </w:r>
      <w:r>
        <w:rPr>
          <w:rFonts w:hint="eastAsia" w:ascii="宋体" w:hAnsi="宋体" w:cs="宋体"/>
        </w:rPr>
        <w:t xml:space="preserve"> 授权 </w:t>
      </w:r>
      <w:r>
        <w:rPr>
          <w:rFonts w:hint="eastAsia" w:ascii="宋体" w:hAnsi="宋体" w:cs="宋体"/>
          <w:u w:val="single"/>
        </w:rPr>
        <w:t xml:space="preserve">   （授权代表名称、职务、职称）    </w:t>
      </w:r>
      <w:r>
        <w:rPr>
          <w:rFonts w:hint="eastAsia" w:ascii="宋体" w:hAnsi="宋体" w:cs="宋体"/>
        </w:rPr>
        <w:t xml:space="preserve"> 为本公司授权代表，参加贵方组织的</w:t>
      </w:r>
      <w:r>
        <w:rPr>
          <w:rFonts w:hint="eastAsia" w:ascii="宋体" w:hAnsi="宋体" w:cs="宋体"/>
          <w:u w:val="single"/>
        </w:rPr>
        <w:t xml:space="preserve"> </w:t>
      </w:r>
      <w:r>
        <w:rPr>
          <w:rFonts w:hint="eastAsia" w:ascii="宋体" w:hAnsi="宋体" w:cs="宋体"/>
          <w:u w:val="single"/>
          <w:lang w:eastAsia="zh-CN"/>
        </w:rPr>
        <w:t>2022-2023年海盐县全域“无废城市”建设技术咨询及服务项目</w:t>
      </w:r>
      <w:r>
        <w:rPr>
          <w:rFonts w:hint="eastAsia" w:ascii="宋体" w:hAnsi="宋体" w:cs="宋体"/>
          <w:u w:val="single"/>
        </w:rPr>
        <w:t>（项目名称</w:t>
      </w:r>
      <w:r>
        <w:rPr>
          <w:rFonts w:hint="eastAsia" w:ascii="宋体" w:hAnsi="宋体" w:cs="宋体"/>
          <w:u w:val="single"/>
          <w:lang w:eastAsia="zh-CN"/>
        </w:rPr>
        <w:t>中望[2022]D104号</w:t>
      </w:r>
      <w:r>
        <w:rPr>
          <w:rFonts w:hint="eastAsia" w:ascii="宋体" w:hAnsi="宋体" w:cs="宋体"/>
          <w:u w:val="single"/>
        </w:rPr>
        <w:t>）</w:t>
      </w:r>
      <w:r>
        <w:rPr>
          <w:rFonts w:hint="eastAsia" w:ascii="宋体" w:hAnsi="宋体" w:cs="宋体"/>
        </w:rPr>
        <w:t>竞争性磋商采购的有关活动，进行竞争性磋商。为此：</w:t>
      </w:r>
    </w:p>
    <w:p>
      <w:pPr>
        <w:pStyle w:val="55"/>
        <w:numPr>
          <w:ilvl w:val="1"/>
          <w:numId w:val="8"/>
        </w:numPr>
        <w:spacing w:line="360" w:lineRule="auto"/>
        <w:ind w:left="851" w:firstLineChars="0"/>
        <w:rPr>
          <w:rFonts w:ascii="宋体" w:hAnsi="宋体" w:cs="宋体"/>
        </w:rPr>
      </w:pPr>
      <w:r>
        <w:rPr>
          <w:rFonts w:hint="eastAsia" w:ascii="宋体" w:hAnsi="宋体" w:cs="宋体"/>
        </w:rPr>
        <w:t>提供竞争性磋商须知规定的全部竞争性磋商响应文件：</w:t>
      </w:r>
    </w:p>
    <w:p>
      <w:pPr>
        <w:pStyle w:val="55"/>
        <w:spacing w:line="360" w:lineRule="auto"/>
        <w:ind w:firstLine="630" w:firstLineChars="300"/>
        <w:rPr>
          <w:rFonts w:ascii="宋体" w:hAnsi="宋体" w:cs="宋体"/>
        </w:rPr>
      </w:pPr>
      <w:r>
        <w:rPr>
          <w:rFonts w:hint="eastAsia" w:ascii="宋体" w:hAnsi="宋体" w:cs="宋体"/>
        </w:rPr>
        <w:t>2、据此函，签字人兹宣布同意如下：</w:t>
      </w:r>
    </w:p>
    <w:p>
      <w:pPr>
        <w:pStyle w:val="55"/>
        <w:numPr>
          <w:ilvl w:val="2"/>
          <w:numId w:val="8"/>
        </w:numPr>
        <w:spacing w:line="360" w:lineRule="auto"/>
        <w:ind w:left="1276" w:firstLineChars="0"/>
        <w:rPr>
          <w:rFonts w:ascii="宋体" w:hAnsi="宋体" w:cs="宋体"/>
        </w:rPr>
      </w:pPr>
      <w:r>
        <w:rPr>
          <w:rFonts w:hint="eastAsia" w:ascii="宋体" w:hAnsi="宋体" w:cs="宋体"/>
          <w:szCs w:val="21"/>
        </w:rPr>
        <w:t>该项目的竞争性磋商报价</w:t>
      </w:r>
      <w:r>
        <w:rPr>
          <w:rFonts w:hint="eastAsia" w:ascii="宋体" w:hAnsi="宋体" w:cs="宋体"/>
        </w:rPr>
        <w:t xml:space="preserve">以最后轮报价为准（报价一览表附后）； </w:t>
      </w:r>
    </w:p>
    <w:p>
      <w:pPr>
        <w:pStyle w:val="55"/>
        <w:numPr>
          <w:ilvl w:val="2"/>
          <w:numId w:val="8"/>
        </w:numPr>
        <w:spacing w:line="360" w:lineRule="auto"/>
        <w:ind w:left="1276" w:firstLineChars="0"/>
        <w:rPr>
          <w:rFonts w:ascii="宋体" w:hAnsi="宋体" w:cs="宋体"/>
        </w:rPr>
      </w:pPr>
      <w:r>
        <w:rPr>
          <w:rFonts w:hint="eastAsia" w:ascii="宋体" w:hAnsi="宋体" w:cs="宋体"/>
        </w:rPr>
        <w:t>我方向贵方提交的所有竞争性磋商响应文件、资料都是准确的和真实的；</w:t>
      </w:r>
    </w:p>
    <w:p>
      <w:pPr>
        <w:pStyle w:val="55"/>
        <w:numPr>
          <w:ilvl w:val="2"/>
          <w:numId w:val="8"/>
        </w:numPr>
        <w:spacing w:line="360" w:lineRule="auto"/>
        <w:ind w:left="1276" w:firstLineChars="0"/>
        <w:rPr>
          <w:rFonts w:ascii="宋体" w:hAnsi="宋体" w:cs="宋体"/>
        </w:rPr>
      </w:pPr>
      <w:r>
        <w:rPr>
          <w:rFonts w:hint="eastAsia" w:ascii="宋体" w:hAnsi="宋体" w:cs="宋体"/>
        </w:rPr>
        <w:t>保证遵守竞争性磋商竞争性磋商文件中的有关规定。</w:t>
      </w:r>
    </w:p>
    <w:p>
      <w:pPr>
        <w:pStyle w:val="55"/>
        <w:numPr>
          <w:ilvl w:val="2"/>
          <w:numId w:val="8"/>
        </w:numPr>
        <w:spacing w:line="360" w:lineRule="auto"/>
        <w:ind w:left="1276" w:firstLineChars="0"/>
        <w:rPr>
          <w:rFonts w:ascii="宋体" w:hAnsi="宋体" w:cs="宋体"/>
        </w:rPr>
      </w:pPr>
      <w:r>
        <w:rPr>
          <w:rFonts w:hint="eastAsia" w:ascii="宋体" w:hAnsi="宋体" w:cs="宋体"/>
        </w:rPr>
        <w:t>保证严格执行双方所签的供货合同，并承担全部规定的责任义务。</w:t>
      </w:r>
    </w:p>
    <w:p>
      <w:pPr>
        <w:pStyle w:val="55"/>
        <w:numPr>
          <w:ilvl w:val="2"/>
          <w:numId w:val="8"/>
        </w:numPr>
        <w:spacing w:line="360" w:lineRule="auto"/>
        <w:ind w:left="1276" w:firstLineChars="0"/>
        <w:rPr>
          <w:rFonts w:ascii="宋体" w:hAnsi="宋体" w:cs="宋体"/>
        </w:rPr>
      </w:pPr>
      <w:r>
        <w:rPr>
          <w:rFonts w:hint="eastAsia" w:ascii="宋体" w:hAnsi="宋体" w:cs="宋体"/>
        </w:rPr>
        <w:t>竞争性磋商供应商已详细审查全部竞争性磋商竞争性磋商文件，包括竞争性磋商采购补充文件（如果有的话）。我们完全理解并同意放弃对这方面有不明及误解的权力。</w:t>
      </w:r>
    </w:p>
    <w:p>
      <w:pPr>
        <w:pStyle w:val="55"/>
        <w:numPr>
          <w:ilvl w:val="2"/>
          <w:numId w:val="8"/>
        </w:numPr>
        <w:spacing w:line="360" w:lineRule="auto"/>
        <w:ind w:left="1276" w:firstLineChars="0"/>
        <w:rPr>
          <w:rFonts w:ascii="宋体" w:hAnsi="宋体" w:cs="宋体"/>
        </w:rPr>
      </w:pPr>
      <w:r>
        <w:rPr>
          <w:rFonts w:hint="eastAsia" w:ascii="宋体" w:hAnsi="宋体" w:cs="宋体"/>
        </w:rPr>
        <w:t>愿意向贵方提供任何与该项竞争性磋商有关的数据、情况和技术资料，完全理解贵方不一定接受最低价的竞争性磋商或收到的任何竞争性磋商。</w:t>
      </w:r>
    </w:p>
    <w:p>
      <w:pPr>
        <w:pStyle w:val="55"/>
        <w:numPr>
          <w:ilvl w:val="2"/>
          <w:numId w:val="8"/>
        </w:numPr>
        <w:spacing w:line="360" w:lineRule="auto"/>
        <w:ind w:left="1276" w:firstLineChars="0"/>
        <w:rPr>
          <w:rFonts w:ascii="宋体" w:hAnsi="宋体" w:cs="宋体"/>
        </w:rPr>
      </w:pPr>
      <w:r>
        <w:rPr>
          <w:rFonts w:hint="eastAsia" w:ascii="宋体" w:hAnsi="宋体" w:cs="宋体"/>
        </w:rPr>
        <w:t>本竞争性磋商自竞争性磋商截止时间之日起</w:t>
      </w:r>
      <w:r>
        <w:rPr>
          <w:rFonts w:hint="eastAsia" w:ascii="宋体" w:hAnsi="宋体" w:cs="宋体"/>
          <w:u w:val="single"/>
        </w:rPr>
        <w:t>60</w:t>
      </w:r>
      <w:r>
        <w:rPr>
          <w:rFonts w:hint="eastAsia" w:ascii="宋体" w:hAnsi="宋体" w:cs="宋体"/>
        </w:rPr>
        <w:t>天有效。</w:t>
      </w:r>
    </w:p>
    <w:p>
      <w:pPr>
        <w:pStyle w:val="55"/>
        <w:numPr>
          <w:ilvl w:val="2"/>
          <w:numId w:val="8"/>
        </w:numPr>
        <w:spacing w:line="360" w:lineRule="auto"/>
        <w:ind w:left="1276" w:firstLineChars="0"/>
        <w:rPr>
          <w:rFonts w:ascii="宋体" w:hAnsi="宋体" w:cs="宋体"/>
        </w:rPr>
      </w:pPr>
      <w:r>
        <w:rPr>
          <w:rFonts w:hint="eastAsia" w:ascii="宋体" w:hAnsi="宋体" w:cs="宋体"/>
        </w:rPr>
        <w:t>如果在竞争性磋商有效期内撤回或拒绝接受已经确认的条款，同意采购机构没收竞争性磋商保证金。</w:t>
      </w:r>
    </w:p>
    <w:p>
      <w:pPr>
        <w:pStyle w:val="55"/>
        <w:numPr>
          <w:ilvl w:val="2"/>
          <w:numId w:val="8"/>
        </w:numPr>
        <w:spacing w:line="360" w:lineRule="auto"/>
        <w:ind w:left="1276" w:firstLineChars="0"/>
        <w:rPr>
          <w:rFonts w:ascii="宋体" w:hAnsi="宋体" w:cs="宋体"/>
          <w:szCs w:val="21"/>
        </w:rPr>
      </w:pPr>
      <w:r>
        <w:rPr>
          <w:rFonts w:hint="eastAsia" w:ascii="宋体" w:hAnsi="宋体" w:cs="宋体"/>
          <w:szCs w:val="21"/>
        </w:rPr>
        <w:t>与本竞争性磋商有关的正式通讯地址为：</w:t>
      </w:r>
    </w:p>
    <w:p>
      <w:pPr>
        <w:spacing w:line="360" w:lineRule="auto"/>
        <w:ind w:left="1276"/>
        <w:rPr>
          <w:rFonts w:ascii="宋体" w:hAnsi="宋体" w:cs="宋体"/>
          <w:u w:val="single"/>
        </w:rPr>
      </w:pPr>
      <w:r>
        <w:rPr>
          <w:rFonts w:hint="eastAsia" w:ascii="宋体" w:hAnsi="宋体" w:cs="宋体"/>
        </w:rPr>
        <w:t>邮编：电话：传真：</w:t>
      </w:r>
    </w:p>
    <w:p>
      <w:pPr>
        <w:spacing w:line="480" w:lineRule="auto"/>
        <w:ind w:firstLine="5250" w:firstLineChars="2500"/>
        <w:rPr>
          <w:rFonts w:ascii="宋体" w:hAnsi="宋体" w:cs="宋体"/>
        </w:rPr>
      </w:pPr>
    </w:p>
    <w:p>
      <w:pPr>
        <w:spacing w:line="480" w:lineRule="auto"/>
        <w:ind w:firstLine="5250" w:firstLineChars="2500"/>
        <w:rPr>
          <w:rFonts w:ascii="宋体" w:hAnsi="宋体" w:cs="宋体"/>
        </w:rPr>
      </w:pPr>
    </w:p>
    <w:p>
      <w:pPr>
        <w:spacing w:line="480" w:lineRule="auto"/>
        <w:ind w:right="-2" w:firstLine="5250" w:firstLineChars="2500"/>
        <w:rPr>
          <w:rFonts w:ascii="宋体" w:hAnsi="宋体" w:cs="宋体"/>
        </w:rPr>
      </w:pPr>
      <w:r>
        <w:rPr>
          <w:rFonts w:hint="eastAsia" w:ascii="宋体" w:hAnsi="宋体" w:cs="宋体"/>
        </w:rPr>
        <w:t>竞争性磋商供应商（公章）：</w:t>
      </w:r>
    </w:p>
    <w:p>
      <w:pPr>
        <w:spacing w:after="156" w:afterLines="50" w:line="400" w:lineRule="exact"/>
        <w:ind w:left="5250" w:leftChars="2500"/>
        <w:rPr>
          <w:rFonts w:ascii="宋体" w:hAnsi="宋体" w:cs="宋体"/>
        </w:rPr>
      </w:pPr>
      <w:r>
        <w:rPr>
          <w:rFonts w:hint="eastAsia" w:ascii="宋体" w:hAnsi="宋体" w:cs="宋体"/>
        </w:rPr>
        <w:t>法定代表人或授权代表（签字或盖章）：</w:t>
      </w:r>
    </w:p>
    <w:p>
      <w:pPr>
        <w:spacing w:line="340" w:lineRule="exact"/>
        <w:ind w:firstLine="5243" w:firstLineChars="2497"/>
        <w:rPr>
          <w:rFonts w:ascii="宋体" w:hAnsi="宋体" w:cs="宋体"/>
        </w:rPr>
      </w:pPr>
      <w:r>
        <w:rPr>
          <w:rFonts w:hint="eastAsia" w:ascii="宋体" w:hAnsi="宋体" w:cs="宋体"/>
        </w:rPr>
        <w:t>日期：</w:t>
      </w:r>
    </w:p>
    <w:p>
      <w:pPr>
        <w:jc w:val="center"/>
        <w:outlineLvl w:val="1"/>
        <w:rPr>
          <w:rFonts w:ascii="宋体" w:hAnsi="宋体" w:cs="宋体"/>
          <w:b/>
          <w:sz w:val="28"/>
        </w:rPr>
        <w:sectPr>
          <w:pgSz w:w="11906" w:h="16838"/>
          <w:pgMar w:top="1418" w:right="1418" w:bottom="1418" w:left="1418" w:header="680" w:footer="992" w:gutter="0"/>
          <w:cols w:space="720" w:num="1"/>
          <w:docGrid w:type="linesAndChars" w:linePitch="312" w:charSpace="0"/>
        </w:sectPr>
      </w:pPr>
      <w:bookmarkStart w:id="50" w:name="_Toc339979555"/>
    </w:p>
    <w:p>
      <w:pPr>
        <w:outlineLvl w:val="1"/>
        <w:rPr>
          <w:rFonts w:ascii="宋体" w:hAnsi="宋体" w:cs="宋体"/>
          <w:b/>
          <w:sz w:val="30"/>
          <w:szCs w:val="30"/>
        </w:rPr>
      </w:pPr>
      <w:bookmarkStart w:id="51" w:name="_Toc3403"/>
      <w:bookmarkStart w:id="52" w:name="_Toc16530"/>
      <w:bookmarkStart w:id="53" w:name="_Toc10670"/>
      <w:bookmarkStart w:id="54" w:name="_Toc423610062"/>
      <w:r>
        <w:rPr>
          <w:rFonts w:hint="eastAsia" w:ascii="宋体" w:hAnsi="宋体" w:cs="宋体"/>
          <w:b/>
          <w:sz w:val="30"/>
          <w:szCs w:val="30"/>
        </w:rPr>
        <w:t>附件五                    第一轮报价一览表</w:t>
      </w:r>
      <w:bookmarkEnd w:id="50"/>
      <w:bookmarkEnd w:id="51"/>
      <w:bookmarkEnd w:id="52"/>
      <w:bookmarkEnd w:id="53"/>
      <w:bookmarkEnd w:id="54"/>
    </w:p>
    <w:p>
      <w:pPr>
        <w:pStyle w:val="8"/>
        <w:spacing w:line="400" w:lineRule="exact"/>
        <w:ind w:firstLine="0"/>
        <w:rPr>
          <w:rFonts w:ascii="宋体" w:hAnsi="宋体" w:cs="宋体"/>
        </w:rPr>
      </w:pPr>
      <w:bookmarkStart w:id="55" w:name="_Toc339979556"/>
      <w:r>
        <w:rPr>
          <w:rFonts w:hint="eastAsia" w:ascii="宋体" w:hAnsi="宋体" w:cs="宋体"/>
        </w:rPr>
        <w:t>项目编号：</w:t>
      </w:r>
      <w:r>
        <w:rPr>
          <w:rFonts w:hint="eastAsia" w:ascii="宋体" w:hAnsi="宋体" w:cs="宋体"/>
          <w:lang w:eastAsia="zh-CN"/>
        </w:rPr>
        <w:t>中望[2022]D104号</w:t>
      </w:r>
      <w:r>
        <w:rPr>
          <w:rFonts w:hint="eastAsia" w:ascii="宋体" w:hAnsi="宋体" w:cs="宋体"/>
        </w:rPr>
        <w:t xml:space="preserve">                           （价格单位：人民币元）</w:t>
      </w:r>
    </w:p>
    <w:tbl>
      <w:tblPr>
        <w:tblStyle w:val="24"/>
        <w:tblW w:w="9958" w:type="dxa"/>
        <w:jc w:val="center"/>
        <w:tblLayout w:type="fixed"/>
        <w:tblCellMar>
          <w:top w:w="0" w:type="dxa"/>
          <w:left w:w="108" w:type="dxa"/>
          <w:bottom w:w="0" w:type="dxa"/>
          <w:right w:w="108" w:type="dxa"/>
        </w:tblCellMar>
      </w:tblPr>
      <w:tblGrid>
        <w:gridCol w:w="727"/>
        <w:gridCol w:w="2539"/>
        <w:gridCol w:w="704"/>
        <w:gridCol w:w="657"/>
        <w:gridCol w:w="647"/>
        <w:gridCol w:w="2596"/>
        <w:gridCol w:w="1384"/>
        <w:gridCol w:w="704"/>
      </w:tblGrid>
      <w:tr>
        <w:tblPrEx>
          <w:tblCellMar>
            <w:top w:w="0" w:type="dxa"/>
            <w:left w:w="108" w:type="dxa"/>
            <w:bottom w:w="0" w:type="dxa"/>
            <w:right w:w="108" w:type="dxa"/>
          </w:tblCellMar>
        </w:tblPrEx>
        <w:trPr>
          <w:trHeight w:val="1418"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序号</w:t>
            </w:r>
          </w:p>
        </w:tc>
        <w:tc>
          <w:tcPr>
            <w:tcW w:w="2539" w:type="dxa"/>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项目名称</w:t>
            </w:r>
          </w:p>
        </w:tc>
        <w:tc>
          <w:tcPr>
            <w:tcW w:w="704" w:type="dxa"/>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单位</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数量</w:t>
            </w:r>
          </w:p>
        </w:tc>
        <w:tc>
          <w:tcPr>
            <w:tcW w:w="6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总价</w:t>
            </w:r>
          </w:p>
        </w:tc>
        <w:tc>
          <w:tcPr>
            <w:tcW w:w="25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服务期限</w:t>
            </w: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项目负责人</w:t>
            </w:r>
          </w:p>
        </w:tc>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备注</w:t>
            </w:r>
          </w:p>
        </w:tc>
      </w:tr>
      <w:tr>
        <w:tblPrEx>
          <w:tblCellMar>
            <w:top w:w="0" w:type="dxa"/>
            <w:left w:w="108" w:type="dxa"/>
            <w:bottom w:w="0" w:type="dxa"/>
            <w:right w:w="108" w:type="dxa"/>
          </w:tblCellMar>
        </w:tblPrEx>
        <w:trPr>
          <w:trHeight w:val="1418"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1</w:t>
            </w:r>
          </w:p>
        </w:tc>
        <w:tc>
          <w:tcPr>
            <w:tcW w:w="2539" w:type="dxa"/>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bCs/>
                <w:szCs w:val="21"/>
                <w:lang w:eastAsia="zh-CN"/>
              </w:rPr>
            </w:pPr>
            <w:r>
              <w:rPr>
                <w:rFonts w:hint="eastAsia" w:ascii="宋体" w:hAnsi="宋体" w:cs="宋体"/>
                <w:b/>
                <w:szCs w:val="21"/>
                <w:lang w:eastAsia="zh-CN"/>
              </w:rPr>
              <w:t>2022-2023年海盐县全域“无废城市”建设技术咨询及服务项目</w:t>
            </w:r>
          </w:p>
        </w:tc>
        <w:tc>
          <w:tcPr>
            <w:tcW w:w="704" w:type="dxa"/>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1</w:t>
            </w:r>
          </w:p>
        </w:tc>
        <w:tc>
          <w:tcPr>
            <w:tcW w:w="6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25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13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p>
        </w:tc>
      </w:tr>
      <w:tr>
        <w:tblPrEx>
          <w:tblCellMar>
            <w:top w:w="0" w:type="dxa"/>
            <w:left w:w="108" w:type="dxa"/>
            <w:bottom w:w="0" w:type="dxa"/>
            <w:right w:w="108" w:type="dxa"/>
          </w:tblCellMar>
        </w:tblPrEx>
        <w:trPr>
          <w:trHeight w:val="1418"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szCs w:val="21"/>
              </w:rPr>
            </w:pPr>
            <w:r>
              <w:rPr>
                <w:rFonts w:hint="eastAsia" w:ascii="宋体" w:hAnsi="宋体" w:cs="宋体"/>
                <w:b/>
                <w:szCs w:val="21"/>
              </w:rPr>
              <w:t>2</w:t>
            </w:r>
          </w:p>
        </w:tc>
        <w:tc>
          <w:tcPr>
            <w:tcW w:w="923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b/>
                <w:szCs w:val="21"/>
              </w:rPr>
            </w:pPr>
            <w:r>
              <w:rPr>
                <w:rFonts w:hint="eastAsia" w:ascii="宋体" w:hAnsi="宋体" w:cs="宋体"/>
                <w:b/>
                <w:szCs w:val="21"/>
              </w:rPr>
              <w:t xml:space="preserve">大写：                             </w:t>
            </w:r>
          </w:p>
        </w:tc>
      </w:tr>
    </w:tbl>
    <w:p>
      <w:pPr>
        <w:autoSpaceDE w:val="0"/>
        <w:autoSpaceDN w:val="0"/>
        <w:adjustRightInd w:val="0"/>
        <w:spacing w:line="360" w:lineRule="auto"/>
        <w:ind w:firstLine="205" w:firstLineChars="98"/>
        <w:rPr>
          <w:rFonts w:ascii="宋体" w:hAnsi="宋体"/>
          <w:b/>
          <w:szCs w:val="21"/>
        </w:rPr>
      </w:pPr>
      <w:r>
        <w:rPr>
          <w:rFonts w:hint="eastAsia" w:ascii="宋体" w:hAnsi="宋体" w:cs="宋体"/>
          <w:b/>
          <w:szCs w:val="21"/>
        </w:rPr>
        <w:t>备注：</w:t>
      </w:r>
      <w:r>
        <w:rPr>
          <w:rFonts w:hint="eastAsia" w:ascii="宋体" w:hAnsi="宋体"/>
          <w:b/>
          <w:szCs w:val="21"/>
        </w:rPr>
        <w:t>1、大写总价与小写总价不一致，以大写总价为准；</w:t>
      </w:r>
    </w:p>
    <w:p>
      <w:pPr>
        <w:spacing w:line="360" w:lineRule="auto"/>
        <w:ind w:firstLine="840" w:firstLineChars="400"/>
        <w:rPr>
          <w:rFonts w:ascii="宋体" w:hAnsi="宋体" w:cs="宋体"/>
          <w:szCs w:val="21"/>
        </w:rPr>
      </w:pPr>
      <w:r>
        <w:rPr>
          <w:rFonts w:hint="eastAsia" w:ascii="宋体" w:hAnsi="宋体"/>
          <w:b/>
          <w:szCs w:val="21"/>
        </w:rPr>
        <w:t>2、报价表格式样本按此制作。</w:t>
      </w:r>
    </w:p>
    <w:p>
      <w:pPr>
        <w:spacing w:line="360" w:lineRule="auto"/>
        <w:rPr>
          <w:rFonts w:ascii="宋体" w:hAnsi="宋体" w:cs="宋体"/>
        </w:rPr>
      </w:pPr>
    </w:p>
    <w:p>
      <w:pPr>
        <w:spacing w:line="360" w:lineRule="auto"/>
        <w:ind w:firstLine="4830" w:firstLineChars="2300"/>
        <w:rPr>
          <w:rFonts w:ascii="宋体" w:hAnsi="宋体" w:cs="宋体"/>
        </w:rPr>
      </w:pPr>
    </w:p>
    <w:p>
      <w:pPr>
        <w:spacing w:line="360" w:lineRule="auto"/>
        <w:ind w:firstLine="4830" w:firstLineChars="2300"/>
        <w:rPr>
          <w:rFonts w:ascii="宋体" w:hAnsi="宋体" w:cs="宋体"/>
        </w:rPr>
      </w:pPr>
      <w:r>
        <w:rPr>
          <w:rFonts w:hint="eastAsia" w:ascii="宋体" w:hAnsi="宋体" w:cs="宋体"/>
        </w:rPr>
        <w:t>竞争性磋商供应商（公章）：</w:t>
      </w:r>
    </w:p>
    <w:p>
      <w:pPr>
        <w:spacing w:line="360" w:lineRule="auto"/>
        <w:ind w:firstLine="4830" w:firstLineChars="2300"/>
        <w:rPr>
          <w:rFonts w:ascii="宋体" w:hAnsi="宋体" w:cs="宋体"/>
        </w:rPr>
      </w:pPr>
      <w:r>
        <w:rPr>
          <w:rFonts w:hint="eastAsia" w:ascii="宋体" w:hAnsi="宋体" w:cs="宋体"/>
        </w:rPr>
        <w:t>法定代表人或授权代表（签字或盖章）：</w:t>
      </w:r>
    </w:p>
    <w:p>
      <w:pPr>
        <w:pStyle w:val="10"/>
        <w:ind w:firstLine="4830" w:firstLineChars="2300"/>
        <w:rPr>
          <w:rFonts w:ascii="宋体" w:hAnsi="宋体" w:eastAsia="宋体" w:cs="宋体"/>
          <w:kern w:val="0"/>
          <w:sz w:val="21"/>
        </w:rPr>
      </w:pPr>
      <w:r>
        <w:rPr>
          <w:rFonts w:hint="eastAsia" w:ascii="宋体" w:hAnsi="宋体" w:eastAsia="宋体" w:cs="宋体"/>
          <w:kern w:val="0"/>
          <w:sz w:val="21"/>
        </w:rPr>
        <w:t>日    期：</w:t>
      </w:r>
    </w:p>
    <w:bookmarkEnd w:id="55"/>
    <w:p>
      <w:pPr>
        <w:jc w:val="center"/>
        <w:outlineLvl w:val="1"/>
        <w:rPr>
          <w:rFonts w:ascii="宋体" w:hAnsi="宋体" w:cs="宋体"/>
          <w:b/>
          <w:sz w:val="28"/>
        </w:rPr>
      </w:pPr>
      <w:bookmarkStart w:id="56" w:name="_Toc360612912"/>
      <w:bookmarkStart w:id="57" w:name="_Toc358022067"/>
      <w:bookmarkStart w:id="58" w:name="_Toc296590900"/>
      <w:bookmarkStart w:id="59" w:name="_Toc306782979"/>
      <w:bookmarkStart w:id="60" w:name="_Toc339978936"/>
    </w:p>
    <w:p>
      <w:pPr>
        <w:jc w:val="center"/>
        <w:outlineLvl w:val="1"/>
        <w:rPr>
          <w:rFonts w:ascii="宋体" w:hAnsi="宋体" w:cs="宋体"/>
          <w:b/>
          <w:sz w:val="28"/>
        </w:rPr>
      </w:pPr>
    </w:p>
    <w:p>
      <w:pPr>
        <w:jc w:val="center"/>
        <w:outlineLvl w:val="1"/>
        <w:rPr>
          <w:rFonts w:ascii="宋体" w:hAnsi="宋体" w:cs="宋体"/>
          <w:b/>
          <w:sz w:val="28"/>
        </w:rPr>
      </w:pPr>
    </w:p>
    <w:p>
      <w:pPr>
        <w:jc w:val="center"/>
        <w:outlineLvl w:val="1"/>
        <w:rPr>
          <w:rFonts w:ascii="宋体" w:hAnsi="宋体" w:cs="宋体"/>
          <w:b/>
          <w:sz w:val="28"/>
        </w:rPr>
      </w:pPr>
    </w:p>
    <w:p>
      <w:pPr>
        <w:jc w:val="center"/>
        <w:outlineLvl w:val="1"/>
        <w:rPr>
          <w:rFonts w:ascii="宋体" w:hAnsi="宋体" w:cs="宋体"/>
          <w:b/>
          <w:sz w:val="28"/>
        </w:rPr>
      </w:pPr>
    </w:p>
    <w:p>
      <w:pPr>
        <w:jc w:val="center"/>
        <w:outlineLvl w:val="1"/>
        <w:rPr>
          <w:rFonts w:ascii="宋体" w:hAnsi="宋体" w:cs="宋体"/>
          <w:b/>
          <w:sz w:val="28"/>
        </w:rPr>
      </w:pPr>
    </w:p>
    <w:p>
      <w:pPr>
        <w:jc w:val="center"/>
        <w:outlineLvl w:val="1"/>
        <w:rPr>
          <w:rFonts w:ascii="宋体" w:hAnsi="宋体" w:cs="宋体"/>
          <w:b/>
          <w:sz w:val="28"/>
        </w:rPr>
      </w:pPr>
    </w:p>
    <w:p>
      <w:pPr>
        <w:jc w:val="center"/>
        <w:outlineLvl w:val="1"/>
        <w:rPr>
          <w:rFonts w:ascii="宋体" w:hAnsi="宋体" w:cs="宋体"/>
          <w:b/>
          <w:sz w:val="28"/>
        </w:rPr>
      </w:pPr>
    </w:p>
    <w:bookmarkEnd w:id="56"/>
    <w:bookmarkEnd w:id="57"/>
    <w:p>
      <w:pPr>
        <w:rPr>
          <w:rFonts w:hint="eastAsia" w:ascii="宋体" w:hAnsi="宋体" w:cs="宋体"/>
          <w:b/>
          <w:sz w:val="30"/>
          <w:szCs w:val="30"/>
        </w:rPr>
      </w:pPr>
      <w:bookmarkStart w:id="61" w:name="_Toc22141"/>
      <w:bookmarkStart w:id="62" w:name="_Toc18998"/>
      <w:bookmarkStart w:id="63" w:name="_Toc26913"/>
      <w:bookmarkStart w:id="64" w:name="_Toc357070148"/>
      <w:bookmarkStart w:id="65" w:name="_Toc360612913"/>
      <w:bookmarkStart w:id="66" w:name="_Toc358022068"/>
      <w:r>
        <w:rPr>
          <w:rFonts w:hint="eastAsia" w:ascii="宋体" w:hAnsi="宋体" w:cs="宋体"/>
          <w:b/>
          <w:sz w:val="30"/>
          <w:szCs w:val="30"/>
        </w:rPr>
        <w:br w:type="page"/>
      </w:r>
    </w:p>
    <w:p>
      <w:pPr>
        <w:snapToGrid w:val="0"/>
        <w:ind w:left="602" w:hanging="600" w:hangingChars="200"/>
        <w:outlineLvl w:val="1"/>
        <w:rPr>
          <w:rFonts w:ascii="宋体" w:hAnsi="宋体" w:cs="宋体"/>
          <w:b/>
          <w:bCs/>
        </w:rPr>
      </w:pPr>
      <w:r>
        <w:rPr>
          <w:rFonts w:hint="eastAsia" w:ascii="宋体" w:hAnsi="宋体" w:cs="宋体"/>
          <w:b/>
          <w:sz w:val="30"/>
          <w:szCs w:val="30"/>
        </w:rPr>
        <w:t>附件六                   投标报价明细表</w:t>
      </w:r>
      <w:bookmarkEnd w:id="61"/>
      <w:bookmarkEnd w:id="62"/>
      <w:bookmarkEnd w:id="63"/>
    </w:p>
    <w:p>
      <w:pPr>
        <w:pStyle w:val="8"/>
        <w:spacing w:line="400" w:lineRule="exact"/>
        <w:ind w:firstLine="0"/>
        <w:rPr>
          <w:rFonts w:ascii="宋体" w:hAnsi="宋体" w:cs="宋体"/>
        </w:rPr>
      </w:pPr>
      <w:r>
        <w:rPr>
          <w:rFonts w:hint="eastAsia" w:ascii="宋体" w:hAnsi="宋体" w:cs="宋体"/>
          <w:b/>
          <w:bCs/>
        </w:rPr>
        <w:t>项目编号：</w:t>
      </w:r>
      <w:r>
        <w:rPr>
          <w:rFonts w:hint="eastAsia" w:ascii="宋体" w:hAnsi="宋体" w:cs="宋体"/>
          <w:b/>
          <w:bCs/>
          <w:lang w:eastAsia="zh-CN"/>
        </w:rPr>
        <w:t>中望[2022]D104号</w:t>
      </w:r>
      <w:r>
        <w:rPr>
          <w:rFonts w:hint="eastAsia" w:ascii="宋体" w:hAnsi="宋体" w:cs="宋体"/>
          <w:b/>
          <w:bCs/>
        </w:rPr>
        <w:t xml:space="preserve">                                     （价格单位：人民币元）</w:t>
      </w:r>
    </w:p>
    <w:tbl>
      <w:tblPr>
        <w:tblStyle w:val="24"/>
        <w:tblW w:w="9111" w:type="dxa"/>
        <w:tblInd w:w="0" w:type="dxa"/>
        <w:tblLayout w:type="fixed"/>
        <w:tblCellMar>
          <w:top w:w="0" w:type="dxa"/>
          <w:left w:w="0" w:type="dxa"/>
          <w:bottom w:w="0" w:type="dxa"/>
          <w:right w:w="0" w:type="dxa"/>
        </w:tblCellMar>
      </w:tblPr>
      <w:tblGrid>
        <w:gridCol w:w="624"/>
        <w:gridCol w:w="853"/>
        <w:gridCol w:w="5234"/>
        <w:gridCol w:w="862"/>
        <w:gridCol w:w="657"/>
        <w:gridCol w:w="881"/>
      </w:tblGrid>
      <w:tr>
        <w:tblPrEx>
          <w:tblCellMar>
            <w:top w:w="0" w:type="dxa"/>
            <w:left w:w="0" w:type="dxa"/>
            <w:bottom w:w="0" w:type="dxa"/>
            <w:right w:w="0"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rPr>
              <w:t>序号</w:t>
            </w: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rPr>
              <w:t>名称</w:t>
            </w:r>
          </w:p>
        </w:tc>
        <w:tc>
          <w:tcPr>
            <w:tcW w:w="5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rPr>
              <w:t>技术规格</w:t>
            </w: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rPr>
              <w:t>计量单位</w:t>
            </w: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rPr>
              <w:t>工程量</w:t>
            </w:r>
          </w:p>
        </w:tc>
        <w:tc>
          <w:tcPr>
            <w:tcW w:w="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rPr>
              <w:t>投标报价</w:t>
            </w:r>
          </w:p>
        </w:tc>
      </w:tr>
      <w:tr>
        <w:tblPrEx>
          <w:tblCellMar>
            <w:top w:w="0" w:type="dxa"/>
            <w:left w:w="0" w:type="dxa"/>
            <w:bottom w:w="0" w:type="dxa"/>
            <w:right w:w="0" w:type="dxa"/>
          </w:tblCellMar>
        </w:tblPrEx>
        <w:trPr>
          <w:trHeight w:val="675"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宋体" w:hAnsi="宋体" w:cs="宋体"/>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675"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宋体" w:hAnsi="宋体" w:cs="宋体"/>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675"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宋体" w:hAnsi="宋体" w:cs="宋体"/>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675"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宋体" w:hAnsi="宋体" w:cs="宋体"/>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c>
          <w:tcPr>
            <w:tcW w:w="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p>
        </w:tc>
      </w:tr>
    </w:tbl>
    <w:p>
      <w:pPr>
        <w:autoSpaceDE w:val="0"/>
        <w:autoSpaceDN w:val="0"/>
        <w:adjustRightInd w:val="0"/>
        <w:spacing w:line="360" w:lineRule="auto"/>
        <w:ind w:firstLine="205" w:firstLineChars="98"/>
        <w:rPr>
          <w:rFonts w:ascii="宋体" w:hAnsi="宋体"/>
          <w:b/>
          <w:szCs w:val="21"/>
        </w:rPr>
      </w:pPr>
      <w:r>
        <w:rPr>
          <w:rFonts w:hint="eastAsia" w:ascii="宋体" w:hAnsi="宋体"/>
          <w:b/>
          <w:szCs w:val="21"/>
        </w:rPr>
        <w:t>备注：1、报价明细表汇总合计数额应和对应标项开标一览表报价相同，否则做无效标处理；</w:t>
      </w:r>
    </w:p>
    <w:p>
      <w:pPr>
        <w:spacing w:line="360" w:lineRule="auto"/>
        <w:ind w:firstLine="840" w:firstLineChars="400"/>
        <w:rPr>
          <w:rFonts w:ascii="宋体" w:hAnsi="宋体"/>
          <w:b/>
          <w:szCs w:val="21"/>
        </w:rPr>
      </w:pPr>
      <w:r>
        <w:rPr>
          <w:rFonts w:hint="eastAsia" w:ascii="宋体" w:hAnsi="宋体"/>
          <w:b/>
          <w:szCs w:val="21"/>
        </w:rPr>
        <w:t>2、投标报价应</w:t>
      </w:r>
      <w:r>
        <w:rPr>
          <w:rFonts w:ascii="宋体" w:hAnsi="宋体"/>
          <w:b/>
          <w:szCs w:val="21"/>
        </w:rPr>
        <w:t>包括</w:t>
      </w:r>
      <w:r>
        <w:rPr>
          <w:rFonts w:hint="eastAsia" w:ascii="宋体" w:hAnsi="宋体"/>
          <w:b/>
          <w:szCs w:val="21"/>
        </w:rPr>
        <w:t>完成本项目工作所涉及的材料、设备使用、人工、车辆使用、来往路费开销、住宿、招待、企业管理费、利润、风险、税金、招标代理费等一切费用</w:t>
      </w:r>
      <w:r>
        <w:rPr>
          <w:rFonts w:ascii="宋体" w:hAnsi="宋体"/>
          <w:b/>
          <w:szCs w:val="21"/>
        </w:rPr>
        <w:t>。</w:t>
      </w:r>
    </w:p>
    <w:p>
      <w:pPr>
        <w:snapToGrid w:val="0"/>
        <w:spacing w:line="360" w:lineRule="auto"/>
        <w:ind w:left="735" w:leftChars="350" w:firstLine="105" w:firstLineChars="50"/>
        <w:rPr>
          <w:rFonts w:ascii="宋体" w:hAnsi="宋体" w:cs="宋体"/>
          <w:b/>
          <w:sz w:val="28"/>
        </w:rPr>
      </w:pPr>
      <w:r>
        <w:rPr>
          <w:rFonts w:hint="eastAsia" w:ascii="宋体" w:hAnsi="宋体"/>
          <w:b/>
          <w:szCs w:val="21"/>
        </w:rPr>
        <w:t>3、其他费用由供应商自行考虑到投标报价中。</w:t>
      </w:r>
    </w:p>
    <w:p>
      <w:pPr>
        <w:spacing w:line="360" w:lineRule="auto"/>
        <w:ind w:firstLine="4830" w:firstLineChars="2300"/>
        <w:rPr>
          <w:rFonts w:ascii="宋体" w:hAnsi="宋体" w:cs="宋体"/>
        </w:rPr>
      </w:pPr>
      <w:r>
        <w:rPr>
          <w:rFonts w:hint="eastAsia" w:ascii="宋体" w:hAnsi="宋体" w:cs="宋体"/>
        </w:rPr>
        <w:t>竞争性磋商供应商（公章）：</w:t>
      </w:r>
    </w:p>
    <w:p>
      <w:pPr>
        <w:spacing w:line="360" w:lineRule="auto"/>
        <w:ind w:firstLine="4830" w:firstLineChars="2300"/>
        <w:rPr>
          <w:rFonts w:ascii="宋体" w:hAnsi="宋体" w:cs="宋体"/>
        </w:rPr>
      </w:pPr>
      <w:r>
        <w:rPr>
          <w:rFonts w:hint="eastAsia" w:ascii="宋体" w:hAnsi="宋体" w:cs="宋体"/>
        </w:rPr>
        <w:t>法定代表人或授权代表（签字或盖章）：</w:t>
      </w:r>
    </w:p>
    <w:p>
      <w:pPr>
        <w:pStyle w:val="10"/>
        <w:ind w:firstLine="4830" w:firstLineChars="2300"/>
        <w:rPr>
          <w:rFonts w:ascii="宋体" w:hAnsi="宋体" w:eastAsia="宋体" w:cs="宋体"/>
          <w:kern w:val="0"/>
          <w:sz w:val="21"/>
        </w:rPr>
      </w:pPr>
      <w:r>
        <w:rPr>
          <w:rFonts w:hint="eastAsia" w:ascii="宋体" w:hAnsi="宋体" w:eastAsia="宋体" w:cs="宋体"/>
          <w:kern w:val="0"/>
          <w:sz w:val="21"/>
        </w:rPr>
        <w:t>日    期：</w:t>
      </w:r>
    </w:p>
    <w:p>
      <w:pPr>
        <w:snapToGrid w:val="0"/>
        <w:spacing w:line="360" w:lineRule="auto"/>
        <w:ind w:left="735" w:leftChars="350" w:firstLine="140" w:firstLineChars="50"/>
        <w:rPr>
          <w:rFonts w:ascii="宋体" w:hAnsi="宋体" w:cs="宋体"/>
          <w:b/>
          <w:sz w:val="28"/>
        </w:rPr>
        <w:sectPr>
          <w:headerReference r:id="rId10" w:type="first"/>
          <w:footerReference r:id="rId12" w:type="first"/>
          <w:footerReference r:id="rId11" w:type="even"/>
          <w:pgSz w:w="11906" w:h="16838"/>
          <w:pgMar w:top="1418" w:right="1418" w:bottom="1418" w:left="1418" w:header="851" w:footer="992" w:gutter="0"/>
          <w:cols w:space="720" w:num="1"/>
          <w:docGrid w:type="linesAndChars" w:linePitch="312" w:charSpace="0"/>
        </w:sectPr>
      </w:pPr>
    </w:p>
    <w:bookmarkEnd w:id="58"/>
    <w:bookmarkEnd w:id="59"/>
    <w:bookmarkEnd w:id="60"/>
    <w:bookmarkEnd w:id="64"/>
    <w:bookmarkEnd w:id="65"/>
    <w:bookmarkEnd w:id="66"/>
    <w:p>
      <w:pPr>
        <w:outlineLvl w:val="1"/>
        <w:rPr>
          <w:rFonts w:ascii="宋体" w:hAnsi="宋体" w:cs="宋体"/>
          <w:b/>
          <w:sz w:val="30"/>
          <w:szCs w:val="30"/>
        </w:rPr>
      </w:pPr>
      <w:bookmarkStart w:id="67" w:name="_Toc13185"/>
      <w:bookmarkStart w:id="68" w:name="_Toc18883"/>
      <w:bookmarkStart w:id="69" w:name="_Toc360612915"/>
      <w:bookmarkStart w:id="70" w:name="_Toc20428"/>
      <w:bookmarkStart w:id="71" w:name="_Toc423610064"/>
      <w:bookmarkStart w:id="72" w:name="_Toc358022071"/>
      <w:r>
        <w:rPr>
          <w:rFonts w:hint="eastAsia" w:ascii="宋体" w:hAnsi="宋体" w:cs="宋体"/>
          <w:b/>
          <w:sz w:val="30"/>
          <w:szCs w:val="30"/>
        </w:rPr>
        <w:t>附件七                   资质证明文件</w:t>
      </w:r>
      <w:bookmarkEnd w:id="67"/>
      <w:bookmarkEnd w:id="68"/>
      <w:bookmarkEnd w:id="69"/>
      <w:bookmarkEnd w:id="70"/>
      <w:bookmarkEnd w:id="71"/>
    </w:p>
    <w:p>
      <w:pPr>
        <w:numPr>
          <w:ilvl w:val="1"/>
          <w:numId w:val="9"/>
        </w:numPr>
        <w:jc w:val="center"/>
        <w:rPr>
          <w:rFonts w:ascii="宋体" w:hAnsi="宋体" w:cs="宋体"/>
          <w:b/>
          <w:bCs/>
          <w:sz w:val="30"/>
        </w:rPr>
      </w:pPr>
      <w:r>
        <w:rPr>
          <w:rFonts w:hint="eastAsia" w:ascii="宋体" w:hAnsi="宋体" w:cs="宋体"/>
          <w:b/>
          <w:bCs/>
          <w:sz w:val="30"/>
        </w:rPr>
        <w:t>关于资格、资质证明文件的声明函</w:t>
      </w:r>
    </w:p>
    <w:p>
      <w:pPr>
        <w:pStyle w:val="8"/>
        <w:overflowPunct w:val="0"/>
        <w:spacing w:line="360" w:lineRule="auto"/>
        <w:ind w:right="-21" w:rightChars="-10" w:firstLine="0"/>
        <w:rPr>
          <w:rFonts w:ascii="宋体" w:hAnsi="宋体" w:cs="宋体"/>
        </w:rPr>
      </w:pPr>
      <w:r>
        <w:rPr>
          <w:rFonts w:hint="eastAsia" w:ascii="宋体" w:hAnsi="宋体" w:cs="宋体"/>
          <w:b/>
          <w:sz w:val="24"/>
          <w:u w:val="single"/>
        </w:rPr>
        <w:t>嘉兴市生态环境局海盐分局</w:t>
      </w:r>
      <w:r>
        <w:rPr>
          <w:rFonts w:hint="eastAsia" w:ascii="宋体" w:hAnsi="宋体" w:cs="宋体"/>
        </w:rPr>
        <w:t>：</w:t>
      </w:r>
    </w:p>
    <w:p>
      <w:pPr>
        <w:pStyle w:val="8"/>
        <w:overflowPunct w:val="0"/>
        <w:spacing w:line="360" w:lineRule="auto"/>
        <w:ind w:right="-21" w:rightChars="-10" w:firstLine="480"/>
        <w:rPr>
          <w:rFonts w:ascii="宋体" w:hAnsi="宋体" w:cs="宋体"/>
        </w:rPr>
      </w:pPr>
    </w:p>
    <w:p>
      <w:pPr>
        <w:pStyle w:val="8"/>
        <w:overflowPunct w:val="0"/>
        <w:spacing w:line="360" w:lineRule="auto"/>
        <w:ind w:right="-21" w:rightChars="-10" w:firstLine="480"/>
        <w:rPr>
          <w:rFonts w:ascii="宋体" w:hAnsi="宋体" w:cs="宋体"/>
        </w:rPr>
      </w:pPr>
      <w:r>
        <w:rPr>
          <w:rFonts w:hint="eastAsia" w:ascii="宋体" w:hAnsi="宋体" w:cs="宋体"/>
        </w:rPr>
        <w:t xml:space="preserve"> 本公司愿就由贵单位组织实施的项目编号为号的招标活动进行投标。本公司所提交的</w:t>
      </w:r>
      <w:r>
        <w:rPr>
          <w:rFonts w:hint="eastAsia" w:ascii="宋体" w:hAnsi="宋体" w:cs="宋体"/>
          <w:bCs/>
          <w:sz w:val="22"/>
          <w:szCs w:val="22"/>
        </w:rPr>
        <w:t>竞争性磋商响应</w:t>
      </w:r>
      <w:r>
        <w:rPr>
          <w:rFonts w:hint="eastAsia" w:ascii="宋体" w:hAnsi="宋体" w:cs="宋体"/>
        </w:rPr>
        <w:t>文件中所有关于投标资格的文件、证明和陈述均是真实的、准确的。若与真实情况不符，本公司愿意承担由此而产生的一切后果。</w:t>
      </w:r>
    </w:p>
    <w:p>
      <w:pPr>
        <w:pStyle w:val="8"/>
        <w:overflowPunct w:val="0"/>
        <w:spacing w:line="360" w:lineRule="auto"/>
        <w:ind w:right="-21" w:rightChars="-10" w:firstLine="480"/>
        <w:rPr>
          <w:rFonts w:ascii="宋体" w:hAnsi="宋体" w:cs="宋体"/>
        </w:rPr>
      </w:pPr>
    </w:p>
    <w:p>
      <w:pPr>
        <w:pStyle w:val="8"/>
        <w:tabs>
          <w:tab w:val="left" w:pos="2940"/>
        </w:tabs>
        <w:overflowPunct w:val="0"/>
        <w:spacing w:line="360" w:lineRule="auto"/>
        <w:ind w:right="-21" w:rightChars="-10" w:firstLine="480"/>
        <w:rPr>
          <w:rFonts w:ascii="宋体" w:hAnsi="宋体" w:cs="宋体"/>
        </w:rPr>
      </w:pPr>
    </w:p>
    <w:p>
      <w:pPr>
        <w:spacing w:before="156" w:beforeLines="50" w:after="156" w:afterLines="50" w:line="360" w:lineRule="auto"/>
        <w:ind w:right="-21" w:rightChars="-10" w:firstLine="3840" w:firstLineChars="1600"/>
        <w:rPr>
          <w:rFonts w:ascii="宋体" w:hAnsi="宋体" w:cs="宋体"/>
          <w:sz w:val="24"/>
        </w:rPr>
      </w:pPr>
      <w:r>
        <w:rPr>
          <w:rFonts w:hint="eastAsia" w:ascii="宋体" w:hAnsi="宋体" w:cs="宋体"/>
          <w:sz w:val="24"/>
        </w:rPr>
        <w:t>竞争性磋商供应商全称（公章）：</w:t>
      </w:r>
    </w:p>
    <w:p>
      <w:pPr>
        <w:spacing w:before="156" w:beforeLines="50" w:after="156" w:afterLines="50"/>
        <w:ind w:right="-10" w:firstLine="3840" w:firstLineChars="1600"/>
        <w:rPr>
          <w:rFonts w:ascii="宋体" w:hAnsi="宋体" w:cs="宋体"/>
          <w:sz w:val="24"/>
        </w:rPr>
      </w:pPr>
      <w:r>
        <w:rPr>
          <w:rFonts w:hint="eastAsia" w:ascii="宋体" w:hAnsi="宋体" w:cs="宋体"/>
          <w:sz w:val="24"/>
        </w:rPr>
        <w:t>法定代表人或授权代表（签字或盖章）：</w:t>
      </w:r>
    </w:p>
    <w:p>
      <w:pPr>
        <w:spacing w:before="156" w:beforeLines="50" w:after="156" w:afterLines="50"/>
        <w:ind w:right="-10" w:firstLine="3840" w:firstLineChars="1600"/>
        <w:rPr>
          <w:rFonts w:ascii="宋体" w:hAnsi="宋体" w:cs="宋体"/>
          <w:sz w:val="24"/>
        </w:rPr>
      </w:pPr>
      <w:r>
        <w:rPr>
          <w:rFonts w:hint="eastAsia" w:ascii="宋体" w:hAnsi="宋体" w:cs="宋体"/>
          <w:sz w:val="24"/>
        </w:rPr>
        <w:t>日期：</w:t>
      </w:r>
    </w:p>
    <w:p>
      <w:pPr>
        <w:spacing w:before="156" w:beforeLines="50" w:after="156" w:afterLines="50"/>
        <w:ind w:right="-10"/>
        <w:rPr>
          <w:rFonts w:ascii="宋体" w:hAnsi="宋体" w:cs="宋体"/>
        </w:rPr>
      </w:pPr>
    </w:p>
    <w:p>
      <w:pPr>
        <w:rPr>
          <w:rFonts w:ascii="宋体" w:hAnsi="宋体" w:cs="宋体"/>
        </w:rPr>
      </w:pPr>
    </w:p>
    <w:p>
      <w:pPr>
        <w:spacing w:after="312" w:afterLines="100"/>
        <w:jc w:val="center"/>
        <w:rPr>
          <w:rFonts w:ascii="宋体" w:hAnsi="宋体" w:cs="宋体"/>
          <w:sz w:val="30"/>
        </w:rPr>
      </w:pPr>
      <w:r>
        <w:rPr>
          <w:rFonts w:hint="eastAsia" w:ascii="宋体" w:hAnsi="宋体" w:cs="宋体"/>
          <w:b/>
          <w:bCs/>
          <w:sz w:val="30"/>
        </w:rPr>
        <w:t>（二） 其它资质证明文件及相关资料</w:t>
      </w:r>
    </w:p>
    <w:p>
      <w:pPr>
        <w:spacing w:line="480" w:lineRule="auto"/>
        <w:rPr>
          <w:rFonts w:ascii="宋体" w:hAnsi="宋体" w:cs="宋体"/>
          <w:bCs/>
        </w:rPr>
      </w:pPr>
      <w:r>
        <w:rPr>
          <w:rFonts w:hint="eastAsia" w:ascii="宋体" w:hAnsi="宋体" w:cs="宋体"/>
          <w:bCs/>
        </w:rPr>
        <w:t>1.竞争性磋商供应商营业执照(复印件加盖公章)</w:t>
      </w:r>
    </w:p>
    <w:p>
      <w:pPr>
        <w:spacing w:line="480" w:lineRule="auto"/>
        <w:rPr>
          <w:rFonts w:ascii="宋体" w:hAnsi="宋体" w:cs="宋体"/>
          <w:b/>
          <w:sz w:val="28"/>
        </w:rPr>
        <w:sectPr>
          <w:pgSz w:w="11906" w:h="16838"/>
          <w:pgMar w:top="1418" w:right="1418" w:bottom="1418" w:left="1418" w:header="851" w:footer="992" w:gutter="0"/>
          <w:cols w:space="720" w:num="1"/>
          <w:docGrid w:type="linesAndChars" w:linePitch="312" w:charSpace="0"/>
        </w:sectPr>
      </w:pPr>
      <w:r>
        <w:rPr>
          <w:rFonts w:hint="eastAsia" w:ascii="宋体" w:hAnsi="宋体" w:cs="宋体"/>
        </w:rPr>
        <w:t>2.</w:t>
      </w:r>
      <w:r>
        <w:rPr>
          <w:rFonts w:hint="eastAsia" w:ascii="宋体" w:hAnsi="宋体" w:cs="宋体"/>
          <w:bCs/>
        </w:rPr>
        <w:t>竞争性磋商供应商根据采购方所提要求</w:t>
      </w:r>
      <w:bookmarkStart w:id="73" w:name="_Toc360612916"/>
      <w:r>
        <w:rPr>
          <w:rFonts w:hint="eastAsia" w:ascii="宋体" w:hAnsi="宋体" w:cs="宋体"/>
          <w:bCs/>
        </w:rPr>
        <w:t>及评标办法所需要的相关资料。</w:t>
      </w:r>
    </w:p>
    <w:bookmarkEnd w:id="72"/>
    <w:bookmarkEnd w:id="73"/>
    <w:p>
      <w:pPr>
        <w:snapToGrid w:val="0"/>
        <w:spacing w:before="50" w:after="156" w:afterLines="50" w:line="560" w:lineRule="exact"/>
        <w:jc w:val="both"/>
        <w:rPr>
          <w:b/>
          <w:bCs/>
          <w:sz w:val="30"/>
          <w:szCs w:val="30"/>
        </w:rPr>
      </w:pPr>
      <w:bookmarkStart w:id="74" w:name="_Toc23222"/>
      <w:r>
        <w:rPr>
          <w:rFonts w:hint="eastAsia" w:hAnsi="宋体" w:cs="宋体"/>
          <w:sz w:val="30"/>
          <w:szCs w:val="30"/>
        </w:rPr>
        <w:t>附件八</w:t>
      </w:r>
      <w:bookmarkEnd w:id="74"/>
      <w:r>
        <w:rPr>
          <w:rFonts w:hint="eastAsia" w:hAnsi="宋体" w:cs="宋体"/>
          <w:sz w:val="30"/>
          <w:szCs w:val="30"/>
        </w:rPr>
        <w:t xml:space="preserve">              </w:t>
      </w:r>
      <w:r>
        <w:rPr>
          <w:rFonts w:hint="eastAsia"/>
          <w:b/>
          <w:bCs/>
          <w:sz w:val="30"/>
          <w:szCs w:val="30"/>
        </w:rPr>
        <w:t>中小企业声明函（服务）</w:t>
      </w:r>
    </w:p>
    <w:p>
      <w:pPr>
        <w:spacing w:line="480" w:lineRule="auto"/>
        <w:ind w:firstLine="420" w:firstLineChars="200"/>
        <w:rPr>
          <w:rFonts w:ascii="宋体" w:hAnsi="宋体" w:cs="Arial"/>
          <w:szCs w:val="21"/>
        </w:rPr>
      </w:pPr>
      <w:r>
        <w:rPr>
          <w:rFonts w:ascii="宋体" w:hAnsi="宋体" w:cs="Arial"/>
          <w:szCs w:val="21"/>
        </w:rPr>
        <w:t>本公司（联合体）郑重声明，根据《政府采购促进中小企业发展管理办法》（财库</w:t>
      </w:r>
      <w:r>
        <w:rPr>
          <w:rFonts w:ascii="宋体" w:hAnsi="宋体" w:cs="Courier New"/>
          <w:szCs w:val="21"/>
        </w:rPr>
        <w:t>﹝</w:t>
      </w:r>
      <w:r>
        <w:rPr>
          <w:rFonts w:ascii="宋体" w:hAnsi="宋体" w:cs="Arial"/>
          <w:szCs w:val="21"/>
        </w:rPr>
        <w:t>2020</w:t>
      </w:r>
      <w:r>
        <w:rPr>
          <w:rFonts w:ascii="宋体" w:hAnsi="宋体" w:cs="Courier New"/>
          <w:szCs w:val="21"/>
        </w:rPr>
        <w:t>﹞</w:t>
      </w:r>
      <w:r>
        <w:rPr>
          <w:rFonts w:ascii="宋体" w:hAnsi="宋体" w:cs="Arial"/>
          <w:szCs w:val="21"/>
        </w:rPr>
        <w:t>46号）的规定，本公司（联合体）参加（</w:t>
      </w:r>
      <w:r>
        <w:rPr>
          <w:rFonts w:hint="eastAsia" w:ascii="宋体" w:hAnsi="宋体" w:cs="Arial"/>
          <w:szCs w:val="21"/>
          <w:u w:val="single"/>
        </w:rPr>
        <w:t>采购</w:t>
      </w:r>
      <w:r>
        <w:rPr>
          <w:rFonts w:ascii="宋体" w:hAnsi="宋体" w:cs="Arial"/>
          <w:szCs w:val="21"/>
          <w:u w:val="single"/>
        </w:rPr>
        <w:t>单位名称</w:t>
      </w:r>
      <w:r>
        <w:rPr>
          <w:rFonts w:ascii="宋体" w:hAnsi="宋体" w:cs="Arial"/>
          <w:szCs w:val="21"/>
        </w:rPr>
        <w:t>）的（</w:t>
      </w:r>
      <w:r>
        <w:rPr>
          <w:rFonts w:ascii="宋体" w:hAnsi="宋体" w:cs="Arial"/>
          <w:szCs w:val="21"/>
          <w:u w:val="single"/>
        </w:rPr>
        <w:t>项目名称</w:t>
      </w:r>
      <w:r>
        <w:rPr>
          <w:rFonts w:ascii="宋体" w:hAnsi="宋体" w:cs="Arial"/>
          <w:szCs w:val="21"/>
        </w:rPr>
        <w:t>）采购活动，</w:t>
      </w:r>
      <w:r>
        <w:rPr>
          <w:rFonts w:hint="eastAsia" w:ascii="宋体" w:hAnsi="宋体" w:cs="Arial"/>
          <w:szCs w:val="21"/>
        </w:rPr>
        <w:t>服务</w:t>
      </w:r>
      <w:r>
        <w:rPr>
          <w:rFonts w:ascii="宋体" w:hAnsi="宋体" w:cs="Arial"/>
          <w:szCs w:val="21"/>
        </w:rPr>
        <w:t>全部由符合政策要求的中小企业</w:t>
      </w:r>
      <w:r>
        <w:rPr>
          <w:rFonts w:hint="eastAsia" w:ascii="宋体" w:hAnsi="宋体" w:cs="Arial"/>
          <w:szCs w:val="21"/>
        </w:rPr>
        <w:t>提供</w:t>
      </w:r>
      <w:r>
        <w:rPr>
          <w:rFonts w:ascii="宋体" w:hAnsi="宋体" w:cs="Arial"/>
          <w:szCs w:val="21"/>
        </w:rPr>
        <w:t>。相关企业（含联合体中的中小企业、签订分包意向协议的中小企业）的具体情况如下：</w:t>
      </w:r>
    </w:p>
    <w:p>
      <w:pPr>
        <w:spacing w:line="480" w:lineRule="auto"/>
        <w:ind w:firstLine="840" w:firstLineChars="400"/>
        <w:rPr>
          <w:rFonts w:ascii="宋体" w:hAnsi="宋体" w:cs="Arial"/>
          <w:szCs w:val="21"/>
        </w:rPr>
      </w:pPr>
      <w:r>
        <w:rPr>
          <w:rFonts w:ascii="宋体" w:hAnsi="宋体" w:cs="Arial"/>
          <w:szCs w:val="21"/>
        </w:rPr>
        <w:t>1.（</w:t>
      </w:r>
      <w:r>
        <w:rPr>
          <w:rFonts w:ascii="宋体" w:hAnsi="宋体" w:cs="Arial"/>
          <w:szCs w:val="21"/>
          <w:u w:val="single"/>
        </w:rPr>
        <w:t>标的名称</w:t>
      </w:r>
      <w:r>
        <w:rPr>
          <w:rFonts w:ascii="宋体" w:hAnsi="宋体" w:cs="Arial"/>
          <w:szCs w:val="21"/>
        </w:rPr>
        <w:t>），属</w:t>
      </w:r>
      <w:r>
        <w:rPr>
          <w:rFonts w:ascii="宋体" w:hAnsi="宋体" w:cs="Arial"/>
          <w:color w:val="auto"/>
          <w:szCs w:val="21"/>
        </w:rPr>
        <w:t>于</w:t>
      </w:r>
      <w:r>
        <w:rPr>
          <w:rFonts w:ascii="宋体" w:hAnsi="宋体" w:cs="Arial"/>
          <w:color w:val="auto"/>
          <w:szCs w:val="21"/>
          <w:u w:val="single"/>
        </w:rPr>
        <w:t>（</w:t>
      </w:r>
      <w:r>
        <w:rPr>
          <w:rFonts w:hint="eastAsia" w:ascii="宋体" w:hAnsi="宋体" w:cs="Arial"/>
          <w:color w:val="auto"/>
          <w:szCs w:val="21"/>
          <w:u w:val="single"/>
          <w:lang w:val="en-US" w:eastAsia="zh-CN"/>
        </w:rPr>
        <w:t>其他未列明</w:t>
      </w:r>
      <w:r>
        <w:rPr>
          <w:rFonts w:ascii="宋体" w:hAnsi="宋体" w:cs="Arial"/>
          <w:color w:val="auto"/>
          <w:szCs w:val="21"/>
          <w:u w:val="single"/>
        </w:rPr>
        <w:t>）</w:t>
      </w:r>
      <w:r>
        <w:rPr>
          <w:rFonts w:ascii="宋体" w:hAnsi="宋体" w:cs="Arial"/>
          <w:color w:val="auto"/>
          <w:szCs w:val="21"/>
        </w:rPr>
        <w:t>行业；</w:t>
      </w:r>
      <w:r>
        <w:rPr>
          <w:rFonts w:hint="eastAsia" w:ascii="宋体" w:hAnsi="宋体" w:cs="Arial"/>
          <w:color w:val="auto"/>
          <w:szCs w:val="21"/>
        </w:rPr>
        <w:t>承</w:t>
      </w:r>
      <w:r>
        <w:rPr>
          <w:rFonts w:hint="eastAsia" w:ascii="宋体" w:hAnsi="宋体" w:cs="Arial"/>
          <w:szCs w:val="21"/>
        </w:rPr>
        <w:t>接企业</w:t>
      </w:r>
      <w:r>
        <w:rPr>
          <w:rFonts w:ascii="宋体" w:hAnsi="宋体" w:cs="Arial"/>
          <w:szCs w:val="21"/>
        </w:rPr>
        <w:t>为（</w:t>
      </w:r>
      <w:r>
        <w:rPr>
          <w:rFonts w:ascii="宋体" w:hAnsi="宋体" w:cs="Arial"/>
          <w:szCs w:val="21"/>
          <w:u w:val="single"/>
        </w:rPr>
        <w:t>企业名称</w:t>
      </w:r>
      <w:r>
        <w:rPr>
          <w:rFonts w:ascii="宋体" w:hAnsi="宋体" w:cs="Arial"/>
          <w:szCs w:val="21"/>
        </w:rPr>
        <w:t>），从业人员人，营业收入为万元，资产总额为万元，属于（</w:t>
      </w:r>
      <w:r>
        <w:rPr>
          <w:rFonts w:ascii="宋体" w:hAnsi="宋体" w:cs="Arial"/>
          <w:szCs w:val="21"/>
          <w:u w:val="single"/>
        </w:rPr>
        <w:t>中型企业、小型企业、微型企业</w:t>
      </w:r>
      <w:r>
        <w:rPr>
          <w:rFonts w:ascii="宋体" w:hAnsi="宋体" w:cs="Arial"/>
          <w:szCs w:val="21"/>
        </w:rPr>
        <w:t>）；</w:t>
      </w:r>
    </w:p>
    <w:p>
      <w:pPr>
        <w:spacing w:line="480" w:lineRule="auto"/>
        <w:ind w:firstLine="840" w:firstLineChars="400"/>
        <w:rPr>
          <w:rFonts w:ascii="宋体" w:hAnsi="宋体" w:cs="Arial"/>
          <w:szCs w:val="21"/>
        </w:rPr>
      </w:pPr>
      <w:r>
        <w:rPr>
          <w:rFonts w:ascii="宋体" w:hAnsi="宋体" w:cs="Arial"/>
          <w:szCs w:val="21"/>
        </w:rPr>
        <w:t>以上企业，不属于大企业的分支机构，不存在控股股东为大企业的情形，也不存在与大企业的负责人为同一人的情形。本企业对上述声明内容的真实性负责。如有虚假，将依法承担相应责任。</w:t>
      </w:r>
    </w:p>
    <w:p>
      <w:pPr>
        <w:autoSpaceDE w:val="0"/>
        <w:autoSpaceDN w:val="0"/>
        <w:adjustRightInd w:val="0"/>
        <w:spacing w:line="500" w:lineRule="exact"/>
        <w:ind w:firstLine="4095" w:firstLineChars="1950"/>
        <w:rPr>
          <w:lang w:val="zh-CN"/>
        </w:rPr>
      </w:pPr>
    </w:p>
    <w:p>
      <w:pPr>
        <w:spacing w:before="156" w:beforeLines="50" w:after="156" w:afterLines="50"/>
        <w:ind w:right="-21" w:rightChars="-10" w:firstLine="4410" w:firstLineChars="2100"/>
        <w:rPr>
          <w:rFonts w:ascii="Arial" w:hAnsi="Arial" w:cs="Arial"/>
          <w:szCs w:val="21"/>
        </w:rPr>
      </w:pPr>
      <w:r>
        <w:rPr>
          <w:rFonts w:hint="eastAsia" w:ascii="Arial" w:hAnsi="Arial" w:cs="Arial"/>
          <w:szCs w:val="21"/>
        </w:rPr>
        <w:t>竞争性磋商供应商</w:t>
      </w:r>
      <w:r>
        <w:rPr>
          <w:rFonts w:ascii="Arial" w:hAnsi="Arial" w:cs="Arial"/>
          <w:szCs w:val="21"/>
        </w:rPr>
        <w:t>全称（公章）：</w:t>
      </w:r>
    </w:p>
    <w:p>
      <w:pPr>
        <w:spacing w:before="156" w:beforeLines="50" w:after="156" w:afterLines="50"/>
        <w:ind w:right="-10" w:firstLine="4410" w:firstLineChars="2100"/>
        <w:rPr>
          <w:rFonts w:ascii="Arial" w:hAnsi="Arial" w:cs="Arial"/>
          <w:szCs w:val="21"/>
        </w:rPr>
      </w:pPr>
      <w:r>
        <w:rPr>
          <w:rFonts w:ascii="Arial" w:hAnsi="Arial" w:cs="Arial"/>
          <w:szCs w:val="21"/>
        </w:rPr>
        <w:t>法定代表人或授权代表（签字或盖章）：</w:t>
      </w:r>
    </w:p>
    <w:p>
      <w:pPr>
        <w:spacing w:line="360" w:lineRule="auto"/>
        <w:ind w:firstLine="4410" w:firstLineChars="2100"/>
        <w:rPr>
          <w:rFonts w:ascii="宋体"/>
          <w:szCs w:val="21"/>
        </w:rPr>
      </w:pPr>
      <w:r>
        <w:rPr>
          <w:rFonts w:hint="eastAsia" w:ascii="宋体" w:hAnsi="宋体"/>
          <w:szCs w:val="21"/>
        </w:rPr>
        <w:t>日期：年月日</w:t>
      </w:r>
    </w:p>
    <w:p>
      <w:pPr>
        <w:spacing w:line="480" w:lineRule="auto"/>
        <w:rPr>
          <w:rFonts w:ascii="宋体" w:hAnsi="宋体" w:cs="Arial"/>
          <w:szCs w:val="21"/>
        </w:rPr>
      </w:pPr>
    </w:p>
    <w:p>
      <w:pPr>
        <w:spacing w:line="480" w:lineRule="auto"/>
        <w:rPr>
          <w:rFonts w:ascii="宋体" w:hAnsi="宋体" w:cs="Arial"/>
          <w:szCs w:val="21"/>
        </w:rPr>
      </w:pPr>
      <w:r>
        <w:rPr>
          <w:rFonts w:hint="eastAsia" w:ascii="宋体" w:hAnsi="宋体" w:cs="Arial"/>
          <w:szCs w:val="21"/>
        </w:rPr>
        <w:t>注：</w:t>
      </w:r>
      <w:r>
        <w:rPr>
          <w:rFonts w:ascii="宋体" w:hAnsi="宋体" w:cs="Arial"/>
          <w:szCs w:val="21"/>
        </w:rPr>
        <w:t>从业人员、营业收入、资产总额填报上一年度数据，无上一年度数据的新成立企业可不填报。</w:t>
      </w: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
    <w:p>
      <w:pPr>
        <w:pStyle w:val="12"/>
        <w:spacing w:line="360" w:lineRule="auto"/>
      </w:pPr>
    </w:p>
    <w:p>
      <w:pPr>
        <w:pStyle w:val="12"/>
        <w:spacing w:line="360" w:lineRule="auto"/>
        <w:rPr>
          <w:b/>
          <w:sz w:val="24"/>
          <w:szCs w:val="24"/>
        </w:rPr>
      </w:pPr>
    </w:p>
    <w:p>
      <w:pPr>
        <w:snapToGrid w:val="0"/>
        <w:spacing w:before="50" w:after="156" w:afterLines="50" w:line="600" w:lineRule="exact"/>
        <w:jc w:val="center"/>
        <w:rPr>
          <w:b/>
          <w:bCs/>
          <w:sz w:val="30"/>
          <w:szCs w:val="30"/>
        </w:rPr>
      </w:pPr>
      <w:r>
        <w:rPr>
          <w:rFonts w:hint="eastAsia"/>
          <w:b/>
          <w:bCs/>
          <w:sz w:val="30"/>
          <w:szCs w:val="30"/>
        </w:rPr>
        <w:t>监狱企业声明函</w:t>
      </w:r>
    </w:p>
    <w:p>
      <w:pPr>
        <w:spacing w:line="600" w:lineRule="exact"/>
        <w:jc w:val="center"/>
      </w:pPr>
      <w:r>
        <w:rPr>
          <w:rFonts w:hint="eastAsia"/>
        </w:rPr>
        <w:t>【非监狱企业的不用提供】</w:t>
      </w:r>
    </w:p>
    <w:p>
      <w:pPr>
        <w:spacing w:line="600" w:lineRule="exact"/>
        <w:ind w:firstLine="420" w:firstLineChars="200"/>
      </w:pPr>
      <w:r>
        <w:rPr>
          <w:rFonts w:hint="eastAsia"/>
        </w:rPr>
        <w:t>本企业郑重声明，根据《关于政府采购支持监狱企业发展有关间想的通知》(财库[2014]68号）的规定，本企业为监狱企业。</w:t>
      </w:r>
    </w:p>
    <w:p>
      <w:pPr>
        <w:spacing w:line="600" w:lineRule="exact"/>
        <w:ind w:firstLine="420" w:firstLineChars="200"/>
      </w:pPr>
      <w:r>
        <w:rPr>
          <w:rFonts w:hint="eastAsia"/>
        </w:rPr>
        <w:t>根据上述标准，我企业属于监狱企业的理由为:</w:t>
      </w:r>
    </w:p>
    <w:p>
      <w:pPr>
        <w:spacing w:line="600" w:lineRule="exact"/>
        <w:ind w:firstLine="420" w:firstLineChars="200"/>
      </w:pPr>
      <w:r>
        <w:rPr>
          <w:rFonts w:hint="eastAsia"/>
        </w:rPr>
        <w:t>本企业为参加(项目名称:) (项目编号:)采购活动提供本企业的产品/服务。</w:t>
      </w:r>
    </w:p>
    <w:p>
      <w:pPr>
        <w:spacing w:line="600" w:lineRule="exact"/>
        <w:ind w:firstLine="315" w:firstLineChars="150"/>
      </w:pPr>
      <w:r>
        <w:rPr>
          <w:rFonts w:hint="eastAsia"/>
        </w:rPr>
        <w:t>本企业对上述声明的真实性负责。如有虚假，将依法承担相应责任。</w:t>
      </w:r>
    </w:p>
    <w:p>
      <w:pPr>
        <w:spacing w:line="600" w:lineRule="exact"/>
      </w:pPr>
    </w:p>
    <w:p>
      <w:pPr>
        <w:spacing w:line="600" w:lineRule="exact"/>
      </w:pPr>
    </w:p>
    <w:p>
      <w:pPr>
        <w:spacing w:before="156" w:beforeLines="50" w:after="156" w:afterLines="50"/>
        <w:ind w:right="-21" w:rightChars="-10" w:firstLine="4410" w:firstLineChars="2100"/>
        <w:rPr>
          <w:rFonts w:ascii="Arial" w:hAnsi="Arial" w:cs="Arial"/>
          <w:szCs w:val="21"/>
        </w:rPr>
      </w:pPr>
      <w:r>
        <w:rPr>
          <w:rFonts w:hint="eastAsia" w:ascii="Arial" w:hAnsi="Arial" w:cs="Arial"/>
          <w:szCs w:val="21"/>
        </w:rPr>
        <w:t>竞争性磋商供应商</w:t>
      </w:r>
      <w:r>
        <w:rPr>
          <w:rFonts w:ascii="Arial" w:hAnsi="Arial" w:cs="Arial"/>
          <w:szCs w:val="21"/>
        </w:rPr>
        <w:t>全称（公章）：</w:t>
      </w:r>
    </w:p>
    <w:p>
      <w:pPr>
        <w:spacing w:before="156" w:beforeLines="50" w:after="156" w:afterLines="50"/>
        <w:ind w:right="-10" w:firstLine="4410" w:firstLineChars="2100"/>
        <w:rPr>
          <w:rFonts w:ascii="Arial" w:hAnsi="Arial" w:cs="Arial"/>
          <w:szCs w:val="21"/>
        </w:rPr>
      </w:pPr>
      <w:r>
        <w:rPr>
          <w:rFonts w:ascii="Arial" w:hAnsi="Arial" w:cs="Arial"/>
          <w:szCs w:val="21"/>
        </w:rPr>
        <w:t>法定代表人或授权代表（签字或盖章）：</w:t>
      </w:r>
    </w:p>
    <w:p>
      <w:pPr>
        <w:spacing w:line="360" w:lineRule="auto"/>
        <w:ind w:firstLine="4410" w:firstLineChars="2100"/>
        <w:rPr>
          <w:rFonts w:ascii="宋体"/>
          <w:szCs w:val="21"/>
        </w:rPr>
      </w:pPr>
      <w:r>
        <w:rPr>
          <w:rFonts w:hint="eastAsia" w:ascii="宋体" w:hAnsi="宋体"/>
          <w:szCs w:val="21"/>
        </w:rPr>
        <w:t>日期：年月日</w:t>
      </w:r>
    </w:p>
    <w:p>
      <w:pPr>
        <w:spacing w:line="600" w:lineRule="exact"/>
      </w:pPr>
    </w:p>
    <w:p>
      <w:pPr>
        <w:spacing w:line="600" w:lineRule="exact"/>
      </w:pPr>
    </w:p>
    <w:p>
      <w:pPr>
        <w:spacing w:line="600" w:lineRule="exact"/>
        <w:ind w:firstLine="420" w:firstLineChars="200"/>
      </w:pPr>
      <w:r>
        <w:rPr>
          <w:rFonts w:hint="eastAsia"/>
        </w:rPr>
        <w:t>监狱企业参加政府采购活动时，应当提供由省级以上监狱管理局、戒毒管理局(含新疆生产建设兵团)出具的属于监狱企业的证明文件；</w:t>
      </w:r>
    </w:p>
    <w:p>
      <w:pPr>
        <w:spacing w:line="600" w:lineRule="exact"/>
        <w:ind w:firstLine="420" w:firstLineChars="200"/>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56" w:afterLines="50" w:line="600" w:lineRule="exact"/>
        <w:jc w:val="center"/>
        <w:rPr>
          <w:b/>
          <w:bCs/>
          <w:szCs w:val="28"/>
        </w:rPr>
      </w:pPr>
    </w:p>
    <w:p>
      <w:pPr>
        <w:snapToGrid w:val="0"/>
        <w:spacing w:before="50" w:after="156" w:afterLines="50" w:line="600" w:lineRule="exact"/>
        <w:jc w:val="center"/>
        <w:rPr>
          <w:b/>
          <w:bCs/>
          <w:sz w:val="30"/>
          <w:szCs w:val="30"/>
        </w:rPr>
      </w:pPr>
    </w:p>
    <w:p>
      <w:pPr>
        <w:snapToGrid w:val="0"/>
        <w:spacing w:before="50" w:after="156" w:afterLines="50" w:line="600" w:lineRule="exact"/>
        <w:jc w:val="center"/>
        <w:rPr>
          <w:b/>
          <w:bCs/>
          <w:sz w:val="30"/>
          <w:szCs w:val="30"/>
        </w:rPr>
      </w:pPr>
      <w:r>
        <w:rPr>
          <w:rFonts w:hint="eastAsia"/>
          <w:b/>
          <w:bCs/>
          <w:sz w:val="30"/>
          <w:szCs w:val="30"/>
        </w:rPr>
        <w:t>残疾人福利性单位声明函</w:t>
      </w:r>
    </w:p>
    <w:p>
      <w:pPr>
        <w:spacing w:line="600" w:lineRule="exact"/>
        <w:jc w:val="center"/>
        <w:rPr>
          <w:rFonts w:ascii="宋体" w:hAnsi="宋体"/>
        </w:rPr>
      </w:pPr>
      <w:r>
        <w:rPr>
          <w:rFonts w:hint="eastAsia" w:ascii="宋体" w:hAnsi="宋体"/>
        </w:rPr>
        <w:t>【非残疾人福利性单位不用提供】</w:t>
      </w:r>
    </w:p>
    <w:p>
      <w:pPr>
        <w:spacing w:line="600"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2014〕68号)的规定。本单位为符合条件的残疾人福利性单位，且本单位参加(采购人名称)单位的(项目名称)项目采购活动提供本单位制造的货物(由本单位承担工程/提供服务)，成者提供其他残疾人福利性单位制造的货物(不包括使用非残疾人福利性单位往册商标的货物)。</w:t>
      </w:r>
    </w:p>
    <w:p>
      <w:pPr>
        <w:spacing w:line="600" w:lineRule="exact"/>
        <w:ind w:firstLine="420" w:firstLineChars="200"/>
        <w:rPr>
          <w:rFonts w:ascii="宋体" w:hAnsi="宋体"/>
        </w:rPr>
      </w:pPr>
      <w:r>
        <w:rPr>
          <w:rFonts w:hint="eastAsia" w:ascii="宋体" w:hAnsi="宋体"/>
        </w:rPr>
        <w:t>本单位对上述声明的真实性负责，如有虚假，将依法承但相应责任。</w:t>
      </w:r>
    </w:p>
    <w:p>
      <w:pPr>
        <w:spacing w:line="600" w:lineRule="exact"/>
        <w:ind w:firstLine="420" w:firstLineChars="200"/>
        <w:rPr>
          <w:rFonts w:ascii="宋体" w:hAnsi="宋体"/>
        </w:rPr>
      </w:pPr>
    </w:p>
    <w:p>
      <w:pPr>
        <w:spacing w:line="440" w:lineRule="exact"/>
        <w:rPr>
          <w:rFonts w:ascii="宋体" w:hAnsi="宋体"/>
        </w:rPr>
      </w:pPr>
      <w:r>
        <w:rPr>
          <w:rFonts w:hint="eastAsia" w:ascii="宋体" w:hAnsi="宋体"/>
        </w:rPr>
        <w:t>附：如属于残疾人福利性单位须进行承诺并提供相关政府部门出具的证明材料（若有，所有证明材料并加盖单位公章）；</w:t>
      </w:r>
    </w:p>
    <w:p>
      <w:pPr>
        <w:spacing w:line="600" w:lineRule="exact"/>
        <w:ind w:firstLine="420" w:firstLineChars="200"/>
        <w:rPr>
          <w:rFonts w:ascii="宋体" w:hAnsi="宋体"/>
        </w:rPr>
      </w:pPr>
    </w:p>
    <w:p>
      <w:pPr>
        <w:spacing w:before="156" w:beforeLines="50" w:after="156" w:afterLines="50"/>
        <w:ind w:right="-21" w:rightChars="-10" w:firstLine="4410" w:firstLineChars="2100"/>
        <w:rPr>
          <w:rFonts w:ascii="Arial" w:hAnsi="Arial" w:cs="Arial"/>
          <w:szCs w:val="21"/>
        </w:rPr>
      </w:pPr>
      <w:r>
        <w:rPr>
          <w:rFonts w:hint="eastAsia" w:ascii="Arial" w:hAnsi="Arial" w:cs="Arial"/>
          <w:szCs w:val="21"/>
        </w:rPr>
        <w:t>竞争性磋商供应商</w:t>
      </w:r>
      <w:r>
        <w:rPr>
          <w:rFonts w:ascii="Arial" w:hAnsi="Arial" w:cs="Arial"/>
          <w:szCs w:val="21"/>
        </w:rPr>
        <w:t>全称（公章）：</w:t>
      </w:r>
    </w:p>
    <w:p>
      <w:pPr>
        <w:spacing w:before="156" w:beforeLines="50" w:after="156" w:afterLines="50"/>
        <w:ind w:right="-10" w:firstLine="4410" w:firstLineChars="2100"/>
        <w:rPr>
          <w:rFonts w:ascii="Arial" w:hAnsi="Arial" w:cs="Arial"/>
          <w:szCs w:val="21"/>
        </w:rPr>
      </w:pPr>
      <w:r>
        <w:rPr>
          <w:rFonts w:ascii="Arial" w:hAnsi="Arial" w:cs="Arial"/>
          <w:szCs w:val="21"/>
        </w:rPr>
        <w:t>法定代表人或授权代表（签字或盖章）：</w:t>
      </w:r>
    </w:p>
    <w:p>
      <w:pPr>
        <w:spacing w:line="360" w:lineRule="auto"/>
        <w:ind w:firstLine="4410" w:firstLineChars="2100"/>
        <w:rPr>
          <w:rFonts w:ascii="宋体"/>
          <w:szCs w:val="21"/>
        </w:rPr>
      </w:pPr>
      <w:r>
        <w:rPr>
          <w:rFonts w:hint="eastAsia" w:ascii="宋体" w:hAnsi="宋体"/>
          <w:szCs w:val="21"/>
        </w:rPr>
        <w:t>日期：年月日</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pStyle w:val="8"/>
      </w:pPr>
    </w:p>
    <w:p>
      <w:pPr>
        <w:pStyle w:val="8"/>
      </w:pPr>
    </w:p>
    <w:p>
      <w:pPr>
        <w:spacing w:line="600" w:lineRule="exact"/>
      </w:pPr>
    </w:p>
    <w:p>
      <w:pPr>
        <w:pStyle w:val="12"/>
        <w:spacing w:line="360" w:lineRule="auto"/>
        <w:rPr>
          <w:b/>
          <w:sz w:val="24"/>
          <w:szCs w:val="24"/>
        </w:rPr>
      </w:pPr>
    </w:p>
    <w:p>
      <w:pPr>
        <w:pStyle w:val="3"/>
        <w:keepNext w:val="0"/>
        <w:keepLines w:val="0"/>
        <w:pageBreakBefore/>
        <w:spacing w:before="312" w:beforeLines="100" w:after="312" w:afterLines="100" w:line="240" w:lineRule="auto"/>
        <w:jc w:val="left"/>
        <w:rPr>
          <w:rFonts w:hAnsi="宋体" w:cs="宋体"/>
          <w:kern w:val="0"/>
          <w:sz w:val="30"/>
          <w:szCs w:val="30"/>
        </w:rPr>
      </w:pPr>
      <w:bookmarkStart w:id="75" w:name="_Toc23978"/>
      <w:bookmarkStart w:id="76" w:name="_Toc8142"/>
      <w:bookmarkStart w:id="77" w:name="_Toc13544"/>
      <w:r>
        <w:rPr>
          <w:rFonts w:hint="eastAsia" w:hAnsi="宋体" w:cs="宋体"/>
          <w:sz w:val="30"/>
          <w:szCs w:val="30"/>
        </w:rPr>
        <w:t xml:space="preserve">附件九    </w:t>
      </w:r>
      <w:r>
        <w:rPr>
          <w:rFonts w:hint="eastAsia" w:hAnsi="宋体" w:cs="宋体"/>
          <w:kern w:val="0"/>
          <w:sz w:val="30"/>
          <w:szCs w:val="30"/>
        </w:rPr>
        <w:t>项目实施人员（主要从业人员及其技术资格）一览表</w:t>
      </w:r>
      <w:bookmarkEnd w:id="75"/>
      <w:bookmarkEnd w:id="76"/>
      <w:bookmarkEnd w:id="77"/>
    </w:p>
    <w:tbl>
      <w:tblPr>
        <w:tblStyle w:val="24"/>
        <w:tblW w:w="87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9"/>
        <w:gridCol w:w="1613"/>
        <w:gridCol w:w="1915"/>
        <w:gridCol w:w="1946"/>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姓名</w:t>
            </w:r>
          </w:p>
        </w:tc>
        <w:tc>
          <w:tcPr>
            <w:tcW w:w="16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在本项目中担任职务或岗位</w:t>
            </w:r>
          </w:p>
        </w:tc>
        <w:tc>
          <w:tcPr>
            <w:tcW w:w="1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专业技术资格</w:t>
            </w:r>
          </w:p>
        </w:tc>
        <w:tc>
          <w:tcPr>
            <w:tcW w:w="19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证书编号</w:t>
            </w:r>
          </w:p>
        </w:tc>
        <w:tc>
          <w:tcPr>
            <w:tcW w:w="16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sz w:val="24"/>
                <w:szCs w:val="24"/>
              </w:rPr>
            </w:pPr>
            <w:r>
              <w:rPr>
                <w:rFonts w:hint="eastAsia" w:ascii="宋体" w:hAnsi="宋体"/>
                <w:bCs/>
                <w:sz w:val="24"/>
                <w:szCs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65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r>
              <w:rPr>
                <w:rFonts w:hint="eastAsia" w:ascii="宋体" w:hAnsi="宋体"/>
                <w:sz w:val="24"/>
                <w:szCs w:val="24"/>
              </w:rPr>
              <w:t>项目负责人</w:t>
            </w:r>
          </w:p>
        </w:tc>
        <w:tc>
          <w:tcPr>
            <w:tcW w:w="19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4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65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r>
              <w:rPr>
                <w:rFonts w:hint="eastAsia" w:ascii="宋体" w:hAnsi="宋体"/>
                <w:sz w:val="24"/>
                <w:szCs w:val="24"/>
              </w:rPr>
              <w:t>技术负责人</w:t>
            </w:r>
          </w:p>
        </w:tc>
        <w:tc>
          <w:tcPr>
            <w:tcW w:w="19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4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65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15"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460" w:lineRule="exact"/>
              <w:ind w:left="5250"/>
              <w:rPr>
                <w:rFonts w:hAnsi="宋体"/>
                <w:szCs w:val="24"/>
              </w:rPr>
            </w:pPr>
          </w:p>
        </w:tc>
        <w:tc>
          <w:tcPr>
            <w:tcW w:w="194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65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4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65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4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65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4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65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94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c>
          <w:tcPr>
            <w:tcW w:w="16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sz w:val="24"/>
                <w:szCs w:val="24"/>
              </w:rPr>
            </w:pPr>
          </w:p>
        </w:tc>
      </w:tr>
    </w:tbl>
    <w:p>
      <w:pPr>
        <w:snapToGrid w:val="0"/>
        <w:spacing w:before="50" w:after="156" w:afterLines="50" w:line="460" w:lineRule="exact"/>
        <w:rPr>
          <w:rFonts w:ascii="宋体" w:hAnsi="宋体"/>
          <w:sz w:val="24"/>
          <w:szCs w:val="24"/>
        </w:rPr>
      </w:pPr>
      <w:r>
        <w:rPr>
          <w:rFonts w:hint="eastAsia" w:ascii="宋体" w:hAnsi="宋体"/>
          <w:sz w:val="24"/>
          <w:szCs w:val="24"/>
        </w:rPr>
        <w:t xml:space="preserve">注：在填写时，如本表格不适合投标单位的实际情况，可根据本表格式自行划表填写。 </w:t>
      </w:r>
    </w:p>
    <w:p>
      <w:pPr>
        <w:snapToGrid w:val="0"/>
        <w:spacing w:before="50" w:after="156" w:afterLines="50" w:line="460" w:lineRule="exact"/>
        <w:jc w:val="center"/>
        <w:rPr>
          <w:rFonts w:ascii="宋体" w:hAnsi="宋体"/>
          <w:sz w:val="24"/>
          <w:szCs w:val="24"/>
        </w:rPr>
      </w:pPr>
    </w:p>
    <w:p>
      <w:pPr>
        <w:snapToGrid w:val="0"/>
        <w:spacing w:before="50" w:after="156" w:afterLines="50" w:line="460" w:lineRule="exact"/>
        <w:jc w:val="center"/>
        <w:rPr>
          <w:rFonts w:ascii="宋体" w:hAnsi="宋体"/>
          <w:sz w:val="24"/>
          <w:szCs w:val="24"/>
        </w:rPr>
      </w:pPr>
      <w:r>
        <w:rPr>
          <w:rFonts w:hint="eastAsia" w:ascii="宋体" w:hAnsi="宋体"/>
          <w:sz w:val="24"/>
          <w:szCs w:val="24"/>
        </w:rPr>
        <w:t xml:space="preserve">                             竞争性磋商供应商（公章）：</w:t>
      </w:r>
    </w:p>
    <w:p>
      <w:pPr>
        <w:snapToGrid w:val="0"/>
        <w:spacing w:before="50" w:after="156" w:afterLines="50" w:line="460" w:lineRule="exact"/>
        <w:jc w:val="right"/>
        <w:rPr>
          <w:rFonts w:ascii="宋体" w:hAnsi="宋体"/>
          <w:sz w:val="24"/>
          <w:szCs w:val="24"/>
        </w:rPr>
      </w:pPr>
      <w:r>
        <w:rPr>
          <w:rFonts w:hint="eastAsia" w:ascii="宋体" w:hAnsi="宋体"/>
          <w:sz w:val="24"/>
          <w:szCs w:val="24"/>
        </w:rPr>
        <w:t>法定代表人或授权代表（签字或盖章）：</w:t>
      </w:r>
    </w:p>
    <w:p>
      <w:pPr>
        <w:snapToGrid w:val="0"/>
        <w:spacing w:before="50" w:after="156" w:afterLines="50" w:line="460" w:lineRule="exact"/>
        <w:ind w:firstLine="4800" w:firstLineChars="2000"/>
        <w:jc w:val="both"/>
        <w:rPr>
          <w:rFonts w:ascii="宋体" w:hAnsi="宋体"/>
          <w:sz w:val="24"/>
          <w:szCs w:val="24"/>
        </w:rPr>
      </w:pPr>
      <w:r>
        <w:rPr>
          <w:rFonts w:hint="eastAsia" w:ascii="宋体" w:hAnsi="宋体"/>
          <w:sz w:val="24"/>
          <w:szCs w:val="24"/>
        </w:rPr>
        <w:t>日    期：</w:t>
      </w:r>
    </w:p>
    <w:p>
      <w:pPr>
        <w:ind w:firstLine="2224" w:firstLineChars="695"/>
        <w:outlineLvl w:val="1"/>
        <w:rPr>
          <w:rFonts w:ascii="宋体" w:hAnsi="宋体" w:cs="宋体"/>
          <w:b/>
          <w:sz w:val="32"/>
          <w:szCs w:val="32"/>
        </w:rPr>
      </w:pPr>
    </w:p>
    <w:p>
      <w:pPr>
        <w:ind w:firstLine="2224" w:firstLineChars="695"/>
        <w:outlineLvl w:val="1"/>
        <w:rPr>
          <w:rFonts w:ascii="宋体" w:hAnsi="宋体" w:cs="宋体"/>
          <w:b/>
          <w:sz w:val="32"/>
          <w:szCs w:val="32"/>
        </w:rPr>
      </w:pPr>
    </w:p>
    <w:p>
      <w:pPr>
        <w:ind w:firstLine="2224" w:firstLineChars="695"/>
        <w:outlineLvl w:val="1"/>
        <w:rPr>
          <w:rFonts w:ascii="宋体" w:hAnsi="宋体" w:cs="宋体"/>
          <w:b/>
          <w:sz w:val="32"/>
          <w:szCs w:val="32"/>
        </w:rPr>
      </w:pPr>
    </w:p>
    <w:p>
      <w:pPr>
        <w:ind w:firstLine="2224" w:firstLineChars="695"/>
        <w:outlineLvl w:val="1"/>
        <w:rPr>
          <w:rFonts w:ascii="宋体" w:hAnsi="宋体" w:cs="宋体"/>
          <w:b/>
          <w:sz w:val="32"/>
          <w:szCs w:val="32"/>
        </w:rPr>
      </w:pPr>
    </w:p>
    <w:p>
      <w:pPr>
        <w:ind w:firstLine="2224" w:firstLineChars="695"/>
        <w:outlineLvl w:val="1"/>
        <w:rPr>
          <w:rFonts w:ascii="宋体" w:hAnsi="宋体" w:cs="宋体"/>
          <w:b/>
          <w:sz w:val="32"/>
          <w:szCs w:val="32"/>
        </w:rPr>
      </w:pPr>
    </w:p>
    <w:p>
      <w:pPr>
        <w:jc w:val="both"/>
        <w:outlineLvl w:val="1"/>
        <w:rPr>
          <w:rFonts w:ascii="宋体" w:hAnsi="宋体" w:cs="宋体"/>
          <w:b/>
          <w:sz w:val="32"/>
          <w:szCs w:val="32"/>
        </w:rPr>
      </w:pPr>
      <w:bookmarkStart w:id="78" w:name="_Toc20079"/>
    </w:p>
    <w:p>
      <w:pPr>
        <w:jc w:val="both"/>
        <w:outlineLvl w:val="1"/>
        <w:rPr>
          <w:rFonts w:ascii="宋体" w:hAnsi="宋体" w:cs="宋体"/>
          <w:b/>
          <w:sz w:val="32"/>
          <w:szCs w:val="32"/>
        </w:rPr>
      </w:pPr>
      <w:bookmarkStart w:id="79" w:name="_Toc6401"/>
      <w:bookmarkStart w:id="80" w:name="_Toc24907"/>
      <w:r>
        <w:rPr>
          <w:rFonts w:hint="eastAsia" w:ascii="宋体" w:hAnsi="宋体" w:cs="宋体"/>
          <w:b/>
          <w:sz w:val="32"/>
          <w:szCs w:val="32"/>
        </w:rPr>
        <w:t xml:space="preserve">附件十         </w:t>
      </w:r>
      <w:r>
        <w:rPr>
          <w:rFonts w:ascii="宋体" w:hAnsi="宋体" w:cs="宋体"/>
          <w:b/>
          <w:sz w:val="32"/>
          <w:szCs w:val="32"/>
        </w:rPr>
        <w:t>投标人同类项目实施情况一览表</w:t>
      </w:r>
      <w:bookmarkEnd w:id="78"/>
      <w:bookmarkEnd w:id="79"/>
      <w:bookmarkEnd w:id="80"/>
    </w:p>
    <w:tbl>
      <w:tblPr>
        <w:tblStyle w:val="24"/>
        <w:tblW w:w="95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728"/>
        <w:gridCol w:w="2220"/>
        <w:gridCol w:w="1315"/>
        <w:gridCol w:w="950"/>
        <w:gridCol w:w="1015"/>
        <w:gridCol w:w="1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38"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序号</w:t>
            </w:r>
          </w:p>
        </w:tc>
        <w:tc>
          <w:tcPr>
            <w:tcW w:w="17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采购单位名称</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项目名称</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合同金额</w:t>
            </w:r>
          </w:p>
          <w:p>
            <w:pPr>
              <w:snapToGrid w:val="0"/>
              <w:jc w:val="center"/>
              <w:rPr>
                <w:rFonts w:ascii="宋体" w:hAnsi="宋体"/>
                <w:sz w:val="24"/>
                <w:szCs w:val="24"/>
              </w:rPr>
            </w:pPr>
            <w:r>
              <w:rPr>
                <w:rFonts w:hint="eastAsia" w:ascii="宋体" w:hAnsi="宋体"/>
                <w:sz w:val="24"/>
                <w:szCs w:val="24"/>
              </w:rPr>
              <w:t>（万元）</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附件页码</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采购单位</w:t>
            </w:r>
          </w:p>
          <w:p>
            <w:pPr>
              <w:snapToGrid w:val="0"/>
              <w:jc w:val="center"/>
              <w:rPr>
                <w:rFonts w:ascii="宋体" w:hAnsi="宋体"/>
                <w:sz w:val="24"/>
                <w:szCs w:val="24"/>
              </w:rPr>
            </w:pPr>
            <w:r>
              <w:rPr>
                <w:rFonts w:hint="eastAsia" w:ascii="宋体" w:hAnsi="宋体"/>
                <w:sz w:val="24"/>
                <w:szCs w:val="24"/>
              </w:rPr>
              <w:t>联系人及</w:t>
            </w:r>
          </w:p>
          <w:p>
            <w:pPr>
              <w:snapToGrid w:val="0"/>
              <w:jc w:val="center"/>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atLeast"/>
          <w:jc w:val="center"/>
        </w:trPr>
        <w:tc>
          <w:tcPr>
            <w:tcW w:w="638" w:type="dxa"/>
            <w:vMerge w:val="continue"/>
            <w:tcBorders>
              <w:left w:val="single" w:color="auto" w:sz="4" w:space="0"/>
              <w:bottom w:val="single" w:color="auto" w:sz="4" w:space="0"/>
              <w:right w:val="single" w:color="auto" w:sz="4" w:space="0"/>
            </w:tcBorders>
          </w:tcPr>
          <w:p>
            <w:pPr>
              <w:rPr>
                <w:rFonts w:ascii="宋体" w:hAnsi="宋体"/>
                <w:sz w:val="24"/>
                <w:szCs w:val="24"/>
              </w:rPr>
            </w:pPr>
          </w:p>
        </w:tc>
        <w:tc>
          <w:tcPr>
            <w:tcW w:w="17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合</w:t>
            </w:r>
          </w:p>
          <w:p>
            <w:pPr>
              <w:snapToGrid w:val="0"/>
              <w:jc w:val="center"/>
              <w:rPr>
                <w:rFonts w:ascii="宋体" w:hAnsi="宋体"/>
                <w:sz w:val="24"/>
                <w:szCs w:val="24"/>
              </w:rPr>
            </w:pPr>
            <w:r>
              <w:rPr>
                <w:rFonts w:hint="eastAsia" w:ascii="宋体" w:hAnsi="宋体"/>
                <w:sz w:val="24"/>
                <w:szCs w:val="24"/>
              </w:rPr>
              <w:t>同</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成果</w:t>
            </w:r>
          </w:p>
          <w:p>
            <w:pPr>
              <w:snapToGrid w:val="0"/>
              <w:jc w:val="center"/>
              <w:rPr>
                <w:rFonts w:ascii="宋体" w:hAnsi="宋体"/>
                <w:sz w:val="24"/>
                <w:szCs w:val="24"/>
              </w:rPr>
            </w:pPr>
            <w:r>
              <w:rPr>
                <w:rFonts w:hint="eastAsia" w:ascii="宋体" w:hAnsi="宋体"/>
                <w:sz w:val="24"/>
                <w:szCs w:val="24"/>
              </w:rPr>
              <w:t>报告</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360" w:lineRule="auto"/>
              <w:jc w:val="center"/>
              <w:rPr>
                <w:rFonts w:ascii="宋体" w:hAnsi="宋体"/>
                <w:sz w:val="24"/>
                <w:szCs w:val="24"/>
              </w:rPr>
            </w:pPr>
          </w:p>
        </w:tc>
        <w:tc>
          <w:tcPr>
            <w:tcW w:w="17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22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0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360" w:lineRule="auto"/>
              <w:jc w:val="center"/>
              <w:rPr>
                <w:rFonts w:ascii="宋体" w:hAnsi="宋体"/>
                <w:sz w:val="24"/>
                <w:szCs w:val="24"/>
              </w:rPr>
            </w:pPr>
          </w:p>
        </w:tc>
        <w:tc>
          <w:tcPr>
            <w:tcW w:w="17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22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0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360" w:lineRule="auto"/>
              <w:jc w:val="center"/>
              <w:rPr>
                <w:rFonts w:ascii="宋体" w:hAnsi="宋体"/>
                <w:sz w:val="24"/>
                <w:szCs w:val="24"/>
              </w:rPr>
            </w:pPr>
          </w:p>
        </w:tc>
        <w:tc>
          <w:tcPr>
            <w:tcW w:w="17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22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0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360" w:lineRule="auto"/>
              <w:jc w:val="center"/>
              <w:rPr>
                <w:rFonts w:ascii="宋体" w:hAnsi="宋体"/>
                <w:sz w:val="24"/>
                <w:szCs w:val="24"/>
              </w:rPr>
            </w:pPr>
          </w:p>
        </w:tc>
        <w:tc>
          <w:tcPr>
            <w:tcW w:w="17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22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0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360" w:lineRule="auto"/>
              <w:jc w:val="center"/>
              <w:rPr>
                <w:rFonts w:ascii="宋体" w:hAnsi="宋体"/>
                <w:sz w:val="24"/>
                <w:szCs w:val="24"/>
              </w:rPr>
            </w:pPr>
          </w:p>
        </w:tc>
        <w:tc>
          <w:tcPr>
            <w:tcW w:w="17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22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0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360" w:lineRule="auto"/>
              <w:jc w:val="center"/>
              <w:rPr>
                <w:rFonts w:ascii="宋体" w:hAnsi="宋体"/>
                <w:sz w:val="24"/>
                <w:szCs w:val="24"/>
              </w:rPr>
            </w:pPr>
          </w:p>
        </w:tc>
        <w:tc>
          <w:tcPr>
            <w:tcW w:w="17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22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0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360" w:lineRule="auto"/>
              <w:jc w:val="center"/>
              <w:rPr>
                <w:rFonts w:ascii="宋体" w:hAnsi="宋体"/>
                <w:sz w:val="24"/>
                <w:szCs w:val="24"/>
              </w:rPr>
            </w:pPr>
          </w:p>
        </w:tc>
        <w:tc>
          <w:tcPr>
            <w:tcW w:w="17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22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015"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4"/>
              </w:rPr>
            </w:pPr>
          </w:p>
        </w:tc>
      </w:tr>
    </w:tbl>
    <w:p>
      <w:pPr>
        <w:snapToGrid w:val="0"/>
        <w:spacing w:line="480" w:lineRule="exact"/>
        <w:rPr>
          <w:rFonts w:ascii="宋体" w:hAnsi="宋体"/>
          <w:sz w:val="24"/>
          <w:szCs w:val="24"/>
          <w:lang w:val="zh-CN"/>
        </w:rPr>
      </w:pPr>
      <w:r>
        <w:rPr>
          <w:rFonts w:hint="eastAsia" w:ascii="宋体" w:hAnsi="宋体"/>
          <w:sz w:val="24"/>
          <w:szCs w:val="24"/>
        </w:rPr>
        <w:t xml:space="preserve">  注：</w:t>
      </w:r>
      <w:r>
        <w:rPr>
          <w:rFonts w:hint="eastAsia" w:ascii="宋体" w:hAnsi="宋体"/>
          <w:sz w:val="24"/>
          <w:szCs w:val="24"/>
          <w:lang w:val="zh-CN"/>
        </w:rPr>
        <w:t>提供项目合同等</w:t>
      </w:r>
      <w:r>
        <w:rPr>
          <w:rFonts w:hint="eastAsia" w:ascii="宋体" w:hAnsi="宋体"/>
          <w:sz w:val="24"/>
          <w:szCs w:val="24"/>
        </w:rPr>
        <w:t>（复印件加盖公章）</w:t>
      </w:r>
    </w:p>
    <w:p>
      <w:pPr>
        <w:snapToGrid w:val="0"/>
        <w:spacing w:before="50" w:after="156" w:afterLines="50" w:line="460" w:lineRule="exact"/>
        <w:jc w:val="center"/>
        <w:rPr>
          <w:rFonts w:ascii="宋体" w:hAnsi="宋体"/>
          <w:sz w:val="24"/>
          <w:szCs w:val="24"/>
        </w:rPr>
      </w:pPr>
    </w:p>
    <w:p>
      <w:pPr>
        <w:snapToGrid w:val="0"/>
        <w:spacing w:before="50" w:after="156" w:afterLines="50" w:line="460" w:lineRule="exact"/>
        <w:jc w:val="center"/>
        <w:rPr>
          <w:rFonts w:ascii="宋体" w:hAnsi="宋体"/>
          <w:sz w:val="24"/>
          <w:szCs w:val="24"/>
        </w:rPr>
      </w:pPr>
      <w:r>
        <w:rPr>
          <w:rFonts w:hint="eastAsia" w:ascii="宋体" w:hAnsi="宋体"/>
          <w:sz w:val="24"/>
          <w:szCs w:val="24"/>
        </w:rPr>
        <w:t xml:space="preserve">                            竞争性磋商供应商（公章）：</w:t>
      </w:r>
    </w:p>
    <w:p>
      <w:pPr>
        <w:snapToGrid w:val="0"/>
        <w:spacing w:before="50" w:after="156" w:afterLines="50" w:line="460" w:lineRule="exact"/>
        <w:jc w:val="right"/>
        <w:rPr>
          <w:rFonts w:ascii="宋体" w:hAnsi="宋体"/>
          <w:sz w:val="24"/>
          <w:szCs w:val="24"/>
        </w:rPr>
      </w:pPr>
      <w:r>
        <w:rPr>
          <w:rFonts w:hint="eastAsia" w:ascii="宋体" w:hAnsi="宋体"/>
          <w:sz w:val="24"/>
          <w:szCs w:val="24"/>
        </w:rPr>
        <w:t>法定代表人或授权代表（签字或盖章）：</w:t>
      </w:r>
    </w:p>
    <w:p>
      <w:pPr>
        <w:snapToGrid w:val="0"/>
        <w:spacing w:before="50" w:after="156" w:afterLines="50" w:line="460" w:lineRule="exact"/>
        <w:ind w:firstLine="4800" w:firstLineChars="2000"/>
        <w:jc w:val="both"/>
        <w:rPr>
          <w:rFonts w:ascii="宋体" w:hAnsi="宋体"/>
          <w:sz w:val="24"/>
          <w:szCs w:val="24"/>
        </w:rPr>
      </w:pPr>
      <w:r>
        <w:rPr>
          <w:rFonts w:hint="eastAsia" w:ascii="宋体" w:hAnsi="宋体"/>
          <w:sz w:val="24"/>
          <w:szCs w:val="24"/>
        </w:rPr>
        <w:t>日    期：</w:t>
      </w:r>
    </w:p>
    <w:p>
      <w:pPr>
        <w:pStyle w:val="52"/>
        <w:widowControl w:val="0"/>
        <w:snapToGrid w:val="0"/>
        <w:spacing w:line="500" w:lineRule="exact"/>
        <w:jc w:val="both"/>
        <w:rPr>
          <w:rFonts w:hint="default" w:hAnsi="宋体"/>
          <w:color w:val="000000"/>
          <w:szCs w:val="21"/>
        </w:rPr>
      </w:pPr>
    </w:p>
    <w:p>
      <w:pPr>
        <w:pStyle w:val="52"/>
        <w:widowControl w:val="0"/>
        <w:snapToGrid w:val="0"/>
        <w:spacing w:line="500" w:lineRule="exact"/>
        <w:jc w:val="both"/>
        <w:rPr>
          <w:rFonts w:hint="default" w:hAnsi="宋体"/>
          <w:color w:val="000000"/>
          <w:szCs w:val="21"/>
        </w:rPr>
      </w:pPr>
    </w:p>
    <w:p>
      <w:pPr>
        <w:pStyle w:val="52"/>
        <w:widowControl w:val="0"/>
        <w:snapToGrid w:val="0"/>
        <w:spacing w:line="500" w:lineRule="exact"/>
        <w:jc w:val="both"/>
        <w:rPr>
          <w:rFonts w:hint="default" w:hAnsi="宋体"/>
          <w:color w:val="000000"/>
          <w:szCs w:val="21"/>
        </w:rPr>
      </w:pPr>
    </w:p>
    <w:p>
      <w:pPr>
        <w:pStyle w:val="52"/>
        <w:widowControl w:val="0"/>
        <w:snapToGrid w:val="0"/>
        <w:spacing w:line="500" w:lineRule="exact"/>
        <w:jc w:val="both"/>
        <w:rPr>
          <w:rFonts w:hint="default" w:hAnsi="宋体"/>
          <w:color w:val="000000"/>
          <w:szCs w:val="21"/>
        </w:rPr>
      </w:pPr>
    </w:p>
    <w:p>
      <w:pPr>
        <w:pStyle w:val="52"/>
        <w:widowControl w:val="0"/>
        <w:snapToGrid w:val="0"/>
        <w:spacing w:line="500" w:lineRule="exact"/>
        <w:jc w:val="both"/>
        <w:rPr>
          <w:rFonts w:hint="default" w:hAnsi="宋体"/>
          <w:color w:val="000000"/>
          <w:szCs w:val="21"/>
        </w:rPr>
      </w:pPr>
    </w:p>
    <w:p>
      <w:pPr>
        <w:pStyle w:val="52"/>
        <w:widowControl w:val="0"/>
        <w:snapToGrid w:val="0"/>
        <w:spacing w:line="500" w:lineRule="exact"/>
        <w:jc w:val="both"/>
        <w:rPr>
          <w:rFonts w:hint="default" w:hAnsi="宋体"/>
          <w:color w:val="000000"/>
          <w:szCs w:val="21"/>
        </w:rPr>
      </w:pPr>
    </w:p>
    <w:p>
      <w:pPr>
        <w:pStyle w:val="52"/>
        <w:widowControl w:val="0"/>
        <w:snapToGrid w:val="0"/>
        <w:spacing w:line="500" w:lineRule="exact"/>
        <w:jc w:val="both"/>
        <w:rPr>
          <w:rFonts w:hint="default" w:hAnsi="宋体"/>
          <w:color w:val="000000"/>
          <w:szCs w:val="21"/>
        </w:rPr>
      </w:pPr>
    </w:p>
    <w:p>
      <w:pPr>
        <w:spacing w:line="360" w:lineRule="auto"/>
        <w:rPr>
          <w:rFonts w:ascii="宋体" w:hAnsi="宋体"/>
          <w:b/>
          <w:sz w:val="30"/>
          <w:szCs w:val="30"/>
        </w:rPr>
      </w:pPr>
      <w:r>
        <w:rPr>
          <w:rFonts w:hint="eastAsia" w:ascii="宋体" w:hAnsi="宋体"/>
          <w:b/>
          <w:sz w:val="30"/>
          <w:szCs w:val="30"/>
        </w:rPr>
        <w:t>附件十一</w:t>
      </w:r>
    </w:p>
    <w:p>
      <w:pPr>
        <w:spacing w:line="360" w:lineRule="auto"/>
        <w:jc w:val="center"/>
        <w:rPr>
          <w:rFonts w:ascii="宋体"/>
          <w:b/>
          <w:sz w:val="30"/>
          <w:szCs w:val="30"/>
        </w:rPr>
      </w:pPr>
      <w:r>
        <w:rPr>
          <w:rFonts w:hint="eastAsia" w:ascii="宋体" w:hAnsi="宋体"/>
          <w:b/>
          <w:sz w:val="30"/>
          <w:szCs w:val="30"/>
        </w:rPr>
        <w:t>诚信承诺书</w:t>
      </w:r>
    </w:p>
    <w:p>
      <w:pPr>
        <w:spacing w:before="312" w:beforeLines="100" w:line="360" w:lineRule="auto"/>
        <w:rPr>
          <w:rFonts w:ascii="宋体"/>
          <w:szCs w:val="21"/>
        </w:rPr>
      </w:pPr>
      <w:r>
        <w:rPr>
          <w:rFonts w:hint="eastAsia" w:ascii="宋体" w:hAnsi="宋体"/>
          <w:szCs w:val="21"/>
          <w:u w:val="single"/>
        </w:rPr>
        <w:t>（采购人或招标组织机构）</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我方在参加贵单位的＿＿＿＿＿＿＿＿＿＿政府采购项目的磋商活动中，郑重承诺如下：</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、我方申报的所有资料都是真实、准确、完整的；</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、我方无资质挂靠情形，保证不参与串标、围标及抬标；</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、我方未处于被各级行政主管部门做出停止市场行为处罚的期限内；</w:t>
      </w:r>
    </w:p>
    <w:p>
      <w:pPr>
        <w:spacing w:line="360" w:lineRule="auto"/>
        <w:ind w:firstLine="420" w:firstLineChars="200"/>
        <w:rPr>
          <w:rFonts w:ascii="宋体" w:hAnsi="宋体"/>
          <w:szCs w:val="21"/>
        </w:rPr>
      </w:pPr>
      <w:r>
        <w:rPr>
          <w:rFonts w:hint="eastAsia" w:ascii="宋体" w:hAnsi="宋体"/>
          <w:szCs w:val="21"/>
        </w:rPr>
        <w:t>4、若我方成交，将严格按照规定及时与采购人签订合同；</w:t>
      </w:r>
    </w:p>
    <w:p>
      <w:pPr>
        <w:spacing w:line="360" w:lineRule="auto"/>
        <w:ind w:firstLine="420" w:firstLineChars="200"/>
        <w:rPr>
          <w:rFonts w:ascii="宋体"/>
          <w:szCs w:val="21"/>
        </w:rPr>
      </w:pPr>
      <w:r>
        <w:rPr>
          <w:rFonts w:hint="eastAsia" w:ascii="宋体" w:hAnsi="宋体"/>
          <w:szCs w:val="21"/>
        </w:rPr>
        <w:t>5、若我方成交，将严格按照竞争性磋商文件要求及磋商响应文件承诺的报价、质量、项目建设期、磋商方案、项目负责人等内容组织实施；</w:t>
      </w:r>
    </w:p>
    <w:p>
      <w:pPr>
        <w:spacing w:line="360" w:lineRule="auto"/>
        <w:ind w:firstLine="420" w:firstLineChars="200"/>
        <w:rPr>
          <w:rFonts w:ascii="宋体"/>
          <w:szCs w:val="21"/>
        </w:rPr>
      </w:pPr>
      <w:r>
        <w:rPr>
          <w:rFonts w:hint="eastAsia" w:ascii="宋体" w:hAnsi="宋体"/>
          <w:szCs w:val="21"/>
        </w:rPr>
        <w:t>我方若违反上述承诺，隐瞒、提供虚假资料或不按竞争性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20" w:firstLineChars="200"/>
        <w:rPr>
          <w:rFonts w:ascii="宋体" w:hAnsi="宋体"/>
          <w:szCs w:val="21"/>
        </w:rPr>
      </w:pPr>
    </w:p>
    <w:p>
      <w:pPr>
        <w:spacing w:line="360" w:lineRule="auto"/>
        <w:ind w:firstLine="420" w:firstLineChars="200"/>
        <w:rPr>
          <w:rFonts w:ascii="宋体"/>
          <w:szCs w:val="21"/>
        </w:rPr>
      </w:pPr>
      <w:r>
        <w:rPr>
          <w:rFonts w:hint="eastAsia" w:ascii="宋体" w:hAnsi="宋体"/>
          <w:szCs w:val="21"/>
        </w:rPr>
        <w:t>特此承诺。</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szCs w:val="21"/>
        </w:rPr>
      </w:pPr>
      <w:r>
        <w:rPr>
          <w:rFonts w:hint="eastAsia" w:ascii="宋体" w:hAnsi="宋体"/>
          <w:szCs w:val="21"/>
        </w:rPr>
        <w:t>竞争性磋商供应商（公章）：＿＿＿＿＿＿＿＿＿＿＿＿＿＿＿</w:t>
      </w:r>
    </w:p>
    <w:p>
      <w:pPr>
        <w:spacing w:line="360" w:lineRule="auto"/>
        <w:ind w:firstLine="420" w:firstLineChars="200"/>
        <w:rPr>
          <w:rFonts w:ascii="宋体"/>
          <w:szCs w:val="21"/>
        </w:rPr>
      </w:pPr>
      <w:r>
        <w:rPr>
          <w:rFonts w:hint="eastAsia" w:ascii="宋体" w:hAnsi="宋体"/>
          <w:szCs w:val="21"/>
        </w:rPr>
        <w:t>法定代表人或被授权人</w:t>
      </w:r>
      <w:r>
        <w:rPr>
          <w:rFonts w:ascii="宋体" w:hAnsi="宋体"/>
          <w:szCs w:val="21"/>
        </w:rPr>
        <w:t>（签字或盖章）</w:t>
      </w:r>
      <w:r>
        <w:rPr>
          <w:rFonts w:hint="eastAsia" w:ascii="宋体" w:hAnsi="宋体"/>
          <w:szCs w:val="21"/>
        </w:rPr>
        <w:t>：＿＿＿＿＿＿＿＿＿＿＿＿＿＿＿</w:t>
      </w:r>
    </w:p>
    <w:p>
      <w:pPr>
        <w:spacing w:line="360" w:lineRule="auto"/>
        <w:ind w:firstLine="420" w:firstLineChars="200"/>
        <w:rPr>
          <w:rFonts w:ascii="宋体"/>
          <w:szCs w:val="21"/>
        </w:rPr>
      </w:pPr>
    </w:p>
    <w:p>
      <w:pPr>
        <w:pStyle w:val="52"/>
        <w:widowControl w:val="0"/>
        <w:snapToGrid w:val="0"/>
        <w:spacing w:line="500" w:lineRule="exact"/>
        <w:jc w:val="right"/>
        <w:rPr>
          <w:rFonts w:hint="default" w:hAnsi="宋体"/>
          <w:color w:val="000000"/>
          <w:szCs w:val="21"/>
        </w:rPr>
      </w:pPr>
      <w:r>
        <w:rPr>
          <w:rFonts w:hAnsi="宋体"/>
          <w:szCs w:val="21"/>
        </w:rPr>
        <w:t>日期：年＿＿月＿＿日</w:t>
      </w:r>
    </w:p>
    <w:bookmarkEnd w:id="36"/>
    <w:p>
      <w:pPr>
        <w:widowControl w:val="0"/>
        <w:spacing w:line="420" w:lineRule="auto"/>
        <w:jc w:val="both"/>
        <w:outlineLvl w:val="0"/>
        <w:rPr>
          <w:rFonts w:ascii="宋体" w:hAnsi="宋体"/>
          <w:szCs w:val="21"/>
        </w:rPr>
      </w:pPr>
    </w:p>
    <w:sectPr>
      <w:headerReference r:id="rId13" w:type="default"/>
      <w:pgSz w:w="11906" w:h="16838"/>
      <w:pgMar w:top="1418" w:right="1418" w:bottom="1418" w:left="1418" w:header="68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25</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25</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04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5"/>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文本框 204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d37bxECAAATBAAADgAAAAAAAAABACAA&#10;AAAfAQAAZHJzL2Uyb0RvYy54bWxQSwUGAAAAAAYABgBZAQAAo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rPr>
        <w:rFonts w:ascii="宋体" w:hAnsi="宋体"/>
        <w:sz w:val="21"/>
        <w:szCs w:val="21"/>
        <w:u w:val="single"/>
      </w:rPr>
    </w:pPr>
    <w:r>
      <w:rPr>
        <w:rFonts w:hint="eastAsia" w:ascii="宋体" w:hAnsi="宋体"/>
        <w:sz w:val="21"/>
        <w:szCs w:val="21"/>
        <w:u w:val="single"/>
        <w:lang w:eastAsia="zh-CN"/>
      </w:rPr>
      <w:t>中望[2022]D104号</w:t>
    </w:r>
    <w:r>
      <w:rPr>
        <w:rFonts w:hint="eastAsia" w:ascii="宋体" w:hAnsi="宋体"/>
        <w:sz w:val="21"/>
        <w:szCs w:val="21"/>
        <w:u w:val="single"/>
      </w:rPr>
      <w:t xml:space="preserve"> </w:t>
    </w:r>
    <w:r>
      <w:rPr>
        <w:rFonts w:hint="eastAsia" w:ascii="宋体" w:hAnsi="宋体"/>
        <w:sz w:val="21"/>
        <w:szCs w:val="21"/>
        <w:u w:val="single"/>
        <w:lang w:eastAsia="zh-CN"/>
      </w:rPr>
      <w:t>2022-2023年海盐县全域“无废城市”建设技术咨询及服务项目</w:t>
    </w:r>
    <w:r>
      <w:rPr>
        <w:rFonts w:hint="eastAsia" w:ascii="宋体" w:hAnsi="宋体"/>
        <w:sz w:val="21"/>
        <w:szCs w:val="21"/>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rPr>
        <w:rFonts w:ascii="宋体" w:hAnsi="宋体"/>
        <w:sz w:val="21"/>
        <w:szCs w:val="21"/>
        <w:u w:val="single"/>
      </w:rPr>
    </w:pPr>
    <w:r>
      <w:rPr>
        <w:rFonts w:hint="eastAsia" w:ascii="宋体" w:hAnsi="宋体"/>
        <w:sz w:val="21"/>
        <w:szCs w:val="21"/>
        <w:u w:val="single"/>
        <w:lang w:eastAsia="zh-CN"/>
      </w:rPr>
      <w:t>中望[2022]D104号</w:t>
    </w:r>
    <w:r>
      <w:rPr>
        <w:rFonts w:hint="eastAsia" w:ascii="宋体" w:hAnsi="宋体"/>
        <w:sz w:val="21"/>
        <w:szCs w:val="21"/>
        <w:u w:val="single"/>
      </w:rPr>
      <w:t xml:space="preserve"> </w:t>
    </w:r>
    <w:r>
      <w:rPr>
        <w:rFonts w:hint="eastAsia" w:ascii="宋体" w:hAnsi="宋体"/>
        <w:sz w:val="21"/>
        <w:szCs w:val="21"/>
        <w:u w:val="single"/>
        <w:lang w:eastAsia="zh-CN"/>
      </w:rPr>
      <w:t>2022-2023年海盐县全域“无废城市”建设技术咨询及服务项目</w:t>
    </w:r>
    <w:r>
      <w:rPr>
        <w:rFonts w:hint="eastAsia" w:ascii="宋体" w:hAnsi="宋体"/>
        <w:sz w:val="21"/>
        <w:szCs w:val="21"/>
        <w:u w:val="single"/>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rPr>
        <w:rFonts w:ascii="宋体" w:hAnsi="宋体"/>
        <w:sz w:val="21"/>
        <w:szCs w:val="21"/>
        <w:u w:val="single"/>
      </w:rPr>
    </w:pPr>
    <w:r>
      <w:rPr>
        <w:rFonts w:hint="eastAsia" w:ascii="宋体" w:hAnsi="宋体"/>
        <w:sz w:val="21"/>
        <w:szCs w:val="21"/>
        <w:u w:val="single"/>
        <w:lang w:eastAsia="zh-CN"/>
      </w:rPr>
      <w:t>中望[2022]D104号</w:t>
    </w:r>
    <w:r>
      <w:rPr>
        <w:rFonts w:hint="eastAsia" w:ascii="宋体" w:hAnsi="宋体"/>
        <w:sz w:val="21"/>
        <w:szCs w:val="21"/>
        <w:u w:val="single"/>
      </w:rPr>
      <w:t xml:space="preserve"> </w:t>
    </w:r>
    <w:r>
      <w:rPr>
        <w:rFonts w:hint="eastAsia" w:ascii="宋体" w:hAnsi="宋体"/>
        <w:sz w:val="21"/>
        <w:szCs w:val="21"/>
        <w:u w:val="single"/>
        <w:lang w:eastAsia="zh-CN"/>
      </w:rPr>
      <w:t>2022-2023年海盐县全域“无废城市”建设技术咨询及服务项目</w:t>
    </w:r>
    <w:r>
      <w:rPr>
        <w:rFonts w:hint="eastAsia" w:ascii="宋体" w:hAnsi="宋体"/>
        <w:sz w:val="21"/>
        <w:szCs w:val="21"/>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ind w:left="437" w:hanging="420"/>
      </w:pPr>
      <w:rPr>
        <w:rFonts w:hint="eastAsia"/>
        <w:color w:val="auto"/>
        <w:lang w:val="en-US"/>
      </w:rPr>
    </w:lvl>
  </w:abstractNum>
  <w:abstractNum w:abstractNumId="1">
    <w:nsid w:val="0AF332F6"/>
    <w:multiLevelType w:val="multilevel"/>
    <w:tmpl w:val="0AF332F6"/>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
    <w:nsid w:val="30876081"/>
    <w:multiLevelType w:val="multilevel"/>
    <w:tmpl w:val="30876081"/>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3240" w:hanging="360"/>
      </w:pPr>
      <w:rPr>
        <w:rFonts w:hint="default"/>
      </w:rPr>
    </w:lvl>
    <w:lvl w:ilvl="2" w:tentative="0">
      <w:start w:val="1"/>
      <w:numFmt w:val="decimalEnclosedCircle"/>
      <w:lvlText w:val="%3"/>
      <w:lvlJc w:val="left"/>
      <w:pPr>
        <w:ind w:left="2085" w:hanging="405"/>
      </w:pPr>
      <w:rPr>
        <w:rFonts w:hint="default" w:hAnsi="宋体"/>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3D1B6ABC"/>
    <w:multiLevelType w:val="singleLevel"/>
    <w:tmpl w:val="3D1B6ABC"/>
    <w:lvl w:ilvl="0" w:tentative="0">
      <w:start w:val="1"/>
      <w:numFmt w:val="decimal"/>
      <w:lvlText w:val="（%1）"/>
      <w:lvlJc w:val="left"/>
      <w:pPr>
        <w:ind w:left="420" w:hanging="420"/>
      </w:pPr>
      <w:rPr>
        <w:rFonts w:hint="eastAsia"/>
        <w:color w:val="auto"/>
        <w:lang w:val="en-US"/>
      </w:rPr>
    </w:lvl>
  </w:abstractNum>
  <w:abstractNum w:abstractNumId="4">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58131BAC"/>
    <w:multiLevelType w:val="multilevel"/>
    <w:tmpl w:val="58131BAC"/>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decimal"/>
      <w:lvlText w:val="%5）"/>
      <w:lvlJc w:val="left"/>
      <w:pPr>
        <w:ind w:left="2040" w:hanging="360"/>
      </w:pPr>
      <w:rPr>
        <w:rFonts w:hint="default"/>
      </w:rPr>
    </w:lvl>
    <w:lvl w:ilvl="5" w:tentative="0">
      <w:start w:val="3"/>
      <w:numFmt w:val="japaneseCounting"/>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F893B24"/>
    <w:multiLevelType w:val="multilevel"/>
    <w:tmpl w:val="6F893B24"/>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sz w:val="21"/>
        <w:szCs w:val="21"/>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789366F8"/>
    <w:multiLevelType w:val="multilevel"/>
    <w:tmpl w:val="789366F8"/>
    <w:lvl w:ilvl="0" w:tentative="0">
      <w:start w:val="1"/>
      <w:numFmt w:val="decimal"/>
      <w:lvlText w:val="（%1）"/>
      <w:lvlJc w:val="left"/>
      <w:pPr>
        <w:tabs>
          <w:tab w:val="left" w:pos="1571"/>
        </w:tabs>
        <w:ind w:left="1560" w:hanging="720"/>
      </w:pPr>
      <w:rPr>
        <w:rFonts w:hint="eastAsia"/>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abstractNum w:abstractNumId="8">
    <w:nsid w:val="78A94E57"/>
    <w:multiLevelType w:val="multilevel"/>
    <w:tmpl w:val="78A94E57"/>
    <w:lvl w:ilvl="0" w:tentative="0">
      <w:start w:val="1"/>
      <w:numFmt w:val="decimal"/>
      <w:lvlText w:val="%1."/>
      <w:lvlJc w:val="left"/>
      <w:pPr>
        <w:tabs>
          <w:tab w:val="left" w:pos="420"/>
        </w:tabs>
        <w:ind w:left="420" w:hanging="420"/>
      </w:pPr>
      <w:rPr>
        <w:color w:val="auto"/>
      </w:rPr>
    </w:lvl>
    <w:lvl w:ilvl="1" w:tentative="0">
      <w:start w:val="1"/>
      <w:numFmt w:val="japaneseCounting"/>
      <w:lvlText w:val="（%2）"/>
      <w:lvlJc w:val="left"/>
      <w:pPr>
        <w:tabs>
          <w:tab w:val="left" w:pos="1470"/>
        </w:tabs>
        <w:ind w:left="1470" w:hanging="1050"/>
      </w:pPr>
      <w:rPr>
        <w:rFonts w:hint="default"/>
      </w:rPr>
    </w:lvl>
    <w:lvl w:ilvl="2" w:tentative="0">
      <w:start w:val="9"/>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7"/>
  </w:num>
  <w:num w:numId="3">
    <w:abstractNumId w:val="6"/>
  </w:num>
  <w:num w:numId="4">
    <w:abstractNumId w:val="0"/>
  </w:num>
  <w:num w:numId="5">
    <w:abstractNumId w:val="3"/>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Y2E5MzEzZjA4MzU2NGU4OWU2YjJmMDhmYWMxYWMifQ=="/>
  </w:docVars>
  <w:rsids>
    <w:rsidRoot w:val="00172A27"/>
    <w:rsid w:val="0000057B"/>
    <w:rsid w:val="00002C6B"/>
    <w:rsid w:val="0000466A"/>
    <w:rsid w:val="00004DE0"/>
    <w:rsid w:val="00005A20"/>
    <w:rsid w:val="00007A34"/>
    <w:rsid w:val="0001757B"/>
    <w:rsid w:val="000210B6"/>
    <w:rsid w:val="00024780"/>
    <w:rsid w:val="00025EC6"/>
    <w:rsid w:val="00031AA0"/>
    <w:rsid w:val="00033482"/>
    <w:rsid w:val="000352AE"/>
    <w:rsid w:val="000434F6"/>
    <w:rsid w:val="00044D44"/>
    <w:rsid w:val="000464CB"/>
    <w:rsid w:val="00046B9F"/>
    <w:rsid w:val="00051C72"/>
    <w:rsid w:val="00052140"/>
    <w:rsid w:val="0005267F"/>
    <w:rsid w:val="0005409C"/>
    <w:rsid w:val="00056EA8"/>
    <w:rsid w:val="00060FC8"/>
    <w:rsid w:val="00067D1F"/>
    <w:rsid w:val="00070203"/>
    <w:rsid w:val="000840AD"/>
    <w:rsid w:val="000843FC"/>
    <w:rsid w:val="0008640A"/>
    <w:rsid w:val="000868B3"/>
    <w:rsid w:val="000873FA"/>
    <w:rsid w:val="00091D85"/>
    <w:rsid w:val="000922D9"/>
    <w:rsid w:val="00097F5D"/>
    <w:rsid w:val="000A2709"/>
    <w:rsid w:val="000A2B9E"/>
    <w:rsid w:val="000B5B51"/>
    <w:rsid w:val="000C202B"/>
    <w:rsid w:val="000D251F"/>
    <w:rsid w:val="000D433F"/>
    <w:rsid w:val="000E5885"/>
    <w:rsid w:val="000E6646"/>
    <w:rsid w:val="000E7365"/>
    <w:rsid w:val="000E7AA9"/>
    <w:rsid w:val="000F05A9"/>
    <w:rsid w:val="000F2243"/>
    <w:rsid w:val="000F3571"/>
    <w:rsid w:val="000F49A0"/>
    <w:rsid w:val="000F5397"/>
    <w:rsid w:val="000F7905"/>
    <w:rsid w:val="001047F6"/>
    <w:rsid w:val="001057CA"/>
    <w:rsid w:val="00105F13"/>
    <w:rsid w:val="00110135"/>
    <w:rsid w:val="00110630"/>
    <w:rsid w:val="00111BBF"/>
    <w:rsid w:val="00114876"/>
    <w:rsid w:val="00115E0E"/>
    <w:rsid w:val="00117202"/>
    <w:rsid w:val="001211B0"/>
    <w:rsid w:val="00123AFD"/>
    <w:rsid w:val="0012636D"/>
    <w:rsid w:val="00127E7B"/>
    <w:rsid w:val="00132D19"/>
    <w:rsid w:val="00134995"/>
    <w:rsid w:val="00135C11"/>
    <w:rsid w:val="00140AEB"/>
    <w:rsid w:val="00141FDE"/>
    <w:rsid w:val="00144B21"/>
    <w:rsid w:val="00146172"/>
    <w:rsid w:val="001461C5"/>
    <w:rsid w:val="001464E8"/>
    <w:rsid w:val="00146B19"/>
    <w:rsid w:val="00152B4A"/>
    <w:rsid w:val="00161268"/>
    <w:rsid w:val="00161395"/>
    <w:rsid w:val="00161AC5"/>
    <w:rsid w:val="00163E40"/>
    <w:rsid w:val="00164C2B"/>
    <w:rsid w:val="00164E7A"/>
    <w:rsid w:val="001656D9"/>
    <w:rsid w:val="0017208E"/>
    <w:rsid w:val="00172A27"/>
    <w:rsid w:val="00175794"/>
    <w:rsid w:val="00176A8F"/>
    <w:rsid w:val="0017730C"/>
    <w:rsid w:val="0018645D"/>
    <w:rsid w:val="00186A81"/>
    <w:rsid w:val="001905C6"/>
    <w:rsid w:val="00194BDB"/>
    <w:rsid w:val="001968A0"/>
    <w:rsid w:val="001A34C4"/>
    <w:rsid w:val="001A6DFD"/>
    <w:rsid w:val="001A75F6"/>
    <w:rsid w:val="001B0FDB"/>
    <w:rsid w:val="001B1B9B"/>
    <w:rsid w:val="001B1C81"/>
    <w:rsid w:val="001B384C"/>
    <w:rsid w:val="001B7B42"/>
    <w:rsid w:val="001C6368"/>
    <w:rsid w:val="001E4693"/>
    <w:rsid w:val="001E78DF"/>
    <w:rsid w:val="001F071D"/>
    <w:rsid w:val="001F0B9C"/>
    <w:rsid w:val="001F213C"/>
    <w:rsid w:val="001F2C9A"/>
    <w:rsid w:val="001F3CC0"/>
    <w:rsid w:val="001F754A"/>
    <w:rsid w:val="00204470"/>
    <w:rsid w:val="0021083A"/>
    <w:rsid w:val="002117F9"/>
    <w:rsid w:val="00216C98"/>
    <w:rsid w:val="0021715E"/>
    <w:rsid w:val="00223911"/>
    <w:rsid w:val="0022474D"/>
    <w:rsid w:val="00225B1D"/>
    <w:rsid w:val="00226724"/>
    <w:rsid w:val="00226DD1"/>
    <w:rsid w:val="00240B7E"/>
    <w:rsid w:val="002426CC"/>
    <w:rsid w:val="00244FE9"/>
    <w:rsid w:val="002456C4"/>
    <w:rsid w:val="0024679F"/>
    <w:rsid w:val="0024786E"/>
    <w:rsid w:val="00247F71"/>
    <w:rsid w:val="00261776"/>
    <w:rsid w:val="00262DDB"/>
    <w:rsid w:val="0027150E"/>
    <w:rsid w:val="00271BEF"/>
    <w:rsid w:val="002720B7"/>
    <w:rsid w:val="002721C7"/>
    <w:rsid w:val="00273406"/>
    <w:rsid w:val="00273C5D"/>
    <w:rsid w:val="00280723"/>
    <w:rsid w:val="002812EB"/>
    <w:rsid w:val="00283D68"/>
    <w:rsid w:val="00285C12"/>
    <w:rsid w:val="002931E1"/>
    <w:rsid w:val="00293284"/>
    <w:rsid w:val="00296FCA"/>
    <w:rsid w:val="002B62BD"/>
    <w:rsid w:val="002B746B"/>
    <w:rsid w:val="002B7E8E"/>
    <w:rsid w:val="002C126F"/>
    <w:rsid w:val="002C4162"/>
    <w:rsid w:val="002C53B4"/>
    <w:rsid w:val="002C6E3E"/>
    <w:rsid w:val="002D25F9"/>
    <w:rsid w:val="002D3E47"/>
    <w:rsid w:val="002D54C0"/>
    <w:rsid w:val="002D5E0C"/>
    <w:rsid w:val="002E0928"/>
    <w:rsid w:val="002E1519"/>
    <w:rsid w:val="002E31D8"/>
    <w:rsid w:val="002E46A6"/>
    <w:rsid w:val="002E686B"/>
    <w:rsid w:val="002E7016"/>
    <w:rsid w:val="002F2A6A"/>
    <w:rsid w:val="002F2B1A"/>
    <w:rsid w:val="00300C34"/>
    <w:rsid w:val="00305003"/>
    <w:rsid w:val="00306C84"/>
    <w:rsid w:val="0031536D"/>
    <w:rsid w:val="0031576B"/>
    <w:rsid w:val="003171B6"/>
    <w:rsid w:val="00323A1A"/>
    <w:rsid w:val="00323E80"/>
    <w:rsid w:val="003331C5"/>
    <w:rsid w:val="00334AE6"/>
    <w:rsid w:val="00335A19"/>
    <w:rsid w:val="00340E8A"/>
    <w:rsid w:val="003523FA"/>
    <w:rsid w:val="00356039"/>
    <w:rsid w:val="00360F70"/>
    <w:rsid w:val="003617CA"/>
    <w:rsid w:val="0036415C"/>
    <w:rsid w:val="00367B04"/>
    <w:rsid w:val="00367F0D"/>
    <w:rsid w:val="0037423C"/>
    <w:rsid w:val="0037495E"/>
    <w:rsid w:val="00386381"/>
    <w:rsid w:val="003919C8"/>
    <w:rsid w:val="0039568D"/>
    <w:rsid w:val="003A0C4C"/>
    <w:rsid w:val="003B240D"/>
    <w:rsid w:val="003B294C"/>
    <w:rsid w:val="003B2FBB"/>
    <w:rsid w:val="003B47C1"/>
    <w:rsid w:val="003B4D26"/>
    <w:rsid w:val="003B558A"/>
    <w:rsid w:val="003B5962"/>
    <w:rsid w:val="003C2BD8"/>
    <w:rsid w:val="003C59C4"/>
    <w:rsid w:val="003D5B7A"/>
    <w:rsid w:val="003E5038"/>
    <w:rsid w:val="003E6435"/>
    <w:rsid w:val="003E7A38"/>
    <w:rsid w:val="00402C9F"/>
    <w:rsid w:val="00410B25"/>
    <w:rsid w:val="00415F4C"/>
    <w:rsid w:val="00416ECC"/>
    <w:rsid w:val="00417A65"/>
    <w:rsid w:val="00417E34"/>
    <w:rsid w:val="004240AB"/>
    <w:rsid w:val="00431AEC"/>
    <w:rsid w:val="00434959"/>
    <w:rsid w:val="00443426"/>
    <w:rsid w:val="004442F5"/>
    <w:rsid w:val="0044485D"/>
    <w:rsid w:val="00444ABB"/>
    <w:rsid w:val="0044719E"/>
    <w:rsid w:val="004544EA"/>
    <w:rsid w:val="004553C9"/>
    <w:rsid w:val="00455504"/>
    <w:rsid w:val="004640B8"/>
    <w:rsid w:val="0046648B"/>
    <w:rsid w:val="0047009C"/>
    <w:rsid w:val="00471B8E"/>
    <w:rsid w:val="00471F90"/>
    <w:rsid w:val="00472602"/>
    <w:rsid w:val="0047284C"/>
    <w:rsid w:val="00472EE7"/>
    <w:rsid w:val="00481131"/>
    <w:rsid w:val="0048236B"/>
    <w:rsid w:val="0048350B"/>
    <w:rsid w:val="004A47BB"/>
    <w:rsid w:val="004A6686"/>
    <w:rsid w:val="004B1574"/>
    <w:rsid w:val="004B3E01"/>
    <w:rsid w:val="004B4061"/>
    <w:rsid w:val="004B6A83"/>
    <w:rsid w:val="004C1C96"/>
    <w:rsid w:val="004C2907"/>
    <w:rsid w:val="004C5146"/>
    <w:rsid w:val="004C5D79"/>
    <w:rsid w:val="004C6AAD"/>
    <w:rsid w:val="004D1D3C"/>
    <w:rsid w:val="004D3BF0"/>
    <w:rsid w:val="004D72DD"/>
    <w:rsid w:val="004D75BB"/>
    <w:rsid w:val="004D78DC"/>
    <w:rsid w:val="004E7BC3"/>
    <w:rsid w:val="004F3E54"/>
    <w:rsid w:val="004F46BE"/>
    <w:rsid w:val="004F55A8"/>
    <w:rsid w:val="004F6182"/>
    <w:rsid w:val="004F68A1"/>
    <w:rsid w:val="005069AF"/>
    <w:rsid w:val="00506F07"/>
    <w:rsid w:val="00514C66"/>
    <w:rsid w:val="0052203E"/>
    <w:rsid w:val="00526833"/>
    <w:rsid w:val="00527A80"/>
    <w:rsid w:val="005308A9"/>
    <w:rsid w:val="0053283B"/>
    <w:rsid w:val="005328B5"/>
    <w:rsid w:val="00540B15"/>
    <w:rsid w:val="005448A3"/>
    <w:rsid w:val="005455D3"/>
    <w:rsid w:val="00552BA3"/>
    <w:rsid w:val="00554814"/>
    <w:rsid w:val="00557C0A"/>
    <w:rsid w:val="005603A6"/>
    <w:rsid w:val="00572CC2"/>
    <w:rsid w:val="00573AF4"/>
    <w:rsid w:val="00576072"/>
    <w:rsid w:val="00576DF6"/>
    <w:rsid w:val="00590E76"/>
    <w:rsid w:val="0059379B"/>
    <w:rsid w:val="005944C2"/>
    <w:rsid w:val="00594FAA"/>
    <w:rsid w:val="0059522C"/>
    <w:rsid w:val="005A2C66"/>
    <w:rsid w:val="005A4E64"/>
    <w:rsid w:val="005B10BF"/>
    <w:rsid w:val="005B3956"/>
    <w:rsid w:val="005B502C"/>
    <w:rsid w:val="005B7423"/>
    <w:rsid w:val="005C0059"/>
    <w:rsid w:val="005D074C"/>
    <w:rsid w:val="005D6448"/>
    <w:rsid w:val="005D715A"/>
    <w:rsid w:val="005D7DC9"/>
    <w:rsid w:val="005E363F"/>
    <w:rsid w:val="005E7456"/>
    <w:rsid w:val="005F7A14"/>
    <w:rsid w:val="00610534"/>
    <w:rsid w:val="00612F15"/>
    <w:rsid w:val="00614A48"/>
    <w:rsid w:val="006179D3"/>
    <w:rsid w:val="0062323B"/>
    <w:rsid w:val="00623F70"/>
    <w:rsid w:val="00624B93"/>
    <w:rsid w:val="00625F8B"/>
    <w:rsid w:val="00636836"/>
    <w:rsid w:val="006401F7"/>
    <w:rsid w:val="006429DC"/>
    <w:rsid w:val="00655306"/>
    <w:rsid w:val="006566D8"/>
    <w:rsid w:val="00663538"/>
    <w:rsid w:val="00667FB7"/>
    <w:rsid w:val="00674958"/>
    <w:rsid w:val="00681281"/>
    <w:rsid w:val="00692869"/>
    <w:rsid w:val="00694CC9"/>
    <w:rsid w:val="006952A9"/>
    <w:rsid w:val="006A1901"/>
    <w:rsid w:val="006A35FF"/>
    <w:rsid w:val="006B6B98"/>
    <w:rsid w:val="006C2213"/>
    <w:rsid w:val="006C2C4A"/>
    <w:rsid w:val="006C4753"/>
    <w:rsid w:val="006C5585"/>
    <w:rsid w:val="006C5C47"/>
    <w:rsid w:val="006D0211"/>
    <w:rsid w:val="006D72FB"/>
    <w:rsid w:val="006E18D5"/>
    <w:rsid w:val="006F3DA1"/>
    <w:rsid w:val="006F4A35"/>
    <w:rsid w:val="006F53F6"/>
    <w:rsid w:val="00702F49"/>
    <w:rsid w:val="007149D3"/>
    <w:rsid w:val="00714CE0"/>
    <w:rsid w:val="00717130"/>
    <w:rsid w:val="00724224"/>
    <w:rsid w:val="00726337"/>
    <w:rsid w:val="0072711E"/>
    <w:rsid w:val="00732366"/>
    <w:rsid w:val="007433D8"/>
    <w:rsid w:val="00745417"/>
    <w:rsid w:val="00746E52"/>
    <w:rsid w:val="00751CA2"/>
    <w:rsid w:val="00752448"/>
    <w:rsid w:val="0075510C"/>
    <w:rsid w:val="0075577F"/>
    <w:rsid w:val="00755D7C"/>
    <w:rsid w:val="00760BD8"/>
    <w:rsid w:val="00763D74"/>
    <w:rsid w:val="0076589B"/>
    <w:rsid w:val="00777827"/>
    <w:rsid w:val="007831E0"/>
    <w:rsid w:val="00791BC3"/>
    <w:rsid w:val="00792873"/>
    <w:rsid w:val="00796FFB"/>
    <w:rsid w:val="007A4A66"/>
    <w:rsid w:val="007A6339"/>
    <w:rsid w:val="007A7AEC"/>
    <w:rsid w:val="007B1C6B"/>
    <w:rsid w:val="007B33B0"/>
    <w:rsid w:val="007B3AFE"/>
    <w:rsid w:val="007B5339"/>
    <w:rsid w:val="007B560D"/>
    <w:rsid w:val="007C03F3"/>
    <w:rsid w:val="007C1F59"/>
    <w:rsid w:val="007C230D"/>
    <w:rsid w:val="007D0BE5"/>
    <w:rsid w:val="007D409D"/>
    <w:rsid w:val="007D43D9"/>
    <w:rsid w:val="007D44A6"/>
    <w:rsid w:val="007E0C50"/>
    <w:rsid w:val="007E2919"/>
    <w:rsid w:val="007E7C4D"/>
    <w:rsid w:val="007F3B51"/>
    <w:rsid w:val="007F3DE5"/>
    <w:rsid w:val="007F497D"/>
    <w:rsid w:val="007F59F0"/>
    <w:rsid w:val="007F6DA8"/>
    <w:rsid w:val="007F6E23"/>
    <w:rsid w:val="007F77FA"/>
    <w:rsid w:val="00801587"/>
    <w:rsid w:val="00801A16"/>
    <w:rsid w:val="008034F2"/>
    <w:rsid w:val="008039E9"/>
    <w:rsid w:val="0081146B"/>
    <w:rsid w:val="00822EC8"/>
    <w:rsid w:val="008310FD"/>
    <w:rsid w:val="00837CC1"/>
    <w:rsid w:val="00841F47"/>
    <w:rsid w:val="00843AEF"/>
    <w:rsid w:val="00844B0D"/>
    <w:rsid w:val="00847237"/>
    <w:rsid w:val="00847F03"/>
    <w:rsid w:val="008559A9"/>
    <w:rsid w:val="0086335E"/>
    <w:rsid w:val="008666C6"/>
    <w:rsid w:val="00884DFC"/>
    <w:rsid w:val="008912EB"/>
    <w:rsid w:val="008A1809"/>
    <w:rsid w:val="008A1899"/>
    <w:rsid w:val="008A1D91"/>
    <w:rsid w:val="008A21E5"/>
    <w:rsid w:val="008A69C8"/>
    <w:rsid w:val="008B015A"/>
    <w:rsid w:val="008B4736"/>
    <w:rsid w:val="008C24C2"/>
    <w:rsid w:val="008C3A6B"/>
    <w:rsid w:val="008C5262"/>
    <w:rsid w:val="008D192D"/>
    <w:rsid w:val="008D487E"/>
    <w:rsid w:val="008D5A1B"/>
    <w:rsid w:val="008D69D5"/>
    <w:rsid w:val="008E281C"/>
    <w:rsid w:val="008E7950"/>
    <w:rsid w:val="00900658"/>
    <w:rsid w:val="00906AEA"/>
    <w:rsid w:val="00911160"/>
    <w:rsid w:val="00913222"/>
    <w:rsid w:val="00924144"/>
    <w:rsid w:val="009310D6"/>
    <w:rsid w:val="00932C3A"/>
    <w:rsid w:val="00936B7C"/>
    <w:rsid w:val="00940074"/>
    <w:rsid w:val="00941870"/>
    <w:rsid w:val="009429D9"/>
    <w:rsid w:val="0094491F"/>
    <w:rsid w:val="009520A8"/>
    <w:rsid w:val="00952C88"/>
    <w:rsid w:val="0095500E"/>
    <w:rsid w:val="00956DF9"/>
    <w:rsid w:val="0096281D"/>
    <w:rsid w:val="00963583"/>
    <w:rsid w:val="0096578D"/>
    <w:rsid w:val="00967265"/>
    <w:rsid w:val="00970255"/>
    <w:rsid w:val="0097166F"/>
    <w:rsid w:val="00980A00"/>
    <w:rsid w:val="00987DCE"/>
    <w:rsid w:val="00991F43"/>
    <w:rsid w:val="0099705F"/>
    <w:rsid w:val="00997E57"/>
    <w:rsid w:val="009A246C"/>
    <w:rsid w:val="009A5FB1"/>
    <w:rsid w:val="009A621E"/>
    <w:rsid w:val="009B770E"/>
    <w:rsid w:val="009C0ADA"/>
    <w:rsid w:val="009C1E58"/>
    <w:rsid w:val="009C223A"/>
    <w:rsid w:val="009C2E20"/>
    <w:rsid w:val="009C7F73"/>
    <w:rsid w:val="009D0E0C"/>
    <w:rsid w:val="009D2707"/>
    <w:rsid w:val="009E04AC"/>
    <w:rsid w:val="009E06AA"/>
    <w:rsid w:val="009E15AA"/>
    <w:rsid w:val="009E448F"/>
    <w:rsid w:val="009E60A5"/>
    <w:rsid w:val="009E6803"/>
    <w:rsid w:val="009E68D7"/>
    <w:rsid w:val="009F0DB0"/>
    <w:rsid w:val="009F29F1"/>
    <w:rsid w:val="00A03652"/>
    <w:rsid w:val="00A0605F"/>
    <w:rsid w:val="00A12219"/>
    <w:rsid w:val="00A12348"/>
    <w:rsid w:val="00A13798"/>
    <w:rsid w:val="00A202D8"/>
    <w:rsid w:val="00A2339F"/>
    <w:rsid w:val="00A323D1"/>
    <w:rsid w:val="00A36DE5"/>
    <w:rsid w:val="00A40D1A"/>
    <w:rsid w:val="00A453CD"/>
    <w:rsid w:val="00A458CE"/>
    <w:rsid w:val="00A50AFD"/>
    <w:rsid w:val="00A50B82"/>
    <w:rsid w:val="00A56616"/>
    <w:rsid w:val="00A62B5F"/>
    <w:rsid w:val="00A64F05"/>
    <w:rsid w:val="00A724C9"/>
    <w:rsid w:val="00A725A3"/>
    <w:rsid w:val="00A739C0"/>
    <w:rsid w:val="00A762A2"/>
    <w:rsid w:val="00A76610"/>
    <w:rsid w:val="00A7787D"/>
    <w:rsid w:val="00A81FA5"/>
    <w:rsid w:val="00A83428"/>
    <w:rsid w:val="00A8529F"/>
    <w:rsid w:val="00A856CF"/>
    <w:rsid w:val="00A9223F"/>
    <w:rsid w:val="00A94A07"/>
    <w:rsid w:val="00A960F5"/>
    <w:rsid w:val="00AC20AC"/>
    <w:rsid w:val="00AD1C4A"/>
    <w:rsid w:val="00AD2D45"/>
    <w:rsid w:val="00AD30BC"/>
    <w:rsid w:val="00AD3F3E"/>
    <w:rsid w:val="00AD5F3A"/>
    <w:rsid w:val="00AE030A"/>
    <w:rsid w:val="00AE134C"/>
    <w:rsid w:val="00AE480E"/>
    <w:rsid w:val="00AE4C20"/>
    <w:rsid w:val="00AE51E1"/>
    <w:rsid w:val="00AF3013"/>
    <w:rsid w:val="00AF420E"/>
    <w:rsid w:val="00B03406"/>
    <w:rsid w:val="00B14493"/>
    <w:rsid w:val="00B20E23"/>
    <w:rsid w:val="00B21677"/>
    <w:rsid w:val="00B40154"/>
    <w:rsid w:val="00B4248B"/>
    <w:rsid w:val="00B44FD1"/>
    <w:rsid w:val="00B479BC"/>
    <w:rsid w:val="00B50130"/>
    <w:rsid w:val="00B52BB1"/>
    <w:rsid w:val="00B52E93"/>
    <w:rsid w:val="00B540D2"/>
    <w:rsid w:val="00B55157"/>
    <w:rsid w:val="00B60C01"/>
    <w:rsid w:val="00B61588"/>
    <w:rsid w:val="00B71EDC"/>
    <w:rsid w:val="00B72482"/>
    <w:rsid w:val="00B72733"/>
    <w:rsid w:val="00B73C69"/>
    <w:rsid w:val="00B74E98"/>
    <w:rsid w:val="00B81EE2"/>
    <w:rsid w:val="00B850ED"/>
    <w:rsid w:val="00B87337"/>
    <w:rsid w:val="00B87D47"/>
    <w:rsid w:val="00B94DC5"/>
    <w:rsid w:val="00B956C6"/>
    <w:rsid w:val="00BB351D"/>
    <w:rsid w:val="00BB3693"/>
    <w:rsid w:val="00BB514A"/>
    <w:rsid w:val="00BB6DE2"/>
    <w:rsid w:val="00BC0A12"/>
    <w:rsid w:val="00BC3CEB"/>
    <w:rsid w:val="00BD098E"/>
    <w:rsid w:val="00BD2829"/>
    <w:rsid w:val="00BD515C"/>
    <w:rsid w:val="00BD7EB7"/>
    <w:rsid w:val="00BE2684"/>
    <w:rsid w:val="00BE5303"/>
    <w:rsid w:val="00BE6B5A"/>
    <w:rsid w:val="00BE7108"/>
    <w:rsid w:val="00BF429B"/>
    <w:rsid w:val="00BF4E80"/>
    <w:rsid w:val="00BF655A"/>
    <w:rsid w:val="00BF7878"/>
    <w:rsid w:val="00C133CE"/>
    <w:rsid w:val="00C23015"/>
    <w:rsid w:val="00C25F98"/>
    <w:rsid w:val="00C30E8A"/>
    <w:rsid w:val="00C35C1D"/>
    <w:rsid w:val="00C3676C"/>
    <w:rsid w:val="00C450A1"/>
    <w:rsid w:val="00C45142"/>
    <w:rsid w:val="00C53A5F"/>
    <w:rsid w:val="00C54D16"/>
    <w:rsid w:val="00C61FFD"/>
    <w:rsid w:val="00C743F2"/>
    <w:rsid w:val="00C749C1"/>
    <w:rsid w:val="00C777EF"/>
    <w:rsid w:val="00C87ACA"/>
    <w:rsid w:val="00C93C4D"/>
    <w:rsid w:val="00C96860"/>
    <w:rsid w:val="00C97857"/>
    <w:rsid w:val="00CA04B5"/>
    <w:rsid w:val="00CA43F1"/>
    <w:rsid w:val="00CB1222"/>
    <w:rsid w:val="00CB2785"/>
    <w:rsid w:val="00CC0DA8"/>
    <w:rsid w:val="00CC4560"/>
    <w:rsid w:val="00CC7720"/>
    <w:rsid w:val="00CD35C1"/>
    <w:rsid w:val="00CD6E27"/>
    <w:rsid w:val="00CE3D98"/>
    <w:rsid w:val="00CE5F76"/>
    <w:rsid w:val="00CF0921"/>
    <w:rsid w:val="00CF35FD"/>
    <w:rsid w:val="00CF7821"/>
    <w:rsid w:val="00D03E2E"/>
    <w:rsid w:val="00D04329"/>
    <w:rsid w:val="00D07DBC"/>
    <w:rsid w:val="00D10175"/>
    <w:rsid w:val="00D17F87"/>
    <w:rsid w:val="00D23F23"/>
    <w:rsid w:val="00D2545C"/>
    <w:rsid w:val="00D31CF9"/>
    <w:rsid w:val="00D35F93"/>
    <w:rsid w:val="00D42D24"/>
    <w:rsid w:val="00D44505"/>
    <w:rsid w:val="00D44EF0"/>
    <w:rsid w:val="00D51F42"/>
    <w:rsid w:val="00D528C8"/>
    <w:rsid w:val="00D56B2D"/>
    <w:rsid w:val="00D6030B"/>
    <w:rsid w:val="00D81DBE"/>
    <w:rsid w:val="00D84BF6"/>
    <w:rsid w:val="00D858D9"/>
    <w:rsid w:val="00D9145B"/>
    <w:rsid w:val="00DA4D5E"/>
    <w:rsid w:val="00DA4ECE"/>
    <w:rsid w:val="00DA591A"/>
    <w:rsid w:val="00DA6C00"/>
    <w:rsid w:val="00DA7E87"/>
    <w:rsid w:val="00DB0391"/>
    <w:rsid w:val="00DB36D5"/>
    <w:rsid w:val="00DB3DD9"/>
    <w:rsid w:val="00DB7C69"/>
    <w:rsid w:val="00DC17F6"/>
    <w:rsid w:val="00DC611C"/>
    <w:rsid w:val="00DD1ED4"/>
    <w:rsid w:val="00DD358A"/>
    <w:rsid w:val="00DD5B90"/>
    <w:rsid w:val="00DD6E44"/>
    <w:rsid w:val="00DE01BF"/>
    <w:rsid w:val="00DE2296"/>
    <w:rsid w:val="00DE311F"/>
    <w:rsid w:val="00DE6421"/>
    <w:rsid w:val="00DE6BD9"/>
    <w:rsid w:val="00DF113F"/>
    <w:rsid w:val="00E07358"/>
    <w:rsid w:val="00E10E4E"/>
    <w:rsid w:val="00E1106C"/>
    <w:rsid w:val="00E11893"/>
    <w:rsid w:val="00E13E1C"/>
    <w:rsid w:val="00E1503E"/>
    <w:rsid w:val="00E210FE"/>
    <w:rsid w:val="00E215B0"/>
    <w:rsid w:val="00E21BFE"/>
    <w:rsid w:val="00E21E2C"/>
    <w:rsid w:val="00E226CA"/>
    <w:rsid w:val="00E250C4"/>
    <w:rsid w:val="00E31E7A"/>
    <w:rsid w:val="00E32D74"/>
    <w:rsid w:val="00E3632C"/>
    <w:rsid w:val="00E37FDE"/>
    <w:rsid w:val="00E44F05"/>
    <w:rsid w:val="00E469DB"/>
    <w:rsid w:val="00E508F6"/>
    <w:rsid w:val="00E5446E"/>
    <w:rsid w:val="00E5632B"/>
    <w:rsid w:val="00E56498"/>
    <w:rsid w:val="00E61B17"/>
    <w:rsid w:val="00E6258F"/>
    <w:rsid w:val="00E62D5A"/>
    <w:rsid w:val="00E63807"/>
    <w:rsid w:val="00E673E8"/>
    <w:rsid w:val="00E67923"/>
    <w:rsid w:val="00E73690"/>
    <w:rsid w:val="00E74A02"/>
    <w:rsid w:val="00E74BC6"/>
    <w:rsid w:val="00E76E02"/>
    <w:rsid w:val="00E94401"/>
    <w:rsid w:val="00E94D8F"/>
    <w:rsid w:val="00E972AE"/>
    <w:rsid w:val="00EA3670"/>
    <w:rsid w:val="00EA7640"/>
    <w:rsid w:val="00EB0C90"/>
    <w:rsid w:val="00EB3725"/>
    <w:rsid w:val="00EB5F91"/>
    <w:rsid w:val="00EB7C70"/>
    <w:rsid w:val="00EC3447"/>
    <w:rsid w:val="00EC70F4"/>
    <w:rsid w:val="00EC78EE"/>
    <w:rsid w:val="00ED0B7A"/>
    <w:rsid w:val="00ED4073"/>
    <w:rsid w:val="00EE02F7"/>
    <w:rsid w:val="00EE0D22"/>
    <w:rsid w:val="00EE51BE"/>
    <w:rsid w:val="00EE5D03"/>
    <w:rsid w:val="00EF00E9"/>
    <w:rsid w:val="00EF2F48"/>
    <w:rsid w:val="00EF34A1"/>
    <w:rsid w:val="00EF5F74"/>
    <w:rsid w:val="00F0184E"/>
    <w:rsid w:val="00F025B1"/>
    <w:rsid w:val="00F02A66"/>
    <w:rsid w:val="00F12467"/>
    <w:rsid w:val="00F14BB3"/>
    <w:rsid w:val="00F24767"/>
    <w:rsid w:val="00F2726C"/>
    <w:rsid w:val="00F2799D"/>
    <w:rsid w:val="00F3403F"/>
    <w:rsid w:val="00F3563F"/>
    <w:rsid w:val="00F37F0C"/>
    <w:rsid w:val="00F43355"/>
    <w:rsid w:val="00F440A6"/>
    <w:rsid w:val="00F50CA9"/>
    <w:rsid w:val="00F57C4E"/>
    <w:rsid w:val="00F628AA"/>
    <w:rsid w:val="00F724F4"/>
    <w:rsid w:val="00F7329A"/>
    <w:rsid w:val="00F746A3"/>
    <w:rsid w:val="00F828B6"/>
    <w:rsid w:val="00F8439F"/>
    <w:rsid w:val="00F85D29"/>
    <w:rsid w:val="00F868B3"/>
    <w:rsid w:val="00F93416"/>
    <w:rsid w:val="00FA7DD3"/>
    <w:rsid w:val="00FB077E"/>
    <w:rsid w:val="00FB0E73"/>
    <w:rsid w:val="00FB5275"/>
    <w:rsid w:val="00FB5B94"/>
    <w:rsid w:val="00FC3D83"/>
    <w:rsid w:val="00FC72EA"/>
    <w:rsid w:val="00FD095B"/>
    <w:rsid w:val="00FD1DC8"/>
    <w:rsid w:val="00FD3ABE"/>
    <w:rsid w:val="00FD5AAB"/>
    <w:rsid w:val="00FD7D10"/>
    <w:rsid w:val="00FE5E3D"/>
    <w:rsid w:val="00FF2859"/>
    <w:rsid w:val="00FF31CD"/>
    <w:rsid w:val="019D47B9"/>
    <w:rsid w:val="01E3668E"/>
    <w:rsid w:val="030B049D"/>
    <w:rsid w:val="0318372E"/>
    <w:rsid w:val="03373C6A"/>
    <w:rsid w:val="039879E3"/>
    <w:rsid w:val="039B4D74"/>
    <w:rsid w:val="03D03373"/>
    <w:rsid w:val="03E94696"/>
    <w:rsid w:val="040C727D"/>
    <w:rsid w:val="04E411EF"/>
    <w:rsid w:val="05556557"/>
    <w:rsid w:val="075F684B"/>
    <w:rsid w:val="07676055"/>
    <w:rsid w:val="07E71CB2"/>
    <w:rsid w:val="07EA36D8"/>
    <w:rsid w:val="08256F5E"/>
    <w:rsid w:val="08CF2C57"/>
    <w:rsid w:val="090B5543"/>
    <w:rsid w:val="09812927"/>
    <w:rsid w:val="09C757FE"/>
    <w:rsid w:val="09EE244D"/>
    <w:rsid w:val="0B2B298E"/>
    <w:rsid w:val="0BAF70CA"/>
    <w:rsid w:val="0CA00214"/>
    <w:rsid w:val="0D555EA4"/>
    <w:rsid w:val="0F4368E2"/>
    <w:rsid w:val="0FD64E9F"/>
    <w:rsid w:val="0FFD2F87"/>
    <w:rsid w:val="10234A2C"/>
    <w:rsid w:val="107A5B8B"/>
    <w:rsid w:val="10D47789"/>
    <w:rsid w:val="11DE5594"/>
    <w:rsid w:val="11E626AA"/>
    <w:rsid w:val="12184CF4"/>
    <w:rsid w:val="1247170C"/>
    <w:rsid w:val="12970D1A"/>
    <w:rsid w:val="12F05FDF"/>
    <w:rsid w:val="136E2957"/>
    <w:rsid w:val="137D6D32"/>
    <w:rsid w:val="13B711D0"/>
    <w:rsid w:val="14EC47FC"/>
    <w:rsid w:val="153F4085"/>
    <w:rsid w:val="164F4AE9"/>
    <w:rsid w:val="16951897"/>
    <w:rsid w:val="16FC0AD4"/>
    <w:rsid w:val="16FC72A3"/>
    <w:rsid w:val="17521041"/>
    <w:rsid w:val="18303E4E"/>
    <w:rsid w:val="183B3024"/>
    <w:rsid w:val="187D25E1"/>
    <w:rsid w:val="190B0DDA"/>
    <w:rsid w:val="1982059A"/>
    <w:rsid w:val="19D30A81"/>
    <w:rsid w:val="1A1C4CC1"/>
    <w:rsid w:val="1A7D432C"/>
    <w:rsid w:val="1A8E1C35"/>
    <w:rsid w:val="1AA93DAA"/>
    <w:rsid w:val="1AC87762"/>
    <w:rsid w:val="1AE37446"/>
    <w:rsid w:val="1B3D52AC"/>
    <w:rsid w:val="1C1C2D2B"/>
    <w:rsid w:val="1C5A6AF0"/>
    <w:rsid w:val="1D135ACD"/>
    <w:rsid w:val="1D4B162F"/>
    <w:rsid w:val="1D854DA5"/>
    <w:rsid w:val="1DCC4875"/>
    <w:rsid w:val="1DEA0D45"/>
    <w:rsid w:val="1DF63C75"/>
    <w:rsid w:val="1E440E37"/>
    <w:rsid w:val="1EF66935"/>
    <w:rsid w:val="1EFA5570"/>
    <w:rsid w:val="1F39529A"/>
    <w:rsid w:val="201C7665"/>
    <w:rsid w:val="203F0445"/>
    <w:rsid w:val="20E24984"/>
    <w:rsid w:val="21974298"/>
    <w:rsid w:val="21B751FF"/>
    <w:rsid w:val="21BA155E"/>
    <w:rsid w:val="2217065D"/>
    <w:rsid w:val="22B365D8"/>
    <w:rsid w:val="23011885"/>
    <w:rsid w:val="23284CD5"/>
    <w:rsid w:val="242C0D42"/>
    <w:rsid w:val="24352BD0"/>
    <w:rsid w:val="248D49C9"/>
    <w:rsid w:val="2598673B"/>
    <w:rsid w:val="26A240AC"/>
    <w:rsid w:val="27000ED6"/>
    <w:rsid w:val="2718689D"/>
    <w:rsid w:val="27B73BDA"/>
    <w:rsid w:val="28114D91"/>
    <w:rsid w:val="2875217A"/>
    <w:rsid w:val="29094780"/>
    <w:rsid w:val="2933151B"/>
    <w:rsid w:val="29BD20C6"/>
    <w:rsid w:val="2A64640A"/>
    <w:rsid w:val="2AB6426C"/>
    <w:rsid w:val="2B3D2E5A"/>
    <w:rsid w:val="2B5217A2"/>
    <w:rsid w:val="2BCB7E65"/>
    <w:rsid w:val="2D60377E"/>
    <w:rsid w:val="2E112CF8"/>
    <w:rsid w:val="2E175E27"/>
    <w:rsid w:val="2E2472C0"/>
    <w:rsid w:val="2E77608F"/>
    <w:rsid w:val="2EB90B27"/>
    <w:rsid w:val="2FD45881"/>
    <w:rsid w:val="31C76A7D"/>
    <w:rsid w:val="32B0301E"/>
    <w:rsid w:val="33145D4B"/>
    <w:rsid w:val="33875DE7"/>
    <w:rsid w:val="347A44C1"/>
    <w:rsid w:val="36A23F79"/>
    <w:rsid w:val="371D7242"/>
    <w:rsid w:val="379530B0"/>
    <w:rsid w:val="37CA17EF"/>
    <w:rsid w:val="37E21516"/>
    <w:rsid w:val="38961FAC"/>
    <w:rsid w:val="39585E8C"/>
    <w:rsid w:val="39B94FA7"/>
    <w:rsid w:val="39DE364D"/>
    <w:rsid w:val="3A072C05"/>
    <w:rsid w:val="3A340E0C"/>
    <w:rsid w:val="3A623163"/>
    <w:rsid w:val="3A880C39"/>
    <w:rsid w:val="3AB32AA6"/>
    <w:rsid w:val="3B12399E"/>
    <w:rsid w:val="3B58230A"/>
    <w:rsid w:val="3BB92AC4"/>
    <w:rsid w:val="3C601004"/>
    <w:rsid w:val="3CE826A2"/>
    <w:rsid w:val="3D522044"/>
    <w:rsid w:val="3DBF3F65"/>
    <w:rsid w:val="3E2D75AB"/>
    <w:rsid w:val="3EC01B26"/>
    <w:rsid w:val="40FB303F"/>
    <w:rsid w:val="40FC0E7C"/>
    <w:rsid w:val="412E6E7D"/>
    <w:rsid w:val="41C20830"/>
    <w:rsid w:val="41E17F71"/>
    <w:rsid w:val="43574A95"/>
    <w:rsid w:val="43E918C2"/>
    <w:rsid w:val="44052591"/>
    <w:rsid w:val="447874F5"/>
    <w:rsid w:val="4488654E"/>
    <w:rsid w:val="44AD37C2"/>
    <w:rsid w:val="44C270DD"/>
    <w:rsid w:val="45C63F6B"/>
    <w:rsid w:val="45FD1C32"/>
    <w:rsid w:val="46126A91"/>
    <w:rsid w:val="461D114A"/>
    <w:rsid w:val="46553F70"/>
    <w:rsid w:val="4676545F"/>
    <w:rsid w:val="46D71190"/>
    <w:rsid w:val="47A41215"/>
    <w:rsid w:val="47C87B80"/>
    <w:rsid w:val="47E0151E"/>
    <w:rsid w:val="48FB7925"/>
    <w:rsid w:val="49887406"/>
    <w:rsid w:val="49E90461"/>
    <w:rsid w:val="4A0013A3"/>
    <w:rsid w:val="4A3E56FF"/>
    <w:rsid w:val="4A947588"/>
    <w:rsid w:val="4A9B7242"/>
    <w:rsid w:val="4ADB6EF6"/>
    <w:rsid w:val="4BEB429E"/>
    <w:rsid w:val="4CC21B78"/>
    <w:rsid w:val="4CC81ED1"/>
    <w:rsid w:val="4DB50BA7"/>
    <w:rsid w:val="4E3C76DF"/>
    <w:rsid w:val="4F323F7C"/>
    <w:rsid w:val="4FAC20B8"/>
    <w:rsid w:val="525E6FE1"/>
    <w:rsid w:val="526D11A3"/>
    <w:rsid w:val="543224C9"/>
    <w:rsid w:val="550F2F8A"/>
    <w:rsid w:val="551F5FB4"/>
    <w:rsid w:val="5568038F"/>
    <w:rsid w:val="568D5C1A"/>
    <w:rsid w:val="57B605E0"/>
    <w:rsid w:val="596C141E"/>
    <w:rsid w:val="59BF1827"/>
    <w:rsid w:val="59E21771"/>
    <w:rsid w:val="5A05778A"/>
    <w:rsid w:val="5A547A46"/>
    <w:rsid w:val="5A5B45D0"/>
    <w:rsid w:val="5AA71621"/>
    <w:rsid w:val="5B121DAD"/>
    <w:rsid w:val="5B671C0F"/>
    <w:rsid w:val="5B6D3AB4"/>
    <w:rsid w:val="5BEC795B"/>
    <w:rsid w:val="5CAA0CD4"/>
    <w:rsid w:val="5CD831D0"/>
    <w:rsid w:val="5CF74DCB"/>
    <w:rsid w:val="5E0A34C5"/>
    <w:rsid w:val="5E2F4613"/>
    <w:rsid w:val="5E421925"/>
    <w:rsid w:val="5E886C8E"/>
    <w:rsid w:val="5E895323"/>
    <w:rsid w:val="5FB57681"/>
    <w:rsid w:val="5FE7257E"/>
    <w:rsid w:val="600D5478"/>
    <w:rsid w:val="60744F5F"/>
    <w:rsid w:val="60DE6BD0"/>
    <w:rsid w:val="61141E2A"/>
    <w:rsid w:val="62735759"/>
    <w:rsid w:val="629B497D"/>
    <w:rsid w:val="62F11F34"/>
    <w:rsid w:val="633126B5"/>
    <w:rsid w:val="63A63014"/>
    <w:rsid w:val="63F36350"/>
    <w:rsid w:val="646C600B"/>
    <w:rsid w:val="64D272F5"/>
    <w:rsid w:val="64F12EE0"/>
    <w:rsid w:val="652B365C"/>
    <w:rsid w:val="65400A6D"/>
    <w:rsid w:val="65613ED1"/>
    <w:rsid w:val="65B417D0"/>
    <w:rsid w:val="65BF2413"/>
    <w:rsid w:val="65DC2519"/>
    <w:rsid w:val="66A17AC3"/>
    <w:rsid w:val="66AD28B5"/>
    <w:rsid w:val="66BA4709"/>
    <w:rsid w:val="66CF3A21"/>
    <w:rsid w:val="66E76CB7"/>
    <w:rsid w:val="6704617D"/>
    <w:rsid w:val="674F09BF"/>
    <w:rsid w:val="67BC62F7"/>
    <w:rsid w:val="67CF7ACC"/>
    <w:rsid w:val="67D8728E"/>
    <w:rsid w:val="682812C9"/>
    <w:rsid w:val="68A546C1"/>
    <w:rsid w:val="68EF06C4"/>
    <w:rsid w:val="68EF06EF"/>
    <w:rsid w:val="697857D2"/>
    <w:rsid w:val="69DF74C2"/>
    <w:rsid w:val="69FD72F2"/>
    <w:rsid w:val="6A2D37A1"/>
    <w:rsid w:val="6B213DFE"/>
    <w:rsid w:val="6B73167E"/>
    <w:rsid w:val="6B8D23E5"/>
    <w:rsid w:val="6C2E6926"/>
    <w:rsid w:val="6DA31A39"/>
    <w:rsid w:val="6DD3498E"/>
    <w:rsid w:val="6DFA4C55"/>
    <w:rsid w:val="6E937920"/>
    <w:rsid w:val="6EB314F8"/>
    <w:rsid w:val="6F057709"/>
    <w:rsid w:val="6F0C1C24"/>
    <w:rsid w:val="6FB602B0"/>
    <w:rsid w:val="6FDD64C8"/>
    <w:rsid w:val="70EF5CA0"/>
    <w:rsid w:val="710F11BD"/>
    <w:rsid w:val="715E48D9"/>
    <w:rsid w:val="71BA5C58"/>
    <w:rsid w:val="72310CB1"/>
    <w:rsid w:val="736A172E"/>
    <w:rsid w:val="736B28E0"/>
    <w:rsid w:val="736F44A7"/>
    <w:rsid w:val="73825BA9"/>
    <w:rsid w:val="73A237D1"/>
    <w:rsid w:val="742B71C1"/>
    <w:rsid w:val="76B01F0C"/>
    <w:rsid w:val="771148DC"/>
    <w:rsid w:val="778D527D"/>
    <w:rsid w:val="77C01E1F"/>
    <w:rsid w:val="77D3401C"/>
    <w:rsid w:val="783424EA"/>
    <w:rsid w:val="7852547D"/>
    <w:rsid w:val="785978ED"/>
    <w:rsid w:val="78E22364"/>
    <w:rsid w:val="795954E1"/>
    <w:rsid w:val="7AE237F5"/>
    <w:rsid w:val="7B091FD9"/>
    <w:rsid w:val="7B4E709B"/>
    <w:rsid w:val="7B512CCA"/>
    <w:rsid w:val="7B7D1985"/>
    <w:rsid w:val="7B7F08C0"/>
    <w:rsid w:val="7BF44604"/>
    <w:rsid w:val="7C084BE1"/>
    <w:rsid w:val="7C0B29FC"/>
    <w:rsid w:val="7C0C4A04"/>
    <w:rsid w:val="7D0422CB"/>
    <w:rsid w:val="7D152224"/>
    <w:rsid w:val="7D4071CA"/>
    <w:rsid w:val="7DEA6D20"/>
    <w:rsid w:val="7E3941EE"/>
    <w:rsid w:val="7E881798"/>
    <w:rsid w:val="7F4D0AA3"/>
    <w:rsid w:val="7FEC2F14"/>
    <w:rsid w:val="7FF3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40"/>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4">
    <w:name w:val="heading 2"/>
    <w:basedOn w:val="1"/>
    <w:next w:val="1"/>
    <w:link w:val="4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2"/>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Lines="100" w:line="360" w:lineRule="auto"/>
      <w:outlineLvl w:val="3"/>
    </w:pPr>
    <w:rPr>
      <w:rFonts w:ascii="Arial" w:hAnsi="Arial"/>
      <w:b/>
      <w:bCs/>
      <w:sz w:val="24"/>
      <w:szCs w:val="28"/>
    </w:rPr>
  </w:style>
  <w:style w:type="paragraph" w:styleId="7">
    <w:name w:val="heading 5"/>
    <w:basedOn w:val="1"/>
    <w:next w:val="1"/>
    <w:qFormat/>
    <w:uiPriority w:val="0"/>
    <w:pPr>
      <w:keepNext/>
      <w:keepLines/>
      <w:spacing w:after="120" w:line="360" w:lineRule="auto"/>
      <w:outlineLvl w:val="4"/>
    </w:pPr>
    <w:rPr>
      <w:rFonts w:eastAsia="微软雅黑"/>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8">
    <w:name w:val="Normal Indent"/>
    <w:basedOn w:val="1"/>
    <w:link w:val="36"/>
    <w:qFormat/>
    <w:uiPriority w:val="0"/>
    <w:pPr>
      <w:ind w:firstLine="420"/>
    </w:pPr>
  </w:style>
  <w:style w:type="paragraph" w:styleId="9">
    <w:name w:val="Document Map"/>
    <w:basedOn w:val="1"/>
    <w:link w:val="38"/>
    <w:unhideWhenUsed/>
    <w:qFormat/>
    <w:uiPriority w:val="0"/>
    <w:rPr>
      <w:rFonts w:ascii="宋体"/>
      <w:sz w:val="18"/>
      <w:szCs w:val="18"/>
    </w:rPr>
  </w:style>
  <w:style w:type="paragraph" w:styleId="10">
    <w:name w:val="Body Text"/>
    <w:basedOn w:val="1"/>
    <w:link w:val="45"/>
    <w:qFormat/>
    <w:uiPriority w:val="0"/>
    <w:pPr>
      <w:widowControl w:val="0"/>
      <w:spacing w:line="360" w:lineRule="auto"/>
      <w:jc w:val="both"/>
    </w:pPr>
    <w:rPr>
      <w:rFonts w:ascii="楷体_GB2312" w:eastAsia="楷体_GB2312"/>
      <w:kern w:val="2"/>
      <w:sz w:val="32"/>
    </w:rPr>
  </w:style>
  <w:style w:type="paragraph" w:styleId="11">
    <w:name w:val="toc 3"/>
    <w:basedOn w:val="1"/>
    <w:next w:val="1"/>
    <w:unhideWhenUsed/>
    <w:qFormat/>
    <w:uiPriority w:val="0"/>
    <w:pPr>
      <w:ind w:left="840" w:leftChars="400"/>
    </w:pPr>
  </w:style>
  <w:style w:type="paragraph" w:styleId="12">
    <w:name w:val="Plain Text"/>
    <w:basedOn w:val="1"/>
    <w:next w:val="1"/>
    <w:link w:val="48"/>
    <w:qFormat/>
    <w:uiPriority w:val="0"/>
    <w:pPr>
      <w:widowControl w:val="0"/>
      <w:jc w:val="both"/>
    </w:pPr>
    <w:rPr>
      <w:rFonts w:ascii="宋体" w:hAnsi="Courier New"/>
      <w:kern w:val="2"/>
    </w:rPr>
  </w:style>
  <w:style w:type="paragraph" w:styleId="13">
    <w:name w:val="Date"/>
    <w:basedOn w:val="1"/>
    <w:next w:val="1"/>
    <w:qFormat/>
    <w:uiPriority w:val="0"/>
    <w:pPr>
      <w:widowControl w:val="0"/>
      <w:jc w:val="both"/>
    </w:pPr>
    <w:rPr>
      <w:rFonts w:ascii="宋体"/>
      <w:sz w:val="24"/>
    </w:rPr>
  </w:style>
  <w:style w:type="paragraph" w:styleId="14">
    <w:name w:val="Balloon Text"/>
    <w:basedOn w:val="1"/>
    <w:link w:val="42"/>
    <w:unhideWhenUsed/>
    <w:qFormat/>
    <w:uiPriority w:val="0"/>
    <w:rPr>
      <w:sz w:val="18"/>
      <w:szCs w:val="18"/>
    </w:rPr>
  </w:style>
  <w:style w:type="paragraph" w:styleId="15">
    <w:name w:val="footer"/>
    <w:basedOn w:val="1"/>
    <w:link w:val="44"/>
    <w:qFormat/>
    <w:uiPriority w:val="0"/>
    <w:pPr>
      <w:tabs>
        <w:tab w:val="center" w:pos="4153"/>
        <w:tab w:val="right" w:pos="8306"/>
      </w:tabs>
      <w:snapToGrid w:val="0"/>
    </w:pPr>
    <w:rPr>
      <w:sz w:val="18"/>
    </w:rPr>
  </w:style>
  <w:style w:type="paragraph" w:styleId="16">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middleDot" w:pos="8948"/>
      </w:tabs>
    </w:pPr>
    <w:rPr>
      <w:rFonts w:ascii="宋体" w:hAnsi="宋体"/>
      <w:b/>
      <w:bCs/>
      <w:caps/>
      <w:szCs w:val="21"/>
    </w:rPr>
  </w:style>
  <w:style w:type="paragraph" w:styleId="18">
    <w:name w:val="table of figures"/>
    <w:basedOn w:val="1"/>
    <w:next w:val="1"/>
    <w:qFormat/>
    <w:uiPriority w:val="99"/>
    <w:pPr>
      <w:tabs>
        <w:tab w:val="left" w:pos="1270"/>
      </w:tabs>
      <w:spacing w:line="360" w:lineRule="auto"/>
      <w:ind w:left="1270" w:hanging="420"/>
    </w:pPr>
    <w:rPr>
      <w:smallCaps/>
      <w:sz w:val="20"/>
    </w:rPr>
  </w:style>
  <w:style w:type="paragraph" w:styleId="19">
    <w:name w:val="toc 2"/>
    <w:basedOn w:val="1"/>
    <w:next w:val="1"/>
    <w:qFormat/>
    <w:uiPriority w:val="39"/>
    <w:pPr>
      <w:tabs>
        <w:tab w:val="right" w:leader="middleDot" w:pos="8948"/>
      </w:tabs>
      <w:spacing w:before="60" w:after="60"/>
      <w:ind w:left="210"/>
    </w:pPr>
    <w:rPr>
      <w:smallCaps/>
    </w:rPr>
  </w:style>
  <w:style w:type="paragraph" w:styleId="20">
    <w:name w:val="Normal (Web)"/>
    <w:basedOn w:val="1"/>
    <w:qFormat/>
    <w:uiPriority w:val="0"/>
    <w:pPr>
      <w:spacing w:before="100" w:beforeAutospacing="1" w:after="100" w:afterAutospacing="1"/>
    </w:pPr>
    <w:rPr>
      <w:rFonts w:ascii="Arial Unicode MS" w:hAnsi="Arial Unicode MS" w:eastAsia="Times New Roman"/>
      <w:color w:val="000000"/>
      <w:sz w:val="24"/>
      <w:szCs w:val="24"/>
    </w:rPr>
  </w:style>
  <w:style w:type="paragraph" w:styleId="21">
    <w:name w:val="Body Text First Indent"/>
    <w:basedOn w:val="10"/>
    <w:link w:val="35"/>
    <w:qFormat/>
    <w:uiPriority w:val="0"/>
    <w:pPr>
      <w:widowControl/>
      <w:spacing w:after="120" w:line="240" w:lineRule="auto"/>
      <w:ind w:firstLine="420" w:firstLineChars="100"/>
      <w:jc w:val="left"/>
    </w:pPr>
    <w:rPr>
      <w:rFonts w:ascii="Times New Roman"/>
      <w:sz w:val="21"/>
    </w:rPr>
  </w:style>
  <w:style w:type="paragraph" w:styleId="22">
    <w:name w:val="Body Text First Indent 2"/>
    <w:basedOn w:val="2"/>
    <w:next w:val="23"/>
    <w:qFormat/>
    <w:uiPriority w:val="0"/>
    <w:pPr>
      <w:tabs>
        <w:tab w:val="left" w:pos="0"/>
        <w:tab w:val="left" w:pos="993"/>
        <w:tab w:val="left" w:pos="1134"/>
      </w:tabs>
      <w:ind w:left="0" w:leftChars="0" w:firstLine="420"/>
    </w:pPr>
  </w:style>
  <w:style w:type="paragraph" w:customStyle="1" w:styleId="23">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customStyle="1" w:styleId="32">
    <w:name w:val="标题 3 Char"/>
    <w:link w:val="5"/>
    <w:qFormat/>
    <w:uiPriority w:val="0"/>
    <w:rPr>
      <w:rFonts w:eastAsia="宋体"/>
      <w:b/>
      <w:bCs/>
      <w:sz w:val="32"/>
      <w:szCs w:val="32"/>
      <w:lang w:bidi="ar-SA"/>
    </w:rPr>
  </w:style>
  <w:style w:type="character" w:customStyle="1" w:styleId="33">
    <w:name w:val="hang1"/>
    <w:basedOn w:val="26"/>
    <w:qFormat/>
    <w:uiPriority w:val="0"/>
  </w:style>
  <w:style w:type="character" w:customStyle="1" w:styleId="34">
    <w:name w:val="font01"/>
    <w:basedOn w:val="26"/>
    <w:qFormat/>
    <w:uiPriority w:val="0"/>
    <w:rPr>
      <w:rFonts w:hint="eastAsia" w:ascii="宋体" w:hAnsi="宋体" w:eastAsia="宋体" w:cs="宋体"/>
      <w:color w:val="000000"/>
      <w:sz w:val="22"/>
      <w:szCs w:val="22"/>
      <w:u w:val="none"/>
    </w:rPr>
  </w:style>
  <w:style w:type="character" w:customStyle="1" w:styleId="35">
    <w:name w:val="正文首行缩进 Char"/>
    <w:link w:val="21"/>
    <w:qFormat/>
    <w:uiPriority w:val="0"/>
    <w:rPr>
      <w:rFonts w:eastAsia="楷体_GB2312"/>
      <w:kern w:val="2"/>
      <w:sz w:val="21"/>
      <w:lang w:bidi="ar-SA"/>
    </w:rPr>
  </w:style>
  <w:style w:type="character" w:customStyle="1" w:styleId="36">
    <w:name w:val="正文缩进 Char"/>
    <w:link w:val="8"/>
    <w:qFormat/>
    <w:uiPriority w:val="0"/>
    <w:rPr>
      <w:rFonts w:eastAsia="宋体"/>
      <w:sz w:val="21"/>
      <w:lang w:bidi="ar-SA"/>
    </w:rPr>
  </w:style>
  <w:style w:type="character" w:customStyle="1" w:styleId="37">
    <w:name w:val="页眉 Char"/>
    <w:qFormat/>
    <w:uiPriority w:val="0"/>
    <w:rPr>
      <w:kern w:val="2"/>
      <w:sz w:val="18"/>
      <w:szCs w:val="18"/>
    </w:rPr>
  </w:style>
  <w:style w:type="character" w:customStyle="1" w:styleId="38">
    <w:name w:val="文档结构图 Char"/>
    <w:link w:val="9"/>
    <w:semiHidden/>
    <w:qFormat/>
    <w:uiPriority w:val="0"/>
    <w:rPr>
      <w:rFonts w:ascii="宋体" w:eastAsia="宋体"/>
      <w:sz w:val="18"/>
      <w:szCs w:val="18"/>
      <w:lang w:bidi="ar-SA"/>
    </w:rPr>
  </w:style>
  <w:style w:type="character" w:customStyle="1" w:styleId="39">
    <w:name w:val="apple-style-span"/>
    <w:qFormat/>
    <w:uiPriority w:val="0"/>
  </w:style>
  <w:style w:type="character" w:customStyle="1" w:styleId="40">
    <w:name w:val="标题 1 Char"/>
    <w:link w:val="3"/>
    <w:qFormat/>
    <w:uiPriority w:val="0"/>
    <w:rPr>
      <w:rFonts w:ascii="宋体" w:eastAsia="宋体"/>
      <w:b/>
      <w:kern w:val="44"/>
      <w:sz w:val="24"/>
      <w:lang w:bidi="ar-SA"/>
    </w:rPr>
  </w:style>
  <w:style w:type="character" w:customStyle="1" w:styleId="41">
    <w:name w:val="纯文本 Char Char Char Char Char Char Char Char Char Char Char Char Char Char3"/>
    <w:qFormat/>
    <w:uiPriority w:val="0"/>
    <w:rPr>
      <w:rFonts w:ascii="宋体" w:hAnsi="Courier New"/>
      <w:sz w:val="18"/>
      <w:lang w:bidi="ar-SA"/>
    </w:rPr>
  </w:style>
  <w:style w:type="character" w:customStyle="1" w:styleId="42">
    <w:name w:val="批注框文本 Char"/>
    <w:link w:val="14"/>
    <w:semiHidden/>
    <w:qFormat/>
    <w:uiPriority w:val="0"/>
    <w:rPr>
      <w:rFonts w:eastAsia="宋体"/>
      <w:sz w:val="18"/>
      <w:szCs w:val="18"/>
      <w:lang w:bidi="ar-SA"/>
    </w:rPr>
  </w:style>
  <w:style w:type="character" w:customStyle="1" w:styleId="43">
    <w:name w:val="标题 2 Char"/>
    <w:link w:val="4"/>
    <w:semiHidden/>
    <w:qFormat/>
    <w:uiPriority w:val="0"/>
    <w:rPr>
      <w:rFonts w:ascii="Cambria" w:hAnsi="Cambria" w:eastAsia="宋体"/>
      <w:b/>
      <w:bCs/>
      <w:sz w:val="32"/>
      <w:szCs w:val="32"/>
      <w:lang w:bidi="ar-SA"/>
    </w:rPr>
  </w:style>
  <w:style w:type="character" w:customStyle="1" w:styleId="44">
    <w:name w:val="页脚 Char"/>
    <w:link w:val="15"/>
    <w:qFormat/>
    <w:uiPriority w:val="0"/>
    <w:rPr>
      <w:rFonts w:eastAsia="宋体"/>
      <w:sz w:val="18"/>
      <w:lang w:bidi="ar-SA"/>
    </w:rPr>
  </w:style>
  <w:style w:type="character" w:customStyle="1" w:styleId="45">
    <w:name w:val="正文文本 Char"/>
    <w:link w:val="10"/>
    <w:qFormat/>
    <w:uiPriority w:val="0"/>
    <w:rPr>
      <w:rFonts w:ascii="楷体_GB2312" w:eastAsia="楷体_GB2312"/>
      <w:kern w:val="2"/>
      <w:sz w:val="32"/>
      <w:lang w:bidi="ar-SA"/>
    </w:rPr>
  </w:style>
  <w:style w:type="character" w:customStyle="1" w:styleId="46">
    <w:name w:val="Normal Indent Char"/>
    <w:qFormat/>
    <w:locked/>
    <w:uiPriority w:val="0"/>
    <w:rPr>
      <w:rFonts w:ascii="Calibri" w:hAnsi="Calibri" w:eastAsia="宋体"/>
      <w:kern w:val="2"/>
      <w:sz w:val="21"/>
    </w:rPr>
  </w:style>
  <w:style w:type="character" w:customStyle="1" w:styleId="47">
    <w:name w:val="页眉 Char1"/>
    <w:link w:val="16"/>
    <w:qFormat/>
    <w:uiPriority w:val="0"/>
    <w:rPr>
      <w:rFonts w:eastAsia="宋体"/>
      <w:sz w:val="18"/>
      <w:szCs w:val="18"/>
      <w:lang w:bidi="ar-SA"/>
    </w:rPr>
  </w:style>
  <w:style w:type="character" w:customStyle="1" w:styleId="48">
    <w:name w:val="纯文本 Char"/>
    <w:link w:val="12"/>
    <w:qFormat/>
    <w:uiPriority w:val="0"/>
    <w:rPr>
      <w:rFonts w:ascii="宋体" w:hAnsi="Courier New" w:eastAsia="宋体"/>
      <w:kern w:val="2"/>
      <w:sz w:val="21"/>
      <w:lang w:bidi="ar-SA"/>
    </w:rPr>
  </w:style>
  <w:style w:type="character" w:customStyle="1" w:styleId="49">
    <w:name w:val="neinongs1"/>
    <w:qFormat/>
    <w:uiPriority w:val="0"/>
  </w:style>
  <w:style w:type="character" w:customStyle="1" w:styleId="50">
    <w:name w:val="NormalCharacter"/>
    <w:semiHidden/>
    <w:qFormat/>
    <w:uiPriority w:val="0"/>
  </w:style>
  <w:style w:type="paragraph" w:customStyle="1" w:styleId="51">
    <w:name w:val="_Style 7"/>
    <w:basedOn w:val="10"/>
    <w:next w:val="21"/>
    <w:qFormat/>
    <w:uiPriority w:val="0"/>
    <w:pPr>
      <w:widowControl/>
      <w:ind w:firstLine="420" w:firstLineChars="100"/>
      <w:jc w:val="left"/>
    </w:pPr>
    <w:rPr>
      <w:rFonts w:ascii="Times New Roman"/>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basedOn w:val="11"/>
    <w:next w:val="1"/>
    <w:qFormat/>
    <w:uiPriority w:val="0"/>
    <w:pPr>
      <w:widowControl w:val="0"/>
      <w:jc w:val="both"/>
    </w:pPr>
    <w:rPr>
      <w:rFonts w:hint="eastAsia"/>
      <w:kern w:val="2"/>
    </w:rPr>
  </w:style>
  <w:style w:type="paragraph" w:customStyle="1" w:styleId="54">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55">
    <w:name w:val="列出段落1"/>
    <w:basedOn w:val="1"/>
    <w:qFormat/>
    <w:uiPriority w:val="99"/>
    <w:pPr>
      <w:ind w:firstLine="420" w:firstLineChars="200"/>
    </w:pPr>
  </w:style>
  <w:style w:type="paragraph" w:customStyle="1" w:styleId="56">
    <w:name w:val="正文首行缩进1"/>
    <w:basedOn w:val="10"/>
    <w:qFormat/>
    <w:uiPriority w:val="0"/>
    <w:pPr>
      <w:spacing w:after="120" w:line="240" w:lineRule="auto"/>
      <w:ind w:firstLine="420" w:firstLineChars="100"/>
    </w:pPr>
    <w:rPr>
      <w:rFonts w:ascii="Times New Roman" w:eastAsia="宋体"/>
      <w:sz w:val="21"/>
      <w:szCs w:val="24"/>
    </w:rPr>
  </w:style>
  <w:style w:type="paragraph" w:customStyle="1" w:styleId="57">
    <w:name w:val="Body Text First Indent1"/>
    <w:basedOn w:val="10"/>
    <w:qFormat/>
    <w:uiPriority w:val="99"/>
    <w:pPr>
      <w:adjustRightInd w:val="0"/>
      <w:spacing w:after="120"/>
      <w:ind w:firstLine="420"/>
      <w:textAlignment w:val="baseline"/>
    </w:pPr>
    <w:rPr>
      <w:sz w:val="24"/>
    </w:rPr>
  </w:style>
  <w:style w:type="paragraph" w:customStyle="1" w:styleId="5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表格文字"/>
    <w:basedOn w:val="1"/>
    <w:next w:val="10"/>
    <w:qFormat/>
    <w:uiPriority w:val="0"/>
    <w:pPr>
      <w:widowControl w:val="0"/>
    </w:pPr>
    <w:rPr>
      <w:rFonts w:ascii="Calibri" w:hAnsi="Calibri"/>
      <w:kern w:val="21"/>
      <w:szCs w:val="21"/>
    </w:rPr>
  </w:style>
  <w:style w:type="paragraph" w:customStyle="1" w:styleId="60">
    <w:name w:val="列出段落11"/>
    <w:basedOn w:val="1"/>
    <w:qFormat/>
    <w:uiPriority w:val="0"/>
    <w:pPr>
      <w:ind w:firstLine="420" w:firstLineChars="200"/>
    </w:pPr>
  </w:style>
  <w:style w:type="paragraph" w:customStyle="1" w:styleId="61">
    <w:name w:val="Char Char Char1 Char Char Char Char Char Char Char Char Char1"/>
    <w:basedOn w:val="1"/>
    <w:qFormat/>
    <w:uiPriority w:val="0"/>
    <w:pPr>
      <w:spacing w:after="160" w:line="240" w:lineRule="exact"/>
    </w:pPr>
    <w:rPr>
      <w:kern w:val="2"/>
      <w:szCs w:val="24"/>
    </w:rPr>
  </w:style>
  <w:style w:type="paragraph" w:customStyle="1" w:styleId="62">
    <w:name w:val="Char Char Char"/>
    <w:basedOn w:val="1"/>
    <w:qFormat/>
    <w:uiPriority w:val="0"/>
    <w:pPr>
      <w:widowControl w:val="0"/>
      <w:jc w:val="both"/>
    </w:pPr>
    <w:rPr>
      <w:kern w:val="2"/>
    </w:rPr>
  </w:style>
  <w:style w:type="paragraph" w:customStyle="1" w:styleId="63">
    <w:name w:val="正文11"/>
    <w:basedOn w:val="1"/>
    <w:qFormat/>
    <w:uiPriority w:val="0"/>
    <w:pPr>
      <w:adjustRightInd w:val="0"/>
      <w:spacing w:line="318" w:lineRule="atLeast"/>
      <w:ind w:left="369" w:firstLine="369"/>
      <w:textAlignment w:val="baseline"/>
    </w:pPr>
    <w:rPr>
      <w:rFonts w:ascii="宋体"/>
    </w:rPr>
  </w:style>
  <w:style w:type="paragraph" w:customStyle="1" w:styleId="64">
    <w:name w:val="Char Char"/>
    <w:basedOn w:val="1"/>
    <w:qFormat/>
    <w:uiPriority w:val="0"/>
    <w:pPr>
      <w:widowControl w:val="0"/>
      <w:jc w:val="both"/>
    </w:pPr>
    <w:rPr>
      <w:rFonts w:ascii="仿宋_GB2312" w:eastAsia="仿宋_GB2312"/>
      <w:b/>
      <w:kern w:val="2"/>
      <w:sz w:val="32"/>
      <w:szCs w:val="32"/>
    </w:rPr>
  </w:style>
  <w:style w:type="paragraph" w:customStyle="1" w:styleId="65">
    <w:name w:val="Char Char Char Char Char Char Char Char Char Char Char Char Char"/>
    <w:basedOn w:val="1"/>
    <w:qFormat/>
    <w:uiPriority w:val="0"/>
    <w:pPr>
      <w:widowControl w:val="0"/>
      <w:jc w:val="both"/>
    </w:pPr>
    <w:rPr>
      <w:rFonts w:ascii="仿宋_GB2312" w:hAnsi="宋体" w:eastAsia="仿宋_GB2312" w:cs="宋体"/>
      <w:b/>
      <w:bCs/>
      <w:color w:val="000000"/>
      <w:szCs w:val="21"/>
    </w:rPr>
  </w:style>
  <w:style w:type="paragraph" w:customStyle="1" w:styleId="66">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样式 正文文本缩进 + 左  0 字符"/>
    <w:basedOn w:val="2"/>
    <w:qFormat/>
    <w:uiPriority w:val="0"/>
    <w:pPr>
      <w:widowControl w:val="0"/>
      <w:spacing w:after="0" w:line="360" w:lineRule="auto"/>
      <w:ind w:left="0" w:leftChars="0" w:firstLine="250" w:firstLineChars="250"/>
      <w:jc w:val="both"/>
    </w:pPr>
    <w:rPr>
      <w:kern w:val="2"/>
      <w:sz w:val="24"/>
    </w:rPr>
  </w:style>
  <w:style w:type="paragraph" w:customStyle="1" w:styleId="69">
    <w:name w:val="Char Char1 Char Char Char Char Char Char"/>
    <w:basedOn w:val="1"/>
    <w:qFormat/>
    <w:uiPriority w:val="0"/>
    <w:pPr>
      <w:widowControl w:val="0"/>
      <w:spacing w:line="600" w:lineRule="exact"/>
      <w:jc w:val="both"/>
    </w:pPr>
    <w:rPr>
      <w:rFonts w:ascii="ˎ̥" w:hAnsi="ˎ̥" w:cs="宋体"/>
    </w:rPr>
  </w:style>
  <w:style w:type="paragraph" w:customStyle="1" w:styleId="70">
    <w:name w:val="Indent a)"/>
    <w:basedOn w:val="1"/>
    <w:qFormat/>
    <w:uiPriority w:val="0"/>
    <w:pPr>
      <w:tabs>
        <w:tab w:val="left" w:pos="1843"/>
        <w:tab w:val="right" w:pos="9072"/>
      </w:tabs>
      <w:suppressAutoHyphens/>
      <w:spacing w:line="360" w:lineRule="auto"/>
      <w:ind w:right="-21" w:rightChars="-10" w:firstLine="420" w:firstLineChars="175"/>
    </w:pPr>
    <w:rPr>
      <w:sz w:val="24"/>
    </w:rPr>
  </w:style>
  <w:style w:type="paragraph" w:customStyle="1" w:styleId="71">
    <w:name w:val="Table Paragraph"/>
    <w:basedOn w:val="1"/>
    <w:qFormat/>
    <w:uiPriority w:val="99"/>
    <w:rPr>
      <w:rFonts w:ascii="宋体" w:hAnsi="宋体" w:cs="宋体"/>
      <w:lang w:val="zh-CN"/>
    </w:rPr>
  </w:style>
  <w:style w:type="paragraph" w:customStyle="1" w:styleId="72">
    <w:name w:val="正文2"/>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20633</Words>
  <Characters>21627</Characters>
  <Lines>179</Lines>
  <Paragraphs>50</Paragraphs>
  <TotalTime>15</TotalTime>
  <ScaleCrop>false</ScaleCrop>
  <LinksUpToDate>false</LinksUpToDate>
  <CharactersWithSpaces>22687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2022-08-01T07:05:00Z</dcterms:created>
  <dc:creator>王桢之</dc:creator>
  <cp:lastModifiedBy>Nice。</cp:lastModifiedBy>
  <cp:lastPrinted>2022-10-25T06:18:00Z</cp:lastPrinted>
  <dcterms:modified xsi:type="dcterms:W3CDTF">2022-11-08T08:41:03Z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76092176D8B149879C71F174909E239C</vt:lpwstr>
  </property>
</Properties>
</file>