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60"/>
          <w:szCs w:val="52"/>
        </w:rPr>
      </w:pPr>
      <w:bookmarkStart w:id="0" w:name="_Toc177870533"/>
    </w:p>
    <w:p>
      <w:pPr>
        <w:jc w:val="center"/>
        <w:rPr>
          <w:rFonts w:ascii="宋体" w:hAnsi="宋体"/>
          <w:b/>
          <w:spacing w:val="-4"/>
          <w:sz w:val="48"/>
          <w:szCs w:val="48"/>
        </w:rPr>
      </w:pPr>
      <w:r>
        <w:rPr>
          <w:rFonts w:hint="eastAsia" w:ascii="宋体" w:hAnsi="宋体" w:eastAsia="宋体"/>
          <w:b/>
          <w:spacing w:val="-4"/>
          <w:sz w:val="48"/>
          <w:szCs w:val="48"/>
        </w:rPr>
        <w:t>湖州市吴兴区（含南太湖新区）门牌数据信息采集项目</w:t>
      </w:r>
    </w:p>
    <w:p>
      <w:pPr>
        <w:rPr>
          <w:rFonts w:ascii="宋体" w:hAnsi="宋体"/>
        </w:rPr>
      </w:pPr>
    </w:p>
    <w:p>
      <w:pPr>
        <w:rPr>
          <w:rFonts w:ascii="宋体" w:hAnsi="宋体"/>
        </w:rPr>
      </w:pPr>
    </w:p>
    <w:p>
      <w:pPr>
        <w:rPr>
          <w:rFonts w:ascii="宋体" w:hAnsi="宋体"/>
        </w:rPr>
      </w:pPr>
    </w:p>
    <w:p>
      <w:pPr>
        <w:adjustRightInd w:val="0"/>
        <w:snapToGrid w:val="0"/>
        <w:spacing w:line="600" w:lineRule="exact"/>
        <w:jc w:val="center"/>
        <w:rPr>
          <w:rFonts w:ascii="宋体" w:hAnsi="宋体" w:cs="宋体"/>
          <w:b/>
          <w:bCs/>
          <w:snapToGrid w:val="0"/>
          <w:sz w:val="24"/>
        </w:rPr>
      </w:pPr>
      <w:r>
        <w:rPr>
          <w:rFonts w:hint="eastAsia" w:ascii="宋体" w:hAnsi="宋体" w:cs="宋体"/>
          <w:b/>
          <w:bCs/>
          <w:snapToGrid w:val="0"/>
          <w:sz w:val="24"/>
        </w:rPr>
        <w:t>财政审批编号：吴兴财采确临【2020】5390 号、</w:t>
      </w:r>
    </w:p>
    <w:p>
      <w:pPr>
        <w:adjustRightInd w:val="0"/>
        <w:snapToGrid w:val="0"/>
        <w:spacing w:line="600" w:lineRule="exact"/>
        <w:jc w:val="center"/>
        <w:rPr>
          <w:rFonts w:ascii="宋体" w:hAnsi="宋体" w:cs="宋体"/>
          <w:b/>
          <w:bCs/>
          <w:snapToGrid w:val="0"/>
          <w:sz w:val="24"/>
          <w:u w:val="single"/>
        </w:rPr>
      </w:pPr>
      <w:r>
        <w:rPr>
          <w:rFonts w:hint="eastAsia" w:ascii="宋体" w:hAnsi="宋体" w:cs="宋体"/>
          <w:b/>
          <w:bCs/>
          <w:snapToGrid w:val="0"/>
          <w:sz w:val="24"/>
        </w:rPr>
        <w:t xml:space="preserve">         湖南太湖采【2020】1012号</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72"/>
          <w:szCs w:val="72"/>
        </w:rPr>
      </w:pPr>
      <w:r>
        <w:rPr>
          <w:rFonts w:hint="eastAsia" w:ascii="宋体" w:hAnsi="宋体"/>
          <w:b/>
          <w:sz w:val="72"/>
          <w:szCs w:val="72"/>
        </w:rPr>
        <w:t>公开招标采购文件</w:t>
      </w:r>
    </w:p>
    <w:p>
      <w:pPr>
        <w:jc w:val="center"/>
        <w:rPr>
          <w:rFonts w:ascii="宋体" w:hAnsi="宋体"/>
          <w:sz w:val="28"/>
          <w:szCs w:val="28"/>
        </w:rPr>
      </w:pPr>
    </w:p>
    <w:p>
      <w:pPr>
        <w:jc w:val="center"/>
        <w:rPr>
          <w:rFonts w:ascii="宋体" w:hAnsi="宋体"/>
          <w:sz w:val="28"/>
          <w:szCs w:val="28"/>
        </w:rPr>
      </w:pPr>
    </w:p>
    <w:p>
      <w:pPr>
        <w:jc w:val="center"/>
        <w:rPr>
          <w:rFonts w:ascii="宋体" w:hAnsi="宋体"/>
          <w:sz w:val="30"/>
          <w:szCs w:val="30"/>
        </w:rPr>
      </w:pPr>
    </w:p>
    <w:p>
      <w:pPr>
        <w:ind w:left="-718" w:leftChars="-342" w:right="-687" w:rightChars="-327"/>
        <w:rPr>
          <w:rFonts w:ascii="宋体" w:hAnsi="宋体"/>
          <w:sz w:val="30"/>
          <w:szCs w:val="30"/>
        </w:rPr>
      </w:pPr>
    </w:p>
    <w:p>
      <w:pPr>
        <w:spacing w:line="600" w:lineRule="exact"/>
        <w:ind w:firstLine="980" w:firstLineChars="350"/>
        <w:rPr>
          <w:rFonts w:ascii="宋体" w:hAnsi="宋体"/>
          <w:sz w:val="28"/>
          <w:szCs w:val="28"/>
        </w:rPr>
      </w:pPr>
      <w:bookmarkStart w:id="1" w:name="_Toc293916797"/>
    </w:p>
    <w:p>
      <w:pPr>
        <w:pStyle w:val="22"/>
      </w:pPr>
    </w:p>
    <w:p>
      <w:pPr>
        <w:pStyle w:val="22"/>
      </w:pPr>
    </w:p>
    <w:p>
      <w:pPr>
        <w:pStyle w:val="22"/>
      </w:pPr>
    </w:p>
    <w:p>
      <w:pPr>
        <w:spacing w:line="600" w:lineRule="exact"/>
        <w:ind w:left="2239" w:leftChars="133" w:hanging="1960" w:hangingChars="700"/>
        <w:rPr>
          <w:rFonts w:ascii="宋体" w:hAnsi="宋体"/>
          <w:sz w:val="28"/>
          <w:szCs w:val="28"/>
        </w:rPr>
      </w:pPr>
      <w:r>
        <w:rPr>
          <w:rFonts w:hint="eastAsia" w:ascii="宋体" w:hAnsi="宋体"/>
          <w:sz w:val="28"/>
          <w:szCs w:val="28"/>
        </w:rPr>
        <w:t>采 购  单 位：</w:t>
      </w:r>
      <w:r>
        <w:rPr>
          <w:rFonts w:hint="eastAsia" w:ascii="宋体" w:hAnsi="宋体"/>
          <w:sz w:val="28"/>
          <w:szCs w:val="28"/>
          <w:u w:val="single"/>
        </w:rPr>
        <w:t>湖州市吴兴区民政局、湖州南太湖新区社会发展服务中心</w:t>
      </w:r>
    </w:p>
    <w:p>
      <w:pPr>
        <w:spacing w:line="600" w:lineRule="exact"/>
        <w:rPr>
          <w:rFonts w:ascii="宋体" w:hAnsi="宋体"/>
        </w:rPr>
      </w:pPr>
    </w:p>
    <w:p>
      <w:pPr>
        <w:spacing w:line="600" w:lineRule="exact"/>
        <w:ind w:firstLine="280" w:firstLineChars="100"/>
        <w:rPr>
          <w:rFonts w:ascii="宋体" w:hAnsi="宋体"/>
          <w:sz w:val="28"/>
          <w:szCs w:val="28"/>
        </w:rPr>
      </w:pPr>
      <w:r>
        <w:rPr>
          <w:rFonts w:hint="eastAsia" w:ascii="宋体" w:hAnsi="宋体"/>
          <w:sz w:val="28"/>
          <w:szCs w:val="28"/>
        </w:rPr>
        <w:t>采购代理机构：</w:t>
      </w:r>
      <w:r>
        <w:rPr>
          <w:rFonts w:hint="eastAsia" w:ascii="宋体" w:hAnsi="宋体"/>
          <w:sz w:val="28"/>
          <w:szCs w:val="28"/>
          <w:u w:val="single"/>
        </w:rPr>
        <w:t>浙江中合工程管理有限公司</w:t>
      </w:r>
    </w:p>
    <w:p>
      <w:pPr>
        <w:spacing w:line="600" w:lineRule="exact"/>
        <w:rPr>
          <w:rFonts w:ascii="宋体" w:hAnsi="宋体"/>
        </w:rPr>
      </w:pPr>
    </w:p>
    <w:p>
      <w:pPr>
        <w:snapToGrid w:val="0"/>
        <w:spacing w:line="600" w:lineRule="exact"/>
        <w:jc w:val="center"/>
        <w:rPr>
          <w:rFonts w:ascii="宋体" w:hAnsi="宋体"/>
          <w:sz w:val="28"/>
          <w:szCs w:val="28"/>
        </w:rPr>
      </w:pPr>
      <w:r>
        <w:rPr>
          <w:rFonts w:hint="eastAsia" w:ascii="宋体" w:hAnsi="宋体"/>
          <w:sz w:val="28"/>
          <w:szCs w:val="28"/>
        </w:rPr>
        <w:t>2020年7月</w:t>
      </w:r>
    </w:p>
    <w:p>
      <w:pPr>
        <w:pStyle w:val="27"/>
        <w:spacing w:beforeLines="0" w:afterLines="0" w:line="360" w:lineRule="auto"/>
        <w:ind w:left="0" w:firstLine="0"/>
        <w:rPr>
          <w:rFonts w:hAns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07" w:gutter="0"/>
          <w:pgNumType w:start="1"/>
          <w:cols w:space="720" w:num="1"/>
          <w:titlePg/>
          <w:docGrid w:linePitch="312" w:charSpace="0"/>
        </w:sectPr>
      </w:pPr>
    </w:p>
    <w:p>
      <w:pPr>
        <w:pStyle w:val="27"/>
        <w:spacing w:beforeLines="0" w:afterLines="0" w:line="360" w:lineRule="auto"/>
        <w:ind w:left="0" w:firstLine="0"/>
        <w:jc w:val="center"/>
        <w:rPr>
          <w:rFonts w:ascii="仿宋" w:hAnsi="仿宋" w:eastAsia="仿宋" w:cs="仿宋"/>
          <w:b/>
          <w:sz w:val="32"/>
          <w:szCs w:val="32"/>
        </w:rPr>
      </w:pPr>
      <w:r>
        <w:rPr>
          <w:rFonts w:hint="eastAsia" w:ascii="仿宋" w:hAnsi="仿宋" w:eastAsia="仿宋" w:cs="仿宋"/>
          <w:b/>
          <w:sz w:val="52"/>
          <w:szCs w:val="52"/>
        </w:rPr>
        <w:t>目    录</w:t>
      </w:r>
      <w:bookmarkEnd w:id="1"/>
    </w:p>
    <w:p>
      <w:pPr>
        <w:pStyle w:val="35"/>
        <w:tabs>
          <w:tab w:val="right" w:leader="dot" w:pos="8312"/>
          <w:tab w:val="clear" w:pos="1200"/>
        </w:tabs>
        <w:spacing w:line="480" w:lineRule="auto"/>
        <w:rPr>
          <w:rFonts w:ascii="微软雅黑" w:hAnsi="微软雅黑" w:cs="微软雅黑"/>
          <w:sz w:val="24"/>
          <w:szCs w:val="24"/>
        </w:rPr>
      </w:pP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TOC \o "1-3" \h \z \u </w:instrText>
      </w:r>
      <w:r>
        <w:rPr>
          <w:rFonts w:hint="eastAsia" w:ascii="微软雅黑" w:hAnsi="微软雅黑" w:cs="微软雅黑"/>
          <w:sz w:val="24"/>
          <w:szCs w:val="24"/>
        </w:rPr>
        <w:fldChar w:fldCharType="separate"/>
      </w:r>
      <w:r>
        <w:fldChar w:fldCharType="begin"/>
      </w:r>
      <w:r>
        <w:instrText xml:space="preserve"> HYPERLINK \l "_Toc29185" </w:instrText>
      </w:r>
      <w:r>
        <w:fldChar w:fldCharType="separate"/>
      </w:r>
      <w:r>
        <w:rPr>
          <w:rFonts w:hint="eastAsia" w:ascii="微软雅黑" w:hAnsi="微软雅黑" w:cs="微软雅黑"/>
          <w:sz w:val="24"/>
          <w:szCs w:val="24"/>
        </w:rPr>
        <w:t>第一章、公开招标采购公告</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_Toc29185 </w:instrText>
      </w:r>
      <w:r>
        <w:rPr>
          <w:rFonts w:hint="eastAsia" w:ascii="微软雅黑" w:hAnsi="微软雅黑" w:cs="微软雅黑"/>
          <w:sz w:val="24"/>
          <w:szCs w:val="24"/>
        </w:rPr>
        <w:fldChar w:fldCharType="separate"/>
      </w:r>
      <w:r>
        <w:rPr>
          <w:rFonts w:hint="eastAsia" w:ascii="微软雅黑" w:hAnsi="微软雅黑" w:cs="微软雅黑"/>
          <w:sz w:val="24"/>
          <w:szCs w:val="24"/>
        </w:rPr>
        <w:t>3</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35"/>
        <w:tabs>
          <w:tab w:val="right" w:leader="dot" w:pos="8312"/>
          <w:tab w:val="clear" w:pos="1200"/>
        </w:tabs>
        <w:spacing w:line="480" w:lineRule="auto"/>
        <w:rPr>
          <w:rFonts w:ascii="微软雅黑" w:hAnsi="微软雅黑" w:cs="微软雅黑"/>
          <w:sz w:val="24"/>
          <w:szCs w:val="24"/>
        </w:rPr>
      </w:pPr>
      <w:r>
        <w:fldChar w:fldCharType="begin"/>
      </w:r>
      <w:r>
        <w:instrText xml:space="preserve"> HYPERLINK \l "_Toc20196" </w:instrText>
      </w:r>
      <w:r>
        <w:fldChar w:fldCharType="separate"/>
      </w:r>
      <w:r>
        <w:rPr>
          <w:rFonts w:hint="eastAsia" w:ascii="微软雅黑" w:hAnsi="微软雅黑" w:cs="微软雅黑"/>
          <w:sz w:val="24"/>
          <w:szCs w:val="24"/>
        </w:rPr>
        <w:t>第二章、招标需求</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_Toc20196 </w:instrText>
      </w:r>
      <w:r>
        <w:rPr>
          <w:rFonts w:hint="eastAsia" w:ascii="微软雅黑" w:hAnsi="微软雅黑" w:cs="微软雅黑"/>
          <w:sz w:val="24"/>
          <w:szCs w:val="24"/>
        </w:rPr>
        <w:fldChar w:fldCharType="separate"/>
      </w:r>
      <w:r>
        <w:rPr>
          <w:rFonts w:hint="eastAsia" w:ascii="微软雅黑" w:hAnsi="微软雅黑" w:cs="微软雅黑"/>
          <w:sz w:val="24"/>
          <w:szCs w:val="24"/>
        </w:rPr>
        <w:t>8</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35"/>
        <w:tabs>
          <w:tab w:val="right" w:leader="dot" w:pos="8312"/>
          <w:tab w:val="clear" w:pos="1200"/>
        </w:tabs>
        <w:spacing w:line="480" w:lineRule="auto"/>
        <w:rPr>
          <w:rFonts w:ascii="微软雅黑" w:hAnsi="微软雅黑" w:cs="微软雅黑"/>
          <w:sz w:val="24"/>
          <w:szCs w:val="24"/>
        </w:rPr>
      </w:pPr>
      <w:r>
        <w:fldChar w:fldCharType="begin"/>
      </w:r>
      <w:r>
        <w:instrText xml:space="preserve"> HYPERLINK \l "_Toc12512" </w:instrText>
      </w:r>
      <w:r>
        <w:fldChar w:fldCharType="separate"/>
      </w:r>
      <w:r>
        <w:rPr>
          <w:rFonts w:hint="eastAsia" w:ascii="微软雅黑" w:hAnsi="微软雅黑" w:cs="微软雅黑"/>
          <w:sz w:val="24"/>
          <w:szCs w:val="24"/>
        </w:rPr>
        <w:t>第三章、投标人须知</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_Toc12512 </w:instrText>
      </w:r>
      <w:r>
        <w:rPr>
          <w:rFonts w:hint="eastAsia" w:ascii="微软雅黑" w:hAnsi="微软雅黑" w:cs="微软雅黑"/>
          <w:sz w:val="24"/>
          <w:szCs w:val="24"/>
        </w:rPr>
        <w:fldChar w:fldCharType="separate"/>
      </w:r>
      <w:r>
        <w:rPr>
          <w:rFonts w:hint="eastAsia" w:ascii="微软雅黑" w:hAnsi="微软雅黑" w:cs="微软雅黑"/>
          <w:sz w:val="24"/>
          <w:szCs w:val="24"/>
        </w:rPr>
        <w:t>22</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"_Toc21985" </w:instrText>
      </w:r>
      <w:r>
        <w:fldChar w:fldCharType="separate"/>
      </w:r>
      <w:r>
        <w:rPr>
          <w:rFonts w:hint="eastAsia" w:ascii="微软雅黑" w:hAnsi="微软雅黑" w:cs="微软雅黑"/>
          <w:bCs/>
          <w:sz w:val="24"/>
          <w:szCs w:val="24"/>
        </w:rPr>
        <w:t>一、总  则</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_Toc21985 </w:instrText>
      </w:r>
      <w:r>
        <w:rPr>
          <w:rFonts w:hint="eastAsia" w:ascii="微软雅黑" w:hAnsi="微软雅黑" w:cs="微软雅黑"/>
          <w:sz w:val="24"/>
          <w:szCs w:val="24"/>
        </w:rPr>
        <w:fldChar w:fldCharType="separate"/>
      </w:r>
      <w:r>
        <w:rPr>
          <w:rFonts w:hint="eastAsia" w:ascii="微软雅黑" w:hAnsi="微软雅黑" w:cs="微软雅黑"/>
          <w:sz w:val="24"/>
          <w:szCs w:val="24"/>
        </w:rPr>
        <w:t>24</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"_Toc22693" </w:instrText>
      </w:r>
      <w:r>
        <w:fldChar w:fldCharType="separate"/>
      </w:r>
      <w:r>
        <w:rPr>
          <w:rFonts w:hint="eastAsia" w:ascii="微软雅黑" w:hAnsi="微软雅黑" w:cs="微软雅黑"/>
          <w:bCs/>
          <w:sz w:val="24"/>
          <w:szCs w:val="24"/>
        </w:rPr>
        <w:t>二、招标文件</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_Toc22693 </w:instrText>
      </w:r>
      <w:r>
        <w:rPr>
          <w:rFonts w:hint="eastAsia" w:ascii="微软雅黑" w:hAnsi="微软雅黑" w:cs="微软雅黑"/>
          <w:sz w:val="24"/>
          <w:szCs w:val="24"/>
        </w:rPr>
        <w:fldChar w:fldCharType="separate"/>
      </w:r>
      <w:r>
        <w:rPr>
          <w:rFonts w:hint="eastAsia" w:ascii="微软雅黑" w:hAnsi="微软雅黑" w:cs="微软雅黑"/>
          <w:sz w:val="24"/>
          <w:szCs w:val="24"/>
        </w:rPr>
        <w:t>26</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ind w:left="0" w:firstLine="200" w:firstLineChars="100"/>
        <w:rPr>
          <w:rFonts w:ascii="微软雅黑" w:hAnsi="微软雅黑" w:cs="微软雅黑"/>
          <w:sz w:val="24"/>
          <w:szCs w:val="24"/>
        </w:rPr>
      </w:pPr>
      <w:r>
        <w:fldChar w:fldCharType="begin"/>
      </w:r>
      <w:r>
        <w:instrText xml:space="preserve"> HYPERLINK \l "_Toc26778" </w:instrText>
      </w:r>
      <w:r>
        <w:fldChar w:fldCharType="separate"/>
      </w:r>
      <w:r>
        <w:rPr>
          <w:rFonts w:hint="eastAsia" w:ascii="微软雅黑" w:hAnsi="微软雅黑" w:cs="微软雅黑"/>
          <w:bCs/>
          <w:sz w:val="24"/>
          <w:szCs w:val="24"/>
        </w:rPr>
        <w:t>三、投标文件的编制</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_Toc26778 </w:instrText>
      </w:r>
      <w:r>
        <w:rPr>
          <w:rFonts w:hint="eastAsia" w:ascii="微软雅黑" w:hAnsi="微软雅黑" w:cs="微软雅黑"/>
          <w:sz w:val="24"/>
          <w:szCs w:val="24"/>
        </w:rPr>
        <w:fldChar w:fldCharType="separate"/>
      </w:r>
      <w:r>
        <w:rPr>
          <w:rFonts w:hint="eastAsia" w:ascii="微软雅黑" w:hAnsi="微软雅黑" w:cs="微软雅黑"/>
          <w:sz w:val="24"/>
          <w:szCs w:val="24"/>
        </w:rPr>
        <w:t>27</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ind w:left="0" w:firstLine="200" w:firstLineChars="100"/>
        <w:rPr>
          <w:rFonts w:ascii="微软雅黑" w:hAnsi="微软雅黑" w:cs="微软雅黑"/>
          <w:sz w:val="24"/>
          <w:szCs w:val="24"/>
        </w:rPr>
      </w:pPr>
      <w:r>
        <w:fldChar w:fldCharType="begin"/>
      </w:r>
      <w:r>
        <w:instrText xml:space="preserve"> HYPERLINK \l "_Toc16849" </w:instrText>
      </w:r>
      <w:r>
        <w:fldChar w:fldCharType="separate"/>
      </w:r>
      <w:r>
        <w:rPr>
          <w:rFonts w:hint="eastAsia" w:ascii="微软雅黑" w:hAnsi="微软雅黑" w:cs="微软雅黑"/>
          <w:bCs/>
          <w:sz w:val="24"/>
          <w:szCs w:val="24"/>
        </w:rPr>
        <w:t>四、开标</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_Toc16849 </w:instrText>
      </w:r>
      <w:r>
        <w:rPr>
          <w:rFonts w:hint="eastAsia" w:ascii="微软雅黑" w:hAnsi="微软雅黑" w:cs="微软雅黑"/>
          <w:sz w:val="24"/>
          <w:szCs w:val="24"/>
        </w:rPr>
        <w:fldChar w:fldCharType="separate"/>
      </w:r>
      <w:r>
        <w:rPr>
          <w:rFonts w:hint="eastAsia" w:ascii="微软雅黑" w:hAnsi="微软雅黑" w:cs="微软雅黑"/>
          <w:sz w:val="24"/>
          <w:szCs w:val="24"/>
        </w:rPr>
        <w:t>31</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"_Toc30002" </w:instrText>
      </w:r>
      <w:r>
        <w:fldChar w:fldCharType="separate"/>
      </w:r>
      <w:r>
        <w:rPr>
          <w:rFonts w:hint="eastAsia" w:ascii="微软雅黑" w:hAnsi="微软雅黑" w:cs="微软雅黑"/>
          <w:bCs/>
          <w:sz w:val="24"/>
          <w:szCs w:val="24"/>
        </w:rPr>
        <w:t>五、资格证明文件审查</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_Toc30002 </w:instrText>
      </w:r>
      <w:r>
        <w:rPr>
          <w:rFonts w:hint="eastAsia" w:ascii="微软雅黑" w:hAnsi="微软雅黑" w:cs="微软雅黑"/>
          <w:sz w:val="24"/>
          <w:szCs w:val="24"/>
        </w:rPr>
        <w:fldChar w:fldCharType="separate"/>
      </w:r>
      <w:r>
        <w:rPr>
          <w:rFonts w:hint="eastAsia" w:ascii="微软雅黑" w:hAnsi="微软雅黑" w:cs="微软雅黑"/>
          <w:sz w:val="24"/>
          <w:szCs w:val="24"/>
        </w:rPr>
        <w:t>32</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"_Toc31368" </w:instrText>
      </w:r>
      <w:r>
        <w:fldChar w:fldCharType="separate"/>
      </w:r>
      <w:r>
        <w:rPr>
          <w:rFonts w:hint="eastAsia" w:ascii="微软雅黑" w:hAnsi="微软雅黑" w:cs="微软雅黑"/>
          <w:bCs/>
          <w:sz w:val="24"/>
          <w:szCs w:val="24"/>
        </w:rPr>
        <w:t>六、评标</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_Toc31368 </w:instrText>
      </w:r>
      <w:r>
        <w:rPr>
          <w:rFonts w:hint="eastAsia" w:ascii="微软雅黑" w:hAnsi="微软雅黑" w:cs="微软雅黑"/>
          <w:sz w:val="24"/>
          <w:szCs w:val="24"/>
        </w:rPr>
        <w:fldChar w:fldCharType="separate"/>
      </w:r>
      <w:r>
        <w:rPr>
          <w:rFonts w:hint="eastAsia" w:ascii="微软雅黑" w:hAnsi="微软雅黑" w:cs="微软雅黑"/>
          <w:sz w:val="24"/>
          <w:szCs w:val="24"/>
        </w:rPr>
        <w:t>32</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"_Toc19015" </w:instrText>
      </w:r>
      <w:r>
        <w:fldChar w:fldCharType="separate"/>
      </w:r>
      <w:r>
        <w:rPr>
          <w:rFonts w:hint="eastAsia" w:ascii="微软雅黑" w:hAnsi="微软雅黑" w:cs="微软雅黑"/>
          <w:bCs/>
          <w:sz w:val="24"/>
          <w:szCs w:val="24"/>
        </w:rPr>
        <w:t>七、定标</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_Toc19015 </w:instrText>
      </w:r>
      <w:r>
        <w:rPr>
          <w:rFonts w:hint="eastAsia" w:ascii="微软雅黑" w:hAnsi="微软雅黑" w:cs="微软雅黑"/>
          <w:sz w:val="24"/>
          <w:szCs w:val="24"/>
        </w:rPr>
        <w:fldChar w:fldCharType="separate"/>
      </w:r>
      <w:r>
        <w:rPr>
          <w:rFonts w:hint="eastAsia" w:ascii="微软雅黑" w:hAnsi="微软雅黑" w:cs="微软雅黑"/>
          <w:sz w:val="24"/>
          <w:szCs w:val="24"/>
        </w:rPr>
        <w:t>34</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312"/>
        </w:tabs>
        <w:spacing w:line="480" w:lineRule="auto"/>
        <w:rPr>
          <w:rFonts w:ascii="微软雅黑" w:hAnsi="微软雅黑" w:cs="微软雅黑"/>
          <w:sz w:val="24"/>
          <w:szCs w:val="24"/>
        </w:rPr>
      </w:pPr>
      <w:r>
        <w:fldChar w:fldCharType="begin"/>
      </w:r>
      <w:r>
        <w:instrText xml:space="preserve"> HYPERLINK \l "_Toc22954" </w:instrText>
      </w:r>
      <w:r>
        <w:fldChar w:fldCharType="separate"/>
      </w:r>
      <w:r>
        <w:rPr>
          <w:rFonts w:hint="eastAsia" w:ascii="微软雅黑" w:hAnsi="微软雅黑" w:cs="微软雅黑"/>
          <w:bCs/>
          <w:sz w:val="24"/>
          <w:szCs w:val="24"/>
        </w:rPr>
        <w:t>八、合同授予</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_Toc22954 </w:instrText>
      </w:r>
      <w:r>
        <w:rPr>
          <w:rFonts w:hint="eastAsia" w:ascii="微软雅黑" w:hAnsi="微软雅黑" w:cs="微软雅黑"/>
          <w:sz w:val="24"/>
          <w:szCs w:val="24"/>
        </w:rPr>
        <w:fldChar w:fldCharType="separate"/>
      </w:r>
      <w:r>
        <w:rPr>
          <w:rFonts w:hint="eastAsia" w:ascii="微软雅黑" w:hAnsi="微软雅黑" w:cs="微软雅黑"/>
          <w:sz w:val="24"/>
          <w:szCs w:val="24"/>
        </w:rPr>
        <w:t>34</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35"/>
        <w:tabs>
          <w:tab w:val="right" w:leader="dot" w:pos="8312"/>
          <w:tab w:val="clear" w:pos="1200"/>
        </w:tabs>
        <w:spacing w:line="480" w:lineRule="auto"/>
        <w:rPr>
          <w:rFonts w:ascii="微软雅黑" w:hAnsi="微软雅黑" w:cs="微软雅黑"/>
          <w:sz w:val="24"/>
          <w:szCs w:val="24"/>
        </w:rPr>
      </w:pPr>
      <w:r>
        <w:fldChar w:fldCharType="begin"/>
      </w:r>
      <w:r>
        <w:instrText xml:space="preserve"> HYPERLINK \l "_Toc18828" </w:instrText>
      </w:r>
      <w:r>
        <w:fldChar w:fldCharType="separate"/>
      </w:r>
      <w:r>
        <w:rPr>
          <w:rFonts w:hint="eastAsia" w:ascii="微软雅黑" w:hAnsi="微软雅黑" w:cs="微软雅黑"/>
          <w:sz w:val="24"/>
          <w:szCs w:val="24"/>
        </w:rPr>
        <w:t>第四章、评标办法及评分标准</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_Toc18828 </w:instrText>
      </w:r>
      <w:r>
        <w:rPr>
          <w:rFonts w:hint="eastAsia" w:ascii="微软雅黑" w:hAnsi="微软雅黑" w:cs="微软雅黑"/>
          <w:sz w:val="24"/>
          <w:szCs w:val="24"/>
        </w:rPr>
        <w:fldChar w:fldCharType="separate"/>
      </w:r>
      <w:r>
        <w:rPr>
          <w:rFonts w:hint="eastAsia" w:ascii="微软雅黑" w:hAnsi="微软雅黑" w:cs="微软雅黑"/>
          <w:sz w:val="24"/>
          <w:szCs w:val="24"/>
        </w:rPr>
        <w:t>35</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35"/>
        <w:tabs>
          <w:tab w:val="right" w:leader="dot" w:pos="8312"/>
          <w:tab w:val="clear" w:pos="1200"/>
        </w:tabs>
        <w:spacing w:line="480" w:lineRule="auto"/>
        <w:rPr>
          <w:rFonts w:ascii="微软雅黑" w:hAnsi="微软雅黑" w:cs="微软雅黑"/>
          <w:sz w:val="24"/>
          <w:szCs w:val="24"/>
        </w:rPr>
      </w:pPr>
      <w:r>
        <w:fldChar w:fldCharType="begin"/>
      </w:r>
      <w:r>
        <w:instrText xml:space="preserve"> HYPERLINK \l "_Toc890" </w:instrText>
      </w:r>
      <w:r>
        <w:fldChar w:fldCharType="separate"/>
      </w:r>
      <w:r>
        <w:rPr>
          <w:rFonts w:hint="eastAsia" w:ascii="微软雅黑" w:hAnsi="微软雅黑" w:cs="微软雅黑"/>
          <w:sz w:val="24"/>
          <w:szCs w:val="24"/>
        </w:rPr>
        <w:t>第五章  合同主要条款</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_Toc890 </w:instrText>
      </w:r>
      <w:r>
        <w:rPr>
          <w:rFonts w:hint="eastAsia" w:ascii="微软雅黑" w:hAnsi="微软雅黑" w:cs="微软雅黑"/>
          <w:sz w:val="24"/>
          <w:szCs w:val="24"/>
        </w:rPr>
        <w:fldChar w:fldCharType="separate"/>
      </w:r>
      <w:r>
        <w:rPr>
          <w:rFonts w:hint="eastAsia" w:ascii="微软雅黑" w:hAnsi="微软雅黑" w:cs="微软雅黑"/>
          <w:sz w:val="24"/>
          <w:szCs w:val="24"/>
        </w:rPr>
        <w:t>38</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35"/>
        <w:tabs>
          <w:tab w:val="right" w:leader="dot" w:pos="8312"/>
          <w:tab w:val="clear" w:pos="1200"/>
        </w:tabs>
        <w:spacing w:line="480" w:lineRule="auto"/>
        <w:rPr>
          <w:rFonts w:ascii="微软雅黑" w:hAnsi="微软雅黑" w:cs="微软雅黑"/>
          <w:sz w:val="24"/>
          <w:szCs w:val="24"/>
        </w:rPr>
      </w:pPr>
      <w:r>
        <w:fldChar w:fldCharType="begin"/>
      </w:r>
      <w:r>
        <w:instrText xml:space="preserve"> HYPERLINK \l "_Toc12218" </w:instrText>
      </w:r>
      <w:r>
        <w:fldChar w:fldCharType="separate"/>
      </w:r>
      <w:r>
        <w:rPr>
          <w:rFonts w:hint="eastAsia" w:ascii="微软雅黑" w:hAnsi="微软雅黑" w:cs="微软雅黑"/>
          <w:sz w:val="24"/>
          <w:szCs w:val="24"/>
        </w:rPr>
        <w:t>第六章、 投标文件格式</w:t>
      </w:r>
      <w:r>
        <w:rPr>
          <w:rFonts w:hint="eastAsia" w:ascii="微软雅黑" w:hAnsi="微软雅黑" w:cs="微软雅黑"/>
          <w:sz w:val="24"/>
          <w:szCs w:val="24"/>
        </w:rPr>
        <w:tab/>
      </w:r>
      <w:r>
        <w:rPr>
          <w:rFonts w:hint="eastAsia" w:ascii="微软雅黑" w:hAnsi="微软雅黑" w:cs="微软雅黑"/>
          <w:sz w:val="24"/>
          <w:szCs w:val="24"/>
        </w:rPr>
        <w:fldChar w:fldCharType="begin"/>
      </w:r>
      <w:r>
        <w:rPr>
          <w:rFonts w:hint="eastAsia" w:ascii="微软雅黑" w:hAnsi="微软雅黑" w:cs="微软雅黑"/>
          <w:sz w:val="24"/>
          <w:szCs w:val="24"/>
        </w:rPr>
        <w:instrText xml:space="preserve"> PAGEREF _Toc12218 </w:instrText>
      </w:r>
      <w:r>
        <w:rPr>
          <w:rFonts w:hint="eastAsia" w:ascii="微软雅黑" w:hAnsi="微软雅黑" w:cs="微软雅黑"/>
          <w:sz w:val="24"/>
          <w:szCs w:val="24"/>
        </w:rPr>
        <w:fldChar w:fldCharType="separate"/>
      </w:r>
      <w:r>
        <w:rPr>
          <w:rFonts w:hint="eastAsia" w:ascii="微软雅黑" w:hAnsi="微软雅黑" w:cs="微软雅黑"/>
          <w:sz w:val="24"/>
          <w:szCs w:val="24"/>
        </w:rPr>
        <w:t>43</w:t>
      </w:r>
      <w:r>
        <w:rPr>
          <w:rFonts w:hint="eastAsia" w:ascii="微软雅黑" w:hAnsi="微软雅黑" w:cs="微软雅黑"/>
          <w:sz w:val="24"/>
          <w:szCs w:val="24"/>
        </w:rPr>
        <w:fldChar w:fldCharType="end"/>
      </w:r>
      <w:r>
        <w:rPr>
          <w:rFonts w:hint="eastAsia" w:ascii="微软雅黑" w:hAnsi="微软雅黑" w:cs="微软雅黑"/>
          <w:sz w:val="24"/>
          <w:szCs w:val="24"/>
        </w:rPr>
        <w:fldChar w:fldCharType="end"/>
      </w:r>
    </w:p>
    <w:p>
      <w:pPr>
        <w:pStyle w:val="42"/>
        <w:tabs>
          <w:tab w:val="right" w:leader="dot" w:pos="8494"/>
        </w:tabs>
        <w:spacing w:line="480" w:lineRule="auto"/>
        <w:ind w:left="0"/>
        <w:jc w:val="both"/>
        <w:rPr>
          <w:rFonts w:ascii="仿宋" w:hAnsi="仿宋" w:eastAsia="仿宋" w:cs="仿宋"/>
          <w:sz w:val="30"/>
          <w:szCs w:val="30"/>
        </w:rPr>
      </w:pPr>
      <w:r>
        <w:rPr>
          <w:rFonts w:hint="eastAsia" w:ascii="微软雅黑" w:hAnsi="微软雅黑" w:cs="微软雅黑"/>
          <w:sz w:val="24"/>
          <w:szCs w:val="24"/>
        </w:rPr>
        <w:fldChar w:fldCharType="end"/>
      </w:r>
    </w:p>
    <w:p>
      <w:pPr>
        <w:spacing w:before="120" w:after="120" w:line="360" w:lineRule="auto"/>
        <w:jc w:val="center"/>
        <w:outlineLvl w:val="0"/>
        <w:rPr>
          <w:rFonts w:ascii="宋体" w:hAnsi="宋体"/>
          <w:b/>
          <w:bCs/>
          <w:sz w:val="32"/>
          <w:szCs w:val="30"/>
        </w:rPr>
        <w:sectPr>
          <w:headerReference r:id="rId10" w:type="first"/>
          <w:footerReference r:id="rId12" w:type="first"/>
          <w:headerReference r:id="rId9" w:type="default"/>
          <w:footerReference r:id="rId11" w:type="default"/>
          <w:pgSz w:w="11906" w:h="16838"/>
          <w:pgMar w:top="1440" w:right="1797" w:bottom="1440" w:left="1797" w:header="851" w:footer="907" w:gutter="0"/>
          <w:pgNumType w:start="2"/>
          <w:cols w:space="720" w:num="1"/>
          <w:titlePg/>
          <w:docGrid w:linePitch="312" w:charSpace="0"/>
        </w:sectPr>
      </w:pPr>
      <w:bookmarkStart w:id="2" w:name="_Toc293916280"/>
      <w:bookmarkStart w:id="3" w:name="_Toc293916798"/>
      <w:bookmarkStart w:id="4" w:name="_Toc424544804"/>
      <w:bookmarkStart w:id="5" w:name="_Toc293915929"/>
      <w:bookmarkStart w:id="6" w:name="_Toc293917008"/>
      <w:bookmarkStart w:id="7" w:name="_Toc424544525"/>
    </w:p>
    <w:p>
      <w:pPr>
        <w:spacing w:beforeLines="50" w:afterLines="50"/>
        <w:jc w:val="center"/>
        <w:outlineLvl w:val="0"/>
        <w:rPr>
          <w:rFonts w:ascii="宋体" w:hAnsi="宋体"/>
          <w:b/>
          <w:bCs/>
          <w:sz w:val="30"/>
          <w:szCs w:val="30"/>
        </w:rPr>
      </w:pPr>
      <w:bookmarkStart w:id="8" w:name="_Toc29185"/>
      <w:r>
        <w:rPr>
          <w:rFonts w:hint="eastAsia" w:ascii="宋体" w:hAnsi="宋体"/>
          <w:b/>
          <w:bCs/>
          <w:sz w:val="32"/>
          <w:szCs w:val="30"/>
        </w:rPr>
        <w:t>第一章</w:t>
      </w:r>
      <w:bookmarkEnd w:id="0"/>
      <w:r>
        <w:rPr>
          <w:rFonts w:hint="eastAsia" w:ascii="宋体" w:hAnsi="宋体"/>
          <w:b/>
          <w:bCs/>
          <w:sz w:val="32"/>
          <w:szCs w:val="30"/>
        </w:rPr>
        <w:t>、公开招标采购公告</w:t>
      </w:r>
      <w:bookmarkEnd w:id="2"/>
      <w:bookmarkEnd w:id="3"/>
      <w:bookmarkEnd w:id="4"/>
      <w:bookmarkEnd w:id="5"/>
      <w:bookmarkEnd w:id="6"/>
      <w:bookmarkEnd w:id="7"/>
      <w:bookmarkEnd w:id="8"/>
    </w:p>
    <w:p>
      <w:pPr>
        <w:widowControl/>
        <w:spacing w:line="440" w:lineRule="exact"/>
        <w:ind w:left="44" w:leftChars="21" w:right="60" w:firstLine="480" w:firstLineChars="200"/>
        <w:rPr>
          <w:rFonts w:ascii="宋体" w:hAnsi="宋体" w:cs="宋体"/>
          <w:b/>
          <w:bCs/>
          <w:kern w:val="0"/>
          <w:sz w:val="24"/>
          <w:u w:val="single"/>
        </w:rPr>
      </w:pPr>
      <w:r>
        <w:rPr>
          <w:rFonts w:hint="eastAsia" w:ascii="宋体" w:hAnsi="宋体" w:cs="宋体"/>
          <w:kern w:val="0"/>
          <w:sz w:val="24"/>
        </w:rPr>
        <w:t>根据《中华人民共和国政府采购法》、《政府采购货物和服务招标投标管理办法》及相关法律、法规等规定，经</w:t>
      </w:r>
      <w:r>
        <w:rPr>
          <w:rFonts w:hint="eastAsia" w:ascii="宋体" w:hAnsi="宋体" w:cs="宋体"/>
          <w:sz w:val="24"/>
        </w:rPr>
        <w:t>湖州市吴兴区财政局政府采购监管科</w:t>
      </w:r>
      <w:r>
        <w:rPr>
          <w:rFonts w:hint="eastAsia" w:ascii="宋体" w:hAnsi="宋体" w:cs="宋体"/>
          <w:kern w:val="0"/>
          <w:sz w:val="24"/>
          <w:u w:val="single"/>
        </w:rPr>
        <w:t>（</w:t>
      </w:r>
      <w:r>
        <w:rPr>
          <w:rFonts w:hint="eastAsia" w:ascii="宋体" w:hAnsi="宋体" w:cs="宋体"/>
          <w:b/>
          <w:bCs/>
          <w:kern w:val="0"/>
          <w:sz w:val="24"/>
          <w:u w:val="single"/>
        </w:rPr>
        <w:t>财政审批编号：吴兴财采确临【2020】5390 号</w:t>
      </w:r>
      <w:r>
        <w:rPr>
          <w:rFonts w:hint="eastAsia" w:ascii="宋体" w:hAnsi="宋体" w:cs="宋体"/>
          <w:kern w:val="0"/>
          <w:sz w:val="24"/>
          <w:u w:val="single"/>
        </w:rPr>
        <w:t>）和</w:t>
      </w:r>
      <w:r>
        <w:rPr>
          <w:rFonts w:hint="eastAsia" w:ascii="宋体" w:hAnsi="宋体" w:cs="宋体"/>
          <w:b/>
          <w:bCs/>
          <w:kern w:val="0"/>
          <w:sz w:val="24"/>
          <w:u w:val="single"/>
        </w:rPr>
        <w:t>湖南太湖采【2020】1012号</w:t>
      </w:r>
      <w:r>
        <w:rPr>
          <w:rFonts w:hint="eastAsia" w:ascii="宋体" w:hAnsi="宋体" w:cs="宋体"/>
          <w:kern w:val="0"/>
          <w:sz w:val="24"/>
        </w:rPr>
        <w:t>批准，现就</w:t>
      </w:r>
      <w:r>
        <w:rPr>
          <w:rFonts w:hint="eastAsia" w:ascii="宋体" w:hAnsi="宋体" w:cs="宋体"/>
          <w:color w:val="000000"/>
          <w:kern w:val="0"/>
          <w:sz w:val="24"/>
        </w:rPr>
        <w:t>湖州市吴兴区民政局、湖州南太湖新区社会发展服务中心的</w:t>
      </w:r>
      <w:r>
        <w:rPr>
          <w:rFonts w:hint="eastAsia" w:ascii="宋体" w:hAnsi="宋体" w:cs="宋体"/>
          <w:b/>
          <w:kern w:val="0"/>
          <w:sz w:val="24"/>
          <w:u w:val="single"/>
        </w:rPr>
        <w:t>湖州市吴兴区（含南太湖新区）门牌数据信息采集项目</w:t>
      </w:r>
      <w:r>
        <w:rPr>
          <w:rFonts w:hint="eastAsia" w:ascii="宋体" w:hAnsi="宋体" w:cs="宋体"/>
          <w:kern w:val="0"/>
          <w:sz w:val="24"/>
        </w:rPr>
        <w:t>进行公开招标采购，欢迎中华人民共和国境内的合格投标人前来参加投标。</w:t>
      </w:r>
    </w:p>
    <w:p>
      <w:pPr>
        <w:widowControl/>
        <w:spacing w:line="440" w:lineRule="exact"/>
        <w:jc w:val="left"/>
        <w:rPr>
          <w:rFonts w:hint="eastAsia" w:ascii="Arial" w:hAnsi="Arial" w:eastAsia="微软雅黑" w:cs="Arial"/>
          <w:kern w:val="0"/>
          <w:sz w:val="24"/>
          <w:lang w:eastAsia="zh-CN"/>
        </w:rPr>
      </w:pPr>
      <w:r>
        <w:rPr>
          <w:rFonts w:hint="eastAsia" w:ascii="宋体" w:hAnsi="宋体" w:cs="Arial"/>
          <w:b/>
          <w:bCs/>
          <w:kern w:val="0"/>
          <w:sz w:val="24"/>
        </w:rPr>
        <w:t xml:space="preserve">一．招标项目编号: </w:t>
      </w:r>
      <w:r>
        <w:rPr>
          <w:rFonts w:hint="eastAsia" w:ascii="宋体" w:hAnsi="宋体" w:cs="Arial"/>
          <w:b/>
          <w:bCs/>
          <w:kern w:val="0"/>
          <w:sz w:val="24"/>
          <w:lang w:eastAsia="zh-CN"/>
        </w:rPr>
        <w:t>ZJZHW2020005</w:t>
      </w:r>
    </w:p>
    <w:p>
      <w:pPr>
        <w:widowControl/>
        <w:spacing w:line="440" w:lineRule="exact"/>
        <w:jc w:val="left"/>
        <w:rPr>
          <w:rFonts w:ascii="Arial" w:hAnsi="Arial" w:cs="Arial"/>
          <w:kern w:val="0"/>
          <w:sz w:val="24"/>
        </w:rPr>
      </w:pPr>
      <w:r>
        <w:rPr>
          <w:rFonts w:hint="eastAsia" w:ascii="宋体" w:hAnsi="宋体" w:cs="Arial"/>
          <w:b/>
          <w:bCs/>
          <w:kern w:val="0"/>
          <w:sz w:val="24"/>
        </w:rPr>
        <w:t>二．采购组织类型：</w:t>
      </w:r>
      <w:r>
        <w:rPr>
          <w:rFonts w:ascii="Arial" w:hAnsi="Arial" w:cs="Arial"/>
          <w:kern w:val="0"/>
          <w:sz w:val="24"/>
        </w:rPr>
        <w:t>分散采购委托代理</w:t>
      </w:r>
    </w:p>
    <w:p>
      <w:pPr>
        <w:pStyle w:val="21"/>
        <w:spacing w:line="440" w:lineRule="exact"/>
        <w:ind w:firstLine="0" w:firstLineChars="0"/>
      </w:pPr>
      <w:r>
        <w:rPr>
          <w:rFonts w:hint="eastAsia" w:ascii="宋体" w:hAnsi="宋体" w:eastAsia="微软雅黑" w:cs="Arial"/>
          <w:b/>
          <w:kern w:val="0"/>
          <w:szCs w:val="21"/>
        </w:rPr>
        <w:t>三、采购方式：</w:t>
      </w:r>
      <w:r>
        <w:rPr>
          <w:rFonts w:hint="eastAsia"/>
        </w:rPr>
        <w:t>公开招标</w:t>
      </w:r>
    </w:p>
    <w:p>
      <w:pPr>
        <w:pStyle w:val="21"/>
        <w:spacing w:line="440" w:lineRule="exact"/>
        <w:ind w:firstLine="0" w:firstLineChars="0"/>
        <w:rPr>
          <w:rFonts w:ascii="宋体" w:hAnsi="宋体" w:eastAsia="微软雅黑" w:cs="Arial"/>
          <w:b/>
          <w:kern w:val="0"/>
          <w:szCs w:val="21"/>
        </w:rPr>
      </w:pPr>
      <w:r>
        <w:rPr>
          <w:rFonts w:hint="eastAsia" w:ascii="宋体" w:hAnsi="宋体" w:eastAsia="微软雅黑" w:cs="Arial"/>
          <w:b/>
          <w:kern w:val="0"/>
          <w:szCs w:val="21"/>
        </w:rPr>
        <w:t>四．招标项目概况：</w:t>
      </w:r>
    </w:p>
    <w:tbl>
      <w:tblPr>
        <w:tblStyle w:val="60"/>
        <w:tblW w:w="93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1802"/>
        <w:gridCol w:w="1475"/>
        <w:gridCol w:w="3775"/>
        <w:gridCol w:w="1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Style w:val="99"/>
                <w:rFonts w:ascii="Times New Roman" w:hAnsi="Times New Roman" w:eastAsia="仿宋"/>
                <w:color w:val="auto"/>
                <w:sz w:val="24"/>
              </w:rPr>
            </w:pPr>
            <w:r>
              <w:rPr>
                <w:rStyle w:val="99"/>
                <w:rFonts w:hint="eastAsia" w:ascii="Times New Roman" w:hAnsi="Times New Roman" w:eastAsia="仿宋"/>
                <w:color w:val="auto"/>
                <w:sz w:val="24"/>
              </w:rPr>
              <w:t>序号</w:t>
            </w:r>
          </w:p>
        </w:tc>
        <w:tc>
          <w:tcPr>
            <w:tcW w:w="180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Style w:val="99"/>
                <w:rFonts w:ascii="Times New Roman" w:hAnsi="Times New Roman" w:eastAsia="仿宋"/>
                <w:color w:val="auto"/>
                <w:sz w:val="24"/>
              </w:rPr>
            </w:pPr>
            <w:r>
              <w:rPr>
                <w:rStyle w:val="99"/>
                <w:rFonts w:hint="eastAsia" w:ascii="Times New Roman" w:hAnsi="Times New Roman" w:eastAsia="仿宋"/>
                <w:color w:val="auto"/>
                <w:sz w:val="24"/>
              </w:rPr>
              <w:t>项目采购内容</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Style w:val="99"/>
                <w:rFonts w:ascii="Times New Roman" w:hAnsi="Times New Roman" w:eastAsia="仿宋"/>
                <w:color w:val="auto"/>
                <w:sz w:val="24"/>
              </w:rPr>
            </w:pPr>
            <w:r>
              <w:rPr>
                <w:rStyle w:val="99"/>
                <w:rFonts w:hint="eastAsia" w:ascii="Times New Roman" w:hAnsi="Times New Roman" w:eastAsia="仿宋"/>
                <w:color w:val="auto"/>
                <w:sz w:val="24"/>
              </w:rPr>
              <w:t>单位及数量</w:t>
            </w:r>
          </w:p>
        </w:tc>
        <w:tc>
          <w:tcPr>
            <w:tcW w:w="37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Style w:val="99"/>
                <w:rFonts w:ascii="Times New Roman" w:hAnsi="Times New Roman" w:eastAsia="仿宋"/>
                <w:color w:val="auto"/>
                <w:sz w:val="24"/>
              </w:rPr>
            </w:pPr>
            <w:r>
              <w:rPr>
                <w:rStyle w:val="99"/>
                <w:rFonts w:hint="eastAsia" w:ascii="Times New Roman" w:hAnsi="Times New Roman" w:eastAsia="仿宋"/>
                <w:color w:val="auto"/>
                <w:sz w:val="24"/>
              </w:rPr>
              <w:t>采购预算（最高限价）</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Style w:val="99"/>
                <w:rFonts w:ascii="Times New Roman" w:hAnsi="Times New Roman" w:eastAsia="仿宋"/>
                <w:color w:val="auto"/>
                <w:sz w:val="24"/>
              </w:rPr>
            </w:pPr>
            <w:r>
              <w:rPr>
                <w:rStyle w:val="99"/>
                <w:rFonts w:hint="eastAsia" w:ascii="Times New Roman" w:hAnsi="Times New Roman" w:eastAsia="仿宋"/>
                <w:color w:val="auto"/>
                <w:sz w:val="24"/>
              </w:rPr>
              <w:t>单价限价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8" w:hRule="exact"/>
          <w:jc w:val="center"/>
        </w:trPr>
        <w:tc>
          <w:tcPr>
            <w:tcW w:w="893"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line="440" w:lineRule="exact"/>
              <w:jc w:val="center"/>
              <w:rPr>
                <w:rFonts w:ascii="宋体" w:hAnsi="宋体"/>
                <w:kern w:val="0"/>
              </w:rPr>
            </w:pPr>
            <w:r>
              <w:rPr>
                <w:rFonts w:hint="eastAsia" w:ascii="宋体" w:hAnsi="宋体"/>
                <w:kern w:val="0"/>
              </w:rPr>
              <w:t>1</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kern w:val="0"/>
              </w:rPr>
            </w:pPr>
            <w:r>
              <w:rPr>
                <w:rFonts w:hint="eastAsia" w:ascii="宋体" w:hAnsi="宋体"/>
                <w:kern w:val="0"/>
              </w:rPr>
              <w:t>门牌数据信息采集</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eastAsia="仿宋"/>
                <w:kern w:val="0"/>
                <w:sz w:val="24"/>
              </w:rPr>
            </w:pPr>
            <w:r>
              <w:rPr>
                <w:rFonts w:hint="eastAsia" w:eastAsia="仿宋"/>
                <w:kern w:val="0"/>
                <w:sz w:val="24"/>
              </w:rPr>
              <w:t>1项</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line="440" w:lineRule="exact"/>
              <w:jc w:val="center"/>
              <w:rPr>
                <w:rFonts w:ascii="宋体" w:hAnsi="宋体" w:cs="宋体"/>
                <w:color w:val="000000"/>
                <w:kern w:val="0"/>
              </w:rPr>
            </w:pPr>
            <w:r>
              <w:rPr>
                <w:rFonts w:hint="eastAsia" w:ascii="宋体" w:hAnsi="宋体" w:cs="宋体"/>
                <w:b/>
                <w:bCs/>
                <w:color w:val="000000"/>
                <w:kern w:val="0"/>
              </w:rPr>
              <w:t>吴兴区采购预算400万元（为两年连续性费用，每年200 万元），南太湖新区采购预算140万元，合计采购预算540万元。</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line="440" w:lineRule="exact"/>
              <w:jc w:val="center"/>
              <w:rPr>
                <w:rFonts w:ascii="宋体" w:hAnsi="宋体" w:cs="宋体"/>
                <w:b/>
                <w:bCs/>
                <w:color w:val="000000"/>
                <w:kern w:val="0"/>
              </w:rPr>
            </w:pPr>
            <w:r>
              <w:rPr>
                <w:rFonts w:hint="eastAsia" w:ascii="宋体" w:hAnsi="宋体" w:cs="宋体"/>
                <w:b/>
                <w:bCs/>
                <w:color w:val="000000"/>
                <w:kern w:val="0"/>
              </w:rPr>
              <w:t>6000元/平方公里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exact"/>
          <w:jc w:val="center"/>
        </w:trPr>
        <w:tc>
          <w:tcPr>
            <w:tcW w:w="937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afterLines="50" w:line="440" w:lineRule="exact"/>
              <w:jc w:val="center"/>
              <w:rPr>
                <w:rFonts w:ascii="宋体" w:hAnsi="宋体" w:cs="宋体"/>
                <w:b/>
                <w:bCs/>
                <w:color w:val="000000"/>
                <w:kern w:val="0"/>
              </w:rPr>
            </w:pPr>
            <w:r>
              <w:rPr>
                <w:rFonts w:hint="eastAsia" w:ascii="宋体" w:hAnsi="宋体" w:cs="宋体"/>
                <w:b/>
                <w:bCs/>
                <w:color w:val="000000"/>
                <w:kern w:val="0"/>
              </w:rPr>
              <w:t>注：供应商投标报价超过采购预算或超过单价限价的投标无效。</w:t>
            </w:r>
          </w:p>
        </w:tc>
      </w:tr>
    </w:tbl>
    <w:p>
      <w:pPr>
        <w:widowControl/>
        <w:spacing w:line="440" w:lineRule="exact"/>
        <w:jc w:val="left"/>
        <w:rPr>
          <w:rFonts w:ascii="宋体" w:hAnsi="宋体" w:cs="Arial"/>
          <w:b/>
          <w:bCs/>
          <w:kern w:val="0"/>
          <w:sz w:val="24"/>
        </w:rPr>
      </w:pPr>
      <w:r>
        <w:rPr>
          <w:rFonts w:hint="eastAsia" w:ascii="宋体" w:hAnsi="宋体" w:cs="Arial"/>
          <w:b/>
          <w:bCs/>
          <w:kern w:val="0"/>
          <w:sz w:val="24"/>
        </w:rPr>
        <w:t>五．投标供应商资格要求:</w:t>
      </w:r>
    </w:p>
    <w:p>
      <w:pPr>
        <w:widowControl/>
        <w:spacing w:line="440" w:lineRule="exact"/>
        <w:ind w:firstLine="360" w:firstLineChars="150"/>
        <w:jc w:val="left"/>
        <w:rPr>
          <w:rFonts w:ascii="宋体" w:hAnsi="宋体" w:cs="Arial"/>
          <w:kern w:val="0"/>
          <w:sz w:val="24"/>
        </w:rPr>
      </w:pPr>
      <w:r>
        <w:rPr>
          <w:rFonts w:hint="eastAsia" w:ascii="宋体" w:hAnsi="宋体" w:cs="Arial"/>
          <w:kern w:val="0"/>
          <w:sz w:val="24"/>
        </w:rPr>
        <w:t>1、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adjustRightInd w:val="0"/>
        <w:snapToGrid w:val="0"/>
        <w:spacing w:line="440" w:lineRule="exact"/>
        <w:rPr>
          <w:rFonts w:ascii="宋体" w:hAnsi="宋体"/>
          <w:sz w:val="24"/>
        </w:rPr>
      </w:pPr>
      <w:r>
        <w:rPr>
          <w:rFonts w:hint="eastAsia" w:ascii="宋体" w:hAnsi="宋体"/>
          <w:sz w:val="24"/>
        </w:rPr>
        <w:t xml:space="preserve">   2、至本项目开标截止时间前，投标人未</w:t>
      </w:r>
      <w:r>
        <w:rPr>
          <w:rFonts w:ascii="ˎ̥" w:hAnsi="ˎ̥" w:cs="Helvetica"/>
          <w:sz w:val="24"/>
        </w:rPr>
        <w:t>列入失信被执行人、重大税收违法案件当事人名单、政府采购严重违法失信行为记录名单</w:t>
      </w:r>
      <w:r>
        <w:rPr>
          <w:rFonts w:hint="eastAsia" w:ascii="宋体" w:hAnsi="宋体"/>
          <w:sz w:val="24"/>
        </w:rPr>
        <w:t>的（以“信用中国”网站www.creditchina.gov.cn、“中国政府采购网”www.ccgp.gov.cn查询结果为准）；</w:t>
      </w:r>
    </w:p>
    <w:p>
      <w:pPr>
        <w:adjustRightInd w:val="0"/>
        <w:snapToGrid w:val="0"/>
        <w:spacing w:line="440" w:lineRule="exact"/>
        <w:rPr>
          <w:rFonts w:ascii="宋体" w:hAnsi="宋体"/>
          <w:sz w:val="24"/>
        </w:rPr>
      </w:pPr>
      <w:r>
        <w:rPr>
          <w:rFonts w:hint="eastAsia" w:ascii="微软雅黑" w:hAnsi="微软雅黑" w:cs="微软雅黑"/>
          <w:sz w:val="24"/>
        </w:rPr>
        <w:t>▲</w:t>
      </w:r>
      <w:r>
        <w:rPr>
          <w:rFonts w:hint="eastAsia" w:ascii="宋体" w:hAnsi="宋体"/>
          <w:sz w:val="24"/>
        </w:rPr>
        <w:t>特定条件：</w:t>
      </w:r>
    </w:p>
    <w:p>
      <w:pPr>
        <w:adjustRightInd w:val="0"/>
        <w:snapToGrid w:val="0"/>
        <w:spacing w:line="440" w:lineRule="exact"/>
        <w:ind w:firstLine="240" w:firstLineChars="100"/>
        <w:rPr>
          <w:rFonts w:ascii="宋体" w:hAnsi="宋体"/>
          <w:sz w:val="24"/>
        </w:rPr>
      </w:pPr>
      <w:r>
        <w:rPr>
          <w:rFonts w:hint="eastAsia" w:ascii="宋体" w:hAnsi="宋体"/>
          <w:sz w:val="24"/>
        </w:rPr>
        <w:t>（1）</w:t>
      </w:r>
      <w:r>
        <w:rPr>
          <w:rFonts w:hint="eastAsia" w:ascii="宋体" w:hAnsi="宋体"/>
          <w:color w:val="FF0000"/>
          <w:sz w:val="24"/>
        </w:rPr>
        <w:t>投标人应具有测绘丙级及以上资质；</w:t>
      </w:r>
    </w:p>
    <w:p>
      <w:pPr>
        <w:adjustRightInd w:val="0"/>
        <w:snapToGrid w:val="0"/>
        <w:spacing w:line="440" w:lineRule="exact"/>
        <w:ind w:firstLine="240" w:firstLineChars="100"/>
        <w:rPr>
          <w:rFonts w:ascii="宋体" w:hAnsi="宋体"/>
          <w:sz w:val="24"/>
        </w:rPr>
      </w:pPr>
      <w:r>
        <w:rPr>
          <w:rFonts w:hint="eastAsia" w:ascii="宋体" w:hAnsi="宋体"/>
          <w:sz w:val="24"/>
        </w:rPr>
        <w:t>（2）本项目不接受联合体投标；</w:t>
      </w:r>
    </w:p>
    <w:p>
      <w:pPr>
        <w:adjustRightInd w:val="0"/>
        <w:snapToGrid w:val="0"/>
        <w:spacing w:line="440" w:lineRule="exact"/>
        <w:ind w:firstLine="240" w:firstLineChars="100"/>
      </w:pPr>
      <w:r>
        <w:rPr>
          <w:rFonts w:hint="eastAsia" w:ascii="宋体" w:hAnsi="宋体"/>
          <w:sz w:val="24"/>
        </w:rPr>
        <w:t>（3）本项目不允许分包。</w:t>
      </w:r>
    </w:p>
    <w:p>
      <w:pPr>
        <w:widowControl/>
        <w:spacing w:line="440" w:lineRule="exact"/>
        <w:jc w:val="left"/>
        <w:rPr>
          <w:rFonts w:ascii="宋体" w:hAnsi="宋体" w:cs="Arial"/>
          <w:b/>
          <w:bCs/>
          <w:kern w:val="0"/>
          <w:sz w:val="24"/>
        </w:rPr>
      </w:pPr>
      <w:r>
        <w:rPr>
          <w:rFonts w:hint="eastAsia" w:ascii="宋体" w:hAnsi="宋体" w:cs="Arial"/>
          <w:b/>
          <w:bCs/>
          <w:kern w:val="0"/>
          <w:sz w:val="24"/>
        </w:rPr>
        <w:t>六．</w:t>
      </w:r>
      <w:r>
        <w:rPr>
          <w:rFonts w:hint="eastAsia" w:ascii="宋体" w:hAnsi="宋体" w:cs="Arial"/>
          <w:b/>
          <w:bCs/>
          <w:sz w:val="24"/>
        </w:rPr>
        <w:t>报名及采购文件的获取</w:t>
      </w:r>
      <w:r>
        <w:rPr>
          <w:rFonts w:hint="eastAsia" w:ascii="宋体" w:hAnsi="宋体" w:cs="Arial"/>
          <w:sz w:val="24"/>
        </w:rPr>
        <w:t>：</w:t>
      </w:r>
    </w:p>
    <w:p>
      <w:pPr>
        <w:pStyle w:val="21"/>
        <w:spacing w:line="440" w:lineRule="exact"/>
        <w:ind w:firstLine="480"/>
        <w:rPr>
          <w:rFonts w:ascii="微软雅黑" w:hAnsi="微软雅黑" w:eastAsia="微软雅黑" w:cs="微软雅黑"/>
        </w:rPr>
      </w:pPr>
      <w:r>
        <w:rPr>
          <w:rFonts w:hint="eastAsia" w:ascii="微软雅黑" w:hAnsi="微软雅黑" w:eastAsia="微软雅黑" w:cs="微软雅黑"/>
        </w:rPr>
        <w:t>1、报名及获取招标文件时间：</w:t>
      </w:r>
      <w:r>
        <w:rPr>
          <w:rFonts w:hint="eastAsia" w:ascii="微软雅黑" w:hAnsi="微软雅黑" w:eastAsia="微软雅黑" w:cs="微软雅黑"/>
          <w:u w:val="single"/>
        </w:rPr>
        <w:t>2020 年</w:t>
      </w:r>
      <w:r>
        <w:rPr>
          <w:rFonts w:hint="eastAsia" w:ascii="微软雅黑" w:hAnsi="微软雅黑" w:eastAsia="微软雅黑" w:cs="微软雅黑"/>
          <w:u w:val="single"/>
          <w:lang w:val="en-US" w:eastAsia="zh-CN"/>
        </w:rPr>
        <w:t>7</w:t>
      </w:r>
      <w:r>
        <w:rPr>
          <w:rFonts w:hint="eastAsia" w:ascii="微软雅黑" w:hAnsi="微软雅黑" w:eastAsia="微软雅黑" w:cs="微软雅黑"/>
          <w:u w:val="single"/>
        </w:rPr>
        <w:t>月</w:t>
      </w:r>
      <w:r>
        <w:rPr>
          <w:rFonts w:hint="eastAsia" w:ascii="微软雅黑" w:hAnsi="微软雅黑" w:eastAsia="微软雅黑" w:cs="微软雅黑"/>
          <w:u w:val="single"/>
          <w:lang w:val="en-US" w:eastAsia="zh-CN"/>
        </w:rPr>
        <w:t>28</w:t>
      </w:r>
      <w:r>
        <w:rPr>
          <w:rFonts w:hint="eastAsia" w:ascii="微软雅黑" w:hAnsi="微软雅黑" w:eastAsia="微软雅黑" w:cs="微软雅黑"/>
          <w:u w:val="single"/>
        </w:rPr>
        <w:t>日</w:t>
      </w:r>
      <w:r>
        <w:rPr>
          <w:rFonts w:hint="eastAsia" w:ascii="微软雅黑" w:hAnsi="微软雅黑" w:eastAsia="微软雅黑" w:cs="微软雅黑"/>
        </w:rPr>
        <w:t xml:space="preserve">至 </w:t>
      </w:r>
      <w:r>
        <w:rPr>
          <w:rFonts w:hint="eastAsia" w:ascii="微软雅黑" w:hAnsi="微软雅黑" w:eastAsia="微软雅黑" w:cs="微软雅黑"/>
          <w:u w:val="single"/>
        </w:rPr>
        <w:t>2020年</w:t>
      </w:r>
      <w:r>
        <w:rPr>
          <w:rFonts w:hint="eastAsia" w:ascii="微软雅黑" w:hAnsi="微软雅黑" w:eastAsia="微软雅黑" w:cs="微软雅黑"/>
          <w:u w:val="single"/>
          <w:lang w:val="en-US" w:eastAsia="zh-CN"/>
        </w:rPr>
        <w:t>8</w:t>
      </w:r>
      <w:r>
        <w:rPr>
          <w:rFonts w:hint="eastAsia" w:ascii="微软雅黑" w:hAnsi="微软雅黑" w:eastAsia="微软雅黑" w:cs="微软雅黑"/>
          <w:u w:val="single"/>
        </w:rPr>
        <w:t>月</w:t>
      </w:r>
      <w:r>
        <w:rPr>
          <w:rFonts w:hint="eastAsia" w:ascii="微软雅黑" w:hAnsi="微软雅黑" w:eastAsia="微软雅黑" w:cs="微软雅黑"/>
          <w:u w:val="single"/>
          <w:lang w:val="en-US" w:eastAsia="zh-CN"/>
        </w:rPr>
        <w:t>4</w:t>
      </w:r>
      <w:r>
        <w:rPr>
          <w:rFonts w:hint="eastAsia" w:ascii="微软雅黑" w:hAnsi="微软雅黑" w:eastAsia="微软雅黑" w:cs="微软雅黑"/>
          <w:u w:val="single"/>
        </w:rPr>
        <w:t>日</w:t>
      </w:r>
      <w:r>
        <w:rPr>
          <w:rFonts w:hint="eastAsia" w:ascii="微软雅黑" w:hAnsi="微软雅黑" w:eastAsia="微软雅黑" w:cs="微软雅黑"/>
        </w:rPr>
        <w:t>(潜在供应商报名及获取招标文件前应当在政采云电子交易平台上注册账号并登录，截止时间后不再接受潜在供应商报名及获取招标文件)。</w:t>
      </w:r>
    </w:p>
    <w:p>
      <w:pPr>
        <w:pStyle w:val="21"/>
        <w:spacing w:line="440" w:lineRule="exact"/>
        <w:ind w:firstLine="480"/>
        <w:rPr>
          <w:rFonts w:ascii="微软雅黑" w:hAnsi="微软雅黑" w:eastAsia="微软雅黑" w:cs="微软雅黑"/>
        </w:rPr>
      </w:pPr>
      <w:r>
        <w:rPr>
          <w:rFonts w:hint="eastAsia" w:ascii="微软雅黑" w:hAnsi="微软雅黑" w:eastAsia="微软雅黑" w:cs="微软雅黑"/>
        </w:rPr>
        <w:t>2、本次招标文件实行网上获取，不接受供应商现场报名,供应商登录浙江政府采购网（http://zfcg.czt.zj.gov.cn/）进入政采云系统“项目采购”模块“获取采购文件”菜单，进行网上获取招标文件（“政采云”注册账号、密码登录系统后获取招标文件）。</w:t>
      </w:r>
    </w:p>
    <w:p>
      <w:pPr>
        <w:pStyle w:val="21"/>
        <w:spacing w:line="440" w:lineRule="exact"/>
        <w:ind w:right="-92" w:rightChars="-44" w:firstLine="480"/>
        <w:rPr>
          <w:rFonts w:ascii="微软雅黑" w:hAnsi="微软雅黑" w:eastAsia="微软雅黑" w:cs="微软雅黑"/>
        </w:rPr>
      </w:pPr>
      <w:r>
        <w:rPr>
          <w:rFonts w:hint="eastAsia" w:ascii="微软雅黑" w:hAnsi="微软雅黑" w:eastAsia="微软雅黑" w:cs="微软雅黑"/>
        </w:rPr>
        <w:t>3、免费注册网址：浙江政府采购网（供应商注册页面）： https://middle.zcygov.cn/settle-front/#/registry“政采云”，咨询电话： 400-881-7190。已经注册成功的供应商无需重复注册。</w:t>
      </w:r>
    </w:p>
    <w:p>
      <w:pPr>
        <w:spacing w:line="440" w:lineRule="exact"/>
        <w:ind w:firstLine="240" w:firstLineChars="100"/>
        <w:jc w:val="left"/>
        <w:rPr>
          <w:b/>
          <w:sz w:val="24"/>
        </w:rPr>
      </w:pPr>
      <w:r>
        <w:rPr>
          <w:b/>
          <w:sz w:val="24"/>
        </w:rPr>
        <w:t>七、投标文件的递交及相关事宜：</w:t>
      </w:r>
    </w:p>
    <w:p>
      <w:pPr>
        <w:pStyle w:val="20"/>
        <w:spacing w:before="201" w:line="440" w:lineRule="exact"/>
        <w:ind w:right="-94" w:firstLine="480" w:firstLineChars="200"/>
        <w:rPr>
          <w:rFonts w:ascii="宋体" w:hAnsi="宋体" w:eastAsia="微软雅黑" w:cs="宋体"/>
          <w:kern w:val="0"/>
          <w:sz w:val="24"/>
          <w:szCs w:val="21"/>
        </w:rPr>
      </w:pPr>
      <w:r>
        <w:rPr>
          <w:rFonts w:hint="eastAsia" w:ascii="宋体" w:hAnsi="宋体" w:eastAsia="微软雅黑" w:cs="宋体"/>
          <w:kern w:val="0"/>
          <w:sz w:val="24"/>
          <w:szCs w:val="21"/>
        </w:rPr>
        <w:t>1、投标文件递交的截止时间（投标截止时间，下同）：</w:t>
      </w:r>
      <w:r>
        <w:rPr>
          <w:rFonts w:hint="eastAsia" w:ascii="宋体" w:hAnsi="宋体" w:eastAsia="微软雅黑" w:cs="宋体"/>
          <w:kern w:val="0"/>
          <w:sz w:val="24"/>
          <w:szCs w:val="21"/>
          <w:u w:val="single"/>
        </w:rPr>
        <w:t>2020 年</w:t>
      </w:r>
      <w:r>
        <w:rPr>
          <w:rFonts w:hint="eastAsia" w:ascii="宋体" w:hAnsi="宋体" w:eastAsia="微软雅黑" w:cs="宋体"/>
          <w:kern w:val="0"/>
          <w:sz w:val="24"/>
          <w:szCs w:val="21"/>
          <w:u w:val="single"/>
          <w:lang w:val="en-US" w:eastAsia="zh-CN"/>
        </w:rPr>
        <w:t>8</w:t>
      </w:r>
      <w:r>
        <w:rPr>
          <w:rFonts w:hint="eastAsia" w:ascii="宋体" w:hAnsi="宋体" w:eastAsia="微软雅黑" w:cs="宋体"/>
          <w:kern w:val="0"/>
          <w:sz w:val="24"/>
          <w:szCs w:val="21"/>
          <w:u w:val="single"/>
        </w:rPr>
        <w:t>月</w:t>
      </w:r>
      <w:r>
        <w:rPr>
          <w:rFonts w:hint="eastAsia" w:ascii="宋体" w:hAnsi="宋体" w:eastAsia="微软雅黑" w:cs="宋体"/>
          <w:kern w:val="0"/>
          <w:sz w:val="24"/>
          <w:szCs w:val="21"/>
          <w:u w:val="single"/>
          <w:lang w:val="en-US" w:eastAsia="zh-CN"/>
        </w:rPr>
        <w:t>18</w:t>
      </w:r>
      <w:r>
        <w:rPr>
          <w:rFonts w:hint="eastAsia" w:ascii="宋体" w:hAnsi="宋体" w:eastAsia="微软雅黑" w:cs="宋体"/>
          <w:kern w:val="0"/>
          <w:sz w:val="24"/>
          <w:szCs w:val="21"/>
          <w:u w:val="single"/>
        </w:rPr>
        <w:t>日</w:t>
      </w:r>
      <w:r>
        <w:rPr>
          <w:rFonts w:hint="eastAsia" w:ascii="宋体" w:hAnsi="宋体" w:eastAsia="微软雅黑" w:cs="宋体"/>
          <w:kern w:val="0"/>
          <w:sz w:val="24"/>
          <w:szCs w:val="21"/>
          <w:u w:val="single"/>
          <w:lang w:val="en-US" w:eastAsia="zh-CN"/>
        </w:rPr>
        <w:t>10</w:t>
      </w:r>
      <w:r>
        <w:rPr>
          <w:rFonts w:hint="eastAsia" w:ascii="宋体" w:hAnsi="宋体" w:eastAsia="微软雅黑" w:cs="宋体"/>
          <w:kern w:val="0"/>
          <w:sz w:val="24"/>
          <w:szCs w:val="21"/>
          <w:u w:val="single"/>
        </w:rPr>
        <w:t xml:space="preserve"> 时</w:t>
      </w:r>
      <w:r>
        <w:rPr>
          <w:rFonts w:hint="eastAsia" w:ascii="宋体" w:hAnsi="宋体" w:eastAsia="微软雅黑" w:cs="宋体"/>
          <w:kern w:val="0"/>
          <w:sz w:val="24"/>
          <w:szCs w:val="21"/>
          <w:u w:val="single"/>
          <w:lang w:val="en-US" w:eastAsia="zh-CN"/>
        </w:rPr>
        <w:t>30</w:t>
      </w:r>
      <w:r>
        <w:rPr>
          <w:rFonts w:hint="eastAsia" w:ascii="宋体" w:hAnsi="宋体" w:eastAsia="微软雅黑" w:cs="宋体"/>
          <w:kern w:val="0"/>
          <w:sz w:val="24"/>
          <w:szCs w:val="21"/>
          <w:u w:val="single"/>
        </w:rPr>
        <w:t xml:space="preserve">分 </w:t>
      </w:r>
      <w:r>
        <w:rPr>
          <w:rFonts w:hint="eastAsia" w:ascii="宋体" w:hAnsi="宋体" w:eastAsia="微软雅黑" w:cs="宋体"/>
          <w:kern w:val="0"/>
          <w:sz w:val="24"/>
          <w:szCs w:val="21"/>
        </w:rPr>
        <w:t>（北京时间）。</w:t>
      </w:r>
    </w:p>
    <w:p>
      <w:pPr>
        <w:pStyle w:val="20"/>
        <w:spacing w:line="440" w:lineRule="exact"/>
        <w:ind w:firstLine="480" w:firstLineChars="200"/>
        <w:rPr>
          <w:rFonts w:ascii="宋体" w:hAnsi="宋体" w:eastAsia="微软雅黑" w:cs="宋体"/>
          <w:kern w:val="0"/>
          <w:sz w:val="24"/>
          <w:szCs w:val="21"/>
        </w:rPr>
      </w:pPr>
      <w:r>
        <w:rPr>
          <w:rFonts w:hint="eastAsia" w:ascii="宋体" w:hAnsi="宋体" w:eastAsia="微软雅黑" w:cs="宋体"/>
          <w:kern w:val="0"/>
          <w:sz w:val="24"/>
          <w:szCs w:val="21"/>
        </w:rPr>
        <w:t>2、投标文件的递交方式：</w:t>
      </w:r>
    </w:p>
    <w:p>
      <w:pPr>
        <w:pStyle w:val="91"/>
        <w:tabs>
          <w:tab w:val="left" w:pos="1436"/>
          <w:tab w:val="left" w:pos="8400"/>
        </w:tabs>
        <w:spacing w:before="203" w:line="440" w:lineRule="exact"/>
        <w:ind w:right="-94" w:firstLine="480"/>
        <w:rPr>
          <w:rFonts w:ascii="宋体" w:hAnsi="宋体" w:cs="宋体"/>
          <w:kern w:val="0"/>
          <w:sz w:val="24"/>
          <w:szCs w:val="21"/>
        </w:rPr>
      </w:pPr>
      <w:r>
        <w:rPr>
          <w:rFonts w:hint="eastAsia" w:ascii="宋体" w:hAnsi="宋体" w:cs="宋体"/>
          <w:kern w:val="0"/>
          <w:sz w:val="24"/>
          <w:szCs w:val="21"/>
        </w:rPr>
        <w:t>2.1、电子投标文件：按政采云平台项目采购-电子交易操作指南及本招标文件要求制作、加密并递交。供应商应于</w:t>
      </w:r>
      <w:r>
        <w:rPr>
          <w:rFonts w:hint="eastAsia" w:ascii="宋体" w:hAnsi="宋体" w:cs="宋体"/>
          <w:kern w:val="0"/>
          <w:sz w:val="24"/>
          <w:szCs w:val="21"/>
          <w:u w:val="single"/>
        </w:rPr>
        <w:t xml:space="preserve"> 2020 年</w:t>
      </w:r>
      <w:r>
        <w:rPr>
          <w:rFonts w:hint="eastAsia" w:ascii="宋体" w:hAnsi="宋体" w:cs="宋体"/>
          <w:kern w:val="0"/>
          <w:sz w:val="24"/>
          <w:szCs w:val="21"/>
          <w:u w:val="single"/>
          <w:lang w:val="en-US" w:eastAsia="zh-CN"/>
        </w:rPr>
        <w:t>8</w:t>
      </w:r>
      <w:r>
        <w:rPr>
          <w:rFonts w:hint="eastAsia" w:ascii="宋体" w:hAnsi="宋体" w:cs="宋体"/>
          <w:kern w:val="0"/>
          <w:sz w:val="24"/>
          <w:szCs w:val="21"/>
          <w:u w:val="single"/>
        </w:rPr>
        <w:t>月</w:t>
      </w:r>
      <w:r>
        <w:rPr>
          <w:rFonts w:hint="eastAsia" w:ascii="宋体" w:hAnsi="宋体" w:cs="宋体"/>
          <w:kern w:val="0"/>
          <w:sz w:val="24"/>
          <w:szCs w:val="21"/>
          <w:u w:val="single"/>
          <w:lang w:val="en-US" w:eastAsia="zh-CN"/>
        </w:rPr>
        <w:t>18</w:t>
      </w:r>
      <w:r>
        <w:rPr>
          <w:rFonts w:hint="eastAsia" w:ascii="宋体" w:hAnsi="宋体" w:cs="宋体"/>
          <w:kern w:val="0"/>
          <w:sz w:val="24"/>
          <w:szCs w:val="21"/>
          <w:u w:val="single"/>
        </w:rPr>
        <w:t>日</w:t>
      </w:r>
      <w:r>
        <w:rPr>
          <w:rFonts w:hint="eastAsia" w:ascii="宋体" w:hAnsi="宋体" w:cs="宋体"/>
          <w:kern w:val="0"/>
          <w:sz w:val="24"/>
          <w:szCs w:val="21"/>
          <w:u w:val="single"/>
          <w:lang w:val="en-US" w:eastAsia="zh-CN"/>
        </w:rPr>
        <w:t>10</w:t>
      </w:r>
      <w:r>
        <w:rPr>
          <w:rFonts w:hint="eastAsia" w:ascii="宋体" w:hAnsi="宋体" w:cs="宋体"/>
          <w:kern w:val="0"/>
          <w:sz w:val="24"/>
          <w:szCs w:val="21"/>
          <w:u w:val="single"/>
        </w:rPr>
        <w:t>时</w:t>
      </w:r>
      <w:r>
        <w:rPr>
          <w:rFonts w:hint="eastAsia" w:ascii="宋体" w:hAnsi="宋体" w:cs="宋体"/>
          <w:kern w:val="0"/>
          <w:sz w:val="24"/>
          <w:szCs w:val="21"/>
          <w:u w:val="single"/>
          <w:lang w:val="en-US" w:eastAsia="zh-CN"/>
        </w:rPr>
        <w:t>30</w:t>
      </w:r>
      <w:r>
        <w:rPr>
          <w:rFonts w:hint="eastAsia" w:ascii="宋体" w:hAnsi="宋体" w:cs="宋体"/>
          <w:kern w:val="0"/>
          <w:sz w:val="24"/>
          <w:szCs w:val="21"/>
          <w:u w:val="single"/>
        </w:rPr>
        <w:t>分</w:t>
      </w:r>
      <w:r>
        <w:rPr>
          <w:rFonts w:hint="eastAsia" w:ascii="宋体" w:hAnsi="宋体" w:cs="宋体"/>
          <w:kern w:val="0"/>
          <w:sz w:val="24"/>
          <w:szCs w:val="21"/>
        </w:rPr>
        <w:t>（北京时间）前将制作、加密的电子版投标文件上传到政采云系统中（未准时上传的视为放弃投标资格，作无效标处理）；</w:t>
      </w:r>
    </w:p>
    <w:p>
      <w:pPr>
        <w:pStyle w:val="91"/>
        <w:tabs>
          <w:tab w:val="left" w:pos="1436"/>
          <w:tab w:val="left" w:pos="8400"/>
        </w:tabs>
        <w:spacing w:before="203" w:line="440" w:lineRule="exact"/>
        <w:ind w:right="-94" w:firstLine="480"/>
        <w:rPr>
          <w:rFonts w:ascii="宋体" w:hAnsi="宋体" w:cs="宋体"/>
          <w:kern w:val="0"/>
          <w:sz w:val="24"/>
          <w:szCs w:val="21"/>
        </w:rPr>
      </w:pPr>
      <w:r>
        <w:rPr>
          <w:rFonts w:hint="eastAsia" w:ascii="宋体" w:hAnsi="宋体" w:cs="宋体"/>
          <w:kern w:val="0"/>
          <w:sz w:val="24"/>
          <w:szCs w:val="21"/>
        </w:rPr>
        <w:t>2.2、(1)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r>
        <w:rPr>
          <w:rFonts w:hint="eastAsia" w:ascii="宋体" w:hAnsi="宋体" w:cs="宋体"/>
          <w:kern w:val="0"/>
          <w:sz w:val="24"/>
          <w:szCs w:val="21"/>
        </w:rPr>
        <w:br w:type="textWrapping"/>
      </w:r>
      <w:r>
        <w:rPr>
          <w:rFonts w:hint="eastAsia" w:ascii="宋体" w:hAnsi="宋体" w:cs="宋体"/>
          <w:kern w:val="0"/>
          <w:sz w:val="24"/>
          <w:szCs w:val="21"/>
          <w:lang w:val="en-US" w:eastAsia="zh-CN"/>
        </w:rPr>
        <w:t xml:space="preserve">  </w:t>
      </w:r>
      <w:r>
        <w:rPr>
          <w:rFonts w:hint="eastAsia" w:ascii="宋体" w:hAnsi="宋体" w:cs="宋体"/>
          <w:kern w:val="0"/>
          <w:sz w:val="24"/>
          <w:szCs w:val="21"/>
        </w:rPr>
        <w:t>(2)备份投标文件：以介质存储的数据电文形式的备份投标文件，按政采云平台项目采购-电子交易操作指南中上传的电子投标文件格式，以U盘形式存储提供。数量为1份。U盘盘面上粘贴标签，标注单位名称，装入一个外包封袋中进行邮寄。投标人应确保在投标截止时间前送达（以收件人实际签收时间为准），逾期送达的将拒绝接收。</w:t>
      </w:r>
    </w:p>
    <w:p>
      <w:pPr>
        <w:pStyle w:val="91"/>
        <w:tabs>
          <w:tab w:val="left" w:pos="1436"/>
          <w:tab w:val="left" w:pos="8400"/>
        </w:tabs>
        <w:spacing w:before="203" w:line="440" w:lineRule="exact"/>
        <w:ind w:right="-94" w:firstLine="480"/>
        <w:rPr>
          <w:rFonts w:ascii="宋体" w:hAnsi="宋体" w:cs="宋体"/>
          <w:kern w:val="0"/>
          <w:sz w:val="24"/>
          <w:szCs w:val="21"/>
        </w:rPr>
      </w:pPr>
      <w:r>
        <w:rPr>
          <w:rFonts w:hint="eastAsia" w:ascii="宋体" w:hAnsi="宋体" w:cs="宋体"/>
          <w:kern w:val="0"/>
          <w:sz w:val="24"/>
          <w:szCs w:val="21"/>
        </w:rPr>
        <w:t>3、CA 锁解密时间为开标当日</w:t>
      </w:r>
      <w:r>
        <w:rPr>
          <w:rFonts w:hint="eastAsia" w:ascii="宋体" w:hAnsi="宋体" w:cs="宋体"/>
          <w:kern w:val="0"/>
          <w:sz w:val="24"/>
          <w:szCs w:val="21"/>
          <w:u w:val="single"/>
          <w:lang w:val="en-US" w:eastAsia="zh-CN"/>
        </w:rPr>
        <w:t>10</w:t>
      </w:r>
      <w:r>
        <w:rPr>
          <w:rFonts w:hint="eastAsia" w:ascii="宋体" w:hAnsi="宋体" w:cs="宋体"/>
          <w:kern w:val="0"/>
          <w:sz w:val="24"/>
          <w:szCs w:val="21"/>
          <w:u w:val="single"/>
        </w:rPr>
        <w:t>:</w:t>
      </w:r>
      <w:r>
        <w:rPr>
          <w:rFonts w:hint="eastAsia" w:ascii="宋体" w:hAnsi="宋体" w:cs="宋体"/>
          <w:kern w:val="0"/>
          <w:sz w:val="24"/>
          <w:szCs w:val="21"/>
          <w:u w:val="single"/>
          <w:lang w:val="en-US" w:eastAsia="zh-CN"/>
        </w:rPr>
        <w:t>30</w:t>
      </w:r>
      <w:r>
        <w:rPr>
          <w:rFonts w:hint="eastAsia" w:ascii="宋体" w:hAnsi="宋体" w:cs="宋体"/>
          <w:kern w:val="0"/>
          <w:sz w:val="24"/>
          <w:szCs w:val="21"/>
          <w:u w:val="single"/>
        </w:rPr>
        <w:t>至</w:t>
      </w:r>
      <w:r>
        <w:rPr>
          <w:rFonts w:hint="eastAsia" w:ascii="宋体" w:hAnsi="宋体" w:cs="宋体"/>
          <w:kern w:val="0"/>
          <w:sz w:val="24"/>
          <w:szCs w:val="21"/>
          <w:u w:val="single"/>
          <w:lang w:val="en-US" w:eastAsia="zh-CN"/>
        </w:rPr>
        <w:t>11</w:t>
      </w:r>
      <w:r>
        <w:rPr>
          <w:rFonts w:hint="eastAsia" w:ascii="宋体" w:hAnsi="宋体" w:cs="宋体"/>
          <w:kern w:val="0"/>
          <w:sz w:val="24"/>
          <w:szCs w:val="21"/>
          <w:u w:val="single"/>
        </w:rPr>
        <w:t>:</w:t>
      </w:r>
      <w:r>
        <w:rPr>
          <w:rFonts w:hint="eastAsia" w:ascii="宋体" w:hAnsi="宋体" w:cs="宋体"/>
          <w:kern w:val="0"/>
          <w:sz w:val="24"/>
          <w:szCs w:val="21"/>
          <w:u w:val="single"/>
          <w:lang w:val="en-US" w:eastAsia="zh-CN"/>
        </w:rPr>
        <w:t>0</w:t>
      </w:r>
      <w:r>
        <w:rPr>
          <w:rFonts w:hint="eastAsia" w:ascii="宋体" w:hAnsi="宋体" w:cs="宋体"/>
          <w:kern w:val="0"/>
          <w:sz w:val="24"/>
          <w:szCs w:val="21"/>
          <w:u w:val="single"/>
        </w:rPr>
        <w:t>0</w:t>
      </w:r>
      <w:r>
        <w:rPr>
          <w:rFonts w:hint="eastAsia" w:ascii="宋体" w:hAnsi="宋体" w:cs="宋体"/>
          <w:kern w:val="0"/>
          <w:sz w:val="24"/>
          <w:szCs w:val="21"/>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供应商仅提交“备份投标文件”的，投标无效。</w:t>
      </w:r>
    </w:p>
    <w:p>
      <w:pPr>
        <w:pStyle w:val="20"/>
        <w:spacing w:before="39" w:line="440" w:lineRule="exact"/>
        <w:ind w:right="-94" w:firstLine="480" w:firstLineChars="200"/>
        <w:rPr>
          <w:rFonts w:ascii="宋体" w:hAnsi="宋体" w:eastAsia="微软雅黑" w:cs="宋体"/>
          <w:kern w:val="0"/>
          <w:sz w:val="24"/>
          <w:szCs w:val="21"/>
        </w:rPr>
      </w:pPr>
      <w:r>
        <w:rPr>
          <w:rFonts w:hint="eastAsia" w:ascii="宋体" w:hAnsi="宋体" w:eastAsia="微软雅黑" w:cs="宋体"/>
          <w:kern w:val="0"/>
          <w:sz w:val="24"/>
          <w:szCs w:val="21"/>
        </w:rPr>
        <w:t>4、供应商须在线获取 CA 数字证书（完成 CA 数字证书办理预计一周左右，建议各供应商自行把握时间），办理流程详见</w:t>
      </w:r>
      <w:r>
        <w:fldChar w:fldCharType="begin"/>
      </w:r>
      <w:r>
        <w:instrText xml:space="preserve"> HYPERLINK "http://www.zjzfcg.gov.cn/bidClientTemplate/2019-05-27/12945.html" \h </w:instrText>
      </w:r>
      <w:r>
        <w:fldChar w:fldCharType="separate"/>
      </w:r>
      <w:r>
        <w:rPr>
          <w:rFonts w:hint="eastAsia" w:ascii="宋体" w:hAnsi="宋体" w:eastAsia="微软雅黑" w:cs="宋体"/>
          <w:kern w:val="0"/>
          <w:sz w:val="24"/>
          <w:szCs w:val="21"/>
        </w:rPr>
        <w:t>http://www.zjzfcg.gov.cn/bidClientTemplate/2019-05-27/12945.html</w:t>
      </w:r>
      <w:r>
        <w:rPr>
          <w:rFonts w:hint="eastAsia" w:ascii="宋体" w:hAnsi="宋体" w:eastAsia="微软雅黑" w:cs="宋体"/>
          <w:kern w:val="0"/>
          <w:sz w:val="24"/>
          <w:szCs w:val="21"/>
        </w:rPr>
        <w:fldChar w:fldCharType="end"/>
      </w:r>
      <w:r>
        <w:rPr>
          <w:rFonts w:hint="eastAsia" w:ascii="宋体" w:hAnsi="宋体" w:eastAsia="微软雅黑" w:cs="宋体"/>
          <w:kern w:val="0"/>
          <w:sz w:val="24"/>
          <w:szCs w:val="21"/>
        </w:rPr>
        <w:t>），并登陆“浙江政府采购网”（</w:t>
      </w:r>
      <w:r>
        <w:fldChar w:fldCharType="begin"/>
      </w:r>
      <w:r>
        <w:instrText xml:space="preserve"> HYPERLINK "http://zfcg.czt.zj.gov.cn/" \h </w:instrText>
      </w:r>
      <w:r>
        <w:fldChar w:fldCharType="separate"/>
      </w:r>
      <w:r>
        <w:rPr>
          <w:rFonts w:hint="eastAsia" w:ascii="宋体" w:hAnsi="宋体" w:eastAsia="微软雅黑" w:cs="宋体"/>
          <w:kern w:val="0"/>
          <w:sz w:val="24"/>
          <w:szCs w:val="21"/>
        </w:rPr>
        <w:t>http://zfcg.czt.zj.gov.cn/</w:t>
      </w:r>
      <w:r>
        <w:rPr>
          <w:rFonts w:hint="eastAsia" w:ascii="宋体" w:hAnsi="宋体" w:eastAsia="微软雅黑" w:cs="宋体"/>
          <w:kern w:val="0"/>
          <w:sz w:val="24"/>
          <w:szCs w:val="21"/>
        </w:rPr>
        <w:fldChar w:fldCharType="end"/>
      </w:r>
      <w:r>
        <w:rPr>
          <w:rFonts w:hint="eastAsia" w:ascii="宋体" w:hAnsi="宋体" w:eastAsia="微软雅黑" w:cs="宋体"/>
          <w:kern w:val="0"/>
          <w:sz w:val="24"/>
          <w:szCs w:val="21"/>
        </w:rPr>
        <w:t>），进入“下载专区”下载“电子交易客户端”，制作投标文件。</w:t>
      </w:r>
    </w:p>
    <w:p>
      <w:pPr>
        <w:pStyle w:val="20"/>
        <w:spacing w:line="440" w:lineRule="exact"/>
        <w:ind w:firstLine="480" w:firstLineChars="200"/>
        <w:rPr>
          <w:rFonts w:ascii="宋体" w:hAnsi="宋体" w:eastAsia="微软雅黑" w:cs="宋体"/>
          <w:kern w:val="0"/>
          <w:sz w:val="24"/>
          <w:szCs w:val="21"/>
        </w:rPr>
      </w:pPr>
      <w:r>
        <w:rPr>
          <w:rFonts w:hint="eastAsia" w:ascii="宋体" w:hAnsi="宋体" w:eastAsia="微软雅黑" w:cs="宋体"/>
          <w:kern w:val="0"/>
          <w:sz w:val="24"/>
          <w:szCs w:val="21"/>
        </w:rPr>
        <w:t>5、供应商须将制作、加密后的电子版投标文件于投标截止时间前上传到政采云系统中，超过投标截止时间上传的，均按无效标处理。</w:t>
      </w:r>
    </w:p>
    <w:p>
      <w:pPr>
        <w:pStyle w:val="20"/>
        <w:spacing w:line="440" w:lineRule="exact"/>
        <w:ind w:firstLine="480" w:firstLineChars="200"/>
        <w:rPr>
          <w:rFonts w:ascii="宋体" w:hAnsi="宋体" w:eastAsia="微软雅黑" w:cs="宋体"/>
          <w:kern w:val="0"/>
          <w:sz w:val="24"/>
          <w:szCs w:val="21"/>
        </w:rPr>
      </w:pPr>
      <w:r>
        <w:rPr>
          <w:rFonts w:hint="eastAsia" w:ascii="宋体" w:hAnsi="宋体" w:eastAsia="微软雅黑" w:cs="宋体"/>
          <w:kern w:val="0"/>
          <w:sz w:val="24"/>
          <w:szCs w:val="21"/>
        </w:rPr>
        <w:t>6、供应商通过政采云平台电子投标工具制作投标文件，电子投标工具请供应商自行 前 往 浙 江 省 政 府 采 购 网 下 载 并 安 装 ，（ 下 载 网 址 ：</w:t>
      </w:r>
      <w:r>
        <w:rPr>
          <w:rFonts w:ascii="宋体" w:hAnsi="宋体" w:eastAsia="微软雅黑" w:cs="宋体"/>
          <w:kern w:val="0"/>
          <w:sz w:val="24"/>
          <w:szCs w:val="21"/>
        </w:rPr>
        <w:t>http://zfcg.czt.zj.gov.cn/download/index.html?_=1594257441345</w:t>
      </w:r>
      <w:r>
        <w:rPr>
          <w:rFonts w:hint="eastAsia" w:ascii="宋体" w:hAnsi="宋体" w:eastAsia="微软雅黑" w:cs="宋体"/>
          <w:kern w:val="0"/>
          <w:sz w:val="24"/>
          <w:szCs w:val="21"/>
        </w:rPr>
        <w:t>），供应商电子交易操作指南详见网址：</w:t>
      </w:r>
      <w:r>
        <w:fldChar w:fldCharType="begin"/>
      </w:r>
      <w:r>
        <w:instrText xml:space="preserve"> HYPERLINK "https://help.zcygov.cn/web/site_2/2018/12-28/2573.html" \h </w:instrText>
      </w:r>
      <w:r>
        <w:fldChar w:fldCharType="separate"/>
      </w:r>
      <w:r>
        <w:rPr>
          <w:rFonts w:hint="eastAsia" w:ascii="宋体" w:hAnsi="宋体" w:eastAsia="微软雅黑" w:cs="宋体"/>
          <w:kern w:val="0"/>
          <w:sz w:val="24"/>
          <w:szCs w:val="21"/>
        </w:rPr>
        <w:t>https://help.zcygov.cn/web/site_2/2018/12-28/2573.html</w:t>
      </w:r>
      <w:r>
        <w:rPr>
          <w:rFonts w:hint="eastAsia" w:ascii="宋体" w:hAnsi="宋体" w:eastAsia="微软雅黑" w:cs="宋体"/>
          <w:kern w:val="0"/>
          <w:sz w:val="24"/>
          <w:szCs w:val="21"/>
        </w:rPr>
        <w:fldChar w:fldCharType="end"/>
      </w:r>
      <w:r>
        <w:rPr>
          <w:rFonts w:hint="eastAsia" w:ascii="宋体" w:hAnsi="宋体" w:eastAsia="微软雅黑" w:cs="宋体"/>
          <w:kern w:val="0"/>
          <w:sz w:val="24"/>
          <w:szCs w:val="21"/>
        </w:rPr>
        <w:t>）</w:t>
      </w:r>
    </w:p>
    <w:p>
      <w:pPr>
        <w:pStyle w:val="20"/>
        <w:spacing w:line="440" w:lineRule="exact"/>
        <w:ind w:firstLine="241" w:firstLineChars="100"/>
        <w:rPr>
          <w:rFonts w:ascii="宋体" w:hAnsi="宋体" w:eastAsia="微软雅黑" w:cs="宋体"/>
          <w:color w:val="000000" w:themeColor="text1"/>
          <w:kern w:val="0"/>
          <w:sz w:val="24"/>
          <w:szCs w:val="21"/>
          <w:u w:val="single"/>
        </w:rPr>
      </w:pPr>
      <w:r>
        <w:rPr>
          <w:rFonts w:hint="eastAsia" w:asciiTheme="minorEastAsia" w:hAnsiTheme="minorEastAsia" w:eastAsiaTheme="minorEastAsia" w:cstheme="minorEastAsia"/>
          <w:b/>
          <w:sz w:val="24"/>
        </w:rPr>
        <w:t>八、</w:t>
      </w:r>
      <w:r>
        <w:rPr>
          <w:rFonts w:hint="eastAsia" w:ascii="宋体" w:hAnsi="宋体"/>
          <w:b/>
          <w:sz w:val="24"/>
        </w:rPr>
        <w:t>开标地点：</w:t>
      </w:r>
      <w:r>
        <w:rPr>
          <w:rFonts w:hint="eastAsia" w:ascii="宋体" w:hAnsi="宋体" w:eastAsia="微软雅黑" w:cs="宋体"/>
          <w:color w:val="000000" w:themeColor="text1"/>
          <w:kern w:val="0"/>
          <w:sz w:val="24"/>
          <w:szCs w:val="21"/>
          <w:u w:val="single"/>
        </w:rPr>
        <w:t>湖州市吴兴区公共资源交易中心（湖州市吴兴区区府路1188号总部自由港E幢4楼）40</w:t>
      </w:r>
      <w:r>
        <w:rPr>
          <w:rFonts w:hint="eastAsia" w:ascii="宋体" w:hAnsi="宋体" w:eastAsia="微软雅黑" w:cs="宋体"/>
          <w:color w:val="000000" w:themeColor="text1"/>
          <w:kern w:val="0"/>
          <w:sz w:val="24"/>
          <w:szCs w:val="21"/>
          <w:u w:val="single"/>
          <w:lang w:val="en-US" w:eastAsia="zh-CN"/>
        </w:rPr>
        <w:t>4</w:t>
      </w:r>
      <w:r>
        <w:rPr>
          <w:rFonts w:hint="eastAsia" w:ascii="宋体" w:hAnsi="宋体" w:eastAsia="微软雅黑" w:cs="宋体"/>
          <w:color w:val="000000" w:themeColor="text1"/>
          <w:kern w:val="0"/>
          <w:sz w:val="24"/>
          <w:szCs w:val="21"/>
          <w:u w:val="single"/>
        </w:rPr>
        <w:t>开标室  。</w:t>
      </w:r>
    </w:p>
    <w:p>
      <w:pPr>
        <w:spacing w:line="440" w:lineRule="exact"/>
        <w:ind w:right="5953" w:firstLine="241" w:firstLineChars="1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九、其他事项：</w:t>
      </w:r>
    </w:p>
    <w:p>
      <w:pPr>
        <w:snapToGrid w:val="0"/>
        <w:spacing w:line="440" w:lineRule="exact"/>
        <w:ind w:firstLine="480" w:firstLineChars="200"/>
        <w:rPr>
          <w:rFonts w:ascii="宋体" w:hAnsi="宋体" w:cs="宋体"/>
          <w:kern w:val="0"/>
          <w:sz w:val="24"/>
        </w:rPr>
      </w:pPr>
      <w:r>
        <w:rPr>
          <w:rFonts w:hint="eastAsia" w:ascii="宋体" w:hAnsi="宋体" w:cs="宋体"/>
          <w:kern w:val="0"/>
          <w:sz w:val="24"/>
        </w:rPr>
        <w:t>1、本项目为电子招投标项目，实行网上招投标，应按照本采购文件及政采云平台的要求编制、加密并要求投标供应商通过政采云系统在线投标响应，投标截止时间前须完成电子投标文件的上传。</w:t>
      </w:r>
      <w:r>
        <w:rPr>
          <w:rFonts w:hint="eastAsia" w:ascii="宋体" w:hAnsi="宋体" w:cs="宋体"/>
          <w:b/>
          <w:kern w:val="0"/>
          <w:sz w:val="24"/>
        </w:rPr>
        <w:t>投标供应商在使用系统进行投标的过程中遇到涉及平台使用的任何问题，可致电政采云平台技术支持热线咨询，联系方式：400-881-7190。</w:t>
      </w:r>
    </w:p>
    <w:p>
      <w:pPr>
        <w:snapToGrid w:val="0"/>
        <w:spacing w:line="440" w:lineRule="exact"/>
        <w:ind w:firstLine="480" w:firstLineChars="200"/>
        <w:rPr>
          <w:rFonts w:ascii="宋体" w:hAnsi="宋体" w:cs="Arial"/>
          <w:sz w:val="24"/>
        </w:rPr>
      </w:pPr>
      <w:r>
        <w:rPr>
          <w:rFonts w:hint="eastAsia" w:ascii="宋体" w:hAnsi="宋体" w:cs="宋体"/>
          <w:kern w:val="0"/>
          <w:sz w:val="24"/>
        </w:rPr>
        <w:t>2、</w:t>
      </w:r>
      <w:r>
        <w:rPr>
          <w:rFonts w:hint="eastAsia" w:ascii="宋体" w:cs="宋体"/>
          <w:color w:val="000000"/>
          <w:kern w:val="0"/>
          <w:sz w:val="24"/>
        </w:rPr>
        <w:t>投标供应商</w:t>
      </w:r>
      <w:r>
        <w:rPr>
          <w:rFonts w:hint="eastAsia" w:ascii="宋体" w:hAnsi="宋体" w:cs="宋体"/>
          <w:kern w:val="0"/>
          <w:sz w:val="24"/>
        </w:rPr>
        <w:t>对采购文件有异议的，应当在</w:t>
      </w:r>
      <w:r>
        <w:rPr>
          <w:rFonts w:hint="eastAsia" w:ascii="宋体" w:hAnsi="宋体" w:cs="宋体"/>
          <w:color w:val="000000" w:themeColor="text1"/>
          <w:kern w:val="0"/>
          <w:sz w:val="24"/>
          <w:u w:val="single"/>
        </w:rPr>
        <w:t>2020年</w:t>
      </w:r>
      <w:r>
        <w:rPr>
          <w:rFonts w:hint="eastAsia" w:ascii="宋体" w:hAnsi="宋体" w:cs="宋体"/>
          <w:color w:val="000000" w:themeColor="text1"/>
          <w:kern w:val="0"/>
          <w:sz w:val="24"/>
          <w:u w:val="single"/>
          <w:lang w:val="en-US" w:eastAsia="zh-CN"/>
        </w:rPr>
        <w:t>8</w:t>
      </w:r>
      <w:r>
        <w:rPr>
          <w:rFonts w:hint="eastAsia" w:ascii="宋体" w:hAnsi="宋体" w:cs="宋体"/>
          <w:color w:val="000000" w:themeColor="text1"/>
          <w:kern w:val="0"/>
          <w:sz w:val="24"/>
          <w:u w:val="single"/>
        </w:rPr>
        <w:t>月</w:t>
      </w:r>
      <w:r>
        <w:rPr>
          <w:rFonts w:hint="eastAsia" w:ascii="宋体" w:hAnsi="宋体" w:cs="宋体"/>
          <w:color w:val="000000" w:themeColor="text1"/>
          <w:kern w:val="0"/>
          <w:sz w:val="24"/>
          <w:u w:val="single"/>
          <w:lang w:val="en-US" w:eastAsia="zh-CN"/>
        </w:rPr>
        <w:t>13</w:t>
      </w:r>
      <w:r>
        <w:rPr>
          <w:rFonts w:hint="eastAsia" w:ascii="宋体" w:hAnsi="宋体" w:cs="宋体"/>
          <w:color w:val="000000" w:themeColor="text1"/>
          <w:kern w:val="0"/>
          <w:sz w:val="24"/>
          <w:u w:val="single"/>
        </w:rPr>
        <w:t>日</w:t>
      </w:r>
      <w:r>
        <w:rPr>
          <w:rFonts w:hint="eastAsia" w:ascii="宋体" w:hAnsi="宋体" w:cs="宋体"/>
          <w:color w:val="000000" w:themeColor="text1"/>
          <w:kern w:val="0"/>
          <w:sz w:val="24"/>
        </w:rPr>
        <w:t>下</w:t>
      </w:r>
      <w:r>
        <w:rPr>
          <w:rFonts w:hint="eastAsia" w:ascii="宋体" w:hAnsi="宋体" w:cs="宋体"/>
          <w:kern w:val="0"/>
          <w:sz w:val="24"/>
        </w:rPr>
        <w:t>午17：00前以书面（含传真）形式向采购代理机构一次性提出，采购人将在规定的时间内统一进行澄清和修改，并书面（含传真）通知所有认购采购文件的投标供应商。投标供应商未按规定要求提出的，则视同认可采购文件，但法律法规及规范性文件有明确规定的除外。</w:t>
      </w:r>
    </w:p>
    <w:p>
      <w:pPr>
        <w:pStyle w:val="36"/>
        <w:spacing w:line="420" w:lineRule="exact"/>
        <w:ind w:firstLine="480" w:firstLineChars="200"/>
        <w:rPr>
          <w:rFonts w:ascii="宋体" w:hAnsi="宋体" w:cs="Arial"/>
        </w:rPr>
      </w:pPr>
      <w:r>
        <w:rPr>
          <w:rFonts w:hint="eastAsia" w:ascii="宋体" w:cs="宋体"/>
          <w:color w:val="000000"/>
          <w:kern w:val="0"/>
        </w:rPr>
        <w:t>3、投标供应商如认为采购过程和中标结果使自身的合法权益受到损害的，应于自预中标结果公告之日起七个工作日内以书面形式向采购机构提出质疑，逾期不予受理(</w:t>
      </w:r>
      <w:r>
        <w:rPr>
          <w:rFonts w:hint="eastAsia"/>
          <w:b/>
          <w:bCs/>
        </w:rPr>
        <w:t>质疑接收人：</w:t>
      </w:r>
      <w:r>
        <w:rPr>
          <w:rFonts w:hint="eastAsia" w:ascii="宋体" w:hAnsi="宋体" w:cs="Arial"/>
          <w:b/>
          <w:bCs/>
          <w:kern w:val="0"/>
          <w:lang w:eastAsia="zh-CN"/>
        </w:rPr>
        <w:t>朱国强</w:t>
      </w:r>
      <w:r>
        <w:rPr>
          <w:rFonts w:hint="eastAsia" w:ascii="宋体" w:hAnsi="宋体" w:cs="Arial"/>
          <w:b/>
          <w:bCs/>
          <w:kern w:val="0"/>
        </w:rPr>
        <w:t>,</w:t>
      </w:r>
      <w:r>
        <w:rPr>
          <w:rFonts w:hint="eastAsia"/>
          <w:b/>
          <w:bCs/>
        </w:rPr>
        <w:t>联系电话：</w:t>
      </w:r>
      <w:r>
        <w:rPr>
          <w:rFonts w:hint="eastAsia"/>
          <w:b/>
          <w:bCs/>
          <w:lang w:eastAsia="zh-CN"/>
        </w:rPr>
        <w:t>13511238599</w:t>
      </w:r>
      <w:r>
        <w:rPr>
          <w:rFonts w:hint="eastAsia"/>
          <w:b/>
          <w:bCs/>
        </w:rPr>
        <w:t>)</w:t>
      </w:r>
      <w:r>
        <w:rPr>
          <w:rFonts w:hint="eastAsia" w:ascii="宋体" w:cs="宋体"/>
          <w:color w:val="000000"/>
          <w:kern w:val="0"/>
        </w:rPr>
        <w:t>。投标供应商对采购机构的质疑答复不满意或者采购机构未在规定时间内作出答复的，可以在答复期满后十五个工作日内向同级政府采购监督管理部门投诉。</w:t>
      </w:r>
    </w:p>
    <w:p>
      <w:pPr>
        <w:snapToGrid w:val="0"/>
        <w:spacing w:line="440" w:lineRule="exact"/>
        <w:ind w:firstLine="480" w:firstLineChars="200"/>
        <w:rPr>
          <w:rFonts w:ascii="宋体" w:hAnsi="宋体" w:cs="Arial"/>
          <w:kern w:val="0"/>
          <w:sz w:val="24"/>
        </w:rPr>
      </w:pPr>
      <w:r>
        <w:rPr>
          <w:rFonts w:hint="eastAsia" w:ascii="宋体" w:hAnsi="宋体" w:cs="Arial"/>
          <w:b/>
          <w:bCs/>
          <w:kern w:val="0"/>
          <w:sz w:val="24"/>
        </w:rPr>
        <w:t>4、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pPr>
        <w:snapToGrid w:val="0"/>
        <w:spacing w:line="440" w:lineRule="exact"/>
        <w:ind w:firstLine="480" w:firstLineChars="200"/>
        <w:rPr>
          <w:rFonts w:ascii="宋体" w:hAnsi="宋体" w:cs="Arial"/>
          <w:kern w:val="0"/>
          <w:sz w:val="24"/>
        </w:rPr>
      </w:pPr>
      <w:r>
        <w:rPr>
          <w:rFonts w:hint="eastAsia" w:ascii="宋体" w:hAnsi="宋体" w:cs="Arial"/>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snapToGrid w:val="0"/>
        <w:spacing w:line="440" w:lineRule="exact"/>
        <w:ind w:firstLine="480" w:firstLineChars="200"/>
        <w:rPr>
          <w:rFonts w:ascii="宋体" w:hAnsi="宋体"/>
          <w:b/>
          <w:sz w:val="24"/>
        </w:rPr>
      </w:pPr>
      <w:r>
        <w:rPr>
          <w:rFonts w:hint="eastAsia" w:ascii="宋体" w:hAnsi="宋体"/>
          <w:b/>
          <w:sz w:val="24"/>
        </w:rPr>
        <w:t>十、告知事项</w:t>
      </w:r>
    </w:p>
    <w:p>
      <w:pPr>
        <w:widowControl/>
        <w:spacing w:line="440" w:lineRule="exact"/>
        <w:ind w:firstLine="480" w:firstLineChars="200"/>
        <w:jc w:val="left"/>
        <w:rPr>
          <w:rFonts w:ascii="宋体" w:hAnsi="宋体" w:cs="Arial"/>
          <w:kern w:val="0"/>
          <w:sz w:val="24"/>
        </w:rPr>
      </w:pPr>
      <w:r>
        <w:rPr>
          <w:rFonts w:hint="eastAsia" w:ascii="宋体" w:hAnsi="宋体" w:cs="Arial"/>
          <w:kern w:val="0"/>
          <w:sz w:val="24"/>
        </w:rPr>
        <w:t xml:space="preserve"> 1、供应商可以派授权代表出席开标会议（授权代表必须携带身份证、法人授权委托书或法人身份证明文书等有效证明出席。未携带有效证明的，其投标文件将被拒绝），派授权代表出席开标会议的“备份投标文件”现场递交；不派授权代表出席开标会议的，“备份投标文件”通过邮寄的方式送达（</w:t>
      </w:r>
      <w:r>
        <w:rPr>
          <w:rFonts w:hint="eastAsia" w:ascii="宋体" w:hAnsi="宋体" w:cs="宋体"/>
          <w:b/>
          <w:color w:val="000000"/>
          <w:kern w:val="0"/>
          <w:sz w:val="24"/>
        </w:rPr>
        <w:t>邮寄地址：湖州市吴兴区清远路155号4号楼2楼（浙江中合工程管理有限公司），联系人：吕雪兰，联系电话：13567243756</w:t>
      </w:r>
      <w:r>
        <w:rPr>
          <w:rFonts w:hint="eastAsia" w:ascii="宋体" w:hAnsi="宋体" w:cs="Arial"/>
          <w:kern w:val="0"/>
          <w:sz w:val="24"/>
        </w:rPr>
        <w:t>）。</w:t>
      </w:r>
    </w:p>
    <w:p>
      <w:pPr>
        <w:snapToGrid w:val="0"/>
        <w:spacing w:line="440" w:lineRule="exact"/>
        <w:ind w:firstLine="480" w:firstLineChars="200"/>
        <w:rPr>
          <w:rFonts w:ascii="宋体" w:hAnsi="宋体"/>
          <w:sz w:val="24"/>
        </w:rPr>
      </w:pPr>
      <w:r>
        <w:rPr>
          <w:rFonts w:hint="eastAsia" w:ascii="宋体" w:hAnsi="宋体"/>
          <w:sz w:val="24"/>
        </w:rPr>
        <w:t>2、投标供应商如需到场，必须指派无疫情接触史、身体健康且符合防控要求、佩戴口罩的人员参与开标现场活动，请严格把关。且只能指派 1 人参加现场开标活动；</w:t>
      </w:r>
    </w:p>
    <w:p>
      <w:pPr>
        <w:snapToGrid w:val="0"/>
        <w:spacing w:line="440" w:lineRule="exact"/>
        <w:ind w:firstLine="480" w:firstLineChars="200"/>
        <w:rPr>
          <w:rFonts w:ascii="宋体" w:hAnsi="宋体"/>
          <w:sz w:val="24"/>
        </w:rPr>
      </w:pPr>
      <w:r>
        <w:rPr>
          <w:rFonts w:hint="eastAsia" w:ascii="宋体" w:hAnsi="宋体"/>
          <w:sz w:val="24"/>
        </w:rPr>
        <w:t>3、参加投标的人员，请自觉做好个人防护工作，必须全程佩戴口罩（自备），听从</w:t>
      </w:r>
    </w:p>
    <w:p>
      <w:pPr>
        <w:snapToGrid w:val="0"/>
        <w:spacing w:line="440" w:lineRule="exact"/>
        <w:rPr>
          <w:rFonts w:ascii="宋体" w:hAnsi="宋体"/>
          <w:sz w:val="24"/>
        </w:rPr>
      </w:pPr>
      <w:r>
        <w:rPr>
          <w:rFonts w:hint="eastAsia" w:ascii="宋体" w:hAnsi="宋体"/>
          <w:sz w:val="24"/>
        </w:rPr>
        <w:t>交易中心工作人员引导，必须提供“一证一码”，即：身份证、“湖州健康码”（个人支付宝或浙里办 APP 中申领）</w:t>
      </w:r>
      <w:r>
        <w:rPr>
          <w:rFonts w:hint="eastAsia" w:ascii="宋体" w:hAnsi="宋体" w:cs="Arial"/>
          <w:sz w:val="24"/>
        </w:rPr>
        <w:t>。</w:t>
      </w:r>
      <w:r>
        <w:rPr>
          <w:rFonts w:hint="eastAsia" w:ascii="宋体" w:hAnsi="宋体"/>
          <w:sz w:val="24"/>
        </w:rPr>
        <w:t>主动配合做好体温测量等各项疫情防控措施。</w:t>
      </w:r>
    </w:p>
    <w:p>
      <w:pPr>
        <w:snapToGrid w:val="0"/>
        <w:spacing w:line="440" w:lineRule="exact"/>
        <w:ind w:firstLine="480" w:firstLineChars="200"/>
        <w:rPr>
          <w:rFonts w:ascii="宋体" w:hAnsi="宋体"/>
          <w:sz w:val="24"/>
        </w:rPr>
      </w:pPr>
      <w:r>
        <w:rPr>
          <w:rFonts w:hint="eastAsia" w:ascii="宋体" w:hAnsi="宋体"/>
          <w:sz w:val="24"/>
        </w:rPr>
        <w:t xml:space="preserve"> 4、“湖州健康码”显示为绿色可进入交易中心，“湖州健康码”显示为黄色、红色或者现场测量体温高于 37.2℃且不符合防控管理要求的人员，一律谢绝进入交易中心参加开标活动；</w:t>
      </w:r>
    </w:p>
    <w:p>
      <w:pPr>
        <w:snapToGrid w:val="0"/>
        <w:spacing w:line="440" w:lineRule="exact"/>
        <w:ind w:firstLine="480" w:firstLineChars="200"/>
        <w:rPr>
          <w:rFonts w:ascii="宋体" w:hAnsi="宋体"/>
          <w:sz w:val="24"/>
        </w:rPr>
      </w:pPr>
      <w:r>
        <w:rPr>
          <w:rFonts w:hint="eastAsia" w:ascii="宋体" w:hAnsi="宋体"/>
          <w:sz w:val="24"/>
        </w:rPr>
        <w:t>5、请各潜在投标单位充分考虑因路程、卡口防疫检查等因素（注：不得违反国家、浙江省、湖州市、吴兴区等相关规定）。特殊时期，为避免各因素带来不便导致时间效率问题，请各潜在投标人提前30分钟到场，确保投标有效。</w:t>
      </w:r>
    </w:p>
    <w:p>
      <w:pPr>
        <w:snapToGrid w:val="0"/>
        <w:spacing w:line="440" w:lineRule="exact"/>
        <w:ind w:firstLine="480" w:firstLineChars="200"/>
      </w:pPr>
      <w:r>
        <w:rPr>
          <w:rFonts w:hint="eastAsia" w:ascii="宋体" w:hAnsi="宋体"/>
          <w:sz w:val="24"/>
        </w:rPr>
        <w:t>6、所有需进入吴兴区公共资源交易中心的相关人员应自觉遵守国家以及省、市、区有关疫情防控的其他规定。</w:t>
      </w:r>
    </w:p>
    <w:p>
      <w:pPr>
        <w:widowControl/>
        <w:spacing w:line="440" w:lineRule="exact"/>
        <w:ind w:firstLine="480" w:firstLineChars="200"/>
        <w:jc w:val="left"/>
        <w:rPr>
          <w:rFonts w:ascii="Arial" w:hAnsi="Arial" w:cs="Arial"/>
          <w:kern w:val="0"/>
          <w:sz w:val="24"/>
        </w:rPr>
      </w:pPr>
      <w:r>
        <w:rPr>
          <w:rFonts w:hint="eastAsia" w:ascii="宋体" w:hAnsi="宋体" w:cs="Arial"/>
          <w:b/>
          <w:bCs/>
          <w:kern w:val="0"/>
          <w:sz w:val="24"/>
        </w:rPr>
        <w:t>十一．联系方式</w:t>
      </w:r>
    </w:p>
    <w:p>
      <w:pPr>
        <w:widowControl/>
        <w:spacing w:line="440" w:lineRule="exact"/>
        <w:ind w:firstLine="420"/>
        <w:jc w:val="left"/>
        <w:rPr>
          <w:rFonts w:ascii="宋体" w:hAnsi="宋体" w:cs="Arial"/>
          <w:kern w:val="0"/>
          <w:sz w:val="24"/>
        </w:rPr>
      </w:pPr>
      <w:r>
        <w:rPr>
          <w:rFonts w:hint="eastAsia" w:ascii="宋体" w:hAnsi="宋体" w:cs="Arial"/>
          <w:kern w:val="0"/>
          <w:sz w:val="24"/>
        </w:rPr>
        <w:t>1、采购代理机构名称：浙江中合工程管理有限公司</w:t>
      </w:r>
    </w:p>
    <w:p>
      <w:pPr>
        <w:widowControl/>
        <w:spacing w:line="440" w:lineRule="exact"/>
        <w:ind w:firstLine="420"/>
        <w:jc w:val="left"/>
        <w:rPr>
          <w:rFonts w:ascii="宋体" w:hAnsi="宋体" w:cs="Arial"/>
          <w:kern w:val="0"/>
          <w:sz w:val="24"/>
        </w:rPr>
      </w:pPr>
      <w:r>
        <w:rPr>
          <w:rFonts w:hint="eastAsia" w:ascii="宋体" w:hAnsi="宋体" w:cs="Arial"/>
          <w:kern w:val="0"/>
          <w:sz w:val="24"/>
        </w:rPr>
        <w:t>联系人：吕雪兰   联系电话：0572-2026620   传真：0572-2055802</w:t>
      </w:r>
    </w:p>
    <w:p>
      <w:pPr>
        <w:pStyle w:val="36"/>
        <w:spacing w:line="420" w:lineRule="exact"/>
        <w:ind w:firstLine="480" w:firstLineChars="200"/>
        <w:rPr>
          <w:rFonts w:hint="eastAsia" w:eastAsia="微软雅黑"/>
          <w:b/>
          <w:bCs/>
          <w:lang w:eastAsia="zh-CN"/>
        </w:rPr>
      </w:pPr>
      <w:r>
        <w:rPr>
          <w:rFonts w:hint="eastAsia"/>
          <w:b/>
          <w:bCs/>
        </w:rPr>
        <w:t>质疑接收人：</w:t>
      </w:r>
      <w:r>
        <w:rPr>
          <w:rFonts w:hint="eastAsia" w:ascii="宋体" w:hAnsi="宋体" w:cs="Arial"/>
          <w:b/>
          <w:bCs/>
          <w:kern w:val="0"/>
          <w:lang w:eastAsia="zh-CN"/>
        </w:rPr>
        <w:t>朱国强</w:t>
      </w:r>
      <w:r>
        <w:rPr>
          <w:rFonts w:hint="eastAsia" w:ascii="宋体" w:hAnsi="宋体" w:cs="Arial"/>
          <w:b/>
          <w:bCs/>
          <w:kern w:val="0"/>
          <w:lang w:val="en-US" w:eastAsia="zh-CN"/>
        </w:rPr>
        <w:t xml:space="preserve">  </w:t>
      </w:r>
      <w:r>
        <w:rPr>
          <w:rFonts w:hint="eastAsia"/>
          <w:b/>
          <w:bCs/>
        </w:rPr>
        <w:t>联系电话：</w:t>
      </w:r>
      <w:r>
        <w:rPr>
          <w:rFonts w:hint="eastAsia"/>
          <w:b/>
          <w:bCs/>
          <w:lang w:eastAsia="zh-CN"/>
        </w:rPr>
        <w:t>13511238599</w:t>
      </w:r>
    </w:p>
    <w:p>
      <w:pPr>
        <w:widowControl/>
        <w:spacing w:line="440" w:lineRule="exact"/>
        <w:ind w:firstLine="480" w:firstLineChars="200"/>
        <w:jc w:val="left"/>
        <w:rPr>
          <w:rFonts w:ascii="宋体" w:hAnsi="宋体" w:cs="Arial"/>
          <w:kern w:val="0"/>
          <w:sz w:val="24"/>
        </w:rPr>
      </w:pPr>
      <w:r>
        <w:rPr>
          <w:rFonts w:hint="eastAsia" w:ascii="宋体" w:hAnsi="宋体" w:cs="Arial"/>
          <w:kern w:val="0"/>
          <w:sz w:val="24"/>
        </w:rPr>
        <w:t>2、采购人名称：湖州市吴兴区民政局、湖州南太湖新区社会发展服务中心</w:t>
      </w:r>
    </w:p>
    <w:p>
      <w:pPr>
        <w:widowControl/>
        <w:spacing w:line="440" w:lineRule="exact"/>
        <w:ind w:firstLine="420"/>
        <w:jc w:val="left"/>
        <w:rPr>
          <w:rFonts w:ascii="宋体" w:hAnsi="宋体" w:cs="Arial"/>
          <w:kern w:val="0"/>
          <w:sz w:val="24"/>
        </w:rPr>
      </w:pPr>
      <w:r>
        <w:rPr>
          <w:rFonts w:hint="eastAsia" w:ascii="宋体" w:hAnsi="宋体" w:cs="Arial"/>
          <w:kern w:val="0"/>
          <w:sz w:val="24"/>
        </w:rPr>
        <w:t>联系人：汤勇      联系电话：0572-2551320</w:t>
      </w:r>
    </w:p>
    <w:p>
      <w:pPr>
        <w:widowControl/>
        <w:spacing w:line="440" w:lineRule="exact"/>
        <w:ind w:firstLine="420"/>
        <w:jc w:val="left"/>
        <w:rPr>
          <w:rFonts w:ascii="宋体" w:hAnsi="宋体" w:cs="Arial"/>
          <w:kern w:val="0"/>
          <w:sz w:val="24"/>
        </w:rPr>
      </w:pPr>
      <w:r>
        <w:rPr>
          <w:rFonts w:hint="eastAsia" w:ascii="宋体" w:hAnsi="宋体" w:cs="Arial"/>
          <w:kern w:val="0"/>
          <w:sz w:val="24"/>
        </w:rPr>
        <w:t>联系人：何欢      联系电话：0572-2668216</w:t>
      </w:r>
    </w:p>
    <w:p>
      <w:pPr>
        <w:widowControl/>
        <w:spacing w:line="440" w:lineRule="exact"/>
        <w:ind w:firstLine="420"/>
        <w:jc w:val="left"/>
        <w:rPr>
          <w:rFonts w:ascii="宋体" w:hAnsi="宋体" w:cs="Arial"/>
          <w:kern w:val="0"/>
          <w:sz w:val="24"/>
        </w:rPr>
      </w:pPr>
      <w:r>
        <w:rPr>
          <w:rFonts w:hint="eastAsia" w:ascii="宋体" w:hAnsi="宋体" w:cs="Arial"/>
          <w:kern w:val="0"/>
          <w:sz w:val="24"/>
        </w:rPr>
        <w:t>3、同政府采购行政监管及投诉受理部门：</w:t>
      </w:r>
    </w:p>
    <w:p>
      <w:pPr>
        <w:widowControl/>
        <w:spacing w:line="440" w:lineRule="exact"/>
        <w:ind w:firstLine="420"/>
        <w:jc w:val="left"/>
        <w:rPr>
          <w:rFonts w:ascii="宋体" w:hAnsi="宋体" w:cs="Arial"/>
          <w:kern w:val="0"/>
          <w:sz w:val="24"/>
        </w:rPr>
      </w:pPr>
      <w:r>
        <w:rPr>
          <w:rFonts w:hint="eastAsia" w:ascii="宋体" w:hAnsi="宋体" w:cs="Arial"/>
          <w:kern w:val="0"/>
          <w:sz w:val="24"/>
        </w:rPr>
        <w:t>湖州市吴兴区政府采购监管科      联系电话：0572-2289702</w:t>
      </w:r>
    </w:p>
    <w:p>
      <w:pPr>
        <w:pStyle w:val="22"/>
        <w:ind w:firstLine="0"/>
      </w:pPr>
      <w:bookmarkStart w:id="9" w:name="_Toc424544526"/>
      <w:bookmarkStart w:id="10" w:name="_Toc424544805"/>
      <w:bookmarkStart w:id="11" w:name="_Toc177870534"/>
      <w:bookmarkStart w:id="12" w:name="_Toc293917015"/>
      <w:bookmarkStart w:id="13" w:name="_Toc293916351"/>
      <w:bookmarkStart w:id="14" w:name="_Toc293916869"/>
      <w:bookmarkStart w:id="15" w:name="_Toc293916000"/>
    </w:p>
    <w:p>
      <w:pPr>
        <w:spacing w:beforeLines="50" w:afterLines="50"/>
        <w:jc w:val="center"/>
        <w:outlineLvl w:val="0"/>
        <w:rPr>
          <w:rFonts w:ascii="宋体" w:hAnsi="宋体"/>
          <w:b/>
          <w:bCs/>
          <w:sz w:val="32"/>
          <w:szCs w:val="30"/>
        </w:rPr>
      </w:pPr>
      <w:bookmarkStart w:id="16" w:name="_Toc20196"/>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jc w:val="center"/>
        <w:outlineLvl w:val="0"/>
        <w:rPr>
          <w:rFonts w:hint="eastAsia" w:ascii="宋体" w:hAnsi="宋体"/>
          <w:b/>
          <w:bCs/>
          <w:sz w:val="32"/>
          <w:szCs w:val="30"/>
        </w:rPr>
      </w:pPr>
    </w:p>
    <w:p>
      <w:pPr>
        <w:pStyle w:val="2"/>
      </w:pPr>
    </w:p>
    <w:p>
      <w:pPr>
        <w:spacing w:beforeLines="50" w:afterLines="50"/>
        <w:jc w:val="center"/>
        <w:outlineLvl w:val="0"/>
        <w:rPr>
          <w:sz w:val="24"/>
        </w:rPr>
      </w:pPr>
      <w:r>
        <w:rPr>
          <w:rFonts w:hint="eastAsia" w:ascii="宋体" w:hAnsi="宋体"/>
          <w:b/>
          <w:bCs/>
          <w:sz w:val="32"/>
          <w:szCs w:val="30"/>
        </w:rPr>
        <w:t>第二章、招标需求</w:t>
      </w:r>
      <w:bookmarkEnd w:id="9"/>
      <w:bookmarkEnd w:id="10"/>
      <w:bookmarkEnd w:id="16"/>
      <w:bookmarkStart w:id="17" w:name="_Toc29879"/>
    </w:p>
    <w:bookmarkEnd w:id="17"/>
    <w:p>
      <w:pPr>
        <w:pStyle w:val="3"/>
        <w:keepLines w:val="0"/>
        <w:widowControl/>
        <w:numPr>
          <w:ilvl w:val="0"/>
          <w:numId w:val="1"/>
        </w:numPr>
        <w:spacing w:before="240" w:after="240"/>
        <w:ind w:left="425" w:hanging="425"/>
        <w:rPr>
          <w:rFonts w:ascii="仿宋" w:hAnsi="仿宋" w:eastAsia="仿宋"/>
        </w:rPr>
      </w:pPr>
      <w:bookmarkStart w:id="18" w:name="_Toc10020"/>
      <w:bookmarkStart w:id="19" w:name="_Toc30770"/>
      <w:bookmarkStart w:id="20" w:name="_Toc424544531"/>
      <w:bookmarkStart w:id="21" w:name="_Toc424544810"/>
      <w:r>
        <w:rPr>
          <w:rFonts w:hint="eastAsia" w:ascii="仿宋" w:hAnsi="仿宋" w:eastAsia="仿宋"/>
        </w:rPr>
        <w:t>、概况</w:t>
      </w:r>
      <w:bookmarkEnd w:id="18"/>
      <w:bookmarkEnd w:id="19"/>
    </w:p>
    <w:p>
      <w:pPr>
        <w:pStyle w:val="5"/>
        <w:keepLines w:val="0"/>
        <w:widowControl/>
        <w:numPr>
          <w:ilvl w:val="1"/>
          <w:numId w:val="2"/>
        </w:numPr>
        <w:spacing w:before="240" w:after="240" w:line="360" w:lineRule="auto"/>
        <w:ind w:right="210" w:rightChars="100"/>
        <w:rPr>
          <w:rFonts w:ascii="仿宋" w:hAnsi="仿宋" w:eastAsia="仿宋"/>
        </w:rPr>
      </w:pPr>
      <w:bookmarkStart w:id="22" w:name="_Toc10656"/>
      <w:bookmarkStart w:id="23" w:name="_Toc11737"/>
      <w:r>
        <w:rPr>
          <w:rFonts w:hint="eastAsia" w:ascii="仿宋" w:hAnsi="仿宋" w:eastAsia="仿宋"/>
          <w:sz w:val="30"/>
          <w:szCs w:val="30"/>
        </w:rPr>
        <w:t>项目背景</w:t>
      </w:r>
      <w:bookmarkEnd w:id="22"/>
      <w:bookmarkEnd w:id="23"/>
    </w:p>
    <w:p>
      <w:pPr>
        <w:autoSpaceDE w:val="0"/>
        <w:autoSpaceDN w:val="0"/>
        <w:adjustRightInd w:val="0"/>
        <w:spacing w:line="360" w:lineRule="auto"/>
        <w:ind w:firstLine="480" w:firstLineChars="200"/>
        <w:rPr>
          <w:rFonts w:ascii="宋体" w:hAnsi="宋体" w:cs="Arial"/>
          <w:kern w:val="0"/>
          <w:sz w:val="24"/>
          <w:lang w:val="zh-CN"/>
        </w:rPr>
      </w:pPr>
      <w:bookmarkStart w:id="24" w:name="_Toc421280260"/>
      <w:bookmarkStart w:id="25" w:name="_Toc502883038"/>
      <w:bookmarkStart w:id="26" w:name="_Toc503119786"/>
      <w:bookmarkStart w:id="27" w:name="_Toc421280210"/>
      <w:r>
        <w:rPr>
          <w:rFonts w:hint="eastAsia" w:ascii="宋体" w:hAnsi="宋体" w:cs="Arial"/>
          <w:kern w:val="0"/>
          <w:sz w:val="24"/>
          <w:lang w:val="zh-CN"/>
        </w:rPr>
        <w:t>根据省委深化办、省跑改办、自然资源厅、发改委、民政厅等12个部门联合下发的《浙江省优化营商环境不动产登记“一件事”便利化行动方案》（浙改办发〔2019〕43号）文件精神，湖州市民政局8月8日也同时发文《关于进一步健全完善地名数据库的通知》湖民〔2019〕20号文件。按照文件要求“12月底，地名管理部门应健全完善地名数据库，对非因企业原因发生的不动产坐落、地址变化需要办理变更登记，经申请由不动产登记机构通过地名数据共享办理变更登记。”，通过“吴兴区（含南太湖）地名地址信息采集建库项目”建设，进一步采集完善地名地址信息，将极大的丰富和完善地名地址数据资源，在资源共享的基础上，为优化营商环境不动产登记“一件事”、深化“最多跑一次”便民服务改革，实现政府数字化转型提供更为全面的、重要的数据支撑。</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吴兴区（含南太湖）地名地址信息调查建库项目建设，践行“以民为本、为民解困、为民服务”民政工作宗旨，是深化“最多跑一次”便民服务改革的重要手段，也是建设现代大民政、提升公共服务效率和水平的必然要求。</w:t>
      </w:r>
    </w:p>
    <w:bookmarkEnd w:id="24"/>
    <w:bookmarkEnd w:id="25"/>
    <w:bookmarkEnd w:id="26"/>
    <w:bookmarkEnd w:id="27"/>
    <w:p>
      <w:pPr>
        <w:pStyle w:val="3"/>
        <w:keepLines w:val="0"/>
        <w:widowControl/>
        <w:numPr>
          <w:ilvl w:val="0"/>
          <w:numId w:val="1"/>
        </w:numPr>
        <w:spacing w:before="240" w:after="240"/>
        <w:ind w:left="425" w:hanging="425"/>
        <w:rPr>
          <w:rFonts w:ascii="仿宋" w:hAnsi="仿宋" w:eastAsia="仿宋"/>
        </w:rPr>
      </w:pPr>
      <w:bookmarkStart w:id="28" w:name="_Toc502913608"/>
      <w:bookmarkStart w:id="29" w:name="_Toc25193"/>
      <w:bookmarkStart w:id="30" w:name="_Toc5838"/>
      <w:bookmarkStart w:id="31" w:name="_Toc503119787"/>
      <w:r>
        <w:rPr>
          <w:rFonts w:hint="eastAsia" w:ascii="仿宋" w:hAnsi="仿宋" w:eastAsia="仿宋"/>
        </w:rPr>
        <w:t>、建设目标</w:t>
      </w:r>
      <w:bookmarkEnd w:id="28"/>
      <w:bookmarkEnd w:id="29"/>
      <w:bookmarkEnd w:id="30"/>
      <w:bookmarkEnd w:id="31"/>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吴兴区（含南太湖）地名地址信息调查建库项目的建设的目标是以“政府提效、服务提质”为要求，进一步深化“最多跑一次”便民服务的改革成果，排查走访我区范围内的全量地名地址数据，成果数据与各部门之间实现数据共享联动，夯实智慧城市的基础工作，最终实现地名业务申请终端化、二维码化，地名档案信息“码上查”，为我区地名管理服务工作全面的数字化转型铺路。</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在共享机制上，进一步完善共享交换和多元校核的协同机制，完善省、市、县（市）三级数据资源共享、服务同步、紧密配合的“一站式”服务体系，全方位破除系统数据壁垒，上通下达，全市通办，提升群众和企业单位在政务服务体验方面的获得感，为地名的管理服务创新提供信息化产品支撑。</w:t>
      </w:r>
    </w:p>
    <w:p>
      <w:pPr>
        <w:pStyle w:val="3"/>
        <w:keepLines w:val="0"/>
        <w:widowControl/>
        <w:numPr>
          <w:ilvl w:val="0"/>
          <w:numId w:val="1"/>
        </w:numPr>
        <w:spacing w:before="240" w:after="240"/>
        <w:ind w:left="425" w:hanging="425"/>
        <w:rPr>
          <w:rFonts w:ascii="仿宋" w:hAnsi="仿宋" w:eastAsia="仿宋"/>
        </w:rPr>
      </w:pPr>
      <w:bookmarkStart w:id="32" w:name="_Toc503119798"/>
      <w:bookmarkStart w:id="33" w:name="_Toc24451"/>
      <w:bookmarkStart w:id="34" w:name="_Toc8804"/>
      <w:bookmarkStart w:id="35" w:name="_Toc502913621"/>
      <w:r>
        <w:rPr>
          <w:rFonts w:hint="eastAsia" w:ascii="仿宋" w:hAnsi="仿宋" w:eastAsia="仿宋"/>
        </w:rPr>
        <w:t>、建设内容</w:t>
      </w:r>
      <w:bookmarkEnd w:id="32"/>
      <w:bookmarkEnd w:id="33"/>
      <w:bookmarkEnd w:id="34"/>
      <w:bookmarkEnd w:id="35"/>
    </w:p>
    <w:p>
      <w:pPr>
        <w:autoSpaceDE w:val="0"/>
        <w:autoSpaceDN w:val="0"/>
        <w:adjustRightInd w:val="0"/>
        <w:spacing w:line="360" w:lineRule="auto"/>
        <w:ind w:firstLine="480" w:firstLineChars="200"/>
        <w:rPr>
          <w:rFonts w:ascii="宋体" w:hAnsi="宋体" w:cs="Arial"/>
          <w:b/>
          <w:bCs/>
          <w:color w:val="FF0000"/>
          <w:kern w:val="0"/>
          <w:sz w:val="24"/>
          <w:lang w:val="zh-CN"/>
        </w:rPr>
      </w:pPr>
      <w:r>
        <w:rPr>
          <w:rFonts w:hint="eastAsia" w:ascii="宋体" w:hAnsi="宋体" w:cs="Arial"/>
          <w:kern w:val="0"/>
          <w:sz w:val="24"/>
          <w:lang w:val="zh-CN"/>
        </w:rPr>
        <w:t>吴兴区（含南太湖）地名地址信息采集建库项目通过对地名地址全量数据采集核查，属性信息部分的归集整理及空间信息部分的采集，匹配关联，录入浙江省区划地名管理信息系统，推送湖州市民政局共享交换平台，实现与湖州市大数据局的数据共享交换，完成吴兴区（含南太湖）地名地址库的建设。</w:t>
      </w:r>
      <w:r>
        <w:rPr>
          <w:rFonts w:hint="eastAsia" w:ascii="宋体" w:hAnsi="宋体" w:cs="Arial"/>
          <w:b/>
          <w:bCs/>
          <w:color w:val="FF0000"/>
          <w:kern w:val="0"/>
          <w:sz w:val="24"/>
          <w:lang w:val="zh-CN"/>
        </w:rPr>
        <w:t>本项目统筹规划，分步实施，本次招标项目范围为吴兴区：646平方公里（全域），南太湖225平方公里（全域）。</w:t>
      </w:r>
    </w:p>
    <w:p>
      <w:pPr>
        <w:pStyle w:val="5"/>
        <w:keepLines w:val="0"/>
        <w:widowControl/>
        <w:numPr>
          <w:ilvl w:val="1"/>
          <w:numId w:val="1"/>
        </w:numPr>
        <w:spacing w:before="240" w:after="240" w:line="360" w:lineRule="auto"/>
        <w:ind w:right="210" w:rightChars="100"/>
        <w:rPr>
          <w:rFonts w:ascii="仿宋" w:hAnsi="仿宋" w:eastAsia="仿宋"/>
        </w:rPr>
      </w:pPr>
      <w:bookmarkStart w:id="36" w:name="_Toc13105"/>
      <w:bookmarkStart w:id="37" w:name="_Toc34296937"/>
      <w:bookmarkStart w:id="38" w:name="_Toc1478"/>
      <w:r>
        <w:rPr>
          <w:rFonts w:hint="eastAsia" w:ascii="仿宋" w:hAnsi="仿宋" w:eastAsia="仿宋"/>
        </w:rPr>
        <w:t>地名</w:t>
      </w:r>
      <w:r>
        <w:rPr>
          <w:rFonts w:ascii="仿宋" w:hAnsi="仿宋" w:eastAsia="仿宋"/>
        </w:rPr>
        <w:t>地址</w:t>
      </w:r>
      <w:r>
        <w:rPr>
          <w:rFonts w:hint="eastAsia" w:ascii="仿宋" w:hAnsi="仿宋" w:eastAsia="仿宋"/>
        </w:rPr>
        <w:t>数据内业整理</w:t>
      </w:r>
      <w:bookmarkEnd w:id="36"/>
      <w:bookmarkEnd w:id="37"/>
      <w:bookmarkEnd w:id="38"/>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地名地址属性信息归集整理需要通盘考虑，具体措施有：一是结合数据规范，借助各街道（乡镇）、社区（村）工作人员的力量，实现对地名地址属性数据的收集；二是通过多部门间的协同配合，获取相关业务部门（如：不动产登记信息）的成果数据进行挖掘分析，提取可用数据。最终通过对多份成果数据的比对、去重、补全和核查，最终获取相对完整地名地址属性信息。</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基本环节包括：规范制定、数据归集、标准化处理、数据清洗、清洗结果汇总、标准化后数据质检等。</w:t>
      </w:r>
    </w:p>
    <w:p>
      <w:pPr>
        <w:pStyle w:val="6"/>
        <w:widowControl/>
        <w:numPr>
          <w:ilvl w:val="2"/>
          <w:numId w:val="1"/>
        </w:numPr>
        <w:ind w:right="220"/>
        <w:jc w:val="left"/>
        <w:rPr>
          <w:rFonts w:ascii="仿宋" w:hAnsi="仿宋" w:eastAsia="仿宋"/>
          <w:sz w:val="30"/>
          <w:szCs w:val="30"/>
        </w:rPr>
      </w:pPr>
      <w:bookmarkStart w:id="39" w:name="_Toc4424"/>
      <w:bookmarkStart w:id="40" w:name="_Toc15988"/>
      <w:bookmarkStart w:id="41" w:name="_Toc34296938"/>
      <w:r>
        <w:rPr>
          <w:rFonts w:hint="eastAsia" w:ascii="仿宋" w:hAnsi="仿宋" w:eastAsia="仿宋"/>
          <w:sz w:val="30"/>
          <w:szCs w:val="30"/>
        </w:rPr>
        <w:t>规范制定</w:t>
      </w:r>
      <w:bookmarkEnd w:id="39"/>
      <w:bookmarkEnd w:id="40"/>
      <w:bookmarkEnd w:id="41"/>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（1）基</w:t>
      </w:r>
      <w:bookmarkStart w:id="42" w:name="_Toc15634259"/>
      <w:r>
        <w:rPr>
          <w:rFonts w:hint="eastAsia" w:ascii="宋体" w:hAnsi="宋体" w:cs="Arial"/>
          <w:kern w:val="0"/>
          <w:sz w:val="24"/>
          <w:lang w:val="zh-CN"/>
        </w:rPr>
        <w:t>于《浙江省区划地名数据编码规范》，制定地名地址数据归集标准规范。</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（2）规范培训：召集相关工作人员，讲解数据规范，讲解必要信息。</w:t>
      </w:r>
    </w:p>
    <w:p>
      <w:pPr>
        <w:pStyle w:val="6"/>
        <w:widowControl/>
        <w:numPr>
          <w:ilvl w:val="2"/>
          <w:numId w:val="1"/>
        </w:numPr>
        <w:ind w:right="220"/>
        <w:jc w:val="left"/>
        <w:rPr>
          <w:rFonts w:ascii="仿宋" w:hAnsi="仿宋" w:eastAsia="仿宋"/>
          <w:sz w:val="30"/>
          <w:szCs w:val="30"/>
        </w:rPr>
      </w:pPr>
      <w:bookmarkStart w:id="43" w:name="_Toc1022"/>
      <w:bookmarkStart w:id="44" w:name="_Toc34296939"/>
      <w:bookmarkStart w:id="45" w:name="_Toc17784"/>
      <w:r>
        <w:rPr>
          <w:rFonts w:hint="eastAsia" w:ascii="仿宋" w:hAnsi="仿宋" w:eastAsia="仿宋"/>
          <w:sz w:val="30"/>
          <w:szCs w:val="30"/>
        </w:rPr>
        <w:t>数据归集</w:t>
      </w:r>
      <w:bookmarkEnd w:id="42"/>
      <w:bookmarkEnd w:id="43"/>
      <w:bookmarkEnd w:id="44"/>
      <w:bookmarkEnd w:id="45"/>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（1）根据浙江省区划地名信息管理系统及民政局提供的基础资料，首先进行数据的正式数据及历史数据等数据规范的前期处理。</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（2）汇总各街道（乡镇）、社区（村）工作人员上报的地名地址属性数据，进行数据质量核验，通过分析、补全后，若还不满足规范要求，则需返回重新整理，最终形成成果数据。</w:t>
      </w:r>
    </w:p>
    <w:p>
      <w:pPr>
        <w:autoSpaceDE w:val="0"/>
        <w:autoSpaceDN w:val="0"/>
        <w:adjustRightInd w:val="0"/>
        <w:spacing w:line="360" w:lineRule="auto"/>
        <w:ind w:firstLine="480" w:firstLineChars="200"/>
        <w:rPr>
          <w:rFonts w:ascii="仿宋" w:hAnsi="仿宋" w:eastAsia="仿宋" w:cs="Tahoma"/>
          <w:sz w:val="28"/>
          <w:szCs w:val="28"/>
        </w:rPr>
      </w:pPr>
      <w:r>
        <w:rPr>
          <w:rFonts w:hint="eastAsia" w:ascii="宋体" w:hAnsi="宋体" w:cs="Arial"/>
          <w:kern w:val="0"/>
          <w:sz w:val="24"/>
          <w:lang w:val="zh-CN"/>
        </w:rPr>
        <w:t>（3）协调获取相关业务部门（如：不动产登记信息、公安住址信息等）的业务成果数据，挖掘分析，提取可用数据，做标注（如：来源不动产登记部门），形成成果数据。</w:t>
      </w:r>
    </w:p>
    <w:p>
      <w:pPr>
        <w:pStyle w:val="6"/>
        <w:widowControl/>
        <w:numPr>
          <w:ilvl w:val="2"/>
          <w:numId w:val="1"/>
        </w:numPr>
        <w:ind w:right="220"/>
        <w:jc w:val="left"/>
        <w:rPr>
          <w:rFonts w:ascii="仿宋" w:hAnsi="仿宋" w:eastAsia="仿宋"/>
          <w:sz w:val="30"/>
          <w:szCs w:val="30"/>
        </w:rPr>
      </w:pPr>
      <w:bookmarkStart w:id="46" w:name="_Toc34296940"/>
      <w:bookmarkStart w:id="47" w:name="_Toc2462"/>
      <w:bookmarkStart w:id="48" w:name="_Toc17138"/>
      <w:r>
        <w:rPr>
          <w:rFonts w:hint="eastAsia" w:ascii="仿宋" w:hAnsi="仿宋" w:eastAsia="仿宋"/>
          <w:sz w:val="30"/>
          <w:szCs w:val="30"/>
        </w:rPr>
        <w:t>标准化</w:t>
      </w:r>
      <w:r>
        <w:rPr>
          <w:rFonts w:ascii="仿宋" w:hAnsi="仿宋" w:eastAsia="仿宋"/>
          <w:sz w:val="30"/>
          <w:szCs w:val="30"/>
        </w:rPr>
        <w:t>处理</w:t>
      </w:r>
      <w:bookmarkEnd w:id="46"/>
      <w:bookmarkEnd w:id="47"/>
      <w:bookmarkEnd w:id="48"/>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标准的地名地址（门牌地址），需要按照实际最新门牌号进行整理，若只有原门牌号，则以原门牌号作为现地址编号进行标准化处理，若有新门牌号，则需以新门牌号作为现地址编号进行标准化，同时将原门牌号作为原地名地址进行数据保留。</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例如出现“XX弄124-1号”，其标准地址应为“XX弄124号1室”，门牌出现“-”这个符号的，需要注意，标准地址为“XX弄XX号XX室”，或者“号室”。</w:t>
      </w:r>
    </w:p>
    <w:p>
      <w:pPr>
        <w:spacing w:line="360" w:lineRule="auto"/>
        <w:ind w:firstLine="560" w:firstLineChars="200"/>
        <w:rPr>
          <w:rFonts w:ascii="仿宋" w:hAnsi="仿宋" w:eastAsia="仿宋" w:cs="Tahoma"/>
          <w:sz w:val="28"/>
          <w:szCs w:val="28"/>
        </w:rPr>
      </w:pPr>
      <w:bookmarkStart w:id="49" w:name="_Toc23528"/>
      <w:r>
        <w:rPr>
          <w:rFonts w:hint="eastAsia" w:ascii="仿宋" w:hAnsi="仿宋" w:eastAsia="仿宋" w:cs="Tahoma"/>
          <w:sz w:val="28"/>
          <w:szCs w:val="28"/>
        </w:rPr>
        <w:t>不同门牌类型的整理方式</w:t>
      </w:r>
      <w:bookmarkEnd w:id="49"/>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道路门牌前不需要加行政村名称或社区名称的前缀；楼幢门牌可在数据库字段信息中填写行政村或社区范围描述，但在门牌地址字段信息中则不需要添加行政村或社区名称前缀描述；农村、新农村、集聚型农村小区等门牌，需要在门牌地址前加行政村名称前缀。由于部分行政村调整的原因，应该按照最新的行政村或社区进行整理。农村门牌数据尤其需要注意。</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一、道路门牌(路，街，大道，弄，巷)整理要求：1)、表头写明字段信息(产权人，住户姓名，门牌证号，现门牌地址，原门牌地址，数据备注等不可缺失)；2)、字段信息不要对应错误，该是哪列信息就写在哪列字段内；3)、表格当中标识空地、已拆或者全部字段信息都为空只有门牌地址的这类数据，在数据备注字段中分别写明空地、拆、预留号等备注。</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二、楼幢门牌相对比较简单，但是在整理的时候，也要注意新门牌和旧门牌的不同，以及整理小区名字的时候，应该以民政表格提供的标准地名为准，例如小区名为“塞纳蓝湾”的门牌地址数据，整理的时候就应该只是“塞纳蓝湾”，而不是“塞纳蓝湾小区”；也存在有些小区名称中有“小区”二字的，在整理时需要保留“小区”二字，如：“西塘新天地小区”。总体说来，在整理时需严格按照民政提供的表格数据中地名名称描述来整理。</w:t>
      </w:r>
    </w:p>
    <w:p>
      <w:pPr>
        <w:autoSpaceDE w:val="0"/>
        <w:autoSpaceDN w:val="0"/>
        <w:adjustRightInd w:val="0"/>
        <w:spacing w:line="360" w:lineRule="auto"/>
        <w:ind w:firstLine="480" w:firstLineChars="200"/>
        <w:rPr>
          <w:rFonts w:ascii="仿宋" w:hAnsi="仿宋" w:eastAsia="仿宋" w:cs="Tahoma"/>
          <w:sz w:val="28"/>
          <w:szCs w:val="28"/>
        </w:rPr>
      </w:pPr>
      <w:r>
        <w:rPr>
          <w:rFonts w:hint="eastAsia" w:ascii="宋体" w:hAnsi="宋体" w:cs="Arial"/>
          <w:kern w:val="0"/>
          <w:sz w:val="24"/>
          <w:lang w:val="zh-CN"/>
        </w:rPr>
        <w:t>三、农村门牌整理的时候，需要注意行政村名称的前缀，采用最新的行政村名称，表格中若是有原行政村名称，则作为原门牌信息予以保留。农村、新农村、集聚型农村都属于农村门牌。</w:t>
      </w:r>
    </w:p>
    <w:p>
      <w:pPr>
        <w:pStyle w:val="6"/>
        <w:widowControl/>
        <w:numPr>
          <w:ilvl w:val="2"/>
          <w:numId w:val="1"/>
        </w:numPr>
        <w:ind w:right="220"/>
        <w:jc w:val="left"/>
        <w:rPr>
          <w:rFonts w:ascii="仿宋" w:hAnsi="仿宋" w:eastAsia="仿宋"/>
          <w:sz w:val="30"/>
          <w:szCs w:val="30"/>
        </w:rPr>
      </w:pPr>
      <w:bookmarkStart w:id="50" w:name="_Toc25057"/>
      <w:bookmarkStart w:id="51" w:name="_Toc34296941"/>
      <w:bookmarkStart w:id="52" w:name="_Toc4452"/>
      <w:r>
        <w:rPr>
          <w:rFonts w:hint="eastAsia" w:ascii="仿宋" w:hAnsi="仿宋" w:eastAsia="仿宋"/>
          <w:sz w:val="30"/>
          <w:szCs w:val="30"/>
        </w:rPr>
        <w:t>数据清洗</w:t>
      </w:r>
      <w:bookmarkEnd w:id="50"/>
      <w:bookmarkEnd w:id="51"/>
      <w:bookmarkEnd w:id="52"/>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首先将标准化后的民政门牌数据自身内部去重，保留一条有效地址数据，产权人信息保留办理过门牌证的，有原始门牌证号的或登记时间最新的，此时民政门牌数据保留了门牌数据的唯一性；</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再将不动产登记数据进行自身内部去重，保留一条有效地址数据，产权人信息保留不动产登记号中时间最新的，使其不动产地址数据保留唯一性。不动产数据去重时需按照优先级顺序进行处理，优先级别依次为：不动产证&gt;产权证&gt;土地证（根据实际数源判别次序），在同一种证件类型下重复的还需根据证件编号和年份进行数据去重保留，确保真实有效的不动产数据的唯一性、准确性。若还有其他部门数据，按次方法递推。</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然后再将这几份地址唯一的数据进行比对去重处理，将民政与不动产数据中同地址同产权人的进行数据标记。相同地址不同产权人的，保留不动产数据中的产权人信息，民政数据中的门牌证号，原门牌等信息，相应的保留到不动产这条数据中，此时得到的唯一的门牌数据。此时该条数据包含了民政本身的数据信息，也包含了民政缺失的不动产的数据信息，大大的增加了门牌数据的完整性。</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最后数据整合后，按类型及区域将数据进行分类，采用算法分析查询疑似丢失及错误数据，此类数据在后期实地采集时进行外业实际校验。</w:t>
      </w:r>
    </w:p>
    <w:p>
      <w:pPr>
        <w:pStyle w:val="6"/>
        <w:widowControl/>
        <w:numPr>
          <w:ilvl w:val="2"/>
          <w:numId w:val="1"/>
        </w:numPr>
        <w:ind w:right="220"/>
        <w:jc w:val="left"/>
        <w:rPr>
          <w:rFonts w:ascii="仿宋" w:hAnsi="仿宋" w:eastAsia="仿宋"/>
          <w:sz w:val="30"/>
          <w:szCs w:val="30"/>
        </w:rPr>
      </w:pPr>
      <w:bookmarkStart w:id="53" w:name="_Toc23122"/>
      <w:bookmarkStart w:id="54" w:name="_Toc34296942"/>
      <w:bookmarkStart w:id="55" w:name="_Toc4657"/>
      <w:r>
        <w:rPr>
          <w:rFonts w:hint="eastAsia" w:ascii="仿宋" w:hAnsi="仿宋" w:eastAsia="仿宋"/>
          <w:sz w:val="30"/>
          <w:szCs w:val="30"/>
        </w:rPr>
        <w:t>清洗结果汇总</w:t>
      </w:r>
      <w:bookmarkEnd w:id="53"/>
      <w:bookmarkEnd w:id="54"/>
      <w:bookmarkEnd w:id="55"/>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清洗数据后，除了已经整理好的标准地址，其他未标准化的地址、存疑数据及不动产登记成果中未标准化的地址一起汇总，以行政区划单位进行分类区分，细化到各街道，村社区，再将这部分数据交由当地民政部门核实，下放到各个村社区进行核实工作，对门牌数据进行更深层次的标准化处理。</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 清洗后的汇总数据作为外业采集的参考基础数据。</w:t>
      </w:r>
    </w:p>
    <w:p>
      <w:pPr>
        <w:pStyle w:val="6"/>
        <w:widowControl/>
        <w:numPr>
          <w:ilvl w:val="2"/>
          <w:numId w:val="1"/>
        </w:numPr>
        <w:ind w:right="220"/>
        <w:jc w:val="left"/>
        <w:rPr>
          <w:rFonts w:ascii="仿宋" w:hAnsi="仿宋" w:eastAsia="仿宋"/>
          <w:sz w:val="30"/>
          <w:szCs w:val="30"/>
        </w:rPr>
      </w:pPr>
      <w:bookmarkStart w:id="56" w:name="_Toc34296943"/>
      <w:bookmarkStart w:id="57" w:name="_Toc8277"/>
      <w:bookmarkStart w:id="58" w:name="_Toc8243"/>
      <w:r>
        <w:rPr>
          <w:rFonts w:hint="eastAsia" w:ascii="仿宋" w:hAnsi="仿宋" w:eastAsia="仿宋"/>
          <w:sz w:val="30"/>
          <w:szCs w:val="30"/>
        </w:rPr>
        <w:t>标准化后的数据质检</w:t>
      </w:r>
      <w:bookmarkEnd w:id="56"/>
      <w:bookmarkEnd w:id="57"/>
      <w:bookmarkEnd w:id="58"/>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清洗后的标准化数据进行相应的数据质检，尤其是非民政部门提供的地址数据的检查核实。尤其是类似于不动产部门的地址信息或者其他部门的地址信息还是原地址，但非常像标准地址的核实，例如不动产中地址为“解放一村15幢1单元101室”，但民政部门的表述为“解放一村15幢61单元101室”，这种标准地址的质检是需要对民政部门数据有所了解之后，才能进行核实质检，标准地名地址数据以民政部门数据为准。</w:t>
      </w:r>
    </w:p>
    <w:p>
      <w:pPr>
        <w:pStyle w:val="5"/>
        <w:keepLines w:val="0"/>
        <w:widowControl/>
        <w:numPr>
          <w:ilvl w:val="1"/>
          <w:numId w:val="1"/>
        </w:numPr>
        <w:spacing w:before="240" w:after="240" w:line="360" w:lineRule="auto"/>
        <w:ind w:right="210" w:rightChars="100"/>
        <w:rPr>
          <w:rFonts w:ascii="仿宋" w:hAnsi="仿宋" w:eastAsia="仿宋"/>
        </w:rPr>
      </w:pPr>
      <w:bookmarkStart w:id="59" w:name="_Toc34296944"/>
      <w:bookmarkStart w:id="60" w:name="_Toc26686"/>
      <w:bookmarkStart w:id="61" w:name="_Toc1376"/>
      <w:r>
        <w:rPr>
          <w:rFonts w:hint="eastAsia" w:ascii="仿宋" w:hAnsi="仿宋" w:eastAsia="仿宋"/>
        </w:rPr>
        <w:t>地名</w:t>
      </w:r>
      <w:r>
        <w:rPr>
          <w:rFonts w:ascii="仿宋" w:hAnsi="仿宋" w:eastAsia="仿宋"/>
        </w:rPr>
        <w:t>地址</w:t>
      </w:r>
      <w:r>
        <w:rPr>
          <w:rFonts w:hint="eastAsia" w:ascii="仿宋" w:hAnsi="仿宋" w:eastAsia="仿宋"/>
        </w:rPr>
        <w:t>空间信息外业采集</w:t>
      </w:r>
      <w:bookmarkEnd w:id="59"/>
      <w:bookmarkEnd w:id="60"/>
      <w:bookmarkEnd w:id="61"/>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通过对吴兴区（</w:t>
      </w:r>
      <w:r>
        <w:rPr>
          <w:rFonts w:hint="eastAsia" w:ascii="宋体" w:hAnsi="宋体" w:cs="Arial"/>
          <w:kern w:val="0"/>
          <w:sz w:val="24"/>
        </w:rPr>
        <w:t>含</w:t>
      </w:r>
      <w:r>
        <w:rPr>
          <w:rFonts w:hint="eastAsia" w:ascii="宋体" w:hAnsi="宋体" w:cs="Arial"/>
          <w:kern w:val="0"/>
          <w:sz w:val="24"/>
          <w:lang w:val="zh-CN"/>
        </w:rPr>
        <w:t>南太湖）的地名地址数据外业调查，实现存量地名地址（空间）信息的全量采集建库，基本环节包括：规范制定、外业调查、数据分析、外业补采、挂接入库、数据验收等。</w:t>
      </w:r>
    </w:p>
    <w:p>
      <w:pPr>
        <w:pStyle w:val="6"/>
        <w:widowControl/>
        <w:numPr>
          <w:ilvl w:val="2"/>
          <w:numId w:val="1"/>
        </w:numPr>
        <w:ind w:right="220"/>
        <w:jc w:val="left"/>
        <w:rPr>
          <w:rFonts w:ascii="仿宋" w:hAnsi="仿宋" w:eastAsia="仿宋"/>
          <w:sz w:val="30"/>
          <w:szCs w:val="30"/>
        </w:rPr>
      </w:pPr>
      <w:bookmarkStart w:id="62" w:name="_Toc8653"/>
      <w:bookmarkStart w:id="63" w:name="_Toc34296945"/>
      <w:bookmarkStart w:id="64" w:name="_Toc15634266"/>
      <w:bookmarkStart w:id="65" w:name="_Toc4099"/>
      <w:r>
        <w:rPr>
          <w:rFonts w:ascii="仿宋" w:hAnsi="仿宋" w:eastAsia="仿宋"/>
          <w:sz w:val="30"/>
          <w:szCs w:val="30"/>
        </w:rPr>
        <w:t>规范制定</w:t>
      </w:r>
      <w:bookmarkEnd w:id="62"/>
      <w:bookmarkEnd w:id="63"/>
      <w:bookmarkEnd w:id="64"/>
      <w:bookmarkEnd w:id="65"/>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在外业数据采集、内业数据整理的过程中，地名地址成果数据格式都应当遵从本规范，并遵从《浙江省区划地名业务数据共享与交换数据编码规范》，凭建设地名地址信息库。</w:t>
      </w:r>
    </w:p>
    <w:p>
      <w:pPr>
        <w:snapToGrid w:val="0"/>
        <w:spacing w:beforeLines="50" w:line="360" w:lineRule="auto"/>
        <w:ind w:firstLine="562" w:firstLineChars="200"/>
        <w:rPr>
          <w:rFonts w:ascii="仿宋" w:hAnsi="仿宋" w:eastAsia="仿宋"/>
          <w:b/>
          <w:snapToGrid w:val="0"/>
          <w:sz w:val="28"/>
        </w:rPr>
      </w:pPr>
      <w:r>
        <w:rPr>
          <w:rFonts w:hint="eastAsia" w:ascii="仿宋" w:hAnsi="仿宋" w:eastAsia="仿宋"/>
          <w:b/>
          <w:snapToGrid w:val="0"/>
          <w:sz w:val="28"/>
        </w:rPr>
        <w:t>1）标准地址构成</w:t>
      </w:r>
    </w:p>
    <w:p>
      <w:pPr>
        <w:autoSpaceDE w:val="0"/>
        <w:autoSpaceDN w:val="0"/>
        <w:adjustRightInd w:val="0"/>
        <w:spacing w:line="360" w:lineRule="auto"/>
        <w:ind w:firstLine="480" w:firstLineChars="200"/>
        <w:rPr>
          <w:rFonts w:ascii="宋体" w:hAnsi="宋体" w:cs="Arial"/>
          <w:kern w:val="0"/>
          <w:sz w:val="24"/>
          <w:lang w:val="zh-CN"/>
        </w:rPr>
      </w:pPr>
      <w:r>
        <w:rPr>
          <w:rFonts w:hint="eastAsia" w:ascii="宋体" w:hAnsi="宋体" w:cs="Arial"/>
          <w:kern w:val="0"/>
          <w:sz w:val="24"/>
          <w:lang w:val="zh-CN"/>
        </w:rPr>
        <w:t>地名地址类型分为道路门牌、农村门牌、楼幢门牌三大类。标准地名地址采用分段组合的方式描述，由行政区域、基本区域限定物、局部点位置三大类要素构成。</w:t>
      </w:r>
    </w:p>
    <w:p>
      <w:pPr>
        <w:spacing w:line="360" w:lineRule="auto"/>
        <w:ind w:firstLine="480" w:firstLineChars="200"/>
        <w:rPr>
          <w:rFonts w:ascii="微软雅黑" w:hAnsi="微软雅黑" w:cs="微软雅黑"/>
          <w:b/>
          <w:sz w:val="24"/>
          <w:szCs w:val="24"/>
        </w:rPr>
      </w:pPr>
      <w:r>
        <w:rPr>
          <w:rFonts w:hint="eastAsia" w:ascii="微软雅黑" w:hAnsi="微软雅黑" w:cs="微软雅黑"/>
          <w:b/>
          <w:sz w:val="24"/>
          <w:szCs w:val="24"/>
        </w:rPr>
        <w:t>&lt;标准地名地址&gt;::=&lt;行政区域名称&gt;[基本区域限定物名称][局部点位置描述]，</w:t>
      </w:r>
      <w:r>
        <w:rPr>
          <w:rFonts w:hint="eastAsia" w:ascii="微软雅黑" w:hAnsi="微软雅黑" w:cs="微软雅黑"/>
          <w:sz w:val="24"/>
          <w:szCs w:val="24"/>
        </w:rPr>
        <w:t>其中：</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&lt;行政区域名称&gt;::=&lt;省级&gt;[地市级]&lt;县级&gt;[乡级][乡镇街道]；</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&lt;基本区域限定物名称&gt;::=&lt;路&gt;|&lt;街&gt;|&lt;巷&gt;|&lt;居住小区&gt;|&lt;行政村&gt;[自然村]|&lt;地片&gt;；</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&lt;局部点位置描述&gt;::=&lt;幢&gt;[单元]&lt;室|号&gt;。</w:t>
      </w:r>
    </w:p>
    <w:p>
      <w:pPr>
        <w:snapToGrid w:val="0"/>
        <w:spacing w:beforeLines="50" w:line="360" w:lineRule="auto"/>
        <w:ind w:firstLine="562" w:firstLineChars="200"/>
        <w:rPr>
          <w:rFonts w:ascii="仿宋" w:hAnsi="仿宋" w:eastAsia="仿宋"/>
          <w:b/>
          <w:snapToGrid w:val="0"/>
          <w:sz w:val="28"/>
        </w:rPr>
      </w:pPr>
      <w:bookmarkStart w:id="66" w:name="_Toc502662778"/>
      <w:bookmarkStart w:id="67" w:name="_Toc421280219"/>
      <w:bookmarkStart w:id="68" w:name="_Toc421280269"/>
      <w:r>
        <w:rPr>
          <w:rFonts w:hint="eastAsia" w:ascii="仿宋" w:hAnsi="仿宋" w:eastAsia="仿宋"/>
          <w:b/>
          <w:snapToGrid w:val="0"/>
          <w:sz w:val="28"/>
        </w:rPr>
        <w:t>2）</w:t>
      </w:r>
      <w:r>
        <w:rPr>
          <w:rFonts w:ascii="仿宋" w:hAnsi="仿宋" w:eastAsia="仿宋"/>
          <w:b/>
          <w:snapToGrid w:val="0"/>
          <w:sz w:val="28"/>
        </w:rPr>
        <w:t>地名地址元素描述规则</w:t>
      </w:r>
      <w:bookmarkEnd w:id="66"/>
      <w:bookmarkEnd w:id="67"/>
      <w:bookmarkEnd w:id="68"/>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地名地址数据的描述分为四级层次的描述，即政区、村（行政村|自然村）/道路街巷/小区/片区、一级门牌楼址（门址）、二级门牌楼址（楼号、室号）。其中：</w:t>
      </w:r>
    </w:p>
    <w:p>
      <w:pPr>
        <w:spacing w:line="360" w:lineRule="auto"/>
        <w:ind w:firstLine="480" w:firstLineChars="200"/>
        <w:rPr>
          <w:rFonts w:ascii="微软雅黑" w:hAnsi="微软雅黑" w:cs="微软雅黑"/>
          <w:sz w:val="24"/>
          <w:szCs w:val="24"/>
          <w:u w:val="single"/>
        </w:rPr>
      </w:pPr>
      <w:r>
        <w:rPr>
          <w:rFonts w:hint="eastAsia" w:ascii="微软雅黑" w:hAnsi="微软雅黑" w:cs="微软雅黑"/>
          <w:sz w:val="24"/>
          <w:szCs w:val="24"/>
        </w:rPr>
        <w:t>（1）政区表示为：</w:t>
      </w:r>
      <w:r>
        <w:rPr>
          <w:rFonts w:hint="eastAsia" w:ascii="微软雅黑" w:hAnsi="微软雅黑" w:cs="微软雅黑"/>
          <w:sz w:val="24"/>
          <w:szCs w:val="24"/>
          <w:u w:val="single"/>
        </w:rPr>
        <w:t>××市××区××街道（乡、镇）；</w:t>
      </w:r>
    </w:p>
    <w:p>
      <w:pPr>
        <w:spacing w:line="360" w:lineRule="auto"/>
        <w:ind w:firstLine="480" w:firstLineChars="200"/>
        <w:rPr>
          <w:rFonts w:ascii="微软雅黑" w:hAnsi="微软雅黑" w:cs="微软雅黑"/>
          <w:sz w:val="24"/>
          <w:szCs w:val="24"/>
          <w:u w:val="single"/>
        </w:rPr>
      </w:pPr>
      <w:r>
        <w:rPr>
          <w:rFonts w:hint="eastAsia" w:ascii="微软雅黑" w:hAnsi="微软雅黑" w:cs="微软雅黑"/>
          <w:sz w:val="24"/>
          <w:szCs w:val="24"/>
        </w:rPr>
        <w:t>（2）农村表示为</w:t>
      </w:r>
      <w:r>
        <w:rPr>
          <w:rFonts w:hint="eastAsia" w:ascii="微软雅黑" w:hAnsi="微软雅黑" w:cs="微软雅黑"/>
          <w:sz w:val="24"/>
          <w:szCs w:val="24"/>
          <w:u w:val="single"/>
        </w:rPr>
        <w:t>：××村（行政村）××村居(自然村)；</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（3）道路街巷表示为：</w:t>
      </w:r>
      <w:r>
        <w:rPr>
          <w:rFonts w:hint="eastAsia" w:ascii="微软雅黑" w:hAnsi="微软雅黑" w:cs="微软雅黑"/>
          <w:sz w:val="24"/>
          <w:szCs w:val="24"/>
          <w:u w:val="single"/>
        </w:rPr>
        <w:t>××路（街、巷、弄）；</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（4）小区表示为：</w:t>
      </w:r>
      <w:r>
        <w:rPr>
          <w:rFonts w:hint="eastAsia" w:ascii="微软雅黑" w:hAnsi="微软雅黑" w:cs="微软雅黑"/>
          <w:sz w:val="24"/>
          <w:szCs w:val="24"/>
          <w:u w:val="single"/>
        </w:rPr>
        <w:t>××小区（村、苑）；</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（5）门址表示为：</w:t>
      </w:r>
      <w:r>
        <w:rPr>
          <w:rFonts w:hint="eastAsia" w:ascii="微软雅黑" w:hAnsi="微软雅黑" w:cs="微软雅黑"/>
          <w:sz w:val="24"/>
          <w:szCs w:val="24"/>
          <w:u w:val="single"/>
        </w:rPr>
        <w:t>××号；</w:t>
      </w:r>
    </w:p>
    <w:p>
      <w:pPr>
        <w:spacing w:line="360" w:lineRule="auto"/>
        <w:ind w:firstLine="480" w:firstLineChars="200"/>
        <w:rPr>
          <w:rFonts w:ascii="微软雅黑" w:hAnsi="微软雅黑" w:cs="微软雅黑"/>
          <w:sz w:val="24"/>
          <w:szCs w:val="24"/>
          <w:u w:val="single"/>
        </w:rPr>
      </w:pPr>
      <w:r>
        <w:rPr>
          <w:rFonts w:hint="eastAsia" w:ascii="微软雅黑" w:hAnsi="微软雅黑" w:cs="微软雅黑"/>
          <w:sz w:val="24"/>
          <w:szCs w:val="24"/>
        </w:rPr>
        <w:t>（6）楼号表示为：</w:t>
      </w:r>
      <w:r>
        <w:rPr>
          <w:rFonts w:hint="eastAsia" w:ascii="微软雅黑" w:hAnsi="微软雅黑" w:cs="微软雅黑"/>
          <w:sz w:val="24"/>
          <w:szCs w:val="24"/>
          <w:u w:val="single"/>
        </w:rPr>
        <w:t>××幢（栋）；</w:t>
      </w:r>
    </w:p>
    <w:p>
      <w:pPr>
        <w:spacing w:line="360" w:lineRule="auto"/>
        <w:ind w:firstLine="480" w:firstLineChars="200"/>
        <w:rPr>
          <w:rFonts w:ascii="微软雅黑" w:hAnsi="微软雅黑" w:cs="微软雅黑"/>
          <w:sz w:val="24"/>
          <w:szCs w:val="24"/>
          <w:u w:val="single"/>
        </w:rPr>
      </w:pPr>
      <w:r>
        <w:rPr>
          <w:rFonts w:hint="eastAsia" w:ascii="微软雅黑" w:hAnsi="微软雅黑" w:cs="微软雅黑"/>
          <w:sz w:val="24"/>
          <w:szCs w:val="24"/>
        </w:rPr>
        <w:t>（7）室号表示为：</w:t>
      </w:r>
      <w:r>
        <w:rPr>
          <w:rFonts w:hint="eastAsia" w:ascii="微软雅黑" w:hAnsi="微软雅黑" w:cs="微软雅黑"/>
          <w:sz w:val="24"/>
          <w:szCs w:val="24"/>
          <w:u w:val="single"/>
        </w:rPr>
        <w:t>××单元××室(号)。</w:t>
      </w:r>
    </w:p>
    <w:p>
      <w:pPr>
        <w:snapToGrid w:val="0"/>
        <w:spacing w:beforeLines="50" w:line="360" w:lineRule="auto"/>
        <w:ind w:firstLine="562" w:firstLineChars="200"/>
        <w:rPr>
          <w:rFonts w:ascii="仿宋" w:hAnsi="仿宋" w:eastAsia="仿宋"/>
          <w:sz w:val="28"/>
          <w:u w:val="single"/>
        </w:rPr>
      </w:pPr>
      <w:r>
        <w:rPr>
          <w:rFonts w:ascii="仿宋" w:hAnsi="仿宋" w:eastAsia="仿宋"/>
          <w:b/>
          <w:snapToGrid w:val="0"/>
          <w:sz w:val="28"/>
        </w:rPr>
        <w:t>3</w:t>
      </w:r>
      <w:r>
        <w:rPr>
          <w:rFonts w:hint="eastAsia" w:ascii="仿宋" w:hAnsi="仿宋" w:eastAsia="仿宋"/>
          <w:b/>
          <w:snapToGrid w:val="0"/>
          <w:sz w:val="28"/>
        </w:rPr>
        <w:t>）其他要求</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（1）坐标系统：采用CGCS2000国家大地坐标系。</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（2）精度要求：地名地址数据中的自然地名的精度与框架数据的精度保持一致，外业采集数据的相对精度小于5米，以其他资料更新的地名地址数据的精度与原始资料保持一致。</w:t>
      </w:r>
    </w:p>
    <w:p>
      <w:pPr>
        <w:pStyle w:val="6"/>
        <w:widowControl/>
        <w:numPr>
          <w:ilvl w:val="2"/>
          <w:numId w:val="1"/>
        </w:numPr>
        <w:ind w:right="220"/>
        <w:jc w:val="left"/>
        <w:rPr>
          <w:rFonts w:ascii="仿宋" w:hAnsi="仿宋" w:eastAsia="仿宋"/>
          <w:sz w:val="30"/>
          <w:szCs w:val="30"/>
        </w:rPr>
      </w:pPr>
      <w:bookmarkStart w:id="69" w:name="_Toc29240"/>
      <w:bookmarkStart w:id="70" w:name="_Toc15369"/>
      <w:bookmarkStart w:id="71" w:name="_Toc34296946"/>
      <w:bookmarkStart w:id="72" w:name="_Toc15634267"/>
      <w:r>
        <w:rPr>
          <w:rFonts w:ascii="仿宋" w:hAnsi="仿宋" w:eastAsia="仿宋"/>
          <w:sz w:val="30"/>
          <w:szCs w:val="30"/>
        </w:rPr>
        <w:t>外业调查</w:t>
      </w:r>
      <w:bookmarkEnd w:id="69"/>
      <w:bookmarkEnd w:id="70"/>
      <w:bookmarkEnd w:id="71"/>
      <w:bookmarkEnd w:id="72"/>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做到地名地址空间信息的外业采集，具体要求如下：</w:t>
      </w:r>
    </w:p>
    <w:p>
      <w:pPr>
        <w:spacing w:line="360" w:lineRule="auto"/>
        <w:ind w:firstLine="480" w:firstLineChars="200"/>
        <w:rPr>
          <w:rFonts w:ascii="仿宋" w:hAnsi="仿宋" w:eastAsia="仿宋"/>
          <w:sz w:val="28"/>
        </w:rPr>
      </w:pPr>
      <w:r>
        <w:rPr>
          <w:rFonts w:hint="eastAsia" w:ascii="微软雅黑" w:hAnsi="微软雅黑" w:cs="微软雅黑"/>
          <w:sz w:val="24"/>
          <w:szCs w:val="24"/>
        </w:rPr>
        <w:t>1）外业采集按任务分区块进行，需要做到采集到的空间信息与实地地址点所在位置一致；</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2）地址数据在采集时应采集全面，原则上不允许出现遗漏或跳号的情况。如有此类情况发生，必须与相关部门或者附近居民核实。实地未悬挂门牌待外业调查完统一按村社范围汇总，到时由村社相关工作人员核实查漏补缺；</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3）经核实，非地名办制作发放而自己制作的门楼牌号不予采集；</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4）对于已经处于拆迁区域范围内的门楼牌号不予采集空间信息，但要分类汇总提交未采集的情况说明；</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5）如果出现一址多户的情况时，应进行入户调查，明确该址实际所在位置；一般采集农户新建的房屋作为此牌址的地理位置信息，旧房屋上挂的相同的牌址不予采集；</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6）若因大面积的城市改造等原因造成实地情况与影像、地形图相差甚远，无法参照底图进行空间位置采集的，制作相应的范围汇总数据集，汇报甲方与相关部门获取最新的地形数据后进行采集。若获取不到的，不予采集。但须提交未采集的情况说明；</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7）地址数据必须是连续的，原则上不能出现跳号的情况。出现地址点跳号时，根据以下不同的情况分别进行处理；</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8）若居民住宅有悬挂有多个地址，如“朝阳新村一弄4号”、“上石演村999号”，需同时采集两个地址点，空间位置不必重合。采集后与权属数据库核对，只保留最新的一个。同时旧的放到历史库。</w:t>
      </w:r>
    </w:p>
    <w:p>
      <w:pPr>
        <w:pStyle w:val="6"/>
        <w:widowControl/>
        <w:numPr>
          <w:ilvl w:val="2"/>
          <w:numId w:val="1"/>
        </w:numPr>
        <w:ind w:right="220"/>
        <w:jc w:val="left"/>
        <w:rPr>
          <w:rFonts w:ascii="仿宋" w:hAnsi="仿宋" w:eastAsia="仿宋"/>
          <w:sz w:val="30"/>
          <w:szCs w:val="30"/>
        </w:rPr>
      </w:pPr>
      <w:bookmarkStart w:id="73" w:name="_Toc26684"/>
      <w:bookmarkStart w:id="74" w:name="_Toc15634268"/>
      <w:bookmarkStart w:id="75" w:name="_Toc29569"/>
      <w:bookmarkStart w:id="76" w:name="_Toc34296947"/>
      <w:r>
        <w:rPr>
          <w:rFonts w:ascii="仿宋" w:hAnsi="仿宋" w:eastAsia="仿宋"/>
          <w:sz w:val="30"/>
          <w:szCs w:val="30"/>
        </w:rPr>
        <w:t>数据分析</w:t>
      </w:r>
      <w:bookmarkEnd w:id="73"/>
      <w:bookmarkEnd w:id="74"/>
      <w:bookmarkEnd w:id="75"/>
      <w:bookmarkEnd w:id="76"/>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数据分析，是内业数据处理的重要组成部分。具体工作内容如下：</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基于地名地址属性信息库,将标准化后的属性成果数据与外业采集的空间点位数据进第一次匹配挂接。整理记录因各种原因无法匹配的数据，发现遗漏的未采集区域。输出匹配挂接检查结果。</w:t>
      </w:r>
    </w:p>
    <w:p>
      <w:pPr>
        <w:pStyle w:val="6"/>
        <w:widowControl/>
        <w:numPr>
          <w:ilvl w:val="2"/>
          <w:numId w:val="1"/>
        </w:numPr>
        <w:ind w:right="220"/>
        <w:jc w:val="left"/>
        <w:rPr>
          <w:rFonts w:ascii="仿宋" w:hAnsi="仿宋" w:eastAsia="仿宋"/>
          <w:sz w:val="30"/>
          <w:szCs w:val="30"/>
        </w:rPr>
      </w:pPr>
      <w:bookmarkStart w:id="77" w:name="_Toc15634269"/>
      <w:bookmarkStart w:id="78" w:name="_Toc34296948"/>
      <w:bookmarkStart w:id="79" w:name="_Toc22178"/>
      <w:bookmarkStart w:id="80" w:name="_Toc6810"/>
      <w:r>
        <w:rPr>
          <w:rFonts w:hint="eastAsia" w:ascii="仿宋" w:hAnsi="仿宋" w:eastAsia="仿宋"/>
          <w:sz w:val="30"/>
          <w:szCs w:val="30"/>
        </w:rPr>
        <w:t>外业补采</w:t>
      </w:r>
      <w:bookmarkEnd w:id="77"/>
      <w:bookmarkEnd w:id="78"/>
      <w:bookmarkEnd w:id="79"/>
      <w:bookmarkEnd w:id="80"/>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基于数据分析结果，以地名为单位进行清单打印，先与甲方进行核实，如无法解决，叠加地形、图影像与地址点数据，打印出图纸，由作业员与乡镇、村级相关工作人员到实地核实，进行第二次外业调查（补采）工作。一些特殊情况的处理方法如下：</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1）如在天地图中存在的地址点属性，地名办权属数据中不存在的；核实地址点名称的准确性。已知两个地址所指的为同一位置（小区），应以地名办的命名为准。如‘万科·水岸华庭’，实际地名管理系统为‘水岸华庭’；统一将‘万科·’关键字去除。经核实天地图中的数据在实地中存在，但在地名办的权属数据库中不存在，将数据统一进行标签，最后统一移交甲方，由甲方商定到底要不要录入系统中。</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（2）天地图中因漏采集或新增的门牌由乡镇、街道及村、社区外业调查人员在图纸的相应位置中标绘，交由作业员在电脑系统中统一录入。</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（3）天地图中门牌点实际空间位置与实地不一致的，由乡镇、街道及村、社区外业调查人员在图纸的相应位置中标绘，交由作业员在电脑系统中统一录入。</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（4）天地图中存在，在地名办的权属库中也存在，但因城市化的需要整体拆迁的，实地房子已经拆除，门牌点在实地已不存在的，将数据统一进行标签，最后统一移交甲方，由甲方商定到底要不要录入系统中。</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5）在地名办的权属数据库中存在，但经乡镇、街道及村、社区外业调查人员核实后在实地不存在的（如整体拆迁，已新建成小区或其他商住楼等），对地名办的权属数据进行标签，最后统一移交甲方，由甲方商定处理方式。</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6）天地图中已存在的，但在地名办权属数据库中不存在，但经乡镇、街道及村、社区外业调查人员核实后事实存在的地名门牌点。将数据统一进行标签，最后统一移交甲方，由甲方商定到底要不要录入系统中。</w:t>
      </w:r>
    </w:p>
    <w:p>
      <w:pPr>
        <w:pStyle w:val="6"/>
        <w:widowControl/>
        <w:numPr>
          <w:ilvl w:val="2"/>
          <w:numId w:val="1"/>
        </w:numPr>
        <w:ind w:right="220"/>
        <w:jc w:val="left"/>
        <w:rPr>
          <w:rFonts w:ascii="仿宋" w:hAnsi="仿宋" w:eastAsia="仿宋"/>
          <w:sz w:val="30"/>
          <w:szCs w:val="30"/>
        </w:rPr>
      </w:pPr>
      <w:bookmarkStart w:id="81" w:name="_Toc31839"/>
      <w:bookmarkStart w:id="82" w:name="_Toc34296949"/>
      <w:bookmarkStart w:id="83" w:name="_Toc18270"/>
      <w:r>
        <w:rPr>
          <w:rFonts w:hint="eastAsia" w:ascii="仿宋" w:hAnsi="仿宋" w:eastAsia="仿宋"/>
          <w:sz w:val="30"/>
          <w:szCs w:val="30"/>
        </w:rPr>
        <w:t>外业数据质检</w:t>
      </w:r>
      <w:bookmarkEnd w:id="81"/>
      <w:bookmarkEnd w:id="82"/>
      <w:bookmarkEnd w:id="83"/>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根据对外业采集的规范要求，检查外业团队所提交的数据成果，包括数据库的字段信息是否齐全，空间位置与实地门牌位置是否一致。</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1)数据库中的实地门牌地址字段内容的正确性检查，标准门牌地址字段与实地门牌地址的相关性检查，备注字段的内容核查。</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2)标准门牌属性数据的备注信息是否完善，是否有相应的匹配情况，以及备注情况。</w:t>
      </w:r>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3)如果发现数据质量存在问题，提交的数据存在匹配的不一致，空间点位不准确，将数据进行打回，重新补采核实。</w:t>
      </w:r>
    </w:p>
    <w:p>
      <w:pPr>
        <w:pStyle w:val="5"/>
        <w:keepLines w:val="0"/>
        <w:widowControl/>
        <w:numPr>
          <w:ilvl w:val="1"/>
          <w:numId w:val="1"/>
        </w:numPr>
        <w:spacing w:before="240" w:after="240" w:line="360" w:lineRule="auto"/>
        <w:ind w:right="210" w:rightChars="100"/>
        <w:rPr>
          <w:rFonts w:ascii="仿宋" w:hAnsi="仿宋" w:eastAsia="仿宋"/>
        </w:rPr>
      </w:pPr>
      <w:bookmarkStart w:id="84" w:name="_Toc2575"/>
      <w:bookmarkStart w:id="85" w:name="_Toc34296950"/>
      <w:bookmarkStart w:id="86" w:name="_Toc17039"/>
      <w:r>
        <w:rPr>
          <w:rFonts w:hint="eastAsia" w:ascii="仿宋" w:hAnsi="仿宋" w:eastAsia="仿宋"/>
        </w:rPr>
        <w:t>数据比对清洗</w:t>
      </w:r>
      <w:bookmarkEnd w:id="84"/>
      <w:bookmarkEnd w:id="85"/>
      <w:bookmarkEnd w:id="86"/>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对标准化后的地名地址进行比对、去重、清洗，汇合公安、政法委、自然资源局不动产登记住址数据进行逐一比对、清洗、去重，数据成果完整、准确、唯一，对于表述不同，成果数据要备注清晰，比如“老娘舅”标准地名门牌为頔塘路8号，不动产登记证地址为318国道南侧46号，实际是同一地址，在数据调查时要清晰备注：标准地址为頔塘路8号、原地址为318国道南侧46号（不动产）。</w:t>
      </w:r>
    </w:p>
    <w:p>
      <w:pPr>
        <w:pStyle w:val="6"/>
        <w:widowControl/>
        <w:numPr>
          <w:ilvl w:val="2"/>
          <w:numId w:val="1"/>
        </w:numPr>
        <w:ind w:right="220"/>
        <w:jc w:val="left"/>
        <w:rPr>
          <w:rFonts w:ascii="仿宋" w:hAnsi="仿宋" w:eastAsia="仿宋"/>
          <w:sz w:val="30"/>
          <w:szCs w:val="30"/>
        </w:rPr>
      </w:pPr>
      <w:bookmarkStart w:id="87" w:name="_Toc24434"/>
      <w:bookmarkStart w:id="88" w:name="_Toc34296951"/>
      <w:bookmarkStart w:id="89" w:name="_Toc9536"/>
      <w:r>
        <w:rPr>
          <w:rFonts w:hint="eastAsia" w:ascii="仿宋" w:hAnsi="仿宋" w:eastAsia="仿宋"/>
          <w:sz w:val="30"/>
          <w:szCs w:val="30"/>
        </w:rPr>
        <w:t>数据匹配</w:t>
      </w:r>
      <w:bookmarkEnd w:id="87"/>
      <w:bookmarkEnd w:id="88"/>
      <w:bookmarkEnd w:id="89"/>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外业采集的空间数据与内业整理的标准地名地址数据进行匹配关联。道路门牌、农村门牌需要用到完全匹配，即空间点位名称与标准地名地址一一对应；楼幢门牌因为空间点位只采集到单元号，所以需要用到模糊匹配单元号或者楼幢，用于匹配楼幢独栋或者单元室号等数据。匹配完成之后，剩余的未匹配的数据，需要细分到村社区一级，再进行外业的核实补采，直到所有标准地名地址数据都有其相应的空间点位进行关联匹配。</w:t>
      </w:r>
    </w:p>
    <w:p>
      <w:pPr>
        <w:pStyle w:val="6"/>
        <w:widowControl/>
        <w:numPr>
          <w:ilvl w:val="2"/>
          <w:numId w:val="1"/>
        </w:numPr>
        <w:ind w:right="220"/>
        <w:jc w:val="left"/>
        <w:rPr>
          <w:rFonts w:ascii="仿宋" w:hAnsi="仿宋" w:eastAsia="仿宋"/>
          <w:sz w:val="30"/>
          <w:szCs w:val="30"/>
        </w:rPr>
      </w:pPr>
      <w:bookmarkStart w:id="90" w:name="_Toc34296952"/>
      <w:bookmarkStart w:id="91" w:name="_Toc23968"/>
      <w:bookmarkStart w:id="92" w:name="_Toc2835"/>
      <w:r>
        <w:rPr>
          <w:rFonts w:hint="eastAsia" w:ascii="仿宋" w:hAnsi="仿宋" w:eastAsia="仿宋"/>
          <w:sz w:val="30"/>
          <w:szCs w:val="30"/>
        </w:rPr>
        <w:t>匹配后数据质检</w:t>
      </w:r>
      <w:bookmarkEnd w:id="90"/>
      <w:bookmarkEnd w:id="91"/>
      <w:bookmarkEnd w:id="92"/>
    </w:p>
    <w:p>
      <w:pPr>
        <w:spacing w:line="360" w:lineRule="auto"/>
        <w:ind w:firstLine="480" w:firstLineChars="200"/>
        <w:rPr>
          <w:rFonts w:ascii="微软雅黑" w:hAnsi="微软雅黑" w:cs="微软雅黑"/>
          <w:sz w:val="24"/>
          <w:szCs w:val="24"/>
        </w:rPr>
      </w:pPr>
      <w:r>
        <w:rPr>
          <w:rFonts w:hint="eastAsia" w:ascii="微软雅黑" w:hAnsi="微软雅黑" w:cs="微软雅黑"/>
          <w:sz w:val="24"/>
          <w:szCs w:val="24"/>
        </w:rPr>
        <w:t>内业数据处理组针对空间数据与标准地名地址数据的匹配结果，进行相应的匹配后的数据质检。由于匹配计算关联等问题，可能会存在完全匹配或者模糊匹配的偏差，此时需要对模糊匹配的数据进行核实质检。楼幢门牌的模糊匹配，需要关联到单元号，检查是否只是关联到楼幢而非单元号；农村门牌核查是否关联为同村名的空间点位；道路门牌核查是否为完全匹配和同路名的匹配问题。</w:t>
      </w:r>
    </w:p>
    <w:p>
      <w:pPr>
        <w:pStyle w:val="5"/>
        <w:keepLines w:val="0"/>
        <w:widowControl/>
        <w:numPr>
          <w:ilvl w:val="1"/>
          <w:numId w:val="1"/>
        </w:numPr>
        <w:spacing w:before="240" w:after="240" w:line="360" w:lineRule="auto"/>
        <w:ind w:right="210" w:rightChars="100"/>
        <w:rPr>
          <w:rFonts w:ascii="仿宋" w:hAnsi="仿宋" w:eastAsia="仿宋"/>
        </w:rPr>
      </w:pPr>
      <w:bookmarkStart w:id="93" w:name="_Toc20437"/>
      <w:bookmarkStart w:id="94" w:name="_Toc15103"/>
      <w:bookmarkStart w:id="95" w:name="_Toc34296953"/>
      <w:r>
        <w:rPr>
          <w:rFonts w:hint="eastAsia" w:ascii="仿宋" w:hAnsi="仿宋" w:eastAsia="仿宋"/>
        </w:rPr>
        <w:t>成果数据</w:t>
      </w:r>
      <w:r>
        <w:rPr>
          <w:rFonts w:ascii="仿宋" w:hAnsi="仿宋" w:eastAsia="仿宋"/>
        </w:rPr>
        <w:t>录入</w:t>
      </w:r>
      <w:r>
        <w:rPr>
          <w:rFonts w:hint="eastAsia" w:ascii="仿宋" w:hAnsi="仿宋" w:eastAsia="仿宋"/>
        </w:rPr>
        <w:t>浙江省区划</w:t>
      </w:r>
      <w:r>
        <w:rPr>
          <w:rFonts w:ascii="仿宋" w:hAnsi="仿宋" w:eastAsia="仿宋"/>
        </w:rPr>
        <w:t>地名信息管理系统</w:t>
      </w:r>
      <w:r>
        <w:rPr>
          <w:rFonts w:hint="eastAsia" w:ascii="仿宋" w:hAnsi="仿宋" w:eastAsia="仿宋"/>
        </w:rPr>
        <w:t>实现数据实时更新</w:t>
      </w:r>
      <w:r>
        <w:rPr>
          <w:rFonts w:ascii="仿宋" w:hAnsi="仿宋" w:eastAsia="仿宋"/>
        </w:rPr>
        <w:t>并共享交换</w:t>
      </w:r>
      <w:bookmarkEnd w:id="93"/>
      <w:bookmarkEnd w:id="94"/>
      <w:bookmarkEnd w:id="95"/>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将成果数据录入日常办公运行的“浙江省区划地名信息管理系统”，实现湖州市地名地址数据的实时更新，全量数据推送到湖州市民政局共享交换平台，通过共享交换平台实时推送至湖州市大数据局，实现存量、增量地名地址数据的实时更新。为日常的业务办理、不动产登记“一件事”及其他业务联办提供全量的地名地址数据支撑。</w:t>
      </w:r>
    </w:p>
    <w:p>
      <w:pPr>
        <w:pStyle w:val="6"/>
        <w:widowControl/>
        <w:numPr>
          <w:ilvl w:val="2"/>
          <w:numId w:val="1"/>
        </w:numPr>
        <w:ind w:right="220"/>
        <w:jc w:val="left"/>
        <w:rPr>
          <w:rFonts w:ascii="仿宋" w:hAnsi="仿宋" w:eastAsia="仿宋"/>
          <w:sz w:val="30"/>
          <w:szCs w:val="30"/>
        </w:rPr>
      </w:pPr>
      <w:bookmarkStart w:id="96" w:name="_Toc34296954"/>
      <w:bookmarkStart w:id="97" w:name="_Toc32528"/>
      <w:bookmarkStart w:id="98" w:name="_Toc25179"/>
      <w:r>
        <w:rPr>
          <w:rFonts w:hint="eastAsia" w:ascii="仿宋" w:hAnsi="仿宋" w:eastAsia="仿宋"/>
          <w:sz w:val="30"/>
          <w:szCs w:val="30"/>
        </w:rPr>
        <w:t>数据的核实更新入库</w:t>
      </w:r>
      <w:bookmarkEnd w:id="96"/>
      <w:bookmarkEnd w:id="97"/>
      <w:bookmarkEnd w:id="98"/>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在外业数据采集完成并且匹配关联完成后，给予核验，核验后的数据进行内业数据的匹配入库，成果数据录入浙江省区划地名信息管理系统。</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1)外业提供的空间数据中的实地门牌地址字段与标准门牌地址字段，与标准门牌属性数据进行内业数据组的关联处理，将空间信息与属性信息进行相应的一对一或者一对多的关联，做为正式数据入库，形成的正式标准门牌地址数据。</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2)外业核实的标准门牌属性数据中已拆除的数据，内业数据组进行相应的历史数据的标识。</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3)外业核实的预留号数据，内业数据组将此类数据进行备注，但做不入库处理。</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4）在所有匹配完成后再次核验标准地址与空间对应点位的匹配关联信息，是否还存在匹配异常的数据信息。如：标准地址为“朝阳新村一弄4号”的属性数据匹配到“上石演村999号”是否正确。</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5）产权人更新替换。在确保民政和不动产数据标准化后、唯一性后对汇总的民政数据的产权人信息进行更新替换，确保目前所掌握的所有地名地址所对应的产权人信息都与不动产信息一致，确保数据的完整与同步。在产权人更新替换时，将原始的民政数据作为历史数据，而新替换了产权人后的数据将继续保留原始民政数据中的相关信息和不动产证的产权证号和最新的产权人信息。替换了产权人信息的数据可通过新产生的数据，在区划地名系统中可通过历史回溯按钮进行查看历史门牌地址或产权人的历史演变。</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6）原门牌地址的叠加更新。在地址标准化后，若不动产先前的地址与目前的标准地址描述不一致的，将不动产的先前地址作为原地址叠加更新至目前数据中，保证多个原门牌地址同时存在，在区划地名系统中可同时查询出来。</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7）产权人格式的更新。处理同地名地址中若出现多个产权人的问题，将多个产权人之间以中文顿号隔开，规范多个产权人的书写格式。</w:t>
      </w:r>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8）历史数据的划分。将已拆除、地址不全、注销、产权人替换前等情况产生的数据，改变数据状态并做标记后存入系统历史库，后期可根据数据状态在区划地名系统中进行查询。</w:t>
      </w:r>
    </w:p>
    <w:p>
      <w:pPr>
        <w:pStyle w:val="6"/>
        <w:widowControl/>
        <w:numPr>
          <w:ilvl w:val="2"/>
          <w:numId w:val="1"/>
        </w:numPr>
        <w:ind w:right="220"/>
        <w:jc w:val="left"/>
        <w:rPr>
          <w:rFonts w:ascii="仿宋" w:hAnsi="仿宋" w:eastAsia="仿宋"/>
          <w:sz w:val="30"/>
          <w:szCs w:val="30"/>
        </w:rPr>
      </w:pPr>
      <w:bookmarkStart w:id="99" w:name="_Toc6222"/>
      <w:bookmarkStart w:id="100" w:name="_Toc34296955"/>
      <w:bookmarkStart w:id="101" w:name="_Toc6218"/>
      <w:r>
        <w:rPr>
          <w:rFonts w:hint="eastAsia" w:ascii="仿宋" w:hAnsi="仿宋" w:eastAsia="仿宋"/>
          <w:sz w:val="30"/>
          <w:szCs w:val="30"/>
        </w:rPr>
        <w:t>对接</w:t>
      </w:r>
      <w:r>
        <w:rPr>
          <w:rFonts w:ascii="仿宋" w:hAnsi="仿宋" w:eastAsia="仿宋"/>
          <w:sz w:val="30"/>
          <w:szCs w:val="30"/>
        </w:rPr>
        <w:t>湖州市民政局共享交换平台</w:t>
      </w:r>
      <w:bookmarkEnd w:id="99"/>
      <w:bookmarkEnd w:id="100"/>
      <w:bookmarkEnd w:id="101"/>
    </w:p>
    <w:p>
      <w:pPr>
        <w:spacing w:line="360" w:lineRule="auto"/>
        <w:ind w:firstLine="480" w:firstLineChars="200"/>
        <w:rPr>
          <w:rFonts w:ascii="微软雅黑" w:hAnsi="微软雅黑" w:cs="微软雅黑"/>
          <w:sz w:val="24"/>
          <w:szCs w:val="24"/>
          <w:lang w:val="zh-CN"/>
        </w:rPr>
      </w:pPr>
      <w:r>
        <w:rPr>
          <w:rFonts w:hint="eastAsia" w:ascii="微软雅黑" w:hAnsi="微软雅黑" w:cs="微软雅黑"/>
          <w:sz w:val="24"/>
          <w:szCs w:val="24"/>
          <w:lang w:val="zh-CN"/>
        </w:rPr>
        <w:t>基于浙江省区划地名信息管理系统，无缝对接湖州市民政局共享交换平台，把成果数据推送至湖州市民政局共享交换平台，同时通过交换平台获取湖州市大数据其他部门的有关数据字段，实现与大数据局、自规局、政法委等部门的联办。</w:t>
      </w:r>
    </w:p>
    <w:p>
      <w:pPr>
        <w:pStyle w:val="6"/>
        <w:widowControl/>
        <w:numPr>
          <w:ilvl w:val="2"/>
          <w:numId w:val="1"/>
        </w:numPr>
        <w:ind w:right="220"/>
        <w:jc w:val="left"/>
        <w:rPr>
          <w:rFonts w:ascii="仿宋" w:hAnsi="仿宋" w:eastAsia="仿宋"/>
          <w:sz w:val="30"/>
          <w:szCs w:val="30"/>
        </w:rPr>
      </w:pPr>
      <w:bookmarkStart w:id="102" w:name="_Toc29453"/>
      <w:bookmarkStart w:id="103" w:name="_Toc14727"/>
      <w:r>
        <w:rPr>
          <w:rFonts w:hint="eastAsia" w:ascii="仿宋" w:hAnsi="仿宋" w:eastAsia="仿宋"/>
          <w:sz w:val="30"/>
          <w:szCs w:val="30"/>
        </w:rPr>
        <w:t>对接</w:t>
      </w:r>
      <w:r>
        <w:rPr>
          <w:rFonts w:ascii="仿宋" w:hAnsi="仿宋" w:eastAsia="仿宋"/>
          <w:sz w:val="30"/>
          <w:szCs w:val="30"/>
        </w:rPr>
        <w:t>吴兴区大数据局</w:t>
      </w:r>
      <w:bookmarkEnd w:id="102"/>
      <w:bookmarkEnd w:id="103"/>
    </w:p>
    <w:p>
      <w:pPr>
        <w:spacing w:line="360" w:lineRule="auto"/>
        <w:ind w:firstLine="480" w:firstLineChars="200"/>
        <w:rPr>
          <w:rFonts w:ascii="微软雅黑" w:hAnsi="微软雅黑" w:cs="微软雅黑"/>
          <w:sz w:val="24"/>
          <w:szCs w:val="24"/>
          <w:lang w:val="zh-CN"/>
        </w:rPr>
        <w:sectPr>
          <w:pgSz w:w="11906" w:h="16838"/>
          <w:pgMar w:top="1440" w:right="1066" w:bottom="1440" w:left="1380" w:header="851" w:footer="992" w:gutter="0"/>
          <w:cols w:space="425" w:num="1"/>
          <w:docGrid w:type="lines" w:linePitch="312" w:charSpace="0"/>
        </w:sectPr>
      </w:pPr>
      <w:r>
        <w:rPr>
          <w:rFonts w:hint="eastAsia" w:ascii="微软雅黑" w:hAnsi="微软雅黑" w:cs="微软雅黑"/>
          <w:sz w:val="24"/>
          <w:szCs w:val="24"/>
          <w:lang w:val="zh-CN"/>
        </w:rPr>
        <w:t>基于共享交换平台，实时推送存量及增量格式数据至吴兴区大数据局指定的数据仓。</w:t>
      </w:r>
    </w:p>
    <w:p>
      <w:pPr>
        <w:spacing w:line="360" w:lineRule="auto"/>
        <w:rPr>
          <w:rFonts w:ascii="仿宋" w:hAnsi="仿宋" w:eastAsia="仿宋"/>
          <w:sz w:val="24"/>
          <w:lang w:val="zh-CN"/>
        </w:rPr>
      </w:pPr>
    </w:p>
    <w:p>
      <w:pPr>
        <w:pStyle w:val="3"/>
        <w:keepLines w:val="0"/>
        <w:widowControl/>
        <w:numPr>
          <w:ilvl w:val="0"/>
          <w:numId w:val="1"/>
        </w:numPr>
        <w:spacing w:before="240" w:after="240"/>
        <w:ind w:left="425" w:hanging="425"/>
        <w:rPr>
          <w:rFonts w:ascii="仿宋" w:hAnsi="仿宋" w:eastAsia="仿宋"/>
        </w:rPr>
      </w:pPr>
      <w:bookmarkStart w:id="104" w:name="_Toc170792779"/>
      <w:bookmarkStart w:id="105" w:name="_Toc304842086"/>
      <w:bookmarkStart w:id="106" w:name="_Toc304842168"/>
      <w:bookmarkStart w:id="107" w:name="_Toc32407"/>
      <w:bookmarkStart w:id="108" w:name="_Toc10755"/>
      <w:bookmarkStart w:id="109" w:name="_Toc11002"/>
      <w:r>
        <w:rPr>
          <w:rFonts w:hint="eastAsia" w:ascii="仿宋" w:hAnsi="仿宋" w:eastAsia="仿宋"/>
        </w:rPr>
        <w:t>、商务要求表</w:t>
      </w:r>
      <w:bookmarkEnd w:id="104"/>
      <w:bookmarkEnd w:id="105"/>
      <w:bookmarkEnd w:id="106"/>
      <w:bookmarkEnd w:id="107"/>
      <w:bookmarkEnd w:id="108"/>
      <w:bookmarkEnd w:id="109"/>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5"/>
        <w:gridCol w:w="67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115" w:type="dxa"/>
            <w:tcBorders>
              <w:top w:val="single" w:color="auto" w:sz="4" w:space="0"/>
              <w:bottom w:val="single" w:color="auto" w:sz="4" w:space="0"/>
              <w:right w:val="single" w:color="auto" w:sz="4" w:space="0"/>
            </w:tcBorders>
            <w:vAlign w:val="center"/>
          </w:tcPr>
          <w:p>
            <w:pPr>
              <w:spacing w:line="440" w:lineRule="exact"/>
              <w:jc w:val="center"/>
              <w:rPr>
                <w:rFonts w:ascii="微软雅黑" w:hAnsi="微软雅黑" w:cs="微软雅黑"/>
                <w:sz w:val="24"/>
                <w:szCs w:val="24"/>
              </w:rPr>
            </w:pPr>
            <w:r>
              <w:rPr>
                <w:rFonts w:hint="eastAsia" w:ascii="微软雅黑" w:hAnsi="微软雅黑" w:cs="微软雅黑"/>
                <w:sz w:val="24"/>
                <w:szCs w:val="24"/>
              </w:rPr>
              <w:t>质保期</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color w:val="FF0000"/>
                <w:sz w:val="24"/>
                <w:szCs w:val="24"/>
              </w:rPr>
              <w:t>软件自交货验收合格之日起提供三年质保期，后续如遇项目相关更新维护，中标单位应提供免费服务。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15" w:type="dxa"/>
            <w:tcBorders>
              <w:top w:val="single" w:color="auto" w:sz="4" w:space="0"/>
              <w:bottom w:val="single" w:color="auto" w:sz="4" w:space="0"/>
              <w:right w:val="single" w:color="auto" w:sz="4" w:space="0"/>
            </w:tcBorders>
            <w:vAlign w:val="center"/>
          </w:tcPr>
          <w:p>
            <w:pPr>
              <w:spacing w:line="440" w:lineRule="exact"/>
              <w:jc w:val="center"/>
              <w:rPr>
                <w:rFonts w:ascii="微软雅黑" w:hAnsi="微软雅黑" w:cs="微软雅黑"/>
                <w:sz w:val="24"/>
                <w:szCs w:val="24"/>
              </w:rPr>
            </w:pPr>
            <w:r>
              <w:rPr>
                <w:rFonts w:hint="eastAsia" w:ascii="微软雅黑" w:hAnsi="微软雅黑" w:cs="微软雅黑"/>
                <w:sz w:val="24"/>
                <w:szCs w:val="24"/>
              </w:rPr>
              <w:t>售后服务要求</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sz w:val="24"/>
                <w:szCs w:val="24"/>
              </w:rPr>
              <w:t>1、在质保期内，因货物的维修和保养所发生的一切费用均由中标供应商承担；</w:t>
            </w:r>
          </w:p>
          <w:p>
            <w:pPr>
              <w:spacing w:line="440" w:lineRule="exact"/>
              <w:rPr>
                <w:rFonts w:ascii="微软雅黑" w:hAnsi="微软雅黑" w:cs="微软雅黑"/>
                <w:sz w:val="24"/>
                <w:szCs w:val="24"/>
              </w:rPr>
            </w:pPr>
            <w:r>
              <w:rPr>
                <w:rFonts w:hint="eastAsia" w:ascii="微软雅黑" w:hAnsi="微软雅黑" w:cs="微软雅黑"/>
                <w:sz w:val="24"/>
                <w:szCs w:val="24"/>
              </w:rPr>
              <w:t>2、质保期内采购人报修后，中标人免费上门服务及时解决用户问题。响应时间要求如下:电话响应7*24小时、现场响应2小时内、重大故障问题必须在1个工作日内予以修复（不能修复的必须予以更换）；提供软件系统的技术顾问、咨询支持、免费升级服务；</w:t>
            </w:r>
          </w:p>
          <w:p>
            <w:pPr>
              <w:spacing w:line="440" w:lineRule="exact"/>
              <w:rPr>
                <w:rFonts w:ascii="微软雅黑" w:hAnsi="微软雅黑" w:cs="微软雅黑"/>
                <w:sz w:val="24"/>
                <w:szCs w:val="24"/>
              </w:rPr>
            </w:pPr>
            <w:r>
              <w:rPr>
                <w:rFonts w:hint="eastAsia" w:ascii="微软雅黑" w:hAnsi="微软雅黑" w:cs="微软雅黑"/>
                <w:sz w:val="24"/>
                <w:szCs w:val="24"/>
              </w:rPr>
              <w:t xml:space="preserve">3、建立用户档案，实行巡检制度，每季度例检一次，发现问题及时解决； </w:t>
            </w:r>
          </w:p>
          <w:p>
            <w:pPr>
              <w:spacing w:line="440" w:lineRule="exact"/>
              <w:rPr>
                <w:rFonts w:ascii="微软雅黑" w:hAnsi="微软雅黑" w:cs="微软雅黑"/>
                <w:sz w:val="24"/>
                <w:szCs w:val="24"/>
              </w:rPr>
            </w:pPr>
            <w:r>
              <w:rPr>
                <w:rFonts w:hint="eastAsia" w:ascii="微软雅黑" w:hAnsi="微软雅黑" w:cs="微软雅黑"/>
                <w:sz w:val="24"/>
                <w:szCs w:val="24"/>
              </w:rPr>
              <w:t>4、对采购人的业务数据负保密责任；</w:t>
            </w:r>
          </w:p>
          <w:p>
            <w:pPr>
              <w:spacing w:line="440" w:lineRule="exact"/>
              <w:rPr>
                <w:rFonts w:ascii="微软雅黑" w:hAnsi="微软雅黑" w:cs="微软雅黑"/>
                <w:sz w:val="24"/>
                <w:szCs w:val="24"/>
              </w:rPr>
            </w:pPr>
            <w:r>
              <w:rPr>
                <w:rFonts w:hint="eastAsia" w:ascii="微软雅黑" w:hAnsi="微软雅黑" w:cs="微软雅黑"/>
                <w:sz w:val="24"/>
                <w:szCs w:val="24"/>
              </w:rPr>
              <w:t>5、中标人投标时有其它服务承诺的，一并履行。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2115" w:type="dxa"/>
            <w:tcBorders>
              <w:top w:val="single" w:color="auto" w:sz="4" w:space="0"/>
              <w:bottom w:val="single" w:color="auto" w:sz="4" w:space="0"/>
              <w:right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sz w:val="24"/>
                <w:szCs w:val="24"/>
              </w:rPr>
              <w:t>交货时间及实施地点</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sz w:val="24"/>
                <w:szCs w:val="24"/>
              </w:rPr>
              <w:t>交货时间：</w:t>
            </w:r>
            <w:r>
              <w:rPr>
                <w:rFonts w:hint="eastAsia" w:ascii="微软雅黑" w:hAnsi="微软雅黑" w:cs="微软雅黑"/>
                <w:color w:val="FF0000"/>
                <w:sz w:val="24"/>
                <w:szCs w:val="24"/>
              </w:rPr>
              <w:t>在合同签订后180天内交货并完成项目上线调试。</w:t>
            </w:r>
          </w:p>
          <w:p>
            <w:pPr>
              <w:widowControl/>
              <w:spacing w:line="440" w:lineRule="exact"/>
              <w:rPr>
                <w:rFonts w:ascii="微软雅黑" w:hAnsi="微软雅黑" w:cs="微软雅黑"/>
                <w:sz w:val="24"/>
                <w:szCs w:val="24"/>
              </w:rPr>
            </w:pPr>
            <w:r>
              <w:rPr>
                <w:rFonts w:hint="eastAsia" w:ascii="微软雅黑" w:hAnsi="微软雅黑" w:cs="微软雅黑"/>
                <w:sz w:val="24"/>
                <w:szCs w:val="24"/>
              </w:rPr>
              <w:t>实施地点：由采购人指定各工程实施地点。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115" w:type="dxa"/>
            <w:tcBorders>
              <w:top w:val="single" w:color="auto" w:sz="4" w:space="0"/>
              <w:bottom w:val="single" w:color="auto" w:sz="4" w:space="0"/>
              <w:right w:val="single" w:color="auto" w:sz="4" w:space="0"/>
            </w:tcBorders>
            <w:vAlign w:val="center"/>
          </w:tcPr>
          <w:p>
            <w:pPr>
              <w:spacing w:line="440" w:lineRule="exact"/>
              <w:ind w:firstLine="480" w:firstLineChars="200"/>
              <w:rPr>
                <w:rFonts w:ascii="微软雅黑" w:hAnsi="微软雅黑" w:cs="微软雅黑"/>
                <w:sz w:val="24"/>
                <w:szCs w:val="24"/>
              </w:rPr>
            </w:pPr>
            <w:r>
              <w:rPr>
                <w:rFonts w:hint="eastAsia" w:ascii="微软雅黑" w:hAnsi="微软雅黑" w:cs="微软雅黑"/>
                <w:sz w:val="24"/>
                <w:szCs w:val="24"/>
              </w:rPr>
              <w:t>付款方式</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color w:val="000000" w:themeColor="text1"/>
                <w:sz w:val="24"/>
                <w:szCs w:val="24"/>
              </w:rPr>
            </w:pPr>
            <w:r>
              <w:rPr>
                <w:rFonts w:hint="eastAsia" w:ascii="微软雅黑" w:hAnsi="微软雅黑" w:cs="微软雅黑"/>
                <w:color w:val="000000" w:themeColor="text1"/>
                <w:sz w:val="24"/>
                <w:szCs w:val="24"/>
              </w:rPr>
              <w:t>本项目分为吴兴区和南太湖新区两块合并招标，两区块最终分别签订合同和费用支付。</w:t>
            </w:r>
          </w:p>
          <w:p>
            <w:pPr>
              <w:spacing w:line="440" w:lineRule="exact"/>
              <w:rPr>
                <w:rFonts w:ascii="微软雅黑" w:hAnsi="微软雅黑" w:cs="微软雅黑"/>
                <w:color w:val="FF0000"/>
                <w:sz w:val="24"/>
                <w:szCs w:val="24"/>
              </w:rPr>
            </w:pPr>
            <w:r>
              <w:rPr>
                <w:rFonts w:hint="eastAsia" w:ascii="微软雅黑" w:hAnsi="微软雅黑" w:cs="微软雅黑"/>
                <w:color w:val="FF0000"/>
                <w:sz w:val="24"/>
                <w:szCs w:val="24"/>
              </w:rPr>
              <w:t>（1）预付款：采购人自采购合同生效及具备实施条件后15天内支付预付款，也即合同金额的30%；</w:t>
            </w:r>
          </w:p>
          <w:p>
            <w:pPr>
              <w:spacing w:line="440" w:lineRule="exact"/>
              <w:rPr>
                <w:rFonts w:ascii="微软雅黑" w:hAnsi="微软雅黑" w:cs="微软雅黑"/>
                <w:color w:val="FF0000"/>
                <w:sz w:val="24"/>
                <w:szCs w:val="24"/>
              </w:rPr>
            </w:pPr>
            <w:r>
              <w:rPr>
                <w:rFonts w:hint="eastAsia" w:ascii="微软雅黑" w:hAnsi="微软雅黑" w:cs="微软雅黑"/>
                <w:color w:val="FF0000"/>
                <w:sz w:val="24"/>
                <w:szCs w:val="24"/>
              </w:rPr>
              <w:t>（2）完成项目总体工程量50%，支付合同总价的30%；</w:t>
            </w:r>
          </w:p>
          <w:p>
            <w:pPr>
              <w:spacing w:line="440" w:lineRule="exact"/>
              <w:rPr>
                <w:rFonts w:ascii="微软雅黑" w:hAnsi="微软雅黑" w:cs="微软雅黑"/>
                <w:color w:val="FF0000"/>
                <w:sz w:val="24"/>
                <w:szCs w:val="24"/>
              </w:rPr>
            </w:pPr>
            <w:r>
              <w:rPr>
                <w:rFonts w:hint="eastAsia" w:ascii="微软雅黑" w:hAnsi="微软雅黑" w:cs="微软雅黑"/>
                <w:color w:val="FF0000"/>
                <w:sz w:val="24"/>
                <w:szCs w:val="24"/>
              </w:rPr>
              <w:t>（3）</w:t>
            </w:r>
            <w:r>
              <w:rPr>
                <w:rFonts w:ascii="微软雅黑" w:hAnsi="微软雅黑" w:cs="微软雅黑"/>
                <w:color w:val="FF0000"/>
                <w:sz w:val="24"/>
                <w:szCs w:val="24"/>
              </w:rPr>
              <w:t>项目</w:t>
            </w:r>
            <w:r>
              <w:rPr>
                <w:rFonts w:hint="eastAsia" w:ascii="微软雅黑" w:hAnsi="微软雅黑" w:cs="微软雅黑"/>
                <w:color w:val="FF0000"/>
                <w:sz w:val="24"/>
                <w:szCs w:val="24"/>
              </w:rPr>
              <w:t>整体</w:t>
            </w:r>
            <w:r>
              <w:rPr>
                <w:rFonts w:ascii="微软雅黑" w:hAnsi="微软雅黑" w:cs="微软雅黑"/>
                <w:color w:val="FF0000"/>
                <w:sz w:val="24"/>
                <w:szCs w:val="24"/>
              </w:rPr>
              <w:t>完成上线试运行1个月后，支付合同总价的</w:t>
            </w:r>
            <w:r>
              <w:rPr>
                <w:rFonts w:hint="eastAsia" w:ascii="微软雅黑" w:hAnsi="微软雅黑" w:cs="微软雅黑"/>
                <w:color w:val="FF0000"/>
                <w:sz w:val="24"/>
                <w:szCs w:val="24"/>
              </w:rPr>
              <w:t>30</w:t>
            </w:r>
            <w:r>
              <w:rPr>
                <w:rFonts w:ascii="微软雅黑" w:hAnsi="微软雅黑" w:cs="微软雅黑"/>
                <w:color w:val="FF0000"/>
                <w:sz w:val="24"/>
                <w:szCs w:val="24"/>
              </w:rPr>
              <w:t>%；</w:t>
            </w:r>
          </w:p>
          <w:p>
            <w:pPr>
              <w:spacing w:line="440" w:lineRule="exact"/>
              <w:rPr>
                <w:rFonts w:ascii="微软雅黑" w:hAnsi="微软雅黑" w:cs="微软雅黑"/>
                <w:color w:val="FF0000"/>
                <w:sz w:val="24"/>
                <w:szCs w:val="24"/>
              </w:rPr>
            </w:pPr>
            <w:r>
              <w:rPr>
                <w:rFonts w:hint="eastAsia" w:ascii="微软雅黑" w:hAnsi="微软雅黑" w:cs="微软雅黑"/>
                <w:color w:val="FF0000"/>
                <w:sz w:val="24"/>
                <w:szCs w:val="24"/>
              </w:rPr>
              <w:t>（4）</w:t>
            </w:r>
            <w:r>
              <w:rPr>
                <w:rFonts w:ascii="微软雅黑" w:hAnsi="微软雅黑" w:cs="微软雅黑"/>
                <w:color w:val="FF0000"/>
                <w:sz w:val="24"/>
                <w:szCs w:val="24"/>
              </w:rPr>
              <w:t>组织项目整体终验，验收通过后5个工作日内支付合同总价的</w:t>
            </w:r>
            <w:r>
              <w:rPr>
                <w:rFonts w:hint="eastAsia" w:ascii="微软雅黑" w:hAnsi="微软雅黑" w:cs="微软雅黑"/>
                <w:color w:val="FF0000"/>
                <w:sz w:val="24"/>
                <w:szCs w:val="24"/>
              </w:rPr>
              <w:t>10</w:t>
            </w:r>
            <w:r>
              <w:rPr>
                <w:rFonts w:ascii="微软雅黑" w:hAnsi="微软雅黑" w:cs="微软雅黑"/>
                <w:color w:val="FF0000"/>
                <w:sz w:val="24"/>
                <w:szCs w:val="24"/>
              </w:rPr>
              <w:t>%。</w:t>
            </w:r>
          </w:p>
          <w:p>
            <w:pPr>
              <w:spacing w:line="440" w:lineRule="exact"/>
              <w:rPr>
                <w:rFonts w:hint="eastAsia" w:ascii="微软雅黑" w:hAnsi="微软雅黑" w:cs="微软雅黑"/>
                <w:color w:val="000000" w:themeColor="text1"/>
                <w:sz w:val="24"/>
                <w:szCs w:val="24"/>
              </w:rPr>
            </w:pPr>
            <w:r>
              <w:rPr>
                <w:rFonts w:hint="eastAsia" w:ascii="微软雅黑" w:hAnsi="微软雅黑" w:cs="微软雅黑"/>
                <w:color w:val="000000" w:themeColor="text1"/>
                <w:sz w:val="24"/>
                <w:szCs w:val="24"/>
              </w:rPr>
              <w:t>注：本项目最终服务金额以中标供应商实际采集公里数*中标单价结算，但若最终服务金额超过相应区块的采购预算，最终服务金额按采购预算金额支付采购单位不另行增加费用。</w:t>
            </w:r>
          </w:p>
          <w:p>
            <w:pPr>
              <w:pStyle w:val="2"/>
              <w:ind w:firstLine="0" w:firstLineChars="0"/>
              <w:rPr>
                <w:sz w:val="24"/>
                <w:szCs w:val="24"/>
              </w:rPr>
            </w:pPr>
            <w:r>
              <w:rPr>
                <w:rFonts w:hint="eastAsia"/>
                <w:sz w:val="24"/>
                <w:szCs w:val="24"/>
              </w:rPr>
              <w:t>吴兴区为两年连续性费用，每年预算200 万元分年度支付，每年信息采集工程量为项目总体工程量的50%。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7" w:hRule="atLeast"/>
          <w:jc w:val="center"/>
        </w:trPr>
        <w:tc>
          <w:tcPr>
            <w:tcW w:w="2115" w:type="dxa"/>
            <w:tcBorders>
              <w:top w:val="single" w:color="auto" w:sz="4" w:space="0"/>
              <w:bottom w:val="single" w:color="auto" w:sz="4" w:space="0"/>
              <w:right w:val="single" w:color="auto" w:sz="4" w:space="0"/>
            </w:tcBorders>
            <w:vAlign w:val="center"/>
          </w:tcPr>
          <w:p>
            <w:pPr>
              <w:spacing w:line="440" w:lineRule="exact"/>
              <w:ind w:firstLine="480" w:firstLineChars="200"/>
              <w:rPr>
                <w:rFonts w:ascii="微软雅黑" w:hAnsi="微软雅黑" w:cs="微软雅黑"/>
                <w:sz w:val="24"/>
                <w:szCs w:val="24"/>
              </w:rPr>
            </w:pPr>
            <w:r>
              <w:rPr>
                <w:rFonts w:hint="eastAsia" w:ascii="微软雅黑" w:hAnsi="微软雅黑" w:cs="微软雅黑"/>
                <w:sz w:val="24"/>
                <w:szCs w:val="24"/>
              </w:rPr>
              <w:t>验收方法</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sz w:val="24"/>
                <w:szCs w:val="24"/>
              </w:rPr>
              <w:t>项目完成后，系统进入试运行期，无故障试运行一个月后，中标人应将相关资料整理装订成册，向招标人提出验收申请，由招标人组织验收。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tcBorders>
              <w:top w:val="single" w:color="auto" w:sz="4" w:space="0"/>
              <w:bottom w:val="single" w:color="auto" w:sz="4" w:space="0"/>
              <w:right w:val="single" w:color="auto" w:sz="4" w:space="0"/>
            </w:tcBorders>
            <w:vAlign w:val="center"/>
          </w:tcPr>
          <w:p>
            <w:pPr>
              <w:spacing w:line="440" w:lineRule="exact"/>
              <w:ind w:firstLine="480" w:firstLineChars="200"/>
              <w:rPr>
                <w:rFonts w:ascii="微软雅黑" w:hAnsi="微软雅黑" w:cs="微软雅黑"/>
                <w:sz w:val="24"/>
                <w:szCs w:val="24"/>
              </w:rPr>
            </w:pPr>
            <w:r>
              <w:rPr>
                <w:rFonts w:hint="eastAsia" w:ascii="微软雅黑" w:hAnsi="微软雅黑" w:cs="微软雅黑"/>
                <w:sz w:val="24"/>
                <w:szCs w:val="24"/>
              </w:rPr>
              <w:t>监理</w:t>
            </w:r>
          </w:p>
        </w:tc>
        <w:tc>
          <w:tcPr>
            <w:tcW w:w="6703" w:type="dxa"/>
            <w:tcBorders>
              <w:top w:val="single" w:color="auto" w:sz="4" w:space="0"/>
              <w:left w:val="single" w:color="auto" w:sz="4" w:space="0"/>
              <w:bottom w:val="single" w:color="auto" w:sz="4" w:space="0"/>
            </w:tcBorders>
            <w:vAlign w:val="center"/>
          </w:tcPr>
          <w:p>
            <w:pPr>
              <w:spacing w:line="440" w:lineRule="exact"/>
              <w:rPr>
                <w:rFonts w:ascii="微软雅黑" w:hAnsi="微软雅黑" w:cs="微软雅黑"/>
                <w:sz w:val="24"/>
                <w:szCs w:val="24"/>
              </w:rPr>
            </w:pPr>
            <w:r>
              <w:rPr>
                <w:rFonts w:hint="eastAsia" w:ascii="微软雅黑" w:hAnsi="微软雅黑" w:cs="微软雅黑"/>
                <w:sz w:val="24"/>
                <w:szCs w:val="24"/>
              </w:rPr>
              <w:t>按照吴兴区大数据局要求，本项目需要第三方监理，监理单位由甲方指派，乙方按照相应的要求配合监理工作，乙方支付本项目监理费。</w:t>
            </w:r>
          </w:p>
        </w:tc>
      </w:tr>
    </w:tbl>
    <w:p>
      <w:pPr>
        <w:spacing w:line="360" w:lineRule="auto"/>
        <w:ind w:firstLine="480" w:firstLineChars="200"/>
        <w:rPr>
          <w:rFonts w:ascii="仿宋" w:hAnsi="仿宋" w:eastAsia="仿宋"/>
          <w:sz w:val="24"/>
          <w:lang w:val="zh-CN"/>
        </w:rPr>
        <w:sectPr>
          <w:pgSz w:w="11906" w:h="16838"/>
          <w:pgMar w:top="1440" w:right="1800" w:bottom="1440" w:left="1800" w:header="851" w:footer="992" w:gutter="0"/>
          <w:cols w:space="425" w:num="1"/>
          <w:docGrid w:type="lines" w:linePitch="312" w:charSpace="0"/>
        </w:sectPr>
      </w:pPr>
    </w:p>
    <w:p>
      <w:pPr>
        <w:spacing w:beforeLines="50" w:afterLines="50"/>
        <w:jc w:val="center"/>
        <w:outlineLvl w:val="0"/>
        <w:rPr>
          <w:rFonts w:ascii="宋体" w:hAnsi="宋体"/>
          <w:b/>
          <w:bCs/>
          <w:sz w:val="32"/>
          <w:szCs w:val="30"/>
        </w:rPr>
      </w:pPr>
      <w:bookmarkStart w:id="110" w:name="_Toc12512"/>
      <w:r>
        <w:rPr>
          <w:rFonts w:hint="eastAsia" w:ascii="宋体" w:hAnsi="宋体"/>
          <w:b/>
          <w:bCs/>
          <w:sz w:val="32"/>
          <w:szCs w:val="30"/>
        </w:rPr>
        <w:t>第三章、投标人须知</w:t>
      </w:r>
      <w:bookmarkEnd w:id="11"/>
      <w:bookmarkEnd w:id="12"/>
      <w:bookmarkEnd w:id="13"/>
      <w:bookmarkEnd w:id="14"/>
      <w:bookmarkEnd w:id="15"/>
      <w:bookmarkEnd w:id="20"/>
      <w:bookmarkEnd w:id="21"/>
      <w:bookmarkEnd w:id="110"/>
    </w:p>
    <w:p>
      <w:pPr>
        <w:spacing w:line="400" w:lineRule="exact"/>
        <w:jc w:val="center"/>
        <w:outlineLvl w:val="1"/>
        <w:rPr>
          <w:rFonts w:ascii="宋体" w:hAnsi="宋体"/>
          <w:b/>
          <w:sz w:val="24"/>
        </w:rPr>
      </w:pPr>
      <w:bookmarkStart w:id="111" w:name="_Toc293916352"/>
      <w:bookmarkStart w:id="112" w:name="_Toc607"/>
      <w:bookmarkStart w:id="113" w:name="_Toc293916870"/>
      <w:bookmarkStart w:id="114" w:name="_Toc177870535"/>
      <w:bookmarkStart w:id="115" w:name="_Toc293917016"/>
      <w:bookmarkStart w:id="116" w:name="_Toc17305"/>
      <w:bookmarkStart w:id="117" w:name="_Toc424544532"/>
      <w:bookmarkStart w:id="118" w:name="_Toc293916001"/>
      <w:bookmarkStart w:id="119" w:name="_Toc424544811"/>
      <w:r>
        <w:rPr>
          <w:rFonts w:hint="eastAsia" w:ascii="宋体" w:hAnsi="宋体"/>
          <w:b/>
          <w:sz w:val="24"/>
        </w:rPr>
        <w:t>投标须知前附表</w:t>
      </w:r>
      <w:bookmarkEnd w:id="111"/>
      <w:bookmarkEnd w:id="112"/>
      <w:bookmarkEnd w:id="113"/>
      <w:bookmarkEnd w:id="114"/>
      <w:bookmarkEnd w:id="115"/>
      <w:bookmarkEnd w:id="116"/>
      <w:bookmarkEnd w:id="117"/>
      <w:bookmarkEnd w:id="118"/>
      <w:bookmarkEnd w:id="119"/>
    </w:p>
    <w:tbl>
      <w:tblPr>
        <w:tblStyle w:val="60"/>
        <w:tblW w:w="9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8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1" w:hRule="exact"/>
          <w:jc w:val="center"/>
        </w:trPr>
        <w:tc>
          <w:tcPr>
            <w:tcW w:w="959" w:type="dxa"/>
            <w:vAlign w:val="center"/>
          </w:tcPr>
          <w:p>
            <w:pPr>
              <w:adjustRightInd w:val="0"/>
              <w:snapToGrid w:val="0"/>
              <w:spacing w:line="400" w:lineRule="exact"/>
              <w:jc w:val="center"/>
              <w:rPr>
                <w:rFonts w:ascii="宋体" w:hAnsi="宋体"/>
                <w:b/>
                <w:sz w:val="24"/>
              </w:rPr>
            </w:pPr>
            <w:r>
              <w:rPr>
                <w:rFonts w:hint="eastAsia" w:ascii="宋体" w:hAnsi="宋体"/>
                <w:b/>
                <w:sz w:val="24"/>
              </w:rPr>
              <w:t>序号</w:t>
            </w:r>
          </w:p>
        </w:tc>
        <w:tc>
          <w:tcPr>
            <w:tcW w:w="8960" w:type="dxa"/>
            <w:vAlign w:val="center"/>
          </w:tcPr>
          <w:p>
            <w:pPr>
              <w:adjustRightInd w:val="0"/>
              <w:snapToGrid w:val="0"/>
              <w:spacing w:line="400" w:lineRule="exact"/>
              <w:jc w:val="center"/>
              <w:rPr>
                <w:rFonts w:ascii="宋体" w:hAnsi="宋体"/>
                <w:b/>
                <w:sz w:val="24"/>
              </w:rPr>
            </w:pPr>
            <w:r>
              <w:rPr>
                <w:rFonts w:hint="eastAsia" w:ascii="宋体" w:hAnsi="宋体"/>
                <w:b/>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1</w:t>
            </w:r>
          </w:p>
        </w:tc>
        <w:tc>
          <w:tcPr>
            <w:tcW w:w="8960" w:type="dxa"/>
            <w:vAlign w:val="center"/>
          </w:tcPr>
          <w:p>
            <w:pPr>
              <w:adjustRightInd w:val="0"/>
              <w:snapToGrid w:val="0"/>
              <w:spacing w:line="400" w:lineRule="exact"/>
              <w:rPr>
                <w:rFonts w:ascii="宋体" w:hAnsi="宋体"/>
                <w:sz w:val="24"/>
              </w:rPr>
            </w:pPr>
            <w:r>
              <w:rPr>
                <w:rFonts w:hint="eastAsia" w:ascii="宋体" w:hAnsi="宋体"/>
                <w:sz w:val="24"/>
              </w:rPr>
              <w:t>项目名称：</w:t>
            </w:r>
            <w:r>
              <w:rPr>
                <w:rStyle w:val="64"/>
                <w:rFonts w:hint="eastAsia"/>
                <w:sz w:val="24"/>
              </w:rPr>
              <w:t>湖州市吴兴区（含南太湖新区）门牌数据信息采集项目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2</w:t>
            </w:r>
          </w:p>
        </w:tc>
        <w:tc>
          <w:tcPr>
            <w:tcW w:w="8960" w:type="dxa"/>
            <w:vAlign w:val="center"/>
          </w:tcPr>
          <w:p>
            <w:pPr>
              <w:adjustRightInd w:val="0"/>
              <w:snapToGrid w:val="0"/>
              <w:spacing w:line="400" w:lineRule="exact"/>
              <w:rPr>
                <w:rFonts w:ascii="宋体" w:hAnsi="宋体"/>
                <w:sz w:val="24"/>
              </w:rPr>
            </w:pPr>
            <w:r>
              <w:rPr>
                <w:rFonts w:hint="eastAsia" w:ascii="宋体" w:hAnsi="宋体"/>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3</w:t>
            </w:r>
          </w:p>
        </w:tc>
        <w:tc>
          <w:tcPr>
            <w:tcW w:w="8960" w:type="dxa"/>
            <w:vAlign w:val="center"/>
          </w:tcPr>
          <w:p>
            <w:pPr>
              <w:widowControl/>
              <w:spacing w:line="360" w:lineRule="exact"/>
              <w:jc w:val="left"/>
              <w:rPr>
                <w:rFonts w:ascii="宋体" w:hAnsi="宋体" w:cs="Arial"/>
                <w:kern w:val="0"/>
                <w:sz w:val="24"/>
              </w:rPr>
            </w:pPr>
            <w:r>
              <w:rPr>
                <w:rFonts w:hint="eastAsia" w:ascii="宋体" w:hAnsi="宋体" w:cs="Arial"/>
                <w:kern w:val="0"/>
                <w:sz w:val="24"/>
              </w:rPr>
              <w:t>投标报价及费用：1、本项目投标应以人民币报价；2、不论投标结果如何，投标人均应自行承担所有与投标有关的全部费用；3、本项目招标代理服务费</w:t>
            </w:r>
            <w:r>
              <w:rPr>
                <w:rFonts w:hint="eastAsia" w:ascii="宋体" w:hAnsi="宋体" w:cs="Arial"/>
                <w:kern w:val="0"/>
                <w:sz w:val="24"/>
                <w:u w:val="single"/>
              </w:rPr>
              <w:t>40000</w:t>
            </w:r>
            <w:r>
              <w:rPr>
                <w:rFonts w:hint="eastAsia" w:ascii="宋体" w:hAnsi="宋体" w:cs="Arial"/>
                <w:kern w:val="0"/>
                <w:sz w:val="24"/>
              </w:rPr>
              <w:t>元，由中标单位支付。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3"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4</w:t>
            </w:r>
          </w:p>
        </w:tc>
        <w:tc>
          <w:tcPr>
            <w:tcW w:w="8960"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答疑与澄清：投标供应商如认为采购文件表述不清晰、存在歧视性、排他性或者其他违法内容的，应当于</w:t>
            </w:r>
            <w:r>
              <w:rPr>
                <w:rFonts w:hint="eastAsia" w:ascii="宋体" w:hAnsi="宋体"/>
                <w:sz w:val="24"/>
                <w:u w:val="single"/>
              </w:rPr>
              <w:t>2020年</w:t>
            </w:r>
            <w:r>
              <w:rPr>
                <w:rFonts w:hint="eastAsia" w:ascii="宋体" w:hAnsi="宋体"/>
                <w:sz w:val="24"/>
                <w:u w:val="single"/>
                <w:lang w:val="en-US" w:eastAsia="zh-CN"/>
              </w:rPr>
              <w:t>8</w:t>
            </w:r>
            <w:r>
              <w:rPr>
                <w:rFonts w:hint="eastAsia" w:ascii="宋体" w:hAnsi="宋体"/>
                <w:sz w:val="24"/>
                <w:u w:val="single"/>
              </w:rPr>
              <w:t>月</w:t>
            </w:r>
            <w:r>
              <w:rPr>
                <w:rFonts w:hint="eastAsia" w:ascii="宋体" w:hAnsi="宋体"/>
                <w:sz w:val="24"/>
                <w:u w:val="single"/>
                <w:lang w:val="en-US" w:eastAsia="zh-CN"/>
              </w:rPr>
              <w:t>13</w:t>
            </w:r>
            <w:r>
              <w:rPr>
                <w:rFonts w:hint="eastAsia" w:ascii="宋体" w:hAnsi="宋体"/>
                <w:sz w:val="24"/>
                <w:u w:val="single"/>
              </w:rPr>
              <w:t>日</w:t>
            </w:r>
            <w:r>
              <w:rPr>
                <w:rFonts w:hint="eastAsia" w:ascii="宋体" w:hAnsi="宋体"/>
                <w:sz w:val="24"/>
              </w:rPr>
              <w:t>下午17时前，以书面形式要求采购代理机构作出书面解释、澄清或者向采购代理机构提出书面质疑；</w:t>
            </w:r>
            <w:r>
              <w:rPr>
                <w:rFonts w:ascii="宋体" w:hAnsi="宋体"/>
                <w:sz w:val="24"/>
              </w:rPr>
              <w:t>采购代理机构</w:t>
            </w:r>
            <w:r>
              <w:rPr>
                <w:rFonts w:hint="eastAsia" w:ascii="宋体" w:hAnsi="宋体"/>
                <w:sz w:val="24"/>
              </w:rPr>
              <w:t>将对</w:t>
            </w:r>
            <w:r>
              <w:rPr>
                <w:rFonts w:ascii="宋体" w:hAnsi="宋体"/>
                <w:sz w:val="24"/>
              </w:rPr>
              <w:t>采购文件进行必要澄清、答复、修改或补充</w:t>
            </w:r>
            <w:r>
              <w:rPr>
                <w:rFonts w:hint="eastAsia" w:ascii="宋体" w:hAnsi="宋体"/>
                <w:sz w:val="24"/>
              </w:rPr>
              <w:t>。采</w:t>
            </w:r>
            <w:r>
              <w:rPr>
                <w:rFonts w:ascii="宋体" w:hAnsi="宋体"/>
                <w:sz w:val="24"/>
              </w:rPr>
              <w:t>购代理机构对已发出的采购文件进行必要澄清、答复、修改或补充</w:t>
            </w:r>
            <w:r>
              <w:rPr>
                <w:rFonts w:hint="eastAsia" w:ascii="宋体" w:hAnsi="宋体"/>
                <w:sz w:val="24"/>
              </w:rPr>
              <w:t>时间距离提交投标文件截止时间不足15日时，投标截止时间将顺延至少15日，并</w:t>
            </w:r>
            <w:r>
              <w:rPr>
                <w:rFonts w:ascii="宋体" w:hAnsi="宋体"/>
                <w:sz w:val="24"/>
              </w:rPr>
              <w:t>在浙江政府采购网上发布更正公告，</w:t>
            </w:r>
            <w:r>
              <w:rPr>
                <w:rFonts w:hint="eastAsia" w:ascii="宋体" w:hAnsi="宋体"/>
                <w:sz w:val="24"/>
              </w:rPr>
              <w:t>同时</w:t>
            </w:r>
            <w:r>
              <w:rPr>
                <w:rFonts w:ascii="宋体" w:hAnsi="宋体"/>
                <w:sz w:val="24"/>
              </w:rPr>
              <w:t>以书面形式通知所有采购文件收受人。</w:t>
            </w:r>
            <w:r>
              <w:rPr>
                <w:rFonts w:hint="eastAsia" w:ascii="宋体" w:hAnsi="宋体"/>
                <w:sz w:val="24"/>
              </w:rPr>
              <w:t>因其他紧急情况影响本项目正常采购活动的，采购代理机构将于投标截止日期</w:t>
            </w:r>
            <w:r>
              <w:rPr>
                <w:rFonts w:ascii="宋体" w:hAnsi="宋体"/>
                <w:sz w:val="24"/>
              </w:rPr>
              <w:t>5</w:t>
            </w:r>
            <w:r>
              <w:rPr>
                <w:rFonts w:hint="eastAsia" w:ascii="宋体" w:hAnsi="宋体"/>
                <w:sz w:val="24"/>
              </w:rPr>
              <w:t>天前书面通知所有已报名的投标供应商。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1"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5</w:t>
            </w:r>
          </w:p>
        </w:tc>
        <w:tc>
          <w:tcPr>
            <w:tcW w:w="8960" w:type="dxa"/>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 xml:space="preserve">1.投标文件的制作：本项目实行电子招投标。 </w:t>
            </w:r>
          </w:p>
          <w:p>
            <w:pPr>
              <w:autoSpaceDE w:val="0"/>
              <w:autoSpaceDN w:val="0"/>
              <w:snapToGrid w:val="0"/>
              <w:spacing w:line="276" w:lineRule="auto"/>
              <w:textAlignment w:val="bottom"/>
              <w:rPr>
                <w:rFonts w:ascii="宋体" w:hAnsi="宋体"/>
                <w:sz w:val="24"/>
              </w:rPr>
            </w:pPr>
            <w:r>
              <w:rPr>
                <w:rFonts w:hint="eastAsia" w:ascii="宋体" w:hAnsi="宋体"/>
                <w:sz w:val="24"/>
              </w:rPr>
              <w:t>2.投标文件的份数：</w:t>
            </w:r>
          </w:p>
          <w:p>
            <w:pPr>
              <w:autoSpaceDE w:val="0"/>
              <w:autoSpaceDN w:val="0"/>
              <w:snapToGrid w:val="0"/>
              <w:spacing w:line="276" w:lineRule="auto"/>
              <w:textAlignment w:val="bottom"/>
              <w:rPr>
                <w:rFonts w:ascii="宋体" w:hAnsi="宋体"/>
                <w:sz w:val="24"/>
              </w:rPr>
            </w:pPr>
            <w:r>
              <w:rPr>
                <w:rFonts w:hint="eastAsia" w:ascii="宋体" w:hAnsi="宋体"/>
                <w:sz w:val="24"/>
              </w:rPr>
              <w:t xml:space="preserve">（1）电子投标文件：政采云平台上传递交电子投标文件一份。 </w:t>
            </w:r>
          </w:p>
          <w:p>
            <w:pPr>
              <w:autoSpaceDE w:val="0"/>
              <w:autoSpaceDN w:val="0"/>
              <w:snapToGrid w:val="0"/>
              <w:spacing w:line="276" w:lineRule="auto"/>
              <w:textAlignment w:val="bottom"/>
              <w:rPr>
                <w:rFonts w:ascii="宋体" w:hAnsi="宋体"/>
                <w:sz w:val="24"/>
              </w:rPr>
            </w:pPr>
            <w:r>
              <w:rPr>
                <w:rFonts w:hint="eastAsia" w:ascii="宋体" w:hAnsi="宋体"/>
                <w:sz w:val="24"/>
              </w:rPr>
              <w:t xml:space="preserve">（2）“备份投标文件”：密封包装后投标截止时间前递交一份“备份投标文件”（可以邮寄形式），格式及内容须与政采云平台项目采购-电子交易操作指南中制作、加密并递交的电子投标文件格式及内容一致。   </w:t>
            </w:r>
          </w:p>
          <w:p>
            <w:pPr>
              <w:autoSpaceDE w:val="0"/>
              <w:autoSpaceDN w:val="0"/>
              <w:snapToGrid w:val="0"/>
              <w:spacing w:line="276" w:lineRule="auto"/>
              <w:textAlignment w:val="bottom"/>
              <w:rPr>
                <w:rFonts w:ascii="宋体" w:hAnsi="宋体"/>
                <w:sz w:val="24"/>
              </w:rPr>
            </w:pPr>
            <w:r>
              <w:rPr>
                <w:rFonts w:hint="eastAsia" w:ascii="宋体" w:hAnsi="宋体"/>
                <w:sz w:val="24"/>
              </w:rPr>
              <w:t>（3）投标供应商递交“备份投标文件”，应在投标截止时间前将“备份投标文件”递交至：</w:t>
            </w:r>
            <w:r>
              <w:rPr>
                <w:rFonts w:hint="eastAsia" w:ascii="宋体" w:hAnsi="宋体" w:cs="宋体"/>
                <w:b/>
                <w:color w:val="000000"/>
                <w:kern w:val="0"/>
                <w:sz w:val="24"/>
              </w:rPr>
              <w:t>湖州市吴兴区清远路155号4号楼2楼（浙江中合工程管理有限公司），联系人：吕雪兰，联系电话：13567243756</w:t>
            </w:r>
            <w:r>
              <w:rPr>
                <w:rFonts w:hint="eastAsia" w:ascii="宋体" w:hAnsi="宋体" w:cs="宋体"/>
                <w:bCs/>
                <w:color w:val="000000"/>
                <w:kern w:val="0"/>
                <w:sz w:val="24"/>
              </w:rPr>
              <w:t>。</w:t>
            </w:r>
          </w:p>
          <w:p>
            <w:pPr>
              <w:autoSpaceDE w:val="0"/>
              <w:autoSpaceDN w:val="0"/>
              <w:snapToGrid w:val="0"/>
              <w:spacing w:line="276" w:lineRule="auto"/>
              <w:textAlignment w:val="bottom"/>
              <w:rPr>
                <w:rFonts w:ascii="宋体" w:hAnsi="宋体"/>
                <w:sz w:val="24"/>
              </w:rPr>
            </w:pPr>
            <w:r>
              <w:rPr>
                <w:rFonts w:hint="eastAsia" w:ascii="宋体" w:hAnsi="宋体"/>
                <w:sz w:val="24"/>
              </w:rPr>
              <w:t>3.投标文件的组成：</w:t>
            </w:r>
          </w:p>
          <w:p>
            <w:pPr>
              <w:pStyle w:val="223"/>
              <w:tabs>
                <w:tab w:val="left" w:pos="529"/>
              </w:tabs>
              <w:spacing w:before="2" w:line="312" w:lineRule="auto"/>
              <w:ind w:left="108" w:right="82"/>
              <w:rPr>
                <w:rFonts w:eastAsia="微软雅黑"/>
                <w:b/>
                <w:bCs/>
                <w:color w:val="000000"/>
                <w:sz w:val="24"/>
                <w:lang w:val="en-US"/>
              </w:rPr>
            </w:pPr>
            <w:r>
              <w:rPr>
                <w:rFonts w:hint="eastAsia" w:eastAsia="微软雅黑" w:cs="Times New Roman"/>
                <w:sz w:val="24"/>
                <w:lang w:val="en-US" w:bidi="ar-SA"/>
              </w:rPr>
              <w:t>投标文件由《资格文件》、《技术、商务、资信及其他文件》和《报价文件》组成，其中电子投标文件中所须加盖公章部分均采用 CA 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6</w:t>
            </w:r>
          </w:p>
        </w:tc>
        <w:tc>
          <w:tcPr>
            <w:tcW w:w="8960" w:type="dxa"/>
            <w:vAlign w:val="center"/>
          </w:tcPr>
          <w:p>
            <w:pPr>
              <w:pStyle w:val="223"/>
              <w:tabs>
                <w:tab w:val="left" w:pos="529"/>
              </w:tabs>
              <w:spacing w:before="2" w:line="312" w:lineRule="auto"/>
              <w:ind w:left="108" w:right="82"/>
              <w:rPr>
                <w:rFonts w:ascii="微软雅黑" w:hAnsi="微软雅黑" w:eastAsia="微软雅黑" w:cs="微软雅黑"/>
                <w:sz w:val="24"/>
                <w:lang w:val="en-US" w:bidi="ar-SA"/>
              </w:rPr>
            </w:pPr>
            <w:r>
              <w:rPr>
                <w:rFonts w:hint="eastAsia" w:eastAsia="微软雅黑" w:cs="Times New Roman"/>
                <w:sz w:val="24"/>
                <w:lang w:val="en-US" w:bidi="ar-SA"/>
              </w:rPr>
              <w:t>投标截止时间：</w:t>
            </w:r>
            <w:r>
              <w:rPr>
                <w:rFonts w:hint="eastAsia" w:ascii="微软雅黑" w:hAnsi="微软雅黑" w:eastAsia="微软雅黑" w:cs="微软雅黑"/>
                <w:sz w:val="24"/>
                <w:u w:val="single"/>
                <w:lang w:val="en-US" w:bidi="ar-SA"/>
              </w:rPr>
              <w:t>2020 年</w:t>
            </w:r>
            <w:r>
              <w:rPr>
                <w:rFonts w:hint="eastAsia" w:ascii="微软雅黑" w:hAnsi="微软雅黑" w:eastAsia="微软雅黑" w:cs="微软雅黑"/>
                <w:sz w:val="24"/>
                <w:u w:val="single"/>
                <w:lang w:val="en-US" w:eastAsia="zh-CN" w:bidi="ar-SA"/>
              </w:rPr>
              <w:t>8</w:t>
            </w:r>
            <w:r>
              <w:rPr>
                <w:rFonts w:hint="eastAsia" w:ascii="微软雅黑" w:hAnsi="微软雅黑" w:eastAsia="微软雅黑" w:cs="微软雅黑"/>
                <w:sz w:val="24"/>
                <w:u w:val="single"/>
                <w:lang w:val="en-US" w:bidi="ar-SA"/>
              </w:rPr>
              <w:t>月</w:t>
            </w:r>
            <w:r>
              <w:rPr>
                <w:rFonts w:hint="eastAsia" w:ascii="微软雅黑" w:hAnsi="微软雅黑" w:eastAsia="微软雅黑" w:cs="微软雅黑"/>
                <w:sz w:val="24"/>
                <w:u w:val="single"/>
                <w:lang w:val="en-US" w:eastAsia="zh-CN" w:bidi="ar-SA"/>
              </w:rPr>
              <w:t>18</w:t>
            </w:r>
            <w:r>
              <w:rPr>
                <w:rFonts w:hint="eastAsia" w:ascii="微软雅黑" w:hAnsi="微软雅黑" w:eastAsia="微软雅黑" w:cs="微软雅黑"/>
                <w:sz w:val="24"/>
                <w:u w:val="single"/>
                <w:lang w:val="en-US" w:bidi="ar-SA"/>
              </w:rPr>
              <w:t>日</w:t>
            </w:r>
            <w:r>
              <w:rPr>
                <w:rFonts w:hint="eastAsia" w:ascii="微软雅黑" w:hAnsi="微软雅黑" w:eastAsia="微软雅黑" w:cs="微软雅黑"/>
                <w:sz w:val="24"/>
                <w:u w:val="single"/>
                <w:lang w:val="en-US" w:eastAsia="zh-CN" w:bidi="ar-SA"/>
              </w:rPr>
              <w:t>10</w:t>
            </w:r>
            <w:r>
              <w:rPr>
                <w:rFonts w:hint="eastAsia" w:ascii="微软雅黑" w:hAnsi="微软雅黑" w:eastAsia="微软雅黑" w:cs="微软雅黑"/>
                <w:sz w:val="24"/>
                <w:u w:val="single"/>
                <w:lang w:val="en-US" w:bidi="ar-SA"/>
              </w:rPr>
              <w:t>时</w:t>
            </w:r>
            <w:r>
              <w:rPr>
                <w:rFonts w:hint="eastAsia" w:ascii="微软雅黑" w:hAnsi="微软雅黑" w:eastAsia="微软雅黑" w:cs="微软雅黑"/>
                <w:sz w:val="24"/>
                <w:u w:val="single"/>
                <w:lang w:val="en-US" w:eastAsia="zh-CN" w:bidi="ar-SA"/>
              </w:rPr>
              <w:t>30</w:t>
            </w:r>
            <w:r>
              <w:rPr>
                <w:rFonts w:hint="eastAsia" w:ascii="微软雅黑" w:hAnsi="微软雅黑" w:eastAsia="微软雅黑" w:cs="微软雅黑"/>
                <w:sz w:val="24"/>
                <w:u w:val="single"/>
                <w:lang w:val="en-US" w:bidi="ar-SA"/>
              </w:rPr>
              <w:t>分前</w:t>
            </w:r>
          </w:p>
          <w:p>
            <w:pPr>
              <w:pStyle w:val="223"/>
              <w:tabs>
                <w:tab w:val="left" w:pos="529"/>
              </w:tabs>
              <w:spacing w:before="2" w:line="312" w:lineRule="auto"/>
              <w:ind w:left="108" w:right="82"/>
              <w:rPr>
                <w:rFonts w:eastAsia="微软雅黑"/>
                <w:b/>
                <w:sz w:val="24"/>
                <w:lang w:val="en-US"/>
              </w:rPr>
            </w:pPr>
            <w:r>
              <w:rPr>
                <w:rFonts w:hint="eastAsia" w:eastAsia="微软雅黑" w:cs="Times New Roman"/>
                <w:sz w:val="24"/>
                <w:lang w:val="en-US" w:bidi="ar-SA"/>
              </w:rPr>
              <w:t>地点：</w:t>
            </w:r>
            <w:r>
              <w:rPr>
                <w:rFonts w:hint="eastAsia" w:eastAsia="微软雅黑"/>
                <w:color w:val="000000" w:themeColor="text1"/>
                <w:kern w:val="0"/>
                <w:sz w:val="24"/>
                <w:u w:val="single"/>
              </w:rPr>
              <w:t>湖州市吴兴区公共资源交易中心（湖州市吴兴区区府路1188号总部自由港E幢4楼）40</w:t>
            </w:r>
            <w:r>
              <w:rPr>
                <w:rFonts w:hint="eastAsia" w:eastAsia="微软雅黑"/>
                <w:color w:val="000000" w:themeColor="text1"/>
                <w:kern w:val="0"/>
                <w:sz w:val="24"/>
                <w:u w:val="single"/>
                <w:lang w:val="en-US" w:eastAsia="zh-CN"/>
              </w:rPr>
              <w:t>4</w:t>
            </w:r>
            <w:r>
              <w:rPr>
                <w:rFonts w:hint="eastAsia" w:eastAsia="微软雅黑"/>
                <w:color w:val="000000" w:themeColor="text1"/>
                <w:kern w:val="0"/>
                <w:sz w:val="24"/>
                <w:u w:val="single"/>
              </w:rPr>
              <w:t>开标室</w:t>
            </w:r>
            <w:r>
              <w:rPr>
                <w:rFonts w:hint="eastAsia" w:eastAsia="微软雅黑" w:cs="Times New Roman"/>
                <w:sz w:val="24"/>
                <w:u w:val="single"/>
                <w:lang w:val="en-US"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41"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7</w:t>
            </w:r>
          </w:p>
        </w:tc>
        <w:tc>
          <w:tcPr>
            <w:tcW w:w="8960" w:type="dxa"/>
            <w:vAlign w:val="center"/>
          </w:tcPr>
          <w:p>
            <w:pPr>
              <w:snapToGrid w:val="0"/>
              <w:spacing w:line="276" w:lineRule="auto"/>
              <w:rPr>
                <w:rFonts w:ascii="宋体"/>
                <w:sz w:val="24"/>
              </w:rPr>
            </w:pPr>
            <w:r>
              <w:rPr>
                <w:rFonts w:hint="eastAsia" w:ascii="宋体" w:hAnsi="宋体"/>
                <w:sz w:val="24"/>
              </w:rPr>
              <w:t>开标时间：</w:t>
            </w:r>
            <w:r>
              <w:rPr>
                <w:rFonts w:hint="eastAsia" w:ascii="微软雅黑" w:hAnsi="微软雅黑" w:eastAsia="微软雅黑" w:cs="微软雅黑"/>
                <w:sz w:val="24"/>
                <w:u w:val="single"/>
                <w:lang w:val="en-US" w:bidi="ar-SA"/>
              </w:rPr>
              <w:t>2020 年</w:t>
            </w:r>
            <w:r>
              <w:rPr>
                <w:rFonts w:hint="eastAsia" w:ascii="微软雅黑" w:hAnsi="微软雅黑" w:eastAsia="微软雅黑" w:cs="微软雅黑"/>
                <w:sz w:val="24"/>
                <w:u w:val="single"/>
                <w:lang w:val="en-US" w:eastAsia="zh-CN" w:bidi="ar-SA"/>
              </w:rPr>
              <w:t>8</w:t>
            </w:r>
            <w:r>
              <w:rPr>
                <w:rFonts w:hint="eastAsia" w:ascii="微软雅黑" w:hAnsi="微软雅黑" w:eastAsia="微软雅黑" w:cs="微软雅黑"/>
                <w:sz w:val="24"/>
                <w:u w:val="single"/>
                <w:lang w:val="en-US" w:bidi="ar-SA"/>
              </w:rPr>
              <w:t>月</w:t>
            </w:r>
            <w:r>
              <w:rPr>
                <w:rFonts w:hint="eastAsia" w:ascii="微软雅黑" w:hAnsi="微软雅黑" w:eastAsia="微软雅黑" w:cs="微软雅黑"/>
                <w:sz w:val="24"/>
                <w:u w:val="single"/>
                <w:lang w:val="en-US" w:eastAsia="zh-CN" w:bidi="ar-SA"/>
              </w:rPr>
              <w:t>18</w:t>
            </w:r>
            <w:r>
              <w:rPr>
                <w:rFonts w:hint="eastAsia" w:ascii="微软雅黑" w:hAnsi="微软雅黑" w:eastAsia="微软雅黑" w:cs="微软雅黑"/>
                <w:sz w:val="24"/>
                <w:u w:val="single"/>
                <w:lang w:val="en-US" w:bidi="ar-SA"/>
              </w:rPr>
              <w:t>日</w:t>
            </w:r>
            <w:r>
              <w:rPr>
                <w:rFonts w:hint="eastAsia" w:ascii="微软雅黑" w:hAnsi="微软雅黑" w:eastAsia="微软雅黑" w:cs="微软雅黑"/>
                <w:sz w:val="24"/>
                <w:u w:val="single"/>
                <w:lang w:val="en-US" w:eastAsia="zh-CN" w:bidi="ar-SA"/>
              </w:rPr>
              <w:t>10</w:t>
            </w:r>
            <w:r>
              <w:rPr>
                <w:rFonts w:hint="eastAsia" w:ascii="微软雅黑" w:hAnsi="微软雅黑" w:eastAsia="微软雅黑" w:cs="微软雅黑"/>
                <w:sz w:val="24"/>
                <w:u w:val="single"/>
                <w:lang w:val="en-US" w:bidi="ar-SA"/>
              </w:rPr>
              <w:t>时</w:t>
            </w:r>
            <w:r>
              <w:rPr>
                <w:rFonts w:hint="eastAsia" w:ascii="微软雅黑" w:hAnsi="微软雅黑" w:eastAsia="微软雅黑" w:cs="微软雅黑"/>
                <w:sz w:val="24"/>
                <w:u w:val="single"/>
                <w:lang w:val="en-US" w:eastAsia="zh-CN" w:bidi="ar-SA"/>
              </w:rPr>
              <w:t>30</w:t>
            </w:r>
            <w:r>
              <w:rPr>
                <w:rFonts w:hint="eastAsia" w:ascii="微软雅黑" w:hAnsi="微软雅黑" w:eastAsia="微软雅黑" w:cs="微软雅黑"/>
                <w:sz w:val="24"/>
                <w:u w:val="single"/>
                <w:lang w:val="en-US" w:bidi="ar-SA"/>
              </w:rPr>
              <w:t>分</w:t>
            </w:r>
            <w:r>
              <w:rPr>
                <w:rFonts w:hint="eastAsia" w:ascii="宋体"/>
                <w:sz w:val="24"/>
              </w:rPr>
              <w:t>整，逾期作自动放弃；</w:t>
            </w:r>
          </w:p>
          <w:p>
            <w:pPr>
              <w:autoSpaceDE w:val="0"/>
              <w:autoSpaceDN w:val="0"/>
              <w:snapToGrid w:val="0"/>
              <w:spacing w:line="276" w:lineRule="auto"/>
              <w:textAlignment w:val="bottom"/>
              <w:rPr>
                <w:rFonts w:ascii="宋体" w:hAnsi="宋体" w:cs="Arial"/>
                <w:sz w:val="24"/>
              </w:rPr>
            </w:pPr>
            <w:r>
              <w:rPr>
                <w:rFonts w:hint="eastAsia" w:ascii="宋体"/>
                <w:sz w:val="24"/>
              </w:rPr>
              <w:t>地点：</w:t>
            </w:r>
            <w:r>
              <w:rPr>
                <w:rFonts w:hint="eastAsia" w:ascii="宋体" w:hAnsi="宋体" w:cs="宋体"/>
                <w:color w:val="000000" w:themeColor="text1"/>
                <w:kern w:val="0"/>
                <w:sz w:val="24"/>
                <w:u w:val="single"/>
              </w:rPr>
              <w:t>湖州市吴兴区公共资源交易中心（湖州市吴兴区区府路1188号总部自由港E幢4楼）</w:t>
            </w:r>
            <w:r>
              <w:rPr>
                <w:rFonts w:hint="eastAsia" w:ascii="宋体" w:hAnsi="宋体" w:cs="宋体"/>
                <w:color w:val="000000" w:themeColor="text1"/>
                <w:kern w:val="0"/>
                <w:sz w:val="24"/>
                <w:u w:val="single"/>
                <w:lang w:val="en-US" w:eastAsia="zh-CN"/>
              </w:rPr>
              <w:t>404</w:t>
            </w:r>
            <w:r>
              <w:rPr>
                <w:rFonts w:hint="eastAsia" w:ascii="宋体" w:hAnsi="宋体" w:cs="宋体"/>
                <w:color w:val="000000" w:themeColor="text1"/>
                <w:kern w:val="0"/>
                <w:sz w:val="24"/>
                <w:u w:val="single"/>
              </w:rPr>
              <w:t>开标室</w:t>
            </w:r>
            <w:r>
              <w:rPr>
                <w:rFonts w:hint="eastAsia" w:ascii="宋体" w:hAnsi="宋体" w:cs="Arial"/>
                <w:sz w:val="24"/>
                <w:u w:val="single"/>
              </w:rPr>
              <w:t>。</w:t>
            </w:r>
          </w:p>
          <w:p>
            <w:pPr>
              <w:autoSpaceDE w:val="0"/>
              <w:autoSpaceDN w:val="0"/>
              <w:snapToGrid w:val="0"/>
              <w:spacing w:line="276" w:lineRule="auto"/>
              <w:textAlignment w:val="bottom"/>
              <w:rPr>
                <w:rFonts w:ascii="宋体" w:hAnsi="宋体"/>
                <w:sz w:val="24"/>
              </w:rPr>
            </w:pPr>
            <w:r>
              <w:rPr>
                <w:rFonts w:hint="eastAsia" w:ascii="宋体" w:hAnsi="宋体"/>
                <w:sz w:val="24"/>
              </w:rPr>
              <w:t xml:space="preserve">1．投标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放弃投标资格，作无效标处理。 </w:t>
            </w:r>
          </w:p>
          <w:p>
            <w:pPr>
              <w:spacing w:line="276" w:lineRule="auto"/>
              <w:rPr>
                <w:rFonts w:ascii="宋体" w:hAnsi="宋体"/>
                <w:sz w:val="24"/>
              </w:rPr>
            </w:pPr>
            <w:r>
              <w:rPr>
                <w:rFonts w:hint="eastAsia" w:ascii="宋体" w:hAnsi="宋体"/>
                <w:sz w:val="24"/>
              </w:rPr>
              <w:t>2. 电子加密投标文件的解密和异常情况处理：</w:t>
            </w:r>
          </w:p>
          <w:p>
            <w:pPr>
              <w:spacing w:line="276" w:lineRule="auto"/>
              <w:rPr>
                <w:rFonts w:ascii="宋体" w:hAnsi="宋体"/>
                <w:sz w:val="24"/>
              </w:rPr>
            </w:pPr>
            <w:r>
              <w:rPr>
                <w:rFonts w:hint="eastAsia" w:ascii="宋体" w:hAnsi="宋体"/>
                <w:sz w:val="24"/>
              </w:rPr>
              <w:t>（1）开标后，采购组织机构将向各投标供应商发出“电子加密投标文件”的解密通知，各投标供应商代表应当在接到解密通知后30分钟内自行完成“电子加密投标文件”的在线解密。</w:t>
            </w:r>
          </w:p>
          <w:p>
            <w:pPr>
              <w:spacing w:line="276" w:lineRule="auto"/>
              <w:rPr>
                <w:rFonts w:ascii="宋体" w:hAnsi="宋体"/>
                <w:sz w:val="24"/>
              </w:rPr>
            </w:pPr>
            <w:r>
              <w:rPr>
                <w:rFonts w:hint="eastAsia" w:ascii="宋体" w:hAnsi="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223"/>
              <w:tabs>
                <w:tab w:val="left" w:pos="529"/>
              </w:tabs>
              <w:spacing w:before="94"/>
              <w:jc w:val="left"/>
              <w:rPr>
                <w:sz w:val="24"/>
              </w:rPr>
            </w:pPr>
            <w:r>
              <w:rPr>
                <w:rFonts w:hint="eastAsia" w:eastAsia="微软雅黑" w:cs="Times New Roman"/>
                <w:sz w:val="24"/>
                <w:lang w:val="en-US" w:bidi="ar-SA"/>
              </w:rPr>
              <w:t>（3）投标截止时间前，投标供应商仅递交了“备份投标文件”而未将电子加密投标文件上传至“政府采购云平台”的，投标无效。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8</w:t>
            </w:r>
          </w:p>
        </w:tc>
        <w:tc>
          <w:tcPr>
            <w:tcW w:w="8960"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8"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9</w:t>
            </w:r>
          </w:p>
        </w:tc>
        <w:tc>
          <w:tcPr>
            <w:tcW w:w="8960"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ascii="宋体" w:hAnsi="宋体" w:cs="Arial"/>
                <w:sz w:val="24"/>
              </w:rPr>
            </w:pPr>
            <w:r>
              <w:rPr>
                <w:rFonts w:hint="eastAsia" w:ascii="宋体" w:hAnsi="宋体" w:cs="Arial"/>
                <w:sz w:val="24"/>
              </w:rPr>
              <w:t>浙江政府采购网（http://zfcg.czt.zj.gov.cn/）</w:t>
            </w:r>
          </w:p>
          <w:p>
            <w:pPr>
              <w:autoSpaceDE w:val="0"/>
              <w:autoSpaceDN w:val="0"/>
              <w:adjustRightInd w:val="0"/>
              <w:snapToGrid w:val="0"/>
              <w:spacing w:line="400" w:lineRule="exact"/>
              <w:textAlignment w:val="bottom"/>
              <w:rPr>
                <w:rFonts w:ascii="宋体" w:hAnsi="宋体"/>
                <w:sz w:val="24"/>
              </w:rPr>
            </w:pPr>
            <w:r>
              <w:rPr>
                <w:rFonts w:hint="eastAsia" w:ascii="宋体" w:hAnsi="宋体" w:cs="宋体"/>
                <w:kern w:val="0"/>
                <w:sz w:val="24"/>
              </w:rPr>
              <w:t>吴兴区公共资源交易中心（</w:t>
            </w:r>
            <w:r>
              <w:fldChar w:fldCharType="begin"/>
            </w:r>
            <w:r>
              <w:instrText xml:space="preserve"> HYPERLINK "http://ggzy.wuxing.gov.cn/" </w:instrText>
            </w:r>
            <w:r>
              <w:fldChar w:fldCharType="separate"/>
            </w:r>
            <w:r>
              <w:rPr>
                <w:rStyle w:val="71"/>
                <w:rFonts w:hint="eastAsia" w:ascii="宋体" w:hAnsi="宋体" w:cs="宋体"/>
                <w:kern w:val="0"/>
                <w:sz w:val="24"/>
              </w:rPr>
              <w:t>http://ggzy.wuxing.gov.cn/</w:t>
            </w:r>
            <w:r>
              <w:rPr>
                <w:rStyle w:val="71"/>
                <w:rFonts w:hint="eastAsia" w:ascii="宋体" w:hAnsi="宋体" w:cs="宋体"/>
                <w:kern w:val="0"/>
                <w:sz w:val="24"/>
              </w:rPr>
              <w:fldChar w:fldCharType="end"/>
            </w:r>
            <w:r>
              <w:rPr>
                <w:rFonts w:hint="eastAsia" w:ascii="宋体" w:hAnsi="宋体"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10</w:t>
            </w:r>
          </w:p>
        </w:tc>
        <w:tc>
          <w:tcPr>
            <w:tcW w:w="8960"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11</w:t>
            </w:r>
          </w:p>
        </w:tc>
        <w:tc>
          <w:tcPr>
            <w:tcW w:w="8960"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采购资金来源：预算资金。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12</w:t>
            </w:r>
          </w:p>
        </w:tc>
        <w:tc>
          <w:tcPr>
            <w:tcW w:w="8960" w:type="dxa"/>
            <w:vAlign w:val="center"/>
          </w:tcPr>
          <w:p>
            <w:pPr>
              <w:adjustRightInd w:val="0"/>
              <w:snapToGrid w:val="0"/>
              <w:spacing w:line="400" w:lineRule="exact"/>
              <w:rPr>
                <w:rFonts w:ascii="宋体" w:hAnsi="宋体"/>
                <w:sz w:val="24"/>
              </w:rPr>
            </w:pPr>
            <w:r>
              <w:rPr>
                <w:rFonts w:hint="eastAsia" w:ascii="宋体" w:hAnsi="宋体"/>
                <w:sz w:val="24"/>
              </w:rPr>
              <w:t>投标文件有效期：</w:t>
            </w:r>
            <w:r>
              <w:rPr>
                <w:rFonts w:hint="eastAsia" w:ascii="宋体" w:hAnsi="宋体" w:cs="Arial"/>
                <w:sz w:val="24"/>
                <w:u w:val="single"/>
              </w:rPr>
              <w:t>90</w:t>
            </w:r>
            <w:r>
              <w:rPr>
                <w:rFonts w:hint="eastAsia" w:ascii="宋体" w:hAnsi="宋体" w:cs="Arial"/>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959" w:type="dxa"/>
            <w:vAlign w:val="center"/>
          </w:tcPr>
          <w:p>
            <w:pPr>
              <w:adjustRightInd w:val="0"/>
              <w:snapToGrid w:val="0"/>
              <w:spacing w:line="400" w:lineRule="exact"/>
              <w:jc w:val="center"/>
              <w:rPr>
                <w:rFonts w:ascii="宋体" w:hAnsi="宋体"/>
                <w:sz w:val="24"/>
              </w:rPr>
            </w:pPr>
            <w:r>
              <w:rPr>
                <w:rFonts w:hint="eastAsia" w:ascii="宋体" w:hAnsi="宋体"/>
                <w:sz w:val="24"/>
              </w:rPr>
              <w:t>13</w:t>
            </w:r>
          </w:p>
        </w:tc>
        <w:tc>
          <w:tcPr>
            <w:tcW w:w="8960" w:type="dxa"/>
            <w:vAlign w:val="center"/>
          </w:tcPr>
          <w:p>
            <w:pPr>
              <w:adjustRightInd w:val="0"/>
              <w:snapToGrid w:val="0"/>
              <w:spacing w:line="400" w:lineRule="exact"/>
              <w:rPr>
                <w:rFonts w:ascii="宋体" w:hAnsi="宋体"/>
                <w:sz w:val="24"/>
              </w:rPr>
            </w:pPr>
            <w:r>
              <w:rPr>
                <w:rFonts w:hint="eastAsia" w:ascii="宋体" w:hAnsi="宋体"/>
                <w:sz w:val="24"/>
              </w:rPr>
              <w:t>解释：本招标文件的解释权属于招标采购单位。</w:t>
            </w:r>
          </w:p>
        </w:tc>
      </w:tr>
    </w:tbl>
    <w:p>
      <w:pPr>
        <w:spacing w:line="400" w:lineRule="exact"/>
        <w:outlineLvl w:val="1"/>
        <w:rPr>
          <w:rFonts w:ascii="宋体" w:hAnsi="宋体"/>
          <w:b/>
          <w:bCs/>
          <w:sz w:val="24"/>
        </w:rPr>
      </w:pPr>
      <w:bookmarkStart w:id="120" w:name="_Toc424544533"/>
      <w:bookmarkStart w:id="121" w:name="_Toc177870536"/>
      <w:bookmarkStart w:id="122" w:name="_Toc293917017"/>
      <w:bookmarkStart w:id="123" w:name="_Toc293916353"/>
      <w:bookmarkStart w:id="124" w:name="_Toc293916871"/>
      <w:bookmarkStart w:id="125" w:name="_Toc293916002"/>
      <w:bookmarkStart w:id="126" w:name="_Toc424544812"/>
    </w:p>
    <w:p>
      <w:pPr>
        <w:spacing w:line="400" w:lineRule="exact"/>
        <w:outlineLvl w:val="1"/>
        <w:rPr>
          <w:rFonts w:ascii="宋体" w:hAnsi="宋体"/>
          <w:b/>
          <w:bCs/>
          <w:sz w:val="24"/>
        </w:rPr>
      </w:pPr>
      <w:bookmarkStart w:id="127" w:name="_Toc21985"/>
      <w:r>
        <w:rPr>
          <w:rFonts w:hint="eastAsia" w:ascii="宋体" w:hAnsi="宋体"/>
          <w:b/>
          <w:bCs/>
          <w:sz w:val="24"/>
        </w:rPr>
        <w:t>一、总  则</w:t>
      </w:r>
      <w:bookmarkEnd w:id="120"/>
      <w:bookmarkEnd w:id="121"/>
      <w:bookmarkEnd w:id="122"/>
      <w:bookmarkEnd w:id="123"/>
      <w:bookmarkEnd w:id="124"/>
      <w:bookmarkEnd w:id="125"/>
      <w:bookmarkEnd w:id="126"/>
      <w:bookmarkEnd w:id="127"/>
    </w:p>
    <w:p>
      <w:pPr>
        <w:adjustRightInd w:val="0"/>
        <w:snapToGrid w:val="0"/>
        <w:spacing w:line="400" w:lineRule="exact"/>
        <w:jc w:val="left"/>
        <w:rPr>
          <w:rFonts w:ascii="宋体" w:hAnsi="宋体"/>
          <w:b/>
          <w:sz w:val="24"/>
        </w:rPr>
      </w:pPr>
      <w:bookmarkStart w:id="128" w:name="_Toc293916354"/>
      <w:bookmarkStart w:id="129" w:name="_Toc293916003"/>
      <w:bookmarkStart w:id="130" w:name="_Toc177824872"/>
      <w:bookmarkStart w:id="131" w:name="_Toc177870537"/>
      <w:bookmarkStart w:id="132" w:name="_Toc177825120"/>
      <w:bookmarkStart w:id="133" w:name="_Toc177824939"/>
      <w:r>
        <w:rPr>
          <w:rFonts w:hint="eastAsia" w:ascii="宋体" w:hAnsi="宋体"/>
          <w:b/>
          <w:sz w:val="24"/>
        </w:rPr>
        <w:t>（一）适用范围</w:t>
      </w:r>
      <w:bookmarkEnd w:id="128"/>
      <w:bookmarkEnd w:id="129"/>
      <w:bookmarkEnd w:id="130"/>
      <w:bookmarkEnd w:id="131"/>
      <w:bookmarkEnd w:id="132"/>
      <w:bookmarkEnd w:id="133"/>
    </w:p>
    <w:p>
      <w:pPr>
        <w:adjustRightInd w:val="0"/>
        <w:snapToGrid w:val="0"/>
        <w:spacing w:line="400" w:lineRule="exact"/>
        <w:ind w:firstLine="480" w:firstLineChars="200"/>
        <w:jc w:val="left"/>
        <w:rPr>
          <w:rFonts w:ascii="宋体" w:hAnsi="宋体"/>
          <w:sz w:val="24"/>
        </w:rPr>
      </w:pPr>
      <w:r>
        <w:rPr>
          <w:rFonts w:hint="eastAsia" w:ascii="宋体" w:hAnsi="宋体"/>
          <w:sz w:val="24"/>
        </w:rPr>
        <w:t>本招标文件适用于</w:t>
      </w:r>
      <w:r>
        <w:rPr>
          <w:rFonts w:hint="eastAsia" w:ascii="宋体" w:hAnsi="宋体"/>
          <w:b/>
          <w:bCs/>
          <w:sz w:val="24"/>
          <w:u w:val="single"/>
        </w:rPr>
        <w:t>湖州市吴兴区（含南太湖新区）门牌数据信息采集项目</w:t>
      </w:r>
      <w:r>
        <w:rPr>
          <w:rFonts w:hint="eastAsia" w:ascii="宋体" w:hAnsi="宋体"/>
          <w:sz w:val="24"/>
        </w:rPr>
        <w:t>的招标、评标、定标、验收、合同履约、付款等（法律、法规另有规定的，从其规定）。</w:t>
      </w:r>
    </w:p>
    <w:p>
      <w:pPr>
        <w:adjustRightInd w:val="0"/>
        <w:snapToGrid w:val="0"/>
        <w:spacing w:line="400" w:lineRule="exact"/>
        <w:jc w:val="left"/>
        <w:rPr>
          <w:rFonts w:ascii="宋体" w:hAnsi="宋体"/>
          <w:b/>
          <w:sz w:val="24"/>
        </w:rPr>
      </w:pPr>
      <w:bookmarkStart w:id="134" w:name="_Toc293916355"/>
      <w:bookmarkStart w:id="135" w:name="_Toc177825121"/>
      <w:bookmarkStart w:id="136" w:name="_Toc177824940"/>
      <w:bookmarkStart w:id="137" w:name="_Toc177824873"/>
      <w:bookmarkStart w:id="138" w:name="_Toc177870538"/>
      <w:bookmarkStart w:id="139" w:name="_Toc293916004"/>
      <w:r>
        <w:rPr>
          <w:rFonts w:hint="eastAsia" w:ascii="宋体" w:hAnsi="宋体"/>
          <w:b/>
          <w:sz w:val="24"/>
        </w:rPr>
        <w:t>（二）定义</w:t>
      </w:r>
      <w:bookmarkEnd w:id="134"/>
      <w:bookmarkEnd w:id="135"/>
      <w:bookmarkEnd w:id="136"/>
      <w:bookmarkEnd w:id="137"/>
      <w:bookmarkEnd w:id="138"/>
      <w:bookmarkEnd w:id="139"/>
    </w:p>
    <w:p>
      <w:pPr>
        <w:adjustRightInd w:val="0"/>
        <w:snapToGrid w:val="0"/>
        <w:spacing w:line="400" w:lineRule="exact"/>
        <w:ind w:firstLine="480" w:firstLineChars="200"/>
        <w:jc w:val="left"/>
        <w:rPr>
          <w:rFonts w:ascii="宋体" w:hAnsi="宋体"/>
          <w:sz w:val="24"/>
        </w:rPr>
      </w:pPr>
      <w:bookmarkStart w:id="140" w:name="_Toc293916005"/>
      <w:bookmarkStart w:id="141" w:name="_Toc293916356"/>
      <w:bookmarkStart w:id="142" w:name="_Toc177870539"/>
      <w:bookmarkStart w:id="143" w:name="_Toc293916363"/>
      <w:bookmarkStart w:id="144" w:name="_Toc293916012"/>
      <w:r>
        <w:rPr>
          <w:rFonts w:hint="eastAsia" w:ascii="宋体" w:hAnsi="宋体"/>
          <w:sz w:val="24"/>
        </w:rPr>
        <w:t>1、</w:t>
      </w:r>
      <w:bookmarkEnd w:id="140"/>
      <w:bookmarkEnd w:id="141"/>
      <w:r>
        <w:rPr>
          <w:rFonts w:hint="eastAsia" w:ascii="宋体" w:hAnsi="宋体"/>
          <w:sz w:val="24"/>
        </w:rPr>
        <w:t>“采购人”系指</w:t>
      </w:r>
      <w:r>
        <w:rPr>
          <w:rFonts w:hint="eastAsia" w:ascii="宋体" w:hAnsi="宋体"/>
          <w:b/>
          <w:bCs/>
          <w:sz w:val="24"/>
          <w:u w:val="single"/>
        </w:rPr>
        <w:t xml:space="preserve">湖州市吴兴区民政局、湖州南太湖新区社会发展服务中心 </w:t>
      </w:r>
      <w:r>
        <w:rPr>
          <w:rFonts w:hint="eastAsia" w:ascii="宋体" w:hAnsi="宋体"/>
          <w:sz w:val="24"/>
        </w:rPr>
        <w:t>。</w:t>
      </w:r>
    </w:p>
    <w:p>
      <w:pPr>
        <w:adjustRightInd w:val="0"/>
        <w:snapToGrid w:val="0"/>
        <w:spacing w:line="400" w:lineRule="exact"/>
        <w:ind w:firstLine="480" w:firstLineChars="200"/>
        <w:jc w:val="left"/>
        <w:rPr>
          <w:rFonts w:ascii="宋体" w:hAnsi="宋体"/>
          <w:sz w:val="24"/>
        </w:rPr>
      </w:pPr>
      <w:r>
        <w:rPr>
          <w:rFonts w:hint="eastAsia" w:ascii="宋体" w:hAnsi="宋体"/>
          <w:bCs/>
          <w:sz w:val="24"/>
        </w:rPr>
        <w:t>2、“采购代理机构”系指</w:t>
      </w:r>
      <w:r>
        <w:rPr>
          <w:rFonts w:hint="eastAsia" w:ascii="宋体" w:hAnsi="宋体"/>
          <w:b/>
          <w:sz w:val="24"/>
          <w:u w:val="single"/>
        </w:rPr>
        <w:t>浙江中合工程管理有限公司</w:t>
      </w:r>
      <w:r>
        <w:rPr>
          <w:rFonts w:hint="eastAsia" w:ascii="宋体" w:hAnsi="宋体"/>
          <w:bCs/>
          <w:sz w:val="24"/>
        </w:rPr>
        <w:t>。</w:t>
      </w:r>
    </w:p>
    <w:p>
      <w:pPr>
        <w:adjustRightInd w:val="0"/>
        <w:snapToGrid w:val="0"/>
        <w:spacing w:line="400" w:lineRule="exact"/>
        <w:ind w:firstLine="480" w:firstLineChars="200"/>
        <w:jc w:val="left"/>
        <w:rPr>
          <w:rFonts w:ascii="宋体" w:hAnsi="宋体"/>
          <w:b/>
          <w:sz w:val="24"/>
        </w:rPr>
      </w:pPr>
      <w:r>
        <w:rPr>
          <w:rFonts w:hint="eastAsia" w:ascii="宋体" w:hAnsi="宋体"/>
          <w:sz w:val="24"/>
        </w:rPr>
        <w:t>3、“投标人”系指向采购人、采购代理机构提交投标文件的单位。</w:t>
      </w:r>
    </w:p>
    <w:p>
      <w:pPr>
        <w:adjustRightInd w:val="0"/>
        <w:snapToGrid w:val="0"/>
        <w:spacing w:line="400" w:lineRule="exact"/>
        <w:ind w:firstLine="480" w:firstLineChars="200"/>
        <w:jc w:val="left"/>
        <w:rPr>
          <w:rFonts w:ascii="宋体" w:hAnsi="宋体"/>
          <w:b/>
          <w:sz w:val="24"/>
        </w:rPr>
      </w:pPr>
      <w:bookmarkStart w:id="145" w:name="_Toc293916006"/>
      <w:bookmarkStart w:id="146" w:name="_Toc293916357"/>
      <w:r>
        <w:rPr>
          <w:rFonts w:hint="eastAsia" w:ascii="宋体" w:hAnsi="宋体"/>
          <w:sz w:val="24"/>
        </w:rPr>
        <w:t>4、</w:t>
      </w:r>
      <w:bookmarkEnd w:id="145"/>
      <w:bookmarkEnd w:id="146"/>
      <w:r>
        <w:rPr>
          <w:rFonts w:ascii="宋体" w:hAnsi="宋体"/>
          <w:sz w:val="24"/>
        </w:rPr>
        <w:t>“产品”系指供方按招标文件规定，须向采购人提供的一切设备、保险、税金、备品备件、工具、手册及其它有关技术资料和材料。</w:t>
      </w:r>
    </w:p>
    <w:p>
      <w:pPr>
        <w:adjustRightInd w:val="0"/>
        <w:snapToGrid w:val="0"/>
        <w:spacing w:line="400" w:lineRule="exact"/>
        <w:ind w:firstLine="480" w:firstLineChars="200"/>
        <w:jc w:val="left"/>
        <w:rPr>
          <w:rFonts w:ascii="宋体" w:hAnsi="宋体"/>
          <w:b/>
          <w:sz w:val="24"/>
        </w:rPr>
      </w:pPr>
      <w:bookmarkStart w:id="147" w:name="_Toc293916007"/>
      <w:bookmarkStart w:id="148" w:name="_Toc293916358"/>
      <w:r>
        <w:rPr>
          <w:rFonts w:hint="eastAsia" w:ascii="宋体" w:hAnsi="宋体"/>
          <w:sz w:val="24"/>
        </w:rPr>
        <w:t>5</w:t>
      </w:r>
      <w:r>
        <w:rPr>
          <w:rFonts w:ascii="宋体" w:hAnsi="宋体"/>
          <w:sz w:val="24"/>
        </w:rPr>
        <w:t>、</w:t>
      </w:r>
      <w:bookmarkEnd w:id="147"/>
      <w:bookmarkEnd w:id="148"/>
      <w:bookmarkStart w:id="149" w:name="_Toc293916359"/>
      <w:bookmarkStart w:id="150" w:name="_Toc293916008"/>
      <w:r>
        <w:rPr>
          <w:rFonts w:ascii="宋体" w:hAnsi="宋体"/>
          <w:sz w:val="24"/>
        </w:rPr>
        <w:t>“服务”系指招标文件规定投标人须承担的安装、调试、技术协助、校准、培训、技术指导以及其他类似的义务。</w:t>
      </w:r>
      <w:bookmarkEnd w:id="149"/>
      <w:bookmarkEnd w:id="150"/>
    </w:p>
    <w:p>
      <w:pPr>
        <w:adjustRightInd w:val="0"/>
        <w:snapToGrid w:val="0"/>
        <w:spacing w:line="400" w:lineRule="exact"/>
        <w:ind w:firstLine="480" w:firstLineChars="200"/>
        <w:jc w:val="left"/>
        <w:rPr>
          <w:rFonts w:ascii="宋体" w:hAnsi="宋体"/>
          <w:b/>
          <w:sz w:val="24"/>
        </w:rPr>
      </w:pPr>
      <w:bookmarkStart w:id="151" w:name="_Toc293916009"/>
      <w:bookmarkStart w:id="152" w:name="_Toc293916360"/>
      <w:r>
        <w:rPr>
          <w:rFonts w:hint="eastAsia" w:ascii="宋体" w:hAnsi="宋体"/>
          <w:sz w:val="24"/>
        </w:rPr>
        <w:t>6</w:t>
      </w:r>
      <w:r>
        <w:rPr>
          <w:rFonts w:ascii="宋体" w:hAnsi="宋体"/>
          <w:sz w:val="24"/>
        </w:rPr>
        <w:t>、“项目”系指投标人按招标文件规定向采购人提供的产品和服务。</w:t>
      </w:r>
      <w:bookmarkEnd w:id="151"/>
      <w:bookmarkEnd w:id="152"/>
    </w:p>
    <w:p>
      <w:pPr>
        <w:adjustRightInd w:val="0"/>
        <w:snapToGrid w:val="0"/>
        <w:spacing w:line="400" w:lineRule="exact"/>
        <w:ind w:firstLine="480" w:firstLineChars="200"/>
        <w:jc w:val="left"/>
        <w:rPr>
          <w:rFonts w:ascii="宋体" w:hAnsi="宋体"/>
          <w:b/>
          <w:sz w:val="24"/>
        </w:rPr>
      </w:pPr>
      <w:bookmarkStart w:id="153" w:name="_Toc293916361"/>
      <w:bookmarkStart w:id="154" w:name="_Toc293916010"/>
      <w:r>
        <w:rPr>
          <w:rFonts w:hint="eastAsia" w:ascii="宋体" w:hAnsi="宋体"/>
          <w:sz w:val="24"/>
        </w:rPr>
        <w:t>7、“书面形式”包括信函、传真、电子文档等。</w:t>
      </w:r>
      <w:bookmarkEnd w:id="153"/>
      <w:bookmarkEnd w:id="154"/>
    </w:p>
    <w:p>
      <w:pPr>
        <w:adjustRightInd w:val="0"/>
        <w:snapToGrid w:val="0"/>
        <w:spacing w:line="400" w:lineRule="exact"/>
        <w:ind w:firstLine="480" w:firstLineChars="200"/>
        <w:jc w:val="left"/>
        <w:rPr>
          <w:rFonts w:ascii="宋体" w:hAnsi="宋体"/>
          <w:b/>
          <w:sz w:val="24"/>
        </w:rPr>
      </w:pPr>
      <w:bookmarkStart w:id="155" w:name="_Toc293916011"/>
      <w:bookmarkStart w:id="156" w:name="_Toc293916362"/>
      <w:r>
        <w:rPr>
          <w:rFonts w:hint="eastAsia" w:ascii="宋体" w:hAnsi="宋体"/>
          <w:sz w:val="24"/>
        </w:rPr>
        <w:t>8、“▲”系指实质性要求条款。</w:t>
      </w:r>
      <w:bookmarkEnd w:id="155"/>
      <w:bookmarkEnd w:id="156"/>
    </w:p>
    <w:p>
      <w:pPr>
        <w:adjustRightInd w:val="0"/>
        <w:snapToGrid w:val="0"/>
        <w:spacing w:line="400" w:lineRule="exact"/>
        <w:jc w:val="left"/>
        <w:rPr>
          <w:rFonts w:ascii="宋体" w:hAnsi="宋体"/>
          <w:b/>
          <w:sz w:val="24"/>
        </w:rPr>
      </w:pPr>
      <w:r>
        <w:rPr>
          <w:rFonts w:hint="eastAsia" w:ascii="宋体" w:hAnsi="宋体"/>
          <w:b/>
          <w:sz w:val="24"/>
        </w:rPr>
        <w:t>（三）招标方式</w:t>
      </w:r>
      <w:bookmarkEnd w:id="142"/>
      <w:r>
        <w:rPr>
          <w:rFonts w:hint="eastAsia" w:ascii="宋体" w:hAnsi="宋体"/>
          <w:b/>
          <w:sz w:val="24"/>
        </w:rPr>
        <w:t>：</w:t>
      </w:r>
      <w:bookmarkEnd w:id="143"/>
      <w:bookmarkEnd w:id="144"/>
    </w:p>
    <w:p>
      <w:pPr>
        <w:adjustRightInd w:val="0"/>
        <w:snapToGrid w:val="0"/>
        <w:spacing w:line="400" w:lineRule="exact"/>
        <w:ind w:firstLine="480" w:firstLineChars="200"/>
        <w:jc w:val="left"/>
        <w:rPr>
          <w:rFonts w:ascii="宋体" w:hAnsi="宋体"/>
          <w:sz w:val="24"/>
        </w:rPr>
      </w:pPr>
      <w:r>
        <w:rPr>
          <w:rFonts w:ascii="宋体" w:hAnsi="宋体"/>
          <w:sz w:val="24"/>
        </w:rPr>
        <w:t>1、本次招标采用公开招标方式进行。</w:t>
      </w:r>
    </w:p>
    <w:p>
      <w:pPr>
        <w:adjustRightInd w:val="0"/>
        <w:snapToGrid w:val="0"/>
        <w:spacing w:line="400" w:lineRule="exact"/>
        <w:jc w:val="left"/>
        <w:rPr>
          <w:rFonts w:ascii="宋体" w:hAnsi="宋体"/>
          <w:b/>
          <w:sz w:val="24"/>
        </w:rPr>
      </w:pPr>
      <w:bookmarkStart w:id="157" w:name="_Toc293916013"/>
      <w:bookmarkStart w:id="158" w:name="_Toc177870540"/>
      <w:bookmarkStart w:id="159" w:name="_Toc293916364"/>
      <w:bookmarkStart w:id="160" w:name="_Toc177824874"/>
      <w:bookmarkStart w:id="161" w:name="_Toc177825122"/>
      <w:bookmarkStart w:id="162" w:name="_Toc177824941"/>
      <w:r>
        <w:rPr>
          <w:rFonts w:hint="eastAsia" w:ascii="宋体" w:hAnsi="宋体"/>
          <w:b/>
          <w:sz w:val="24"/>
        </w:rPr>
        <w:t>（四）投标委托</w:t>
      </w:r>
      <w:bookmarkEnd w:id="157"/>
      <w:bookmarkEnd w:id="158"/>
      <w:bookmarkEnd w:id="159"/>
      <w:bookmarkEnd w:id="160"/>
      <w:bookmarkEnd w:id="161"/>
      <w:bookmarkEnd w:id="162"/>
    </w:p>
    <w:p>
      <w:pPr>
        <w:pStyle w:val="22"/>
        <w:adjustRightInd w:val="0"/>
        <w:snapToGrid w:val="0"/>
        <w:spacing w:line="400" w:lineRule="exact"/>
        <w:ind w:firstLine="583" w:firstLineChars="243"/>
        <w:jc w:val="left"/>
        <w:rPr>
          <w:rFonts w:hAnsi="宋体"/>
          <w:spacing w:val="0"/>
          <w:sz w:val="24"/>
          <w:szCs w:val="24"/>
        </w:rPr>
      </w:pPr>
      <w:r>
        <w:rPr>
          <w:rFonts w:hint="eastAsia" w:hAnsi="宋体"/>
          <w:spacing w:val="0"/>
          <w:sz w:val="24"/>
          <w:szCs w:val="24"/>
        </w:rPr>
        <w:t>投标人可派人参加开标会议，投标人参加开标会议的投标人代表须携带居民身份证。如投标人代表不是法定代表人，须有法定代表人出具的授权委托书。</w:t>
      </w:r>
    </w:p>
    <w:p>
      <w:pPr>
        <w:adjustRightInd w:val="0"/>
        <w:snapToGrid w:val="0"/>
        <w:spacing w:line="400" w:lineRule="exact"/>
        <w:jc w:val="left"/>
        <w:rPr>
          <w:rFonts w:ascii="宋体" w:hAnsi="宋体"/>
          <w:b/>
          <w:sz w:val="24"/>
        </w:rPr>
      </w:pPr>
      <w:bookmarkStart w:id="163" w:name="_Toc293916365"/>
      <w:bookmarkStart w:id="164" w:name="_Toc177824942"/>
      <w:bookmarkStart w:id="165" w:name="_Toc177825123"/>
      <w:bookmarkStart w:id="166" w:name="_Toc293916014"/>
      <w:bookmarkStart w:id="167" w:name="_Toc177870541"/>
      <w:bookmarkStart w:id="168" w:name="_Toc177824875"/>
      <w:r>
        <w:rPr>
          <w:rFonts w:hint="eastAsia" w:ascii="宋体" w:hAnsi="宋体"/>
          <w:b/>
          <w:sz w:val="24"/>
        </w:rPr>
        <w:t>（五）投标费用</w:t>
      </w:r>
      <w:bookmarkEnd w:id="163"/>
      <w:bookmarkEnd w:id="164"/>
      <w:bookmarkEnd w:id="165"/>
      <w:bookmarkEnd w:id="166"/>
      <w:bookmarkEnd w:id="167"/>
      <w:bookmarkEnd w:id="168"/>
    </w:p>
    <w:p>
      <w:pPr>
        <w:adjustRightInd w:val="0"/>
        <w:snapToGrid w:val="0"/>
        <w:spacing w:line="400" w:lineRule="exact"/>
        <w:ind w:firstLine="720" w:firstLineChars="300"/>
        <w:jc w:val="left"/>
        <w:rPr>
          <w:rFonts w:ascii="宋体" w:hAnsi="宋体"/>
          <w:sz w:val="24"/>
        </w:rPr>
      </w:pPr>
      <w:r>
        <w:rPr>
          <w:rFonts w:hint="eastAsia" w:ascii="宋体" w:hAnsi="宋体"/>
          <w:sz w:val="24"/>
        </w:rPr>
        <w:t>不论投标结果如何，投标人均应自行承担所有与投标有关的全部费用。</w:t>
      </w:r>
    </w:p>
    <w:p>
      <w:pPr>
        <w:adjustRightInd w:val="0"/>
        <w:snapToGrid w:val="0"/>
        <w:spacing w:line="400" w:lineRule="exact"/>
        <w:jc w:val="left"/>
        <w:rPr>
          <w:rFonts w:ascii="宋体" w:hAnsi="宋体"/>
          <w:b/>
          <w:sz w:val="24"/>
        </w:rPr>
      </w:pPr>
      <w:r>
        <w:rPr>
          <w:rFonts w:hint="eastAsia" w:ascii="宋体" w:hAnsi="宋体"/>
          <w:b/>
          <w:sz w:val="24"/>
        </w:rPr>
        <w:t>（六）合格投标人的资格要求</w:t>
      </w:r>
    </w:p>
    <w:p>
      <w:pPr>
        <w:adjustRightInd w:val="0"/>
        <w:snapToGrid w:val="0"/>
        <w:spacing w:line="400" w:lineRule="exact"/>
        <w:ind w:firstLine="480" w:firstLineChars="200"/>
        <w:jc w:val="left"/>
        <w:rPr>
          <w:rFonts w:ascii="宋体" w:hAnsi="宋体"/>
          <w:sz w:val="24"/>
        </w:rPr>
      </w:pPr>
      <w:r>
        <w:rPr>
          <w:rFonts w:hint="eastAsia" w:ascii="宋体" w:hAnsi="宋体"/>
          <w:sz w:val="24"/>
        </w:rPr>
        <w:t>符合第一章第</w:t>
      </w:r>
      <w:r>
        <w:rPr>
          <w:rFonts w:hint="eastAsia" w:ascii="宋体" w:hAnsi="宋体" w:cs="Arial"/>
          <w:sz w:val="24"/>
        </w:rPr>
        <w:t>五</w:t>
      </w:r>
      <w:r>
        <w:rPr>
          <w:rFonts w:hint="eastAsia" w:ascii="宋体" w:hAnsi="宋体"/>
          <w:sz w:val="24"/>
        </w:rPr>
        <w:t>条的规定。</w:t>
      </w:r>
    </w:p>
    <w:p>
      <w:pPr>
        <w:adjustRightInd w:val="0"/>
        <w:snapToGrid w:val="0"/>
        <w:spacing w:line="400" w:lineRule="exact"/>
        <w:jc w:val="left"/>
        <w:rPr>
          <w:rFonts w:ascii="宋体" w:hAnsi="宋体"/>
          <w:b/>
          <w:sz w:val="24"/>
        </w:rPr>
      </w:pPr>
      <w:r>
        <w:rPr>
          <w:rFonts w:hint="eastAsia" w:ascii="宋体" w:hAnsi="宋体"/>
          <w:b/>
          <w:sz w:val="24"/>
        </w:rPr>
        <w:t>（七）转包与分包</w:t>
      </w:r>
    </w:p>
    <w:p>
      <w:pPr>
        <w:adjustRightInd w:val="0"/>
        <w:snapToGrid w:val="0"/>
        <w:spacing w:line="400" w:lineRule="exact"/>
        <w:ind w:firstLine="480" w:firstLineChars="200"/>
        <w:rPr>
          <w:rFonts w:ascii="宋体" w:hAnsi="宋体" w:cs="宋体"/>
          <w:kern w:val="0"/>
          <w:sz w:val="24"/>
        </w:rPr>
      </w:pPr>
      <w:r>
        <w:rPr>
          <w:rFonts w:hint="eastAsia" w:ascii="宋体" w:hAnsi="宋体" w:cs="宋体"/>
          <w:kern w:val="0"/>
          <w:sz w:val="24"/>
        </w:rPr>
        <w:t>本项目不允许转包或分包。</w:t>
      </w:r>
    </w:p>
    <w:p>
      <w:pPr>
        <w:adjustRightInd w:val="0"/>
        <w:snapToGrid w:val="0"/>
        <w:spacing w:line="400" w:lineRule="exact"/>
        <w:rPr>
          <w:rFonts w:ascii="宋体" w:hAnsi="宋体"/>
          <w:b/>
          <w:sz w:val="24"/>
        </w:rPr>
      </w:pPr>
      <w:r>
        <w:rPr>
          <w:rFonts w:hint="eastAsia" w:ascii="宋体" w:hAnsi="宋体"/>
          <w:b/>
          <w:sz w:val="24"/>
        </w:rPr>
        <w:t>（</w:t>
      </w:r>
      <w:r>
        <w:rPr>
          <w:rFonts w:hint="eastAsia" w:ascii="宋体" w:hAnsi="宋体" w:cs="宋体"/>
          <w:b/>
          <w:kern w:val="0"/>
          <w:sz w:val="24"/>
        </w:rPr>
        <w:t>八</w:t>
      </w:r>
      <w:r>
        <w:rPr>
          <w:rFonts w:hint="eastAsia" w:ascii="宋体" w:hAnsi="宋体"/>
          <w:b/>
          <w:sz w:val="24"/>
        </w:rPr>
        <w:t>）</w:t>
      </w:r>
      <w:bookmarkStart w:id="169" w:name="_Toc177870542"/>
      <w:r>
        <w:rPr>
          <w:rFonts w:hint="eastAsia" w:ascii="宋体" w:hAnsi="宋体"/>
          <w:b/>
          <w:sz w:val="24"/>
        </w:rPr>
        <w:t>特别说明：</w:t>
      </w:r>
      <w:bookmarkEnd w:id="169"/>
    </w:p>
    <w:p>
      <w:pPr>
        <w:adjustRightInd w:val="0"/>
        <w:snapToGrid w:val="0"/>
        <w:spacing w:line="480" w:lineRule="exact"/>
        <w:ind w:firstLine="480" w:firstLineChars="200"/>
        <w:rPr>
          <w:rFonts w:ascii="宋体" w:hAnsi="宋体" w:cs="宋体"/>
          <w:sz w:val="24"/>
        </w:rPr>
      </w:pPr>
      <w:bookmarkStart w:id="170" w:name="_Toc177870543"/>
      <w:r>
        <w:rPr>
          <w:rFonts w:hint="eastAsia" w:ascii="宋体" w:hAnsi="宋体" w:cs="宋体"/>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adjustRightInd w:val="0"/>
        <w:snapToGrid w:val="0"/>
        <w:spacing w:line="480" w:lineRule="exact"/>
        <w:ind w:left="220" w:firstLine="240" w:firstLineChars="100"/>
        <w:rPr>
          <w:rFonts w:ascii="宋体" w:hAnsi="宋体" w:cs="宋体"/>
          <w:sz w:val="24"/>
        </w:rPr>
      </w:pPr>
      <w:r>
        <w:rPr>
          <w:rFonts w:hint="eastAsia" w:ascii="宋体" w:hAnsi="宋体" w:cs="宋体"/>
          <w:sz w:val="24"/>
        </w:rPr>
        <w:t>▲2.投标人投标所使用的资格、信誉、荣誉、业绩与企业认证必须为本法人所拥有。投标人投标所使用的采购项目实施人员必须为本单位正式员工。</w:t>
      </w:r>
    </w:p>
    <w:p>
      <w:pPr>
        <w:adjustRightInd w:val="0"/>
        <w:snapToGrid w:val="0"/>
        <w:spacing w:line="480" w:lineRule="exact"/>
        <w:ind w:left="220" w:firstLine="240" w:firstLineChars="100"/>
        <w:rPr>
          <w:rFonts w:ascii="宋体" w:hAnsi="宋体" w:cs="宋体"/>
          <w:sz w:val="24"/>
        </w:rPr>
      </w:pPr>
      <w:r>
        <w:rPr>
          <w:rFonts w:hint="eastAsia" w:ascii="宋体" w:hAnsi="宋体" w:cs="宋体"/>
          <w:sz w:val="24"/>
        </w:rPr>
        <w:t>▲3.投标人应仔细阅读招标文件的所有内容，按照招标文件的要求提交投标文件，并对所提供的全部资料的真实性承担法律责任。</w:t>
      </w:r>
    </w:p>
    <w:p>
      <w:pPr>
        <w:adjustRightInd w:val="0"/>
        <w:snapToGrid w:val="0"/>
        <w:spacing w:line="480" w:lineRule="exact"/>
        <w:ind w:left="220" w:firstLine="240" w:firstLineChars="100"/>
        <w:rPr>
          <w:rFonts w:ascii="宋体" w:hAnsi="宋体" w:cs="宋体"/>
          <w:sz w:val="24"/>
        </w:rPr>
      </w:pPr>
      <w:r>
        <w:rPr>
          <w:rFonts w:hint="eastAsia" w:ascii="宋体" w:hAnsi="宋体" w:cs="宋体"/>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400" w:lineRule="exact"/>
        <w:rPr>
          <w:rFonts w:ascii="宋体" w:hAnsi="宋体"/>
          <w:b/>
          <w:bCs/>
          <w:sz w:val="24"/>
        </w:rPr>
      </w:pPr>
      <w:r>
        <w:rPr>
          <w:rFonts w:hint="eastAsia" w:ascii="宋体" w:hAnsi="宋体" w:cs="宋体"/>
          <w:b/>
          <w:kern w:val="0"/>
          <w:sz w:val="24"/>
        </w:rPr>
        <w:t>（九）</w:t>
      </w:r>
      <w:r>
        <w:rPr>
          <w:rFonts w:hint="eastAsia" w:ascii="宋体" w:hAnsi="宋体"/>
          <w:b/>
          <w:bCs/>
          <w:sz w:val="24"/>
        </w:rPr>
        <w:t>质疑</w:t>
      </w:r>
      <w:bookmarkEnd w:id="170"/>
      <w:r>
        <w:rPr>
          <w:rFonts w:hint="eastAsia" w:ascii="宋体" w:hAnsi="宋体"/>
          <w:b/>
          <w:bCs/>
          <w:sz w:val="24"/>
        </w:rPr>
        <w:t>和投诉</w:t>
      </w:r>
    </w:p>
    <w:p>
      <w:pPr>
        <w:adjustRightInd w:val="0"/>
        <w:snapToGrid w:val="0"/>
        <w:spacing w:line="400" w:lineRule="exact"/>
        <w:ind w:firstLine="480" w:firstLineChars="200"/>
        <w:jc w:val="left"/>
        <w:rPr>
          <w:rFonts w:ascii="宋体" w:hAnsi="宋体"/>
          <w:b/>
          <w:bCs/>
          <w:sz w:val="24"/>
        </w:rPr>
      </w:pPr>
      <w:bookmarkStart w:id="171" w:name="_Toc293917018"/>
      <w:bookmarkStart w:id="172" w:name="_Toc424544534"/>
      <w:bookmarkStart w:id="173" w:name="_Toc293916366"/>
      <w:bookmarkStart w:id="174" w:name="_Toc293916015"/>
      <w:bookmarkStart w:id="175" w:name="_Toc177870544"/>
      <w:bookmarkStart w:id="176" w:name="_Toc424544813"/>
      <w:bookmarkStart w:id="177" w:name="_Toc293916872"/>
      <w:r>
        <w:rPr>
          <w:rFonts w:hint="eastAsia" w:ascii="宋体" w:hAnsi="宋体"/>
          <w:sz w:val="24"/>
        </w:rPr>
        <w:t xml:space="preserve"> 提出质疑的供应商应当是参与所质疑项目采购活动的供应商。</w:t>
      </w:r>
      <w:r>
        <w:rPr>
          <w:rFonts w:hint="eastAsia" w:ascii="宋体" w:hAnsi="宋体"/>
          <w:b/>
          <w:bCs/>
          <w:sz w:val="24"/>
        </w:rPr>
        <w:t>潜在供应商已依法获取（依法获取指：供应商按本项目招标公告要求在政采云系统上获取并报名成功）其可质疑的招标文件，可以对该文件提出质疑。未按照规定方式依法获取招标文件的，不得对招标文件提起质疑投诉。对采购文件提出质疑的，应当在获取采购文件或者采购文件公告期限届满之日起7个工作日内提出。</w:t>
      </w:r>
    </w:p>
    <w:p>
      <w:pPr>
        <w:adjustRightInd w:val="0"/>
        <w:snapToGrid w:val="0"/>
        <w:spacing w:line="400" w:lineRule="exact"/>
        <w:ind w:firstLine="480" w:firstLineChars="200"/>
        <w:jc w:val="left"/>
        <w:rPr>
          <w:rFonts w:ascii="宋体" w:hAnsi="宋体"/>
          <w:sz w:val="24"/>
        </w:rPr>
      </w:pPr>
      <w:r>
        <w:rPr>
          <w:rFonts w:hint="eastAsia" w:ascii="宋体" w:hAnsi="宋体"/>
          <w:sz w:val="24"/>
        </w:rPr>
        <w:t>供应商在法定质疑期内一次性提出针对同一采购程序环节的质疑。</w:t>
      </w:r>
    </w:p>
    <w:p>
      <w:pPr>
        <w:adjustRightInd w:val="0"/>
        <w:snapToGrid w:val="0"/>
        <w:spacing w:line="400" w:lineRule="exact"/>
        <w:ind w:firstLine="480" w:firstLineChars="200"/>
        <w:jc w:val="left"/>
        <w:rPr>
          <w:rFonts w:ascii="宋体" w:hAnsi="宋体"/>
          <w:sz w:val="24"/>
        </w:rPr>
      </w:pPr>
      <w:r>
        <w:rPr>
          <w:rFonts w:hint="eastAsia" w:ascii="宋体" w:hAnsi="宋体"/>
          <w:sz w:val="24"/>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pPr>
        <w:adjustRightInd w:val="0"/>
        <w:snapToGrid w:val="0"/>
        <w:spacing w:line="400" w:lineRule="exact"/>
        <w:ind w:firstLine="480" w:firstLineChars="200"/>
        <w:jc w:val="left"/>
        <w:rPr>
          <w:rFonts w:ascii="宋体" w:hAnsi="宋体"/>
          <w:sz w:val="24"/>
        </w:rPr>
      </w:pPr>
      <w:r>
        <w:rPr>
          <w:rFonts w:hint="eastAsia" w:ascii="宋体" w:hAnsi="宋体"/>
          <w:sz w:val="24"/>
        </w:rPr>
        <w:t>2.供应商提出质疑应当提交质疑函和必要的证明材料。质疑函应当包括下列内容：</w:t>
      </w:r>
    </w:p>
    <w:p>
      <w:pPr>
        <w:adjustRightInd w:val="0"/>
        <w:snapToGrid w:val="0"/>
        <w:spacing w:line="400" w:lineRule="exact"/>
        <w:ind w:firstLine="480" w:firstLineChars="200"/>
        <w:jc w:val="left"/>
        <w:rPr>
          <w:rFonts w:ascii="宋体" w:hAnsi="宋体"/>
          <w:sz w:val="24"/>
        </w:rPr>
      </w:pPr>
      <w:r>
        <w:rPr>
          <w:rFonts w:hint="eastAsia" w:ascii="宋体" w:hAnsi="宋体"/>
          <w:sz w:val="24"/>
        </w:rPr>
        <w:t>1）供应商的姓名或者名称、地址、邮编、联系人及联系电话；</w:t>
      </w:r>
    </w:p>
    <w:p>
      <w:pPr>
        <w:adjustRightInd w:val="0"/>
        <w:snapToGrid w:val="0"/>
        <w:spacing w:line="400" w:lineRule="exact"/>
        <w:ind w:firstLine="480" w:firstLineChars="200"/>
        <w:jc w:val="left"/>
        <w:rPr>
          <w:rFonts w:ascii="宋体" w:hAnsi="宋体"/>
          <w:sz w:val="24"/>
        </w:rPr>
      </w:pPr>
      <w:r>
        <w:rPr>
          <w:rFonts w:hint="eastAsia" w:ascii="宋体" w:hAnsi="宋体"/>
          <w:sz w:val="24"/>
        </w:rPr>
        <w:t>2）质疑项目的名称、编号；</w:t>
      </w:r>
    </w:p>
    <w:p>
      <w:pPr>
        <w:adjustRightInd w:val="0"/>
        <w:snapToGrid w:val="0"/>
        <w:spacing w:line="400" w:lineRule="exact"/>
        <w:ind w:firstLine="480" w:firstLineChars="200"/>
        <w:jc w:val="left"/>
        <w:rPr>
          <w:rFonts w:ascii="宋体" w:hAnsi="宋体"/>
          <w:sz w:val="24"/>
        </w:rPr>
      </w:pPr>
      <w:r>
        <w:rPr>
          <w:rFonts w:hint="eastAsia" w:ascii="宋体" w:hAnsi="宋体"/>
          <w:sz w:val="24"/>
        </w:rPr>
        <w:t>3）具体、明确的质疑事项和与质疑事项相关的请求；</w:t>
      </w:r>
    </w:p>
    <w:p>
      <w:pPr>
        <w:adjustRightInd w:val="0"/>
        <w:snapToGrid w:val="0"/>
        <w:spacing w:line="400" w:lineRule="exact"/>
        <w:ind w:firstLine="480" w:firstLineChars="200"/>
        <w:jc w:val="left"/>
        <w:rPr>
          <w:rFonts w:ascii="宋体" w:hAnsi="宋体"/>
          <w:sz w:val="24"/>
        </w:rPr>
      </w:pPr>
      <w:r>
        <w:rPr>
          <w:rFonts w:hint="eastAsia" w:ascii="宋体" w:hAnsi="宋体"/>
          <w:sz w:val="24"/>
        </w:rPr>
        <w:t>4）事实依据；</w:t>
      </w:r>
    </w:p>
    <w:p>
      <w:pPr>
        <w:adjustRightInd w:val="0"/>
        <w:snapToGrid w:val="0"/>
        <w:spacing w:line="400" w:lineRule="exact"/>
        <w:ind w:firstLine="480" w:firstLineChars="200"/>
        <w:jc w:val="left"/>
        <w:rPr>
          <w:rFonts w:ascii="宋体" w:hAnsi="宋体"/>
          <w:sz w:val="24"/>
        </w:rPr>
      </w:pPr>
      <w:r>
        <w:rPr>
          <w:rFonts w:hint="eastAsia" w:ascii="宋体" w:hAnsi="宋体"/>
          <w:sz w:val="24"/>
        </w:rPr>
        <w:t>5）必要的法律依据；</w:t>
      </w:r>
    </w:p>
    <w:p>
      <w:pPr>
        <w:adjustRightInd w:val="0"/>
        <w:snapToGrid w:val="0"/>
        <w:spacing w:line="400" w:lineRule="exact"/>
        <w:ind w:firstLine="480" w:firstLineChars="200"/>
        <w:jc w:val="left"/>
        <w:rPr>
          <w:rFonts w:ascii="宋体" w:hAnsi="宋体"/>
          <w:sz w:val="24"/>
        </w:rPr>
      </w:pPr>
      <w:r>
        <w:rPr>
          <w:rFonts w:hint="eastAsia" w:ascii="宋体" w:hAnsi="宋体"/>
          <w:sz w:val="24"/>
        </w:rPr>
        <w:t>6）提出质疑的日期。</w:t>
      </w:r>
    </w:p>
    <w:p>
      <w:pPr>
        <w:adjustRightInd w:val="0"/>
        <w:snapToGrid w:val="0"/>
        <w:spacing w:line="400" w:lineRule="exact"/>
        <w:ind w:firstLine="480" w:firstLineChars="200"/>
        <w:jc w:val="left"/>
        <w:rPr>
          <w:rFonts w:ascii="宋体" w:hAnsi="宋体"/>
          <w:sz w:val="24"/>
        </w:rPr>
      </w:pPr>
      <w:r>
        <w:rPr>
          <w:rFonts w:hint="eastAsia" w:ascii="宋体" w:hAnsi="宋体"/>
          <w:sz w:val="24"/>
        </w:rPr>
        <w:t>3.投诉人提起投诉应当符合下列条件：</w:t>
      </w:r>
    </w:p>
    <w:p>
      <w:pPr>
        <w:adjustRightInd w:val="0"/>
        <w:snapToGrid w:val="0"/>
        <w:spacing w:line="400" w:lineRule="exact"/>
        <w:ind w:firstLine="480" w:firstLineChars="200"/>
        <w:jc w:val="left"/>
        <w:rPr>
          <w:rFonts w:ascii="宋体" w:hAnsi="宋体"/>
          <w:sz w:val="24"/>
        </w:rPr>
      </w:pPr>
      <w:r>
        <w:rPr>
          <w:rFonts w:hint="eastAsia" w:ascii="宋体" w:hAnsi="宋体"/>
          <w:sz w:val="24"/>
        </w:rPr>
        <w:t>1）提起投诉前已依法进行质疑；</w:t>
      </w:r>
    </w:p>
    <w:p>
      <w:pPr>
        <w:adjustRightInd w:val="0"/>
        <w:snapToGrid w:val="0"/>
        <w:spacing w:line="400" w:lineRule="exact"/>
        <w:ind w:firstLine="480" w:firstLineChars="200"/>
        <w:jc w:val="left"/>
        <w:rPr>
          <w:rFonts w:ascii="宋体" w:hAnsi="宋体"/>
          <w:sz w:val="24"/>
        </w:rPr>
      </w:pPr>
      <w:r>
        <w:rPr>
          <w:rFonts w:hint="eastAsia" w:ascii="宋体" w:hAnsi="宋体"/>
          <w:sz w:val="24"/>
        </w:rPr>
        <w:t>2）投诉书内容符合本办法的规定；</w:t>
      </w:r>
    </w:p>
    <w:p>
      <w:pPr>
        <w:adjustRightInd w:val="0"/>
        <w:snapToGrid w:val="0"/>
        <w:spacing w:line="400" w:lineRule="exact"/>
        <w:ind w:firstLine="480" w:firstLineChars="200"/>
        <w:jc w:val="left"/>
        <w:rPr>
          <w:rFonts w:ascii="宋体" w:hAnsi="宋体"/>
          <w:sz w:val="24"/>
        </w:rPr>
      </w:pPr>
      <w:r>
        <w:rPr>
          <w:rFonts w:hint="eastAsia" w:ascii="宋体" w:hAnsi="宋体"/>
          <w:sz w:val="24"/>
        </w:rPr>
        <w:t>3）在投诉有效期限内提起投诉；</w:t>
      </w:r>
    </w:p>
    <w:p>
      <w:pPr>
        <w:adjustRightInd w:val="0"/>
        <w:snapToGrid w:val="0"/>
        <w:spacing w:line="400" w:lineRule="exact"/>
        <w:ind w:firstLine="480" w:firstLineChars="200"/>
        <w:jc w:val="left"/>
        <w:rPr>
          <w:rFonts w:ascii="宋体" w:hAnsi="宋体"/>
          <w:sz w:val="24"/>
        </w:rPr>
      </w:pPr>
      <w:r>
        <w:rPr>
          <w:rFonts w:hint="eastAsia" w:ascii="宋体" w:hAnsi="宋体"/>
          <w:sz w:val="24"/>
        </w:rPr>
        <w:t>4）同一投诉事项未经财政部门投诉处理；</w:t>
      </w:r>
    </w:p>
    <w:p>
      <w:pPr>
        <w:adjustRightInd w:val="0"/>
        <w:snapToGrid w:val="0"/>
        <w:spacing w:line="400" w:lineRule="exact"/>
        <w:ind w:firstLine="480" w:firstLineChars="200"/>
        <w:jc w:val="left"/>
        <w:rPr>
          <w:rFonts w:ascii="宋体" w:hAnsi="宋体"/>
          <w:sz w:val="24"/>
        </w:rPr>
      </w:pPr>
      <w:r>
        <w:rPr>
          <w:rFonts w:hint="eastAsia" w:ascii="宋体" w:hAnsi="宋体"/>
          <w:sz w:val="24"/>
        </w:rPr>
        <w:t>5）财政部规定的其他条件。</w:t>
      </w:r>
    </w:p>
    <w:p>
      <w:pPr>
        <w:adjustRightInd w:val="0"/>
        <w:snapToGrid w:val="0"/>
        <w:spacing w:line="400" w:lineRule="exact"/>
        <w:ind w:firstLine="480" w:firstLineChars="200"/>
        <w:jc w:val="left"/>
        <w:rPr>
          <w:rFonts w:ascii="宋体" w:hAnsi="宋体"/>
          <w:sz w:val="24"/>
        </w:rPr>
      </w:pPr>
      <w:r>
        <w:rPr>
          <w:rFonts w:hint="eastAsia" w:ascii="宋体" w:hAnsi="宋体"/>
          <w:sz w:val="24"/>
        </w:rPr>
        <w:t>4.投诉人投诉时,应当提交投诉书和必要的证明材料，并按照被投诉采购人、采购代理机构和与投诉事项有关的供应商数量提供投诉书的副本。投诉书应当包括下列内容：</w:t>
      </w:r>
    </w:p>
    <w:p>
      <w:pPr>
        <w:adjustRightInd w:val="0"/>
        <w:snapToGrid w:val="0"/>
        <w:spacing w:line="400" w:lineRule="exact"/>
        <w:ind w:firstLine="480" w:firstLineChars="200"/>
        <w:jc w:val="left"/>
        <w:rPr>
          <w:rFonts w:ascii="宋体" w:hAnsi="宋体"/>
          <w:sz w:val="24"/>
        </w:rPr>
      </w:pPr>
      <w:r>
        <w:rPr>
          <w:rFonts w:hint="eastAsia" w:ascii="宋体" w:hAnsi="宋体"/>
          <w:sz w:val="24"/>
        </w:rPr>
        <w:t>1）投诉人和被投诉人的姓名或者名称、通讯地址、邮编、联系人及联系电话；</w:t>
      </w:r>
    </w:p>
    <w:p>
      <w:pPr>
        <w:adjustRightInd w:val="0"/>
        <w:snapToGrid w:val="0"/>
        <w:spacing w:line="400" w:lineRule="exact"/>
        <w:ind w:firstLine="480" w:firstLineChars="200"/>
        <w:jc w:val="left"/>
        <w:rPr>
          <w:rFonts w:ascii="宋体" w:hAnsi="宋体"/>
          <w:sz w:val="24"/>
        </w:rPr>
      </w:pPr>
      <w:r>
        <w:rPr>
          <w:rFonts w:hint="eastAsia" w:ascii="宋体" w:hAnsi="宋体"/>
          <w:sz w:val="24"/>
        </w:rPr>
        <w:t>2）质疑和质疑答复情况说明及相关证明材料；</w:t>
      </w:r>
    </w:p>
    <w:p>
      <w:pPr>
        <w:adjustRightInd w:val="0"/>
        <w:snapToGrid w:val="0"/>
        <w:spacing w:line="400" w:lineRule="exact"/>
        <w:ind w:firstLine="480" w:firstLineChars="200"/>
        <w:jc w:val="left"/>
        <w:rPr>
          <w:rFonts w:ascii="宋体" w:hAnsi="宋体"/>
          <w:sz w:val="24"/>
        </w:rPr>
      </w:pPr>
      <w:r>
        <w:rPr>
          <w:rFonts w:hint="eastAsia" w:ascii="宋体" w:hAnsi="宋体"/>
          <w:sz w:val="24"/>
        </w:rPr>
        <w:t>3）具体、明确的投诉事项和与投诉事项相关的投诉请求；</w:t>
      </w:r>
    </w:p>
    <w:p>
      <w:pPr>
        <w:adjustRightInd w:val="0"/>
        <w:snapToGrid w:val="0"/>
        <w:spacing w:line="400" w:lineRule="exact"/>
        <w:ind w:firstLine="480" w:firstLineChars="200"/>
        <w:jc w:val="left"/>
        <w:rPr>
          <w:rFonts w:ascii="宋体" w:hAnsi="宋体"/>
          <w:sz w:val="24"/>
        </w:rPr>
      </w:pPr>
      <w:r>
        <w:rPr>
          <w:rFonts w:hint="eastAsia" w:ascii="宋体" w:hAnsi="宋体"/>
          <w:sz w:val="24"/>
        </w:rPr>
        <w:t>4）事实依据；</w:t>
      </w:r>
    </w:p>
    <w:p>
      <w:pPr>
        <w:adjustRightInd w:val="0"/>
        <w:snapToGrid w:val="0"/>
        <w:spacing w:line="400" w:lineRule="exact"/>
        <w:ind w:firstLine="480" w:firstLineChars="200"/>
        <w:jc w:val="left"/>
        <w:rPr>
          <w:rFonts w:ascii="宋体" w:hAnsi="宋体"/>
          <w:sz w:val="24"/>
        </w:rPr>
      </w:pPr>
      <w:r>
        <w:rPr>
          <w:rFonts w:hint="eastAsia" w:ascii="宋体" w:hAnsi="宋体"/>
          <w:sz w:val="24"/>
        </w:rPr>
        <w:t>5）法律依据；</w:t>
      </w:r>
    </w:p>
    <w:p>
      <w:pPr>
        <w:adjustRightInd w:val="0"/>
        <w:snapToGrid w:val="0"/>
        <w:spacing w:line="400" w:lineRule="exact"/>
        <w:ind w:firstLine="480" w:firstLineChars="200"/>
        <w:jc w:val="left"/>
        <w:rPr>
          <w:rFonts w:ascii="宋体" w:hAnsi="宋体"/>
          <w:sz w:val="24"/>
        </w:rPr>
      </w:pPr>
      <w:r>
        <w:rPr>
          <w:rFonts w:hint="eastAsia" w:ascii="宋体" w:hAnsi="宋体"/>
          <w:sz w:val="24"/>
        </w:rPr>
        <w:t>6）提起投诉的日期。</w:t>
      </w:r>
    </w:p>
    <w:p>
      <w:pPr>
        <w:adjustRightInd w:val="0"/>
        <w:snapToGrid w:val="0"/>
        <w:spacing w:line="400" w:lineRule="exact"/>
        <w:ind w:firstLine="480" w:firstLineChars="200"/>
        <w:jc w:val="left"/>
        <w:rPr>
          <w:rFonts w:ascii="宋体" w:hAnsi="宋体"/>
          <w:sz w:val="24"/>
        </w:rPr>
      </w:pPr>
      <w:r>
        <w:rPr>
          <w:rFonts w:hint="eastAsia" w:ascii="宋体" w:hAnsi="宋体"/>
          <w:sz w:val="24"/>
        </w:rPr>
        <w:t>质疑供应商对采购人、采购代理机构的答复不满意，或者采购人、采购代理机构未在规定时间内作出答复的，可以在答复期满后15个工作日内向本办法第六条规定的财政部门提起投诉。</w:t>
      </w:r>
    </w:p>
    <w:p>
      <w:pPr>
        <w:adjustRightInd w:val="0"/>
        <w:snapToGrid w:val="0"/>
        <w:spacing w:line="400" w:lineRule="exact"/>
        <w:ind w:firstLine="480" w:firstLineChars="200"/>
        <w:jc w:val="left"/>
        <w:rPr>
          <w:rFonts w:ascii="宋体" w:hAnsi="宋体"/>
          <w:sz w:val="24"/>
        </w:rPr>
      </w:pPr>
      <w:r>
        <w:rPr>
          <w:rFonts w:hint="eastAsia" w:ascii="宋体" w:hAnsi="宋体"/>
          <w:sz w:val="24"/>
        </w:rPr>
        <w:t>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adjustRightInd w:val="0"/>
        <w:snapToGrid w:val="0"/>
        <w:spacing w:line="400" w:lineRule="exact"/>
        <w:ind w:firstLine="480" w:firstLineChars="200"/>
        <w:jc w:val="left"/>
        <w:rPr>
          <w:rFonts w:ascii="宋体" w:hAnsi="宋体"/>
          <w:b/>
          <w:bCs/>
          <w:sz w:val="24"/>
        </w:rPr>
      </w:pPr>
      <w:r>
        <w:rPr>
          <w:rFonts w:hint="eastAsia" w:ascii="宋体" w:hAnsi="宋体"/>
          <w:sz w:val="24"/>
        </w:rPr>
        <w:t>5、质疑函模板参照浙江政府采购网下载专区下载。</w:t>
      </w:r>
    </w:p>
    <w:p>
      <w:pPr>
        <w:spacing w:line="400" w:lineRule="exact"/>
        <w:outlineLvl w:val="1"/>
        <w:rPr>
          <w:rFonts w:ascii="宋体" w:hAnsi="宋体"/>
          <w:b/>
          <w:bCs/>
          <w:sz w:val="24"/>
        </w:rPr>
      </w:pPr>
      <w:bookmarkStart w:id="178" w:name="_Toc22693"/>
      <w:r>
        <w:rPr>
          <w:rFonts w:hint="eastAsia" w:ascii="宋体" w:hAnsi="宋体"/>
          <w:b/>
          <w:bCs/>
          <w:sz w:val="24"/>
        </w:rPr>
        <w:t>二、招标文件</w:t>
      </w:r>
      <w:bookmarkEnd w:id="171"/>
      <w:bookmarkEnd w:id="172"/>
      <w:bookmarkEnd w:id="173"/>
      <w:bookmarkEnd w:id="174"/>
      <w:bookmarkEnd w:id="175"/>
      <w:bookmarkEnd w:id="176"/>
      <w:bookmarkEnd w:id="177"/>
      <w:bookmarkEnd w:id="178"/>
    </w:p>
    <w:p>
      <w:pPr>
        <w:adjustRightInd w:val="0"/>
        <w:snapToGrid w:val="0"/>
        <w:spacing w:line="400" w:lineRule="exact"/>
        <w:jc w:val="left"/>
        <w:rPr>
          <w:rFonts w:ascii="宋体" w:hAnsi="宋体"/>
          <w:b/>
          <w:sz w:val="24"/>
        </w:rPr>
      </w:pPr>
      <w:r>
        <w:rPr>
          <w:rFonts w:hint="eastAsia" w:ascii="宋体" w:hAnsi="宋体"/>
          <w:b/>
          <w:sz w:val="24"/>
        </w:rPr>
        <w:t>（一）招标文件的构成。本招标文件由以下部份组成：</w:t>
      </w:r>
    </w:p>
    <w:p>
      <w:pPr>
        <w:adjustRightInd w:val="0"/>
        <w:snapToGrid w:val="0"/>
        <w:spacing w:line="400" w:lineRule="exact"/>
        <w:ind w:firstLine="480" w:firstLineChars="200"/>
        <w:jc w:val="left"/>
        <w:rPr>
          <w:rFonts w:ascii="宋体" w:hAnsi="宋体"/>
          <w:sz w:val="24"/>
        </w:rPr>
      </w:pPr>
      <w:r>
        <w:rPr>
          <w:rFonts w:hint="eastAsia" w:ascii="宋体" w:hAnsi="宋体"/>
          <w:sz w:val="24"/>
        </w:rPr>
        <w:t>1、招标公告；</w:t>
      </w:r>
    </w:p>
    <w:p>
      <w:pPr>
        <w:adjustRightInd w:val="0"/>
        <w:snapToGrid w:val="0"/>
        <w:spacing w:line="400" w:lineRule="exact"/>
        <w:ind w:firstLine="480" w:firstLineChars="200"/>
        <w:jc w:val="left"/>
        <w:rPr>
          <w:rFonts w:ascii="宋体" w:hAnsi="宋体"/>
          <w:sz w:val="24"/>
        </w:rPr>
      </w:pPr>
      <w:r>
        <w:rPr>
          <w:rFonts w:hint="eastAsia" w:ascii="宋体" w:hAnsi="宋体"/>
          <w:sz w:val="24"/>
        </w:rPr>
        <w:t>2、招标需求；</w:t>
      </w:r>
    </w:p>
    <w:p>
      <w:pPr>
        <w:adjustRightInd w:val="0"/>
        <w:snapToGrid w:val="0"/>
        <w:spacing w:line="400" w:lineRule="exact"/>
        <w:ind w:firstLine="480" w:firstLineChars="200"/>
        <w:jc w:val="left"/>
        <w:rPr>
          <w:rFonts w:ascii="宋体" w:hAnsi="宋体"/>
          <w:sz w:val="24"/>
        </w:rPr>
      </w:pPr>
      <w:r>
        <w:rPr>
          <w:rFonts w:hint="eastAsia" w:ascii="宋体" w:hAnsi="宋体"/>
          <w:sz w:val="24"/>
        </w:rPr>
        <w:t>3、投标人须知；</w:t>
      </w:r>
    </w:p>
    <w:p>
      <w:pPr>
        <w:adjustRightInd w:val="0"/>
        <w:snapToGrid w:val="0"/>
        <w:spacing w:line="400" w:lineRule="exact"/>
        <w:ind w:firstLine="480" w:firstLineChars="200"/>
        <w:jc w:val="left"/>
        <w:rPr>
          <w:rFonts w:ascii="宋体" w:hAnsi="宋体"/>
          <w:sz w:val="24"/>
        </w:rPr>
      </w:pPr>
      <w:r>
        <w:rPr>
          <w:rFonts w:hint="eastAsia" w:ascii="宋体" w:hAnsi="宋体"/>
          <w:sz w:val="24"/>
        </w:rPr>
        <w:t>4、评标办法及标准；</w:t>
      </w:r>
    </w:p>
    <w:p>
      <w:pPr>
        <w:adjustRightInd w:val="0"/>
        <w:snapToGrid w:val="0"/>
        <w:spacing w:line="400" w:lineRule="exact"/>
        <w:ind w:firstLine="480" w:firstLineChars="200"/>
        <w:jc w:val="left"/>
        <w:rPr>
          <w:rFonts w:ascii="宋体" w:hAnsi="宋体"/>
          <w:sz w:val="24"/>
        </w:rPr>
      </w:pPr>
      <w:r>
        <w:rPr>
          <w:rFonts w:hint="eastAsia" w:ascii="宋体" w:hAnsi="宋体"/>
          <w:sz w:val="24"/>
        </w:rPr>
        <w:t>5、合同主要条款；</w:t>
      </w:r>
    </w:p>
    <w:p>
      <w:pPr>
        <w:adjustRightInd w:val="0"/>
        <w:snapToGrid w:val="0"/>
        <w:spacing w:line="400" w:lineRule="exact"/>
        <w:ind w:firstLine="480" w:firstLineChars="200"/>
        <w:jc w:val="left"/>
        <w:rPr>
          <w:rFonts w:ascii="宋体" w:hAnsi="宋体"/>
          <w:sz w:val="24"/>
        </w:rPr>
      </w:pPr>
      <w:r>
        <w:rPr>
          <w:rFonts w:hint="eastAsia" w:ascii="宋体" w:hAnsi="宋体"/>
          <w:sz w:val="24"/>
        </w:rPr>
        <w:t xml:space="preserve">6、投标文件格式； </w:t>
      </w:r>
    </w:p>
    <w:p>
      <w:pPr>
        <w:adjustRightInd w:val="0"/>
        <w:snapToGrid w:val="0"/>
        <w:spacing w:line="400" w:lineRule="exact"/>
        <w:ind w:firstLine="480" w:firstLineChars="200"/>
        <w:jc w:val="left"/>
        <w:rPr>
          <w:rFonts w:ascii="宋体" w:hAnsi="宋体"/>
          <w:sz w:val="24"/>
        </w:rPr>
      </w:pPr>
      <w:r>
        <w:rPr>
          <w:rFonts w:hint="eastAsia" w:ascii="宋体" w:hAnsi="宋体"/>
          <w:sz w:val="24"/>
        </w:rPr>
        <w:t>7、本项目招标文件的澄清、答复、修改、补充的内容。</w:t>
      </w:r>
    </w:p>
    <w:p>
      <w:pPr>
        <w:adjustRightInd w:val="0"/>
        <w:snapToGrid w:val="0"/>
        <w:spacing w:line="400" w:lineRule="exact"/>
        <w:jc w:val="left"/>
        <w:rPr>
          <w:rFonts w:ascii="宋体" w:hAnsi="宋体"/>
          <w:b/>
          <w:sz w:val="24"/>
        </w:rPr>
      </w:pPr>
      <w:r>
        <w:rPr>
          <w:rFonts w:hint="eastAsia" w:ascii="宋体" w:hAnsi="宋体"/>
          <w:b/>
          <w:sz w:val="24"/>
        </w:rPr>
        <w:t>（二）投标人的风险</w:t>
      </w:r>
    </w:p>
    <w:p>
      <w:pPr>
        <w:adjustRightInd w:val="0"/>
        <w:snapToGrid w:val="0"/>
        <w:spacing w:line="400" w:lineRule="exact"/>
        <w:ind w:firstLine="480" w:firstLineChars="200"/>
        <w:jc w:val="left"/>
        <w:rPr>
          <w:rFonts w:ascii="宋体" w:hAnsi="宋体"/>
          <w:sz w:val="24"/>
        </w:rPr>
      </w:pPr>
      <w:r>
        <w:rPr>
          <w:rFonts w:hint="eastAsia" w:ascii="宋体" w:hAnsi="宋体"/>
          <w:sz w:val="24"/>
        </w:rPr>
        <w:t>投标人没有按照招标文件要求提供全部资料，或者投标人没有对招标文件在各方面作出实质性响应是投标人的风险，并可能导致其投标被拒绝。</w:t>
      </w:r>
    </w:p>
    <w:p>
      <w:pPr>
        <w:pStyle w:val="14"/>
        <w:widowControl w:val="0"/>
        <w:adjustRightInd w:val="0"/>
        <w:snapToGrid w:val="0"/>
        <w:spacing w:afterLines="0" w:line="400" w:lineRule="exact"/>
        <w:ind w:left="0" w:firstLine="0"/>
        <w:rPr>
          <w:rFonts w:ascii="宋体" w:hAnsi="宋体"/>
          <w:b/>
          <w:szCs w:val="24"/>
        </w:rPr>
      </w:pPr>
      <w:r>
        <w:rPr>
          <w:rFonts w:hint="eastAsia" w:ascii="宋体" w:hAnsi="宋体"/>
          <w:b/>
          <w:szCs w:val="24"/>
        </w:rPr>
        <w:t xml:space="preserve">（三）招标文件的澄清与修改 </w:t>
      </w:r>
    </w:p>
    <w:p>
      <w:pPr>
        <w:spacing w:line="400" w:lineRule="exact"/>
        <w:ind w:firstLine="480" w:firstLineChars="200"/>
        <w:outlineLvl w:val="1"/>
        <w:rPr>
          <w:rFonts w:ascii="宋体" w:hAnsi="宋体"/>
          <w:sz w:val="24"/>
        </w:rPr>
      </w:pPr>
      <w:bookmarkStart w:id="179" w:name="_Toc11404"/>
      <w:bookmarkStart w:id="180" w:name="_Toc6325"/>
      <w:bookmarkStart w:id="181" w:name="_Toc177870545"/>
      <w:bookmarkStart w:id="182" w:name="_Toc293916367"/>
      <w:bookmarkStart w:id="183" w:name="_Toc424544535"/>
      <w:bookmarkStart w:id="184" w:name="_Toc293917019"/>
      <w:bookmarkStart w:id="185" w:name="_Toc293916875"/>
      <w:bookmarkStart w:id="186" w:name="_Toc424544814"/>
      <w:bookmarkStart w:id="187" w:name="_Toc293916016"/>
      <w:r>
        <w:rPr>
          <w:rFonts w:hint="eastAsia" w:ascii="宋体" w:hAnsi="宋体"/>
          <w:sz w:val="24"/>
        </w:rPr>
        <w:t>1. 供应商对采购文件有异议的，应当在</w:t>
      </w:r>
      <w:r>
        <w:rPr>
          <w:rFonts w:hint="eastAsia" w:ascii="宋体" w:hAnsi="宋体"/>
          <w:sz w:val="24"/>
          <w:u w:val="single"/>
        </w:rPr>
        <w:t>2020年</w:t>
      </w:r>
      <w:r>
        <w:rPr>
          <w:rFonts w:hint="eastAsia" w:ascii="宋体" w:hAnsi="宋体"/>
          <w:sz w:val="24"/>
          <w:u w:val="single"/>
          <w:lang w:val="en-US" w:eastAsia="zh-CN"/>
        </w:rPr>
        <w:t>8</w:t>
      </w:r>
      <w:r>
        <w:rPr>
          <w:rFonts w:hint="eastAsia" w:ascii="宋体" w:hAnsi="宋体"/>
          <w:sz w:val="24"/>
          <w:u w:val="single"/>
        </w:rPr>
        <w:t>月</w:t>
      </w:r>
      <w:r>
        <w:rPr>
          <w:rFonts w:hint="eastAsia" w:ascii="宋体" w:hAnsi="宋体"/>
          <w:sz w:val="24"/>
          <w:u w:val="single"/>
          <w:lang w:val="en-US" w:eastAsia="zh-CN"/>
        </w:rPr>
        <w:t>13</w:t>
      </w:r>
      <w:r>
        <w:rPr>
          <w:rFonts w:hint="eastAsia" w:ascii="宋体" w:hAnsi="宋体"/>
          <w:sz w:val="24"/>
          <w:u w:val="single"/>
        </w:rPr>
        <w:t>日</w:t>
      </w:r>
      <w:r>
        <w:rPr>
          <w:rFonts w:hint="eastAsia" w:ascii="宋体" w:hAnsi="宋体"/>
          <w:sz w:val="24"/>
        </w:rPr>
        <w:t>下午17:00前以书面（含传真）形式向采购代理机构一次性提出，采购单位将在规定的时间内统一进行澄清和修改，并书面（含传真）通知所有认购采购文件的供应商。供应商未按规定要求提出的，则视同认可采购文件，但法律法规及规范性文件有明确规定的除外。采购代理机构对已发出的采购文件进行必要澄清、答复、修改或补充的，应当在采购文件要求提交投标文件截止时间15日前；采购代理机构对已发出的采购文件进行必要澄清、答复、修改或补充时间距离提交投标文件截止时间不足15日时，投标截止时间将顺延至少15日，并在浙江政府采购网上发布更正公告，同时以书面形式通知所有采购文件收受人。</w:t>
      </w:r>
      <w:bookmarkEnd w:id="179"/>
      <w:bookmarkEnd w:id="180"/>
    </w:p>
    <w:p>
      <w:pPr>
        <w:spacing w:line="400" w:lineRule="exact"/>
        <w:ind w:firstLine="480" w:firstLineChars="200"/>
        <w:outlineLvl w:val="1"/>
        <w:rPr>
          <w:rFonts w:ascii="宋体" w:hAnsi="宋体"/>
          <w:sz w:val="24"/>
        </w:rPr>
      </w:pPr>
      <w:bookmarkStart w:id="188" w:name="_Toc24540"/>
      <w:bookmarkStart w:id="189" w:name="_Toc28961"/>
      <w:r>
        <w:rPr>
          <w:rFonts w:hint="eastAsia" w:ascii="宋体" w:hAnsi="宋体"/>
          <w:sz w:val="24"/>
        </w:rPr>
        <w:t>2.采购人必须以书面形式答复投标供应商要求澄清的问题，并将不包含问题来源的答复书面通知所有购买采购文件的投标供应商；除书面答复以外的其他澄清方式及澄清内容均无效。</w:t>
      </w:r>
      <w:bookmarkEnd w:id="188"/>
      <w:bookmarkEnd w:id="189"/>
    </w:p>
    <w:p>
      <w:pPr>
        <w:spacing w:line="400" w:lineRule="exact"/>
        <w:ind w:firstLine="480" w:firstLineChars="200"/>
        <w:outlineLvl w:val="1"/>
        <w:rPr>
          <w:rFonts w:ascii="宋体" w:hAnsi="宋体"/>
          <w:sz w:val="24"/>
        </w:rPr>
      </w:pPr>
      <w:bookmarkStart w:id="190" w:name="_Toc4879"/>
      <w:bookmarkStart w:id="191" w:name="_Toc31141"/>
      <w:r>
        <w:rPr>
          <w:rFonts w:hint="eastAsia" w:ascii="宋体" w:hAnsi="宋体"/>
          <w:sz w:val="24"/>
        </w:rPr>
        <w:t>3.采购文件澄清、答复、修改、补充的内容为采购文件的组成部分。当采购文件与采购文件的答复、澄清、修改、补充通知就同一内容的表述不一致时，以最后发出的书面文件为准。</w:t>
      </w:r>
      <w:bookmarkEnd w:id="190"/>
      <w:bookmarkEnd w:id="191"/>
    </w:p>
    <w:p>
      <w:pPr>
        <w:spacing w:line="400" w:lineRule="exact"/>
        <w:ind w:firstLine="480" w:firstLineChars="200"/>
        <w:outlineLvl w:val="1"/>
        <w:rPr>
          <w:rFonts w:ascii="宋体" w:hAnsi="宋体"/>
          <w:sz w:val="24"/>
        </w:rPr>
      </w:pPr>
      <w:bookmarkStart w:id="192" w:name="_Toc15936"/>
      <w:bookmarkStart w:id="193" w:name="_Toc17262"/>
      <w:r>
        <w:rPr>
          <w:rFonts w:hint="eastAsia" w:ascii="宋体" w:hAnsi="宋体"/>
          <w:sz w:val="24"/>
        </w:rPr>
        <w:t>4.采购文件的澄清、答复、修改或补充都应该通过代理机构以法定形式发布，采购人非通过代理机构，不得擅自澄清、答复、修改或补充采购文件。</w:t>
      </w:r>
      <w:bookmarkEnd w:id="192"/>
      <w:bookmarkEnd w:id="193"/>
    </w:p>
    <w:p>
      <w:pPr>
        <w:spacing w:line="400" w:lineRule="exact"/>
        <w:outlineLvl w:val="1"/>
        <w:rPr>
          <w:rFonts w:ascii="宋体" w:hAnsi="宋体"/>
          <w:b/>
          <w:bCs/>
          <w:sz w:val="24"/>
        </w:rPr>
      </w:pPr>
      <w:bookmarkStart w:id="194" w:name="_Toc26778"/>
      <w:r>
        <w:rPr>
          <w:rFonts w:hint="eastAsia" w:ascii="宋体" w:hAnsi="宋体"/>
          <w:b/>
          <w:bCs/>
          <w:sz w:val="24"/>
        </w:rPr>
        <w:t>三、投标文件</w:t>
      </w:r>
      <w:bookmarkEnd w:id="181"/>
      <w:r>
        <w:rPr>
          <w:rFonts w:hint="eastAsia" w:ascii="宋体" w:hAnsi="宋体"/>
          <w:b/>
          <w:bCs/>
          <w:sz w:val="24"/>
        </w:rPr>
        <w:t>的编制</w:t>
      </w:r>
      <w:bookmarkEnd w:id="182"/>
      <w:bookmarkEnd w:id="183"/>
      <w:bookmarkEnd w:id="184"/>
      <w:bookmarkEnd w:id="185"/>
      <w:bookmarkEnd w:id="186"/>
      <w:bookmarkEnd w:id="187"/>
      <w:bookmarkEnd w:id="194"/>
    </w:p>
    <w:p>
      <w:pPr>
        <w:spacing w:line="400" w:lineRule="exact"/>
        <w:outlineLvl w:val="1"/>
        <w:rPr>
          <w:rFonts w:ascii="宋体" w:hAnsi="宋体"/>
          <w:sz w:val="24"/>
        </w:rPr>
      </w:pPr>
      <w:bookmarkStart w:id="195" w:name="_Toc13465"/>
      <w:bookmarkStart w:id="196" w:name="_Toc22953"/>
      <w:r>
        <w:rPr>
          <w:rFonts w:hint="eastAsia" w:ascii="宋体" w:hAnsi="宋体"/>
          <w:sz w:val="24"/>
        </w:rPr>
        <w:t>（一）投标文件的形式和效力：</w:t>
      </w:r>
      <w:bookmarkEnd w:id="195"/>
      <w:bookmarkEnd w:id="196"/>
    </w:p>
    <w:p>
      <w:pPr>
        <w:spacing w:line="400" w:lineRule="exact"/>
        <w:outlineLvl w:val="1"/>
        <w:rPr>
          <w:rFonts w:ascii="宋体" w:hAnsi="宋体"/>
          <w:sz w:val="24"/>
        </w:rPr>
      </w:pPr>
      <w:bookmarkStart w:id="197" w:name="_Toc6776"/>
      <w:bookmarkStart w:id="198" w:name="_Toc22127"/>
      <w:r>
        <w:rPr>
          <w:rFonts w:hint="eastAsia" w:ascii="宋体" w:hAnsi="宋体"/>
          <w:sz w:val="24"/>
        </w:rPr>
        <w:t>1.投标文件的形式</w:t>
      </w:r>
      <w:bookmarkEnd w:id="197"/>
      <w:bookmarkEnd w:id="198"/>
    </w:p>
    <w:p>
      <w:pPr>
        <w:spacing w:line="400" w:lineRule="exact"/>
        <w:ind w:firstLine="480" w:firstLineChars="200"/>
        <w:outlineLvl w:val="1"/>
        <w:rPr>
          <w:rFonts w:ascii="宋体" w:hAnsi="宋体"/>
          <w:sz w:val="24"/>
        </w:rPr>
      </w:pPr>
      <w:bookmarkStart w:id="199" w:name="_Toc15112"/>
      <w:bookmarkStart w:id="200" w:name="_Toc27277"/>
      <w:r>
        <w:rPr>
          <w:rFonts w:hint="eastAsia" w:ascii="宋体" w:hAnsi="宋体"/>
          <w:sz w:val="24"/>
        </w:rPr>
        <w:t>（1）电子投标文件：按政采云平台项目采购-电子交易操作指南及本采购文件要求制</w:t>
      </w:r>
      <w:bookmarkEnd w:id="199"/>
      <w:bookmarkEnd w:id="200"/>
    </w:p>
    <w:p>
      <w:pPr>
        <w:spacing w:line="400" w:lineRule="exact"/>
        <w:outlineLvl w:val="1"/>
        <w:rPr>
          <w:rFonts w:ascii="宋体" w:hAnsi="宋体"/>
          <w:sz w:val="24"/>
        </w:rPr>
      </w:pPr>
      <w:bookmarkStart w:id="201" w:name="_Toc5003"/>
      <w:bookmarkStart w:id="202" w:name="_Toc32128"/>
      <w:r>
        <w:rPr>
          <w:rFonts w:hint="eastAsia" w:ascii="宋体" w:hAnsi="宋体"/>
          <w:sz w:val="24"/>
        </w:rPr>
        <w:t>作、加密并递交，供应商电子交易操作指南详见网址：</w:t>
      </w:r>
      <w:bookmarkEnd w:id="201"/>
      <w:bookmarkEnd w:id="202"/>
    </w:p>
    <w:p>
      <w:pPr>
        <w:spacing w:line="400" w:lineRule="exact"/>
        <w:outlineLvl w:val="1"/>
        <w:rPr>
          <w:rFonts w:ascii="宋体" w:hAnsi="宋体"/>
          <w:sz w:val="24"/>
        </w:rPr>
      </w:pPr>
      <w:bookmarkStart w:id="203" w:name="_Toc25139"/>
      <w:bookmarkStart w:id="204" w:name="_Toc29145"/>
      <w:r>
        <w:rPr>
          <w:rFonts w:hint="eastAsia" w:ascii="宋体" w:hAnsi="宋体"/>
          <w:sz w:val="24"/>
        </w:rPr>
        <w:t>https://help.zcygov.cn/web/site_2/2018/12-28/2573.html）。</w:t>
      </w:r>
      <w:bookmarkEnd w:id="203"/>
      <w:bookmarkEnd w:id="204"/>
    </w:p>
    <w:p>
      <w:pPr>
        <w:spacing w:line="400" w:lineRule="exact"/>
        <w:ind w:firstLine="480" w:firstLineChars="200"/>
        <w:outlineLvl w:val="1"/>
        <w:rPr>
          <w:rFonts w:ascii="宋体" w:hAnsi="宋体"/>
          <w:sz w:val="24"/>
        </w:rPr>
      </w:pPr>
      <w:bookmarkStart w:id="205" w:name="_Toc31014"/>
      <w:bookmarkStart w:id="206" w:name="_Toc7194"/>
      <w:r>
        <w:rPr>
          <w:rFonts w:hint="eastAsia" w:ascii="宋体" w:hAnsi="宋体"/>
          <w:sz w:val="24"/>
        </w:rPr>
        <w:t>（2）备份投标文件（U 盘）：以 U 盘形式提供的数据电子备份投标文件格式及内容须与政采云平台项目采购-电子交易操作指南中制作、加密并递交的电子投标文件格式及内容一致。</w:t>
      </w:r>
      <w:bookmarkEnd w:id="205"/>
      <w:bookmarkEnd w:id="206"/>
    </w:p>
    <w:p>
      <w:pPr>
        <w:spacing w:line="400" w:lineRule="exact"/>
        <w:outlineLvl w:val="1"/>
        <w:rPr>
          <w:rFonts w:ascii="宋体" w:hAnsi="宋体"/>
          <w:sz w:val="24"/>
        </w:rPr>
      </w:pPr>
      <w:bookmarkStart w:id="207" w:name="_Toc6089"/>
      <w:bookmarkStart w:id="208" w:name="_Toc19480"/>
      <w:r>
        <w:rPr>
          <w:rFonts w:hint="eastAsia" w:ascii="宋体" w:hAnsi="宋体"/>
          <w:sz w:val="24"/>
        </w:rPr>
        <w:t>2.投标文件的效力</w:t>
      </w:r>
      <w:bookmarkEnd w:id="207"/>
      <w:bookmarkEnd w:id="208"/>
    </w:p>
    <w:p>
      <w:pPr>
        <w:spacing w:line="400" w:lineRule="exact"/>
        <w:ind w:firstLine="480" w:firstLineChars="200"/>
        <w:outlineLvl w:val="1"/>
        <w:rPr>
          <w:rFonts w:ascii="宋体" w:hAnsi="宋体"/>
          <w:sz w:val="24"/>
        </w:rPr>
      </w:pPr>
      <w:bookmarkStart w:id="209" w:name="_Toc6038"/>
      <w:bookmarkStart w:id="210" w:name="_Toc5911"/>
      <w:r>
        <w:rPr>
          <w:rFonts w:hint="eastAsia" w:ascii="宋体" w:hAnsi="宋体"/>
          <w:sz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供应商仅提交“备份投标文件”的，投标无效。</w:t>
      </w:r>
      <w:bookmarkEnd w:id="209"/>
      <w:bookmarkEnd w:id="210"/>
    </w:p>
    <w:p>
      <w:pPr>
        <w:spacing w:line="400" w:lineRule="exact"/>
        <w:ind w:firstLine="480" w:firstLineChars="200"/>
        <w:outlineLvl w:val="1"/>
        <w:rPr>
          <w:rFonts w:ascii="宋体" w:hAnsi="宋体"/>
          <w:b/>
          <w:sz w:val="24"/>
        </w:rPr>
      </w:pPr>
      <w:r>
        <w:rPr>
          <w:rFonts w:hint="eastAsia" w:ascii="宋体" w:hAnsi="宋体"/>
          <w:b/>
          <w:sz w:val="24"/>
        </w:rPr>
        <w:t>为保障解密成功，建议参加开标会议的供应商携带笔记本电脑及CA数字证书至开标现场完成传输、解密等事宜（交易中心不提供无线网络，请供应商自行解决上网问题）。</w:t>
      </w:r>
    </w:p>
    <w:p>
      <w:pPr>
        <w:adjustRightInd w:val="0"/>
        <w:snapToGrid w:val="0"/>
        <w:spacing w:line="400" w:lineRule="exact"/>
        <w:jc w:val="left"/>
        <w:rPr>
          <w:rFonts w:ascii="宋体" w:hAnsi="宋体"/>
          <w:b/>
          <w:sz w:val="24"/>
        </w:rPr>
      </w:pPr>
      <w:bookmarkStart w:id="211" w:name="_Toc177870546"/>
      <w:bookmarkStart w:id="212" w:name="_Toc177825124"/>
      <w:bookmarkStart w:id="213" w:name="_Toc177824943"/>
      <w:bookmarkStart w:id="214" w:name="_Toc177824876"/>
      <w:bookmarkStart w:id="215" w:name="_Toc293916368"/>
      <w:bookmarkStart w:id="216" w:name="_Toc293916017"/>
      <w:r>
        <w:rPr>
          <w:rFonts w:hint="eastAsia" w:ascii="宋体" w:hAnsi="宋体"/>
          <w:b/>
          <w:sz w:val="24"/>
        </w:rPr>
        <w:t>（</w:t>
      </w:r>
      <w:r>
        <w:rPr>
          <w:rFonts w:hint="eastAsia" w:ascii="宋体" w:hAnsi="宋体"/>
          <w:sz w:val="24"/>
        </w:rPr>
        <w:t>二</w:t>
      </w:r>
      <w:r>
        <w:rPr>
          <w:rFonts w:hint="eastAsia" w:ascii="宋体" w:hAnsi="宋体"/>
          <w:b/>
          <w:sz w:val="24"/>
        </w:rPr>
        <w:t>）投标文件的组成</w:t>
      </w:r>
      <w:bookmarkEnd w:id="211"/>
      <w:bookmarkEnd w:id="212"/>
      <w:bookmarkEnd w:id="213"/>
      <w:bookmarkEnd w:id="214"/>
      <w:bookmarkEnd w:id="215"/>
      <w:bookmarkEnd w:id="216"/>
    </w:p>
    <w:p>
      <w:pPr>
        <w:adjustRightInd w:val="0"/>
        <w:snapToGrid w:val="0"/>
        <w:spacing w:line="400" w:lineRule="exact"/>
        <w:jc w:val="left"/>
        <w:rPr>
          <w:rFonts w:ascii="宋体" w:hAnsi="宋体"/>
          <w:b/>
          <w:sz w:val="24"/>
          <w:u w:val="single"/>
        </w:rPr>
      </w:pPr>
      <w:r>
        <w:rPr>
          <w:rFonts w:hint="eastAsia" w:ascii="宋体" w:hAnsi="宋体"/>
          <w:sz w:val="24"/>
        </w:rPr>
        <w:t>投标文件由《资格文件》、《技术、商务、资信及其他文件》、《报价文件》三部份组成。</w:t>
      </w:r>
    </w:p>
    <w:p>
      <w:pPr>
        <w:adjustRightInd w:val="0"/>
        <w:snapToGrid w:val="0"/>
        <w:spacing w:line="400" w:lineRule="exact"/>
        <w:ind w:firstLine="480" w:firstLineChars="200"/>
        <w:jc w:val="left"/>
        <w:rPr>
          <w:rFonts w:ascii="宋体" w:hAnsi="宋体"/>
          <w:sz w:val="24"/>
        </w:rPr>
      </w:pPr>
      <w:bookmarkStart w:id="217" w:name="_Toc177824944"/>
      <w:bookmarkStart w:id="218" w:name="_Toc177825125"/>
      <w:bookmarkStart w:id="219" w:name="_Toc177824877"/>
      <w:bookmarkStart w:id="220" w:name="_Toc177870547"/>
      <w:r>
        <w:rPr>
          <w:rFonts w:hint="eastAsia" w:ascii="宋体" w:hAnsi="宋体"/>
          <w:sz w:val="24"/>
        </w:rPr>
        <w:t>一、资格文件：</w:t>
      </w:r>
    </w:p>
    <w:p>
      <w:pPr>
        <w:adjustRightInd w:val="0"/>
        <w:snapToGrid w:val="0"/>
        <w:spacing w:line="400" w:lineRule="exact"/>
        <w:ind w:firstLine="480" w:firstLineChars="200"/>
        <w:jc w:val="left"/>
        <w:rPr>
          <w:rFonts w:ascii="宋体" w:hAnsi="宋体"/>
          <w:sz w:val="24"/>
        </w:rPr>
      </w:pPr>
      <w:r>
        <w:rPr>
          <w:rFonts w:hint="eastAsia" w:ascii="宋体" w:hAnsi="宋体"/>
          <w:sz w:val="24"/>
        </w:rPr>
        <w:t>1、法定代表人身份证明书或法定代表人授权委托书；</w:t>
      </w:r>
    </w:p>
    <w:p>
      <w:pPr>
        <w:adjustRightInd w:val="0"/>
        <w:snapToGrid w:val="0"/>
        <w:spacing w:line="400" w:lineRule="exact"/>
        <w:ind w:firstLine="480" w:firstLineChars="200"/>
        <w:jc w:val="left"/>
        <w:rPr>
          <w:rFonts w:ascii="宋体" w:hAnsi="宋体"/>
          <w:sz w:val="24"/>
        </w:rPr>
      </w:pPr>
      <w:r>
        <w:rPr>
          <w:rFonts w:hint="eastAsia" w:ascii="宋体" w:hAnsi="宋体"/>
          <w:sz w:val="24"/>
        </w:rPr>
        <w:t>2、有效的企业营业执照、税务登记证；或“三证合一”的营业执照；或“五证合一”的营业执照；</w:t>
      </w:r>
    </w:p>
    <w:p>
      <w:pPr>
        <w:adjustRightInd w:val="0"/>
        <w:snapToGrid w:val="0"/>
        <w:spacing w:line="400" w:lineRule="exact"/>
        <w:ind w:firstLine="480" w:firstLineChars="200"/>
        <w:jc w:val="left"/>
        <w:rPr>
          <w:rFonts w:ascii="宋体" w:hAnsi="宋体"/>
          <w:sz w:val="24"/>
        </w:rPr>
      </w:pPr>
      <w:r>
        <w:rPr>
          <w:rFonts w:hint="eastAsia" w:ascii="宋体" w:hAnsi="宋体"/>
          <w:sz w:val="24"/>
        </w:rPr>
        <w:t>3、资质证书；</w:t>
      </w:r>
    </w:p>
    <w:p>
      <w:pPr>
        <w:adjustRightInd w:val="0"/>
        <w:snapToGrid w:val="0"/>
        <w:spacing w:line="400" w:lineRule="exact"/>
        <w:ind w:firstLine="480" w:firstLineChars="200"/>
        <w:jc w:val="left"/>
        <w:rPr>
          <w:rFonts w:ascii="宋体" w:hAnsi="宋体"/>
          <w:sz w:val="24"/>
        </w:rPr>
      </w:pPr>
      <w:r>
        <w:rPr>
          <w:rFonts w:hint="eastAsia" w:ascii="宋体" w:hAnsi="宋体"/>
          <w:sz w:val="24"/>
        </w:rPr>
        <w:t>4、投标人最近一个季度依法缴纳税收和社保费的证明[税费凭证复印件，或者依法缴纳税费或依法免缴税费的证明]；</w:t>
      </w:r>
    </w:p>
    <w:p>
      <w:pPr>
        <w:adjustRightInd w:val="0"/>
        <w:snapToGrid w:val="0"/>
        <w:spacing w:line="400" w:lineRule="exact"/>
        <w:ind w:firstLine="480" w:firstLineChars="200"/>
        <w:jc w:val="left"/>
        <w:rPr>
          <w:rFonts w:ascii="宋体" w:hAnsi="宋体"/>
          <w:sz w:val="24"/>
        </w:rPr>
      </w:pPr>
      <w:r>
        <w:rPr>
          <w:rFonts w:hint="eastAsia" w:ascii="宋体" w:hAnsi="宋体"/>
          <w:sz w:val="24"/>
        </w:rPr>
        <w:t>5、提供自招标公告发布之后任意时间的“信用中国”（www.creditchina.gov.cn ）、中国政府采购（www.ccgp.gov.cn ）投标人信用查询网页截图（二者缺一不可）；</w:t>
      </w:r>
    </w:p>
    <w:p>
      <w:pPr>
        <w:adjustRightInd w:val="0"/>
        <w:snapToGrid w:val="0"/>
        <w:spacing w:line="400" w:lineRule="exact"/>
        <w:ind w:firstLine="480" w:firstLineChars="200"/>
        <w:jc w:val="left"/>
        <w:rPr>
          <w:rFonts w:ascii="宋体" w:hAnsi="宋体"/>
          <w:sz w:val="24"/>
        </w:rPr>
      </w:pPr>
      <w:r>
        <w:rPr>
          <w:rFonts w:hint="eastAsia" w:ascii="宋体" w:hAnsi="宋体"/>
          <w:sz w:val="24"/>
        </w:rPr>
        <w:t>6、投标声明书；</w:t>
      </w:r>
    </w:p>
    <w:p>
      <w:pPr>
        <w:adjustRightInd w:val="0"/>
        <w:snapToGrid w:val="0"/>
        <w:spacing w:line="400" w:lineRule="exact"/>
        <w:ind w:firstLine="480" w:firstLineChars="200"/>
        <w:jc w:val="left"/>
        <w:rPr>
          <w:rFonts w:ascii="宋体" w:hAnsi="宋体"/>
          <w:sz w:val="24"/>
        </w:rPr>
      </w:pPr>
      <w:r>
        <w:rPr>
          <w:rFonts w:hint="eastAsia" w:ascii="宋体" w:hAnsi="宋体"/>
          <w:sz w:val="24"/>
        </w:rPr>
        <w:t>7、信用承诺书。</w:t>
      </w:r>
    </w:p>
    <w:p>
      <w:pPr>
        <w:adjustRightInd w:val="0"/>
        <w:snapToGrid w:val="0"/>
        <w:spacing w:line="400" w:lineRule="exact"/>
        <w:ind w:firstLine="480" w:firstLineChars="200"/>
        <w:jc w:val="left"/>
        <w:rPr>
          <w:rFonts w:ascii="宋体" w:hAnsi="宋体"/>
          <w:sz w:val="24"/>
        </w:rPr>
      </w:pPr>
      <w:r>
        <w:rPr>
          <w:rFonts w:hint="eastAsia" w:ascii="宋体" w:hAnsi="宋体"/>
          <w:sz w:val="24"/>
        </w:rPr>
        <w:t>二、技术、商务、资信文件：</w:t>
      </w:r>
    </w:p>
    <w:p>
      <w:pPr>
        <w:adjustRightInd w:val="0"/>
        <w:snapToGrid w:val="0"/>
        <w:spacing w:line="400" w:lineRule="exact"/>
        <w:ind w:firstLine="480" w:firstLineChars="200"/>
        <w:jc w:val="left"/>
        <w:rPr>
          <w:rFonts w:ascii="宋体" w:hAnsi="宋体"/>
          <w:sz w:val="24"/>
        </w:rPr>
      </w:pPr>
      <w:r>
        <w:rPr>
          <w:rFonts w:hint="eastAsia" w:ascii="宋体" w:hAnsi="宋体"/>
          <w:sz w:val="24"/>
        </w:rPr>
        <w:t>1、自评分表（格式自拟）；</w:t>
      </w:r>
    </w:p>
    <w:p>
      <w:pPr>
        <w:adjustRightInd w:val="0"/>
        <w:snapToGrid w:val="0"/>
        <w:spacing w:line="400" w:lineRule="exact"/>
        <w:ind w:firstLine="480" w:firstLineChars="200"/>
        <w:jc w:val="left"/>
        <w:rPr>
          <w:rFonts w:ascii="宋体" w:hAnsi="宋体"/>
          <w:sz w:val="24"/>
        </w:rPr>
      </w:pPr>
      <w:r>
        <w:rPr>
          <w:rFonts w:hint="eastAsia" w:ascii="宋体" w:hAnsi="宋体"/>
          <w:sz w:val="24"/>
        </w:rPr>
        <w:t>2、对本项目需求的理解与建设方案；</w:t>
      </w:r>
    </w:p>
    <w:p>
      <w:pPr>
        <w:adjustRightInd w:val="0"/>
        <w:snapToGrid w:val="0"/>
        <w:spacing w:line="400" w:lineRule="exact"/>
        <w:ind w:firstLine="480" w:firstLineChars="200"/>
        <w:jc w:val="left"/>
        <w:rPr>
          <w:rFonts w:ascii="宋体" w:hAnsi="宋体"/>
          <w:sz w:val="24"/>
        </w:rPr>
      </w:pPr>
      <w:r>
        <w:rPr>
          <w:rFonts w:hint="eastAsia" w:ascii="宋体" w:hAnsi="宋体"/>
          <w:sz w:val="24"/>
        </w:rPr>
        <w:t>3、功能及架构；</w:t>
      </w:r>
    </w:p>
    <w:p>
      <w:pPr>
        <w:adjustRightInd w:val="0"/>
        <w:snapToGrid w:val="0"/>
        <w:spacing w:line="400" w:lineRule="exact"/>
        <w:ind w:firstLine="480" w:firstLineChars="200"/>
        <w:jc w:val="left"/>
        <w:rPr>
          <w:rFonts w:ascii="宋体" w:hAnsi="宋体"/>
          <w:sz w:val="24"/>
        </w:rPr>
      </w:pPr>
      <w:r>
        <w:rPr>
          <w:rFonts w:hint="eastAsia" w:ascii="宋体" w:hAnsi="宋体"/>
          <w:sz w:val="24"/>
        </w:rPr>
        <w:t>4、项目组织实施；</w:t>
      </w:r>
    </w:p>
    <w:p>
      <w:pPr>
        <w:adjustRightInd w:val="0"/>
        <w:snapToGrid w:val="0"/>
        <w:spacing w:line="400" w:lineRule="exact"/>
        <w:ind w:firstLine="480" w:firstLineChars="200"/>
        <w:jc w:val="left"/>
        <w:rPr>
          <w:rFonts w:ascii="宋体" w:hAnsi="宋体"/>
          <w:sz w:val="24"/>
        </w:rPr>
      </w:pPr>
      <w:r>
        <w:rPr>
          <w:rFonts w:hint="eastAsia" w:ascii="宋体" w:hAnsi="宋体"/>
          <w:sz w:val="24"/>
        </w:rPr>
        <w:t>5、售后服务、培训及服务承诺；</w:t>
      </w:r>
    </w:p>
    <w:p>
      <w:pPr>
        <w:adjustRightInd w:val="0"/>
        <w:snapToGrid w:val="0"/>
        <w:spacing w:line="400" w:lineRule="exact"/>
        <w:ind w:firstLine="480" w:firstLineChars="200"/>
        <w:jc w:val="left"/>
        <w:rPr>
          <w:rFonts w:ascii="宋体" w:hAnsi="宋体"/>
          <w:sz w:val="24"/>
        </w:rPr>
      </w:pPr>
      <w:r>
        <w:rPr>
          <w:rFonts w:hint="eastAsia" w:ascii="宋体" w:hAnsi="宋体"/>
          <w:sz w:val="24"/>
        </w:rPr>
        <w:t>6、政策分相关证明资料；</w:t>
      </w:r>
    </w:p>
    <w:p>
      <w:pPr>
        <w:adjustRightInd w:val="0"/>
        <w:snapToGrid w:val="0"/>
        <w:spacing w:line="400" w:lineRule="exact"/>
        <w:ind w:firstLine="480" w:firstLineChars="200"/>
        <w:jc w:val="left"/>
        <w:rPr>
          <w:rFonts w:ascii="宋体" w:hAnsi="宋体"/>
          <w:sz w:val="24"/>
        </w:rPr>
      </w:pPr>
      <w:r>
        <w:rPr>
          <w:rFonts w:hint="eastAsia" w:ascii="宋体" w:hAnsi="宋体"/>
          <w:sz w:val="24"/>
        </w:rPr>
        <w:t>7、业绩证明材料；</w:t>
      </w:r>
    </w:p>
    <w:p>
      <w:pPr>
        <w:adjustRightInd w:val="0"/>
        <w:snapToGrid w:val="0"/>
        <w:spacing w:line="400" w:lineRule="exact"/>
        <w:ind w:firstLine="480" w:firstLineChars="200"/>
        <w:jc w:val="left"/>
        <w:rPr>
          <w:rFonts w:ascii="宋体" w:hAnsi="宋体"/>
          <w:sz w:val="24"/>
        </w:rPr>
      </w:pPr>
      <w:r>
        <w:rPr>
          <w:rFonts w:hint="eastAsia" w:ascii="宋体" w:hAnsi="宋体"/>
          <w:sz w:val="24"/>
        </w:rPr>
        <w:t>8、商务响应表；</w:t>
      </w:r>
    </w:p>
    <w:p>
      <w:pPr>
        <w:adjustRightInd w:val="0"/>
        <w:snapToGrid w:val="0"/>
        <w:spacing w:line="400" w:lineRule="exact"/>
        <w:ind w:firstLine="480" w:firstLineChars="200"/>
        <w:jc w:val="left"/>
        <w:rPr>
          <w:rFonts w:ascii="宋体" w:hAnsi="宋体"/>
          <w:sz w:val="24"/>
        </w:rPr>
      </w:pPr>
      <w:r>
        <w:rPr>
          <w:rFonts w:hint="eastAsia" w:ascii="宋体" w:hAnsi="宋体"/>
          <w:sz w:val="24"/>
        </w:rPr>
        <w:t>9、投标人认为可以证明其能力或业绩的其他材料；</w:t>
      </w:r>
    </w:p>
    <w:p>
      <w:pPr>
        <w:adjustRightInd w:val="0"/>
        <w:snapToGrid w:val="0"/>
        <w:spacing w:line="400" w:lineRule="exact"/>
        <w:ind w:firstLine="480" w:firstLineChars="200"/>
        <w:jc w:val="left"/>
        <w:rPr>
          <w:rFonts w:ascii="宋体" w:hAnsi="宋体"/>
          <w:sz w:val="24"/>
        </w:rPr>
      </w:pPr>
      <w:r>
        <w:rPr>
          <w:rFonts w:hint="eastAsia" w:ascii="宋体" w:hAnsi="宋体"/>
          <w:sz w:val="24"/>
        </w:rPr>
        <w:t>10、投标人需要说明的其他文件和说明（格式自拟）。</w:t>
      </w:r>
    </w:p>
    <w:p>
      <w:pPr>
        <w:adjustRightInd w:val="0"/>
        <w:snapToGrid w:val="0"/>
        <w:spacing w:line="400" w:lineRule="exact"/>
        <w:ind w:firstLine="480" w:firstLineChars="200"/>
        <w:jc w:val="left"/>
        <w:rPr>
          <w:rFonts w:ascii="宋体" w:hAnsi="宋体"/>
          <w:sz w:val="24"/>
        </w:rPr>
      </w:pPr>
      <w:r>
        <w:rPr>
          <w:rFonts w:hint="eastAsia" w:ascii="宋体" w:hAnsi="宋体"/>
          <w:sz w:val="24"/>
        </w:rPr>
        <w:t>注：以上资料均要求提供复印件并加盖企业公章。</w:t>
      </w:r>
    </w:p>
    <w:p>
      <w:pPr>
        <w:adjustRightInd w:val="0"/>
        <w:snapToGrid w:val="0"/>
        <w:spacing w:line="400" w:lineRule="exact"/>
        <w:ind w:firstLine="480" w:firstLineChars="200"/>
        <w:jc w:val="left"/>
        <w:rPr>
          <w:rFonts w:ascii="宋体" w:hAnsi="宋体"/>
          <w:sz w:val="24"/>
        </w:rPr>
      </w:pPr>
      <w:r>
        <w:rPr>
          <w:rFonts w:hint="eastAsia" w:ascii="宋体" w:hAnsi="宋体"/>
          <w:sz w:val="24"/>
        </w:rPr>
        <w:t>三、报价文件：</w:t>
      </w:r>
    </w:p>
    <w:p>
      <w:pPr>
        <w:adjustRightInd w:val="0"/>
        <w:snapToGrid w:val="0"/>
        <w:spacing w:line="400" w:lineRule="exact"/>
        <w:ind w:firstLine="480" w:firstLineChars="200"/>
        <w:jc w:val="left"/>
        <w:rPr>
          <w:rFonts w:ascii="宋体" w:hAnsi="宋体"/>
          <w:sz w:val="24"/>
        </w:rPr>
      </w:pPr>
      <w:r>
        <w:rPr>
          <w:rFonts w:hint="eastAsia" w:ascii="宋体" w:hAnsi="宋体"/>
          <w:sz w:val="24"/>
        </w:rPr>
        <w:t>1、开标一览表；</w:t>
      </w:r>
    </w:p>
    <w:p>
      <w:pPr>
        <w:adjustRightInd w:val="0"/>
        <w:snapToGrid w:val="0"/>
        <w:spacing w:line="400" w:lineRule="exact"/>
        <w:ind w:firstLine="480" w:firstLineChars="200"/>
        <w:jc w:val="left"/>
        <w:rPr>
          <w:rFonts w:ascii="宋体" w:hAnsi="宋体"/>
          <w:sz w:val="24"/>
        </w:rPr>
      </w:pPr>
      <w:r>
        <w:rPr>
          <w:rFonts w:hint="eastAsia" w:ascii="宋体" w:hAnsi="宋体"/>
          <w:sz w:val="24"/>
        </w:rPr>
        <w:t>2、投标函；</w:t>
      </w:r>
    </w:p>
    <w:p>
      <w:pPr>
        <w:adjustRightInd w:val="0"/>
        <w:snapToGrid w:val="0"/>
        <w:spacing w:line="400" w:lineRule="exact"/>
        <w:ind w:firstLine="480" w:firstLineChars="200"/>
        <w:jc w:val="left"/>
        <w:rPr>
          <w:rFonts w:ascii="宋体" w:hAnsi="宋体"/>
          <w:sz w:val="24"/>
        </w:rPr>
      </w:pPr>
      <w:r>
        <w:rPr>
          <w:rFonts w:hint="eastAsia" w:ascii="宋体" w:hAnsi="宋体"/>
          <w:sz w:val="24"/>
        </w:rPr>
        <w:t>3、招标代理服务费承诺函；</w:t>
      </w:r>
    </w:p>
    <w:p>
      <w:pPr>
        <w:adjustRightInd w:val="0"/>
        <w:snapToGrid w:val="0"/>
        <w:spacing w:line="400" w:lineRule="exact"/>
        <w:ind w:firstLine="480" w:firstLineChars="200"/>
        <w:jc w:val="left"/>
        <w:rPr>
          <w:rFonts w:ascii="宋体" w:hAnsi="宋体"/>
          <w:sz w:val="24"/>
        </w:rPr>
      </w:pPr>
      <w:r>
        <w:rPr>
          <w:rFonts w:hint="eastAsia" w:ascii="宋体" w:hAnsi="宋体"/>
          <w:sz w:val="24"/>
        </w:rPr>
        <w:t>4、投标人针对报价需要说明的其他文件和说明（格式自拟）。</w:t>
      </w:r>
    </w:p>
    <w:p>
      <w:pPr>
        <w:adjustRightInd w:val="0"/>
        <w:snapToGrid w:val="0"/>
        <w:spacing w:line="400" w:lineRule="exact"/>
        <w:ind w:firstLine="480" w:firstLineChars="200"/>
        <w:jc w:val="left"/>
        <w:rPr>
          <w:rFonts w:ascii="宋体" w:hAnsi="宋体"/>
          <w:sz w:val="24"/>
        </w:rPr>
      </w:pPr>
      <w:r>
        <w:rPr>
          <w:rFonts w:hint="eastAsia" w:ascii="宋体" w:hAnsi="宋体"/>
          <w:sz w:val="24"/>
        </w:rPr>
        <w:t>▲注：法定代表人授权委托书、投标声明书、投标函、开标一览表必须由法定代表人签名并加盖单位公章。</w:t>
      </w:r>
    </w:p>
    <w:p>
      <w:pPr>
        <w:pStyle w:val="7"/>
        <w:spacing w:line="240" w:lineRule="auto"/>
        <w:ind w:firstLine="480" w:firstLineChars="200"/>
        <w:rPr>
          <w:rFonts w:ascii="宋体" w:hAnsi="宋体" w:eastAsia="微软雅黑"/>
          <w:b w:val="0"/>
          <w:bCs w:val="0"/>
          <w:sz w:val="24"/>
          <w:szCs w:val="21"/>
        </w:rPr>
      </w:pPr>
      <w:r>
        <w:rPr>
          <w:rFonts w:hint="eastAsia" w:ascii="宋体" w:hAnsi="宋体" w:eastAsia="微软雅黑"/>
          <w:b w:val="0"/>
          <w:bCs w:val="0"/>
          <w:sz w:val="24"/>
          <w:szCs w:val="21"/>
        </w:rPr>
        <w:t>投标文件须提供复印件并加盖企业公章，需提供原件的，供应商应在投标截止时间前将相关原件拍照发送至指定邮箱（</w:t>
      </w:r>
      <w:r>
        <w:fldChar w:fldCharType="begin"/>
      </w:r>
      <w:r>
        <w:instrText xml:space="preserve"> HYPERLINK "mailto:43846101@qq.com" </w:instrText>
      </w:r>
      <w:r>
        <w:fldChar w:fldCharType="separate"/>
      </w:r>
      <w:r>
        <w:rPr>
          <w:rFonts w:hint="eastAsia" w:ascii="宋体" w:hAnsi="宋体" w:eastAsia="微软雅黑"/>
          <w:b w:val="0"/>
          <w:bCs w:val="0"/>
          <w:sz w:val="24"/>
          <w:szCs w:val="21"/>
        </w:rPr>
        <w:t>2411406203@qq.com</w:t>
      </w:r>
      <w:r>
        <w:rPr>
          <w:rFonts w:hint="eastAsia" w:ascii="宋体" w:hAnsi="宋体" w:eastAsia="微软雅黑"/>
          <w:b w:val="0"/>
          <w:bCs w:val="0"/>
          <w:sz w:val="24"/>
          <w:szCs w:val="21"/>
        </w:rPr>
        <w:fldChar w:fldCharType="end"/>
      </w:r>
      <w:r>
        <w:rPr>
          <w:rFonts w:hint="eastAsia" w:ascii="宋体" w:hAnsi="宋体" w:eastAsia="微软雅黑"/>
          <w:b w:val="0"/>
          <w:bCs w:val="0"/>
          <w:sz w:val="24"/>
          <w:szCs w:val="21"/>
        </w:rPr>
        <w:t>）备查，若由于未发送原件至指定邮箱而引起的不利于供应商的评判，责任由供应商自负。</w:t>
      </w:r>
    </w:p>
    <w:p>
      <w:pPr>
        <w:adjustRightInd w:val="0"/>
        <w:snapToGrid w:val="0"/>
        <w:spacing w:line="400" w:lineRule="exact"/>
        <w:jc w:val="left"/>
        <w:rPr>
          <w:rFonts w:ascii="宋体" w:hAnsi="宋体"/>
          <w:b/>
          <w:sz w:val="24"/>
        </w:rPr>
      </w:pPr>
      <w:r>
        <w:rPr>
          <w:rFonts w:hint="eastAsia" w:ascii="宋体" w:hAnsi="宋体"/>
          <w:b/>
          <w:sz w:val="24"/>
        </w:rPr>
        <w:t>（二）投标文件的语言及</w:t>
      </w:r>
      <w:bookmarkEnd w:id="217"/>
      <w:bookmarkEnd w:id="218"/>
      <w:bookmarkEnd w:id="219"/>
      <w:bookmarkEnd w:id="220"/>
      <w:r>
        <w:rPr>
          <w:rFonts w:hint="eastAsia" w:ascii="宋体" w:hAnsi="宋体"/>
          <w:b/>
          <w:sz w:val="24"/>
        </w:rPr>
        <w:t>度量衡单位</w:t>
      </w:r>
    </w:p>
    <w:p>
      <w:pPr>
        <w:adjustRightInd w:val="0"/>
        <w:snapToGrid w:val="0"/>
        <w:spacing w:line="400" w:lineRule="exact"/>
        <w:ind w:firstLine="480" w:firstLineChars="200"/>
        <w:jc w:val="left"/>
        <w:rPr>
          <w:rFonts w:ascii="宋体" w:hAnsi="宋体"/>
          <w:b/>
          <w:sz w:val="24"/>
        </w:rPr>
      </w:pPr>
      <w:r>
        <w:rPr>
          <w:rFonts w:hint="eastAsia" w:ascii="宋体" w:hAnsi="宋体"/>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ascii="宋体" w:hAnsi="宋体"/>
          <w:b/>
          <w:sz w:val="24"/>
        </w:rPr>
      </w:pPr>
      <w:r>
        <w:rPr>
          <w:rFonts w:hint="eastAsia" w:ascii="宋体" w:hAnsi="宋体"/>
          <w:sz w:val="24"/>
        </w:rPr>
        <w:t>▲2、投标文件所使用的度量衡单位，均采用我国法定计量单位。</w:t>
      </w:r>
      <w:bookmarkStart w:id="221" w:name="_Toc177824945"/>
      <w:bookmarkStart w:id="222" w:name="_Toc177825126"/>
      <w:bookmarkStart w:id="223" w:name="_Toc177870548"/>
      <w:bookmarkStart w:id="224" w:name="_Toc177824878"/>
    </w:p>
    <w:p>
      <w:pPr>
        <w:numPr>
          <w:ilvl w:val="0"/>
          <w:numId w:val="3"/>
        </w:numPr>
        <w:adjustRightInd w:val="0"/>
        <w:snapToGrid w:val="0"/>
        <w:spacing w:line="400" w:lineRule="exact"/>
        <w:jc w:val="left"/>
        <w:rPr>
          <w:rFonts w:ascii="宋体" w:hAnsi="宋体"/>
          <w:b/>
          <w:sz w:val="24"/>
        </w:rPr>
      </w:pPr>
      <w:r>
        <w:rPr>
          <w:rFonts w:hint="eastAsia" w:ascii="宋体" w:hAnsi="宋体"/>
          <w:b/>
          <w:sz w:val="24"/>
        </w:rPr>
        <w:t>投标报价</w:t>
      </w:r>
      <w:bookmarkEnd w:id="221"/>
      <w:bookmarkEnd w:id="222"/>
      <w:bookmarkEnd w:id="223"/>
      <w:bookmarkEnd w:id="224"/>
      <w:bookmarkStart w:id="225" w:name="_Toc293916876"/>
    </w:p>
    <w:p>
      <w:pPr>
        <w:adjustRightInd w:val="0"/>
        <w:snapToGrid w:val="0"/>
        <w:spacing w:line="400" w:lineRule="exact"/>
        <w:ind w:firstLine="480" w:firstLineChars="200"/>
        <w:jc w:val="left"/>
        <w:rPr>
          <w:rFonts w:ascii="宋体" w:hAnsi="宋体"/>
          <w:sz w:val="24"/>
        </w:rPr>
      </w:pPr>
      <w:r>
        <w:rPr>
          <w:rFonts w:hint="eastAsia" w:ascii="宋体" w:hAnsi="宋体"/>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ascii="宋体" w:hAnsi="宋体"/>
          <w:sz w:val="24"/>
        </w:rPr>
      </w:pPr>
      <w:r>
        <w:rPr>
          <w:rFonts w:hint="eastAsia" w:ascii="宋体" w:hAnsi="宋体"/>
          <w:bCs/>
          <w:sz w:val="24"/>
        </w:rPr>
        <w:t>2、投标报价是履行合同的最终价格，应包括完成本项目服务内容所需的一切费用等；投标人应同时列出认为必要的其他费用，招标结束后不再另行增加费用。</w:t>
      </w:r>
    </w:p>
    <w:p>
      <w:pPr>
        <w:adjustRightInd w:val="0"/>
        <w:snapToGrid w:val="0"/>
        <w:spacing w:line="400" w:lineRule="exact"/>
        <w:ind w:firstLine="480" w:firstLineChars="200"/>
        <w:jc w:val="left"/>
        <w:rPr>
          <w:rFonts w:ascii="宋体" w:hAnsi="宋体"/>
          <w:sz w:val="24"/>
        </w:rPr>
      </w:pPr>
      <w:r>
        <w:rPr>
          <w:rFonts w:hint="eastAsia" w:ascii="宋体" w:hAnsi="宋体"/>
          <w:sz w:val="24"/>
        </w:rPr>
        <w:t>▲3、招标采购单位不接受备选方案。</w:t>
      </w:r>
    </w:p>
    <w:p>
      <w:pPr>
        <w:adjustRightInd w:val="0"/>
        <w:snapToGrid w:val="0"/>
        <w:spacing w:line="400" w:lineRule="exact"/>
        <w:ind w:firstLine="480" w:firstLineChars="200"/>
        <w:jc w:val="left"/>
        <w:rPr>
          <w:rFonts w:ascii="宋体" w:hAnsi="宋体"/>
          <w:sz w:val="24"/>
        </w:rPr>
      </w:pPr>
      <w:r>
        <w:rPr>
          <w:rFonts w:hint="eastAsia" w:ascii="宋体" w:hAnsi="宋体"/>
          <w:sz w:val="24"/>
        </w:rPr>
        <w:t>▲4、投标文件中的单价、合价、总价全部采用人民币表示。</w:t>
      </w:r>
      <w:bookmarkEnd w:id="225"/>
    </w:p>
    <w:p>
      <w:pPr>
        <w:numPr>
          <w:ilvl w:val="0"/>
          <w:numId w:val="3"/>
        </w:numPr>
        <w:adjustRightInd w:val="0"/>
        <w:snapToGrid w:val="0"/>
        <w:spacing w:line="400" w:lineRule="exact"/>
        <w:jc w:val="left"/>
        <w:rPr>
          <w:rFonts w:ascii="宋体" w:hAnsi="宋体"/>
          <w:b/>
          <w:sz w:val="24"/>
        </w:rPr>
      </w:pPr>
      <w:r>
        <w:rPr>
          <w:rFonts w:hint="eastAsia" w:ascii="宋体" w:hAnsi="宋体"/>
          <w:b/>
          <w:sz w:val="24"/>
        </w:rPr>
        <w:t>投标文件的有效期</w:t>
      </w:r>
    </w:p>
    <w:p>
      <w:pPr>
        <w:adjustRightInd w:val="0"/>
        <w:snapToGrid w:val="0"/>
        <w:spacing w:line="400" w:lineRule="exact"/>
        <w:ind w:firstLine="480" w:firstLineChars="200"/>
        <w:jc w:val="left"/>
        <w:rPr>
          <w:rFonts w:ascii="宋体" w:hAnsi="宋体"/>
          <w:sz w:val="24"/>
        </w:rPr>
      </w:pPr>
      <w:r>
        <w:rPr>
          <w:rFonts w:hint="eastAsia" w:ascii="宋体" w:hAnsi="宋体"/>
          <w:sz w:val="24"/>
        </w:rPr>
        <w:t>▲1、自投标截止日起</w:t>
      </w:r>
      <w:r>
        <w:rPr>
          <w:rFonts w:hint="eastAsia" w:ascii="宋体" w:hAnsi="宋体"/>
          <w:sz w:val="24"/>
          <w:u w:val="single"/>
        </w:rPr>
        <w:t>90</w:t>
      </w:r>
      <w:r>
        <w:rPr>
          <w:rFonts w:hint="eastAsia" w:ascii="宋体" w:hAnsi="宋体"/>
          <w:sz w:val="24"/>
        </w:rPr>
        <w:t>天投标书应保持有效。有效期短于这个规定期限的投标将被拒绝。</w:t>
      </w:r>
    </w:p>
    <w:p>
      <w:pPr>
        <w:numPr>
          <w:ilvl w:val="0"/>
          <w:numId w:val="4"/>
        </w:numPr>
        <w:adjustRightInd w:val="0"/>
        <w:snapToGrid w:val="0"/>
        <w:spacing w:line="400" w:lineRule="exact"/>
        <w:ind w:firstLine="480" w:firstLineChars="200"/>
        <w:jc w:val="left"/>
        <w:rPr>
          <w:rFonts w:ascii="宋体" w:hAnsi="宋体"/>
          <w:sz w:val="24"/>
        </w:rPr>
      </w:pPr>
      <w:r>
        <w:rPr>
          <w:rFonts w:hint="eastAsia" w:ascii="宋体" w:hAnsi="宋体"/>
          <w:sz w:val="24"/>
        </w:rPr>
        <w:t>在特殊情况下，采购人可与投标人协商延长投标书的有效期，这种要求和答复均以书面形式进行。</w:t>
      </w:r>
      <w:bookmarkStart w:id="226" w:name="_Toc177825127"/>
      <w:bookmarkStart w:id="227" w:name="_Toc177824946"/>
      <w:bookmarkStart w:id="228" w:name="_Toc177824879"/>
      <w:bookmarkStart w:id="229" w:name="_Toc177870549"/>
    </w:p>
    <w:p>
      <w:pPr>
        <w:adjustRightInd w:val="0"/>
        <w:snapToGrid w:val="0"/>
        <w:spacing w:line="400" w:lineRule="exact"/>
        <w:ind w:firstLine="480" w:firstLineChars="200"/>
        <w:jc w:val="left"/>
        <w:rPr>
          <w:rFonts w:ascii="宋体" w:hAnsi="宋体"/>
          <w:b/>
          <w:sz w:val="24"/>
        </w:rPr>
      </w:pPr>
      <w:r>
        <w:rPr>
          <w:rFonts w:hint="eastAsia" w:ascii="宋体" w:hAnsi="宋体"/>
          <w:sz w:val="24"/>
        </w:rPr>
        <w:t>3、投标人可拒绝接受延期要求。同意延长有效期的但不能修改投标文件。</w:t>
      </w:r>
      <w:bookmarkEnd w:id="226"/>
      <w:bookmarkEnd w:id="227"/>
      <w:bookmarkEnd w:id="228"/>
      <w:bookmarkEnd w:id="229"/>
    </w:p>
    <w:p>
      <w:pPr>
        <w:adjustRightInd w:val="0"/>
        <w:snapToGrid w:val="0"/>
        <w:spacing w:line="400" w:lineRule="exact"/>
        <w:ind w:firstLine="480" w:firstLineChars="200"/>
        <w:jc w:val="left"/>
        <w:rPr>
          <w:rFonts w:ascii="宋体" w:hAnsi="宋体"/>
          <w:sz w:val="24"/>
        </w:rPr>
      </w:pPr>
      <w:r>
        <w:rPr>
          <w:rFonts w:hint="eastAsia" w:ascii="宋体" w:hAnsi="宋体"/>
          <w:sz w:val="24"/>
        </w:rPr>
        <w:t>4、中标人的投标文件自开标之日起至合同履行完毕止均应保持有效。</w:t>
      </w:r>
    </w:p>
    <w:p>
      <w:pPr>
        <w:adjustRightInd w:val="0"/>
        <w:snapToGrid w:val="0"/>
        <w:spacing w:line="400" w:lineRule="exact"/>
        <w:jc w:val="left"/>
        <w:rPr>
          <w:rFonts w:ascii="宋体" w:hAnsi="宋体"/>
          <w:b/>
          <w:sz w:val="24"/>
        </w:rPr>
      </w:pPr>
      <w:bookmarkStart w:id="230" w:name="_Toc177825128"/>
      <w:bookmarkStart w:id="231" w:name="_Toc177870550"/>
      <w:bookmarkStart w:id="232" w:name="_Toc177824880"/>
      <w:bookmarkStart w:id="233" w:name="_Toc177824947"/>
      <w:bookmarkStart w:id="234" w:name="_Toc293916369"/>
      <w:bookmarkStart w:id="235" w:name="_Toc293916018"/>
      <w:r>
        <w:rPr>
          <w:rFonts w:hint="eastAsia" w:ascii="宋体" w:hAnsi="宋体"/>
          <w:b/>
          <w:sz w:val="24"/>
        </w:rPr>
        <w:t>（五）</w:t>
      </w:r>
      <w:bookmarkEnd w:id="230"/>
      <w:bookmarkEnd w:id="231"/>
      <w:bookmarkEnd w:id="232"/>
      <w:bookmarkEnd w:id="233"/>
      <w:bookmarkEnd w:id="234"/>
      <w:bookmarkEnd w:id="235"/>
      <w:bookmarkStart w:id="236" w:name="_Toc177825129"/>
      <w:bookmarkStart w:id="237" w:name="_Toc177870551"/>
      <w:bookmarkStart w:id="238" w:name="_Toc293916019"/>
      <w:bookmarkStart w:id="239" w:name="_Toc293916370"/>
      <w:bookmarkStart w:id="240" w:name="_Toc177824881"/>
      <w:bookmarkStart w:id="241" w:name="_Toc177824948"/>
      <w:r>
        <w:rPr>
          <w:rFonts w:hint="eastAsia" w:ascii="宋体" w:hAnsi="宋体"/>
          <w:b/>
          <w:sz w:val="24"/>
        </w:rPr>
        <w:t>投标文件的签署和份数</w:t>
      </w:r>
      <w:bookmarkEnd w:id="236"/>
      <w:bookmarkEnd w:id="237"/>
      <w:bookmarkEnd w:id="238"/>
      <w:bookmarkEnd w:id="239"/>
      <w:bookmarkEnd w:id="240"/>
      <w:bookmarkEnd w:id="241"/>
    </w:p>
    <w:p>
      <w:pPr>
        <w:snapToGrid w:val="0"/>
        <w:spacing w:line="440" w:lineRule="exact"/>
        <w:ind w:firstLine="470" w:firstLineChars="196"/>
        <w:jc w:val="left"/>
        <w:outlineLvl w:val="0"/>
        <w:rPr>
          <w:rFonts w:ascii="宋体" w:hAnsi="宋体"/>
          <w:b/>
          <w:sz w:val="24"/>
        </w:rPr>
      </w:pPr>
      <w:bookmarkStart w:id="242" w:name="_Toc2314"/>
      <w:bookmarkStart w:id="243" w:name="_Toc22808"/>
      <w:r>
        <w:rPr>
          <w:rFonts w:hint="eastAsia" w:ascii="宋体" w:hAnsi="宋体" w:cs="宋体"/>
          <w:sz w:val="24"/>
        </w:rPr>
        <w:t>本项目通过“政府采购云平台（www.zcygov.cn）”实行在线投标（电子投标）。供应商应通过“政采云电子交易客户端”，并按照本采购文件和“政府采购云平台”的要求编制并加密投标文件。</w:t>
      </w:r>
      <w:bookmarkEnd w:id="242"/>
      <w:bookmarkEnd w:id="243"/>
    </w:p>
    <w:p>
      <w:pPr>
        <w:snapToGrid w:val="0"/>
        <w:spacing w:line="440" w:lineRule="exact"/>
        <w:ind w:firstLine="470" w:firstLineChars="196"/>
        <w:jc w:val="left"/>
        <w:outlineLvl w:val="0"/>
        <w:rPr>
          <w:rFonts w:ascii="宋体" w:hAnsi="宋体"/>
          <w:b/>
          <w:sz w:val="24"/>
        </w:rPr>
      </w:pPr>
      <w:bookmarkStart w:id="244" w:name="_Toc7948"/>
      <w:bookmarkStart w:id="245" w:name="_Toc17797"/>
      <w:r>
        <w:rPr>
          <w:rFonts w:hint="eastAsia" w:ascii="宋体" w:hAnsi="宋体" w:cs="宋体"/>
          <w:sz w:val="24"/>
        </w:rPr>
        <w:t>1.投标供应商应当按照本章节 “投标文件组成”规定的内容及顺序在“政采云电子交易客户端”编制投标文件。其中《资格文件》和《技术、商务、资信及其他文件》中不得出现本项目投标报价，如因投标人原因提前泄露投标报价，是投标人的责任。</w:t>
      </w:r>
      <w:bookmarkEnd w:id="244"/>
      <w:bookmarkEnd w:id="245"/>
    </w:p>
    <w:p>
      <w:pPr>
        <w:snapToGrid w:val="0"/>
        <w:spacing w:line="440" w:lineRule="exact"/>
        <w:ind w:firstLine="470" w:firstLineChars="196"/>
        <w:jc w:val="left"/>
        <w:outlineLvl w:val="0"/>
        <w:rPr>
          <w:rFonts w:ascii="宋体" w:hAnsi="宋体"/>
          <w:b/>
          <w:sz w:val="24"/>
        </w:rPr>
      </w:pPr>
      <w:bookmarkStart w:id="246" w:name="_Toc11108"/>
      <w:bookmarkStart w:id="247" w:name="_Toc21072"/>
      <w:r>
        <w:rPr>
          <w:rFonts w:hint="eastAsia" w:ascii="宋体" w:hAnsi="宋体" w:cs="宋体"/>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bookmarkEnd w:id="246"/>
      <w:bookmarkEnd w:id="247"/>
    </w:p>
    <w:p>
      <w:pPr>
        <w:snapToGrid w:val="0"/>
        <w:spacing w:line="440" w:lineRule="exact"/>
        <w:ind w:firstLine="470" w:firstLineChars="196"/>
        <w:jc w:val="left"/>
        <w:outlineLvl w:val="0"/>
        <w:rPr>
          <w:rFonts w:ascii="宋体" w:hAnsi="宋体"/>
          <w:b/>
          <w:sz w:val="24"/>
        </w:rPr>
      </w:pPr>
      <w:bookmarkStart w:id="248" w:name="_Toc18153"/>
      <w:bookmarkStart w:id="249" w:name="_Toc9589"/>
      <w:r>
        <w:rPr>
          <w:rFonts w:hint="eastAsia" w:ascii="宋体" w:hAnsi="宋体" w:cs="宋体"/>
          <w:sz w:val="24"/>
        </w:rPr>
        <w:t>3.《投标文件》内容不完整、编排混乱导致《投标文件》被误读、漏读或者查找不到相关内容的，是投标供应商的责任。</w:t>
      </w:r>
      <w:bookmarkEnd w:id="248"/>
      <w:bookmarkEnd w:id="249"/>
    </w:p>
    <w:p>
      <w:pPr>
        <w:snapToGrid w:val="0"/>
        <w:spacing w:line="440" w:lineRule="exact"/>
        <w:ind w:firstLine="470" w:firstLineChars="196"/>
        <w:jc w:val="left"/>
        <w:outlineLvl w:val="0"/>
        <w:rPr>
          <w:rFonts w:ascii="宋体" w:hAnsi="宋体"/>
          <w:b/>
          <w:sz w:val="24"/>
        </w:rPr>
      </w:pPr>
      <w:bookmarkStart w:id="250" w:name="_Toc9380"/>
      <w:bookmarkStart w:id="251" w:name="_Toc31590"/>
      <w:r>
        <w:rPr>
          <w:rFonts w:hint="eastAsia" w:ascii="宋体" w:hAnsi="宋体" w:cs="宋体"/>
          <w:sz w:val="24"/>
        </w:rPr>
        <w:t>4.投标供应商没有按照本章节 “投标文件组成”要求提供全部资料，或者没有仔细阅读采购文件，或者没有对采购文件在各方面的要求作出实质性响应是投标供应商的风险，由此造成的一切后果由投标供应商自行承担。</w:t>
      </w:r>
      <w:bookmarkEnd w:id="250"/>
      <w:bookmarkEnd w:id="251"/>
    </w:p>
    <w:p>
      <w:pPr>
        <w:snapToGrid w:val="0"/>
        <w:spacing w:line="440" w:lineRule="exact"/>
        <w:ind w:firstLine="470" w:firstLineChars="196"/>
        <w:jc w:val="left"/>
        <w:outlineLvl w:val="0"/>
        <w:rPr>
          <w:rFonts w:ascii="宋体" w:hAnsi="宋体" w:cs="宋体"/>
          <w:sz w:val="24"/>
        </w:rPr>
      </w:pPr>
      <w:bookmarkStart w:id="252" w:name="_Toc2264"/>
      <w:bookmarkStart w:id="253" w:name="_Toc29583"/>
      <w:r>
        <w:rPr>
          <w:rFonts w:hint="eastAsia" w:ascii="宋体" w:hAnsi="宋体" w:cs="宋体"/>
          <w:sz w:val="24"/>
        </w:rPr>
        <w:t>5.其他：投标文件需按采购文件要求的格式填写并签字（或盖章）。</w:t>
      </w:r>
      <w:bookmarkEnd w:id="252"/>
      <w:bookmarkEnd w:id="253"/>
    </w:p>
    <w:p>
      <w:pPr>
        <w:snapToGrid w:val="0"/>
        <w:spacing w:line="440" w:lineRule="exact"/>
        <w:ind w:firstLine="470" w:firstLineChars="196"/>
        <w:jc w:val="left"/>
        <w:outlineLvl w:val="0"/>
        <w:rPr>
          <w:rFonts w:ascii="宋体" w:hAnsi="宋体" w:cs="宋体"/>
          <w:sz w:val="24"/>
        </w:rPr>
      </w:pPr>
      <w:bookmarkStart w:id="254" w:name="_Toc24481"/>
      <w:bookmarkStart w:id="255" w:name="_Toc15978"/>
      <w:r>
        <w:rPr>
          <w:rFonts w:hint="eastAsia" w:ascii="宋体" w:hAnsi="宋体" w:cs="宋体"/>
          <w:sz w:val="24"/>
        </w:rPr>
        <w:t>6.投标文件的形式：见《前附表》；</w:t>
      </w:r>
      <w:bookmarkEnd w:id="254"/>
      <w:bookmarkEnd w:id="255"/>
    </w:p>
    <w:p>
      <w:pPr>
        <w:snapToGrid w:val="0"/>
        <w:spacing w:line="440" w:lineRule="exact"/>
        <w:ind w:firstLine="470" w:firstLineChars="196"/>
        <w:jc w:val="left"/>
        <w:outlineLvl w:val="0"/>
        <w:rPr>
          <w:rFonts w:ascii="宋体" w:hAnsi="宋体" w:cs="宋体"/>
          <w:sz w:val="24"/>
        </w:rPr>
      </w:pPr>
      <w:bookmarkStart w:id="256" w:name="_Toc10031"/>
      <w:bookmarkStart w:id="257" w:name="_Toc5920"/>
      <w:r>
        <w:rPr>
          <w:rFonts w:hint="eastAsia" w:ascii="宋体" w:hAnsi="宋体" w:cs="宋体"/>
          <w:sz w:val="24"/>
        </w:rPr>
        <w:t>（1）“电子加密投标文件”：“电子加密投标文件”是指通过“政采云电子交易客户端”完成投标文件编制后生成并加密的数据电文形式的投标文件。</w:t>
      </w:r>
      <w:bookmarkEnd w:id="256"/>
      <w:bookmarkEnd w:id="257"/>
    </w:p>
    <w:p>
      <w:pPr>
        <w:snapToGrid w:val="0"/>
        <w:spacing w:line="440" w:lineRule="exact"/>
        <w:ind w:firstLine="470" w:firstLineChars="196"/>
        <w:jc w:val="left"/>
        <w:outlineLvl w:val="0"/>
        <w:rPr>
          <w:rFonts w:ascii="宋体" w:hAnsi="宋体" w:cs="宋体"/>
          <w:sz w:val="24"/>
        </w:rPr>
      </w:pPr>
      <w:bookmarkStart w:id="258" w:name="_Toc20867"/>
      <w:bookmarkStart w:id="259" w:name="_Toc81"/>
      <w:r>
        <w:rPr>
          <w:rFonts w:hint="eastAsia" w:ascii="宋体" w:hAnsi="宋体" w:cs="宋体"/>
          <w:sz w:val="24"/>
        </w:rPr>
        <w:t>（2）“备份投标文件”：“备份投标文件”是指与“电子加密投标文件”同时生成的数据电文形式的电子文件（备份标书），其他方式编制的“备份投标文件”视为无效的“备份投标文件”。</w:t>
      </w:r>
      <w:bookmarkEnd w:id="258"/>
      <w:bookmarkEnd w:id="259"/>
    </w:p>
    <w:p>
      <w:pPr>
        <w:snapToGrid w:val="0"/>
        <w:spacing w:line="440" w:lineRule="exact"/>
        <w:ind w:firstLine="470" w:firstLineChars="196"/>
        <w:jc w:val="left"/>
        <w:outlineLvl w:val="0"/>
        <w:rPr>
          <w:rFonts w:ascii="宋体" w:hAnsi="宋体" w:cs="宋体"/>
          <w:sz w:val="24"/>
        </w:rPr>
      </w:pPr>
      <w:bookmarkStart w:id="260" w:name="_Toc613"/>
      <w:bookmarkStart w:id="261" w:name="_Toc11337"/>
      <w:r>
        <w:rPr>
          <w:rFonts w:hint="eastAsia" w:ascii="宋体" w:hAnsi="宋体" w:cs="宋体"/>
          <w:sz w:val="24"/>
        </w:rPr>
        <w:t>7.投标文件的份数：见《前附表》。</w:t>
      </w:r>
      <w:bookmarkEnd w:id="260"/>
      <w:bookmarkEnd w:id="261"/>
    </w:p>
    <w:p>
      <w:pPr>
        <w:snapToGrid w:val="0"/>
        <w:spacing w:line="440" w:lineRule="exact"/>
        <w:ind w:firstLine="470" w:firstLineChars="196"/>
        <w:jc w:val="left"/>
        <w:outlineLvl w:val="0"/>
        <w:rPr>
          <w:rFonts w:ascii="宋体" w:hAnsi="宋体" w:cs="宋体"/>
          <w:sz w:val="24"/>
        </w:rPr>
      </w:pPr>
      <w:bookmarkStart w:id="262" w:name="_Toc27959"/>
      <w:bookmarkStart w:id="263" w:name="_Toc1928"/>
      <w:r>
        <w:rPr>
          <w:rFonts w:hint="eastAsia" w:ascii="宋体" w:hAnsi="宋体" w:cs="宋体"/>
          <w:sz w:val="24"/>
        </w:rPr>
        <w:t>8.投标文件的上传和递交：见《前附表》。</w:t>
      </w:r>
      <w:bookmarkEnd w:id="262"/>
      <w:bookmarkEnd w:id="263"/>
    </w:p>
    <w:p>
      <w:pPr>
        <w:snapToGrid w:val="0"/>
        <w:spacing w:line="440" w:lineRule="exact"/>
        <w:ind w:firstLine="470" w:firstLineChars="196"/>
        <w:jc w:val="left"/>
        <w:outlineLvl w:val="0"/>
      </w:pPr>
      <w:bookmarkStart w:id="264" w:name="_Toc23325"/>
      <w:bookmarkStart w:id="265" w:name="_Toc18679"/>
      <w:r>
        <w:rPr>
          <w:rFonts w:hint="eastAsia" w:ascii="宋体" w:hAnsi="宋体" w:cs="宋体"/>
          <w:sz w:val="24"/>
        </w:rPr>
        <w:t>9.“电子加密投标文件”解密和异常情况处理：见《前附表》。</w:t>
      </w:r>
      <w:bookmarkEnd w:id="264"/>
      <w:bookmarkEnd w:id="265"/>
    </w:p>
    <w:p>
      <w:pPr>
        <w:numPr>
          <w:ilvl w:val="0"/>
          <w:numId w:val="3"/>
        </w:numPr>
        <w:adjustRightInd w:val="0"/>
        <w:snapToGrid w:val="0"/>
        <w:spacing w:line="400" w:lineRule="exact"/>
        <w:jc w:val="left"/>
        <w:rPr>
          <w:rFonts w:ascii="宋体" w:hAnsi="宋体"/>
          <w:b/>
          <w:sz w:val="24"/>
        </w:rPr>
      </w:pPr>
      <w:r>
        <w:rPr>
          <w:rFonts w:hint="eastAsia" w:ascii="宋体" w:hAnsi="宋体"/>
          <w:b/>
          <w:sz w:val="24"/>
        </w:rPr>
        <w:t>投标文件的包装、递交、修改和撤回</w:t>
      </w:r>
    </w:p>
    <w:p>
      <w:pPr>
        <w:adjustRightInd w:val="0"/>
        <w:snapToGrid w:val="0"/>
        <w:spacing w:line="440" w:lineRule="exact"/>
        <w:ind w:firstLine="470" w:firstLineChars="196"/>
        <w:jc w:val="left"/>
        <w:rPr>
          <w:rFonts w:ascii="宋体" w:hAnsi="宋体" w:cs="宋体"/>
          <w:sz w:val="24"/>
        </w:rPr>
      </w:pPr>
      <w:r>
        <w:rPr>
          <w:rFonts w:hint="eastAsia" w:ascii="宋体" w:hAnsi="宋体" w:cs="宋体"/>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adjustRightInd w:val="0"/>
        <w:snapToGrid w:val="0"/>
        <w:spacing w:line="440" w:lineRule="exact"/>
        <w:ind w:firstLine="470" w:firstLineChars="196"/>
        <w:jc w:val="left"/>
        <w:rPr>
          <w:rFonts w:ascii="宋体" w:hAnsi="宋体" w:cs="宋体"/>
          <w:sz w:val="24"/>
        </w:rPr>
      </w:pPr>
      <w:bookmarkStart w:id="266" w:name="_Toc177870552"/>
      <w:r>
        <w:rPr>
          <w:rFonts w:hint="eastAsia" w:ascii="宋体" w:hAnsi="宋体" w:cs="宋体"/>
          <w:sz w:val="24"/>
        </w:rPr>
        <w:t>2. 投标供应商如需递交“备份投标文件”，应在投标截止时间前将“备份投标文件”递交至发包文件指定地点。</w:t>
      </w:r>
    </w:p>
    <w:p>
      <w:pPr>
        <w:adjustRightInd w:val="0"/>
        <w:snapToGrid w:val="0"/>
        <w:spacing w:line="440" w:lineRule="exact"/>
        <w:ind w:firstLine="470" w:firstLineChars="196"/>
        <w:jc w:val="left"/>
        <w:rPr>
          <w:rFonts w:ascii="宋体" w:hAnsi="宋体" w:cs="宋体"/>
          <w:sz w:val="24"/>
        </w:rPr>
      </w:pPr>
      <w:r>
        <w:rPr>
          <w:rFonts w:hint="eastAsia" w:ascii="宋体" w:hAnsi="宋体" w:cs="宋体"/>
          <w:sz w:val="24"/>
        </w:rPr>
        <w:t>“备份投标文件”包括《资格文件》、《技术、商务、资信及其他文件》及《报价文件》各一份。“备份投标文件”的包装封面上应注明供应商名称、供应商地址、投标文件名称、投标项目名称、标项及项目编号，并加盖供应商公章。未按规定密封、包装或标记的，由此造成“备份投标文件”被误投或提前拆封的风险由投标供应商承担。</w:t>
      </w:r>
    </w:p>
    <w:p>
      <w:pPr>
        <w:adjustRightInd w:val="0"/>
        <w:snapToGrid w:val="0"/>
        <w:spacing w:line="400" w:lineRule="exact"/>
        <w:rPr>
          <w:rFonts w:ascii="宋体" w:hAnsi="宋体"/>
          <w:b/>
          <w:sz w:val="24"/>
        </w:rPr>
      </w:pPr>
      <w:r>
        <w:rPr>
          <w:rFonts w:hint="eastAsia" w:ascii="宋体" w:hAnsi="宋体"/>
          <w:b/>
          <w:sz w:val="24"/>
        </w:rPr>
        <w:t>（七）投标无效的情形</w:t>
      </w:r>
      <w:bookmarkEnd w:id="266"/>
    </w:p>
    <w:p>
      <w:pPr>
        <w:spacing w:line="400" w:lineRule="exact"/>
        <w:ind w:firstLine="480" w:firstLineChars="200"/>
        <w:rPr>
          <w:rFonts w:ascii="宋体" w:hAnsi="宋体"/>
          <w:sz w:val="24"/>
        </w:rPr>
      </w:pPr>
      <w:bookmarkStart w:id="267" w:name="_Toc293916020"/>
      <w:bookmarkStart w:id="268" w:name="_Toc177870553"/>
      <w:bookmarkStart w:id="269" w:name="_Toc107820050"/>
      <w:bookmarkStart w:id="270" w:name="_Toc293916371"/>
      <w:bookmarkStart w:id="271" w:name="_Toc170792769"/>
      <w:bookmarkStart w:id="272" w:name="_Toc293916879"/>
      <w:bookmarkStart w:id="273" w:name="_Toc293917020"/>
      <w:r>
        <w:rPr>
          <w:rFonts w:hint="eastAsia" w:ascii="宋体" w:hAnsi="宋体"/>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1、在资格审查时，如发现下列情形之一的，投标文件将被视为无效：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（1）资格证明文件不全的，或者不符合招标文件标明的资格要求的；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（2）投标人是采购人不具有独立法人资格的附属机构（单位）；</w:t>
      </w:r>
    </w:p>
    <w:p>
      <w:pPr>
        <w:adjustRightInd w:val="0"/>
        <w:snapToGrid w:val="0"/>
        <w:spacing w:line="360" w:lineRule="exact"/>
        <w:ind w:firstLine="720" w:firstLineChars="300"/>
        <w:jc w:val="left"/>
        <w:rPr>
          <w:rFonts w:ascii="宋体" w:hAnsi="宋体"/>
          <w:sz w:val="24"/>
        </w:rPr>
      </w:pPr>
      <w:r>
        <w:rPr>
          <w:rFonts w:hint="eastAsia" w:ascii="宋体" w:hAnsi="宋体"/>
          <w:sz w:val="24"/>
        </w:rPr>
        <w:t>（3）至本项目投标截止时间前，投标人在“信用中国”网站www.creditchina.gov.cn、“中国政府采购网”www.ccgp.gov.cn中被列入失信被执行人、重大税收违法案件当事人名单、政府采购严重违法失信行为记录名单的。</w:t>
      </w:r>
    </w:p>
    <w:p>
      <w:pPr>
        <w:adjustRightInd w:val="0"/>
        <w:snapToGrid w:val="0"/>
        <w:spacing w:line="360" w:lineRule="exact"/>
        <w:ind w:firstLine="720" w:firstLineChars="300"/>
        <w:jc w:val="left"/>
        <w:rPr>
          <w:rFonts w:ascii="宋体" w:hAnsi="宋体"/>
          <w:sz w:val="24"/>
        </w:rPr>
      </w:pPr>
      <w:r>
        <w:rPr>
          <w:rFonts w:hint="eastAsia" w:ascii="宋体" w:hAnsi="宋体"/>
          <w:sz w:val="24"/>
        </w:rPr>
        <w:t>2、在符合性审查时，如发现下列情形之一的，投标文件将被视为无效：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（1）授权代理人未经有效授权的；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（2）投标文件未按照招标文件规定的要求签署、盖章的；</w:t>
      </w:r>
    </w:p>
    <w:p>
      <w:pPr>
        <w:adjustRightInd w:val="0"/>
        <w:snapToGrid w:val="0"/>
        <w:spacing w:line="360" w:lineRule="exact"/>
        <w:ind w:firstLine="720" w:firstLineChars="300"/>
        <w:jc w:val="left"/>
        <w:rPr>
          <w:rFonts w:ascii="宋体" w:hAnsi="宋体"/>
          <w:sz w:val="24"/>
        </w:rPr>
      </w:pPr>
      <w:r>
        <w:rPr>
          <w:rFonts w:hint="eastAsia" w:ascii="宋体" w:hAnsi="宋体"/>
          <w:sz w:val="24"/>
        </w:rPr>
        <w:t>（3）投标有效期、交货期（服务期）、质保期等不能满足招标文件要求的；</w:t>
      </w:r>
    </w:p>
    <w:p>
      <w:pPr>
        <w:adjustRightInd w:val="0"/>
        <w:snapToGrid w:val="0"/>
        <w:spacing w:line="360" w:lineRule="exact"/>
        <w:ind w:firstLine="720" w:firstLineChars="300"/>
        <w:jc w:val="left"/>
        <w:rPr>
          <w:rFonts w:ascii="宋体" w:hAnsi="宋体"/>
          <w:sz w:val="24"/>
        </w:rPr>
      </w:pPr>
      <w:r>
        <w:rPr>
          <w:rFonts w:hint="eastAsia" w:ascii="宋体" w:hAnsi="宋体"/>
          <w:sz w:val="24"/>
        </w:rPr>
        <w:t>（4）不响应或者擅自改变招标文件要求或者投标文件有采购人不能接受的附加条件的；</w:t>
      </w:r>
    </w:p>
    <w:p>
      <w:pPr>
        <w:adjustRightInd w:val="0"/>
        <w:snapToGrid w:val="0"/>
        <w:spacing w:line="360" w:lineRule="exact"/>
        <w:ind w:firstLine="720" w:firstLineChars="300"/>
        <w:jc w:val="left"/>
        <w:rPr>
          <w:rFonts w:ascii="宋体" w:hAnsi="宋体"/>
          <w:sz w:val="24"/>
        </w:rPr>
      </w:pPr>
      <w:r>
        <w:rPr>
          <w:rFonts w:hint="eastAsia" w:ascii="宋体" w:hAnsi="宋体"/>
          <w:sz w:val="24"/>
        </w:rPr>
        <w:t>（5）未提供或未如实提供服务内容，或者虚假投标的。</w:t>
      </w:r>
    </w:p>
    <w:p>
      <w:pPr>
        <w:adjustRightInd w:val="0"/>
        <w:snapToGrid w:val="0"/>
        <w:spacing w:line="360" w:lineRule="exact"/>
        <w:ind w:firstLine="720" w:firstLineChars="300"/>
        <w:jc w:val="left"/>
        <w:rPr>
          <w:rFonts w:ascii="宋体" w:hAnsi="宋体"/>
          <w:sz w:val="24"/>
        </w:rPr>
      </w:pPr>
      <w:r>
        <w:rPr>
          <w:rFonts w:hint="eastAsia" w:ascii="宋体" w:hAnsi="宋体"/>
          <w:sz w:val="24"/>
        </w:rPr>
        <w:t>3、在技术评审时，如发现下列情形之一的，投标文件将被视为无效：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（1）与招标文件中标“▲”的服务指标、主要服务要求发生实质性偏离的；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（2）投标项目方案不明确，存在一个或一个以上备选（替代）投标方案且未注明哪个有效的；</w:t>
      </w:r>
    </w:p>
    <w:p>
      <w:pPr>
        <w:adjustRightInd w:val="0"/>
        <w:snapToGrid w:val="0"/>
        <w:spacing w:line="360" w:lineRule="exact"/>
        <w:ind w:firstLine="720" w:firstLineChars="300"/>
        <w:jc w:val="left"/>
        <w:rPr>
          <w:rFonts w:ascii="宋体" w:hAnsi="宋体"/>
          <w:sz w:val="24"/>
        </w:rPr>
      </w:pPr>
      <w:r>
        <w:rPr>
          <w:rFonts w:hint="eastAsia" w:ascii="宋体" w:hAnsi="宋体"/>
          <w:sz w:val="24"/>
        </w:rPr>
        <w:t>（3）</w:t>
      </w:r>
      <w:r>
        <w:rPr>
          <w:rFonts w:hint="eastAsia" w:ascii="宋体" w:hAnsi="宋体"/>
          <w:bCs/>
          <w:sz w:val="24"/>
        </w:rPr>
        <w:t>项目方案不符合项目需求或不具有操作性的</w:t>
      </w:r>
      <w:r>
        <w:rPr>
          <w:rFonts w:hint="eastAsia" w:ascii="宋体" w:hAnsi="宋体"/>
          <w:sz w:val="24"/>
        </w:rPr>
        <w:t>。</w:t>
      </w:r>
    </w:p>
    <w:p>
      <w:pPr>
        <w:adjustRightInd w:val="0"/>
        <w:snapToGrid w:val="0"/>
        <w:spacing w:line="360" w:lineRule="exact"/>
        <w:ind w:firstLine="720" w:firstLineChars="300"/>
        <w:jc w:val="left"/>
        <w:rPr>
          <w:rFonts w:ascii="宋体" w:hAnsi="宋体"/>
          <w:sz w:val="24"/>
        </w:rPr>
      </w:pPr>
      <w:r>
        <w:rPr>
          <w:rFonts w:hint="eastAsia" w:ascii="宋体" w:hAnsi="宋体"/>
          <w:sz w:val="24"/>
        </w:rPr>
        <w:t>4、在价格评审时，如发现下列情形之一的，投标文件将被视为无效：</w:t>
      </w:r>
    </w:p>
    <w:p>
      <w:pPr>
        <w:adjustRightInd w:val="0"/>
        <w:spacing w:line="360" w:lineRule="exact"/>
        <w:ind w:firstLine="720" w:firstLineChars="300"/>
        <w:jc w:val="left"/>
        <w:rPr>
          <w:rFonts w:ascii="宋体" w:hAnsi="宋体"/>
          <w:sz w:val="24"/>
        </w:rPr>
      </w:pPr>
      <w:r>
        <w:rPr>
          <w:rFonts w:hint="eastAsia" w:ascii="宋体" w:hAnsi="宋体"/>
          <w:sz w:val="24"/>
        </w:rPr>
        <w:t>（1）报价超出采购预算金额或最高限价(自主创新产品除外)的；</w:t>
      </w:r>
    </w:p>
    <w:p>
      <w:pPr>
        <w:adjustRightInd w:val="0"/>
        <w:spacing w:line="360" w:lineRule="exact"/>
        <w:ind w:firstLine="720" w:firstLineChars="300"/>
        <w:jc w:val="left"/>
        <w:rPr>
          <w:rFonts w:ascii="宋体" w:hAnsi="宋体"/>
          <w:sz w:val="24"/>
        </w:rPr>
      </w:pPr>
      <w:r>
        <w:rPr>
          <w:rFonts w:hint="eastAsia" w:ascii="宋体" w:hAnsi="宋体"/>
          <w:sz w:val="24"/>
        </w:rPr>
        <w:t>（2）投标报价具有选择性，且未注明哪个有效的；</w:t>
      </w:r>
    </w:p>
    <w:p>
      <w:pPr>
        <w:adjustRightInd w:val="0"/>
        <w:spacing w:line="360" w:lineRule="exact"/>
        <w:ind w:firstLine="720" w:firstLineChars="300"/>
        <w:jc w:val="left"/>
        <w:rPr>
          <w:rFonts w:ascii="宋体" w:hAnsi="宋体"/>
          <w:sz w:val="24"/>
        </w:rPr>
      </w:pPr>
      <w:r>
        <w:rPr>
          <w:rFonts w:hint="eastAsia" w:ascii="宋体" w:hAnsi="宋体"/>
          <w:sz w:val="24"/>
        </w:rPr>
        <w:t>（3）投标报价出现前后不一致且不同意按照招标文件规定的方法进行修正的；</w:t>
      </w:r>
    </w:p>
    <w:p>
      <w:pPr>
        <w:adjustRightInd w:val="0"/>
        <w:spacing w:line="360" w:lineRule="exact"/>
        <w:ind w:firstLine="720" w:firstLineChars="300"/>
        <w:jc w:val="left"/>
        <w:rPr>
          <w:rFonts w:ascii="宋体" w:hAnsi="宋体"/>
          <w:sz w:val="24"/>
        </w:rPr>
      </w:pPr>
      <w:r>
        <w:rPr>
          <w:rFonts w:hint="eastAsia" w:ascii="宋体" w:hAnsi="宋体"/>
          <w:sz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360" w:lineRule="exact"/>
        <w:ind w:firstLine="720" w:firstLineChars="300"/>
        <w:jc w:val="left"/>
        <w:rPr>
          <w:rFonts w:ascii="宋体" w:hAnsi="宋体"/>
          <w:sz w:val="24"/>
        </w:rPr>
      </w:pPr>
      <w:r>
        <w:rPr>
          <w:rFonts w:hint="eastAsia" w:ascii="宋体" w:hAnsi="宋体"/>
          <w:sz w:val="24"/>
        </w:rPr>
        <w:t>5、投标人串通投标的，投标无效。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投标人有以下情形之一的，视为投标人串通投标：</w:t>
      </w:r>
    </w:p>
    <w:p>
      <w:pPr>
        <w:adjustRightInd w:val="0"/>
        <w:snapToGrid w:val="0"/>
        <w:spacing w:line="360" w:lineRule="exact"/>
        <w:ind w:firstLine="720" w:firstLineChars="300"/>
        <w:jc w:val="left"/>
        <w:rPr>
          <w:rFonts w:ascii="宋体" w:hAnsi="宋体"/>
          <w:sz w:val="24"/>
        </w:rPr>
      </w:pPr>
      <w:r>
        <w:rPr>
          <w:rFonts w:hint="eastAsia" w:ascii="宋体" w:hAnsi="宋体"/>
          <w:sz w:val="24"/>
        </w:rPr>
        <w:t>（1）不同投标人的投标文件由同一单位或者个人编制；</w:t>
      </w:r>
    </w:p>
    <w:p>
      <w:pPr>
        <w:adjustRightInd w:val="0"/>
        <w:snapToGrid w:val="0"/>
        <w:spacing w:line="360" w:lineRule="exact"/>
        <w:ind w:firstLine="720" w:firstLineChars="300"/>
        <w:jc w:val="left"/>
        <w:rPr>
          <w:rFonts w:ascii="宋体" w:hAnsi="宋体"/>
          <w:sz w:val="24"/>
        </w:rPr>
      </w:pPr>
      <w:r>
        <w:rPr>
          <w:rFonts w:hint="eastAsia" w:ascii="宋体" w:hAnsi="宋体"/>
          <w:sz w:val="24"/>
        </w:rPr>
        <w:t>（2）不同投标人委托同一单位或者个人办理投标事宜；</w:t>
      </w:r>
    </w:p>
    <w:p>
      <w:pPr>
        <w:adjustRightInd w:val="0"/>
        <w:snapToGrid w:val="0"/>
        <w:spacing w:line="360" w:lineRule="exact"/>
        <w:ind w:firstLine="720" w:firstLineChars="300"/>
        <w:jc w:val="left"/>
        <w:rPr>
          <w:rFonts w:ascii="宋体" w:hAnsi="宋体"/>
          <w:sz w:val="24"/>
        </w:rPr>
      </w:pPr>
      <w:r>
        <w:rPr>
          <w:rFonts w:hint="eastAsia" w:ascii="宋体" w:hAnsi="宋体"/>
          <w:sz w:val="24"/>
        </w:rPr>
        <w:t>（3）不同投标人的投标文件载明的项目管理成员或者联系人员为同一人；</w:t>
      </w:r>
    </w:p>
    <w:p>
      <w:pPr>
        <w:adjustRightInd w:val="0"/>
        <w:snapToGrid w:val="0"/>
        <w:spacing w:line="360" w:lineRule="exact"/>
        <w:ind w:firstLine="720" w:firstLineChars="300"/>
        <w:jc w:val="left"/>
        <w:rPr>
          <w:rFonts w:ascii="宋体" w:hAnsi="宋体"/>
          <w:sz w:val="24"/>
        </w:rPr>
      </w:pPr>
      <w:r>
        <w:rPr>
          <w:rFonts w:hint="eastAsia" w:ascii="宋体" w:hAnsi="宋体"/>
          <w:sz w:val="24"/>
        </w:rPr>
        <w:t>（4）不同投标人的投标文件异常一致或者投标报价呈规律性差异；</w:t>
      </w:r>
    </w:p>
    <w:p>
      <w:pPr>
        <w:adjustRightInd w:val="0"/>
        <w:snapToGrid w:val="0"/>
        <w:spacing w:line="360" w:lineRule="exact"/>
        <w:ind w:firstLine="720" w:firstLineChars="300"/>
        <w:jc w:val="left"/>
        <w:rPr>
          <w:rFonts w:ascii="宋体" w:hAnsi="宋体"/>
          <w:sz w:val="24"/>
        </w:rPr>
      </w:pPr>
      <w:r>
        <w:rPr>
          <w:rFonts w:hint="eastAsia" w:ascii="宋体" w:hAnsi="宋体"/>
          <w:sz w:val="24"/>
        </w:rPr>
        <w:t>（5）不同投标人的投标文件相互混装；</w:t>
      </w:r>
    </w:p>
    <w:p>
      <w:pPr>
        <w:adjustRightInd w:val="0"/>
        <w:snapToGrid w:val="0"/>
        <w:spacing w:line="360" w:lineRule="exact"/>
        <w:ind w:firstLine="720" w:firstLineChars="300"/>
        <w:jc w:val="left"/>
        <w:rPr>
          <w:rFonts w:ascii="宋体" w:hAnsi="宋体"/>
          <w:sz w:val="24"/>
        </w:rPr>
      </w:pPr>
      <w:r>
        <w:rPr>
          <w:rFonts w:hint="eastAsia" w:ascii="宋体" w:hAnsi="宋体"/>
          <w:sz w:val="24"/>
        </w:rPr>
        <w:t>6、法律、法规和招标文件规定的其他无效标情形。</w:t>
      </w:r>
    </w:p>
    <w:p>
      <w:pPr>
        <w:adjustRightInd w:val="0"/>
        <w:snapToGrid w:val="0"/>
        <w:spacing w:line="360" w:lineRule="exact"/>
        <w:ind w:firstLine="720" w:firstLineChars="300"/>
        <w:jc w:val="left"/>
        <w:rPr>
          <w:rFonts w:ascii="宋体" w:hAnsi="宋体"/>
          <w:sz w:val="24"/>
        </w:rPr>
      </w:pPr>
      <w:r>
        <w:rPr>
          <w:rFonts w:hint="eastAsia" w:ascii="宋体" w:hAnsi="宋体"/>
          <w:sz w:val="24"/>
        </w:rPr>
        <w:t>7、出现以下情形，导致电子交易平台无法正常进行，或者无法保证电子交易的公平、公正和安全时，中止电子交易活动：</w:t>
      </w:r>
    </w:p>
    <w:p>
      <w:pPr>
        <w:adjustRightInd w:val="0"/>
        <w:snapToGrid w:val="0"/>
        <w:spacing w:line="360" w:lineRule="exact"/>
        <w:ind w:firstLine="720" w:firstLineChars="300"/>
        <w:jc w:val="left"/>
        <w:rPr>
          <w:rFonts w:ascii="宋体" w:hAnsi="宋体"/>
          <w:sz w:val="24"/>
        </w:rPr>
      </w:pPr>
      <w:r>
        <w:rPr>
          <w:rFonts w:hint="eastAsia" w:ascii="宋体" w:hAnsi="宋体"/>
          <w:sz w:val="24"/>
        </w:rPr>
        <w:t>7.1电子交易平台发生故障而无法登录访问的；</w:t>
      </w:r>
    </w:p>
    <w:p>
      <w:pPr>
        <w:adjustRightInd w:val="0"/>
        <w:snapToGrid w:val="0"/>
        <w:spacing w:line="360" w:lineRule="exact"/>
        <w:ind w:firstLine="720" w:firstLineChars="300"/>
        <w:jc w:val="left"/>
        <w:rPr>
          <w:rFonts w:ascii="宋体" w:hAnsi="宋体"/>
          <w:sz w:val="24"/>
        </w:rPr>
      </w:pPr>
      <w:r>
        <w:rPr>
          <w:rFonts w:hint="eastAsia" w:ascii="宋体" w:hAnsi="宋体"/>
          <w:sz w:val="24"/>
        </w:rPr>
        <w:t>7.2电子交易平台应用或数据库出现错误，不能进行正常操作的；</w:t>
      </w:r>
    </w:p>
    <w:p>
      <w:pPr>
        <w:adjustRightInd w:val="0"/>
        <w:snapToGrid w:val="0"/>
        <w:spacing w:line="360" w:lineRule="exact"/>
        <w:ind w:firstLine="720" w:firstLineChars="300"/>
        <w:jc w:val="left"/>
        <w:rPr>
          <w:rFonts w:ascii="宋体" w:hAnsi="宋体"/>
          <w:sz w:val="24"/>
        </w:rPr>
      </w:pPr>
      <w:r>
        <w:rPr>
          <w:rFonts w:hint="eastAsia" w:ascii="宋体" w:hAnsi="宋体"/>
          <w:sz w:val="24"/>
        </w:rPr>
        <w:t>7.3电子交易平台发现严重安全漏洞，有潜在泄密危险的；</w:t>
      </w:r>
    </w:p>
    <w:p>
      <w:pPr>
        <w:adjustRightInd w:val="0"/>
        <w:snapToGrid w:val="0"/>
        <w:spacing w:line="360" w:lineRule="exact"/>
        <w:ind w:firstLine="720" w:firstLineChars="300"/>
        <w:jc w:val="left"/>
        <w:rPr>
          <w:rFonts w:ascii="宋体" w:hAnsi="宋体"/>
          <w:sz w:val="24"/>
        </w:rPr>
      </w:pPr>
      <w:r>
        <w:rPr>
          <w:rFonts w:hint="eastAsia" w:ascii="宋体" w:hAnsi="宋体"/>
          <w:sz w:val="24"/>
        </w:rPr>
        <w:t>7.4病毒发作导致不能进行正常操作的；</w:t>
      </w:r>
    </w:p>
    <w:p>
      <w:pPr>
        <w:adjustRightInd w:val="0"/>
        <w:snapToGrid w:val="0"/>
        <w:spacing w:line="360" w:lineRule="exact"/>
        <w:ind w:firstLine="720" w:firstLineChars="300"/>
        <w:jc w:val="left"/>
        <w:rPr>
          <w:rFonts w:ascii="宋体" w:hAnsi="宋体"/>
          <w:sz w:val="24"/>
        </w:rPr>
      </w:pPr>
      <w:r>
        <w:rPr>
          <w:rFonts w:hint="eastAsia" w:ascii="宋体" w:hAnsi="宋体"/>
          <w:sz w:val="24"/>
        </w:rPr>
        <w:t>7.5其他无法保证电子交易的公平、公正和安全的情况。</w:t>
      </w:r>
    </w:p>
    <w:p>
      <w:pPr>
        <w:adjustRightInd w:val="0"/>
        <w:snapToGrid w:val="0"/>
        <w:spacing w:line="360" w:lineRule="exact"/>
        <w:ind w:firstLine="720" w:firstLineChars="300"/>
        <w:jc w:val="left"/>
        <w:rPr>
          <w:rFonts w:ascii="宋体" w:hAnsi="宋体"/>
          <w:sz w:val="24"/>
        </w:rPr>
      </w:pPr>
      <w:r>
        <w:rPr>
          <w:rFonts w:hint="eastAsia" w:ascii="宋体" w:hAnsi="宋体"/>
          <w:sz w:val="24"/>
        </w:rPr>
        <w:t>出现以上规定情形，不影响采购公平、公正性的，采购代理机构可以待上述情形消除后继续组织电子交易活动，也可以决定某些环节以纸质形式进行；影响或可能影响采购公平、公正性的，重新采购。</w:t>
      </w:r>
    </w:p>
    <w:p>
      <w:pPr>
        <w:pStyle w:val="22"/>
        <w:ind w:firstLine="0"/>
      </w:pPr>
    </w:p>
    <w:p>
      <w:pPr>
        <w:spacing w:line="400" w:lineRule="exact"/>
        <w:rPr>
          <w:rFonts w:ascii="宋体" w:hAnsi="宋体"/>
          <w:b/>
          <w:bCs/>
          <w:sz w:val="24"/>
        </w:rPr>
      </w:pPr>
      <w:r>
        <w:rPr>
          <w:rFonts w:ascii="宋体" w:hAnsi="宋体"/>
          <w:b/>
          <w:bCs/>
          <w:sz w:val="24"/>
        </w:rPr>
        <w:t>（</w:t>
      </w:r>
      <w:r>
        <w:rPr>
          <w:rFonts w:hint="eastAsia" w:ascii="宋体" w:hAnsi="宋体"/>
          <w:b/>
          <w:bCs/>
          <w:sz w:val="24"/>
        </w:rPr>
        <w:t>八</w:t>
      </w:r>
      <w:r>
        <w:rPr>
          <w:rFonts w:ascii="宋体" w:hAnsi="宋体"/>
          <w:b/>
          <w:bCs/>
          <w:sz w:val="24"/>
        </w:rPr>
        <w:t>）废标的情形</w:t>
      </w:r>
    </w:p>
    <w:p>
      <w:pPr>
        <w:spacing w:line="400" w:lineRule="exact"/>
        <w:ind w:firstLine="480" w:firstLineChars="200"/>
        <w:rPr>
          <w:rFonts w:ascii="宋体" w:hAnsi="宋体"/>
          <w:sz w:val="24"/>
        </w:rPr>
      </w:pPr>
      <w:r>
        <w:rPr>
          <w:rFonts w:ascii="宋体" w:hAnsi="宋体"/>
          <w:sz w:val="24"/>
        </w:rPr>
        <w:t>在招标采购中，出现下列情形之一的，应予废标：</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符合专业条件的供应商或者对招标文件作实质性响应的供应商不足三家的</w:t>
      </w:r>
      <w:r>
        <w:rPr>
          <w:rFonts w:ascii="宋体" w:hAnsi="宋体"/>
          <w:sz w:val="24"/>
        </w:rPr>
        <w:t>；</w:t>
      </w:r>
    </w:p>
    <w:p>
      <w:pPr>
        <w:spacing w:line="400" w:lineRule="exact"/>
        <w:ind w:firstLine="480" w:firstLineChars="200"/>
        <w:rPr>
          <w:rFonts w:ascii="宋体" w:hAnsi="宋体"/>
          <w:sz w:val="24"/>
        </w:rPr>
      </w:pPr>
      <w:r>
        <w:rPr>
          <w:rFonts w:ascii="宋体" w:hAnsi="宋体"/>
          <w:sz w:val="24"/>
        </w:rPr>
        <w:t>（2）出现影响采购公正的违法、违规行为的；</w:t>
      </w:r>
    </w:p>
    <w:p>
      <w:pPr>
        <w:spacing w:line="400" w:lineRule="exact"/>
        <w:ind w:firstLine="480" w:firstLineChars="200"/>
        <w:rPr>
          <w:rFonts w:ascii="宋体" w:hAnsi="宋体"/>
          <w:sz w:val="24"/>
        </w:rPr>
      </w:pPr>
      <w:r>
        <w:rPr>
          <w:rFonts w:ascii="宋体" w:hAnsi="宋体"/>
          <w:sz w:val="24"/>
        </w:rPr>
        <w:t>（3）投标人的报价均超过了采购预算</w:t>
      </w:r>
      <w:r>
        <w:rPr>
          <w:rFonts w:hint="eastAsia" w:ascii="宋体" w:hAnsi="宋体"/>
          <w:sz w:val="24"/>
        </w:rPr>
        <w:t>或单价限价</w:t>
      </w:r>
      <w:r>
        <w:rPr>
          <w:rFonts w:ascii="宋体" w:hAnsi="宋体"/>
          <w:sz w:val="24"/>
        </w:rPr>
        <w:t>，采购人不能支付的；</w:t>
      </w:r>
    </w:p>
    <w:p>
      <w:pPr>
        <w:spacing w:line="400" w:lineRule="exact"/>
        <w:ind w:firstLine="480" w:firstLineChars="200"/>
        <w:rPr>
          <w:rFonts w:ascii="宋体" w:hAnsi="宋体"/>
          <w:sz w:val="24"/>
        </w:rPr>
      </w:pPr>
      <w:r>
        <w:rPr>
          <w:rFonts w:ascii="宋体" w:hAnsi="宋体"/>
          <w:sz w:val="24"/>
        </w:rPr>
        <w:t xml:space="preserve">（4）因重大变故，采购任务取消的。 </w:t>
      </w:r>
      <w:bookmarkStart w:id="274" w:name="_Toc424544536"/>
      <w:bookmarkStart w:id="275" w:name="_Toc424544815"/>
    </w:p>
    <w:p>
      <w:pPr>
        <w:spacing w:line="400" w:lineRule="exact"/>
        <w:outlineLvl w:val="1"/>
        <w:rPr>
          <w:rFonts w:ascii="宋体" w:hAnsi="宋体"/>
          <w:b/>
          <w:bCs/>
          <w:sz w:val="24"/>
        </w:rPr>
      </w:pPr>
      <w:bookmarkStart w:id="276" w:name="_Toc16849"/>
      <w:r>
        <w:rPr>
          <w:rFonts w:hint="eastAsia" w:ascii="宋体" w:hAnsi="宋体"/>
          <w:b/>
          <w:bCs/>
          <w:sz w:val="24"/>
        </w:rPr>
        <w:t>四、开标</w:t>
      </w:r>
      <w:bookmarkEnd w:id="267"/>
      <w:bookmarkEnd w:id="268"/>
      <w:bookmarkEnd w:id="269"/>
      <w:bookmarkEnd w:id="270"/>
      <w:bookmarkEnd w:id="271"/>
      <w:bookmarkEnd w:id="272"/>
      <w:bookmarkEnd w:id="273"/>
      <w:bookmarkEnd w:id="274"/>
      <w:bookmarkEnd w:id="275"/>
      <w:bookmarkEnd w:id="276"/>
    </w:p>
    <w:p>
      <w:pPr>
        <w:pStyle w:val="27"/>
        <w:adjustRightInd w:val="0"/>
        <w:snapToGrid w:val="0"/>
        <w:spacing w:beforeLines="0" w:afterLines="0"/>
        <w:ind w:left="0" w:firstLine="0"/>
        <w:rPr>
          <w:rFonts w:hAnsi="宋体"/>
          <w:b/>
        </w:rPr>
      </w:pPr>
      <w:bookmarkStart w:id="277" w:name="_Toc293916880"/>
      <w:r>
        <w:rPr>
          <w:rFonts w:hint="eastAsia" w:hAnsi="宋体"/>
          <w:b/>
        </w:rPr>
        <w:t>（一）开标准备</w:t>
      </w:r>
      <w:bookmarkEnd w:id="277"/>
    </w:p>
    <w:p>
      <w:pPr>
        <w:pStyle w:val="27"/>
        <w:adjustRightInd w:val="0"/>
        <w:snapToGrid w:val="0"/>
        <w:spacing w:beforeLines="0" w:afterLines="0"/>
        <w:ind w:left="0" w:firstLine="480" w:firstLineChars="200"/>
        <w:rPr>
          <w:rFonts w:hAnsi="宋体"/>
          <w:b/>
        </w:rPr>
      </w:pPr>
      <w:bookmarkStart w:id="278" w:name="_Toc293916882"/>
      <w:r>
        <w:rPr>
          <w:rFonts w:hint="eastAsia" w:hAnsi="宋体"/>
          <w:b/>
        </w:rPr>
        <w:t>采购组织机构将按照招标文件规定的时间通过“政府采购云平台”组织开标、开启投标文件，所有供应商均应当准时参加。</w:t>
      </w:r>
    </w:p>
    <w:bookmarkEnd w:id="278"/>
    <w:p>
      <w:pPr>
        <w:spacing w:line="305" w:lineRule="exact"/>
        <w:rPr>
          <w:b/>
          <w:sz w:val="24"/>
        </w:rPr>
      </w:pPr>
      <w:bookmarkStart w:id="279" w:name="_Toc495915050"/>
      <w:bookmarkStart w:id="280" w:name="_Toc293916372"/>
      <w:bookmarkStart w:id="281" w:name="_Toc293917021"/>
      <w:bookmarkStart w:id="282" w:name="_Toc424544537"/>
      <w:bookmarkStart w:id="283" w:name="_Toc293916021"/>
      <w:bookmarkStart w:id="284" w:name="_Toc293916883"/>
      <w:bookmarkStart w:id="285" w:name="_Toc424544816"/>
      <w:r>
        <w:rPr>
          <w:b/>
          <w:sz w:val="24"/>
        </w:rPr>
        <w:t>（二） 电子招投标开标及评审程序：</w:t>
      </w:r>
    </w:p>
    <w:p>
      <w:pPr>
        <w:adjustRightInd w:val="0"/>
        <w:snapToGrid w:val="0"/>
        <w:spacing w:line="360" w:lineRule="exact"/>
        <w:ind w:firstLine="480" w:firstLineChars="200"/>
        <w:jc w:val="left"/>
        <w:rPr>
          <w:rFonts w:ascii="宋体" w:hAnsi="宋体"/>
          <w:sz w:val="24"/>
        </w:rPr>
      </w:pPr>
      <w:r>
        <w:rPr>
          <w:rFonts w:hint="eastAsia" w:ascii="宋体" w:hAnsi="宋体"/>
          <w:sz w:val="24"/>
        </w:rPr>
        <w:t>1.开标由采购人或者采购代理机构主持，邀请供应商参加。评标委员会成员不得参加开标活动；</w:t>
      </w:r>
    </w:p>
    <w:p>
      <w:pPr>
        <w:adjustRightInd w:val="0"/>
        <w:snapToGrid w:val="0"/>
        <w:spacing w:line="360" w:lineRule="exact"/>
        <w:ind w:firstLine="480" w:firstLineChars="200"/>
        <w:jc w:val="left"/>
        <w:rPr>
          <w:rFonts w:ascii="宋体" w:hAnsi="宋体"/>
          <w:sz w:val="24"/>
        </w:rPr>
      </w:pPr>
      <w:r>
        <w:rPr>
          <w:rFonts w:hint="eastAsia" w:ascii="宋体" w:hAnsi="宋体"/>
          <w:sz w:val="24"/>
        </w:rPr>
        <w:t>2.主持人宣布开标会议开始，并按照规定的时间通过政采云系统组织开标，所有供应商应当准时在线参加；</w:t>
      </w:r>
    </w:p>
    <w:p>
      <w:pPr>
        <w:adjustRightInd w:val="0"/>
        <w:snapToGrid w:val="0"/>
        <w:spacing w:line="360" w:lineRule="exact"/>
        <w:ind w:firstLine="480" w:firstLineChars="200"/>
        <w:jc w:val="left"/>
        <w:rPr>
          <w:rFonts w:ascii="宋体" w:hAnsi="宋体"/>
          <w:sz w:val="24"/>
        </w:rPr>
      </w:pPr>
      <w:r>
        <w:rPr>
          <w:rFonts w:hint="eastAsia" w:ascii="宋体" w:hAnsi="宋体"/>
          <w:sz w:val="24"/>
        </w:rPr>
        <w:t>3.主持人介绍参加开标会的人员名单；</w:t>
      </w:r>
    </w:p>
    <w:p>
      <w:pPr>
        <w:adjustRightInd w:val="0"/>
        <w:snapToGrid w:val="0"/>
        <w:spacing w:line="360" w:lineRule="exact"/>
        <w:ind w:firstLine="480" w:firstLineChars="200"/>
        <w:jc w:val="left"/>
        <w:rPr>
          <w:rFonts w:ascii="宋体" w:hAnsi="宋体"/>
          <w:sz w:val="24"/>
        </w:rPr>
      </w:pPr>
      <w:r>
        <w:rPr>
          <w:rFonts w:hint="eastAsia" w:ascii="宋体" w:hAnsi="宋体"/>
          <w:sz w:val="24"/>
        </w:rPr>
        <w:t>4.开标过程应当由采购人或者采购代理机构负责记录, 由参加开标的各供应商代表和相关工作人员签字确认后随招标文件一并存档。供应商代表对开标过程和开标记录有疑义，以及认为采购人、采购代理机构相关工作人员有需要回避情形的，应当场提出询问或者回避申请。采购人、采购代理机构对供应商代表提出的疑问或者回避申请应当及时处理。供应商未参加开标的，视同认可开标结果；</w:t>
      </w:r>
    </w:p>
    <w:p>
      <w:pPr>
        <w:adjustRightInd w:val="0"/>
        <w:snapToGrid w:val="0"/>
        <w:spacing w:line="360" w:lineRule="exact"/>
        <w:ind w:firstLine="480" w:firstLineChars="200"/>
        <w:jc w:val="left"/>
        <w:rPr>
          <w:rFonts w:ascii="宋体" w:hAnsi="宋体"/>
          <w:sz w:val="24"/>
        </w:rPr>
      </w:pPr>
      <w:r>
        <w:rPr>
          <w:rFonts w:hint="eastAsia" w:ascii="宋体" w:hAnsi="宋体"/>
          <w:sz w:val="24"/>
        </w:rPr>
        <w:t>5.投标截止时间后，投标人登录政采云平台，用“项目采购-开标评标”功能对电子投标文件进行在线解密；</w:t>
      </w:r>
    </w:p>
    <w:p>
      <w:pPr>
        <w:adjustRightInd w:val="0"/>
        <w:snapToGrid w:val="0"/>
        <w:spacing w:line="360" w:lineRule="exact"/>
        <w:ind w:firstLine="480" w:firstLineChars="200"/>
        <w:jc w:val="left"/>
        <w:rPr>
          <w:rFonts w:ascii="宋体" w:hAnsi="宋体"/>
          <w:sz w:val="24"/>
        </w:rPr>
      </w:pPr>
      <w:r>
        <w:rPr>
          <w:rFonts w:hint="eastAsia" w:ascii="宋体" w:hAnsi="宋体"/>
          <w:sz w:val="24"/>
        </w:rPr>
        <w:t>6.在开标结束后（评标开始前），由采购人或采购代理机构进行资格审查。资格审查后在系统上公布资格审查结果；</w:t>
      </w:r>
    </w:p>
    <w:p>
      <w:pPr>
        <w:adjustRightInd w:val="0"/>
        <w:snapToGrid w:val="0"/>
        <w:spacing w:line="360" w:lineRule="exact"/>
        <w:ind w:firstLine="480" w:firstLineChars="200"/>
        <w:jc w:val="left"/>
        <w:rPr>
          <w:rFonts w:ascii="宋体" w:hAnsi="宋体"/>
          <w:sz w:val="24"/>
        </w:rPr>
      </w:pPr>
      <w:r>
        <w:rPr>
          <w:rFonts w:hint="eastAsia" w:ascii="宋体" w:hAnsi="宋体"/>
          <w:sz w:val="24"/>
        </w:rPr>
        <w:t>7.由评标委员会对资格审查通过的供应商进行技术、商务、资信及其他部分评审， 符合性审查及评分结束后，由主持人公布无效投标的供应商名单、投标无效的原因，并在系统上公布其他有效投标的评审结果；</w:t>
      </w:r>
    </w:p>
    <w:p>
      <w:pPr>
        <w:adjustRightInd w:val="0"/>
        <w:snapToGrid w:val="0"/>
        <w:spacing w:line="360" w:lineRule="exact"/>
        <w:ind w:firstLine="480" w:firstLineChars="200"/>
        <w:jc w:val="left"/>
        <w:rPr>
          <w:rFonts w:ascii="宋体" w:hAnsi="宋体"/>
          <w:sz w:val="24"/>
        </w:rPr>
      </w:pPr>
      <w:r>
        <w:rPr>
          <w:rFonts w:hint="eastAsia" w:ascii="宋体" w:hAnsi="宋体"/>
          <w:sz w:val="24"/>
        </w:rPr>
        <w:t>8.由主持人在政采云系统上公布的供应商名称及在其投标文件中承诺的投标报价、投标内容以及其他有必要宣读的内容；</w:t>
      </w:r>
    </w:p>
    <w:p>
      <w:pPr>
        <w:adjustRightInd w:val="0"/>
        <w:snapToGrid w:val="0"/>
        <w:spacing w:line="360" w:lineRule="exact"/>
        <w:ind w:firstLine="480" w:firstLineChars="200"/>
        <w:jc w:val="left"/>
        <w:rPr>
          <w:rFonts w:ascii="宋体" w:hAnsi="宋体"/>
          <w:sz w:val="24"/>
        </w:rPr>
      </w:pPr>
      <w:r>
        <w:rPr>
          <w:rFonts w:hint="eastAsia" w:ascii="宋体" w:hAnsi="宋体"/>
          <w:sz w:val="24"/>
        </w:rPr>
        <w:t>9.报价部分符合性审查及评分结束后，由主持人公布无效投标的供应商名单、投标无效的原因，并在政采云系统上公布其他有效投标的评分结果；</w:t>
      </w:r>
    </w:p>
    <w:p>
      <w:pPr>
        <w:adjustRightInd w:val="0"/>
        <w:snapToGrid w:val="0"/>
        <w:spacing w:line="360" w:lineRule="exact"/>
        <w:ind w:firstLine="480" w:firstLineChars="200"/>
        <w:jc w:val="left"/>
        <w:rPr>
          <w:rFonts w:ascii="宋体" w:hAnsi="宋体"/>
          <w:sz w:val="24"/>
        </w:rPr>
      </w:pPr>
      <w:r>
        <w:rPr>
          <w:rFonts w:hint="eastAsia" w:ascii="宋体" w:hAnsi="宋体"/>
          <w:sz w:val="24"/>
        </w:rPr>
        <w:t>10.最终在政采云系统上公布评审结果；</w:t>
      </w:r>
    </w:p>
    <w:p>
      <w:pPr>
        <w:adjustRightInd w:val="0"/>
        <w:snapToGrid w:val="0"/>
        <w:spacing w:line="360" w:lineRule="exact"/>
        <w:ind w:firstLine="480" w:firstLineChars="200"/>
        <w:jc w:val="left"/>
        <w:rPr>
          <w:rFonts w:ascii="宋体" w:hAnsi="宋体"/>
          <w:sz w:val="24"/>
        </w:rPr>
      </w:pPr>
      <w:r>
        <w:rPr>
          <w:rFonts w:hint="eastAsia" w:ascii="宋体" w:hAnsi="宋体"/>
          <w:sz w:val="24"/>
        </w:rPr>
        <w:t>11.开标会议结束。</w:t>
      </w:r>
    </w:p>
    <w:p>
      <w:pPr>
        <w:adjustRightInd w:val="0"/>
        <w:snapToGrid w:val="0"/>
        <w:spacing w:line="360" w:lineRule="exact"/>
        <w:ind w:firstLine="240" w:firstLineChars="100"/>
        <w:jc w:val="left"/>
        <w:rPr>
          <w:rFonts w:hAnsi="宋体"/>
          <w:sz w:val="24"/>
        </w:rPr>
      </w:pPr>
      <w:r>
        <w:rPr>
          <w:rFonts w:hint="eastAsia" w:ascii="宋体" w:hAnsi="宋体"/>
          <w:sz w:val="24"/>
        </w:rPr>
        <w:t>特别说明：政采云公司如对电子化开标及评审程序有调整的，应按调整的程序操作。</w:t>
      </w:r>
    </w:p>
    <w:p>
      <w:pPr>
        <w:pStyle w:val="22"/>
        <w:rPr>
          <w:rFonts w:hAnsi="宋体"/>
          <w:sz w:val="24"/>
        </w:rPr>
      </w:pPr>
    </w:p>
    <w:p>
      <w:pPr>
        <w:spacing w:line="400" w:lineRule="exact"/>
        <w:outlineLvl w:val="1"/>
        <w:rPr>
          <w:rFonts w:ascii="宋体" w:hAnsi="宋体"/>
          <w:b/>
          <w:bCs/>
          <w:sz w:val="24"/>
        </w:rPr>
      </w:pPr>
      <w:bookmarkStart w:id="286" w:name="_Toc30002"/>
      <w:r>
        <w:rPr>
          <w:rFonts w:hint="eastAsia" w:ascii="宋体" w:hAnsi="宋体"/>
          <w:b/>
          <w:bCs/>
          <w:sz w:val="24"/>
        </w:rPr>
        <w:t>五、资格证明文件审查</w:t>
      </w:r>
      <w:bookmarkEnd w:id="279"/>
      <w:bookmarkEnd w:id="286"/>
    </w:p>
    <w:p>
      <w:pPr>
        <w:pStyle w:val="27"/>
        <w:adjustRightInd w:val="0"/>
        <w:snapToGrid w:val="0"/>
        <w:spacing w:beforeLines="0" w:afterLines="0"/>
        <w:ind w:left="0" w:firstLine="0"/>
        <w:rPr>
          <w:rFonts w:hAnsi="宋体"/>
          <w:b/>
        </w:rPr>
      </w:pPr>
      <w:r>
        <w:rPr>
          <w:rFonts w:hint="eastAsia" w:hAnsi="宋体"/>
          <w:b/>
        </w:rPr>
        <w:t>（一）审查人员</w:t>
      </w:r>
    </w:p>
    <w:p>
      <w:pPr>
        <w:pStyle w:val="27"/>
        <w:adjustRightInd w:val="0"/>
        <w:snapToGrid w:val="0"/>
        <w:spacing w:beforeLines="0" w:afterLines="0"/>
        <w:ind w:left="0" w:firstLine="480" w:firstLineChars="200"/>
        <w:rPr>
          <w:rFonts w:hAnsi="宋体"/>
        </w:rPr>
      </w:pPr>
      <w:r>
        <w:rPr>
          <w:rFonts w:hint="eastAsia" w:hAnsi="宋体"/>
        </w:rPr>
        <w:t>采购人及采购代理机构负责审查。</w:t>
      </w:r>
    </w:p>
    <w:p>
      <w:pPr>
        <w:pStyle w:val="27"/>
        <w:adjustRightInd w:val="0"/>
        <w:snapToGrid w:val="0"/>
        <w:spacing w:beforeLines="0" w:afterLines="0"/>
        <w:ind w:left="0" w:firstLine="0"/>
        <w:rPr>
          <w:rFonts w:hAnsi="宋体"/>
          <w:b/>
        </w:rPr>
      </w:pPr>
      <w:r>
        <w:rPr>
          <w:rFonts w:hint="eastAsia" w:hAnsi="宋体"/>
          <w:b/>
        </w:rPr>
        <w:t>（二）审查依据</w:t>
      </w:r>
    </w:p>
    <w:p>
      <w:pPr>
        <w:pStyle w:val="27"/>
        <w:adjustRightInd w:val="0"/>
        <w:snapToGrid w:val="0"/>
        <w:spacing w:beforeLines="0" w:afterLines="0"/>
        <w:ind w:left="0" w:firstLine="480" w:firstLineChars="200"/>
        <w:rPr>
          <w:rFonts w:hAnsi="宋体"/>
        </w:rPr>
      </w:pPr>
      <w:r>
        <w:rPr>
          <w:rFonts w:hint="eastAsia" w:hAnsi="宋体"/>
        </w:rPr>
        <w:t>招标文件、投标人的资格文件、“信用中国”网站www.creditchina.gov.cn及“中国政府采购网”www.ccgp.gov.cn查询结果。</w:t>
      </w:r>
    </w:p>
    <w:p>
      <w:pPr>
        <w:pStyle w:val="27"/>
        <w:adjustRightInd w:val="0"/>
        <w:snapToGrid w:val="0"/>
        <w:spacing w:beforeLines="0" w:afterLines="0"/>
        <w:ind w:left="0" w:firstLine="0"/>
        <w:rPr>
          <w:rFonts w:hAnsi="宋体"/>
          <w:b/>
        </w:rPr>
      </w:pPr>
      <w:r>
        <w:rPr>
          <w:rFonts w:hint="eastAsia" w:hAnsi="宋体"/>
          <w:b/>
        </w:rPr>
        <w:t>（三）审查方法</w:t>
      </w:r>
    </w:p>
    <w:p>
      <w:pPr>
        <w:pStyle w:val="27"/>
        <w:adjustRightInd w:val="0"/>
        <w:snapToGrid w:val="0"/>
        <w:spacing w:beforeLines="0" w:afterLines="0"/>
        <w:ind w:left="0" w:firstLine="480" w:firstLineChars="200"/>
        <w:rPr>
          <w:rFonts w:hAnsi="宋体"/>
        </w:rPr>
      </w:pPr>
      <w:r>
        <w:rPr>
          <w:rFonts w:hint="eastAsia" w:hAnsi="宋体"/>
        </w:rPr>
        <w:t>1、审查投标人资格文件的完整性、符合性。</w:t>
      </w:r>
    </w:p>
    <w:p>
      <w:pPr>
        <w:pStyle w:val="27"/>
        <w:adjustRightInd w:val="0"/>
        <w:snapToGrid w:val="0"/>
        <w:spacing w:beforeLines="0" w:afterLines="0"/>
        <w:ind w:left="0" w:firstLine="480" w:firstLineChars="200"/>
        <w:rPr>
          <w:rFonts w:hAnsi="宋体"/>
        </w:rPr>
      </w:pPr>
      <w:r>
        <w:rPr>
          <w:rFonts w:hint="eastAsia" w:hAnsi="宋体"/>
        </w:rPr>
        <w:t>2、采购人及采购代理机构登录“信用中国”网站www.creditchina.gov.cn、“中国政府采购网”www.ccgp.gov.cn核实信息真实性。</w:t>
      </w:r>
    </w:p>
    <w:p>
      <w:pPr>
        <w:spacing w:line="400" w:lineRule="exact"/>
        <w:outlineLvl w:val="1"/>
        <w:rPr>
          <w:rFonts w:ascii="宋体" w:hAnsi="宋体"/>
          <w:b/>
          <w:bCs/>
          <w:sz w:val="24"/>
        </w:rPr>
      </w:pPr>
      <w:bookmarkStart w:id="287" w:name="_Toc31368"/>
      <w:r>
        <w:rPr>
          <w:rFonts w:hint="eastAsia" w:ascii="宋体" w:hAnsi="宋体"/>
          <w:b/>
          <w:bCs/>
          <w:sz w:val="24"/>
        </w:rPr>
        <w:t>六、评标</w:t>
      </w:r>
      <w:bookmarkEnd w:id="280"/>
      <w:bookmarkEnd w:id="281"/>
      <w:bookmarkEnd w:id="282"/>
      <w:bookmarkEnd w:id="283"/>
      <w:bookmarkEnd w:id="284"/>
      <w:bookmarkEnd w:id="285"/>
      <w:bookmarkEnd w:id="287"/>
    </w:p>
    <w:p>
      <w:pPr>
        <w:pStyle w:val="27"/>
        <w:adjustRightInd w:val="0"/>
        <w:snapToGrid w:val="0"/>
        <w:spacing w:beforeLines="0" w:afterLines="0"/>
        <w:ind w:left="0" w:firstLine="0"/>
        <w:rPr>
          <w:rFonts w:hAnsi="宋体"/>
          <w:b/>
        </w:rPr>
      </w:pPr>
      <w:bookmarkStart w:id="288" w:name="_Toc293916884"/>
      <w:r>
        <w:rPr>
          <w:rFonts w:hint="eastAsia" w:hAnsi="宋体"/>
          <w:b/>
        </w:rPr>
        <w:t>（一）组建评标委员会</w:t>
      </w:r>
      <w:bookmarkEnd w:id="288"/>
    </w:p>
    <w:p>
      <w:pPr>
        <w:tabs>
          <w:tab w:val="left" w:pos="1200"/>
          <w:tab w:val="left" w:pos="1211"/>
        </w:tabs>
        <w:adjustRightInd w:val="0"/>
        <w:snapToGrid w:val="0"/>
        <w:spacing w:line="400" w:lineRule="exact"/>
        <w:ind w:firstLine="480" w:firstLineChars="200"/>
        <w:rPr>
          <w:rFonts w:ascii="宋体" w:hAnsi="宋体"/>
          <w:color w:val="000000"/>
          <w:sz w:val="24"/>
        </w:rPr>
      </w:pPr>
      <w:bookmarkStart w:id="289" w:name="_Toc293916886"/>
      <w:r>
        <w:rPr>
          <w:rFonts w:hint="eastAsia" w:ascii="宋体" w:hAnsi="宋体"/>
          <w:color w:val="000000"/>
          <w:sz w:val="24"/>
        </w:rPr>
        <w:t>本项目评标委员会由政府采购评审专家4人和招标采购人代表1人组成。</w:t>
      </w:r>
    </w:p>
    <w:p>
      <w:pPr>
        <w:pStyle w:val="27"/>
        <w:adjustRightInd w:val="0"/>
        <w:snapToGrid w:val="0"/>
        <w:spacing w:beforeLines="0" w:afterLines="0"/>
        <w:ind w:left="0" w:firstLine="0"/>
        <w:rPr>
          <w:rFonts w:hAnsi="宋体"/>
          <w:b/>
        </w:rPr>
      </w:pPr>
      <w:r>
        <w:rPr>
          <w:rFonts w:hint="eastAsia" w:hAnsi="宋体"/>
          <w:b/>
        </w:rPr>
        <w:t>（二）评标的方式</w:t>
      </w:r>
      <w:bookmarkEnd w:id="289"/>
    </w:p>
    <w:p>
      <w:pPr>
        <w:pStyle w:val="27"/>
        <w:adjustRightInd w:val="0"/>
        <w:snapToGrid w:val="0"/>
        <w:spacing w:beforeLines="0" w:afterLines="0"/>
        <w:ind w:left="0" w:firstLine="480" w:firstLineChars="200"/>
        <w:rPr>
          <w:rFonts w:hAnsi="宋体"/>
        </w:rPr>
      </w:pPr>
      <w:bookmarkStart w:id="290" w:name="_Toc293916887"/>
      <w:r>
        <w:rPr>
          <w:rFonts w:hint="eastAsia" w:hAnsi="宋体"/>
        </w:rPr>
        <w:t>本项目采用不公开方式评标，评标的依据为招标文件和投标文件。</w:t>
      </w:r>
      <w:bookmarkEnd w:id="290"/>
    </w:p>
    <w:p>
      <w:pPr>
        <w:pStyle w:val="27"/>
        <w:adjustRightInd w:val="0"/>
        <w:snapToGrid w:val="0"/>
        <w:spacing w:beforeLines="0" w:afterLines="0"/>
        <w:ind w:left="0" w:firstLine="0"/>
        <w:rPr>
          <w:rFonts w:hAnsi="宋体"/>
          <w:b/>
        </w:rPr>
      </w:pPr>
      <w:bookmarkStart w:id="291" w:name="_Toc293916888"/>
      <w:r>
        <w:rPr>
          <w:rFonts w:hint="eastAsia" w:hAnsi="宋体"/>
          <w:b/>
        </w:rPr>
        <w:t xml:space="preserve">（三） </w:t>
      </w:r>
      <w:r>
        <w:rPr>
          <w:rFonts w:hint="eastAsia" w:hAnsi="宋体"/>
          <w:b/>
          <w:bCs/>
        </w:rPr>
        <w:t>评标程序</w:t>
      </w:r>
      <w:bookmarkEnd w:id="291"/>
    </w:p>
    <w:p>
      <w:pPr>
        <w:pStyle w:val="27"/>
        <w:adjustRightInd w:val="0"/>
        <w:snapToGrid w:val="0"/>
        <w:spacing w:beforeLines="0" w:afterLines="0" w:line="440" w:lineRule="exact"/>
        <w:ind w:left="0" w:firstLine="480" w:firstLineChars="200"/>
        <w:rPr>
          <w:rFonts w:hAnsi="宋体"/>
        </w:rPr>
      </w:pPr>
      <w:r>
        <w:rPr>
          <w:rFonts w:hint="eastAsia" w:hAnsi="宋体"/>
        </w:rPr>
        <w:t>1.对所有通过资格审查的投标供应商的投标文件进行初步审查，审查、评价投标文件是否符合招标文件的商务、技术、服务等实质性要求。</w:t>
      </w:r>
    </w:p>
    <w:p>
      <w:pPr>
        <w:pStyle w:val="27"/>
        <w:adjustRightInd w:val="0"/>
        <w:snapToGrid w:val="0"/>
        <w:spacing w:beforeLines="0" w:afterLines="0" w:line="440" w:lineRule="exact"/>
        <w:ind w:left="0" w:firstLine="480" w:firstLineChars="200"/>
        <w:rPr>
          <w:rFonts w:hAnsi="宋体"/>
        </w:rPr>
      </w:pPr>
      <w:r>
        <w:rPr>
          <w:rFonts w:hint="eastAsia" w:hAnsi="宋体"/>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pStyle w:val="27"/>
        <w:adjustRightInd w:val="0"/>
        <w:snapToGrid w:val="0"/>
        <w:spacing w:beforeLines="0" w:afterLines="0" w:line="440" w:lineRule="exact"/>
        <w:ind w:left="0" w:firstLine="480" w:firstLineChars="200"/>
        <w:rPr>
          <w:rFonts w:hAnsi="宋体"/>
        </w:rPr>
      </w:pPr>
      <w:r>
        <w:rPr>
          <w:rFonts w:hint="eastAsia" w:hAnsi="宋体"/>
        </w:rPr>
        <w:t>3.对采购组织机构工作人员汇总的评审结果进行确认。如发现分值汇总计算错误、分项评分超出评分标准范围、客观评分不一致以及存在畸高、畸低情形的，评审小组组长（评标委员会主任委员）应提醒相关评审人员当场改正或书面说明理由，拒不改正又不作书面说明的，由现场监督员如实记载后存入项目档案资料。</w:t>
      </w:r>
    </w:p>
    <w:p>
      <w:pPr>
        <w:pStyle w:val="27"/>
        <w:adjustRightInd w:val="0"/>
        <w:snapToGrid w:val="0"/>
        <w:spacing w:beforeLines="0" w:afterLines="0"/>
        <w:ind w:left="0" w:firstLine="0"/>
        <w:rPr>
          <w:rFonts w:hAnsi="宋体"/>
          <w:b/>
        </w:rPr>
      </w:pPr>
      <w:r>
        <w:rPr>
          <w:rFonts w:hint="eastAsia" w:hAnsi="宋体"/>
          <w:b/>
        </w:rPr>
        <w:t>（四）澄清问题的形式</w:t>
      </w:r>
    </w:p>
    <w:p>
      <w:pPr>
        <w:snapToGrid w:val="0"/>
        <w:spacing w:line="560" w:lineRule="exact"/>
        <w:ind w:firstLine="480" w:firstLineChars="200"/>
        <w:rPr>
          <w:rFonts w:ascii="宋体" w:hAnsi="宋体"/>
          <w:sz w:val="24"/>
          <w:szCs w:val="24"/>
        </w:rPr>
      </w:pPr>
      <w:r>
        <w:rPr>
          <w:rFonts w:hint="eastAsia" w:ascii="宋体" w:hAnsi="宋体"/>
          <w:sz w:val="24"/>
          <w:szCs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560" w:lineRule="exact"/>
        <w:ind w:firstLine="480" w:firstLineChars="200"/>
        <w:rPr>
          <w:rFonts w:ascii="宋体" w:hAnsi="宋体"/>
          <w:sz w:val="24"/>
          <w:szCs w:val="24"/>
        </w:rPr>
      </w:pPr>
      <w:r>
        <w:rPr>
          <w:rFonts w:hint="eastAsia" w:ascii="宋体" w:hAnsi="宋体"/>
          <w:sz w:val="24"/>
          <w:szCs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7"/>
        <w:adjustRightInd w:val="0"/>
        <w:snapToGrid w:val="0"/>
        <w:spacing w:beforeLines="0" w:afterLines="0"/>
        <w:ind w:left="0" w:firstLine="0"/>
        <w:rPr>
          <w:rFonts w:hAnsi="宋体"/>
          <w:b/>
        </w:rPr>
      </w:pPr>
      <w:bookmarkStart w:id="292" w:name="_Toc293916889"/>
      <w:r>
        <w:rPr>
          <w:rFonts w:hint="eastAsia" w:hAnsi="宋体"/>
          <w:b/>
        </w:rPr>
        <w:t>（五） 错误修正</w:t>
      </w:r>
      <w:bookmarkEnd w:id="292"/>
    </w:p>
    <w:p>
      <w:pPr>
        <w:pStyle w:val="27"/>
        <w:adjustRightInd w:val="0"/>
        <w:snapToGrid w:val="0"/>
        <w:spacing w:beforeLines="0" w:afterLines="0"/>
        <w:ind w:left="0" w:firstLine="480" w:firstLineChars="200"/>
        <w:rPr>
          <w:rFonts w:hAnsi="宋体"/>
        </w:rPr>
      </w:pPr>
      <w:bookmarkStart w:id="293" w:name="_Toc293916895"/>
      <w:r>
        <w:rPr>
          <w:rFonts w:hint="eastAsia" w:hAnsi="宋体"/>
        </w:rPr>
        <w:t>投标文件如果出现计算或表达上的错误，修正错误的原则如下：</w:t>
      </w:r>
    </w:p>
    <w:p>
      <w:pPr>
        <w:pStyle w:val="27"/>
        <w:adjustRightInd w:val="0"/>
        <w:snapToGrid w:val="0"/>
        <w:spacing w:beforeLines="0" w:afterLines="0"/>
        <w:ind w:left="0" w:firstLine="480" w:firstLineChars="200"/>
        <w:rPr>
          <w:rFonts w:hAnsi="宋体"/>
          <w:b/>
        </w:rPr>
      </w:pPr>
      <w:r>
        <w:rPr>
          <w:rFonts w:hint="eastAsia" w:hAnsi="宋体"/>
          <w:b/>
        </w:rPr>
        <w:t>1、开标一览表总价与投标报价明细表汇总数不一致的，以开标一览表为准；</w:t>
      </w:r>
    </w:p>
    <w:p>
      <w:pPr>
        <w:pStyle w:val="27"/>
        <w:adjustRightInd w:val="0"/>
        <w:snapToGrid w:val="0"/>
        <w:spacing w:beforeLines="0" w:afterLines="0"/>
        <w:ind w:left="0" w:firstLine="480" w:firstLineChars="200"/>
        <w:rPr>
          <w:rFonts w:hAnsi="宋体"/>
        </w:rPr>
      </w:pPr>
      <w:r>
        <w:rPr>
          <w:rFonts w:hint="eastAsia" w:hAnsi="宋体"/>
        </w:rPr>
        <w:t>2、大写金额和小写金额不一致的，以大写金额为准；</w:t>
      </w:r>
    </w:p>
    <w:p>
      <w:pPr>
        <w:pStyle w:val="27"/>
        <w:adjustRightInd w:val="0"/>
        <w:snapToGrid w:val="0"/>
        <w:spacing w:beforeLines="0" w:afterLines="0"/>
        <w:ind w:left="0" w:firstLine="480" w:firstLineChars="200"/>
        <w:rPr>
          <w:rFonts w:hAnsi="宋体"/>
        </w:rPr>
      </w:pPr>
      <w:r>
        <w:rPr>
          <w:rFonts w:hint="eastAsia" w:hAnsi="宋体"/>
        </w:rPr>
        <w:t>3、单价金额小数点有明显错位的，应以开标一览表的总价为准，并修改单价；</w:t>
      </w:r>
    </w:p>
    <w:p>
      <w:pPr>
        <w:pStyle w:val="27"/>
        <w:adjustRightInd w:val="0"/>
        <w:snapToGrid w:val="0"/>
        <w:spacing w:beforeLines="0" w:afterLines="0"/>
        <w:ind w:left="0" w:firstLine="480" w:firstLineChars="200"/>
        <w:rPr>
          <w:rFonts w:hAnsi="宋体"/>
        </w:rPr>
      </w:pPr>
      <w:r>
        <w:rPr>
          <w:rFonts w:hint="eastAsia" w:hAnsi="宋体"/>
        </w:rPr>
        <w:t>4、总价金额与按单价汇总金额不一致的，以单价金额计算结果为准；</w:t>
      </w:r>
    </w:p>
    <w:p>
      <w:pPr>
        <w:pStyle w:val="27"/>
        <w:adjustRightInd w:val="0"/>
        <w:snapToGrid w:val="0"/>
        <w:spacing w:beforeLines="0" w:afterLines="0"/>
        <w:ind w:left="0" w:firstLine="480" w:firstLineChars="200"/>
        <w:rPr>
          <w:rFonts w:hAnsi="宋体"/>
        </w:rPr>
      </w:pPr>
      <w:r>
        <w:rPr>
          <w:rFonts w:hint="eastAsia" w:hAnsi="宋体"/>
        </w:rPr>
        <w:t>5、对不同文字文本投标文件的解释发生异议的，以中文文本为准。</w:t>
      </w:r>
    </w:p>
    <w:p>
      <w:pPr>
        <w:pStyle w:val="27"/>
        <w:adjustRightInd w:val="0"/>
        <w:snapToGrid w:val="0"/>
        <w:spacing w:beforeLines="0" w:afterLines="0"/>
        <w:ind w:left="0" w:firstLine="480" w:firstLineChars="200"/>
        <w:rPr>
          <w:rFonts w:hAnsi="宋体"/>
        </w:rPr>
      </w:pPr>
      <w:r>
        <w:rPr>
          <w:rFonts w:hint="eastAsia" w:hAnsi="宋体"/>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27"/>
        <w:adjustRightInd w:val="0"/>
        <w:snapToGrid w:val="0"/>
        <w:spacing w:beforeLines="0" w:afterLines="0"/>
        <w:ind w:left="0" w:firstLine="0"/>
        <w:rPr>
          <w:rFonts w:hAnsi="宋体"/>
          <w:b/>
        </w:rPr>
      </w:pPr>
      <w:r>
        <w:rPr>
          <w:rFonts w:hint="eastAsia" w:hAnsi="宋体"/>
          <w:b/>
        </w:rPr>
        <w:t>（六） 评标过程的保密</w:t>
      </w:r>
      <w:bookmarkEnd w:id="293"/>
    </w:p>
    <w:p>
      <w:pPr>
        <w:pStyle w:val="27"/>
        <w:adjustRightInd w:val="0"/>
        <w:snapToGrid w:val="0"/>
        <w:spacing w:beforeLines="0" w:afterLines="0"/>
        <w:ind w:left="0" w:firstLine="480" w:firstLineChars="200"/>
        <w:rPr>
          <w:rFonts w:hAnsi="宋体"/>
        </w:rPr>
      </w:pPr>
      <w:bookmarkStart w:id="294" w:name="_Toc293916896"/>
      <w:r>
        <w:rPr>
          <w:rFonts w:hint="eastAsia" w:hAnsi="宋体"/>
        </w:rPr>
        <w:t>凡是属于审查、澄清、评审和比较的有关资料以及授标建议，任何人均不得向投标人或其他无关的人员透露。投标人在评标过程中所进行的力图影响评标结果的不公正活动，可能导致其投标被拒绝。</w:t>
      </w:r>
      <w:bookmarkEnd w:id="294"/>
    </w:p>
    <w:p>
      <w:pPr>
        <w:pStyle w:val="27"/>
        <w:tabs>
          <w:tab w:val="left" w:pos="630"/>
        </w:tabs>
        <w:adjustRightInd w:val="0"/>
        <w:snapToGrid w:val="0"/>
        <w:spacing w:beforeLines="0" w:afterLines="0"/>
        <w:ind w:left="0" w:firstLine="0"/>
        <w:rPr>
          <w:rFonts w:hAnsi="宋体"/>
          <w:b/>
        </w:rPr>
      </w:pPr>
      <w:bookmarkStart w:id="295" w:name="_Toc293916897"/>
      <w:r>
        <w:rPr>
          <w:rFonts w:hint="eastAsia" w:hAnsi="宋体"/>
          <w:b/>
        </w:rPr>
        <w:t>（七）评标原则和评标办法</w:t>
      </w:r>
      <w:bookmarkEnd w:id="295"/>
    </w:p>
    <w:p>
      <w:pPr>
        <w:pStyle w:val="27"/>
        <w:adjustRightInd w:val="0"/>
        <w:snapToGrid w:val="0"/>
        <w:spacing w:beforeLines="0" w:afterLines="0"/>
        <w:ind w:left="0" w:firstLine="480" w:firstLineChars="200"/>
        <w:rPr>
          <w:rFonts w:hAnsi="宋体"/>
        </w:rPr>
      </w:pPr>
      <w:bookmarkStart w:id="296" w:name="_Toc293916898"/>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296"/>
    </w:p>
    <w:p>
      <w:pPr>
        <w:pStyle w:val="27"/>
        <w:adjustRightInd w:val="0"/>
        <w:snapToGrid w:val="0"/>
        <w:spacing w:beforeLines="0" w:afterLines="0"/>
        <w:ind w:left="0" w:firstLine="480" w:firstLineChars="200"/>
        <w:rPr>
          <w:rFonts w:hAnsi="宋体"/>
        </w:rPr>
      </w:pPr>
      <w:bookmarkStart w:id="297" w:name="_Toc293916899"/>
      <w:r>
        <w:rPr>
          <w:rFonts w:hint="eastAsia" w:hAnsi="宋体"/>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7"/>
        <w:adjustRightInd w:val="0"/>
        <w:snapToGrid w:val="0"/>
        <w:spacing w:beforeLines="0" w:afterLines="0"/>
        <w:ind w:left="0" w:firstLine="480" w:firstLineChars="200"/>
        <w:rPr>
          <w:rFonts w:hAnsi="宋体"/>
        </w:rPr>
      </w:pPr>
      <w:r>
        <w:rPr>
          <w:rFonts w:hint="eastAsia" w:hAnsi="宋体"/>
        </w:rPr>
        <w:t>非单一产品采购项目，采购人应当根据采购项目技术构成、产品价格比重等合理确定核心产品，并在招标文件中载明。多家投标人提供的核心产品品牌相同的，按三十一条第二款规定处理。</w:t>
      </w:r>
    </w:p>
    <w:p>
      <w:pPr>
        <w:pStyle w:val="27"/>
        <w:adjustRightInd w:val="0"/>
        <w:snapToGrid w:val="0"/>
        <w:spacing w:beforeLines="0" w:afterLines="0"/>
        <w:ind w:left="0" w:firstLine="480" w:firstLineChars="200"/>
        <w:rPr>
          <w:rFonts w:hAnsi="宋体"/>
          <w:b/>
          <w:bCs/>
        </w:rPr>
      </w:pPr>
      <w:r>
        <w:rPr>
          <w:rFonts w:hint="eastAsia" w:hAnsi="宋体"/>
        </w:rPr>
        <w:t>3、评标办法。本项目采用综合评分法，详见《第四章：评标办法及评分标准》。</w:t>
      </w:r>
      <w:bookmarkEnd w:id="297"/>
      <w:bookmarkStart w:id="298" w:name="_Toc293916022"/>
      <w:bookmarkStart w:id="299" w:name="_Toc424544538"/>
      <w:bookmarkStart w:id="300" w:name="_Toc293916373"/>
      <w:bookmarkStart w:id="301" w:name="_Toc293916900"/>
      <w:bookmarkStart w:id="302" w:name="_Toc293917022"/>
      <w:bookmarkStart w:id="303" w:name="_Toc424544817"/>
    </w:p>
    <w:p>
      <w:pPr>
        <w:spacing w:line="400" w:lineRule="exact"/>
        <w:outlineLvl w:val="1"/>
        <w:rPr>
          <w:rFonts w:ascii="宋体" w:hAnsi="宋体"/>
          <w:b/>
          <w:bCs/>
          <w:sz w:val="24"/>
        </w:rPr>
      </w:pPr>
      <w:bookmarkStart w:id="304" w:name="_Toc19015"/>
      <w:r>
        <w:rPr>
          <w:rFonts w:hint="eastAsia" w:ascii="宋体" w:hAnsi="宋体"/>
          <w:b/>
          <w:bCs/>
          <w:sz w:val="24"/>
        </w:rPr>
        <w:t>七、定标</w:t>
      </w:r>
      <w:bookmarkEnd w:id="298"/>
      <w:bookmarkEnd w:id="299"/>
      <w:bookmarkEnd w:id="300"/>
      <w:bookmarkEnd w:id="301"/>
      <w:bookmarkEnd w:id="302"/>
      <w:bookmarkEnd w:id="303"/>
      <w:bookmarkEnd w:id="304"/>
    </w:p>
    <w:p>
      <w:pPr>
        <w:spacing w:line="400" w:lineRule="exact"/>
        <w:ind w:left="420" w:leftChars="200"/>
        <w:outlineLvl w:val="1"/>
        <w:rPr>
          <w:rFonts w:ascii="宋体" w:hAnsi="宋体"/>
          <w:sz w:val="24"/>
        </w:rPr>
      </w:pPr>
      <w:bookmarkStart w:id="305" w:name="_Toc26888"/>
      <w:bookmarkStart w:id="306" w:name="_Toc16690"/>
      <w:bookmarkStart w:id="307" w:name="_Toc293917023"/>
      <w:bookmarkStart w:id="308" w:name="_Toc293916901"/>
      <w:bookmarkStart w:id="309" w:name="_Toc293916374"/>
      <w:bookmarkStart w:id="310" w:name="_Toc424544539"/>
      <w:bookmarkStart w:id="311" w:name="_Toc293916023"/>
      <w:bookmarkStart w:id="312" w:name="_Toc424544818"/>
      <w:r>
        <w:rPr>
          <w:rFonts w:ascii="宋体" w:hAnsi="宋体"/>
          <w:sz w:val="24"/>
        </w:rPr>
        <w:t>1、确定中标人。本项目由采购人确定中标人。</w:t>
      </w:r>
      <w:r>
        <w:rPr>
          <w:rFonts w:ascii="宋体" w:hAnsi="宋体"/>
          <w:sz w:val="24"/>
        </w:rPr>
        <w:br w:type="textWrapping"/>
      </w:r>
      <w:r>
        <w:rPr>
          <w:rFonts w:ascii="宋体" w:hAnsi="宋体"/>
          <w:sz w:val="24"/>
        </w:rPr>
        <w:t>2、采购代理机构在评标结束后2个工作日内将评标报告交采购人确认。</w:t>
      </w:r>
      <w:r>
        <w:rPr>
          <w:rFonts w:ascii="宋体" w:hAnsi="宋体"/>
          <w:sz w:val="24"/>
        </w:rPr>
        <w:br w:type="textWrapping"/>
      </w:r>
      <w:r>
        <w:rPr>
          <w:rFonts w:ascii="宋体" w:hAnsi="宋体"/>
          <w:sz w:val="24"/>
        </w:rPr>
        <w:t>3、采购人应当自收到评标报告之日起</w:t>
      </w:r>
      <w:r>
        <w:rPr>
          <w:rFonts w:hint="eastAsia" w:ascii="宋体" w:hAnsi="宋体"/>
          <w:sz w:val="24"/>
        </w:rPr>
        <w:t>5</w:t>
      </w:r>
      <w:r>
        <w:rPr>
          <w:rFonts w:ascii="宋体" w:hAnsi="宋体"/>
          <w:sz w:val="24"/>
        </w:rPr>
        <w:t>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ascii="宋体" w:hAnsi="宋体"/>
          <w:sz w:val="24"/>
        </w:rPr>
        <w:br w:type="textWrapping"/>
      </w:r>
      <w:r>
        <w:rPr>
          <w:rFonts w:ascii="宋体" w:hAnsi="宋体"/>
          <w:sz w:val="24"/>
        </w:rPr>
        <w:t>4、采购人自行组织招标的，应当在评标结束后5个工作日内确定中标人。</w:t>
      </w:r>
      <w:r>
        <w:rPr>
          <w:rFonts w:ascii="宋体" w:hAnsi="宋体"/>
          <w:sz w:val="24"/>
        </w:rPr>
        <w:br w:type="textWrapping"/>
      </w:r>
      <w:r>
        <w:rPr>
          <w:rFonts w:ascii="宋体" w:hAnsi="宋体"/>
          <w:sz w:val="24"/>
        </w:rPr>
        <w:t>5、采购人在收到评标报告5个工作日内未按评标报告推荐的中标候选人顺序确定中标人，又不能说明合法理由的，视同按评标报告推荐的顺序确定排名第一的中标候选人为中标人。 </w:t>
      </w:r>
      <w:r>
        <w:rPr>
          <w:rFonts w:ascii="宋体" w:hAnsi="宋体"/>
          <w:sz w:val="24"/>
        </w:rPr>
        <w:br w:type="textWrapping"/>
      </w:r>
      <w:r>
        <w:rPr>
          <w:rFonts w:ascii="宋体" w:hAnsi="宋体"/>
          <w:sz w:val="24"/>
        </w:rPr>
        <w:t>6、采购人依法确定中标人后2个工作日内，采购代理机构以书面形式发出《中标通知书》，并同时在相关网站发布中标公告。中标公告期限为1个工作日。</w:t>
      </w:r>
      <w:bookmarkEnd w:id="305"/>
      <w:bookmarkEnd w:id="306"/>
    </w:p>
    <w:p>
      <w:pPr>
        <w:spacing w:line="400" w:lineRule="exact"/>
        <w:outlineLvl w:val="1"/>
        <w:rPr>
          <w:rFonts w:ascii="宋体" w:hAnsi="宋体"/>
          <w:b/>
          <w:bCs/>
          <w:sz w:val="24"/>
        </w:rPr>
      </w:pPr>
      <w:bookmarkStart w:id="313" w:name="_Toc22954"/>
      <w:r>
        <w:rPr>
          <w:rFonts w:hint="eastAsia" w:ascii="宋体" w:hAnsi="宋体"/>
          <w:b/>
          <w:bCs/>
          <w:sz w:val="24"/>
        </w:rPr>
        <w:t>八、合同授予</w:t>
      </w:r>
      <w:bookmarkEnd w:id="307"/>
      <w:bookmarkEnd w:id="308"/>
      <w:bookmarkEnd w:id="309"/>
      <w:bookmarkEnd w:id="310"/>
      <w:bookmarkEnd w:id="311"/>
      <w:bookmarkEnd w:id="312"/>
      <w:bookmarkEnd w:id="313"/>
    </w:p>
    <w:p>
      <w:pPr>
        <w:adjustRightInd w:val="0"/>
        <w:snapToGrid w:val="0"/>
        <w:spacing w:line="400" w:lineRule="exact"/>
        <w:rPr>
          <w:rFonts w:ascii="宋体" w:hAnsi="宋体"/>
          <w:b/>
          <w:sz w:val="24"/>
        </w:rPr>
      </w:pPr>
      <w:r>
        <w:rPr>
          <w:rFonts w:hint="eastAsia" w:ascii="宋体" w:hAnsi="宋体"/>
          <w:b/>
          <w:sz w:val="24"/>
        </w:rPr>
        <w:t>（一）签订合同</w:t>
      </w:r>
    </w:p>
    <w:p>
      <w:pPr>
        <w:adjustRightInd w:val="0"/>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、中标人应自接到中标通知书后</w:t>
      </w:r>
      <w:r>
        <w:rPr>
          <w:rFonts w:hint="eastAsia" w:ascii="宋体" w:hAnsi="宋体"/>
          <w:sz w:val="24"/>
          <w:u w:val="single"/>
        </w:rPr>
        <w:t>30</w:t>
      </w:r>
      <w:r>
        <w:rPr>
          <w:rFonts w:hint="eastAsia" w:ascii="宋体" w:hAnsi="宋体"/>
          <w:sz w:val="24"/>
        </w:rPr>
        <w:t>天内与采购人签定合同。同时，采购人对合同内容进行审查，如发现与采购结果和投标承诺内容不一致的，应予以纠正。</w:t>
      </w:r>
    </w:p>
    <w:p>
      <w:pPr>
        <w:adjustRightInd w:val="0"/>
        <w:snapToGrid w:val="0"/>
        <w:spacing w:line="400" w:lineRule="exact"/>
        <w:ind w:firstLine="480" w:firstLineChars="200"/>
        <w:rPr>
          <w:rFonts w:ascii="宋体" w:hAnsi="宋体"/>
          <w:b/>
          <w:bCs/>
          <w:sz w:val="32"/>
          <w:szCs w:val="30"/>
        </w:rPr>
      </w:pPr>
      <w:r>
        <w:rPr>
          <w:rFonts w:hint="eastAsia" w:ascii="宋体" w:hAnsi="宋体"/>
          <w:sz w:val="24"/>
        </w:rPr>
        <w:t>2、中标人拖延、拒签合同的，将取消中标资格。</w:t>
      </w:r>
      <w:bookmarkStart w:id="314" w:name="_Toc293916375"/>
      <w:bookmarkStart w:id="315" w:name="_Toc293916907"/>
      <w:bookmarkStart w:id="316" w:name="_Toc293917024"/>
      <w:bookmarkStart w:id="317" w:name="_Toc424544819"/>
      <w:bookmarkStart w:id="318" w:name="_Toc424544540"/>
      <w:bookmarkStart w:id="319" w:name="_Toc293916024"/>
      <w:bookmarkStart w:id="320" w:name="_Toc177870559"/>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spacing w:beforeLines="50" w:afterLines="50"/>
        <w:jc w:val="center"/>
        <w:outlineLvl w:val="0"/>
        <w:rPr>
          <w:rFonts w:ascii="宋体" w:hAnsi="宋体"/>
          <w:b/>
          <w:bCs/>
          <w:sz w:val="32"/>
          <w:szCs w:val="30"/>
        </w:rPr>
      </w:pPr>
      <w:bookmarkStart w:id="321" w:name="_Toc18828"/>
      <w:r>
        <w:rPr>
          <w:rFonts w:hint="eastAsia" w:ascii="宋体" w:hAnsi="宋体"/>
          <w:b/>
          <w:bCs/>
          <w:sz w:val="32"/>
          <w:szCs w:val="30"/>
        </w:rPr>
        <w:t>第四章、评标办法及评分标准</w:t>
      </w:r>
      <w:bookmarkEnd w:id="314"/>
      <w:bookmarkEnd w:id="315"/>
      <w:bookmarkEnd w:id="316"/>
      <w:bookmarkEnd w:id="317"/>
      <w:bookmarkEnd w:id="318"/>
      <w:bookmarkEnd w:id="319"/>
      <w:bookmarkEnd w:id="321"/>
    </w:p>
    <w:p>
      <w:pPr>
        <w:adjustRightInd w:val="0"/>
        <w:snapToGrid w:val="0"/>
        <w:spacing w:line="400" w:lineRule="exact"/>
        <w:ind w:firstLine="480" w:firstLineChars="200"/>
        <w:rPr>
          <w:rFonts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adjustRightInd w:val="0"/>
        <w:snapToGrid w:val="0"/>
        <w:spacing w:line="400" w:lineRule="exact"/>
        <w:ind w:firstLine="480" w:firstLineChars="200"/>
        <w:rPr>
          <w:rFonts w:ascii="宋体" w:hAnsi="宋体"/>
          <w:bCs/>
          <w:sz w:val="24"/>
        </w:rPr>
      </w:pPr>
      <w:r>
        <w:rPr>
          <w:rFonts w:hint="eastAsia" w:ascii="宋体" w:hAnsi="宋体"/>
          <w:sz w:val="24"/>
        </w:rPr>
        <w:t>本办法适用于</w:t>
      </w:r>
      <w:r>
        <w:rPr>
          <w:rFonts w:hint="eastAsia" w:ascii="宋体" w:hAnsi="宋体"/>
          <w:b/>
          <w:sz w:val="24"/>
        </w:rPr>
        <w:t>湖州市吴兴区（含南太湖新区）门牌数据信息采集项目</w:t>
      </w:r>
      <w:r>
        <w:rPr>
          <w:rFonts w:hint="eastAsia" w:ascii="宋体" w:hAnsi="宋体"/>
          <w:bCs/>
          <w:sz w:val="24"/>
        </w:rPr>
        <w:t>的评标。</w:t>
      </w:r>
    </w:p>
    <w:p>
      <w:pPr>
        <w:pStyle w:val="5"/>
        <w:keepNext w:val="0"/>
        <w:keepLines w:val="0"/>
        <w:spacing w:before="0" w:after="0" w:line="400" w:lineRule="exact"/>
        <w:rPr>
          <w:rFonts w:ascii="宋体" w:hAnsi="宋体" w:eastAsia="宋体"/>
          <w:sz w:val="24"/>
          <w:szCs w:val="24"/>
        </w:rPr>
      </w:pPr>
      <w:bookmarkStart w:id="322" w:name="_Toc31545"/>
      <w:bookmarkStart w:id="323" w:name="_Toc424544541"/>
      <w:bookmarkStart w:id="324" w:name="_Toc424544820"/>
      <w:bookmarkStart w:id="325" w:name="_Toc1048"/>
      <w:bookmarkStart w:id="326" w:name="_Toc293916027"/>
      <w:bookmarkStart w:id="327" w:name="_Toc293917027"/>
      <w:bookmarkStart w:id="328" w:name="_Toc293916378"/>
      <w:bookmarkStart w:id="329" w:name="_Toc293916910"/>
      <w:r>
        <w:rPr>
          <w:rFonts w:hint="eastAsia" w:ascii="宋体" w:hAnsi="宋体" w:eastAsia="宋体"/>
          <w:sz w:val="24"/>
          <w:szCs w:val="24"/>
        </w:rPr>
        <w:t>一、总则</w:t>
      </w:r>
      <w:bookmarkEnd w:id="322"/>
      <w:bookmarkEnd w:id="323"/>
      <w:bookmarkEnd w:id="324"/>
      <w:bookmarkEnd w:id="325"/>
    </w:p>
    <w:p>
      <w:pPr>
        <w:spacing w:line="400" w:lineRule="exact"/>
        <w:ind w:firstLine="480" w:firstLineChars="200"/>
        <w:jc w:val="left"/>
        <w:rPr>
          <w:rFonts w:ascii="宋体" w:hAnsi="宋体"/>
          <w:bCs/>
          <w:sz w:val="24"/>
        </w:rPr>
      </w:pPr>
      <w:r>
        <w:rPr>
          <w:rFonts w:hint="eastAsia" w:ascii="宋体" w:hAnsi="宋体"/>
          <w:sz w:val="24"/>
        </w:rPr>
        <w:t>本次评标采用综合评分法，总分为100分，其中价格分20分、技术、商务、资信及其他分80分。合格投标人的评标得分为各项目汇总得分。本项目由采购人授权评标委员会按综合评分从高到低原则直接确定中标人。若综合得分最高分有2名及以上投标人，则以投标报价低者为中标人；若投标报价也相同，则以“技术、商务、资信及其他分”得分高者为中标人。评分过程中采用四舍五入法，并保留2位小数，第3位四舍五入。</w:t>
      </w:r>
    </w:p>
    <w:p>
      <w:pPr>
        <w:spacing w:line="400" w:lineRule="exact"/>
        <w:ind w:firstLine="480" w:firstLineChars="200"/>
        <w:jc w:val="left"/>
        <w:rPr>
          <w:rFonts w:ascii="宋体" w:hAnsi="宋体"/>
          <w:sz w:val="24"/>
        </w:rPr>
      </w:pPr>
      <w:r>
        <w:rPr>
          <w:rFonts w:hint="eastAsia" w:ascii="宋体" w:hAnsi="宋体"/>
          <w:sz w:val="24"/>
        </w:rPr>
        <w:t>供应商评标综合得分=价格分+技术、商务、资信及其他分</w:t>
      </w:r>
    </w:p>
    <w:p>
      <w:pPr>
        <w:spacing w:line="400" w:lineRule="exact"/>
        <w:rPr>
          <w:rFonts w:ascii="宋体" w:hAnsi="宋体"/>
          <w:b/>
          <w:sz w:val="24"/>
        </w:rPr>
      </w:pPr>
      <w:r>
        <w:rPr>
          <w:rFonts w:hint="eastAsia" w:ascii="宋体" w:hAnsi="宋体"/>
          <w:b/>
          <w:sz w:val="24"/>
        </w:rPr>
        <w:t xml:space="preserve">二、评标内容及标准 </w:t>
      </w:r>
    </w:p>
    <w:p>
      <w:pPr>
        <w:pStyle w:val="22"/>
        <w:tabs>
          <w:tab w:val="left" w:pos="0"/>
          <w:tab w:val="left" w:pos="993"/>
          <w:tab w:val="left" w:pos="1134"/>
        </w:tabs>
        <w:spacing w:line="440" w:lineRule="exact"/>
        <w:ind w:firstLine="480" w:firstLineChars="200"/>
        <w:rPr>
          <w:rFonts w:hAnsi="宋体"/>
          <w:spacing w:val="0"/>
          <w:sz w:val="24"/>
          <w:szCs w:val="21"/>
        </w:rPr>
      </w:pPr>
      <w:bookmarkStart w:id="330" w:name="_Toc424544822"/>
      <w:bookmarkStart w:id="331" w:name="_Toc424544543"/>
      <w:r>
        <w:rPr>
          <w:rFonts w:hint="eastAsia" w:hAnsi="宋体"/>
          <w:spacing w:val="0"/>
          <w:sz w:val="24"/>
          <w:szCs w:val="21"/>
        </w:rPr>
        <w:t>价格部分评审：</w:t>
      </w:r>
    </w:p>
    <w:p>
      <w:pPr>
        <w:pStyle w:val="22"/>
        <w:tabs>
          <w:tab w:val="left" w:pos="0"/>
          <w:tab w:val="left" w:pos="993"/>
          <w:tab w:val="left" w:pos="1134"/>
        </w:tabs>
        <w:spacing w:line="440" w:lineRule="exact"/>
        <w:ind w:firstLine="480" w:firstLineChars="200"/>
        <w:rPr>
          <w:rFonts w:hAnsi="宋体"/>
          <w:spacing w:val="0"/>
          <w:sz w:val="24"/>
          <w:szCs w:val="21"/>
        </w:rPr>
      </w:pPr>
      <w:r>
        <w:rPr>
          <w:rFonts w:hint="eastAsia" w:hAnsi="宋体"/>
          <w:spacing w:val="0"/>
          <w:sz w:val="24"/>
          <w:szCs w:val="21"/>
        </w:rPr>
        <w:t>投标报价超过采购预算</w:t>
      </w:r>
      <w:r>
        <w:rPr>
          <w:rFonts w:hint="eastAsia" w:hAnsi="宋体"/>
          <w:spacing w:val="0"/>
          <w:sz w:val="24"/>
          <w:szCs w:val="21"/>
          <w:lang w:eastAsia="zh-CN"/>
        </w:rPr>
        <w:t>或最高限价</w:t>
      </w:r>
      <w:r>
        <w:rPr>
          <w:rFonts w:hint="eastAsia" w:hAnsi="宋体"/>
          <w:spacing w:val="0"/>
          <w:sz w:val="24"/>
          <w:szCs w:val="21"/>
        </w:rPr>
        <w:t>的作无效标处理。</w:t>
      </w:r>
    </w:p>
    <w:p>
      <w:pPr>
        <w:pStyle w:val="22"/>
        <w:tabs>
          <w:tab w:val="left" w:pos="0"/>
          <w:tab w:val="left" w:pos="993"/>
          <w:tab w:val="left" w:pos="1134"/>
        </w:tabs>
        <w:spacing w:line="440" w:lineRule="exact"/>
        <w:ind w:firstLine="480" w:firstLineChars="200"/>
        <w:rPr>
          <w:rFonts w:hAnsi="宋体"/>
          <w:spacing w:val="0"/>
          <w:sz w:val="24"/>
          <w:szCs w:val="21"/>
        </w:rPr>
      </w:pPr>
      <w:r>
        <w:rPr>
          <w:rFonts w:hint="eastAsia" w:hAnsi="宋体"/>
          <w:spacing w:val="0"/>
          <w:sz w:val="24"/>
          <w:szCs w:val="21"/>
        </w:rPr>
        <w:t>价格分采用低价优先法计算，即满足招标文件要求且投标价格最低的有效投标报价为评标基准价，其他投标人的价格分按照下列公式计算（结果保留2位小数，第3位四舍五入）：</w:t>
      </w:r>
    </w:p>
    <w:p>
      <w:pPr>
        <w:spacing w:line="440" w:lineRule="exact"/>
        <w:ind w:firstLine="480" w:firstLineChars="200"/>
        <w:rPr>
          <w:rFonts w:ascii="宋体" w:hAnsi="宋体"/>
          <w:sz w:val="24"/>
        </w:rPr>
      </w:pPr>
      <w:r>
        <w:rPr>
          <w:rFonts w:hint="eastAsia" w:ascii="宋体" w:hAnsi="宋体"/>
          <w:sz w:val="24"/>
        </w:rPr>
        <w:t>价格分=【评标基准价/投标报价】×20%×100</w:t>
      </w:r>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32" w:name="_Toc780"/>
      <w:bookmarkStart w:id="333" w:name="_Toc6824"/>
      <w:r>
        <w:rPr>
          <w:rFonts w:hint="eastAsia" w:hAnsi="宋体"/>
          <w:spacing w:val="0"/>
          <w:sz w:val="24"/>
          <w:szCs w:val="21"/>
        </w:rPr>
        <w:t>注：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bookmarkEnd w:id="332"/>
      <w:bookmarkEnd w:id="333"/>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34" w:name="_Toc21560"/>
      <w:bookmarkStart w:id="335" w:name="_Toc13737"/>
      <w:r>
        <w:rPr>
          <w:rFonts w:hint="eastAsia" w:hAnsi="宋体"/>
          <w:spacing w:val="0"/>
          <w:sz w:val="24"/>
          <w:szCs w:val="21"/>
        </w:rPr>
        <w:t>同时符合以下所有要求的供应商被认定为小型、微型企业：</w:t>
      </w:r>
      <w:bookmarkEnd w:id="334"/>
      <w:bookmarkEnd w:id="335"/>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36" w:name="_Toc28553"/>
      <w:bookmarkStart w:id="337" w:name="_Toc29868"/>
      <w:r>
        <w:rPr>
          <w:rFonts w:hint="eastAsia" w:hAnsi="宋体"/>
          <w:spacing w:val="0"/>
          <w:sz w:val="24"/>
          <w:szCs w:val="21"/>
        </w:rPr>
        <w:t>1）供应商按照《关于印发中小企业划型标准规定的通知》（工信部联企业【2011】300号）的所属行业规定为小型、微型企业【注：按《关于印发中小企业划型标准规定的通知》规定提供《中小企业声明函》及其相关的证明材料】。</w:t>
      </w:r>
      <w:bookmarkEnd w:id="336"/>
      <w:bookmarkEnd w:id="337"/>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38" w:name="_Toc21443"/>
      <w:bookmarkStart w:id="339" w:name="_Toc17996"/>
      <w:r>
        <w:rPr>
          <w:rFonts w:hint="eastAsia" w:hAnsi="宋体"/>
          <w:spacing w:val="0"/>
          <w:sz w:val="24"/>
          <w:szCs w:val="21"/>
        </w:rPr>
        <w:t>2）供应商已通过浙江政府采购网（www.zjzfcg.gov.cn）申请注册并成为正式入库供应商【注：提供正式入库供应商的网站信息材料】。</w:t>
      </w:r>
      <w:bookmarkEnd w:id="338"/>
      <w:bookmarkEnd w:id="339"/>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40" w:name="_Toc2129"/>
      <w:bookmarkStart w:id="341" w:name="_Toc15757"/>
      <w:r>
        <w:rPr>
          <w:rFonts w:hint="eastAsia" w:hAnsi="宋体"/>
          <w:spacing w:val="0"/>
          <w:sz w:val="24"/>
          <w:szCs w:val="21"/>
        </w:rPr>
        <w:t>2、监狱企业参加投标【提供《监狱企业声明函》及其相关的证明材料】，视为小型、微型企业，享受小微企业政策扶持，监狱企业属于小型、微型企业的，不重复享受政策。</w:t>
      </w:r>
      <w:bookmarkEnd w:id="340"/>
      <w:bookmarkEnd w:id="341"/>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42" w:name="_Toc6320"/>
      <w:bookmarkStart w:id="343" w:name="_Toc28162"/>
      <w:r>
        <w:rPr>
          <w:rFonts w:hint="eastAsia" w:hAnsi="宋体"/>
          <w:spacing w:val="0"/>
          <w:sz w:val="24"/>
          <w:szCs w:val="21"/>
        </w:rPr>
        <w:t>3、残疾人福利性单位参加投标【提供《残疾人福利性单位声明函》】，视为小型、微型企业，享受小微企业政策扶持，残疾人福利性单位属于小型、微型企业的，不重复享受政策。</w:t>
      </w:r>
      <w:bookmarkEnd w:id="342"/>
      <w:bookmarkEnd w:id="343"/>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44" w:name="_Toc29875"/>
      <w:bookmarkStart w:id="345" w:name="_Toc32159"/>
      <w:r>
        <w:rPr>
          <w:rFonts w:hint="eastAsia" w:hAnsi="宋体"/>
          <w:spacing w:val="0"/>
          <w:sz w:val="24"/>
          <w:szCs w:val="21"/>
        </w:rPr>
        <w:t>此项由评标委员会集体核实后统一打分。</w:t>
      </w:r>
      <w:bookmarkEnd w:id="344"/>
      <w:bookmarkEnd w:id="345"/>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346" w:name="_Toc235"/>
      <w:bookmarkStart w:id="347" w:name="_Toc13204"/>
      <w:r>
        <w:rPr>
          <w:rFonts w:hint="eastAsia" w:hAnsi="宋体"/>
          <w:spacing w:val="0"/>
          <w:sz w:val="24"/>
          <w:szCs w:val="21"/>
        </w:rPr>
        <w:t>（二）技术、商务、资信及其他分（80分，投标人应提供有关证明文件或资料复印件，并盖投标人公章,未提供的不得分。）</w:t>
      </w:r>
      <w:bookmarkEnd w:id="346"/>
      <w:bookmarkEnd w:id="347"/>
    </w:p>
    <w:tbl>
      <w:tblPr>
        <w:tblStyle w:val="60"/>
        <w:tblW w:w="96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9"/>
        <w:gridCol w:w="1109"/>
        <w:gridCol w:w="6262"/>
        <w:gridCol w:w="1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929" w:type="dxa"/>
            <w:tcBorders>
              <w:top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48" w:name="_Toc17423"/>
            <w:bookmarkStart w:id="349" w:name="_Toc27814"/>
            <w:r>
              <w:rPr>
                <w:rFonts w:hint="eastAsia" w:ascii="微软雅黑" w:hAnsi="微软雅黑" w:cs="微软雅黑"/>
                <w:sz w:val="24"/>
                <w:szCs w:val="24"/>
              </w:rPr>
              <w:t>序号</w:t>
            </w:r>
            <w:bookmarkEnd w:id="348"/>
            <w:bookmarkEnd w:id="349"/>
          </w:p>
        </w:tc>
        <w:tc>
          <w:tcPr>
            <w:tcW w:w="1109"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50" w:name="_Toc10550"/>
            <w:bookmarkStart w:id="351" w:name="_Toc21760"/>
            <w:r>
              <w:rPr>
                <w:rFonts w:hint="eastAsia" w:ascii="微软雅黑" w:hAnsi="微软雅黑" w:cs="微软雅黑"/>
                <w:sz w:val="24"/>
                <w:szCs w:val="24"/>
              </w:rPr>
              <w:t>评审</w:t>
            </w:r>
            <w:bookmarkEnd w:id="350"/>
            <w:bookmarkEnd w:id="351"/>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52" w:name="_Toc27898"/>
            <w:bookmarkStart w:id="353" w:name="_Toc17202"/>
            <w:r>
              <w:rPr>
                <w:rFonts w:hint="eastAsia" w:ascii="微软雅黑" w:hAnsi="微软雅黑" w:cs="微软雅黑"/>
                <w:sz w:val="24"/>
                <w:szCs w:val="24"/>
              </w:rPr>
              <w:t>内容</w:t>
            </w:r>
            <w:bookmarkEnd w:id="352"/>
            <w:bookmarkEnd w:id="353"/>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464" w:firstLineChars="200"/>
              <w:jc w:val="center"/>
              <w:outlineLvl w:val="2"/>
              <w:rPr>
                <w:rFonts w:ascii="微软雅黑" w:hAnsi="微软雅黑" w:cs="微软雅黑"/>
                <w:sz w:val="24"/>
                <w:szCs w:val="24"/>
              </w:rPr>
            </w:pPr>
            <w:bookmarkStart w:id="354" w:name="_Toc2873"/>
            <w:bookmarkStart w:id="355" w:name="_Toc7434"/>
            <w:r>
              <w:rPr>
                <w:rFonts w:hint="eastAsia" w:ascii="微软雅黑" w:hAnsi="微软雅黑" w:cs="微软雅黑"/>
                <w:sz w:val="24"/>
                <w:szCs w:val="24"/>
              </w:rPr>
              <w:t>评分标准</w:t>
            </w:r>
            <w:bookmarkEnd w:id="354"/>
            <w:bookmarkEnd w:id="355"/>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56" w:name="_Toc27210"/>
            <w:bookmarkStart w:id="357" w:name="_Toc5032"/>
            <w:r>
              <w:rPr>
                <w:rFonts w:hint="eastAsia" w:ascii="微软雅黑" w:hAnsi="微软雅黑" w:cs="微软雅黑"/>
                <w:sz w:val="24"/>
                <w:szCs w:val="24"/>
              </w:rPr>
              <w:t>分值</w:t>
            </w:r>
            <w:bookmarkEnd w:id="356"/>
            <w:bookmarkEnd w:id="3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 w:hRule="atLeast"/>
          <w:jc w:val="center"/>
        </w:trPr>
        <w:tc>
          <w:tcPr>
            <w:tcW w:w="929" w:type="dxa"/>
            <w:tcBorders>
              <w:top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58" w:name="_Toc31833"/>
            <w:bookmarkStart w:id="359" w:name="_Toc3851"/>
            <w:r>
              <w:rPr>
                <w:rFonts w:hint="eastAsia" w:ascii="微软雅黑" w:hAnsi="微软雅黑" w:cs="微软雅黑"/>
                <w:sz w:val="24"/>
                <w:szCs w:val="24"/>
              </w:rPr>
              <w:t>一</w:t>
            </w:r>
            <w:bookmarkEnd w:id="358"/>
            <w:bookmarkEnd w:id="359"/>
          </w:p>
        </w:tc>
        <w:tc>
          <w:tcPr>
            <w:tcW w:w="1109"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60" w:name="_Toc25176"/>
            <w:bookmarkStart w:id="361" w:name="_Toc31779"/>
            <w:r>
              <w:rPr>
                <w:rFonts w:hint="eastAsia" w:ascii="微软雅黑" w:hAnsi="微软雅黑" w:cs="微软雅黑"/>
                <w:sz w:val="24"/>
                <w:szCs w:val="24"/>
              </w:rPr>
              <w:t>技术分</w:t>
            </w:r>
            <w:bookmarkEnd w:id="360"/>
            <w:bookmarkEnd w:id="361"/>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464" w:firstLineChars="200"/>
              <w:outlineLvl w:val="2"/>
              <w:rPr>
                <w:rFonts w:ascii="微软雅黑" w:hAnsi="微软雅黑" w:cs="微软雅黑"/>
                <w:sz w:val="24"/>
                <w:szCs w:val="24"/>
              </w:rPr>
            </w:pPr>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62" w:name="_Toc7690"/>
            <w:bookmarkStart w:id="363" w:name="_Toc24649"/>
            <w:r>
              <w:rPr>
                <w:rFonts w:hint="eastAsia" w:ascii="微软雅黑" w:hAnsi="微软雅黑" w:cs="微软雅黑"/>
                <w:sz w:val="24"/>
                <w:szCs w:val="24"/>
              </w:rPr>
              <w:t>60分</w:t>
            </w:r>
            <w:bookmarkEnd w:id="362"/>
            <w:bookmarkEnd w:id="3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22" w:hRule="atLeast"/>
          <w:jc w:val="center"/>
        </w:trPr>
        <w:tc>
          <w:tcPr>
            <w:tcW w:w="929" w:type="dxa"/>
            <w:tcBorders>
              <w:top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64" w:name="_Toc6996"/>
            <w:bookmarkStart w:id="365" w:name="_Toc5626"/>
            <w:r>
              <w:rPr>
                <w:rFonts w:hint="eastAsia" w:ascii="微软雅黑" w:hAnsi="微软雅黑" w:cs="微软雅黑"/>
                <w:sz w:val="24"/>
                <w:szCs w:val="24"/>
              </w:rPr>
              <w:t>1</w:t>
            </w:r>
            <w:bookmarkEnd w:id="364"/>
            <w:bookmarkEnd w:id="365"/>
          </w:p>
        </w:tc>
        <w:tc>
          <w:tcPr>
            <w:tcW w:w="1109"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66" w:name="_Toc24872"/>
            <w:bookmarkStart w:id="367" w:name="_Toc26115"/>
            <w:r>
              <w:rPr>
                <w:rFonts w:hint="eastAsia" w:ascii="微软雅黑" w:hAnsi="微软雅黑" w:cs="微软雅黑"/>
                <w:sz w:val="24"/>
                <w:szCs w:val="24"/>
              </w:rPr>
              <w:t>对本项目需求的理解与建设方案</w:t>
            </w:r>
            <w:bookmarkEnd w:id="366"/>
            <w:bookmarkEnd w:id="367"/>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68" w:name="_Toc833"/>
            <w:bookmarkStart w:id="369" w:name="_Toc17100"/>
            <w:r>
              <w:rPr>
                <w:rFonts w:hint="eastAsia" w:ascii="微软雅黑" w:hAnsi="微软雅黑" w:cs="微软雅黑"/>
                <w:sz w:val="24"/>
                <w:szCs w:val="24"/>
              </w:rPr>
              <w:t>投标人对项目背景、现状、目标和需求分析的理解深入，对项目实际需求及业务流程分析合理，方案符合国家、省、市的相关标准、指南、解决方案的要求等，由专家综合分析比较后评分，方案合理、内容详细的得11-15分，方案笼统的得6-10分，方案一般纯在缺漏的得1-5分。</w:t>
            </w:r>
            <w:bookmarkEnd w:id="368"/>
            <w:bookmarkEnd w:id="369"/>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70" w:name="_Toc9431"/>
            <w:bookmarkStart w:id="371" w:name="_Toc31883"/>
            <w:r>
              <w:rPr>
                <w:rFonts w:hint="eastAsia" w:ascii="微软雅黑" w:hAnsi="微软雅黑" w:cs="微软雅黑"/>
                <w:sz w:val="24"/>
                <w:szCs w:val="24"/>
              </w:rPr>
              <w:t>15分</w:t>
            </w:r>
            <w:bookmarkEnd w:id="370"/>
            <w:bookmarkEnd w:id="3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8" w:hRule="exact"/>
          <w:jc w:val="center"/>
        </w:trPr>
        <w:tc>
          <w:tcPr>
            <w:tcW w:w="929" w:type="dxa"/>
            <w:tcBorders>
              <w:top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72" w:name="_Toc16531"/>
            <w:bookmarkStart w:id="373" w:name="_Toc31421"/>
            <w:r>
              <w:rPr>
                <w:rFonts w:hint="eastAsia" w:ascii="微软雅黑" w:hAnsi="微软雅黑" w:cs="微软雅黑"/>
                <w:sz w:val="24"/>
                <w:szCs w:val="24"/>
              </w:rPr>
              <w:t>2</w:t>
            </w:r>
            <w:bookmarkEnd w:id="372"/>
            <w:bookmarkEnd w:id="373"/>
          </w:p>
        </w:tc>
        <w:tc>
          <w:tcPr>
            <w:tcW w:w="1109"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74" w:name="_Toc26506"/>
            <w:bookmarkStart w:id="375" w:name="_Toc26259"/>
            <w:r>
              <w:rPr>
                <w:rFonts w:hint="eastAsia" w:ascii="微软雅黑" w:hAnsi="微软雅黑" w:cs="微软雅黑"/>
                <w:sz w:val="24"/>
                <w:szCs w:val="24"/>
              </w:rPr>
              <w:t>功能及架构</w:t>
            </w:r>
            <w:bookmarkEnd w:id="374"/>
            <w:bookmarkEnd w:id="375"/>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76" w:name="_Toc28134"/>
            <w:bookmarkStart w:id="377" w:name="_Toc22762"/>
            <w:r>
              <w:rPr>
                <w:rFonts w:hint="eastAsia" w:ascii="微软雅黑" w:hAnsi="微软雅黑" w:cs="微软雅黑"/>
                <w:sz w:val="24"/>
                <w:szCs w:val="24"/>
              </w:rPr>
              <w:t>根据投标文件内容，与浙江省区划地名信息管理系统14个事项业务流程需求相吻合【1.个人申请门（楼）牌号码及门牌证2.单位申请门（楼）牌号码及门牌证3.个人申请变更门牌证4.单位申请变更门牌证5.个人申请注销门（楼）牌号码及门牌证6.单位申请注销门（楼）牌号码及门牌证7.个人申请换（补）发门牌证8.单位申请换（补）发门牌证9.住宅小区（楼）、建筑物预命名10.住宅小区（楼）、建筑物命名</w:t>
            </w:r>
          </w:p>
          <w:p>
            <w:pPr>
              <w:pStyle w:val="22"/>
              <w:tabs>
                <w:tab w:val="left" w:pos="0"/>
                <w:tab w:val="left" w:pos="993"/>
                <w:tab w:val="left" w:pos="1134"/>
              </w:tabs>
              <w:spacing w:line="360" w:lineRule="exact"/>
              <w:ind w:firstLine="0"/>
              <w:outlineLvl w:val="2"/>
              <w:rPr>
                <w:rFonts w:ascii="微软雅黑" w:hAnsi="微软雅黑" w:cs="微软雅黑"/>
                <w:sz w:val="24"/>
                <w:szCs w:val="24"/>
              </w:rPr>
            </w:pPr>
            <w:r>
              <w:rPr>
                <w:rFonts w:hint="eastAsia" w:ascii="微软雅黑" w:hAnsi="微软雅黑" w:cs="微软雅黑"/>
                <w:sz w:val="24"/>
                <w:szCs w:val="24"/>
              </w:rPr>
              <w:t>11.新建道路命名12.住宅小区（楼）、建筑物更名13.申请换（补）发地名核准书14.申请地名证明】得0-7分，与湖州市民政局共享交换平台对接完整的得3分，由专家综合分析比较后进行评分。</w:t>
            </w:r>
            <w:bookmarkEnd w:id="376"/>
            <w:bookmarkEnd w:id="377"/>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78" w:name="_Toc11191"/>
            <w:bookmarkStart w:id="379" w:name="_Toc9489"/>
            <w:r>
              <w:rPr>
                <w:rFonts w:hint="eastAsia" w:ascii="微软雅黑" w:hAnsi="微软雅黑" w:cs="微软雅黑"/>
                <w:sz w:val="24"/>
                <w:szCs w:val="24"/>
              </w:rPr>
              <w:t>10分</w:t>
            </w:r>
            <w:bookmarkEnd w:id="378"/>
            <w:bookmarkEnd w:id="3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71" w:hRule="exact"/>
          <w:jc w:val="center"/>
        </w:trPr>
        <w:tc>
          <w:tcPr>
            <w:tcW w:w="929" w:type="dxa"/>
            <w:vMerge w:val="restart"/>
            <w:tcBorders>
              <w:top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80" w:name="_Toc9860"/>
            <w:bookmarkStart w:id="381" w:name="_Toc6666"/>
            <w:r>
              <w:rPr>
                <w:rFonts w:hint="eastAsia" w:ascii="微软雅黑" w:hAnsi="微软雅黑" w:cs="微软雅黑"/>
                <w:sz w:val="24"/>
                <w:szCs w:val="24"/>
              </w:rPr>
              <w:t>3</w:t>
            </w:r>
            <w:bookmarkEnd w:id="380"/>
            <w:bookmarkEnd w:id="381"/>
          </w:p>
        </w:tc>
        <w:tc>
          <w:tcPr>
            <w:tcW w:w="1109" w:type="dxa"/>
            <w:vMerge w:val="restart"/>
            <w:tcBorders>
              <w:top w:val="single" w:color="auto" w:sz="4" w:space="0"/>
              <w:left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82" w:name="_Toc16929"/>
            <w:bookmarkStart w:id="383" w:name="_Toc18547"/>
            <w:r>
              <w:rPr>
                <w:rFonts w:hint="eastAsia" w:ascii="微软雅黑" w:hAnsi="微软雅黑" w:cs="微软雅黑"/>
                <w:sz w:val="24"/>
                <w:szCs w:val="24"/>
              </w:rPr>
              <w:t>项目组织实施</w:t>
            </w:r>
            <w:bookmarkEnd w:id="382"/>
            <w:bookmarkEnd w:id="383"/>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84" w:name="_Toc23130"/>
            <w:bookmarkStart w:id="385" w:name="_Toc16127"/>
            <w:r>
              <w:rPr>
                <w:rFonts w:hint="eastAsia" w:ascii="微软雅黑" w:hAnsi="微软雅黑" w:cs="微软雅黑"/>
                <w:sz w:val="24"/>
                <w:szCs w:val="24"/>
              </w:rPr>
              <w:t>投标人提供的项目管理、质量保障、培训方案合理性和可实施性。</w:t>
            </w:r>
            <w:bookmarkEnd w:id="384"/>
            <w:bookmarkEnd w:id="385"/>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86" w:name="_Toc12213"/>
            <w:bookmarkStart w:id="387" w:name="_Toc19508"/>
            <w:r>
              <w:rPr>
                <w:rFonts w:hint="eastAsia" w:ascii="微软雅黑" w:hAnsi="微软雅黑" w:cs="微软雅黑"/>
                <w:sz w:val="24"/>
                <w:szCs w:val="24"/>
              </w:rPr>
              <w:t>相关内容完整、齐全、设计合理具有针对性且可行的得5-8分，相关内容少量缺损、设计合理具有针对性且可行的得1-4分，相关内容大量缺失或无内容或内容不可行的得0分。</w:t>
            </w:r>
            <w:bookmarkEnd w:id="386"/>
            <w:bookmarkEnd w:id="387"/>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88" w:name="_Toc30720"/>
            <w:bookmarkStart w:id="389" w:name="_Toc12154"/>
            <w:r>
              <w:rPr>
                <w:rFonts w:hint="eastAsia" w:ascii="微软雅黑" w:hAnsi="微软雅黑" w:cs="微软雅黑"/>
                <w:sz w:val="24"/>
                <w:szCs w:val="24"/>
              </w:rPr>
              <w:t>8分</w:t>
            </w:r>
            <w:bookmarkEnd w:id="388"/>
            <w:bookmarkEnd w:id="38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23" w:hRule="exact"/>
          <w:jc w:val="center"/>
        </w:trPr>
        <w:tc>
          <w:tcPr>
            <w:tcW w:w="929" w:type="dxa"/>
            <w:vMerge w:val="continue"/>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p>
        </w:tc>
        <w:tc>
          <w:tcPr>
            <w:tcW w:w="1109" w:type="dxa"/>
            <w:vMerge w:val="continue"/>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p>
        </w:tc>
        <w:tc>
          <w:tcPr>
            <w:tcW w:w="6262" w:type="dxa"/>
            <w:tcBorders>
              <w:top w:val="single" w:color="auto" w:sz="4" w:space="0"/>
              <w:left w:val="single" w:color="auto" w:sz="4" w:space="0"/>
              <w:bottom w:val="single" w:color="auto" w:sz="4" w:space="0"/>
              <w:right w:val="single" w:color="auto" w:sz="4" w:space="0"/>
            </w:tcBorders>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90" w:name="_Toc7860"/>
            <w:bookmarkStart w:id="391" w:name="_Toc3237"/>
            <w:r>
              <w:rPr>
                <w:rFonts w:hint="eastAsia" w:ascii="微软雅黑" w:hAnsi="微软雅黑" w:cs="微软雅黑"/>
                <w:sz w:val="24"/>
                <w:szCs w:val="24"/>
              </w:rPr>
              <w:t>投标人需针对本项目制定科学的项目实施方案，明确相关人员及资质；</w:t>
            </w:r>
            <w:bookmarkEnd w:id="390"/>
            <w:bookmarkEnd w:id="391"/>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92" w:name="_Toc10525"/>
            <w:bookmarkStart w:id="393" w:name="_Toc25035"/>
            <w:r>
              <w:rPr>
                <w:rFonts w:hint="eastAsia" w:ascii="微软雅黑" w:hAnsi="微软雅黑" w:cs="微软雅黑"/>
                <w:sz w:val="24"/>
                <w:szCs w:val="24"/>
              </w:rPr>
              <w:t>相关内容完整、齐全、设计合理具有针对性且可行的得5-8分，相关内容少量缺损、设计合理具有针对性且可行的得1-4分，相关内容大量缺失或无内容或内容不可行的得0分。</w:t>
            </w:r>
            <w:bookmarkEnd w:id="392"/>
            <w:bookmarkEnd w:id="393"/>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94" w:name="_Toc4385"/>
            <w:bookmarkStart w:id="395" w:name="_Toc7423"/>
            <w:r>
              <w:rPr>
                <w:rFonts w:hint="eastAsia" w:ascii="微软雅黑" w:hAnsi="微软雅黑" w:cs="微软雅黑"/>
                <w:sz w:val="24"/>
                <w:szCs w:val="24"/>
              </w:rPr>
              <w:t>8分</w:t>
            </w:r>
            <w:bookmarkEnd w:id="394"/>
            <w:bookmarkEnd w:id="39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9"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396" w:name="_Toc32447"/>
            <w:bookmarkStart w:id="397" w:name="_Toc30188"/>
            <w:r>
              <w:rPr>
                <w:rFonts w:hint="eastAsia" w:ascii="微软雅黑" w:hAnsi="微软雅黑" w:cs="微软雅黑"/>
                <w:sz w:val="24"/>
                <w:szCs w:val="24"/>
              </w:rPr>
              <w:t>4</w:t>
            </w:r>
            <w:bookmarkEnd w:id="396"/>
            <w:bookmarkEnd w:id="397"/>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398" w:name="_Toc21173"/>
            <w:bookmarkStart w:id="399" w:name="_Toc23578"/>
            <w:r>
              <w:rPr>
                <w:rFonts w:hint="eastAsia" w:ascii="微软雅黑" w:hAnsi="微软雅黑" w:cs="微软雅黑"/>
                <w:sz w:val="24"/>
                <w:szCs w:val="24"/>
              </w:rPr>
              <w:t>系统功能演示</w:t>
            </w:r>
            <w:bookmarkEnd w:id="398"/>
            <w:bookmarkEnd w:id="399"/>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00" w:name="_Toc27300"/>
            <w:bookmarkStart w:id="401" w:name="_Toc4435"/>
            <w:r>
              <w:rPr>
                <w:rFonts w:hint="eastAsia" w:ascii="微软雅黑" w:hAnsi="微软雅黑" w:cs="微软雅黑"/>
                <w:sz w:val="24"/>
                <w:szCs w:val="24"/>
              </w:rPr>
              <w:t>投标方需根据本项目的功能要求，提供系统主要功能演示，演示内容：1. 演示任一地名地址数据全量采集清洗成果0-3分；2.演示新增一条门牌数据，通过“浙里办”受理，在浙江省区划地名信息管理系统中审核通过后能查询到该条新增的数据0-3分。3.演示上述新增数据在湖州市民政局共享交换平台中的展现0-4分。</w:t>
            </w:r>
            <w:bookmarkEnd w:id="400"/>
            <w:bookmarkEnd w:id="401"/>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02" w:name="_Toc32763"/>
            <w:bookmarkStart w:id="403" w:name="_Toc13094"/>
            <w:r>
              <w:rPr>
                <w:rFonts w:hint="eastAsia" w:ascii="微软雅黑" w:hAnsi="微软雅黑" w:cs="微软雅黑"/>
                <w:sz w:val="24"/>
                <w:szCs w:val="24"/>
              </w:rPr>
              <w:t>评标委员会根据以上模块演示程度进行综合评分，演示时长不得少于5分钟超过15分钟。</w:t>
            </w:r>
            <w:bookmarkEnd w:id="402"/>
            <w:bookmarkEnd w:id="403"/>
          </w:p>
          <w:p>
            <w:pPr>
              <w:pStyle w:val="22"/>
              <w:tabs>
                <w:tab w:val="left" w:pos="0"/>
                <w:tab w:val="left" w:pos="993"/>
                <w:tab w:val="left" w:pos="1134"/>
              </w:tabs>
              <w:spacing w:line="360" w:lineRule="exact"/>
              <w:ind w:firstLine="0"/>
              <w:outlineLvl w:val="2"/>
              <w:rPr>
                <w:rFonts w:ascii="微软雅黑" w:hAnsi="微软雅黑" w:cs="微软雅黑"/>
                <w:sz w:val="24"/>
                <w:szCs w:val="24"/>
              </w:rPr>
            </w:pPr>
            <w:r>
              <w:rPr>
                <w:rFonts w:hint="eastAsia" w:ascii="微软雅黑" w:hAnsi="微软雅黑" w:cs="微软雅黑"/>
                <w:sz w:val="24"/>
                <w:szCs w:val="24"/>
              </w:rPr>
              <w:t>注：若为邮寄供应商，演示内容以介质存储的数据电文形式的U盘形式密封，与备份投标文件分开密封一起邮寄，若邮寄演示内容的U盘</w:t>
            </w:r>
            <w:r>
              <w:rPr>
                <w:rFonts w:hint="eastAsia" w:hAnsi="宋体" w:cs="宋体"/>
                <w:kern w:val="0"/>
                <w:sz w:val="24"/>
                <w:szCs w:val="21"/>
              </w:rPr>
              <w:t>无法进行演示的，相关风险由供应商自行承担。</w:t>
            </w:r>
            <w:r>
              <w:rPr>
                <w:rFonts w:hint="eastAsia" w:hAnsi="宋体" w:cs="宋体"/>
                <w:kern w:val="0"/>
                <w:sz w:val="24"/>
                <w:szCs w:val="21"/>
              </w:rPr>
              <w:br w:type="textWrapping"/>
            </w:r>
            <w:r>
              <w:rPr>
                <w:rFonts w:hint="eastAsia" w:ascii="微软雅黑" w:hAnsi="微软雅黑" w:cs="微软雅黑"/>
                <w:sz w:val="24"/>
                <w:szCs w:val="24"/>
              </w:rPr>
              <w:t>。</w:t>
            </w:r>
          </w:p>
        </w:tc>
        <w:tc>
          <w:tcPr>
            <w:tcW w:w="1388" w:type="dxa"/>
            <w:tcBorders>
              <w:top w:val="single" w:color="auto" w:sz="4" w:space="0"/>
              <w:left w:val="single" w:color="auto" w:sz="4" w:space="0"/>
              <w:bottom w:val="single" w:color="auto" w:sz="4" w:space="0"/>
            </w:tcBorders>
            <w:vAlign w:val="center"/>
          </w:tcPr>
          <w:p>
            <w:pPr>
              <w:widowControl/>
              <w:spacing w:line="380" w:lineRule="exact"/>
              <w:jc w:val="center"/>
              <w:rPr>
                <w:rFonts w:ascii="微软雅黑" w:hAnsi="微软雅黑" w:cs="微软雅黑"/>
                <w:sz w:val="24"/>
                <w:szCs w:val="24"/>
              </w:rPr>
            </w:pPr>
            <w:r>
              <w:rPr>
                <w:rFonts w:hint="eastAsia" w:ascii="微软雅黑" w:hAnsi="微软雅黑" w:cs="微软雅黑"/>
                <w:spacing w:val="-4"/>
                <w:sz w:val="24"/>
                <w:szCs w:val="24"/>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23"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04" w:name="_Toc19738"/>
            <w:bookmarkStart w:id="405" w:name="_Toc12418"/>
            <w:r>
              <w:rPr>
                <w:rFonts w:hint="eastAsia" w:ascii="微软雅黑" w:hAnsi="微软雅黑" w:cs="微软雅黑"/>
                <w:sz w:val="24"/>
                <w:szCs w:val="24"/>
              </w:rPr>
              <w:t>5</w:t>
            </w:r>
            <w:bookmarkEnd w:id="404"/>
            <w:bookmarkEnd w:id="405"/>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06" w:name="_Toc30628"/>
            <w:bookmarkStart w:id="407" w:name="_Toc29428"/>
            <w:r>
              <w:rPr>
                <w:rFonts w:hint="eastAsia" w:ascii="微软雅黑" w:hAnsi="微软雅黑" w:cs="微软雅黑"/>
                <w:sz w:val="24"/>
                <w:szCs w:val="24"/>
              </w:rPr>
              <w:t>售后服务、培训及服务承诺</w:t>
            </w:r>
            <w:bookmarkEnd w:id="406"/>
            <w:bookmarkEnd w:id="407"/>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08" w:name="_Toc27331"/>
            <w:bookmarkStart w:id="409" w:name="_Toc32377"/>
            <w:r>
              <w:rPr>
                <w:rFonts w:hint="eastAsia" w:ascii="微软雅黑" w:hAnsi="微软雅黑" w:cs="微软雅黑"/>
                <w:sz w:val="24"/>
                <w:szCs w:val="24"/>
              </w:rPr>
              <w:t>1.售后服务的具体内容和措施（包括质保期内的售后服务具体方案及质保期满后的售后服务具体方案）7分；</w:t>
            </w:r>
            <w:bookmarkEnd w:id="408"/>
            <w:bookmarkEnd w:id="409"/>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10" w:name="_Toc25950"/>
            <w:bookmarkStart w:id="411" w:name="_Toc13961"/>
            <w:r>
              <w:rPr>
                <w:rFonts w:hint="eastAsia" w:ascii="微软雅黑" w:hAnsi="微软雅黑" w:cs="微软雅黑"/>
                <w:sz w:val="24"/>
                <w:szCs w:val="24"/>
              </w:rPr>
              <w:t>2.现场响应2小时内得1分；</w:t>
            </w:r>
            <w:bookmarkEnd w:id="410"/>
            <w:bookmarkEnd w:id="411"/>
          </w:p>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12" w:name="_Toc13589"/>
            <w:bookmarkStart w:id="413" w:name="_Toc17645"/>
            <w:r>
              <w:rPr>
                <w:rFonts w:hint="eastAsia" w:ascii="微软雅黑" w:hAnsi="微软雅黑" w:cs="微软雅黑"/>
                <w:sz w:val="24"/>
                <w:szCs w:val="24"/>
              </w:rPr>
              <w:t>3.重大故障问题在1个工作日内予以修复（不能修复的必须予以更换）得1分。</w:t>
            </w:r>
            <w:bookmarkEnd w:id="412"/>
            <w:bookmarkEnd w:id="413"/>
          </w:p>
        </w:tc>
        <w:tc>
          <w:tcPr>
            <w:tcW w:w="1388" w:type="dxa"/>
            <w:tcBorders>
              <w:top w:val="single" w:color="auto" w:sz="4" w:space="0"/>
              <w:left w:val="single" w:color="auto" w:sz="4" w:space="0"/>
              <w:bottom w:val="single" w:color="auto" w:sz="4" w:space="0"/>
            </w:tcBorders>
            <w:vAlign w:val="center"/>
          </w:tcPr>
          <w:p>
            <w:pPr>
              <w:widowControl/>
              <w:spacing w:line="380" w:lineRule="exact"/>
              <w:jc w:val="center"/>
              <w:rPr>
                <w:rFonts w:ascii="仿宋" w:hAnsi="仿宋" w:eastAsia="仿宋" w:cs="宋体"/>
                <w:bCs/>
                <w:kern w:val="0"/>
                <w:sz w:val="18"/>
                <w:szCs w:val="18"/>
              </w:rPr>
            </w:pPr>
            <w:r>
              <w:rPr>
                <w:rFonts w:hint="eastAsia" w:ascii="微软雅黑" w:hAnsi="微软雅黑" w:cs="微软雅黑"/>
                <w:spacing w:val="-4"/>
                <w:sz w:val="24"/>
                <w:szCs w:val="24"/>
              </w:rPr>
              <w:t>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90"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14" w:name="_Toc5386"/>
            <w:bookmarkStart w:id="415" w:name="_Toc25271"/>
            <w:r>
              <w:rPr>
                <w:rFonts w:hint="eastAsia" w:ascii="微软雅黑" w:hAnsi="微软雅黑" w:cs="微软雅黑"/>
                <w:sz w:val="24"/>
                <w:szCs w:val="24"/>
              </w:rPr>
              <w:t>二</w:t>
            </w:r>
            <w:bookmarkEnd w:id="414"/>
            <w:bookmarkEnd w:id="415"/>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16" w:name="_Toc7888"/>
            <w:bookmarkStart w:id="417" w:name="_Toc10344"/>
            <w:r>
              <w:rPr>
                <w:rFonts w:hint="eastAsia" w:ascii="微软雅黑" w:hAnsi="微软雅黑" w:cs="微软雅黑"/>
                <w:sz w:val="24"/>
                <w:szCs w:val="24"/>
              </w:rPr>
              <w:t>商务、资信及其他分</w:t>
            </w:r>
            <w:bookmarkEnd w:id="416"/>
            <w:bookmarkEnd w:id="417"/>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p>
        </w:tc>
        <w:tc>
          <w:tcPr>
            <w:tcW w:w="1388" w:type="dxa"/>
            <w:tcBorders>
              <w:top w:val="single" w:color="auto" w:sz="4" w:space="0"/>
              <w:left w:val="single" w:color="auto" w:sz="4" w:space="0"/>
              <w:bottom w:val="single" w:color="auto" w:sz="4" w:space="0"/>
            </w:tcBorders>
            <w:vAlign w:val="center"/>
          </w:tcPr>
          <w:p>
            <w:pPr>
              <w:widowControl/>
              <w:spacing w:line="380" w:lineRule="exact"/>
              <w:jc w:val="center"/>
              <w:rPr>
                <w:rFonts w:ascii="微软雅黑" w:hAnsi="微软雅黑" w:cs="微软雅黑"/>
                <w:spacing w:val="-4"/>
                <w:sz w:val="24"/>
                <w:szCs w:val="24"/>
              </w:rPr>
            </w:pPr>
            <w:r>
              <w:rPr>
                <w:rFonts w:hint="eastAsia" w:ascii="微软雅黑" w:hAnsi="微软雅黑" w:cs="微软雅黑"/>
                <w:spacing w:val="-4"/>
                <w:sz w:val="24"/>
                <w:szCs w:val="24"/>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2"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18" w:name="_Toc32704"/>
            <w:bookmarkStart w:id="419" w:name="_Toc19545"/>
            <w:r>
              <w:rPr>
                <w:rFonts w:hint="eastAsia" w:ascii="微软雅黑" w:hAnsi="微软雅黑" w:cs="微软雅黑"/>
                <w:sz w:val="24"/>
                <w:szCs w:val="24"/>
              </w:rPr>
              <w:t>1</w:t>
            </w:r>
            <w:bookmarkEnd w:id="418"/>
            <w:bookmarkEnd w:id="419"/>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20" w:name="_Toc19179"/>
            <w:bookmarkStart w:id="421" w:name="_Toc12444"/>
            <w:r>
              <w:rPr>
                <w:rFonts w:hint="eastAsia" w:ascii="微软雅黑" w:hAnsi="微软雅黑" w:cs="微软雅黑"/>
                <w:sz w:val="24"/>
                <w:szCs w:val="24"/>
              </w:rPr>
              <w:t>成熟度</w:t>
            </w:r>
            <w:bookmarkEnd w:id="420"/>
            <w:bookmarkEnd w:id="421"/>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22" w:name="_Toc29622"/>
            <w:bookmarkStart w:id="423" w:name="_Toc30639"/>
            <w:r>
              <w:rPr>
                <w:rFonts w:hint="eastAsia" w:ascii="微软雅黑" w:hAnsi="微软雅黑" w:cs="微软雅黑"/>
                <w:sz w:val="24"/>
                <w:szCs w:val="24"/>
              </w:rPr>
              <w:t>投标人获得民政地名地址、民政空间信息、民政地理信息、民政数据共享交换等相关软件有自主知识产权的证明，每个得3分，最高得9分（复印件加盖公章，需提供原件核查）。</w:t>
            </w:r>
            <w:bookmarkEnd w:id="422"/>
            <w:bookmarkEnd w:id="423"/>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24" w:name="_Toc22384"/>
            <w:bookmarkStart w:id="425" w:name="_Toc8387"/>
            <w:r>
              <w:rPr>
                <w:rFonts w:hint="eastAsia" w:ascii="微软雅黑" w:hAnsi="微软雅黑" w:cs="微软雅黑"/>
                <w:sz w:val="24"/>
                <w:szCs w:val="24"/>
              </w:rPr>
              <w:t>9分</w:t>
            </w:r>
            <w:bookmarkEnd w:id="424"/>
            <w:bookmarkEnd w:id="4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52"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26" w:name="_Toc4977"/>
            <w:bookmarkStart w:id="427" w:name="_Toc9344"/>
            <w:r>
              <w:rPr>
                <w:rFonts w:hint="eastAsia" w:ascii="微软雅黑" w:hAnsi="微软雅黑" w:cs="微软雅黑"/>
                <w:sz w:val="24"/>
                <w:szCs w:val="24"/>
              </w:rPr>
              <w:t>2</w:t>
            </w:r>
            <w:bookmarkEnd w:id="426"/>
            <w:bookmarkEnd w:id="427"/>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28" w:name="_Toc7949"/>
            <w:bookmarkStart w:id="429" w:name="_Toc13581"/>
            <w:r>
              <w:rPr>
                <w:rFonts w:hint="eastAsia" w:ascii="微软雅黑" w:hAnsi="微软雅黑" w:cs="微软雅黑"/>
                <w:sz w:val="24"/>
                <w:szCs w:val="24"/>
              </w:rPr>
              <w:t>能力或业绩要求</w:t>
            </w:r>
            <w:bookmarkEnd w:id="428"/>
            <w:bookmarkEnd w:id="429"/>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30" w:name="_Toc2316"/>
            <w:bookmarkStart w:id="431" w:name="_Toc15051"/>
            <w:r>
              <w:rPr>
                <w:rFonts w:hint="eastAsia" w:ascii="微软雅黑" w:hAnsi="微软雅黑" w:cs="微软雅黑"/>
                <w:sz w:val="24"/>
                <w:szCs w:val="24"/>
              </w:rPr>
              <w:t>近三年（自投标截止日起往前追溯3年，以合同为准）以来实施的民政地名类似政府采购项目，每个项目得1分，最高得5分（须提供项目合同复印件或中标（成交）通知书复印件，需提供原件核查）。</w:t>
            </w:r>
            <w:bookmarkEnd w:id="430"/>
            <w:bookmarkEnd w:id="431"/>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32" w:name="_Toc391"/>
            <w:bookmarkStart w:id="433" w:name="_Toc9036"/>
            <w:r>
              <w:rPr>
                <w:rFonts w:hint="eastAsia" w:ascii="微软雅黑" w:hAnsi="微软雅黑" w:cs="微软雅黑"/>
                <w:sz w:val="24"/>
                <w:szCs w:val="24"/>
              </w:rPr>
              <w:t>5分</w:t>
            </w:r>
            <w:bookmarkEnd w:id="432"/>
            <w:bookmarkEnd w:id="4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8" w:hRule="exact"/>
          <w:jc w:val="center"/>
        </w:trPr>
        <w:tc>
          <w:tcPr>
            <w:tcW w:w="929" w:type="dxa"/>
            <w:tcBorders>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34" w:name="_Toc7645"/>
            <w:bookmarkStart w:id="435" w:name="_Toc23754"/>
            <w:r>
              <w:rPr>
                <w:rFonts w:hint="eastAsia" w:ascii="微软雅黑" w:hAnsi="微软雅黑" w:cs="微软雅黑"/>
                <w:sz w:val="24"/>
                <w:szCs w:val="24"/>
              </w:rPr>
              <w:t>3</w:t>
            </w:r>
            <w:bookmarkEnd w:id="434"/>
            <w:bookmarkEnd w:id="435"/>
          </w:p>
        </w:tc>
        <w:tc>
          <w:tcPr>
            <w:tcW w:w="1109" w:type="dxa"/>
            <w:tcBorders>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36" w:name="_Toc31735"/>
            <w:bookmarkStart w:id="437" w:name="_Toc30398"/>
            <w:r>
              <w:rPr>
                <w:rFonts w:hint="eastAsia" w:ascii="微软雅黑" w:hAnsi="微软雅黑" w:cs="微软雅黑"/>
                <w:sz w:val="24"/>
                <w:szCs w:val="24"/>
              </w:rPr>
              <w:t>企业资信</w:t>
            </w:r>
            <w:bookmarkEnd w:id="436"/>
            <w:bookmarkEnd w:id="437"/>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38" w:name="_Toc15107"/>
            <w:bookmarkStart w:id="439" w:name="_Toc14155"/>
            <w:r>
              <w:rPr>
                <w:rFonts w:hint="eastAsia" w:ascii="微软雅黑" w:hAnsi="微软雅黑" w:cs="微软雅黑"/>
                <w:sz w:val="24"/>
                <w:szCs w:val="24"/>
              </w:rPr>
              <w:t>投标人具备省级高新技术企业相关证书的得4分；具备市级高新技术企业相关证书的得2分（复印件加盖公章，需提供原件核查）。</w:t>
            </w:r>
            <w:bookmarkEnd w:id="438"/>
            <w:bookmarkEnd w:id="439"/>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40" w:name="_Toc22979"/>
            <w:bookmarkStart w:id="441" w:name="_Toc25941"/>
            <w:r>
              <w:rPr>
                <w:rFonts w:hint="eastAsia" w:ascii="微软雅黑" w:hAnsi="微软雅黑" w:cs="微软雅黑"/>
                <w:sz w:val="24"/>
                <w:szCs w:val="24"/>
              </w:rPr>
              <w:t>4分</w:t>
            </w:r>
            <w:bookmarkEnd w:id="440"/>
            <w:bookmarkEnd w:id="4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7" w:hRule="exact"/>
          <w:jc w:val="center"/>
        </w:trPr>
        <w:tc>
          <w:tcPr>
            <w:tcW w:w="929" w:type="dxa"/>
            <w:tcBorders>
              <w:top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42" w:name="_Toc29191"/>
            <w:bookmarkStart w:id="443" w:name="_Toc31569"/>
            <w:r>
              <w:rPr>
                <w:rFonts w:hint="eastAsia" w:ascii="微软雅黑" w:hAnsi="微软雅黑" w:cs="微软雅黑"/>
                <w:sz w:val="24"/>
                <w:szCs w:val="24"/>
              </w:rPr>
              <w:t>4</w:t>
            </w:r>
            <w:bookmarkEnd w:id="442"/>
            <w:bookmarkEnd w:id="443"/>
          </w:p>
        </w:tc>
        <w:tc>
          <w:tcPr>
            <w:tcW w:w="1109"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44" w:name="_Toc29474"/>
            <w:bookmarkStart w:id="445" w:name="_Toc19329"/>
            <w:r>
              <w:rPr>
                <w:rFonts w:hint="eastAsia" w:ascii="微软雅黑" w:hAnsi="微软雅黑" w:cs="微软雅黑"/>
                <w:sz w:val="24"/>
                <w:szCs w:val="24"/>
              </w:rPr>
              <w:t>政策分</w:t>
            </w:r>
            <w:bookmarkEnd w:id="444"/>
            <w:bookmarkEnd w:id="445"/>
          </w:p>
        </w:tc>
        <w:tc>
          <w:tcPr>
            <w:tcW w:w="6262" w:type="dxa"/>
            <w:tcBorders>
              <w:top w:val="single" w:color="auto" w:sz="4" w:space="0"/>
              <w:left w:val="single" w:color="auto" w:sz="4" w:space="0"/>
              <w:bottom w:val="single" w:color="auto" w:sz="4" w:space="0"/>
              <w:right w:val="single" w:color="auto" w:sz="4" w:space="0"/>
            </w:tcBorders>
            <w:vAlign w:val="center"/>
          </w:tcPr>
          <w:p>
            <w:pPr>
              <w:pStyle w:val="22"/>
              <w:tabs>
                <w:tab w:val="left" w:pos="0"/>
                <w:tab w:val="left" w:pos="993"/>
                <w:tab w:val="left" w:pos="1134"/>
              </w:tabs>
              <w:spacing w:line="360" w:lineRule="exact"/>
              <w:ind w:firstLine="0"/>
              <w:outlineLvl w:val="2"/>
              <w:rPr>
                <w:rFonts w:ascii="微软雅黑" w:hAnsi="微软雅黑" w:cs="微软雅黑"/>
                <w:sz w:val="24"/>
                <w:szCs w:val="24"/>
              </w:rPr>
            </w:pPr>
            <w:bookmarkStart w:id="446" w:name="_Toc23502"/>
            <w:bookmarkStart w:id="447" w:name="_Toc3385"/>
            <w:r>
              <w:rPr>
                <w:rFonts w:hint="eastAsia" w:ascii="微软雅黑" w:hAnsi="微软雅黑" w:cs="微软雅黑"/>
                <w:sz w:val="24"/>
                <w:szCs w:val="24"/>
              </w:rPr>
              <w:t>供应商属于中小企业的得 1分; 供应商或产品按规定享受其他国家政策支持、扶持的得1分，由供应商提供声明函及相关证明材料。</w:t>
            </w:r>
            <w:bookmarkEnd w:id="446"/>
            <w:bookmarkEnd w:id="447"/>
          </w:p>
        </w:tc>
        <w:tc>
          <w:tcPr>
            <w:tcW w:w="1388" w:type="dxa"/>
            <w:tcBorders>
              <w:top w:val="single" w:color="auto" w:sz="4" w:space="0"/>
              <w:left w:val="single" w:color="auto" w:sz="4" w:space="0"/>
              <w:bottom w:val="single" w:color="auto" w:sz="4" w:space="0"/>
            </w:tcBorders>
            <w:vAlign w:val="center"/>
          </w:tcPr>
          <w:p>
            <w:pPr>
              <w:pStyle w:val="22"/>
              <w:tabs>
                <w:tab w:val="left" w:pos="0"/>
                <w:tab w:val="left" w:pos="993"/>
                <w:tab w:val="left" w:pos="1134"/>
              </w:tabs>
              <w:spacing w:line="360" w:lineRule="exact"/>
              <w:ind w:firstLine="0"/>
              <w:jc w:val="center"/>
              <w:outlineLvl w:val="2"/>
              <w:rPr>
                <w:rFonts w:ascii="微软雅黑" w:hAnsi="微软雅黑" w:cs="微软雅黑"/>
                <w:sz w:val="24"/>
                <w:szCs w:val="24"/>
              </w:rPr>
            </w:pPr>
            <w:bookmarkStart w:id="448" w:name="_Toc14118"/>
            <w:bookmarkStart w:id="449" w:name="_Toc16580"/>
            <w:r>
              <w:rPr>
                <w:rFonts w:hint="eastAsia" w:ascii="微软雅黑" w:hAnsi="微软雅黑" w:cs="微软雅黑"/>
                <w:sz w:val="24"/>
                <w:szCs w:val="24"/>
              </w:rPr>
              <w:t>2分</w:t>
            </w:r>
            <w:bookmarkEnd w:id="448"/>
            <w:bookmarkEnd w:id="449"/>
          </w:p>
        </w:tc>
      </w:tr>
    </w:tbl>
    <w:p/>
    <w:p>
      <w:pPr>
        <w:pStyle w:val="22"/>
        <w:tabs>
          <w:tab w:val="left" w:pos="0"/>
          <w:tab w:val="left" w:pos="993"/>
          <w:tab w:val="left" w:pos="1134"/>
        </w:tabs>
        <w:spacing w:line="440" w:lineRule="exact"/>
        <w:ind w:firstLine="480" w:firstLineChars="200"/>
        <w:outlineLvl w:val="2"/>
        <w:rPr>
          <w:rFonts w:hAnsi="宋体"/>
          <w:spacing w:val="0"/>
          <w:sz w:val="24"/>
          <w:szCs w:val="21"/>
        </w:rPr>
      </w:pPr>
      <w:bookmarkStart w:id="450" w:name="_Toc6734"/>
      <w:bookmarkStart w:id="451" w:name="_Toc19485"/>
      <w:r>
        <w:rPr>
          <w:rFonts w:hint="eastAsia" w:hAnsi="宋体"/>
          <w:spacing w:val="0"/>
          <w:sz w:val="24"/>
          <w:szCs w:val="21"/>
        </w:rPr>
        <w:t>技术、商务、资信及其他分按照全体评标委员会成员的独立评分结果的算术平均分计算，结果保留2位小数，第3位四舍五入。</w:t>
      </w:r>
      <w:bookmarkEnd w:id="450"/>
      <w:bookmarkEnd w:id="451"/>
    </w:p>
    <w:p/>
    <w:bookmarkEnd w:id="320"/>
    <w:bookmarkEnd w:id="326"/>
    <w:bookmarkEnd w:id="327"/>
    <w:bookmarkEnd w:id="328"/>
    <w:bookmarkEnd w:id="329"/>
    <w:bookmarkEnd w:id="330"/>
    <w:bookmarkEnd w:id="331"/>
    <w:p>
      <w:pPr>
        <w:spacing w:beforeLines="50" w:afterLines="50"/>
        <w:jc w:val="center"/>
        <w:outlineLvl w:val="0"/>
        <w:rPr>
          <w:rFonts w:ascii="宋体" w:hAnsi="宋体"/>
          <w:b/>
          <w:bCs/>
          <w:sz w:val="32"/>
          <w:szCs w:val="30"/>
        </w:rPr>
      </w:pPr>
      <w:bookmarkStart w:id="452" w:name="_Toc890"/>
      <w:bookmarkStart w:id="453" w:name="_Toc293916029"/>
      <w:bookmarkStart w:id="454" w:name="_Toc293917028"/>
      <w:bookmarkStart w:id="455" w:name="_Toc424544544"/>
      <w:bookmarkStart w:id="456" w:name="_Toc293916978"/>
      <w:bookmarkStart w:id="457" w:name="_Toc424544823"/>
      <w:bookmarkStart w:id="458" w:name="_Toc293916380"/>
      <w:r>
        <w:rPr>
          <w:rFonts w:hint="eastAsia" w:ascii="宋体" w:hAnsi="宋体"/>
          <w:b/>
          <w:bCs/>
          <w:sz w:val="32"/>
          <w:szCs w:val="30"/>
        </w:rPr>
        <w:t>第五章  合同主要条款</w:t>
      </w:r>
      <w:bookmarkEnd w:id="452"/>
    </w:p>
    <w:p>
      <w:pPr>
        <w:pStyle w:val="22"/>
        <w:rPr>
          <w:rFonts w:hAnsi="宋体"/>
          <w:b/>
          <w:bCs/>
          <w:sz w:val="32"/>
          <w:szCs w:val="32"/>
        </w:rPr>
      </w:pPr>
    </w:p>
    <w:p>
      <w:pPr>
        <w:pStyle w:val="22"/>
        <w:rPr>
          <w:rFonts w:hAnsi="宋体"/>
          <w:b/>
          <w:bCs/>
          <w:sz w:val="32"/>
          <w:szCs w:val="32"/>
        </w:rPr>
      </w:pPr>
    </w:p>
    <w:p>
      <w:pPr>
        <w:tabs>
          <w:tab w:val="left" w:pos="1260"/>
        </w:tabs>
        <w:spacing w:line="360" w:lineRule="auto"/>
        <w:ind w:left="239" w:leftChars="114" w:firstLine="240" w:firstLineChars="100"/>
        <w:rPr>
          <w:rFonts w:ascii="宋体" w:hAnsi="宋体"/>
          <w:color w:val="000000"/>
          <w:sz w:val="24"/>
        </w:rPr>
      </w:pPr>
      <w:r>
        <w:rPr>
          <w:rFonts w:hint="eastAsia" w:ascii="宋体" w:hAnsi="宋体"/>
          <w:color w:val="000000"/>
          <w:sz w:val="24"/>
        </w:rPr>
        <w:t xml:space="preserve">（甲方）的(项目名称)由 </w:t>
      </w:r>
      <w:r>
        <w:rPr>
          <w:rFonts w:hint="eastAsia" w:ascii="宋体" w:hAnsi="宋体"/>
          <w:color w:val="000000"/>
          <w:sz w:val="24"/>
          <w:u w:val="single"/>
        </w:rPr>
        <w:t>浙江中合工程管理有限公司</w:t>
      </w:r>
      <w:r>
        <w:rPr>
          <w:rFonts w:hint="eastAsia" w:ascii="宋体" w:hAnsi="宋体"/>
          <w:color w:val="000000"/>
          <w:sz w:val="24"/>
        </w:rPr>
        <w:t>（代理机构名</w:t>
      </w:r>
      <w:r>
        <w:rPr>
          <w:rFonts w:hint="eastAsia" w:ascii="宋体" w:hAnsi="宋体"/>
          <w:sz w:val="24"/>
        </w:rPr>
        <w:t>称）以</w:t>
      </w:r>
      <w:r>
        <w:rPr>
          <w:rFonts w:hint="eastAsia" w:ascii="宋体" w:hAnsi="宋体"/>
          <w:sz w:val="24"/>
          <w:u w:val="single"/>
        </w:rPr>
        <w:t>公开招标</w:t>
      </w:r>
      <w:r>
        <w:rPr>
          <w:rFonts w:hint="eastAsia" w:ascii="宋体" w:hAnsi="宋体"/>
          <w:sz w:val="24"/>
        </w:rPr>
        <w:t>（采购方式）方式进行采购。经</w:t>
      </w:r>
      <w:r>
        <w:rPr>
          <w:rFonts w:hint="eastAsia" w:ascii="宋体" w:hAnsi="宋体"/>
          <w:color w:val="000000"/>
          <w:sz w:val="24"/>
        </w:rPr>
        <w:t>评委确定致(乙方)为中标单位。甲乙双方在自愿协商的基础上签订合同如下：</w:t>
      </w:r>
    </w:p>
    <w:p>
      <w:pPr>
        <w:tabs>
          <w:tab w:val="left" w:pos="1260"/>
        </w:tabs>
        <w:adjustRightInd w:val="0"/>
        <w:snapToGrid w:val="0"/>
        <w:spacing w:line="360" w:lineRule="auto"/>
        <w:rPr>
          <w:rFonts w:ascii="宋体" w:hAnsi="宋体"/>
          <w:b/>
          <w:bCs/>
          <w:color w:val="000000"/>
          <w:sz w:val="24"/>
        </w:rPr>
      </w:pPr>
      <w:r>
        <w:rPr>
          <w:rFonts w:hint="eastAsia" w:ascii="宋体" w:hAnsi="宋体"/>
          <w:b/>
          <w:bCs/>
          <w:color w:val="000000"/>
          <w:sz w:val="24"/>
        </w:rPr>
        <w:t>一、合同文件</w:t>
      </w:r>
    </w:p>
    <w:p>
      <w:pPr>
        <w:tabs>
          <w:tab w:val="left" w:pos="1260"/>
        </w:tabs>
        <w:adjustRightInd w:val="0"/>
        <w:snapToGrid w:val="0"/>
        <w:spacing w:line="360" w:lineRule="auto"/>
        <w:ind w:left="525"/>
        <w:rPr>
          <w:rFonts w:ascii="宋体" w:hAnsi="宋体"/>
          <w:color w:val="000000"/>
          <w:sz w:val="24"/>
        </w:rPr>
      </w:pPr>
      <w:r>
        <w:rPr>
          <w:rFonts w:hint="eastAsia" w:ascii="宋体" w:hAnsi="宋体"/>
          <w:color w:val="000000"/>
          <w:sz w:val="24"/>
        </w:rPr>
        <w:t>本合同由下列文件组成：</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（1）招标文件；</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（2）投标文件；</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（3）中标通知书；</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（4）乙方在投标时的书面承诺；</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（5）合同补充条款或说明；</w:t>
      </w:r>
    </w:p>
    <w:p>
      <w:pPr>
        <w:tabs>
          <w:tab w:val="left" w:pos="1260"/>
        </w:tabs>
        <w:adjustRightInd w:val="0"/>
        <w:snapToGrid w:val="0"/>
        <w:spacing w:line="360" w:lineRule="auto"/>
        <w:ind w:left="525"/>
        <w:rPr>
          <w:rFonts w:ascii="宋体" w:hAnsi="宋体" w:eastAsia="宋体"/>
          <w:color w:val="000000"/>
          <w:sz w:val="24"/>
        </w:rPr>
      </w:pPr>
      <w:r>
        <w:rPr>
          <w:rFonts w:hint="eastAsia" w:ascii="宋体" w:hAnsi="宋体"/>
          <w:color w:val="000000"/>
          <w:sz w:val="24"/>
        </w:rPr>
        <w:t>（6）附件。</w:t>
      </w:r>
    </w:p>
    <w:p>
      <w:pPr>
        <w:spacing w:line="360" w:lineRule="auto"/>
        <w:rPr>
          <w:rFonts w:ascii="宋体" w:hAnsi="宋体"/>
          <w:b/>
          <w:color w:val="000000"/>
          <w:sz w:val="24"/>
        </w:rPr>
      </w:pPr>
      <w:r>
        <w:rPr>
          <w:rFonts w:hint="eastAsia" w:ascii="宋体" w:hAnsi="宋体"/>
          <w:b/>
          <w:color w:val="000000"/>
          <w:sz w:val="24"/>
        </w:rPr>
        <w:t>二、信息采集内容与采集区范围</w:t>
      </w:r>
    </w:p>
    <w:p>
      <w:pPr>
        <w:spacing w:line="360" w:lineRule="auto"/>
        <w:ind w:firstLine="480" w:firstLineChars="200"/>
        <w:rPr>
          <w:rFonts w:ascii="宋体" w:hAnsi="宋体"/>
          <w:color w:val="000000"/>
          <w:sz w:val="24"/>
        </w:rPr>
      </w:pPr>
      <w:r>
        <w:rPr>
          <w:rFonts w:hint="eastAsia" w:ascii="宋体" w:hAnsi="宋体"/>
          <w:color w:val="000000"/>
          <w:sz w:val="24"/>
        </w:rPr>
        <w:t>1、内容：</w:t>
      </w:r>
      <w:r>
        <w:rPr>
          <w:rFonts w:hint="eastAsia" w:ascii="宋体" w:hAnsi="宋体"/>
          <w:color w:val="000000"/>
          <w:sz w:val="24"/>
          <w:lang w:val="zh-CN"/>
        </w:rPr>
        <w:t>地名管理部门健全完善地名数据库，对非因企业原因发生的不动产坐落、地址变化需要办理变更登记，经申请由不动产登记机构通过地名数据共享办理变更登记。”，通过“吴兴区（南太湖）地名地址信息采集建库项目”建设，进一步采集完善地名地址信息，将极大的丰富和完善地名地址数据资源，在资源共享的基础上，为优化营商环境不动产登记“一件事”、深化“最多跑一次”便民服务改革，实现政府数字化转型提供更为全面的、重要的数据支撑。</w:t>
      </w:r>
    </w:p>
    <w:p>
      <w:pPr>
        <w:spacing w:line="360" w:lineRule="auto"/>
        <w:ind w:firstLine="480" w:firstLineChars="200"/>
        <w:rPr>
          <w:rFonts w:ascii="宋体" w:hAnsi="宋体"/>
          <w:color w:val="000000"/>
          <w:sz w:val="24"/>
        </w:rPr>
      </w:pPr>
      <w:r>
        <w:rPr>
          <w:rFonts w:hint="eastAsia" w:ascii="宋体" w:hAnsi="宋体"/>
          <w:color w:val="000000"/>
          <w:sz w:val="24"/>
        </w:rPr>
        <w:t>2、采集区范围：</w:t>
      </w:r>
      <w:r>
        <w:rPr>
          <w:rFonts w:hint="eastAsia" w:ascii="宋体" w:hAnsi="宋体"/>
          <w:color w:val="000000"/>
          <w:sz w:val="24"/>
          <w:lang w:val="zh-CN"/>
        </w:rPr>
        <w:t>吴兴区（南太湖）地名地址信息采集建库项目通过对地名地址全量数据采集核查，属性信息部分的归集整理及空间信息部分的采集，匹配关联，录入浙江省区划地名管理信息系统，推送湖州市民政局共享交换平台，实现与湖州市大数据局的数据共享交换，完成吴兴区（南太湖）地名地址库的建设。</w:t>
      </w:r>
      <w:r>
        <w:rPr>
          <w:rFonts w:hint="eastAsia" w:ascii="宋体" w:hAnsi="宋体" w:cs="Arial"/>
          <w:b/>
          <w:bCs/>
          <w:color w:val="FF0000"/>
          <w:kern w:val="0"/>
          <w:sz w:val="24"/>
          <w:lang w:val="zh-CN"/>
        </w:rPr>
        <w:t>本项目统筹规划，分步实施，本次招标项目范围为吴兴区：646平方公里（全域），南太湖225平方公里（全域）。</w:t>
      </w:r>
    </w:p>
    <w:p>
      <w:pPr>
        <w:spacing w:line="360" w:lineRule="auto"/>
        <w:rPr>
          <w:rFonts w:ascii="宋体" w:hAnsi="宋体"/>
          <w:b/>
          <w:color w:val="000000"/>
          <w:sz w:val="24"/>
        </w:rPr>
      </w:pPr>
      <w:r>
        <w:rPr>
          <w:rFonts w:hint="eastAsia" w:ascii="宋体" w:hAnsi="宋体"/>
          <w:color w:val="000000"/>
          <w:sz w:val="24"/>
        </w:rPr>
        <w:t>三、</w:t>
      </w:r>
      <w:r>
        <w:rPr>
          <w:rFonts w:hint="eastAsia" w:ascii="宋体" w:hAnsi="宋体"/>
          <w:b/>
          <w:color w:val="000000"/>
          <w:sz w:val="24"/>
        </w:rPr>
        <w:t>项目相关要求</w:t>
      </w:r>
    </w:p>
    <w:p>
      <w:pPr>
        <w:spacing w:line="360" w:lineRule="auto"/>
        <w:rPr>
          <w:rFonts w:ascii="宋体" w:hAnsi="宋体" w:eastAsia="宋体"/>
          <w:b/>
          <w:color w:val="000000"/>
          <w:sz w:val="24"/>
        </w:rPr>
      </w:pPr>
      <w:r>
        <w:rPr>
          <w:rFonts w:hint="eastAsia" w:ascii="宋体" w:hAnsi="宋体"/>
          <w:b/>
          <w:color w:val="000000"/>
          <w:sz w:val="24"/>
        </w:rPr>
        <w:t>本项目主要包含以下苏部分内容：</w:t>
      </w:r>
    </w:p>
    <w:p>
      <w:pPr>
        <w:spacing w:line="360" w:lineRule="auto"/>
        <w:ind w:firstLine="480" w:firstLineChars="200"/>
        <w:rPr>
          <w:rFonts w:ascii="宋体" w:hAnsi="宋体" w:eastAsia="宋体"/>
          <w:color w:val="000000"/>
          <w:sz w:val="24"/>
        </w:rPr>
      </w:pPr>
      <w:r>
        <w:rPr>
          <w:rFonts w:hint="eastAsia" w:ascii="宋体" w:hAnsi="宋体"/>
          <w:color w:val="000000"/>
          <w:sz w:val="24"/>
        </w:rPr>
        <w:t>1、地名地址数据内业整理；</w:t>
      </w:r>
    </w:p>
    <w:p>
      <w:pPr>
        <w:spacing w:line="360" w:lineRule="auto"/>
        <w:ind w:firstLine="480" w:firstLineChars="200"/>
        <w:rPr>
          <w:rFonts w:ascii="宋体" w:hAnsi="宋体" w:eastAsia="宋体"/>
          <w:color w:val="000000"/>
          <w:sz w:val="24"/>
        </w:rPr>
      </w:pPr>
      <w:r>
        <w:rPr>
          <w:rFonts w:hint="eastAsia" w:ascii="宋体" w:hAnsi="宋体"/>
          <w:color w:val="000000"/>
          <w:sz w:val="24"/>
        </w:rPr>
        <w:t>2、地名地址空间信息外业采集；</w:t>
      </w:r>
    </w:p>
    <w:p>
      <w:pPr>
        <w:spacing w:line="360" w:lineRule="auto"/>
        <w:ind w:firstLine="480" w:firstLineChars="200"/>
        <w:rPr>
          <w:rFonts w:ascii="宋体" w:hAnsi="宋体"/>
          <w:color w:val="000000"/>
          <w:sz w:val="24"/>
        </w:rPr>
      </w:pPr>
      <w:r>
        <w:rPr>
          <w:rFonts w:hint="eastAsia" w:ascii="宋体" w:hAnsi="宋体"/>
          <w:color w:val="000000"/>
          <w:sz w:val="24"/>
        </w:rPr>
        <w:t>3、数据比对清洗；</w:t>
      </w:r>
    </w:p>
    <w:p>
      <w:pPr>
        <w:spacing w:line="360" w:lineRule="auto"/>
        <w:ind w:firstLine="480" w:firstLineChars="200"/>
        <w:rPr>
          <w:rFonts w:ascii="宋体" w:hAnsi="宋体"/>
          <w:b/>
          <w:color w:val="000000"/>
          <w:sz w:val="24"/>
        </w:rPr>
      </w:pPr>
      <w:r>
        <w:rPr>
          <w:rFonts w:hint="eastAsia" w:ascii="宋体" w:hAnsi="宋体"/>
          <w:color w:val="000000"/>
          <w:sz w:val="24"/>
        </w:rPr>
        <w:t>4、成果数据录入浙江省区划地名信息管理系统实现数据实时更新并共享交换。</w:t>
      </w:r>
    </w:p>
    <w:p>
      <w:pPr>
        <w:spacing w:line="360" w:lineRule="auto"/>
        <w:rPr>
          <w:rFonts w:ascii="宋体" w:hAnsi="宋体"/>
          <w:color w:val="000000"/>
          <w:sz w:val="24"/>
        </w:rPr>
      </w:pPr>
      <w:r>
        <w:rPr>
          <w:rFonts w:hint="eastAsia" w:ascii="宋体" w:hAnsi="宋体"/>
          <w:b/>
          <w:color w:val="000000"/>
          <w:sz w:val="24"/>
        </w:rPr>
        <w:t>四、合同金额与付款方式</w:t>
      </w:r>
    </w:p>
    <w:p>
      <w:pPr>
        <w:tabs>
          <w:tab w:val="left" w:pos="1260"/>
        </w:tabs>
        <w:spacing w:line="360" w:lineRule="auto"/>
        <w:ind w:firstLine="480" w:firstLineChars="200"/>
        <w:rPr>
          <w:rFonts w:ascii="宋体" w:hAnsi="宋体"/>
          <w:color w:val="000000"/>
          <w:sz w:val="24"/>
        </w:rPr>
      </w:pPr>
      <w:r>
        <w:rPr>
          <w:rFonts w:hint="eastAsia" w:ascii="宋体" w:hAnsi="宋体"/>
          <w:color w:val="000000"/>
          <w:sz w:val="24"/>
        </w:rPr>
        <w:t>1、本合同中标金额为元，大写为 元整，最终结算价格以本合同条款为依据。</w:t>
      </w:r>
    </w:p>
    <w:p>
      <w:pPr>
        <w:spacing w:line="360" w:lineRule="auto"/>
        <w:ind w:firstLine="480" w:firstLineChars="200"/>
        <w:rPr>
          <w:rFonts w:ascii="微软雅黑" w:hAnsi="微软雅黑" w:cs="微软雅黑"/>
          <w:color w:val="000000" w:themeColor="text1"/>
          <w:sz w:val="24"/>
          <w:szCs w:val="24"/>
        </w:rPr>
      </w:pPr>
      <w:r>
        <w:rPr>
          <w:rFonts w:hint="eastAsia" w:ascii="微软雅黑" w:hAnsi="微软雅黑" w:cs="微软雅黑"/>
          <w:color w:val="000000" w:themeColor="text1"/>
          <w:sz w:val="24"/>
          <w:szCs w:val="24"/>
        </w:rPr>
        <w:t>2、本项目分为吴兴区和南太湖新区两块合并招标，两区块最终分别签订合同和费用支付。</w:t>
      </w:r>
    </w:p>
    <w:p>
      <w:pPr>
        <w:tabs>
          <w:tab w:val="left" w:pos="1260"/>
        </w:tabs>
        <w:spacing w:line="360" w:lineRule="auto"/>
        <w:ind w:firstLine="480" w:firstLineChars="200"/>
        <w:rPr>
          <w:rFonts w:ascii="宋体" w:hAnsi="宋体"/>
          <w:color w:val="FF0000"/>
          <w:sz w:val="24"/>
        </w:rPr>
      </w:pPr>
      <w:r>
        <w:rPr>
          <w:rFonts w:hint="eastAsia" w:ascii="宋体" w:hAnsi="宋体"/>
          <w:color w:val="FF0000"/>
          <w:sz w:val="24"/>
        </w:rPr>
        <w:t>（1）预付款：采购人自采购合同生效及具备实施条件后15天内支付预付款</w:t>
      </w:r>
      <w:bookmarkStart w:id="460" w:name="_GoBack"/>
      <w:bookmarkEnd w:id="460"/>
      <w:r>
        <w:rPr>
          <w:rFonts w:hint="eastAsia" w:ascii="宋体" w:hAnsi="宋体"/>
          <w:color w:val="FF0000"/>
          <w:sz w:val="24"/>
        </w:rPr>
        <w:t>，也即合同金额的30%；</w:t>
      </w:r>
    </w:p>
    <w:p>
      <w:pPr>
        <w:tabs>
          <w:tab w:val="left" w:pos="1260"/>
        </w:tabs>
        <w:spacing w:line="360" w:lineRule="auto"/>
        <w:ind w:firstLine="480" w:firstLineChars="200"/>
        <w:rPr>
          <w:rFonts w:ascii="宋体" w:hAnsi="宋体"/>
          <w:color w:val="FF0000"/>
          <w:sz w:val="24"/>
        </w:rPr>
      </w:pPr>
      <w:r>
        <w:rPr>
          <w:rFonts w:hint="eastAsia" w:ascii="宋体" w:hAnsi="宋体"/>
          <w:color w:val="FF0000"/>
          <w:sz w:val="24"/>
        </w:rPr>
        <w:t>（2）完成项目总体工程量50%，支付合同总价的30%；</w:t>
      </w:r>
    </w:p>
    <w:p>
      <w:pPr>
        <w:tabs>
          <w:tab w:val="left" w:pos="1260"/>
        </w:tabs>
        <w:spacing w:line="360" w:lineRule="auto"/>
        <w:ind w:firstLine="480" w:firstLineChars="200"/>
        <w:rPr>
          <w:rFonts w:ascii="宋体" w:hAnsi="宋体"/>
          <w:color w:val="FF0000"/>
          <w:sz w:val="24"/>
        </w:rPr>
      </w:pPr>
      <w:r>
        <w:rPr>
          <w:rFonts w:hint="eastAsia" w:ascii="宋体" w:hAnsi="宋体"/>
          <w:color w:val="FF0000"/>
          <w:sz w:val="24"/>
        </w:rPr>
        <w:t>（3）</w:t>
      </w:r>
      <w:r>
        <w:rPr>
          <w:rFonts w:ascii="宋体" w:hAnsi="宋体"/>
          <w:color w:val="FF0000"/>
          <w:sz w:val="24"/>
        </w:rPr>
        <w:t>项目</w:t>
      </w:r>
      <w:r>
        <w:rPr>
          <w:rFonts w:hint="eastAsia" w:ascii="宋体" w:hAnsi="宋体"/>
          <w:color w:val="FF0000"/>
          <w:sz w:val="24"/>
        </w:rPr>
        <w:t>整体</w:t>
      </w:r>
      <w:r>
        <w:rPr>
          <w:rFonts w:ascii="宋体" w:hAnsi="宋体"/>
          <w:color w:val="FF0000"/>
          <w:sz w:val="24"/>
        </w:rPr>
        <w:t>完成上线试运行1个月后，支付合同总价的</w:t>
      </w:r>
      <w:r>
        <w:rPr>
          <w:rFonts w:hint="eastAsia" w:ascii="宋体" w:hAnsi="宋体"/>
          <w:color w:val="FF0000"/>
          <w:sz w:val="24"/>
        </w:rPr>
        <w:t>30</w:t>
      </w:r>
      <w:r>
        <w:rPr>
          <w:rFonts w:ascii="宋体" w:hAnsi="宋体"/>
          <w:color w:val="FF0000"/>
          <w:sz w:val="24"/>
        </w:rPr>
        <w:t>%；</w:t>
      </w:r>
    </w:p>
    <w:p>
      <w:pPr>
        <w:tabs>
          <w:tab w:val="left" w:pos="1260"/>
        </w:tabs>
        <w:spacing w:line="360" w:lineRule="auto"/>
        <w:ind w:firstLine="480" w:firstLineChars="200"/>
        <w:rPr>
          <w:rFonts w:ascii="宋体" w:hAnsi="宋体"/>
          <w:color w:val="FF0000"/>
          <w:sz w:val="24"/>
        </w:rPr>
      </w:pPr>
      <w:r>
        <w:rPr>
          <w:rFonts w:hint="eastAsia" w:ascii="宋体" w:hAnsi="宋体"/>
          <w:color w:val="FF0000"/>
          <w:sz w:val="24"/>
        </w:rPr>
        <w:t>（4）</w:t>
      </w:r>
      <w:r>
        <w:rPr>
          <w:rFonts w:ascii="宋体" w:hAnsi="宋体"/>
          <w:color w:val="FF0000"/>
          <w:sz w:val="24"/>
        </w:rPr>
        <w:t>组织项目整体终验，验收通过后5个工作日内支付合同总价的</w:t>
      </w:r>
      <w:r>
        <w:rPr>
          <w:rFonts w:hint="eastAsia" w:ascii="宋体" w:hAnsi="宋体"/>
          <w:color w:val="FF0000"/>
          <w:sz w:val="24"/>
        </w:rPr>
        <w:t>10</w:t>
      </w:r>
      <w:r>
        <w:rPr>
          <w:rFonts w:ascii="宋体" w:hAnsi="宋体"/>
          <w:color w:val="FF0000"/>
          <w:sz w:val="24"/>
        </w:rPr>
        <w:t>%。</w:t>
      </w:r>
    </w:p>
    <w:p>
      <w:pPr>
        <w:tabs>
          <w:tab w:val="left" w:pos="1260"/>
        </w:tabs>
        <w:spacing w:line="360" w:lineRule="auto"/>
        <w:ind w:firstLine="480" w:firstLineChars="200"/>
        <w:rPr>
          <w:rFonts w:hint="eastAsia" w:ascii="宋体" w:hAnsi="宋体"/>
          <w:color w:val="000000"/>
          <w:sz w:val="24"/>
        </w:rPr>
      </w:pPr>
      <w:r>
        <w:rPr>
          <w:rFonts w:hint="eastAsia" w:ascii="宋体" w:hAnsi="宋体"/>
          <w:color w:val="000000"/>
          <w:sz w:val="24"/>
        </w:rPr>
        <w:t>注：本项目最终服务金额以中标供应商实际采集公里数*中标单价结算，但若最终服务金额超过相应区块的采购预算，最终服务金额按采购预算金额支付采购单位不另行增加费用。</w:t>
      </w:r>
    </w:p>
    <w:p>
      <w:pPr>
        <w:tabs>
          <w:tab w:val="left" w:pos="1260"/>
        </w:tabs>
        <w:spacing w:line="360" w:lineRule="auto"/>
        <w:ind w:firstLine="480" w:firstLineChars="200"/>
        <w:rPr>
          <w:rFonts w:ascii="宋体" w:hAnsi="宋体"/>
          <w:color w:val="000000"/>
          <w:sz w:val="24"/>
        </w:rPr>
      </w:pPr>
      <w:r>
        <w:rPr>
          <w:rFonts w:hint="eastAsia" w:ascii="宋体" w:hAnsi="宋体"/>
          <w:color w:val="000000"/>
          <w:sz w:val="24"/>
        </w:rPr>
        <w:t>吴兴区为两年连续性费用，每年预算200 万元分年度支付，每年信息采集工程量为项目总体工程量的50%。</w:t>
      </w:r>
    </w:p>
    <w:p>
      <w:pPr>
        <w:spacing w:line="360" w:lineRule="auto"/>
        <w:rPr>
          <w:rFonts w:ascii="宋体" w:hAnsi="宋体"/>
          <w:color w:val="000000"/>
          <w:sz w:val="24"/>
        </w:rPr>
      </w:pPr>
      <w:r>
        <w:rPr>
          <w:rFonts w:hint="eastAsia" w:ascii="宋体" w:hAnsi="宋体" w:cs="宋体"/>
          <w:b/>
          <w:color w:val="000000"/>
          <w:sz w:val="24"/>
        </w:rPr>
        <w:t>五、合同期限</w:t>
      </w:r>
    </w:p>
    <w:p>
      <w:pPr>
        <w:spacing w:line="360" w:lineRule="auto"/>
        <w:ind w:firstLine="480" w:firstLineChars="200"/>
        <w:rPr>
          <w:rFonts w:ascii="宋体" w:hAnsi="宋体"/>
          <w:color w:val="000000"/>
          <w:sz w:val="24"/>
        </w:rPr>
      </w:pPr>
      <w:r>
        <w:rPr>
          <w:rFonts w:hint="eastAsia" w:ascii="宋体" w:hAnsi="宋体"/>
          <w:color w:val="000000"/>
          <w:sz w:val="24"/>
        </w:rPr>
        <w:t>1、本合同期限：</w:t>
      </w:r>
      <w:r>
        <w:rPr>
          <w:rFonts w:hint="eastAsia" w:ascii="微软雅黑" w:hAnsi="微软雅黑" w:cs="微软雅黑"/>
          <w:color w:val="FF0000"/>
          <w:sz w:val="24"/>
          <w:szCs w:val="24"/>
        </w:rPr>
        <w:t>在合同签订后180天内交货并完成项目上线调试。</w:t>
      </w:r>
    </w:p>
    <w:p>
      <w:pPr>
        <w:spacing w:line="360" w:lineRule="auto"/>
        <w:ind w:firstLine="480" w:firstLineChars="200"/>
        <w:rPr>
          <w:rFonts w:eastAsia="黑体"/>
        </w:rPr>
      </w:pPr>
      <w:r>
        <w:rPr>
          <w:rFonts w:hint="eastAsia" w:ascii="宋体" w:hAnsi="宋体"/>
          <w:color w:val="000000"/>
          <w:sz w:val="24"/>
        </w:rPr>
        <w:t>2、</w:t>
      </w:r>
      <w:r>
        <w:rPr>
          <w:rFonts w:hint="eastAsia" w:ascii="宋体" w:hAnsi="宋体"/>
          <w:bCs/>
          <w:color w:val="000000"/>
          <w:sz w:val="24"/>
        </w:rPr>
        <w:t>服务期内乙方不得以任何形式拒绝或中断为甲方提供信息采集服务。</w:t>
      </w:r>
    </w:p>
    <w:p>
      <w:pPr>
        <w:spacing w:line="360" w:lineRule="auto"/>
        <w:rPr>
          <w:rFonts w:ascii="宋体" w:hAnsi="宋体"/>
          <w:bCs/>
          <w:color w:val="000000"/>
          <w:sz w:val="24"/>
        </w:rPr>
      </w:pPr>
      <w:r>
        <w:rPr>
          <w:rFonts w:hint="eastAsia" w:ascii="宋体" w:hAnsi="宋体"/>
          <w:b/>
          <w:bCs/>
          <w:color w:val="000000"/>
          <w:sz w:val="24"/>
        </w:rPr>
        <w:t>六、相关权利与义务</w:t>
      </w:r>
    </w:p>
    <w:p>
      <w:pPr>
        <w:spacing w:line="360" w:lineRule="auto"/>
        <w:ind w:firstLine="480" w:firstLineChars="200"/>
        <w:rPr>
          <w:rFonts w:ascii="宋体" w:hAnsi="宋体"/>
          <w:color w:val="000000"/>
          <w:sz w:val="24"/>
        </w:rPr>
      </w:pPr>
      <w:r>
        <w:rPr>
          <w:rFonts w:hint="eastAsia" w:ascii="宋体" w:hAnsi="宋体"/>
          <w:color w:val="000000"/>
          <w:sz w:val="24"/>
        </w:rPr>
        <w:t>1、甲方应向乙方提供有关信息采集标准、工作流程以及相关设备使用的说明。</w:t>
      </w:r>
    </w:p>
    <w:p>
      <w:pPr>
        <w:spacing w:line="360" w:lineRule="auto"/>
        <w:ind w:firstLine="480" w:firstLineChars="200"/>
        <w:rPr>
          <w:rFonts w:ascii="宋体" w:hAnsi="宋体"/>
          <w:color w:val="000000"/>
          <w:sz w:val="24"/>
        </w:rPr>
      </w:pPr>
      <w:r>
        <w:rPr>
          <w:rFonts w:hint="eastAsia" w:ascii="宋体" w:hAnsi="宋体"/>
          <w:color w:val="000000"/>
          <w:sz w:val="24"/>
        </w:rPr>
        <w:t>2、甲方应向乙方无偿提供乙方管理所需要的信息，该信息由双方协商确定。</w:t>
      </w:r>
    </w:p>
    <w:p>
      <w:pPr>
        <w:spacing w:line="360" w:lineRule="auto"/>
        <w:ind w:firstLine="480" w:firstLineChars="200"/>
        <w:rPr>
          <w:rFonts w:ascii="宋体" w:hAnsi="宋体"/>
          <w:color w:val="000000"/>
          <w:sz w:val="24"/>
        </w:rPr>
      </w:pPr>
      <w:r>
        <w:rPr>
          <w:rFonts w:hint="eastAsia" w:ascii="宋体" w:hAnsi="宋体"/>
          <w:color w:val="000000"/>
          <w:sz w:val="24"/>
        </w:rPr>
        <w:t>3、乙方在日常工作中对甲方提出的需反馈的意见，应在限定时间内作出书面答复。</w:t>
      </w:r>
    </w:p>
    <w:p>
      <w:pPr>
        <w:spacing w:line="360" w:lineRule="auto"/>
        <w:ind w:firstLine="480" w:firstLineChars="200"/>
        <w:rPr>
          <w:rFonts w:ascii="宋体" w:hAnsi="宋体"/>
          <w:color w:val="000000"/>
          <w:sz w:val="24"/>
        </w:rPr>
      </w:pPr>
      <w:r>
        <w:rPr>
          <w:rFonts w:hint="eastAsia" w:ascii="宋体" w:hAnsi="宋体"/>
          <w:color w:val="000000"/>
          <w:sz w:val="24"/>
        </w:rPr>
        <w:t>4、甲方承诺为乙方顺利开工工作提供其他必要的支持。</w:t>
      </w:r>
    </w:p>
    <w:p>
      <w:pPr>
        <w:spacing w:line="360" w:lineRule="auto"/>
        <w:ind w:firstLine="480" w:firstLineChars="200"/>
        <w:rPr>
          <w:rFonts w:ascii="宋体" w:hAnsi="宋体"/>
          <w:color w:val="000000"/>
          <w:sz w:val="24"/>
        </w:rPr>
      </w:pPr>
      <w:r>
        <w:rPr>
          <w:rFonts w:hint="eastAsia" w:ascii="宋体" w:hAnsi="宋体"/>
          <w:color w:val="000000"/>
          <w:sz w:val="24"/>
        </w:rPr>
        <w:t>5、乙方应保证按照《劳动合同法》等有关法律法规保障劳动者权益，支付人员的月工资，甲方概不负责信息采集员的一切问题。</w:t>
      </w:r>
    </w:p>
    <w:p>
      <w:pPr>
        <w:spacing w:line="360" w:lineRule="auto"/>
        <w:ind w:firstLine="480" w:firstLineChars="200"/>
        <w:rPr>
          <w:rFonts w:ascii="宋体" w:hAnsi="宋体"/>
          <w:b/>
          <w:bCs/>
          <w:color w:val="000000"/>
          <w:sz w:val="24"/>
        </w:rPr>
      </w:pPr>
      <w:r>
        <w:rPr>
          <w:rFonts w:hint="eastAsia" w:ascii="宋体" w:hAnsi="宋体"/>
          <w:bCs/>
          <w:color w:val="000000"/>
          <w:sz w:val="24"/>
        </w:rPr>
        <w:t>6、</w:t>
      </w:r>
      <w:r>
        <w:rPr>
          <w:rFonts w:hint="eastAsia" w:ascii="宋体" w:hAnsi="宋体"/>
          <w:color w:val="000000"/>
          <w:sz w:val="24"/>
        </w:rPr>
        <w:t>乙方采集的数据成果所有权最终归甲方所有，未经甲方同意，乙方不得擅自扩散或提供给第三方使用。乙方在项目实施过程中需共享数据的，须经甲方同意。</w:t>
      </w:r>
    </w:p>
    <w:p>
      <w:pPr>
        <w:spacing w:line="360" w:lineRule="auto"/>
        <w:ind w:firstLine="480" w:firstLineChars="200"/>
        <w:rPr>
          <w:rFonts w:ascii="宋体" w:hAnsi="宋体"/>
          <w:color w:val="000000"/>
          <w:sz w:val="24"/>
        </w:rPr>
      </w:pPr>
      <w:r>
        <w:rPr>
          <w:rFonts w:hint="eastAsia" w:ascii="宋体" w:hAnsi="宋体"/>
          <w:color w:val="000000"/>
          <w:sz w:val="24"/>
        </w:rPr>
        <w:t>7、未经甲方事先书面同意，乙方不得转让其应履行的合同义务。</w:t>
      </w:r>
    </w:p>
    <w:p>
      <w:pPr>
        <w:spacing w:line="360" w:lineRule="auto"/>
        <w:ind w:firstLine="480" w:firstLineChars="200"/>
        <w:rPr>
          <w:rFonts w:ascii="宋体" w:hAnsi="宋体"/>
          <w:color w:val="000000"/>
          <w:sz w:val="24"/>
        </w:rPr>
      </w:pPr>
      <w:r>
        <w:rPr>
          <w:rFonts w:hint="eastAsia" w:ascii="宋体" w:hAnsi="宋体" w:cs="宋体"/>
          <w:color w:val="000000"/>
          <w:sz w:val="24"/>
        </w:rPr>
        <w:t>8、</w:t>
      </w:r>
      <w:r>
        <w:rPr>
          <w:rFonts w:hint="eastAsia" w:ascii="宋体" w:hAnsi="宋体"/>
          <w:color w:val="000000"/>
          <w:sz w:val="24"/>
        </w:rPr>
        <w:t>乙方在合同规定的服务期限内，应遵守相关规章、制度等，乙方对在系统建设期间所获得的甲方的情报和资料有保密义务，泄漏秘密应承担相应责任。不论本合同是否变更、终止、解除，本条款均有效。</w:t>
      </w:r>
    </w:p>
    <w:p>
      <w:pPr>
        <w:spacing w:line="360" w:lineRule="auto"/>
        <w:ind w:firstLine="480" w:firstLineChars="200"/>
        <w:rPr>
          <w:rFonts w:ascii="宋体" w:hAnsi="宋体" w:cs="宋体"/>
          <w:color w:val="000000"/>
          <w:sz w:val="24"/>
        </w:rPr>
      </w:pPr>
      <w:r>
        <w:rPr>
          <w:rFonts w:hint="eastAsia" w:ascii="宋体" w:hAnsi="宋体"/>
          <w:color w:val="000000"/>
          <w:sz w:val="24"/>
        </w:rPr>
        <w:t>9、</w:t>
      </w:r>
      <w:r>
        <w:rPr>
          <w:rFonts w:hint="eastAsia" w:ascii="宋体" w:hAnsi="宋体" w:cs="宋体"/>
          <w:color w:val="000000"/>
          <w:sz w:val="24"/>
        </w:rPr>
        <w:t xml:space="preserve">双方约定，有下列情形之一，甲方有权解除合同： </w:t>
      </w:r>
    </w:p>
    <w:p>
      <w:pPr>
        <w:spacing w:line="360" w:lineRule="auto"/>
        <w:ind w:firstLine="360" w:firstLineChars="150"/>
        <w:rPr>
          <w:rFonts w:ascii="宋体" w:hAnsi="宋体"/>
          <w:color w:val="000000"/>
          <w:sz w:val="24"/>
        </w:rPr>
      </w:pPr>
      <w:r>
        <w:rPr>
          <w:rFonts w:hint="eastAsia" w:ascii="宋体" w:hAnsi="宋体"/>
          <w:color w:val="000000"/>
          <w:sz w:val="24"/>
        </w:rPr>
        <w:t>（1）乙方于</w:t>
      </w:r>
      <w:r>
        <w:rPr>
          <w:rFonts w:hint="eastAsia" w:ascii="宋体" w:hAnsi="宋体"/>
          <w:color w:val="000000"/>
          <w:sz w:val="24"/>
          <w:u w:val="single"/>
        </w:rPr>
        <w:t xml:space="preserve">   年  月  日</w:t>
      </w:r>
      <w:r>
        <w:rPr>
          <w:rFonts w:hint="eastAsia" w:ascii="宋体" w:hAnsi="宋体"/>
          <w:color w:val="000000"/>
          <w:sz w:val="24"/>
        </w:rPr>
        <w:t>未履行信息采集服务的义务，经催告后5日内仍未履行的；</w:t>
      </w:r>
    </w:p>
    <w:p>
      <w:pPr>
        <w:spacing w:line="360" w:lineRule="auto"/>
        <w:ind w:firstLine="360" w:firstLineChars="150"/>
        <w:rPr>
          <w:rFonts w:ascii="宋体" w:hAnsi="宋体"/>
          <w:color w:val="000000"/>
          <w:sz w:val="24"/>
        </w:rPr>
      </w:pPr>
      <w:r>
        <w:rPr>
          <w:rFonts w:hint="eastAsia" w:ascii="宋体" w:hAnsi="宋体"/>
          <w:color w:val="000000"/>
          <w:sz w:val="24"/>
        </w:rPr>
        <w:t>（2）法律规定的其他情形。</w:t>
      </w:r>
    </w:p>
    <w:p>
      <w:pPr>
        <w:spacing w:line="360" w:lineRule="auto"/>
        <w:ind w:firstLine="480" w:firstLineChars="200"/>
        <w:rPr>
          <w:rFonts w:ascii="宋体" w:hAnsi="宋体"/>
          <w:color w:val="000000"/>
          <w:sz w:val="24"/>
        </w:rPr>
      </w:pPr>
      <w:r>
        <w:rPr>
          <w:rFonts w:hint="eastAsia" w:ascii="宋体" w:hAnsi="宋体"/>
          <w:color w:val="000000"/>
          <w:sz w:val="24"/>
        </w:rPr>
        <w:t>对于因解除合同对甲方或乙方造成的损失，受损方有权要求责任方赔偿损失。</w:t>
      </w:r>
    </w:p>
    <w:p>
      <w:pPr>
        <w:spacing w:line="360" w:lineRule="auto"/>
        <w:rPr>
          <w:rFonts w:ascii="宋体" w:hAnsi="宋体"/>
          <w:color w:val="000000"/>
          <w:sz w:val="24"/>
        </w:rPr>
      </w:pPr>
      <w:r>
        <w:rPr>
          <w:rFonts w:hint="eastAsia" w:ascii="宋体" w:hAnsi="宋体"/>
          <w:b/>
          <w:color w:val="000000"/>
          <w:sz w:val="24"/>
        </w:rPr>
        <w:t>七、争议解决</w:t>
      </w:r>
    </w:p>
    <w:p>
      <w:pPr>
        <w:spacing w:line="360" w:lineRule="auto"/>
        <w:ind w:firstLine="480" w:firstLineChars="200"/>
        <w:rPr>
          <w:rFonts w:ascii="宋体" w:hAnsi="宋体"/>
          <w:color w:val="000000"/>
          <w:sz w:val="24"/>
        </w:rPr>
      </w:pPr>
      <w:r>
        <w:rPr>
          <w:rFonts w:hint="eastAsia" w:ascii="宋体" w:hAnsi="宋体"/>
          <w:color w:val="000000"/>
          <w:sz w:val="24"/>
        </w:rPr>
        <w:t>在解释或者执行本合同的过程中出现疑问或发生争议时，双方应通过协商方式解决。</w:t>
      </w:r>
    </w:p>
    <w:p>
      <w:pPr>
        <w:spacing w:line="360" w:lineRule="auto"/>
        <w:ind w:firstLine="480" w:firstLineChars="200"/>
        <w:rPr>
          <w:rFonts w:ascii="宋体" w:hAnsi="宋体"/>
          <w:color w:val="000000"/>
          <w:sz w:val="24"/>
        </w:rPr>
      </w:pPr>
      <w:r>
        <w:rPr>
          <w:rFonts w:hint="eastAsia" w:ascii="宋体" w:hAnsi="宋体"/>
          <w:color w:val="000000"/>
          <w:sz w:val="24"/>
        </w:rPr>
        <w:t>双方协商、调解不成的，双方自愿将争议提交湖州仲裁委员会，仲裁裁决对双方有约束力。</w:t>
      </w:r>
    </w:p>
    <w:p>
      <w:pPr>
        <w:spacing w:line="360" w:lineRule="auto"/>
        <w:ind w:firstLine="480" w:firstLineChars="200"/>
        <w:rPr>
          <w:rFonts w:ascii="宋体" w:hAnsi="宋体"/>
          <w:color w:val="000000"/>
          <w:sz w:val="24"/>
        </w:rPr>
      </w:pPr>
      <w:r>
        <w:rPr>
          <w:rFonts w:hint="eastAsia" w:ascii="宋体" w:hAnsi="宋体"/>
          <w:color w:val="000000"/>
          <w:sz w:val="24"/>
        </w:rPr>
        <w:t>对合同有争议的部分，在争议未解决之前乙方应当继续履行。</w:t>
      </w:r>
    </w:p>
    <w:p>
      <w:pPr>
        <w:spacing w:line="360" w:lineRule="auto"/>
        <w:rPr>
          <w:rFonts w:ascii="宋体" w:hAnsi="宋体"/>
          <w:color w:val="000000"/>
          <w:sz w:val="24"/>
        </w:rPr>
      </w:pPr>
      <w:r>
        <w:rPr>
          <w:rFonts w:hint="eastAsia" w:ascii="宋体" w:hAnsi="宋体"/>
          <w:b/>
          <w:color w:val="000000"/>
          <w:sz w:val="24"/>
        </w:rPr>
        <w:t>八、其他事项</w:t>
      </w:r>
    </w:p>
    <w:p>
      <w:pPr>
        <w:spacing w:line="360" w:lineRule="auto"/>
        <w:ind w:firstLine="480" w:firstLineChars="200"/>
        <w:rPr>
          <w:rFonts w:ascii="宋体" w:hAnsi="宋体"/>
          <w:color w:val="000000"/>
          <w:sz w:val="24"/>
        </w:rPr>
      </w:pPr>
      <w:r>
        <w:rPr>
          <w:rFonts w:hint="eastAsia" w:ascii="宋体" w:hAnsi="宋体"/>
          <w:color w:val="000000"/>
          <w:sz w:val="24"/>
        </w:rPr>
        <w:t>1、乙方在履行本合同的过程中，确因在现有水平和条件下难以克服的技术困难，导致部分或全部失败所造成的损失，风险责任全部由乙方承担。</w:t>
      </w:r>
    </w:p>
    <w:p>
      <w:pPr>
        <w:spacing w:line="360" w:lineRule="auto"/>
        <w:ind w:firstLine="480" w:firstLineChars="200"/>
        <w:rPr>
          <w:rFonts w:ascii="宋体" w:hAnsi="宋体"/>
          <w:color w:val="000000"/>
          <w:sz w:val="24"/>
        </w:rPr>
      </w:pPr>
      <w:r>
        <w:rPr>
          <w:rFonts w:hint="eastAsia" w:ascii="宋体" w:hAnsi="宋体"/>
          <w:color w:val="000000"/>
          <w:sz w:val="24"/>
        </w:rPr>
        <w:t>2、如因甲方技术掌握、操作不当造成管理系统发生不应有的故障，应由甲方负责。</w:t>
      </w:r>
    </w:p>
    <w:p>
      <w:pPr>
        <w:spacing w:line="360" w:lineRule="auto"/>
        <w:ind w:firstLine="480" w:firstLineChars="200"/>
        <w:rPr>
          <w:rFonts w:ascii="宋体" w:hAnsi="宋体"/>
          <w:color w:val="000000"/>
          <w:sz w:val="24"/>
        </w:rPr>
      </w:pPr>
      <w:r>
        <w:rPr>
          <w:rFonts w:hint="eastAsia" w:ascii="宋体" w:hAnsi="宋体"/>
          <w:color w:val="000000"/>
          <w:sz w:val="24"/>
        </w:rPr>
        <w:t>3、本合同任何一方给另一方的通知，都应以书面或电传／传真／电报的形式发送，而另一方应以书面形式确认并发送到对方明确的地址。</w:t>
      </w:r>
    </w:p>
    <w:p>
      <w:pPr>
        <w:spacing w:line="360" w:lineRule="auto"/>
        <w:ind w:firstLine="480" w:firstLineChars="200"/>
        <w:rPr>
          <w:rFonts w:ascii="宋体" w:hAnsi="宋体"/>
          <w:color w:val="000000"/>
          <w:sz w:val="24"/>
        </w:rPr>
      </w:pPr>
      <w:r>
        <w:rPr>
          <w:rFonts w:hint="eastAsia" w:ascii="宋体" w:hAnsi="宋体"/>
          <w:color w:val="000000"/>
          <w:sz w:val="24"/>
        </w:rPr>
        <w:t>4、如果双方中任何一方由于战争、严重火灾、水灾、台风和地震以及其它经双方同意属于不可抗力的事故，致使合同履行受阻时，履行合同的期限应予相应延长，延长的期限应相当于事故所影响的时间。</w:t>
      </w:r>
    </w:p>
    <w:p>
      <w:pPr>
        <w:spacing w:line="360" w:lineRule="auto"/>
        <w:ind w:firstLine="480" w:firstLineChars="200"/>
        <w:rPr>
          <w:rFonts w:ascii="宋体" w:hAnsi="宋体"/>
          <w:color w:val="000000"/>
          <w:sz w:val="24"/>
        </w:rPr>
      </w:pPr>
      <w:r>
        <w:rPr>
          <w:rFonts w:hint="eastAsia" w:ascii="宋体" w:hAnsi="宋体"/>
          <w:color w:val="000000"/>
          <w:sz w:val="24"/>
        </w:rPr>
        <w:t>受事故影响的一方应在不可抗力的事故发生后半小时内以书面形式通知另一方。如果不可抗力影响时间延续30天以上的，双方应通过友好协商在合理的时间内达成进一步履行合同的协议。</w:t>
      </w:r>
    </w:p>
    <w:p>
      <w:pPr>
        <w:spacing w:line="360" w:lineRule="auto"/>
        <w:ind w:firstLine="480" w:firstLineChars="200"/>
        <w:rPr>
          <w:rFonts w:ascii="宋体" w:hAnsi="宋体"/>
          <w:color w:val="000000"/>
          <w:sz w:val="24"/>
        </w:rPr>
      </w:pPr>
      <w:r>
        <w:rPr>
          <w:rFonts w:hint="eastAsia" w:ascii="宋体" w:hAnsi="宋体"/>
          <w:color w:val="000000"/>
          <w:sz w:val="24"/>
        </w:rPr>
        <w:t>5、本合同未规定事宜，经双方协商可签订补充协议，并参照《中华人民共和国合同法》有关条款执行，所签订的补充协议与本合同具有同等的法律效力，补充协议应同时报政府采购监管科备案。</w:t>
      </w:r>
    </w:p>
    <w:p>
      <w:pPr>
        <w:spacing w:line="360" w:lineRule="auto"/>
        <w:ind w:firstLine="480" w:firstLineChars="200"/>
        <w:rPr>
          <w:rFonts w:ascii="宋体" w:hAnsi="宋体"/>
          <w:color w:val="000000"/>
          <w:sz w:val="24"/>
        </w:rPr>
      </w:pPr>
      <w:r>
        <w:rPr>
          <w:rFonts w:hint="eastAsia" w:ascii="宋体" w:hAnsi="宋体"/>
          <w:color w:val="000000"/>
          <w:sz w:val="24"/>
        </w:rPr>
        <w:t>6、本合同一式六份，甲、乙双方各执两份，</w:t>
      </w:r>
      <w:r>
        <w:rPr>
          <w:rFonts w:hint="eastAsia" w:ascii="宋体" w:hAnsi="宋体" w:cs="仿宋_GB2312"/>
          <w:color w:val="000000"/>
          <w:sz w:val="24"/>
          <w:lang w:val="zh-CN"/>
        </w:rPr>
        <w:t>招标代理机构、</w:t>
      </w:r>
      <w:r>
        <w:rPr>
          <w:rFonts w:hint="eastAsia" w:ascii="宋体" w:hAnsi="宋体" w:cs="宋体"/>
          <w:sz w:val="24"/>
        </w:rPr>
        <w:t>政府采购监管科各执</w:t>
      </w:r>
      <w:r>
        <w:rPr>
          <w:rFonts w:hint="eastAsia" w:ascii="宋体" w:hAnsi="宋体" w:cs="仿宋_GB2312"/>
          <w:color w:val="000000"/>
          <w:sz w:val="24"/>
          <w:lang w:val="zh-CN"/>
        </w:rPr>
        <w:t>一份</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7、本合同经双方法定代表人签字并加盖公章后生效。</w:t>
      </w:r>
    </w:p>
    <w:p>
      <w:pPr>
        <w:spacing w:line="360" w:lineRule="auto"/>
        <w:ind w:firstLine="480" w:firstLineChars="200"/>
        <w:rPr>
          <w:rFonts w:ascii="宋体" w:hAnsi="宋体"/>
          <w:b/>
          <w:bCs/>
          <w:color w:val="000000"/>
          <w:sz w:val="24"/>
        </w:rPr>
      </w:pPr>
      <w:r>
        <w:rPr>
          <w:rFonts w:hint="eastAsia" w:ascii="宋体" w:hAnsi="宋体"/>
          <w:b/>
          <w:bCs/>
          <w:color w:val="000000"/>
          <w:sz w:val="24"/>
        </w:rPr>
        <w:t xml:space="preserve">8、本项目由湖州市吴兴区民政局和湖州南太湖新区社会发展服务中心两位采购单位实行统招，中标单位应于湖州市吴兴区民政局和湖州南太湖新区社会发展服务中心分别签订本项目服务合同。  </w:t>
      </w:r>
    </w:p>
    <w:p/>
    <w:p/>
    <w:p>
      <w:pPr>
        <w:spacing w:before="100" w:beforeAutospacing="1" w:after="100" w:afterAutospacing="1" w:line="360" w:lineRule="auto"/>
        <w:ind w:firstLine="540" w:firstLineChars="225"/>
        <w:rPr>
          <w:rFonts w:ascii="宋体" w:hAnsi="宋体"/>
          <w:color w:val="000000"/>
          <w:sz w:val="24"/>
        </w:rPr>
      </w:pPr>
      <w:r>
        <w:rPr>
          <w:rFonts w:hint="eastAsia" w:ascii="宋体" w:hAnsi="宋体"/>
          <w:color w:val="000000"/>
          <w:sz w:val="24"/>
        </w:rPr>
        <w:t>甲   方：                                乙   方：</w:t>
      </w:r>
    </w:p>
    <w:p>
      <w:pPr>
        <w:spacing w:before="100" w:beforeAutospacing="1" w:after="100" w:afterAutospacing="1" w:line="360" w:lineRule="auto"/>
        <w:ind w:firstLine="540" w:firstLineChars="225"/>
        <w:rPr>
          <w:rFonts w:ascii="宋体" w:hAnsi="宋体"/>
          <w:color w:val="000000"/>
          <w:sz w:val="24"/>
        </w:rPr>
      </w:pPr>
      <w:r>
        <w:rPr>
          <w:rFonts w:hint="eastAsia" w:ascii="宋体" w:hAnsi="宋体"/>
          <w:color w:val="000000"/>
          <w:sz w:val="24"/>
        </w:rPr>
        <w:t>名称：（盖章）                           名称：（盖章）</w:t>
      </w:r>
    </w:p>
    <w:p>
      <w:pPr>
        <w:spacing w:before="100" w:beforeAutospacing="1" w:after="100" w:afterAutospacing="1" w:line="360" w:lineRule="auto"/>
        <w:ind w:firstLine="540" w:firstLineChars="225"/>
        <w:rPr>
          <w:rFonts w:ascii="宋体" w:hAnsi="宋体" w:eastAsia="宋体"/>
          <w:color w:val="000000"/>
          <w:sz w:val="24"/>
        </w:rPr>
      </w:pPr>
      <w:r>
        <w:rPr>
          <w:rFonts w:hint="eastAsia" w:ascii="宋体" w:hAnsi="宋体"/>
          <w:color w:val="000000"/>
          <w:sz w:val="24"/>
        </w:rPr>
        <w:t>法定代表人（签字）：                     法定代表人（签字）：</w:t>
      </w:r>
    </w:p>
    <w:p>
      <w:pPr>
        <w:spacing w:before="100" w:beforeAutospacing="1" w:after="100" w:afterAutospacing="1" w:line="360" w:lineRule="auto"/>
        <w:ind w:firstLine="540" w:firstLineChars="225"/>
        <w:rPr>
          <w:rFonts w:ascii="宋体" w:hAnsi="宋体"/>
          <w:color w:val="000000"/>
          <w:sz w:val="24"/>
        </w:rPr>
      </w:pPr>
      <w:r>
        <w:rPr>
          <w:rFonts w:hint="eastAsia" w:ascii="宋体" w:hAnsi="宋体"/>
          <w:color w:val="000000"/>
          <w:sz w:val="24"/>
        </w:rPr>
        <w:t>日期：　　　　　　　　　　　　　　　 　　日期：</w:t>
      </w:r>
    </w:p>
    <w:p>
      <w:pPr>
        <w:spacing w:before="100" w:beforeAutospacing="1" w:after="100" w:afterAutospacing="1" w:line="360" w:lineRule="auto"/>
        <w:ind w:firstLine="540" w:firstLineChars="225"/>
        <w:rPr>
          <w:rFonts w:ascii="宋体" w:hAnsi="宋体"/>
          <w:color w:val="000000"/>
          <w:sz w:val="24"/>
        </w:rPr>
      </w:pPr>
      <w:r>
        <w:rPr>
          <w:rFonts w:hint="eastAsia" w:ascii="宋体" w:hAnsi="宋体"/>
          <w:color w:val="000000"/>
          <w:sz w:val="24"/>
        </w:rPr>
        <w:t>开户银行：                               开户银行：</w:t>
      </w:r>
    </w:p>
    <w:p>
      <w:pPr>
        <w:spacing w:before="100" w:beforeAutospacing="1" w:after="100" w:afterAutospacing="1" w:line="360" w:lineRule="auto"/>
        <w:ind w:firstLine="540" w:firstLineChars="225"/>
        <w:rPr>
          <w:rFonts w:ascii="宋体" w:hAnsi="宋体"/>
          <w:color w:val="000000"/>
          <w:sz w:val="24"/>
        </w:rPr>
      </w:pPr>
      <w:r>
        <w:rPr>
          <w:rFonts w:hint="eastAsia" w:ascii="宋体" w:hAnsi="宋体"/>
          <w:color w:val="000000"/>
          <w:sz w:val="24"/>
        </w:rPr>
        <w:t>银行帐号：                               银行帐号：</w:t>
      </w: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pStyle w:val="22"/>
        <w:ind w:firstLine="0"/>
        <w:rPr>
          <w:rFonts w:hAnsi="宋体"/>
          <w:b/>
          <w:bCs/>
          <w:sz w:val="32"/>
          <w:szCs w:val="30"/>
        </w:rPr>
      </w:pPr>
    </w:p>
    <w:p>
      <w:pPr>
        <w:numPr>
          <w:ilvl w:val="0"/>
          <w:numId w:val="5"/>
        </w:numPr>
        <w:spacing w:beforeLines="50" w:afterLines="50"/>
        <w:jc w:val="center"/>
        <w:outlineLvl w:val="0"/>
        <w:rPr>
          <w:rFonts w:ascii="宋体" w:hAnsi="宋体"/>
          <w:b/>
          <w:bCs/>
          <w:sz w:val="32"/>
          <w:szCs w:val="30"/>
        </w:rPr>
      </w:pPr>
      <w:bookmarkStart w:id="459" w:name="_Toc12218"/>
      <w:r>
        <w:rPr>
          <w:rFonts w:hint="eastAsia" w:ascii="宋体" w:hAnsi="宋体"/>
          <w:b/>
          <w:bCs/>
          <w:sz w:val="32"/>
          <w:szCs w:val="30"/>
        </w:rPr>
        <w:t>投标文件格式</w:t>
      </w:r>
      <w:bookmarkEnd w:id="453"/>
      <w:bookmarkEnd w:id="454"/>
      <w:bookmarkEnd w:id="455"/>
      <w:bookmarkEnd w:id="456"/>
      <w:bookmarkEnd w:id="457"/>
      <w:bookmarkEnd w:id="458"/>
      <w:bookmarkEnd w:id="459"/>
    </w:p>
    <w:p>
      <w:pPr>
        <w:tabs>
          <w:tab w:val="left" w:pos="1650"/>
        </w:tabs>
        <w:spacing w:line="560" w:lineRule="exact"/>
        <w:jc w:val="center"/>
        <w:rPr>
          <w:rFonts w:ascii="微软雅黑" w:hAnsi="微软雅黑" w:cs="微软雅黑"/>
          <w:b/>
          <w:bCs/>
          <w:spacing w:val="24"/>
          <w:sz w:val="24"/>
          <w:szCs w:val="24"/>
        </w:rPr>
      </w:pPr>
      <w:r>
        <w:rPr>
          <w:rFonts w:hint="eastAsia" w:ascii="微软雅黑" w:hAnsi="微软雅黑" w:cs="微软雅黑"/>
          <w:b/>
          <w:bCs/>
          <w:sz w:val="24"/>
          <w:szCs w:val="24"/>
        </w:rPr>
        <w:t>1、法定代表人有效身份证明书</w:t>
      </w:r>
    </w:p>
    <w:p>
      <w:pPr>
        <w:pStyle w:val="4"/>
        <w:spacing w:line="500" w:lineRule="exact"/>
        <w:ind w:firstLine="449" w:firstLineChars="156"/>
        <w:jc w:val="center"/>
        <w:rPr>
          <w:rFonts w:ascii="微软雅黑" w:hAnsi="微软雅黑" w:eastAsia="微软雅黑" w:cs="微软雅黑"/>
          <w:b/>
          <w:bCs/>
          <w:spacing w:val="24"/>
          <w:sz w:val="24"/>
          <w:szCs w:val="24"/>
        </w:rPr>
      </w:pPr>
    </w:p>
    <w:p>
      <w:pPr>
        <w:pStyle w:val="4"/>
        <w:spacing w:line="500" w:lineRule="exact"/>
        <w:ind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（姓名）是（单位全称）的法定代表人，身份证号码为。</w:t>
      </w:r>
    </w:p>
    <w:p>
      <w:pPr>
        <w:pStyle w:val="4"/>
        <w:spacing w:line="500" w:lineRule="exact"/>
        <w:ind w:firstLine="374" w:firstLineChars="156"/>
        <w:rPr>
          <w:rFonts w:ascii="微软雅黑" w:hAnsi="微软雅黑" w:eastAsia="微软雅黑" w:cs="微软雅黑"/>
          <w:sz w:val="24"/>
          <w:szCs w:val="24"/>
        </w:rPr>
      </w:pPr>
    </w:p>
    <w:p>
      <w:pPr>
        <w:pStyle w:val="4"/>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 xml:space="preserve">    特此证明。</w:t>
      </w:r>
    </w:p>
    <w:p>
      <w:pPr>
        <w:pStyle w:val="4"/>
        <w:spacing w:line="500" w:lineRule="exact"/>
        <w:ind w:firstLine="374" w:firstLineChars="156"/>
        <w:rPr>
          <w:rFonts w:ascii="微软雅黑" w:hAnsi="微软雅黑" w:eastAsia="微软雅黑" w:cs="微软雅黑"/>
          <w:sz w:val="24"/>
          <w:szCs w:val="24"/>
        </w:rPr>
      </w:pPr>
    </w:p>
    <w:p>
      <w:pPr>
        <w:pStyle w:val="4"/>
        <w:spacing w:line="500" w:lineRule="exact"/>
        <w:ind w:firstLine="374" w:firstLineChars="156"/>
        <w:rPr>
          <w:rFonts w:ascii="微软雅黑" w:hAnsi="微软雅黑" w:eastAsia="微软雅黑" w:cs="微软雅黑"/>
          <w:sz w:val="24"/>
          <w:szCs w:val="24"/>
        </w:rPr>
      </w:pPr>
    </w:p>
    <w:p>
      <w:pPr>
        <w:pStyle w:val="4"/>
        <w:spacing w:line="500" w:lineRule="exact"/>
        <w:ind w:firstLine="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投标人：（盖章）</w:t>
      </w:r>
    </w:p>
    <w:p>
      <w:pPr>
        <w:pStyle w:val="4"/>
        <w:spacing w:line="500" w:lineRule="exact"/>
        <w:ind w:firstLine="374" w:firstLineChars="156"/>
        <w:jc w:val="right"/>
        <w:rPr>
          <w:rFonts w:ascii="微软雅黑" w:hAnsi="微软雅黑" w:eastAsia="微软雅黑" w:cs="微软雅黑"/>
          <w:sz w:val="24"/>
          <w:szCs w:val="24"/>
        </w:rPr>
      </w:pPr>
    </w:p>
    <w:p>
      <w:pPr>
        <w:pStyle w:val="4"/>
        <w:spacing w:line="500" w:lineRule="exact"/>
        <w:ind w:firstLine="0"/>
        <w:jc w:val="right"/>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4"/>
        <w:spacing w:line="500" w:lineRule="exact"/>
        <w:ind w:firstLine="0"/>
        <w:jc w:val="right"/>
        <w:rPr>
          <w:rFonts w:ascii="微软雅黑" w:hAnsi="微软雅黑" w:eastAsia="微软雅黑" w:cs="微软雅黑"/>
          <w:sz w:val="24"/>
          <w:szCs w:val="24"/>
        </w:rPr>
      </w:pPr>
    </w:p>
    <w:p>
      <w:pPr>
        <w:pStyle w:val="4"/>
        <w:spacing w:line="500" w:lineRule="exact"/>
        <w:ind w:firstLine="6960" w:firstLineChars="29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pStyle w:val="4"/>
        <w:spacing w:line="500" w:lineRule="exact"/>
        <w:ind w:firstLine="374" w:firstLineChars="156"/>
        <w:jc w:val="center"/>
        <w:rPr>
          <w:rFonts w:ascii="微软雅黑" w:hAnsi="微软雅黑" w:eastAsia="微软雅黑" w:cs="微软雅黑"/>
          <w:sz w:val="24"/>
          <w:szCs w:val="24"/>
        </w:rPr>
      </w:pPr>
    </w:p>
    <w:p>
      <w:pPr>
        <w:pStyle w:val="4"/>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w:t>
      </w:r>
    </w:p>
    <w:p>
      <w:pPr>
        <w:pStyle w:val="4"/>
        <w:spacing w:line="500" w:lineRule="exact"/>
        <w:ind w:firstLine="374" w:firstLineChars="156"/>
        <w:jc w:val="center"/>
        <w:rPr>
          <w:rFonts w:ascii="微软雅黑" w:hAnsi="微软雅黑" w:eastAsia="微软雅黑" w:cs="微软雅黑"/>
          <w:sz w:val="24"/>
          <w:szCs w:val="24"/>
        </w:rPr>
      </w:pPr>
      <w:r>
        <w:rPr>
          <w:rFonts w:hint="eastAsia" w:ascii="微软雅黑" w:hAnsi="微软雅黑" w:eastAsia="微软雅黑" w:cs="微软雅黑"/>
          <w:sz w:val="24"/>
          <w:szCs w:val="24"/>
        </w:rPr>
        <w:t>有效身份证明复印件粘贴处</w:t>
      </w:r>
    </w:p>
    <w:p>
      <w:pPr>
        <w:snapToGrid w:val="0"/>
        <w:spacing w:beforeLines="50" w:after="50"/>
        <w:ind w:firstLine="6240" w:firstLineChars="2600"/>
        <w:rPr>
          <w:rFonts w:ascii="微软雅黑" w:hAnsi="微软雅黑" w:cs="微软雅黑"/>
          <w:sz w:val="24"/>
          <w:szCs w:val="24"/>
        </w:rPr>
      </w:pPr>
    </w:p>
    <w:p>
      <w:pPr>
        <w:snapToGrid w:val="0"/>
        <w:spacing w:beforeLines="50" w:after="50"/>
        <w:rPr>
          <w:rFonts w:ascii="微软雅黑" w:hAnsi="微软雅黑" w:cs="微软雅黑"/>
          <w:sz w:val="24"/>
          <w:szCs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pStyle w:val="2"/>
        <w:ind w:firstLine="480"/>
        <w:rPr>
          <w:rFonts w:ascii="宋体" w:hAnsi="宋体"/>
          <w:sz w:val="24"/>
        </w:rPr>
      </w:pPr>
    </w:p>
    <w:p>
      <w:pPr>
        <w:snapToGrid w:val="0"/>
        <w:spacing w:beforeLines="50" w:after="50"/>
        <w:rPr>
          <w:rFonts w:hint="eastAsia" w:ascii="宋体" w:hAnsi="宋体"/>
          <w:sz w:val="24"/>
        </w:rPr>
      </w:pPr>
    </w:p>
    <w:p>
      <w:pPr>
        <w:pStyle w:val="2"/>
        <w:rPr>
          <w:rFonts w:hint="eastAsia"/>
        </w:rPr>
      </w:pPr>
    </w:p>
    <w:p>
      <w:pPr>
        <w:pStyle w:val="2"/>
      </w:pPr>
    </w:p>
    <w:p>
      <w:pPr>
        <w:snapToGrid w:val="0"/>
        <w:spacing w:beforeLines="50" w:after="50"/>
        <w:jc w:val="center"/>
        <w:rPr>
          <w:rFonts w:ascii="微软雅黑" w:hAnsi="微软雅黑" w:cs="微软雅黑"/>
          <w:b/>
          <w:bCs/>
          <w:sz w:val="24"/>
        </w:rPr>
      </w:pPr>
      <w:r>
        <w:rPr>
          <w:rFonts w:hint="eastAsia" w:ascii="微软雅黑" w:hAnsi="微软雅黑" w:cs="微软雅黑"/>
          <w:b/>
          <w:sz w:val="24"/>
        </w:rPr>
        <w:t>2、</w:t>
      </w:r>
      <w:r>
        <w:rPr>
          <w:rFonts w:hint="eastAsia" w:ascii="微软雅黑" w:hAnsi="微软雅黑" w:cs="微软雅黑"/>
          <w:b/>
          <w:bCs/>
          <w:sz w:val="24"/>
        </w:rPr>
        <w:t>法定代表人授权委托书</w:t>
      </w:r>
    </w:p>
    <w:p>
      <w:pPr>
        <w:snapToGrid w:val="0"/>
        <w:spacing w:beforeLines="50" w:after="50"/>
        <w:rPr>
          <w:rFonts w:ascii="微软雅黑" w:hAnsi="微软雅黑" w:cs="微软雅黑"/>
          <w:b/>
          <w:sz w:val="24"/>
          <w:szCs w:val="20"/>
        </w:rPr>
      </w:pPr>
      <w:r>
        <w:rPr>
          <w:rFonts w:hint="eastAsia" w:ascii="微软雅黑" w:hAnsi="微软雅黑" w:cs="微软雅黑"/>
          <w:bCs/>
          <w:sz w:val="24"/>
        </w:rPr>
        <w:t>致：</w:t>
      </w:r>
      <w:r>
        <w:rPr>
          <w:rFonts w:hint="eastAsia" w:ascii="微软雅黑" w:hAnsi="微软雅黑" w:cs="微软雅黑"/>
          <w:sz w:val="24"/>
        </w:rPr>
        <w:t>（招标采购单位名称）：</w:t>
      </w:r>
    </w:p>
    <w:p>
      <w:pPr>
        <w:snapToGrid w:val="0"/>
        <w:spacing w:beforeLines="50" w:after="50"/>
        <w:ind w:firstLine="720" w:firstLineChars="300"/>
        <w:rPr>
          <w:rFonts w:ascii="微软雅黑" w:hAnsi="微软雅黑" w:cs="微软雅黑"/>
          <w:sz w:val="24"/>
          <w:szCs w:val="20"/>
        </w:rPr>
      </w:pPr>
      <w:r>
        <w:rPr>
          <w:rFonts w:hint="eastAsia" w:ascii="微软雅黑" w:hAnsi="微软雅黑" w:cs="微软雅黑"/>
          <w:sz w:val="24"/>
        </w:rPr>
        <w:t>我（姓名）系（投标人名称）的法定代表人，现授权委托本单位在职职工 （姓名）以我方的名义参加</w:t>
      </w:r>
      <w:r>
        <w:rPr>
          <w:rFonts w:hint="eastAsia" w:ascii="微软雅黑" w:hAnsi="微软雅黑" w:cs="微软雅黑"/>
          <w:sz w:val="24"/>
          <w:u w:val="single"/>
        </w:rPr>
        <w:t xml:space="preserve">                （项目名称）</w:t>
      </w:r>
      <w:r>
        <w:rPr>
          <w:rFonts w:hint="eastAsia" w:ascii="微软雅黑" w:hAnsi="微软雅黑" w:cs="微软雅黑"/>
          <w:sz w:val="24"/>
        </w:rPr>
        <w:t>的投标活动，并代表我方全权办理针对上述项目的投标、开标、评标、签约等具体事务和签署相关文件。</w:t>
      </w:r>
    </w:p>
    <w:p>
      <w:pPr>
        <w:snapToGrid w:val="0"/>
        <w:spacing w:beforeLines="50" w:after="50"/>
        <w:rPr>
          <w:rFonts w:ascii="微软雅黑" w:hAnsi="微软雅黑" w:cs="微软雅黑"/>
          <w:sz w:val="24"/>
          <w:szCs w:val="20"/>
        </w:rPr>
      </w:pPr>
      <w:r>
        <w:rPr>
          <w:rFonts w:hint="eastAsia" w:ascii="微软雅黑" w:hAnsi="微软雅黑" w:cs="微软雅黑"/>
          <w:sz w:val="24"/>
        </w:rPr>
        <w:t xml:space="preserve">    我方对被授权人的签名事项负全部责任。</w:t>
      </w:r>
    </w:p>
    <w:p>
      <w:pPr>
        <w:snapToGrid w:val="0"/>
        <w:spacing w:beforeLines="50" w:after="50"/>
        <w:ind w:firstLine="480"/>
        <w:rPr>
          <w:rFonts w:ascii="微软雅黑" w:hAnsi="微软雅黑" w:cs="微软雅黑"/>
          <w:sz w:val="24"/>
          <w:szCs w:val="20"/>
        </w:rPr>
      </w:pPr>
      <w:r>
        <w:rPr>
          <w:rFonts w:hint="eastAsia" w:ascii="微软雅黑" w:hAnsi="微软雅黑" w:cs="微软雅黑"/>
          <w:sz w:val="24"/>
          <w:u w:val="single"/>
        </w:rPr>
        <w:t>在撤销授权的书面通知以前，本授权书一直有效。</w:t>
      </w:r>
      <w:r>
        <w:rPr>
          <w:rFonts w:hint="eastAsia" w:ascii="微软雅黑" w:hAnsi="微软雅黑" w:cs="微软雅黑"/>
          <w:sz w:val="24"/>
        </w:rPr>
        <w:t>被授权人在授权书有效期内签署的所有文件不因授权的撤销而失效。</w:t>
      </w:r>
    </w:p>
    <w:p>
      <w:pPr>
        <w:snapToGrid w:val="0"/>
        <w:spacing w:beforeLines="50" w:after="50"/>
        <w:ind w:firstLine="480"/>
        <w:rPr>
          <w:rFonts w:ascii="微软雅黑" w:hAnsi="微软雅黑" w:cs="微软雅黑"/>
          <w:sz w:val="24"/>
          <w:szCs w:val="20"/>
        </w:rPr>
      </w:pPr>
      <w:r>
        <w:rPr>
          <w:rFonts w:hint="eastAsia" w:ascii="微软雅黑" w:hAnsi="微软雅黑" w:cs="微软雅黑"/>
          <w:sz w:val="24"/>
        </w:rPr>
        <w:t>被授权人无转委托权，特此委托。</w:t>
      </w:r>
    </w:p>
    <w:p>
      <w:pPr>
        <w:snapToGrid w:val="0"/>
        <w:spacing w:beforeLines="50" w:after="50"/>
        <w:rPr>
          <w:rFonts w:ascii="微软雅黑" w:hAnsi="微软雅黑" w:cs="微软雅黑"/>
          <w:sz w:val="24"/>
          <w:szCs w:val="20"/>
        </w:rPr>
      </w:pPr>
    </w:p>
    <w:p>
      <w:pPr>
        <w:snapToGrid w:val="0"/>
        <w:spacing w:beforeLines="50" w:after="50"/>
        <w:rPr>
          <w:rFonts w:ascii="微软雅黑" w:hAnsi="微软雅黑" w:cs="微软雅黑"/>
          <w:sz w:val="24"/>
          <w:szCs w:val="20"/>
          <w:u w:val="single"/>
        </w:rPr>
      </w:pPr>
      <w:r>
        <w:rPr>
          <w:rFonts w:hint="eastAsia" w:ascii="微软雅黑" w:hAnsi="微软雅黑" w:cs="微软雅黑"/>
          <w:sz w:val="24"/>
        </w:rPr>
        <w:t>被授权人签名：                 法定代表人签名：</w:t>
      </w:r>
    </w:p>
    <w:p>
      <w:pPr>
        <w:snapToGrid w:val="0"/>
        <w:spacing w:beforeLines="50" w:after="50"/>
        <w:ind w:firstLine="960" w:firstLineChars="400"/>
        <w:rPr>
          <w:rFonts w:ascii="微软雅黑" w:hAnsi="微软雅黑" w:cs="微软雅黑"/>
          <w:sz w:val="24"/>
          <w:szCs w:val="20"/>
        </w:rPr>
      </w:pPr>
      <w:r>
        <w:rPr>
          <w:rFonts w:hint="eastAsia" w:ascii="微软雅黑" w:hAnsi="微软雅黑" w:cs="微软雅黑"/>
          <w:sz w:val="24"/>
        </w:rPr>
        <w:t>职务：                          职务：</w:t>
      </w:r>
    </w:p>
    <w:p>
      <w:pPr>
        <w:snapToGrid w:val="0"/>
        <w:spacing w:beforeLines="50" w:after="50"/>
        <w:rPr>
          <w:rFonts w:ascii="微软雅黑" w:hAnsi="微软雅黑" w:cs="微软雅黑"/>
          <w:sz w:val="24"/>
          <w:szCs w:val="20"/>
        </w:rPr>
      </w:pPr>
      <w:r>
        <w:rPr>
          <w:rFonts w:hint="eastAsia" w:ascii="微软雅黑" w:hAnsi="微软雅黑" w:cs="微软雅黑"/>
          <w:sz w:val="24"/>
        </w:rPr>
        <w:t>被授权人身份证号码：</w:t>
      </w:r>
    </w:p>
    <w:p>
      <w:pPr>
        <w:snapToGrid w:val="0"/>
        <w:spacing w:beforeLines="50" w:after="50"/>
        <w:rPr>
          <w:rFonts w:ascii="微软雅黑" w:hAnsi="微软雅黑" w:cs="微软雅黑"/>
          <w:sz w:val="24"/>
        </w:rPr>
      </w:pPr>
      <w:r>
        <w:rPr>
          <w:rFonts w:hint="eastAsia" w:ascii="微软雅黑" w:hAnsi="微软雅黑" w:cs="微软雅黑"/>
          <w:sz w:val="24"/>
        </w:rPr>
        <w:t xml:space="preserve">                                     投标人公章：</w:t>
      </w:r>
    </w:p>
    <w:p>
      <w:pPr>
        <w:pStyle w:val="57"/>
        <w:widowControl w:val="0"/>
        <w:spacing w:line="600" w:lineRule="exact"/>
        <w:ind w:firstLine="374" w:firstLineChars="156"/>
        <w:jc w:val="both"/>
        <w:rPr>
          <w:rFonts w:ascii="微软雅黑" w:hAnsi="微软雅黑" w:cs="微软雅黑"/>
        </w:rPr>
      </w:pPr>
      <w:r>
        <w:rPr>
          <w:rFonts w:hint="eastAsia" w:ascii="微软雅黑" w:hAnsi="微软雅黑" w:cs="微软雅黑"/>
          <w:kern w:val="2"/>
        </w:rPr>
        <w:t>————————————————————-----------</w:t>
      </w:r>
    </w:p>
    <w:p>
      <w:pPr>
        <w:pStyle w:val="57"/>
        <w:widowControl w:val="0"/>
        <w:spacing w:line="600" w:lineRule="exact"/>
        <w:ind w:firstLine="374" w:firstLineChars="156"/>
        <w:jc w:val="center"/>
        <w:rPr>
          <w:rFonts w:ascii="微软雅黑" w:hAnsi="微软雅黑" w:cs="微软雅黑"/>
        </w:rPr>
      </w:pPr>
    </w:p>
    <w:p>
      <w:pPr>
        <w:pStyle w:val="57"/>
        <w:widowControl w:val="0"/>
        <w:spacing w:line="600" w:lineRule="exact"/>
        <w:ind w:firstLine="374" w:firstLineChars="156"/>
        <w:jc w:val="center"/>
        <w:rPr>
          <w:rFonts w:ascii="微软雅黑" w:hAnsi="微软雅黑" w:cs="微软雅黑"/>
        </w:rPr>
      </w:pPr>
      <w:r>
        <w:rPr>
          <w:rFonts w:hint="eastAsia" w:ascii="微软雅黑" w:hAnsi="微软雅黑" w:cs="微软雅黑"/>
          <w:kern w:val="2"/>
        </w:rPr>
        <w:t>授权代理人有效身份证明复印件粘贴处</w:t>
      </w:r>
    </w:p>
    <w:p>
      <w:pPr>
        <w:snapToGrid w:val="0"/>
        <w:spacing w:beforeLines="50" w:after="50"/>
        <w:rPr>
          <w:rFonts w:ascii="微软雅黑" w:hAnsi="微软雅黑" w:cs="微软雅黑"/>
          <w:sz w:val="24"/>
        </w:rPr>
      </w:pPr>
    </w:p>
    <w:p>
      <w:pPr>
        <w:snapToGrid w:val="0"/>
        <w:spacing w:beforeLines="50" w:after="50"/>
        <w:jc w:val="center"/>
        <w:rPr>
          <w:rFonts w:ascii="微软雅黑" w:hAnsi="微软雅黑" w:cs="微软雅黑"/>
          <w:sz w:val="24"/>
        </w:rPr>
      </w:pPr>
      <w:r>
        <w:rPr>
          <w:rFonts w:hint="eastAsia" w:ascii="微软雅黑" w:hAnsi="微软雅黑" w:cs="微软雅黑"/>
          <w:sz w:val="24"/>
        </w:rPr>
        <w:t xml:space="preserve">                                        年    月    日</w:t>
      </w:r>
    </w:p>
    <w:p>
      <w:pPr>
        <w:spacing w:line="640" w:lineRule="exact"/>
        <w:jc w:val="center"/>
        <w:rPr>
          <w:rFonts w:ascii="宋体" w:hAnsi="宋体"/>
          <w:sz w:val="24"/>
          <w:u w:val="single"/>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pStyle w:val="2"/>
        <w:rPr>
          <w:rFonts w:ascii="宋体" w:hAnsi="宋体"/>
          <w:b/>
        </w:rPr>
      </w:pPr>
    </w:p>
    <w:p>
      <w:pPr>
        <w:pStyle w:val="2"/>
        <w:rPr>
          <w:rFonts w:ascii="宋体" w:hAnsi="宋体"/>
          <w:b/>
        </w:rPr>
      </w:pPr>
    </w:p>
    <w:p>
      <w:pPr>
        <w:pStyle w:val="2"/>
        <w:rPr>
          <w:rFonts w:hint="eastAsia" w:ascii="宋体" w:hAnsi="宋体"/>
          <w:b/>
        </w:rPr>
      </w:pPr>
    </w:p>
    <w:p>
      <w:pPr>
        <w:pStyle w:val="2"/>
        <w:rPr>
          <w:rFonts w:hint="eastAsia" w:ascii="宋体" w:hAnsi="宋体"/>
          <w:b/>
        </w:rPr>
      </w:pPr>
    </w:p>
    <w:p>
      <w:pPr>
        <w:pStyle w:val="2"/>
        <w:rPr>
          <w:rFonts w:ascii="宋体" w:hAnsi="宋体"/>
          <w:b/>
        </w:rPr>
      </w:pPr>
    </w:p>
    <w:p>
      <w:pPr>
        <w:snapToGrid w:val="0"/>
        <w:spacing w:beforeLines="50" w:after="50"/>
        <w:jc w:val="center"/>
        <w:rPr>
          <w:rFonts w:ascii="宋体" w:hAnsi="宋体" w:cs="宋体"/>
          <w:b/>
          <w:bCs/>
          <w:sz w:val="24"/>
        </w:rPr>
      </w:pPr>
      <w:r>
        <w:rPr>
          <w:rFonts w:hint="eastAsia" w:ascii="宋体" w:hAnsi="宋体" w:cs="宋体"/>
          <w:b/>
          <w:bCs/>
          <w:sz w:val="24"/>
        </w:rPr>
        <w:t>3、投标声明书</w:t>
      </w:r>
    </w:p>
    <w:p>
      <w:pPr>
        <w:snapToGrid w:val="0"/>
        <w:spacing w:beforeLines="50" w:after="50"/>
        <w:rPr>
          <w:rFonts w:ascii="宋体" w:hAnsi="宋体" w:cs="宋体"/>
          <w:sz w:val="24"/>
          <w:szCs w:val="20"/>
        </w:rPr>
      </w:pPr>
      <w:r>
        <w:rPr>
          <w:rFonts w:hint="eastAsia" w:ascii="宋体" w:hAnsi="宋体" w:cs="宋体"/>
          <w:sz w:val="24"/>
        </w:rPr>
        <w:t>致：（招标采购单位名称）：</w:t>
      </w:r>
    </w:p>
    <w:p>
      <w:pPr>
        <w:snapToGrid w:val="0"/>
        <w:spacing w:beforeLines="50" w:after="50"/>
        <w:ind w:firstLine="480" w:firstLineChars="200"/>
        <w:rPr>
          <w:rFonts w:ascii="宋体" w:hAnsi="宋体" w:cs="宋体"/>
          <w:sz w:val="24"/>
          <w:szCs w:val="20"/>
        </w:rPr>
      </w:pPr>
      <w:r>
        <w:rPr>
          <w:rFonts w:hint="eastAsia" w:ascii="宋体" w:hAnsi="宋体" w:cs="宋体"/>
          <w:sz w:val="24"/>
        </w:rPr>
        <w:t>（投标人名称）系中华人民共和国合法单位，经营地址。</w:t>
      </w:r>
    </w:p>
    <w:p>
      <w:pPr>
        <w:snapToGrid w:val="0"/>
        <w:spacing w:beforeLines="50" w:after="50"/>
        <w:ind w:firstLine="645"/>
        <w:rPr>
          <w:rFonts w:ascii="宋体" w:hAnsi="宋体" w:cs="宋体"/>
          <w:sz w:val="24"/>
          <w:szCs w:val="20"/>
        </w:rPr>
      </w:pPr>
      <w:r>
        <w:rPr>
          <w:rFonts w:hint="eastAsia" w:ascii="宋体" w:hAnsi="宋体" w:cs="宋体"/>
          <w:sz w:val="24"/>
        </w:rPr>
        <w:t>我（姓名）系（投标人名称）的法定代表人，我方愿意参加贵方组织的项目的投标，为便于贵方公正、择优地确定中标人及其投标产品和服务，我方就本次投标有关事项郑重声明如下：</w:t>
      </w:r>
    </w:p>
    <w:p>
      <w:pPr>
        <w:snapToGrid w:val="0"/>
        <w:ind w:firstLine="480" w:firstLineChars="200"/>
        <w:rPr>
          <w:rFonts w:ascii="宋体" w:hAnsi="宋体" w:cs="宋体"/>
          <w:sz w:val="24"/>
          <w:szCs w:val="20"/>
        </w:rPr>
      </w:pPr>
      <w:r>
        <w:rPr>
          <w:rFonts w:hint="eastAsia" w:ascii="宋体" w:hAnsi="宋体" w:cs="宋体"/>
          <w:sz w:val="24"/>
        </w:rPr>
        <w:t>1.我方向贵方提交的所有投标文件、资料都是准确的和真实的。</w:t>
      </w:r>
    </w:p>
    <w:p>
      <w:pPr>
        <w:snapToGrid w:val="0"/>
        <w:spacing w:beforeLines="50"/>
        <w:ind w:firstLine="480" w:firstLineChars="200"/>
        <w:rPr>
          <w:rFonts w:ascii="宋体" w:hAnsi="宋体" w:cs="宋体"/>
          <w:sz w:val="24"/>
          <w:szCs w:val="20"/>
        </w:rPr>
      </w:pPr>
      <w:r>
        <w:rPr>
          <w:rFonts w:hint="eastAsia" w:ascii="宋体" w:hAnsi="宋体" w:cs="宋体"/>
          <w:sz w:val="24"/>
        </w:rPr>
        <w:t>2.我方不是采购人的附属机构；在获知本项目采购信息后，与采购人聘请的为此项目提供咨询服务的公司及其附属机构没有任何联系。</w:t>
      </w:r>
    </w:p>
    <w:p>
      <w:pPr>
        <w:snapToGrid w:val="0"/>
        <w:spacing w:beforeLines="50"/>
        <w:ind w:firstLine="480" w:firstLineChars="200"/>
        <w:rPr>
          <w:rFonts w:ascii="宋体" w:hAnsi="宋体" w:cs="宋体"/>
          <w:sz w:val="24"/>
          <w:szCs w:val="20"/>
        </w:rPr>
      </w:pPr>
      <w:r>
        <w:rPr>
          <w:rFonts w:hint="eastAsia" w:ascii="宋体" w:hAnsi="宋体" w:cs="宋体"/>
          <w:sz w:val="24"/>
        </w:rPr>
        <w:t>3.我方诚意提请贵方关注：近期有关服务等方面的重大决策和事项有：</w:t>
      </w:r>
    </w:p>
    <w:p>
      <w:pPr>
        <w:snapToGrid w:val="0"/>
        <w:spacing w:beforeLines="50"/>
        <w:ind w:firstLine="480" w:firstLineChars="200"/>
        <w:rPr>
          <w:rFonts w:ascii="宋体" w:hAnsi="宋体" w:cs="宋体"/>
          <w:sz w:val="24"/>
          <w:szCs w:val="20"/>
          <w:u w:val="single"/>
        </w:rPr>
      </w:pPr>
      <w:r>
        <w:rPr>
          <w:rFonts w:hint="eastAsia" w:ascii="宋体" w:hAnsi="宋体" w:cs="宋体"/>
          <w:sz w:val="24"/>
          <w:u w:val="single"/>
        </w:rPr>
        <w:t>　　　　　　　　　　　　　　　　　　　　　　　　　　　</w:t>
      </w:r>
    </w:p>
    <w:p>
      <w:pPr>
        <w:pStyle w:val="57"/>
        <w:widowControl w:val="0"/>
        <w:snapToGrid w:val="0"/>
        <w:ind w:firstLine="464" w:firstLineChars="200"/>
        <w:jc w:val="both"/>
        <w:rPr>
          <w:szCs w:val="20"/>
        </w:rPr>
      </w:pPr>
      <w:r>
        <w:rPr>
          <w:rFonts w:hint="eastAsia"/>
          <w:spacing w:val="-4"/>
          <w:kern w:val="2"/>
          <w:szCs w:val="20"/>
        </w:rPr>
        <w:t>4.我方及由本人担任法定代表人的其他机构最近三年内被通报或者被处罚的违法行为有：</w:t>
      </w:r>
    </w:p>
    <w:p>
      <w:pPr>
        <w:snapToGrid w:val="0"/>
        <w:spacing w:beforeLines="50"/>
        <w:ind w:firstLine="480" w:firstLineChars="200"/>
        <w:rPr>
          <w:rFonts w:ascii="宋体" w:hAnsi="宋体" w:cs="宋体"/>
          <w:sz w:val="24"/>
          <w:szCs w:val="20"/>
          <w:u w:val="single"/>
        </w:rPr>
      </w:pPr>
      <w:r>
        <w:rPr>
          <w:rFonts w:hint="eastAsia" w:ascii="宋体" w:hAnsi="宋体" w:cs="宋体"/>
          <w:sz w:val="24"/>
          <w:u w:val="single"/>
        </w:rPr>
        <w:t>　　　　　　　　　　　　　　　　　　　　　　　　　　　</w:t>
      </w:r>
    </w:p>
    <w:p>
      <w:pPr>
        <w:snapToGrid w:val="0"/>
        <w:ind w:firstLine="480" w:firstLineChars="200"/>
        <w:rPr>
          <w:rFonts w:ascii="宋体" w:hAnsi="宋体" w:cs="宋体"/>
          <w:sz w:val="24"/>
          <w:szCs w:val="20"/>
        </w:rPr>
      </w:pPr>
      <w:r>
        <w:rPr>
          <w:rFonts w:hint="eastAsia" w:ascii="宋体" w:hAnsi="宋体" w:cs="宋体"/>
          <w:sz w:val="24"/>
        </w:rPr>
        <w:t>5.以上事项如有虚假或隐瞒，我方愿意承担一切后果，并不再寻求任何旨在减轻或免除法律责任的辩解。</w:t>
      </w:r>
    </w:p>
    <w:p>
      <w:pPr>
        <w:pStyle w:val="57"/>
        <w:widowControl w:val="0"/>
        <w:tabs>
          <w:tab w:val="left" w:pos="939"/>
        </w:tabs>
        <w:snapToGrid w:val="0"/>
        <w:ind w:left="773" w:leftChars="150" w:hanging="458" w:hangingChars="191"/>
        <w:jc w:val="both"/>
      </w:pPr>
    </w:p>
    <w:p>
      <w:pPr>
        <w:pStyle w:val="57"/>
        <w:widowControl w:val="0"/>
        <w:snapToGrid w:val="0"/>
        <w:spacing w:beforeLines="50"/>
        <w:ind w:firstLine="200"/>
        <w:jc w:val="both"/>
      </w:pPr>
    </w:p>
    <w:p>
      <w:pPr>
        <w:snapToGrid w:val="0"/>
        <w:spacing w:beforeLines="50"/>
        <w:ind w:firstLine="3823" w:firstLineChars="1593"/>
        <w:rPr>
          <w:rFonts w:ascii="宋体" w:hAnsi="宋体" w:cs="宋体"/>
          <w:sz w:val="24"/>
          <w:szCs w:val="20"/>
          <w:u w:val="single"/>
        </w:rPr>
      </w:pPr>
      <w:r>
        <w:rPr>
          <w:rFonts w:hint="eastAsia" w:ascii="宋体" w:hAnsi="宋体" w:cs="宋体"/>
          <w:sz w:val="24"/>
        </w:rPr>
        <w:t>法定代表人或授权代表</w:t>
      </w:r>
      <w:r>
        <w:rPr>
          <w:rFonts w:hint="eastAsia" w:ascii="微软雅黑" w:hAnsi="微软雅黑" w:cs="微软雅黑"/>
          <w:sz w:val="24"/>
          <w:szCs w:val="24"/>
        </w:rPr>
        <w:t>（签名或盖章）</w:t>
      </w:r>
      <w:r>
        <w:rPr>
          <w:rFonts w:hint="eastAsia" w:ascii="宋体" w:hAnsi="宋体" w:cs="宋体"/>
          <w:sz w:val="24"/>
        </w:rPr>
        <w:t>：</w:t>
      </w:r>
    </w:p>
    <w:p>
      <w:pPr>
        <w:widowControl/>
        <w:ind w:firstLine="3840" w:firstLineChars="1600"/>
        <w:jc w:val="left"/>
        <w:rPr>
          <w:rFonts w:ascii="宋体" w:hAnsi="宋体"/>
          <w:sz w:val="24"/>
        </w:rPr>
      </w:pPr>
      <w:r>
        <w:rPr>
          <w:rFonts w:hint="eastAsia" w:ascii="宋体" w:hAnsi="宋体"/>
          <w:sz w:val="24"/>
        </w:rPr>
        <w:t>投标人公章：</w:t>
      </w:r>
    </w:p>
    <w:p>
      <w:pPr>
        <w:widowControl/>
        <w:ind w:firstLine="4320" w:firstLineChars="1800"/>
        <w:jc w:val="left"/>
      </w:pPr>
      <w:r>
        <w:rPr>
          <w:rFonts w:hint="eastAsia" w:ascii="宋体" w:hAnsi="宋体"/>
          <w:sz w:val="24"/>
        </w:rPr>
        <w:t>年    月    日</w:t>
      </w:r>
    </w:p>
    <w:p>
      <w:pPr>
        <w:ind w:firstLine="470" w:firstLineChars="196"/>
        <w:jc w:val="left"/>
        <w:rPr>
          <w:rFonts w:ascii="宋体" w:hAnsi="宋体" w:cs="宋体"/>
          <w:sz w:val="24"/>
        </w:rPr>
      </w:pPr>
    </w:p>
    <w:p>
      <w:pPr>
        <w:ind w:firstLine="470" w:firstLineChars="196"/>
        <w:jc w:val="left"/>
        <w:rPr>
          <w:rFonts w:ascii="宋体" w:hAnsi="宋体" w:cs="宋体"/>
          <w:sz w:val="24"/>
        </w:rPr>
      </w:pPr>
    </w:p>
    <w:p>
      <w:pPr>
        <w:snapToGrid w:val="0"/>
        <w:spacing w:beforeLines="50" w:after="50"/>
        <w:ind w:firstLine="6240" w:firstLineChars="2600"/>
        <w:rPr>
          <w:rFonts w:ascii="宋体" w:hAnsi="宋体"/>
          <w:sz w:val="24"/>
        </w:rPr>
      </w:pPr>
    </w:p>
    <w:p>
      <w:pPr>
        <w:tabs>
          <w:tab w:val="left" w:pos="1650"/>
        </w:tabs>
        <w:spacing w:line="560" w:lineRule="exact"/>
        <w:jc w:val="center"/>
        <w:rPr>
          <w:rFonts w:ascii="宋体" w:hAnsi="宋体" w:cs="宋体"/>
          <w:b/>
          <w:bCs/>
        </w:rPr>
      </w:pPr>
    </w:p>
    <w:p>
      <w:pPr>
        <w:pStyle w:val="2"/>
        <w:rPr>
          <w:rFonts w:ascii="宋体" w:hAnsi="宋体" w:cs="宋体"/>
          <w:b/>
          <w:bCs/>
        </w:rPr>
      </w:pPr>
    </w:p>
    <w:p>
      <w:pPr>
        <w:pStyle w:val="2"/>
        <w:rPr>
          <w:rFonts w:ascii="宋体" w:hAnsi="宋体" w:cs="宋体"/>
          <w:b/>
          <w:bCs/>
        </w:rPr>
      </w:pPr>
    </w:p>
    <w:p>
      <w:pPr>
        <w:pStyle w:val="2"/>
        <w:rPr>
          <w:rFonts w:ascii="宋体" w:hAnsi="宋体" w:cs="宋体"/>
          <w:b/>
          <w:bCs/>
        </w:rPr>
      </w:pPr>
    </w:p>
    <w:p>
      <w:pPr>
        <w:pStyle w:val="2"/>
        <w:rPr>
          <w:rFonts w:ascii="宋体" w:hAnsi="宋体" w:cs="宋体"/>
          <w:b/>
          <w:bCs/>
        </w:rPr>
      </w:pPr>
    </w:p>
    <w:p>
      <w:pPr>
        <w:pStyle w:val="2"/>
        <w:rPr>
          <w:rFonts w:hint="eastAsia" w:ascii="宋体" w:hAnsi="宋体" w:cs="宋体"/>
          <w:b/>
          <w:bCs/>
        </w:rPr>
      </w:pPr>
    </w:p>
    <w:p>
      <w:pPr>
        <w:pStyle w:val="2"/>
        <w:rPr>
          <w:rFonts w:ascii="宋体" w:hAnsi="宋体" w:cs="宋体"/>
          <w:b/>
          <w:bCs/>
        </w:rPr>
      </w:pPr>
    </w:p>
    <w:p>
      <w:pPr>
        <w:pStyle w:val="2"/>
        <w:ind w:firstLine="0" w:firstLineChars="0"/>
        <w:rPr>
          <w:rFonts w:ascii="宋体" w:hAnsi="宋体" w:cs="宋体"/>
          <w:b/>
          <w:bCs/>
        </w:rPr>
      </w:pPr>
    </w:p>
    <w:p>
      <w:pPr>
        <w:tabs>
          <w:tab w:val="left" w:pos="1650"/>
        </w:tabs>
        <w:spacing w:line="560" w:lineRule="exact"/>
        <w:jc w:val="center"/>
        <w:rPr>
          <w:rFonts w:ascii="微软雅黑" w:hAnsi="微软雅黑" w:cs="微软雅黑"/>
          <w:b/>
          <w:bCs/>
          <w:sz w:val="24"/>
          <w:szCs w:val="24"/>
        </w:rPr>
      </w:pPr>
      <w:r>
        <w:rPr>
          <w:rFonts w:hint="eastAsia" w:ascii="微软雅黑" w:hAnsi="微软雅黑" w:cs="微软雅黑"/>
          <w:b/>
          <w:bCs/>
          <w:sz w:val="24"/>
          <w:szCs w:val="24"/>
        </w:rPr>
        <w:t>4、信用承诺书</w:t>
      </w:r>
    </w:p>
    <w:p>
      <w:pPr>
        <w:tabs>
          <w:tab w:val="left" w:pos="1650"/>
        </w:tabs>
        <w:spacing w:line="560" w:lineRule="exact"/>
        <w:rPr>
          <w:rFonts w:ascii="微软雅黑" w:hAnsi="微软雅黑" w:cs="微软雅黑"/>
          <w:sz w:val="24"/>
          <w:szCs w:val="24"/>
        </w:rPr>
      </w:pPr>
    </w:p>
    <w:p>
      <w:pPr>
        <w:tabs>
          <w:tab w:val="left" w:pos="1650"/>
        </w:tabs>
        <w:ind w:firstLine="240" w:firstLineChars="100"/>
        <w:jc w:val="left"/>
        <w:rPr>
          <w:rFonts w:ascii="微软雅黑" w:hAnsi="微软雅黑" w:cs="微软雅黑"/>
          <w:sz w:val="24"/>
          <w:szCs w:val="24"/>
        </w:rPr>
      </w:pPr>
      <w:r>
        <w:rPr>
          <w:rFonts w:hint="eastAsia" w:ascii="微软雅黑" w:hAnsi="微软雅黑" w:cs="微软雅黑"/>
          <w:sz w:val="24"/>
          <w:szCs w:val="24"/>
          <w:u w:val="single"/>
        </w:rPr>
        <w:t>（投标单位）</w:t>
      </w:r>
      <w:r>
        <w:rPr>
          <w:rFonts w:hint="eastAsia" w:ascii="微软雅黑" w:hAnsi="微软雅黑" w:cs="微软雅黑"/>
          <w:sz w:val="24"/>
          <w:szCs w:val="24"/>
        </w:rPr>
        <w:t>现参加（采购项目）政府采购活动，郑重承诺如下：</w:t>
      </w:r>
    </w:p>
    <w:p>
      <w:pPr>
        <w:tabs>
          <w:tab w:val="left" w:pos="1650"/>
        </w:tabs>
        <w:spacing w:line="560" w:lineRule="exact"/>
        <w:ind w:firstLine="630"/>
        <w:rPr>
          <w:rFonts w:ascii="微软雅黑" w:hAnsi="微软雅黑" w:cs="微软雅黑"/>
          <w:sz w:val="24"/>
          <w:szCs w:val="24"/>
        </w:rPr>
      </w:pPr>
      <w:r>
        <w:rPr>
          <w:rFonts w:hint="eastAsia" w:ascii="微软雅黑" w:hAnsi="微软雅黑" w:cs="微软雅黑"/>
          <w:sz w:val="24"/>
          <w:szCs w:val="24"/>
        </w:rPr>
        <w:t>对所提供的资料合法性、真实性、准确性和有效性负责；</w:t>
      </w:r>
    </w:p>
    <w:p>
      <w:pPr>
        <w:tabs>
          <w:tab w:val="left" w:pos="1650"/>
        </w:tabs>
        <w:spacing w:line="560" w:lineRule="exact"/>
        <w:ind w:firstLine="630"/>
        <w:rPr>
          <w:rFonts w:ascii="微软雅黑" w:hAnsi="微软雅黑" w:cs="微软雅黑"/>
          <w:sz w:val="24"/>
          <w:szCs w:val="24"/>
        </w:rPr>
      </w:pPr>
      <w:r>
        <w:rPr>
          <w:rFonts w:hint="eastAsia" w:ascii="微软雅黑" w:hAnsi="微软雅黑" w:cs="微软雅黑"/>
          <w:sz w:val="24"/>
          <w:szCs w:val="24"/>
        </w:rPr>
        <w:t>严格按照国家法律、法规和规章，依法开展相关经济活动，全面履行应尽的责任和义务；</w:t>
      </w:r>
    </w:p>
    <w:p>
      <w:pPr>
        <w:tabs>
          <w:tab w:val="left" w:pos="1650"/>
        </w:tabs>
        <w:spacing w:line="560" w:lineRule="exact"/>
        <w:ind w:firstLine="630"/>
        <w:rPr>
          <w:rFonts w:ascii="微软雅黑" w:hAnsi="微软雅黑" w:cs="微软雅黑"/>
          <w:sz w:val="24"/>
          <w:szCs w:val="24"/>
        </w:rPr>
      </w:pPr>
      <w:r>
        <w:rPr>
          <w:rFonts w:hint="eastAsia" w:ascii="微软雅黑" w:hAnsi="微软雅黑" w:cs="微软雅黑"/>
          <w:sz w:val="24"/>
          <w:szCs w:val="24"/>
        </w:rPr>
        <w:t>加强自我约束、自我规范、自我管理，不制假售假、不虚假宣传、不违约毁约、不恶意逃债、不偷税漏税，诚信依法经营；</w:t>
      </w:r>
    </w:p>
    <w:p>
      <w:pPr>
        <w:tabs>
          <w:tab w:val="left" w:pos="1650"/>
        </w:tabs>
        <w:spacing w:line="560" w:lineRule="exact"/>
        <w:ind w:firstLine="630"/>
        <w:rPr>
          <w:rFonts w:ascii="微软雅黑" w:hAnsi="微软雅黑" w:cs="微软雅黑"/>
          <w:sz w:val="24"/>
          <w:szCs w:val="24"/>
        </w:rPr>
      </w:pPr>
      <w:r>
        <w:rPr>
          <w:rFonts w:hint="eastAsia" w:ascii="微软雅黑" w:hAnsi="微软雅黑" w:cs="微软雅黑"/>
          <w:sz w:val="24"/>
          <w:szCs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微软雅黑" w:hAnsi="微软雅黑" w:cs="微软雅黑"/>
          <w:sz w:val="24"/>
          <w:szCs w:val="24"/>
        </w:rPr>
      </w:pPr>
      <w:r>
        <w:rPr>
          <w:rFonts w:hint="eastAsia" w:ascii="微软雅黑" w:hAnsi="微软雅黑" w:cs="微软雅黑"/>
          <w:color w:val="333333"/>
          <w:kern w:val="0"/>
          <w:sz w:val="24"/>
          <w:szCs w:val="24"/>
        </w:rPr>
        <w:t>按照信用信息管理有关要求，本单位（个人）同意将以上承诺在信用湖州网站公示，若违背以上承诺，依据相关规定记入企业（个人）信用</w:t>
      </w:r>
      <w:r>
        <w:rPr>
          <w:rFonts w:hint="eastAsia" w:ascii="微软雅黑" w:hAnsi="微软雅黑" w:cs="微软雅黑"/>
          <w:color w:val="000000"/>
          <w:kern w:val="0"/>
          <w:sz w:val="24"/>
          <w:szCs w:val="24"/>
        </w:rPr>
        <w:t>档案；性质严重的，承担相应法律后果和责任，并依法依规列入严重失信名单。</w:t>
      </w:r>
    </w:p>
    <w:p>
      <w:pPr>
        <w:tabs>
          <w:tab w:val="left" w:pos="1650"/>
        </w:tabs>
        <w:spacing w:line="560" w:lineRule="exact"/>
        <w:rPr>
          <w:rFonts w:ascii="微软雅黑" w:hAnsi="微软雅黑" w:cs="微软雅黑"/>
          <w:sz w:val="24"/>
          <w:szCs w:val="24"/>
          <w:u w:val="single"/>
        </w:rPr>
      </w:pPr>
    </w:p>
    <w:p>
      <w:pPr>
        <w:tabs>
          <w:tab w:val="left" w:pos="1650"/>
        </w:tabs>
        <w:spacing w:line="560" w:lineRule="exact"/>
        <w:rPr>
          <w:rFonts w:ascii="微软雅黑" w:hAnsi="微软雅黑" w:cs="微软雅黑"/>
          <w:sz w:val="24"/>
          <w:szCs w:val="24"/>
          <w:u w:val="single"/>
        </w:rPr>
      </w:pPr>
    </w:p>
    <w:p>
      <w:pPr>
        <w:widowControl/>
        <w:spacing w:line="560" w:lineRule="exact"/>
        <w:ind w:firstLine="600" w:firstLineChars="250"/>
        <w:jc w:val="left"/>
        <w:rPr>
          <w:rFonts w:ascii="微软雅黑" w:hAnsi="微软雅黑" w:cs="微软雅黑"/>
          <w:color w:val="000000"/>
          <w:spacing w:val="-7"/>
          <w:kern w:val="0"/>
          <w:sz w:val="24"/>
          <w:szCs w:val="24"/>
        </w:rPr>
      </w:pPr>
      <w:r>
        <w:rPr>
          <w:rFonts w:hint="eastAsia" w:ascii="微软雅黑" w:hAnsi="微软雅黑" w:cs="微软雅黑"/>
          <w:sz w:val="24"/>
          <w:szCs w:val="24"/>
        </w:rPr>
        <w:t>统一社会信用代码：</w:t>
      </w:r>
    </w:p>
    <w:p>
      <w:pPr>
        <w:widowControl/>
        <w:spacing w:line="560" w:lineRule="exact"/>
        <w:jc w:val="left"/>
        <w:rPr>
          <w:rFonts w:ascii="微软雅黑" w:hAnsi="微软雅黑" w:cs="微软雅黑"/>
          <w:color w:val="000000"/>
          <w:kern w:val="0"/>
          <w:sz w:val="24"/>
          <w:szCs w:val="24"/>
        </w:rPr>
      </w:pPr>
    </w:p>
    <w:p>
      <w:pPr>
        <w:widowControl/>
        <w:spacing w:line="560" w:lineRule="exact"/>
        <w:ind w:firstLine="6360" w:firstLineChars="2650"/>
        <w:jc w:val="left"/>
        <w:rPr>
          <w:rFonts w:ascii="微软雅黑" w:hAnsi="微软雅黑" w:cs="微软雅黑"/>
          <w:sz w:val="24"/>
          <w:szCs w:val="24"/>
        </w:rPr>
      </w:pPr>
      <w:r>
        <w:rPr>
          <w:rFonts w:hint="eastAsia" w:ascii="微软雅黑" w:hAnsi="微软雅黑" w:cs="微软雅黑"/>
          <w:sz w:val="24"/>
          <w:szCs w:val="24"/>
        </w:rPr>
        <w:t>承诺单位/个人（盖章/签名）</w:t>
      </w:r>
    </w:p>
    <w:p>
      <w:pPr>
        <w:adjustRightInd w:val="0"/>
        <w:snapToGrid w:val="0"/>
        <w:spacing w:line="320" w:lineRule="exact"/>
        <w:rPr>
          <w:rFonts w:ascii="微软雅黑" w:hAnsi="微软雅黑" w:cs="微软雅黑"/>
          <w:sz w:val="24"/>
          <w:szCs w:val="24"/>
        </w:rPr>
      </w:pPr>
      <w:r>
        <w:rPr>
          <w:rFonts w:hint="eastAsia" w:ascii="微软雅黑" w:hAnsi="微软雅黑" w:cs="微软雅黑"/>
          <w:sz w:val="24"/>
          <w:szCs w:val="24"/>
        </w:rPr>
        <w:t xml:space="preserve">                                                       时间： 年  月  日</w:t>
      </w:r>
    </w:p>
    <w:p>
      <w:pPr>
        <w:adjustRightInd w:val="0"/>
        <w:snapToGrid w:val="0"/>
        <w:spacing w:line="320" w:lineRule="exact"/>
        <w:rPr>
          <w:rFonts w:ascii="微软雅黑" w:hAnsi="微软雅黑" w:cs="微软雅黑"/>
          <w:sz w:val="24"/>
          <w:szCs w:val="24"/>
        </w:rPr>
      </w:pPr>
    </w:p>
    <w:p>
      <w:pPr>
        <w:adjustRightInd w:val="0"/>
        <w:snapToGrid w:val="0"/>
        <w:spacing w:line="320" w:lineRule="exact"/>
        <w:rPr>
          <w:rFonts w:ascii="微软雅黑" w:hAnsi="微软雅黑" w:cs="微软雅黑"/>
          <w:sz w:val="24"/>
          <w:szCs w:val="24"/>
        </w:rPr>
      </w:pPr>
    </w:p>
    <w:p>
      <w:pPr>
        <w:adjustRightInd w:val="0"/>
        <w:snapToGrid w:val="0"/>
        <w:spacing w:line="320" w:lineRule="exact"/>
        <w:rPr>
          <w:rFonts w:ascii="微软雅黑" w:hAnsi="微软雅黑" w:cs="微软雅黑"/>
          <w:sz w:val="24"/>
          <w:szCs w:val="24"/>
        </w:rPr>
      </w:pPr>
    </w:p>
    <w:p>
      <w:pPr>
        <w:adjustRightInd w:val="0"/>
        <w:snapToGrid w:val="0"/>
        <w:spacing w:line="320" w:lineRule="exact"/>
        <w:rPr>
          <w:rFonts w:ascii="微软雅黑" w:hAnsi="微软雅黑" w:cs="微软雅黑"/>
          <w:sz w:val="24"/>
          <w:szCs w:val="24"/>
        </w:rPr>
      </w:pPr>
    </w:p>
    <w:p>
      <w:pPr>
        <w:adjustRightInd w:val="0"/>
        <w:snapToGrid w:val="0"/>
        <w:spacing w:beforeLines="50" w:afterLines="50" w:line="500" w:lineRule="exact"/>
        <w:rPr>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pStyle w:val="2"/>
        <w:ind w:firstLine="0" w:firstLineChars="0"/>
        <w:rPr>
          <w:rFonts w:ascii="宋体" w:hAnsi="宋体"/>
          <w:b/>
        </w:rPr>
      </w:pPr>
    </w:p>
    <w:p>
      <w:pPr>
        <w:pStyle w:val="2"/>
        <w:rPr>
          <w:rFonts w:ascii="宋体" w:hAnsi="宋体"/>
          <w:b/>
        </w:rPr>
      </w:pPr>
    </w:p>
    <w:p>
      <w:pPr>
        <w:autoSpaceDE w:val="0"/>
        <w:autoSpaceDN w:val="0"/>
        <w:adjustRightInd w:val="0"/>
        <w:snapToGrid w:val="0"/>
        <w:spacing w:line="440" w:lineRule="exact"/>
        <w:jc w:val="center"/>
        <w:rPr>
          <w:rFonts w:ascii="微软雅黑" w:hAnsi="微软雅黑" w:cs="微软雅黑"/>
          <w:b/>
          <w:sz w:val="24"/>
          <w:szCs w:val="24"/>
        </w:rPr>
      </w:pPr>
      <w:r>
        <w:rPr>
          <w:rFonts w:hint="eastAsia" w:ascii="微软雅黑" w:hAnsi="微软雅黑" w:cs="微软雅黑"/>
          <w:b/>
          <w:sz w:val="24"/>
          <w:szCs w:val="24"/>
        </w:rPr>
        <w:t>5、 投标人同类项目一览表</w:t>
      </w:r>
    </w:p>
    <w:tbl>
      <w:tblPr>
        <w:tblStyle w:val="60"/>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序号</w:t>
            </w:r>
          </w:p>
        </w:tc>
        <w:tc>
          <w:tcPr>
            <w:tcW w:w="1454"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项目名称</w:t>
            </w:r>
          </w:p>
        </w:tc>
        <w:tc>
          <w:tcPr>
            <w:tcW w:w="1660"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项目实施时间</w:t>
            </w:r>
          </w:p>
        </w:tc>
        <w:tc>
          <w:tcPr>
            <w:tcW w:w="1963"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项目单位名称</w:t>
            </w:r>
          </w:p>
          <w:p>
            <w:pPr>
              <w:spacing w:line="360" w:lineRule="exact"/>
              <w:jc w:val="center"/>
              <w:rPr>
                <w:rFonts w:ascii="微软雅黑" w:hAnsi="微软雅黑" w:cs="微软雅黑"/>
                <w:sz w:val="24"/>
                <w:szCs w:val="24"/>
              </w:rPr>
            </w:pPr>
            <w:r>
              <w:rPr>
                <w:rFonts w:hint="eastAsia" w:ascii="微软雅黑" w:hAnsi="微软雅黑" w:cs="微软雅黑"/>
                <w:sz w:val="24"/>
                <w:szCs w:val="24"/>
              </w:rPr>
              <w:t>地址及联系方式</w:t>
            </w:r>
          </w:p>
        </w:tc>
        <w:tc>
          <w:tcPr>
            <w:tcW w:w="1844"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项目合同金额（单位：万元）</w:t>
            </w:r>
          </w:p>
        </w:tc>
        <w:tc>
          <w:tcPr>
            <w:tcW w:w="1270" w:type="dxa"/>
            <w:vAlign w:val="center"/>
          </w:tcPr>
          <w:p>
            <w:pPr>
              <w:spacing w:line="360" w:lineRule="exact"/>
              <w:jc w:val="center"/>
              <w:rPr>
                <w:rFonts w:ascii="微软雅黑" w:hAnsi="微软雅黑" w:cs="微软雅黑"/>
                <w:sz w:val="24"/>
                <w:szCs w:val="24"/>
              </w:rPr>
            </w:pPr>
            <w:r>
              <w:rPr>
                <w:rFonts w:hint="eastAsia" w:ascii="微软雅黑" w:hAnsi="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微软雅黑" w:hAnsi="微软雅黑" w:cs="微软雅黑"/>
                <w:sz w:val="24"/>
                <w:szCs w:val="24"/>
              </w:rPr>
            </w:pPr>
          </w:p>
        </w:tc>
        <w:tc>
          <w:tcPr>
            <w:tcW w:w="1454" w:type="dxa"/>
            <w:vAlign w:val="center"/>
          </w:tcPr>
          <w:p>
            <w:pPr>
              <w:spacing w:line="360" w:lineRule="exact"/>
              <w:jc w:val="center"/>
              <w:rPr>
                <w:rFonts w:ascii="微软雅黑" w:hAnsi="微软雅黑" w:cs="微软雅黑"/>
                <w:sz w:val="24"/>
                <w:szCs w:val="24"/>
              </w:rPr>
            </w:pPr>
          </w:p>
        </w:tc>
        <w:tc>
          <w:tcPr>
            <w:tcW w:w="1660" w:type="dxa"/>
            <w:vAlign w:val="center"/>
          </w:tcPr>
          <w:p>
            <w:pPr>
              <w:spacing w:line="360" w:lineRule="exact"/>
              <w:jc w:val="center"/>
              <w:rPr>
                <w:rFonts w:ascii="微软雅黑" w:hAnsi="微软雅黑" w:cs="微软雅黑"/>
                <w:sz w:val="24"/>
                <w:szCs w:val="24"/>
              </w:rPr>
            </w:pPr>
          </w:p>
        </w:tc>
        <w:tc>
          <w:tcPr>
            <w:tcW w:w="1963" w:type="dxa"/>
            <w:vAlign w:val="center"/>
          </w:tcPr>
          <w:p>
            <w:pPr>
              <w:spacing w:line="360" w:lineRule="exact"/>
              <w:jc w:val="center"/>
              <w:rPr>
                <w:rFonts w:ascii="微软雅黑" w:hAnsi="微软雅黑" w:cs="微软雅黑"/>
                <w:sz w:val="24"/>
                <w:szCs w:val="24"/>
              </w:rPr>
            </w:pPr>
          </w:p>
        </w:tc>
        <w:tc>
          <w:tcPr>
            <w:tcW w:w="1844" w:type="dxa"/>
            <w:vAlign w:val="center"/>
          </w:tcPr>
          <w:p>
            <w:pPr>
              <w:spacing w:line="360" w:lineRule="exact"/>
              <w:jc w:val="center"/>
              <w:rPr>
                <w:rFonts w:ascii="微软雅黑" w:hAnsi="微软雅黑" w:cs="微软雅黑"/>
                <w:sz w:val="24"/>
                <w:szCs w:val="24"/>
              </w:rPr>
            </w:pPr>
          </w:p>
        </w:tc>
        <w:tc>
          <w:tcPr>
            <w:tcW w:w="1270" w:type="dxa"/>
            <w:vAlign w:val="center"/>
          </w:tcPr>
          <w:p>
            <w:pPr>
              <w:spacing w:line="360" w:lineRule="exact"/>
              <w:jc w:val="center"/>
              <w:rPr>
                <w:rFonts w:ascii="微软雅黑" w:hAnsi="微软雅黑" w:cs="微软雅黑"/>
                <w:sz w:val="24"/>
                <w:szCs w:val="24"/>
              </w:rPr>
            </w:pPr>
          </w:p>
        </w:tc>
      </w:tr>
    </w:tbl>
    <w:p>
      <w:pPr>
        <w:autoSpaceDE w:val="0"/>
        <w:autoSpaceDN w:val="0"/>
        <w:adjustRightInd w:val="0"/>
        <w:snapToGrid w:val="0"/>
        <w:spacing w:line="440" w:lineRule="exact"/>
        <w:ind w:firstLine="480" w:firstLineChars="200"/>
        <w:rPr>
          <w:rFonts w:ascii="微软雅黑" w:hAnsi="微软雅黑" w:cs="微软雅黑"/>
          <w:b/>
          <w:sz w:val="24"/>
          <w:szCs w:val="24"/>
        </w:rPr>
      </w:pPr>
      <w:r>
        <w:rPr>
          <w:rFonts w:hint="eastAsia" w:ascii="微软雅黑" w:hAnsi="微软雅黑" w:cs="微软雅黑"/>
          <w:b/>
          <w:sz w:val="24"/>
          <w:szCs w:val="24"/>
        </w:rPr>
        <w:t>注：证明材料复印件附后</w:t>
      </w:r>
    </w:p>
    <w:p>
      <w:pPr>
        <w:autoSpaceDE w:val="0"/>
        <w:autoSpaceDN w:val="0"/>
        <w:adjustRightInd w:val="0"/>
        <w:snapToGrid w:val="0"/>
        <w:spacing w:line="440" w:lineRule="exact"/>
        <w:ind w:firstLine="480" w:firstLineChars="200"/>
        <w:rPr>
          <w:rFonts w:ascii="微软雅黑" w:hAnsi="微软雅黑" w:cs="微软雅黑"/>
          <w:b/>
          <w:sz w:val="24"/>
          <w:szCs w:val="24"/>
        </w:rPr>
      </w:pPr>
    </w:p>
    <w:p>
      <w:pPr>
        <w:snapToGrid w:val="0"/>
        <w:spacing w:line="440" w:lineRule="exact"/>
        <w:rPr>
          <w:rFonts w:ascii="微软雅黑" w:hAnsi="微软雅黑" w:cs="微软雅黑"/>
          <w:sz w:val="24"/>
          <w:szCs w:val="24"/>
        </w:rPr>
      </w:pPr>
    </w:p>
    <w:p>
      <w:pPr>
        <w:snapToGrid w:val="0"/>
        <w:spacing w:line="440" w:lineRule="exact"/>
        <w:ind w:firstLine="240" w:firstLineChars="100"/>
        <w:rPr>
          <w:rFonts w:ascii="微软雅黑" w:hAnsi="微软雅黑" w:cs="微软雅黑"/>
          <w:sz w:val="24"/>
          <w:szCs w:val="24"/>
          <w:u w:val="single"/>
        </w:rPr>
      </w:pPr>
      <w:r>
        <w:rPr>
          <w:rFonts w:hint="eastAsia" w:ascii="宋体" w:hAnsi="宋体" w:cs="宋体"/>
          <w:sz w:val="24"/>
        </w:rPr>
        <w:t>法定代表人或授权代表</w:t>
      </w:r>
      <w:r>
        <w:rPr>
          <w:rFonts w:hint="eastAsia" w:ascii="微软雅黑" w:hAnsi="微软雅黑" w:cs="微软雅黑"/>
          <w:sz w:val="24"/>
          <w:szCs w:val="24"/>
        </w:rPr>
        <w:t>（签名或盖章）：</w:t>
      </w:r>
    </w:p>
    <w:p>
      <w:pPr>
        <w:pStyle w:val="20"/>
        <w:adjustRightInd w:val="0"/>
        <w:snapToGrid w:val="0"/>
        <w:spacing w:after="0" w:line="440" w:lineRule="exact"/>
        <w:ind w:firstLine="240" w:firstLineChars="100"/>
        <w:rPr>
          <w:rFonts w:ascii="微软雅黑" w:hAnsi="微软雅黑" w:eastAsia="微软雅黑" w:cs="微软雅黑"/>
          <w:sz w:val="24"/>
        </w:rPr>
      </w:pPr>
      <w:r>
        <w:rPr>
          <w:rFonts w:hint="eastAsia" w:ascii="微软雅黑" w:hAnsi="微软雅黑" w:eastAsia="微软雅黑" w:cs="微软雅黑"/>
          <w:sz w:val="24"/>
        </w:rPr>
        <w:t>投标人盖章：</w:t>
      </w:r>
    </w:p>
    <w:p>
      <w:pPr>
        <w:adjustRightInd w:val="0"/>
        <w:snapToGrid w:val="0"/>
        <w:spacing w:line="440" w:lineRule="exact"/>
        <w:ind w:firstLine="240" w:firstLineChars="100"/>
        <w:rPr>
          <w:rFonts w:ascii="微软雅黑" w:hAnsi="微软雅黑" w:cs="微软雅黑"/>
          <w:bCs/>
          <w:sz w:val="24"/>
          <w:szCs w:val="24"/>
        </w:rPr>
      </w:pPr>
      <w:r>
        <w:rPr>
          <w:rFonts w:hint="eastAsia" w:ascii="微软雅黑" w:hAnsi="微软雅黑" w:cs="微软雅黑"/>
          <w:bCs/>
          <w:sz w:val="24"/>
          <w:szCs w:val="24"/>
        </w:rPr>
        <w:t>年月日</w:t>
      </w:r>
    </w:p>
    <w:p>
      <w:pPr>
        <w:adjustRightInd w:val="0"/>
        <w:snapToGrid w:val="0"/>
        <w:spacing w:line="440" w:lineRule="exact"/>
        <w:rPr>
          <w:rFonts w:ascii="微软雅黑" w:hAnsi="微软雅黑" w:cs="微软雅黑"/>
          <w:bCs/>
          <w:sz w:val="24"/>
          <w:szCs w:val="24"/>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pStyle w:val="4"/>
        <w:spacing w:line="500" w:lineRule="exact"/>
        <w:ind w:firstLine="0"/>
        <w:rPr>
          <w:rFonts w:ascii="宋体" w:hAnsi="宋体"/>
          <w:b/>
          <w:sz w:val="24"/>
        </w:rPr>
      </w:pPr>
    </w:p>
    <w:p>
      <w:pPr>
        <w:snapToGrid w:val="0"/>
        <w:spacing w:beforeLines="50" w:after="50"/>
        <w:rPr>
          <w:rFonts w:ascii="宋体" w:hAnsi="宋体"/>
          <w:b/>
          <w:sz w:val="24"/>
        </w:rPr>
      </w:pPr>
    </w:p>
    <w:p>
      <w:pPr>
        <w:snapToGrid w:val="0"/>
        <w:spacing w:beforeLines="50" w:after="50"/>
        <w:rPr>
          <w:rFonts w:ascii="宋体" w:hAnsi="宋体"/>
          <w:b/>
          <w:sz w:val="24"/>
        </w:rPr>
      </w:pPr>
    </w:p>
    <w:p>
      <w:pPr>
        <w:spacing w:line="440" w:lineRule="exact"/>
        <w:jc w:val="center"/>
        <w:rPr>
          <w:rFonts w:ascii="微软雅黑" w:hAnsi="微软雅黑" w:cs="微软雅黑"/>
          <w:b/>
          <w:bCs/>
          <w:sz w:val="24"/>
          <w:szCs w:val="24"/>
        </w:rPr>
      </w:pPr>
      <w:r>
        <w:rPr>
          <w:rFonts w:hint="eastAsia" w:ascii="微软雅黑" w:hAnsi="微软雅黑" w:cs="微软雅黑"/>
          <w:b/>
          <w:bCs/>
          <w:sz w:val="24"/>
          <w:szCs w:val="24"/>
        </w:rPr>
        <w:t>6、商务响应表</w:t>
      </w:r>
    </w:p>
    <w:p>
      <w:pPr>
        <w:spacing w:line="360" w:lineRule="auto"/>
        <w:jc w:val="center"/>
        <w:rPr>
          <w:rFonts w:ascii="微软雅黑" w:hAnsi="微软雅黑" w:cs="微软雅黑"/>
          <w:sz w:val="24"/>
          <w:szCs w:val="24"/>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052"/>
        <w:gridCol w:w="1234"/>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26" w:type="dxa"/>
            <w:noWrap/>
            <w:vAlign w:val="center"/>
          </w:tcPr>
          <w:p>
            <w:pPr>
              <w:snapToGrid w:val="0"/>
              <w:spacing w:before="50" w:afterLines="50"/>
              <w:jc w:val="center"/>
              <w:rPr>
                <w:rFonts w:ascii="微软雅黑" w:hAnsi="微软雅黑" w:cs="微软雅黑"/>
                <w:sz w:val="24"/>
                <w:szCs w:val="24"/>
              </w:rPr>
            </w:pPr>
            <w:r>
              <w:rPr>
                <w:rFonts w:hint="eastAsia" w:ascii="微软雅黑" w:hAnsi="微软雅黑" w:cs="微软雅黑"/>
                <w:sz w:val="24"/>
                <w:szCs w:val="24"/>
              </w:rPr>
              <w:t>项目</w:t>
            </w:r>
          </w:p>
        </w:tc>
        <w:tc>
          <w:tcPr>
            <w:tcW w:w="4052" w:type="dxa"/>
            <w:noWrap/>
            <w:vAlign w:val="center"/>
          </w:tcPr>
          <w:p>
            <w:pPr>
              <w:snapToGrid w:val="0"/>
              <w:spacing w:before="50" w:afterLines="50"/>
              <w:jc w:val="center"/>
              <w:rPr>
                <w:rFonts w:ascii="微软雅黑" w:hAnsi="微软雅黑" w:cs="微软雅黑"/>
                <w:sz w:val="24"/>
                <w:szCs w:val="24"/>
              </w:rPr>
            </w:pPr>
            <w:r>
              <w:rPr>
                <w:rFonts w:hint="eastAsia" w:ascii="微软雅黑" w:hAnsi="微软雅黑" w:cs="微软雅黑"/>
                <w:sz w:val="24"/>
                <w:szCs w:val="24"/>
              </w:rPr>
              <w:t>招标文件要求</w:t>
            </w:r>
          </w:p>
        </w:tc>
        <w:tc>
          <w:tcPr>
            <w:tcW w:w="1234" w:type="dxa"/>
            <w:noWrap/>
            <w:vAlign w:val="center"/>
          </w:tcPr>
          <w:p>
            <w:pPr>
              <w:snapToGrid w:val="0"/>
              <w:spacing w:before="50" w:afterLines="50"/>
              <w:jc w:val="center"/>
              <w:rPr>
                <w:rFonts w:ascii="微软雅黑" w:hAnsi="微软雅黑" w:cs="微软雅黑"/>
                <w:sz w:val="24"/>
                <w:szCs w:val="24"/>
              </w:rPr>
            </w:pPr>
            <w:r>
              <w:rPr>
                <w:rFonts w:hint="eastAsia" w:ascii="微软雅黑" w:hAnsi="微软雅黑" w:cs="微软雅黑"/>
                <w:sz w:val="24"/>
                <w:szCs w:val="24"/>
              </w:rPr>
              <w:t>是否响应</w:t>
            </w:r>
          </w:p>
        </w:tc>
        <w:tc>
          <w:tcPr>
            <w:tcW w:w="2781" w:type="dxa"/>
            <w:noWrap/>
            <w:vAlign w:val="center"/>
          </w:tcPr>
          <w:p>
            <w:pPr>
              <w:snapToGrid w:val="0"/>
              <w:spacing w:before="50" w:afterLines="50"/>
              <w:jc w:val="center"/>
              <w:rPr>
                <w:rFonts w:ascii="微软雅黑" w:hAnsi="微软雅黑" w:cs="微软雅黑"/>
                <w:sz w:val="24"/>
                <w:szCs w:val="24"/>
              </w:rPr>
            </w:pPr>
            <w:r>
              <w:rPr>
                <w:rFonts w:hint="eastAsia" w:ascii="微软雅黑" w:hAnsi="微软雅黑" w:cs="微软雅黑"/>
                <w:sz w:val="24"/>
                <w:szCs w:val="24"/>
              </w:rPr>
              <w:t>投标人承诺及偏离说明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line="360" w:lineRule="exact"/>
              <w:jc w:val="center"/>
              <w:rPr>
                <w:rFonts w:ascii="微软雅黑" w:hAnsi="微软雅黑" w:cs="微软雅黑"/>
                <w:sz w:val="24"/>
                <w:szCs w:val="24"/>
              </w:rPr>
            </w:pPr>
          </w:p>
        </w:tc>
        <w:tc>
          <w:tcPr>
            <w:tcW w:w="4052" w:type="dxa"/>
            <w:noWrap/>
            <w:vAlign w:val="center"/>
          </w:tcPr>
          <w:p>
            <w:pPr>
              <w:snapToGrid w:val="0"/>
              <w:spacing w:before="50" w:afterLines="50"/>
              <w:ind w:firstLine="480"/>
              <w:jc w:val="center"/>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line="360" w:lineRule="exact"/>
              <w:jc w:val="center"/>
              <w:rPr>
                <w:rFonts w:ascii="微软雅黑" w:hAnsi="微软雅黑" w:cs="微软雅黑"/>
                <w:sz w:val="24"/>
                <w:szCs w:val="24"/>
              </w:rPr>
            </w:pPr>
          </w:p>
        </w:tc>
        <w:tc>
          <w:tcPr>
            <w:tcW w:w="4052" w:type="dxa"/>
            <w:noWrap/>
            <w:vAlign w:val="center"/>
          </w:tcPr>
          <w:p>
            <w:pPr>
              <w:snapToGrid w:val="0"/>
              <w:spacing w:before="50" w:afterLines="50"/>
              <w:ind w:firstLine="480"/>
              <w:jc w:val="center"/>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line="360" w:lineRule="exact"/>
              <w:jc w:val="center"/>
              <w:rPr>
                <w:rFonts w:ascii="微软雅黑" w:hAnsi="微软雅黑" w:cs="微软雅黑"/>
                <w:sz w:val="24"/>
                <w:szCs w:val="24"/>
              </w:rPr>
            </w:pPr>
          </w:p>
        </w:tc>
        <w:tc>
          <w:tcPr>
            <w:tcW w:w="4052" w:type="dxa"/>
            <w:noWrap/>
            <w:vAlign w:val="center"/>
          </w:tcPr>
          <w:p>
            <w:pPr>
              <w:snapToGrid w:val="0"/>
              <w:spacing w:before="50" w:afterLines="50"/>
              <w:ind w:firstLine="480"/>
              <w:jc w:val="left"/>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line="360" w:lineRule="exact"/>
              <w:jc w:val="center"/>
              <w:rPr>
                <w:rFonts w:ascii="微软雅黑" w:hAnsi="微软雅黑" w:cs="微软雅黑"/>
                <w:sz w:val="24"/>
                <w:szCs w:val="24"/>
              </w:rPr>
            </w:pPr>
          </w:p>
        </w:tc>
        <w:tc>
          <w:tcPr>
            <w:tcW w:w="4052" w:type="dxa"/>
            <w:noWrap/>
            <w:vAlign w:val="center"/>
          </w:tcPr>
          <w:p>
            <w:pPr>
              <w:snapToGrid w:val="0"/>
              <w:spacing w:before="50" w:afterLines="50"/>
              <w:ind w:firstLine="480"/>
              <w:jc w:val="center"/>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beforeLines="50"/>
              <w:jc w:val="center"/>
              <w:rPr>
                <w:rFonts w:ascii="微软雅黑" w:hAnsi="微软雅黑" w:cs="微软雅黑"/>
                <w:sz w:val="24"/>
                <w:szCs w:val="24"/>
              </w:rPr>
            </w:pPr>
          </w:p>
        </w:tc>
        <w:tc>
          <w:tcPr>
            <w:tcW w:w="4052" w:type="dxa"/>
            <w:noWrap/>
            <w:vAlign w:val="center"/>
          </w:tcPr>
          <w:p>
            <w:pPr>
              <w:snapToGrid w:val="0"/>
              <w:spacing w:before="50" w:afterLines="50"/>
              <w:ind w:firstLine="480"/>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26" w:type="dxa"/>
            <w:noWrap/>
            <w:vAlign w:val="center"/>
          </w:tcPr>
          <w:p>
            <w:pPr>
              <w:snapToGrid w:val="0"/>
              <w:spacing w:beforeLines="50"/>
              <w:jc w:val="center"/>
              <w:rPr>
                <w:rFonts w:ascii="微软雅黑" w:hAnsi="微软雅黑" w:cs="微软雅黑"/>
                <w:sz w:val="24"/>
                <w:szCs w:val="24"/>
              </w:rPr>
            </w:pPr>
          </w:p>
        </w:tc>
        <w:tc>
          <w:tcPr>
            <w:tcW w:w="4052" w:type="dxa"/>
            <w:noWrap/>
            <w:vAlign w:val="center"/>
          </w:tcPr>
          <w:p>
            <w:pPr>
              <w:snapToGrid w:val="0"/>
              <w:spacing w:before="50" w:afterLines="50"/>
              <w:ind w:firstLine="480"/>
              <w:rPr>
                <w:rFonts w:ascii="微软雅黑" w:hAnsi="微软雅黑" w:cs="微软雅黑"/>
                <w:sz w:val="24"/>
                <w:szCs w:val="24"/>
              </w:rPr>
            </w:pPr>
          </w:p>
        </w:tc>
        <w:tc>
          <w:tcPr>
            <w:tcW w:w="1234" w:type="dxa"/>
            <w:noWrap/>
            <w:vAlign w:val="center"/>
          </w:tcPr>
          <w:p>
            <w:pPr>
              <w:snapToGrid w:val="0"/>
              <w:spacing w:before="50" w:afterLines="50"/>
              <w:ind w:firstLine="480"/>
              <w:jc w:val="center"/>
              <w:rPr>
                <w:rFonts w:ascii="微软雅黑" w:hAnsi="微软雅黑" w:cs="微软雅黑"/>
                <w:sz w:val="24"/>
                <w:szCs w:val="24"/>
              </w:rPr>
            </w:pPr>
          </w:p>
        </w:tc>
        <w:tc>
          <w:tcPr>
            <w:tcW w:w="2781" w:type="dxa"/>
            <w:noWrap/>
            <w:vAlign w:val="center"/>
          </w:tcPr>
          <w:p>
            <w:pPr>
              <w:snapToGrid w:val="0"/>
              <w:spacing w:before="50" w:afterLines="50"/>
              <w:ind w:firstLine="480"/>
              <w:jc w:val="center"/>
              <w:rPr>
                <w:rFonts w:ascii="微软雅黑" w:hAnsi="微软雅黑" w:cs="微软雅黑"/>
                <w:sz w:val="24"/>
                <w:szCs w:val="24"/>
              </w:rPr>
            </w:pPr>
          </w:p>
        </w:tc>
      </w:tr>
    </w:tbl>
    <w:p>
      <w:pPr>
        <w:snapToGrid w:val="0"/>
        <w:spacing w:line="440" w:lineRule="exact"/>
        <w:ind w:firstLine="4320" w:firstLineChars="1800"/>
        <w:rPr>
          <w:rFonts w:ascii="宋体" w:hAnsi="宋体" w:cs="宋体"/>
          <w:sz w:val="24"/>
        </w:rPr>
      </w:pPr>
    </w:p>
    <w:p>
      <w:pPr>
        <w:snapToGrid w:val="0"/>
        <w:spacing w:line="440" w:lineRule="exact"/>
        <w:ind w:firstLine="4320" w:firstLineChars="1800"/>
        <w:rPr>
          <w:rFonts w:ascii="宋体" w:hAnsi="宋体" w:cs="宋体"/>
          <w:sz w:val="24"/>
        </w:rPr>
      </w:pPr>
    </w:p>
    <w:p>
      <w:pPr>
        <w:snapToGrid w:val="0"/>
        <w:spacing w:line="440" w:lineRule="exact"/>
        <w:ind w:firstLine="4320" w:firstLineChars="1800"/>
        <w:rPr>
          <w:rFonts w:ascii="微软雅黑" w:hAnsi="微软雅黑" w:cs="微软雅黑"/>
          <w:sz w:val="24"/>
          <w:szCs w:val="24"/>
          <w:u w:val="single"/>
        </w:rPr>
      </w:pPr>
      <w:r>
        <w:rPr>
          <w:rFonts w:hint="eastAsia" w:ascii="宋体" w:hAnsi="宋体" w:cs="宋体"/>
          <w:sz w:val="24"/>
        </w:rPr>
        <w:t>法定代表人或授权代表</w:t>
      </w:r>
      <w:r>
        <w:rPr>
          <w:rFonts w:hint="eastAsia" w:ascii="微软雅黑" w:hAnsi="微软雅黑" w:cs="微软雅黑"/>
          <w:sz w:val="24"/>
          <w:szCs w:val="24"/>
        </w:rPr>
        <w:t>（签名或盖章）：</w:t>
      </w:r>
    </w:p>
    <w:p>
      <w:pPr>
        <w:spacing w:line="480" w:lineRule="exact"/>
        <w:ind w:left="4200" w:leftChars="2000"/>
        <w:jc w:val="left"/>
        <w:rPr>
          <w:rFonts w:ascii="微软雅黑" w:hAnsi="微软雅黑" w:cs="微软雅黑"/>
          <w:sz w:val="24"/>
          <w:szCs w:val="24"/>
        </w:rPr>
      </w:pPr>
      <w:r>
        <w:rPr>
          <w:rFonts w:hint="eastAsia" w:ascii="微软雅黑" w:hAnsi="微软雅黑" w:cs="微软雅黑"/>
          <w:sz w:val="24"/>
          <w:szCs w:val="24"/>
        </w:rPr>
        <w:t>投标人公章：</w:t>
      </w:r>
    </w:p>
    <w:p>
      <w:pPr>
        <w:ind w:left="4200" w:leftChars="2000"/>
        <w:jc w:val="left"/>
        <w:rPr>
          <w:rFonts w:ascii="微软雅黑" w:hAnsi="微软雅黑" w:cs="微软雅黑"/>
          <w:sz w:val="24"/>
          <w:szCs w:val="24"/>
        </w:rPr>
      </w:pPr>
    </w:p>
    <w:p>
      <w:pPr>
        <w:spacing w:line="480" w:lineRule="exact"/>
        <w:jc w:val="right"/>
        <w:rPr>
          <w:rFonts w:ascii="微软雅黑" w:hAnsi="微软雅黑" w:cs="微软雅黑"/>
          <w:sz w:val="24"/>
          <w:szCs w:val="24"/>
        </w:rPr>
      </w:pPr>
      <w:r>
        <w:rPr>
          <w:rFonts w:hint="eastAsia" w:ascii="微软雅黑" w:hAnsi="微软雅黑" w:cs="微软雅黑"/>
          <w:sz w:val="24"/>
          <w:szCs w:val="24"/>
        </w:rPr>
        <w:t>年     月    日</w:t>
      </w:r>
    </w:p>
    <w:p>
      <w:pPr>
        <w:snapToGrid w:val="0"/>
        <w:spacing w:beforeLines="50" w:after="50"/>
        <w:rPr>
          <w:rFonts w:ascii="微软雅黑" w:hAnsi="微软雅黑" w:cs="微软雅黑"/>
          <w:b/>
          <w:sz w:val="24"/>
          <w:szCs w:val="24"/>
        </w:rPr>
      </w:pPr>
    </w:p>
    <w:p>
      <w:pPr>
        <w:snapToGrid w:val="0"/>
        <w:spacing w:beforeLines="50" w:after="50"/>
        <w:rPr>
          <w:rFonts w:ascii="宋体" w:hAnsi="宋体"/>
          <w:b/>
          <w:sz w:val="24"/>
        </w:rPr>
      </w:pPr>
    </w:p>
    <w:p>
      <w:pPr>
        <w:snapToGrid w:val="0"/>
        <w:spacing w:beforeLines="50" w:after="50"/>
        <w:rPr>
          <w:rFonts w:ascii="宋体" w:hAnsi="宋体"/>
          <w:b/>
          <w:sz w:val="24"/>
        </w:rPr>
      </w:pPr>
    </w:p>
    <w:p>
      <w:pPr>
        <w:spacing w:beforeLines="50" w:afterLines="50"/>
        <w:outlineLvl w:val="0"/>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snapToGrid w:val="0"/>
        <w:spacing w:beforeLines="50" w:after="50"/>
        <w:jc w:val="center"/>
        <w:rPr>
          <w:rFonts w:ascii="宋体" w:hAnsi="宋体"/>
          <w:b/>
          <w:sz w:val="24"/>
        </w:rPr>
      </w:pPr>
      <w:r>
        <w:rPr>
          <w:rFonts w:hint="eastAsia" w:ascii="宋体" w:hAnsi="宋体"/>
          <w:b/>
          <w:sz w:val="24"/>
        </w:rPr>
        <w:t>7、投标函</w:t>
      </w:r>
    </w:p>
    <w:p>
      <w:pPr>
        <w:spacing w:line="480" w:lineRule="exact"/>
        <w:rPr>
          <w:rFonts w:ascii="宋体" w:hAnsi="宋体" w:eastAsia="宋体"/>
          <w:sz w:val="24"/>
          <w:u w:val="single"/>
        </w:rPr>
      </w:pPr>
      <w:r>
        <w:rPr>
          <w:rFonts w:hint="eastAsia" w:ascii="宋体" w:hAnsi="宋体"/>
          <w:sz w:val="24"/>
        </w:rPr>
        <w:t>致：</w:t>
      </w:r>
    </w:p>
    <w:p>
      <w:pPr>
        <w:spacing w:line="480" w:lineRule="exact"/>
        <w:ind w:firstLine="480" w:firstLineChars="200"/>
        <w:rPr>
          <w:rFonts w:ascii="宋体" w:hAnsi="宋体"/>
          <w:sz w:val="24"/>
        </w:rPr>
      </w:pPr>
      <w:r>
        <w:rPr>
          <w:rFonts w:hint="eastAsia" w:ascii="宋体" w:hAnsi="宋体"/>
          <w:sz w:val="24"/>
        </w:rPr>
        <w:t xml:space="preserve">根据已收到贵方的————————（招标文件编号：—————）的招标文件，正式授权下述签字人：————————（姓名和职务）为我公司在职职工，代表投标人（即投标单位） ——————————————，按招标文件要求提交投标文件份数。 </w:t>
      </w:r>
    </w:p>
    <w:p>
      <w:pPr>
        <w:spacing w:line="480" w:lineRule="exact"/>
        <w:ind w:firstLine="480" w:firstLineChars="200"/>
        <w:rPr>
          <w:rFonts w:ascii="宋体" w:hAnsi="宋体"/>
          <w:sz w:val="24"/>
        </w:rPr>
      </w:pPr>
      <w:r>
        <w:rPr>
          <w:rFonts w:hint="eastAsia" w:ascii="宋体" w:hAnsi="宋体"/>
          <w:sz w:val="24"/>
        </w:rPr>
        <w:t>据此函，签字人兹宣布同意如下：</w:t>
      </w:r>
    </w:p>
    <w:p>
      <w:pPr>
        <w:spacing w:line="480" w:lineRule="exact"/>
        <w:ind w:firstLine="480" w:firstLineChars="200"/>
        <w:rPr>
          <w:rFonts w:ascii="宋体" w:hAnsi="宋体"/>
          <w:sz w:val="24"/>
        </w:rPr>
      </w:pPr>
      <w:r>
        <w:rPr>
          <w:rFonts w:hint="eastAsia" w:ascii="宋体" w:hAnsi="宋体"/>
          <w:sz w:val="24"/>
        </w:rPr>
        <w:t xml:space="preserve">（1）我单位经研究本项目招标文件、招标文件补充、修改通知、投标答疑纪要等所有内容后，决定参加本项目投标。投标报价以开标一览表为准。  </w:t>
      </w:r>
    </w:p>
    <w:p>
      <w:pPr>
        <w:spacing w:line="480" w:lineRule="exact"/>
        <w:ind w:firstLine="480" w:firstLineChars="200"/>
        <w:rPr>
          <w:rFonts w:ascii="宋体" w:hAnsi="宋体"/>
          <w:sz w:val="24"/>
        </w:rPr>
      </w:pPr>
      <w:r>
        <w:rPr>
          <w:rFonts w:hint="eastAsia" w:ascii="宋体" w:hAnsi="宋体"/>
          <w:sz w:val="24"/>
        </w:rPr>
        <w:t>（2）根据招标文件的规定，我单位承担合同执行的责任和义务；</w:t>
      </w:r>
    </w:p>
    <w:p>
      <w:pPr>
        <w:spacing w:line="480" w:lineRule="exact"/>
        <w:ind w:firstLine="480" w:firstLineChars="200"/>
        <w:rPr>
          <w:rFonts w:ascii="宋体" w:hAnsi="宋体"/>
          <w:sz w:val="24"/>
        </w:rPr>
      </w:pPr>
      <w:r>
        <w:rPr>
          <w:rFonts w:hint="eastAsia" w:ascii="宋体" w:hAnsi="宋体"/>
          <w:sz w:val="24"/>
        </w:rPr>
        <w:t>（3）我单位已详细审核全部招标文件，包括修改文件、参考资料及有关附件，在完全理解和接受的前提下，完全知道必须放弃因含糊不清或误解而对招标文件提出质疑的权利;</w:t>
      </w:r>
    </w:p>
    <w:p>
      <w:pPr>
        <w:spacing w:line="480" w:lineRule="exact"/>
        <w:ind w:firstLine="480" w:firstLineChars="200"/>
        <w:rPr>
          <w:rFonts w:ascii="宋体" w:hAnsi="宋体"/>
          <w:sz w:val="24"/>
        </w:rPr>
      </w:pPr>
      <w:r>
        <w:rPr>
          <w:rFonts w:hint="eastAsia" w:ascii="宋体" w:hAnsi="宋体"/>
          <w:sz w:val="24"/>
        </w:rPr>
        <w:t>（4）同意提供可能另外要求的与投标有关的任何数据或资料；</w:t>
      </w:r>
    </w:p>
    <w:p>
      <w:pPr>
        <w:spacing w:line="480" w:lineRule="exact"/>
        <w:ind w:firstLine="480" w:firstLineChars="200"/>
        <w:rPr>
          <w:rFonts w:ascii="宋体" w:hAnsi="宋体"/>
          <w:sz w:val="24"/>
        </w:rPr>
      </w:pPr>
      <w:r>
        <w:rPr>
          <w:rFonts w:hint="eastAsia" w:ascii="宋体" w:hAnsi="宋体"/>
          <w:sz w:val="24"/>
        </w:rPr>
        <w:t>（5）同意按照投标人须知前附表中规定的服务要求；</w:t>
      </w:r>
    </w:p>
    <w:p>
      <w:pPr>
        <w:spacing w:line="480" w:lineRule="exact"/>
        <w:ind w:firstLine="480" w:firstLineChars="200"/>
        <w:rPr>
          <w:rFonts w:ascii="宋体" w:hAnsi="宋体"/>
          <w:sz w:val="24"/>
        </w:rPr>
      </w:pPr>
      <w:r>
        <w:rPr>
          <w:rFonts w:hint="eastAsia" w:ascii="宋体" w:hAnsi="宋体"/>
          <w:sz w:val="24"/>
        </w:rPr>
        <w:t>（6）我单位保证所供服务质量符合招标文件规定的要求；</w:t>
      </w:r>
    </w:p>
    <w:p>
      <w:pPr>
        <w:spacing w:line="480" w:lineRule="exact"/>
        <w:ind w:firstLine="480" w:firstLineChars="200"/>
        <w:rPr>
          <w:rFonts w:ascii="宋体" w:hAnsi="宋体"/>
          <w:sz w:val="24"/>
        </w:rPr>
      </w:pPr>
      <w:r>
        <w:rPr>
          <w:rFonts w:hint="eastAsia" w:ascii="宋体" w:hAnsi="宋体"/>
          <w:sz w:val="24"/>
        </w:rPr>
        <w:t>（7）我单位同意所提交的投标文件在投标有效期内有效，在此期间我单位的投标有可能中标，我单位将受此约束；</w:t>
      </w:r>
    </w:p>
    <w:p>
      <w:pPr>
        <w:spacing w:line="480" w:lineRule="exact"/>
        <w:ind w:firstLine="480" w:firstLineChars="200"/>
        <w:rPr>
          <w:rFonts w:ascii="宋体" w:hAnsi="宋体"/>
          <w:sz w:val="24"/>
        </w:rPr>
      </w:pPr>
      <w:r>
        <w:rPr>
          <w:rFonts w:hint="eastAsia" w:ascii="宋体" w:hAnsi="宋体"/>
          <w:sz w:val="24"/>
        </w:rPr>
        <w:t>（8）除非另外达成协议并生效，招标文件、招标文件补充、修改通知、技术规范、中标通知书和本投标文件将构成约束我们双方的合同。</w:t>
      </w:r>
    </w:p>
    <w:p>
      <w:pPr>
        <w:spacing w:line="480" w:lineRule="exact"/>
        <w:ind w:firstLine="720" w:firstLineChars="300"/>
        <w:rPr>
          <w:rFonts w:ascii="宋体" w:hAnsi="宋体"/>
          <w:sz w:val="24"/>
        </w:rPr>
      </w:pPr>
    </w:p>
    <w:p>
      <w:pPr>
        <w:spacing w:line="480" w:lineRule="exact"/>
        <w:ind w:firstLine="480" w:firstLineChars="200"/>
        <w:rPr>
          <w:rFonts w:ascii="宋体" w:hAnsi="宋体"/>
          <w:sz w:val="24"/>
        </w:rPr>
      </w:pPr>
      <w:r>
        <w:rPr>
          <w:rFonts w:hint="eastAsia" w:ascii="宋体" w:hAnsi="宋体"/>
          <w:sz w:val="24"/>
        </w:rPr>
        <w:t xml:space="preserve">投标单位（盖章）：  </w:t>
      </w:r>
    </w:p>
    <w:p>
      <w:pPr>
        <w:spacing w:line="480" w:lineRule="exact"/>
        <w:ind w:firstLine="480" w:firstLineChars="200"/>
        <w:rPr>
          <w:rFonts w:ascii="宋体" w:hAnsi="宋体"/>
          <w:sz w:val="24"/>
        </w:rPr>
      </w:pPr>
      <w:r>
        <w:rPr>
          <w:rFonts w:hint="eastAsia" w:ascii="宋体" w:hAnsi="宋体"/>
          <w:sz w:val="24"/>
        </w:rPr>
        <w:t xml:space="preserve">法定代表人或其授权代理人（签名或盖章）：  </w:t>
      </w:r>
    </w:p>
    <w:p>
      <w:pPr>
        <w:spacing w:line="480" w:lineRule="exact"/>
        <w:ind w:firstLine="480" w:firstLineChars="200"/>
        <w:rPr>
          <w:rFonts w:ascii="宋体" w:hAnsi="宋体"/>
          <w:sz w:val="24"/>
        </w:rPr>
      </w:pPr>
      <w:r>
        <w:rPr>
          <w:rFonts w:hint="eastAsia" w:ascii="宋体" w:hAnsi="宋体"/>
          <w:sz w:val="24"/>
        </w:rPr>
        <w:t xml:space="preserve">  年   月  日</w:t>
      </w:r>
    </w:p>
    <w:p>
      <w:pPr>
        <w:pStyle w:val="27"/>
        <w:snapToGrid w:val="0"/>
        <w:spacing w:beforeLines="0" w:afterLines="0" w:line="240" w:lineRule="auto"/>
        <w:rPr>
          <w:rFonts w:hAnsi="宋体"/>
        </w:rPr>
      </w:pPr>
    </w:p>
    <w:p>
      <w:pPr>
        <w:spacing w:line="480" w:lineRule="auto"/>
        <w:jc w:val="center"/>
        <w:rPr>
          <w:rFonts w:ascii="微软雅黑" w:hAnsi="微软雅黑" w:cs="微软雅黑"/>
          <w:b/>
          <w:sz w:val="24"/>
        </w:rPr>
      </w:pPr>
      <w:r>
        <w:rPr>
          <w:rFonts w:ascii="宋体" w:hAnsi="宋体"/>
          <w:sz w:val="24"/>
        </w:rPr>
        <w:br w:type="page"/>
      </w:r>
      <w:r>
        <w:rPr>
          <w:rFonts w:hint="eastAsia" w:ascii="微软雅黑" w:hAnsi="微软雅黑" w:cs="微软雅黑"/>
          <w:sz w:val="24"/>
        </w:rPr>
        <w:t>8、</w:t>
      </w:r>
      <w:r>
        <w:rPr>
          <w:rFonts w:hint="eastAsia" w:ascii="微软雅黑" w:hAnsi="微软雅黑" w:cs="微软雅黑"/>
          <w:b/>
          <w:sz w:val="24"/>
        </w:rPr>
        <w:t>开标一览表</w:t>
      </w:r>
    </w:p>
    <w:p>
      <w:pPr>
        <w:snapToGrid w:val="0"/>
        <w:spacing w:before="50" w:after="50"/>
        <w:jc w:val="center"/>
        <w:rPr>
          <w:rFonts w:ascii="微软雅黑" w:hAnsi="微软雅黑" w:cs="微软雅黑"/>
          <w:b/>
          <w:sz w:val="24"/>
        </w:rPr>
      </w:pPr>
    </w:p>
    <w:p>
      <w:pPr>
        <w:snapToGrid w:val="0"/>
        <w:spacing w:before="50" w:after="50"/>
        <w:rPr>
          <w:rFonts w:ascii="微软雅黑" w:hAnsi="微软雅黑" w:cs="微软雅黑"/>
          <w:sz w:val="24"/>
          <w:u w:val="single"/>
        </w:rPr>
      </w:pPr>
      <w:r>
        <w:rPr>
          <w:rFonts w:hint="eastAsia" w:ascii="微软雅黑" w:hAnsi="微软雅黑" w:cs="微软雅黑"/>
          <w:sz w:val="24"/>
        </w:rPr>
        <w:t>招标编号：                         项目名称：</w:t>
      </w:r>
    </w:p>
    <w:p>
      <w:pPr>
        <w:snapToGrid w:val="0"/>
        <w:spacing w:before="50" w:after="50"/>
        <w:rPr>
          <w:rFonts w:ascii="微软雅黑" w:hAnsi="微软雅黑" w:cs="微软雅黑"/>
          <w:sz w:val="24"/>
        </w:rPr>
      </w:pPr>
      <w:r>
        <w:rPr>
          <w:rFonts w:hint="eastAsia" w:ascii="微软雅黑" w:hAnsi="微软雅黑" w:cs="微软雅黑"/>
          <w:sz w:val="24"/>
        </w:rPr>
        <w:t>投标人名称：</w:t>
      </w:r>
    </w:p>
    <w:tbl>
      <w:tblPr>
        <w:tblStyle w:val="60"/>
        <w:tblW w:w="103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4"/>
        <w:gridCol w:w="2892"/>
        <w:gridCol w:w="2200"/>
        <w:gridCol w:w="2562"/>
        <w:gridCol w:w="1138"/>
        <w:gridCol w:w="6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91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序号</w:t>
            </w:r>
          </w:p>
        </w:tc>
        <w:tc>
          <w:tcPr>
            <w:tcW w:w="289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项目名称</w:t>
            </w:r>
          </w:p>
        </w:tc>
        <w:tc>
          <w:tcPr>
            <w:tcW w:w="22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单价</w:t>
            </w:r>
          </w:p>
        </w:tc>
        <w:tc>
          <w:tcPr>
            <w:tcW w:w="25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单区块合计</w:t>
            </w:r>
          </w:p>
        </w:tc>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交货期</w:t>
            </w:r>
          </w:p>
        </w:tc>
        <w:tc>
          <w:tcPr>
            <w:tcW w:w="6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sz w:val="24"/>
              </w:rPr>
            </w:pPr>
            <w:r>
              <w:rPr>
                <w:rFonts w:hint="eastAsia" w:ascii="微软雅黑" w:hAnsi="微软雅黑" w:cs="微软雅黑"/>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5" w:hRule="atLeast"/>
          <w:jc w:val="center"/>
        </w:trPr>
        <w:tc>
          <w:tcPr>
            <w:tcW w:w="914" w:type="dxa"/>
            <w:vMerge w:val="restart"/>
            <w:tcBorders>
              <w:top w:val="single" w:color="auto" w:sz="4" w:space="0"/>
              <w:left w:val="single" w:color="auto" w:sz="4" w:space="0"/>
              <w:right w:val="single" w:color="auto" w:sz="4" w:space="0"/>
            </w:tcBorders>
            <w:noWrap/>
            <w:vAlign w:val="center"/>
          </w:tcPr>
          <w:p>
            <w:pPr>
              <w:snapToGrid w:val="0"/>
              <w:spacing w:before="50" w:after="50"/>
              <w:jc w:val="center"/>
              <w:rPr>
                <w:rFonts w:ascii="微软雅黑" w:hAnsi="微软雅黑" w:cs="微软雅黑"/>
                <w:sz w:val="24"/>
              </w:rPr>
            </w:pPr>
            <w:r>
              <w:rPr>
                <w:rFonts w:hint="eastAsia" w:ascii="微软雅黑" w:hAnsi="微软雅黑" w:cs="微软雅黑"/>
                <w:sz w:val="24"/>
              </w:rPr>
              <w:t>1</w:t>
            </w:r>
          </w:p>
          <w:p>
            <w:pPr>
              <w:snapToGrid w:val="0"/>
              <w:spacing w:before="50" w:after="50"/>
              <w:jc w:val="center"/>
              <w:rPr>
                <w:rFonts w:ascii="微软雅黑" w:hAnsi="微软雅黑" w:cs="微软雅黑"/>
                <w:sz w:val="24"/>
              </w:rPr>
            </w:pPr>
          </w:p>
        </w:tc>
        <w:tc>
          <w:tcPr>
            <w:tcW w:w="2892" w:type="dxa"/>
            <w:vMerge w:val="restart"/>
            <w:tcBorders>
              <w:top w:val="single" w:color="auto" w:sz="4" w:space="0"/>
              <w:left w:val="single" w:color="auto" w:sz="4" w:space="0"/>
              <w:right w:val="single" w:color="auto" w:sz="4" w:space="0"/>
            </w:tcBorders>
            <w:noWrap/>
            <w:vAlign w:val="center"/>
          </w:tcPr>
          <w:p>
            <w:pPr>
              <w:snapToGrid w:val="0"/>
              <w:spacing w:before="50" w:after="50"/>
              <w:jc w:val="center"/>
              <w:rPr>
                <w:rFonts w:ascii="微软雅黑" w:hAnsi="微软雅黑" w:cs="微软雅黑"/>
                <w:b/>
              </w:rPr>
            </w:pPr>
            <w:r>
              <w:rPr>
                <w:rFonts w:hint="eastAsia" w:ascii="微软雅黑" w:hAnsi="微软雅黑" w:cs="微软雅黑"/>
                <w:b/>
              </w:rPr>
              <w:t>湖州市吴兴区（含南太湖新区）门牌数据信息采集项目</w:t>
            </w:r>
          </w:p>
        </w:tc>
        <w:tc>
          <w:tcPr>
            <w:tcW w:w="2200" w:type="dxa"/>
            <w:vMerge w:val="restart"/>
            <w:tcBorders>
              <w:top w:val="single" w:color="auto" w:sz="4" w:space="0"/>
              <w:left w:val="single" w:color="auto" w:sz="4" w:space="0"/>
              <w:right w:val="single" w:color="auto" w:sz="4" w:space="0"/>
            </w:tcBorders>
            <w:noWrap/>
            <w:vAlign w:val="center"/>
          </w:tcPr>
          <w:p>
            <w:pPr>
              <w:snapToGrid w:val="0"/>
              <w:spacing w:before="50" w:after="50"/>
              <w:rPr>
                <w:rFonts w:ascii="微软雅黑" w:hAnsi="微软雅黑" w:cs="微软雅黑"/>
                <w:sz w:val="24"/>
              </w:rPr>
            </w:pPr>
            <w:r>
              <w:rPr>
                <w:rFonts w:hint="eastAsia" w:ascii="微软雅黑" w:hAnsi="微软雅黑" w:cs="微软雅黑"/>
                <w:sz w:val="24"/>
              </w:rPr>
              <w:t>元/平方公里</w:t>
            </w:r>
          </w:p>
        </w:tc>
        <w:tc>
          <w:tcPr>
            <w:tcW w:w="25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sz w:val="24"/>
              </w:rPr>
            </w:pPr>
            <w:r>
              <w:rPr>
                <w:rFonts w:hint="eastAsia" w:ascii="微软雅黑" w:hAnsi="微软雅黑" w:cs="微软雅黑"/>
                <w:sz w:val="24"/>
                <w:u w:val="single"/>
              </w:rPr>
              <w:t xml:space="preserve">吴兴区：         </w:t>
            </w:r>
            <w:r>
              <w:rPr>
                <w:rFonts w:hint="eastAsia" w:ascii="微软雅黑" w:hAnsi="微软雅黑" w:cs="微软雅黑"/>
                <w:sz w:val="24"/>
              </w:rPr>
              <w:t>元</w:t>
            </w:r>
          </w:p>
        </w:tc>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微软雅黑" w:hAnsi="微软雅黑" w:cs="微软雅黑"/>
                <w:sz w:val="24"/>
              </w:rPr>
            </w:pPr>
          </w:p>
        </w:tc>
        <w:tc>
          <w:tcPr>
            <w:tcW w:w="6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微软雅黑" w:hAnsi="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5" w:hRule="atLeast"/>
          <w:jc w:val="center"/>
        </w:trPr>
        <w:tc>
          <w:tcPr>
            <w:tcW w:w="914" w:type="dxa"/>
            <w:vMerge w:val="continue"/>
            <w:tcBorders>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sz w:val="24"/>
              </w:rPr>
            </w:pPr>
          </w:p>
        </w:tc>
        <w:tc>
          <w:tcPr>
            <w:tcW w:w="2892" w:type="dxa"/>
            <w:vMerge w:val="continue"/>
            <w:tcBorders>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b/>
              </w:rPr>
            </w:pPr>
          </w:p>
        </w:tc>
        <w:tc>
          <w:tcPr>
            <w:tcW w:w="2200" w:type="dxa"/>
            <w:vMerge w:val="continue"/>
            <w:tcBorders>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sz w:val="24"/>
              </w:rPr>
            </w:pPr>
          </w:p>
        </w:tc>
        <w:tc>
          <w:tcPr>
            <w:tcW w:w="25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sz w:val="24"/>
                <w:u w:val="single"/>
              </w:rPr>
            </w:pPr>
            <w:r>
              <w:rPr>
                <w:rFonts w:hint="eastAsia" w:ascii="微软雅黑" w:hAnsi="微软雅黑" w:cs="微软雅黑"/>
                <w:sz w:val="24"/>
                <w:u w:val="single"/>
              </w:rPr>
              <w:t>南太湖新区：      元</w:t>
            </w:r>
          </w:p>
        </w:tc>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微软雅黑" w:hAnsi="微软雅黑" w:cs="微软雅黑"/>
                <w:sz w:val="24"/>
              </w:rPr>
            </w:pPr>
          </w:p>
        </w:tc>
        <w:tc>
          <w:tcPr>
            <w:tcW w:w="6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微软雅黑" w:hAnsi="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0" w:hRule="atLeast"/>
          <w:jc w:val="center"/>
        </w:trPr>
        <w:tc>
          <w:tcPr>
            <w:tcW w:w="91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微软雅黑" w:hAnsi="微软雅黑" w:cs="微软雅黑"/>
                <w:sz w:val="24"/>
              </w:rPr>
            </w:pPr>
            <w:r>
              <w:rPr>
                <w:rFonts w:hint="eastAsia" w:ascii="微软雅黑" w:hAnsi="微软雅黑" w:cs="微软雅黑"/>
                <w:sz w:val="24"/>
              </w:rPr>
              <w:t>2</w:t>
            </w:r>
          </w:p>
        </w:tc>
        <w:tc>
          <w:tcPr>
            <w:tcW w:w="9410"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微软雅黑" w:hAnsi="微软雅黑" w:cs="微软雅黑"/>
                <w:sz w:val="24"/>
              </w:rPr>
            </w:pPr>
            <w:r>
              <w:rPr>
                <w:rFonts w:hint="eastAsia" w:ascii="微软雅黑" w:hAnsi="微软雅黑" w:cs="微软雅黑"/>
                <w:sz w:val="24"/>
              </w:rPr>
              <w:t>总计金额小写：</w:t>
            </w:r>
          </w:p>
          <w:p>
            <w:pPr>
              <w:snapToGrid w:val="0"/>
              <w:spacing w:before="50" w:after="50"/>
              <w:rPr>
                <w:rFonts w:ascii="微软雅黑" w:hAnsi="微软雅黑" w:cs="微软雅黑"/>
                <w:sz w:val="24"/>
              </w:rPr>
            </w:pPr>
            <w:r>
              <w:rPr>
                <w:rFonts w:hint="eastAsia" w:ascii="微软雅黑" w:hAnsi="微软雅黑" w:cs="微软雅黑"/>
                <w:sz w:val="24"/>
              </w:rPr>
              <w:t>总计金额大写：</w:t>
            </w:r>
          </w:p>
        </w:tc>
      </w:tr>
    </w:tbl>
    <w:p>
      <w:pPr>
        <w:snapToGrid w:val="0"/>
        <w:spacing w:before="50" w:after="50"/>
        <w:ind w:firstLine="480" w:firstLineChars="200"/>
        <w:jc w:val="left"/>
        <w:rPr>
          <w:rFonts w:ascii="微软雅黑" w:hAnsi="微软雅黑" w:cs="微软雅黑"/>
          <w:sz w:val="24"/>
        </w:rPr>
      </w:pPr>
      <w:r>
        <w:rPr>
          <w:rFonts w:hint="eastAsia" w:ascii="微软雅黑" w:hAnsi="微软雅黑" w:cs="微软雅黑"/>
          <w:sz w:val="24"/>
        </w:rPr>
        <w:t>注: 1、报价一经涂改，应在涂改处加盖单位公章或者由法定代表人或授权委托人签名或盖章，否则其投标作无效标处理。</w:t>
      </w:r>
    </w:p>
    <w:p>
      <w:pPr>
        <w:snapToGrid w:val="0"/>
        <w:spacing w:before="50" w:after="50"/>
        <w:ind w:firstLine="480" w:firstLineChars="200"/>
        <w:jc w:val="left"/>
        <w:rPr>
          <w:rFonts w:ascii="微软雅黑" w:hAnsi="微软雅黑" w:cs="微软雅黑"/>
          <w:sz w:val="24"/>
        </w:rPr>
      </w:pPr>
      <w:r>
        <w:rPr>
          <w:rFonts w:hint="eastAsia" w:ascii="微软雅黑" w:hAnsi="微软雅黑" w:cs="微软雅黑"/>
          <w:sz w:val="24"/>
        </w:rPr>
        <w:t>2、投标费用包括项目实施所需的一切可能发生的费用。</w:t>
      </w:r>
    </w:p>
    <w:p>
      <w:pPr>
        <w:snapToGrid w:val="0"/>
        <w:spacing w:before="50" w:after="50"/>
        <w:ind w:firstLine="480" w:firstLineChars="200"/>
        <w:rPr>
          <w:rFonts w:ascii="微软雅黑" w:hAnsi="微软雅黑" w:cs="微软雅黑"/>
          <w:sz w:val="24"/>
        </w:rPr>
      </w:pPr>
    </w:p>
    <w:p>
      <w:pPr>
        <w:pStyle w:val="2"/>
      </w:pPr>
    </w:p>
    <w:p>
      <w:pPr>
        <w:snapToGrid w:val="0"/>
        <w:spacing w:before="50" w:after="50"/>
        <w:ind w:firstLine="480" w:firstLineChars="200"/>
        <w:rPr>
          <w:rFonts w:ascii="微软雅黑" w:hAnsi="微软雅黑" w:cs="微软雅黑"/>
          <w:sz w:val="24"/>
        </w:rPr>
      </w:pPr>
    </w:p>
    <w:p>
      <w:pPr>
        <w:snapToGrid w:val="0"/>
        <w:spacing w:before="50" w:after="50"/>
        <w:ind w:firstLine="480" w:firstLineChars="200"/>
        <w:rPr>
          <w:rFonts w:ascii="微软雅黑" w:hAnsi="微软雅黑" w:cs="微软雅黑"/>
          <w:sz w:val="24"/>
        </w:rPr>
      </w:pPr>
    </w:p>
    <w:p>
      <w:pPr>
        <w:snapToGrid w:val="0"/>
        <w:spacing w:before="50" w:after="50"/>
        <w:ind w:firstLine="480" w:firstLineChars="200"/>
        <w:rPr>
          <w:rFonts w:ascii="微软雅黑" w:hAnsi="微软雅黑" w:cs="微软雅黑"/>
          <w:sz w:val="24"/>
        </w:rPr>
      </w:pPr>
    </w:p>
    <w:p>
      <w:pPr>
        <w:snapToGrid w:val="0"/>
        <w:spacing w:before="50" w:after="50"/>
        <w:ind w:firstLine="480" w:firstLineChars="200"/>
        <w:rPr>
          <w:rFonts w:ascii="微软雅黑" w:hAnsi="微软雅黑" w:cs="微软雅黑"/>
          <w:sz w:val="24"/>
        </w:rPr>
      </w:pPr>
    </w:p>
    <w:p>
      <w:pPr>
        <w:snapToGrid w:val="0"/>
        <w:spacing w:before="50" w:after="50"/>
        <w:ind w:firstLine="480" w:firstLineChars="200"/>
        <w:rPr>
          <w:rFonts w:ascii="微软雅黑" w:hAnsi="微软雅黑" w:cs="微软雅黑"/>
          <w:sz w:val="24"/>
        </w:rPr>
      </w:pPr>
    </w:p>
    <w:p>
      <w:pPr>
        <w:snapToGrid w:val="0"/>
        <w:spacing w:before="50" w:after="50"/>
        <w:ind w:left="-2" w:leftChars="-1" w:right="-817" w:rightChars="-389"/>
        <w:rPr>
          <w:rFonts w:ascii="微软雅黑" w:hAnsi="微软雅黑" w:cs="微软雅黑"/>
          <w:sz w:val="24"/>
        </w:rPr>
      </w:pPr>
      <w:r>
        <w:rPr>
          <w:rFonts w:hint="eastAsia" w:ascii="宋体" w:hAnsi="宋体"/>
          <w:sz w:val="24"/>
        </w:rPr>
        <w:t xml:space="preserve">法定代表人（签名或盖章） </w:t>
      </w:r>
      <w:r>
        <w:rPr>
          <w:rFonts w:hint="eastAsia" w:ascii="微软雅黑" w:hAnsi="微软雅黑" w:cs="微软雅黑"/>
          <w:sz w:val="24"/>
        </w:rPr>
        <w:t xml:space="preserve">：                    </w:t>
      </w:r>
    </w:p>
    <w:p>
      <w:pPr>
        <w:snapToGrid w:val="0"/>
        <w:spacing w:before="50" w:after="50"/>
        <w:ind w:right="-817" w:rightChars="-389"/>
        <w:rPr>
          <w:rFonts w:ascii="微软雅黑" w:hAnsi="微软雅黑" w:cs="微软雅黑"/>
          <w:sz w:val="24"/>
        </w:rPr>
      </w:pPr>
      <w:r>
        <w:rPr>
          <w:rFonts w:hint="eastAsia" w:ascii="微软雅黑" w:hAnsi="微软雅黑" w:cs="微软雅黑"/>
          <w:sz w:val="24"/>
        </w:rPr>
        <w:t xml:space="preserve">投标人名称（盖章）：                               </w:t>
      </w:r>
    </w:p>
    <w:p>
      <w:pPr>
        <w:snapToGrid w:val="0"/>
        <w:spacing w:before="50" w:after="50"/>
        <w:ind w:right="-817" w:rightChars="-389"/>
        <w:rPr>
          <w:rFonts w:ascii="微软雅黑" w:hAnsi="微软雅黑" w:cs="微软雅黑"/>
          <w:sz w:val="24"/>
        </w:rPr>
      </w:pPr>
      <w:r>
        <w:rPr>
          <w:rFonts w:hint="eastAsia" w:ascii="微软雅黑" w:hAnsi="微软雅黑" w:cs="微软雅黑"/>
          <w:sz w:val="24"/>
        </w:rPr>
        <w:t xml:space="preserve">  年   月   日</w:t>
      </w:r>
    </w:p>
    <w:p>
      <w:pPr>
        <w:snapToGrid w:val="0"/>
        <w:spacing w:before="50" w:after="50"/>
        <w:ind w:right="-817" w:rightChars="-389"/>
        <w:rPr>
          <w:rFonts w:ascii="微软雅黑" w:hAnsi="微软雅黑" w:cs="微软雅黑"/>
          <w:sz w:val="24"/>
        </w:rPr>
      </w:pPr>
    </w:p>
    <w:p>
      <w:pPr>
        <w:snapToGrid w:val="0"/>
        <w:spacing w:before="50" w:after="50"/>
        <w:ind w:right="-817" w:rightChars="-389"/>
        <w:rPr>
          <w:rFonts w:ascii="宋体" w:hAnsi="宋体"/>
          <w:sz w:val="24"/>
        </w:rPr>
      </w:pPr>
    </w:p>
    <w:p>
      <w:pPr>
        <w:snapToGrid w:val="0"/>
        <w:spacing w:before="50" w:after="50"/>
        <w:jc w:val="center"/>
        <w:rPr>
          <w:rFonts w:ascii="宋体" w:hAnsi="宋体"/>
          <w:b/>
          <w:sz w:val="24"/>
        </w:rPr>
      </w:pPr>
    </w:p>
    <w:p>
      <w:pPr>
        <w:pStyle w:val="2"/>
      </w:pPr>
    </w:p>
    <w:p>
      <w:pPr>
        <w:pStyle w:val="2"/>
        <w:rPr>
          <w:rFonts w:ascii="宋体" w:hAnsi="宋体"/>
          <w:b/>
        </w:rPr>
      </w:pPr>
    </w:p>
    <w:p>
      <w:pPr>
        <w:pStyle w:val="2"/>
        <w:rPr>
          <w:rFonts w:ascii="宋体" w:hAnsi="宋体"/>
          <w:b/>
        </w:rPr>
      </w:pPr>
    </w:p>
    <w:p>
      <w:pPr>
        <w:pStyle w:val="2"/>
        <w:rPr>
          <w:rFonts w:ascii="宋体" w:hAnsi="宋体"/>
          <w:b/>
        </w:rPr>
      </w:pPr>
    </w:p>
    <w:p>
      <w:pPr>
        <w:pStyle w:val="2"/>
        <w:rPr>
          <w:rFonts w:ascii="宋体" w:hAnsi="宋体"/>
          <w:b/>
        </w:rPr>
      </w:pPr>
    </w:p>
    <w:p>
      <w:pPr>
        <w:spacing w:line="480" w:lineRule="auto"/>
        <w:jc w:val="center"/>
        <w:rPr>
          <w:rFonts w:ascii="微软雅黑" w:hAnsi="微软雅黑" w:cs="微软雅黑"/>
          <w:b/>
          <w:sz w:val="24"/>
        </w:rPr>
      </w:pPr>
      <w:r>
        <w:rPr>
          <w:rFonts w:hint="eastAsia" w:ascii="微软雅黑" w:hAnsi="微软雅黑" w:cs="微软雅黑"/>
          <w:b/>
          <w:sz w:val="24"/>
        </w:rPr>
        <w:t>9、招标代理服务费承诺函</w:t>
      </w:r>
    </w:p>
    <w:p>
      <w:pPr>
        <w:tabs>
          <w:tab w:val="left" w:pos="2996"/>
        </w:tabs>
        <w:spacing w:line="480" w:lineRule="auto"/>
        <w:ind w:firstLine="720" w:firstLineChars="300"/>
        <w:rPr>
          <w:sz w:val="24"/>
        </w:rPr>
      </w:pPr>
      <w:r>
        <w:rPr>
          <w:rFonts w:hint="eastAsia"/>
          <w:sz w:val="24"/>
        </w:rPr>
        <w:t>根据国家计委、物价局文件和磋商文件的规定，一旦我公司成交，我公司同意按本招标文件规定向招标代理机构交纳招标代理服务费，费用在收到成交通知书的当日一次性向招标代理机构缴清招标代理服务费。本承诺函自投标之日起至本次采购期满有效。</w:t>
      </w:r>
    </w:p>
    <w:p>
      <w:pPr>
        <w:spacing w:line="480" w:lineRule="auto"/>
        <w:rPr>
          <w:sz w:val="24"/>
        </w:rPr>
      </w:pPr>
    </w:p>
    <w:p>
      <w:pPr>
        <w:spacing w:line="360" w:lineRule="auto"/>
        <w:rPr>
          <w:sz w:val="24"/>
        </w:rPr>
      </w:pPr>
    </w:p>
    <w:p>
      <w:pPr>
        <w:spacing w:line="360" w:lineRule="auto"/>
        <w:rPr>
          <w:sz w:val="24"/>
        </w:rPr>
      </w:pPr>
    </w:p>
    <w:p>
      <w:pPr>
        <w:spacing w:line="360" w:lineRule="auto"/>
        <w:rPr>
          <w:sz w:val="24"/>
        </w:rPr>
      </w:pPr>
    </w:p>
    <w:p>
      <w:pPr>
        <w:spacing w:line="480" w:lineRule="auto"/>
        <w:ind w:firstLine="3840" w:firstLineChars="1600"/>
        <w:rPr>
          <w:rFonts w:ascii="宋体" w:hAnsi="宋体"/>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snapToGrid w:val="0"/>
        <w:spacing w:before="50" w:after="50"/>
        <w:ind w:firstLine="1680" w:firstLineChars="600"/>
        <w:rPr>
          <w:rFonts w:ascii="宋体" w:hAnsi="宋体"/>
          <w:spacing w:val="20"/>
          <w:sz w:val="24"/>
          <w:szCs w:val="20"/>
          <w:u w:val="single"/>
        </w:rPr>
      </w:pPr>
      <w:r>
        <w:rPr>
          <w:rFonts w:hint="eastAsia" w:ascii="宋体" w:hAnsi="宋体"/>
          <w:spacing w:val="20"/>
          <w:sz w:val="24"/>
        </w:rPr>
        <w:t>法定代表人或授权人签名：</w:t>
      </w:r>
    </w:p>
    <w:p>
      <w:pPr>
        <w:snapToGrid w:val="0"/>
        <w:spacing w:beforeLines="50" w:after="50"/>
        <w:jc w:val="center"/>
        <w:rPr>
          <w:rFonts w:ascii="宋体" w:hAnsi="宋体" w:cs="宋体"/>
          <w:b/>
          <w:sz w:val="32"/>
          <w:szCs w:val="32"/>
        </w:rPr>
      </w:pPr>
      <w:r>
        <w:rPr>
          <w:rFonts w:hint="eastAsia" w:ascii="宋体" w:hAnsi="宋体"/>
          <w:spacing w:val="20"/>
          <w:sz w:val="24"/>
        </w:rPr>
        <w:t>供应商盖章：日期：</w:t>
      </w:r>
    </w:p>
    <w:p>
      <w:pPr>
        <w:snapToGrid w:val="0"/>
        <w:spacing w:beforeLines="50" w:after="50"/>
        <w:jc w:val="center"/>
        <w:rPr>
          <w:rFonts w:ascii="宋体" w:hAnsi="宋体" w:cs="宋体"/>
          <w:b/>
          <w:sz w:val="32"/>
          <w:szCs w:val="32"/>
        </w:rPr>
      </w:pPr>
    </w:p>
    <w:p>
      <w:pPr>
        <w:pStyle w:val="2"/>
        <w:ind w:firstLine="0" w:firstLineChars="0"/>
        <w:rPr>
          <w:rFonts w:ascii="微软雅黑" w:hAnsi="微软雅黑" w:cs="微软雅黑"/>
          <w:b/>
          <w:sz w:val="24"/>
        </w:rPr>
      </w:pPr>
    </w:p>
    <w:p>
      <w:pPr>
        <w:pStyle w:val="2"/>
        <w:ind w:firstLine="0" w:firstLineChars="0"/>
        <w:jc w:val="center"/>
        <w:rPr>
          <w:rFonts w:ascii="微软雅黑" w:hAnsi="微软雅黑" w:cs="微软雅黑"/>
          <w:b/>
          <w:sz w:val="24"/>
        </w:rPr>
      </w:pPr>
    </w:p>
    <w:sectPr>
      <w:headerReference r:id="rId14" w:type="first"/>
      <w:headerReference r:id="rId13" w:type="default"/>
      <w:pgSz w:w="11906" w:h="16838"/>
      <w:pgMar w:top="1440" w:right="1077" w:bottom="1440" w:left="1077" w:header="851"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Calibri Light">
    <w:altName w:val="Calibri"/>
    <w:panose1 w:val="020F0302020204030204"/>
    <w:charset w:val="00"/>
    <w:family w:val="swiss"/>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504020202020204"/>
    <w:charset w:val="00"/>
    <w:family w:val="swiss"/>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098" o:spid="_x0000_s4098"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33"/>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w:r>
    <w:r>
      <w:rPr>
        <w:rFonts w:hint="eastAsia"/>
      </w:rPr>
      <w:t>浙江中合工程管理有限公司                 电话：0572-2026620</w:t>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64"/>
      </w:rPr>
    </w:pPr>
    <w:r>
      <w:fldChar w:fldCharType="begin"/>
    </w:r>
    <w:r>
      <w:rPr>
        <w:rStyle w:val="64"/>
      </w:rPr>
      <w:instrText xml:space="preserve">PAGE  </w:instrText>
    </w:r>
    <w:r>
      <w:fldChar w:fldCharType="end"/>
    </w:r>
  </w:p>
  <w:p>
    <w:pPr>
      <w:pStyle w:val="3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33"/>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w:r>
    <w:r>
      <w:rPr>
        <w:rFonts w:hint="eastAsia"/>
      </w:rPr>
      <w:t>浙江中合工程管理有限公司                 电话：0572-2026620</w:t>
    </w:r>
  </w:p>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100" o:spid="_x0000_s4100"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33"/>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w:t>
                </w:r>
              </w:p>
            </w:txbxContent>
          </v:textbox>
        </v:shape>
      </w:pict>
    </w:r>
    <w:r>
      <w:rPr>
        <w:rFonts w:hint="eastAsia"/>
      </w:rPr>
      <w:t>浙江中合工程管理有限公司                 电话：0572-2026620</w:t>
    </w:r>
  </w:p>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099" o:spid="_x0000_s4099"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33"/>
                  <w:rPr>
                    <w:rFonts w:eastAsia="微软雅黑"/>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w:r>
    <w:r>
      <w:rPr>
        <w:rFonts w:hint="eastAsia"/>
      </w:rPr>
      <w:t>浙江中合工程管理有限公司                 电话：0572-2026620</w:t>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Fonts w:asciiTheme="majorEastAsia" w:hAnsiTheme="majorEastAsia" w:eastAsiaTheme="majorEastAsia" w:cstheme="majorEastAsia"/>
      </w:rPr>
    </w:pPr>
    <w:r>
      <w:rPr>
        <w:rFonts w:hint="eastAsia" w:asciiTheme="majorEastAsia" w:hAnsiTheme="majorEastAsia" w:eastAsiaTheme="majorEastAsia" w:cstheme="majorEastAsia"/>
      </w:rPr>
      <w:t>湖州市吴兴区（含南太湖新区）门牌数据信息采集项目                        公开招标采购文件</w:t>
    </w:r>
  </w:p>
  <w:p>
    <w:pPr>
      <w:pStyle w:val="3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6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Fonts w:asciiTheme="majorEastAsia" w:hAnsiTheme="majorEastAsia" w:eastAsiaTheme="majorEastAsia" w:cstheme="majorEastAsia"/>
      </w:rPr>
    </w:pPr>
    <w:r>
      <w:rPr>
        <w:rFonts w:hint="eastAsia" w:asciiTheme="majorEastAsia" w:hAnsiTheme="majorEastAsia" w:eastAsiaTheme="majorEastAsia" w:cstheme="majorEastAsia"/>
      </w:rPr>
      <w:t>湖州市吴兴区（含南太湖新区）门牌数据信息采集项目                        公开招标采购文件</w:t>
    </w:r>
  </w:p>
  <w:p>
    <w:pPr>
      <w:pStyle w:val="34"/>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Style w:val="64"/>
        <w:sz w:val="21"/>
        <w:szCs w:val="21"/>
      </w:rPr>
    </w:pPr>
    <w:r>
      <w:rPr>
        <w:rFonts w:hint="eastAsia" w:asciiTheme="majorEastAsia" w:hAnsiTheme="majorEastAsia" w:eastAsiaTheme="majorEastAsia" w:cstheme="majorEastAsia"/>
      </w:rPr>
      <w:t>湖州市吴兴区（含南太湖新区）门牌数据信息采集项目                        公开招标采购文件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B24D0"/>
    <w:multiLevelType w:val="singleLevel"/>
    <w:tmpl w:val="A8FB24D0"/>
    <w:lvl w:ilvl="0" w:tentative="0">
      <w:start w:val="6"/>
      <w:numFmt w:val="chineseCounting"/>
      <w:suff w:val="nothing"/>
      <w:lvlText w:val="第%1章、"/>
      <w:lvlJc w:val="left"/>
      <w:rPr>
        <w:rFonts w:hint="eastAsia"/>
      </w:rPr>
    </w:lvl>
  </w:abstractNum>
  <w:abstractNum w:abstractNumId="1">
    <w:nsid w:val="00000010"/>
    <w:multiLevelType w:val="singleLevel"/>
    <w:tmpl w:val="00000010"/>
    <w:lvl w:ilvl="0" w:tentative="0">
      <w:start w:val="3"/>
      <w:numFmt w:val="chineseCounting"/>
      <w:suff w:val="nothing"/>
      <w:lvlText w:val="（%1）"/>
      <w:lvlJc w:val="left"/>
    </w:lvl>
  </w:abstractNum>
  <w:abstractNum w:abstractNumId="2">
    <w:nsid w:val="00000019"/>
    <w:multiLevelType w:val="multilevel"/>
    <w:tmpl w:val="00000019"/>
    <w:lvl w:ilvl="0" w:tentative="0">
      <w:start w:val="2"/>
      <w:numFmt w:val="decimal"/>
      <w:suff w:val="nothing"/>
      <w:lvlText w:val="%1、"/>
      <w:lvlJc w:val="left"/>
    </w:lvl>
    <w:lvl w:ilvl="1" w:tentative="0">
      <w:start w:val="1"/>
      <w:numFmt w:val="decimalZero"/>
      <w:isLgl/>
      <w:lvlText w:val="节 %1.%2"/>
      <w:lvlJc w:val="left"/>
      <w:pPr>
        <w:tabs>
          <w:tab w:val="left" w:pos="1080"/>
        </w:tabs>
      </w:pPr>
      <w:rPr>
        <w:rFonts w:hint="eastAsia" w:cs="Times New Roman"/>
      </w:rPr>
    </w:lvl>
    <w:lvl w:ilvl="2" w:tentative="0">
      <w:start w:val="1"/>
      <w:numFmt w:val="none"/>
      <w:suff w:val="space"/>
      <w:lvlText w:val="3.5"/>
      <w:lvlJc w:val="left"/>
      <w:pPr>
        <w:ind w:left="432" w:hanging="432"/>
      </w:pPr>
      <w:rPr>
        <w:rFonts w:hint="eastAsia" w:cs="Times New Roman"/>
      </w:rPr>
    </w:lvl>
    <w:lvl w:ilvl="3" w:tentative="0">
      <w:start w:val="1"/>
      <w:numFmt w:val="lowerRoman"/>
      <w:lvlText w:val="(%4)"/>
      <w:lvlJc w:val="right"/>
      <w:pPr>
        <w:tabs>
          <w:tab w:val="left" w:pos="864"/>
        </w:tabs>
        <w:ind w:left="864" w:hanging="144"/>
      </w:pPr>
      <w:rPr>
        <w:rFonts w:hint="eastAsia" w:cs="Times New Roman"/>
      </w:rPr>
    </w:lvl>
    <w:lvl w:ilvl="4" w:tentative="0">
      <w:start w:val="1"/>
      <w:numFmt w:val="decimal"/>
      <w:lvlText w:val="%5)"/>
      <w:lvlJc w:val="left"/>
      <w:pPr>
        <w:tabs>
          <w:tab w:val="left" w:pos="1008"/>
        </w:tabs>
        <w:ind w:left="1008" w:hanging="432"/>
      </w:pPr>
      <w:rPr>
        <w:rFonts w:hint="eastAsia" w:cs="Times New Roman"/>
      </w:rPr>
    </w:lvl>
    <w:lvl w:ilvl="5" w:tentative="0">
      <w:start w:val="1"/>
      <w:numFmt w:val="lowerLetter"/>
      <w:lvlText w:val="%6)"/>
      <w:lvlJc w:val="left"/>
      <w:pPr>
        <w:tabs>
          <w:tab w:val="left" w:pos="1152"/>
        </w:tabs>
        <w:ind w:left="1152" w:hanging="432"/>
      </w:pPr>
      <w:rPr>
        <w:rFonts w:hint="eastAsia" w:cs="Times New Roman"/>
      </w:rPr>
    </w:lvl>
    <w:lvl w:ilvl="6" w:tentative="0">
      <w:start w:val="1"/>
      <w:numFmt w:val="lowerRoman"/>
      <w:lvlText w:val="%7)"/>
      <w:lvlJc w:val="right"/>
      <w:pPr>
        <w:tabs>
          <w:tab w:val="left" w:pos="1296"/>
        </w:tabs>
        <w:ind w:left="1296" w:hanging="288"/>
      </w:pPr>
      <w:rPr>
        <w:rFonts w:hint="eastAsia" w:cs="Times New Roman"/>
      </w:rPr>
    </w:lvl>
    <w:lvl w:ilvl="7" w:tentative="0">
      <w:start w:val="1"/>
      <w:numFmt w:val="lowerLetter"/>
      <w:lvlText w:val="%8."/>
      <w:lvlJc w:val="left"/>
      <w:pPr>
        <w:tabs>
          <w:tab w:val="left" w:pos="1440"/>
        </w:tabs>
        <w:ind w:left="1440" w:hanging="432"/>
      </w:pPr>
      <w:rPr>
        <w:rFonts w:hint="eastAsia" w:cs="Times New Roman"/>
      </w:rPr>
    </w:lvl>
    <w:lvl w:ilvl="8" w:tentative="0">
      <w:start w:val="1"/>
      <w:numFmt w:val="lowerRoman"/>
      <w:lvlText w:val="%9."/>
      <w:lvlJc w:val="right"/>
      <w:pPr>
        <w:tabs>
          <w:tab w:val="left" w:pos="1584"/>
        </w:tabs>
        <w:ind w:left="1584" w:hanging="144"/>
      </w:pPr>
      <w:rPr>
        <w:rFonts w:hint="eastAsia" w:cs="Times New Roman"/>
      </w:rPr>
    </w:lvl>
  </w:abstractNum>
  <w:abstractNum w:abstractNumId="3">
    <w:nsid w:val="00007E87"/>
    <w:multiLevelType w:val="multilevel"/>
    <w:tmpl w:val="00007E87"/>
    <w:lvl w:ilvl="0" w:tentative="0">
      <w:start w:val="1"/>
      <w:numFmt w:val="decimal"/>
      <w:lvlText w:val="%1"/>
      <w:lvlJc w:val="left"/>
      <w:rPr>
        <w:rFonts w:cs="Times New Roman"/>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6F1307FA"/>
    <w:multiLevelType w:val="multilevel"/>
    <w:tmpl w:val="6F1307FA"/>
    <w:lvl w:ilvl="0" w:tentative="0">
      <w:start w:val="1"/>
      <w:numFmt w:val="decimal"/>
      <w:lvlText w:val="%1"/>
      <w:lvlJc w:val="left"/>
      <w:pPr>
        <w:ind w:left="425" w:hanging="425"/>
      </w:pPr>
      <w:rPr>
        <w:rFonts w:cs="Times New Roman"/>
      </w:rPr>
    </w:lvl>
    <w:lvl w:ilvl="1" w:tentative="0">
      <w:start w:val="1"/>
      <w:numFmt w:val="decimal"/>
      <w:lvlText w:val="%1.%2"/>
      <w:lvlJc w:val="left"/>
      <w:pPr>
        <w:ind w:left="992" w:hanging="567"/>
      </w:pPr>
      <w:rPr>
        <w:rFonts w:cs="Times New Roman"/>
        <w:b/>
        <w:color w:val="auto"/>
        <w:sz w:val="32"/>
        <w:szCs w:val="32"/>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4C"/>
    <w:rsid w:val="00001255"/>
    <w:rsid w:val="00001889"/>
    <w:rsid w:val="00002311"/>
    <w:rsid w:val="000039A1"/>
    <w:rsid w:val="00004E83"/>
    <w:rsid w:val="0000635E"/>
    <w:rsid w:val="000065C1"/>
    <w:rsid w:val="0000757E"/>
    <w:rsid w:val="00007A9F"/>
    <w:rsid w:val="00011CDD"/>
    <w:rsid w:val="0001272C"/>
    <w:rsid w:val="000131BE"/>
    <w:rsid w:val="00013607"/>
    <w:rsid w:val="00014910"/>
    <w:rsid w:val="000161E6"/>
    <w:rsid w:val="0001699D"/>
    <w:rsid w:val="00024B02"/>
    <w:rsid w:val="0002565C"/>
    <w:rsid w:val="00025FDF"/>
    <w:rsid w:val="00026274"/>
    <w:rsid w:val="00030441"/>
    <w:rsid w:val="00030A37"/>
    <w:rsid w:val="00031947"/>
    <w:rsid w:val="00031A5F"/>
    <w:rsid w:val="000323A9"/>
    <w:rsid w:val="00032EB2"/>
    <w:rsid w:val="00033A3E"/>
    <w:rsid w:val="00033FB1"/>
    <w:rsid w:val="00034CE2"/>
    <w:rsid w:val="000408C5"/>
    <w:rsid w:val="00040E4A"/>
    <w:rsid w:val="00042687"/>
    <w:rsid w:val="00042898"/>
    <w:rsid w:val="00043313"/>
    <w:rsid w:val="00044292"/>
    <w:rsid w:val="00044D42"/>
    <w:rsid w:val="000458AB"/>
    <w:rsid w:val="000463E6"/>
    <w:rsid w:val="00047442"/>
    <w:rsid w:val="00050E9E"/>
    <w:rsid w:val="0005179B"/>
    <w:rsid w:val="00051B0B"/>
    <w:rsid w:val="0005200E"/>
    <w:rsid w:val="00052DFA"/>
    <w:rsid w:val="00054265"/>
    <w:rsid w:val="00055C16"/>
    <w:rsid w:val="00060FAB"/>
    <w:rsid w:val="000629DD"/>
    <w:rsid w:val="00066319"/>
    <w:rsid w:val="00066DE1"/>
    <w:rsid w:val="00067BA6"/>
    <w:rsid w:val="0007184A"/>
    <w:rsid w:val="000719AD"/>
    <w:rsid w:val="00071C15"/>
    <w:rsid w:val="00072D5C"/>
    <w:rsid w:val="00073161"/>
    <w:rsid w:val="00074817"/>
    <w:rsid w:val="000751F2"/>
    <w:rsid w:val="00076001"/>
    <w:rsid w:val="00076F0E"/>
    <w:rsid w:val="000802E1"/>
    <w:rsid w:val="00080736"/>
    <w:rsid w:val="00081957"/>
    <w:rsid w:val="0008232D"/>
    <w:rsid w:val="000850F7"/>
    <w:rsid w:val="00087A61"/>
    <w:rsid w:val="0009213E"/>
    <w:rsid w:val="000942C5"/>
    <w:rsid w:val="000A2DCC"/>
    <w:rsid w:val="000A34FE"/>
    <w:rsid w:val="000A3FF6"/>
    <w:rsid w:val="000A4DD5"/>
    <w:rsid w:val="000A5B3E"/>
    <w:rsid w:val="000A6A48"/>
    <w:rsid w:val="000A6C74"/>
    <w:rsid w:val="000A7486"/>
    <w:rsid w:val="000A7A25"/>
    <w:rsid w:val="000B1F4E"/>
    <w:rsid w:val="000B2661"/>
    <w:rsid w:val="000B2E53"/>
    <w:rsid w:val="000B30F9"/>
    <w:rsid w:val="000B4AED"/>
    <w:rsid w:val="000B6746"/>
    <w:rsid w:val="000B71C9"/>
    <w:rsid w:val="000C1B8C"/>
    <w:rsid w:val="000C1EA3"/>
    <w:rsid w:val="000C25FF"/>
    <w:rsid w:val="000C28A3"/>
    <w:rsid w:val="000C2943"/>
    <w:rsid w:val="000C2CE4"/>
    <w:rsid w:val="000C42D3"/>
    <w:rsid w:val="000C49C8"/>
    <w:rsid w:val="000C519B"/>
    <w:rsid w:val="000C74E2"/>
    <w:rsid w:val="000C762D"/>
    <w:rsid w:val="000D1887"/>
    <w:rsid w:val="000D26CD"/>
    <w:rsid w:val="000D27C0"/>
    <w:rsid w:val="000D2AF3"/>
    <w:rsid w:val="000D3671"/>
    <w:rsid w:val="000D3927"/>
    <w:rsid w:val="000D3BB8"/>
    <w:rsid w:val="000D3C6A"/>
    <w:rsid w:val="000D796F"/>
    <w:rsid w:val="000E09E5"/>
    <w:rsid w:val="000E0C1F"/>
    <w:rsid w:val="000E0EA5"/>
    <w:rsid w:val="000E2E7A"/>
    <w:rsid w:val="000E39D9"/>
    <w:rsid w:val="000E6975"/>
    <w:rsid w:val="000E7FAA"/>
    <w:rsid w:val="000F0C73"/>
    <w:rsid w:val="000F147A"/>
    <w:rsid w:val="000F2A67"/>
    <w:rsid w:val="000F3F3E"/>
    <w:rsid w:val="000F6732"/>
    <w:rsid w:val="000F6E20"/>
    <w:rsid w:val="000F6FB7"/>
    <w:rsid w:val="000F7597"/>
    <w:rsid w:val="00100FB6"/>
    <w:rsid w:val="00102786"/>
    <w:rsid w:val="001033A8"/>
    <w:rsid w:val="0010384B"/>
    <w:rsid w:val="0010466A"/>
    <w:rsid w:val="00105DF7"/>
    <w:rsid w:val="00111F28"/>
    <w:rsid w:val="001123CE"/>
    <w:rsid w:val="0011311E"/>
    <w:rsid w:val="001145AD"/>
    <w:rsid w:val="00115A48"/>
    <w:rsid w:val="001175F1"/>
    <w:rsid w:val="0012168A"/>
    <w:rsid w:val="00122037"/>
    <w:rsid w:val="0012319D"/>
    <w:rsid w:val="001232F7"/>
    <w:rsid w:val="001245DC"/>
    <w:rsid w:val="00124B82"/>
    <w:rsid w:val="001317ED"/>
    <w:rsid w:val="001318FD"/>
    <w:rsid w:val="00134760"/>
    <w:rsid w:val="00134C63"/>
    <w:rsid w:val="001358B6"/>
    <w:rsid w:val="00137C09"/>
    <w:rsid w:val="00140120"/>
    <w:rsid w:val="001408E7"/>
    <w:rsid w:val="00140A8D"/>
    <w:rsid w:val="00141A7F"/>
    <w:rsid w:val="00142E4C"/>
    <w:rsid w:val="001466EC"/>
    <w:rsid w:val="001478CD"/>
    <w:rsid w:val="00147DF0"/>
    <w:rsid w:val="00151251"/>
    <w:rsid w:val="00151CAE"/>
    <w:rsid w:val="00152D7E"/>
    <w:rsid w:val="0015351D"/>
    <w:rsid w:val="00155E77"/>
    <w:rsid w:val="00155EA3"/>
    <w:rsid w:val="001610E4"/>
    <w:rsid w:val="00161D98"/>
    <w:rsid w:val="001629C4"/>
    <w:rsid w:val="00162C45"/>
    <w:rsid w:val="00163085"/>
    <w:rsid w:val="00163434"/>
    <w:rsid w:val="00163A0A"/>
    <w:rsid w:val="00164E1D"/>
    <w:rsid w:val="00164F8D"/>
    <w:rsid w:val="00165D5E"/>
    <w:rsid w:val="00166044"/>
    <w:rsid w:val="0016619A"/>
    <w:rsid w:val="00166652"/>
    <w:rsid w:val="00172A27"/>
    <w:rsid w:val="00172C5A"/>
    <w:rsid w:val="00175967"/>
    <w:rsid w:val="00175BA6"/>
    <w:rsid w:val="00175E55"/>
    <w:rsid w:val="00180768"/>
    <w:rsid w:val="00180C6A"/>
    <w:rsid w:val="00181E9E"/>
    <w:rsid w:val="00182886"/>
    <w:rsid w:val="00184B10"/>
    <w:rsid w:val="00184BF6"/>
    <w:rsid w:val="001859BA"/>
    <w:rsid w:val="0018626C"/>
    <w:rsid w:val="001863A9"/>
    <w:rsid w:val="00190029"/>
    <w:rsid w:val="001914FF"/>
    <w:rsid w:val="0019573E"/>
    <w:rsid w:val="00195882"/>
    <w:rsid w:val="00197AD3"/>
    <w:rsid w:val="001A2598"/>
    <w:rsid w:val="001A2723"/>
    <w:rsid w:val="001A4787"/>
    <w:rsid w:val="001A4A5E"/>
    <w:rsid w:val="001B0C0C"/>
    <w:rsid w:val="001B100A"/>
    <w:rsid w:val="001B2E7C"/>
    <w:rsid w:val="001B3C6F"/>
    <w:rsid w:val="001B3EE4"/>
    <w:rsid w:val="001B5290"/>
    <w:rsid w:val="001B5A82"/>
    <w:rsid w:val="001B5AC1"/>
    <w:rsid w:val="001B688B"/>
    <w:rsid w:val="001B6A70"/>
    <w:rsid w:val="001B7025"/>
    <w:rsid w:val="001C00A6"/>
    <w:rsid w:val="001C21F0"/>
    <w:rsid w:val="001C2FE6"/>
    <w:rsid w:val="001C373C"/>
    <w:rsid w:val="001C48E3"/>
    <w:rsid w:val="001C494A"/>
    <w:rsid w:val="001C6344"/>
    <w:rsid w:val="001D0CE0"/>
    <w:rsid w:val="001D2236"/>
    <w:rsid w:val="001D2AF0"/>
    <w:rsid w:val="001D3919"/>
    <w:rsid w:val="001D5A7E"/>
    <w:rsid w:val="001D7DB2"/>
    <w:rsid w:val="001D7E6C"/>
    <w:rsid w:val="001E191D"/>
    <w:rsid w:val="001E2566"/>
    <w:rsid w:val="001E451F"/>
    <w:rsid w:val="001E5B69"/>
    <w:rsid w:val="001E6753"/>
    <w:rsid w:val="001F2B5C"/>
    <w:rsid w:val="001F4153"/>
    <w:rsid w:val="001F464C"/>
    <w:rsid w:val="001F46B9"/>
    <w:rsid w:val="001F5F0A"/>
    <w:rsid w:val="001F6BA5"/>
    <w:rsid w:val="001F7DEC"/>
    <w:rsid w:val="00203BD9"/>
    <w:rsid w:val="002050D6"/>
    <w:rsid w:val="00205A21"/>
    <w:rsid w:val="00206C31"/>
    <w:rsid w:val="002079A1"/>
    <w:rsid w:val="00207A11"/>
    <w:rsid w:val="00212454"/>
    <w:rsid w:val="002125C4"/>
    <w:rsid w:val="00212BFB"/>
    <w:rsid w:val="0021362E"/>
    <w:rsid w:val="00216324"/>
    <w:rsid w:val="0022008B"/>
    <w:rsid w:val="002229BC"/>
    <w:rsid w:val="002245D1"/>
    <w:rsid w:val="0022501B"/>
    <w:rsid w:val="002270CB"/>
    <w:rsid w:val="00227A8C"/>
    <w:rsid w:val="00227B67"/>
    <w:rsid w:val="00227D25"/>
    <w:rsid w:val="0023004D"/>
    <w:rsid w:val="00230E40"/>
    <w:rsid w:val="002320E0"/>
    <w:rsid w:val="00233065"/>
    <w:rsid w:val="0023573F"/>
    <w:rsid w:val="002360E2"/>
    <w:rsid w:val="00236DED"/>
    <w:rsid w:val="00237189"/>
    <w:rsid w:val="00237D38"/>
    <w:rsid w:val="00243C36"/>
    <w:rsid w:val="002446A3"/>
    <w:rsid w:val="00244ABC"/>
    <w:rsid w:val="002453BF"/>
    <w:rsid w:val="002455A9"/>
    <w:rsid w:val="00245BAF"/>
    <w:rsid w:val="002469CF"/>
    <w:rsid w:val="00246A11"/>
    <w:rsid w:val="00246B95"/>
    <w:rsid w:val="00251E3E"/>
    <w:rsid w:val="00256E46"/>
    <w:rsid w:val="00257436"/>
    <w:rsid w:val="00261FE5"/>
    <w:rsid w:val="00263412"/>
    <w:rsid w:val="00263770"/>
    <w:rsid w:val="00265AE1"/>
    <w:rsid w:val="0027097A"/>
    <w:rsid w:val="00270EEB"/>
    <w:rsid w:val="002711D7"/>
    <w:rsid w:val="00271A27"/>
    <w:rsid w:val="00271CA8"/>
    <w:rsid w:val="0027208D"/>
    <w:rsid w:val="00272CF4"/>
    <w:rsid w:val="002736EB"/>
    <w:rsid w:val="0027458C"/>
    <w:rsid w:val="0027572F"/>
    <w:rsid w:val="002764C2"/>
    <w:rsid w:val="00276B0D"/>
    <w:rsid w:val="002805B1"/>
    <w:rsid w:val="00281A96"/>
    <w:rsid w:val="0028235D"/>
    <w:rsid w:val="00282FCC"/>
    <w:rsid w:val="00283B41"/>
    <w:rsid w:val="00287CF8"/>
    <w:rsid w:val="00290336"/>
    <w:rsid w:val="00290E46"/>
    <w:rsid w:val="002914E7"/>
    <w:rsid w:val="00291C22"/>
    <w:rsid w:val="002921B3"/>
    <w:rsid w:val="002926A5"/>
    <w:rsid w:val="00293B6C"/>
    <w:rsid w:val="00297AA2"/>
    <w:rsid w:val="002A0637"/>
    <w:rsid w:val="002A423D"/>
    <w:rsid w:val="002A4567"/>
    <w:rsid w:val="002A7839"/>
    <w:rsid w:val="002B1217"/>
    <w:rsid w:val="002B14C6"/>
    <w:rsid w:val="002B26EF"/>
    <w:rsid w:val="002B275D"/>
    <w:rsid w:val="002B3A71"/>
    <w:rsid w:val="002B4179"/>
    <w:rsid w:val="002B4EEA"/>
    <w:rsid w:val="002B792A"/>
    <w:rsid w:val="002C2D19"/>
    <w:rsid w:val="002C301D"/>
    <w:rsid w:val="002C3955"/>
    <w:rsid w:val="002C5B30"/>
    <w:rsid w:val="002D071D"/>
    <w:rsid w:val="002D1052"/>
    <w:rsid w:val="002D1943"/>
    <w:rsid w:val="002D44CB"/>
    <w:rsid w:val="002D6BF2"/>
    <w:rsid w:val="002D6E11"/>
    <w:rsid w:val="002D7396"/>
    <w:rsid w:val="002E0D02"/>
    <w:rsid w:val="002E0F9A"/>
    <w:rsid w:val="002E1C53"/>
    <w:rsid w:val="002E2FCF"/>
    <w:rsid w:val="002E5F67"/>
    <w:rsid w:val="002E761C"/>
    <w:rsid w:val="002E7727"/>
    <w:rsid w:val="002F0068"/>
    <w:rsid w:val="002F2081"/>
    <w:rsid w:val="002F3681"/>
    <w:rsid w:val="002F6828"/>
    <w:rsid w:val="002F701D"/>
    <w:rsid w:val="002F7777"/>
    <w:rsid w:val="002F78C6"/>
    <w:rsid w:val="0030053B"/>
    <w:rsid w:val="00301A33"/>
    <w:rsid w:val="0030317A"/>
    <w:rsid w:val="003036AF"/>
    <w:rsid w:val="00305D78"/>
    <w:rsid w:val="003129AF"/>
    <w:rsid w:val="00313521"/>
    <w:rsid w:val="003139B7"/>
    <w:rsid w:val="003145CD"/>
    <w:rsid w:val="003148EE"/>
    <w:rsid w:val="00314B5D"/>
    <w:rsid w:val="003157F4"/>
    <w:rsid w:val="003161E2"/>
    <w:rsid w:val="00316941"/>
    <w:rsid w:val="00316FF6"/>
    <w:rsid w:val="00317CA3"/>
    <w:rsid w:val="003201E2"/>
    <w:rsid w:val="00321074"/>
    <w:rsid w:val="00322099"/>
    <w:rsid w:val="00323057"/>
    <w:rsid w:val="003231A0"/>
    <w:rsid w:val="00324897"/>
    <w:rsid w:val="00327A21"/>
    <w:rsid w:val="00330F6B"/>
    <w:rsid w:val="00333CF7"/>
    <w:rsid w:val="00335525"/>
    <w:rsid w:val="003362D0"/>
    <w:rsid w:val="0033700F"/>
    <w:rsid w:val="003379C6"/>
    <w:rsid w:val="003403AC"/>
    <w:rsid w:val="003451D7"/>
    <w:rsid w:val="003462C9"/>
    <w:rsid w:val="003465EF"/>
    <w:rsid w:val="00346893"/>
    <w:rsid w:val="003505B3"/>
    <w:rsid w:val="00351CB6"/>
    <w:rsid w:val="00352119"/>
    <w:rsid w:val="00352B2B"/>
    <w:rsid w:val="00353D75"/>
    <w:rsid w:val="0035405E"/>
    <w:rsid w:val="00354188"/>
    <w:rsid w:val="0035497B"/>
    <w:rsid w:val="00355D1B"/>
    <w:rsid w:val="00357769"/>
    <w:rsid w:val="003605F6"/>
    <w:rsid w:val="00360971"/>
    <w:rsid w:val="00361560"/>
    <w:rsid w:val="003638D4"/>
    <w:rsid w:val="00363922"/>
    <w:rsid w:val="00364BAE"/>
    <w:rsid w:val="00366322"/>
    <w:rsid w:val="00370145"/>
    <w:rsid w:val="00370A67"/>
    <w:rsid w:val="00371021"/>
    <w:rsid w:val="0037143A"/>
    <w:rsid w:val="00371E20"/>
    <w:rsid w:val="00372FA1"/>
    <w:rsid w:val="0037315B"/>
    <w:rsid w:val="003804C2"/>
    <w:rsid w:val="00381300"/>
    <w:rsid w:val="00381C69"/>
    <w:rsid w:val="00381F25"/>
    <w:rsid w:val="00382785"/>
    <w:rsid w:val="0038340C"/>
    <w:rsid w:val="003848A7"/>
    <w:rsid w:val="003903A8"/>
    <w:rsid w:val="003936B0"/>
    <w:rsid w:val="00394BCF"/>
    <w:rsid w:val="00394D95"/>
    <w:rsid w:val="00395111"/>
    <w:rsid w:val="00395ECE"/>
    <w:rsid w:val="00396766"/>
    <w:rsid w:val="003A1A5A"/>
    <w:rsid w:val="003A2E8F"/>
    <w:rsid w:val="003A2FE7"/>
    <w:rsid w:val="003A422C"/>
    <w:rsid w:val="003A4501"/>
    <w:rsid w:val="003A4CC3"/>
    <w:rsid w:val="003A5FF5"/>
    <w:rsid w:val="003A6AC0"/>
    <w:rsid w:val="003B0464"/>
    <w:rsid w:val="003B058A"/>
    <w:rsid w:val="003B06E7"/>
    <w:rsid w:val="003B15D9"/>
    <w:rsid w:val="003B1625"/>
    <w:rsid w:val="003B186E"/>
    <w:rsid w:val="003B27D6"/>
    <w:rsid w:val="003B30F7"/>
    <w:rsid w:val="003B47B3"/>
    <w:rsid w:val="003B6342"/>
    <w:rsid w:val="003B79D2"/>
    <w:rsid w:val="003C1434"/>
    <w:rsid w:val="003C197D"/>
    <w:rsid w:val="003C1D7F"/>
    <w:rsid w:val="003C1F61"/>
    <w:rsid w:val="003C2788"/>
    <w:rsid w:val="003C29FE"/>
    <w:rsid w:val="003C385A"/>
    <w:rsid w:val="003C3C9E"/>
    <w:rsid w:val="003C46CF"/>
    <w:rsid w:val="003C6FCE"/>
    <w:rsid w:val="003C7A6C"/>
    <w:rsid w:val="003C7F32"/>
    <w:rsid w:val="003D004D"/>
    <w:rsid w:val="003D0B65"/>
    <w:rsid w:val="003D0BD1"/>
    <w:rsid w:val="003D0D13"/>
    <w:rsid w:val="003D1857"/>
    <w:rsid w:val="003D3E71"/>
    <w:rsid w:val="003D57BF"/>
    <w:rsid w:val="003D6CE4"/>
    <w:rsid w:val="003E1155"/>
    <w:rsid w:val="003E1245"/>
    <w:rsid w:val="003E52CB"/>
    <w:rsid w:val="003E7405"/>
    <w:rsid w:val="003E770D"/>
    <w:rsid w:val="003F0C5A"/>
    <w:rsid w:val="003F2A56"/>
    <w:rsid w:val="003F4036"/>
    <w:rsid w:val="003F6AC7"/>
    <w:rsid w:val="003F779E"/>
    <w:rsid w:val="00402554"/>
    <w:rsid w:val="00402898"/>
    <w:rsid w:val="004030E3"/>
    <w:rsid w:val="004032C5"/>
    <w:rsid w:val="00405FEA"/>
    <w:rsid w:val="0040651F"/>
    <w:rsid w:val="00406B5F"/>
    <w:rsid w:val="00412A59"/>
    <w:rsid w:val="0041314B"/>
    <w:rsid w:val="004143AD"/>
    <w:rsid w:val="00417A5F"/>
    <w:rsid w:val="004217DB"/>
    <w:rsid w:val="0042241E"/>
    <w:rsid w:val="00422CB5"/>
    <w:rsid w:val="0042332F"/>
    <w:rsid w:val="00424B70"/>
    <w:rsid w:val="00424D02"/>
    <w:rsid w:val="00430273"/>
    <w:rsid w:val="00432DCF"/>
    <w:rsid w:val="00432EA8"/>
    <w:rsid w:val="004339C3"/>
    <w:rsid w:val="00434439"/>
    <w:rsid w:val="00435B9E"/>
    <w:rsid w:val="004419BE"/>
    <w:rsid w:val="00442FBB"/>
    <w:rsid w:val="00443DA6"/>
    <w:rsid w:val="00444AB0"/>
    <w:rsid w:val="00445284"/>
    <w:rsid w:val="00445D22"/>
    <w:rsid w:val="0044695A"/>
    <w:rsid w:val="00446E54"/>
    <w:rsid w:val="00447F22"/>
    <w:rsid w:val="00450F87"/>
    <w:rsid w:val="004511F5"/>
    <w:rsid w:val="00451BB5"/>
    <w:rsid w:val="00453517"/>
    <w:rsid w:val="004539D5"/>
    <w:rsid w:val="0045428B"/>
    <w:rsid w:val="00455B4D"/>
    <w:rsid w:val="0045716F"/>
    <w:rsid w:val="00460447"/>
    <w:rsid w:val="00460910"/>
    <w:rsid w:val="00460EB7"/>
    <w:rsid w:val="0046120B"/>
    <w:rsid w:val="00461E0E"/>
    <w:rsid w:val="0046288A"/>
    <w:rsid w:val="00462FAA"/>
    <w:rsid w:val="00463FE1"/>
    <w:rsid w:val="004648BF"/>
    <w:rsid w:val="00464EAA"/>
    <w:rsid w:val="004661C0"/>
    <w:rsid w:val="004667DD"/>
    <w:rsid w:val="00466DD3"/>
    <w:rsid w:val="00467442"/>
    <w:rsid w:val="00470C55"/>
    <w:rsid w:val="00471A4F"/>
    <w:rsid w:val="00472975"/>
    <w:rsid w:val="00472AE6"/>
    <w:rsid w:val="00473495"/>
    <w:rsid w:val="00474CE4"/>
    <w:rsid w:val="00477569"/>
    <w:rsid w:val="00477B21"/>
    <w:rsid w:val="004802B5"/>
    <w:rsid w:val="004811D4"/>
    <w:rsid w:val="00482052"/>
    <w:rsid w:val="004849AB"/>
    <w:rsid w:val="0048573A"/>
    <w:rsid w:val="004866B5"/>
    <w:rsid w:val="00487C57"/>
    <w:rsid w:val="004950F8"/>
    <w:rsid w:val="004960B1"/>
    <w:rsid w:val="00496308"/>
    <w:rsid w:val="004A0B45"/>
    <w:rsid w:val="004A14D7"/>
    <w:rsid w:val="004A15A7"/>
    <w:rsid w:val="004A2157"/>
    <w:rsid w:val="004A2EC1"/>
    <w:rsid w:val="004A3B6D"/>
    <w:rsid w:val="004A7A1B"/>
    <w:rsid w:val="004B2627"/>
    <w:rsid w:val="004B377C"/>
    <w:rsid w:val="004B3943"/>
    <w:rsid w:val="004B44E6"/>
    <w:rsid w:val="004B6957"/>
    <w:rsid w:val="004C00EB"/>
    <w:rsid w:val="004C088B"/>
    <w:rsid w:val="004C1681"/>
    <w:rsid w:val="004C3B9B"/>
    <w:rsid w:val="004C479A"/>
    <w:rsid w:val="004C5452"/>
    <w:rsid w:val="004C5790"/>
    <w:rsid w:val="004C59F0"/>
    <w:rsid w:val="004C5A19"/>
    <w:rsid w:val="004C686B"/>
    <w:rsid w:val="004C69E2"/>
    <w:rsid w:val="004C767A"/>
    <w:rsid w:val="004C7C78"/>
    <w:rsid w:val="004C7F22"/>
    <w:rsid w:val="004D090E"/>
    <w:rsid w:val="004D15C0"/>
    <w:rsid w:val="004D1BE6"/>
    <w:rsid w:val="004D1FF0"/>
    <w:rsid w:val="004D347B"/>
    <w:rsid w:val="004D34D0"/>
    <w:rsid w:val="004D351E"/>
    <w:rsid w:val="004D3958"/>
    <w:rsid w:val="004D4E21"/>
    <w:rsid w:val="004D5F7A"/>
    <w:rsid w:val="004D6CFF"/>
    <w:rsid w:val="004E1938"/>
    <w:rsid w:val="004E3228"/>
    <w:rsid w:val="004E3FAF"/>
    <w:rsid w:val="004E5347"/>
    <w:rsid w:val="004E6C88"/>
    <w:rsid w:val="004F00B5"/>
    <w:rsid w:val="004F1B76"/>
    <w:rsid w:val="004F1BF3"/>
    <w:rsid w:val="004F2072"/>
    <w:rsid w:val="004F2600"/>
    <w:rsid w:val="004F3025"/>
    <w:rsid w:val="004F4724"/>
    <w:rsid w:val="004F52A5"/>
    <w:rsid w:val="004F7016"/>
    <w:rsid w:val="004F7951"/>
    <w:rsid w:val="00501B46"/>
    <w:rsid w:val="00501DE8"/>
    <w:rsid w:val="00501F6A"/>
    <w:rsid w:val="005023AD"/>
    <w:rsid w:val="0050345C"/>
    <w:rsid w:val="00503DEE"/>
    <w:rsid w:val="0050459D"/>
    <w:rsid w:val="00504BD8"/>
    <w:rsid w:val="00505753"/>
    <w:rsid w:val="005063A4"/>
    <w:rsid w:val="00506BBB"/>
    <w:rsid w:val="00506C1A"/>
    <w:rsid w:val="00506D4E"/>
    <w:rsid w:val="00507B76"/>
    <w:rsid w:val="00507C6C"/>
    <w:rsid w:val="00512529"/>
    <w:rsid w:val="005127F8"/>
    <w:rsid w:val="00512CD6"/>
    <w:rsid w:val="00512FAD"/>
    <w:rsid w:val="00514A6D"/>
    <w:rsid w:val="00516567"/>
    <w:rsid w:val="00521007"/>
    <w:rsid w:val="005213AA"/>
    <w:rsid w:val="00522CA1"/>
    <w:rsid w:val="005231DD"/>
    <w:rsid w:val="00523EB2"/>
    <w:rsid w:val="00526A3C"/>
    <w:rsid w:val="00527939"/>
    <w:rsid w:val="00531D61"/>
    <w:rsid w:val="0053283C"/>
    <w:rsid w:val="00533267"/>
    <w:rsid w:val="00535430"/>
    <w:rsid w:val="00535816"/>
    <w:rsid w:val="00535866"/>
    <w:rsid w:val="005371BC"/>
    <w:rsid w:val="00537874"/>
    <w:rsid w:val="00540012"/>
    <w:rsid w:val="0054132A"/>
    <w:rsid w:val="0054316B"/>
    <w:rsid w:val="00544739"/>
    <w:rsid w:val="00546501"/>
    <w:rsid w:val="00546EDF"/>
    <w:rsid w:val="0054733D"/>
    <w:rsid w:val="0054765B"/>
    <w:rsid w:val="00547C33"/>
    <w:rsid w:val="005512B6"/>
    <w:rsid w:val="005514D0"/>
    <w:rsid w:val="00552655"/>
    <w:rsid w:val="0055297C"/>
    <w:rsid w:val="00553B0B"/>
    <w:rsid w:val="00553D9E"/>
    <w:rsid w:val="00554C60"/>
    <w:rsid w:val="00556116"/>
    <w:rsid w:val="0055633C"/>
    <w:rsid w:val="0055773D"/>
    <w:rsid w:val="0056014B"/>
    <w:rsid w:val="00560952"/>
    <w:rsid w:val="005610E3"/>
    <w:rsid w:val="00561629"/>
    <w:rsid w:val="005628A7"/>
    <w:rsid w:val="00562F89"/>
    <w:rsid w:val="005637F1"/>
    <w:rsid w:val="00563DC7"/>
    <w:rsid w:val="005646F3"/>
    <w:rsid w:val="00565807"/>
    <w:rsid w:val="00565DA1"/>
    <w:rsid w:val="0056667D"/>
    <w:rsid w:val="00566A08"/>
    <w:rsid w:val="00570AA5"/>
    <w:rsid w:val="00571E98"/>
    <w:rsid w:val="005728C6"/>
    <w:rsid w:val="00572920"/>
    <w:rsid w:val="005731AA"/>
    <w:rsid w:val="00574387"/>
    <w:rsid w:val="00574665"/>
    <w:rsid w:val="00576C15"/>
    <w:rsid w:val="00577EE7"/>
    <w:rsid w:val="005800B9"/>
    <w:rsid w:val="00580EE7"/>
    <w:rsid w:val="0058124E"/>
    <w:rsid w:val="00582079"/>
    <w:rsid w:val="005827B9"/>
    <w:rsid w:val="005827E1"/>
    <w:rsid w:val="00583B6F"/>
    <w:rsid w:val="00583FD3"/>
    <w:rsid w:val="00584C2F"/>
    <w:rsid w:val="0058591D"/>
    <w:rsid w:val="00586A16"/>
    <w:rsid w:val="005900B7"/>
    <w:rsid w:val="00593D64"/>
    <w:rsid w:val="00594FC4"/>
    <w:rsid w:val="005952F0"/>
    <w:rsid w:val="005955B8"/>
    <w:rsid w:val="005964A4"/>
    <w:rsid w:val="00596734"/>
    <w:rsid w:val="005967F1"/>
    <w:rsid w:val="00596F75"/>
    <w:rsid w:val="005A0230"/>
    <w:rsid w:val="005A1269"/>
    <w:rsid w:val="005A3D8C"/>
    <w:rsid w:val="005A48EF"/>
    <w:rsid w:val="005A4B42"/>
    <w:rsid w:val="005A5CC0"/>
    <w:rsid w:val="005A615F"/>
    <w:rsid w:val="005A6390"/>
    <w:rsid w:val="005A6DDC"/>
    <w:rsid w:val="005B112C"/>
    <w:rsid w:val="005B1D9C"/>
    <w:rsid w:val="005B2792"/>
    <w:rsid w:val="005B2B5C"/>
    <w:rsid w:val="005B366B"/>
    <w:rsid w:val="005B374A"/>
    <w:rsid w:val="005B54EE"/>
    <w:rsid w:val="005B57CC"/>
    <w:rsid w:val="005B630C"/>
    <w:rsid w:val="005B67C0"/>
    <w:rsid w:val="005B6B26"/>
    <w:rsid w:val="005B75E4"/>
    <w:rsid w:val="005B79C0"/>
    <w:rsid w:val="005B7D2C"/>
    <w:rsid w:val="005C0E6C"/>
    <w:rsid w:val="005C3330"/>
    <w:rsid w:val="005D1E43"/>
    <w:rsid w:val="005D1E8F"/>
    <w:rsid w:val="005D2639"/>
    <w:rsid w:val="005D4045"/>
    <w:rsid w:val="005D55CA"/>
    <w:rsid w:val="005D6F85"/>
    <w:rsid w:val="005D72F1"/>
    <w:rsid w:val="005D7550"/>
    <w:rsid w:val="005D7FC0"/>
    <w:rsid w:val="005E25E3"/>
    <w:rsid w:val="005E2A34"/>
    <w:rsid w:val="005E3446"/>
    <w:rsid w:val="005E517B"/>
    <w:rsid w:val="005E5FC7"/>
    <w:rsid w:val="005F1948"/>
    <w:rsid w:val="005F3381"/>
    <w:rsid w:val="005F3C98"/>
    <w:rsid w:val="005F3CC0"/>
    <w:rsid w:val="005F3D90"/>
    <w:rsid w:val="005F4764"/>
    <w:rsid w:val="005F502E"/>
    <w:rsid w:val="005F66AE"/>
    <w:rsid w:val="005F6D98"/>
    <w:rsid w:val="005F7F22"/>
    <w:rsid w:val="006007E2"/>
    <w:rsid w:val="0060179C"/>
    <w:rsid w:val="00602058"/>
    <w:rsid w:val="006021F8"/>
    <w:rsid w:val="00602AD4"/>
    <w:rsid w:val="00604569"/>
    <w:rsid w:val="00605FF2"/>
    <w:rsid w:val="006063E9"/>
    <w:rsid w:val="0060715B"/>
    <w:rsid w:val="00610F3A"/>
    <w:rsid w:val="00610F76"/>
    <w:rsid w:val="006112EF"/>
    <w:rsid w:val="00614DC1"/>
    <w:rsid w:val="006168FB"/>
    <w:rsid w:val="006178D7"/>
    <w:rsid w:val="00620349"/>
    <w:rsid w:val="006203CA"/>
    <w:rsid w:val="0062136B"/>
    <w:rsid w:val="00622388"/>
    <w:rsid w:val="006233FD"/>
    <w:rsid w:val="00623CCE"/>
    <w:rsid w:val="006246CD"/>
    <w:rsid w:val="00625B60"/>
    <w:rsid w:val="00626190"/>
    <w:rsid w:val="00627250"/>
    <w:rsid w:val="00627C97"/>
    <w:rsid w:val="00630DF6"/>
    <w:rsid w:val="006312A1"/>
    <w:rsid w:val="006315AC"/>
    <w:rsid w:val="00634BC5"/>
    <w:rsid w:val="006352A0"/>
    <w:rsid w:val="0064068D"/>
    <w:rsid w:val="00640721"/>
    <w:rsid w:val="006412C1"/>
    <w:rsid w:val="00641768"/>
    <w:rsid w:val="00641F46"/>
    <w:rsid w:val="00641FBD"/>
    <w:rsid w:val="00642E39"/>
    <w:rsid w:val="006442CF"/>
    <w:rsid w:val="006466EF"/>
    <w:rsid w:val="00650106"/>
    <w:rsid w:val="006513D1"/>
    <w:rsid w:val="00651569"/>
    <w:rsid w:val="00652A97"/>
    <w:rsid w:val="00653016"/>
    <w:rsid w:val="006535A3"/>
    <w:rsid w:val="0065482B"/>
    <w:rsid w:val="00655341"/>
    <w:rsid w:val="00655C91"/>
    <w:rsid w:val="00656F61"/>
    <w:rsid w:val="00657CDF"/>
    <w:rsid w:val="0066118D"/>
    <w:rsid w:val="0066147A"/>
    <w:rsid w:val="00661862"/>
    <w:rsid w:val="00661F19"/>
    <w:rsid w:val="006642C5"/>
    <w:rsid w:val="0066516F"/>
    <w:rsid w:val="00667082"/>
    <w:rsid w:val="00667D8F"/>
    <w:rsid w:val="00674A8C"/>
    <w:rsid w:val="00676481"/>
    <w:rsid w:val="0067760B"/>
    <w:rsid w:val="00677859"/>
    <w:rsid w:val="00680EA8"/>
    <w:rsid w:val="00681D06"/>
    <w:rsid w:val="00682F8C"/>
    <w:rsid w:val="006836C2"/>
    <w:rsid w:val="00684692"/>
    <w:rsid w:val="00684CB1"/>
    <w:rsid w:val="00685155"/>
    <w:rsid w:val="00685227"/>
    <w:rsid w:val="00686E81"/>
    <w:rsid w:val="00687B1B"/>
    <w:rsid w:val="006900D5"/>
    <w:rsid w:val="0069060B"/>
    <w:rsid w:val="00690D46"/>
    <w:rsid w:val="0069100F"/>
    <w:rsid w:val="00691AA5"/>
    <w:rsid w:val="0069211A"/>
    <w:rsid w:val="0069269F"/>
    <w:rsid w:val="00693A37"/>
    <w:rsid w:val="006952AD"/>
    <w:rsid w:val="0069567B"/>
    <w:rsid w:val="00696ED8"/>
    <w:rsid w:val="006A13DE"/>
    <w:rsid w:val="006A1703"/>
    <w:rsid w:val="006A39CE"/>
    <w:rsid w:val="006A3E5D"/>
    <w:rsid w:val="006A48A6"/>
    <w:rsid w:val="006A5200"/>
    <w:rsid w:val="006A6A60"/>
    <w:rsid w:val="006B09D1"/>
    <w:rsid w:val="006B15C1"/>
    <w:rsid w:val="006B20F9"/>
    <w:rsid w:val="006B210A"/>
    <w:rsid w:val="006B243A"/>
    <w:rsid w:val="006B29DF"/>
    <w:rsid w:val="006B3206"/>
    <w:rsid w:val="006B6307"/>
    <w:rsid w:val="006B6B80"/>
    <w:rsid w:val="006C08DE"/>
    <w:rsid w:val="006C1A02"/>
    <w:rsid w:val="006C31C6"/>
    <w:rsid w:val="006C3270"/>
    <w:rsid w:val="006C63D7"/>
    <w:rsid w:val="006C6B64"/>
    <w:rsid w:val="006C7B7D"/>
    <w:rsid w:val="006D017B"/>
    <w:rsid w:val="006D12F7"/>
    <w:rsid w:val="006D1327"/>
    <w:rsid w:val="006D3C46"/>
    <w:rsid w:val="006D4B11"/>
    <w:rsid w:val="006D62AE"/>
    <w:rsid w:val="006D6424"/>
    <w:rsid w:val="006D7627"/>
    <w:rsid w:val="006E0486"/>
    <w:rsid w:val="006E0B99"/>
    <w:rsid w:val="006E1401"/>
    <w:rsid w:val="006E2118"/>
    <w:rsid w:val="006E6E93"/>
    <w:rsid w:val="006F0C12"/>
    <w:rsid w:val="006F1352"/>
    <w:rsid w:val="006F1536"/>
    <w:rsid w:val="006F2976"/>
    <w:rsid w:val="006F314C"/>
    <w:rsid w:val="006F34D5"/>
    <w:rsid w:val="006F5F46"/>
    <w:rsid w:val="0070312D"/>
    <w:rsid w:val="00705896"/>
    <w:rsid w:val="00706288"/>
    <w:rsid w:val="00706B9E"/>
    <w:rsid w:val="00706F61"/>
    <w:rsid w:val="007070EF"/>
    <w:rsid w:val="00707131"/>
    <w:rsid w:val="007125BE"/>
    <w:rsid w:val="00712A99"/>
    <w:rsid w:val="00714BB1"/>
    <w:rsid w:val="007156EE"/>
    <w:rsid w:val="00716474"/>
    <w:rsid w:val="007178C4"/>
    <w:rsid w:val="00720F9C"/>
    <w:rsid w:val="00722F6A"/>
    <w:rsid w:val="00723EA8"/>
    <w:rsid w:val="00727837"/>
    <w:rsid w:val="007279A7"/>
    <w:rsid w:val="00727B07"/>
    <w:rsid w:val="0073149F"/>
    <w:rsid w:val="007317DB"/>
    <w:rsid w:val="007321A3"/>
    <w:rsid w:val="00732AAE"/>
    <w:rsid w:val="007347BE"/>
    <w:rsid w:val="00735F17"/>
    <w:rsid w:val="007369A9"/>
    <w:rsid w:val="00736C37"/>
    <w:rsid w:val="00736DFB"/>
    <w:rsid w:val="00737BCE"/>
    <w:rsid w:val="00743684"/>
    <w:rsid w:val="007454D4"/>
    <w:rsid w:val="007456B9"/>
    <w:rsid w:val="007469A9"/>
    <w:rsid w:val="00747812"/>
    <w:rsid w:val="0075591A"/>
    <w:rsid w:val="0075736E"/>
    <w:rsid w:val="0076007B"/>
    <w:rsid w:val="0076088D"/>
    <w:rsid w:val="00760B08"/>
    <w:rsid w:val="0076204C"/>
    <w:rsid w:val="00764B72"/>
    <w:rsid w:val="0076522F"/>
    <w:rsid w:val="00766060"/>
    <w:rsid w:val="00771488"/>
    <w:rsid w:val="007720D5"/>
    <w:rsid w:val="00772B4A"/>
    <w:rsid w:val="00774FAC"/>
    <w:rsid w:val="00777657"/>
    <w:rsid w:val="00777E35"/>
    <w:rsid w:val="00780DAC"/>
    <w:rsid w:val="00782170"/>
    <w:rsid w:val="00783962"/>
    <w:rsid w:val="00783C05"/>
    <w:rsid w:val="0078528D"/>
    <w:rsid w:val="00785F18"/>
    <w:rsid w:val="00786E8E"/>
    <w:rsid w:val="0079175F"/>
    <w:rsid w:val="00791B3E"/>
    <w:rsid w:val="00791C0D"/>
    <w:rsid w:val="0079204D"/>
    <w:rsid w:val="00792686"/>
    <w:rsid w:val="007937E8"/>
    <w:rsid w:val="00794D38"/>
    <w:rsid w:val="007959F8"/>
    <w:rsid w:val="00797946"/>
    <w:rsid w:val="007A048C"/>
    <w:rsid w:val="007A1E65"/>
    <w:rsid w:val="007A1FEA"/>
    <w:rsid w:val="007A349C"/>
    <w:rsid w:val="007A3544"/>
    <w:rsid w:val="007A3567"/>
    <w:rsid w:val="007A59D0"/>
    <w:rsid w:val="007B074C"/>
    <w:rsid w:val="007B0A95"/>
    <w:rsid w:val="007B1226"/>
    <w:rsid w:val="007B16AA"/>
    <w:rsid w:val="007B1CEF"/>
    <w:rsid w:val="007B2D59"/>
    <w:rsid w:val="007B30E7"/>
    <w:rsid w:val="007B3FDB"/>
    <w:rsid w:val="007B6D8A"/>
    <w:rsid w:val="007C0581"/>
    <w:rsid w:val="007C0986"/>
    <w:rsid w:val="007C1C2A"/>
    <w:rsid w:val="007C372F"/>
    <w:rsid w:val="007D1347"/>
    <w:rsid w:val="007D15ED"/>
    <w:rsid w:val="007D2D21"/>
    <w:rsid w:val="007D2DE2"/>
    <w:rsid w:val="007D3F5C"/>
    <w:rsid w:val="007D74A0"/>
    <w:rsid w:val="007D7A6F"/>
    <w:rsid w:val="007D7E33"/>
    <w:rsid w:val="007E095D"/>
    <w:rsid w:val="007E0D77"/>
    <w:rsid w:val="007E20FF"/>
    <w:rsid w:val="007E2CC5"/>
    <w:rsid w:val="007E4540"/>
    <w:rsid w:val="007E51B8"/>
    <w:rsid w:val="007E561E"/>
    <w:rsid w:val="007E7270"/>
    <w:rsid w:val="007F1F38"/>
    <w:rsid w:val="007F2B74"/>
    <w:rsid w:val="007F2BE4"/>
    <w:rsid w:val="007F3D6A"/>
    <w:rsid w:val="007F6178"/>
    <w:rsid w:val="007F697D"/>
    <w:rsid w:val="007F6CAF"/>
    <w:rsid w:val="007F729D"/>
    <w:rsid w:val="0080204A"/>
    <w:rsid w:val="0080393D"/>
    <w:rsid w:val="00804855"/>
    <w:rsid w:val="0081100A"/>
    <w:rsid w:val="008140B0"/>
    <w:rsid w:val="00814602"/>
    <w:rsid w:val="00814A8B"/>
    <w:rsid w:val="008216A7"/>
    <w:rsid w:val="0082237D"/>
    <w:rsid w:val="00824076"/>
    <w:rsid w:val="00824455"/>
    <w:rsid w:val="008245D5"/>
    <w:rsid w:val="008250C5"/>
    <w:rsid w:val="008276A0"/>
    <w:rsid w:val="0083070A"/>
    <w:rsid w:val="00832D1F"/>
    <w:rsid w:val="00834F39"/>
    <w:rsid w:val="008350E9"/>
    <w:rsid w:val="00835A0E"/>
    <w:rsid w:val="00835AB4"/>
    <w:rsid w:val="00835ABC"/>
    <w:rsid w:val="00835F14"/>
    <w:rsid w:val="00841B06"/>
    <w:rsid w:val="00841E0E"/>
    <w:rsid w:val="00841F84"/>
    <w:rsid w:val="0084392E"/>
    <w:rsid w:val="008439E0"/>
    <w:rsid w:val="00843FA6"/>
    <w:rsid w:val="00845762"/>
    <w:rsid w:val="00845E81"/>
    <w:rsid w:val="00847E25"/>
    <w:rsid w:val="008500F7"/>
    <w:rsid w:val="008516AC"/>
    <w:rsid w:val="00851C11"/>
    <w:rsid w:val="00853F12"/>
    <w:rsid w:val="00857175"/>
    <w:rsid w:val="00860517"/>
    <w:rsid w:val="00861BB2"/>
    <w:rsid w:val="00862D01"/>
    <w:rsid w:val="0086383A"/>
    <w:rsid w:val="00864B48"/>
    <w:rsid w:val="00872520"/>
    <w:rsid w:val="0087298B"/>
    <w:rsid w:val="008733A0"/>
    <w:rsid w:val="0087441B"/>
    <w:rsid w:val="0087576B"/>
    <w:rsid w:val="008758EC"/>
    <w:rsid w:val="00881727"/>
    <w:rsid w:val="00882744"/>
    <w:rsid w:val="00883936"/>
    <w:rsid w:val="008839C4"/>
    <w:rsid w:val="00883B2E"/>
    <w:rsid w:val="008845A4"/>
    <w:rsid w:val="008853C6"/>
    <w:rsid w:val="008856B5"/>
    <w:rsid w:val="008856BB"/>
    <w:rsid w:val="00885CB0"/>
    <w:rsid w:val="008866E9"/>
    <w:rsid w:val="008869EA"/>
    <w:rsid w:val="00886F15"/>
    <w:rsid w:val="00887DA4"/>
    <w:rsid w:val="00892997"/>
    <w:rsid w:val="0089413B"/>
    <w:rsid w:val="008968B5"/>
    <w:rsid w:val="00897125"/>
    <w:rsid w:val="008A0B37"/>
    <w:rsid w:val="008A1E58"/>
    <w:rsid w:val="008A2DC1"/>
    <w:rsid w:val="008A422F"/>
    <w:rsid w:val="008A7D72"/>
    <w:rsid w:val="008B1286"/>
    <w:rsid w:val="008B18DE"/>
    <w:rsid w:val="008B1D1D"/>
    <w:rsid w:val="008B395D"/>
    <w:rsid w:val="008B3C3C"/>
    <w:rsid w:val="008B4D64"/>
    <w:rsid w:val="008B6AB3"/>
    <w:rsid w:val="008B6D48"/>
    <w:rsid w:val="008B7153"/>
    <w:rsid w:val="008B7A89"/>
    <w:rsid w:val="008C019B"/>
    <w:rsid w:val="008C127F"/>
    <w:rsid w:val="008C12C7"/>
    <w:rsid w:val="008C2261"/>
    <w:rsid w:val="008C3AE8"/>
    <w:rsid w:val="008C4950"/>
    <w:rsid w:val="008C635E"/>
    <w:rsid w:val="008C66F0"/>
    <w:rsid w:val="008C7009"/>
    <w:rsid w:val="008C7EE2"/>
    <w:rsid w:val="008D1D94"/>
    <w:rsid w:val="008D251B"/>
    <w:rsid w:val="008D2DF6"/>
    <w:rsid w:val="008D31DD"/>
    <w:rsid w:val="008D4251"/>
    <w:rsid w:val="008D474D"/>
    <w:rsid w:val="008D489E"/>
    <w:rsid w:val="008D57C6"/>
    <w:rsid w:val="008D5891"/>
    <w:rsid w:val="008D6842"/>
    <w:rsid w:val="008D758B"/>
    <w:rsid w:val="008E0981"/>
    <w:rsid w:val="008E51EB"/>
    <w:rsid w:val="008E573E"/>
    <w:rsid w:val="008E6D33"/>
    <w:rsid w:val="008E7904"/>
    <w:rsid w:val="008F1532"/>
    <w:rsid w:val="008F1B85"/>
    <w:rsid w:val="008F30F5"/>
    <w:rsid w:val="008F39C1"/>
    <w:rsid w:val="008F64FF"/>
    <w:rsid w:val="00900FDB"/>
    <w:rsid w:val="0090126D"/>
    <w:rsid w:val="00902396"/>
    <w:rsid w:val="009031A7"/>
    <w:rsid w:val="009039D2"/>
    <w:rsid w:val="00904660"/>
    <w:rsid w:val="00904AF7"/>
    <w:rsid w:val="009061DB"/>
    <w:rsid w:val="00906FC4"/>
    <w:rsid w:val="009072AA"/>
    <w:rsid w:val="00911028"/>
    <w:rsid w:val="00913B9B"/>
    <w:rsid w:val="00914073"/>
    <w:rsid w:val="009146C5"/>
    <w:rsid w:val="009154B4"/>
    <w:rsid w:val="00915DB3"/>
    <w:rsid w:val="009163BB"/>
    <w:rsid w:val="00916796"/>
    <w:rsid w:val="0092095B"/>
    <w:rsid w:val="00921B3C"/>
    <w:rsid w:val="0092414C"/>
    <w:rsid w:val="00924609"/>
    <w:rsid w:val="00926D60"/>
    <w:rsid w:val="00927A4A"/>
    <w:rsid w:val="00927B54"/>
    <w:rsid w:val="009317A2"/>
    <w:rsid w:val="00931B29"/>
    <w:rsid w:val="009335E2"/>
    <w:rsid w:val="00933AAC"/>
    <w:rsid w:val="0093503C"/>
    <w:rsid w:val="009354E0"/>
    <w:rsid w:val="0093573F"/>
    <w:rsid w:val="00937474"/>
    <w:rsid w:val="009412DC"/>
    <w:rsid w:val="00942969"/>
    <w:rsid w:val="00942EA9"/>
    <w:rsid w:val="00942EDC"/>
    <w:rsid w:val="0094347D"/>
    <w:rsid w:val="009439D6"/>
    <w:rsid w:val="0094419B"/>
    <w:rsid w:val="0094477D"/>
    <w:rsid w:val="00944E2E"/>
    <w:rsid w:val="009457DD"/>
    <w:rsid w:val="009466BD"/>
    <w:rsid w:val="00946A3C"/>
    <w:rsid w:val="00946C99"/>
    <w:rsid w:val="0095053E"/>
    <w:rsid w:val="00950C3A"/>
    <w:rsid w:val="00954C01"/>
    <w:rsid w:val="00954FDB"/>
    <w:rsid w:val="00956AC9"/>
    <w:rsid w:val="00956D99"/>
    <w:rsid w:val="00961525"/>
    <w:rsid w:val="00961596"/>
    <w:rsid w:val="009615AD"/>
    <w:rsid w:val="00962062"/>
    <w:rsid w:val="00962670"/>
    <w:rsid w:val="00965FF3"/>
    <w:rsid w:val="00966669"/>
    <w:rsid w:val="00966DFC"/>
    <w:rsid w:val="00967F1A"/>
    <w:rsid w:val="009705E7"/>
    <w:rsid w:val="00970BAB"/>
    <w:rsid w:val="00970BE7"/>
    <w:rsid w:val="009724F2"/>
    <w:rsid w:val="00972729"/>
    <w:rsid w:val="00973A2C"/>
    <w:rsid w:val="00980B29"/>
    <w:rsid w:val="0098173B"/>
    <w:rsid w:val="0098213C"/>
    <w:rsid w:val="009852B4"/>
    <w:rsid w:val="00987A26"/>
    <w:rsid w:val="00987A73"/>
    <w:rsid w:val="0099133A"/>
    <w:rsid w:val="0099199F"/>
    <w:rsid w:val="009921ED"/>
    <w:rsid w:val="009923D6"/>
    <w:rsid w:val="00992768"/>
    <w:rsid w:val="00993B2F"/>
    <w:rsid w:val="0099403E"/>
    <w:rsid w:val="0099462D"/>
    <w:rsid w:val="0099496B"/>
    <w:rsid w:val="00994986"/>
    <w:rsid w:val="00996C97"/>
    <w:rsid w:val="00997602"/>
    <w:rsid w:val="00997EE9"/>
    <w:rsid w:val="00997FB1"/>
    <w:rsid w:val="009A033B"/>
    <w:rsid w:val="009A0E58"/>
    <w:rsid w:val="009A1021"/>
    <w:rsid w:val="009A2F2A"/>
    <w:rsid w:val="009A4B15"/>
    <w:rsid w:val="009A62F2"/>
    <w:rsid w:val="009A715E"/>
    <w:rsid w:val="009A7539"/>
    <w:rsid w:val="009B05A6"/>
    <w:rsid w:val="009B1571"/>
    <w:rsid w:val="009B21E0"/>
    <w:rsid w:val="009B2D53"/>
    <w:rsid w:val="009B333D"/>
    <w:rsid w:val="009B4048"/>
    <w:rsid w:val="009B4B9C"/>
    <w:rsid w:val="009B6A7E"/>
    <w:rsid w:val="009B753C"/>
    <w:rsid w:val="009C045C"/>
    <w:rsid w:val="009C1534"/>
    <w:rsid w:val="009C2988"/>
    <w:rsid w:val="009C2F5A"/>
    <w:rsid w:val="009C3A97"/>
    <w:rsid w:val="009C504A"/>
    <w:rsid w:val="009C5D86"/>
    <w:rsid w:val="009C686D"/>
    <w:rsid w:val="009C73BF"/>
    <w:rsid w:val="009C79E1"/>
    <w:rsid w:val="009D0391"/>
    <w:rsid w:val="009D09B0"/>
    <w:rsid w:val="009D09BA"/>
    <w:rsid w:val="009D0FA9"/>
    <w:rsid w:val="009D4493"/>
    <w:rsid w:val="009D61AB"/>
    <w:rsid w:val="009D7559"/>
    <w:rsid w:val="009D7EF0"/>
    <w:rsid w:val="009E036E"/>
    <w:rsid w:val="009E04F7"/>
    <w:rsid w:val="009E20F3"/>
    <w:rsid w:val="009E5295"/>
    <w:rsid w:val="009E5CC3"/>
    <w:rsid w:val="009E5DA8"/>
    <w:rsid w:val="009E6976"/>
    <w:rsid w:val="009E6BE0"/>
    <w:rsid w:val="009E71A5"/>
    <w:rsid w:val="009E7710"/>
    <w:rsid w:val="009E7E5F"/>
    <w:rsid w:val="009E7FD5"/>
    <w:rsid w:val="009F0B22"/>
    <w:rsid w:val="009F199A"/>
    <w:rsid w:val="009F2E2D"/>
    <w:rsid w:val="009F3E6D"/>
    <w:rsid w:val="009F7113"/>
    <w:rsid w:val="00A005F1"/>
    <w:rsid w:val="00A00CAF"/>
    <w:rsid w:val="00A02B83"/>
    <w:rsid w:val="00A040DD"/>
    <w:rsid w:val="00A04CA8"/>
    <w:rsid w:val="00A05928"/>
    <w:rsid w:val="00A06022"/>
    <w:rsid w:val="00A07DC9"/>
    <w:rsid w:val="00A10A9E"/>
    <w:rsid w:val="00A11127"/>
    <w:rsid w:val="00A12D51"/>
    <w:rsid w:val="00A12F1B"/>
    <w:rsid w:val="00A131EE"/>
    <w:rsid w:val="00A13F66"/>
    <w:rsid w:val="00A145F4"/>
    <w:rsid w:val="00A14BEF"/>
    <w:rsid w:val="00A14C0E"/>
    <w:rsid w:val="00A15D7B"/>
    <w:rsid w:val="00A17AF7"/>
    <w:rsid w:val="00A21C2A"/>
    <w:rsid w:val="00A21E02"/>
    <w:rsid w:val="00A22D21"/>
    <w:rsid w:val="00A2507E"/>
    <w:rsid w:val="00A250BE"/>
    <w:rsid w:val="00A271A7"/>
    <w:rsid w:val="00A30CAF"/>
    <w:rsid w:val="00A311CF"/>
    <w:rsid w:val="00A31665"/>
    <w:rsid w:val="00A31D5E"/>
    <w:rsid w:val="00A3224D"/>
    <w:rsid w:val="00A32968"/>
    <w:rsid w:val="00A362E3"/>
    <w:rsid w:val="00A40014"/>
    <w:rsid w:val="00A40024"/>
    <w:rsid w:val="00A40BAC"/>
    <w:rsid w:val="00A41832"/>
    <w:rsid w:val="00A422A1"/>
    <w:rsid w:val="00A42B67"/>
    <w:rsid w:val="00A42C30"/>
    <w:rsid w:val="00A463F6"/>
    <w:rsid w:val="00A46B57"/>
    <w:rsid w:val="00A50C4E"/>
    <w:rsid w:val="00A50D85"/>
    <w:rsid w:val="00A53AF2"/>
    <w:rsid w:val="00A551E3"/>
    <w:rsid w:val="00A562FC"/>
    <w:rsid w:val="00A61BA1"/>
    <w:rsid w:val="00A67BB0"/>
    <w:rsid w:val="00A70A5A"/>
    <w:rsid w:val="00A70C6C"/>
    <w:rsid w:val="00A70EE6"/>
    <w:rsid w:val="00A73457"/>
    <w:rsid w:val="00A74149"/>
    <w:rsid w:val="00A74686"/>
    <w:rsid w:val="00A748A0"/>
    <w:rsid w:val="00A74CBD"/>
    <w:rsid w:val="00A811D9"/>
    <w:rsid w:val="00A827CB"/>
    <w:rsid w:val="00A82A9A"/>
    <w:rsid w:val="00A82DD1"/>
    <w:rsid w:val="00A83739"/>
    <w:rsid w:val="00A8393A"/>
    <w:rsid w:val="00A8484E"/>
    <w:rsid w:val="00A86273"/>
    <w:rsid w:val="00A86558"/>
    <w:rsid w:val="00A909B4"/>
    <w:rsid w:val="00A9218C"/>
    <w:rsid w:val="00A92322"/>
    <w:rsid w:val="00A92462"/>
    <w:rsid w:val="00A92527"/>
    <w:rsid w:val="00A925CB"/>
    <w:rsid w:val="00A92902"/>
    <w:rsid w:val="00A93C5B"/>
    <w:rsid w:val="00A94D90"/>
    <w:rsid w:val="00A94F1D"/>
    <w:rsid w:val="00AA04B5"/>
    <w:rsid w:val="00AA0991"/>
    <w:rsid w:val="00AA0AE9"/>
    <w:rsid w:val="00AA11D9"/>
    <w:rsid w:val="00AA14B0"/>
    <w:rsid w:val="00AA217A"/>
    <w:rsid w:val="00AA3A63"/>
    <w:rsid w:val="00AA5B9D"/>
    <w:rsid w:val="00AA5F85"/>
    <w:rsid w:val="00AA6894"/>
    <w:rsid w:val="00AA6A37"/>
    <w:rsid w:val="00AB1210"/>
    <w:rsid w:val="00AB1260"/>
    <w:rsid w:val="00AB230D"/>
    <w:rsid w:val="00AB26C1"/>
    <w:rsid w:val="00AB2784"/>
    <w:rsid w:val="00AB4090"/>
    <w:rsid w:val="00AB4B9D"/>
    <w:rsid w:val="00AB4BF4"/>
    <w:rsid w:val="00AB4EFB"/>
    <w:rsid w:val="00AB6232"/>
    <w:rsid w:val="00AC3507"/>
    <w:rsid w:val="00AC3573"/>
    <w:rsid w:val="00AC3DB1"/>
    <w:rsid w:val="00AC4F8A"/>
    <w:rsid w:val="00AC7397"/>
    <w:rsid w:val="00AD207B"/>
    <w:rsid w:val="00AD47E3"/>
    <w:rsid w:val="00AD5FA4"/>
    <w:rsid w:val="00AE1220"/>
    <w:rsid w:val="00AE1296"/>
    <w:rsid w:val="00AE1873"/>
    <w:rsid w:val="00AE29B8"/>
    <w:rsid w:val="00AE4786"/>
    <w:rsid w:val="00AE4BF6"/>
    <w:rsid w:val="00AE7938"/>
    <w:rsid w:val="00AF11BE"/>
    <w:rsid w:val="00AF12AB"/>
    <w:rsid w:val="00AF1D94"/>
    <w:rsid w:val="00AF2C8A"/>
    <w:rsid w:val="00AF3F9C"/>
    <w:rsid w:val="00AF5501"/>
    <w:rsid w:val="00AF65C4"/>
    <w:rsid w:val="00AF72FD"/>
    <w:rsid w:val="00B01247"/>
    <w:rsid w:val="00B0314C"/>
    <w:rsid w:val="00B03460"/>
    <w:rsid w:val="00B0378C"/>
    <w:rsid w:val="00B0425B"/>
    <w:rsid w:val="00B04338"/>
    <w:rsid w:val="00B06E22"/>
    <w:rsid w:val="00B06F96"/>
    <w:rsid w:val="00B0725E"/>
    <w:rsid w:val="00B1159C"/>
    <w:rsid w:val="00B13018"/>
    <w:rsid w:val="00B13633"/>
    <w:rsid w:val="00B138A5"/>
    <w:rsid w:val="00B164F4"/>
    <w:rsid w:val="00B16656"/>
    <w:rsid w:val="00B16820"/>
    <w:rsid w:val="00B171D6"/>
    <w:rsid w:val="00B174CD"/>
    <w:rsid w:val="00B17516"/>
    <w:rsid w:val="00B20809"/>
    <w:rsid w:val="00B20847"/>
    <w:rsid w:val="00B20B61"/>
    <w:rsid w:val="00B238D9"/>
    <w:rsid w:val="00B241C3"/>
    <w:rsid w:val="00B247AB"/>
    <w:rsid w:val="00B25A86"/>
    <w:rsid w:val="00B25E7F"/>
    <w:rsid w:val="00B26122"/>
    <w:rsid w:val="00B26F93"/>
    <w:rsid w:val="00B272D1"/>
    <w:rsid w:val="00B277CE"/>
    <w:rsid w:val="00B316B4"/>
    <w:rsid w:val="00B31BC0"/>
    <w:rsid w:val="00B347D1"/>
    <w:rsid w:val="00B34E9B"/>
    <w:rsid w:val="00B379A8"/>
    <w:rsid w:val="00B4051D"/>
    <w:rsid w:val="00B40A93"/>
    <w:rsid w:val="00B413A1"/>
    <w:rsid w:val="00B422BC"/>
    <w:rsid w:val="00B426CA"/>
    <w:rsid w:val="00B42EDD"/>
    <w:rsid w:val="00B444B4"/>
    <w:rsid w:val="00B44669"/>
    <w:rsid w:val="00B44F71"/>
    <w:rsid w:val="00B45649"/>
    <w:rsid w:val="00B475BB"/>
    <w:rsid w:val="00B50076"/>
    <w:rsid w:val="00B5229D"/>
    <w:rsid w:val="00B5640C"/>
    <w:rsid w:val="00B61307"/>
    <w:rsid w:val="00B63DB8"/>
    <w:rsid w:val="00B641F7"/>
    <w:rsid w:val="00B662AD"/>
    <w:rsid w:val="00B66CBE"/>
    <w:rsid w:val="00B714F0"/>
    <w:rsid w:val="00B71A8C"/>
    <w:rsid w:val="00B71BAE"/>
    <w:rsid w:val="00B72E79"/>
    <w:rsid w:val="00B74826"/>
    <w:rsid w:val="00B75C67"/>
    <w:rsid w:val="00B76709"/>
    <w:rsid w:val="00B76A6A"/>
    <w:rsid w:val="00B76CF7"/>
    <w:rsid w:val="00B77584"/>
    <w:rsid w:val="00B817D0"/>
    <w:rsid w:val="00B828ED"/>
    <w:rsid w:val="00B83F7F"/>
    <w:rsid w:val="00B8499D"/>
    <w:rsid w:val="00B853C2"/>
    <w:rsid w:val="00B85CC7"/>
    <w:rsid w:val="00B86188"/>
    <w:rsid w:val="00B874AD"/>
    <w:rsid w:val="00B87579"/>
    <w:rsid w:val="00B87915"/>
    <w:rsid w:val="00B90D42"/>
    <w:rsid w:val="00B91C75"/>
    <w:rsid w:val="00B96678"/>
    <w:rsid w:val="00B96788"/>
    <w:rsid w:val="00B96D3B"/>
    <w:rsid w:val="00BA1150"/>
    <w:rsid w:val="00BA411D"/>
    <w:rsid w:val="00BA4551"/>
    <w:rsid w:val="00BA45A7"/>
    <w:rsid w:val="00BA540A"/>
    <w:rsid w:val="00BA56D0"/>
    <w:rsid w:val="00BA58CE"/>
    <w:rsid w:val="00BA65BC"/>
    <w:rsid w:val="00BA6CA1"/>
    <w:rsid w:val="00BB24DE"/>
    <w:rsid w:val="00BB2888"/>
    <w:rsid w:val="00BB7817"/>
    <w:rsid w:val="00BC0FC0"/>
    <w:rsid w:val="00BC133C"/>
    <w:rsid w:val="00BC48C9"/>
    <w:rsid w:val="00BC4E22"/>
    <w:rsid w:val="00BC623E"/>
    <w:rsid w:val="00BC651B"/>
    <w:rsid w:val="00BC6787"/>
    <w:rsid w:val="00BD09E2"/>
    <w:rsid w:val="00BD2DD3"/>
    <w:rsid w:val="00BD2E4C"/>
    <w:rsid w:val="00BD477E"/>
    <w:rsid w:val="00BD783F"/>
    <w:rsid w:val="00BE18D3"/>
    <w:rsid w:val="00BE1C08"/>
    <w:rsid w:val="00BE214D"/>
    <w:rsid w:val="00BE2981"/>
    <w:rsid w:val="00BE29A6"/>
    <w:rsid w:val="00BE5817"/>
    <w:rsid w:val="00BE68A9"/>
    <w:rsid w:val="00BE7AE5"/>
    <w:rsid w:val="00BE7C12"/>
    <w:rsid w:val="00BF4AAB"/>
    <w:rsid w:val="00BF5C36"/>
    <w:rsid w:val="00BF6657"/>
    <w:rsid w:val="00C01A54"/>
    <w:rsid w:val="00C01D31"/>
    <w:rsid w:val="00C01F6F"/>
    <w:rsid w:val="00C02E74"/>
    <w:rsid w:val="00C045A0"/>
    <w:rsid w:val="00C052E4"/>
    <w:rsid w:val="00C05ECF"/>
    <w:rsid w:val="00C0739E"/>
    <w:rsid w:val="00C07FA2"/>
    <w:rsid w:val="00C12262"/>
    <w:rsid w:val="00C13DF6"/>
    <w:rsid w:val="00C150D2"/>
    <w:rsid w:val="00C2026B"/>
    <w:rsid w:val="00C206C0"/>
    <w:rsid w:val="00C20C3D"/>
    <w:rsid w:val="00C21178"/>
    <w:rsid w:val="00C21AD4"/>
    <w:rsid w:val="00C22D4E"/>
    <w:rsid w:val="00C23F2C"/>
    <w:rsid w:val="00C242FE"/>
    <w:rsid w:val="00C24DF6"/>
    <w:rsid w:val="00C27793"/>
    <w:rsid w:val="00C305C1"/>
    <w:rsid w:val="00C33250"/>
    <w:rsid w:val="00C33410"/>
    <w:rsid w:val="00C35D0A"/>
    <w:rsid w:val="00C37B7A"/>
    <w:rsid w:val="00C37CEE"/>
    <w:rsid w:val="00C404CA"/>
    <w:rsid w:val="00C437D9"/>
    <w:rsid w:val="00C458E6"/>
    <w:rsid w:val="00C502A5"/>
    <w:rsid w:val="00C5033D"/>
    <w:rsid w:val="00C5044D"/>
    <w:rsid w:val="00C50943"/>
    <w:rsid w:val="00C50B10"/>
    <w:rsid w:val="00C51DED"/>
    <w:rsid w:val="00C520CD"/>
    <w:rsid w:val="00C5249D"/>
    <w:rsid w:val="00C52715"/>
    <w:rsid w:val="00C5289F"/>
    <w:rsid w:val="00C52E6D"/>
    <w:rsid w:val="00C56A43"/>
    <w:rsid w:val="00C56CAF"/>
    <w:rsid w:val="00C56EF8"/>
    <w:rsid w:val="00C57EC6"/>
    <w:rsid w:val="00C6028A"/>
    <w:rsid w:val="00C6126B"/>
    <w:rsid w:val="00C634FA"/>
    <w:rsid w:val="00C63A87"/>
    <w:rsid w:val="00C656F5"/>
    <w:rsid w:val="00C6671F"/>
    <w:rsid w:val="00C7142F"/>
    <w:rsid w:val="00C73A65"/>
    <w:rsid w:val="00C75795"/>
    <w:rsid w:val="00C80944"/>
    <w:rsid w:val="00C80DA8"/>
    <w:rsid w:val="00C8277E"/>
    <w:rsid w:val="00C82A4A"/>
    <w:rsid w:val="00C8424C"/>
    <w:rsid w:val="00C8435A"/>
    <w:rsid w:val="00C8464B"/>
    <w:rsid w:val="00C8497D"/>
    <w:rsid w:val="00C850E2"/>
    <w:rsid w:val="00C859AC"/>
    <w:rsid w:val="00C86E22"/>
    <w:rsid w:val="00C86F96"/>
    <w:rsid w:val="00C905FD"/>
    <w:rsid w:val="00C907F7"/>
    <w:rsid w:val="00C91281"/>
    <w:rsid w:val="00C918FA"/>
    <w:rsid w:val="00C92330"/>
    <w:rsid w:val="00C933CA"/>
    <w:rsid w:val="00C964B5"/>
    <w:rsid w:val="00CA09AC"/>
    <w:rsid w:val="00CA0C3E"/>
    <w:rsid w:val="00CA0D6A"/>
    <w:rsid w:val="00CA1261"/>
    <w:rsid w:val="00CA170F"/>
    <w:rsid w:val="00CA2E99"/>
    <w:rsid w:val="00CA4DC0"/>
    <w:rsid w:val="00CA65C7"/>
    <w:rsid w:val="00CA6D3F"/>
    <w:rsid w:val="00CA6ED7"/>
    <w:rsid w:val="00CA702B"/>
    <w:rsid w:val="00CA70EB"/>
    <w:rsid w:val="00CB23DD"/>
    <w:rsid w:val="00CB3165"/>
    <w:rsid w:val="00CB5353"/>
    <w:rsid w:val="00CB6FFE"/>
    <w:rsid w:val="00CC4EB8"/>
    <w:rsid w:val="00CC7D9E"/>
    <w:rsid w:val="00CD0711"/>
    <w:rsid w:val="00CD1C09"/>
    <w:rsid w:val="00CD25A2"/>
    <w:rsid w:val="00CD3F5B"/>
    <w:rsid w:val="00CD5629"/>
    <w:rsid w:val="00CD5831"/>
    <w:rsid w:val="00CD5F61"/>
    <w:rsid w:val="00CD5F70"/>
    <w:rsid w:val="00CD638A"/>
    <w:rsid w:val="00CD6E87"/>
    <w:rsid w:val="00CD7AD1"/>
    <w:rsid w:val="00CD7FB3"/>
    <w:rsid w:val="00CE0523"/>
    <w:rsid w:val="00CE124C"/>
    <w:rsid w:val="00CE28F5"/>
    <w:rsid w:val="00CE533E"/>
    <w:rsid w:val="00CF5E1E"/>
    <w:rsid w:val="00CF6CC6"/>
    <w:rsid w:val="00CF7255"/>
    <w:rsid w:val="00D004D6"/>
    <w:rsid w:val="00D00FDA"/>
    <w:rsid w:val="00D017C9"/>
    <w:rsid w:val="00D02C5C"/>
    <w:rsid w:val="00D02E41"/>
    <w:rsid w:val="00D031F1"/>
    <w:rsid w:val="00D03844"/>
    <w:rsid w:val="00D0416E"/>
    <w:rsid w:val="00D0462B"/>
    <w:rsid w:val="00D05775"/>
    <w:rsid w:val="00D06356"/>
    <w:rsid w:val="00D07074"/>
    <w:rsid w:val="00D07601"/>
    <w:rsid w:val="00D07BF1"/>
    <w:rsid w:val="00D07F98"/>
    <w:rsid w:val="00D07FF4"/>
    <w:rsid w:val="00D1081B"/>
    <w:rsid w:val="00D11848"/>
    <w:rsid w:val="00D122AD"/>
    <w:rsid w:val="00D17BA1"/>
    <w:rsid w:val="00D17F27"/>
    <w:rsid w:val="00D206ED"/>
    <w:rsid w:val="00D20A56"/>
    <w:rsid w:val="00D20E94"/>
    <w:rsid w:val="00D221DD"/>
    <w:rsid w:val="00D222E2"/>
    <w:rsid w:val="00D22FFC"/>
    <w:rsid w:val="00D2416C"/>
    <w:rsid w:val="00D2739E"/>
    <w:rsid w:val="00D3009F"/>
    <w:rsid w:val="00D309DA"/>
    <w:rsid w:val="00D31C16"/>
    <w:rsid w:val="00D36BE2"/>
    <w:rsid w:val="00D403F8"/>
    <w:rsid w:val="00D40999"/>
    <w:rsid w:val="00D41F1A"/>
    <w:rsid w:val="00D4225A"/>
    <w:rsid w:val="00D422CF"/>
    <w:rsid w:val="00D43464"/>
    <w:rsid w:val="00D450CF"/>
    <w:rsid w:val="00D451B2"/>
    <w:rsid w:val="00D4637D"/>
    <w:rsid w:val="00D46C05"/>
    <w:rsid w:val="00D504C6"/>
    <w:rsid w:val="00D53457"/>
    <w:rsid w:val="00D546E0"/>
    <w:rsid w:val="00D55AE7"/>
    <w:rsid w:val="00D602A2"/>
    <w:rsid w:val="00D60BFB"/>
    <w:rsid w:val="00D61273"/>
    <w:rsid w:val="00D61E05"/>
    <w:rsid w:val="00D61EE6"/>
    <w:rsid w:val="00D64A35"/>
    <w:rsid w:val="00D64EAF"/>
    <w:rsid w:val="00D65BBD"/>
    <w:rsid w:val="00D721BC"/>
    <w:rsid w:val="00D74C5C"/>
    <w:rsid w:val="00D74C9C"/>
    <w:rsid w:val="00D74F7D"/>
    <w:rsid w:val="00D76160"/>
    <w:rsid w:val="00D768CF"/>
    <w:rsid w:val="00D76ACF"/>
    <w:rsid w:val="00D76AD8"/>
    <w:rsid w:val="00D7778C"/>
    <w:rsid w:val="00D8167F"/>
    <w:rsid w:val="00D83ABE"/>
    <w:rsid w:val="00D85424"/>
    <w:rsid w:val="00D86369"/>
    <w:rsid w:val="00D863AF"/>
    <w:rsid w:val="00D86D4E"/>
    <w:rsid w:val="00D911AA"/>
    <w:rsid w:val="00D91619"/>
    <w:rsid w:val="00D92167"/>
    <w:rsid w:val="00D93D62"/>
    <w:rsid w:val="00D93E13"/>
    <w:rsid w:val="00D94EA6"/>
    <w:rsid w:val="00D955E5"/>
    <w:rsid w:val="00D95D53"/>
    <w:rsid w:val="00D979D8"/>
    <w:rsid w:val="00DA08E9"/>
    <w:rsid w:val="00DA0E14"/>
    <w:rsid w:val="00DA372E"/>
    <w:rsid w:val="00DA535D"/>
    <w:rsid w:val="00DA7CAE"/>
    <w:rsid w:val="00DB0B59"/>
    <w:rsid w:val="00DB32E9"/>
    <w:rsid w:val="00DB3C84"/>
    <w:rsid w:val="00DB4BE4"/>
    <w:rsid w:val="00DC0CB8"/>
    <w:rsid w:val="00DC2164"/>
    <w:rsid w:val="00DC32C5"/>
    <w:rsid w:val="00DC46C6"/>
    <w:rsid w:val="00DC4CF8"/>
    <w:rsid w:val="00DC5F3D"/>
    <w:rsid w:val="00DC646D"/>
    <w:rsid w:val="00DC6856"/>
    <w:rsid w:val="00DC6B36"/>
    <w:rsid w:val="00DC7405"/>
    <w:rsid w:val="00DC7846"/>
    <w:rsid w:val="00DC7D25"/>
    <w:rsid w:val="00DD0B22"/>
    <w:rsid w:val="00DD0D5A"/>
    <w:rsid w:val="00DD1435"/>
    <w:rsid w:val="00DD2B5B"/>
    <w:rsid w:val="00DD3EF4"/>
    <w:rsid w:val="00DD4D9B"/>
    <w:rsid w:val="00DD51E7"/>
    <w:rsid w:val="00DD55EE"/>
    <w:rsid w:val="00DD57A9"/>
    <w:rsid w:val="00DD62BA"/>
    <w:rsid w:val="00DE0471"/>
    <w:rsid w:val="00DE0C61"/>
    <w:rsid w:val="00DE1EED"/>
    <w:rsid w:val="00DE3378"/>
    <w:rsid w:val="00DE3797"/>
    <w:rsid w:val="00DE3941"/>
    <w:rsid w:val="00DE3BE8"/>
    <w:rsid w:val="00DE3C21"/>
    <w:rsid w:val="00DE3F49"/>
    <w:rsid w:val="00DE618E"/>
    <w:rsid w:val="00DE6233"/>
    <w:rsid w:val="00DE6D8A"/>
    <w:rsid w:val="00DE77E6"/>
    <w:rsid w:val="00DF02FF"/>
    <w:rsid w:val="00DF08FF"/>
    <w:rsid w:val="00DF2EBC"/>
    <w:rsid w:val="00DF4109"/>
    <w:rsid w:val="00DF5422"/>
    <w:rsid w:val="00DF5B98"/>
    <w:rsid w:val="00DF6C65"/>
    <w:rsid w:val="00E01D92"/>
    <w:rsid w:val="00E03C8C"/>
    <w:rsid w:val="00E0412A"/>
    <w:rsid w:val="00E05B05"/>
    <w:rsid w:val="00E06712"/>
    <w:rsid w:val="00E07BE2"/>
    <w:rsid w:val="00E1011F"/>
    <w:rsid w:val="00E12A6F"/>
    <w:rsid w:val="00E13824"/>
    <w:rsid w:val="00E16A83"/>
    <w:rsid w:val="00E2195A"/>
    <w:rsid w:val="00E22C25"/>
    <w:rsid w:val="00E25347"/>
    <w:rsid w:val="00E2692E"/>
    <w:rsid w:val="00E27261"/>
    <w:rsid w:val="00E27AEE"/>
    <w:rsid w:val="00E31C92"/>
    <w:rsid w:val="00E326C8"/>
    <w:rsid w:val="00E330EE"/>
    <w:rsid w:val="00E33B43"/>
    <w:rsid w:val="00E34593"/>
    <w:rsid w:val="00E3468B"/>
    <w:rsid w:val="00E347CB"/>
    <w:rsid w:val="00E35443"/>
    <w:rsid w:val="00E355FA"/>
    <w:rsid w:val="00E37691"/>
    <w:rsid w:val="00E376FC"/>
    <w:rsid w:val="00E37847"/>
    <w:rsid w:val="00E40B07"/>
    <w:rsid w:val="00E40E96"/>
    <w:rsid w:val="00E4460E"/>
    <w:rsid w:val="00E459A2"/>
    <w:rsid w:val="00E45B42"/>
    <w:rsid w:val="00E45E3E"/>
    <w:rsid w:val="00E465B3"/>
    <w:rsid w:val="00E510BF"/>
    <w:rsid w:val="00E51DD5"/>
    <w:rsid w:val="00E520EB"/>
    <w:rsid w:val="00E522A3"/>
    <w:rsid w:val="00E553E6"/>
    <w:rsid w:val="00E55780"/>
    <w:rsid w:val="00E55BB0"/>
    <w:rsid w:val="00E55C3F"/>
    <w:rsid w:val="00E55CAE"/>
    <w:rsid w:val="00E566FB"/>
    <w:rsid w:val="00E568CA"/>
    <w:rsid w:val="00E606C0"/>
    <w:rsid w:val="00E60741"/>
    <w:rsid w:val="00E616E9"/>
    <w:rsid w:val="00E61F53"/>
    <w:rsid w:val="00E63EE8"/>
    <w:rsid w:val="00E649A5"/>
    <w:rsid w:val="00E66432"/>
    <w:rsid w:val="00E66C3E"/>
    <w:rsid w:val="00E70062"/>
    <w:rsid w:val="00E72D88"/>
    <w:rsid w:val="00E747F4"/>
    <w:rsid w:val="00E774CF"/>
    <w:rsid w:val="00E82485"/>
    <w:rsid w:val="00E82EFA"/>
    <w:rsid w:val="00E83842"/>
    <w:rsid w:val="00E83AB8"/>
    <w:rsid w:val="00E8414E"/>
    <w:rsid w:val="00E845A5"/>
    <w:rsid w:val="00E84C9F"/>
    <w:rsid w:val="00E84DBD"/>
    <w:rsid w:val="00E84F2B"/>
    <w:rsid w:val="00E8585A"/>
    <w:rsid w:val="00E862A7"/>
    <w:rsid w:val="00E90B05"/>
    <w:rsid w:val="00E91060"/>
    <w:rsid w:val="00E91205"/>
    <w:rsid w:val="00E928C6"/>
    <w:rsid w:val="00E95E46"/>
    <w:rsid w:val="00E9759F"/>
    <w:rsid w:val="00E97A77"/>
    <w:rsid w:val="00E97EBE"/>
    <w:rsid w:val="00E97F22"/>
    <w:rsid w:val="00EA2328"/>
    <w:rsid w:val="00EA264A"/>
    <w:rsid w:val="00EA2A65"/>
    <w:rsid w:val="00EA39C4"/>
    <w:rsid w:val="00EA3A31"/>
    <w:rsid w:val="00EA3ACC"/>
    <w:rsid w:val="00EA4B11"/>
    <w:rsid w:val="00EA4D2F"/>
    <w:rsid w:val="00EA66BF"/>
    <w:rsid w:val="00EA6721"/>
    <w:rsid w:val="00EA6CBA"/>
    <w:rsid w:val="00EB3C6C"/>
    <w:rsid w:val="00EB4502"/>
    <w:rsid w:val="00EB451E"/>
    <w:rsid w:val="00EB4655"/>
    <w:rsid w:val="00EB4979"/>
    <w:rsid w:val="00EB4A87"/>
    <w:rsid w:val="00EB5A1B"/>
    <w:rsid w:val="00EB5EEE"/>
    <w:rsid w:val="00EB6323"/>
    <w:rsid w:val="00EB75F1"/>
    <w:rsid w:val="00EC0B6E"/>
    <w:rsid w:val="00EC171B"/>
    <w:rsid w:val="00EC1CAA"/>
    <w:rsid w:val="00EC3642"/>
    <w:rsid w:val="00EC3CDC"/>
    <w:rsid w:val="00EC4B9D"/>
    <w:rsid w:val="00EC5085"/>
    <w:rsid w:val="00EC6EDA"/>
    <w:rsid w:val="00ED041B"/>
    <w:rsid w:val="00ED150C"/>
    <w:rsid w:val="00ED32BC"/>
    <w:rsid w:val="00ED3F7A"/>
    <w:rsid w:val="00ED400B"/>
    <w:rsid w:val="00ED475D"/>
    <w:rsid w:val="00ED6255"/>
    <w:rsid w:val="00ED65E1"/>
    <w:rsid w:val="00ED689D"/>
    <w:rsid w:val="00ED74EB"/>
    <w:rsid w:val="00ED7CE6"/>
    <w:rsid w:val="00EE08B8"/>
    <w:rsid w:val="00EE1AB0"/>
    <w:rsid w:val="00EE2A9E"/>
    <w:rsid w:val="00EE2FA7"/>
    <w:rsid w:val="00EE3C37"/>
    <w:rsid w:val="00EE5C00"/>
    <w:rsid w:val="00EE6939"/>
    <w:rsid w:val="00EF097D"/>
    <w:rsid w:val="00EF1374"/>
    <w:rsid w:val="00EF2A80"/>
    <w:rsid w:val="00EF2B14"/>
    <w:rsid w:val="00EF4177"/>
    <w:rsid w:val="00EF4B33"/>
    <w:rsid w:val="00EF4CDB"/>
    <w:rsid w:val="00EF4FEA"/>
    <w:rsid w:val="00EF61FC"/>
    <w:rsid w:val="00EF63DF"/>
    <w:rsid w:val="00EF6748"/>
    <w:rsid w:val="00EF6B69"/>
    <w:rsid w:val="00F00064"/>
    <w:rsid w:val="00F02354"/>
    <w:rsid w:val="00F04F51"/>
    <w:rsid w:val="00F052BB"/>
    <w:rsid w:val="00F06216"/>
    <w:rsid w:val="00F06C09"/>
    <w:rsid w:val="00F07E74"/>
    <w:rsid w:val="00F10002"/>
    <w:rsid w:val="00F10083"/>
    <w:rsid w:val="00F10892"/>
    <w:rsid w:val="00F109EA"/>
    <w:rsid w:val="00F10B28"/>
    <w:rsid w:val="00F11F37"/>
    <w:rsid w:val="00F12BA6"/>
    <w:rsid w:val="00F15722"/>
    <w:rsid w:val="00F207DF"/>
    <w:rsid w:val="00F20BF2"/>
    <w:rsid w:val="00F20EEA"/>
    <w:rsid w:val="00F228D2"/>
    <w:rsid w:val="00F26F7F"/>
    <w:rsid w:val="00F276EB"/>
    <w:rsid w:val="00F27C52"/>
    <w:rsid w:val="00F31235"/>
    <w:rsid w:val="00F32E13"/>
    <w:rsid w:val="00F3331B"/>
    <w:rsid w:val="00F403F6"/>
    <w:rsid w:val="00F413FA"/>
    <w:rsid w:val="00F421F5"/>
    <w:rsid w:val="00F44B24"/>
    <w:rsid w:val="00F44C28"/>
    <w:rsid w:val="00F4511C"/>
    <w:rsid w:val="00F4793C"/>
    <w:rsid w:val="00F47E52"/>
    <w:rsid w:val="00F508A1"/>
    <w:rsid w:val="00F50D37"/>
    <w:rsid w:val="00F54803"/>
    <w:rsid w:val="00F5788D"/>
    <w:rsid w:val="00F57F5A"/>
    <w:rsid w:val="00F6086B"/>
    <w:rsid w:val="00F64128"/>
    <w:rsid w:val="00F66043"/>
    <w:rsid w:val="00F660D5"/>
    <w:rsid w:val="00F66F0E"/>
    <w:rsid w:val="00F67E19"/>
    <w:rsid w:val="00F717BD"/>
    <w:rsid w:val="00F721DE"/>
    <w:rsid w:val="00F727D2"/>
    <w:rsid w:val="00F73CB4"/>
    <w:rsid w:val="00F740E4"/>
    <w:rsid w:val="00F755E0"/>
    <w:rsid w:val="00F75D7D"/>
    <w:rsid w:val="00F761FE"/>
    <w:rsid w:val="00F76FC7"/>
    <w:rsid w:val="00F77A43"/>
    <w:rsid w:val="00F809E4"/>
    <w:rsid w:val="00F80DB0"/>
    <w:rsid w:val="00F814D0"/>
    <w:rsid w:val="00F83844"/>
    <w:rsid w:val="00F840D9"/>
    <w:rsid w:val="00F85DFA"/>
    <w:rsid w:val="00F90694"/>
    <w:rsid w:val="00F918A5"/>
    <w:rsid w:val="00F92AD2"/>
    <w:rsid w:val="00F93537"/>
    <w:rsid w:val="00F93ECA"/>
    <w:rsid w:val="00F94BE9"/>
    <w:rsid w:val="00F976D4"/>
    <w:rsid w:val="00FA3FD9"/>
    <w:rsid w:val="00FA47F1"/>
    <w:rsid w:val="00FA7078"/>
    <w:rsid w:val="00FA735F"/>
    <w:rsid w:val="00FB0DDD"/>
    <w:rsid w:val="00FB13F2"/>
    <w:rsid w:val="00FB1706"/>
    <w:rsid w:val="00FB2753"/>
    <w:rsid w:val="00FB2B2E"/>
    <w:rsid w:val="00FB70AD"/>
    <w:rsid w:val="00FB7C8F"/>
    <w:rsid w:val="00FC06C0"/>
    <w:rsid w:val="00FC0FB1"/>
    <w:rsid w:val="00FC1E5D"/>
    <w:rsid w:val="00FC350A"/>
    <w:rsid w:val="00FC3E5E"/>
    <w:rsid w:val="00FC694E"/>
    <w:rsid w:val="00FC6C3F"/>
    <w:rsid w:val="00FD0911"/>
    <w:rsid w:val="00FD221A"/>
    <w:rsid w:val="00FD52B9"/>
    <w:rsid w:val="00FD5451"/>
    <w:rsid w:val="00FD6BB3"/>
    <w:rsid w:val="00FD6C7D"/>
    <w:rsid w:val="00FE02DC"/>
    <w:rsid w:val="00FE0F67"/>
    <w:rsid w:val="00FE136D"/>
    <w:rsid w:val="00FE1769"/>
    <w:rsid w:val="00FE31B7"/>
    <w:rsid w:val="00FE438D"/>
    <w:rsid w:val="00FE455E"/>
    <w:rsid w:val="00FE45B1"/>
    <w:rsid w:val="00FE62C7"/>
    <w:rsid w:val="00FE62D9"/>
    <w:rsid w:val="00FE67DC"/>
    <w:rsid w:val="00FE74FA"/>
    <w:rsid w:val="00FE7BC2"/>
    <w:rsid w:val="00FF06DD"/>
    <w:rsid w:val="00FF0971"/>
    <w:rsid w:val="00FF1D27"/>
    <w:rsid w:val="00FF3524"/>
    <w:rsid w:val="00FF3CDB"/>
    <w:rsid w:val="00FF4FFD"/>
    <w:rsid w:val="00FF5D81"/>
    <w:rsid w:val="00FF7054"/>
    <w:rsid w:val="01064736"/>
    <w:rsid w:val="014A6954"/>
    <w:rsid w:val="01825A4B"/>
    <w:rsid w:val="02424A41"/>
    <w:rsid w:val="03141510"/>
    <w:rsid w:val="0379584E"/>
    <w:rsid w:val="037B7671"/>
    <w:rsid w:val="0387771D"/>
    <w:rsid w:val="038B6837"/>
    <w:rsid w:val="03BE4395"/>
    <w:rsid w:val="044F4707"/>
    <w:rsid w:val="047646BA"/>
    <w:rsid w:val="049C65C7"/>
    <w:rsid w:val="05090736"/>
    <w:rsid w:val="06341CC0"/>
    <w:rsid w:val="06352ECD"/>
    <w:rsid w:val="068B1455"/>
    <w:rsid w:val="06BD7C26"/>
    <w:rsid w:val="071C0E65"/>
    <w:rsid w:val="074569C1"/>
    <w:rsid w:val="07556485"/>
    <w:rsid w:val="07DA5368"/>
    <w:rsid w:val="07F35CEE"/>
    <w:rsid w:val="09891B30"/>
    <w:rsid w:val="099F21B1"/>
    <w:rsid w:val="09FD4EE9"/>
    <w:rsid w:val="0A07235C"/>
    <w:rsid w:val="0A292529"/>
    <w:rsid w:val="0A5A6313"/>
    <w:rsid w:val="0A5C7AB2"/>
    <w:rsid w:val="0ACE516B"/>
    <w:rsid w:val="0B9A35C3"/>
    <w:rsid w:val="0BA768EC"/>
    <w:rsid w:val="0C132430"/>
    <w:rsid w:val="0C2E2C2E"/>
    <w:rsid w:val="0C3573CD"/>
    <w:rsid w:val="0C4150A6"/>
    <w:rsid w:val="0C670906"/>
    <w:rsid w:val="0DC2345D"/>
    <w:rsid w:val="0DE43928"/>
    <w:rsid w:val="0DEB3031"/>
    <w:rsid w:val="0E1C7C79"/>
    <w:rsid w:val="0EC35A2F"/>
    <w:rsid w:val="0F7771DF"/>
    <w:rsid w:val="0FA92C95"/>
    <w:rsid w:val="0FC1739C"/>
    <w:rsid w:val="103B3333"/>
    <w:rsid w:val="106505A7"/>
    <w:rsid w:val="109E6E25"/>
    <w:rsid w:val="112B45C8"/>
    <w:rsid w:val="113D7522"/>
    <w:rsid w:val="115E15B2"/>
    <w:rsid w:val="11A66CF0"/>
    <w:rsid w:val="11DE28D4"/>
    <w:rsid w:val="123F5D06"/>
    <w:rsid w:val="12BD7EF4"/>
    <w:rsid w:val="12F6574D"/>
    <w:rsid w:val="13445C50"/>
    <w:rsid w:val="13975AAC"/>
    <w:rsid w:val="14095335"/>
    <w:rsid w:val="14190871"/>
    <w:rsid w:val="142E1D33"/>
    <w:rsid w:val="149B7EA5"/>
    <w:rsid w:val="14A3024A"/>
    <w:rsid w:val="15445F03"/>
    <w:rsid w:val="159D31CF"/>
    <w:rsid w:val="15B047EB"/>
    <w:rsid w:val="163472A7"/>
    <w:rsid w:val="16630229"/>
    <w:rsid w:val="16BD1398"/>
    <w:rsid w:val="17EB4349"/>
    <w:rsid w:val="181125B4"/>
    <w:rsid w:val="18175909"/>
    <w:rsid w:val="18906841"/>
    <w:rsid w:val="18FD72EE"/>
    <w:rsid w:val="199E771E"/>
    <w:rsid w:val="19CF14E7"/>
    <w:rsid w:val="1A2003A4"/>
    <w:rsid w:val="1A3A7A90"/>
    <w:rsid w:val="1A9A6E9D"/>
    <w:rsid w:val="1B9372F2"/>
    <w:rsid w:val="1BDF0E2E"/>
    <w:rsid w:val="1C3C159C"/>
    <w:rsid w:val="1CC42CCE"/>
    <w:rsid w:val="1CFC56CC"/>
    <w:rsid w:val="1D114FE3"/>
    <w:rsid w:val="1D166259"/>
    <w:rsid w:val="1D3858E9"/>
    <w:rsid w:val="1D917DDE"/>
    <w:rsid w:val="1DA16920"/>
    <w:rsid w:val="1DBF16CE"/>
    <w:rsid w:val="1DD31EFB"/>
    <w:rsid w:val="1EAD18B9"/>
    <w:rsid w:val="1EC27F2E"/>
    <w:rsid w:val="1F8A23A0"/>
    <w:rsid w:val="200157E0"/>
    <w:rsid w:val="202605DC"/>
    <w:rsid w:val="202B2644"/>
    <w:rsid w:val="20B92515"/>
    <w:rsid w:val="21054145"/>
    <w:rsid w:val="212D7985"/>
    <w:rsid w:val="21775997"/>
    <w:rsid w:val="225B6476"/>
    <w:rsid w:val="23250700"/>
    <w:rsid w:val="233E616B"/>
    <w:rsid w:val="234371C5"/>
    <w:rsid w:val="245503A3"/>
    <w:rsid w:val="24985D2E"/>
    <w:rsid w:val="24B03268"/>
    <w:rsid w:val="252970AF"/>
    <w:rsid w:val="259238A8"/>
    <w:rsid w:val="25BF2DB9"/>
    <w:rsid w:val="25F37BB7"/>
    <w:rsid w:val="26137B03"/>
    <w:rsid w:val="261A594C"/>
    <w:rsid w:val="26577677"/>
    <w:rsid w:val="266C615B"/>
    <w:rsid w:val="26BD0C52"/>
    <w:rsid w:val="2709332D"/>
    <w:rsid w:val="27345293"/>
    <w:rsid w:val="27485EDE"/>
    <w:rsid w:val="27886597"/>
    <w:rsid w:val="27B26C0A"/>
    <w:rsid w:val="281563F1"/>
    <w:rsid w:val="283A3B64"/>
    <w:rsid w:val="284D1580"/>
    <w:rsid w:val="28A0029D"/>
    <w:rsid w:val="28A213A8"/>
    <w:rsid w:val="290B5F5D"/>
    <w:rsid w:val="29511799"/>
    <w:rsid w:val="297226FA"/>
    <w:rsid w:val="29E914F4"/>
    <w:rsid w:val="29F35162"/>
    <w:rsid w:val="2A1E1D78"/>
    <w:rsid w:val="2A2A49CF"/>
    <w:rsid w:val="2A41565F"/>
    <w:rsid w:val="2AC765E0"/>
    <w:rsid w:val="2B0F1AEB"/>
    <w:rsid w:val="2B16693C"/>
    <w:rsid w:val="2B367A56"/>
    <w:rsid w:val="2B4C42F2"/>
    <w:rsid w:val="2B854261"/>
    <w:rsid w:val="2B8846CA"/>
    <w:rsid w:val="2BF9413E"/>
    <w:rsid w:val="2C0858D4"/>
    <w:rsid w:val="2C144F7B"/>
    <w:rsid w:val="2C291B6A"/>
    <w:rsid w:val="2C2956A6"/>
    <w:rsid w:val="2C6943DB"/>
    <w:rsid w:val="2CB8715D"/>
    <w:rsid w:val="2CEF7C7C"/>
    <w:rsid w:val="2CF77A54"/>
    <w:rsid w:val="2D6920E8"/>
    <w:rsid w:val="2D6C6813"/>
    <w:rsid w:val="2E7079CA"/>
    <w:rsid w:val="2E9426F8"/>
    <w:rsid w:val="2ECB761F"/>
    <w:rsid w:val="2F20255F"/>
    <w:rsid w:val="2F2B75F4"/>
    <w:rsid w:val="2F8D4B83"/>
    <w:rsid w:val="302B46C6"/>
    <w:rsid w:val="30341D65"/>
    <w:rsid w:val="30A97B8E"/>
    <w:rsid w:val="30E37711"/>
    <w:rsid w:val="315E31BB"/>
    <w:rsid w:val="31A9356B"/>
    <w:rsid w:val="323E3EDB"/>
    <w:rsid w:val="32544691"/>
    <w:rsid w:val="327456FC"/>
    <w:rsid w:val="32EE1B03"/>
    <w:rsid w:val="33284BF3"/>
    <w:rsid w:val="335076E3"/>
    <w:rsid w:val="33C04878"/>
    <w:rsid w:val="33DE6CE9"/>
    <w:rsid w:val="341D5DF7"/>
    <w:rsid w:val="353B78B1"/>
    <w:rsid w:val="35971F2C"/>
    <w:rsid w:val="35A84D37"/>
    <w:rsid w:val="35BA6B98"/>
    <w:rsid w:val="35C22CFE"/>
    <w:rsid w:val="35DC0A12"/>
    <w:rsid w:val="35F02F19"/>
    <w:rsid w:val="362A2567"/>
    <w:rsid w:val="364C7520"/>
    <w:rsid w:val="364E64FE"/>
    <w:rsid w:val="36BA4930"/>
    <w:rsid w:val="37481883"/>
    <w:rsid w:val="37B42669"/>
    <w:rsid w:val="37C962E9"/>
    <w:rsid w:val="382044C2"/>
    <w:rsid w:val="38532EAF"/>
    <w:rsid w:val="38BF0EA2"/>
    <w:rsid w:val="39217151"/>
    <w:rsid w:val="3978583F"/>
    <w:rsid w:val="39A570F0"/>
    <w:rsid w:val="39B041F8"/>
    <w:rsid w:val="39C337FE"/>
    <w:rsid w:val="39C57DE4"/>
    <w:rsid w:val="39DD7710"/>
    <w:rsid w:val="39E23E0F"/>
    <w:rsid w:val="3A18782E"/>
    <w:rsid w:val="3A3640B9"/>
    <w:rsid w:val="3A3C5638"/>
    <w:rsid w:val="3A4F5A4D"/>
    <w:rsid w:val="3A87629C"/>
    <w:rsid w:val="3AC6012D"/>
    <w:rsid w:val="3B0F02EA"/>
    <w:rsid w:val="3B9653CF"/>
    <w:rsid w:val="3B984BA9"/>
    <w:rsid w:val="3C2079E7"/>
    <w:rsid w:val="3C501C53"/>
    <w:rsid w:val="3D120870"/>
    <w:rsid w:val="3D2534D8"/>
    <w:rsid w:val="3D6C33FB"/>
    <w:rsid w:val="3D801FF1"/>
    <w:rsid w:val="3D906DA6"/>
    <w:rsid w:val="3DC70271"/>
    <w:rsid w:val="3DDF20D9"/>
    <w:rsid w:val="3E080A6C"/>
    <w:rsid w:val="3EC32BBA"/>
    <w:rsid w:val="3EC4016B"/>
    <w:rsid w:val="3ED67BDA"/>
    <w:rsid w:val="3F61011B"/>
    <w:rsid w:val="3FE00373"/>
    <w:rsid w:val="400E6983"/>
    <w:rsid w:val="403932DA"/>
    <w:rsid w:val="40BD3216"/>
    <w:rsid w:val="40C46311"/>
    <w:rsid w:val="40D65B01"/>
    <w:rsid w:val="4114763E"/>
    <w:rsid w:val="415961FD"/>
    <w:rsid w:val="41A4312C"/>
    <w:rsid w:val="41AC4478"/>
    <w:rsid w:val="41DA5570"/>
    <w:rsid w:val="41ED3709"/>
    <w:rsid w:val="426C71DF"/>
    <w:rsid w:val="428B5861"/>
    <w:rsid w:val="42BB45CD"/>
    <w:rsid w:val="42DC5CCB"/>
    <w:rsid w:val="432F7C9E"/>
    <w:rsid w:val="43371514"/>
    <w:rsid w:val="43912C80"/>
    <w:rsid w:val="439D5012"/>
    <w:rsid w:val="44A02EC0"/>
    <w:rsid w:val="44E416E0"/>
    <w:rsid w:val="455258BA"/>
    <w:rsid w:val="45765E73"/>
    <w:rsid w:val="461F0AC0"/>
    <w:rsid w:val="46621E13"/>
    <w:rsid w:val="467B2088"/>
    <w:rsid w:val="472666A4"/>
    <w:rsid w:val="473444BD"/>
    <w:rsid w:val="47CC421C"/>
    <w:rsid w:val="47E109D7"/>
    <w:rsid w:val="48497BCB"/>
    <w:rsid w:val="48885A8F"/>
    <w:rsid w:val="48AD3063"/>
    <w:rsid w:val="48CB4AA3"/>
    <w:rsid w:val="491D22D5"/>
    <w:rsid w:val="49234E53"/>
    <w:rsid w:val="494B1189"/>
    <w:rsid w:val="49AC0F14"/>
    <w:rsid w:val="49E42565"/>
    <w:rsid w:val="4A01781E"/>
    <w:rsid w:val="4A1B400D"/>
    <w:rsid w:val="4A3F14F4"/>
    <w:rsid w:val="4A5B3156"/>
    <w:rsid w:val="4B122BE0"/>
    <w:rsid w:val="4B177529"/>
    <w:rsid w:val="4B417926"/>
    <w:rsid w:val="4B593480"/>
    <w:rsid w:val="4B6676F7"/>
    <w:rsid w:val="4B6C51B3"/>
    <w:rsid w:val="4BC17E96"/>
    <w:rsid w:val="4BD0315B"/>
    <w:rsid w:val="4BD7044C"/>
    <w:rsid w:val="4C6F36C6"/>
    <w:rsid w:val="4CC513BA"/>
    <w:rsid w:val="4CCC75E9"/>
    <w:rsid w:val="4D05507B"/>
    <w:rsid w:val="4D9047CC"/>
    <w:rsid w:val="4D9574B3"/>
    <w:rsid w:val="4DE772CF"/>
    <w:rsid w:val="4E6E4B62"/>
    <w:rsid w:val="4EB6405E"/>
    <w:rsid w:val="4ED21DAC"/>
    <w:rsid w:val="4EDF6178"/>
    <w:rsid w:val="4EE24152"/>
    <w:rsid w:val="50257C3B"/>
    <w:rsid w:val="50272010"/>
    <w:rsid w:val="506321FC"/>
    <w:rsid w:val="50702893"/>
    <w:rsid w:val="507D650B"/>
    <w:rsid w:val="50FB7EA8"/>
    <w:rsid w:val="512A410C"/>
    <w:rsid w:val="51D2141A"/>
    <w:rsid w:val="52907AFF"/>
    <w:rsid w:val="53376AEC"/>
    <w:rsid w:val="536C582B"/>
    <w:rsid w:val="53CF5574"/>
    <w:rsid w:val="53E379D9"/>
    <w:rsid w:val="54797D8A"/>
    <w:rsid w:val="548B7F2B"/>
    <w:rsid w:val="54EE120B"/>
    <w:rsid w:val="54FC590B"/>
    <w:rsid w:val="552400B0"/>
    <w:rsid w:val="5588757A"/>
    <w:rsid w:val="55EC37F6"/>
    <w:rsid w:val="55F25D44"/>
    <w:rsid w:val="560B72AE"/>
    <w:rsid w:val="565E18A0"/>
    <w:rsid w:val="56640BB2"/>
    <w:rsid w:val="56964A4D"/>
    <w:rsid w:val="56BA07E0"/>
    <w:rsid w:val="56D020BB"/>
    <w:rsid w:val="56EC2FC0"/>
    <w:rsid w:val="57564687"/>
    <w:rsid w:val="575C58E3"/>
    <w:rsid w:val="57A55C16"/>
    <w:rsid w:val="57F23199"/>
    <w:rsid w:val="58143ED9"/>
    <w:rsid w:val="585B1088"/>
    <w:rsid w:val="58BF41CA"/>
    <w:rsid w:val="58C31871"/>
    <w:rsid w:val="58C76A91"/>
    <w:rsid w:val="58CA5202"/>
    <w:rsid w:val="58CC4D91"/>
    <w:rsid w:val="58E9521A"/>
    <w:rsid w:val="59044794"/>
    <w:rsid w:val="597E663A"/>
    <w:rsid w:val="5A410061"/>
    <w:rsid w:val="5AA26E0A"/>
    <w:rsid w:val="5ADD0AD9"/>
    <w:rsid w:val="5AF33F97"/>
    <w:rsid w:val="5B1A244C"/>
    <w:rsid w:val="5BB95AFA"/>
    <w:rsid w:val="5BF46E77"/>
    <w:rsid w:val="5C0762F6"/>
    <w:rsid w:val="5C184A75"/>
    <w:rsid w:val="5C212843"/>
    <w:rsid w:val="5C2B2069"/>
    <w:rsid w:val="5C7B4DA0"/>
    <w:rsid w:val="5C7B5CB6"/>
    <w:rsid w:val="5CA80947"/>
    <w:rsid w:val="5CBE1F3E"/>
    <w:rsid w:val="5D295B5A"/>
    <w:rsid w:val="5D4179B3"/>
    <w:rsid w:val="5D8F45C4"/>
    <w:rsid w:val="5E0650D2"/>
    <w:rsid w:val="5E1C006E"/>
    <w:rsid w:val="5E5F3229"/>
    <w:rsid w:val="5E912BCD"/>
    <w:rsid w:val="5ED738B9"/>
    <w:rsid w:val="5F1049E6"/>
    <w:rsid w:val="5F4B4EA6"/>
    <w:rsid w:val="5F8D0752"/>
    <w:rsid w:val="5F9B6747"/>
    <w:rsid w:val="5FA61B0C"/>
    <w:rsid w:val="5FBC22FD"/>
    <w:rsid w:val="5FD31EFD"/>
    <w:rsid w:val="607C76BF"/>
    <w:rsid w:val="608B10BA"/>
    <w:rsid w:val="60A04428"/>
    <w:rsid w:val="60B948B4"/>
    <w:rsid w:val="60FA405B"/>
    <w:rsid w:val="6170066E"/>
    <w:rsid w:val="61C07B96"/>
    <w:rsid w:val="62451C4A"/>
    <w:rsid w:val="6260264C"/>
    <w:rsid w:val="62665A82"/>
    <w:rsid w:val="628B77A4"/>
    <w:rsid w:val="62A15A75"/>
    <w:rsid w:val="62CD7BCE"/>
    <w:rsid w:val="62D52C5C"/>
    <w:rsid w:val="6365711E"/>
    <w:rsid w:val="63880C44"/>
    <w:rsid w:val="63B213F4"/>
    <w:rsid w:val="63E0340B"/>
    <w:rsid w:val="63EC5F17"/>
    <w:rsid w:val="63F21409"/>
    <w:rsid w:val="640A52AC"/>
    <w:rsid w:val="64795A14"/>
    <w:rsid w:val="649663C6"/>
    <w:rsid w:val="649F792F"/>
    <w:rsid w:val="658F401C"/>
    <w:rsid w:val="65982CED"/>
    <w:rsid w:val="660536EF"/>
    <w:rsid w:val="66163223"/>
    <w:rsid w:val="664A4C56"/>
    <w:rsid w:val="66A2090D"/>
    <w:rsid w:val="66BE7F4F"/>
    <w:rsid w:val="66DD7E04"/>
    <w:rsid w:val="66EF5DBD"/>
    <w:rsid w:val="67830300"/>
    <w:rsid w:val="67B81331"/>
    <w:rsid w:val="67EB7616"/>
    <w:rsid w:val="6826629B"/>
    <w:rsid w:val="68607B08"/>
    <w:rsid w:val="68934BFF"/>
    <w:rsid w:val="68B531F5"/>
    <w:rsid w:val="68B92E45"/>
    <w:rsid w:val="68DE49E2"/>
    <w:rsid w:val="69077C62"/>
    <w:rsid w:val="69F740EA"/>
    <w:rsid w:val="6A123E45"/>
    <w:rsid w:val="6A217AD0"/>
    <w:rsid w:val="6A862677"/>
    <w:rsid w:val="6A865BCC"/>
    <w:rsid w:val="6B275DCA"/>
    <w:rsid w:val="6B7C6F3D"/>
    <w:rsid w:val="6BB16FC8"/>
    <w:rsid w:val="6C15423A"/>
    <w:rsid w:val="6C6A1A1B"/>
    <w:rsid w:val="6C7A7CD1"/>
    <w:rsid w:val="6CC83B53"/>
    <w:rsid w:val="6CE77668"/>
    <w:rsid w:val="6D22087F"/>
    <w:rsid w:val="6D88326D"/>
    <w:rsid w:val="6D942F79"/>
    <w:rsid w:val="6DB42270"/>
    <w:rsid w:val="6DBB70E9"/>
    <w:rsid w:val="6E060C4B"/>
    <w:rsid w:val="6E075730"/>
    <w:rsid w:val="6EA71967"/>
    <w:rsid w:val="6EB31007"/>
    <w:rsid w:val="6ECE5ECF"/>
    <w:rsid w:val="6EE90AF5"/>
    <w:rsid w:val="6F252441"/>
    <w:rsid w:val="6F574624"/>
    <w:rsid w:val="6F5978AD"/>
    <w:rsid w:val="6F876772"/>
    <w:rsid w:val="6FC1288C"/>
    <w:rsid w:val="6FE559D8"/>
    <w:rsid w:val="708B529E"/>
    <w:rsid w:val="708C7A06"/>
    <w:rsid w:val="70E74E94"/>
    <w:rsid w:val="71A41366"/>
    <w:rsid w:val="72381B5A"/>
    <w:rsid w:val="723D12FD"/>
    <w:rsid w:val="72874F04"/>
    <w:rsid w:val="734C1F4B"/>
    <w:rsid w:val="73D70409"/>
    <w:rsid w:val="740603E3"/>
    <w:rsid w:val="741B127D"/>
    <w:rsid w:val="749C5519"/>
    <w:rsid w:val="74A50903"/>
    <w:rsid w:val="74A97923"/>
    <w:rsid w:val="752112A3"/>
    <w:rsid w:val="75457CD8"/>
    <w:rsid w:val="755B7F16"/>
    <w:rsid w:val="7568205B"/>
    <w:rsid w:val="767D1324"/>
    <w:rsid w:val="769F0F0A"/>
    <w:rsid w:val="76A96DA7"/>
    <w:rsid w:val="76B06700"/>
    <w:rsid w:val="77035278"/>
    <w:rsid w:val="7703641D"/>
    <w:rsid w:val="77053956"/>
    <w:rsid w:val="770A47FA"/>
    <w:rsid w:val="77A06FC1"/>
    <w:rsid w:val="77CE222D"/>
    <w:rsid w:val="77D241CF"/>
    <w:rsid w:val="7817649D"/>
    <w:rsid w:val="78936A45"/>
    <w:rsid w:val="7894346E"/>
    <w:rsid w:val="7894608B"/>
    <w:rsid w:val="78D86C70"/>
    <w:rsid w:val="794E4528"/>
    <w:rsid w:val="79715EA8"/>
    <w:rsid w:val="79A56029"/>
    <w:rsid w:val="79BC2643"/>
    <w:rsid w:val="7A0E2940"/>
    <w:rsid w:val="7A7841C5"/>
    <w:rsid w:val="7ACA370E"/>
    <w:rsid w:val="7B0D6480"/>
    <w:rsid w:val="7B217A21"/>
    <w:rsid w:val="7B453001"/>
    <w:rsid w:val="7B83746E"/>
    <w:rsid w:val="7B9D2006"/>
    <w:rsid w:val="7BE12AC2"/>
    <w:rsid w:val="7BF30DA7"/>
    <w:rsid w:val="7BF7500A"/>
    <w:rsid w:val="7C104EE0"/>
    <w:rsid w:val="7C3535CB"/>
    <w:rsid w:val="7C9D05E8"/>
    <w:rsid w:val="7CFD48E1"/>
    <w:rsid w:val="7D5037C6"/>
    <w:rsid w:val="7D7E715F"/>
    <w:rsid w:val="7D7F5245"/>
    <w:rsid w:val="7D8762F7"/>
    <w:rsid w:val="7EDC4908"/>
    <w:rsid w:val="7EEC3CE5"/>
    <w:rsid w:val="7F390F10"/>
    <w:rsid w:val="7F8E64A6"/>
    <w:rsid w:val="7F994A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1"/>
      <w:lang w:val="en-US" w:eastAsia="zh-CN" w:bidi="ar-SA"/>
    </w:rPr>
  </w:style>
  <w:style w:type="paragraph" w:styleId="3">
    <w:name w:val="heading 1"/>
    <w:basedOn w:val="1"/>
    <w:next w:val="4"/>
    <w:link w:val="87"/>
    <w:qFormat/>
    <w:uiPriority w:val="9"/>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5">
    <w:name w:val="heading 2"/>
    <w:basedOn w:val="3"/>
    <w:next w:val="4"/>
    <w:link w:val="80"/>
    <w:qFormat/>
    <w:uiPriority w:val="9"/>
    <w:pPr>
      <w:spacing w:before="260" w:after="260" w:line="413" w:lineRule="auto"/>
      <w:outlineLvl w:val="1"/>
    </w:pPr>
    <w:rPr>
      <w:rFonts w:ascii="Arial"/>
      <w:bCs/>
      <w:sz w:val="32"/>
      <w:szCs w:val="32"/>
    </w:rPr>
  </w:style>
  <w:style w:type="paragraph" w:styleId="6">
    <w:name w:val="heading 3"/>
    <w:basedOn w:val="1"/>
    <w:next w:val="1"/>
    <w:link w:val="104"/>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7">
    <w:name w:val="heading 4"/>
    <w:basedOn w:val="1"/>
    <w:next w:val="1"/>
    <w:link w:val="83"/>
    <w:qFormat/>
    <w:uiPriority w:val="9"/>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93"/>
    <w:qFormat/>
    <w:uiPriority w:val="9"/>
    <w:pPr>
      <w:keepNext/>
      <w:keepLines/>
      <w:spacing w:before="280" w:after="290" w:line="372" w:lineRule="auto"/>
      <w:outlineLvl w:val="4"/>
    </w:pPr>
    <w:rPr>
      <w:rFonts w:eastAsia="宋体"/>
      <w:b/>
      <w:bCs/>
      <w:sz w:val="28"/>
      <w:szCs w:val="28"/>
    </w:rPr>
  </w:style>
  <w:style w:type="paragraph" w:styleId="9">
    <w:name w:val="heading 6"/>
    <w:basedOn w:val="1"/>
    <w:next w:val="1"/>
    <w:link w:val="89"/>
    <w:qFormat/>
    <w:uiPriority w:val="0"/>
    <w:pPr>
      <w:keepNext/>
      <w:keepLines/>
      <w:spacing w:before="240" w:after="64" w:line="317" w:lineRule="auto"/>
      <w:outlineLvl w:val="5"/>
    </w:pPr>
    <w:rPr>
      <w:rFonts w:ascii="Arial" w:hAnsi="Arial" w:eastAsia="黑体"/>
      <w:b/>
      <w:bCs/>
      <w:sz w:val="24"/>
      <w:szCs w:val="20"/>
    </w:rPr>
  </w:style>
  <w:style w:type="paragraph" w:styleId="10">
    <w:name w:val="heading 7"/>
    <w:basedOn w:val="1"/>
    <w:next w:val="1"/>
    <w:link w:val="84"/>
    <w:qFormat/>
    <w:uiPriority w:val="0"/>
    <w:pPr>
      <w:keepNext/>
      <w:keepLines/>
      <w:adjustRightInd w:val="0"/>
      <w:spacing w:before="240" w:after="64" w:line="320" w:lineRule="atLeast"/>
      <w:textAlignment w:val="baseline"/>
      <w:outlineLvl w:val="6"/>
    </w:pPr>
    <w:rPr>
      <w:rFonts w:ascii="宋体" w:eastAsia="仿宋_GB2312"/>
      <w:b/>
      <w:kern w:val="0"/>
      <w:sz w:val="24"/>
      <w:szCs w:val="20"/>
    </w:rPr>
  </w:style>
  <w:style w:type="paragraph" w:styleId="11">
    <w:name w:val="heading 8"/>
    <w:basedOn w:val="1"/>
    <w:next w:val="1"/>
    <w:link w:val="8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00"/>
    <w:qFormat/>
    <w:uiPriority w:val="0"/>
    <w:pPr>
      <w:keepNext/>
      <w:keepLines/>
      <w:adjustRightInd w:val="0"/>
      <w:spacing w:before="240" w:after="64" w:line="320" w:lineRule="atLeast"/>
      <w:textAlignment w:val="baseline"/>
      <w:outlineLvl w:val="8"/>
    </w:pPr>
    <w:rPr>
      <w:rFonts w:ascii="Arial" w:hAnsi="Arial" w:eastAsia="黑体"/>
      <w:kern w:val="0"/>
      <w:sz w:val="28"/>
      <w:szCs w:val="20"/>
    </w:rPr>
  </w:style>
  <w:style w:type="character" w:default="1" w:styleId="62">
    <w:name w:val="Default Paragraph Font"/>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rPr>
      <w:szCs w:val="22"/>
    </w:rPr>
  </w:style>
  <w:style w:type="paragraph" w:styleId="4">
    <w:name w:val="Normal Indent"/>
    <w:basedOn w:val="1"/>
    <w:link w:val="102"/>
    <w:qFormat/>
    <w:uiPriority w:val="0"/>
    <w:pPr>
      <w:ind w:firstLine="420"/>
    </w:pPr>
    <w:rPr>
      <w:rFonts w:eastAsia="宋体"/>
      <w:szCs w:val="20"/>
    </w:rPr>
  </w:style>
  <w:style w:type="paragraph" w:styleId="13">
    <w:name w:val="toc 7"/>
    <w:basedOn w:val="1"/>
    <w:next w:val="1"/>
    <w:qFormat/>
    <w:uiPriority w:val="0"/>
    <w:pPr>
      <w:ind w:left="1260"/>
      <w:jc w:val="left"/>
    </w:pPr>
    <w:rPr>
      <w:sz w:val="18"/>
      <w:szCs w:val="18"/>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widowControl/>
      <w:tabs>
        <w:tab w:val="left" w:pos="780"/>
      </w:tabs>
      <w:spacing w:before="100" w:beforeAutospacing="1" w:afterLines="50" w:afterAutospacing="1"/>
      <w:ind w:left="780" w:hanging="360"/>
      <w:jc w:val="left"/>
    </w:pPr>
    <w:rPr>
      <w:kern w:val="0"/>
      <w:szCs w:val="20"/>
    </w:rPr>
  </w:style>
  <w:style w:type="paragraph" w:styleId="17">
    <w:name w:val="Document Map"/>
    <w:basedOn w:val="1"/>
    <w:qFormat/>
    <w:uiPriority w:val="0"/>
    <w:pPr>
      <w:shd w:val="clear" w:color="auto" w:fill="000080"/>
    </w:pPr>
  </w:style>
  <w:style w:type="paragraph" w:styleId="18">
    <w:name w:val="annotation text"/>
    <w:basedOn w:val="1"/>
    <w:link w:val="78"/>
    <w:qFormat/>
    <w:uiPriority w:val="99"/>
    <w:pPr>
      <w:jc w:val="left"/>
    </w:pPr>
    <w:rPr>
      <w:szCs w:val="24"/>
    </w:rPr>
  </w:style>
  <w:style w:type="paragraph" w:styleId="19">
    <w:name w:val="Body Text 3"/>
    <w:basedOn w:val="1"/>
    <w:qFormat/>
    <w:uiPriority w:val="0"/>
    <w:pPr>
      <w:spacing w:after="120"/>
    </w:pPr>
    <w:rPr>
      <w:sz w:val="16"/>
      <w:szCs w:val="16"/>
    </w:rPr>
  </w:style>
  <w:style w:type="paragraph" w:styleId="20">
    <w:name w:val="Body Text"/>
    <w:basedOn w:val="1"/>
    <w:next w:val="21"/>
    <w:link w:val="79"/>
    <w:qFormat/>
    <w:uiPriority w:val="1"/>
    <w:pPr>
      <w:spacing w:after="120"/>
    </w:pPr>
    <w:rPr>
      <w:rFonts w:eastAsia="宋体"/>
      <w:sz w:val="28"/>
      <w:szCs w:val="24"/>
    </w:rPr>
  </w:style>
  <w:style w:type="paragraph" w:styleId="21">
    <w:name w:val="Body Text First Indent"/>
    <w:basedOn w:val="20"/>
    <w:next w:val="1"/>
    <w:qFormat/>
    <w:uiPriority w:val="0"/>
    <w:pPr>
      <w:spacing w:line="360" w:lineRule="auto"/>
      <w:ind w:firstLine="200" w:firstLineChars="200"/>
      <w:jc w:val="left"/>
    </w:pPr>
    <w:rPr>
      <w:bCs/>
      <w:sz w:val="24"/>
    </w:rPr>
  </w:style>
  <w:style w:type="paragraph" w:styleId="22">
    <w:name w:val="Body Text Indent"/>
    <w:basedOn w:val="1"/>
    <w:qFormat/>
    <w:uiPriority w:val="0"/>
    <w:pPr>
      <w:spacing w:line="200" w:lineRule="exact"/>
      <w:ind w:firstLine="301"/>
    </w:pPr>
    <w:rPr>
      <w:rFonts w:ascii="宋体" w:hAnsi="Courier New"/>
      <w:spacing w:val="-4"/>
      <w:sz w:val="18"/>
      <w:szCs w:val="20"/>
    </w:rPr>
  </w:style>
  <w:style w:type="paragraph" w:styleId="23">
    <w:name w:val="List Number 3"/>
    <w:basedOn w:val="1"/>
    <w:qFormat/>
    <w:uiPriority w:val="0"/>
    <w:pPr>
      <w:tabs>
        <w:tab w:val="left" w:pos="1200"/>
      </w:tabs>
      <w:ind w:left="1200" w:hanging="360"/>
    </w:pPr>
  </w:style>
  <w:style w:type="paragraph" w:styleId="24">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25">
    <w:name w:val="toc 5"/>
    <w:basedOn w:val="1"/>
    <w:next w:val="1"/>
    <w:qFormat/>
    <w:uiPriority w:val="0"/>
    <w:pPr>
      <w:ind w:left="840"/>
      <w:jc w:val="left"/>
    </w:pPr>
    <w:rPr>
      <w:sz w:val="18"/>
      <w:szCs w:val="18"/>
    </w:rPr>
  </w:style>
  <w:style w:type="paragraph" w:styleId="26">
    <w:name w:val="toc 3"/>
    <w:basedOn w:val="1"/>
    <w:next w:val="1"/>
    <w:qFormat/>
    <w:uiPriority w:val="99"/>
    <w:pPr>
      <w:ind w:left="420"/>
      <w:jc w:val="left"/>
    </w:pPr>
    <w:rPr>
      <w:i/>
      <w:iCs/>
      <w:sz w:val="20"/>
      <w:szCs w:val="20"/>
    </w:rPr>
  </w:style>
  <w:style w:type="paragraph" w:styleId="27">
    <w:name w:val="Plain Text"/>
    <w:basedOn w:val="1"/>
    <w:link w:val="77"/>
    <w:qFormat/>
    <w:uiPriority w:val="0"/>
    <w:pPr>
      <w:tabs>
        <w:tab w:val="left" w:pos="1200"/>
      </w:tabs>
      <w:spacing w:beforeLines="50" w:afterLines="50" w:line="400" w:lineRule="exact"/>
      <w:ind w:left="1200" w:hanging="360"/>
    </w:pPr>
    <w:rPr>
      <w:rFonts w:ascii="宋体" w:hAnsi="Courier New"/>
      <w:sz w:val="24"/>
      <w:szCs w:val="24"/>
    </w:rPr>
  </w:style>
  <w:style w:type="paragraph" w:styleId="28">
    <w:name w:val="toc 8"/>
    <w:basedOn w:val="1"/>
    <w:next w:val="1"/>
    <w:qFormat/>
    <w:uiPriority w:val="0"/>
    <w:pPr>
      <w:ind w:left="1470"/>
      <w:jc w:val="left"/>
    </w:pPr>
    <w:rPr>
      <w:sz w:val="18"/>
      <w:szCs w:val="18"/>
    </w:rPr>
  </w:style>
  <w:style w:type="paragraph" w:styleId="29">
    <w:name w:val="Date"/>
    <w:basedOn w:val="1"/>
    <w:next w:val="1"/>
    <w:qFormat/>
    <w:uiPriority w:val="0"/>
    <w:pPr>
      <w:ind w:left="2500" w:leftChars="2500"/>
    </w:pPr>
    <w:rPr>
      <w:rFonts w:eastAsia="楷体_GB2312"/>
      <w:sz w:val="32"/>
      <w:szCs w:val="20"/>
    </w:rPr>
  </w:style>
  <w:style w:type="paragraph" w:styleId="30">
    <w:name w:val="Body Text Indent 2"/>
    <w:basedOn w:val="1"/>
    <w:qFormat/>
    <w:uiPriority w:val="0"/>
    <w:pPr>
      <w:spacing w:after="120" w:line="480" w:lineRule="auto"/>
      <w:ind w:left="420" w:leftChars="200"/>
    </w:pPr>
  </w:style>
  <w:style w:type="paragraph" w:styleId="31">
    <w:name w:val="endnote text"/>
    <w:basedOn w:val="1"/>
    <w:qFormat/>
    <w:uiPriority w:val="0"/>
    <w:pPr>
      <w:snapToGrid w:val="0"/>
      <w:spacing w:afterLines="50"/>
      <w:jc w:val="left"/>
    </w:pPr>
    <w:rPr>
      <w:rFonts w:ascii="宋体"/>
      <w:snapToGrid w:val="0"/>
      <w:kern w:val="0"/>
      <w:szCs w:val="20"/>
    </w:rPr>
  </w:style>
  <w:style w:type="paragraph" w:styleId="32">
    <w:name w:val="Balloon Text"/>
    <w:basedOn w:val="1"/>
    <w:link w:val="92"/>
    <w:qFormat/>
    <w:uiPriority w:val="99"/>
    <w:rPr>
      <w:sz w:val="18"/>
      <w:szCs w:val="18"/>
    </w:rPr>
  </w:style>
  <w:style w:type="paragraph" w:styleId="33">
    <w:name w:val="footer"/>
    <w:basedOn w:val="1"/>
    <w:link w:val="88"/>
    <w:qFormat/>
    <w:uiPriority w:val="99"/>
    <w:pPr>
      <w:tabs>
        <w:tab w:val="center" w:pos="4153"/>
        <w:tab w:val="right" w:pos="8306"/>
      </w:tabs>
      <w:snapToGrid w:val="0"/>
      <w:jc w:val="left"/>
    </w:pPr>
    <w:rPr>
      <w:rFonts w:eastAsia="黑体"/>
      <w:snapToGrid w:val="0"/>
      <w:sz w:val="18"/>
      <w:szCs w:val="18"/>
    </w:rPr>
  </w:style>
  <w:style w:type="paragraph" w:styleId="34">
    <w:name w:val="header"/>
    <w:basedOn w:val="1"/>
    <w:link w:val="85"/>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27"/>
    <w:next w:val="36"/>
    <w:qFormat/>
    <w:uiPriority w:val="99"/>
    <w:pPr>
      <w:spacing w:beforeLines="0" w:afterLines="0" w:line="240" w:lineRule="auto"/>
      <w:ind w:left="0" w:firstLine="0"/>
      <w:jc w:val="left"/>
    </w:pPr>
    <w:rPr>
      <w:rFonts w:ascii="Times New Roman" w:hAnsi="Times New Roman"/>
      <w:b/>
      <w:bCs/>
      <w:caps/>
      <w:sz w:val="20"/>
      <w:szCs w:val="20"/>
    </w:rPr>
  </w:style>
  <w:style w:type="paragraph" w:customStyle="1" w:styleId="36">
    <w:name w:val="Char"/>
    <w:basedOn w:val="1"/>
    <w:qFormat/>
    <w:uiPriority w:val="0"/>
    <w:rPr>
      <w:sz w:val="24"/>
    </w:rPr>
  </w:style>
  <w:style w:type="paragraph" w:styleId="37">
    <w:name w:val="toc 4"/>
    <w:basedOn w:val="1"/>
    <w:next w:val="1"/>
    <w:qFormat/>
    <w:uiPriority w:val="0"/>
    <w:pPr>
      <w:ind w:left="630"/>
      <w:jc w:val="left"/>
    </w:pPr>
    <w:rPr>
      <w:sz w:val="18"/>
      <w:szCs w:val="18"/>
    </w:rPr>
  </w:style>
  <w:style w:type="paragraph" w:styleId="38">
    <w:name w:val="Subtitle"/>
    <w:basedOn w:val="1"/>
    <w:qFormat/>
    <w:uiPriority w:val="0"/>
    <w:pPr>
      <w:spacing w:afterLines="50"/>
      <w:jc w:val="center"/>
    </w:pPr>
    <w:rPr>
      <w:rFonts w:ascii="宋体"/>
      <w:i/>
      <w:snapToGrid w:val="0"/>
      <w:kern w:val="0"/>
      <w:sz w:val="36"/>
      <w:szCs w:val="20"/>
      <w:lang w:val="en-AU"/>
    </w:rPr>
  </w:style>
  <w:style w:type="paragraph" w:styleId="39">
    <w:name w:val="List"/>
    <w:basedOn w:val="1"/>
    <w:qFormat/>
    <w:uiPriority w:val="0"/>
    <w:pPr>
      <w:ind w:left="200" w:hanging="200" w:hangingChars="200"/>
    </w:pPr>
    <w:rPr>
      <w:sz w:val="28"/>
    </w:rPr>
  </w:style>
  <w:style w:type="paragraph" w:styleId="40">
    <w:name w:val="toc 6"/>
    <w:basedOn w:val="1"/>
    <w:next w:val="1"/>
    <w:qFormat/>
    <w:uiPriority w:val="0"/>
    <w:pPr>
      <w:ind w:left="1050"/>
      <w:jc w:val="left"/>
    </w:pPr>
    <w:rPr>
      <w:sz w:val="18"/>
      <w:szCs w:val="18"/>
    </w:rPr>
  </w:style>
  <w:style w:type="paragraph" w:styleId="41">
    <w:name w:val="Body Text Indent 3"/>
    <w:basedOn w:val="1"/>
    <w:link w:val="97"/>
    <w:qFormat/>
    <w:uiPriority w:val="0"/>
    <w:pPr>
      <w:spacing w:line="500" w:lineRule="atLeast"/>
      <w:ind w:firstLine="720" w:firstLineChars="300"/>
    </w:pPr>
    <w:rPr>
      <w:sz w:val="24"/>
      <w:szCs w:val="24"/>
    </w:rPr>
  </w:style>
  <w:style w:type="paragraph" w:styleId="42">
    <w:name w:val="toc 2"/>
    <w:basedOn w:val="1"/>
    <w:next w:val="1"/>
    <w:qFormat/>
    <w:uiPriority w:val="99"/>
    <w:pPr>
      <w:ind w:left="210"/>
      <w:jc w:val="left"/>
    </w:pPr>
    <w:rPr>
      <w:smallCaps/>
      <w:sz w:val="20"/>
      <w:szCs w:val="20"/>
    </w:rPr>
  </w:style>
  <w:style w:type="paragraph" w:styleId="43">
    <w:name w:val="toc 9"/>
    <w:basedOn w:val="44"/>
    <w:next w:val="1"/>
    <w:qFormat/>
    <w:uiPriority w:val="0"/>
    <w:pPr>
      <w:keepNext w:val="0"/>
      <w:tabs>
        <w:tab w:val="left" w:pos="480"/>
      </w:tabs>
      <w:spacing w:before="0" w:after="0"/>
      <w:ind w:left="1680" w:firstLine="0"/>
      <w:outlineLvl w:val="9"/>
    </w:pPr>
    <w:rPr>
      <w:rFonts w:ascii="Times New Roman" w:cs="Times New Roman"/>
      <w:b w:val="0"/>
      <w:snapToGrid/>
      <w:kern w:val="2"/>
      <w:sz w:val="18"/>
      <w:szCs w:val="18"/>
    </w:rPr>
  </w:style>
  <w:style w:type="paragraph" w:customStyle="1" w:styleId="44">
    <w:name w:val="样式 标题1"/>
    <w:basedOn w:val="45"/>
    <w:next w:val="46"/>
    <w:qFormat/>
    <w:uiPriority w:val="0"/>
    <w:pPr>
      <w:tabs>
        <w:tab w:val="left" w:pos="480"/>
      </w:tabs>
      <w:spacing w:afterLines="0"/>
      <w:ind w:left="480" w:hanging="480"/>
    </w:pPr>
    <w:rPr>
      <w:bCs w:val="0"/>
      <w:sz w:val="32"/>
    </w:rPr>
  </w:style>
  <w:style w:type="paragraph" w:customStyle="1" w:styleId="45">
    <w:name w:val="样式 标题 1 + 段后: 0.5 行"/>
    <w:basedOn w:val="3"/>
    <w:qFormat/>
    <w:uiPriority w:val="0"/>
    <w:pPr>
      <w:keepLines w:val="0"/>
      <w:tabs>
        <w:tab w:val="clear" w:pos="360"/>
      </w:tabs>
      <w:autoSpaceDE/>
      <w:autoSpaceDN/>
      <w:adjustRightInd/>
      <w:spacing w:before="120" w:afterLines="50" w:line="240" w:lineRule="auto"/>
      <w:textAlignment w:val="auto"/>
    </w:pPr>
    <w:rPr>
      <w:rFonts w:hAnsi="Times New Roman" w:eastAsia="宋体" w:cs="宋体"/>
      <w:bCs/>
      <w:snapToGrid w:val="0"/>
      <w:color w:val="auto"/>
      <w:kern w:val="0"/>
      <w:sz w:val="28"/>
    </w:rPr>
  </w:style>
  <w:style w:type="paragraph" w:customStyle="1" w:styleId="46">
    <w:name w:val="最新标题2"/>
    <w:basedOn w:val="47"/>
    <w:next w:val="48"/>
    <w:qFormat/>
    <w:uiPriority w:val="0"/>
    <w:pPr>
      <w:tabs>
        <w:tab w:val="left" w:pos="360"/>
        <w:tab w:val="left" w:pos="1680"/>
      </w:tabs>
      <w:spacing w:afterLines="0"/>
    </w:pPr>
  </w:style>
  <w:style w:type="paragraph" w:customStyle="1" w:styleId="47">
    <w:name w:val="样式 标题 2"/>
    <w:basedOn w:val="5"/>
    <w:next w:val="48"/>
    <w:qFormat/>
    <w:uiPriority w:val="0"/>
    <w:pPr>
      <w:keepLines w:val="0"/>
      <w:tabs>
        <w:tab w:val="left" w:pos="1680"/>
      </w:tabs>
      <w:spacing w:before="120" w:afterLines="50" w:line="240" w:lineRule="auto"/>
      <w:ind w:left="380" w:hanging="380"/>
    </w:pPr>
    <w:rPr>
      <w:rFonts w:ascii="宋体" w:hAnsi="Times New Roman" w:eastAsia="宋体" w:cs="宋体"/>
      <w:snapToGrid w:val="0"/>
      <w:kern w:val="0"/>
      <w:sz w:val="28"/>
      <w:szCs w:val="20"/>
    </w:rPr>
  </w:style>
  <w:style w:type="paragraph" w:customStyle="1" w:styleId="48">
    <w:name w:val="最新标题3"/>
    <w:basedOn w:val="49"/>
    <w:next w:val="50"/>
    <w:qFormat/>
    <w:uiPriority w:val="0"/>
    <w:pPr>
      <w:tabs>
        <w:tab w:val="left" w:pos="1260"/>
      </w:tabs>
      <w:spacing w:afterLines="0"/>
    </w:pPr>
  </w:style>
  <w:style w:type="paragraph" w:customStyle="1" w:styleId="49">
    <w:name w:val="样式 标题 3"/>
    <w:basedOn w:val="6"/>
    <w:next w:val="50"/>
    <w:qFormat/>
    <w:uiPriority w:val="0"/>
    <w:pPr>
      <w:keepNext/>
      <w:tabs>
        <w:tab w:val="left" w:pos="1260"/>
        <w:tab w:val="clear" w:pos="709"/>
      </w:tabs>
      <w:autoSpaceDE/>
      <w:autoSpaceDN/>
      <w:adjustRightInd/>
      <w:spacing w:before="120" w:afterLines="50" w:line="240" w:lineRule="auto"/>
      <w:ind w:left="1260" w:hanging="420"/>
      <w:jc w:val="left"/>
      <w:textAlignment w:val="auto"/>
    </w:pPr>
    <w:rPr>
      <w:rFonts w:ascii="宋体" w:eastAsia="宋体" w:cs="宋体"/>
      <w:bCs/>
      <w:snapToGrid w:val="0"/>
      <w:color w:val="auto"/>
      <w:sz w:val="24"/>
    </w:rPr>
  </w:style>
  <w:style w:type="paragraph" w:customStyle="1" w:styleId="50">
    <w:name w:val="最新标题4"/>
    <w:basedOn w:val="51"/>
    <w:next w:val="1"/>
    <w:qFormat/>
    <w:uiPriority w:val="0"/>
    <w:pPr>
      <w:tabs>
        <w:tab w:val="left" w:pos="1080"/>
      </w:tabs>
      <w:spacing w:after="120"/>
      <w:ind w:left="0" w:firstLine="0"/>
    </w:pPr>
  </w:style>
  <w:style w:type="paragraph" w:customStyle="1" w:styleId="51">
    <w:name w:val="样式 标题 4"/>
    <w:basedOn w:val="52"/>
    <w:next w:val="54"/>
    <w:qFormat/>
    <w:uiPriority w:val="0"/>
    <w:pPr>
      <w:tabs>
        <w:tab w:val="left" w:pos="1080"/>
      </w:tabs>
      <w:spacing w:after="50"/>
      <w:ind w:left="1080" w:hanging="1080"/>
    </w:pPr>
  </w:style>
  <w:style w:type="paragraph" w:customStyle="1" w:styleId="52">
    <w:name w:val="样式 标题 4Chapter X.X.X.X. + 段后: 0.5 行1"/>
    <w:basedOn w:val="53"/>
    <w:qFormat/>
    <w:uiPriority w:val="0"/>
    <w:pPr>
      <w:spacing w:afterLines="0"/>
    </w:pPr>
  </w:style>
  <w:style w:type="paragraph" w:customStyle="1" w:styleId="53">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54">
    <w:name w:val="样式 正文"/>
    <w:basedOn w:val="1"/>
    <w:next w:val="1"/>
    <w:qFormat/>
    <w:uiPriority w:val="0"/>
    <w:pPr>
      <w:tabs>
        <w:tab w:val="left" w:pos="1680"/>
      </w:tabs>
      <w:spacing w:afterLines="50"/>
      <w:ind w:left="1680" w:hanging="420"/>
      <w:jc w:val="left"/>
    </w:pPr>
    <w:rPr>
      <w:rFonts w:ascii="宋体" w:cs="宋体"/>
      <w:snapToGrid w:val="0"/>
      <w:kern w:val="0"/>
      <w:szCs w:val="20"/>
    </w:rPr>
  </w:style>
  <w:style w:type="paragraph" w:styleId="55">
    <w:name w:val="Body Text 2"/>
    <w:basedOn w:val="1"/>
    <w:qFormat/>
    <w:uiPriority w:val="0"/>
    <w:pPr>
      <w:autoSpaceDE w:val="0"/>
      <w:autoSpaceDN w:val="0"/>
      <w:adjustRightInd w:val="0"/>
    </w:pPr>
    <w:rPr>
      <w:color w:val="000000"/>
    </w:rPr>
  </w:style>
  <w:style w:type="paragraph" w:styleId="56">
    <w:name w:val="HTML Preformatted"/>
    <w:basedOn w:val="1"/>
    <w:qFormat/>
    <w:uiPriority w:val="0"/>
    <w:rPr>
      <w:rFonts w:ascii="Courier New" w:hAnsi="Courier New" w:cs="Courier New"/>
      <w:sz w:val="20"/>
      <w:szCs w:val="20"/>
    </w:rPr>
  </w:style>
  <w:style w:type="paragraph" w:styleId="5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8">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9">
    <w:name w:val="annotation subject"/>
    <w:basedOn w:val="18"/>
    <w:next w:val="18"/>
    <w:link w:val="101"/>
    <w:qFormat/>
    <w:uiPriority w:val="99"/>
    <w:rPr>
      <w:b/>
      <w:bCs/>
    </w:rPr>
  </w:style>
  <w:style w:type="table" w:styleId="61">
    <w:name w:val="Table Grid"/>
    <w:basedOn w:val="6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0"/>
  </w:style>
  <w:style w:type="character" w:styleId="64">
    <w:name w:val="page number"/>
    <w:basedOn w:val="62"/>
    <w:qFormat/>
    <w:uiPriority w:val="0"/>
  </w:style>
  <w:style w:type="character" w:styleId="65">
    <w:name w:val="FollowedHyperlink"/>
    <w:qFormat/>
    <w:uiPriority w:val="99"/>
    <w:rPr>
      <w:rFonts w:cs="Times New Roman"/>
      <w:color w:val="800080"/>
      <w:u w:val="single"/>
    </w:rPr>
  </w:style>
  <w:style w:type="character" w:styleId="66">
    <w:name w:val="Emphasis"/>
    <w:qFormat/>
    <w:uiPriority w:val="0"/>
    <w:rPr>
      <w:color w:val="CC0000"/>
    </w:rPr>
  </w:style>
  <w:style w:type="character" w:styleId="67">
    <w:name w:val="HTML Definition"/>
    <w:qFormat/>
    <w:uiPriority w:val="0"/>
  </w:style>
  <w:style w:type="character" w:styleId="68">
    <w:name w:val="HTML Typewriter"/>
    <w:qFormat/>
    <w:uiPriority w:val="0"/>
    <w:rPr>
      <w:rFonts w:hint="default" w:ascii="monospace" w:hAnsi="monospace" w:eastAsia="monospace" w:cs="monospace"/>
      <w:sz w:val="20"/>
    </w:rPr>
  </w:style>
  <w:style w:type="character" w:styleId="69">
    <w:name w:val="HTML Acronym"/>
    <w:basedOn w:val="62"/>
    <w:qFormat/>
    <w:uiPriority w:val="0"/>
  </w:style>
  <w:style w:type="character" w:styleId="70">
    <w:name w:val="HTML Variable"/>
    <w:qFormat/>
    <w:uiPriority w:val="0"/>
  </w:style>
  <w:style w:type="character" w:styleId="71">
    <w:name w:val="Hyperlink"/>
    <w:basedOn w:val="62"/>
    <w:qFormat/>
    <w:uiPriority w:val="99"/>
    <w:rPr>
      <w:color w:val="333333"/>
      <w:u w:val="none"/>
    </w:rPr>
  </w:style>
  <w:style w:type="character" w:styleId="72">
    <w:name w:val="HTML Code"/>
    <w:qFormat/>
    <w:uiPriority w:val="0"/>
    <w:rPr>
      <w:rFonts w:hint="default" w:ascii="monospace" w:hAnsi="monospace" w:eastAsia="monospace" w:cs="monospace"/>
      <w:sz w:val="20"/>
    </w:rPr>
  </w:style>
  <w:style w:type="character" w:styleId="73">
    <w:name w:val="annotation reference"/>
    <w:qFormat/>
    <w:uiPriority w:val="99"/>
    <w:rPr>
      <w:sz w:val="21"/>
      <w:szCs w:val="21"/>
    </w:rPr>
  </w:style>
  <w:style w:type="character" w:styleId="74">
    <w:name w:val="HTML Cite"/>
    <w:qFormat/>
    <w:uiPriority w:val="0"/>
  </w:style>
  <w:style w:type="character" w:styleId="75">
    <w:name w:val="HTML Keyboard"/>
    <w:qFormat/>
    <w:uiPriority w:val="0"/>
    <w:rPr>
      <w:rFonts w:ascii="monospace" w:hAnsi="monospace" w:eastAsia="monospace" w:cs="monospace"/>
      <w:sz w:val="20"/>
    </w:rPr>
  </w:style>
  <w:style w:type="character" w:styleId="76">
    <w:name w:val="HTML Sample"/>
    <w:qFormat/>
    <w:uiPriority w:val="0"/>
    <w:rPr>
      <w:rFonts w:hint="default" w:ascii="monospace" w:hAnsi="monospace" w:eastAsia="monospace" w:cs="monospace"/>
    </w:rPr>
  </w:style>
  <w:style w:type="character" w:customStyle="1" w:styleId="77">
    <w:name w:val="纯文本 Char"/>
    <w:link w:val="27"/>
    <w:qFormat/>
    <w:uiPriority w:val="0"/>
    <w:rPr>
      <w:rFonts w:ascii="宋体" w:hAnsi="Courier New"/>
      <w:kern w:val="2"/>
      <w:sz w:val="24"/>
      <w:szCs w:val="24"/>
    </w:rPr>
  </w:style>
  <w:style w:type="character" w:customStyle="1" w:styleId="78">
    <w:name w:val="批注文字 Char"/>
    <w:link w:val="18"/>
    <w:qFormat/>
    <w:uiPriority w:val="99"/>
    <w:rPr>
      <w:kern w:val="2"/>
      <w:sz w:val="21"/>
      <w:szCs w:val="24"/>
    </w:rPr>
  </w:style>
  <w:style w:type="character" w:customStyle="1" w:styleId="79">
    <w:name w:val="正文文本 Char"/>
    <w:link w:val="20"/>
    <w:qFormat/>
    <w:uiPriority w:val="1"/>
    <w:rPr>
      <w:rFonts w:eastAsia="宋体"/>
      <w:kern w:val="2"/>
      <w:sz w:val="28"/>
      <w:szCs w:val="24"/>
      <w:lang w:val="en-US" w:eastAsia="zh-CN" w:bidi="ar-SA"/>
    </w:rPr>
  </w:style>
  <w:style w:type="character" w:customStyle="1" w:styleId="80">
    <w:name w:val="标题 2 Char"/>
    <w:link w:val="5"/>
    <w:qFormat/>
    <w:uiPriority w:val="9"/>
    <w:rPr>
      <w:rFonts w:ascii="Arial" w:hAnsi="Arial" w:eastAsia="黑体"/>
      <w:b/>
      <w:bCs/>
      <w:kern w:val="2"/>
      <w:sz w:val="32"/>
      <w:szCs w:val="32"/>
      <w:lang w:val="en-US" w:eastAsia="zh-CN" w:bidi="ar-SA"/>
    </w:rPr>
  </w:style>
  <w:style w:type="character" w:customStyle="1" w:styleId="81">
    <w:name w:val="标题 8 Char"/>
    <w:link w:val="11"/>
    <w:qFormat/>
    <w:uiPriority w:val="0"/>
    <w:rPr>
      <w:rFonts w:ascii="Arial" w:hAnsi="Arial" w:eastAsia="黑体"/>
      <w:sz w:val="24"/>
    </w:rPr>
  </w:style>
  <w:style w:type="character" w:customStyle="1" w:styleId="82">
    <w:name w:val="普通文字 Char Char"/>
    <w:qFormat/>
    <w:uiPriority w:val="0"/>
    <w:rPr>
      <w:rFonts w:ascii="宋体" w:hAnsi="Courier New"/>
    </w:rPr>
  </w:style>
  <w:style w:type="character" w:customStyle="1" w:styleId="83">
    <w:name w:val="标题 4 Char"/>
    <w:link w:val="7"/>
    <w:qFormat/>
    <w:uiPriority w:val="9"/>
    <w:rPr>
      <w:rFonts w:ascii="Arial" w:hAnsi="Arial" w:eastAsia="黑体"/>
      <w:b/>
      <w:bCs/>
      <w:kern w:val="2"/>
      <w:sz w:val="28"/>
      <w:szCs w:val="28"/>
      <w:lang w:val="en-US" w:eastAsia="zh-CN" w:bidi="ar-SA"/>
    </w:rPr>
  </w:style>
  <w:style w:type="character" w:customStyle="1" w:styleId="84">
    <w:name w:val="标题 7 Char"/>
    <w:link w:val="10"/>
    <w:qFormat/>
    <w:uiPriority w:val="0"/>
    <w:rPr>
      <w:rFonts w:ascii="宋体" w:eastAsia="仿宋_GB2312"/>
      <w:b/>
      <w:sz w:val="24"/>
    </w:rPr>
  </w:style>
  <w:style w:type="character" w:customStyle="1" w:styleId="85">
    <w:name w:val="页眉 Char"/>
    <w:link w:val="34"/>
    <w:qFormat/>
    <w:locked/>
    <w:uiPriority w:val="99"/>
    <w:rPr>
      <w:rFonts w:eastAsia="仿宋_GB2312"/>
      <w:kern w:val="2"/>
      <w:sz w:val="18"/>
    </w:rPr>
  </w:style>
  <w:style w:type="character" w:customStyle="1" w:styleId="86">
    <w:name w:val="正文1 Char"/>
    <w:qFormat/>
    <w:uiPriority w:val="0"/>
    <w:rPr>
      <w:rFonts w:ascii="宋体" w:eastAsia="宋体"/>
      <w:snapToGrid w:val="0"/>
      <w:color w:val="000000"/>
      <w:kern w:val="28"/>
      <w:sz w:val="28"/>
      <w:lang w:val="en-US" w:eastAsia="zh-CN" w:bidi="ar-SA"/>
    </w:rPr>
  </w:style>
  <w:style w:type="character" w:customStyle="1" w:styleId="87">
    <w:name w:val="标题 1 Char"/>
    <w:link w:val="3"/>
    <w:qFormat/>
    <w:locked/>
    <w:uiPriority w:val="9"/>
    <w:rPr>
      <w:rFonts w:ascii="宋体" w:hAnsi="Arial" w:eastAsia="黑体"/>
      <w:b/>
      <w:color w:val="000000"/>
      <w:kern w:val="44"/>
      <w:sz w:val="36"/>
    </w:rPr>
  </w:style>
  <w:style w:type="character" w:customStyle="1" w:styleId="88">
    <w:name w:val="页脚 Char"/>
    <w:link w:val="33"/>
    <w:qFormat/>
    <w:uiPriority w:val="99"/>
    <w:rPr>
      <w:rFonts w:eastAsia="黑体"/>
      <w:snapToGrid w:val="0"/>
      <w:kern w:val="2"/>
      <w:sz w:val="18"/>
      <w:szCs w:val="18"/>
    </w:rPr>
  </w:style>
  <w:style w:type="character" w:customStyle="1" w:styleId="89">
    <w:name w:val="标题 6 Char"/>
    <w:link w:val="9"/>
    <w:qFormat/>
    <w:uiPriority w:val="0"/>
    <w:rPr>
      <w:rFonts w:ascii="Arial" w:hAnsi="Arial" w:eastAsia="黑体"/>
      <w:b/>
      <w:bCs/>
      <w:kern w:val="2"/>
      <w:sz w:val="24"/>
    </w:rPr>
  </w:style>
  <w:style w:type="character" w:customStyle="1" w:styleId="90">
    <w:name w:val="列出段落 Char"/>
    <w:link w:val="91"/>
    <w:qFormat/>
    <w:uiPriority w:val="1"/>
    <w:rPr>
      <w:rFonts w:ascii="Calibri" w:hAnsi="Calibri"/>
      <w:kern w:val="2"/>
      <w:sz w:val="21"/>
      <w:szCs w:val="22"/>
    </w:rPr>
  </w:style>
  <w:style w:type="paragraph" w:styleId="91">
    <w:name w:val="List Paragraph"/>
    <w:basedOn w:val="1"/>
    <w:link w:val="90"/>
    <w:qFormat/>
    <w:uiPriority w:val="1"/>
    <w:pPr>
      <w:ind w:firstLine="420" w:firstLineChars="200"/>
    </w:pPr>
    <w:rPr>
      <w:szCs w:val="22"/>
    </w:rPr>
  </w:style>
  <w:style w:type="character" w:customStyle="1" w:styleId="92">
    <w:name w:val="批注框文本 Char"/>
    <w:link w:val="32"/>
    <w:qFormat/>
    <w:uiPriority w:val="99"/>
    <w:rPr>
      <w:kern w:val="2"/>
      <w:sz w:val="18"/>
      <w:szCs w:val="18"/>
    </w:rPr>
  </w:style>
  <w:style w:type="character" w:customStyle="1" w:styleId="93">
    <w:name w:val="标题 5 Char"/>
    <w:link w:val="8"/>
    <w:qFormat/>
    <w:uiPriority w:val="9"/>
    <w:rPr>
      <w:rFonts w:eastAsia="宋体"/>
      <w:b/>
      <w:bCs/>
      <w:kern w:val="2"/>
      <w:sz w:val="28"/>
      <w:szCs w:val="28"/>
      <w:lang w:val="en-US" w:eastAsia="zh-CN" w:bidi="ar-SA"/>
    </w:rPr>
  </w:style>
  <w:style w:type="character" w:customStyle="1" w:styleId="94">
    <w:name w:val="普通文字 Char Char1"/>
    <w:qFormat/>
    <w:uiPriority w:val="0"/>
    <w:rPr>
      <w:rFonts w:ascii="宋体" w:hAnsi="Courier New"/>
      <w:kern w:val="2"/>
      <w:sz w:val="21"/>
    </w:rPr>
  </w:style>
  <w:style w:type="character" w:customStyle="1" w:styleId="95">
    <w:name w:val="bulletintext1"/>
    <w:qFormat/>
    <w:uiPriority w:val="0"/>
    <w:rPr>
      <w:color w:val="000000"/>
      <w:sz w:val="18"/>
      <w:szCs w:val="18"/>
    </w:rPr>
  </w:style>
  <w:style w:type="character" w:customStyle="1" w:styleId="96">
    <w:name w:val="newsitemtext1"/>
    <w:qFormat/>
    <w:uiPriority w:val="0"/>
    <w:rPr>
      <w:color w:val="000000"/>
      <w:spacing w:val="320"/>
      <w:sz w:val="21"/>
      <w:szCs w:val="21"/>
    </w:rPr>
  </w:style>
  <w:style w:type="character" w:customStyle="1" w:styleId="97">
    <w:name w:val="正文文本缩进 3 Char"/>
    <w:link w:val="41"/>
    <w:qFormat/>
    <w:uiPriority w:val="0"/>
    <w:rPr>
      <w:kern w:val="2"/>
      <w:sz w:val="24"/>
      <w:szCs w:val="24"/>
    </w:rPr>
  </w:style>
  <w:style w:type="character" w:customStyle="1" w:styleId="98">
    <w:name w:val="Char Char16"/>
    <w:qFormat/>
    <w:uiPriority w:val="0"/>
    <w:rPr>
      <w:rFonts w:ascii="Tahoma" w:hAnsi="Tahoma" w:eastAsia="宋体"/>
      <w:kern w:val="2"/>
      <w:sz w:val="21"/>
      <w:szCs w:val="20"/>
      <w:lang w:val="en-US" w:eastAsia="zh-CN" w:bidi="ar-SA"/>
    </w:rPr>
  </w:style>
  <w:style w:type="character" w:customStyle="1" w:styleId="99">
    <w:name w:val="ptb181"/>
    <w:qFormat/>
    <w:uiPriority w:val="0"/>
    <w:rPr>
      <w:rFonts w:hint="default" w:ascii="Verdana" w:hAnsi="Verdana"/>
      <w:b/>
      <w:bCs/>
      <w:color w:val="000000"/>
      <w:sz w:val="27"/>
      <w:szCs w:val="27"/>
    </w:rPr>
  </w:style>
  <w:style w:type="character" w:customStyle="1" w:styleId="100">
    <w:name w:val="标题 9 Char"/>
    <w:link w:val="12"/>
    <w:qFormat/>
    <w:uiPriority w:val="0"/>
    <w:rPr>
      <w:rFonts w:ascii="Arial" w:hAnsi="Arial" w:eastAsia="黑体"/>
      <w:sz w:val="28"/>
    </w:rPr>
  </w:style>
  <w:style w:type="character" w:customStyle="1" w:styleId="101">
    <w:name w:val="批注主题 Char"/>
    <w:link w:val="59"/>
    <w:qFormat/>
    <w:uiPriority w:val="99"/>
    <w:rPr>
      <w:b/>
      <w:bCs/>
      <w:kern w:val="2"/>
      <w:sz w:val="21"/>
      <w:szCs w:val="24"/>
    </w:rPr>
  </w:style>
  <w:style w:type="character" w:customStyle="1" w:styleId="102">
    <w:name w:val="正文缩进 Char"/>
    <w:link w:val="4"/>
    <w:qFormat/>
    <w:uiPriority w:val="0"/>
    <w:rPr>
      <w:rFonts w:eastAsia="宋体"/>
      <w:kern w:val="2"/>
      <w:sz w:val="21"/>
      <w:lang w:val="en-US" w:eastAsia="zh-CN" w:bidi="ar-SA"/>
    </w:rPr>
  </w:style>
  <w:style w:type="character" w:customStyle="1" w:styleId="103">
    <w:name w:val="style31"/>
    <w:qFormat/>
    <w:uiPriority w:val="0"/>
    <w:rPr>
      <w:b/>
      <w:bCs/>
      <w:color w:val="0465BE"/>
      <w:sz w:val="28"/>
      <w:szCs w:val="28"/>
    </w:rPr>
  </w:style>
  <w:style w:type="character" w:customStyle="1" w:styleId="104">
    <w:name w:val="标题 3 Char"/>
    <w:link w:val="6"/>
    <w:qFormat/>
    <w:locked/>
    <w:uiPriority w:val="0"/>
    <w:rPr>
      <w:rFonts w:ascii="黑体" w:eastAsia="黑体"/>
      <w:b/>
      <w:color w:val="000000"/>
      <w:sz w:val="28"/>
    </w:rPr>
  </w:style>
  <w:style w:type="character" w:customStyle="1" w:styleId="105">
    <w:name w:val="my正文 Char"/>
    <w:link w:val="106"/>
    <w:qFormat/>
    <w:uiPriority w:val="0"/>
    <w:rPr>
      <w:rFonts w:eastAsia="宋体"/>
      <w:sz w:val="24"/>
      <w:szCs w:val="24"/>
      <w:lang w:val="zh-CN"/>
    </w:rPr>
  </w:style>
  <w:style w:type="paragraph" w:customStyle="1" w:styleId="106">
    <w:name w:val="my正文"/>
    <w:basedOn w:val="1"/>
    <w:link w:val="105"/>
    <w:qFormat/>
    <w:uiPriority w:val="0"/>
    <w:pPr>
      <w:spacing w:line="360" w:lineRule="auto"/>
      <w:ind w:firstLine="480" w:firstLineChars="200"/>
    </w:pPr>
    <w:rPr>
      <w:rFonts w:eastAsia="宋体"/>
      <w:kern w:val="0"/>
      <w:sz w:val="24"/>
      <w:szCs w:val="24"/>
      <w:lang w:val="zh-CN"/>
    </w:rPr>
  </w:style>
  <w:style w:type="paragraph" w:customStyle="1" w:styleId="107">
    <w:name w:val="Char Char11"/>
    <w:basedOn w:val="1"/>
    <w:qFormat/>
    <w:uiPriority w:val="0"/>
    <w:rPr>
      <w:rFonts w:eastAsia="宋体"/>
      <w:sz w:val="24"/>
    </w:rPr>
  </w:style>
  <w:style w:type="paragraph" w:customStyle="1" w:styleId="108">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09">
    <w:name w:val="Char Char Char"/>
    <w:basedOn w:val="1"/>
    <w:qFormat/>
    <w:uiPriority w:val="0"/>
    <w:rPr>
      <w:rFonts w:ascii="仿宋_GB2312" w:eastAsia="仿宋_GB2312"/>
      <w:b/>
      <w:sz w:val="32"/>
      <w:szCs w:val="32"/>
    </w:rPr>
  </w:style>
  <w:style w:type="paragraph" w:customStyle="1" w:styleId="110">
    <w:name w:val="样式 标题 3Chapter X.X.X. + 段后: 0.5 行1"/>
    <w:basedOn w:val="6"/>
    <w:next w:val="1"/>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11">
    <w:name w:val="列出段落1"/>
    <w:basedOn w:val="1"/>
    <w:qFormat/>
    <w:uiPriority w:val="99"/>
    <w:pPr>
      <w:ind w:firstLine="420" w:firstLineChars="200"/>
    </w:pPr>
    <w:rPr>
      <w:kern w:val="0"/>
      <w:szCs w:val="20"/>
    </w:rPr>
  </w:style>
  <w:style w:type="paragraph" w:customStyle="1" w:styleId="112">
    <w:name w:val="段"/>
    <w:qFormat/>
    <w:uiPriority w:val="0"/>
    <w:pPr>
      <w:autoSpaceDE w:val="0"/>
      <w:autoSpaceDN w:val="0"/>
      <w:ind w:firstLine="200" w:firstLineChars="200"/>
      <w:jc w:val="both"/>
    </w:pPr>
    <w:rPr>
      <w:rFonts w:ascii="宋体" w:hAnsi="Calibri" w:eastAsia="微软雅黑" w:cs="Times New Roman"/>
      <w:sz w:val="21"/>
      <w:lang w:val="en-US" w:eastAsia="zh-CN" w:bidi="ar-SA"/>
    </w:rPr>
  </w:style>
  <w:style w:type="paragraph" w:customStyle="1" w:styleId="11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
    <w:name w:val="Body"/>
    <w:basedOn w:val="1"/>
    <w:qFormat/>
    <w:uiPriority w:val="0"/>
    <w:pPr>
      <w:widowControl/>
      <w:spacing w:before="120" w:afterLines="50"/>
    </w:pPr>
    <w:rPr>
      <w:rFonts w:ascii="宋体"/>
      <w:snapToGrid w:val="0"/>
      <w:kern w:val="0"/>
      <w:szCs w:val="20"/>
    </w:rPr>
  </w:style>
  <w:style w:type="paragraph" w:customStyle="1" w:styleId="115">
    <w:name w:val="样式 模板描述"/>
    <w:basedOn w:val="1"/>
    <w:next w:val="54"/>
    <w:qFormat/>
    <w:uiPriority w:val="0"/>
    <w:pPr>
      <w:spacing w:afterLines="50"/>
      <w:jc w:val="left"/>
    </w:pPr>
    <w:rPr>
      <w:rFonts w:ascii="宋体" w:cs="宋体"/>
      <w:i/>
      <w:iCs/>
      <w:snapToGrid w:val="0"/>
      <w:color w:val="0000FF"/>
      <w:kern w:val="0"/>
    </w:rPr>
  </w:style>
  <w:style w:type="paragraph" w:customStyle="1" w:styleId="116">
    <w:name w:val="Char Char23 Char Char Char Char Char Char Char Char"/>
    <w:basedOn w:val="1"/>
    <w:qFormat/>
    <w:uiPriority w:val="0"/>
    <w:pPr>
      <w:jc w:val="center"/>
    </w:pPr>
    <w:rPr>
      <w:rFonts w:ascii="仿宋_GB2312" w:eastAsia="仿宋_GB2312"/>
      <w:b/>
      <w:kern w:val="0"/>
      <w:sz w:val="32"/>
      <w:szCs w:val="32"/>
      <w:lang w:val="en-GB"/>
    </w:rPr>
  </w:style>
  <w:style w:type="paragraph" w:customStyle="1" w:styleId="117">
    <w:name w:val="font8"/>
    <w:basedOn w:val="1"/>
    <w:qFormat/>
    <w:uiPriority w:val="99"/>
    <w:pPr>
      <w:widowControl/>
      <w:spacing w:before="100" w:beforeAutospacing="1" w:after="100" w:afterAutospacing="1"/>
      <w:jc w:val="left"/>
    </w:pPr>
    <w:rPr>
      <w:rFonts w:ascii="宋体" w:hAnsi="宋体" w:cs="宋体"/>
      <w:color w:val="000000"/>
      <w:kern w:val="0"/>
    </w:rPr>
  </w:style>
  <w:style w:type="paragraph" w:customStyle="1" w:styleId="11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9">
    <w:name w:val="标题 3Chapter X.X.X. + 段后: 0.5 行 + 段后: 0.5 行 + 段后: 0.5 行1"/>
    <w:basedOn w:val="120"/>
    <w:qFormat/>
    <w:uiPriority w:val="0"/>
    <w:pPr/>
  </w:style>
  <w:style w:type="paragraph" w:customStyle="1" w:styleId="120">
    <w:name w:val="样式 样式 标题 3Chapter X.X.X. + 段后: 0.5 行 + 段后: 0.5 行"/>
    <w:basedOn w:val="121"/>
    <w:qFormat/>
    <w:uiPriority w:val="0"/>
    <w:pPr/>
  </w:style>
  <w:style w:type="paragraph" w:customStyle="1" w:styleId="121">
    <w:name w:val="样式 标题 3Chapter X.X.X. + 段后: 0.5 行"/>
    <w:basedOn w:val="6"/>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22">
    <w:name w:val="Bullet"/>
    <w:basedOn w:val="1"/>
    <w:qFormat/>
    <w:uiPriority w:val="0"/>
    <w:pPr>
      <w:widowControl/>
      <w:tabs>
        <w:tab w:val="left" w:pos="720"/>
      </w:tabs>
      <w:spacing w:before="120" w:afterLines="50"/>
      <w:ind w:left="720" w:right="360" w:hanging="420"/>
    </w:pPr>
    <w:rPr>
      <w:rFonts w:ascii="宋体"/>
      <w:snapToGrid w:val="0"/>
      <w:kern w:val="0"/>
      <w:szCs w:val="20"/>
    </w:rPr>
  </w:style>
  <w:style w:type="paragraph" w:customStyle="1" w:styleId="123">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24">
    <w:name w:val="Table - Text"/>
    <w:basedOn w:val="1"/>
    <w:qFormat/>
    <w:uiPriority w:val="0"/>
    <w:pPr>
      <w:widowControl/>
      <w:spacing w:before="60" w:afterLines="50"/>
      <w:jc w:val="left"/>
    </w:pPr>
    <w:rPr>
      <w:kern w:val="0"/>
      <w:szCs w:val="20"/>
      <w:lang w:eastAsia="en-US"/>
    </w:rPr>
  </w:style>
  <w:style w:type="paragraph" w:customStyle="1" w:styleId="12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26">
    <w:name w:val="文本框内文字"/>
    <w:basedOn w:val="1"/>
    <w:qFormat/>
    <w:uiPriority w:val="0"/>
    <w:pPr>
      <w:spacing w:line="0" w:lineRule="atLeast"/>
    </w:pPr>
    <w:rPr>
      <w:rFonts w:eastAsia="仿宋_GB2312"/>
      <w:sz w:val="22"/>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9">
    <w:name w:val="默认段落字体 Para Char Char Char Char Char Char Char"/>
    <w:basedOn w:val="1"/>
    <w:qFormat/>
    <w:uiPriority w:val="0"/>
    <w:rPr>
      <w:rFonts w:ascii="Tahoma" w:hAnsi="Tahoma" w:cs="Tahoma"/>
      <w:sz w:val="24"/>
    </w:rPr>
  </w:style>
  <w:style w:type="paragraph" w:customStyle="1" w:styleId="1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1">
    <w:name w:val="样式 正文文本缩进 + 仿宋_GB2312 小四 首行缩进:  0 厘米 行距: 1.5 倍行距"/>
    <w:basedOn w:val="22"/>
    <w:qFormat/>
    <w:uiPriority w:val="0"/>
    <w:pPr>
      <w:spacing w:line="360" w:lineRule="auto"/>
      <w:ind w:firstLine="0"/>
    </w:pPr>
    <w:rPr>
      <w:rFonts w:ascii="仿宋_GB2312" w:hAnsi="Times New Roman" w:eastAsia="新宋体"/>
      <w:spacing w:val="0"/>
      <w:sz w:val="24"/>
    </w:rPr>
  </w:style>
  <w:style w:type="paragraph" w:customStyle="1" w:styleId="132">
    <w:name w:val="Char1"/>
    <w:basedOn w:val="1"/>
    <w:qFormat/>
    <w:uiPriority w:val="0"/>
    <w:rPr>
      <w:szCs w:val="20"/>
    </w:rPr>
  </w:style>
  <w:style w:type="paragraph" w:customStyle="1" w:styleId="133">
    <w:name w:val="paragraph1"/>
    <w:basedOn w:val="1"/>
    <w:qFormat/>
    <w:uiPriority w:val="0"/>
    <w:pPr>
      <w:spacing w:afterLines="30" w:line="360" w:lineRule="auto"/>
      <w:ind w:firstLine="420" w:firstLineChars="200"/>
    </w:pPr>
    <w:rPr>
      <w:rFonts w:eastAsia="楷体_GB2312"/>
      <w:sz w:val="24"/>
      <w:szCs w:val="20"/>
    </w:rPr>
  </w:style>
  <w:style w:type="paragraph" w:customStyle="1" w:styleId="134">
    <w:name w:val="样式 样式 正文文本缩进 + 仿宋_GB2312 小四 首行缩进:  0 厘米 行距: 1.5 倍行距 + (中文) 仿宋_GB... Char Char"/>
    <w:basedOn w:val="131"/>
    <w:qFormat/>
    <w:uiPriority w:val="0"/>
    <w:pPr>
      <w:ind w:firstLine="480" w:firstLineChars="200"/>
    </w:pPr>
  </w:style>
  <w:style w:type="paragraph" w:customStyle="1" w:styleId="135">
    <w:name w:val="样式 标题 3(A-3)sect1.2.3h3H3level_3PIM 3Level 3 HeadHeading..."/>
    <w:basedOn w:val="6"/>
    <w:qFormat/>
    <w:uiPriority w:val="0"/>
    <w:pPr>
      <w:keepNext/>
      <w:keepLines/>
      <w:autoSpaceDE/>
      <w:autoSpaceDN/>
      <w:adjustRightInd/>
      <w:spacing w:before="260" w:after="260" w:line="413" w:lineRule="auto"/>
      <w:ind w:left="0" w:firstLine="0"/>
      <w:textAlignment w:val="auto"/>
    </w:pPr>
    <w:rPr>
      <w:rFonts w:ascii="Arial" w:hAnsi="Arial" w:eastAsia="宋体"/>
      <w:bCs/>
      <w:color w:val="auto"/>
      <w:kern w:val="2"/>
      <w:sz w:val="30"/>
      <w:szCs w:val="32"/>
    </w:rPr>
  </w:style>
  <w:style w:type="paragraph" w:customStyle="1" w:styleId="136">
    <w:name w:val="S4-I-L15-U"/>
    <w:basedOn w:val="1"/>
    <w:qFormat/>
    <w:uiPriority w:val="0"/>
    <w:pPr>
      <w:spacing w:line="360" w:lineRule="auto"/>
    </w:pPr>
    <w:rPr>
      <w:b/>
      <w:i/>
      <w:sz w:val="24"/>
      <w:u w:val="single"/>
    </w:rPr>
  </w:style>
  <w:style w:type="paragraph" w:customStyle="1" w:styleId="137">
    <w:name w:val="font7"/>
    <w:basedOn w:val="1"/>
    <w:qFormat/>
    <w:uiPriority w:val="99"/>
    <w:pPr>
      <w:widowControl/>
      <w:spacing w:before="100" w:beforeAutospacing="1" w:after="100" w:afterAutospacing="1"/>
      <w:jc w:val="left"/>
    </w:pPr>
    <w:rPr>
      <w:color w:val="000000"/>
      <w:kern w:val="0"/>
    </w:rPr>
  </w:style>
  <w:style w:type="paragraph" w:customStyle="1" w:styleId="138">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139">
    <w:name w:val="Table Description"/>
    <w:next w:val="1"/>
    <w:qFormat/>
    <w:uiPriority w:val="0"/>
    <w:pPr>
      <w:keepNext/>
      <w:tabs>
        <w:tab w:val="left" w:pos="2700"/>
      </w:tabs>
      <w:snapToGrid w:val="0"/>
      <w:spacing w:before="160" w:after="80"/>
      <w:ind w:left="2700" w:hanging="420"/>
      <w:jc w:val="center"/>
    </w:pPr>
    <w:rPr>
      <w:rFonts w:ascii="Arial" w:hAnsi="Arial" w:eastAsia="黑体" w:cs="Times New Roman"/>
      <w:sz w:val="18"/>
      <w:lang w:val="en-US" w:eastAsia="en-US" w:bidi="ar-SA"/>
    </w:rPr>
  </w:style>
  <w:style w:type="paragraph" w:customStyle="1" w:styleId="140">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1">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42">
    <w:name w:val="Figure Description"/>
    <w:next w:val="1"/>
    <w:qFormat/>
    <w:uiPriority w:val="0"/>
    <w:pPr>
      <w:tabs>
        <w:tab w:val="left" w:pos="2280"/>
      </w:tabs>
      <w:snapToGrid w:val="0"/>
      <w:spacing w:before="80" w:after="320"/>
      <w:ind w:left="2280" w:hanging="420"/>
      <w:jc w:val="center"/>
    </w:pPr>
    <w:rPr>
      <w:rFonts w:ascii="Arial" w:hAnsi="Arial" w:eastAsia="黑体" w:cs="Times New Roman"/>
      <w:sz w:val="18"/>
      <w:lang w:val="en-US" w:eastAsia="en-US" w:bidi="ar-SA"/>
    </w:rPr>
  </w:style>
  <w:style w:type="paragraph" w:customStyle="1" w:styleId="143">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144">
    <w:name w:val="xl7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45">
    <w:name w:val="样式 标题 1 + 五号"/>
    <w:basedOn w:val="3"/>
    <w:qFormat/>
    <w:uiPriority w:val="0"/>
    <w:pPr>
      <w:tabs>
        <w:tab w:val="clear" w:pos="360"/>
      </w:tabs>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46">
    <w:name w:val="Tabletext"/>
    <w:basedOn w:val="1"/>
    <w:qFormat/>
    <w:uiPriority w:val="0"/>
    <w:pPr>
      <w:keepLines/>
      <w:spacing w:afterLines="50"/>
      <w:jc w:val="left"/>
    </w:pPr>
    <w:rPr>
      <w:rFonts w:ascii="宋体"/>
      <w:snapToGrid w:val="0"/>
      <w:kern w:val="0"/>
      <w:szCs w:val="20"/>
    </w:rPr>
  </w:style>
  <w:style w:type="paragraph" w:customStyle="1" w:styleId="147">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48">
    <w:name w:val="xl7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49">
    <w:name w:val="标准标题3"/>
    <w:basedOn w:val="6"/>
    <w:qFormat/>
    <w:uiPriority w:val="0"/>
    <w:pPr>
      <w:keepNext/>
      <w:keepLines/>
      <w:tabs>
        <w:tab w:val="left" w:pos="1200"/>
        <w:tab w:val="clear" w:pos="709"/>
      </w:tabs>
      <w:autoSpaceDE/>
      <w:autoSpaceDN/>
      <w:adjustRightInd/>
      <w:spacing w:before="260" w:after="260" w:line="240" w:lineRule="auto"/>
      <w:ind w:left="0" w:leftChars="-258" w:firstLine="0"/>
      <w:textAlignment w:val="auto"/>
    </w:pPr>
    <w:rPr>
      <w:rFonts w:ascii="Times New Roman" w:eastAsia="仿宋_GB2312"/>
      <w:bCs/>
      <w:color w:val="auto"/>
      <w:kern w:val="2"/>
      <w:szCs w:val="32"/>
    </w:rPr>
  </w:style>
  <w:style w:type="paragraph" w:customStyle="1" w:styleId="150">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151">
    <w:name w:val="Paragraph2"/>
    <w:basedOn w:val="1"/>
    <w:qFormat/>
    <w:uiPriority w:val="0"/>
    <w:pPr>
      <w:spacing w:before="80" w:afterLines="50"/>
      <w:ind w:left="720"/>
    </w:pPr>
    <w:rPr>
      <w:rFonts w:ascii="宋体"/>
      <w:snapToGrid w:val="0"/>
      <w:color w:val="000000"/>
      <w:kern w:val="0"/>
      <w:szCs w:val="20"/>
      <w:lang w:val="en-AU"/>
    </w:rPr>
  </w:style>
  <w:style w:type="paragraph" w:customStyle="1" w:styleId="152">
    <w:name w:val="表内文字"/>
    <w:basedOn w:val="1"/>
    <w:qFormat/>
    <w:uiPriority w:val="0"/>
    <w:pPr>
      <w:tabs>
        <w:tab w:val="left" w:pos="1418"/>
      </w:tabs>
      <w:spacing w:line="360" w:lineRule="auto"/>
      <w:jc w:val="center"/>
    </w:pPr>
    <w:rPr>
      <w:rFonts w:ascii="宋体" w:hAnsi="宋体"/>
      <w:spacing w:val="-20"/>
      <w:kern w:val="0"/>
      <w:sz w:val="24"/>
    </w:rPr>
  </w:style>
  <w:style w:type="paragraph" w:customStyle="1" w:styleId="153">
    <w:name w:val="表格标题"/>
    <w:basedOn w:val="154"/>
    <w:qFormat/>
    <w:uiPriority w:val="0"/>
    <w:pPr>
      <w:jc w:val="center"/>
    </w:pPr>
    <w:rPr>
      <w:b/>
      <w:bCs/>
      <w:i/>
      <w:iCs/>
    </w:rPr>
  </w:style>
  <w:style w:type="paragraph" w:customStyle="1" w:styleId="154">
    <w:name w:val="表格内容"/>
    <w:basedOn w:val="20"/>
    <w:qFormat/>
    <w:uiPriority w:val="0"/>
    <w:pPr>
      <w:suppressLineNumbers/>
      <w:suppressAutoHyphens/>
    </w:pPr>
    <w:rPr>
      <w:kern w:val="1"/>
      <w:sz w:val="21"/>
      <w:lang w:eastAsia="ar-SA"/>
    </w:rPr>
  </w:style>
  <w:style w:type="paragraph" w:customStyle="1" w:styleId="155">
    <w:name w:val="Paragraph3"/>
    <w:basedOn w:val="1"/>
    <w:qFormat/>
    <w:uiPriority w:val="0"/>
    <w:pPr>
      <w:spacing w:before="80" w:afterLines="50"/>
      <w:ind w:left="1530"/>
    </w:pPr>
    <w:rPr>
      <w:rFonts w:ascii="宋体"/>
      <w:snapToGrid w:val="0"/>
      <w:kern w:val="0"/>
      <w:szCs w:val="20"/>
    </w:rPr>
  </w:style>
  <w:style w:type="paragraph" w:customStyle="1" w:styleId="156">
    <w:name w:val="样式 标题 1 + 五号1 Char Char Char Char Char Char Char Char Char Char Char Char Char Char Char Char Char"/>
    <w:basedOn w:val="3"/>
    <w:qFormat/>
    <w:uiPriority w:val="0"/>
    <w:pPr>
      <w:tabs>
        <w:tab w:val="clear" w:pos="360"/>
      </w:tabs>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157">
    <w:name w:val="P2"/>
    <w:basedOn w:val="1"/>
    <w:qFormat/>
    <w:uiPriority w:val="0"/>
    <w:pPr>
      <w:widowControl/>
      <w:spacing w:before="240" w:line="240" w:lineRule="atLeast"/>
      <w:ind w:left="578"/>
      <w:jc w:val="left"/>
    </w:pPr>
    <w:rPr>
      <w:b/>
      <w:kern w:val="0"/>
      <w:lang w:val="en-AU" w:eastAsia="en-US"/>
    </w:rPr>
  </w:style>
  <w:style w:type="paragraph" w:customStyle="1" w:styleId="158">
    <w:name w:val="标准标题2"/>
    <w:basedOn w:val="5"/>
    <w:qFormat/>
    <w:uiPriority w:val="0"/>
    <w:pPr>
      <w:spacing w:line="360" w:lineRule="auto"/>
    </w:pPr>
    <w:rPr>
      <w:rFonts w:eastAsia="仿宋_GB2312"/>
      <w:bCs w:val="0"/>
      <w:sz w:val="28"/>
    </w:rPr>
  </w:style>
  <w:style w:type="paragraph" w:customStyle="1" w:styleId="159">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160">
    <w:name w:val="此正文"/>
    <w:basedOn w:val="1"/>
    <w:qFormat/>
    <w:uiPriority w:val="0"/>
    <w:pPr>
      <w:spacing w:line="360" w:lineRule="auto"/>
      <w:ind w:firstLine="200" w:firstLineChars="200"/>
    </w:pPr>
    <w:rPr>
      <w:sz w:val="24"/>
      <w:szCs w:val="20"/>
    </w:rPr>
  </w:style>
  <w:style w:type="paragraph" w:customStyle="1" w:styleId="161">
    <w:name w:val="样式 样式 标题 4 + 段后: 0.5 行1"/>
    <w:basedOn w:val="53"/>
    <w:next w:val="31"/>
    <w:qFormat/>
    <w:uiPriority w:val="0"/>
    <w:pPr>
      <w:spacing w:afterLines="0"/>
    </w:pPr>
  </w:style>
  <w:style w:type="paragraph" w:customStyle="1" w:styleId="162">
    <w:name w:val="S4-L15-C"/>
    <w:basedOn w:val="1"/>
    <w:qFormat/>
    <w:uiPriority w:val="0"/>
    <w:pPr>
      <w:spacing w:after="120" w:line="360" w:lineRule="auto"/>
      <w:jc w:val="center"/>
    </w:pPr>
  </w:style>
  <w:style w:type="paragraph" w:customStyle="1" w:styleId="163">
    <w:name w:val="S4-L15-No"/>
    <w:basedOn w:val="164"/>
    <w:qFormat/>
    <w:uiPriority w:val="0"/>
    <w:pPr>
      <w:tabs>
        <w:tab w:val="left" w:pos="1440"/>
      </w:tabs>
      <w:ind w:left="1440" w:hanging="1275"/>
    </w:pPr>
  </w:style>
  <w:style w:type="paragraph" w:customStyle="1" w:styleId="164">
    <w:name w:val="S4-L15"/>
    <w:basedOn w:val="1"/>
    <w:qFormat/>
    <w:uiPriority w:val="0"/>
    <w:pPr>
      <w:spacing w:after="120" w:line="360" w:lineRule="auto"/>
      <w:ind w:left="720" w:firstLine="392"/>
    </w:pPr>
    <w:rPr>
      <w:lang w:val="fr-FR"/>
    </w:rPr>
  </w:style>
  <w:style w:type="paragraph" w:customStyle="1" w:styleId="165">
    <w:name w:val="首行缩进"/>
    <w:basedOn w:val="1"/>
    <w:qFormat/>
    <w:uiPriority w:val="0"/>
    <w:pPr>
      <w:widowControl/>
      <w:tabs>
        <w:tab w:val="left" w:pos="822"/>
      </w:tabs>
      <w:snapToGrid w:val="0"/>
      <w:spacing w:before="40" w:after="40" w:line="300" w:lineRule="atLeast"/>
      <w:ind w:left="3120" w:hanging="420"/>
    </w:pPr>
    <w:rPr>
      <w:rFonts w:ascii="Arial" w:hAnsi="Arial"/>
      <w:kern w:val="0"/>
      <w:szCs w:val="20"/>
    </w:rPr>
  </w:style>
  <w:style w:type="paragraph" w:customStyle="1" w:styleId="166">
    <w:name w:val="Bullet1"/>
    <w:basedOn w:val="1"/>
    <w:qFormat/>
    <w:uiPriority w:val="0"/>
    <w:pPr>
      <w:spacing w:afterLines="50"/>
      <w:ind w:left="720" w:hanging="432"/>
      <w:jc w:val="left"/>
    </w:pPr>
    <w:rPr>
      <w:rFonts w:ascii="宋体"/>
      <w:snapToGrid w:val="0"/>
      <w:kern w:val="0"/>
      <w:szCs w:val="20"/>
    </w:rPr>
  </w:style>
  <w:style w:type="paragraph" w:customStyle="1" w:styleId="16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8">
    <w:name w:val="样式2"/>
    <w:basedOn w:val="5"/>
    <w:qFormat/>
    <w:uiPriority w:val="0"/>
    <w:pPr>
      <w:tabs>
        <w:tab w:val="left" w:pos="840"/>
      </w:tabs>
      <w:ind w:left="840" w:hanging="420"/>
    </w:pPr>
    <w:rPr>
      <w:rFonts w:eastAsia="宋体"/>
    </w:rPr>
  </w:style>
  <w:style w:type="paragraph" w:customStyle="1" w:styleId="169">
    <w:name w:val="Item List"/>
    <w:qFormat/>
    <w:uiPriority w:val="0"/>
    <w:pPr>
      <w:tabs>
        <w:tab w:val="left" w:pos="900"/>
      </w:tabs>
      <w:spacing w:line="300" w:lineRule="auto"/>
      <w:ind w:left="900" w:hanging="720"/>
      <w:jc w:val="both"/>
    </w:pPr>
    <w:rPr>
      <w:rFonts w:ascii="Arial" w:hAnsi="Arial" w:eastAsia="微软雅黑" w:cs="Times New Roman"/>
      <w:sz w:val="21"/>
      <w:lang w:val="en-US" w:eastAsia="en-US" w:bidi="ar-SA"/>
    </w:rPr>
  </w:style>
  <w:style w:type="paragraph" w:customStyle="1" w:styleId="170">
    <w:name w:val="Main Title"/>
    <w:basedOn w:val="1"/>
    <w:qFormat/>
    <w:uiPriority w:val="0"/>
    <w:pPr>
      <w:spacing w:before="480" w:afterLines="50"/>
      <w:jc w:val="center"/>
    </w:pPr>
    <w:rPr>
      <w:rFonts w:ascii="宋体"/>
      <w:b/>
      <w:snapToGrid w:val="0"/>
      <w:kern w:val="28"/>
      <w:sz w:val="32"/>
      <w:szCs w:val="20"/>
    </w:rPr>
  </w:style>
  <w:style w:type="paragraph" w:customStyle="1" w:styleId="171">
    <w:name w:val="Char Char1"/>
    <w:basedOn w:val="1"/>
    <w:qFormat/>
    <w:uiPriority w:val="0"/>
    <w:rPr>
      <w:rFonts w:eastAsia="宋体"/>
      <w:sz w:val="24"/>
    </w:rPr>
  </w:style>
  <w:style w:type="paragraph" w:customStyle="1" w:styleId="172">
    <w:name w:val="Char11"/>
    <w:basedOn w:val="1"/>
    <w:qFormat/>
    <w:uiPriority w:val="0"/>
    <w:rPr>
      <w:rFonts w:ascii="仿宋_GB2312" w:eastAsia="仿宋_GB2312"/>
      <w:b/>
      <w:sz w:val="32"/>
      <w:szCs w:val="32"/>
    </w:rPr>
  </w:style>
  <w:style w:type="paragraph" w:customStyle="1" w:styleId="17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4">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175">
    <w:name w:val="Char Char Char Char"/>
    <w:basedOn w:val="1"/>
    <w:qFormat/>
    <w:uiPriority w:val="0"/>
    <w:rPr>
      <w:rFonts w:ascii="仿宋_GB2312" w:eastAsia="仿宋_GB2312"/>
      <w:b/>
      <w:sz w:val="32"/>
      <w:szCs w:val="32"/>
    </w:rPr>
  </w:style>
  <w:style w:type="paragraph" w:customStyle="1" w:styleId="176">
    <w:name w:val="二级项目符号"/>
    <w:basedOn w:val="1"/>
    <w:qFormat/>
    <w:uiPriority w:val="0"/>
    <w:pPr>
      <w:widowControl/>
      <w:tabs>
        <w:tab w:val="left" w:pos="900"/>
      </w:tabs>
      <w:spacing w:line="360" w:lineRule="auto"/>
      <w:ind w:left="900" w:hanging="420"/>
    </w:pPr>
    <w:rPr>
      <w:kern w:val="0"/>
      <w:sz w:val="24"/>
      <w:szCs w:val="20"/>
    </w:rPr>
  </w:style>
  <w:style w:type="paragraph" w:customStyle="1" w:styleId="17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78">
    <w:name w:val="S4-B-L15"/>
    <w:basedOn w:val="1"/>
    <w:qFormat/>
    <w:uiPriority w:val="0"/>
    <w:pPr>
      <w:spacing w:line="360" w:lineRule="auto"/>
    </w:pPr>
    <w:rPr>
      <w:b/>
      <w:bCs/>
      <w:sz w:val="24"/>
    </w:rPr>
  </w:style>
  <w:style w:type="paragraph" w:customStyle="1" w:styleId="17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0"/>
      <w:szCs w:val="20"/>
    </w:rPr>
  </w:style>
  <w:style w:type="paragraph" w:customStyle="1" w:styleId="180">
    <w:name w:val="Char Char12"/>
    <w:basedOn w:val="1"/>
    <w:qFormat/>
    <w:uiPriority w:val="0"/>
    <w:rPr>
      <w:rFonts w:eastAsia="宋体"/>
      <w:sz w:val="24"/>
    </w:rPr>
  </w:style>
  <w:style w:type="paragraph" w:customStyle="1" w:styleId="181">
    <w:name w:val="样式 标题 2 + 五号"/>
    <w:basedOn w:val="5"/>
    <w:qFormat/>
    <w:uiPriority w:val="0"/>
    <w:pPr>
      <w:spacing w:before="0" w:after="0" w:line="240" w:lineRule="auto"/>
    </w:pPr>
    <w:rPr>
      <w:rFonts w:ascii="宋体" w:hAnsi="宋体" w:eastAsia="宋体"/>
      <w:sz w:val="21"/>
    </w:rPr>
  </w:style>
  <w:style w:type="paragraph" w:customStyle="1" w:styleId="182">
    <w:name w:val="样式 样式 正文文本缩进 + 仿宋_GB2312 小四 首行缩进:  0 厘米 行距: 1.5 倍行距 + (中文) 仿宋_GB..."/>
    <w:basedOn w:val="131"/>
    <w:qFormat/>
    <w:uiPriority w:val="0"/>
    <w:pPr>
      <w:ind w:firstLine="480" w:firstLineChars="200"/>
    </w:pPr>
  </w:style>
  <w:style w:type="paragraph" w:customStyle="1" w:styleId="183">
    <w:name w:val="font9"/>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8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85">
    <w:name w:val="样式 标题 2Chapter X.X. Statementh22Header 2l2Level 2 Headhea...1"/>
    <w:basedOn w:val="6"/>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86">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87">
    <w:name w:val="font12"/>
    <w:basedOn w:val="1"/>
    <w:qFormat/>
    <w:uiPriority w:val="99"/>
    <w:pPr>
      <w:widowControl/>
      <w:spacing w:before="100" w:beforeAutospacing="1" w:after="100" w:afterAutospacing="1"/>
      <w:jc w:val="left"/>
    </w:pPr>
    <w:rPr>
      <w:rFonts w:ascii="宋体" w:hAnsi="宋体" w:cs="宋体"/>
      <w:color w:val="000000"/>
      <w:kern w:val="0"/>
    </w:rPr>
  </w:style>
  <w:style w:type="paragraph" w:customStyle="1" w:styleId="188">
    <w:name w:val="font6"/>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189">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90">
    <w:name w:val="Style-正文"/>
    <w:basedOn w:val="1"/>
    <w:qFormat/>
    <w:uiPriority w:val="0"/>
    <w:pPr>
      <w:spacing w:line="360" w:lineRule="auto"/>
      <w:ind w:firstLine="420"/>
    </w:pPr>
    <w:rPr>
      <w:rFonts w:ascii="宋体" w:hAnsi="宋体"/>
      <w:sz w:val="24"/>
    </w:rPr>
  </w:style>
  <w:style w:type="paragraph" w:customStyle="1" w:styleId="191">
    <w:name w:val="列出段落3"/>
    <w:basedOn w:val="1"/>
    <w:qFormat/>
    <w:uiPriority w:val="34"/>
    <w:pPr>
      <w:ind w:firstLine="420" w:firstLineChars="200"/>
    </w:pPr>
    <w:rPr>
      <w:szCs w:val="22"/>
    </w:rPr>
  </w:style>
  <w:style w:type="paragraph" w:customStyle="1" w:styleId="192">
    <w:name w:val="font11"/>
    <w:basedOn w:val="1"/>
    <w:qFormat/>
    <w:uiPriority w:val="99"/>
    <w:pPr>
      <w:widowControl/>
      <w:spacing w:before="100" w:beforeAutospacing="1" w:after="100" w:afterAutospacing="1"/>
      <w:jc w:val="left"/>
    </w:pPr>
    <w:rPr>
      <w:rFonts w:ascii="宋体" w:hAnsi="宋体" w:cs="宋体"/>
      <w:color w:val="333333"/>
      <w:kern w:val="0"/>
      <w:sz w:val="18"/>
      <w:szCs w:val="18"/>
    </w:rPr>
  </w:style>
  <w:style w:type="paragraph" w:customStyle="1" w:styleId="193">
    <w:name w:val="P3"/>
    <w:basedOn w:val="1"/>
    <w:qFormat/>
    <w:uiPriority w:val="0"/>
    <w:pPr>
      <w:widowControl/>
      <w:spacing w:before="240" w:line="240" w:lineRule="atLeast"/>
      <w:ind w:left="1152"/>
      <w:jc w:val="left"/>
    </w:pPr>
    <w:rPr>
      <w:b/>
      <w:kern w:val="0"/>
      <w:lang w:val="en-AU" w:eastAsia="en-US"/>
    </w:rPr>
  </w:style>
  <w:style w:type="paragraph" w:customStyle="1" w:styleId="194">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5">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196">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197">
    <w:name w:val="样式 标题 2Chapter X.X. Statementh22Header 2l2Level 2 Headhea..."/>
    <w:basedOn w:val="5"/>
    <w:qFormat/>
    <w:uiPriority w:val="0"/>
    <w:pPr>
      <w:keepLines w:val="0"/>
      <w:spacing w:before="120" w:afterLines="50" w:line="240" w:lineRule="auto"/>
    </w:pPr>
    <w:rPr>
      <w:rFonts w:ascii="宋体" w:hAnsi="Times New Roman" w:eastAsia="宋体" w:cs="宋体"/>
      <w:snapToGrid w:val="0"/>
      <w:kern w:val="0"/>
      <w:sz w:val="24"/>
      <w:szCs w:val="24"/>
    </w:rPr>
  </w:style>
  <w:style w:type="paragraph" w:customStyle="1" w:styleId="198">
    <w:name w:val="Char Char Char Char Char Char Char"/>
    <w:basedOn w:val="1"/>
    <w:qFormat/>
    <w:uiPriority w:val="0"/>
    <w:rPr>
      <w:rFonts w:ascii="仿宋_GB2312" w:eastAsia="仿宋_GB2312"/>
      <w:b/>
      <w:sz w:val="32"/>
      <w:szCs w:val="32"/>
    </w:rPr>
  </w:style>
  <w:style w:type="paragraph" w:customStyle="1" w:styleId="199">
    <w:name w:val="最新标题1"/>
    <w:basedOn w:val="44"/>
    <w:next w:val="46"/>
    <w:qFormat/>
    <w:uiPriority w:val="0"/>
    <w:pPr>
      <w:tabs>
        <w:tab w:val="left" w:pos="1140"/>
      </w:tabs>
      <w:spacing w:after="120"/>
      <w:ind w:left="1140" w:hanging="720"/>
    </w:pPr>
    <w:rPr>
      <w:bCs/>
    </w:rPr>
  </w:style>
  <w:style w:type="paragraph" w:customStyle="1" w:styleId="200">
    <w:name w:val="TOC 标题1"/>
    <w:basedOn w:val="3"/>
    <w:next w:val="1"/>
    <w:qFormat/>
    <w:uiPriority w:val="99"/>
    <w:pPr>
      <w:widowControl/>
      <w:tabs>
        <w:tab w:val="clear" w:pos="360"/>
      </w:tabs>
      <w:autoSpaceDE/>
      <w:autoSpaceDN/>
      <w:adjustRightInd/>
      <w:spacing w:before="240" w:after="0" w:line="259" w:lineRule="auto"/>
      <w:textAlignment w:val="auto"/>
      <w:outlineLvl w:val="9"/>
    </w:pPr>
    <w:rPr>
      <w:rFonts w:ascii="Calibri Light" w:hAnsi="Calibri Light" w:eastAsia="宋体"/>
      <w:b w:val="0"/>
      <w:color w:val="2E74B5"/>
      <w:kern w:val="0"/>
      <w:sz w:val="32"/>
      <w:szCs w:val="32"/>
    </w:rPr>
  </w:style>
  <w:style w:type="paragraph" w:customStyle="1" w:styleId="201">
    <w:name w:val="P1"/>
    <w:basedOn w:val="1"/>
    <w:qFormat/>
    <w:uiPriority w:val="0"/>
    <w:pPr>
      <w:widowControl/>
      <w:spacing w:before="240" w:line="240" w:lineRule="atLeast"/>
      <w:jc w:val="left"/>
    </w:pPr>
    <w:rPr>
      <w:b/>
      <w:kern w:val="0"/>
      <w:lang w:val="en-AU" w:eastAsia="en-US"/>
    </w:rPr>
  </w:style>
  <w:style w:type="paragraph" w:customStyle="1" w:styleId="202">
    <w:name w:val="修订1"/>
    <w:unhideWhenUsed/>
    <w:qFormat/>
    <w:uiPriority w:val="99"/>
    <w:rPr>
      <w:rFonts w:ascii="Calibri" w:hAnsi="Calibri" w:eastAsia="微软雅黑" w:cs="Times New Roman"/>
      <w:kern w:val="2"/>
      <w:sz w:val="21"/>
      <w:szCs w:val="24"/>
      <w:lang w:val="en-US" w:eastAsia="zh-CN" w:bidi="ar-SA"/>
    </w:rPr>
  </w:style>
  <w:style w:type="paragraph" w:customStyle="1" w:styleId="203">
    <w:name w:val="样式 标题 4Chapter X.X.X. + 段后: 0.5 行1 + 段后: 0.5 行"/>
    <w:basedOn w:val="138"/>
    <w:qFormat/>
    <w:uiPriority w:val="0"/>
    <w:rPr>
      <w:szCs w:val="21"/>
    </w:rPr>
  </w:style>
  <w:style w:type="paragraph" w:customStyle="1" w:styleId="204">
    <w:name w:val="IBM 正文"/>
    <w:basedOn w:val="1"/>
    <w:qFormat/>
    <w:uiPriority w:val="0"/>
    <w:pPr>
      <w:spacing w:line="360" w:lineRule="atLeast"/>
    </w:pPr>
    <w:rPr>
      <w:sz w:val="24"/>
      <w:szCs w:val="20"/>
    </w:rPr>
  </w:style>
  <w:style w:type="paragraph" w:customStyle="1" w:styleId="205">
    <w:name w:val="标题1"/>
    <w:basedOn w:val="27"/>
    <w:qFormat/>
    <w:uiPriority w:val="0"/>
    <w:pPr>
      <w:spacing w:beforeLines="0" w:afterLines="0" w:line="360" w:lineRule="auto"/>
      <w:ind w:left="0" w:firstLine="0"/>
    </w:pPr>
    <w:rPr>
      <w:b/>
      <w:sz w:val="30"/>
      <w:szCs w:val="20"/>
    </w:rPr>
  </w:style>
  <w:style w:type="paragraph" w:customStyle="1" w:styleId="206">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7">
    <w:name w:val="封面标准文稿编辑信息"/>
    <w:qFormat/>
    <w:uiPriority w:val="0"/>
    <w:pPr>
      <w:spacing w:before="180" w:line="180" w:lineRule="exact"/>
      <w:jc w:val="center"/>
    </w:pPr>
    <w:rPr>
      <w:rFonts w:ascii="宋体" w:hAnsi="Calibri" w:eastAsia="微软雅黑" w:cs="Times New Roman"/>
      <w:sz w:val="21"/>
      <w:lang w:val="en-US" w:eastAsia="zh-CN" w:bidi="ar-SA"/>
    </w:rPr>
  </w:style>
  <w:style w:type="paragraph" w:customStyle="1" w:styleId="208">
    <w:name w:val="Char1 Char Char Char"/>
    <w:basedOn w:val="1"/>
    <w:qFormat/>
    <w:uiPriority w:val="0"/>
    <w:rPr>
      <w:rFonts w:ascii="宋体" w:hAnsi="宋体"/>
      <w:spacing w:val="-6"/>
      <w:szCs w:val="20"/>
    </w:rPr>
  </w:style>
  <w:style w:type="paragraph" w:customStyle="1" w:styleId="209">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210">
    <w:name w:val="Char Char1 Char"/>
    <w:basedOn w:val="1"/>
    <w:qFormat/>
    <w:uiPriority w:val="0"/>
    <w:rPr>
      <w:rFonts w:ascii="仿宋_GB2312" w:eastAsia="仿宋_GB2312"/>
      <w:b/>
      <w:sz w:val="32"/>
      <w:szCs w:val="32"/>
    </w:rPr>
  </w:style>
  <w:style w:type="paragraph" w:customStyle="1" w:styleId="21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212">
    <w:name w:val="样式 标题 3Chapter X.X.X. + 五号 段后: 0.5 行"/>
    <w:basedOn w:val="6"/>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213">
    <w:name w:val="样式 样式 样式 标题 3Chapter X.X.X. + 段后: 0.5 行 + 段后: 0.5 行 + 段后: 0.5 行"/>
    <w:basedOn w:val="120"/>
    <w:qFormat/>
    <w:uiPriority w:val="0"/>
    <w:pPr>
      <w:spacing w:afterLines="0"/>
    </w:pPr>
  </w:style>
  <w:style w:type="paragraph" w:customStyle="1" w:styleId="21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cs="宋体"/>
      <w:kern w:val="0"/>
      <w:sz w:val="16"/>
      <w:szCs w:val="16"/>
    </w:rPr>
  </w:style>
  <w:style w:type="paragraph" w:customStyle="1" w:styleId="215">
    <w:name w:val="标准标题1"/>
    <w:basedOn w:val="3"/>
    <w:qFormat/>
    <w:uiPriority w:val="0"/>
    <w:pPr>
      <w:pageBreakBefore/>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bCs/>
      <w:color w:val="auto"/>
      <w:sz w:val="32"/>
      <w:szCs w:val="44"/>
    </w:rPr>
  </w:style>
  <w:style w:type="paragraph" w:customStyle="1" w:styleId="216">
    <w:name w:val="样式　标题4"/>
    <w:basedOn w:val="138"/>
    <w:next w:val="1"/>
    <w:qFormat/>
    <w:uiPriority w:val="0"/>
  </w:style>
  <w:style w:type="paragraph" w:customStyle="1" w:styleId="217">
    <w:name w:val="Bullet2"/>
    <w:basedOn w:val="1"/>
    <w:qFormat/>
    <w:uiPriority w:val="0"/>
    <w:pPr>
      <w:spacing w:afterLines="50"/>
      <w:ind w:left="1440" w:hanging="360"/>
      <w:jc w:val="left"/>
    </w:pPr>
    <w:rPr>
      <w:rFonts w:ascii="宋体"/>
      <w:snapToGrid w:val="0"/>
      <w:color w:val="000080"/>
      <w:kern w:val="0"/>
      <w:szCs w:val="20"/>
    </w:rPr>
  </w:style>
  <w:style w:type="paragraph" w:customStyle="1" w:styleId="218">
    <w:name w:val="S4-I-U-L15-No-dot"/>
    <w:basedOn w:val="1"/>
    <w:qFormat/>
    <w:uiPriority w:val="0"/>
    <w:pPr>
      <w:tabs>
        <w:tab w:val="left" w:pos="1112"/>
      </w:tabs>
      <w:spacing w:after="120" w:line="360" w:lineRule="auto"/>
      <w:ind w:left="1112" w:hanging="420"/>
    </w:pPr>
    <w:rPr>
      <w:i/>
      <w:sz w:val="24"/>
      <w:u w:val="single"/>
    </w:rPr>
  </w:style>
  <w:style w:type="paragraph" w:customStyle="1" w:styleId="21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220">
    <w:name w:val="Default"/>
    <w:unhideWhenUsed/>
    <w:qFormat/>
    <w:uiPriority w:val="0"/>
    <w:pPr>
      <w:widowControl w:val="0"/>
      <w:autoSpaceDE w:val="0"/>
      <w:autoSpaceDN w:val="0"/>
    </w:pPr>
    <w:rPr>
      <w:rFonts w:hint="eastAsia" w:ascii="宋体" w:hAnsi="宋体" w:eastAsia="微软雅黑" w:cs="Times New Roman"/>
      <w:color w:val="000000"/>
      <w:sz w:val="24"/>
      <w:lang w:val="en-US" w:eastAsia="zh-CN" w:bidi="ar-SA"/>
    </w:rPr>
  </w:style>
  <w:style w:type="paragraph" w:customStyle="1" w:styleId="221">
    <w:name w:val="章正文"/>
    <w:basedOn w:val="1"/>
    <w:qFormat/>
    <w:uiPriority w:val="0"/>
    <w:pPr>
      <w:spacing w:beforeLines="50" w:after="120" w:line="300" w:lineRule="auto"/>
      <w:ind w:firstLine="480"/>
    </w:pPr>
    <w:rPr>
      <w:rFonts w:ascii="Helvetica" w:hAnsi="Helvetica"/>
      <w:kern w:val="0"/>
      <w:sz w:val="24"/>
    </w:rPr>
  </w:style>
  <w:style w:type="paragraph" w:customStyle="1" w:styleId="222">
    <w:name w:val="InfoBlue"/>
    <w:basedOn w:val="1"/>
    <w:next w:val="20"/>
    <w:qFormat/>
    <w:uiPriority w:val="0"/>
    <w:pPr>
      <w:spacing w:afterLines="50"/>
      <w:ind w:left="720"/>
      <w:jc w:val="left"/>
    </w:pPr>
    <w:rPr>
      <w:rFonts w:ascii="宋体"/>
      <w:i/>
      <w:snapToGrid w:val="0"/>
      <w:color w:val="0000FF"/>
      <w:kern w:val="0"/>
      <w:szCs w:val="20"/>
    </w:rPr>
  </w:style>
  <w:style w:type="paragraph" w:customStyle="1" w:styleId="223">
    <w:name w:val="Table Paragraph"/>
    <w:basedOn w:val="1"/>
    <w:qFormat/>
    <w:uiPriority w:val="1"/>
    <w:rPr>
      <w:rFonts w:ascii="宋体" w:hAnsi="宋体" w:eastAsia="宋体" w:cs="宋体"/>
      <w:lang w:val="zh-CN" w:bidi="zh-CN"/>
    </w:rPr>
  </w:style>
  <w:style w:type="paragraph" w:customStyle="1" w:styleId="224">
    <w:name w:val="Paragraph1"/>
    <w:basedOn w:val="1"/>
    <w:qFormat/>
    <w:uiPriority w:val="0"/>
    <w:pPr>
      <w:spacing w:before="80" w:afterLines="50"/>
    </w:pPr>
    <w:rPr>
      <w:rFonts w:ascii="宋体"/>
      <w:snapToGrid w:val="0"/>
      <w:kern w:val="0"/>
      <w:szCs w:val="20"/>
    </w:rPr>
  </w:style>
  <w:style w:type="paragraph" w:customStyle="1" w:styleId="225">
    <w:name w:val="正文1"/>
    <w:qFormat/>
    <w:uiPriority w:val="0"/>
    <w:pPr>
      <w:jc w:val="both"/>
    </w:pPr>
    <w:rPr>
      <w:rFonts w:ascii="Calibri" w:hAnsi="Calibri" w:eastAsia="微软雅黑" w:cs="Times New Roman"/>
      <w:kern w:val="2"/>
      <w:sz w:val="21"/>
      <w:szCs w:val="21"/>
      <w:lang w:val="en-US" w:eastAsia="zh-CN" w:bidi="ar-SA"/>
    </w:rPr>
  </w:style>
  <w:style w:type="paragraph" w:customStyle="1" w:styleId="226">
    <w:name w:val="修订11"/>
    <w:semiHidden/>
    <w:qFormat/>
    <w:uiPriority w:val="99"/>
    <w:rPr>
      <w:rFonts w:ascii="Calibri" w:hAnsi="Calibri" w:eastAsia="微软雅黑" w:cs="Times New Roman"/>
      <w:kern w:val="2"/>
      <w:sz w:val="21"/>
      <w:szCs w:val="24"/>
      <w:lang w:val="en-US" w:eastAsia="zh-CN" w:bidi="ar-SA"/>
    </w:rPr>
  </w:style>
  <w:style w:type="paragraph" w:customStyle="1" w:styleId="227">
    <w:name w:val="段(正文）"/>
    <w:qFormat/>
    <w:uiPriority w:val="0"/>
    <w:pPr>
      <w:autoSpaceDE w:val="0"/>
      <w:autoSpaceDN w:val="0"/>
      <w:ind w:firstLine="420"/>
      <w:jc w:val="both"/>
    </w:pPr>
    <w:rPr>
      <w:rFonts w:ascii="宋体" w:hAnsi="Calibri" w:eastAsia="微软雅黑" w:cs="Times New Roman"/>
      <w:sz w:val="21"/>
      <w:lang w:val="en-US" w:eastAsia="zh-CN" w:bidi="ar-SA"/>
    </w:rPr>
  </w:style>
  <w:style w:type="paragraph" w:customStyle="1" w:styleId="22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229">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230">
    <w:name w:val="font10"/>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31">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232">
    <w:name w:val="样式 样式 标题 4 + 段后: 0.5 行 + 段后: 0.5 行"/>
    <w:basedOn w:val="53"/>
    <w:qFormat/>
    <w:uiPriority w:val="0"/>
  </w:style>
  <w:style w:type="paragraph" w:customStyle="1" w:styleId="233">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34">
    <w:name w:val="p0"/>
    <w:basedOn w:val="1"/>
    <w:qFormat/>
    <w:uiPriority w:val="99"/>
    <w:pPr>
      <w:widowControl/>
    </w:pPr>
    <w:rPr>
      <w:kern w:val="0"/>
      <w:sz w:val="28"/>
      <w:szCs w:val="28"/>
    </w:rPr>
  </w:style>
  <w:style w:type="paragraph" w:customStyle="1" w:styleId="235">
    <w:name w:val="标准有序列表（L1）"/>
    <w:basedOn w:val="4"/>
    <w:qFormat/>
    <w:uiPriority w:val="0"/>
    <w:pPr>
      <w:tabs>
        <w:tab w:val="left" w:pos="0"/>
        <w:tab w:val="left" w:pos="2100"/>
      </w:tabs>
      <w:spacing w:line="360" w:lineRule="auto"/>
      <w:ind w:firstLine="0"/>
    </w:pPr>
    <w:rPr>
      <w:rFonts w:ascii="黑体" w:eastAsia="黑体"/>
      <w:color w:val="000000"/>
      <w:sz w:val="24"/>
    </w:rPr>
  </w:style>
  <w:style w:type="paragraph" w:customStyle="1" w:styleId="236">
    <w:name w:val="样式 样式3 + 宋体 五号 Char Char Char"/>
    <w:basedOn w:val="1"/>
    <w:qFormat/>
    <w:uiPriority w:val="0"/>
    <w:pPr>
      <w:keepNext/>
      <w:keepLines/>
      <w:tabs>
        <w:tab w:val="left" w:pos="1200"/>
      </w:tabs>
      <w:ind w:left="1200" w:hanging="360"/>
      <w:jc w:val="left"/>
      <w:outlineLvl w:val="7"/>
    </w:pPr>
    <w:rPr>
      <w:rFonts w:ascii="宋体" w:hAnsi="宋体"/>
      <w:b/>
      <w:bCs/>
    </w:rPr>
  </w:style>
  <w:style w:type="paragraph" w:customStyle="1" w:styleId="237">
    <w:name w:val="样式 标题 3Chapter X.X.X"/>
    <w:basedOn w:val="119"/>
    <w:qFormat/>
    <w:uiPriority w:val="0"/>
    <w:pPr>
      <w:spacing w:afterLines="0"/>
    </w:pPr>
  </w:style>
  <w:style w:type="paragraph" w:customStyle="1" w:styleId="238">
    <w:name w:val="列出段落2"/>
    <w:basedOn w:val="1"/>
    <w:qFormat/>
    <w:uiPriority w:val="0"/>
    <w:pPr>
      <w:ind w:firstLine="420"/>
    </w:pPr>
    <w:rPr>
      <w:rFonts w:cs="Calibri"/>
      <w:color w:val="000000"/>
      <w:kern w:val="1"/>
      <w:szCs w:val="22"/>
    </w:rPr>
  </w:style>
  <w:style w:type="paragraph" w:customStyle="1" w:styleId="239">
    <w:name w:val="正文段"/>
    <w:basedOn w:val="1"/>
    <w:qFormat/>
    <w:uiPriority w:val="0"/>
    <w:pPr>
      <w:widowControl/>
      <w:snapToGrid w:val="0"/>
      <w:spacing w:afterLines="50"/>
      <w:ind w:firstLine="200" w:firstLineChars="200"/>
    </w:pPr>
    <w:rPr>
      <w:kern w:val="0"/>
      <w:sz w:val="24"/>
      <w:szCs w:val="20"/>
    </w:rPr>
  </w:style>
  <w:style w:type="paragraph" w:customStyle="1" w:styleId="240">
    <w:name w:val="Paragraph4"/>
    <w:basedOn w:val="1"/>
    <w:qFormat/>
    <w:uiPriority w:val="0"/>
    <w:pPr>
      <w:spacing w:before="80" w:afterLines="50"/>
      <w:ind w:left="2250"/>
    </w:pPr>
    <w:rPr>
      <w:rFonts w:ascii="宋体"/>
      <w:snapToGrid w:val="0"/>
      <w:kern w:val="0"/>
      <w:szCs w:val="20"/>
    </w:rPr>
  </w:style>
  <w:style w:type="paragraph" w:customStyle="1" w:styleId="241">
    <w:name w:val="样式1"/>
    <w:basedOn w:val="58"/>
    <w:qFormat/>
    <w:uiPriority w:val="0"/>
    <w:pPr>
      <w:spacing w:line="480" w:lineRule="auto"/>
      <w:ind w:left="600"/>
    </w:pPr>
    <w:rPr>
      <w:rFonts w:ascii="宋体" w:hAnsi="宋体"/>
      <w:b w:val="0"/>
      <w:sz w:val="36"/>
      <w:szCs w:val="36"/>
    </w:rPr>
  </w:style>
  <w:style w:type="paragraph" w:customStyle="1" w:styleId="242">
    <w:name w:val="模版说明"/>
    <w:basedOn w:val="20"/>
    <w:qFormat/>
    <w:uiPriority w:val="0"/>
    <w:pPr>
      <w:widowControl/>
      <w:autoSpaceDE w:val="0"/>
      <w:autoSpaceDN w:val="0"/>
      <w:spacing w:line="240" w:lineRule="atLeast"/>
      <w:ind w:firstLine="473" w:firstLineChars="225"/>
      <w:jc w:val="left"/>
    </w:pPr>
    <w:rPr>
      <w:rFonts w:ascii="Arial" w:hAnsi="Arial"/>
      <w:color w:val="0000FF"/>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51</Pages>
  <Words>4928</Words>
  <Characters>28095</Characters>
  <Lines>234</Lines>
  <Paragraphs>65</Paragraphs>
  <TotalTime>16</TotalTime>
  <ScaleCrop>false</ScaleCrop>
  <LinksUpToDate>false</LinksUpToDate>
  <CharactersWithSpaces>32958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2020-01-17T05:44:00Z</dcterms:created>
  <dc:creator>user</dc:creator>
  <cp:lastModifiedBy>黄瓜必须拍、人生必须嗨</cp:lastModifiedBy>
  <cp:lastPrinted>2020-07-24T07:53:45Z</cp:lastPrinted>
  <dcterms:modified xsi:type="dcterms:W3CDTF">2020-07-24T07:54:09Z</dcterms:modified>
  <dc:title>浙江华夏</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