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60"/>
          <w:szCs w:val="52"/>
        </w:rPr>
      </w:pPr>
      <w:bookmarkStart w:id="0" w:name="_Toc177870533"/>
    </w:p>
    <w:p>
      <w:pPr>
        <w:jc w:val="center"/>
        <w:rPr>
          <w:rFonts w:ascii="宋体" w:hAnsi="宋体"/>
          <w:b/>
          <w:spacing w:val="-4"/>
          <w:sz w:val="48"/>
          <w:szCs w:val="48"/>
        </w:rPr>
      </w:pPr>
      <w:r>
        <w:rPr>
          <w:rFonts w:hint="eastAsia" w:ascii="宋体" w:hAnsi="宋体" w:eastAsia="宋体"/>
          <w:b/>
          <w:spacing w:val="-4"/>
          <w:sz w:val="48"/>
          <w:szCs w:val="48"/>
        </w:rPr>
        <w:t>湖州市吴兴区（含南太湖新区）门牌数据信息采集项目</w:t>
      </w:r>
    </w:p>
    <w:p>
      <w:pPr>
        <w:rPr>
          <w:rFonts w:ascii="宋体" w:hAnsi="宋体"/>
        </w:rPr>
      </w:pPr>
    </w:p>
    <w:p>
      <w:pPr>
        <w:rPr>
          <w:rFonts w:ascii="宋体" w:hAnsi="宋体"/>
        </w:rPr>
      </w:pPr>
    </w:p>
    <w:p>
      <w:pPr>
        <w:rPr>
          <w:rFonts w:ascii="宋体" w:hAnsi="宋体"/>
        </w:rPr>
      </w:pPr>
    </w:p>
    <w:p>
      <w:pPr>
        <w:adjustRightInd w:val="0"/>
        <w:snapToGrid w:val="0"/>
        <w:spacing w:line="600" w:lineRule="exact"/>
        <w:jc w:val="center"/>
        <w:rPr>
          <w:rFonts w:ascii="宋体" w:hAnsi="宋体" w:cs="宋体"/>
          <w:b/>
          <w:bCs/>
          <w:snapToGrid w:val="0"/>
          <w:sz w:val="24"/>
        </w:rPr>
      </w:pPr>
      <w:r>
        <w:rPr>
          <w:rFonts w:hint="eastAsia" w:ascii="宋体" w:hAnsi="宋体" w:cs="宋体"/>
          <w:b/>
          <w:bCs/>
          <w:snapToGrid w:val="0"/>
          <w:sz w:val="24"/>
        </w:rPr>
        <w:t>财政审批编号：吴兴财采确临【2020】5390 号、</w:t>
      </w:r>
    </w:p>
    <w:p>
      <w:pPr>
        <w:adjustRightInd w:val="0"/>
        <w:snapToGrid w:val="0"/>
        <w:spacing w:line="600" w:lineRule="exact"/>
        <w:jc w:val="center"/>
        <w:rPr>
          <w:rFonts w:ascii="宋体" w:hAnsi="宋体" w:cs="宋体"/>
          <w:b/>
          <w:bCs/>
          <w:snapToGrid w:val="0"/>
          <w:sz w:val="24"/>
          <w:u w:val="single"/>
        </w:rPr>
      </w:pPr>
      <w:r>
        <w:rPr>
          <w:rFonts w:hint="eastAsia" w:ascii="宋体" w:hAnsi="宋体" w:cs="宋体"/>
          <w:b/>
          <w:bCs/>
          <w:snapToGrid w:val="0"/>
          <w:sz w:val="24"/>
        </w:rPr>
        <w:t xml:space="preserve">         湖南太湖采【2020】1012号</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sz w:val="72"/>
          <w:szCs w:val="72"/>
        </w:rPr>
      </w:pPr>
      <w:r>
        <w:rPr>
          <w:rFonts w:hint="eastAsia" w:ascii="宋体" w:hAnsi="宋体"/>
          <w:b/>
          <w:sz w:val="72"/>
          <w:szCs w:val="72"/>
        </w:rPr>
        <w:t>公开招标采购文件</w:t>
      </w:r>
    </w:p>
    <w:p>
      <w:pPr>
        <w:jc w:val="center"/>
        <w:rPr>
          <w:rFonts w:ascii="宋体" w:hAnsi="宋体"/>
          <w:sz w:val="28"/>
          <w:szCs w:val="28"/>
        </w:rPr>
      </w:pPr>
    </w:p>
    <w:p>
      <w:pPr>
        <w:jc w:val="center"/>
        <w:rPr>
          <w:rFonts w:ascii="宋体" w:hAnsi="宋体"/>
          <w:sz w:val="28"/>
          <w:szCs w:val="28"/>
        </w:rPr>
      </w:pPr>
    </w:p>
    <w:p>
      <w:pPr>
        <w:jc w:val="center"/>
        <w:rPr>
          <w:rFonts w:ascii="宋体" w:hAnsi="宋体"/>
          <w:sz w:val="30"/>
          <w:szCs w:val="30"/>
        </w:rPr>
      </w:pPr>
    </w:p>
    <w:p>
      <w:pPr>
        <w:ind w:left="-718" w:leftChars="-342" w:right="-687" w:rightChars="-327"/>
        <w:rPr>
          <w:rFonts w:ascii="宋体" w:hAnsi="宋体"/>
          <w:sz w:val="30"/>
          <w:szCs w:val="30"/>
        </w:rPr>
      </w:pPr>
    </w:p>
    <w:p>
      <w:pPr>
        <w:spacing w:line="600" w:lineRule="exact"/>
        <w:ind w:firstLine="980" w:firstLineChars="350"/>
        <w:rPr>
          <w:rFonts w:ascii="宋体" w:hAnsi="宋体"/>
          <w:sz w:val="28"/>
          <w:szCs w:val="28"/>
        </w:rPr>
      </w:pPr>
      <w:bookmarkStart w:id="1" w:name="_Toc293916797"/>
    </w:p>
    <w:p>
      <w:pPr>
        <w:pStyle w:val="22"/>
      </w:pPr>
    </w:p>
    <w:p>
      <w:pPr>
        <w:pStyle w:val="22"/>
      </w:pPr>
    </w:p>
    <w:p>
      <w:pPr>
        <w:pStyle w:val="22"/>
      </w:pPr>
    </w:p>
    <w:p>
      <w:pPr>
        <w:spacing w:line="600" w:lineRule="exact"/>
        <w:ind w:left="2239" w:leftChars="133" w:hanging="1960" w:hangingChars="700"/>
        <w:rPr>
          <w:rFonts w:ascii="宋体" w:hAnsi="宋体"/>
          <w:sz w:val="28"/>
          <w:szCs w:val="28"/>
        </w:rPr>
      </w:pPr>
      <w:r>
        <w:rPr>
          <w:rFonts w:hint="eastAsia" w:ascii="宋体" w:hAnsi="宋体"/>
          <w:sz w:val="28"/>
          <w:szCs w:val="28"/>
        </w:rPr>
        <w:t>采 购  单 位：</w:t>
      </w:r>
      <w:r>
        <w:rPr>
          <w:rFonts w:hint="eastAsia" w:ascii="宋体" w:hAnsi="宋体"/>
          <w:sz w:val="28"/>
          <w:szCs w:val="28"/>
          <w:u w:val="single"/>
        </w:rPr>
        <w:t>湖州市吴兴区民政局、湖州南太湖新区社会发展服务中心</w:t>
      </w:r>
    </w:p>
    <w:p>
      <w:pPr>
        <w:spacing w:line="600" w:lineRule="exact"/>
        <w:rPr>
          <w:rFonts w:ascii="宋体" w:hAnsi="宋体"/>
        </w:rPr>
      </w:pPr>
    </w:p>
    <w:p>
      <w:pPr>
        <w:spacing w:line="600" w:lineRule="exact"/>
        <w:ind w:firstLine="280" w:firstLineChars="100"/>
        <w:rPr>
          <w:rFonts w:ascii="宋体" w:hAnsi="宋体"/>
          <w:sz w:val="28"/>
          <w:szCs w:val="28"/>
        </w:rPr>
      </w:pPr>
      <w:r>
        <w:rPr>
          <w:rFonts w:hint="eastAsia" w:ascii="宋体" w:hAnsi="宋体"/>
          <w:sz w:val="28"/>
          <w:szCs w:val="28"/>
        </w:rPr>
        <w:t>采购代理机构：</w:t>
      </w:r>
      <w:r>
        <w:rPr>
          <w:rFonts w:hint="eastAsia" w:ascii="宋体" w:hAnsi="宋体"/>
          <w:sz w:val="28"/>
          <w:szCs w:val="28"/>
          <w:u w:val="single"/>
        </w:rPr>
        <w:t>浙江中合工程管理有限公司</w:t>
      </w:r>
    </w:p>
    <w:p>
      <w:pPr>
        <w:spacing w:line="600" w:lineRule="exact"/>
        <w:rPr>
          <w:rFonts w:ascii="宋体" w:hAnsi="宋体"/>
        </w:rPr>
      </w:pPr>
    </w:p>
    <w:p>
      <w:pPr>
        <w:snapToGrid w:val="0"/>
        <w:spacing w:line="600" w:lineRule="exact"/>
        <w:jc w:val="center"/>
        <w:rPr>
          <w:rFonts w:ascii="宋体" w:hAnsi="宋体"/>
          <w:sz w:val="28"/>
          <w:szCs w:val="28"/>
        </w:rPr>
      </w:pPr>
      <w:r>
        <w:rPr>
          <w:rFonts w:hint="eastAsia" w:ascii="宋体" w:hAnsi="宋体"/>
          <w:sz w:val="28"/>
          <w:szCs w:val="28"/>
        </w:rPr>
        <w:t>2020年7月</w:t>
      </w:r>
    </w:p>
    <w:p>
      <w:pPr>
        <w:pStyle w:val="27"/>
        <w:spacing w:beforeLines="0" w:afterLines="0" w:line="360" w:lineRule="auto"/>
        <w:ind w:left="0" w:firstLine="0"/>
        <w:rPr>
          <w:rFonts w:hAnsi="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07" w:gutter="0"/>
          <w:pgNumType w:start="1"/>
          <w:cols w:space="720" w:num="1"/>
          <w:titlePg/>
          <w:docGrid w:linePitch="312" w:charSpace="0"/>
        </w:sectPr>
      </w:pPr>
    </w:p>
    <w:p>
      <w:pPr>
        <w:pStyle w:val="27"/>
        <w:spacing w:beforeLines="0" w:afterLines="0" w:line="360" w:lineRule="auto"/>
        <w:ind w:left="0" w:firstLine="0"/>
        <w:jc w:val="center"/>
        <w:rPr>
          <w:rFonts w:ascii="仿宋" w:hAnsi="仿宋" w:eastAsia="仿宋" w:cs="仿宋"/>
          <w:b/>
          <w:sz w:val="32"/>
          <w:szCs w:val="32"/>
        </w:rPr>
      </w:pPr>
      <w:r>
        <w:rPr>
          <w:rFonts w:hint="eastAsia" w:ascii="仿宋" w:hAnsi="仿宋" w:eastAsia="仿宋" w:cs="仿宋"/>
          <w:b/>
          <w:sz w:val="52"/>
          <w:szCs w:val="52"/>
        </w:rPr>
        <w:t>目    录</w:t>
      </w:r>
      <w:bookmarkEnd w:id="1"/>
    </w:p>
    <w:p>
      <w:pPr>
        <w:pStyle w:val="35"/>
        <w:tabs>
          <w:tab w:val="right" w:leader="dot" w:pos="8312"/>
          <w:tab w:val="clear" w:pos="1200"/>
        </w:tabs>
        <w:spacing w:line="480" w:lineRule="auto"/>
        <w:rPr>
          <w:rFonts w:ascii="微软雅黑" w:hAnsi="微软雅黑" w:cs="微软雅黑"/>
          <w:sz w:val="24"/>
          <w:szCs w:val="24"/>
        </w:rPr>
      </w:pPr>
      <w:r>
        <w:rPr>
          <w:rFonts w:hint="eastAsia" w:ascii="微软雅黑" w:hAnsi="微软雅黑" w:cs="微软雅黑"/>
          <w:sz w:val="24"/>
          <w:szCs w:val="24"/>
        </w:rPr>
        <w:fldChar w:fldCharType="begin"/>
      </w:r>
      <w:r>
        <w:rPr>
          <w:rFonts w:hint="eastAsia" w:ascii="微软雅黑" w:hAnsi="微软雅黑" w:cs="微软雅黑"/>
          <w:sz w:val="24"/>
          <w:szCs w:val="24"/>
        </w:rPr>
        <w:instrText xml:space="preserve"> TOC \o "1-3" \h \z \u </w:instrText>
      </w:r>
      <w:r>
        <w:rPr>
          <w:rFonts w:hint="eastAsia" w:ascii="微软雅黑" w:hAnsi="微软雅黑" w:cs="微软雅黑"/>
          <w:sz w:val="24"/>
          <w:szCs w:val="24"/>
        </w:rPr>
        <w:fldChar w:fldCharType="separate"/>
      </w:r>
      <w:r>
        <w:fldChar w:fldCharType="begin"/>
      </w:r>
      <w:r>
        <w:instrText xml:space="preserve"> HYPERLINK \l "_Toc29185" </w:instrText>
      </w:r>
      <w:r>
        <w:fldChar w:fldCharType="separate"/>
      </w:r>
      <w:r>
        <w:rPr>
          <w:rFonts w:hint="eastAsia" w:ascii="微软雅黑" w:hAnsi="微软雅黑" w:cs="微软雅黑"/>
          <w:sz w:val="24"/>
          <w:szCs w:val="24"/>
        </w:rPr>
        <w:t>第一章、公开招标采购公告</w:t>
      </w:r>
      <w:r>
        <w:rPr>
          <w:rFonts w:hint="eastAsia" w:ascii="微软雅黑" w:hAnsi="微软雅黑" w:cs="微软雅黑"/>
          <w:sz w:val="24"/>
          <w:szCs w:val="24"/>
        </w:rPr>
        <w:tab/>
      </w:r>
      <w:r>
        <w:rPr>
          <w:rFonts w:hint="eastAsia" w:ascii="微软雅黑" w:hAnsi="微软雅黑" w:cs="微软雅黑"/>
          <w:sz w:val="24"/>
          <w:szCs w:val="24"/>
        </w:rPr>
        <w:fldChar w:fldCharType="begin"/>
      </w:r>
      <w:r>
        <w:rPr>
          <w:rFonts w:hint="eastAsia" w:ascii="微软雅黑" w:hAnsi="微软雅黑" w:cs="微软雅黑"/>
          <w:sz w:val="24"/>
          <w:szCs w:val="24"/>
        </w:rPr>
        <w:instrText xml:space="preserve"> PAGEREF _Toc29185 </w:instrText>
      </w:r>
      <w:r>
        <w:rPr>
          <w:rFonts w:hint="eastAsia" w:ascii="微软雅黑" w:hAnsi="微软雅黑" w:cs="微软雅黑"/>
          <w:sz w:val="24"/>
          <w:szCs w:val="24"/>
        </w:rPr>
        <w:fldChar w:fldCharType="separate"/>
      </w:r>
      <w:r>
        <w:rPr>
          <w:rFonts w:hint="eastAsia" w:ascii="微软雅黑" w:hAnsi="微软雅黑" w:cs="微软雅黑"/>
          <w:sz w:val="24"/>
          <w:szCs w:val="24"/>
        </w:rPr>
        <w:t>3</w:t>
      </w:r>
      <w:r>
        <w:rPr>
          <w:rFonts w:hint="eastAsia" w:ascii="微软雅黑" w:hAnsi="微软雅黑" w:cs="微软雅黑"/>
          <w:sz w:val="24"/>
          <w:szCs w:val="24"/>
        </w:rPr>
        <w:fldChar w:fldCharType="end"/>
      </w:r>
      <w:r>
        <w:rPr>
          <w:rFonts w:hint="eastAsia" w:ascii="微软雅黑" w:hAnsi="微软雅黑" w:cs="微软雅黑"/>
          <w:sz w:val="24"/>
          <w:szCs w:val="24"/>
        </w:rPr>
        <w:fldChar w:fldCharType="end"/>
      </w:r>
    </w:p>
    <w:p>
      <w:pPr>
        <w:pStyle w:val="35"/>
        <w:tabs>
          <w:tab w:val="right" w:leader="dot" w:pos="8312"/>
          <w:tab w:val="clear" w:pos="1200"/>
        </w:tabs>
        <w:spacing w:line="480" w:lineRule="auto"/>
        <w:rPr>
          <w:rFonts w:ascii="微软雅黑" w:hAnsi="微软雅黑" w:cs="微软雅黑"/>
          <w:sz w:val="24"/>
          <w:szCs w:val="24"/>
        </w:rPr>
      </w:pPr>
      <w:r>
        <w:fldChar w:fldCharType="begin"/>
      </w:r>
      <w:r>
        <w:instrText xml:space="preserve"> HYPERLINK \l "_Toc20196" </w:instrText>
      </w:r>
      <w:r>
        <w:fldChar w:fldCharType="separate"/>
      </w:r>
      <w:r>
        <w:rPr>
          <w:rFonts w:hint="eastAsia" w:ascii="微软雅黑" w:hAnsi="微软雅黑" w:cs="微软雅黑"/>
          <w:sz w:val="24"/>
          <w:szCs w:val="24"/>
        </w:rPr>
        <w:t>第二章、招标需求</w:t>
      </w:r>
      <w:r>
        <w:rPr>
          <w:rFonts w:hint="eastAsia" w:ascii="微软雅黑" w:hAnsi="微软雅黑" w:cs="微软雅黑"/>
          <w:sz w:val="24"/>
          <w:szCs w:val="24"/>
        </w:rPr>
        <w:tab/>
      </w:r>
      <w:r>
        <w:rPr>
          <w:rFonts w:hint="eastAsia" w:ascii="微软雅黑" w:hAnsi="微软雅黑" w:cs="微软雅黑"/>
          <w:sz w:val="24"/>
          <w:szCs w:val="24"/>
        </w:rPr>
        <w:fldChar w:fldCharType="begin"/>
      </w:r>
      <w:r>
        <w:rPr>
          <w:rFonts w:hint="eastAsia" w:ascii="微软雅黑" w:hAnsi="微软雅黑" w:cs="微软雅黑"/>
          <w:sz w:val="24"/>
          <w:szCs w:val="24"/>
        </w:rPr>
        <w:instrText xml:space="preserve"> PAGEREF _Toc20196 </w:instrText>
      </w:r>
      <w:r>
        <w:rPr>
          <w:rFonts w:hint="eastAsia" w:ascii="微软雅黑" w:hAnsi="微软雅黑" w:cs="微软雅黑"/>
          <w:sz w:val="24"/>
          <w:szCs w:val="24"/>
        </w:rPr>
        <w:fldChar w:fldCharType="separate"/>
      </w:r>
      <w:r>
        <w:rPr>
          <w:rFonts w:hint="eastAsia" w:ascii="微软雅黑" w:hAnsi="微软雅黑" w:cs="微软雅黑"/>
          <w:sz w:val="24"/>
          <w:szCs w:val="24"/>
        </w:rPr>
        <w:t>8</w:t>
      </w:r>
      <w:r>
        <w:rPr>
          <w:rFonts w:hint="eastAsia" w:ascii="微软雅黑" w:hAnsi="微软雅黑" w:cs="微软雅黑"/>
          <w:sz w:val="24"/>
          <w:szCs w:val="24"/>
        </w:rPr>
        <w:fldChar w:fldCharType="end"/>
      </w:r>
      <w:r>
        <w:rPr>
          <w:rFonts w:hint="eastAsia" w:ascii="微软雅黑" w:hAnsi="微软雅黑" w:cs="微软雅黑"/>
          <w:sz w:val="24"/>
          <w:szCs w:val="24"/>
        </w:rPr>
        <w:fldChar w:fldCharType="end"/>
      </w:r>
    </w:p>
    <w:p>
      <w:pPr>
        <w:pStyle w:val="35"/>
        <w:tabs>
          <w:tab w:val="right" w:leader="dot" w:pos="8312"/>
          <w:tab w:val="clear" w:pos="1200"/>
        </w:tabs>
        <w:spacing w:line="480" w:lineRule="auto"/>
        <w:rPr>
          <w:rFonts w:ascii="微软雅黑" w:hAnsi="微软雅黑" w:cs="微软雅黑"/>
          <w:sz w:val="24"/>
          <w:szCs w:val="24"/>
        </w:rPr>
      </w:pPr>
      <w:r>
        <w:fldChar w:fldCharType="begin"/>
      </w:r>
      <w:r>
        <w:instrText xml:space="preserve"> HYPERLINK \l "_Toc12512" </w:instrText>
      </w:r>
      <w:r>
        <w:fldChar w:fldCharType="separate"/>
      </w:r>
      <w:r>
        <w:rPr>
          <w:rFonts w:hint="eastAsia" w:ascii="微软雅黑" w:hAnsi="微软雅黑" w:cs="微软雅黑"/>
          <w:sz w:val="24"/>
          <w:szCs w:val="24"/>
        </w:rPr>
        <w:t>第三章、投标人须知</w:t>
      </w:r>
      <w:r>
        <w:rPr>
          <w:rFonts w:hint="eastAsia" w:ascii="微软雅黑" w:hAnsi="微软雅黑" w:cs="微软雅黑"/>
          <w:sz w:val="24"/>
          <w:szCs w:val="24"/>
        </w:rPr>
        <w:tab/>
      </w:r>
      <w:r>
        <w:rPr>
          <w:rFonts w:hint="eastAsia" w:ascii="微软雅黑" w:hAnsi="微软雅黑" w:cs="微软雅黑"/>
          <w:sz w:val="24"/>
          <w:szCs w:val="24"/>
        </w:rPr>
        <w:fldChar w:fldCharType="begin"/>
      </w:r>
      <w:r>
        <w:rPr>
          <w:rFonts w:hint="eastAsia" w:ascii="微软雅黑" w:hAnsi="微软雅黑" w:cs="微软雅黑"/>
          <w:sz w:val="24"/>
          <w:szCs w:val="24"/>
        </w:rPr>
        <w:instrText xml:space="preserve"> PAGEREF _Toc12512 </w:instrText>
      </w:r>
      <w:r>
        <w:rPr>
          <w:rFonts w:hint="eastAsia" w:ascii="微软雅黑" w:hAnsi="微软雅黑" w:cs="微软雅黑"/>
          <w:sz w:val="24"/>
          <w:szCs w:val="24"/>
        </w:rPr>
        <w:fldChar w:fldCharType="separate"/>
      </w:r>
      <w:r>
        <w:rPr>
          <w:rFonts w:hint="eastAsia" w:ascii="微软雅黑" w:hAnsi="微软雅黑" w:cs="微软雅黑"/>
          <w:sz w:val="24"/>
          <w:szCs w:val="24"/>
        </w:rPr>
        <w:t>22</w:t>
      </w:r>
      <w:r>
        <w:rPr>
          <w:rFonts w:hint="eastAsia" w:ascii="微软雅黑" w:hAnsi="微软雅黑" w:cs="微软雅黑"/>
          <w:sz w:val="24"/>
          <w:szCs w:val="24"/>
        </w:rPr>
        <w:fldChar w:fldCharType="end"/>
      </w:r>
      <w:r>
        <w:rPr>
          <w:rFonts w:hint="eastAsia" w:ascii="微软雅黑" w:hAnsi="微软雅黑" w:cs="微软雅黑"/>
          <w:sz w:val="24"/>
          <w:szCs w:val="24"/>
        </w:rPr>
        <w:fldChar w:fldCharType="end"/>
      </w:r>
    </w:p>
    <w:p>
      <w:pPr>
        <w:pStyle w:val="42"/>
        <w:tabs>
          <w:tab w:val="right" w:leader="dot" w:pos="8312"/>
        </w:tabs>
        <w:spacing w:line="480" w:lineRule="auto"/>
        <w:rPr>
          <w:rFonts w:ascii="微软雅黑" w:hAnsi="微软雅黑" w:cs="微软雅黑"/>
          <w:sz w:val="24"/>
          <w:szCs w:val="24"/>
        </w:rPr>
      </w:pPr>
      <w:r>
        <w:fldChar w:fldCharType="begin"/>
      </w:r>
      <w:r>
        <w:instrText xml:space="preserve"> HYPERLINK \l "_Toc21985" </w:instrText>
      </w:r>
      <w:r>
        <w:fldChar w:fldCharType="separate"/>
      </w:r>
      <w:r>
        <w:rPr>
          <w:rFonts w:hint="eastAsia" w:ascii="微软雅黑" w:hAnsi="微软雅黑" w:cs="微软雅黑"/>
          <w:bCs/>
          <w:sz w:val="24"/>
          <w:szCs w:val="24"/>
        </w:rPr>
        <w:t>一、总  则</w:t>
      </w:r>
      <w:r>
        <w:rPr>
          <w:rFonts w:hint="eastAsia" w:ascii="微软雅黑" w:hAnsi="微软雅黑" w:cs="微软雅黑"/>
          <w:sz w:val="24"/>
          <w:szCs w:val="24"/>
        </w:rPr>
        <w:tab/>
      </w:r>
      <w:r>
        <w:rPr>
          <w:rFonts w:hint="eastAsia" w:ascii="微软雅黑" w:hAnsi="微软雅黑" w:cs="微软雅黑"/>
          <w:sz w:val="24"/>
          <w:szCs w:val="24"/>
        </w:rPr>
        <w:fldChar w:fldCharType="begin"/>
      </w:r>
      <w:r>
        <w:rPr>
          <w:rFonts w:hint="eastAsia" w:ascii="微软雅黑" w:hAnsi="微软雅黑" w:cs="微软雅黑"/>
          <w:sz w:val="24"/>
          <w:szCs w:val="24"/>
        </w:rPr>
        <w:instrText xml:space="preserve"> PAGEREF _Toc21985 </w:instrText>
      </w:r>
      <w:r>
        <w:rPr>
          <w:rFonts w:hint="eastAsia" w:ascii="微软雅黑" w:hAnsi="微软雅黑" w:cs="微软雅黑"/>
          <w:sz w:val="24"/>
          <w:szCs w:val="24"/>
        </w:rPr>
        <w:fldChar w:fldCharType="separate"/>
      </w:r>
      <w:r>
        <w:rPr>
          <w:rFonts w:hint="eastAsia" w:ascii="微软雅黑" w:hAnsi="微软雅黑" w:cs="微软雅黑"/>
          <w:sz w:val="24"/>
          <w:szCs w:val="24"/>
        </w:rPr>
        <w:t>24</w:t>
      </w:r>
      <w:r>
        <w:rPr>
          <w:rFonts w:hint="eastAsia" w:ascii="微软雅黑" w:hAnsi="微软雅黑" w:cs="微软雅黑"/>
          <w:sz w:val="24"/>
          <w:szCs w:val="24"/>
        </w:rPr>
        <w:fldChar w:fldCharType="end"/>
      </w:r>
      <w:r>
        <w:rPr>
          <w:rFonts w:hint="eastAsia" w:ascii="微软雅黑" w:hAnsi="微软雅黑" w:cs="微软雅黑"/>
          <w:sz w:val="24"/>
          <w:szCs w:val="24"/>
        </w:rPr>
        <w:fldChar w:fldCharType="end"/>
      </w:r>
    </w:p>
    <w:p>
      <w:pPr>
        <w:pStyle w:val="42"/>
        <w:tabs>
          <w:tab w:val="right" w:leader="dot" w:pos="8312"/>
        </w:tabs>
        <w:spacing w:line="480" w:lineRule="auto"/>
        <w:rPr>
          <w:rFonts w:ascii="微软雅黑" w:hAnsi="微软雅黑" w:cs="微软雅黑"/>
          <w:sz w:val="24"/>
          <w:szCs w:val="24"/>
        </w:rPr>
      </w:pPr>
      <w:r>
        <w:fldChar w:fldCharType="begin"/>
      </w:r>
      <w:r>
        <w:instrText xml:space="preserve"> HYPERLINK \l "_Toc22693" </w:instrText>
      </w:r>
      <w:r>
        <w:fldChar w:fldCharType="separate"/>
      </w:r>
      <w:r>
        <w:rPr>
          <w:rFonts w:hint="eastAsia" w:ascii="微软雅黑" w:hAnsi="微软雅黑" w:cs="微软雅黑"/>
          <w:bCs/>
          <w:sz w:val="24"/>
          <w:szCs w:val="24"/>
        </w:rPr>
        <w:t>二、招标文件</w:t>
      </w:r>
      <w:r>
        <w:rPr>
          <w:rFonts w:hint="eastAsia" w:ascii="微软雅黑" w:hAnsi="微软雅黑" w:cs="微软雅黑"/>
          <w:sz w:val="24"/>
          <w:szCs w:val="24"/>
        </w:rPr>
        <w:tab/>
      </w:r>
      <w:r>
        <w:rPr>
          <w:rFonts w:hint="eastAsia" w:ascii="微软雅黑" w:hAnsi="微软雅黑" w:cs="微软雅黑"/>
          <w:sz w:val="24"/>
          <w:szCs w:val="24"/>
        </w:rPr>
        <w:fldChar w:fldCharType="begin"/>
      </w:r>
      <w:r>
        <w:rPr>
          <w:rFonts w:hint="eastAsia" w:ascii="微软雅黑" w:hAnsi="微软雅黑" w:cs="微软雅黑"/>
          <w:sz w:val="24"/>
          <w:szCs w:val="24"/>
        </w:rPr>
        <w:instrText xml:space="preserve"> PAGEREF _Toc22693 </w:instrText>
      </w:r>
      <w:r>
        <w:rPr>
          <w:rFonts w:hint="eastAsia" w:ascii="微软雅黑" w:hAnsi="微软雅黑" w:cs="微软雅黑"/>
          <w:sz w:val="24"/>
          <w:szCs w:val="24"/>
        </w:rPr>
        <w:fldChar w:fldCharType="separate"/>
      </w:r>
      <w:r>
        <w:rPr>
          <w:rFonts w:hint="eastAsia" w:ascii="微软雅黑" w:hAnsi="微软雅黑" w:cs="微软雅黑"/>
          <w:sz w:val="24"/>
          <w:szCs w:val="24"/>
        </w:rPr>
        <w:t>26</w:t>
      </w:r>
      <w:r>
        <w:rPr>
          <w:rFonts w:hint="eastAsia" w:ascii="微软雅黑" w:hAnsi="微软雅黑" w:cs="微软雅黑"/>
          <w:sz w:val="24"/>
          <w:szCs w:val="24"/>
        </w:rPr>
        <w:fldChar w:fldCharType="end"/>
      </w:r>
      <w:r>
        <w:rPr>
          <w:rFonts w:hint="eastAsia" w:ascii="微软雅黑" w:hAnsi="微软雅黑" w:cs="微软雅黑"/>
          <w:sz w:val="24"/>
          <w:szCs w:val="24"/>
        </w:rPr>
        <w:fldChar w:fldCharType="end"/>
      </w:r>
    </w:p>
    <w:p>
      <w:pPr>
        <w:pStyle w:val="42"/>
        <w:tabs>
          <w:tab w:val="right" w:leader="dot" w:pos="8312"/>
        </w:tabs>
        <w:spacing w:line="480" w:lineRule="auto"/>
        <w:ind w:left="0" w:firstLine="200" w:firstLineChars="100"/>
        <w:rPr>
          <w:rFonts w:ascii="微软雅黑" w:hAnsi="微软雅黑" w:cs="微软雅黑"/>
          <w:sz w:val="24"/>
          <w:szCs w:val="24"/>
        </w:rPr>
      </w:pPr>
      <w:r>
        <w:fldChar w:fldCharType="begin"/>
      </w:r>
      <w:r>
        <w:instrText xml:space="preserve"> HYPERLINK \l "_Toc26778" </w:instrText>
      </w:r>
      <w:r>
        <w:fldChar w:fldCharType="separate"/>
      </w:r>
      <w:r>
        <w:rPr>
          <w:rFonts w:hint="eastAsia" w:ascii="微软雅黑" w:hAnsi="微软雅黑" w:cs="微软雅黑"/>
          <w:bCs/>
          <w:sz w:val="24"/>
          <w:szCs w:val="24"/>
        </w:rPr>
        <w:t>三、投标文件的编制</w:t>
      </w:r>
      <w:r>
        <w:rPr>
          <w:rFonts w:hint="eastAsia" w:ascii="微软雅黑" w:hAnsi="微软雅黑" w:cs="微软雅黑"/>
          <w:sz w:val="24"/>
          <w:szCs w:val="24"/>
        </w:rPr>
        <w:tab/>
      </w:r>
      <w:r>
        <w:rPr>
          <w:rFonts w:hint="eastAsia" w:ascii="微软雅黑" w:hAnsi="微软雅黑" w:cs="微软雅黑"/>
          <w:sz w:val="24"/>
          <w:szCs w:val="24"/>
        </w:rPr>
        <w:fldChar w:fldCharType="begin"/>
      </w:r>
      <w:r>
        <w:rPr>
          <w:rFonts w:hint="eastAsia" w:ascii="微软雅黑" w:hAnsi="微软雅黑" w:cs="微软雅黑"/>
          <w:sz w:val="24"/>
          <w:szCs w:val="24"/>
        </w:rPr>
        <w:instrText xml:space="preserve"> PAGEREF _Toc26778 </w:instrText>
      </w:r>
      <w:r>
        <w:rPr>
          <w:rFonts w:hint="eastAsia" w:ascii="微软雅黑" w:hAnsi="微软雅黑" w:cs="微软雅黑"/>
          <w:sz w:val="24"/>
          <w:szCs w:val="24"/>
        </w:rPr>
        <w:fldChar w:fldCharType="separate"/>
      </w:r>
      <w:r>
        <w:rPr>
          <w:rFonts w:hint="eastAsia" w:ascii="微软雅黑" w:hAnsi="微软雅黑" w:cs="微软雅黑"/>
          <w:sz w:val="24"/>
          <w:szCs w:val="24"/>
        </w:rPr>
        <w:t>27</w:t>
      </w:r>
      <w:r>
        <w:rPr>
          <w:rFonts w:hint="eastAsia" w:ascii="微软雅黑" w:hAnsi="微软雅黑" w:cs="微软雅黑"/>
          <w:sz w:val="24"/>
          <w:szCs w:val="24"/>
        </w:rPr>
        <w:fldChar w:fldCharType="end"/>
      </w:r>
      <w:r>
        <w:rPr>
          <w:rFonts w:hint="eastAsia" w:ascii="微软雅黑" w:hAnsi="微软雅黑" w:cs="微软雅黑"/>
          <w:sz w:val="24"/>
          <w:szCs w:val="24"/>
        </w:rPr>
        <w:fldChar w:fldCharType="end"/>
      </w:r>
    </w:p>
    <w:p>
      <w:pPr>
        <w:pStyle w:val="42"/>
        <w:tabs>
          <w:tab w:val="right" w:leader="dot" w:pos="8312"/>
        </w:tabs>
        <w:spacing w:line="480" w:lineRule="auto"/>
        <w:ind w:left="0" w:firstLine="200" w:firstLineChars="100"/>
        <w:rPr>
          <w:rFonts w:ascii="微软雅黑" w:hAnsi="微软雅黑" w:cs="微软雅黑"/>
          <w:sz w:val="24"/>
          <w:szCs w:val="24"/>
        </w:rPr>
      </w:pPr>
      <w:r>
        <w:fldChar w:fldCharType="begin"/>
      </w:r>
      <w:r>
        <w:instrText xml:space="preserve"> HYPERLINK \l "_Toc16849" </w:instrText>
      </w:r>
      <w:r>
        <w:fldChar w:fldCharType="separate"/>
      </w:r>
      <w:r>
        <w:rPr>
          <w:rFonts w:hint="eastAsia" w:ascii="微软雅黑" w:hAnsi="微软雅黑" w:cs="微软雅黑"/>
          <w:bCs/>
          <w:sz w:val="24"/>
          <w:szCs w:val="24"/>
        </w:rPr>
        <w:t>四、开标</w:t>
      </w:r>
      <w:r>
        <w:rPr>
          <w:rFonts w:hint="eastAsia" w:ascii="微软雅黑" w:hAnsi="微软雅黑" w:cs="微软雅黑"/>
          <w:sz w:val="24"/>
          <w:szCs w:val="24"/>
        </w:rPr>
        <w:tab/>
      </w:r>
      <w:r>
        <w:rPr>
          <w:rFonts w:hint="eastAsia" w:ascii="微软雅黑" w:hAnsi="微软雅黑" w:cs="微软雅黑"/>
          <w:sz w:val="24"/>
          <w:szCs w:val="24"/>
        </w:rPr>
        <w:fldChar w:fldCharType="begin"/>
      </w:r>
      <w:r>
        <w:rPr>
          <w:rFonts w:hint="eastAsia" w:ascii="微软雅黑" w:hAnsi="微软雅黑" w:cs="微软雅黑"/>
          <w:sz w:val="24"/>
          <w:szCs w:val="24"/>
        </w:rPr>
        <w:instrText xml:space="preserve"> PAGEREF _Toc16849 </w:instrText>
      </w:r>
      <w:r>
        <w:rPr>
          <w:rFonts w:hint="eastAsia" w:ascii="微软雅黑" w:hAnsi="微软雅黑" w:cs="微软雅黑"/>
          <w:sz w:val="24"/>
          <w:szCs w:val="24"/>
        </w:rPr>
        <w:fldChar w:fldCharType="separate"/>
      </w:r>
      <w:r>
        <w:rPr>
          <w:rFonts w:hint="eastAsia" w:ascii="微软雅黑" w:hAnsi="微软雅黑" w:cs="微软雅黑"/>
          <w:sz w:val="24"/>
          <w:szCs w:val="24"/>
        </w:rPr>
        <w:t>31</w:t>
      </w:r>
      <w:r>
        <w:rPr>
          <w:rFonts w:hint="eastAsia" w:ascii="微软雅黑" w:hAnsi="微软雅黑" w:cs="微软雅黑"/>
          <w:sz w:val="24"/>
          <w:szCs w:val="24"/>
        </w:rPr>
        <w:fldChar w:fldCharType="end"/>
      </w:r>
      <w:r>
        <w:rPr>
          <w:rFonts w:hint="eastAsia" w:ascii="微软雅黑" w:hAnsi="微软雅黑" w:cs="微软雅黑"/>
          <w:sz w:val="24"/>
          <w:szCs w:val="24"/>
        </w:rPr>
        <w:fldChar w:fldCharType="end"/>
      </w:r>
    </w:p>
    <w:p>
      <w:pPr>
        <w:pStyle w:val="42"/>
        <w:tabs>
          <w:tab w:val="right" w:leader="dot" w:pos="8312"/>
        </w:tabs>
        <w:spacing w:line="480" w:lineRule="auto"/>
        <w:rPr>
          <w:rFonts w:ascii="微软雅黑" w:hAnsi="微软雅黑" w:cs="微软雅黑"/>
          <w:sz w:val="24"/>
          <w:szCs w:val="24"/>
        </w:rPr>
      </w:pPr>
      <w:r>
        <w:fldChar w:fldCharType="begin"/>
      </w:r>
      <w:r>
        <w:instrText xml:space="preserve"> HYPERLINK \l "_Toc30002" </w:instrText>
      </w:r>
      <w:r>
        <w:fldChar w:fldCharType="separate"/>
      </w:r>
      <w:r>
        <w:rPr>
          <w:rFonts w:hint="eastAsia" w:ascii="微软雅黑" w:hAnsi="微软雅黑" w:cs="微软雅黑"/>
          <w:bCs/>
          <w:sz w:val="24"/>
          <w:szCs w:val="24"/>
        </w:rPr>
        <w:t>五、资格证明文件审查</w:t>
      </w:r>
      <w:r>
        <w:rPr>
          <w:rFonts w:hint="eastAsia" w:ascii="微软雅黑" w:hAnsi="微软雅黑" w:cs="微软雅黑"/>
          <w:sz w:val="24"/>
          <w:szCs w:val="24"/>
        </w:rPr>
        <w:tab/>
      </w:r>
      <w:r>
        <w:rPr>
          <w:rFonts w:hint="eastAsia" w:ascii="微软雅黑" w:hAnsi="微软雅黑" w:cs="微软雅黑"/>
          <w:sz w:val="24"/>
          <w:szCs w:val="24"/>
        </w:rPr>
        <w:fldChar w:fldCharType="begin"/>
      </w:r>
      <w:r>
        <w:rPr>
          <w:rFonts w:hint="eastAsia" w:ascii="微软雅黑" w:hAnsi="微软雅黑" w:cs="微软雅黑"/>
          <w:sz w:val="24"/>
          <w:szCs w:val="24"/>
        </w:rPr>
        <w:instrText xml:space="preserve"> PAGEREF _Toc30002 </w:instrText>
      </w:r>
      <w:r>
        <w:rPr>
          <w:rFonts w:hint="eastAsia" w:ascii="微软雅黑" w:hAnsi="微软雅黑" w:cs="微软雅黑"/>
          <w:sz w:val="24"/>
          <w:szCs w:val="24"/>
        </w:rPr>
        <w:fldChar w:fldCharType="separate"/>
      </w:r>
      <w:r>
        <w:rPr>
          <w:rFonts w:hint="eastAsia" w:ascii="微软雅黑" w:hAnsi="微软雅黑" w:cs="微软雅黑"/>
          <w:sz w:val="24"/>
          <w:szCs w:val="24"/>
        </w:rPr>
        <w:t>32</w:t>
      </w:r>
      <w:r>
        <w:rPr>
          <w:rFonts w:hint="eastAsia" w:ascii="微软雅黑" w:hAnsi="微软雅黑" w:cs="微软雅黑"/>
          <w:sz w:val="24"/>
          <w:szCs w:val="24"/>
        </w:rPr>
        <w:fldChar w:fldCharType="end"/>
      </w:r>
      <w:r>
        <w:rPr>
          <w:rFonts w:hint="eastAsia" w:ascii="微软雅黑" w:hAnsi="微软雅黑" w:cs="微软雅黑"/>
          <w:sz w:val="24"/>
          <w:szCs w:val="24"/>
        </w:rPr>
        <w:fldChar w:fldCharType="end"/>
      </w:r>
    </w:p>
    <w:p>
      <w:pPr>
        <w:pStyle w:val="42"/>
        <w:tabs>
          <w:tab w:val="right" w:leader="dot" w:pos="8312"/>
        </w:tabs>
        <w:spacing w:line="480" w:lineRule="auto"/>
        <w:rPr>
          <w:rFonts w:ascii="微软雅黑" w:hAnsi="微软雅黑" w:cs="微软雅黑"/>
          <w:sz w:val="24"/>
          <w:szCs w:val="24"/>
        </w:rPr>
      </w:pPr>
      <w:r>
        <w:fldChar w:fldCharType="begin"/>
      </w:r>
      <w:r>
        <w:instrText xml:space="preserve"> HYPERLINK \l "_Toc31368" </w:instrText>
      </w:r>
      <w:r>
        <w:fldChar w:fldCharType="separate"/>
      </w:r>
      <w:r>
        <w:rPr>
          <w:rFonts w:hint="eastAsia" w:ascii="微软雅黑" w:hAnsi="微软雅黑" w:cs="微软雅黑"/>
          <w:bCs/>
          <w:sz w:val="24"/>
          <w:szCs w:val="24"/>
        </w:rPr>
        <w:t>六、评标</w:t>
      </w:r>
      <w:r>
        <w:rPr>
          <w:rFonts w:hint="eastAsia" w:ascii="微软雅黑" w:hAnsi="微软雅黑" w:cs="微软雅黑"/>
          <w:sz w:val="24"/>
          <w:szCs w:val="24"/>
        </w:rPr>
        <w:tab/>
      </w:r>
      <w:r>
        <w:rPr>
          <w:rFonts w:hint="eastAsia" w:ascii="微软雅黑" w:hAnsi="微软雅黑" w:cs="微软雅黑"/>
          <w:sz w:val="24"/>
          <w:szCs w:val="24"/>
        </w:rPr>
        <w:fldChar w:fldCharType="begin"/>
      </w:r>
      <w:r>
        <w:rPr>
          <w:rFonts w:hint="eastAsia" w:ascii="微软雅黑" w:hAnsi="微软雅黑" w:cs="微软雅黑"/>
          <w:sz w:val="24"/>
          <w:szCs w:val="24"/>
        </w:rPr>
        <w:instrText xml:space="preserve"> PAGEREF _Toc31368 </w:instrText>
      </w:r>
      <w:r>
        <w:rPr>
          <w:rFonts w:hint="eastAsia" w:ascii="微软雅黑" w:hAnsi="微软雅黑" w:cs="微软雅黑"/>
          <w:sz w:val="24"/>
          <w:szCs w:val="24"/>
        </w:rPr>
        <w:fldChar w:fldCharType="separate"/>
      </w:r>
      <w:r>
        <w:rPr>
          <w:rFonts w:hint="eastAsia" w:ascii="微软雅黑" w:hAnsi="微软雅黑" w:cs="微软雅黑"/>
          <w:sz w:val="24"/>
          <w:szCs w:val="24"/>
        </w:rPr>
        <w:t>32</w:t>
      </w:r>
      <w:r>
        <w:rPr>
          <w:rFonts w:hint="eastAsia" w:ascii="微软雅黑" w:hAnsi="微软雅黑" w:cs="微软雅黑"/>
          <w:sz w:val="24"/>
          <w:szCs w:val="24"/>
        </w:rPr>
        <w:fldChar w:fldCharType="end"/>
      </w:r>
      <w:r>
        <w:rPr>
          <w:rFonts w:hint="eastAsia" w:ascii="微软雅黑" w:hAnsi="微软雅黑" w:cs="微软雅黑"/>
          <w:sz w:val="24"/>
          <w:szCs w:val="24"/>
        </w:rPr>
        <w:fldChar w:fldCharType="end"/>
      </w:r>
    </w:p>
    <w:p>
      <w:pPr>
        <w:pStyle w:val="42"/>
        <w:tabs>
          <w:tab w:val="right" w:leader="dot" w:pos="8312"/>
        </w:tabs>
        <w:spacing w:line="480" w:lineRule="auto"/>
        <w:rPr>
          <w:rFonts w:ascii="微软雅黑" w:hAnsi="微软雅黑" w:cs="微软雅黑"/>
          <w:sz w:val="24"/>
          <w:szCs w:val="24"/>
        </w:rPr>
      </w:pPr>
      <w:r>
        <w:fldChar w:fldCharType="begin"/>
      </w:r>
      <w:r>
        <w:instrText xml:space="preserve"> HYPERLINK \l "_Toc19015" </w:instrText>
      </w:r>
      <w:r>
        <w:fldChar w:fldCharType="separate"/>
      </w:r>
      <w:r>
        <w:rPr>
          <w:rFonts w:hint="eastAsia" w:ascii="微软雅黑" w:hAnsi="微软雅黑" w:cs="微软雅黑"/>
          <w:bCs/>
          <w:sz w:val="24"/>
          <w:szCs w:val="24"/>
        </w:rPr>
        <w:t>七、定标</w:t>
      </w:r>
      <w:r>
        <w:rPr>
          <w:rFonts w:hint="eastAsia" w:ascii="微软雅黑" w:hAnsi="微软雅黑" w:cs="微软雅黑"/>
          <w:sz w:val="24"/>
          <w:szCs w:val="24"/>
        </w:rPr>
        <w:tab/>
      </w:r>
      <w:r>
        <w:rPr>
          <w:rFonts w:hint="eastAsia" w:ascii="微软雅黑" w:hAnsi="微软雅黑" w:cs="微软雅黑"/>
          <w:sz w:val="24"/>
          <w:szCs w:val="24"/>
        </w:rPr>
        <w:fldChar w:fldCharType="begin"/>
      </w:r>
      <w:r>
        <w:rPr>
          <w:rFonts w:hint="eastAsia" w:ascii="微软雅黑" w:hAnsi="微软雅黑" w:cs="微软雅黑"/>
          <w:sz w:val="24"/>
          <w:szCs w:val="24"/>
        </w:rPr>
        <w:instrText xml:space="preserve"> PAGEREF _Toc19015 </w:instrText>
      </w:r>
      <w:r>
        <w:rPr>
          <w:rFonts w:hint="eastAsia" w:ascii="微软雅黑" w:hAnsi="微软雅黑" w:cs="微软雅黑"/>
          <w:sz w:val="24"/>
          <w:szCs w:val="24"/>
        </w:rPr>
        <w:fldChar w:fldCharType="separate"/>
      </w:r>
      <w:r>
        <w:rPr>
          <w:rFonts w:hint="eastAsia" w:ascii="微软雅黑" w:hAnsi="微软雅黑" w:cs="微软雅黑"/>
          <w:sz w:val="24"/>
          <w:szCs w:val="24"/>
        </w:rPr>
        <w:t>34</w:t>
      </w:r>
      <w:r>
        <w:rPr>
          <w:rFonts w:hint="eastAsia" w:ascii="微软雅黑" w:hAnsi="微软雅黑" w:cs="微软雅黑"/>
          <w:sz w:val="24"/>
          <w:szCs w:val="24"/>
        </w:rPr>
        <w:fldChar w:fldCharType="end"/>
      </w:r>
      <w:r>
        <w:rPr>
          <w:rFonts w:hint="eastAsia" w:ascii="微软雅黑" w:hAnsi="微软雅黑" w:cs="微软雅黑"/>
          <w:sz w:val="24"/>
          <w:szCs w:val="24"/>
        </w:rPr>
        <w:fldChar w:fldCharType="end"/>
      </w:r>
    </w:p>
    <w:p>
      <w:pPr>
        <w:pStyle w:val="42"/>
        <w:tabs>
          <w:tab w:val="right" w:leader="dot" w:pos="8312"/>
        </w:tabs>
        <w:spacing w:line="480" w:lineRule="auto"/>
        <w:rPr>
          <w:rFonts w:ascii="微软雅黑" w:hAnsi="微软雅黑" w:cs="微软雅黑"/>
          <w:sz w:val="24"/>
          <w:szCs w:val="24"/>
        </w:rPr>
      </w:pPr>
      <w:r>
        <w:fldChar w:fldCharType="begin"/>
      </w:r>
      <w:r>
        <w:instrText xml:space="preserve"> HYPERLINK \l "_Toc22954" </w:instrText>
      </w:r>
      <w:r>
        <w:fldChar w:fldCharType="separate"/>
      </w:r>
      <w:r>
        <w:rPr>
          <w:rFonts w:hint="eastAsia" w:ascii="微软雅黑" w:hAnsi="微软雅黑" w:cs="微软雅黑"/>
          <w:bCs/>
          <w:sz w:val="24"/>
          <w:szCs w:val="24"/>
        </w:rPr>
        <w:t>八、合同授予</w:t>
      </w:r>
      <w:r>
        <w:rPr>
          <w:rFonts w:hint="eastAsia" w:ascii="微软雅黑" w:hAnsi="微软雅黑" w:cs="微软雅黑"/>
          <w:sz w:val="24"/>
          <w:szCs w:val="24"/>
        </w:rPr>
        <w:tab/>
      </w:r>
      <w:r>
        <w:rPr>
          <w:rFonts w:hint="eastAsia" w:ascii="微软雅黑" w:hAnsi="微软雅黑" w:cs="微软雅黑"/>
          <w:sz w:val="24"/>
          <w:szCs w:val="24"/>
        </w:rPr>
        <w:fldChar w:fldCharType="begin"/>
      </w:r>
      <w:r>
        <w:rPr>
          <w:rFonts w:hint="eastAsia" w:ascii="微软雅黑" w:hAnsi="微软雅黑" w:cs="微软雅黑"/>
          <w:sz w:val="24"/>
          <w:szCs w:val="24"/>
        </w:rPr>
        <w:instrText xml:space="preserve"> PAGEREF _Toc22954 </w:instrText>
      </w:r>
      <w:r>
        <w:rPr>
          <w:rFonts w:hint="eastAsia" w:ascii="微软雅黑" w:hAnsi="微软雅黑" w:cs="微软雅黑"/>
          <w:sz w:val="24"/>
          <w:szCs w:val="24"/>
        </w:rPr>
        <w:fldChar w:fldCharType="separate"/>
      </w:r>
      <w:r>
        <w:rPr>
          <w:rFonts w:hint="eastAsia" w:ascii="微软雅黑" w:hAnsi="微软雅黑" w:cs="微软雅黑"/>
          <w:sz w:val="24"/>
          <w:szCs w:val="24"/>
        </w:rPr>
        <w:t>34</w:t>
      </w:r>
      <w:r>
        <w:rPr>
          <w:rFonts w:hint="eastAsia" w:ascii="微软雅黑" w:hAnsi="微软雅黑" w:cs="微软雅黑"/>
          <w:sz w:val="24"/>
          <w:szCs w:val="24"/>
        </w:rPr>
        <w:fldChar w:fldCharType="end"/>
      </w:r>
      <w:r>
        <w:rPr>
          <w:rFonts w:hint="eastAsia" w:ascii="微软雅黑" w:hAnsi="微软雅黑" w:cs="微软雅黑"/>
          <w:sz w:val="24"/>
          <w:szCs w:val="24"/>
        </w:rPr>
        <w:fldChar w:fldCharType="end"/>
      </w:r>
    </w:p>
    <w:p>
      <w:pPr>
        <w:pStyle w:val="35"/>
        <w:tabs>
          <w:tab w:val="right" w:leader="dot" w:pos="8312"/>
          <w:tab w:val="clear" w:pos="1200"/>
        </w:tabs>
        <w:spacing w:line="480" w:lineRule="auto"/>
        <w:rPr>
          <w:rFonts w:ascii="微软雅黑" w:hAnsi="微软雅黑" w:cs="微软雅黑"/>
          <w:sz w:val="24"/>
          <w:szCs w:val="24"/>
        </w:rPr>
      </w:pPr>
      <w:r>
        <w:fldChar w:fldCharType="begin"/>
      </w:r>
      <w:r>
        <w:instrText xml:space="preserve"> HYPERLINK \l "_Toc18828" </w:instrText>
      </w:r>
      <w:r>
        <w:fldChar w:fldCharType="separate"/>
      </w:r>
      <w:r>
        <w:rPr>
          <w:rFonts w:hint="eastAsia" w:ascii="微软雅黑" w:hAnsi="微软雅黑" w:cs="微软雅黑"/>
          <w:sz w:val="24"/>
          <w:szCs w:val="24"/>
        </w:rPr>
        <w:t>第四章、评标办法及评分标准</w:t>
      </w:r>
      <w:r>
        <w:rPr>
          <w:rFonts w:hint="eastAsia" w:ascii="微软雅黑" w:hAnsi="微软雅黑" w:cs="微软雅黑"/>
          <w:sz w:val="24"/>
          <w:szCs w:val="24"/>
        </w:rPr>
        <w:tab/>
      </w:r>
      <w:r>
        <w:rPr>
          <w:rFonts w:hint="eastAsia" w:ascii="微软雅黑" w:hAnsi="微软雅黑" w:cs="微软雅黑"/>
          <w:sz w:val="24"/>
          <w:szCs w:val="24"/>
        </w:rPr>
        <w:fldChar w:fldCharType="begin"/>
      </w:r>
      <w:r>
        <w:rPr>
          <w:rFonts w:hint="eastAsia" w:ascii="微软雅黑" w:hAnsi="微软雅黑" w:cs="微软雅黑"/>
          <w:sz w:val="24"/>
          <w:szCs w:val="24"/>
        </w:rPr>
        <w:instrText xml:space="preserve"> PAGEREF _Toc18828 </w:instrText>
      </w:r>
      <w:r>
        <w:rPr>
          <w:rFonts w:hint="eastAsia" w:ascii="微软雅黑" w:hAnsi="微软雅黑" w:cs="微软雅黑"/>
          <w:sz w:val="24"/>
          <w:szCs w:val="24"/>
        </w:rPr>
        <w:fldChar w:fldCharType="separate"/>
      </w:r>
      <w:r>
        <w:rPr>
          <w:rFonts w:hint="eastAsia" w:ascii="微软雅黑" w:hAnsi="微软雅黑" w:cs="微软雅黑"/>
          <w:sz w:val="24"/>
          <w:szCs w:val="24"/>
        </w:rPr>
        <w:t>35</w:t>
      </w:r>
      <w:r>
        <w:rPr>
          <w:rFonts w:hint="eastAsia" w:ascii="微软雅黑" w:hAnsi="微软雅黑" w:cs="微软雅黑"/>
          <w:sz w:val="24"/>
          <w:szCs w:val="24"/>
        </w:rPr>
        <w:fldChar w:fldCharType="end"/>
      </w:r>
      <w:r>
        <w:rPr>
          <w:rFonts w:hint="eastAsia" w:ascii="微软雅黑" w:hAnsi="微软雅黑" w:cs="微软雅黑"/>
          <w:sz w:val="24"/>
          <w:szCs w:val="24"/>
        </w:rPr>
        <w:fldChar w:fldCharType="end"/>
      </w:r>
    </w:p>
    <w:p>
      <w:pPr>
        <w:pStyle w:val="35"/>
        <w:tabs>
          <w:tab w:val="right" w:leader="dot" w:pos="8312"/>
          <w:tab w:val="clear" w:pos="1200"/>
        </w:tabs>
        <w:spacing w:line="480" w:lineRule="auto"/>
        <w:rPr>
          <w:rFonts w:ascii="微软雅黑" w:hAnsi="微软雅黑" w:cs="微软雅黑"/>
          <w:sz w:val="24"/>
          <w:szCs w:val="24"/>
        </w:rPr>
      </w:pPr>
      <w:r>
        <w:fldChar w:fldCharType="begin"/>
      </w:r>
      <w:r>
        <w:instrText xml:space="preserve"> HYPERLINK \l "_Toc890" </w:instrText>
      </w:r>
      <w:r>
        <w:fldChar w:fldCharType="separate"/>
      </w:r>
      <w:r>
        <w:rPr>
          <w:rFonts w:hint="eastAsia" w:ascii="微软雅黑" w:hAnsi="微软雅黑" w:cs="微软雅黑"/>
          <w:sz w:val="24"/>
          <w:szCs w:val="24"/>
        </w:rPr>
        <w:t>第五章  合同主要条款</w:t>
      </w:r>
      <w:r>
        <w:rPr>
          <w:rFonts w:hint="eastAsia" w:ascii="微软雅黑" w:hAnsi="微软雅黑" w:cs="微软雅黑"/>
          <w:sz w:val="24"/>
          <w:szCs w:val="24"/>
        </w:rPr>
        <w:tab/>
      </w:r>
      <w:r>
        <w:rPr>
          <w:rFonts w:hint="eastAsia" w:ascii="微软雅黑" w:hAnsi="微软雅黑" w:cs="微软雅黑"/>
          <w:sz w:val="24"/>
          <w:szCs w:val="24"/>
        </w:rPr>
        <w:fldChar w:fldCharType="begin"/>
      </w:r>
      <w:r>
        <w:rPr>
          <w:rFonts w:hint="eastAsia" w:ascii="微软雅黑" w:hAnsi="微软雅黑" w:cs="微软雅黑"/>
          <w:sz w:val="24"/>
          <w:szCs w:val="24"/>
        </w:rPr>
        <w:instrText xml:space="preserve"> PAGEREF _Toc890 </w:instrText>
      </w:r>
      <w:r>
        <w:rPr>
          <w:rFonts w:hint="eastAsia" w:ascii="微软雅黑" w:hAnsi="微软雅黑" w:cs="微软雅黑"/>
          <w:sz w:val="24"/>
          <w:szCs w:val="24"/>
        </w:rPr>
        <w:fldChar w:fldCharType="separate"/>
      </w:r>
      <w:r>
        <w:rPr>
          <w:rFonts w:hint="eastAsia" w:ascii="微软雅黑" w:hAnsi="微软雅黑" w:cs="微软雅黑"/>
          <w:sz w:val="24"/>
          <w:szCs w:val="24"/>
        </w:rPr>
        <w:t>38</w:t>
      </w:r>
      <w:r>
        <w:rPr>
          <w:rFonts w:hint="eastAsia" w:ascii="微软雅黑" w:hAnsi="微软雅黑" w:cs="微软雅黑"/>
          <w:sz w:val="24"/>
          <w:szCs w:val="24"/>
        </w:rPr>
        <w:fldChar w:fldCharType="end"/>
      </w:r>
      <w:r>
        <w:rPr>
          <w:rFonts w:hint="eastAsia" w:ascii="微软雅黑" w:hAnsi="微软雅黑" w:cs="微软雅黑"/>
          <w:sz w:val="24"/>
          <w:szCs w:val="24"/>
        </w:rPr>
        <w:fldChar w:fldCharType="end"/>
      </w:r>
    </w:p>
    <w:p>
      <w:pPr>
        <w:pStyle w:val="35"/>
        <w:tabs>
          <w:tab w:val="right" w:leader="dot" w:pos="8312"/>
          <w:tab w:val="clear" w:pos="1200"/>
        </w:tabs>
        <w:spacing w:line="480" w:lineRule="auto"/>
        <w:rPr>
          <w:rFonts w:ascii="微软雅黑" w:hAnsi="微软雅黑" w:cs="微软雅黑"/>
          <w:sz w:val="24"/>
          <w:szCs w:val="24"/>
        </w:rPr>
      </w:pPr>
      <w:r>
        <w:fldChar w:fldCharType="begin"/>
      </w:r>
      <w:r>
        <w:instrText xml:space="preserve"> HYPERLINK \l "_Toc12218" </w:instrText>
      </w:r>
      <w:r>
        <w:fldChar w:fldCharType="separate"/>
      </w:r>
      <w:r>
        <w:rPr>
          <w:rFonts w:hint="eastAsia" w:ascii="微软雅黑" w:hAnsi="微软雅黑" w:cs="微软雅黑"/>
          <w:sz w:val="24"/>
          <w:szCs w:val="24"/>
        </w:rPr>
        <w:t>第六章、 投标文件格式</w:t>
      </w:r>
      <w:r>
        <w:rPr>
          <w:rFonts w:hint="eastAsia" w:ascii="微软雅黑" w:hAnsi="微软雅黑" w:cs="微软雅黑"/>
          <w:sz w:val="24"/>
          <w:szCs w:val="24"/>
        </w:rPr>
        <w:tab/>
      </w:r>
      <w:r>
        <w:rPr>
          <w:rFonts w:hint="eastAsia" w:ascii="微软雅黑" w:hAnsi="微软雅黑" w:cs="微软雅黑"/>
          <w:sz w:val="24"/>
          <w:szCs w:val="24"/>
        </w:rPr>
        <w:fldChar w:fldCharType="begin"/>
      </w:r>
      <w:r>
        <w:rPr>
          <w:rFonts w:hint="eastAsia" w:ascii="微软雅黑" w:hAnsi="微软雅黑" w:cs="微软雅黑"/>
          <w:sz w:val="24"/>
          <w:szCs w:val="24"/>
        </w:rPr>
        <w:instrText xml:space="preserve"> PAGEREF _Toc12218 </w:instrText>
      </w:r>
      <w:r>
        <w:rPr>
          <w:rFonts w:hint="eastAsia" w:ascii="微软雅黑" w:hAnsi="微软雅黑" w:cs="微软雅黑"/>
          <w:sz w:val="24"/>
          <w:szCs w:val="24"/>
        </w:rPr>
        <w:fldChar w:fldCharType="separate"/>
      </w:r>
      <w:r>
        <w:rPr>
          <w:rFonts w:hint="eastAsia" w:ascii="微软雅黑" w:hAnsi="微软雅黑" w:cs="微软雅黑"/>
          <w:sz w:val="24"/>
          <w:szCs w:val="24"/>
        </w:rPr>
        <w:t>43</w:t>
      </w:r>
      <w:r>
        <w:rPr>
          <w:rFonts w:hint="eastAsia" w:ascii="微软雅黑" w:hAnsi="微软雅黑" w:cs="微软雅黑"/>
          <w:sz w:val="24"/>
          <w:szCs w:val="24"/>
        </w:rPr>
        <w:fldChar w:fldCharType="end"/>
      </w:r>
      <w:r>
        <w:rPr>
          <w:rFonts w:hint="eastAsia" w:ascii="微软雅黑" w:hAnsi="微软雅黑" w:cs="微软雅黑"/>
          <w:sz w:val="24"/>
          <w:szCs w:val="24"/>
        </w:rPr>
        <w:fldChar w:fldCharType="end"/>
      </w:r>
    </w:p>
    <w:p>
      <w:pPr>
        <w:pStyle w:val="42"/>
        <w:tabs>
          <w:tab w:val="right" w:leader="dot" w:pos="8494"/>
        </w:tabs>
        <w:spacing w:line="480" w:lineRule="auto"/>
        <w:ind w:left="0"/>
        <w:jc w:val="both"/>
        <w:rPr>
          <w:rFonts w:ascii="仿宋" w:hAnsi="仿宋" w:eastAsia="仿宋" w:cs="仿宋"/>
          <w:sz w:val="30"/>
          <w:szCs w:val="30"/>
        </w:rPr>
      </w:pPr>
      <w:r>
        <w:rPr>
          <w:rFonts w:hint="eastAsia" w:ascii="微软雅黑" w:hAnsi="微软雅黑" w:cs="微软雅黑"/>
          <w:sz w:val="24"/>
          <w:szCs w:val="24"/>
        </w:rPr>
        <w:fldChar w:fldCharType="end"/>
      </w:r>
    </w:p>
    <w:p>
      <w:pPr>
        <w:spacing w:before="120" w:after="120" w:line="360" w:lineRule="auto"/>
        <w:jc w:val="center"/>
        <w:outlineLvl w:val="0"/>
        <w:rPr>
          <w:rFonts w:ascii="宋体" w:hAnsi="宋体"/>
          <w:b/>
          <w:bCs/>
          <w:sz w:val="32"/>
          <w:szCs w:val="30"/>
        </w:rPr>
        <w:sectPr>
          <w:headerReference r:id="rId10" w:type="first"/>
          <w:footerReference r:id="rId12" w:type="first"/>
          <w:headerReference r:id="rId9" w:type="default"/>
          <w:footerReference r:id="rId11" w:type="default"/>
          <w:pgSz w:w="11906" w:h="16838"/>
          <w:pgMar w:top="1440" w:right="1797" w:bottom="1440" w:left="1797" w:header="851" w:footer="907" w:gutter="0"/>
          <w:pgNumType w:start="2"/>
          <w:cols w:space="720" w:num="1"/>
          <w:titlePg/>
          <w:docGrid w:linePitch="312" w:charSpace="0"/>
        </w:sectPr>
      </w:pPr>
      <w:bookmarkStart w:id="2" w:name="_Toc293916280"/>
      <w:bookmarkStart w:id="3" w:name="_Toc293916798"/>
      <w:bookmarkStart w:id="4" w:name="_Toc424544804"/>
      <w:bookmarkStart w:id="5" w:name="_Toc293915929"/>
      <w:bookmarkStart w:id="6" w:name="_Toc293917008"/>
      <w:bookmarkStart w:id="7" w:name="_Toc424544525"/>
    </w:p>
    <w:p>
      <w:pPr>
        <w:spacing w:beforeLines="50" w:afterLines="50"/>
        <w:jc w:val="center"/>
        <w:outlineLvl w:val="0"/>
        <w:rPr>
          <w:rFonts w:ascii="宋体" w:hAnsi="宋体"/>
          <w:b/>
          <w:bCs/>
          <w:sz w:val="30"/>
          <w:szCs w:val="30"/>
        </w:rPr>
      </w:pPr>
      <w:bookmarkStart w:id="8" w:name="_Toc29185"/>
      <w:r>
        <w:rPr>
          <w:rFonts w:hint="eastAsia" w:ascii="宋体" w:hAnsi="宋体"/>
          <w:b/>
          <w:bCs/>
          <w:sz w:val="32"/>
          <w:szCs w:val="30"/>
        </w:rPr>
        <w:t>第一章</w:t>
      </w:r>
      <w:bookmarkEnd w:id="0"/>
      <w:r>
        <w:rPr>
          <w:rFonts w:hint="eastAsia" w:ascii="宋体" w:hAnsi="宋体"/>
          <w:b/>
          <w:bCs/>
          <w:sz w:val="32"/>
          <w:szCs w:val="30"/>
        </w:rPr>
        <w:t>、公开招标采购公告</w:t>
      </w:r>
      <w:bookmarkEnd w:id="2"/>
      <w:bookmarkEnd w:id="3"/>
      <w:bookmarkEnd w:id="4"/>
      <w:bookmarkEnd w:id="5"/>
      <w:bookmarkEnd w:id="6"/>
      <w:bookmarkEnd w:id="7"/>
      <w:bookmarkEnd w:id="8"/>
    </w:p>
    <w:p>
      <w:pPr>
        <w:widowControl/>
        <w:spacing w:line="440" w:lineRule="exact"/>
        <w:ind w:left="44" w:leftChars="21" w:right="60" w:firstLine="480" w:firstLineChars="200"/>
        <w:rPr>
          <w:rFonts w:ascii="宋体" w:hAnsi="宋体" w:cs="宋体"/>
          <w:b/>
          <w:bCs/>
          <w:kern w:val="0"/>
          <w:sz w:val="24"/>
          <w:u w:val="single"/>
        </w:rPr>
      </w:pPr>
      <w:r>
        <w:rPr>
          <w:rFonts w:hint="eastAsia" w:ascii="宋体" w:hAnsi="宋体" w:cs="宋体"/>
          <w:kern w:val="0"/>
          <w:sz w:val="24"/>
        </w:rPr>
        <w:t>根据《中华人民共和国政府采购法》、《政府采购货物和服务招标投标管理办法》及相关法律、法规等规定，经</w:t>
      </w:r>
      <w:r>
        <w:rPr>
          <w:rFonts w:hint="eastAsia" w:ascii="宋体" w:hAnsi="宋体" w:cs="宋体"/>
          <w:sz w:val="24"/>
        </w:rPr>
        <w:t>湖州市吴兴区财政局政府采购监管科</w:t>
      </w:r>
      <w:r>
        <w:rPr>
          <w:rFonts w:hint="eastAsia" w:ascii="宋体" w:hAnsi="宋体" w:cs="宋体"/>
          <w:kern w:val="0"/>
          <w:sz w:val="24"/>
          <w:u w:val="single"/>
        </w:rPr>
        <w:t>（</w:t>
      </w:r>
      <w:r>
        <w:rPr>
          <w:rFonts w:hint="eastAsia" w:ascii="宋体" w:hAnsi="宋体" w:cs="宋体"/>
          <w:b/>
          <w:bCs/>
          <w:kern w:val="0"/>
          <w:sz w:val="24"/>
          <w:u w:val="single"/>
        </w:rPr>
        <w:t>财政审批编号：吴兴财采确临【2020】5390 号</w:t>
      </w:r>
      <w:r>
        <w:rPr>
          <w:rFonts w:hint="eastAsia" w:ascii="宋体" w:hAnsi="宋体" w:cs="宋体"/>
          <w:kern w:val="0"/>
          <w:sz w:val="24"/>
          <w:u w:val="single"/>
        </w:rPr>
        <w:t>）和</w:t>
      </w:r>
      <w:r>
        <w:rPr>
          <w:rFonts w:hint="eastAsia" w:ascii="宋体" w:hAnsi="宋体" w:cs="宋体"/>
          <w:b/>
          <w:bCs/>
          <w:kern w:val="0"/>
          <w:sz w:val="24"/>
          <w:u w:val="single"/>
        </w:rPr>
        <w:t>湖南太湖采【2020】1012号</w:t>
      </w:r>
      <w:r>
        <w:rPr>
          <w:rFonts w:hint="eastAsia" w:ascii="宋体" w:hAnsi="宋体" w:cs="宋体"/>
          <w:kern w:val="0"/>
          <w:sz w:val="24"/>
        </w:rPr>
        <w:t>批准，现就</w:t>
      </w:r>
      <w:r>
        <w:rPr>
          <w:rFonts w:hint="eastAsia" w:ascii="宋体" w:hAnsi="宋体" w:cs="宋体"/>
          <w:color w:val="000000"/>
          <w:kern w:val="0"/>
          <w:sz w:val="24"/>
        </w:rPr>
        <w:t>湖州市吴兴区民政局、湖州南太湖新区社会发展服务中心的</w:t>
      </w:r>
      <w:r>
        <w:rPr>
          <w:rFonts w:hint="eastAsia" w:ascii="宋体" w:hAnsi="宋体" w:cs="宋体"/>
          <w:b/>
          <w:kern w:val="0"/>
          <w:sz w:val="24"/>
          <w:u w:val="single"/>
        </w:rPr>
        <w:t>湖州市吴兴区（含南太湖新区）门牌数据信息采集项目</w:t>
      </w:r>
      <w:r>
        <w:rPr>
          <w:rFonts w:hint="eastAsia" w:ascii="宋体" w:hAnsi="宋体" w:cs="宋体"/>
          <w:kern w:val="0"/>
          <w:sz w:val="24"/>
        </w:rPr>
        <w:t>进行公开招标采购，欢迎中华人民共和国境内的合格投标人前来参加投标。</w:t>
      </w:r>
    </w:p>
    <w:p>
      <w:pPr>
        <w:widowControl/>
        <w:spacing w:line="440" w:lineRule="exact"/>
        <w:jc w:val="left"/>
        <w:rPr>
          <w:rFonts w:hint="eastAsia" w:ascii="Arial" w:hAnsi="Arial" w:eastAsia="微软雅黑" w:cs="Arial"/>
          <w:kern w:val="0"/>
          <w:sz w:val="24"/>
          <w:lang w:eastAsia="zh-CN"/>
        </w:rPr>
      </w:pPr>
      <w:r>
        <w:rPr>
          <w:rFonts w:hint="eastAsia" w:ascii="宋体" w:hAnsi="宋体" w:cs="Arial"/>
          <w:b/>
          <w:bCs/>
          <w:kern w:val="0"/>
          <w:sz w:val="24"/>
        </w:rPr>
        <w:t xml:space="preserve">一．招标项目编号: </w:t>
      </w:r>
      <w:r>
        <w:rPr>
          <w:rFonts w:hint="eastAsia" w:ascii="宋体" w:hAnsi="宋体" w:cs="Arial"/>
          <w:b/>
          <w:bCs/>
          <w:kern w:val="0"/>
          <w:sz w:val="24"/>
          <w:lang w:eastAsia="zh-CN"/>
        </w:rPr>
        <w:t>ZJZHW2020005</w:t>
      </w:r>
    </w:p>
    <w:p>
      <w:pPr>
        <w:widowControl/>
        <w:spacing w:line="440" w:lineRule="exact"/>
        <w:jc w:val="left"/>
        <w:rPr>
          <w:rFonts w:ascii="Arial" w:hAnsi="Arial" w:cs="Arial"/>
          <w:kern w:val="0"/>
          <w:sz w:val="24"/>
        </w:rPr>
      </w:pPr>
      <w:r>
        <w:rPr>
          <w:rFonts w:hint="eastAsia" w:ascii="宋体" w:hAnsi="宋体" w:cs="Arial"/>
          <w:b/>
          <w:bCs/>
          <w:kern w:val="0"/>
          <w:sz w:val="24"/>
        </w:rPr>
        <w:t>二．采购组织类型：</w:t>
      </w:r>
      <w:r>
        <w:rPr>
          <w:rFonts w:ascii="Arial" w:hAnsi="Arial" w:cs="Arial"/>
          <w:kern w:val="0"/>
          <w:sz w:val="24"/>
        </w:rPr>
        <w:t>分散采购委托代理</w:t>
      </w:r>
    </w:p>
    <w:p>
      <w:pPr>
        <w:pStyle w:val="21"/>
        <w:spacing w:line="440" w:lineRule="exact"/>
        <w:ind w:firstLine="0" w:firstLineChars="0"/>
      </w:pPr>
      <w:r>
        <w:rPr>
          <w:rFonts w:hint="eastAsia" w:ascii="宋体" w:hAnsi="宋体" w:eastAsia="微软雅黑" w:cs="Arial"/>
          <w:b/>
          <w:kern w:val="0"/>
          <w:szCs w:val="21"/>
        </w:rPr>
        <w:t>三、采购方式：</w:t>
      </w:r>
      <w:r>
        <w:rPr>
          <w:rFonts w:hint="eastAsia"/>
        </w:rPr>
        <w:t>公开招标</w:t>
      </w:r>
    </w:p>
    <w:p>
      <w:pPr>
        <w:pStyle w:val="21"/>
        <w:spacing w:line="440" w:lineRule="exact"/>
        <w:ind w:firstLine="0" w:firstLineChars="0"/>
        <w:rPr>
          <w:rFonts w:ascii="宋体" w:hAnsi="宋体" w:eastAsia="微软雅黑" w:cs="Arial"/>
          <w:b/>
          <w:kern w:val="0"/>
          <w:szCs w:val="21"/>
        </w:rPr>
      </w:pPr>
      <w:r>
        <w:rPr>
          <w:rFonts w:hint="eastAsia" w:ascii="宋体" w:hAnsi="宋体" w:eastAsia="微软雅黑" w:cs="Arial"/>
          <w:b/>
          <w:kern w:val="0"/>
          <w:szCs w:val="21"/>
        </w:rPr>
        <w:t>四．招标项目概况：</w:t>
      </w:r>
    </w:p>
    <w:tbl>
      <w:tblPr>
        <w:tblStyle w:val="60"/>
        <w:tblW w:w="93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1802"/>
        <w:gridCol w:w="1475"/>
        <w:gridCol w:w="3775"/>
        <w:gridCol w:w="14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exact"/>
          <w:jc w:val="center"/>
        </w:trPr>
        <w:tc>
          <w:tcPr>
            <w:tcW w:w="89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Style w:val="99"/>
                <w:rFonts w:ascii="Times New Roman" w:hAnsi="Times New Roman" w:eastAsia="仿宋"/>
                <w:color w:val="auto"/>
                <w:sz w:val="24"/>
              </w:rPr>
            </w:pPr>
            <w:r>
              <w:rPr>
                <w:rStyle w:val="99"/>
                <w:rFonts w:hint="eastAsia" w:ascii="Times New Roman" w:hAnsi="Times New Roman" w:eastAsia="仿宋"/>
                <w:color w:val="auto"/>
                <w:sz w:val="24"/>
              </w:rPr>
              <w:t>序号</w:t>
            </w:r>
          </w:p>
        </w:tc>
        <w:tc>
          <w:tcPr>
            <w:tcW w:w="180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Style w:val="99"/>
                <w:rFonts w:ascii="Times New Roman" w:hAnsi="Times New Roman" w:eastAsia="仿宋"/>
                <w:color w:val="auto"/>
                <w:sz w:val="24"/>
              </w:rPr>
            </w:pPr>
            <w:r>
              <w:rPr>
                <w:rStyle w:val="99"/>
                <w:rFonts w:hint="eastAsia" w:ascii="Times New Roman" w:hAnsi="Times New Roman" w:eastAsia="仿宋"/>
                <w:color w:val="auto"/>
                <w:sz w:val="24"/>
              </w:rPr>
              <w:t>项目采购内容</w:t>
            </w:r>
          </w:p>
        </w:tc>
        <w:tc>
          <w:tcPr>
            <w:tcW w:w="147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Style w:val="99"/>
                <w:rFonts w:ascii="Times New Roman" w:hAnsi="Times New Roman" w:eastAsia="仿宋"/>
                <w:color w:val="auto"/>
                <w:sz w:val="24"/>
              </w:rPr>
            </w:pPr>
            <w:r>
              <w:rPr>
                <w:rStyle w:val="99"/>
                <w:rFonts w:hint="eastAsia" w:ascii="Times New Roman" w:hAnsi="Times New Roman" w:eastAsia="仿宋"/>
                <w:color w:val="auto"/>
                <w:sz w:val="24"/>
              </w:rPr>
              <w:t>单位及数量</w:t>
            </w:r>
          </w:p>
        </w:tc>
        <w:tc>
          <w:tcPr>
            <w:tcW w:w="377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Style w:val="99"/>
                <w:rFonts w:ascii="Times New Roman" w:hAnsi="Times New Roman" w:eastAsia="仿宋"/>
                <w:color w:val="auto"/>
                <w:sz w:val="24"/>
              </w:rPr>
            </w:pPr>
            <w:r>
              <w:rPr>
                <w:rStyle w:val="99"/>
                <w:rFonts w:hint="eastAsia" w:ascii="Times New Roman" w:hAnsi="Times New Roman" w:eastAsia="仿宋"/>
                <w:color w:val="auto"/>
                <w:sz w:val="24"/>
              </w:rPr>
              <w:t>采购预算（最高限价）</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Style w:val="99"/>
                <w:rFonts w:ascii="Times New Roman" w:hAnsi="Times New Roman" w:eastAsia="仿宋"/>
                <w:color w:val="auto"/>
                <w:sz w:val="24"/>
              </w:rPr>
            </w:pPr>
            <w:r>
              <w:rPr>
                <w:rStyle w:val="99"/>
                <w:rFonts w:hint="eastAsia" w:ascii="Times New Roman" w:hAnsi="Times New Roman" w:eastAsia="仿宋"/>
                <w:color w:val="auto"/>
                <w:sz w:val="24"/>
              </w:rPr>
              <w:t>单价限价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8" w:hRule="exact"/>
          <w:jc w:val="center"/>
        </w:trPr>
        <w:tc>
          <w:tcPr>
            <w:tcW w:w="893" w:type="dxa"/>
            <w:tcBorders>
              <w:top w:val="single" w:color="auto" w:sz="4" w:space="0"/>
              <w:left w:val="single" w:color="auto" w:sz="4" w:space="0"/>
              <w:bottom w:val="single" w:color="auto" w:sz="4" w:space="0"/>
              <w:right w:val="single" w:color="auto" w:sz="4" w:space="0"/>
            </w:tcBorders>
            <w:vAlign w:val="center"/>
          </w:tcPr>
          <w:p>
            <w:pPr>
              <w:widowControl/>
              <w:snapToGrid w:val="0"/>
              <w:spacing w:afterLines="50" w:line="440" w:lineRule="exact"/>
              <w:jc w:val="center"/>
              <w:rPr>
                <w:rFonts w:ascii="宋体" w:hAnsi="宋体"/>
                <w:kern w:val="0"/>
              </w:rPr>
            </w:pPr>
            <w:r>
              <w:rPr>
                <w:rFonts w:hint="eastAsia" w:ascii="宋体" w:hAnsi="宋体"/>
                <w:kern w:val="0"/>
              </w:rPr>
              <w:t>1</w:t>
            </w:r>
          </w:p>
        </w:tc>
        <w:tc>
          <w:tcPr>
            <w:tcW w:w="1802"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rPr>
                <w:rFonts w:ascii="宋体" w:hAnsi="宋体"/>
                <w:kern w:val="0"/>
              </w:rPr>
            </w:pPr>
            <w:r>
              <w:rPr>
                <w:rFonts w:hint="eastAsia" w:ascii="宋体" w:hAnsi="宋体"/>
                <w:kern w:val="0"/>
              </w:rPr>
              <w:t>门牌数据信息采集</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rPr>
                <w:rFonts w:eastAsia="仿宋"/>
                <w:kern w:val="0"/>
                <w:sz w:val="24"/>
              </w:rPr>
            </w:pPr>
            <w:r>
              <w:rPr>
                <w:rFonts w:hint="eastAsia" w:eastAsia="仿宋"/>
                <w:kern w:val="0"/>
                <w:sz w:val="24"/>
              </w:rPr>
              <w:t>1项</w:t>
            </w:r>
          </w:p>
        </w:tc>
        <w:tc>
          <w:tcPr>
            <w:tcW w:w="3775" w:type="dxa"/>
            <w:tcBorders>
              <w:top w:val="single" w:color="auto" w:sz="4" w:space="0"/>
              <w:left w:val="single" w:color="auto" w:sz="4" w:space="0"/>
              <w:bottom w:val="single" w:color="auto" w:sz="4" w:space="0"/>
              <w:right w:val="single" w:color="auto" w:sz="4" w:space="0"/>
            </w:tcBorders>
            <w:vAlign w:val="center"/>
          </w:tcPr>
          <w:p>
            <w:pPr>
              <w:widowControl/>
              <w:snapToGrid w:val="0"/>
              <w:spacing w:afterLines="50" w:line="440" w:lineRule="exact"/>
              <w:jc w:val="center"/>
              <w:rPr>
                <w:rFonts w:ascii="宋体" w:hAnsi="宋体" w:cs="宋体"/>
                <w:color w:val="000000"/>
                <w:kern w:val="0"/>
              </w:rPr>
            </w:pPr>
            <w:r>
              <w:rPr>
                <w:rFonts w:hint="eastAsia" w:ascii="宋体" w:hAnsi="宋体" w:cs="宋体"/>
                <w:b/>
                <w:bCs/>
                <w:color w:val="000000"/>
                <w:kern w:val="0"/>
              </w:rPr>
              <w:t>吴兴区采购预算400万元（为两年连续性费用，每年200 万元），南太湖新区采购预算140万元，合计采购预算540万元。</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napToGrid w:val="0"/>
              <w:spacing w:afterLines="50" w:line="440" w:lineRule="exact"/>
              <w:jc w:val="center"/>
              <w:rPr>
                <w:rFonts w:ascii="宋体" w:hAnsi="宋体" w:cs="宋体"/>
                <w:b/>
                <w:bCs/>
                <w:color w:val="000000"/>
                <w:kern w:val="0"/>
              </w:rPr>
            </w:pPr>
            <w:r>
              <w:rPr>
                <w:rFonts w:hint="eastAsia" w:ascii="宋体" w:hAnsi="宋体" w:cs="宋体"/>
                <w:b/>
                <w:bCs/>
                <w:color w:val="000000"/>
                <w:kern w:val="0"/>
              </w:rPr>
              <w:t>6000元/平方公里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exact"/>
          <w:jc w:val="center"/>
        </w:trPr>
        <w:tc>
          <w:tcPr>
            <w:tcW w:w="9370"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afterLines="50" w:line="440" w:lineRule="exact"/>
              <w:jc w:val="center"/>
              <w:rPr>
                <w:rFonts w:ascii="宋体" w:hAnsi="宋体" w:cs="宋体"/>
                <w:b/>
                <w:bCs/>
                <w:color w:val="000000"/>
                <w:kern w:val="0"/>
              </w:rPr>
            </w:pPr>
            <w:r>
              <w:rPr>
                <w:rFonts w:hint="eastAsia" w:ascii="宋体" w:hAnsi="宋体" w:cs="宋体"/>
                <w:b/>
                <w:bCs/>
                <w:color w:val="000000"/>
                <w:kern w:val="0"/>
              </w:rPr>
              <w:t>注：供应商投标报价超过采购预算或超过单价限价的投标无效。</w:t>
            </w:r>
          </w:p>
        </w:tc>
      </w:tr>
    </w:tbl>
    <w:p>
      <w:pPr>
        <w:widowControl/>
        <w:spacing w:line="440" w:lineRule="exact"/>
        <w:jc w:val="left"/>
        <w:rPr>
          <w:rFonts w:ascii="宋体" w:hAnsi="宋体" w:cs="Arial"/>
          <w:b/>
          <w:bCs/>
          <w:kern w:val="0"/>
          <w:sz w:val="24"/>
        </w:rPr>
      </w:pPr>
      <w:r>
        <w:rPr>
          <w:rFonts w:hint="eastAsia" w:ascii="宋体" w:hAnsi="宋体" w:cs="Arial"/>
          <w:b/>
          <w:bCs/>
          <w:kern w:val="0"/>
          <w:sz w:val="24"/>
        </w:rPr>
        <w:t>五．投标供应商资格要求:</w:t>
      </w:r>
    </w:p>
    <w:p>
      <w:pPr>
        <w:widowControl/>
        <w:spacing w:line="440" w:lineRule="exact"/>
        <w:ind w:firstLine="360" w:firstLineChars="150"/>
        <w:jc w:val="left"/>
        <w:rPr>
          <w:rFonts w:ascii="宋体" w:hAnsi="宋体" w:cs="Arial"/>
          <w:kern w:val="0"/>
          <w:sz w:val="24"/>
        </w:rPr>
      </w:pPr>
      <w:r>
        <w:rPr>
          <w:rFonts w:hint="eastAsia" w:ascii="宋体" w:hAnsi="宋体" w:cs="Arial"/>
          <w:kern w:val="0"/>
          <w:sz w:val="24"/>
        </w:rPr>
        <w:t>1、符合《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adjustRightInd w:val="0"/>
        <w:snapToGrid w:val="0"/>
        <w:spacing w:line="440" w:lineRule="exact"/>
        <w:rPr>
          <w:rFonts w:ascii="宋体" w:hAnsi="宋体"/>
          <w:sz w:val="24"/>
        </w:rPr>
      </w:pPr>
      <w:r>
        <w:rPr>
          <w:rFonts w:hint="eastAsia" w:ascii="宋体" w:hAnsi="宋体"/>
          <w:sz w:val="24"/>
        </w:rPr>
        <w:t xml:space="preserve">   2、至本项目开标截止时间前，投标人未</w:t>
      </w:r>
      <w:r>
        <w:rPr>
          <w:rFonts w:ascii="ˎ̥" w:hAnsi="ˎ̥" w:cs="Helvetica"/>
          <w:sz w:val="24"/>
        </w:rPr>
        <w:t>列入失信被执行人、重大税收违法案件当事人名单、政府采购严重违法失信行为记录名单</w:t>
      </w:r>
      <w:r>
        <w:rPr>
          <w:rFonts w:hint="eastAsia" w:ascii="宋体" w:hAnsi="宋体"/>
          <w:sz w:val="24"/>
        </w:rPr>
        <w:t>的（以“信用中国”网站www.creditchina.gov.cn、“中国政府采购网”www.ccgp.gov.cn查询结果为准）；</w:t>
      </w:r>
    </w:p>
    <w:p>
      <w:pPr>
        <w:adjustRightInd w:val="0"/>
        <w:snapToGrid w:val="0"/>
        <w:spacing w:line="440" w:lineRule="exact"/>
        <w:rPr>
          <w:rFonts w:ascii="宋体" w:hAnsi="宋体"/>
          <w:sz w:val="24"/>
        </w:rPr>
      </w:pPr>
      <w:r>
        <w:rPr>
          <w:rFonts w:hint="eastAsia" w:ascii="微软雅黑" w:hAnsi="微软雅黑" w:cs="微软雅黑"/>
          <w:sz w:val="24"/>
        </w:rPr>
        <w:t>▲</w:t>
      </w:r>
      <w:r>
        <w:rPr>
          <w:rFonts w:hint="eastAsia" w:ascii="宋体" w:hAnsi="宋体"/>
          <w:sz w:val="24"/>
        </w:rPr>
        <w:t>特定条件：</w:t>
      </w:r>
    </w:p>
    <w:p>
      <w:pPr>
        <w:adjustRightInd w:val="0"/>
        <w:snapToGrid w:val="0"/>
        <w:spacing w:line="440" w:lineRule="exact"/>
        <w:ind w:firstLine="240" w:firstLineChars="100"/>
        <w:rPr>
          <w:rFonts w:ascii="宋体" w:hAnsi="宋体"/>
          <w:sz w:val="24"/>
        </w:rPr>
      </w:pPr>
      <w:r>
        <w:rPr>
          <w:rFonts w:hint="eastAsia" w:ascii="宋体" w:hAnsi="宋体"/>
          <w:sz w:val="24"/>
        </w:rPr>
        <w:t>（1）</w:t>
      </w:r>
      <w:r>
        <w:rPr>
          <w:rFonts w:hint="eastAsia" w:ascii="宋体" w:hAnsi="宋体"/>
          <w:color w:val="FF0000"/>
          <w:sz w:val="24"/>
        </w:rPr>
        <w:t>投标人应具有测绘丙级及以上资质；</w:t>
      </w:r>
    </w:p>
    <w:p>
      <w:pPr>
        <w:adjustRightInd w:val="0"/>
        <w:snapToGrid w:val="0"/>
        <w:spacing w:line="440" w:lineRule="exact"/>
        <w:ind w:firstLine="240" w:firstLineChars="100"/>
        <w:rPr>
          <w:rFonts w:ascii="宋体" w:hAnsi="宋体"/>
          <w:sz w:val="24"/>
        </w:rPr>
      </w:pPr>
      <w:r>
        <w:rPr>
          <w:rFonts w:hint="eastAsia" w:ascii="宋体" w:hAnsi="宋体"/>
          <w:sz w:val="24"/>
        </w:rPr>
        <w:t>（2）本项目不接受联合体投标；</w:t>
      </w:r>
    </w:p>
    <w:p>
      <w:pPr>
        <w:adjustRightInd w:val="0"/>
        <w:snapToGrid w:val="0"/>
        <w:spacing w:line="440" w:lineRule="exact"/>
        <w:ind w:firstLine="240" w:firstLineChars="100"/>
      </w:pPr>
      <w:r>
        <w:rPr>
          <w:rFonts w:hint="eastAsia" w:ascii="宋体" w:hAnsi="宋体"/>
          <w:sz w:val="24"/>
        </w:rPr>
        <w:t>（3）本项目不允许分包。</w:t>
      </w:r>
    </w:p>
    <w:p>
      <w:pPr>
        <w:widowControl/>
        <w:spacing w:line="440" w:lineRule="exact"/>
        <w:jc w:val="left"/>
        <w:rPr>
          <w:rFonts w:ascii="宋体" w:hAnsi="宋体" w:cs="Arial"/>
          <w:b/>
          <w:bCs/>
          <w:kern w:val="0"/>
          <w:sz w:val="24"/>
        </w:rPr>
      </w:pPr>
      <w:r>
        <w:rPr>
          <w:rFonts w:hint="eastAsia" w:ascii="宋体" w:hAnsi="宋体" w:cs="Arial"/>
          <w:b/>
          <w:bCs/>
          <w:kern w:val="0"/>
          <w:sz w:val="24"/>
        </w:rPr>
        <w:t>六．</w:t>
      </w:r>
      <w:r>
        <w:rPr>
          <w:rFonts w:hint="eastAsia" w:ascii="宋体" w:hAnsi="宋体" w:cs="Arial"/>
          <w:b/>
          <w:bCs/>
          <w:sz w:val="24"/>
        </w:rPr>
        <w:t>报名及采购文件的获取</w:t>
      </w:r>
      <w:r>
        <w:rPr>
          <w:rFonts w:hint="eastAsia" w:ascii="宋体" w:hAnsi="宋体" w:cs="Arial"/>
          <w:sz w:val="24"/>
        </w:rPr>
        <w:t>：</w:t>
      </w:r>
    </w:p>
    <w:p>
      <w:pPr>
        <w:pStyle w:val="21"/>
        <w:spacing w:line="440" w:lineRule="exact"/>
        <w:ind w:firstLine="480"/>
        <w:rPr>
          <w:rFonts w:ascii="微软雅黑" w:hAnsi="微软雅黑" w:eastAsia="微软雅黑" w:cs="微软雅黑"/>
        </w:rPr>
      </w:pPr>
      <w:r>
        <w:rPr>
          <w:rFonts w:hint="eastAsia" w:ascii="微软雅黑" w:hAnsi="微软雅黑" w:eastAsia="微软雅黑" w:cs="微软雅黑"/>
        </w:rPr>
        <w:t>1、报名及获取招标文件时间：</w:t>
      </w:r>
      <w:r>
        <w:rPr>
          <w:rFonts w:hint="eastAsia" w:ascii="微软雅黑" w:hAnsi="微软雅黑" w:eastAsia="微软雅黑" w:cs="微软雅黑"/>
          <w:u w:val="single"/>
        </w:rPr>
        <w:t>2020 年</w:t>
      </w:r>
      <w:r>
        <w:rPr>
          <w:rFonts w:hint="eastAsia" w:ascii="微软雅黑" w:hAnsi="微软雅黑" w:eastAsia="微软雅黑" w:cs="微软雅黑"/>
          <w:u w:val="single"/>
          <w:lang w:val="en-US" w:eastAsia="zh-CN"/>
        </w:rPr>
        <w:t>7</w:t>
      </w:r>
      <w:r>
        <w:rPr>
          <w:rFonts w:hint="eastAsia" w:ascii="微软雅黑" w:hAnsi="微软雅黑" w:eastAsia="微软雅黑" w:cs="微软雅黑"/>
          <w:u w:val="single"/>
        </w:rPr>
        <w:t>月</w:t>
      </w:r>
      <w:r>
        <w:rPr>
          <w:rFonts w:hint="eastAsia" w:ascii="微软雅黑" w:hAnsi="微软雅黑" w:eastAsia="微软雅黑" w:cs="微软雅黑"/>
          <w:u w:val="single"/>
          <w:lang w:val="en-US" w:eastAsia="zh-CN"/>
        </w:rPr>
        <w:t>28</w:t>
      </w:r>
      <w:r>
        <w:rPr>
          <w:rFonts w:hint="eastAsia" w:ascii="微软雅黑" w:hAnsi="微软雅黑" w:eastAsia="微软雅黑" w:cs="微软雅黑"/>
          <w:u w:val="single"/>
        </w:rPr>
        <w:t>日</w:t>
      </w:r>
      <w:r>
        <w:rPr>
          <w:rFonts w:hint="eastAsia" w:ascii="微软雅黑" w:hAnsi="微软雅黑" w:eastAsia="微软雅黑" w:cs="微软雅黑"/>
        </w:rPr>
        <w:t xml:space="preserve">至 </w:t>
      </w:r>
      <w:r>
        <w:rPr>
          <w:rFonts w:hint="eastAsia" w:ascii="微软雅黑" w:hAnsi="微软雅黑" w:eastAsia="微软雅黑" w:cs="微软雅黑"/>
          <w:u w:val="single"/>
        </w:rPr>
        <w:t>2020年</w:t>
      </w:r>
      <w:r>
        <w:rPr>
          <w:rFonts w:hint="eastAsia" w:ascii="微软雅黑" w:hAnsi="微软雅黑" w:eastAsia="微软雅黑" w:cs="微软雅黑"/>
          <w:u w:val="single"/>
          <w:lang w:val="en-US" w:eastAsia="zh-CN"/>
        </w:rPr>
        <w:t>8</w:t>
      </w:r>
      <w:r>
        <w:rPr>
          <w:rFonts w:hint="eastAsia" w:ascii="微软雅黑" w:hAnsi="微软雅黑" w:eastAsia="微软雅黑" w:cs="微软雅黑"/>
          <w:u w:val="single"/>
        </w:rPr>
        <w:t>月</w:t>
      </w:r>
      <w:r>
        <w:rPr>
          <w:rFonts w:hint="eastAsia" w:ascii="微软雅黑" w:hAnsi="微软雅黑" w:eastAsia="微软雅黑" w:cs="微软雅黑"/>
          <w:u w:val="single"/>
          <w:lang w:val="en-US" w:eastAsia="zh-CN"/>
        </w:rPr>
        <w:t>4</w:t>
      </w:r>
      <w:r>
        <w:rPr>
          <w:rFonts w:hint="eastAsia" w:ascii="微软雅黑" w:hAnsi="微软雅黑" w:eastAsia="微软雅黑" w:cs="微软雅黑"/>
          <w:u w:val="single"/>
        </w:rPr>
        <w:t>日</w:t>
      </w:r>
      <w:r>
        <w:rPr>
          <w:rFonts w:hint="eastAsia" w:ascii="微软雅黑" w:hAnsi="微软雅黑" w:eastAsia="微软雅黑" w:cs="微软雅黑"/>
        </w:rPr>
        <w:t>(潜在供应商报名及获取招标文件前应当在政采云电子交易平台上注册账号并登录，截止时间后不再接受潜在供应商报名及获取招标文件)。</w:t>
      </w:r>
    </w:p>
    <w:p>
      <w:pPr>
        <w:pStyle w:val="21"/>
        <w:spacing w:line="440" w:lineRule="exact"/>
        <w:ind w:firstLine="480"/>
        <w:rPr>
          <w:rFonts w:ascii="微软雅黑" w:hAnsi="微软雅黑" w:eastAsia="微软雅黑" w:cs="微软雅黑"/>
        </w:rPr>
      </w:pPr>
      <w:r>
        <w:rPr>
          <w:rFonts w:hint="eastAsia" w:ascii="微软雅黑" w:hAnsi="微软雅黑" w:eastAsia="微软雅黑" w:cs="微软雅黑"/>
        </w:rPr>
        <w:t>2、本次招标文件实行网上获取，不接受供应商现场报名,供应商登录浙江政府采购网（http://zfcg.czt.zj.gov.cn/）进入政采云系统“项目采购”模块“获取采购文件”菜单，进行网上获取招标文件（“政采云”注册账号、密码登录系统后获取招标文件）。</w:t>
      </w:r>
    </w:p>
    <w:p>
      <w:pPr>
        <w:pStyle w:val="21"/>
        <w:spacing w:line="440" w:lineRule="exact"/>
        <w:ind w:right="-92" w:rightChars="-44" w:firstLine="480"/>
        <w:rPr>
          <w:rFonts w:ascii="微软雅黑" w:hAnsi="微软雅黑" w:eastAsia="微软雅黑" w:cs="微软雅黑"/>
        </w:rPr>
      </w:pPr>
      <w:r>
        <w:rPr>
          <w:rFonts w:hint="eastAsia" w:ascii="微软雅黑" w:hAnsi="微软雅黑" w:eastAsia="微软雅黑" w:cs="微软雅黑"/>
        </w:rPr>
        <w:t>3、免费注册网址：浙江政府采购网（供应商注册页面）： https://middle.zcygov.cn/settle-front/#/registry“政采云”，咨询电话： 400-881-7190。已经注册成功的供应商无需重复注册。</w:t>
      </w:r>
    </w:p>
    <w:p>
      <w:pPr>
        <w:spacing w:line="440" w:lineRule="exact"/>
        <w:ind w:firstLine="240" w:firstLineChars="100"/>
        <w:jc w:val="left"/>
        <w:rPr>
          <w:b/>
          <w:sz w:val="24"/>
        </w:rPr>
      </w:pPr>
      <w:r>
        <w:rPr>
          <w:b/>
          <w:sz w:val="24"/>
        </w:rPr>
        <w:t>七、投标文件的递交及相关事宜：</w:t>
      </w:r>
    </w:p>
    <w:p>
      <w:pPr>
        <w:pStyle w:val="20"/>
        <w:spacing w:before="201" w:line="440" w:lineRule="exact"/>
        <w:ind w:right="-94" w:firstLine="480" w:firstLineChars="200"/>
        <w:rPr>
          <w:rFonts w:ascii="宋体" w:hAnsi="宋体" w:eastAsia="微软雅黑" w:cs="宋体"/>
          <w:kern w:val="0"/>
          <w:sz w:val="24"/>
          <w:szCs w:val="21"/>
        </w:rPr>
      </w:pPr>
      <w:r>
        <w:rPr>
          <w:rFonts w:hint="eastAsia" w:ascii="宋体" w:hAnsi="宋体" w:eastAsia="微软雅黑" w:cs="宋体"/>
          <w:kern w:val="0"/>
          <w:sz w:val="24"/>
          <w:szCs w:val="21"/>
        </w:rPr>
        <w:t>1、投标文件递交的截止时间（投标截止时间，下同）：</w:t>
      </w:r>
      <w:r>
        <w:rPr>
          <w:rFonts w:hint="eastAsia" w:ascii="宋体" w:hAnsi="宋体" w:eastAsia="微软雅黑" w:cs="宋体"/>
          <w:kern w:val="0"/>
          <w:sz w:val="24"/>
          <w:szCs w:val="21"/>
          <w:u w:val="single"/>
        </w:rPr>
        <w:t>2020 年</w:t>
      </w:r>
      <w:r>
        <w:rPr>
          <w:rFonts w:hint="eastAsia" w:ascii="宋体" w:hAnsi="宋体" w:eastAsia="微软雅黑" w:cs="宋体"/>
          <w:kern w:val="0"/>
          <w:sz w:val="24"/>
          <w:szCs w:val="21"/>
          <w:u w:val="single"/>
          <w:lang w:val="en-US" w:eastAsia="zh-CN"/>
        </w:rPr>
        <w:t>8</w:t>
      </w:r>
      <w:r>
        <w:rPr>
          <w:rFonts w:hint="eastAsia" w:ascii="宋体" w:hAnsi="宋体" w:eastAsia="微软雅黑" w:cs="宋体"/>
          <w:kern w:val="0"/>
          <w:sz w:val="24"/>
          <w:szCs w:val="21"/>
          <w:u w:val="single"/>
        </w:rPr>
        <w:t>月</w:t>
      </w:r>
      <w:r>
        <w:rPr>
          <w:rFonts w:hint="eastAsia" w:ascii="宋体" w:hAnsi="宋体" w:eastAsia="微软雅黑" w:cs="宋体"/>
          <w:kern w:val="0"/>
          <w:sz w:val="24"/>
          <w:szCs w:val="21"/>
          <w:u w:val="single"/>
          <w:lang w:val="en-US" w:eastAsia="zh-CN"/>
        </w:rPr>
        <w:t>18</w:t>
      </w:r>
      <w:r>
        <w:rPr>
          <w:rFonts w:hint="eastAsia" w:ascii="宋体" w:hAnsi="宋体" w:eastAsia="微软雅黑" w:cs="宋体"/>
          <w:kern w:val="0"/>
          <w:sz w:val="24"/>
          <w:szCs w:val="21"/>
          <w:u w:val="single"/>
        </w:rPr>
        <w:t>日</w:t>
      </w:r>
      <w:r>
        <w:rPr>
          <w:rFonts w:hint="eastAsia" w:ascii="宋体" w:hAnsi="宋体" w:eastAsia="微软雅黑" w:cs="宋体"/>
          <w:kern w:val="0"/>
          <w:sz w:val="24"/>
          <w:szCs w:val="21"/>
          <w:u w:val="single"/>
          <w:lang w:val="en-US" w:eastAsia="zh-CN"/>
        </w:rPr>
        <w:t>10</w:t>
      </w:r>
      <w:r>
        <w:rPr>
          <w:rFonts w:hint="eastAsia" w:ascii="宋体" w:hAnsi="宋体" w:eastAsia="微软雅黑" w:cs="宋体"/>
          <w:kern w:val="0"/>
          <w:sz w:val="24"/>
          <w:szCs w:val="21"/>
          <w:u w:val="single"/>
        </w:rPr>
        <w:t xml:space="preserve"> 时</w:t>
      </w:r>
      <w:r>
        <w:rPr>
          <w:rFonts w:hint="eastAsia" w:ascii="宋体" w:hAnsi="宋体" w:eastAsia="微软雅黑" w:cs="宋体"/>
          <w:kern w:val="0"/>
          <w:sz w:val="24"/>
          <w:szCs w:val="21"/>
          <w:u w:val="single"/>
          <w:lang w:val="en-US" w:eastAsia="zh-CN"/>
        </w:rPr>
        <w:t>30</w:t>
      </w:r>
      <w:r>
        <w:rPr>
          <w:rFonts w:hint="eastAsia" w:ascii="宋体" w:hAnsi="宋体" w:eastAsia="微软雅黑" w:cs="宋体"/>
          <w:kern w:val="0"/>
          <w:sz w:val="24"/>
          <w:szCs w:val="21"/>
          <w:u w:val="single"/>
        </w:rPr>
        <w:t xml:space="preserve">分 </w:t>
      </w:r>
      <w:r>
        <w:rPr>
          <w:rFonts w:hint="eastAsia" w:ascii="宋体" w:hAnsi="宋体" w:eastAsia="微软雅黑" w:cs="宋体"/>
          <w:kern w:val="0"/>
          <w:sz w:val="24"/>
          <w:szCs w:val="21"/>
        </w:rPr>
        <w:t>（北京时间）。</w:t>
      </w:r>
    </w:p>
    <w:p>
      <w:pPr>
        <w:pStyle w:val="20"/>
        <w:spacing w:line="440" w:lineRule="exact"/>
        <w:ind w:firstLine="480" w:firstLineChars="200"/>
        <w:rPr>
          <w:rFonts w:ascii="宋体" w:hAnsi="宋体" w:eastAsia="微软雅黑" w:cs="宋体"/>
          <w:kern w:val="0"/>
          <w:sz w:val="24"/>
          <w:szCs w:val="21"/>
        </w:rPr>
      </w:pPr>
      <w:r>
        <w:rPr>
          <w:rFonts w:hint="eastAsia" w:ascii="宋体" w:hAnsi="宋体" w:eastAsia="微软雅黑" w:cs="宋体"/>
          <w:kern w:val="0"/>
          <w:sz w:val="24"/>
          <w:szCs w:val="21"/>
        </w:rPr>
        <w:t>2、投标文件的递交方式：</w:t>
      </w:r>
    </w:p>
    <w:p>
      <w:pPr>
        <w:pStyle w:val="91"/>
        <w:tabs>
          <w:tab w:val="left" w:pos="1436"/>
          <w:tab w:val="left" w:pos="8400"/>
        </w:tabs>
        <w:spacing w:before="203" w:line="440" w:lineRule="exact"/>
        <w:ind w:right="-94" w:firstLine="480"/>
        <w:rPr>
          <w:rFonts w:ascii="宋体" w:hAnsi="宋体" w:cs="宋体"/>
          <w:kern w:val="0"/>
          <w:sz w:val="24"/>
          <w:szCs w:val="21"/>
        </w:rPr>
      </w:pPr>
      <w:r>
        <w:rPr>
          <w:rFonts w:hint="eastAsia" w:ascii="宋体" w:hAnsi="宋体" w:cs="宋体"/>
          <w:kern w:val="0"/>
          <w:sz w:val="24"/>
          <w:szCs w:val="21"/>
        </w:rPr>
        <w:t>2.1、电子投标文件：按政采云平台项目采购-电子交易操作指南及本招标文件要求制作、加密并递交。供应商应于</w:t>
      </w:r>
      <w:r>
        <w:rPr>
          <w:rFonts w:hint="eastAsia" w:ascii="宋体" w:hAnsi="宋体" w:cs="宋体"/>
          <w:kern w:val="0"/>
          <w:sz w:val="24"/>
          <w:szCs w:val="21"/>
          <w:u w:val="single"/>
        </w:rPr>
        <w:t xml:space="preserve"> 2020 年</w:t>
      </w:r>
      <w:r>
        <w:rPr>
          <w:rFonts w:hint="eastAsia" w:ascii="宋体" w:hAnsi="宋体" w:cs="宋体"/>
          <w:kern w:val="0"/>
          <w:sz w:val="24"/>
          <w:szCs w:val="21"/>
          <w:u w:val="single"/>
          <w:lang w:val="en-US" w:eastAsia="zh-CN"/>
        </w:rPr>
        <w:t>8</w:t>
      </w:r>
      <w:r>
        <w:rPr>
          <w:rFonts w:hint="eastAsia" w:ascii="宋体" w:hAnsi="宋体" w:cs="宋体"/>
          <w:kern w:val="0"/>
          <w:sz w:val="24"/>
          <w:szCs w:val="21"/>
          <w:u w:val="single"/>
        </w:rPr>
        <w:t>月</w:t>
      </w:r>
      <w:r>
        <w:rPr>
          <w:rFonts w:hint="eastAsia" w:ascii="宋体" w:hAnsi="宋体" w:cs="宋体"/>
          <w:kern w:val="0"/>
          <w:sz w:val="24"/>
          <w:szCs w:val="21"/>
          <w:u w:val="single"/>
          <w:lang w:val="en-US" w:eastAsia="zh-CN"/>
        </w:rPr>
        <w:t>18</w:t>
      </w:r>
      <w:r>
        <w:rPr>
          <w:rFonts w:hint="eastAsia" w:ascii="宋体" w:hAnsi="宋体" w:cs="宋体"/>
          <w:kern w:val="0"/>
          <w:sz w:val="24"/>
          <w:szCs w:val="21"/>
          <w:u w:val="single"/>
        </w:rPr>
        <w:t>日</w:t>
      </w:r>
      <w:r>
        <w:rPr>
          <w:rFonts w:hint="eastAsia" w:ascii="宋体" w:hAnsi="宋体" w:cs="宋体"/>
          <w:kern w:val="0"/>
          <w:sz w:val="24"/>
          <w:szCs w:val="21"/>
          <w:u w:val="single"/>
          <w:lang w:val="en-US" w:eastAsia="zh-CN"/>
        </w:rPr>
        <w:t>10</w:t>
      </w:r>
      <w:r>
        <w:rPr>
          <w:rFonts w:hint="eastAsia" w:ascii="宋体" w:hAnsi="宋体" w:cs="宋体"/>
          <w:kern w:val="0"/>
          <w:sz w:val="24"/>
          <w:szCs w:val="21"/>
          <w:u w:val="single"/>
        </w:rPr>
        <w:t>时</w:t>
      </w:r>
      <w:r>
        <w:rPr>
          <w:rFonts w:hint="eastAsia" w:ascii="宋体" w:hAnsi="宋体" w:cs="宋体"/>
          <w:kern w:val="0"/>
          <w:sz w:val="24"/>
          <w:szCs w:val="21"/>
          <w:u w:val="single"/>
          <w:lang w:val="en-US" w:eastAsia="zh-CN"/>
        </w:rPr>
        <w:t>30</w:t>
      </w:r>
      <w:r>
        <w:rPr>
          <w:rFonts w:hint="eastAsia" w:ascii="宋体" w:hAnsi="宋体" w:cs="宋体"/>
          <w:kern w:val="0"/>
          <w:sz w:val="24"/>
          <w:szCs w:val="21"/>
          <w:u w:val="single"/>
        </w:rPr>
        <w:t>分</w:t>
      </w:r>
      <w:r>
        <w:rPr>
          <w:rFonts w:hint="eastAsia" w:ascii="宋体" w:hAnsi="宋体" w:cs="宋体"/>
          <w:kern w:val="0"/>
          <w:sz w:val="24"/>
          <w:szCs w:val="21"/>
        </w:rPr>
        <w:t>（北京时间）前将制作、加密的电子版投标文件上传到政采云系统中（未准时上传的视为放弃投标资格，作无效标处理）；</w:t>
      </w:r>
    </w:p>
    <w:p>
      <w:pPr>
        <w:pStyle w:val="91"/>
        <w:tabs>
          <w:tab w:val="left" w:pos="1436"/>
          <w:tab w:val="left" w:pos="8400"/>
        </w:tabs>
        <w:spacing w:before="203" w:line="440" w:lineRule="exact"/>
        <w:ind w:right="-94" w:firstLine="480"/>
        <w:rPr>
          <w:rFonts w:ascii="宋体" w:hAnsi="宋体" w:cs="宋体"/>
          <w:kern w:val="0"/>
          <w:sz w:val="24"/>
          <w:szCs w:val="21"/>
        </w:rPr>
      </w:pPr>
      <w:r>
        <w:rPr>
          <w:rFonts w:hint="eastAsia" w:ascii="宋体" w:hAnsi="宋体" w:cs="宋体"/>
          <w:kern w:val="0"/>
          <w:sz w:val="24"/>
          <w:szCs w:val="21"/>
        </w:rPr>
        <w:t>2.2、(1)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r>
        <w:rPr>
          <w:rFonts w:hint="eastAsia" w:ascii="宋体" w:hAnsi="宋体" w:cs="宋体"/>
          <w:kern w:val="0"/>
          <w:sz w:val="24"/>
          <w:szCs w:val="21"/>
        </w:rPr>
        <w:br w:type="textWrapping"/>
      </w:r>
      <w:r>
        <w:rPr>
          <w:rFonts w:hint="eastAsia" w:ascii="宋体" w:hAnsi="宋体" w:cs="宋体"/>
          <w:kern w:val="0"/>
          <w:sz w:val="24"/>
          <w:szCs w:val="21"/>
          <w:lang w:val="en-US" w:eastAsia="zh-CN"/>
        </w:rPr>
        <w:t xml:space="preserve">  </w:t>
      </w:r>
      <w:r>
        <w:rPr>
          <w:rFonts w:hint="eastAsia" w:ascii="宋体" w:hAnsi="宋体" w:cs="宋体"/>
          <w:kern w:val="0"/>
          <w:sz w:val="24"/>
          <w:szCs w:val="21"/>
        </w:rPr>
        <w:t>(2)备份投标文件：以介质存储的数据电文形式的备份投标文件，按政采云平台项目采购-电子交易操作指南中上传的电子投标文件格式，以U盘形式存储提供。数量为1份。U盘盘面上粘贴标签，标注单位名称，装入一个外包封袋中进行邮寄。投标人应确保在投标截止时间前送达（以收件人实际签收时间为准），逾期送达的将拒绝接收。</w:t>
      </w:r>
    </w:p>
    <w:p>
      <w:pPr>
        <w:pStyle w:val="91"/>
        <w:tabs>
          <w:tab w:val="left" w:pos="1436"/>
          <w:tab w:val="left" w:pos="8400"/>
        </w:tabs>
        <w:spacing w:before="203" w:line="440" w:lineRule="exact"/>
        <w:ind w:right="-94" w:firstLine="480"/>
        <w:rPr>
          <w:rFonts w:ascii="宋体" w:hAnsi="宋体" w:cs="宋体"/>
          <w:kern w:val="0"/>
          <w:sz w:val="24"/>
          <w:szCs w:val="21"/>
        </w:rPr>
      </w:pPr>
      <w:r>
        <w:rPr>
          <w:rFonts w:hint="eastAsia" w:ascii="宋体" w:hAnsi="宋体" w:cs="宋体"/>
          <w:kern w:val="0"/>
          <w:sz w:val="24"/>
          <w:szCs w:val="21"/>
        </w:rPr>
        <w:t>3、CA 锁解密时间为开标当日</w:t>
      </w:r>
      <w:r>
        <w:rPr>
          <w:rFonts w:hint="eastAsia" w:ascii="宋体" w:hAnsi="宋体" w:cs="宋体"/>
          <w:kern w:val="0"/>
          <w:sz w:val="24"/>
          <w:szCs w:val="21"/>
          <w:u w:val="single"/>
          <w:lang w:val="en-US" w:eastAsia="zh-CN"/>
        </w:rPr>
        <w:t>10</w:t>
      </w:r>
      <w:r>
        <w:rPr>
          <w:rFonts w:hint="eastAsia" w:ascii="宋体" w:hAnsi="宋体" w:cs="宋体"/>
          <w:kern w:val="0"/>
          <w:sz w:val="24"/>
          <w:szCs w:val="21"/>
          <w:u w:val="single"/>
        </w:rPr>
        <w:t>:</w:t>
      </w:r>
      <w:r>
        <w:rPr>
          <w:rFonts w:hint="eastAsia" w:ascii="宋体" w:hAnsi="宋体" w:cs="宋体"/>
          <w:kern w:val="0"/>
          <w:sz w:val="24"/>
          <w:szCs w:val="21"/>
          <w:u w:val="single"/>
          <w:lang w:val="en-US" w:eastAsia="zh-CN"/>
        </w:rPr>
        <w:t>30</w:t>
      </w:r>
      <w:r>
        <w:rPr>
          <w:rFonts w:hint="eastAsia" w:ascii="宋体" w:hAnsi="宋体" w:cs="宋体"/>
          <w:kern w:val="0"/>
          <w:sz w:val="24"/>
          <w:szCs w:val="21"/>
          <w:u w:val="single"/>
        </w:rPr>
        <w:t>至</w:t>
      </w:r>
      <w:r>
        <w:rPr>
          <w:rFonts w:hint="eastAsia" w:ascii="宋体" w:hAnsi="宋体" w:cs="宋体"/>
          <w:kern w:val="0"/>
          <w:sz w:val="24"/>
          <w:szCs w:val="21"/>
          <w:u w:val="single"/>
          <w:lang w:val="en-US" w:eastAsia="zh-CN"/>
        </w:rPr>
        <w:t>11</w:t>
      </w:r>
      <w:r>
        <w:rPr>
          <w:rFonts w:hint="eastAsia" w:ascii="宋体" w:hAnsi="宋体" w:cs="宋体"/>
          <w:kern w:val="0"/>
          <w:sz w:val="24"/>
          <w:szCs w:val="21"/>
          <w:u w:val="single"/>
        </w:rPr>
        <w:t>:</w:t>
      </w:r>
      <w:r>
        <w:rPr>
          <w:rFonts w:hint="eastAsia" w:ascii="宋体" w:hAnsi="宋体" w:cs="宋体"/>
          <w:kern w:val="0"/>
          <w:sz w:val="24"/>
          <w:szCs w:val="21"/>
          <w:u w:val="single"/>
          <w:lang w:val="en-US" w:eastAsia="zh-CN"/>
        </w:rPr>
        <w:t>0</w:t>
      </w:r>
      <w:r>
        <w:rPr>
          <w:rFonts w:hint="eastAsia" w:ascii="宋体" w:hAnsi="宋体" w:cs="宋体"/>
          <w:kern w:val="0"/>
          <w:sz w:val="24"/>
          <w:szCs w:val="21"/>
          <w:u w:val="single"/>
        </w:rPr>
        <w:t>0</w:t>
      </w:r>
      <w:r>
        <w:rPr>
          <w:rFonts w:hint="eastAsia" w:ascii="宋体" w:hAnsi="宋体" w:cs="宋体"/>
          <w:kern w:val="0"/>
          <w:sz w:val="24"/>
          <w:szCs w:val="21"/>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供应商仅提交“备份投标文件”的，投标无效。</w:t>
      </w:r>
    </w:p>
    <w:p>
      <w:pPr>
        <w:pStyle w:val="20"/>
        <w:spacing w:before="39" w:line="440" w:lineRule="exact"/>
        <w:ind w:right="-94" w:firstLine="480" w:firstLineChars="200"/>
        <w:rPr>
          <w:rFonts w:ascii="宋体" w:hAnsi="宋体" w:eastAsia="微软雅黑" w:cs="宋体"/>
          <w:kern w:val="0"/>
          <w:sz w:val="24"/>
          <w:szCs w:val="21"/>
        </w:rPr>
      </w:pPr>
      <w:r>
        <w:rPr>
          <w:rFonts w:hint="eastAsia" w:ascii="宋体" w:hAnsi="宋体" w:eastAsia="微软雅黑" w:cs="宋体"/>
          <w:kern w:val="0"/>
          <w:sz w:val="24"/>
          <w:szCs w:val="21"/>
        </w:rPr>
        <w:t>4、供应商须在线获取 CA 数字证书（完成 CA 数字证书办理预计一周左右，建议各供应商自行把握时间），办理流程详见</w:t>
      </w:r>
      <w:r>
        <w:fldChar w:fldCharType="begin"/>
      </w:r>
      <w:r>
        <w:instrText xml:space="preserve"> HYPERLINK "http://www.zjzfcg.gov.cn/bidClientTemplate/2019-05-27/12945.html" \h </w:instrText>
      </w:r>
      <w:r>
        <w:fldChar w:fldCharType="separate"/>
      </w:r>
      <w:r>
        <w:rPr>
          <w:rFonts w:hint="eastAsia" w:ascii="宋体" w:hAnsi="宋体" w:eastAsia="微软雅黑" w:cs="宋体"/>
          <w:kern w:val="0"/>
          <w:sz w:val="24"/>
          <w:szCs w:val="21"/>
        </w:rPr>
        <w:t>http://www.zjzfcg.gov.cn/bidClientTemplate/2019-05-27/12945.html</w:t>
      </w:r>
      <w:r>
        <w:rPr>
          <w:rFonts w:hint="eastAsia" w:ascii="宋体" w:hAnsi="宋体" w:eastAsia="微软雅黑" w:cs="宋体"/>
          <w:kern w:val="0"/>
          <w:sz w:val="24"/>
          <w:szCs w:val="21"/>
        </w:rPr>
        <w:fldChar w:fldCharType="end"/>
      </w:r>
      <w:r>
        <w:rPr>
          <w:rFonts w:hint="eastAsia" w:ascii="宋体" w:hAnsi="宋体" w:eastAsia="微软雅黑" w:cs="宋体"/>
          <w:kern w:val="0"/>
          <w:sz w:val="24"/>
          <w:szCs w:val="21"/>
        </w:rPr>
        <w:t>），并登陆“浙江政府采购网”（</w:t>
      </w:r>
      <w:r>
        <w:fldChar w:fldCharType="begin"/>
      </w:r>
      <w:r>
        <w:instrText xml:space="preserve"> HYPERLINK "http://zfcg.czt.zj.gov.cn/" \h </w:instrText>
      </w:r>
      <w:r>
        <w:fldChar w:fldCharType="separate"/>
      </w:r>
      <w:r>
        <w:rPr>
          <w:rFonts w:hint="eastAsia" w:ascii="宋体" w:hAnsi="宋体" w:eastAsia="微软雅黑" w:cs="宋体"/>
          <w:kern w:val="0"/>
          <w:sz w:val="24"/>
          <w:szCs w:val="21"/>
        </w:rPr>
        <w:t>http://zfcg.czt.zj.gov.cn/</w:t>
      </w:r>
      <w:r>
        <w:rPr>
          <w:rFonts w:hint="eastAsia" w:ascii="宋体" w:hAnsi="宋体" w:eastAsia="微软雅黑" w:cs="宋体"/>
          <w:kern w:val="0"/>
          <w:sz w:val="24"/>
          <w:szCs w:val="21"/>
        </w:rPr>
        <w:fldChar w:fldCharType="end"/>
      </w:r>
      <w:r>
        <w:rPr>
          <w:rFonts w:hint="eastAsia" w:ascii="宋体" w:hAnsi="宋体" w:eastAsia="微软雅黑" w:cs="宋体"/>
          <w:kern w:val="0"/>
          <w:sz w:val="24"/>
          <w:szCs w:val="21"/>
        </w:rPr>
        <w:t>），进入“下载专区”下载“电子交易客户端”，制作投标文件。</w:t>
      </w:r>
    </w:p>
    <w:p>
      <w:pPr>
        <w:pStyle w:val="20"/>
        <w:spacing w:line="440" w:lineRule="exact"/>
        <w:ind w:firstLine="480" w:firstLineChars="200"/>
        <w:rPr>
          <w:rFonts w:ascii="宋体" w:hAnsi="宋体" w:eastAsia="微软雅黑" w:cs="宋体"/>
          <w:kern w:val="0"/>
          <w:sz w:val="24"/>
          <w:szCs w:val="21"/>
        </w:rPr>
      </w:pPr>
      <w:r>
        <w:rPr>
          <w:rFonts w:hint="eastAsia" w:ascii="宋体" w:hAnsi="宋体" w:eastAsia="微软雅黑" w:cs="宋体"/>
          <w:kern w:val="0"/>
          <w:sz w:val="24"/>
          <w:szCs w:val="21"/>
        </w:rPr>
        <w:t>5、供应商须将制作、加密后的电子版投标文件于投标截止时间前上传到政采云系统中，超过投标截止时间上传的，均按无效标处理。</w:t>
      </w:r>
    </w:p>
    <w:p>
      <w:pPr>
        <w:pStyle w:val="20"/>
        <w:spacing w:line="440" w:lineRule="exact"/>
        <w:ind w:firstLine="480" w:firstLineChars="200"/>
        <w:rPr>
          <w:rFonts w:ascii="宋体" w:hAnsi="宋体" w:eastAsia="微软雅黑" w:cs="宋体"/>
          <w:kern w:val="0"/>
          <w:sz w:val="24"/>
          <w:szCs w:val="21"/>
        </w:rPr>
      </w:pPr>
      <w:r>
        <w:rPr>
          <w:rFonts w:hint="eastAsia" w:ascii="宋体" w:hAnsi="宋体" w:eastAsia="微软雅黑" w:cs="宋体"/>
          <w:kern w:val="0"/>
          <w:sz w:val="24"/>
          <w:szCs w:val="21"/>
        </w:rPr>
        <w:t>6、供应商通过政采云平台电子投标工具制作投标文件，电子投标工具请供应商自行 前 往 浙 江 省 政 府 采 购 网 下 载 并 安 装 ，（ 下 载 网 址 ：</w:t>
      </w:r>
      <w:r>
        <w:rPr>
          <w:rFonts w:ascii="宋体" w:hAnsi="宋体" w:eastAsia="微软雅黑" w:cs="宋体"/>
          <w:kern w:val="0"/>
          <w:sz w:val="24"/>
          <w:szCs w:val="21"/>
        </w:rPr>
        <w:t>http://zfcg.czt.zj.gov.cn/download/index.html?_=1594257441345</w:t>
      </w:r>
      <w:r>
        <w:rPr>
          <w:rFonts w:hint="eastAsia" w:ascii="宋体" w:hAnsi="宋体" w:eastAsia="微软雅黑" w:cs="宋体"/>
          <w:kern w:val="0"/>
          <w:sz w:val="24"/>
          <w:szCs w:val="21"/>
        </w:rPr>
        <w:t>），供应商电子交易操作指南详见网址：</w:t>
      </w:r>
      <w:r>
        <w:fldChar w:fldCharType="begin"/>
      </w:r>
      <w:r>
        <w:instrText xml:space="preserve"> HYPERLINK "https://help.zcygov.cn/web/site_2/2018/12-28/2573.html" \h </w:instrText>
      </w:r>
      <w:r>
        <w:fldChar w:fldCharType="separate"/>
      </w:r>
      <w:r>
        <w:rPr>
          <w:rFonts w:hint="eastAsia" w:ascii="宋体" w:hAnsi="宋体" w:eastAsia="微软雅黑" w:cs="宋体"/>
          <w:kern w:val="0"/>
          <w:sz w:val="24"/>
          <w:szCs w:val="21"/>
        </w:rPr>
        <w:t>https://help.zcygov.cn/web/site_2/2018/12-28/2573.html</w:t>
      </w:r>
      <w:r>
        <w:rPr>
          <w:rFonts w:hint="eastAsia" w:ascii="宋体" w:hAnsi="宋体" w:eastAsia="微软雅黑" w:cs="宋体"/>
          <w:kern w:val="0"/>
          <w:sz w:val="24"/>
          <w:szCs w:val="21"/>
        </w:rPr>
        <w:fldChar w:fldCharType="end"/>
      </w:r>
      <w:r>
        <w:rPr>
          <w:rFonts w:hint="eastAsia" w:ascii="宋体" w:hAnsi="宋体" w:eastAsia="微软雅黑" w:cs="宋体"/>
          <w:kern w:val="0"/>
          <w:sz w:val="24"/>
          <w:szCs w:val="21"/>
        </w:rPr>
        <w:t>）</w:t>
      </w:r>
    </w:p>
    <w:p>
      <w:pPr>
        <w:pStyle w:val="20"/>
        <w:spacing w:line="440" w:lineRule="exact"/>
        <w:ind w:firstLine="241" w:firstLineChars="100"/>
        <w:rPr>
          <w:rFonts w:ascii="宋体" w:hAnsi="宋体" w:eastAsia="微软雅黑" w:cs="宋体"/>
          <w:color w:val="000000" w:themeColor="text1"/>
          <w:kern w:val="0"/>
          <w:sz w:val="24"/>
          <w:szCs w:val="21"/>
          <w:u w:val="single"/>
        </w:rPr>
      </w:pPr>
      <w:r>
        <w:rPr>
          <w:rFonts w:hint="eastAsia" w:asciiTheme="minorEastAsia" w:hAnsiTheme="minorEastAsia" w:eastAsiaTheme="minorEastAsia" w:cstheme="minorEastAsia"/>
          <w:b/>
          <w:sz w:val="24"/>
        </w:rPr>
        <w:t>八、</w:t>
      </w:r>
      <w:r>
        <w:rPr>
          <w:rFonts w:hint="eastAsia" w:ascii="宋体" w:hAnsi="宋体"/>
          <w:b/>
          <w:sz w:val="24"/>
        </w:rPr>
        <w:t>开标地点：</w:t>
      </w:r>
      <w:r>
        <w:rPr>
          <w:rFonts w:hint="eastAsia" w:ascii="宋体" w:hAnsi="宋体" w:eastAsia="微软雅黑" w:cs="宋体"/>
          <w:color w:val="000000" w:themeColor="text1"/>
          <w:kern w:val="0"/>
          <w:sz w:val="24"/>
          <w:szCs w:val="21"/>
          <w:u w:val="single"/>
        </w:rPr>
        <w:t>湖州市吴兴区公共资源交易中心（湖州市吴兴区区府路1188号总部自由港E幢4楼）40</w:t>
      </w:r>
      <w:r>
        <w:rPr>
          <w:rFonts w:hint="eastAsia" w:ascii="宋体" w:hAnsi="宋体" w:eastAsia="微软雅黑" w:cs="宋体"/>
          <w:color w:val="000000" w:themeColor="text1"/>
          <w:kern w:val="0"/>
          <w:sz w:val="24"/>
          <w:szCs w:val="21"/>
          <w:u w:val="single"/>
          <w:lang w:val="en-US" w:eastAsia="zh-CN"/>
        </w:rPr>
        <w:t>4</w:t>
      </w:r>
      <w:r>
        <w:rPr>
          <w:rFonts w:hint="eastAsia" w:ascii="宋体" w:hAnsi="宋体" w:eastAsia="微软雅黑" w:cs="宋体"/>
          <w:color w:val="000000" w:themeColor="text1"/>
          <w:kern w:val="0"/>
          <w:sz w:val="24"/>
          <w:szCs w:val="21"/>
          <w:u w:val="single"/>
        </w:rPr>
        <w:t>开标室  。</w:t>
      </w:r>
    </w:p>
    <w:p>
      <w:pPr>
        <w:spacing w:line="440" w:lineRule="exact"/>
        <w:ind w:right="5953" w:firstLine="241" w:firstLineChars="1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九、其他事项：</w:t>
      </w:r>
    </w:p>
    <w:p>
      <w:pPr>
        <w:snapToGrid w:val="0"/>
        <w:spacing w:line="440" w:lineRule="exact"/>
        <w:ind w:firstLine="480" w:firstLineChars="200"/>
        <w:rPr>
          <w:rFonts w:ascii="宋体" w:hAnsi="宋体" w:cs="宋体"/>
          <w:kern w:val="0"/>
          <w:sz w:val="24"/>
        </w:rPr>
      </w:pPr>
      <w:r>
        <w:rPr>
          <w:rFonts w:hint="eastAsia" w:ascii="宋体" w:hAnsi="宋体" w:cs="宋体"/>
          <w:kern w:val="0"/>
          <w:sz w:val="24"/>
        </w:rPr>
        <w:t>1、本项目为电子招投标项目，实行网上招投标，应按照本采购文件及政采云平台的要求编制、加密并要求投标供应商通过政采云系统在线投标响应，投标截止时间前须完成电子投标文件的上传。</w:t>
      </w:r>
      <w:r>
        <w:rPr>
          <w:rFonts w:hint="eastAsia" w:ascii="宋体" w:hAnsi="宋体" w:cs="宋体"/>
          <w:b/>
          <w:kern w:val="0"/>
          <w:sz w:val="24"/>
        </w:rPr>
        <w:t>投标供应商在使用系统进行投标的过程中遇到涉及平台使用的任何问题，可致电政采云平台技术支持热线咨询，联系方式：400-881-7190。</w:t>
      </w:r>
    </w:p>
    <w:p>
      <w:pPr>
        <w:snapToGrid w:val="0"/>
        <w:spacing w:line="440" w:lineRule="exact"/>
        <w:ind w:firstLine="480" w:firstLineChars="200"/>
        <w:rPr>
          <w:rFonts w:ascii="宋体" w:hAnsi="宋体" w:cs="Arial"/>
          <w:sz w:val="24"/>
        </w:rPr>
      </w:pPr>
      <w:r>
        <w:rPr>
          <w:rFonts w:hint="eastAsia" w:ascii="宋体" w:hAnsi="宋体" w:cs="宋体"/>
          <w:kern w:val="0"/>
          <w:sz w:val="24"/>
        </w:rPr>
        <w:t>2、</w:t>
      </w:r>
      <w:r>
        <w:rPr>
          <w:rFonts w:hint="eastAsia" w:ascii="宋体" w:cs="宋体"/>
          <w:color w:val="000000"/>
          <w:kern w:val="0"/>
          <w:sz w:val="24"/>
        </w:rPr>
        <w:t>投标供应商</w:t>
      </w:r>
      <w:r>
        <w:rPr>
          <w:rFonts w:hint="eastAsia" w:ascii="宋体" w:hAnsi="宋体" w:cs="宋体"/>
          <w:kern w:val="0"/>
          <w:sz w:val="24"/>
        </w:rPr>
        <w:t>对采购文件有异议的，应当在</w:t>
      </w:r>
      <w:r>
        <w:rPr>
          <w:rFonts w:hint="eastAsia" w:ascii="宋体" w:hAnsi="宋体" w:cs="宋体"/>
          <w:color w:val="000000" w:themeColor="text1"/>
          <w:kern w:val="0"/>
          <w:sz w:val="24"/>
          <w:u w:val="single"/>
        </w:rPr>
        <w:t>2020年</w:t>
      </w:r>
      <w:r>
        <w:rPr>
          <w:rFonts w:hint="eastAsia" w:ascii="宋体" w:hAnsi="宋体" w:cs="宋体"/>
          <w:color w:val="000000" w:themeColor="text1"/>
          <w:kern w:val="0"/>
          <w:sz w:val="24"/>
          <w:u w:val="single"/>
          <w:lang w:val="en-US" w:eastAsia="zh-CN"/>
        </w:rPr>
        <w:t>8</w:t>
      </w:r>
      <w:r>
        <w:rPr>
          <w:rFonts w:hint="eastAsia" w:ascii="宋体" w:hAnsi="宋体" w:cs="宋体"/>
          <w:color w:val="000000" w:themeColor="text1"/>
          <w:kern w:val="0"/>
          <w:sz w:val="24"/>
          <w:u w:val="single"/>
        </w:rPr>
        <w:t>月</w:t>
      </w:r>
      <w:r>
        <w:rPr>
          <w:rFonts w:hint="eastAsia" w:ascii="宋体" w:hAnsi="宋体" w:cs="宋体"/>
          <w:color w:val="000000" w:themeColor="text1"/>
          <w:kern w:val="0"/>
          <w:sz w:val="24"/>
          <w:u w:val="single"/>
          <w:lang w:val="en-US" w:eastAsia="zh-CN"/>
        </w:rPr>
        <w:t>13</w:t>
      </w:r>
      <w:r>
        <w:rPr>
          <w:rFonts w:hint="eastAsia" w:ascii="宋体" w:hAnsi="宋体" w:cs="宋体"/>
          <w:color w:val="000000" w:themeColor="text1"/>
          <w:kern w:val="0"/>
          <w:sz w:val="24"/>
          <w:u w:val="single"/>
        </w:rPr>
        <w:t>日</w:t>
      </w:r>
      <w:r>
        <w:rPr>
          <w:rFonts w:hint="eastAsia" w:ascii="宋体" w:hAnsi="宋体" w:cs="宋体"/>
          <w:color w:val="000000" w:themeColor="text1"/>
          <w:kern w:val="0"/>
          <w:sz w:val="24"/>
        </w:rPr>
        <w:t>下</w:t>
      </w:r>
      <w:r>
        <w:rPr>
          <w:rFonts w:hint="eastAsia" w:ascii="宋体" w:hAnsi="宋体" w:cs="宋体"/>
          <w:kern w:val="0"/>
          <w:sz w:val="24"/>
        </w:rPr>
        <w:t>午17：00前以书面（含传真）形式向采购代理机构一次性提出，采购人将在规定的时间内统一进行澄清和修改，并书面（含传真）通知所有认购采购文件的投标供应商。投标供应商未按规定要求提出的，则视同认可采购文件，但法律法规及规范性文件有明确规定的除外。</w:t>
      </w:r>
    </w:p>
    <w:p>
      <w:pPr>
        <w:pStyle w:val="36"/>
        <w:spacing w:line="420" w:lineRule="exact"/>
        <w:ind w:firstLine="480" w:firstLineChars="200"/>
        <w:rPr>
          <w:rFonts w:ascii="宋体" w:hAnsi="宋体" w:cs="Arial"/>
        </w:rPr>
      </w:pPr>
      <w:r>
        <w:rPr>
          <w:rFonts w:hint="eastAsia" w:ascii="宋体" w:cs="宋体"/>
          <w:color w:val="000000"/>
          <w:kern w:val="0"/>
        </w:rPr>
        <w:t>3、投标供应商如认为采购过程和中标结果使自身的合法权益受到损害的，应于自预中标结果公告之日起七个工作日内以书面形式向采购机构提出质疑，逾期不予受理(</w:t>
      </w:r>
      <w:r>
        <w:rPr>
          <w:rFonts w:hint="eastAsia"/>
          <w:b/>
          <w:bCs/>
        </w:rPr>
        <w:t>质疑接收人：</w:t>
      </w:r>
      <w:r>
        <w:rPr>
          <w:rFonts w:hint="eastAsia" w:ascii="宋体" w:hAnsi="宋体" w:cs="Arial"/>
          <w:b/>
          <w:bCs/>
          <w:kern w:val="0"/>
          <w:lang w:eastAsia="zh-CN"/>
        </w:rPr>
        <w:t>朱国强</w:t>
      </w:r>
      <w:r>
        <w:rPr>
          <w:rFonts w:hint="eastAsia" w:ascii="宋体" w:hAnsi="宋体" w:cs="Arial"/>
          <w:b/>
          <w:bCs/>
          <w:kern w:val="0"/>
        </w:rPr>
        <w:t>,</w:t>
      </w:r>
      <w:r>
        <w:rPr>
          <w:rFonts w:hint="eastAsia"/>
          <w:b/>
          <w:bCs/>
        </w:rPr>
        <w:t>联系电话：</w:t>
      </w:r>
      <w:r>
        <w:rPr>
          <w:rFonts w:hint="eastAsia"/>
          <w:b/>
          <w:bCs/>
          <w:lang w:eastAsia="zh-CN"/>
        </w:rPr>
        <w:t>13511238599</w:t>
      </w:r>
      <w:r>
        <w:rPr>
          <w:rFonts w:hint="eastAsia"/>
          <w:b/>
          <w:bCs/>
        </w:rPr>
        <w:t>)</w:t>
      </w:r>
      <w:r>
        <w:rPr>
          <w:rFonts w:hint="eastAsia" w:ascii="宋体" w:cs="宋体"/>
          <w:color w:val="000000"/>
          <w:kern w:val="0"/>
        </w:rPr>
        <w:t>。投标供应商对采购机构的质疑答复不满意或者采购机构未在规定时间内作出答复的，可以在答复期满后十五个工作日内向同级政府采购监督管理部门投诉。</w:t>
      </w:r>
    </w:p>
    <w:p>
      <w:pPr>
        <w:snapToGrid w:val="0"/>
        <w:spacing w:line="440" w:lineRule="exact"/>
        <w:ind w:firstLine="480" w:firstLineChars="200"/>
        <w:rPr>
          <w:rFonts w:ascii="宋体" w:hAnsi="宋体" w:cs="Arial"/>
          <w:kern w:val="0"/>
          <w:sz w:val="24"/>
        </w:rPr>
      </w:pPr>
      <w:r>
        <w:rPr>
          <w:rFonts w:hint="eastAsia" w:ascii="宋体" w:hAnsi="宋体" w:cs="Arial"/>
          <w:b/>
          <w:bCs/>
          <w:kern w:val="0"/>
          <w:sz w:val="24"/>
        </w:rPr>
        <w:t>4、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pPr>
        <w:snapToGrid w:val="0"/>
        <w:spacing w:line="440" w:lineRule="exact"/>
        <w:ind w:firstLine="480" w:firstLineChars="200"/>
        <w:rPr>
          <w:rFonts w:ascii="宋体" w:hAnsi="宋体" w:cs="Arial"/>
          <w:kern w:val="0"/>
          <w:sz w:val="24"/>
        </w:rPr>
      </w:pPr>
      <w:r>
        <w:rPr>
          <w:rFonts w:hint="eastAsia" w:ascii="宋体" w:hAnsi="宋体" w:cs="Arial"/>
          <w:kern w:val="0"/>
          <w:sz w:val="24"/>
        </w:rPr>
        <w:t>5、参与政府采购项目的注册供应商，需登录浙江政府采购云平台(http://www.zcygov.cn)进行网上报名；尚未注册的供应商应当先在浙江政府采购云平台上申请注册，注册终审通过后再进行网上报名。</w:t>
      </w:r>
    </w:p>
    <w:p>
      <w:pPr>
        <w:snapToGrid w:val="0"/>
        <w:spacing w:line="440" w:lineRule="exact"/>
        <w:ind w:firstLine="480" w:firstLineChars="200"/>
        <w:rPr>
          <w:rFonts w:ascii="宋体" w:hAnsi="宋体"/>
          <w:b/>
          <w:sz w:val="24"/>
        </w:rPr>
      </w:pPr>
      <w:r>
        <w:rPr>
          <w:rFonts w:hint="eastAsia" w:ascii="宋体" w:hAnsi="宋体"/>
          <w:b/>
          <w:sz w:val="24"/>
        </w:rPr>
        <w:t>十、告知事项</w:t>
      </w:r>
    </w:p>
    <w:p>
      <w:pPr>
        <w:widowControl/>
        <w:spacing w:line="440" w:lineRule="exact"/>
        <w:ind w:firstLine="480" w:firstLineChars="200"/>
        <w:jc w:val="left"/>
        <w:rPr>
          <w:rFonts w:ascii="宋体" w:hAnsi="宋体" w:cs="Arial"/>
          <w:kern w:val="0"/>
          <w:sz w:val="24"/>
        </w:rPr>
      </w:pPr>
      <w:r>
        <w:rPr>
          <w:rFonts w:hint="eastAsia" w:ascii="宋体" w:hAnsi="宋体" w:cs="Arial"/>
          <w:kern w:val="0"/>
          <w:sz w:val="24"/>
        </w:rPr>
        <w:t xml:space="preserve"> 1、供应商可以派授权代表出席开标会议（授权代表必须携带身份证、法人授权委托书或法人身份证明文书等有效证明出席。未携带有效证明的，其投标文件将被拒绝），派授权代表出席开标会议的“备份投标文件”现场递交；不派授权代表出席开标会议的，“备份投标文件”通过邮寄的方式送达（</w:t>
      </w:r>
      <w:r>
        <w:rPr>
          <w:rFonts w:hint="eastAsia" w:ascii="宋体" w:hAnsi="宋体" w:cs="宋体"/>
          <w:b/>
          <w:color w:val="000000"/>
          <w:kern w:val="0"/>
          <w:sz w:val="24"/>
        </w:rPr>
        <w:t>邮寄地址：湖州市吴兴区清远路155号4号楼2楼（浙江中合工程管理有限公司），联系人：吕雪兰，联系电话：13567243756</w:t>
      </w:r>
      <w:r>
        <w:rPr>
          <w:rFonts w:hint="eastAsia" w:ascii="宋体" w:hAnsi="宋体" w:cs="Arial"/>
          <w:kern w:val="0"/>
          <w:sz w:val="24"/>
        </w:rPr>
        <w:t>）。</w:t>
      </w:r>
    </w:p>
    <w:p>
      <w:pPr>
        <w:snapToGrid w:val="0"/>
        <w:spacing w:line="440" w:lineRule="exact"/>
        <w:ind w:firstLine="480" w:firstLineChars="200"/>
        <w:rPr>
          <w:rFonts w:ascii="宋体" w:hAnsi="宋体"/>
          <w:sz w:val="24"/>
        </w:rPr>
      </w:pPr>
      <w:r>
        <w:rPr>
          <w:rFonts w:hint="eastAsia" w:ascii="宋体" w:hAnsi="宋体"/>
          <w:sz w:val="24"/>
        </w:rPr>
        <w:t>2、投标供应商如需到场，必须指派无疫情接触史、身体健康且符合防控要求、佩戴口罩的人员参与开标现场活动，请严格把关。且只能指派 1 人参加现场开标活动；</w:t>
      </w:r>
    </w:p>
    <w:p>
      <w:pPr>
        <w:snapToGrid w:val="0"/>
        <w:spacing w:line="440" w:lineRule="exact"/>
        <w:ind w:firstLine="480" w:firstLineChars="200"/>
        <w:rPr>
          <w:rFonts w:ascii="宋体" w:hAnsi="宋体"/>
          <w:sz w:val="24"/>
        </w:rPr>
      </w:pPr>
      <w:r>
        <w:rPr>
          <w:rFonts w:hint="eastAsia" w:ascii="宋体" w:hAnsi="宋体"/>
          <w:sz w:val="24"/>
        </w:rPr>
        <w:t>3、参加投标的人员，请自觉做好个人防护工作，必须全程佩戴口罩（自备），听从</w:t>
      </w:r>
    </w:p>
    <w:p>
      <w:pPr>
        <w:snapToGrid w:val="0"/>
        <w:spacing w:line="440" w:lineRule="exact"/>
        <w:rPr>
          <w:rFonts w:ascii="宋体" w:hAnsi="宋体"/>
          <w:sz w:val="24"/>
        </w:rPr>
      </w:pPr>
      <w:r>
        <w:rPr>
          <w:rFonts w:hint="eastAsia" w:ascii="宋体" w:hAnsi="宋体"/>
          <w:sz w:val="24"/>
        </w:rPr>
        <w:t>交易中心工作人员引导，必须提供“一证一码”，即：身份证、“湖州健康码”（个人支付宝或浙里办 APP 中申领）</w:t>
      </w:r>
      <w:r>
        <w:rPr>
          <w:rFonts w:hint="eastAsia" w:ascii="宋体" w:hAnsi="宋体" w:cs="Arial"/>
          <w:sz w:val="24"/>
        </w:rPr>
        <w:t>。</w:t>
      </w:r>
      <w:r>
        <w:rPr>
          <w:rFonts w:hint="eastAsia" w:ascii="宋体" w:hAnsi="宋体"/>
          <w:sz w:val="24"/>
        </w:rPr>
        <w:t>主动配合做好体温测量等各项疫情防控措施。</w:t>
      </w:r>
    </w:p>
    <w:p>
      <w:pPr>
        <w:snapToGrid w:val="0"/>
        <w:spacing w:line="440" w:lineRule="exact"/>
        <w:ind w:firstLine="480" w:firstLineChars="200"/>
        <w:rPr>
          <w:rFonts w:ascii="宋体" w:hAnsi="宋体"/>
          <w:sz w:val="24"/>
        </w:rPr>
      </w:pPr>
      <w:r>
        <w:rPr>
          <w:rFonts w:hint="eastAsia" w:ascii="宋体" w:hAnsi="宋体"/>
          <w:sz w:val="24"/>
        </w:rPr>
        <w:t xml:space="preserve"> 4、“湖州健康码”显示为绿色可进入交易中心，“湖州健康码”显示为黄色、红色或者现场测量体温高于 37.2℃且不符合防控管理要求的人员，一律谢绝进入交易中心参加开标活动；</w:t>
      </w:r>
    </w:p>
    <w:p>
      <w:pPr>
        <w:snapToGrid w:val="0"/>
        <w:spacing w:line="440" w:lineRule="exact"/>
        <w:ind w:firstLine="480" w:firstLineChars="200"/>
        <w:rPr>
          <w:rFonts w:ascii="宋体" w:hAnsi="宋体"/>
          <w:sz w:val="24"/>
        </w:rPr>
      </w:pPr>
      <w:r>
        <w:rPr>
          <w:rFonts w:hint="eastAsia" w:ascii="宋体" w:hAnsi="宋体"/>
          <w:sz w:val="24"/>
        </w:rPr>
        <w:t>5、请各潜在投标单位充分考虑因路程、卡口防疫检查等因素（注：不得违反国家、浙江省、湖州市、吴兴区等相关规定）。特殊时期，为避免各因素带来不便导致时间效率问题，请各潜在投标人提前30分钟到场，确保投标有效。</w:t>
      </w:r>
    </w:p>
    <w:p>
      <w:pPr>
        <w:snapToGrid w:val="0"/>
        <w:spacing w:line="440" w:lineRule="exact"/>
        <w:ind w:firstLine="480" w:firstLineChars="200"/>
      </w:pPr>
      <w:r>
        <w:rPr>
          <w:rFonts w:hint="eastAsia" w:ascii="宋体" w:hAnsi="宋体"/>
          <w:sz w:val="24"/>
        </w:rPr>
        <w:t>6、所有需进入吴兴区公共资源交易中心的相关人员应自觉遵守国家以及省、市、区有关疫情防控的其他规定。</w:t>
      </w:r>
    </w:p>
    <w:p>
      <w:pPr>
        <w:widowControl/>
        <w:spacing w:line="440" w:lineRule="exact"/>
        <w:ind w:firstLine="480" w:firstLineChars="200"/>
        <w:jc w:val="left"/>
        <w:rPr>
          <w:rFonts w:ascii="Arial" w:hAnsi="Arial" w:cs="Arial"/>
          <w:kern w:val="0"/>
          <w:sz w:val="24"/>
        </w:rPr>
      </w:pPr>
      <w:r>
        <w:rPr>
          <w:rFonts w:hint="eastAsia" w:ascii="宋体" w:hAnsi="宋体" w:cs="Arial"/>
          <w:b/>
          <w:bCs/>
          <w:kern w:val="0"/>
          <w:sz w:val="24"/>
        </w:rPr>
        <w:t>十一．联系方式</w:t>
      </w:r>
    </w:p>
    <w:p>
      <w:pPr>
        <w:widowControl/>
        <w:spacing w:line="440" w:lineRule="exact"/>
        <w:ind w:firstLine="420"/>
        <w:jc w:val="left"/>
        <w:rPr>
          <w:rFonts w:ascii="宋体" w:hAnsi="宋体" w:cs="Arial"/>
          <w:kern w:val="0"/>
          <w:sz w:val="24"/>
        </w:rPr>
      </w:pPr>
      <w:r>
        <w:rPr>
          <w:rFonts w:hint="eastAsia" w:ascii="宋体" w:hAnsi="宋体" w:cs="Arial"/>
          <w:kern w:val="0"/>
          <w:sz w:val="24"/>
        </w:rPr>
        <w:t>1、采购代理机构名称：浙江中合工程管理有限公司</w:t>
      </w:r>
    </w:p>
    <w:p>
      <w:pPr>
        <w:widowControl/>
        <w:spacing w:line="440" w:lineRule="exact"/>
        <w:ind w:firstLine="420"/>
        <w:jc w:val="left"/>
        <w:rPr>
          <w:rFonts w:ascii="宋体" w:hAnsi="宋体" w:cs="Arial"/>
          <w:kern w:val="0"/>
          <w:sz w:val="24"/>
        </w:rPr>
      </w:pPr>
      <w:r>
        <w:rPr>
          <w:rFonts w:hint="eastAsia" w:ascii="宋体" w:hAnsi="宋体" w:cs="Arial"/>
          <w:kern w:val="0"/>
          <w:sz w:val="24"/>
        </w:rPr>
        <w:t>联系人：吕雪兰   联系电话：0572-2026620   传真：0572-2055802</w:t>
      </w:r>
    </w:p>
    <w:p>
      <w:pPr>
        <w:pStyle w:val="36"/>
        <w:spacing w:line="420" w:lineRule="exact"/>
        <w:ind w:firstLine="480" w:firstLineChars="200"/>
        <w:rPr>
          <w:rFonts w:hint="eastAsia" w:eastAsia="微软雅黑"/>
          <w:b/>
          <w:bCs/>
          <w:lang w:eastAsia="zh-CN"/>
        </w:rPr>
      </w:pPr>
      <w:r>
        <w:rPr>
          <w:rFonts w:hint="eastAsia"/>
          <w:b/>
          <w:bCs/>
        </w:rPr>
        <w:t>质疑接收人：</w:t>
      </w:r>
      <w:r>
        <w:rPr>
          <w:rFonts w:hint="eastAsia" w:ascii="宋体" w:hAnsi="宋体" w:cs="Arial"/>
          <w:b/>
          <w:bCs/>
          <w:kern w:val="0"/>
          <w:lang w:eastAsia="zh-CN"/>
        </w:rPr>
        <w:t>朱国强</w:t>
      </w:r>
      <w:r>
        <w:rPr>
          <w:rFonts w:hint="eastAsia" w:ascii="宋体" w:hAnsi="宋体" w:cs="Arial"/>
          <w:b/>
          <w:bCs/>
          <w:kern w:val="0"/>
          <w:lang w:val="en-US" w:eastAsia="zh-CN"/>
        </w:rPr>
        <w:t xml:space="preserve">  </w:t>
      </w:r>
      <w:r>
        <w:rPr>
          <w:rFonts w:hint="eastAsia"/>
          <w:b/>
          <w:bCs/>
        </w:rPr>
        <w:t>联系电话：</w:t>
      </w:r>
      <w:r>
        <w:rPr>
          <w:rFonts w:hint="eastAsia"/>
          <w:b/>
          <w:bCs/>
          <w:lang w:eastAsia="zh-CN"/>
        </w:rPr>
        <w:t>13511238599</w:t>
      </w:r>
    </w:p>
    <w:p>
      <w:pPr>
        <w:widowControl/>
        <w:spacing w:line="440" w:lineRule="exact"/>
        <w:ind w:firstLine="480" w:firstLineChars="200"/>
        <w:jc w:val="left"/>
        <w:rPr>
          <w:rFonts w:ascii="宋体" w:hAnsi="宋体" w:cs="Arial"/>
          <w:kern w:val="0"/>
          <w:sz w:val="24"/>
        </w:rPr>
      </w:pPr>
      <w:r>
        <w:rPr>
          <w:rFonts w:hint="eastAsia" w:ascii="宋体" w:hAnsi="宋体" w:cs="Arial"/>
          <w:kern w:val="0"/>
          <w:sz w:val="24"/>
        </w:rPr>
        <w:t>2、采购人名称：湖州市吴兴区民政局、湖州南太湖新区社会发展服务中心</w:t>
      </w:r>
    </w:p>
    <w:p>
      <w:pPr>
        <w:widowControl/>
        <w:spacing w:line="440" w:lineRule="exact"/>
        <w:ind w:firstLine="420"/>
        <w:jc w:val="left"/>
        <w:rPr>
          <w:rFonts w:ascii="宋体" w:hAnsi="宋体" w:cs="Arial"/>
          <w:kern w:val="0"/>
          <w:sz w:val="24"/>
        </w:rPr>
      </w:pPr>
      <w:r>
        <w:rPr>
          <w:rFonts w:hint="eastAsia" w:ascii="宋体" w:hAnsi="宋体" w:cs="Arial"/>
          <w:kern w:val="0"/>
          <w:sz w:val="24"/>
        </w:rPr>
        <w:t>联系人：汤勇      联系电话：0572-2551320</w:t>
      </w:r>
    </w:p>
    <w:p>
      <w:pPr>
        <w:widowControl/>
        <w:spacing w:line="440" w:lineRule="exact"/>
        <w:ind w:firstLine="420"/>
        <w:jc w:val="left"/>
        <w:rPr>
          <w:rFonts w:ascii="宋体" w:hAnsi="宋体" w:cs="Arial"/>
          <w:kern w:val="0"/>
          <w:sz w:val="24"/>
        </w:rPr>
      </w:pPr>
      <w:r>
        <w:rPr>
          <w:rFonts w:hint="eastAsia" w:ascii="宋体" w:hAnsi="宋体" w:cs="Arial"/>
          <w:kern w:val="0"/>
          <w:sz w:val="24"/>
        </w:rPr>
        <w:t>联系人：何欢      联系电话：0572-2668216</w:t>
      </w:r>
    </w:p>
    <w:p>
      <w:pPr>
        <w:widowControl/>
        <w:spacing w:line="440" w:lineRule="exact"/>
        <w:ind w:firstLine="420"/>
        <w:jc w:val="left"/>
        <w:rPr>
          <w:rFonts w:ascii="宋体" w:hAnsi="宋体" w:cs="Arial"/>
          <w:kern w:val="0"/>
          <w:sz w:val="24"/>
        </w:rPr>
      </w:pPr>
      <w:r>
        <w:rPr>
          <w:rFonts w:hint="eastAsia" w:ascii="宋体" w:hAnsi="宋体" w:cs="Arial"/>
          <w:kern w:val="0"/>
          <w:sz w:val="24"/>
        </w:rPr>
        <w:t>3、同政府采购行政监管及投诉受理部门：</w:t>
      </w:r>
    </w:p>
    <w:p>
      <w:pPr>
        <w:widowControl/>
        <w:spacing w:line="440" w:lineRule="exact"/>
        <w:ind w:firstLine="420"/>
        <w:jc w:val="left"/>
        <w:rPr>
          <w:rFonts w:ascii="宋体" w:hAnsi="宋体" w:cs="Arial"/>
          <w:kern w:val="0"/>
          <w:sz w:val="24"/>
        </w:rPr>
      </w:pPr>
      <w:r>
        <w:rPr>
          <w:rFonts w:hint="eastAsia" w:ascii="宋体" w:hAnsi="宋体" w:cs="Arial"/>
          <w:kern w:val="0"/>
          <w:sz w:val="24"/>
        </w:rPr>
        <w:t>湖州市吴兴区政府采购监管科      联系电话：0572-2289702</w:t>
      </w:r>
    </w:p>
    <w:p>
      <w:pPr>
        <w:pStyle w:val="22"/>
        <w:ind w:firstLine="0"/>
      </w:pPr>
      <w:bookmarkStart w:id="9" w:name="_Toc424544526"/>
      <w:bookmarkStart w:id="10" w:name="_Toc424544805"/>
      <w:bookmarkStart w:id="11" w:name="_Toc177870534"/>
      <w:bookmarkStart w:id="12" w:name="_Toc293917015"/>
      <w:bookmarkStart w:id="13" w:name="_Toc293916351"/>
      <w:bookmarkStart w:id="14" w:name="_Toc293916869"/>
      <w:bookmarkStart w:id="15" w:name="_Toc293916000"/>
    </w:p>
    <w:p>
      <w:pPr>
        <w:spacing w:beforeLines="50" w:afterLines="50"/>
        <w:jc w:val="center"/>
        <w:outlineLvl w:val="0"/>
        <w:rPr>
          <w:rFonts w:ascii="宋体" w:hAnsi="宋体"/>
          <w:b/>
          <w:bCs/>
          <w:sz w:val="32"/>
          <w:szCs w:val="30"/>
        </w:rPr>
      </w:pPr>
      <w:bookmarkStart w:id="16" w:name="_Toc20196"/>
    </w:p>
    <w:p>
      <w:pPr>
        <w:spacing w:beforeLines="50" w:afterLines="50"/>
        <w:jc w:val="center"/>
        <w:outlineLvl w:val="0"/>
        <w:rPr>
          <w:rFonts w:ascii="宋体" w:hAnsi="宋体"/>
          <w:b/>
          <w:bCs/>
          <w:sz w:val="32"/>
          <w:szCs w:val="30"/>
        </w:rPr>
      </w:pPr>
    </w:p>
    <w:p>
      <w:pPr>
        <w:spacing w:beforeLines="50" w:afterLines="50"/>
        <w:jc w:val="center"/>
        <w:outlineLvl w:val="0"/>
        <w:rPr>
          <w:rFonts w:ascii="宋体" w:hAnsi="宋体"/>
          <w:b/>
          <w:bCs/>
          <w:sz w:val="32"/>
          <w:szCs w:val="30"/>
        </w:rPr>
      </w:pPr>
    </w:p>
    <w:p>
      <w:pPr>
        <w:spacing w:beforeLines="50" w:afterLines="50"/>
        <w:jc w:val="center"/>
        <w:outlineLvl w:val="0"/>
        <w:rPr>
          <w:rFonts w:ascii="宋体" w:hAnsi="宋体"/>
          <w:b/>
          <w:bCs/>
          <w:sz w:val="32"/>
          <w:szCs w:val="30"/>
        </w:rPr>
      </w:pPr>
    </w:p>
    <w:p>
      <w:pPr>
        <w:spacing w:beforeLines="50" w:afterLines="50"/>
        <w:jc w:val="center"/>
        <w:outlineLvl w:val="0"/>
        <w:rPr>
          <w:rFonts w:ascii="宋体" w:hAnsi="宋体"/>
          <w:b/>
          <w:bCs/>
          <w:sz w:val="32"/>
          <w:szCs w:val="30"/>
        </w:rPr>
      </w:pPr>
    </w:p>
    <w:p>
      <w:pPr>
        <w:spacing w:beforeLines="50" w:afterLines="50"/>
        <w:jc w:val="center"/>
        <w:outlineLvl w:val="0"/>
        <w:rPr>
          <w:rFonts w:ascii="宋体" w:hAnsi="宋体"/>
          <w:b/>
          <w:bCs/>
          <w:sz w:val="32"/>
          <w:szCs w:val="30"/>
        </w:rPr>
      </w:pPr>
    </w:p>
    <w:p>
      <w:pPr>
        <w:spacing w:beforeLines="50" w:afterLines="50"/>
        <w:jc w:val="center"/>
        <w:outlineLvl w:val="0"/>
        <w:rPr>
          <w:rFonts w:ascii="宋体" w:hAnsi="宋体"/>
          <w:b/>
          <w:bCs/>
          <w:sz w:val="32"/>
          <w:szCs w:val="30"/>
        </w:rPr>
      </w:pPr>
    </w:p>
    <w:p>
      <w:pPr>
        <w:spacing w:beforeLines="50" w:afterLines="50"/>
        <w:jc w:val="center"/>
        <w:outlineLvl w:val="0"/>
        <w:rPr>
          <w:rFonts w:ascii="宋体" w:hAnsi="宋体"/>
          <w:b/>
          <w:bCs/>
          <w:sz w:val="32"/>
          <w:szCs w:val="30"/>
        </w:rPr>
      </w:pPr>
    </w:p>
    <w:p>
      <w:pPr>
        <w:spacing w:beforeLines="50" w:afterLines="50"/>
        <w:jc w:val="center"/>
        <w:outlineLvl w:val="0"/>
        <w:rPr>
          <w:rFonts w:ascii="宋体" w:hAnsi="宋体"/>
          <w:b/>
          <w:bCs/>
          <w:sz w:val="32"/>
          <w:szCs w:val="30"/>
        </w:rPr>
      </w:pPr>
    </w:p>
    <w:p>
      <w:pPr>
        <w:spacing w:beforeLines="50" w:afterLines="50"/>
        <w:jc w:val="center"/>
        <w:outlineLvl w:val="0"/>
        <w:rPr>
          <w:rFonts w:ascii="宋体" w:hAnsi="宋体"/>
          <w:b/>
          <w:bCs/>
          <w:sz w:val="32"/>
          <w:szCs w:val="30"/>
        </w:rPr>
      </w:pPr>
    </w:p>
    <w:p>
      <w:pPr>
        <w:spacing w:beforeLines="50" w:afterLines="50"/>
        <w:jc w:val="center"/>
        <w:outlineLvl w:val="0"/>
        <w:rPr>
          <w:rFonts w:ascii="宋体" w:hAnsi="宋体"/>
          <w:b/>
          <w:bCs/>
          <w:sz w:val="32"/>
          <w:szCs w:val="30"/>
        </w:rPr>
      </w:pPr>
    </w:p>
    <w:p>
      <w:pPr>
        <w:spacing w:beforeLines="50" w:afterLines="50"/>
        <w:jc w:val="center"/>
        <w:outlineLvl w:val="0"/>
        <w:rPr>
          <w:rFonts w:ascii="宋体" w:hAnsi="宋体"/>
          <w:b/>
          <w:bCs/>
          <w:sz w:val="32"/>
          <w:szCs w:val="30"/>
        </w:rPr>
      </w:pPr>
    </w:p>
    <w:p>
      <w:pPr>
        <w:spacing w:beforeLines="50" w:afterLines="50"/>
        <w:jc w:val="center"/>
        <w:outlineLvl w:val="0"/>
        <w:rPr>
          <w:rFonts w:ascii="宋体" w:hAnsi="宋体"/>
          <w:b/>
          <w:bCs/>
          <w:sz w:val="32"/>
          <w:szCs w:val="30"/>
        </w:rPr>
      </w:pPr>
    </w:p>
    <w:p>
      <w:pPr>
        <w:spacing w:beforeLines="50" w:afterLines="50"/>
        <w:jc w:val="center"/>
        <w:outlineLvl w:val="0"/>
        <w:rPr>
          <w:rFonts w:ascii="宋体" w:hAnsi="宋体"/>
          <w:b/>
          <w:bCs/>
          <w:sz w:val="32"/>
          <w:szCs w:val="30"/>
        </w:rPr>
      </w:pPr>
    </w:p>
    <w:p>
      <w:pPr>
        <w:spacing w:beforeLines="50" w:afterLines="50"/>
        <w:jc w:val="center"/>
        <w:outlineLvl w:val="0"/>
        <w:rPr>
          <w:rFonts w:ascii="宋体" w:hAnsi="宋体"/>
          <w:b/>
          <w:bCs/>
          <w:sz w:val="32"/>
          <w:szCs w:val="30"/>
        </w:rPr>
      </w:pPr>
    </w:p>
    <w:p>
      <w:pPr>
        <w:spacing w:beforeLines="50" w:afterLines="50"/>
        <w:jc w:val="center"/>
        <w:outlineLvl w:val="0"/>
        <w:rPr>
          <w:rFonts w:hint="eastAsia" w:ascii="宋体" w:hAnsi="宋体"/>
          <w:b/>
          <w:bCs/>
          <w:sz w:val="32"/>
          <w:szCs w:val="30"/>
        </w:rPr>
      </w:pPr>
    </w:p>
    <w:p>
      <w:pPr>
        <w:pStyle w:val="2"/>
      </w:pPr>
    </w:p>
    <w:p>
      <w:pPr>
        <w:spacing w:beforeLines="50" w:afterLines="50"/>
        <w:jc w:val="center"/>
        <w:outlineLvl w:val="0"/>
        <w:rPr>
          <w:sz w:val="24"/>
        </w:rPr>
      </w:pPr>
      <w:r>
        <w:rPr>
          <w:rFonts w:hint="eastAsia" w:ascii="宋体" w:hAnsi="宋体"/>
          <w:b/>
          <w:bCs/>
          <w:sz w:val="32"/>
          <w:szCs w:val="30"/>
        </w:rPr>
        <w:t>第二章、招标需求</w:t>
      </w:r>
      <w:bookmarkEnd w:id="9"/>
      <w:bookmarkEnd w:id="10"/>
      <w:bookmarkEnd w:id="16"/>
      <w:bookmarkStart w:id="17" w:name="_Toc29879"/>
    </w:p>
    <w:bookmarkEnd w:id="17"/>
    <w:p>
      <w:pPr>
        <w:pStyle w:val="3"/>
        <w:keepLines w:val="0"/>
        <w:widowControl/>
        <w:numPr>
          <w:ilvl w:val="0"/>
          <w:numId w:val="1"/>
        </w:numPr>
        <w:spacing w:before="240" w:after="240"/>
        <w:ind w:left="425" w:hanging="425"/>
        <w:rPr>
          <w:rFonts w:ascii="仿宋" w:hAnsi="仿宋" w:eastAsia="仿宋"/>
        </w:rPr>
      </w:pPr>
      <w:bookmarkStart w:id="18" w:name="_Toc10020"/>
      <w:bookmarkStart w:id="19" w:name="_Toc30770"/>
      <w:bookmarkStart w:id="20" w:name="_Toc424544531"/>
      <w:bookmarkStart w:id="21" w:name="_Toc424544810"/>
      <w:r>
        <w:rPr>
          <w:rFonts w:hint="eastAsia" w:ascii="仿宋" w:hAnsi="仿宋" w:eastAsia="仿宋"/>
        </w:rPr>
        <w:t>、概况</w:t>
      </w:r>
      <w:bookmarkEnd w:id="18"/>
      <w:bookmarkEnd w:id="19"/>
    </w:p>
    <w:p>
      <w:pPr>
        <w:pStyle w:val="5"/>
        <w:keepLines w:val="0"/>
        <w:widowControl/>
        <w:numPr>
          <w:ilvl w:val="1"/>
          <w:numId w:val="2"/>
        </w:numPr>
        <w:spacing w:before="240" w:after="240" w:line="360" w:lineRule="auto"/>
        <w:ind w:right="210" w:rightChars="100"/>
        <w:rPr>
          <w:rFonts w:ascii="仿宋" w:hAnsi="仿宋" w:eastAsia="仿宋"/>
        </w:rPr>
      </w:pPr>
      <w:bookmarkStart w:id="22" w:name="_Toc10656"/>
      <w:bookmarkStart w:id="23" w:name="_Toc11737"/>
      <w:r>
        <w:rPr>
          <w:rFonts w:hint="eastAsia" w:ascii="仿宋" w:hAnsi="仿宋" w:eastAsia="仿宋"/>
          <w:sz w:val="30"/>
          <w:szCs w:val="30"/>
        </w:rPr>
        <w:t>项目背景</w:t>
      </w:r>
      <w:bookmarkEnd w:id="22"/>
      <w:bookmarkEnd w:id="23"/>
    </w:p>
    <w:p>
      <w:pPr>
        <w:autoSpaceDE w:val="0"/>
        <w:autoSpaceDN w:val="0"/>
        <w:adjustRightInd w:val="0"/>
        <w:spacing w:line="360" w:lineRule="auto"/>
        <w:ind w:firstLine="480" w:firstLineChars="200"/>
        <w:rPr>
          <w:rFonts w:ascii="宋体" w:hAnsi="宋体" w:cs="Arial"/>
          <w:kern w:val="0"/>
          <w:sz w:val="24"/>
          <w:lang w:val="zh-CN"/>
        </w:rPr>
      </w:pPr>
      <w:bookmarkStart w:id="24" w:name="_Toc421280260"/>
      <w:bookmarkStart w:id="25" w:name="_Toc502883038"/>
      <w:bookmarkStart w:id="26" w:name="_Toc503119786"/>
      <w:bookmarkStart w:id="27" w:name="_Toc421280210"/>
      <w:r>
        <w:rPr>
          <w:rFonts w:hint="eastAsia" w:ascii="宋体" w:hAnsi="宋体" w:cs="Arial"/>
          <w:kern w:val="0"/>
          <w:sz w:val="24"/>
          <w:lang w:val="zh-CN"/>
        </w:rPr>
        <w:t>根据省委深化办、省跑改办、自然资源厅、发改委、民政厅等12个部门联合下发的《浙江省优化营商环境不动产登记“一件事”便利化行动方案》（浙改办发〔2019〕43号）文件精神，湖州市民政局8月8日也同时发文《关于进一步健全完善地名数据库的通知》湖民〔2019〕20号文件。按照文件要求“12月底，地名管理部门应健全完善地名数据库，对非因企业原因发生的不动产坐落、地址变化需要办理变更登记，经申请由不动产登记机构通过地名数据共享办理变更登记。”，通过“吴兴区（含南太湖）地名地址信息采集建库项目”建设，进一步采集完善地名地址信息，将极大的丰富和完善地名地址数据资源，在资源共享的基础上，为优化营商环境不动产登记“一件事”、深化“最多跑一次”便民服务改革，实现政府数字化转型提供更为全面的、重要的数据支撑。</w:t>
      </w:r>
    </w:p>
    <w:p>
      <w:pPr>
        <w:autoSpaceDE w:val="0"/>
        <w:autoSpaceDN w:val="0"/>
        <w:adjustRightInd w:val="0"/>
        <w:spacing w:line="360" w:lineRule="auto"/>
        <w:ind w:firstLine="480" w:firstLineChars="200"/>
        <w:rPr>
          <w:rFonts w:ascii="宋体" w:hAnsi="宋体" w:cs="Arial"/>
          <w:kern w:val="0"/>
          <w:sz w:val="24"/>
          <w:lang w:val="zh-CN"/>
        </w:rPr>
      </w:pPr>
      <w:r>
        <w:rPr>
          <w:rFonts w:hint="eastAsia" w:ascii="宋体" w:hAnsi="宋体" w:cs="Arial"/>
          <w:kern w:val="0"/>
          <w:sz w:val="24"/>
          <w:lang w:val="zh-CN"/>
        </w:rPr>
        <w:t>吴兴区（含南太湖）地名地址信息调查建库项目建设，践行“以民为本、为民解困、为民服务”民政工作宗旨，是深化“最多跑一次”便民服务改革的重要手段，也是建设现代大民政、提升公共服务效率和水平的必然要求。</w:t>
      </w:r>
    </w:p>
    <w:bookmarkEnd w:id="24"/>
    <w:bookmarkEnd w:id="25"/>
    <w:bookmarkEnd w:id="26"/>
    <w:bookmarkEnd w:id="27"/>
    <w:p>
      <w:pPr>
        <w:pStyle w:val="3"/>
        <w:keepLines w:val="0"/>
        <w:widowControl/>
        <w:numPr>
          <w:ilvl w:val="0"/>
          <w:numId w:val="1"/>
        </w:numPr>
        <w:spacing w:before="240" w:after="240"/>
        <w:ind w:left="425" w:hanging="425"/>
        <w:rPr>
          <w:rFonts w:ascii="仿宋" w:hAnsi="仿宋" w:eastAsia="仿宋"/>
        </w:rPr>
      </w:pPr>
      <w:bookmarkStart w:id="28" w:name="_Toc502913608"/>
      <w:bookmarkStart w:id="29" w:name="_Toc25193"/>
      <w:bookmarkStart w:id="30" w:name="_Toc5838"/>
      <w:bookmarkStart w:id="31" w:name="_Toc503119787"/>
      <w:r>
        <w:rPr>
          <w:rFonts w:hint="eastAsia" w:ascii="仿宋" w:hAnsi="仿宋" w:eastAsia="仿宋"/>
        </w:rPr>
        <w:t>、建设目标</w:t>
      </w:r>
      <w:bookmarkEnd w:id="28"/>
      <w:bookmarkEnd w:id="29"/>
      <w:bookmarkEnd w:id="30"/>
      <w:bookmarkEnd w:id="31"/>
    </w:p>
    <w:p>
      <w:pPr>
        <w:autoSpaceDE w:val="0"/>
        <w:autoSpaceDN w:val="0"/>
        <w:adjustRightInd w:val="0"/>
        <w:spacing w:line="360" w:lineRule="auto"/>
        <w:ind w:firstLine="480" w:firstLineChars="200"/>
        <w:rPr>
          <w:rFonts w:ascii="宋体" w:hAnsi="宋体" w:cs="Arial"/>
          <w:kern w:val="0"/>
          <w:sz w:val="24"/>
          <w:lang w:val="zh-CN"/>
        </w:rPr>
      </w:pPr>
      <w:r>
        <w:rPr>
          <w:rFonts w:hint="eastAsia" w:ascii="宋体" w:hAnsi="宋体" w:cs="Arial"/>
          <w:kern w:val="0"/>
          <w:sz w:val="24"/>
          <w:lang w:val="zh-CN"/>
        </w:rPr>
        <w:t>吴兴区（含南太湖）地名地址信息调查建库项目的建设的目标是以“政府提效、服务提质”为要求，进一步深化“最多跑一次”便民服务的改革成果，排查走访我区范围内的全量地名地址数据，成果数据与各部门之间实现数据共享联动，夯实智慧城市的基础工作，最终实现地名业务申请终端化、二维码化，地名档案信息“码上查”，为我区地名管理服务工作全面的数字化转型铺路。</w:t>
      </w:r>
    </w:p>
    <w:p>
      <w:pPr>
        <w:autoSpaceDE w:val="0"/>
        <w:autoSpaceDN w:val="0"/>
        <w:adjustRightInd w:val="0"/>
        <w:spacing w:line="360" w:lineRule="auto"/>
        <w:ind w:firstLine="480" w:firstLineChars="200"/>
        <w:rPr>
          <w:rFonts w:ascii="宋体" w:hAnsi="宋体" w:cs="Arial"/>
          <w:kern w:val="0"/>
          <w:sz w:val="24"/>
          <w:lang w:val="zh-CN"/>
        </w:rPr>
      </w:pPr>
      <w:r>
        <w:rPr>
          <w:rFonts w:hint="eastAsia" w:ascii="宋体" w:hAnsi="宋体" w:cs="Arial"/>
          <w:kern w:val="0"/>
          <w:sz w:val="24"/>
          <w:lang w:val="zh-CN"/>
        </w:rPr>
        <w:t>在共享机制上，进一步完善共享交换和多元校核的协同机制，完善省、市、县（市）三级数据资源共享、服务同步、紧密配合的“一站式”服务体系，全方位破除系统数据壁垒，上通下达，全市通办，提升群众和企业单位在政务服务体验方面的获得感，为地名的管理服务创新提供信息化产品支撑。</w:t>
      </w:r>
    </w:p>
    <w:p>
      <w:pPr>
        <w:pStyle w:val="3"/>
        <w:keepLines w:val="0"/>
        <w:widowControl/>
        <w:numPr>
          <w:ilvl w:val="0"/>
          <w:numId w:val="1"/>
        </w:numPr>
        <w:spacing w:before="240" w:after="240"/>
        <w:ind w:left="425" w:hanging="425"/>
        <w:rPr>
          <w:rFonts w:ascii="仿宋" w:hAnsi="仿宋" w:eastAsia="仿宋"/>
        </w:rPr>
      </w:pPr>
      <w:bookmarkStart w:id="32" w:name="_Toc503119798"/>
      <w:bookmarkStart w:id="33" w:name="_Toc24451"/>
      <w:bookmarkStart w:id="34" w:name="_Toc8804"/>
      <w:bookmarkStart w:id="35" w:name="_Toc502913621"/>
      <w:r>
        <w:rPr>
          <w:rFonts w:hint="eastAsia" w:ascii="仿宋" w:hAnsi="仿宋" w:eastAsia="仿宋"/>
        </w:rPr>
        <w:t>、建设内容</w:t>
      </w:r>
      <w:bookmarkEnd w:id="32"/>
      <w:bookmarkEnd w:id="33"/>
      <w:bookmarkEnd w:id="34"/>
      <w:bookmarkEnd w:id="35"/>
    </w:p>
    <w:p>
      <w:pPr>
        <w:autoSpaceDE w:val="0"/>
        <w:autoSpaceDN w:val="0"/>
        <w:adjustRightInd w:val="0"/>
        <w:spacing w:line="360" w:lineRule="auto"/>
        <w:ind w:firstLine="480" w:firstLineChars="200"/>
        <w:rPr>
          <w:rFonts w:ascii="宋体" w:hAnsi="宋体" w:cs="Arial"/>
          <w:b/>
          <w:bCs/>
          <w:color w:val="FF0000"/>
          <w:kern w:val="0"/>
          <w:sz w:val="24"/>
          <w:lang w:val="zh-CN"/>
        </w:rPr>
      </w:pPr>
      <w:r>
        <w:rPr>
          <w:rFonts w:hint="eastAsia" w:ascii="宋体" w:hAnsi="宋体" w:cs="Arial"/>
          <w:kern w:val="0"/>
          <w:sz w:val="24"/>
          <w:lang w:val="zh-CN"/>
        </w:rPr>
        <w:t>吴兴区（含南太湖）地名地址信息采集建库项目通过对地名地址全量数据采集核查，属性信息部分的归集整理及空间信息部分的采集，匹配关联，录入浙江省区划地名管理信息系统，推送湖州市民政局共享交换平台，实现与湖州市大数据局的数据共享交换，完成吴兴区（含南太湖）地名地址库的建设。</w:t>
      </w:r>
      <w:r>
        <w:rPr>
          <w:rFonts w:hint="eastAsia" w:ascii="宋体" w:hAnsi="宋体" w:cs="Arial"/>
          <w:b/>
          <w:bCs/>
          <w:color w:val="FF0000"/>
          <w:kern w:val="0"/>
          <w:sz w:val="24"/>
          <w:lang w:val="zh-CN"/>
        </w:rPr>
        <w:t>本项目统筹规划，分步实施，本次招标项目范围为吴兴区：646平方公里（全域），南太湖225平方公里（全域）。</w:t>
      </w:r>
    </w:p>
    <w:p>
      <w:pPr>
        <w:pStyle w:val="5"/>
        <w:keepLines w:val="0"/>
        <w:widowControl/>
        <w:numPr>
          <w:ilvl w:val="1"/>
          <w:numId w:val="1"/>
        </w:numPr>
        <w:spacing w:before="240" w:after="240" w:line="360" w:lineRule="auto"/>
        <w:ind w:right="210" w:rightChars="100"/>
        <w:rPr>
          <w:rFonts w:ascii="仿宋" w:hAnsi="仿宋" w:eastAsia="仿宋"/>
        </w:rPr>
      </w:pPr>
      <w:bookmarkStart w:id="36" w:name="_Toc13105"/>
      <w:bookmarkStart w:id="37" w:name="_Toc34296937"/>
      <w:bookmarkStart w:id="38" w:name="_Toc1478"/>
      <w:r>
        <w:rPr>
          <w:rFonts w:hint="eastAsia" w:ascii="仿宋" w:hAnsi="仿宋" w:eastAsia="仿宋"/>
        </w:rPr>
        <w:t>地名</w:t>
      </w:r>
      <w:r>
        <w:rPr>
          <w:rFonts w:ascii="仿宋" w:hAnsi="仿宋" w:eastAsia="仿宋"/>
        </w:rPr>
        <w:t>地址</w:t>
      </w:r>
      <w:r>
        <w:rPr>
          <w:rFonts w:hint="eastAsia" w:ascii="仿宋" w:hAnsi="仿宋" w:eastAsia="仿宋"/>
        </w:rPr>
        <w:t>数据内业整理</w:t>
      </w:r>
      <w:bookmarkEnd w:id="36"/>
      <w:bookmarkEnd w:id="37"/>
      <w:bookmarkEnd w:id="38"/>
    </w:p>
    <w:p>
      <w:pPr>
        <w:autoSpaceDE w:val="0"/>
        <w:autoSpaceDN w:val="0"/>
        <w:adjustRightInd w:val="0"/>
        <w:spacing w:line="360" w:lineRule="auto"/>
        <w:ind w:firstLine="480" w:firstLineChars="200"/>
        <w:rPr>
          <w:rFonts w:ascii="宋体" w:hAnsi="宋体" w:cs="Arial"/>
          <w:kern w:val="0"/>
          <w:sz w:val="24"/>
          <w:lang w:val="zh-CN"/>
        </w:rPr>
      </w:pPr>
      <w:r>
        <w:rPr>
          <w:rFonts w:hint="eastAsia" w:ascii="宋体" w:hAnsi="宋体" w:cs="Arial"/>
          <w:kern w:val="0"/>
          <w:sz w:val="24"/>
          <w:lang w:val="zh-CN"/>
        </w:rPr>
        <w:t>地名地址属性信息归集整理需要通盘考虑，具体措施有：一是结合数据规范，借助各街道（乡镇）、社区（村）工作人员的力量，实现对地名地址属性数据的收集；二是通过多部门间的协同配合，获取相关业务部门（如：不动产登记信息）的成果数据进行挖掘分析，提取可用数据。最终通过对多份成果数据的比对、去重、补全和核查，最终获取相对完整地名地址属性信息。</w:t>
      </w:r>
    </w:p>
    <w:p>
      <w:pPr>
        <w:autoSpaceDE w:val="0"/>
        <w:autoSpaceDN w:val="0"/>
        <w:adjustRightInd w:val="0"/>
        <w:spacing w:line="360" w:lineRule="auto"/>
        <w:ind w:firstLine="480" w:firstLineChars="200"/>
        <w:rPr>
          <w:rFonts w:ascii="宋体" w:hAnsi="宋体" w:cs="Arial"/>
          <w:kern w:val="0"/>
          <w:sz w:val="24"/>
          <w:lang w:val="zh-CN"/>
        </w:rPr>
      </w:pPr>
      <w:r>
        <w:rPr>
          <w:rFonts w:hint="eastAsia" w:ascii="宋体" w:hAnsi="宋体" w:cs="Arial"/>
          <w:kern w:val="0"/>
          <w:sz w:val="24"/>
          <w:lang w:val="zh-CN"/>
        </w:rPr>
        <w:t>基本环节包括：规范制定、数据归集、标准化处理、数据清洗、清洗结果汇总、标准化后数据质检等。</w:t>
      </w:r>
    </w:p>
    <w:p>
      <w:pPr>
        <w:pStyle w:val="6"/>
        <w:widowControl/>
        <w:numPr>
          <w:ilvl w:val="2"/>
          <w:numId w:val="1"/>
        </w:numPr>
        <w:ind w:right="220"/>
        <w:jc w:val="left"/>
        <w:rPr>
          <w:rFonts w:ascii="仿宋" w:hAnsi="仿宋" w:eastAsia="仿宋"/>
          <w:sz w:val="30"/>
          <w:szCs w:val="30"/>
        </w:rPr>
      </w:pPr>
      <w:bookmarkStart w:id="39" w:name="_Toc4424"/>
      <w:bookmarkStart w:id="40" w:name="_Toc15988"/>
      <w:bookmarkStart w:id="41" w:name="_Toc34296938"/>
      <w:r>
        <w:rPr>
          <w:rFonts w:hint="eastAsia" w:ascii="仿宋" w:hAnsi="仿宋" w:eastAsia="仿宋"/>
          <w:sz w:val="30"/>
          <w:szCs w:val="30"/>
        </w:rPr>
        <w:t>规范制定</w:t>
      </w:r>
      <w:bookmarkEnd w:id="39"/>
      <w:bookmarkEnd w:id="40"/>
      <w:bookmarkEnd w:id="41"/>
    </w:p>
    <w:p>
      <w:pPr>
        <w:autoSpaceDE w:val="0"/>
        <w:autoSpaceDN w:val="0"/>
        <w:adjustRightInd w:val="0"/>
        <w:spacing w:line="360" w:lineRule="auto"/>
        <w:ind w:firstLine="480" w:firstLineChars="200"/>
        <w:rPr>
          <w:rFonts w:ascii="宋体" w:hAnsi="宋体" w:cs="Arial"/>
          <w:kern w:val="0"/>
          <w:sz w:val="24"/>
          <w:lang w:val="zh-CN"/>
        </w:rPr>
      </w:pPr>
      <w:r>
        <w:rPr>
          <w:rFonts w:hint="eastAsia" w:ascii="宋体" w:hAnsi="宋体" w:cs="Arial"/>
          <w:kern w:val="0"/>
          <w:sz w:val="24"/>
          <w:lang w:val="zh-CN"/>
        </w:rPr>
        <w:t>（1）基</w:t>
      </w:r>
      <w:bookmarkStart w:id="42" w:name="_Toc15634259"/>
      <w:r>
        <w:rPr>
          <w:rFonts w:hint="eastAsia" w:ascii="宋体" w:hAnsi="宋体" w:cs="Arial"/>
          <w:kern w:val="0"/>
          <w:sz w:val="24"/>
          <w:lang w:val="zh-CN"/>
        </w:rPr>
        <w:t>于《浙江省区划地名数据编码规范》，制定地名地址数据归集标准规范。</w:t>
      </w:r>
    </w:p>
    <w:p>
      <w:pPr>
        <w:autoSpaceDE w:val="0"/>
        <w:autoSpaceDN w:val="0"/>
        <w:adjustRightInd w:val="0"/>
        <w:spacing w:line="360" w:lineRule="auto"/>
        <w:ind w:firstLine="480" w:firstLineChars="200"/>
        <w:rPr>
          <w:rFonts w:ascii="宋体" w:hAnsi="宋体" w:cs="Arial"/>
          <w:kern w:val="0"/>
          <w:sz w:val="24"/>
          <w:lang w:val="zh-CN"/>
        </w:rPr>
      </w:pPr>
      <w:r>
        <w:rPr>
          <w:rFonts w:hint="eastAsia" w:ascii="宋体" w:hAnsi="宋体" w:cs="Arial"/>
          <w:kern w:val="0"/>
          <w:sz w:val="24"/>
          <w:lang w:val="zh-CN"/>
        </w:rPr>
        <w:t>（2）规范培训：召集相关工作人员，讲解数据规范，讲解必要信息。</w:t>
      </w:r>
    </w:p>
    <w:p>
      <w:pPr>
        <w:pStyle w:val="6"/>
        <w:widowControl/>
        <w:numPr>
          <w:ilvl w:val="2"/>
          <w:numId w:val="1"/>
        </w:numPr>
        <w:ind w:right="220"/>
        <w:jc w:val="left"/>
        <w:rPr>
          <w:rFonts w:ascii="仿宋" w:hAnsi="仿宋" w:eastAsia="仿宋"/>
          <w:sz w:val="30"/>
          <w:szCs w:val="30"/>
        </w:rPr>
      </w:pPr>
      <w:bookmarkStart w:id="43" w:name="_Toc1022"/>
      <w:bookmarkStart w:id="44" w:name="_Toc34296939"/>
      <w:bookmarkStart w:id="45" w:name="_Toc17784"/>
      <w:r>
        <w:rPr>
          <w:rFonts w:hint="eastAsia" w:ascii="仿宋" w:hAnsi="仿宋" w:eastAsia="仿宋"/>
          <w:sz w:val="30"/>
          <w:szCs w:val="30"/>
        </w:rPr>
        <w:t>数据归集</w:t>
      </w:r>
      <w:bookmarkEnd w:id="42"/>
      <w:bookmarkEnd w:id="43"/>
      <w:bookmarkEnd w:id="44"/>
      <w:bookmarkEnd w:id="45"/>
    </w:p>
    <w:p>
      <w:pPr>
        <w:autoSpaceDE w:val="0"/>
        <w:autoSpaceDN w:val="0"/>
        <w:adjustRightInd w:val="0"/>
        <w:spacing w:line="360" w:lineRule="auto"/>
        <w:ind w:firstLine="480" w:firstLineChars="200"/>
        <w:rPr>
          <w:rFonts w:ascii="宋体" w:hAnsi="宋体" w:cs="Arial"/>
          <w:kern w:val="0"/>
          <w:sz w:val="24"/>
          <w:lang w:val="zh-CN"/>
        </w:rPr>
      </w:pPr>
      <w:r>
        <w:rPr>
          <w:rFonts w:hint="eastAsia" w:ascii="宋体" w:hAnsi="宋体" w:cs="Arial"/>
          <w:kern w:val="0"/>
          <w:sz w:val="24"/>
          <w:lang w:val="zh-CN"/>
        </w:rPr>
        <w:t>（1）根据浙江省区划地名信息管理系统及民政局提供的基础资料，首先进行数据的正式数据及历史数据等数据规范的前期处理。</w:t>
      </w:r>
    </w:p>
    <w:p>
      <w:pPr>
        <w:autoSpaceDE w:val="0"/>
        <w:autoSpaceDN w:val="0"/>
        <w:adjustRightInd w:val="0"/>
        <w:spacing w:line="360" w:lineRule="auto"/>
        <w:ind w:firstLine="480" w:firstLineChars="200"/>
        <w:rPr>
          <w:rFonts w:ascii="宋体" w:hAnsi="宋体" w:cs="Arial"/>
          <w:kern w:val="0"/>
          <w:sz w:val="24"/>
          <w:lang w:val="zh-CN"/>
        </w:rPr>
      </w:pPr>
      <w:r>
        <w:rPr>
          <w:rFonts w:hint="eastAsia" w:ascii="宋体" w:hAnsi="宋体" w:cs="Arial"/>
          <w:kern w:val="0"/>
          <w:sz w:val="24"/>
          <w:lang w:val="zh-CN"/>
        </w:rPr>
        <w:t>（2）汇总各街道（乡镇）、社区（村）工作人员上报的地名地址属性数据，进行数据质量核验，通过分析、补全后，若还不满足规范要求，则需返回重新整理，最终形成成果数据。</w:t>
      </w:r>
    </w:p>
    <w:p>
      <w:pPr>
        <w:autoSpaceDE w:val="0"/>
        <w:autoSpaceDN w:val="0"/>
        <w:adjustRightInd w:val="0"/>
        <w:spacing w:line="360" w:lineRule="auto"/>
        <w:ind w:firstLine="480" w:firstLineChars="200"/>
        <w:rPr>
          <w:rFonts w:ascii="仿宋" w:hAnsi="仿宋" w:eastAsia="仿宋" w:cs="Tahoma"/>
          <w:sz w:val="28"/>
          <w:szCs w:val="28"/>
        </w:rPr>
      </w:pPr>
      <w:r>
        <w:rPr>
          <w:rFonts w:hint="eastAsia" w:ascii="宋体" w:hAnsi="宋体" w:cs="Arial"/>
          <w:kern w:val="0"/>
          <w:sz w:val="24"/>
          <w:lang w:val="zh-CN"/>
        </w:rPr>
        <w:t>（3）协调获取相关业务部门（如：不动产登记信息、公安住址信息等）的业务成果数据，挖掘分析，提取可用数据，做标注（如：来源不动产登记部门），形成成果数据。</w:t>
      </w:r>
    </w:p>
    <w:p>
      <w:pPr>
        <w:pStyle w:val="6"/>
        <w:widowControl/>
        <w:numPr>
          <w:ilvl w:val="2"/>
          <w:numId w:val="1"/>
        </w:numPr>
        <w:ind w:right="220"/>
        <w:jc w:val="left"/>
        <w:rPr>
          <w:rFonts w:ascii="仿宋" w:hAnsi="仿宋" w:eastAsia="仿宋"/>
          <w:sz w:val="30"/>
          <w:szCs w:val="30"/>
        </w:rPr>
      </w:pPr>
      <w:bookmarkStart w:id="46" w:name="_Toc34296940"/>
      <w:bookmarkStart w:id="47" w:name="_Toc2462"/>
      <w:bookmarkStart w:id="48" w:name="_Toc17138"/>
      <w:r>
        <w:rPr>
          <w:rFonts w:hint="eastAsia" w:ascii="仿宋" w:hAnsi="仿宋" w:eastAsia="仿宋"/>
          <w:sz w:val="30"/>
          <w:szCs w:val="30"/>
        </w:rPr>
        <w:t>标准化</w:t>
      </w:r>
      <w:r>
        <w:rPr>
          <w:rFonts w:ascii="仿宋" w:hAnsi="仿宋" w:eastAsia="仿宋"/>
          <w:sz w:val="30"/>
          <w:szCs w:val="30"/>
        </w:rPr>
        <w:t>处理</w:t>
      </w:r>
      <w:bookmarkEnd w:id="46"/>
      <w:bookmarkEnd w:id="47"/>
      <w:bookmarkEnd w:id="48"/>
    </w:p>
    <w:p>
      <w:pPr>
        <w:autoSpaceDE w:val="0"/>
        <w:autoSpaceDN w:val="0"/>
        <w:adjustRightInd w:val="0"/>
        <w:spacing w:line="360" w:lineRule="auto"/>
        <w:ind w:firstLine="480" w:firstLineChars="200"/>
        <w:rPr>
          <w:rFonts w:ascii="宋体" w:hAnsi="宋体" w:cs="Arial"/>
          <w:kern w:val="0"/>
          <w:sz w:val="24"/>
          <w:lang w:val="zh-CN"/>
        </w:rPr>
      </w:pPr>
      <w:r>
        <w:rPr>
          <w:rFonts w:hint="eastAsia" w:ascii="宋体" w:hAnsi="宋体" w:cs="Arial"/>
          <w:kern w:val="0"/>
          <w:sz w:val="24"/>
          <w:lang w:val="zh-CN"/>
        </w:rPr>
        <w:t>标准的地名地址（门牌地址），需要按照实际最新门牌号进行整理，若只有原门牌号，则以原门牌号作为现地址编号进行标准化处理，若有新门牌号，则需以新门牌号作为现地址编号进行标准化，同时将原门牌号作为原地名地址进行数据保留。</w:t>
      </w:r>
    </w:p>
    <w:p>
      <w:pPr>
        <w:autoSpaceDE w:val="0"/>
        <w:autoSpaceDN w:val="0"/>
        <w:adjustRightInd w:val="0"/>
        <w:spacing w:line="360" w:lineRule="auto"/>
        <w:ind w:firstLine="480" w:firstLineChars="200"/>
        <w:rPr>
          <w:rFonts w:ascii="宋体" w:hAnsi="宋体" w:cs="Arial"/>
          <w:kern w:val="0"/>
          <w:sz w:val="24"/>
          <w:lang w:val="zh-CN"/>
        </w:rPr>
      </w:pPr>
      <w:r>
        <w:rPr>
          <w:rFonts w:hint="eastAsia" w:ascii="宋体" w:hAnsi="宋体" w:cs="Arial"/>
          <w:kern w:val="0"/>
          <w:sz w:val="24"/>
          <w:lang w:val="zh-CN"/>
        </w:rPr>
        <w:t>例如出现“XX弄124-1号”，其标准地址应为“XX弄124号1室”，门牌出现“-”这个符号的，需要注意，标准地址为“XX弄XX号XX室”，或者“号室”。</w:t>
      </w:r>
    </w:p>
    <w:p>
      <w:pPr>
        <w:spacing w:line="360" w:lineRule="auto"/>
        <w:ind w:firstLine="560" w:firstLineChars="200"/>
        <w:rPr>
          <w:rFonts w:ascii="仿宋" w:hAnsi="仿宋" w:eastAsia="仿宋" w:cs="Tahoma"/>
          <w:sz w:val="28"/>
          <w:szCs w:val="28"/>
        </w:rPr>
      </w:pPr>
      <w:bookmarkStart w:id="49" w:name="_Toc23528"/>
      <w:r>
        <w:rPr>
          <w:rFonts w:hint="eastAsia" w:ascii="仿宋" w:hAnsi="仿宋" w:eastAsia="仿宋" w:cs="Tahoma"/>
          <w:sz w:val="28"/>
          <w:szCs w:val="28"/>
        </w:rPr>
        <w:t>不同门牌类型的整理方式</w:t>
      </w:r>
      <w:bookmarkEnd w:id="49"/>
    </w:p>
    <w:p>
      <w:pPr>
        <w:autoSpaceDE w:val="0"/>
        <w:autoSpaceDN w:val="0"/>
        <w:adjustRightInd w:val="0"/>
        <w:spacing w:line="360" w:lineRule="auto"/>
        <w:ind w:firstLine="480" w:firstLineChars="200"/>
        <w:rPr>
          <w:rFonts w:ascii="宋体" w:hAnsi="宋体" w:cs="Arial"/>
          <w:kern w:val="0"/>
          <w:sz w:val="24"/>
          <w:lang w:val="zh-CN"/>
        </w:rPr>
      </w:pPr>
      <w:r>
        <w:rPr>
          <w:rFonts w:hint="eastAsia" w:ascii="宋体" w:hAnsi="宋体" w:cs="Arial"/>
          <w:kern w:val="0"/>
          <w:sz w:val="24"/>
          <w:lang w:val="zh-CN"/>
        </w:rPr>
        <w:t>道路门牌前不需要加行政村名称或社区名称的前缀；楼幢门牌可在数据库字段信息中填写行政村或社区范围描述，但在门牌地址字段信息中则不需要添加行政村或社区名称前缀描述；农村、新农村、集聚型农村小区等门牌，需要在门牌地址前加行政村名称前缀。由于部分行政村调整的原因，应该按照最新的行政村或社区进行整理。农村门牌数据尤其需要注意。</w:t>
      </w:r>
    </w:p>
    <w:p>
      <w:pPr>
        <w:autoSpaceDE w:val="0"/>
        <w:autoSpaceDN w:val="0"/>
        <w:adjustRightInd w:val="0"/>
        <w:spacing w:line="360" w:lineRule="auto"/>
        <w:ind w:firstLine="480" w:firstLineChars="200"/>
        <w:rPr>
          <w:rFonts w:ascii="宋体" w:hAnsi="宋体" w:cs="Arial"/>
          <w:kern w:val="0"/>
          <w:sz w:val="24"/>
          <w:lang w:val="zh-CN"/>
        </w:rPr>
      </w:pPr>
      <w:r>
        <w:rPr>
          <w:rFonts w:hint="eastAsia" w:ascii="宋体" w:hAnsi="宋体" w:cs="Arial"/>
          <w:kern w:val="0"/>
          <w:sz w:val="24"/>
          <w:lang w:val="zh-CN"/>
        </w:rPr>
        <w:t>一、道路门牌(路，街，大道，弄，巷)整理要求：1)、表头写明字段信息(产权人，住户姓名，门牌证号，现门牌地址，原门牌地址，数据备注等不可缺失)；2)、字段信息不要对应错误，该是哪列信息就写在哪列字段内；3)、表格当中标识空地、已拆或者全部字段信息都为空只有门牌地址的这类数据，在数据备注字段中分别写明空地、拆、预留号等备注。</w:t>
      </w:r>
    </w:p>
    <w:p>
      <w:pPr>
        <w:autoSpaceDE w:val="0"/>
        <w:autoSpaceDN w:val="0"/>
        <w:adjustRightInd w:val="0"/>
        <w:spacing w:line="360" w:lineRule="auto"/>
        <w:ind w:firstLine="480" w:firstLineChars="200"/>
        <w:rPr>
          <w:rFonts w:ascii="宋体" w:hAnsi="宋体" w:cs="Arial"/>
          <w:kern w:val="0"/>
          <w:sz w:val="24"/>
          <w:lang w:val="zh-CN"/>
        </w:rPr>
      </w:pPr>
      <w:r>
        <w:rPr>
          <w:rFonts w:hint="eastAsia" w:ascii="宋体" w:hAnsi="宋体" w:cs="Arial"/>
          <w:kern w:val="0"/>
          <w:sz w:val="24"/>
          <w:lang w:val="zh-CN"/>
        </w:rPr>
        <w:t>二、楼幢门牌相对比较简单，但是在整理的时候，也要注意新门牌和旧门牌的不同，以及整理小区名字的时候，应该以民政表格提供的标准地名为准，例如小区名为“塞纳蓝湾”的门牌地址数据，整理的时候就应该只是“塞纳蓝湾”，而不是“塞纳蓝湾小区”；也存在有些小区名称中有“小区”二字的，在整理时需要保留“小区”二字，如：“西塘新天地小区”。总体说来，在整理时需严格按照民政提供的表格数据中地名名称描述来整理。</w:t>
      </w:r>
    </w:p>
    <w:p>
      <w:pPr>
        <w:autoSpaceDE w:val="0"/>
        <w:autoSpaceDN w:val="0"/>
        <w:adjustRightInd w:val="0"/>
        <w:spacing w:line="360" w:lineRule="auto"/>
        <w:ind w:firstLine="480" w:firstLineChars="200"/>
        <w:rPr>
          <w:rFonts w:ascii="仿宋" w:hAnsi="仿宋" w:eastAsia="仿宋" w:cs="Tahoma"/>
          <w:sz w:val="28"/>
          <w:szCs w:val="28"/>
        </w:rPr>
      </w:pPr>
      <w:r>
        <w:rPr>
          <w:rFonts w:hint="eastAsia" w:ascii="宋体" w:hAnsi="宋体" w:cs="Arial"/>
          <w:kern w:val="0"/>
          <w:sz w:val="24"/>
          <w:lang w:val="zh-CN"/>
        </w:rPr>
        <w:t>三、农村门牌整理的时候，需要注意行政村名称的前缀，采用最新的行政村名称，表格中若是有原行政村名称，则作为原门牌信息予以保留。农村、新农村、集聚型农村都属于农村门牌。</w:t>
      </w:r>
    </w:p>
    <w:p>
      <w:pPr>
        <w:pStyle w:val="6"/>
        <w:widowControl/>
        <w:numPr>
          <w:ilvl w:val="2"/>
          <w:numId w:val="1"/>
        </w:numPr>
        <w:ind w:right="220"/>
        <w:jc w:val="left"/>
        <w:rPr>
          <w:rFonts w:ascii="仿宋" w:hAnsi="仿宋" w:eastAsia="仿宋"/>
          <w:sz w:val="30"/>
          <w:szCs w:val="30"/>
        </w:rPr>
      </w:pPr>
      <w:bookmarkStart w:id="50" w:name="_Toc25057"/>
      <w:bookmarkStart w:id="51" w:name="_Toc34296941"/>
      <w:bookmarkStart w:id="52" w:name="_Toc4452"/>
      <w:r>
        <w:rPr>
          <w:rFonts w:hint="eastAsia" w:ascii="仿宋" w:hAnsi="仿宋" w:eastAsia="仿宋"/>
          <w:sz w:val="30"/>
          <w:szCs w:val="30"/>
        </w:rPr>
        <w:t>数据清洗</w:t>
      </w:r>
      <w:bookmarkEnd w:id="50"/>
      <w:bookmarkEnd w:id="51"/>
      <w:bookmarkEnd w:id="52"/>
    </w:p>
    <w:p>
      <w:pPr>
        <w:autoSpaceDE w:val="0"/>
        <w:autoSpaceDN w:val="0"/>
        <w:adjustRightInd w:val="0"/>
        <w:spacing w:line="360" w:lineRule="auto"/>
        <w:ind w:firstLine="480" w:firstLineChars="200"/>
        <w:rPr>
          <w:rFonts w:ascii="宋体" w:hAnsi="宋体" w:cs="Arial"/>
          <w:kern w:val="0"/>
          <w:sz w:val="24"/>
          <w:lang w:val="zh-CN"/>
        </w:rPr>
      </w:pPr>
      <w:r>
        <w:rPr>
          <w:rFonts w:hint="eastAsia" w:ascii="宋体" w:hAnsi="宋体" w:cs="Arial"/>
          <w:kern w:val="0"/>
          <w:sz w:val="24"/>
          <w:lang w:val="zh-CN"/>
        </w:rPr>
        <w:t>首先将标准化后的民政门牌数据自身内部去重，保留一条有效地址数据，产权人信息保留办理过门牌证的，有原始门牌证号的或登记时间最新的，此时民政门牌数据保留了门牌数据的唯一性；</w:t>
      </w:r>
    </w:p>
    <w:p>
      <w:pPr>
        <w:autoSpaceDE w:val="0"/>
        <w:autoSpaceDN w:val="0"/>
        <w:adjustRightInd w:val="0"/>
        <w:spacing w:line="360" w:lineRule="auto"/>
        <w:ind w:firstLine="480" w:firstLineChars="200"/>
        <w:rPr>
          <w:rFonts w:ascii="宋体" w:hAnsi="宋体" w:cs="Arial"/>
          <w:kern w:val="0"/>
          <w:sz w:val="24"/>
          <w:lang w:val="zh-CN"/>
        </w:rPr>
      </w:pPr>
      <w:r>
        <w:rPr>
          <w:rFonts w:hint="eastAsia" w:ascii="宋体" w:hAnsi="宋体" w:cs="Arial"/>
          <w:kern w:val="0"/>
          <w:sz w:val="24"/>
          <w:lang w:val="zh-CN"/>
        </w:rPr>
        <w:t>再将不动产登记数据进行自身内部去重，保留一条有效地址数据，产权人信息保留不动产登记号中时间最新的，使其不动产地址数据保留唯一性。不动产数据去重时需按照优先级顺序进行处理，优先级别依次为：不动产证&gt;产权证&gt;土地证（根据实际数源判别次序），在同一种证件类型下重复的还需根据证件编号和年份进行数据去重保留，确保真实有效的不动产数据的唯一性、准确性。若还有其他部门数据，按次方法递推。</w:t>
      </w:r>
    </w:p>
    <w:p>
      <w:pPr>
        <w:autoSpaceDE w:val="0"/>
        <w:autoSpaceDN w:val="0"/>
        <w:adjustRightInd w:val="0"/>
        <w:spacing w:line="360" w:lineRule="auto"/>
        <w:ind w:firstLine="480" w:firstLineChars="200"/>
        <w:rPr>
          <w:rFonts w:ascii="宋体" w:hAnsi="宋体" w:cs="Arial"/>
          <w:kern w:val="0"/>
          <w:sz w:val="24"/>
          <w:lang w:val="zh-CN"/>
        </w:rPr>
      </w:pPr>
      <w:r>
        <w:rPr>
          <w:rFonts w:hint="eastAsia" w:ascii="宋体" w:hAnsi="宋体" w:cs="Arial"/>
          <w:kern w:val="0"/>
          <w:sz w:val="24"/>
          <w:lang w:val="zh-CN"/>
        </w:rPr>
        <w:t>然后再将这几份地址唯一的数据进行比对去重处理，将民政与不动产数据中同地址同产权人的进行数据标记。相同地址不同产权人的，保留不动产数据中的产权人信息，民政数据中的门牌证号，原门牌等信息，相应的保留到不动产这条数据中，此时得到的唯一的门牌数据。此时该条数据包含了民政本身的数据信息，也包含了民政缺失的不动产的数据信息，大大的增加了门牌数据的完整性。</w:t>
      </w:r>
    </w:p>
    <w:p>
      <w:pPr>
        <w:autoSpaceDE w:val="0"/>
        <w:autoSpaceDN w:val="0"/>
        <w:adjustRightInd w:val="0"/>
        <w:spacing w:line="360" w:lineRule="auto"/>
        <w:ind w:firstLine="480" w:firstLineChars="200"/>
        <w:rPr>
          <w:rFonts w:ascii="宋体" w:hAnsi="宋体" w:cs="Arial"/>
          <w:kern w:val="0"/>
          <w:sz w:val="24"/>
          <w:lang w:val="zh-CN"/>
        </w:rPr>
      </w:pPr>
      <w:r>
        <w:rPr>
          <w:rFonts w:hint="eastAsia" w:ascii="宋体" w:hAnsi="宋体" w:cs="Arial"/>
          <w:kern w:val="0"/>
          <w:sz w:val="24"/>
          <w:lang w:val="zh-CN"/>
        </w:rPr>
        <w:t>最后数据整合后，按类型及区域将数据进行分类，采用算法分析查询疑似丢失及错误数据，此类数据在后期实地采集时进行外业实际校验。</w:t>
      </w:r>
    </w:p>
    <w:p>
      <w:pPr>
        <w:pStyle w:val="6"/>
        <w:widowControl/>
        <w:numPr>
          <w:ilvl w:val="2"/>
          <w:numId w:val="1"/>
        </w:numPr>
        <w:ind w:right="220"/>
        <w:jc w:val="left"/>
        <w:rPr>
          <w:rFonts w:ascii="仿宋" w:hAnsi="仿宋" w:eastAsia="仿宋"/>
          <w:sz w:val="30"/>
          <w:szCs w:val="30"/>
        </w:rPr>
      </w:pPr>
      <w:bookmarkStart w:id="53" w:name="_Toc23122"/>
      <w:bookmarkStart w:id="54" w:name="_Toc34296942"/>
      <w:bookmarkStart w:id="55" w:name="_Toc4657"/>
      <w:r>
        <w:rPr>
          <w:rFonts w:hint="eastAsia" w:ascii="仿宋" w:hAnsi="仿宋" w:eastAsia="仿宋"/>
          <w:sz w:val="30"/>
          <w:szCs w:val="30"/>
        </w:rPr>
        <w:t>清洗结果汇总</w:t>
      </w:r>
      <w:bookmarkEnd w:id="53"/>
      <w:bookmarkEnd w:id="54"/>
      <w:bookmarkEnd w:id="55"/>
    </w:p>
    <w:p>
      <w:pPr>
        <w:autoSpaceDE w:val="0"/>
        <w:autoSpaceDN w:val="0"/>
        <w:adjustRightInd w:val="0"/>
        <w:spacing w:line="360" w:lineRule="auto"/>
        <w:ind w:firstLine="480" w:firstLineChars="200"/>
        <w:rPr>
          <w:rFonts w:ascii="宋体" w:hAnsi="宋体" w:cs="Arial"/>
          <w:kern w:val="0"/>
          <w:sz w:val="24"/>
          <w:lang w:val="zh-CN"/>
        </w:rPr>
      </w:pPr>
      <w:r>
        <w:rPr>
          <w:rFonts w:hint="eastAsia" w:ascii="宋体" w:hAnsi="宋体" w:cs="Arial"/>
          <w:kern w:val="0"/>
          <w:sz w:val="24"/>
          <w:lang w:val="zh-CN"/>
        </w:rPr>
        <w:t>清洗数据后，除了已经整理好的标准地址，其他未标准化的地址、存疑数据及不动产登记成果中未标准化的地址一起汇总，以行政区划单位进行分类区分，细化到各街道，村社区，再将这部分数据交由当地民政部门核实，下放到各个村社区进行核实工作，对门牌数据进行更深层次的标准化处理。</w:t>
      </w:r>
    </w:p>
    <w:p>
      <w:pPr>
        <w:autoSpaceDE w:val="0"/>
        <w:autoSpaceDN w:val="0"/>
        <w:adjustRightInd w:val="0"/>
        <w:spacing w:line="360" w:lineRule="auto"/>
        <w:ind w:firstLine="480" w:firstLineChars="200"/>
        <w:rPr>
          <w:rFonts w:ascii="宋体" w:hAnsi="宋体" w:cs="Arial"/>
          <w:kern w:val="0"/>
          <w:sz w:val="24"/>
          <w:lang w:val="zh-CN"/>
        </w:rPr>
      </w:pPr>
      <w:r>
        <w:rPr>
          <w:rFonts w:hint="eastAsia" w:ascii="宋体" w:hAnsi="宋体" w:cs="Arial"/>
          <w:kern w:val="0"/>
          <w:sz w:val="24"/>
          <w:lang w:val="zh-CN"/>
        </w:rPr>
        <w:t>※ 清洗后的汇总数据作为外业采集的参考基础数据。</w:t>
      </w:r>
    </w:p>
    <w:p>
      <w:pPr>
        <w:pStyle w:val="6"/>
        <w:widowControl/>
        <w:numPr>
          <w:ilvl w:val="2"/>
          <w:numId w:val="1"/>
        </w:numPr>
        <w:ind w:right="220"/>
        <w:jc w:val="left"/>
        <w:rPr>
          <w:rFonts w:ascii="仿宋" w:hAnsi="仿宋" w:eastAsia="仿宋"/>
          <w:sz w:val="30"/>
          <w:szCs w:val="30"/>
        </w:rPr>
      </w:pPr>
      <w:bookmarkStart w:id="56" w:name="_Toc34296943"/>
      <w:bookmarkStart w:id="57" w:name="_Toc8277"/>
      <w:bookmarkStart w:id="58" w:name="_Toc8243"/>
      <w:r>
        <w:rPr>
          <w:rFonts w:hint="eastAsia" w:ascii="仿宋" w:hAnsi="仿宋" w:eastAsia="仿宋"/>
          <w:sz w:val="30"/>
          <w:szCs w:val="30"/>
        </w:rPr>
        <w:t>标准化后的数据质检</w:t>
      </w:r>
      <w:bookmarkEnd w:id="56"/>
      <w:bookmarkEnd w:id="57"/>
      <w:bookmarkEnd w:id="58"/>
    </w:p>
    <w:p>
      <w:pPr>
        <w:autoSpaceDE w:val="0"/>
        <w:autoSpaceDN w:val="0"/>
        <w:adjustRightInd w:val="0"/>
        <w:spacing w:line="360" w:lineRule="auto"/>
        <w:ind w:firstLine="480" w:firstLineChars="200"/>
        <w:rPr>
          <w:rFonts w:ascii="宋体" w:hAnsi="宋体" w:cs="Arial"/>
          <w:kern w:val="0"/>
          <w:sz w:val="24"/>
          <w:lang w:val="zh-CN"/>
        </w:rPr>
      </w:pPr>
      <w:r>
        <w:rPr>
          <w:rFonts w:hint="eastAsia" w:ascii="宋体" w:hAnsi="宋体" w:cs="Arial"/>
          <w:kern w:val="0"/>
          <w:sz w:val="24"/>
          <w:lang w:val="zh-CN"/>
        </w:rPr>
        <w:t>清洗后的标准化数据进行相应的数据质检，尤其是非民政部门提供的地址数据的检查核实。尤其是类似于不动产部门的地址信息或者其他部门的地址信息还是原地址，但非常像标准地址的核实，例如不动产中地址为“解放一村15幢1单元101室”，但民政部门的表述为“解放一村15幢61单元101室”，这种标准地址的质检是需要对民政部门数据有所了解之后，才能进行核实质检，标准地名地址数据以民政部门数据为准。</w:t>
      </w:r>
    </w:p>
    <w:p>
      <w:pPr>
        <w:pStyle w:val="5"/>
        <w:keepLines w:val="0"/>
        <w:widowControl/>
        <w:numPr>
          <w:ilvl w:val="1"/>
          <w:numId w:val="1"/>
        </w:numPr>
        <w:spacing w:before="240" w:after="240" w:line="360" w:lineRule="auto"/>
        <w:ind w:right="210" w:rightChars="100"/>
        <w:rPr>
          <w:rFonts w:ascii="仿宋" w:hAnsi="仿宋" w:eastAsia="仿宋"/>
        </w:rPr>
      </w:pPr>
      <w:bookmarkStart w:id="59" w:name="_Toc34296944"/>
      <w:bookmarkStart w:id="60" w:name="_Toc26686"/>
      <w:bookmarkStart w:id="61" w:name="_Toc1376"/>
      <w:r>
        <w:rPr>
          <w:rFonts w:hint="eastAsia" w:ascii="仿宋" w:hAnsi="仿宋" w:eastAsia="仿宋"/>
        </w:rPr>
        <w:t>地名</w:t>
      </w:r>
      <w:r>
        <w:rPr>
          <w:rFonts w:ascii="仿宋" w:hAnsi="仿宋" w:eastAsia="仿宋"/>
        </w:rPr>
        <w:t>地址</w:t>
      </w:r>
      <w:r>
        <w:rPr>
          <w:rFonts w:hint="eastAsia" w:ascii="仿宋" w:hAnsi="仿宋" w:eastAsia="仿宋"/>
        </w:rPr>
        <w:t>空间信息外业采集</w:t>
      </w:r>
      <w:bookmarkEnd w:id="59"/>
      <w:bookmarkEnd w:id="60"/>
      <w:bookmarkEnd w:id="61"/>
    </w:p>
    <w:p>
      <w:pPr>
        <w:autoSpaceDE w:val="0"/>
        <w:autoSpaceDN w:val="0"/>
        <w:adjustRightInd w:val="0"/>
        <w:spacing w:line="360" w:lineRule="auto"/>
        <w:ind w:firstLine="480" w:firstLineChars="200"/>
        <w:rPr>
          <w:rFonts w:ascii="宋体" w:hAnsi="宋体" w:cs="Arial"/>
          <w:kern w:val="0"/>
          <w:sz w:val="24"/>
          <w:lang w:val="zh-CN"/>
        </w:rPr>
      </w:pPr>
      <w:r>
        <w:rPr>
          <w:rFonts w:hint="eastAsia" w:ascii="宋体" w:hAnsi="宋体" w:cs="Arial"/>
          <w:kern w:val="0"/>
          <w:sz w:val="24"/>
          <w:lang w:val="zh-CN"/>
        </w:rPr>
        <w:t>通过对吴兴区（</w:t>
      </w:r>
      <w:r>
        <w:rPr>
          <w:rFonts w:hint="eastAsia" w:ascii="宋体" w:hAnsi="宋体" w:cs="Arial"/>
          <w:kern w:val="0"/>
          <w:sz w:val="24"/>
        </w:rPr>
        <w:t>含</w:t>
      </w:r>
      <w:r>
        <w:rPr>
          <w:rFonts w:hint="eastAsia" w:ascii="宋体" w:hAnsi="宋体" w:cs="Arial"/>
          <w:kern w:val="0"/>
          <w:sz w:val="24"/>
          <w:lang w:val="zh-CN"/>
        </w:rPr>
        <w:t>南太湖）的地名地址数据外业调查，实现存量地名地址（空间）信息的全量采集建库，基本环节包括：规范制定、外业调查、数据分析、外业补采、挂接入库、数据验收等。</w:t>
      </w:r>
    </w:p>
    <w:p>
      <w:pPr>
        <w:pStyle w:val="6"/>
        <w:widowControl/>
        <w:numPr>
          <w:ilvl w:val="2"/>
          <w:numId w:val="1"/>
        </w:numPr>
        <w:ind w:right="220"/>
        <w:jc w:val="left"/>
        <w:rPr>
          <w:rFonts w:ascii="仿宋" w:hAnsi="仿宋" w:eastAsia="仿宋"/>
          <w:sz w:val="30"/>
          <w:szCs w:val="30"/>
        </w:rPr>
      </w:pPr>
      <w:bookmarkStart w:id="62" w:name="_Toc8653"/>
      <w:bookmarkStart w:id="63" w:name="_Toc34296945"/>
      <w:bookmarkStart w:id="64" w:name="_Toc15634266"/>
      <w:bookmarkStart w:id="65" w:name="_Toc4099"/>
      <w:r>
        <w:rPr>
          <w:rFonts w:ascii="仿宋" w:hAnsi="仿宋" w:eastAsia="仿宋"/>
          <w:sz w:val="30"/>
          <w:szCs w:val="30"/>
        </w:rPr>
        <w:t>规范制定</w:t>
      </w:r>
      <w:bookmarkEnd w:id="62"/>
      <w:bookmarkEnd w:id="63"/>
      <w:bookmarkEnd w:id="64"/>
      <w:bookmarkEnd w:id="65"/>
    </w:p>
    <w:p>
      <w:pPr>
        <w:autoSpaceDE w:val="0"/>
        <w:autoSpaceDN w:val="0"/>
        <w:adjustRightInd w:val="0"/>
        <w:spacing w:line="360" w:lineRule="auto"/>
        <w:ind w:firstLine="480" w:firstLineChars="200"/>
        <w:rPr>
          <w:rFonts w:ascii="宋体" w:hAnsi="宋体" w:cs="Arial"/>
          <w:kern w:val="0"/>
          <w:sz w:val="24"/>
          <w:lang w:val="zh-CN"/>
        </w:rPr>
      </w:pPr>
      <w:r>
        <w:rPr>
          <w:rFonts w:hint="eastAsia" w:ascii="宋体" w:hAnsi="宋体" w:cs="Arial"/>
          <w:kern w:val="0"/>
          <w:sz w:val="24"/>
          <w:lang w:val="zh-CN"/>
        </w:rPr>
        <w:t>在外业数据采集、内业数据整理的过程中，地名地址成果数据格式都应当遵从本规范，并遵从《浙江省区划地名业务数据共享与交换数据编码规范》，凭建设地名地址信息库。</w:t>
      </w:r>
    </w:p>
    <w:p>
      <w:pPr>
        <w:snapToGrid w:val="0"/>
        <w:spacing w:beforeLines="50" w:line="360" w:lineRule="auto"/>
        <w:ind w:firstLine="562" w:firstLineChars="200"/>
        <w:rPr>
          <w:rFonts w:ascii="仿宋" w:hAnsi="仿宋" w:eastAsia="仿宋"/>
          <w:b/>
          <w:snapToGrid w:val="0"/>
          <w:sz w:val="28"/>
        </w:rPr>
      </w:pPr>
      <w:r>
        <w:rPr>
          <w:rFonts w:hint="eastAsia" w:ascii="仿宋" w:hAnsi="仿宋" w:eastAsia="仿宋"/>
          <w:b/>
          <w:snapToGrid w:val="0"/>
          <w:sz w:val="28"/>
        </w:rPr>
        <w:t>1）标准地址构成</w:t>
      </w:r>
    </w:p>
    <w:p>
      <w:pPr>
        <w:autoSpaceDE w:val="0"/>
        <w:autoSpaceDN w:val="0"/>
        <w:adjustRightInd w:val="0"/>
        <w:spacing w:line="360" w:lineRule="auto"/>
        <w:ind w:firstLine="480" w:firstLineChars="200"/>
        <w:rPr>
          <w:rFonts w:ascii="宋体" w:hAnsi="宋体" w:cs="Arial"/>
          <w:kern w:val="0"/>
          <w:sz w:val="24"/>
          <w:lang w:val="zh-CN"/>
        </w:rPr>
      </w:pPr>
      <w:r>
        <w:rPr>
          <w:rFonts w:hint="eastAsia" w:ascii="宋体" w:hAnsi="宋体" w:cs="Arial"/>
          <w:kern w:val="0"/>
          <w:sz w:val="24"/>
          <w:lang w:val="zh-CN"/>
        </w:rPr>
        <w:t>地名地址类型分为道路门牌、农村门牌、楼幢门牌三大类。标准地名地址采用分段组合的方式描述，由行政区域、基本区域限定物、局部点位置三大类要素构成。</w:t>
      </w:r>
    </w:p>
    <w:p>
      <w:pPr>
        <w:spacing w:line="360" w:lineRule="auto"/>
        <w:ind w:firstLine="480" w:firstLineChars="200"/>
        <w:rPr>
          <w:rFonts w:ascii="微软雅黑" w:hAnsi="微软雅黑" w:cs="微软雅黑"/>
          <w:b/>
          <w:sz w:val="24"/>
          <w:szCs w:val="24"/>
        </w:rPr>
      </w:pPr>
      <w:r>
        <w:rPr>
          <w:rFonts w:hint="eastAsia" w:ascii="微软雅黑" w:hAnsi="微软雅黑" w:cs="微软雅黑"/>
          <w:b/>
          <w:sz w:val="24"/>
          <w:szCs w:val="24"/>
        </w:rPr>
        <w:t>&lt;标准地名地址&gt;::=&lt;行政区域名称&gt;[基本区域限定物名称][局部点位置描述]，</w:t>
      </w:r>
      <w:r>
        <w:rPr>
          <w:rFonts w:hint="eastAsia" w:ascii="微软雅黑" w:hAnsi="微软雅黑" w:cs="微软雅黑"/>
          <w:sz w:val="24"/>
          <w:szCs w:val="24"/>
        </w:rPr>
        <w:t>其中：</w:t>
      </w:r>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&lt;行政区域名称&gt;::=&lt;省级&gt;[地市级]&lt;县级&gt;[乡级][乡镇街道]；</w:t>
      </w:r>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&lt;基本区域限定物名称&gt;::=&lt;路&gt;|&lt;街&gt;|&lt;巷&gt;|&lt;居住小区&gt;|&lt;行政村&gt;[自然村]|&lt;地片&gt;；</w:t>
      </w:r>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&lt;局部点位置描述&gt;::=&lt;幢&gt;[单元]&lt;室|号&gt;。</w:t>
      </w:r>
    </w:p>
    <w:p>
      <w:pPr>
        <w:snapToGrid w:val="0"/>
        <w:spacing w:beforeLines="50" w:line="360" w:lineRule="auto"/>
        <w:ind w:firstLine="562" w:firstLineChars="200"/>
        <w:rPr>
          <w:rFonts w:ascii="仿宋" w:hAnsi="仿宋" w:eastAsia="仿宋"/>
          <w:b/>
          <w:snapToGrid w:val="0"/>
          <w:sz w:val="28"/>
        </w:rPr>
      </w:pPr>
      <w:bookmarkStart w:id="66" w:name="_Toc502662778"/>
      <w:bookmarkStart w:id="67" w:name="_Toc421280219"/>
      <w:bookmarkStart w:id="68" w:name="_Toc421280269"/>
      <w:r>
        <w:rPr>
          <w:rFonts w:hint="eastAsia" w:ascii="仿宋" w:hAnsi="仿宋" w:eastAsia="仿宋"/>
          <w:b/>
          <w:snapToGrid w:val="0"/>
          <w:sz w:val="28"/>
        </w:rPr>
        <w:t>2）</w:t>
      </w:r>
      <w:r>
        <w:rPr>
          <w:rFonts w:ascii="仿宋" w:hAnsi="仿宋" w:eastAsia="仿宋"/>
          <w:b/>
          <w:snapToGrid w:val="0"/>
          <w:sz w:val="28"/>
        </w:rPr>
        <w:t>地名地址元素描述规则</w:t>
      </w:r>
      <w:bookmarkEnd w:id="66"/>
      <w:bookmarkEnd w:id="67"/>
      <w:bookmarkEnd w:id="68"/>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地名地址数据的描述分为四级层次的描述，即政区、村（行政村|自然村）/道路街巷/小区/片区、一级门牌楼址（门址）、二级门牌楼址（楼号、室号）。其中：</w:t>
      </w:r>
    </w:p>
    <w:p>
      <w:pPr>
        <w:spacing w:line="360" w:lineRule="auto"/>
        <w:ind w:firstLine="480" w:firstLineChars="200"/>
        <w:rPr>
          <w:rFonts w:ascii="微软雅黑" w:hAnsi="微软雅黑" w:cs="微软雅黑"/>
          <w:sz w:val="24"/>
          <w:szCs w:val="24"/>
          <w:u w:val="single"/>
        </w:rPr>
      </w:pPr>
      <w:r>
        <w:rPr>
          <w:rFonts w:hint="eastAsia" w:ascii="微软雅黑" w:hAnsi="微软雅黑" w:cs="微软雅黑"/>
          <w:sz w:val="24"/>
          <w:szCs w:val="24"/>
        </w:rPr>
        <w:t>（1）政区表示为：</w:t>
      </w:r>
      <w:r>
        <w:rPr>
          <w:rFonts w:hint="eastAsia" w:ascii="微软雅黑" w:hAnsi="微软雅黑" w:cs="微软雅黑"/>
          <w:sz w:val="24"/>
          <w:szCs w:val="24"/>
          <w:u w:val="single"/>
        </w:rPr>
        <w:t>××市××区××街道（乡、镇）；</w:t>
      </w:r>
    </w:p>
    <w:p>
      <w:pPr>
        <w:spacing w:line="360" w:lineRule="auto"/>
        <w:ind w:firstLine="480" w:firstLineChars="200"/>
        <w:rPr>
          <w:rFonts w:ascii="微软雅黑" w:hAnsi="微软雅黑" w:cs="微软雅黑"/>
          <w:sz w:val="24"/>
          <w:szCs w:val="24"/>
          <w:u w:val="single"/>
        </w:rPr>
      </w:pPr>
      <w:r>
        <w:rPr>
          <w:rFonts w:hint="eastAsia" w:ascii="微软雅黑" w:hAnsi="微软雅黑" w:cs="微软雅黑"/>
          <w:sz w:val="24"/>
          <w:szCs w:val="24"/>
        </w:rPr>
        <w:t>（2）农村表示为</w:t>
      </w:r>
      <w:r>
        <w:rPr>
          <w:rFonts w:hint="eastAsia" w:ascii="微软雅黑" w:hAnsi="微软雅黑" w:cs="微软雅黑"/>
          <w:sz w:val="24"/>
          <w:szCs w:val="24"/>
          <w:u w:val="single"/>
        </w:rPr>
        <w:t>：××村（行政村）××村居(自然村)；</w:t>
      </w:r>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（3）道路街巷表示为：</w:t>
      </w:r>
      <w:r>
        <w:rPr>
          <w:rFonts w:hint="eastAsia" w:ascii="微软雅黑" w:hAnsi="微软雅黑" w:cs="微软雅黑"/>
          <w:sz w:val="24"/>
          <w:szCs w:val="24"/>
          <w:u w:val="single"/>
        </w:rPr>
        <w:t>××路（街、巷、弄）；</w:t>
      </w:r>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（4）小区表示为：</w:t>
      </w:r>
      <w:r>
        <w:rPr>
          <w:rFonts w:hint="eastAsia" w:ascii="微软雅黑" w:hAnsi="微软雅黑" w:cs="微软雅黑"/>
          <w:sz w:val="24"/>
          <w:szCs w:val="24"/>
          <w:u w:val="single"/>
        </w:rPr>
        <w:t>××小区（村、苑）；</w:t>
      </w:r>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（5）门址表示为：</w:t>
      </w:r>
      <w:r>
        <w:rPr>
          <w:rFonts w:hint="eastAsia" w:ascii="微软雅黑" w:hAnsi="微软雅黑" w:cs="微软雅黑"/>
          <w:sz w:val="24"/>
          <w:szCs w:val="24"/>
          <w:u w:val="single"/>
        </w:rPr>
        <w:t>××号；</w:t>
      </w:r>
    </w:p>
    <w:p>
      <w:pPr>
        <w:spacing w:line="360" w:lineRule="auto"/>
        <w:ind w:firstLine="480" w:firstLineChars="200"/>
        <w:rPr>
          <w:rFonts w:ascii="微软雅黑" w:hAnsi="微软雅黑" w:cs="微软雅黑"/>
          <w:sz w:val="24"/>
          <w:szCs w:val="24"/>
          <w:u w:val="single"/>
        </w:rPr>
      </w:pPr>
      <w:r>
        <w:rPr>
          <w:rFonts w:hint="eastAsia" w:ascii="微软雅黑" w:hAnsi="微软雅黑" w:cs="微软雅黑"/>
          <w:sz w:val="24"/>
          <w:szCs w:val="24"/>
        </w:rPr>
        <w:t>（6）楼号表示为：</w:t>
      </w:r>
      <w:r>
        <w:rPr>
          <w:rFonts w:hint="eastAsia" w:ascii="微软雅黑" w:hAnsi="微软雅黑" w:cs="微软雅黑"/>
          <w:sz w:val="24"/>
          <w:szCs w:val="24"/>
          <w:u w:val="single"/>
        </w:rPr>
        <w:t>××幢（栋）；</w:t>
      </w:r>
    </w:p>
    <w:p>
      <w:pPr>
        <w:spacing w:line="360" w:lineRule="auto"/>
        <w:ind w:firstLine="480" w:firstLineChars="200"/>
        <w:rPr>
          <w:rFonts w:ascii="微软雅黑" w:hAnsi="微软雅黑" w:cs="微软雅黑"/>
          <w:sz w:val="24"/>
          <w:szCs w:val="24"/>
          <w:u w:val="single"/>
        </w:rPr>
      </w:pPr>
      <w:r>
        <w:rPr>
          <w:rFonts w:hint="eastAsia" w:ascii="微软雅黑" w:hAnsi="微软雅黑" w:cs="微软雅黑"/>
          <w:sz w:val="24"/>
          <w:szCs w:val="24"/>
        </w:rPr>
        <w:t>（7）室号表示为：</w:t>
      </w:r>
      <w:r>
        <w:rPr>
          <w:rFonts w:hint="eastAsia" w:ascii="微软雅黑" w:hAnsi="微软雅黑" w:cs="微软雅黑"/>
          <w:sz w:val="24"/>
          <w:szCs w:val="24"/>
          <w:u w:val="single"/>
        </w:rPr>
        <w:t>××单元××室(号)。</w:t>
      </w:r>
    </w:p>
    <w:p>
      <w:pPr>
        <w:snapToGrid w:val="0"/>
        <w:spacing w:beforeLines="50" w:line="360" w:lineRule="auto"/>
        <w:ind w:firstLine="562" w:firstLineChars="200"/>
        <w:rPr>
          <w:rFonts w:ascii="仿宋" w:hAnsi="仿宋" w:eastAsia="仿宋"/>
          <w:sz w:val="28"/>
          <w:u w:val="single"/>
        </w:rPr>
      </w:pPr>
      <w:r>
        <w:rPr>
          <w:rFonts w:ascii="仿宋" w:hAnsi="仿宋" w:eastAsia="仿宋"/>
          <w:b/>
          <w:snapToGrid w:val="0"/>
          <w:sz w:val="28"/>
        </w:rPr>
        <w:t>3</w:t>
      </w:r>
      <w:r>
        <w:rPr>
          <w:rFonts w:hint="eastAsia" w:ascii="仿宋" w:hAnsi="仿宋" w:eastAsia="仿宋"/>
          <w:b/>
          <w:snapToGrid w:val="0"/>
          <w:sz w:val="28"/>
        </w:rPr>
        <w:t>）其他要求</w:t>
      </w:r>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（1）坐标系统：采用CGCS2000国家大地坐标系。</w:t>
      </w:r>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（2）精度要求：地名地址数据中的自然地名的精度与框架数据的精度保持一致，外业采集数据的相对精度小于5米，以其他资料更新的地名地址数据的精度与原始资料保持一致。</w:t>
      </w:r>
    </w:p>
    <w:p>
      <w:pPr>
        <w:pStyle w:val="6"/>
        <w:widowControl/>
        <w:numPr>
          <w:ilvl w:val="2"/>
          <w:numId w:val="1"/>
        </w:numPr>
        <w:ind w:right="220"/>
        <w:jc w:val="left"/>
        <w:rPr>
          <w:rFonts w:ascii="仿宋" w:hAnsi="仿宋" w:eastAsia="仿宋"/>
          <w:sz w:val="30"/>
          <w:szCs w:val="30"/>
        </w:rPr>
      </w:pPr>
      <w:bookmarkStart w:id="69" w:name="_Toc29240"/>
      <w:bookmarkStart w:id="70" w:name="_Toc15369"/>
      <w:bookmarkStart w:id="71" w:name="_Toc34296946"/>
      <w:bookmarkStart w:id="72" w:name="_Toc15634267"/>
      <w:r>
        <w:rPr>
          <w:rFonts w:ascii="仿宋" w:hAnsi="仿宋" w:eastAsia="仿宋"/>
          <w:sz w:val="30"/>
          <w:szCs w:val="30"/>
        </w:rPr>
        <w:t>外业调查</w:t>
      </w:r>
      <w:bookmarkEnd w:id="69"/>
      <w:bookmarkEnd w:id="70"/>
      <w:bookmarkEnd w:id="71"/>
      <w:bookmarkEnd w:id="72"/>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做到地名地址空间信息的外业采集，具体要求如下：</w:t>
      </w:r>
    </w:p>
    <w:p>
      <w:pPr>
        <w:spacing w:line="360" w:lineRule="auto"/>
        <w:ind w:firstLine="480" w:firstLineChars="200"/>
        <w:rPr>
          <w:rFonts w:ascii="仿宋" w:hAnsi="仿宋" w:eastAsia="仿宋"/>
          <w:sz w:val="28"/>
        </w:rPr>
      </w:pPr>
      <w:r>
        <w:rPr>
          <w:rFonts w:hint="eastAsia" w:ascii="微软雅黑" w:hAnsi="微软雅黑" w:cs="微软雅黑"/>
          <w:sz w:val="24"/>
          <w:szCs w:val="24"/>
        </w:rPr>
        <w:t>1）外业采集按任务分区块进行，需要做到采集到的空间信息与实地地址点所在位置一致；</w:t>
      </w:r>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2）地址数据在采集时应采集全面，原则上不允许出现遗漏或跳号的情况。如有此类情况发生，必须与相关部门或者附近居民核实。实地未悬挂门牌待外业调查完统一按村社范围汇总，到时由村社相关工作人员核实查漏补缺；</w:t>
      </w:r>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3）经核实，非地名办制作发放而自己制作的门楼牌号不予采集；</w:t>
      </w:r>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4）对于已经处于拆迁区域范围内的门楼牌号不予采集空间信息，但要分类汇总提交未采集的情况说明；</w:t>
      </w:r>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5）如果出现一址多户的情况时，应进行入户调查，明确该址实际所在位置；一般采集农户新建的房屋作为此牌址的地理位置信息，旧房屋上挂的相同的牌址不予采集；</w:t>
      </w:r>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6）若因大面积的城市改造等原因造成实地情况与影像、地形图相差甚远，无法参照底图进行空间位置采集的，制作相应的范围汇总数据集，汇报甲方与相关部门获取最新的地形数据后进行采集。若获取不到的，不予采集。但须提交未采集的情况说明；</w:t>
      </w:r>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7）地址数据必须是连续的，原则上不能出现跳号的情况。出现地址点跳号时，根据以下不同的情况分别进行处理；</w:t>
      </w:r>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8）若居民住宅有悬挂有多个地址，如“朝阳新村一弄4号”、“上石演村999号”，需同时采集两个地址点，空间位置不必重合。采集后与权属数据库核对，只保留最新的一个。同时旧的放到历史库。</w:t>
      </w:r>
    </w:p>
    <w:p>
      <w:pPr>
        <w:pStyle w:val="6"/>
        <w:widowControl/>
        <w:numPr>
          <w:ilvl w:val="2"/>
          <w:numId w:val="1"/>
        </w:numPr>
        <w:ind w:right="220"/>
        <w:jc w:val="left"/>
        <w:rPr>
          <w:rFonts w:ascii="仿宋" w:hAnsi="仿宋" w:eastAsia="仿宋"/>
          <w:sz w:val="30"/>
          <w:szCs w:val="30"/>
        </w:rPr>
      </w:pPr>
      <w:bookmarkStart w:id="73" w:name="_Toc26684"/>
      <w:bookmarkStart w:id="74" w:name="_Toc15634268"/>
      <w:bookmarkStart w:id="75" w:name="_Toc29569"/>
      <w:bookmarkStart w:id="76" w:name="_Toc34296947"/>
      <w:r>
        <w:rPr>
          <w:rFonts w:ascii="仿宋" w:hAnsi="仿宋" w:eastAsia="仿宋"/>
          <w:sz w:val="30"/>
          <w:szCs w:val="30"/>
        </w:rPr>
        <w:t>数据分析</w:t>
      </w:r>
      <w:bookmarkEnd w:id="73"/>
      <w:bookmarkEnd w:id="74"/>
      <w:bookmarkEnd w:id="75"/>
      <w:bookmarkEnd w:id="76"/>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数据分析，是内业数据处理的重要组成部分。具体工作内容如下：</w:t>
      </w:r>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基于地名地址属性信息库,将标准化后的属性成果数据与外业采集的空间点位数据进第一次匹配挂接。整理记录因各种原因无法匹配的数据，发现遗漏的未采集区域。输出匹配挂接检查结果。</w:t>
      </w:r>
    </w:p>
    <w:p>
      <w:pPr>
        <w:pStyle w:val="6"/>
        <w:widowControl/>
        <w:numPr>
          <w:ilvl w:val="2"/>
          <w:numId w:val="1"/>
        </w:numPr>
        <w:ind w:right="220"/>
        <w:jc w:val="left"/>
        <w:rPr>
          <w:rFonts w:ascii="仿宋" w:hAnsi="仿宋" w:eastAsia="仿宋"/>
          <w:sz w:val="30"/>
          <w:szCs w:val="30"/>
        </w:rPr>
      </w:pPr>
      <w:bookmarkStart w:id="77" w:name="_Toc15634269"/>
      <w:bookmarkStart w:id="78" w:name="_Toc34296948"/>
      <w:bookmarkStart w:id="79" w:name="_Toc22178"/>
      <w:bookmarkStart w:id="80" w:name="_Toc6810"/>
      <w:r>
        <w:rPr>
          <w:rFonts w:hint="eastAsia" w:ascii="仿宋" w:hAnsi="仿宋" w:eastAsia="仿宋"/>
          <w:sz w:val="30"/>
          <w:szCs w:val="30"/>
        </w:rPr>
        <w:t>外业补采</w:t>
      </w:r>
      <w:bookmarkEnd w:id="77"/>
      <w:bookmarkEnd w:id="78"/>
      <w:bookmarkEnd w:id="79"/>
      <w:bookmarkEnd w:id="80"/>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基于数据分析结果，以地名为单位进行清单打印，先与甲方进行核实，如无法解决，叠加地形、图影像与地址点数据，打印出图纸，由作业员与乡镇、村级相关工作人员到实地核实，进行第二次外业调查（补采）工作。一些特殊情况的处理方法如下：</w:t>
      </w:r>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1）如在天地图中存在的地址点属性，地名办权属数据中不存在的；核实地址点名称的准确性。已知两个地址所指的为同一位置（小区），应以地名办的命名为准。如‘万科·水岸华庭’，实际地名管理系统为‘水岸华庭’；统一将‘万科·’关键字去除。经核实天地图中的数据在实地中存在，但在地名办的权属数据库中不存在，将数据统一进行标签，最后统一移交甲方，由甲方商定到底要不要录入系统中。</w:t>
      </w:r>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（2）天地图中因漏采集或新增的门牌由乡镇、街道及村、社区外业调查人员在图纸的相应位置中标绘，交由作业员在电脑系统中统一录入。</w:t>
      </w:r>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（3）天地图中门牌点实际空间位置与实地不一致的，由乡镇、街道及村、社区外业调查人员在图纸的相应位置中标绘，交由作业员在电脑系统中统一录入。</w:t>
      </w:r>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（4）天地图中存在，在地名办的权属库中也存在，但因城市化的需要整体拆迁的，实地房子已经拆除，门牌点在实地已不存在的，将数据统一进行标签，最后统一移交甲方，由甲方商定到底要不要录入系统中。</w:t>
      </w:r>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5）在地名办的权属数据库中存在，但经乡镇、街道及村、社区外业调查人员核实后在实地不存在的（如整体拆迁，已新建成小区或其他商住楼等），对地名办的权属数据进行标签，最后统一移交甲方，由甲方商定处理方式。</w:t>
      </w:r>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6）天地图中已存在的，但在地名办权属数据库中不存在，但经乡镇、街道及村、社区外业调查人员核实后事实存在的地名门牌点。将数据统一进行标签，最后统一移交甲方，由甲方商定到底要不要录入系统中。</w:t>
      </w:r>
    </w:p>
    <w:p>
      <w:pPr>
        <w:pStyle w:val="6"/>
        <w:widowControl/>
        <w:numPr>
          <w:ilvl w:val="2"/>
          <w:numId w:val="1"/>
        </w:numPr>
        <w:ind w:right="220"/>
        <w:jc w:val="left"/>
        <w:rPr>
          <w:rFonts w:ascii="仿宋" w:hAnsi="仿宋" w:eastAsia="仿宋"/>
          <w:sz w:val="30"/>
          <w:szCs w:val="30"/>
        </w:rPr>
      </w:pPr>
      <w:bookmarkStart w:id="81" w:name="_Toc31839"/>
      <w:bookmarkStart w:id="82" w:name="_Toc34296949"/>
      <w:bookmarkStart w:id="83" w:name="_Toc18270"/>
      <w:r>
        <w:rPr>
          <w:rFonts w:hint="eastAsia" w:ascii="仿宋" w:hAnsi="仿宋" w:eastAsia="仿宋"/>
          <w:sz w:val="30"/>
          <w:szCs w:val="30"/>
        </w:rPr>
        <w:t>外业数据质检</w:t>
      </w:r>
      <w:bookmarkEnd w:id="81"/>
      <w:bookmarkEnd w:id="82"/>
      <w:bookmarkEnd w:id="83"/>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根据对外业采集的规范要求，检查外业团队所提交的数据成果，包括数据库的字段信息是否齐全，空间位置与实地门牌位置是否一致。</w:t>
      </w:r>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1)数据库中的实地门牌地址字段内容的正确性检查，标准门牌地址字段与实地门牌地址的相关性检查，备注字段的内容核查。</w:t>
      </w:r>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2)标准门牌属性数据的备注信息是否完善，是否有相应的匹配情况，以及备注情况。</w:t>
      </w:r>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3)如果发现数据质量存在问题，提交的数据存在匹配的不一致，空间点位不准确，将数据进行打回，重新补采核实。</w:t>
      </w:r>
    </w:p>
    <w:p>
      <w:pPr>
        <w:pStyle w:val="5"/>
        <w:keepLines w:val="0"/>
        <w:widowControl/>
        <w:numPr>
          <w:ilvl w:val="1"/>
          <w:numId w:val="1"/>
        </w:numPr>
        <w:spacing w:before="240" w:after="240" w:line="360" w:lineRule="auto"/>
        <w:ind w:right="210" w:rightChars="100"/>
        <w:rPr>
          <w:rFonts w:ascii="仿宋" w:hAnsi="仿宋" w:eastAsia="仿宋"/>
        </w:rPr>
      </w:pPr>
      <w:bookmarkStart w:id="84" w:name="_Toc2575"/>
      <w:bookmarkStart w:id="85" w:name="_Toc34296950"/>
      <w:bookmarkStart w:id="86" w:name="_Toc17039"/>
      <w:r>
        <w:rPr>
          <w:rFonts w:hint="eastAsia" w:ascii="仿宋" w:hAnsi="仿宋" w:eastAsia="仿宋"/>
        </w:rPr>
        <w:t>数据比对清洗</w:t>
      </w:r>
      <w:bookmarkEnd w:id="84"/>
      <w:bookmarkEnd w:id="85"/>
      <w:bookmarkEnd w:id="86"/>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对标准化后的地名地址进行比对、去重、清洗，汇合公安、政法委、自然资源局不动产登记住址数据进行逐一比对、清洗、去重，数据成果完整、准确、唯一，对于表述不同，成果数据要备注清晰，比如“老娘舅”标准地名门牌为頔塘路8号，不动产登记证地址为318国道南侧46号，实际是同一地址，在数据调查时要清晰备注：标准地址为頔塘路8号、原地址为318国道南侧46号（不动产）。</w:t>
      </w:r>
    </w:p>
    <w:p>
      <w:pPr>
        <w:pStyle w:val="6"/>
        <w:widowControl/>
        <w:numPr>
          <w:ilvl w:val="2"/>
          <w:numId w:val="1"/>
        </w:numPr>
        <w:ind w:right="220"/>
        <w:jc w:val="left"/>
        <w:rPr>
          <w:rFonts w:ascii="仿宋" w:hAnsi="仿宋" w:eastAsia="仿宋"/>
          <w:sz w:val="30"/>
          <w:szCs w:val="30"/>
        </w:rPr>
      </w:pPr>
      <w:bookmarkStart w:id="87" w:name="_Toc24434"/>
      <w:bookmarkStart w:id="88" w:name="_Toc34296951"/>
      <w:bookmarkStart w:id="89" w:name="_Toc9536"/>
      <w:r>
        <w:rPr>
          <w:rFonts w:hint="eastAsia" w:ascii="仿宋" w:hAnsi="仿宋" w:eastAsia="仿宋"/>
          <w:sz w:val="30"/>
          <w:szCs w:val="30"/>
        </w:rPr>
        <w:t>数据匹配</w:t>
      </w:r>
      <w:bookmarkEnd w:id="87"/>
      <w:bookmarkEnd w:id="88"/>
      <w:bookmarkEnd w:id="89"/>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外业采集的空间数据与内业整理的标准地名地址数据进行匹配关联。道路门牌、农村门牌需要用到完全匹配，即空间点位名称与标准地名地址一一对应；楼幢门牌因为空间点位只采集到单元号，所以需要用到模糊匹配单元号或者楼幢，用于匹配楼幢独栋或者单元室号等数据。匹配完成之后，剩余的未匹配的数据，需要细分到村社区一级，再进行外业的核实补采，直到所有标准地名地址数据都有其相应的空间点位进行关联匹配。</w:t>
      </w:r>
    </w:p>
    <w:p>
      <w:pPr>
        <w:pStyle w:val="6"/>
        <w:widowControl/>
        <w:numPr>
          <w:ilvl w:val="2"/>
          <w:numId w:val="1"/>
        </w:numPr>
        <w:ind w:right="220"/>
        <w:jc w:val="left"/>
        <w:rPr>
          <w:rFonts w:ascii="仿宋" w:hAnsi="仿宋" w:eastAsia="仿宋"/>
          <w:sz w:val="30"/>
          <w:szCs w:val="30"/>
        </w:rPr>
      </w:pPr>
      <w:bookmarkStart w:id="90" w:name="_Toc34296952"/>
      <w:bookmarkStart w:id="91" w:name="_Toc23968"/>
      <w:bookmarkStart w:id="92" w:name="_Toc2835"/>
      <w:r>
        <w:rPr>
          <w:rFonts w:hint="eastAsia" w:ascii="仿宋" w:hAnsi="仿宋" w:eastAsia="仿宋"/>
          <w:sz w:val="30"/>
          <w:szCs w:val="30"/>
        </w:rPr>
        <w:t>匹配后数据质检</w:t>
      </w:r>
      <w:bookmarkEnd w:id="90"/>
      <w:bookmarkEnd w:id="91"/>
      <w:bookmarkEnd w:id="92"/>
    </w:p>
    <w:p>
      <w:pPr>
        <w:spacing w:line="360" w:lineRule="auto"/>
        <w:ind w:firstLine="480" w:firstLineChars="200"/>
        <w:rPr>
          <w:rFonts w:ascii="微软雅黑" w:hAnsi="微软雅黑" w:cs="微软雅黑"/>
          <w:sz w:val="24"/>
          <w:szCs w:val="24"/>
        </w:rPr>
      </w:pPr>
      <w:r>
        <w:rPr>
          <w:rFonts w:hint="eastAsia" w:ascii="微软雅黑" w:hAnsi="微软雅黑" w:cs="微软雅黑"/>
          <w:sz w:val="24"/>
          <w:szCs w:val="24"/>
        </w:rPr>
        <w:t>内业数据处理组针对空间数据与标准地名地址数据的匹配结果，进行相应的匹配后的数据质检。由于匹配计算关联等问题，可能会存在完全匹配或者模糊匹配的偏差，此时需要对模糊匹配的数据进行核实质检。楼幢门牌的模糊匹配，需要关联到单元号，检查是否只是关联到楼幢而非单元号；农村门牌核查是否关联为同村名的空间点位；道路门牌核查是否为完全匹配和同路名的匹配问题。</w:t>
      </w:r>
    </w:p>
    <w:p>
      <w:pPr>
        <w:pStyle w:val="5"/>
        <w:keepLines w:val="0"/>
        <w:widowControl/>
        <w:numPr>
          <w:ilvl w:val="1"/>
          <w:numId w:val="1"/>
        </w:numPr>
        <w:spacing w:before="240" w:after="240" w:line="360" w:lineRule="auto"/>
        <w:ind w:right="210" w:rightChars="100"/>
        <w:rPr>
          <w:rFonts w:ascii="仿宋" w:hAnsi="仿宋" w:eastAsia="仿宋"/>
        </w:rPr>
      </w:pPr>
      <w:bookmarkStart w:id="93" w:name="_Toc20437"/>
      <w:bookmarkStart w:id="94" w:name="_Toc15103"/>
      <w:bookmarkStart w:id="95" w:name="_Toc34296953"/>
      <w:r>
        <w:rPr>
          <w:rFonts w:hint="eastAsia" w:ascii="仿宋" w:hAnsi="仿宋" w:eastAsia="仿宋"/>
        </w:rPr>
        <w:t>成果数据</w:t>
      </w:r>
      <w:r>
        <w:rPr>
          <w:rFonts w:ascii="仿宋" w:hAnsi="仿宋" w:eastAsia="仿宋"/>
        </w:rPr>
        <w:t>录入</w:t>
      </w:r>
      <w:r>
        <w:rPr>
          <w:rFonts w:hint="eastAsia" w:ascii="仿宋" w:hAnsi="仿宋" w:eastAsia="仿宋"/>
        </w:rPr>
        <w:t>浙江省区划</w:t>
      </w:r>
      <w:r>
        <w:rPr>
          <w:rFonts w:ascii="仿宋" w:hAnsi="仿宋" w:eastAsia="仿宋"/>
        </w:rPr>
        <w:t>地名信息管理系统</w:t>
      </w:r>
      <w:r>
        <w:rPr>
          <w:rFonts w:hint="eastAsia" w:ascii="仿宋" w:hAnsi="仿宋" w:eastAsia="仿宋"/>
        </w:rPr>
        <w:t>实现数据实时更新</w:t>
      </w:r>
      <w:r>
        <w:rPr>
          <w:rFonts w:ascii="仿宋" w:hAnsi="仿宋" w:eastAsia="仿宋"/>
        </w:rPr>
        <w:t>并共享交换</w:t>
      </w:r>
      <w:bookmarkEnd w:id="93"/>
      <w:bookmarkEnd w:id="94"/>
      <w:bookmarkEnd w:id="95"/>
    </w:p>
    <w:p>
      <w:pPr>
        <w:spacing w:line="360" w:lineRule="auto"/>
        <w:ind w:firstLine="480" w:firstLineChars="200"/>
        <w:rPr>
          <w:rFonts w:ascii="微软雅黑" w:hAnsi="微软雅黑" w:cs="微软雅黑"/>
          <w:sz w:val="24"/>
          <w:szCs w:val="24"/>
          <w:lang w:val="zh-CN"/>
        </w:rPr>
      </w:pPr>
      <w:r>
        <w:rPr>
          <w:rFonts w:hint="eastAsia" w:ascii="微软雅黑" w:hAnsi="微软雅黑" w:cs="微软雅黑"/>
          <w:sz w:val="24"/>
          <w:szCs w:val="24"/>
          <w:lang w:val="zh-CN"/>
        </w:rPr>
        <w:t>将成果数据录入日常办公运行的“浙江省区划地名信息管理系统”，实现湖州市地名地址数据的实时更新，全量数据推送到湖州市民政局共享交换平台，通过共享交换平台实时推送至湖州市大数据局，实现存量、增量地名地址数据的实时更新。为日常的业务办理、不动产登记“一件事”及其他业务联办提供全量的地名地址数据支撑。</w:t>
      </w:r>
    </w:p>
    <w:p>
      <w:pPr>
        <w:pStyle w:val="6"/>
        <w:widowControl/>
        <w:numPr>
          <w:ilvl w:val="2"/>
          <w:numId w:val="1"/>
        </w:numPr>
        <w:ind w:right="220"/>
        <w:jc w:val="left"/>
        <w:rPr>
          <w:rFonts w:ascii="仿宋" w:hAnsi="仿宋" w:eastAsia="仿宋"/>
          <w:sz w:val="30"/>
          <w:szCs w:val="30"/>
        </w:rPr>
      </w:pPr>
      <w:bookmarkStart w:id="96" w:name="_Toc34296954"/>
      <w:bookmarkStart w:id="97" w:name="_Toc32528"/>
      <w:bookmarkStart w:id="98" w:name="_Toc25179"/>
      <w:r>
        <w:rPr>
          <w:rFonts w:hint="eastAsia" w:ascii="仿宋" w:hAnsi="仿宋" w:eastAsia="仿宋"/>
          <w:sz w:val="30"/>
          <w:szCs w:val="30"/>
        </w:rPr>
        <w:t>数据的核实更新入库</w:t>
      </w:r>
      <w:bookmarkEnd w:id="96"/>
      <w:bookmarkEnd w:id="97"/>
      <w:bookmarkEnd w:id="98"/>
    </w:p>
    <w:p>
      <w:pPr>
        <w:spacing w:line="360" w:lineRule="auto"/>
        <w:ind w:firstLine="480" w:firstLineChars="200"/>
        <w:rPr>
          <w:rFonts w:ascii="微软雅黑" w:hAnsi="微软雅黑" w:cs="微软雅黑"/>
          <w:sz w:val="24"/>
          <w:szCs w:val="24"/>
          <w:lang w:val="zh-CN"/>
        </w:rPr>
      </w:pPr>
      <w:r>
        <w:rPr>
          <w:rFonts w:hint="eastAsia" w:ascii="微软雅黑" w:hAnsi="微软雅黑" w:cs="微软雅黑"/>
          <w:sz w:val="24"/>
          <w:szCs w:val="24"/>
          <w:lang w:val="zh-CN"/>
        </w:rPr>
        <w:t>在外业数据采集完成并且匹配关联完成后，给予核验，核验后的数据进行内业数据的匹配入库，成果数据录入浙江省区划地名信息管理系统。</w:t>
      </w:r>
    </w:p>
    <w:p>
      <w:pPr>
        <w:spacing w:line="360" w:lineRule="auto"/>
        <w:ind w:firstLine="480" w:firstLineChars="200"/>
        <w:rPr>
          <w:rFonts w:ascii="微软雅黑" w:hAnsi="微软雅黑" w:cs="微软雅黑"/>
          <w:sz w:val="24"/>
          <w:szCs w:val="24"/>
          <w:lang w:val="zh-CN"/>
        </w:rPr>
      </w:pPr>
      <w:r>
        <w:rPr>
          <w:rFonts w:hint="eastAsia" w:ascii="微软雅黑" w:hAnsi="微软雅黑" w:cs="微软雅黑"/>
          <w:sz w:val="24"/>
          <w:szCs w:val="24"/>
          <w:lang w:val="zh-CN"/>
        </w:rPr>
        <w:t>1)外业提供的空间数据中的实地门牌地址字段与标准门牌地址字段，与标准门牌属性数据进行内业数据组的关联处理，将空间信息与属性信息进行相应的一对一或者一对多的关联，做为正式数据入库，形成的正式标准门牌地址数据。</w:t>
      </w:r>
    </w:p>
    <w:p>
      <w:pPr>
        <w:spacing w:line="360" w:lineRule="auto"/>
        <w:ind w:firstLine="480" w:firstLineChars="200"/>
        <w:rPr>
          <w:rFonts w:ascii="微软雅黑" w:hAnsi="微软雅黑" w:cs="微软雅黑"/>
          <w:sz w:val="24"/>
          <w:szCs w:val="24"/>
          <w:lang w:val="zh-CN"/>
        </w:rPr>
      </w:pPr>
      <w:r>
        <w:rPr>
          <w:rFonts w:hint="eastAsia" w:ascii="微软雅黑" w:hAnsi="微软雅黑" w:cs="微软雅黑"/>
          <w:sz w:val="24"/>
          <w:szCs w:val="24"/>
          <w:lang w:val="zh-CN"/>
        </w:rPr>
        <w:t>2)外业核实的标准门牌属性数据中已拆除的数据，内业数据组进行相应的历史数据的标识。</w:t>
      </w:r>
    </w:p>
    <w:p>
      <w:pPr>
        <w:spacing w:line="360" w:lineRule="auto"/>
        <w:ind w:firstLine="480" w:firstLineChars="200"/>
        <w:rPr>
          <w:rFonts w:ascii="微软雅黑" w:hAnsi="微软雅黑" w:cs="微软雅黑"/>
          <w:sz w:val="24"/>
          <w:szCs w:val="24"/>
          <w:lang w:val="zh-CN"/>
        </w:rPr>
      </w:pPr>
      <w:r>
        <w:rPr>
          <w:rFonts w:hint="eastAsia" w:ascii="微软雅黑" w:hAnsi="微软雅黑" w:cs="微软雅黑"/>
          <w:sz w:val="24"/>
          <w:szCs w:val="24"/>
          <w:lang w:val="zh-CN"/>
        </w:rPr>
        <w:t>3)外业核实的预留号数据，内业数据组将此类数据进行备注，但做不入库处理。</w:t>
      </w:r>
    </w:p>
    <w:p>
      <w:pPr>
        <w:spacing w:line="360" w:lineRule="auto"/>
        <w:ind w:firstLine="480" w:firstLineChars="200"/>
        <w:rPr>
          <w:rFonts w:ascii="微软雅黑" w:hAnsi="微软雅黑" w:cs="微软雅黑"/>
          <w:sz w:val="24"/>
          <w:szCs w:val="24"/>
          <w:lang w:val="zh-CN"/>
        </w:rPr>
      </w:pPr>
      <w:r>
        <w:rPr>
          <w:rFonts w:hint="eastAsia" w:ascii="微软雅黑" w:hAnsi="微软雅黑" w:cs="微软雅黑"/>
          <w:sz w:val="24"/>
          <w:szCs w:val="24"/>
          <w:lang w:val="zh-CN"/>
        </w:rPr>
        <w:t>4）在所有匹配完成后再次核验标准地址与空间对应点位的匹配关联信息，是否还存在匹配异常的数据信息。如：标准地址为“朝阳新村一弄4号”的属性数据匹配到“上石演村999号”是否正确。</w:t>
      </w:r>
    </w:p>
    <w:p>
      <w:pPr>
        <w:spacing w:line="360" w:lineRule="auto"/>
        <w:ind w:firstLine="480" w:firstLineChars="200"/>
        <w:rPr>
          <w:rFonts w:ascii="微软雅黑" w:hAnsi="微软雅黑" w:cs="微软雅黑"/>
          <w:sz w:val="24"/>
          <w:szCs w:val="24"/>
          <w:lang w:val="zh-CN"/>
        </w:rPr>
      </w:pPr>
      <w:r>
        <w:rPr>
          <w:rFonts w:hint="eastAsia" w:ascii="微软雅黑" w:hAnsi="微软雅黑" w:cs="微软雅黑"/>
          <w:sz w:val="24"/>
          <w:szCs w:val="24"/>
          <w:lang w:val="zh-CN"/>
        </w:rPr>
        <w:t>5）产权人更新替换。在确保民政和不动产数据标准化后、唯一性后对汇总的民政数据的产权人信息进行更新替换，确保目前所掌握的所有地名地址所对应的产权人信息都与不动产信息一致，确保数据的完整与同步。在产权人更新替换时，将原始的民政数据作为历史数据，而新替换了产权人后的数据将继续保留原始民政数据中的相关信息和不动产证的产权证号和最新的产权人信息。替换了产权人信息的数据可通过新产生的数据，在区划地名系统中可通过历史回溯按钮进行查看历史门牌地址或产权人的历史演变。</w:t>
      </w:r>
    </w:p>
    <w:p>
      <w:pPr>
        <w:spacing w:line="360" w:lineRule="auto"/>
        <w:ind w:firstLine="480" w:firstLineChars="200"/>
        <w:rPr>
          <w:rFonts w:ascii="微软雅黑" w:hAnsi="微软雅黑" w:cs="微软雅黑"/>
          <w:sz w:val="24"/>
          <w:szCs w:val="24"/>
          <w:lang w:val="zh-CN"/>
        </w:rPr>
      </w:pPr>
      <w:r>
        <w:rPr>
          <w:rFonts w:hint="eastAsia" w:ascii="微软雅黑" w:hAnsi="微软雅黑" w:cs="微软雅黑"/>
          <w:sz w:val="24"/>
          <w:szCs w:val="24"/>
          <w:lang w:val="zh-CN"/>
        </w:rPr>
        <w:t>6）原门牌地址的叠加更新。在地址标准化后，若不动产先前的地址与目前的标准地址描述不一致的，将不动产的先前地址作为原地址叠加更新至目前数据中，保证多个原门牌地址同时存在，在区划地名系统中可同时查询出来。</w:t>
      </w:r>
    </w:p>
    <w:p>
      <w:pPr>
        <w:spacing w:line="360" w:lineRule="auto"/>
        <w:ind w:firstLine="480" w:firstLineChars="200"/>
        <w:rPr>
          <w:rFonts w:ascii="微软雅黑" w:hAnsi="微软雅黑" w:cs="微软雅黑"/>
          <w:sz w:val="24"/>
          <w:szCs w:val="24"/>
          <w:lang w:val="zh-CN"/>
        </w:rPr>
      </w:pPr>
      <w:r>
        <w:rPr>
          <w:rFonts w:hint="eastAsia" w:ascii="微软雅黑" w:hAnsi="微软雅黑" w:cs="微软雅黑"/>
          <w:sz w:val="24"/>
          <w:szCs w:val="24"/>
          <w:lang w:val="zh-CN"/>
        </w:rPr>
        <w:t>7）产权人格式的更新。处理同地名地址中若出现多个产权人的问题，将多个产权人之间以中文顿号隔开，规范多个产权人的书写格式。</w:t>
      </w:r>
    </w:p>
    <w:p>
      <w:pPr>
        <w:spacing w:line="360" w:lineRule="auto"/>
        <w:ind w:firstLine="480" w:firstLineChars="200"/>
        <w:rPr>
          <w:rFonts w:ascii="微软雅黑" w:hAnsi="微软雅黑" w:cs="微软雅黑"/>
          <w:sz w:val="24"/>
          <w:szCs w:val="24"/>
          <w:lang w:val="zh-CN"/>
        </w:rPr>
      </w:pPr>
      <w:r>
        <w:rPr>
          <w:rFonts w:hint="eastAsia" w:ascii="微软雅黑" w:hAnsi="微软雅黑" w:cs="微软雅黑"/>
          <w:sz w:val="24"/>
          <w:szCs w:val="24"/>
          <w:lang w:val="zh-CN"/>
        </w:rPr>
        <w:t>8）历史数据的划分。将已拆除、地址不全、注销、产权人替换前等情况产生的数据，改变数据状态并做标记后存入系统历史库，后期可根据数据状态在区划地名系统中进行查询。</w:t>
      </w:r>
    </w:p>
    <w:p>
      <w:pPr>
        <w:pStyle w:val="6"/>
        <w:widowControl/>
        <w:numPr>
          <w:ilvl w:val="2"/>
          <w:numId w:val="1"/>
        </w:numPr>
        <w:ind w:right="220"/>
        <w:jc w:val="left"/>
        <w:rPr>
          <w:rFonts w:ascii="仿宋" w:hAnsi="仿宋" w:eastAsia="仿宋"/>
          <w:sz w:val="30"/>
          <w:szCs w:val="30"/>
        </w:rPr>
      </w:pPr>
      <w:bookmarkStart w:id="99" w:name="_Toc6222"/>
      <w:bookmarkStart w:id="100" w:name="_Toc34296955"/>
      <w:bookmarkStart w:id="101" w:name="_Toc6218"/>
      <w:r>
        <w:rPr>
          <w:rFonts w:hint="eastAsia" w:ascii="仿宋" w:hAnsi="仿宋" w:eastAsia="仿宋"/>
          <w:sz w:val="30"/>
          <w:szCs w:val="30"/>
        </w:rPr>
        <w:t>对接</w:t>
      </w:r>
      <w:r>
        <w:rPr>
          <w:rFonts w:ascii="仿宋" w:hAnsi="仿宋" w:eastAsia="仿宋"/>
          <w:sz w:val="30"/>
          <w:szCs w:val="30"/>
        </w:rPr>
        <w:t>湖州市民政局共享交换平台</w:t>
      </w:r>
      <w:bookmarkEnd w:id="99"/>
      <w:bookmarkEnd w:id="100"/>
      <w:bookmarkEnd w:id="101"/>
    </w:p>
    <w:p>
      <w:pPr>
        <w:spacing w:line="360" w:lineRule="auto"/>
        <w:ind w:firstLine="480" w:firstLineChars="200"/>
        <w:rPr>
          <w:rFonts w:ascii="微软雅黑" w:hAnsi="微软雅黑" w:cs="微软雅黑"/>
          <w:sz w:val="24"/>
          <w:szCs w:val="24"/>
          <w:lang w:val="zh-CN"/>
        </w:rPr>
      </w:pPr>
      <w:r>
        <w:rPr>
          <w:rFonts w:hint="eastAsia" w:ascii="微软雅黑" w:hAnsi="微软雅黑" w:cs="微软雅黑"/>
          <w:sz w:val="24"/>
          <w:szCs w:val="24"/>
          <w:lang w:val="zh-CN"/>
        </w:rPr>
        <w:t>基于浙江省区划地名信息管理系统，无缝对接湖州市民政局共享交换平台，把成果数据推送至湖州市民政局共享交换平台，同时通过交换平台获取湖州市大数据其他部门的有关数据字段，实现与大数据局、自规局、政法委等部门的联办。</w:t>
      </w:r>
    </w:p>
    <w:p>
      <w:pPr>
        <w:pStyle w:val="6"/>
        <w:widowControl/>
        <w:numPr>
          <w:ilvl w:val="2"/>
          <w:numId w:val="1"/>
        </w:numPr>
        <w:ind w:right="220"/>
        <w:jc w:val="left"/>
        <w:rPr>
          <w:rFonts w:ascii="仿宋" w:hAnsi="仿宋" w:eastAsia="仿宋"/>
          <w:sz w:val="30"/>
          <w:szCs w:val="30"/>
        </w:rPr>
      </w:pPr>
      <w:bookmarkStart w:id="102" w:name="_Toc29453"/>
      <w:bookmarkStart w:id="103" w:name="_Toc14727"/>
      <w:r>
        <w:rPr>
          <w:rFonts w:hint="eastAsia" w:ascii="仿宋" w:hAnsi="仿宋" w:eastAsia="仿宋"/>
          <w:sz w:val="30"/>
          <w:szCs w:val="30"/>
        </w:rPr>
        <w:t>对接</w:t>
      </w:r>
      <w:r>
        <w:rPr>
          <w:rFonts w:ascii="仿宋" w:hAnsi="仿宋" w:eastAsia="仿宋"/>
          <w:sz w:val="30"/>
          <w:szCs w:val="30"/>
        </w:rPr>
        <w:t>吴兴区大数据局</w:t>
      </w:r>
      <w:bookmarkEnd w:id="102"/>
      <w:bookmarkEnd w:id="103"/>
    </w:p>
    <w:p>
      <w:pPr>
        <w:spacing w:line="360" w:lineRule="auto"/>
        <w:ind w:firstLine="480" w:firstLineChars="200"/>
        <w:rPr>
          <w:rFonts w:ascii="微软雅黑" w:hAnsi="微软雅黑" w:cs="微软雅黑"/>
          <w:sz w:val="24"/>
          <w:szCs w:val="24"/>
          <w:lang w:val="zh-CN"/>
        </w:rPr>
        <w:sectPr>
          <w:pgSz w:w="11906" w:h="16838"/>
          <w:pgMar w:top="1440" w:right="1066" w:bottom="1440" w:left="1380" w:header="851" w:footer="992" w:gutter="0"/>
          <w:cols w:space="425" w:num="1"/>
          <w:docGrid w:type="lines" w:linePitch="312" w:charSpace="0"/>
        </w:sectPr>
      </w:pPr>
      <w:r>
        <w:rPr>
          <w:rFonts w:hint="eastAsia" w:ascii="微软雅黑" w:hAnsi="微软雅黑" w:cs="微软雅黑"/>
          <w:sz w:val="24"/>
          <w:szCs w:val="24"/>
          <w:lang w:val="zh-CN"/>
        </w:rPr>
        <w:t>基于共享交换平台，实时推送存量及增量格式数据至吴兴区大数据局指定的数据仓。</w:t>
      </w:r>
    </w:p>
    <w:p>
      <w:pPr>
        <w:spacing w:line="360" w:lineRule="auto"/>
        <w:rPr>
          <w:rFonts w:ascii="仿宋" w:hAnsi="仿宋" w:eastAsia="仿宋"/>
          <w:sz w:val="24"/>
          <w:lang w:val="zh-CN"/>
        </w:rPr>
      </w:pPr>
    </w:p>
    <w:p>
      <w:pPr>
        <w:pStyle w:val="3"/>
        <w:keepLines w:val="0"/>
        <w:widowControl/>
        <w:numPr>
          <w:ilvl w:val="0"/>
          <w:numId w:val="1"/>
        </w:numPr>
        <w:spacing w:before="240" w:after="240"/>
        <w:ind w:left="425" w:hanging="425"/>
        <w:rPr>
          <w:rFonts w:ascii="仿宋" w:hAnsi="仿宋" w:eastAsia="仿宋"/>
        </w:rPr>
      </w:pPr>
      <w:bookmarkStart w:id="104" w:name="_Toc170792779"/>
      <w:bookmarkStart w:id="105" w:name="_Toc304842086"/>
      <w:bookmarkStart w:id="106" w:name="_Toc304842168"/>
      <w:bookmarkStart w:id="107" w:name="_Toc32407"/>
      <w:bookmarkStart w:id="108" w:name="_Toc10755"/>
      <w:bookmarkStart w:id="109" w:name="_Toc11002"/>
      <w:r>
        <w:rPr>
          <w:rFonts w:hint="eastAsia" w:ascii="仿宋" w:hAnsi="仿宋" w:eastAsia="仿宋"/>
        </w:rPr>
        <w:t>、商务要求表</w:t>
      </w:r>
      <w:bookmarkEnd w:id="104"/>
      <w:bookmarkEnd w:id="105"/>
      <w:bookmarkEnd w:id="106"/>
      <w:bookmarkEnd w:id="107"/>
      <w:bookmarkEnd w:id="108"/>
      <w:bookmarkEnd w:id="109"/>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15"/>
        <w:gridCol w:w="67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2115" w:type="dxa"/>
            <w:tcBorders>
              <w:top w:val="single" w:color="auto" w:sz="4" w:space="0"/>
              <w:bottom w:val="single" w:color="auto" w:sz="4" w:space="0"/>
              <w:right w:val="single" w:color="auto" w:sz="4" w:space="0"/>
            </w:tcBorders>
            <w:vAlign w:val="center"/>
          </w:tcPr>
          <w:p>
            <w:pPr>
              <w:spacing w:line="440" w:lineRule="exact"/>
              <w:jc w:val="center"/>
              <w:rPr>
                <w:rFonts w:ascii="微软雅黑" w:hAnsi="微软雅黑" w:cs="微软雅黑"/>
                <w:sz w:val="24"/>
                <w:szCs w:val="24"/>
              </w:rPr>
            </w:pPr>
            <w:r>
              <w:rPr>
                <w:rFonts w:hint="eastAsia" w:ascii="微软雅黑" w:hAnsi="微软雅黑" w:cs="微软雅黑"/>
                <w:sz w:val="24"/>
                <w:szCs w:val="24"/>
              </w:rPr>
              <w:t>质保期</w:t>
            </w:r>
          </w:p>
        </w:tc>
        <w:tc>
          <w:tcPr>
            <w:tcW w:w="6703" w:type="dxa"/>
            <w:tcBorders>
              <w:top w:val="single" w:color="auto" w:sz="4" w:space="0"/>
              <w:left w:val="single" w:color="auto" w:sz="4" w:space="0"/>
              <w:bottom w:val="single" w:color="auto" w:sz="4" w:space="0"/>
            </w:tcBorders>
            <w:vAlign w:val="center"/>
          </w:tcPr>
          <w:p>
            <w:pPr>
              <w:spacing w:line="440" w:lineRule="exact"/>
              <w:rPr>
                <w:rFonts w:ascii="微软雅黑" w:hAnsi="微软雅黑" w:cs="微软雅黑"/>
                <w:sz w:val="24"/>
                <w:szCs w:val="24"/>
              </w:rPr>
            </w:pPr>
            <w:r>
              <w:rPr>
                <w:rFonts w:hint="eastAsia" w:ascii="微软雅黑" w:hAnsi="微软雅黑" w:cs="微软雅黑"/>
                <w:color w:val="FF0000"/>
                <w:sz w:val="24"/>
                <w:szCs w:val="24"/>
              </w:rPr>
              <w:t>软件自交货验收合格之日起提供三年质保期，后续如遇项目相关更新维护，中标单位应提供免费服务。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15" w:type="dxa"/>
            <w:tcBorders>
              <w:top w:val="single" w:color="auto" w:sz="4" w:space="0"/>
              <w:bottom w:val="single" w:color="auto" w:sz="4" w:space="0"/>
              <w:right w:val="single" w:color="auto" w:sz="4" w:space="0"/>
            </w:tcBorders>
            <w:vAlign w:val="center"/>
          </w:tcPr>
          <w:p>
            <w:pPr>
              <w:spacing w:line="440" w:lineRule="exact"/>
              <w:jc w:val="center"/>
              <w:rPr>
                <w:rFonts w:ascii="微软雅黑" w:hAnsi="微软雅黑" w:cs="微软雅黑"/>
                <w:sz w:val="24"/>
                <w:szCs w:val="24"/>
              </w:rPr>
            </w:pPr>
            <w:r>
              <w:rPr>
                <w:rFonts w:hint="eastAsia" w:ascii="微软雅黑" w:hAnsi="微软雅黑" w:cs="微软雅黑"/>
                <w:sz w:val="24"/>
                <w:szCs w:val="24"/>
              </w:rPr>
              <w:t>售后服务要求</w:t>
            </w:r>
          </w:p>
        </w:tc>
        <w:tc>
          <w:tcPr>
            <w:tcW w:w="6703" w:type="dxa"/>
            <w:tcBorders>
              <w:top w:val="single" w:color="auto" w:sz="4" w:space="0"/>
              <w:left w:val="single" w:color="auto" w:sz="4" w:space="0"/>
              <w:bottom w:val="single" w:color="auto" w:sz="4" w:space="0"/>
            </w:tcBorders>
            <w:vAlign w:val="center"/>
          </w:tcPr>
          <w:p>
            <w:pPr>
              <w:spacing w:line="440" w:lineRule="exact"/>
              <w:rPr>
                <w:rFonts w:ascii="微软雅黑" w:hAnsi="微软雅黑" w:cs="微软雅黑"/>
                <w:sz w:val="24"/>
                <w:szCs w:val="24"/>
              </w:rPr>
            </w:pPr>
            <w:r>
              <w:rPr>
                <w:rFonts w:hint="eastAsia" w:ascii="微软雅黑" w:hAnsi="微软雅黑" w:cs="微软雅黑"/>
                <w:sz w:val="24"/>
                <w:szCs w:val="24"/>
              </w:rPr>
              <w:t>1、在质保期内，因货物的维修和保养所发生的一切费用均由中标供应商承担；</w:t>
            </w:r>
          </w:p>
          <w:p>
            <w:pPr>
              <w:spacing w:line="440" w:lineRule="exact"/>
              <w:rPr>
                <w:rFonts w:ascii="微软雅黑" w:hAnsi="微软雅黑" w:cs="微软雅黑"/>
                <w:sz w:val="24"/>
                <w:szCs w:val="24"/>
              </w:rPr>
            </w:pPr>
            <w:r>
              <w:rPr>
                <w:rFonts w:hint="eastAsia" w:ascii="微软雅黑" w:hAnsi="微软雅黑" w:cs="微软雅黑"/>
                <w:sz w:val="24"/>
                <w:szCs w:val="24"/>
              </w:rPr>
              <w:t>2、质保期内采购人报修后，中标人免费上门服务及时解决用户问题。响应时间要求如下:电话响应7*24小时、现场响应2小时内、重大故障问题必须在1个工作日内予以修复（不能修复的必须予以更换）；提供软件系统的技术顾问、咨询支持、免费升级服务；</w:t>
            </w:r>
          </w:p>
          <w:p>
            <w:pPr>
              <w:spacing w:line="440" w:lineRule="exact"/>
              <w:rPr>
                <w:rFonts w:ascii="微软雅黑" w:hAnsi="微软雅黑" w:cs="微软雅黑"/>
                <w:sz w:val="24"/>
                <w:szCs w:val="24"/>
              </w:rPr>
            </w:pPr>
            <w:r>
              <w:rPr>
                <w:rFonts w:hint="eastAsia" w:ascii="微软雅黑" w:hAnsi="微软雅黑" w:cs="微软雅黑"/>
                <w:sz w:val="24"/>
                <w:szCs w:val="24"/>
              </w:rPr>
              <w:t xml:space="preserve">3、建立用户档案，实行巡检制度，每季度例检一次，发现问题及时解决； </w:t>
            </w:r>
          </w:p>
          <w:p>
            <w:pPr>
              <w:spacing w:line="440" w:lineRule="exact"/>
              <w:rPr>
                <w:rFonts w:ascii="微软雅黑" w:hAnsi="微软雅黑" w:cs="微软雅黑"/>
                <w:sz w:val="24"/>
                <w:szCs w:val="24"/>
              </w:rPr>
            </w:pPr>
            <w:r>
              <w:rPr>
                <w:rFonts w:hint="eastAsia" w:ascii="微软雅黑" w:hAnsi="微软雅黑" w:cs="微软雅黑"/>
                <w:sz w:val="24"/>
                <w:szCs w:val="24"/>
              </w:rPr>
              <w:t>4、对采购人的业务数据负保密责任；</w:t>
            </w:r>
          </w:p>
          <w:p>
            <w:pPr>
              <w:spacing w:line="440" w:lineRule="exact"/>
              <w:rPr>
                <w:rFonts w:ascii="微软雅黑" w:hAnsi="微软雅黑" w:cs="微软雅黑"/>
                <w:sz w:val="24"/>
                <w:szCs w:val="24"/>
              </w:rPr>
            </w:pPr>
            <w:r>
              <w:rPr>
                <w:rFonts w:hint="eastAsia" w:ascii="微软雅黑" w:hAnsi="微软雅黑" w:cs="微软雅黑"/>
                <w:sz w:val="24"/>
                <w:szCs w:val="24"/>
              </w:rPr>
              <w:t>5、中标人投标时有其它服务承诺的，一并履行。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2115" w:type="dxa"/>
            <w:tcBorders>
              <w:top w:val="single" w:color="auto" w:sz="4" w:space="0"/>
              <w:bottom w:val="single" w:color="auto" w:sz="4" w:space="0"/>
              <w:right w:val="single" w:color="auto" w:sz="4" w:space="0"/>
            </w:tcBorders>
            <w:vAlign w:val="center"/>
          </w:tcPr>
          <w:p>
            <w:pPr>
              <w:spacing w:line="440" w:lineRule="exact"/>
              <w:rPr>
                <w:rFonts w:ascii="微软雅黑" w:hAnsi="微软雅黑" w:cs="微软雅黑"/>
                <w:sz w:val="24"/>
                <w:szCs w:val="24"/>
              </w:rPr>
            </w:pPr>
            <w:r>
              <w:rPr>
                <w:rFonts w:hint="eastAsia" w:ascii="微软雅黑" w:hAnsi="微软雅黑" w:cs="微软雅黑"/>
                <w:sz w:val="24"/>
                <w:szCs w:val="24"/>
              </w:rPr>
              <w:t>交货时间及实施地点</w:t>
            </w:r>
          </w:p>
        </w:tc>
        <w:tc>
          <w:tcPr>
            <w:tcW w:w="6703" w:type="dxa"/>
            <w:tcBorders>
              <w:top w:val="single" w:color="auto" w:sz="4" w:space="0"/>
              <w:left w:val="single" w:color="auto" w:sz="4" w:space="0"/>
              <w:bottom w:val="single" w:color="auto" w:sz="4" w:space="0"/>
            </w:tcBorders>
            <w:vAlign w:val="center"/>
          </w:tcPr>
          <w:p>
            <w:pPr>
              <w:spacing w:line="440" w:lineRule="exact"/>
              <w:rPr>
                <w:rFonts w:ascii="微软雅黑" w:hAnsi="微软雅黑" w:cs="微软雅黑"/>
                <w:sz w:val="24"/>
                <w:szCs w:val="24"/>
              </w:rPr>
            </w:pPr>
            <w:r>
              <w:rPr>
                <w:rFonts w:hint="eastAsia" w:ascii="微软雅黑" w:hAnsi="微软雅黑" w:cs="微软雅黑"/>
                <w:sz w:val="24"/>
                <w:szCs w:val="24"/>
              </w:rPr>
              <w:t>交货时间：</w:t>
            </w:r>
            <w:r>
              <w:rPr>
                <w:rFonts w:hint="eastAsia" w:ascii="微软雅黑" w:hAnsi="微软雅黑" w:cs="微软雅黑"/>
                <w:color w:val="FF0000"/>
                <w:sz w:val="24"/>
                <w:szCs w:val="24"/>
              </w:rPr>
              <w:t>在合同签订后180天内交货并完成项目上线调试。</w:t>
            </w:r>
          </w:p>
          <w:p>
            <w:pPr>
              <w:widowControl/>
              <w:spacing w:line="440" w:lineRule="exact"/>
              <w:rPr>
                <w:rFonts w:ascii="微软雅黑" w:hAnsi="微软雅黑" w:cs="微软雅黑"/>
                <w:sz w:val="24"/>
                <w:szCs w:val="24"/>
              </w:rPr>
            </w:pPr>
            <w:r>
              <w:rPr>
                <w:rFonts w:hint="eastAsia" w:ascii="微软雅黑" w:hAnsi="微软雅黑" w:cs="微软雅黑"/>
                <w:sz w:val="24"/>
                <w:szCs w:val="24"/>
              </w:rPr>
              <w:t>实施地点：由采购人指定各工程实施地点。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2115" w:type="dxa"/>
            <w:tcBorders>
              <w:top w:val="single" w:color="auto" w:sz="4" w:space="0"/>
              <w:bottom w:val="single" w:color="auto" w:sz="4" w:space="0"/>
              <w:right w:val="single" w:color="auto" w:sz="4" w:space="0"/>
            </w:tcBorders>
            <w:vAlign w:val="center"/>
          </w:tcPr>
          <w:p>
            <w:pPr>
              <w:spacing w:line="440" w:lineRule="exact"/>
              <w:ind w:firstLine="480" w:firstLineChars="200"/>
              <w:rPr>
                <w:rFonts w:ascii="微软雅黑" w:hAnsi="微软雅黑" w:cs="微软雅黑"/>
                <w:sz w:val="24"/>
                <w:szCs w:val="24"/>
              </w:rPr>
            </w:pPr>
            <w:r>
              <w:rPr>
                <w:rFonts w:hint="eastAsia" w:ascii="微软雅黑" w:hAnsi="微软雅黑" w:cs="微软雅黑"/>
                <w:sz w:val="24"/>
                <w:szCs w:val="24"/>
              </w:rPr>
              <w:t>付款方式</w:t>
            </w:r>
          </w:p>
        </w:tc>
        <w:tc>
          <w:tcPr>
            <w:tcW w:w="6703" w:type="dxa"/>
            <w:tcBorders>
              <w:top w:val="single" w:color="auto" w:sz="4" w:space="0"/>
              <w:left w:val="single" w:color="auto" w:sz="4" w:space="0"/>
              <w:bottom w:val="single" w:color="auto" w:sz="4" w:space="0"/>
            </w:tcBorders>
            <w:vAlign w:val="center"/>
          </w:tcPr>
          <w:p>
            <w:pPr>
              <w:spacing w:line="440" w:lineRule="exact"/>
              <w:rPr>
                <w:rFonts w:ascii="微软雅黑" w:hAnsi="微软雅黑" w:cs="微软雅黑"/>
                <w:color w:val="000000" w:themeColor="text1"/>
                <w:sz w:val="24"/>
                <w:szCs w:val="24"/>
              </w:rPr>
            </w:pPr>
            <w:r>
              <w:rPr>
                <w:rFonts w:hint="eastAsia" w:ascii="微软雅黑" w:hAnsi="微软雅黑" w:cs="微软雅黑"/>
                <w:color w:val="000000" w:themeColor="text1"/>
                <w:sz w:val="24"/>
                <w:szCs w:val="24"/>
              </w:rPr>
              <w:t>本项目分为吴兴区和南太湖新区两块合并招标，两区块最终分别签订合同和费用支付。</w:t>
            </w:r>
          </w:p>
          <w:p>
            <w:pPr>
              <w:spacing w:line="440" w:lineRule="exact"/>
              <w:rPr>
                <w:rFonts w:ascii="微软雅黑" w:hAnsi="微软雅黑" w:cs="微软雅黑"/>
                <w:color w:val="FF0000"/>
                <w:sz w:val="24"/>
                <w:szCs w:val="24"/>
              </w:rPr>
            </w:pPr>
            <w:r>
              <w:rPr>
                <w:rFonts w:hint="eastAsia" w:ascii="微软雅黑" w:hAnsi="微软雅黑" w:cs="微软雅黑"/>
                <w:color w:val="FF0000"/>
                <w:sz w:val="24"/>
                <w:szCs w:val="24"/>
              </w:rPr>
              <w:t>（1）预付款：采购人自采购合同生效及具备实施条件后15天内支付预付款，也即合同金额的30%；</w:t>
            </w:r>
          </w:p>
          <w:p>
            <w:pPr>
              <w:spacing w:line="440" w:lineRule="exact"/>
              <w:rPr>
                <w:rFonts w:ascii="微软雅黑" w:hAnsi="微软雅黑" w:cs="微软雅黑"/>
                <w:color w:val="FF0000"/>
                <w:sz w:val="24"/>
                <w:szCs w:val="24"/>
              </w:rPr>
            </w:pPr>
            <w:r>
              <w:rPr>
                <w:rFonts w:hint="eastAsia" w:ascii="微软雅黑" w:hAnsi="微软雅黑" w:cs="微软雅黑"/>
                <w:color w:val="FF0000"/>
                <w:sz w:val="24"/>
                <w:szCs w:val="24"/>
              </w:rPr>
              <w:t>（2）完成项目总体工程量50%，支付合同总价的30%；</w:t>
            </w:r>
          </w:p>
          <w:p>
            <w:pPr>
              <w:spacing w:line="440" w:lineRule="exact"/>
              <w:rPr>
                <w:rFonts w:ascii="微软雅黑" w:hAnsi="微软雅黑" w:cs="微软雅黑"/>
                <w:color w:val="FF0000"/>
                <w:sz w:val="24"/>
                <w:szCs w:val="24"/>
              </w:rPr>
            </w:pPr>
            <w:r>
              <w:rPr>
                <w:rFonts w:hint="eastAsia" w:ascii="微软雅黑" w:hAnsi="微软雅黑" w:cs="微软雅黑"/>
                <w:color w:val="FF0000"/>
                <w:sz w:val="24"/>
                <w:szCs w:val="24"/>
              </w:rPr>
              <w:t>（3）</w:t>
            </w:r>
            <w:r>
              <w:rPr>
                <w:rFonts w:ascii="微软雅黑" w:hAnsi="微软雅黑" w:cs="微软雅黑"/>
                <w:color w:val="FF0000"/>
                <w:sz w:val="24"/>
                <w:szCs w:val="24"/>
              </w:rPr>
              <w:t>项目</w:t>
            </w:r>
            <w:r>
              <w:rPr>
                <w:rFonts w:hint="eastAsia" w:ascii="微软雅黑" w:hAnsi="微软雅黑" w:cs="微软雅黑"/>
                <w:color w:val="FF0000"/>
                <w:sz w:val="24"/>
                <w:szCs w:val="24"/>
              </w:rPr>
              <w:t>整体</w:t>
            </w:r>
            <w:r>
              <w:rPr>
                <w:rFonts w:ascii="微软雅黑" w:hAnsi="微软雅黑" w:cs="微软雅黑"/>
                <w:color w:val="FF0000"/>
                <w:sz w:val="24"/>
                <w:szCs w:val="24"/>
              </w:rPr>
              <w:t>完成上线试运行1个月后，支付合同总价的</w:t>
            </w:r>
            <w:r>
              <w:rPr>
                <w:rFonts w:hint="eastAsia" w:ascii="微软雅黑" w:hAnsi="微软雅黑" w:cs="微软雅黑"/>
                <w:color w:val="FF0000"/>
                <w:sz w:val="24"/>
                <w:szCs w:val="24"/>
              </w:rPr>
              <w:t>30</w:t>
            </w:r>
            <w:r>
              <w:rPr>
                <w:rFonts w:ascii="微软雅黑" w:hAnsi="微软雅黑" w:cs="微软雅黑"/>
                <w:color w:val="FF0000"/>
                <w:sz w:val="24"/>
                <w:szCs w:val="24"/>
              </w:rPr>
              <w:t>%；</w:t>
            </w:r>
          </w:p>
          <w:p>
            <w:pPr>
              <w:spacing w:line="440" w:lineRule="exact"/>
              <w:rPr>
                <w:rFonts w:ascii="微软雅黑" w:hAnsi="微软雅黑" w:cs="微软雅黑"/>
                <w:color w:val="FF0000"/>
                <w:sz w:val="24"/>
                <w:szCs w:val="24"/>
              </w:rPr>
            </w:pPr>
            <w:r>
              <w:rPr>
                <w:rFonts w:hint="eastAsia" w:ascii="微软雅黑" w:hAnsi="微软雅黑" w:cs="微软雅黑"/>
                <w:color w:val="FF0000"/>
                <w:sz w:val="24"/>
                <w:szCs w:val="24"/>
              </w:rPr>
              <w:t>（4）</w:t>
            </w:r>
            <w:r>
              <w:rPr>
                <w:rFonts w:ascii="微软雅黑" w:hAnsi="微软雅黑" w:cs="微软雅黑"/>
                <w:color w:val="FF0000"/>
                <w:sz w:val="24"/>
                <w:szCs w:val="24"/>
              </w:rPr>
              <w:t>组织项目整体终验，验收通过后5个工作日内支付合同总价的</w:t>
            </w:r>
            <w:r>
              <w:rPr>
                <w:rFonts w:hint="eastAsia" w:ascii="微软雅黑" w:hAnsi="微软雅黑" w:cs="微软雅黑"/>
                <w:color w:val="FF0000"/>
                <w:sz w:val="24"/>
                <w:szCs w:val="24"/>
              </w:rPr>
              <w:t>10</w:t>
            </w:r>
            <w:r>
              <w:rPr>
                <w:rFonts w:ascii="微软雅黑" w:hAnsi="微软雅黑" w:cs="微软雅黑"/>
                <w:color w:val="FF0000"/>
                <w:sz w:val="24"/>
                <w:szCs w:val="24"/>
              </w:rPr>
              <w:t>%。</w:t>
            </w:r>
          </w:p>
          <w:p>
            <w:pPr>
              <w:spacing w:line="440" w:lineRule="exact"/>
              <w:rPr>
                <w:rFonts w:hint="eastAsia" w:ascii="微软雅黑" w:hAnsi="微软雅黑" w:cs="微软雅黑"/>
                <w:color w:val="000000" w:themeColor="text1"/>
                <w:sz w:val="24"/>
                <w:szCs w:val="24"/>
              </w:rPr>
            </w:pPr>
            <w:r>
              <w:rPr>
                <w:rFonts w:hint="eastAsia" w:ascii="微软雅黑" w:hAnsi="微软雅黑" w:cs="微软雅黑"/>
                <w:color w:val="000000" w:themeColor="text1"/>
                <w:sz w:val="24"/>
                <w:szCs w:val="24"/>
              </w:rPr>
              <w:t>注：本项目最终服务金额以中标供应商实际采集公里数*中标单价结算，但若最终服务金额超过相应区块的采购预算，最终服务金额按采购预算金额支付采购单位不另行增加费用。</w:t>
            </w:r>
          </w:p>
          <w:p>
            <w:pPr>
              <w:pStyle w:val="2"/>
              <w:ind w:firstLine="0" w:firstLineChars="0"/>
              <w:rPr>
                <w:sz w:val="24"/>
                <w:szCs w:val="24"/>
              </w:rPr>
            </w:pPr>
            <w:r>
              <w:rPr>
                <w:rFonts w:hint="eastAsia"/>
                <w:sz w:val="24"/>
                <w:szCs w:val="24"/>
              </w:rPr>
              <w:t>吴兴区为两年连续性费用，每年预算200 万元分年度支付，每年信息采集工程量为项目总体工程量的50%。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7" w:hRule="atLeast"/>
          <w:jc w:val="center"/>
        </w:trPr>
        <w:tc>
          <w:tcPr>
            <w:tcW w:w="2115" w:type="dxa"/>
            <w:tcBorders>
              <w:top w:val="single" w:color="auto" w:sz="4" w:space="0"/>
              <w:bottom w:val="single" w:color="auto" w:sz="4" w:space="0"/>
              <w:right w:val="single" w:color="auto" w:sz="4" w:space="0"/>
            </w:tcBorders>
            <w:vAlign w:val="center"/>
          </w:tcPr>
          <w:p>
            <w:pPr>
              <w:spacing w:line="440" w:lineRule="exact"/>
              <w:ind w:firstLine="480" w:firstLineChars="200"/>
              <w:rPr>
                <w:rFonts w:ascii="微软雅黑" w:hAnsi="微软雅黑" w:cs="微软雅黑"/>
                <w:sz w:val="24"/>
                <w:szCs w:val="24"/>
              </w:rPr>
            </w:pPr>
            <w:r>
              <w:rPr>
                <w:rFonts w:hint="eastAsia" w:ascii="微软雅黑" w:hAnsi="微软雅黑" w:cs="微软雅黑"/>
                <w:sz w:val="24"/>
                <w:szCs w:val="24"/>
              </w:rPr>
              <w:t>验收方法</w:t>
            </w:r>
          </w:p>
        </w:tc>
        <w:tc>
          <w:tcPr>
            <w:tcW w:w="6703" w:type="dxa"/>
            <w:tcBorders>
              <w:top w:val="single" w:color="auto" w:sz="4" w:space="0"/>
              <w:left w:val="single" w:color="auto" w:sz="4" w:space="0"/>
              <w:bottom w:val="single" w:color="auto" w:sz="4" w:space="0"/>
            </w:tcBorders>
            <w:vAlign w:val="center"/>
          </w:tcPr>
          <w:p>
            <w:pPr>
              <w:spacing w:line="440" w:lineRule="exact"/>
              <w:rPr>
                <w:rFonts w:ascii="微软雅黑" w:hAnsi="微软雅黑" w:cs="微软雅黑"/>
                <w:sz w:val="24"/>
                <w:szCs w:val="24"/>
              </w:rPr>
            </w:pPr>
            <w:r>
              <w:rPr>
                <w:rFonts w:hint="eastAsia" w:ascii="微软雅黑" w:hAnsi="微软雅黑" w:cs="微软雅黑"/>
                <w:sz w:val="24"/>
                <w:szCs w:val="24"/>
              </w:rPr>
              <w:t>项目完成后，系统进入试运行期，无故障试运行一个月后，中标人应将相关资料整理装订成册，向招标人提出验收申请，由招标人组织验收。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115" w:type="dxa"/>
            <w:tcBorders>
              <w:top w:val="single" w:color="auto" w:sz="4" w:space="0"/>
              <w:bottom w:val="single" w:color="auto" w:sz="4" w:space="0"/>
              <w:right w:val="single" w:color="auto" w:sz="4" w:space="0"/>
            </w:tcBorders>
            <w:vAlign w:val="center"/>
          </w:tcPr>
          <w:p>
            <w:pPr>
              <w:spacing w:line="440" w:lineRule="exact"/>
              <w:ind w:firstLine="480" w:firstLineChars="200"/>
              <w:rPr>
                <w:rFonts w:ascii="微软雅黑" w:hAnsi="微软雅黑" w:cs="微软雅黑"/>
                <w:sz w:val="24"/>
                <w:szCs w:val="24"/>
              </w:rPr>
            </w:pPr>
            <w:r>
              <w:rPr>
                <w:rFonts w:hint="eastAsia" w:ascii="微软雅黑" w:hAnsi="微软雅黑" w:cs="微软雅黑"/>
                <w:sz w:val="24"/>
                <w:szCs w:val="24"/>
              </w:rPr>
              <w:t>监理</w:t>
            </w:r>
          </w:p>
        </w:tc>
        <w:tc>
          <w:tcPr>
            <w:tcW w:w="6703" w:type="dxa"/>
            <w:tcBorders>
              <w:top w:val="single" w:color="auto" w:sz="4" w:space="0"/>
              <w:left w:val="single" w:color="auto" w:sz="4" w:space="0"/>
              <w:bottom w:val="single" w:color="auto" w:sz="4" w:space="0"/>
            </w:tcBorders>
            <w:vAlign w:val="center"/>
          </w:tcPr>
          <w:p>
            <w:pPr>
              <w:spacing w:line="440" w:lineRule="exact"/>
              <w:rPr>
                <w:rFonts w:ascii="微软雅黑" w:hAnsi="微软雅黑" w:cs="微软雅黑"/>
                <w:sz w:val="24"/>
                <w:szCs w:val="24"/>
              </w:rPr>
            </w:pPr>
            <w:r>
              <w:rPr>
                <w:rFonts w:hint="eastAsia" w:ascii="微软雅黑" w:hAnsi="微软雅黑" w:cs="微软雅黑"/>
                <w:sz w:val="24"/>
                <w:szCs w:val="24"/>
              </w:rPr>
              <w:t>按照吴兴区大数据局要求，本项目需要第三方监理，监理单位由甲方指派，乙方按照相应的要求配合监理工作，乙方支付本项目监理费。</w:t>
            </w:r>
          </w:p>
        </w:tc>
      </w:tr>
    </w:tbl>
    <w:p>
      <w:pPr>
        <w:spacing w:line="360" w:lineRule="auto"/>
        <w:ind w:firstLine="480" w:firstLineChars="200"/>
        <w:rPr>
          <w:rFonts w:ascii="仿宋" w:hAnsi="仿宋" w:eastAsia="仿宋"/>
          <w:sz w:val="24"/>
          <w:lang w:val="zh-CN"/>
        </w:rPr>
        <w:sectPr>
          <w:pgSz w:w="11906" w:h="16838"/>
          <w:pgMar w:top="1440" w:right="1800" w:bottom="1440" w:left="1800" w:header="851" w:footer="992" w:gutter="0"/>
          <w:cols w:space="425" w:num="1"/>
          <w:docGrid w:type="lines" w:linePitch="312" w:charSpace="0"/>
        </w:sectPr>
      </w:pPr>
    </w:p>
    <w:p>
      <w:pPr>
        <w:spacing w:beforeLines="50" w:afterLines="50"/>
        <w:jc w:val="center"/>
        <w:outlineLvl w:val="0"/>
        <w:rPr>
          <w:rFonts w:ascii="宋体" w:hAnsi="宋体"/>
          <w:b/>
          <w:bCs/>
          <w:sz w:val="32"/>
          <w:szCs w:val="30"/>
        </w:rPr>
      </w:pPr>
      <w:bookmarkStart w:id="110" w:name="_Toc12512"/>
      <w:r>
        <w:rPr>
          <w:rFonts w:hint="eastAsia" w:ascii="宋体" w:hAnsi="宋体"/>
          <w:b/>
          <w:bCs/>
          <w:sz w:val="32"/>
          <w:szCs w:val="30"/>
        </w:rPr>
        <w:t>第三章、投标人须知</w:t>
      </w:r>
      <w:bookmarkEnd w:id="11"/>
      <w:bookmarkEnd w:id="12"/>
      <w:bookmarkEnd w:id="13"/>
      <w:bookmarkEnd w:id="14"/>
      <w:bookmarkEnd w:id="15"/>
      <w:bookmarkEnd w:id="20"/>
      <w:bookmarkEnd w:id="21"/>
      <w:bookmarkEnd w:id="110"/>
    </w:p>
    <w:p>
      <w:pPr>
        <w:spacing w:line="400" w:lineRule="exact"/>
        <w:jc w:val="center"/>
        <w:outlineLvl w:val="1"/>
        <w:rPr>
          <w:rFonts w:ascii="宋体" w:hAnsi="宋体"/>
          <w:b/>
          <w:sz w:val="24"/>
        </w:rPr>
      </w:pPr>
      <w:bookmarkStart w:id="111" w:name="_Toc293916352"/>
      <w:bookmarkStart w:id="112" w:name="_Toc607"/>
      <w:bookmarkStart w:id="113" w:name="_Toc293916870"/>
      <w:bookmarkStart w:id="114" w:name="_Toc177870535"/>
      <w:bookmarkStart w:id="115" w:name="_Toc293917016"/>
      <w:bookmarkStart w:id="116" w:name="_Toc17305"/>
      <w:bookmarkStart w:id="117" w:name="_Toc424544532"/>
      <w:bookmarkStart w:id="118" w:name="_Toc293916001"/>
      <w:bookmarkStart w:id="119" w:name="_Toc424544811"/>
      <w:r>
        <w:rPr>
          <w:rFonts w:hint="eastAsia" w:ascii="宋体" w:hAnsi="宋体"/>
          <w:b/>
          <w:sz w:val="24"/>
        </w:rPr>
        <w:t>投标须知前附表</w:t>
      </w:r>
      <w:bookmarkEnd w:id="111"/>
      <w:bookmarkEnd w:id="112"/>
      <w:bookmarkEnd w:id="113"/>
      <w:bookmarkEnd w:id="114"/>
      <w:bookmarkEnd w:id="115"/>
      <w:bookmarkEnd w:id="116"/>
      <w:bookmarkEnd w:id="117"/>
      <w:bookmarkEnd w:id="118"/>
      <w:bookmarkEnd w:id="119"/>
    </w:p>
    <w:tbl>
      <w:tblPr>
        <w:tblStyle w:val="60"/>
        <w:tblW w:w="99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9"/>
        <w:gridCol w:w="89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1" w:hRule="exact"/>
          <w:jc w:val="center"/>
        </w:trPr>
        <w:tc>
          <w:tcPr>
            <w:tcW w:w="959" w:type="dxa"/>
            <w:vAlign w:val="center"/>
          </w:tcPr>
          <w:p>
            <w:pPr>
              <w:adjustRightInd w:val="0"/>
              <w:snapToGrid w:val="0"/>
              <w:spacing w:line="400" w:lineRule="exact"/>
              <w:jc w:val="center"/>
              <w:rPr>
                <w:rFonts w:ascii="宋体" w:hAnsi="宋体"/>
                <w:b/>
                <w:sz w:val="24"/>
              </w:rPr>
            </w:pPr>
            <w:r>
              <w:rPr>
                <w:rFonts w:hint="eastAsia" w:ascii="宋体" w:hAnsi="宋体"/>
                <w:b/>
                <w:sz w:val="24"/>
              </w:rPr>
              <w:t>序号</w:t>
            </w:r>
          </w:p>
        </w:tc>
        <w:tc>
          <w:tcPr>
            <w:tcW w:w="8960" w:type="dxa"/>
            <w:vAlign w:val="center"/>
          </w:tcPr>
          <w:p>
            <w:pPr>
              <w:adjustRightInd w:val="0"/>
              <w:snapToGrid w:val="0"/>
              <w:spacing w:line="400" w:lineRule="exact"/>
              <w:jc w:val="center"/>
              <w:rPr>
                <w:rFonts w:ascii="宋体" w:hAnsi="宋体"/>
                <w:b/>
                <w:sz w:val="24"/>
              </w:rPr>
            </w:pPr>
            <w:r>
              <w:rPr>
                <w:rFonts w:hint="eastAsia" w:ascii="宋体" w:hAnsi="宋体"/>
                <w:b/>
                <w:sz w:val="24"/>
              </w:rPr>
              <w:t>内容、要求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959" w:type="dxa"/>
            <w:vAlign w:val="center"/>
          </w:tcPr>
          <w:p>
            <w:pPr>
              <w:adjustRightInd w:val="0"/>
              <w:snapToGrid w:val="0"/>
              <w:spacing w:line="400" w:lineRule="exact"/>
              <w:jc w:val="center"/>
              <w:rPr>
                <w:rFonts w:ascii="宋体" w:hAnsi="宋体"/>
                <w:sz w:val="24"/>
              </w:rPr>
            </w:pPr>
            <w:r>
              <w:rPr>
                <w:rFonts w:hint="eastAsia" w:ascii="宋体" w:hAnsi="宋体"/>
                <w:sz w:val="24"/>
              </w:rPr>
              <w:t>1</w:t>
            </w:r>
          </w:p>
        </w:tc>
        <w:tc>
          <w:tcPr>
            <w:tcW w:w="8960" w:type="dxa"/>
            <w:vAlign w:val="center"/>
          </w:tcPr>
          <w:p>
            <w:pPr>
              <w:adjustRightInd w:val="0"/>
              <w:snapToGrid w:val="0"/>
              <w:spacing w:line="400" w:lineRule="exact"/>
              <w:rPr>
                <w:rFonts w:ascii="宋体" w:hAnsi="宋体"/>
                <w:sz w:val="24"/>
              </w:rPr>
            </w:pPr>
            <w:r>
              <w:rPr>
                <w:rFonts w:hint="eastAsia" w:ascii="宋体" w:hAnsi="宋体"/>
                <w:sz w:val="24"/>
              </w:rPr>
              <w:t>项目名称：</w:t>
            </w:r>
            <w:r>
              <w:rPr>
                <w:rStyle w:val="64"/>
                <w:rFonts w:hint="eastAsia"/>
                <w:sz w:val="24"/>
              </w:rPr>
              <w:t>湖州市吴兴区（含南太湖新区）门牌数据信息采集项目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959" w:type="dxa"/>
            <w:vAlign w:val="center"/>
          </w:tcPr>
          <w:p>
            <w:pPr>
              <w:adjustRightInd w:val="0"/>
              <w:snapToGrid w:val="0"/>
              <w:spacing w:line="400" w:lineRule="exact"/>
              <w:jc w:val="center"/>
              <w:rPr>
                <w:rFonts w:ascii="宋体" w:hAnsi="宋体"/>
                <w:sz w:val="24"/>
              </w:rPr>
            </w:pPr>
            <w:r>
              <w:rPr>
                <w:rFonts w:hint="eastAsia" w:ascii="宋体" w:hAnsi="宋体"/>
                <w:sz w:val="24"/>
              </w:rPr>
              <w:t>2</w:t>
            </w:r>
          </w:p>
        </w:tc>
        <w:tc>
          <w:tcPr>
            <w:tcW w:w="8960" w:type="dxa"/>
            <w:vAlign w:val="center"/>
          </w:tcPr>
          <w:p>
            <w:pPr>
              <w:adjustRightInd w:val="0"/>
              <w:snapToGrid w:val="0"/>
              <w:spacing w:line="400" w:lineRule="exact"/>
              <w:rPr>
                <w:rFonts w:ascii="宋体" w:hAnsi="宋体"/>
                <w:sz w:val="24"/>
              </w:rPr>
            </w:pPr>
            <w:r>
              <w:rPr>
                <w:rFonts w:hint="eastAsia" w:ascii="宋体" w:hAnsi="宋体"/>
                <w:sz w:val="24"/>
              </w:rPr>
              <w:t>采购内容：详见第二章招标需求部分。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959" w:type="dxa"/>
            <w:vAlign w:val="center"/>
          </w:tcPr>
          <w:p>
            <w:pPr>
              <w:adjustRightInd w:val="0"/>
              <w:snapToGrid w:val="0"/>
              <w:spacing w:line="400" w:lineRule="exact"/>
              <w:jc w:val="center"/>
              <w:rPr>
                <w:rFonts w:ascii="宋体" w:hAnsi="宋体"/>
                <w:sz w:val="24"/>
              </w:rPr>
            </w:pPr>
            <w:r>
              <w:rPr>
                <w:rFonts w:hint="eastAsia" w:ascii="宋体" w:hAnsi="宋体"/>
                <w:sz w:val="24"/>
              </w:rPr>
              <w:t>3</w:t>
            </w:r>
          </w:p>
        </w:tc>
        <w:tc>
          <w:tcPr>
            <w:tcW w:w="8960" w:type="dxa"/>
            <w:vAlign w:val="center"/>
          </w:tcPr>
          <w:p>
            <w:pPr>
              <w:widowControl/>
              <w:spacing w:line="360" w:lineRule="exact"/>
              <w:jc w:val="left"/>
              <w:rPr>
                <w:rFonts w:ascii="宋体" w:hAnsi="宋体" w:cs="Arial"/>
                <w:kern w:val="0"/>
                <w:sz w:val="24"/>
              </w:rPr>
            </w:pPr>
            <w:r>
              <w:rPr>
                <w:rFonts w:hint="eastAsia" w:ascii="宋体" w:hAnsi="宋体" w:cs="Arial"/>
                <w:kern w:val="0"/>
                <w:sz w:val="24"/>
              </w:rPr>
              <w:t>投标报价及费用：1、本项目投标应以人民币报价；2、不论投标结果如何，投标人均应自行承担所有与投标有关的全部费用；3、本项目招标代理服务费</w:t>
            </w:r>
            <w:r>
              <w:rPr>
                <w:rFonts w:hint="eastAsia" w:ascii="宋体" w:hAnsi="宋体" w:cs="Arial"/>
                <w:kern w:val="0"/>
                <w:sz w:val="24"/>
                <w:u w:val="single"/>
              </w:rPr>
              <w:t>40000</w:t>
            </w:r>
            <w:r>
              <w:rPr>
                <w:rFonts w:hint="eastAsia" w:ascii="宋体" w:hAnsi="宋体" w:cs="Arial"/>
                <w:kern w:val="0"/>
                <w:sz w:val="24"/>
              </w:rPr>
              <w:t>元，由中标单位支付。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03" w:hRule="atLeast"/>
          <w:jc w:val="center"/>
        </w:trPr>
        <w:tc>
          <w:tcPr>
            <w:tcW w:w="959" w:type="dxa"/>
            <w:vAlign w:val="center"/>
          </w:tcPr>
          <w:p>
            <w:pPr>
              <w:adjustRightInd w:val="0"/>
              <w:snapToGrid w:val="0"/>
              <w:spacing w:line="400" w:lineRule="exact"/>
              <w:jc w:val="center"/>
              <w:rPr>
                <w:rFonts w:ascii="宋体" w:hAnsi="宋体"/>
                <w:sz w:val="24"/>
              </w:rPr>
            </w:pPr>
            <w:r>
              <w:rPr>
                <w:rFonts w:hint="eastAsia" w:ascii="宋体" w:hAnsi="宋体"/>
                <w:sz w:val="24"/>
              </w:rPr>
              <w:t>4</w:t>
            </w:r>
          </w:p>
        </w:tc>
        <w:tc>
          <w:tcPr>
            <w:tcW w:w="8960" w:type="dxa"/>
            <w:vAlign w:val="center"/>
          </w:tcPr>
          <w:p>
            <w:pPr>
              <w:autoSpaceDE w:val="0"/>
              <w:autoSpaceDN w:val="0"/>
              <w:adjustRightInd w:val="0"/>
              <w:snapToGrid w:val="0"/>
              <w:spacing w:line="400" w:lineRule="exact"/>
              <w:textAlignment w:val="bottom"/>
              <w:rPr>
                <w:rFonts w:ascii="宋体" w:hAnsi="宋体"/>
                <w:sz w:val="24"/>
              </w:rPr>
            </w:pPr>
            <w:r>
              <w:rPr>
                <w:rFonts w:hint="eastAsia" w:ascii="宋体" w:hAnsi="宋体"/>
                <w:sz w:val="24"/>
              </w:rPr>
              <w:t>答疑与澄清：投标供应商如认为采购文件表述不清晰、存在歧视性、排他性或者其他违法内容的，应当于</w:t>
            </w:r>
            <w:r>
              <w:rPr>
                <w:rFonts w:hint="eastAsia" w:ascii="宋体" w:hAnsi="宋体"/>
                <w:sz w:val="24"/>
                <w:u w:val="single"/>
              </w:rPr>
              <w:t>2020年</w:t>
            </w:r>
            <w:r>
              <w:rPr>
                <w:rFonts w:hint="eastAsia" w:ascii="宋体" w:hAnsi="宋体"/>
                <w:sz w:val="24"/>
                <w:u w:val="single"/>
                <w:lang w:val="en-US" w:eastAsia="zh-CN"/>
              </w:rPr>
              <w:t>8</w:t>
            </w:r>
            <w:r>
              <w:rPr>
                <w:rFonts w:hint="eastAsia" w:ascii="宋体" w:hAnsi="宋体"/>
                <w:sz w:val="24"/>
                <w:u w:val="single"/>
              </w:rPr>
              <w:t>月</w:t>
            </w:r>
            <w:r>
              <w:rPr>
                <w:rFonts w:hint="eastAsia" w:ascii="宋体" w:hAnsi="宋体"/>
                <w:sz w:val="24"/>
                <w:u w:val="single"/>
                <w:lang w:val="en-US" w:eastAsia="zh-CN"/>
              </w:rPr>
              <w:t>13</w:t>
            </w:r>
            <w:r>
              <w:rPr>
                <w:rFonts w:hint="eastAsia" w:ascii="宋体" w:hAnsi="宋体"/>
                <w:sz w:val="24"/>
                <w:u w:val="single"/>
              </w:rPr>
              <w:t>日</w:t>
            </w:r>
            <w:r>
              <w:rPr>
                <w:rFonts w:hint="eastAsia" w:ascii="宋体" w:hAnsi="宋体"/>
                <w:sz w:val="24"/>
              </w:rPr>
              <w:t>下午17时前，以书面形式要求采购代理机构作出书面解释、澄清或者向采购代理机构提出书面质疑；</w:t>
            </w:r>
            <w:r>
              <w:rPr>
                <w:rFonts w:ascii="宋体" w:hAnsi="宋体"/>
                <w:sz w:val="24"/>
              </w:rPr>
              <w:t>采购代理机构</w:t>
            </w:r>
            <w:r>
              <w:rPr>
                <w:rFonts w:hint="eastAsia" w:ascii="宋体" w:hAnsi="宋体"/>
                <w:sz w:val="24"/>
              </w:rPr>
              <w:t>将对</w:t>
            </w:r>
            <w:r>
              <w:rPr>
                <w:rFonts w:ascii="宋体" w:hAnsi="宋体"/>
                <w:sz w:val="24"/>
              </w:rPr>
              <w:t>采购文件进行必要澄清、答复、修改或补充</w:t>
            </w:r>
            <w:r>
              <w:rPr>
                <w:rFonts w:hint="eastAsia" w:ascii="宋体" w:hAnsi="宋体"/>
                <w:sz w:val="24"/>
              </w:rPr>
              <w:t>。采</w:t>
            </w:r>
            <w:r>
              <w:rPr>
                <w:rFonts w:ascii="宋体" w:hAnsi="宋体"/>
                <w:sz w:val="24"/>
              </w:rPr>
              <w:t>购代理机构对已发出的采购文件进行必要澄清、答复、修改或补充</w:t>
            </w:r>
            <w:r>
              <w:rPr>
                <w:rFonts w:hint="eastAsia" w:ascii="宋体" w:hAnsi="宋体"/>
                <w:sz w:val="24"/>
              </w:rPr>
              <w:t>时间距离提交投标文件截止时间不足15日时，投标截止时间将顺延至少15日，并</w:t>
            </w:r>
            <w:r>
              <w:rPr>
                <w:rFonts w:ascii="宋体" w:hAnsi="宋体"/>
                <w:sz w:val="24"/>
              </w:rPr>
              <w:t>在浙江政府采购网上发布更正公告，</w:t>
            </w:r>
            <w:r>
              <w:rPr>
                <w:rFonts w:hint="eastAsia" w:ascii="宋体" w:hAnsi="宋体"/>
                <w:sz w:val="24"/>
              </w:rPr>
              <w:t>同时</w:t>
            </w:r>
            <w:r>
              <w:rPr>
                <w:rFonts w:ascii="宋体" w:hAnsi="宋体"/>
                <w:sz w:val="24"/>
              </w:rPr>
              <w:t>以书面形式通知所有采购文件收受人。</w:t>
            </w:r>
            <w:r>
              <w:rPr>
                <w:rFonts w:hint="eastAsia" w:ascii="宋体" w:hAnsi="宋体"/>
                <w:sz w:val="24"/>
              </w:rPr>
              <w:t>因其他紧急情况影响本项目正常采购活动的，采购代理机构将于投标截止日期</w:t>
            </w:r>
            <w:r>
              <w:rPr>
                <w:rFonts w:ascii="宋体" w:hAnsi="宋体"/>
                <w:sz w:val="24"/>
              </w:rPr>
              <w:t>5</w:t>
            </w:r>
            <w:r>
              <w:rPr>
                <w:rFonts w:hint="eastAsia" w:ascii="宋体" w:hAnsi="宋体"/>
                <w:sz w:val="24"/>
              </w:rPr>
              <w:t>天前书面通知所有已报名的投标供应商。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81" w:hRule="atLeast"/>
          <w:jc w:val="center"/>
        </w:trPr>
        <w:tc>
          <w:tcPr>
            <w:tcW w:w="959" w:type="dxa"/>
            <w:vAlign w:val="center"/>
          </w:tcPr>
          <w:p>
            <w:pPr>
              <w:adjustRightInd w:val="0"/>
              <w:snapToGrid w:val="0"/>
              <w:spacing w:line="400" w:lineRule="exact"/>
              <w:jc w:val="center"/>
              <w:rPr>
                <w:rFonts w:ascii="宋体" w:hAnsi="宋体"/>
                <w:sz w:val="24"/>
              </w:rPr>
            </w:pPr>
            <w:r>
              <w:rPr>
                <w:rFonts w:hint="eastAsia" w:ascii="宋体" w:hAnsi="宋体"/>
                <w:sz w:val="24"/>
              </w:rPr>
              <w:t>5</w:t>
            </w:r>
          </w:p>
        </w:tc>
        <w:tc>
          <w:tcPr>
            <w:tcW w:w="8960" w:type="dxa"/>
            <w:vAlign w:val="center"/>
          </w:tcPr>
          <w:p>
            <w:pPr>
              <w:autoSpaceDE w:val="0"/>
              <w:autoSpaceDN w:val="0"/>
              <w:snapToGrid w:val="0"/>
              <w:spacing w:line="276" w:lineRule="auto"/>
              <w:textAlignment w:val="bottom"/>
              <w:rPr>
                <w:rFonts w:ascii="宋体" w:hAnsi="宋体"/>
                <w:sz w:val="24"/>
              </w:rPr>
            </w:pPr>
            <w:r>
              <w:rPr>
                <w:rFonts w:hint="eastAsia" w:ascii="宋体" w:hAnsi="宋体"/>
                <w:sz w:val="24"/>
              </w:rPr>
              <w:t xml:space="preserve">1.投标文件的制作：本项目实行电子招投标。 </w:t>
            </w:r>
          </w:p>
          <w:p>
            <w:pPr>
              <w:autoSpaceDE w:val="0"/>
              <w:autoSpaceDN w:val="0"/>
              <w:snapToGrid w:val="0"/>
              <w:spacing w:line="276" w:lineRule="auto"/>
              <w:textAlignment w:val="bottom"/>
              <w:rPr>
                <w:rFonts w:ascii="宋体" w:hAnsi="宋体"/>
                <w:sz w:val="24"/>
              </w:rPr>
            </w:pPr>
            <w:r>
              <w:rPr>
                <w:rFonts w:hint="eastAsia" w:ascii="宋体" w:hAnsi="宋体"/>
                <w:sz w:val="24"/>
              </w:rPr>
              <w:t>2.投标文件的份数：</w:t>
            </w:r>
          </w:p>
          <w:p>
            <w:pPr>
              <w:autoSpaceDE w:val="0"/>
              <w:autoSpaceDN w:val="0"/>
              <w:snapToGrid w:val="0"/>
              <w:spacing w:line="276" w:lineRule="auto"/>
              <w:textAlignment w:val="bottom"/>
              <w:rPr>
                <w:rFonts w:ascii="宋体" w:hAnsi="宋体"/>
                <w:sz w:val="24"/>
              </w:rPr>
            </w:pPr>
            <w:r>
              <w:rPr>
                <w:rFonts w:hint="eastAsia" w:ascii="宋体" w:hAnsi="宋体"/>
                <w:sz w:val="24"/>
              </w:rPr>
              <w:t xml:space="preserve">（1）电子投标文件：政采云平台上传递交电子投标文件一份。 </w:t>
            </w:r>
          </w:p>
          <w:p>
            <w:pPr>
              <w:autoSpaceDE w:val="0"/>
              <w:autoSpaceDN w:val="0"/>
              <w:snapToGrid w:val="0"/>
              <w:spacing w:line="276" w:lineRule="auto"/>
              <w:textAlignment w:val="bottom"/>
              <w:rPr>
                <w:rFonts w:ascii="宋体" w:hAnsi="宋体"/>
                <w:sz w:val="24"/>
              </w:rPr>
            </w:pPr>
            <w:r>
              <w:rPr>
                <w:rFonts w:hint="eastAsia" w:ascii="宋体" w:hAnsi="宋体"/>
                <w:sz w:val="24"/>
              </w:rPr>
              <w:t xml:space="preserve">（2）“备份投标文件”：密封包装后投标截止时间前递交一份“备份投标文件”（可以邮寄形式），格式及内容须与政采云平台项目采购-电子交易操作指南中制作、加密并递交的电子投标文件格式及内容一致。   </w:t>
            </w:r>
          </w:p>
          <w:p>
            <w:pPr>
              <w:autoSpaceDE w:val="0"/>
              <w:autoSpaceDN w:val="0"/>
              <w:snapToGrid w:val="0"/>
              <w:spacing w:line="276" w:lineRule="auto"/>
              <w:textAlignment w:val="bottom"/>
              <w:rPr>
                <w:rFonts w:ascii="宋体" w:hAnsi="宋体"/>
                <w:sz w:val="24"/>
              </w:rPr>
            </w:pPr>
            <w:r>
              <w:rPr>
                <w:rFonts w:hint="eastAsia" w:ascii="宋体" w:hAnsi="宋体"/>
                <w:sz w:val="24"/>
              </w:rPr>
              <w:t>（3）投标供应商递交“备份投标文件”，应在投标截止时间前将“备份投标文件”递交至：</w:t>
            </w:r>
            <w:r>
              <w:rPr>
                <w:rFonts w:hint="eastAsia" w:ascii="宋体" w:hAnsi="宋体" w:cs="宋体"/>
                <w:b/>
                <w:color w:val="000000"/>
                <w:kern w:val="0"/>
                <w:sz w:val="24"/>
              </w:rPr>
              <w:t>湖州市吴兴区清远路155号4号楼2楼（浙江中合工程管理有限公司），联系人：吕雪兰，联系电话：13567243756</w:t>
            </w:r>
            <w:r>
              <w:rPr>
                <w:rFonts w:hint="eastAsia" w:ascii="宋体" w:hAnsi="宋体" w:cs="宋体"/>
                <w:bCs/>
                <w:color w:val="000000"/>
                <w:kern w:val="0"/>
                <w:sz w:val="24"/>
              </w:rPr>
              <w:t>。</w:t>
            </w:r>
          </w:p>
          <w:p>
            <w:pPr>
              <w:autoSpaceDE w:val="0"/>
              <w:autoSpaceDN w:val="0"/>
              <w:snapToGrid w:val="0"/>
              <w:spacing w:line="276" w:lineRule="auto"/>
              <w:textAlignment w:val="bottom"/>
              <w:rPr>
                <w:rFonts w:ascii="宋体" w:hAnsi="宋体"/>
                <w:sz w:val="24"/>
              </w:rPr>
            </w:pPr>
            <w:r>
              <w:rPr>
                <w:rFonts w:hint="eastAsia" w:ascii="宋体" w:hAnsi="宋体"/>
                <w:sz w:val="24"/>
              </w:rPr>
              <w:t>3.投标文件的组成：</w:t>
            </w:r>
          </w:p>
          <w:p>
            <w:pPr>
              <w:pStyle w:val="223"/>
              <w:tabs>
                <w:tab w:val="left" w:pos="529"/>
              </w:tabs>
              <w:spacing w:before="2" w:line="312" w:lineRule="auto"/>
              <w:ind w:left="108" w:right="82"/>
              <w:rPr>
                <w:rFonts w:eastAsia="微软雅黑"/>
                <w:b/>
                <w:bCs/>
                <w:color w:val="000000"/>
                <w:sz w:val="24"/>
                <w:lang w:val="en-US"/>
              </w:rPr>
            </w:pPr>
            <w:r>
              <w:rPr>
                <w:rFonts w:hint="eastAsia" w:eastAsia="微软雅黑" w:cs="Times New Roman"/>
                <w:sz w:val="24"/>
                <w:lang w:val="en-US" w:bidi="ar-SA"/>
              </w:rPr>
              <w:t>投标文件由《资格文件》、《技术、商务、资信及其他文件》和《报价文件》组成，其中电子投标文件中所须加盖公章部分均采用 CA 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959" w:type="dxa"/>
            <w:vAlign w:val="center"/>
          </w:tcPr>
          <w:p>
            <w:pPr>
              <w:adjustRightInd w:val="0"/>
              <w:snapToGrid w:val="0"/>
              <w:spacing w:line="400" w:lineRule="exact"/>
              <w:jc w:val="center"/>
              <w:rPr>
                <w:rFonts w:ascii="宋体" w:hAnsi="宋体"/>
                <w:sz w:val="24"/>
              </w:rPr>
            </w:pPr>
            <w:r>
              <w:rPr>
                <w:rFonts w:hint="eastAsia" w:ascii="宋体" w:hAnsi="宋体"/>
                <w:sz w:val="24"/>
              </w:rPr>
              <w:t>6</w:t>
            </w:r>
          </w:p>
        </w:tc>
        <w:tc>
          <w:tcPr>
            <w:tcW w:w="8960" w:type="dxa"/>
            <w:vAlign w:val="center"/>
          </w:tcPr>
          <w:p>
            <w:pPr>
              <w:pStyle w:val="223"/>
              <w:tabs>
                <w:tab w:val="left" w:pos="529"/>
              </w:tabs>
              <w:spacing w:before="2" w:line="312" w:lineRule="auto"/>
              <w:ind w:left="108" w:right="82"/>
              <w:rPr>
                <w:rFonts w:ascii="微软雅黑" w:hAnsi="微软雅黑" w:eastAsia="微软雅黑" w:cs="微软雅黑"/>
                <w:sz w:val="24"/>
                <w:lang w:val="en-US" w:bidi="ar-SA"/>
              </w:rPr>
            </w:pPr>
            <w:r>
              <w:rPr>
                <w:rFonts w:hint="eastAsia" w:eastAsia="微软雅黑" w:cs="Times New Roman"/>
                <w:sz w:val="24"/>
                <w:lang w:val="en-US" w:bidi="ar-SA"/>
              </w:rPr>
              <w:t>投标截止时间：</w:t>
            </w:r>
            <w:r>
              <w:rPr>
                <w:rFonts w:hint="eastAsia" w:ascii="微软雅黑" w:hAnsi="微软雅黑" w:eastAsia="微软雅黑" w:cs="微软雅黑"/>
                <w:sz w:val="24"/>
                <w:u w:val="single"/>
                <w:lang w:val="en-US" w:bidi="ar-SA"/>
              </w:rPr>
              <w:t>2020 年</w:t>
            </w:r>
            <w:r>
              <w:rPr>
                <w:rFonts w:hint="eastAsia" w:ascii="微软雅黑" w:hAnsi="微软雅黑" w:eastAsia="微软雅黑" w:cs="微软雅黑"/>
                <w:sz w:val="24"/>
                <w:u w:val="single"/>
                <w:lang w:val="en-US" w:eastAsia="zh-CN" w:bidi="ar-SA"/>
              </w:rPr>
              <w:t>8</w:t>
            </w:r>
            <w:r>
              <w:rPr>
                <w:rFonts w:hint="eastAsia" w:ascii="微软雅黑" w:hAnsi="微软雅黑" w:eastAsia="微软雅黑" w:cs="微软雅黑"/>
                <w:sz w:val="24"/>
                <w:u w:val="single"/>
                <w:lang w:val="en-US" w:bidi="ar-SA"/>
              </w:rPr>
              <w:t>月</w:t>
            </w:r>
            <w:r>
              <w:rPr>
                <w:rFonts w:hint="eastAsia" w:ascii="微软雅黑" w:hAnsi="微软雅黑" w:eastAsia="微软雅黑" w:cs="微软雅黑"/>
                <w:sz w:val="24"/>
                <w:u w:val="single"/>
                <w:lang w:val="en-US" w:eastAsia="zh-CN" w:bidi="ar-SA"/>
              </w:rPr>
              <w:t>18</w:t>
            </w:r>
            <w:r>
              <w:rPr>
                <w:rFonts w:hint="eastAsia" w:ascii="微软雅黑" w:hAnsi="微软雅黑" w:eastAsia="微软雅黑" w:cs="微软雅黑"/>
                <w:sz w:val="24"/>
                <w:u w:val="single"/>
                <w:lang w:val="en-US" w:bidi="ar-SA"/>
              </w:rPr>
              <w:t>日</w:t>
            </w:r>
            <w:r>
              <w:rPr>
                <w:rFonts w:hint="eastAsia" w:ascii="微软雅黑" w:hAnsi="微软雅黑" w:eastAsia="微软雅黑" w:cs="微软雅黑"/>
                <w:sz w:val="24"/>
                <w:u w:val="single"/>
                <w:lang w:val="en-US" w:eastAsia="zh-CN" w:bidi="ar-SA"/>
              </w:rPr>
              <w:t>10</w:t>
            </w:r>
            <w:r>
              <w:rPr>
                <w:rFonts w:hint="eastAsia" w:ascii="微软雅黑" w:hAnsi="微软雅黑" w:eastAsia="微软雅黑" w:cs="微软雅黑"/>
                <w:sz w:val="24"/>
                <w:u w:val="single"/>
                <w:lang w:val="en-US" w:bidi="ar-SA"/>
              </w:rPr>
              <w:t>时</w:t>
            </w:r>
            <w:r>
              <w:rPr>
                <w:rFonts w:hint="eastAsia" w:ascii="微软雅黑" w:hAnsi="微软雅黑" w:eastAsia="微软雅黑" w:cs="微软雅黑"/>
                <w:sz w:val="24"/>
                <w:u w:val="single"/>
                <w:lang w:val="en-US" w:eastAsia="zh-CN" w:bidi="ar-SA"/>
              </w:rPr>
              <w:t>30</w:t>
            </w:r>
            <w:r>
              <w:rPr>
                <w:rFonts w:hint="eastAsia" w:ascii="微软雅黑" w:hAnsi="微软雅黑" w:eastAsia="微软雅黑" w:cs="微软雅黑"/>
                <w:sz w:val="24"/>
                <w:u w:val="single"/>
                <w:lang w:val="en-US" w:bidi="ar-SA"/>
              </w:rPr>
              <w:t>分前</w:t>
            </w:r>
          </w:p>
          <w:p>
            <w:pPr>
              <w:pStyle w:val="223"/>
              <w:tabs>
                <w:tab w:val="left" w:pos="529"/>
              </w:tabs>
              <w:spacing w:before="2" w:line="312" w:lineRule="auto"/>
              <w:ind w:left="108" w:right="82"/>
              <w:rPr>
                <w:rFonts w:eastAsia="微软雅黑"/>
                <w:b/>
                <w:sz w:val="24"/>
                <w:lang w:val="en-US"/>
              </w:rPr>
            </w:pPr>
            <w:r>
              <w:rPr>
                <w:rFonts w:hint="eastAsia" w:eastAsia="微软雅黑" w:cs="Times New Roman"/>
                <w:sz w:val="24"/>
                <w:lang w:val="en-US" w:bidi="ar-SA"/>
              </w:rPr>
              <w:t>地点：</w:t>
            </w:r>
            <w:r>
              <w:rPr>
                <w:rFonts w:hint="eastAsia" w:eastAsia="微软雅黑"/>
                <w:color w:val="000000" w:themeColor="text1"/>
                <w:kern w:val="0"/>
                <w:sz w:val="24"/>
                <w:u w:val="single"/>
              </w:rPr>
              <w:t>湖州市吴兴区公共资源交易中心（湖州市吴兴区区府路1188号总部自由港E幢4楼）40</w:t>
            </w:r>
            <w:r>
              <w:rPr>
                <w:rFonts w:hint="eastAsia" w:eastAsia="微软雅黑"/>
                <w:color w:val="000000" w:themeColor="text1"/>
                <w:kern w:val="0"/>
                <w:sz w:val="24"/>
                <w:u w:val="single"/>
                <w:lang w:val="en-US" w:eastAsia="zh-CN"/>
              </w:rPr>
              <w:t>4</w:t>
            </w:r>
            <w:r>
              <w:rPr>
                <w:rFonts w:hint="eastAsia" w:eastAsia="微软雅黑"/>
                <w:color w:val="000000" w:themeColor="text1"/>
                <w:kern w:val="0"/>
                <w:sz w:val="24"/>
                <w:u w:val="single"/>
              </w:rPr>
              <w:t>开标室</w:t>
            </w:r>
            <w:r>
              <w:rPr>
                <w:rFonts w:hint="eastAsia" w:eastAsia="微软雅黑" w:cs="Times New Roman"/>
                <w:sz w:val="24"/>
                <w:u w:val="single"/>
                <w:lang w:val="en-US"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41" w:hRule="atLeast"/>
          <w:jc w:val="center"/>
        </w:trPr>
        <w:tc>
          <w:tcPr>
            <w:tcW w:w="959" w:type="dxa"/>
            <w:vAlign w:val="center"/>
          </w:tcPr>
          <w:p>
            <w:pPr>
              <w:adjustRightInd w:val="0"/>
              <w:snapToGrid w:val="0"/>
              <w:spacing w:line="400" w:lineRule="exact"/>
              <w:jc w:val="center"/>
              <w:rPr>
                <w:rFonts w:ascii="宋体" w:hAnsi="宋体"/>
                <w:sz w:val="24"/>
              </w:rPr>
            </w:pPr>
            <w:r>
              <w:rPr>
                <w:rFonts w:hint="eastAsia" w:ascii="宋体" w:hAnsi="宋体"/>
                <w:sz w:val="24"/>
              </w:rPr>
              <w:t>7</w:t>
            </w:r>
          </w:p>
        </w:tc>
        <w:tc>
          <w:tcPr>
            <w:tcW w:w="8960" w:type="dxa"/>
            <w:vAlign w:val="center"/>
          </w:tcPr>
          <w:p>
            <w:pPr>
              <w:snapToGrid w:val="0"/>
              <w:spacing w:line="276" w:lineRule="auto"/>
              <w:rPr>
                <w:rFonts w:ascii="宋体"/>
                <w:sz w:val="24"/>
              </w:rPr>
            </w:pPr>
            <w:r>
              <w:rPr>
                <w:rFonts w:hint="eastAsia" w:ascii="宋体" w:hAnsi="宋体"/>
                <w:sz w:val="24"/>
              </w:rPr>
              <w:t>开标时间：</w:t>
            </w:r>
            <w:r>
              <w:rPr>
                <w:rFonts w:hint="eastAsia" w:ascii="微软雅黑" w:hAnsi="微软雅黑" w:eastAsia="微软雅黑" w:cs="微软雅黑"/>
                <w:sz w:val="24"/>
                <w:u w:val="single"/>
                <w:lang w:val="en-US" w:bidi="ar-SA"/>
              </w:rPr>
              <w:t>2020 年</w:t>
            </w:r>
            <w:r>
              <w:rPr>
                <w:rFonts w:hint="eastAsia" w:ascii="微软雅黑" w:hAnsi="微软雅黑" w:eastAsia="微软雅黑" w:cs="微软雅黑"/>
                <w:sz w:val="24"/>
                <w:u w:val="single"/>
                <w:lang w:val="en-US" w:eastAsia="zh-CN" w:bidi="ar-SA"/>
              </w:rPr>
              <w:t>8</w:t>
            </w:r>
            <w:r>
              <w:rPr>
                <w:rFonts w:hint="eastAsia" w:ascii="微软雅黑" w:hAnsi="微软雅黑" w:eastAsia="微软雅黑" w:cs="微软雅黑"/>
                <w:sz w:val="24"/>
                <w:u w:val="single"/>
                <w:lang w:val="en-US" w:bidi="ar-SA"/>
              </w:rPr>
              <w:t>月</w:t>
            </w:r>
            <w:r>
              <w:rPr>
                <w:rFonts w:hint="eastAsia" w:ascii="微软雅黑" w:hAnsi="微软雅黑" w:eastAsia="微软雅黑" w:cs="微软雅黑"/>
                <w:sz w:val="24"/>
                <w:u w:val="single"/>
                <w:lang w:val="en-US" w:eastAsia="zh-CN" w:bidi="ar-SA"/>
              </w:rPr>
              <w:t>18</w:t>
            </w:r>
            <w:r>
              <w:rPr>
                <w:rFonts w:hint="eastAsia" w:ascii="微软雅黑" w:hAnsi="微软雅黑" w:eastAsia="微软雅黑" w:cs="微软雅黑"/>
                <w:sz w:val="24"/>
                <w:u w:val="single"/>
                <w:lang w:val="en-US" w:bidi="ar-SA"/>
              </w:rPr>
              <w:t>日</w:t>
            </w:r>
            <w:r>
              <w:rPr>
                <w:rFonts w:hint="eastAsia" w:ascii="微软雅黑" w:hAnsi="微软雅黑" w:eastAsia="微软雅黑" w:cs="微软雅黑"/>
                <w:sz w:val="24"/>
                <w:u w:val="single"/>
                <w:lang w:val="en-US" w:eastAsia="zh-CN" w:bidi="ar-SA"/>
              </w:rPr>
              <w:t>10</w:t>
            </w:r>
            <w:r>
              <w:rPr>
                <w:rFonts w:hint="eastAsia" w:ascii="微软雅黑" w:hAnsi="微软雅黑" w:eastAsia="微软雅黑" w:cs="微软雅黑"/>
                <w:sz w:val="24"/>
                <w:u w:val="single"/>
                <w:lang w:val="en-US" w:bidi="ar-SA"/>
              </w:rPr>
              <w:t>时</w:t>
            </w:r>
            <w:r>
              <w:rPr>
                <w:rFonts w:hint="eastAsia" w:ascii="微软雅黑" w:hAnsi="微软雅黑" w:eastAsia="微软雅黑" w:cs="微软雅黑"/>
                <w:sz w:val="24"/>
                <w:u w:val="single"/>
                <w:lang w:val="en-US" w:eastAsia="zh-CN" w:bidi="ar-SA"/>
              </w:rPr>
              <w:t>30</w:t>
            </w:r>
            <w:r>
              <w:rPr>
                <w:rFonts w:hint="eastAsia" w:ascii="微软雅黑" w:hAnsi="微软雅黑" w:eastAsia="微软雅黑" w:cs="微软雅黑"/>
                <w:sz w:val="24"/>
                <w:u w:val="single"/>
                <w:lang w:val="en-US" w:bidi="ar-SA"/>
              </w:rPr>
              <w:t>分</w:t>
            </w:r>
            <w:r>
              <w:rPr>
                <w:rFonts w:hint="eastAsia" w:ascii="宋体"/>
                <w:sz w:val="24"/>
              </w:rPr>
              <w:t>整，逾期作自动放弃；</w:t>
            </w:r>
          </w:p>
          <w:p>
            <w:pPr>
              <w:autoSpaceDE w:val="0"/>
              <w:autoSpaceDN w:val="0"/>
              <w:snapToGrid w:val="0"/>
              <w:spacing w:line="276" w:lineRule="auto"/>
              <w:textAlignment w:val="bottom"/>
              <w:rPr>
                <w:rFonts w:ascii="宋体" w:hAnsi="宋体" w:cs="Arial"/>
                <w:sz w:val="24"/>
              </w:rPr>
            </w:pPr>
            <w:r>
              <w:rPr>
                <w:rFonts w:hint="eastAsia" w:ascii="宋体"/>
                <w:sz w:val="24"/>
              </w:rPr>
              <w:t>地点：</w:t>
            </w:r>
            <w:r>
              <w:rPr>
                <w:rFonts w:hint="eastAsia" w:ascii="宋体" w:hAnsi="宋体" w:cs="宋体"/>
                <w:color w:val="000000" w:themeColor="text1"/>
                <w:kern w:val="0"/>
                <w:sz w:val="24"/>
                <w:u w:val="single"/>
              </w:rPr>
              <w:t>湖州市吴兴区公共资源交易中心（湖州市吴兴区区府路1188号总部自由港E幢4楼）</w:t>
            </w:r>
            <w:r>
              <w:rPr>
                <w:rFonts w:hint="eastAsia" w:ascii="宋体" w:hAnsi="宋体" w:cs="宋体"/>
                <w:color w:val="000000" w:themeColor="text1"/>
                <w:kern w:val="0"/>
                <w:sz w:val="24"/>
                <w:u w:val="single"/>
                <w:lang w:val="en-US" w:eastAsia="zh-CN"/>
              </w:rPr>
              <w:t>404</w:t>
            </w:r>
            <w:r>
              <w:rPr>
                <w:rFonts w:hint="eastAsia" w:ascii="宋体" w:hAnsi="宋体" w:cs="宋体"/>
                <w:color w:val="000000" w:themeColor="text1"/>
                <w:kern w:val="0"/>
                <w:sz w:val="24"/>
                <w:u w:val="single"/>
              </w:rPr>
              <w:t>开标室</w:t>
            </w:r>
            <w:r>
              <w:rPr>
                <w:rFonts w:hint="eastAsia" w:ascii="宋体" w:hAnsi="宋体" w:cs="Arial"/>
                <w:sz w:val="24"/>
                <w:u w:val="single"/>
              </w:rPr>
              <w:t>。</w:t>
            </w:r>
          </w:p>
          <w:p>
            <w:pPr>
              <w:autoSpaceDE w:val="0"/>
              <w:autoSpaceDN w:val="0"/>
              <w:snapToGrid w:val="0"/>
              <w:spacing w:line="276" w:lineRule="auto"/>
              <w:textAlignment w:val="bottom"/>
              <w:rPr>
                <w:rFonts w:ascii="宋体" w:hAnsi="宋体"/>
                <w:sz w:val="24"/>
              </w:rPr>
            </w:pPr>
            <w:r>
              <w:rPr>
                <w:rFonts w:hint="eastAsia" w:ascii="宋体" w:hAnsi="宋体"/>
                <w:sz w:val="24"/>
              </w:rPr>
              <w:t xml:space="preserve">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放弃投标资格，作无效标处理。 </w:t>
            </w:r>
          </w:p>
          <w:p>
            <w:pPr>
              <w:spacing w:line="276" w:lineRule="auto"/>
              <w:rPr>
                <w:rFonts w:ascii="宋体" w:hAnsi="宋体"/>
                <w:sz w:val="24"/>
              </w:rPr>
            </w:pPr>
            <w:r>
              <w:rPr>
                <w:rFonts w:hint="eastAsia" w:ascii="宋体" w:hAnsi="宋体"/>
                <w:sz w:val="24"/>
              </w:rPr>
              <w:t>2. 电子加密投标文件的解密和异常情况处理：</w:t>
            </w:r>
          </w:p>
          <w:p>
            <w:pPr>
              <w:spacing w:line="276" w:lineRule="auto"/>
              <w:rPr>
                <w:rFonts w:ascii="宋体" w:hAnsi="宋体"/>
                <w:sz w:val="24"/>
              </w:rPr>
            </w:pPr>
            <w:r>
              <w:rPr>
                <w:rFonts w:hint="eastAsia" w:ascii="宋体" w:hAnsi="宋体"/>
                <w:sz w:val="24"/>
              </w:rPr>
              <w:t>（1）开标后，采购组织机构将向各投标供应商发出“电子加密投标文件”的解密通知，各投标供应商代表应当在接到解密通知后30分钟内自行完成“电子加密投标文件”的在线解密。</w:t>
            </w:r>
          </w:p>
          <w:p>
            <w:pPr>
              <w:spacing w:line="276" w:lineRule="auto"/>
              <w:rPr>
                <w:rFonts w:ascii="宋体" w:hAnsi="宋体"/>
                <w:sz w:val="24"/>
              </w:rPr>
            </w:pPr>
            <w:r>
              <w:rPr>
                <w:rFonts w:hint="eastAsia" w:ascii="宋体" w:hAnsi="宋体"/>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223"/>
              <w:tabs>
                <w:tab w:val="left" w:pos="529"/>
              </w:tabs>
              <w:spacing w:before="94"/>
              <w:jc w:val="left"/>
              <w:rPr>
                <w:sz w:val="24"/>
              </w:rPr>
            </w:pPr>
            <w:r>
              <w:rPr>
                <w:rFonts w:hint="eastAsia" w:eastAsia="微软雅黑" w:cs="Times New Roman"/>
                <w:sz w:val="24"/>
                <w:lang w:val="en-US" w:bidi="ar-SA"/>
              </w:rPr>
              <w:t>（3）投标截止时间前，投标供应商仅递交了“备份投标文件”而未将电子加密投标文件上传至“政府采购云平台”的，投标无效。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959" w:type="dxa"/>
            <w:vAlign w:val="center"/>
          </w:tcPr>
          <w:p>
            <w:pPr>
              <w:adjustRightInd w:val="0"/>
              <w:snapToGrid w:val="0"/>
              <w:spacing w:line="400" w:lineRule="exact"/>
              <w:jc w:val="center"/>
              <w:rPr>
                <w:rFonts w:ascii="宋体" w:hAnsi="宋体"/>
                <w:sz w:val="24"/>
              </w:rPr>
            </w:pPr>
            <w:r>
              <w:rPr>
                <w:rFonts w:hint="eastAsia" w:ascii="宋体" w:hAnsi="宋体"/>
                <w:sz w:val="24"/>
              </w:rPr>
              <w:t>8</w:t>
            </w:r>
          </w:p>
        </w:tc>
        <w:tc>
          <w:tcPr>
            <w:tcW w:w="8960" w:type="dxa"/>
            <w:vAlign w:val="center"/>
          </w:tcPr>
          <w:p>
            <w:pPr>
              <w:autoSpaceDE w:val="0"/>
              <w:autoSpaceDN w:val="0"/>
              <w:adjustRightInd w:val="0"/>
              <w:snapToGrid w:val="0"/>
              <w:spacing w:line="400" w:lineRule="exact"/>
              <w:textAlignment w:val="bottom"/>
              <w:rPr>
                <w:rFonts w:ascii="宋体" w:hAnsi="宋体"/>
                <w:sz w:val="24"/>
              </w:rPr>
            </w:pPr>
            <w:r>
              <w:rPr>
                <w:rFonts w:hint="eastAsia" w:ascii="宋体" w:hAnsi="宋体"/>
                <w:sz w:val="24"/>
              </w:rPr>
              <w:t>评标办法及标准：按照招标文件第四章评标办法及评分标准。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8" w:hRule="atLeast"/>
          <w:jc w:val="center"/>
        </w:trPr>
        <w:tc>
          <w:tcPr>
            <w:tcW w:w="959" w:type="dxa"/>
            <w:vAlign w:val="center"/>
          </w:tcPr>
          <w:p>
            <w:pPr>
              <w:adjustRightInd w:val="0"/>
              <w:snapToGrid w:val="0"/>
              <w:spacing w:line="400" w:lineRule="exact"/>
              <w:jc w:val="center"/>
              <w:rPr>
                <w:rFonts w:ascii="宋体" w:hAnsi="宋体"/>
                <w:sz w:val="24"/>
              </w:rPr>
            </w:pPr>
            <w:r>
              <w:rPr>
                <w:rFonts w:hint="eastAsia" w:ascii="宋体" w:hAnsi="宋体"/>
                <w:sz w:val="24"/>
              </w:rPr>
              <w:t>9</w:t>
            </w:r>
          </w:p>
        </w:tc>
        <w:tc>
          <w:tcPr>
            <w:tcW w:w="8960" w:type="dxa"/>
            <w:vAlign w:val="center"/>
          </w:tcPr>
          <w:p>
            <w:pPr>
              <w:autoSpaceDE w:val="0"/>
              <w:autoSpaceDN w:val="0"/>
              <w:adjustRightInd w:val="0"/>
              <w:snapToGrid w:val="0"/>
              <w:spacing w:line="400" w:lineRule="exact"/>
              <w:textAlignment w:val="bottom"/>
              <w:rPr>
                <w:rFonts w:ascii="宋体" w:hAnsi="宋体"/>
                <w:sz w:val="24"/>
              </w:rPr>
            </w:pPr>
            <w:r>
              <w:rPr>
                <w:rFonts w:hint="eastAsia" w:ascii="宋体" w:hAnsi="宋体"/>
                <w:sz w:val="24"/>
              </w:rPr>
              <w:t>中标公告及中标通知书：评标结束，采购人确认采购结果后，中标公告发布于</w:t>
            </w:r>
          </w:p>
          <w:p>
            <w:pPr>
              <w:autoSpaceDE w:val="0"/>
              <w:autoSpaceDN w:val="0"/>
              <w:adjustRightInd w:val="0"/>
              <w:snapToGrid w:val="0"/>
              <w:spacing w:line="400" w:lineRule="exact"/>
              <w:textAlignment w:val="bottom"/>
              <w:rPr>
                <w:rFonts w:ascii="宋体" w:hAnsi="宋体" w:cs="Arial"/>
                <w:sz w:val="24"/>
              </w:rPr>
            </w:pPr>
            <w:r>
              <w:rPr>
                <w:rFonts w:hint="eastAsia" w:ascii="宋体" w:hAnsi="宋体" w:cs="Arial"/>
                <w:sz w:val="24"/>
              </w:rPr>
              <w:t>浙江政府采购网（http://zfcg.czt.zj.gov.cn/）</w:t>
            </w:r>
          </w:p>
          <w:p>
            <w:pPr>
              <w:autoSpaceDE w:val="0"/>
              <w:autoSpaceDN w:val="0"/>
              <w:adjustRightInd w:val="0"/>
              <w:snapToGrid w:val="0"/>
              <w:spacing w:line="400" w:lineRule="exact"/>
              <w:textAlignment w:val="bottom"/>
              <w:rPr>
                <w:rFonts w:ascii="宋体" w:hAnsi="宋体"/>
                <w:sz w:val="24"/>
              </w:rPr>
            </w:pPr>
            <w:r>
              <w:rPr>
                <w:rFonts w:hint="eastAsia" w:ascii="宋体" w:hAnsi="宋体" w:cs="宋体"/>
                <w:kern w:val="0"/>
                <w:sz w:val="24"/>
              </w:rPr>
              <w:t>吴兴区公共资源交易中心（</w:t>
            </w:r>
            <w:r>
              <w:fldChar w:fldCharType="begin"/>
            </w:r>
            <w:r>
              <w:instrText xml:space="preserve"> HYPERLINK "http://ggzy.wuxing.gov.cn/" </w:instrText>
            </w:r>
            <w:r>
              <w:fldChar w:fldCharType="separate"/>
            </w:r>
            <w:r>
              <w:rPr>
                <w:rStyle w:val="71"/>
                <w:rFonts w:hint="eastAsia" w:ascii="宋体" w:hAnsi="宋体" w:cs="宋体"/>
                <w:kern w:val="0"/>
                <w:sz w:val="24"/>
              </w:rPr>
              <w:t>http://ggzy.wuxing.gov.cn/</w:t>
            </w:r>
            <w:r>
              <w:rPr>
                <w:rStyle w:val="71"/>
                <w:rFonts w:hint="eastAsia" w:ascii="宋体" w:hAnsi="宋体" w:cs="宋体"/>
                <w:kern w:val="0"/>
                <w:sz w:val="24"/>
              </w:rPr>
              <w:fldChar w:fldCharType="end"/>
            </w:r>
            <w:r>
              <w:rPr>
                <w:rFonts w:hint="eastAsia" w:ascii="宋体" w:hAnsi="宋体" w:cs="宋体"/>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959" w:type="dxa"/>
            <w:vAlign w:val="center"/>
          </w:tcPr>
          <w:p>
            <w:pPr>
              <w:adjustRightInd w:val="0"/>
              <w:snapToGrid w:val="0"/>
              <w:spacing w:line="400" w:lineRule="exact"/>
              <w:jc w:val="center"/>
              <w:rPr>
                <w:rFonts w:ascii="宋体" w:hAnsi="宋体"/>
                <w:sz w:val="24"/>
              </w:rPr>
            </w:pPr>
            <w:r>
              <w:rPr>
                <w:rFonts w:hint="eastAsia" w:ascii="宋体" w:hAnsi="宋体"/>
                <w:sz w:val="24"/>
              </w:rPr>
              <w:t>10</w:t>
            </w:r>
          </w:p>
        </w:tc>
        <w:tc>
          <w:tcPr>
            <w:tcW w:w="8960" w:type="dxa"/>
            <w:vAlign w:val="center"/>
          </w:tcPr>
          <w:p>
            <w:pPr>
              <w:autoSpaceDE w:val="0"/>
              <w:autoSpaceDN w:val="0"/>
              <w:adjustRightInd w:val="0"/>
              <w:snapToGrid w:val="0"/>
              <w:spacing w:line="400" w:lineRule="exact"/>
              <w:textAlignment w:val="bottom"/>
              <w:rPr>
                <w:rFonts w:ascii="宋体" w:hAnsi="宋体"/>
                <w:sz w:val="24"/>
              </w:rPr>
            </w:pPr>
            <w:r>
              <w:rPr>
                <w:rFonts w:hint="eastAsia" w:ascii="宋体" w:hAnsi="宋体"/>
                <w:sz w:val="24"/>
              </w:rPr>
              <w:t>签订合同：中标通知书发出后30天内。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959" w:type="dxa"/>
            <w:vAlign w:val="center"/>
          </w:tcPr>
          <w:p>
            <w:pPr>
              <w:adjustRightInd w:val="0"/>
              <w:snapToGrid w:val="0"/>
              <w:spacing w:line="400" w:lineRule="exact"/>
              <w:jc w:val="center"/>
              <w:rPr>
                <w:rFonts w:ascii="宋体" w:hAnsi="宋体"/>
                <w:sz w:val="24"/>
              </w:rPr>
            </w:pPr>
            <w:r>
              <w:rPr>
                <w:rFonts w:hint="eastAsia" w:ascii="宋体" w:hAnsi="宋体"/>
                <w:sz w:val="24"/>
              </w:rPr>
              <w:t>11</w:t>
            </w:r>
          </w:p>
        </w:tc>
        <w:tc>
          <w:tcPr>
            <w:tcW w:w="8960" w:type="dxa"/>
            <w:vAlign w:val="center"/>
          </w:tcPr>
          <w:p>
            <w:pPr>
              <w:autoSpaceDE w:val="0"/>
              <w:autoSpaceDN w:val="0"/>
              <w:adjustRightInd w:val="0"/>
              <w:snapToGrid w:val="0"/>
              <w:spacing w:line="400" w:lineRule="exact"/>
              <w:textAlignment w:val="bottom"/>
              <w:rPr>
                <w:rFonts w:ascii="宋体" w:hAnsi="宋体"/>
                <w:sz w:val="24"/>
              </w:rPr>
            </w:pPr>
            <w:r>
              <w:rPr>
                <w:rFonts w:hint="eastAsia" w:ascii="宋体" w:hAnsi="宋体"/>
                <w:sz w:val="24"/>
              </w:rPr>
              <w:t>采购资金来源：预算资金。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959" w:type="dxa"/>
            <w:vAlign w:val="center"/>
          </w:tcPr>
          <w:p>
            <w:pPr>
              <w:adjustRightInd w:val="0"/>
              <w:snapToGrid w:val="0"/>
              <w:spacing w:line="400" w:lineRule="exact"/>
              <w:jc w:val="center"/>
              <w:rPr>
                <w:rFonts w:ascii="宋体" w:hAnsi="宋体"/>
                <w:sz w:val="24"/>
              </w:rPr>
            </w:pPr>
            <w:r>
              <w:rPr>
                <w:rFonts w:hint="eastAsia" w:ascii="宋体" w:hAnsi="宋体"/>
                <w:sz w:val="24"/>
              </w:rPr>
              <w:t>12</w:t>
            </w:r>
          </w:p>
        </w:tc>
        <w:tc>
          <w:tcPr>
            <w:tcW w:w="8960" w:type="dxa"/>
            <w:vAlign w:val="center"/>
          </w:tcPr>
          <w:p>
            <w:pPr>
              <w:adjustRightInd w:val="0"/>
              <w:snapToGrid w:val="0"/>
              <w:spacing w:line="400" w:lineRule="exact"/>
              <w:rPr>
                <w:rFonts w:ascii="宋体" w:hAnsi="宋体"/>
                <w:sz w:val="24"/>
              </w:rPr>
            </w:pPr>
            <w:r>
              <w:rPr>
                <w:rFonts w:hint="eastAsia" w:ascii="宋体" w:hAnsi="宋体"/>
                <w:sz w:val="24"/>
              </w:rPr>
              <w:t>投标文件有效期：</w:t>
            </w:r>
            <w:r>
              <w:rPr>
                <w:rFonts w:hint="eastAsia" w:ascii="宋体" w:hAnsi="宋体" w:cs="Arial"/>
                <w:sz w:val="24"/>
                <w:u w:val="single"/>
              </w:rPr>
              <w:t>90</w:t>
            </w:r>
            <w:r>
              <w:rPr>
                <w:rFonts w:hint="eastAsia" w:ascii="宋体" w:hAnsi="宋体" w:cs="Arial"/>
                <w:sz w:val="24"/>
              </w:rPr>
              <w:t xml:space="preserve"> 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959" w:type="dxa"/>
            <w:vAlign w:val="center"/>
          </w:tcPr>
          <w:p>
            <w:pPr>
              <w:adjustRightInd w:val="0"/>
              <w:snapToGrid w:val="0"/>
              <w:spacing w:line="400" w:lineRule="exact"/>
              <w:jc w:val="center"/>
              <w:rPr>
                <w:rFonts w:ascii="宋体" w:hAnsi="宋体"/>
                <w:sz w:val="24"/>
              </w:rPr>
            </w:pPr>
            <w:r>
              <w:rPr>
                <w:rFonts w:hint="eastAsia" w:ascii="宋体" w:hAnsi="宋体"/>
                <w:sz w:val="24"/>
              </w:rPr>
              <w:t>13</w:t>
            </w:r>
          </w:p>
        </w:tc>
        <w:tc>
          <w:tcPr>
            <w:tcW w:w="8960" w:type="dxa"/>
            <w:vAlign w:val="center"/>
          </w:tcPr>
          <w:p>
            <w:pPr>
              <w:adjustRightInd w:val="0"/>
              <w:snapToGrid w:val="0"/>
              <w:spacing w:line="400" w:lineRule="exact"/>
              <w:rPr>
                <w:rFonts w:ascii="宋体" w:hAnsi="宋体"/>
                <w:sz w:val="24"/>
              </w:rPr>
            </w:pPr>
            <w:r>
              <w:rPr>
                <w:rFonts w:hint="eastAsia" w:ascii="宋体" w:hAnsi="宋体"/>
                <w:sz w:val="24"/>
              </w:rPr>
              <w:t>解释：本招标文件的解释权属于招标采购单位。</w:t>
            </w:r>
          </w:p>
        </w:tc>
      </w:tr>
    </w:tbl>
    <w:p>
      <w:pPr>
        <w:spacing w:line="400" w:lineRule="exact"/>
        <w:outlineLvl w:val="1"/>
        <w:rPr>
          <w:rFonts w:ascii="宋体" w:hAnsi="宋体"/>
          <w:b/>
          <w:bCs/>
          <w:sz w:val="24"/>
        </w:rPr>
      </w:pPr>
      <w:bookmarkStart w:id="120" w:name="_Toc424544533"/>
      <w:bookmarkStart w:id="121" w:name="_Toc177870536"/>
      <w:bookmarkStart w:id="122" w:name="_Toc293917017"/>
      <w:bookmarkStart w:id="123" w:name="_Toc293916353"/>
      <w:bookmarkStart w:id="124" w:name="_Toc293916871"/>
      <w:bookmarkStart w:id="125" w:name="_Toc293916002"/>
      <w:bookmarkStart w:id="126" w:name="_Toc424544812"/>
    </w:p>
    <w:p>
      <w:pPr>
        <w:spacing w:line="400" w:lineRule="exact"/>
        <w:outlineLvl w:val="1"/>
        <w:rPr>
          <w:rFonts w:ascii="宋体" w:hAnsi="宋体"/>
          <w:b/>
          <w:bCs/>
          <w:sz w:val="24"/>
        </w:rPr>
      </w:pPr>
      <w:bookmarkStart w:id="127" w:name="_Toc21985"/>
      <w:r>
        <w:rPr>
          <w:rFonts w:hint="eastAsia" w:ascii="宋体" w:hAnsi="宋体"/>
          <w:b/>
          <w:bCs/>
          <w:sz w:val="24"/>
        </w:rPr>
        <w:t>一、总  则</w:t>
      </w:r>
      <w:bookmarkEnd w:id="120"/>
      <w:bookmarkEnd w:id="121"/>
      <w:bookmarkEnd w:id="122"/>
      <w:bookmarkEnd w:id="123"/>
      <w:bookmarkEnd w:id="124"/>
      <w:bookmarkEnd w:id="125"/>
      <w:bookmarkEnd w:id="126"/>
      <w:bookmarkEnd w:id="127"/>
    </w:p>
    <w:p>
      <w:pPr>
        <w:adjustRightInd w:val="0"/>
        <w:snapToGrid w:val="0"/>
        <w:spacing w:line="400" w:lineRule="exact"/>
        <w:jc w:val="left"/>
        <w:rPr>
          <w:rFonts w:ascii="宋体" w:hAnsi="宋体"/>
          <w:b/>
          <w:sz w:val="24"/>
        </w:rPr>
      </w:pPr>
      <w:bookmarkStart w:id="128" w:name="_Toc293916354"/>
      <w:bookmarkStart w:id="129" w:name="_Toc293916003"/>
      <w:bookmarkStart w:id="130" w:name="_Toc177824872"/>
      <w:bookmarkStart w:id="131" w:name="_Toc177870537"/>
      <w:bookmarkStart w:id="132" w:name="_Toc177825120"/>
      <w:bookmarkStart w:id="133" w:name="_Toc177824939"/>
      <w:r>
        <w:rPr>
          <w:rFonts w:hint="eastAsia" w:ascii="宋体" w:hAnsi="宋体"/>
          <w:b/>
          <w:sz w:val="24"/>
        </w:rPr>
        <w:t>（一）适用范围</w:t>
      </w:r>
      <w:bookmarkEnd w:id="128"/>
      <w:bookmarkEnd w:id="129"/>
      <w:bookmarkEnd w:id="130"/>
      <w:bookmarkEnd w:id="131"/>
      <w:bookmarkEnd w:id="132"/>
      <w:bookmarkEnd w:id="133"/>
    </w:p>
    <w:p>
      <w:pPr>
        <w:adjustRightInd w:val="0"/>
        <w:snapToGrid w:val="0"/>
        <w:spacing w:line="400" w:lineRule="exact"/>
        <w:ind w:firstLine="480" w:firstLineChars="200"/>
        <w:jc w:val="left"/>
        <w:rPr>
          <w:rFonts w:ascii="宋体" w:hAnsi="宋体"/>
          <w:sz w:val="24"/>
        </w:rPr>
      </w:pPr>
      <w:r>
        <w:rPr>
          <w:rFonts w:hint="eastAsia" w:ascii="宋体" w:hAnsi="宋体"/>
          <w:sz w:val="24"/>
        </w:rPr>
        <w:t>本招标文件适用于</w:t>
      </w:r>
      <w:r>
        <w:rPr>
          <w:rFonts w:hint="eastAsia" w:ascii="宋体" w:hAnsi="宋体"/>
          <w:b/>
          <w:bCs/>
          <w:sz w:val="24"/>
          <w:u w:val="single"/>
        </w:rPr>
        <w:t>湖州市吴兴区（含南太湖新区）门牌数据信息采集项目</w:t>
      </w:r>
      <w:r>
        <w:rPr>
          <w:rFonts w:hint="eastAsia" w:ascii="宋体" w:hAnsi="宋体"/>
          <w:sz w:val="24"/>
        </w:rPr>
        <w:t>的招标、评标、定标、验收、合同履约、付款等（法律、法规另有规定的，从其规定）。</w:t>
      </w:r>
    </w:p>
    <w:p>
      <w:pPr>
        <w:adjustRightInd w:val="0"/>
        <w:snapToGrid w:val="0"/>
        <w:spacing w:line="400" w:lineRule="exact"/>
        <w:jc w:val="left"/>
        <w:rPr>
          <w:rFonts w:ascii="宋体" w:hAnsi="宋体"/>
          <w:b/>
          <w:sz w:val="24"/>
        </w:rPr>
      </w:pPr>
      <w:bookmarkStart w:id="134" w:name="_Toc293916355"/>
      <w:bookmarkStart w:id="135" w:name="_Toc177825121"/>
      <w:bookmarkStart w:id="136" w:name="_Toc177824940"/>
      <w:bookmarkStart w:id="137" w:name="_Toc177824873"/>
      <w:bookmarkStart w:id="138" w:name="_Toc177870538"/>
      <w:bookmarkStart w:id="139" w:name="_Toc293916004"/>
      <w:r>
        <w:rPr>
          <w:rFonts w:hint="eastAsia" w:ascii="宋体" w:hAnsi="宋体"/>
          <w:b/>
          <w:sz w:val="24"/>
        </w:rPr>
        <w:t>（二）定义</w:t>
      </w:r>
      <w:bookmarkEnd w:id="134"/>
      <w:bookmarkEnd w:id="135"/>
      <w:bookmarkEnd w:id="136"/>
      <w:bookmarkEnd w:id="137"/>
      <w:bookmarkEnd w:id="138"/>
      <w:bookmarkEnd w:id="139"/>
    </w:p>
    <w:p>
      <w:pPr>
        <w:adjustRightInd w:val="0"/>
        <w:snapToGrid w:val="0"/>
        <w:spacing w:line="400" w:lineRule="exact"/>
        <w:ind w:firstLine="480" w:firstLineChars="200"/>
        <w:jc w:val="left"/>
        <w:rPr>
          <w:rFonts w:ascii="宋体" w:hAnsi="宋体"/>
          <w:sz w:val="24"/>
        </w:rPr>
      </w:pPr>
      <w:bookmarkStart w:id="140" w:name="_Toc293916005"/>
      <w:bookmarkStart w:id="141" w:name="_Toc293916356"/>
      <w:bookmarkStart w:id="142" w:name="_Toc177870539"/>
      <w:bookmarkStart w:id="143" w:name="_Toc293916363"/>
      <w:bookmarkStart w:id="144" w:name="_Toc293916012"/>
      <w:r>
        <w:rPr>
          <w:rFonts w:hint="eastAsia" w:ascii="宋体" w:hAnsi="宋体"/>
          <w:sz w:val="24"/>
        </w:rPr>
        <w:t>1、</w:t>
      </w:r>
      <w:bookmarkEnd w:id="140"/>
      <w:bookmarkEnd w:id="141"/>
      <w:r>
        <w:rPr>
          <w:rFonts w:hint="eastAsia" w:ascii="宋体" w:hAnsi="宋体"/>
          <w:sz w:val="24"/>
        </w:rPr>
        <w:t>“采购人”系指</w:t>
      </w:r>
      <w:r>
        <w:rPr>
          <w:rFonts w:hint="eastAsia" w:ascii="宋体" w:hAnsi="宋体"/>
          <w:b/>
          <w:bCs/>
          <w:sz w:val="24"/>
          <w:u w:val="single"/>
        </w:rPr>
        <w:t xml:space="preserve">湖州市吴兴区民政局、湖州南太湖新区社会发展服务中心 </w:t>
      </w:r>
      <w:r>
        <w:rPr>
          <w:rFonts w:hint="eastAsia" w:ascii="宋体" w:hAnsi="宋体"/>
          <w:sz w:val="24"/>
        </w:rPr>
        <w:t>。</w:t>
      </w:r>
    </w:p>
    <w:p>
      <w:pPr>
        <w:adjustRightInd w:val="0"/>
        <w:snapToGrid w:val="0"/>
        <w:spacing w:line="400" w:lineRule="exact"/>
        <w:ind w:firstLine="480" w:firstLineChars="200"/>
        <w:jc w:val="left"/>
        <w:rPr>
          <w:rFonts w:ascii="宋体" w:hAnsi="宋体"/>
          <w:sz w:val="24"/>
        </w:rPr>
      </w:pPr>
      <w:r>
        <w:rPr>
          <w:rFonts w:hint="eastAsia" w:ascii="宋体" w:hAnsi="宋体"/>
          <w:bCs/>
          <w:sz w:val="24"/>
        </w:rPr>
        <w:t>2、“采购代理机构”系指</w:t>
      </w:r>
      <w:r>
        <w:rPr>
          <w:rFonts w:hint="eastAsia" w:ascii="宋体" w:hAnsi="宋体"/>
          <w:b/>
          <w:sz w:val="24"/>
          <w:u w:val="single"/>
        </w:rPr>
        <w:t>浙江中合工程管理有限公司</w:t>
      </w:r>
      <w:r>
        <w:rPr>
          <w:rFonts w:hint="eastAsia" w:ascii="宋体" w:hAnsi="宋体"/>
          <w:bCs/>
          <w:sz w:val="24"/>
        </w:rPr>
        <w:t>。</w:t>
      </w:r>
    </w:p>
    <w:p>
      <w:pPr>
        <w:adjustRightInd w:val="0"/>
        <w:snapToGrid w:val="0"/>
        <w:spacing w:line="400" w:lineRule="exact"/>
        <w:ind w:firstLine="480" w:firstLineChars="200"/>
        <w:jc w:val="left"/>
        <w:rPr>
          <w:rFonts w:ascii="宋体" w:hAnsi="宋体"/>
          <w:b/>
          <w:sz w:val="24"/>
        </w:rPr>
      </w:pPr>
      <w:r>
        <w:rPr>
          <w:rFonts w:hint="eastAsia" w:ascii="宋体" w:hAnsi="宋体"/>
          <w:sz w:val="24"/>
        </w:rPr>
        <w:t>3、“投标人”系指向采购人、采购代理机构提交投标文件的单位。</w:t>
      </w:r>
    </w:p>
    <w:p>
      <w:pPr>
        <w:adjustRightInd w:val="0"/>
        <w:snapToGrid w:val="0"/>
        <w:spacing w:line="400" w:lineRule="exact"/>
        <w:ind w:firstLine="480" w:firstLineChars="200"/>
        <w:jc w:val="left"/>
        <w:rPr>
          <w:rFonts w:ascii="宋体" w:hAnsi="宋体"/>
          <w:b/>
          <w:sz w:val="24"/>
        </w:rPr>
      </w:pPr>
      <w:bookmarkStart w:id="145" w:name="_Toc293916006"/>
      <w:bookmarkStart w:id="146" w:name="_Toc293916357"/>
      <w:r>
        <w:rPr>
          <w:rFonts w:hint="eastAsia" w:ascii="宋体" w:hAnsi="宋体"/>
          <w:sz w:val="24"/>
        </w:rPr>
        <w:t>4、</w:t>
      </w:r>
      <w:bookmarkEnd w:id="145"/>
      <w:bookmarkEnd w:id="146"/>
      <w:r>
        <w:rPr>
          <w:rFonts w:ascii="宋体" w:hAnsi="宋体"/>
          <w:sz w:val="24"/>
        </w:rPr>
        <w:t>“产品”系指供方按招标文件规定，须向采购人提供的一切设备、保险、税金、备品备件、工具、手册及其它有关技术资料和材料。</w:t>
      </w:r>
    </w:p>
    <w:p>
      <w:pPr>
        <w:adjustRightInd w:val="0"/>
        <w:snapToGrid w:val="0"/>
        <w:spacing w:line="400" w:lineRule="exact"/>
        <w:ind w:firstLine="480" w:firstLineChars="200"/>
        <w:jc w:val="left"/>
        <w:rPr>
          <w:rFonts w:ascii="宋体" w:hAnsi="宋体"/>
          <w:b/>
          <w:sz w:val="24"/>
        </w:rPr>
      </w:pPr>
      <w:bookmarkStart w:id="147" w:name="_Toc293916007"/>
      <w:bookmarkStart w:id="148" w:name="_Toc293916358"/>
      <w:r>
        <w:rPr>
          <w:rFonts w:hint="eastAsia" w:ascii="宋体" w:hAnsi="宋体"/>
          <w:sz w:val="24"/>
        </w:rPr>
        <w:t>5</w:t>
      </w:r>
      <w:r>
        <w:rPr>
          <w:rFonts w:ascii="宋体" w:hAnsi="宋体"/>
          <w:sz w:val="24"/>
        </w:rPr>
        <w:t>、</w:t>
      </w:r>
      <w:bookmarkEnd w:id="147"/>
      <w:bookmarkEnd w:id="148"/>
      <w:bookmarkStart w:id="149" w:name="_Toc293916359"/>
      <w:bookmarkStart w:id="150" w:name="_Toc293916008"/>
      <w:r>
        <w:rPr>
          <w:rFonts w:ascii="宋体" w:hAnsi="宋体"/>
          <w:sz w:val="24"/>
        </w:rPr>
        <w:t>“服务”系指招标文件规定投标人须承担的安装、调试、技术协助、校准、培训、技术指导以及其他类似的义务。</w:t>
      </w:r>
      <w:bookmarkEnd w:id="149"/>
      <w:bookmarkEnd w:id="150"/>
    </w:p>
    <w:p>
      <w:pPr>
        <w:adjustRightInd w:val="0"/>
        <w:snapToGrid w:val="0"/>
        <w:spacing w:line="400" w:lineRule="exact"/>
        <w:ind w:firstLine="480" w:firstLineChars="200"/>
        <w:jc w:val="left"/>
        <w:rPr>
          <w:rFonts w:ascii="宋体" w:hAnsi="宋体"/>
          <w:b/>
          <w:sz w:val="24"/>
        </w:rPr>
      </w:pPr>
      <w:bookmarkStart w:id="151" w:name="_Toc293916009"/>
      <w:bookmarkStart w:id="152" w:name="_Toc293916360"/>
      <w:r>
        <w:rPr>
          <w:rFonts w:hint="eastAsia" w:ascii="宋体" w:hAnsi="宋体"/>
          <w:sz w:val="24"/>
        </w:rPr>
        <w:t>6</w:t>
      </w:r>
      <w:r>
        <w:rPr>
          <w:rFonts w:ascii="宋体" w:hAnsi="宋体"/>
          <w:sz w:val="24"/>
        </w:rPr>
        <w:t>、“项目”系指投标人按招标文件规定向采购人提供的产品和服务。</w:t>
      </w:r>
      <w:bookmarkEnd w:id="151"/>
      <w:bookmarkEnd w:id="152"/>
    </w:p>
    <w:p>
      <w:pPr>
        <w:adjustRightInd w:val="0"/>
        <w:snapToGrid w:val="0"/>
        <w:spacing w:line="400" w:lineRule="exact"/>
        <w:ind w:firstLine="480" w:firstLineChars="200"/>
        <w:jc w:val="left"/>
        <w:rPr>
          <w:rFonts w:ascii="宋体" w:hAnsi="宋体"/>
          <w:b/>
          <w:sz w:val="24"/>
        </w:rPr>
      </w:pPr>
      <w:bookmarkStart w:id="153" w:name="_Toc293916361"/>
      <w:bookmarkStart w:id="154" w:name="_Toc293916010"/>
      <w:r>
        <w:rPr>
          <w:rFonts w:hint="eastAsia" w:ascii="宋体" w:hAnsi="宋体"/>
          <w:sz w:val="24"/>
        </w:rPr>
        <w:t>7、“书面形式”包括信函、传真、电子文档等。</w:t>
      </w:r>
      <w:bookmarkEnd w:id="153"/>
      <w:bookmarkEnd w:id="154"/>
    </w:p>
    <w:p>
      <w:pPr>
        <w:adjustRightInd w:val="0"/>
        <w:snapToGrid w:val="0"/>
        <w:spacing w:line="400" w:lineRule="exact"/>
        <w:ind w:firstLine="480" w:firstLineChars="200"/>
        <w:jc w:val="left"/>
        <w:rPr>
          <w:rFonts w:ascii="宋体" w:hAnsi="宋体"/>
          <w:b/>
          <w:sz w:val="24"/>
        </w:rPr>
      </w:pPr>
      <w:bookmarkStart w:id="155" w:name="_Toc293916011"/>
      <w:bookmarkStart w:id="156" w:name="_Toc293916362"/>
      <w:r>
        <w:rPr>
          <w:rFonts w:hint="eastAsia" w:ascii="宋体" w:hAnsi="宋体"/>
          <w:sz w:val="24"/>
        </w:rPr>
        <w:t>8、“▲”系指实质性要求条款。</w:t>
      </w:r>
      <w:bookmarkEnd w:id="155"/>
      <w:bookmarkEnd w:id="156"/>
    </w:p>
    <w:p>
      <w:pPr>
        <w:adjustRightInd w:val="0"/>
        <w:snapToGrid w:val="0"/>
        <w:spacing w:line="400" w:lineRule="exact"/>
        <w:jc w:val="left"/>
        <w:rPr>
          <w:rFonts w:ascii="宋体" w:hAnsi="宋体"/>
          <w:b/>
          <w:sz w:val="24"/>
        </w:rPr>
      </w:pPr>
      <w:r>
        <w:rPr>
          <w:rFonts w:hint="eastAsia" w:ascii="宋体" w:hAnsi="宋体"/>
          <w:b/>
          <w:sz w:val="24"/>
        </w:rPr>
        <w:t>（三）招标方式</w:t>
      </w:r>
      <w:bookmarkEnd w:id="142"/>
      <w:r>
        <w:rPr>
          <w:rFonts w:hint="eastAsia" w:ascii="宋体" w:hAnsi="宋体"/>
          <w:b/>
          <w:sz w:val="24"/>
        </w:rPr>
        <w:t>：</w:t>
      </w:r>
      <w:bookmarkEnd w:id="143"/>
      <w:bookmarkEnd w:id="144"/>
    </w:p>
    <w:p>
      <w:pPr>
        <w:adjustRightInd w:val="0"/>
        <w:snapToGrid w:val="0"/>
        <w:spacing w:line="400" w:lineRule="exact"/>
        <w:ind w:firstLine="480" w:firstLineChars="200"/>
        <w:jc w:val="left"/>
        <w:rPr>
          <w:rFonts w:ascii="宋体" w:hAnsi="宋体"/>
          <w:sz w:val="24"/>
        </w:rPr>
      </w:pPr>
      <w:r>
        <w:rPr>
          <w:rFonts w:ascii="宋体" w:hAnsi="宋体"/>
          <w:sz w:val="24"/>
        </w:rPr>
        <w:t>1、本次招标采用公开招标方式进行。</w:t>
      </w:r>
    </w:p>
    <w:p>
      <w:pPr>
        <w:adjustRightInd w:val="0"/>
        <w:snapToGrid w:val="0"/>
        <w:spacing w:line="400" w:lineRule="exact"/>
        <w:jc w:val="left"/>
        <w:rPr>
          <w:rFonts w:ascii="宋体" w:hAnsi="宋体"/>
          <w:b/>
          <w:sz w:val="24"/>
        </w:rPr>
      </w:pPr>
      <w:bookmarkStart w:id="157" w:name="_Toc293916013"/>
      <w:bookmarkStart w:id="158" w:name="_Toc177870540"/>
      <w:bookmarkStart w:id="159" w:name="_Toc293916364"/>
      <w:bookmarkStart w:id="160" w:name="_Toc177824874"/>
      <w:bookmarkStart w:id="161" w:name="_Toc177825122"/>
      <w:bookmarkStart w:id="162" w:name="_Toc177824941"/>
      <w:r>
        <w:rPr>
          <w:rFonts w:hint="eastAsia" w:ascii="宋体" w:hAnsi="宋体"/>
          <w:b/>
          <w:sz w:val="24"/>
        </w:rPr>
        <w:t>（四）投标委托</w:t>
      </w:r>
      <w:bookmarkEnd w:id="157"/>
      <w:bookmarkEnd w:id="158"/>
      <w:bookmarkEnd w:id="159"/>
      <w:bookmarkEnd w:id="160"/>
      <w:bookmarkEnd w:id="161"/>
      <w:bookmarkEnd w:id="162"/>
    </w:p>
    <w:p>
      <w:pPr>
        <w:pStyle w:val="22"/>
        <w:adjustRightInd w:val="0"/>
        <w:snapToGrid w:val="0"/>
        <w:spacing w:line="400" w:lineRule="exact"/>
        <w:ind w:firstLine="583" w:firstLineChars="243"/>
        <w:jc w:val="left"/>
        <w:rPr>
          <w:rFonts w:hAnsi="宋体"/>
          <w:spacing w:val="0"/>
          <w:sz w:val="24"/>
          <w:szCs w:val="24"/>
        </w:rPr>
      </w:pPr>
      <w:r>
        <w:rPr>
          <w:rFonts w:hint="eastAsia" w:hAnsi="宋体"/>
          <w:spacing w:val="0"/>
          <w:sz w:val="24"/>
          <w:szCs w:val="24"/>
        </w:rPr>
        <w:t>投标人可派人参加开标会议，投标人参加开标会议的投标人代表须携带居民身份证。如投标人代表不是法定代表人，须有法定代表人出具的授权委托书。</w:t>
      </w:r>
    </w:p>
    <w:p>
      <w:pPr>
        <w:adjustRightInd w:val="0"/>
        <w:snapToGrid w:val="0"/>
        <w:spacing w:line="400" w:lineRule="exact"/>
        <w:jc w:val="left"/>
        <w:rPr>
          <w:rFonts w:ascii="宋体" w:hAnsi="宋体"/>
          <w:b/>
          <w:sz w:val="24"/>
        </w:rPr>
      </w:pPr>
      <w:bookmarkStart w:id="163" w:name="_Toc293916365"/>
      <w:bookmarkStart w:id="164" w:name="_Toc177824942"/>
      <w:bookmarkStart w:id="165" w:name="_Toc177825123"/>
      <w:bookmarkStart w:id="166" w:name="_Toc293916014"/>
      <w:bookmarkStart w:id="167" w:name="_Toc177870541"/>
      <w:bookmarkStart w:id="168" w:name="_Toc177824875"/>
      <w:r>
        <w:rPr>
          <w:rFonts w:hint="eastAsia" w:ascii="宋体" w:hAnsi="宋体"/>
          <w:b/>
          <w:sz w:val="24"/>
        </w:rPr>
        <w:t>（五）投标费用</w:t>
      </w:r>
      <w:bookmarkEnd w:id="163"/>
      <w:bookmarkEnd w:id="164"/>
      <w:bookmarkEnd w:id="165"/>
      <w:bookmarkEnd w:id="166"/>
      <w:bookmarkEnd w:id="167"/>
      <w:bookmarkEnd w:id="168"/>
    </w:p>
    <w:p>
      <w:pPr>
        <w:adjustRightInd w:val="0"/>
        <w:snapToGrid w:val="0"/>
        <w:spacing w:line="400" w:lineRule="exact"/>
        <w:ind w:firstLine="720" w:firstLineChars="300"/>
        <w:jc w:val="left"/>
        <w:rPr>
          <w:rFonts w:ascii="宋体" w:hAnsi="宋体"/>
          <w:sz w:val="24"/>
        </w:rPr>
      </w:pPr>
      <w:r>
        <w:rPr>
          <w:rFonts w:hint="eastAsia" w:ascii="宋体" w:hAnsi="宋体"/>
          <w:sz w:val="24"/>
        </w:rPr>
        <w:t>不论投标结果如何，投标人均应自行承担所有与投标有关的全部费用。</w:t>
      </w:r>
    </w:p>
    <w:p>
      <w:pPr>
        <w:adjustRightInd w:val="0"/>
        <w:snapToGrid w:val="0"/>
        <w:spacing w:line="400" w:lineRule="exact"/>
        <w:jc w:val="left"/>
        <w:rPr>
          <w:rFonts w:ascii="宋体" w:hAnsi="宋体"/>
          <w:b/>
          <w:sz w:val="24"/>
        </w:rPr>
      </w:pPr>
      <w:r>
        <w:rPr>
          <w:rFonts w:hint="eastAsia" w:ascii="宋体" w:hAnsi="宋体"/>
          <w:b/>
          <w:sz w:val="24"/>
        </w:rPr>
        <w:t>（六）合格投标人的资格要求</w:t>
      </w:r>
    </w:p>
    <w:p>
      <w:pPr>
        <w:adjustRightInd w:val="0"/>
        <w:snapToGrid w:val="0"/>
        <w:spacing w:line="400" w:lineRule="exact"/>
        <w:ind w:firstLine="480" w:firstLineChars="200"/>
        <w:jc w:val="left"/>
        <w:rPr>
          <w:rFonts w:ascii="宋体" w:hAnsi="宋体"/>
          <w:sz w:val="24"/>
        </w:rPr>
      </w:pPr>
      <w:r>
        <w:rPr>
          <w:rFonts w:hint="eastAsia" w:ascii="宋体" w:hAnsi="宋体"/>
          <w:sz w:val="24"/>
        </w:rPr>
        <w:t>符合第一章第</w:t>
      </w:r>
      <w:r>
        <w:rPr>
          <w:rFonts w:hint="eastAsia" w:ascii="宋体" w:hAnsi="宋体" w:cs="Arial"/>
          <w:sz w:val="24"/>
        </w:rPr>
        <w:t>五</w:t>
      </w:r>
      <w:r>
        <w:rPr>
          <w:rFonts w:hint="eastAsia" w:ascii="宋体" w:hAnsi="宋体"/>
          <w:sz w:val="24"/>
        </w:rPr>
        <w:t>条的规定。</w:t>
      </w:r>
    </w:p>
    <w:p>
      <w:pPr>
        <w:adjustRightInd w:val="0"/>
        <w:snapToGrid w:val="0"/>
        <w:spacing w:line="400" w:lineRule="exact"/>
        <w:jc w:val="left"/>
        <w:rPr>
          <w:rFonts w:ascii="宋体" w:hAnsi="宋体"/>
          <w:b/>
          <w:sz w:val="24"/>
        </w:rPr>
      </w:pPr>
      <w:r>
        <w:rPr>
          <w:rFonts w:hint="eastAsia" w:ascii="宋体" w:hAnsi="宋体"/>
          <w:b/>
          <w:sz w:val="24"/>
        </w:rPr>
        <w:t>（七）转包与分包</w:t>
      </w:r>
    </w:p>
    <w:p>
      <w:pPr>
        <w:adjustRightInd w:val="0"/>
        <w:snapToGrid w:val="0"/>
        <w:spacing w:line="400" w:lineRule="exact"/>
        <w:ind w:firstLine="480" w:firstLineChars="200"/>
        <w:rPr>
          <w:rFonts w:ascii="宋体" w:hAnsi="宋体" w:cs="宋体"/>
          <w:kern w:val="0"/>
          <w:sz w:val="24"/>
        </w:rPr>
      </w:pPr>
      <w:r>
        <w:rPr>
          <w:rFonts w:hint="eastAsia" w:ascii="宋体" w:hAnsi="宋体" w:cs="宋体"/>
          <w:kern w:val="0"/>
          <w:sz w:val="24"/>
        </w:rPr>
        <w:t>本项目不允许转包或分包。</w:t>
      </w:r>
    </w:p>
    <w:p>
      <w:pPr>
        <w:adjustRightInd w:val="0"/>
        <w:snapToGrid w:val="0"/>
        <w:spacing w:line="400" w:lineRule="exact"/>
        <w:rPr>
          <w:rFonts w:ascii="宋体" w:hAnsi="宋体"/>
          <w:b/>
          <w:sz w:val="24"/>
        </w:rPr>
      </w:pPr>
      <w:r>
        <w:rPr>
          <w:rFonts w:hint="eastAsia" w:ascii="宋体" w:hAnsi="宋体"/>
          <w:b/>
          <w:sz w:val="24"/>
        </w:rPr>
        <w:t>（</w:t>
      </w:r>
      <w:r>
        <w:rPr>
          <w:rFonts w:hint="eastAsia" w:ascii="宋体" w:hAnsi="宋体" w:cs="宋体"/>
          <w:b/>
          <w:kern w:val="0"/>
          <w:sz w:val="24"/>
        </w:rPr>
        <w:t>八</w:t>
      </w:r>
      <w:r>
        <w:rPr>
          <w:rFonts w:hint="eastAsia" w:ascii="宋体" w:hAnsi="宋体"/>
          <w:b/>
          <w:sz w:val="24"/>
        </w:rPr>
        <w:t>）</w:t>
      </w:r>
      <w:bookmarkStart w:id="169" w:name="_Toc177870542"/>
      <w:r>
        <w:rPr>
          <w:rFonts w:hint="eastAsia" w:ascii="宋体" w:hAnsi="宋体"/>
          <w:b/>
          <w:sz w:val="24"/>
        </w:rPr>
        <w:t>特别说明：</w:t>
      </w:r>
      <w:bookmarkEnd w:id="169"/>
    </w:p>
    <w:p>
      <w:pPr>
        <w:adjustRightInd w:val="0"/>
        <w:snapToGrid w:val="0"/>
        <w:spacing w:line="480" w:lineRule="exact"/>
        <w:ind w:firstLine="480" w:firstLineChars="200"/>
        <w:rPr>
          <w:rFonts w:ascii="宋体" w:hAnsi="宋体" w:cs="宋体"/>
          <w:sz w:val="24"/>
        </w:rPr>
      </w:pPr>
      <w:bookmarkStart w:id="170" w:name="_Toc177870543"/>
      <w:r>
        <w:rPr>
          <w:rFonts w:hint="eastAsia" w:ascii="宋体" w:hAnsi="宋体" w:cs="宋体"/>
          <w:sz w:val="24"/>
        </w:rPr>
        <w:t>▲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讨论决定。</w:t>
      </w:r>
    </w:p>
    <w:p>
      <w:pPr>
        <w:adjustRightInd w:val="0"/>
        <w:snapToGrid w:val="0"/>
        <w:spacing w:line="480" w:lineRule="exact"/>
        <w:ind w:left="220" w:firstLine="240" w:firstLineChars="100"/>
        <w:rPr>
          <w:rFonts w:ascii="宋体" w:hAnsi="宋体" w:cs="宋体"/>
          <w:sz w:val="24"/>
        </w:rPr>
      </w:pPr>
      <w:r>
        <w:rPr>
          <w:rFonts w:hint="eastAsia" w:ascii="宋体" w:hAnsi="宋体" w:cs="宋体"/>
          <w:sz w:val="24"/>
        </w:rPr>
        <w:t>▲2.投标人投标所使用的资格、信誉、荣誉、业绩与企业认证必须为本法人所拥有。投标人投标所使用的采购项目实施人员必须为本单位正式员工。</w:t>
      </w:r>
    </w:p>
    <w:p>
      <w:pPr>
        <w:adjustRightInd w:val="0"/>
        <w:snapToGrid w:val="0"/>
        <w:spacing w:line="480" w:lineRule="exact"/>
        <w:ind w:left="220" w:firstLine="240" w:firstLineChars="100"/>
        <w:rPr>
          <w:rFonts w:ascii="宋体" w:hAnsi="宋体" w:cs="宋体"/>
          <w:sz w:val="24"/>
        </w:rPr>
      </w:pPr>
      <w:r>
        <w:rPr>
          <w:rFonts w:hint="eastAsia" w:ascii="宋体" w:hAnsi="宋体" w:cs="宋体"/>
          <w:sz w:val="24"/>
        </w:rPr>
        <w:t>▲3.投标人应仔细阅读招标文件的所有内容，按照招标文件的要求提交投标文件，并对所提供的全部资料的真实性承担法律责任。</w:t>
      </w:r>
    </w:p>
    <w:p>
      <w:pPr>
        <w:adjustRightInd w:val="0"/>
        <w:snapToGrid w:val="0"/>
        <w:spacing w:line="480" w:lineRule="exact"/>
        <w:ind w:left="220" w:firstLine="240" w:firstLineChars="100"/>
        <w:rPr>
          <w:rFonts w:ascii="宋体" w:hAnsi="宋体" w:cs="宋体"/>
          <w:sz w:val="24"/>
        </w:rPr>
      </w:pPr>
      <w:r>
        <w:rPr>
          <w:rFonts w:hint="eastAsia" w:ascii="宋体" w:hAnsi="宋体" w:cs="宋体"/>
          <w:sz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djustRightInd w:val="0"/>
        <w:snapToGrid w:val="0"/>
        <w:spacing w:line="400" w:lineRule="exact"/>
        <w:rPr>
          <w:rFonts w:ascii="宋体" w:hAnsi="宋体"/>
          <w:b/>
          <w:bCs/>
          <w:sz w:val="24"/>
        </w:rPr>
      </w:pPr>
      <w:r>
        <w:rPr>
          <w:rFonts w:hint="eastAsia" w:ascii="宋体" w:hAnsi="宋体" w:cs="宋体"/>
          <w:b/>
          <w:kern w:val="0"/>
          <w:sz w:val="24"/>
        </w:rPr>
        <w:t>（九）</w:t>
      </w:r>
      <w:r>
        <w:rPr>
          <w:rFonts w:hint="eastAsia" w:ascii="宋体" w:hAnsi="宋体"/>
          <w:b/>
          <w:bCs/>
          <w:sz w:val="24"/>
        </w:rPr>
        <w:t>质疑</w:t>
      </w:r>
      <w:bookmarkEnd w:id="170"/>
      <w:r>
        <w:rPr>
          <w:rFonts w:hint="eastAsia" w:ascii="宋体" w:hAnsi="宋体"/>
          <w:b/>
          <w:bCs/>
          <w:sz w:val="24"/>
        </w:rPr>
        <w:t>和投诉</w:t>
      </w:r>
    </w:p>
    <w:p>
      <w:pPr>
        <w:adjustRightInd w:val="0"/>
        <w:snapToGrid w:val="0"/>
        <w:spacing w:line="400" w:lineRule="exact"/>
        <w:ind w:firstLine="480" w:firstLineChars="200"/>
        <w:jc w:val="left"/>
        <w:rPr>
          <w:rFonts w:ascii="宋体" w:hAnsi="宋体"/>
          <w:b/>
          <w:bCs/>
          <w:sz w:val="24"/>
        </w:rPr>
      </w:pPr>
      <w:bookmarkStart w:id="171" w:name="_Toc293917018"/>
      <w:bookmarkStart w:id="172" w:name="_Toc424544534"/>
      <w:bookmarkStart w:id="173" w:name="_Toc293916366"/>
      <w:bookmarkStart w:id="174" w:name="_Toc293916015"/>
      <w:bookmarkStart w:id="175" w:name="_Toc177870544"/>
      <w:bookmarkStart w:id="176" w:name="_Toc424544813"/>
      <w:bookmarkStart w:id="177" w:name="_Toc293916872"/>
      <w:r>
        <w:rPr>
          <w:rFonts w:hint="eastAsia" w:ascii="宋体" w:hAnsi="宋体"/>
          <w:sz w:val="24"/>
        </w:rPr>
        <w:t xml:space="preserve"> 提出质疑的供应商应当是参与所质疑项目采购活动的供应商。</w:t>
      </w:r>
      <w:r>
        <w:rPr>
          <w:rFonts w:hint="eastAsia" w:ascii="宋体" w:hAnsi="宋体"/>
          <w:b/>
          <w:bCs/>
          <w:sz w:val="24"/>
        </w:rPr>
        <w:t>潜在供应商已依法获取（依法获取指：供应商按本项目招标公告要求在政采云系统上获取并报名成功）其可质疑的招标文件，可以对该文件提出质疑。未按照规定方式依法获取招标文件的，不得对招标文件提起质疑投诉。对采购文件提出质疑的，应当在获取采购文件或者采购文件公告期限届满之日起7个工作日内提出。</w:t>
      </w:r>
    </w:p>
    <w:p>
      <w:pPr>
        <w:adjustRightInd w:val="0"/>
        <w:snapToGrid w:val="0"/>
        <w:spacing w:line="400" w:lineRule="exact"/>
        <w:ind w:firstLine="480" w:firstLineChars="200"/>
        <w:jc w:val="left"/>
        <w:rPr>
          <w:rFonts w:ascii="宋体" w:hAnsi="宋体"/>
          <w:sz w:val="24"/>
        </w:rPr>
      </w:pPr>
      <w:r>
        <w:rPr>
          <w:rFonts w:hint="eastAsia" w:ascii="宋体" w:hAnsi="宋体"/>
          <w:sz w:val="24"/>
        </w:rPr>
        <w:t>供应商在法定质疑期内一次性提出针对同一采购程序环节的质疑。</w:t>
      </w:r>
    </w:p>
    <w:p>
      <w:pPr>
        <w:adjustRightInd w:val="0"/>
        <w:snapToGrid w:val="0"/>
        <w:spacing w:line="400" w:lineRule="exact"/>
        <w:ind w:firstLine="480" w:firstLineChars="200"/>
        <w:jc w:val="left"/>
        <w:rPr>
          <w:rFonts w:ascii="宋体" w:hAnsi="宋体"/>
          <w:sz w:val="24"/>
        </w:rPr>
      </w:pPr>
      <w:r>
        <w:rPr>
          <w:rFonts w:hint="eastAsia" w:ascii="宋体" w:hAnsi="宋体"/>
          <w:sz w:val="24"/>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pPr>
        <w:adjustRightInd w:val="0"/>
        <w:snapToGrid w:val="0"/>
        <w:spacing w:line="400" w:lineRule="exact"/>
        <w:ind w:firstLine="480" w:firstLineChars="200"/>
        <w:jc w:val="left"/>
        <w:rPr>
          <w:rFonts w:ascii="宋体" w:hAnsi="宋体"/>
          <w:sz w:val="24"/>
        </w:rPr>
      </w:pPr>
      <w:r>
        <w:rPr>
          <w:rFonts w:hint="eastAsia" w:ascii="宋体" w:hAnsi="宋体"/>
          <w:sz w:val="24"/>
        </w:rPr>
        <w:t>2.供应商提出质疑应当提交质疑函和必要的证明材料。质疑函应当包括下列内容：</w:t>
      </w:r>
    </w:p>
    <w:p>
      <w:pPr>
        <w:adjustRightInd w:val="0"/>
        <w:snapToGrid w:val="0"/>
        <w:spacing w:line="400" w:lineRule="exact"/>
        <w:ind w:firstLine="480" w:firstLineChars="200"/>
        <w:jc w:val="left"/>
        <w:rPr>
          <w:rFonts w:ascii="宋体" w:hAnsi="宋体"/>
          <w:sz w:val="24"/>
        </w:rPr>
      </w:pPr>
      <w:r>
        <w:rPr>
          <w:rFonts w:hint="eastAsia" w:ascii="宋体" w:hAnsi="宋体"/>
          <w:sz w:val="24"/>
        </w:rPr>
        <w:t>1）供应商的姓名或者名称、地址、邮编、联系人及联系电话；</w:t>
      </w:r>
    </w:p>
    <w:p>
      <w:pPr>
        <w:adjustRightInd w:val="0"/>
        <w:snapToGrid w:val="0"/>
        <w:spacing w:line="400" w:lineRule="exact"/>
        <w:ind w:firstLine="480" w:firstLineChars="200"/>
        <w:jc w:val="left"/>
        <w:rPr>
          <w:rFonts w:ascii="宋体" w:hAnsi="宋体"/>
          <w:sz w:val="24"/>
        </w:rPr>
      </w:pPr>
      <w:r>
        <w:rPr>
          <w:rFonts w:hint="eastAsia" w:ascii="宋体" w:hAnsi="宋体"/>
          <w:sz w:val="24"/>
        </w:rPr>
        <w:t>2）质疑项目的名称、编号；</w:t>
      </w:r>
    </w:p>
    <w:p>
      <w:pPr>
        <w:adjustRightInd w:val="0"/>
        <w:snapToGrid w:val="0"/>
        <w:spacing w:line="400" w:lineRule="exact"/>
        <w:ind w:firstLine="480" w:firstLineChars="200"/>
        <w:jc w:val="left"/>
        <w:rPr>
          <w:rFonts w:ascii="宋体" w:hAnsi="宋体"/>
          <w:sz w:val="24"/>
        </w:rPr>
      </w:pPr>
      <w:r>
        <w:rPr>
          <w:rFonts w:hint="eastAsia" w:ascii="宋体" w:hAnsi="宋体"/>
          <w:sz w:val="24"/>
        </w:rPr>
        <w:t>3）具体、明确的质疑事项和与质疑事项相关的请求；</w:t>
      </w:r>
    </w:p>
    <w:p>
      <w:pPr>
        <w:adjustRightInd w:val="0"/>
        <w:snapToGrid w:val="0"/>
        <w:spacing w:line="400" w:lineRule="exact"/>
        <w:ind w:firstLine="480" w:firstLineChars="200"/>
        <w:jc w:val="left"/>
        <w:rPr>
          <w:rFonts w:ascii="宋体" w:hAnsi="宋体"/>
          <w:sz w:val="24"/>
        </w:rPr>
      </w:pPr>
      <w:r>
        <w:rPr>
          <w:rFonts w:hint="eastAsia" w:ascii="宋体" w:hAnsi="宋体"/>
          <w:sz w:val="24"/>
        </w:rPr>
        <w:t>4）事实依据；</w:t>
      </w:r>
    </w:p>
    <w:p>
      <w:pPr>
        <w:adjustRightInd w:val="0"/>
        <w:snapToGrid w:val="0"/>
        <w:spacing w:line="400" w:lineRule="exact"/>
        <w:ind w:firstLine="480" w:firstLineChars="200"/>
        <w:jc w:val="left"/>
        <w:rPr>
          <w:rFonts w:ascii="宋体" w:hAnsi="宋体"/>
          <w:sz w:val="24"/>
        </w:rPr>
      </w:pPr>
      <w:r>
        <w:rPr>
          <w:rFonts w:hint="eastAsia" w:ascii="宋体" w:hAnsi="宋体"/>
          <w:sz w:val="24"/>
        </w:rPr>
        <w:t>5）必要的法律依据；</w:t>
      </w:r>
    </w:p>
    <w:p>
      <w:pPr>
        <w:adjustRightInd w:val="0"/>
        <w:snapToGrid w:val="0"/>
        <w:spacing w:line="400" w:lineRule="exact"/>
        <w:ind w:firstLine="480" w:firstLineChars="200"/>
        <w:jc w:val="left"/>
        <w:rPr>
          <w:rFonts w:ascii="宋体" w:hAnsi="宋体"/>
          <w:sz w:val="24"/>
        </w:rPr>
      </w:pPr>
      <w:r>
        <w:rPr>
          <w:rFonts w:hint="eastAsia" w:ascii="宋体" w:hAnsi="宋体"/>
          <w:sz w:val="24"/>
        </w:rPr>
        <w:t>6）提出质疑的日期。</w:t>
      </w:r>
    </w:p>
    <w:p>
      <w:pPr>
        <w:adjustRightInd w:val="0"/>
        <w:snapToGrid w:val="0"/>
        <w:spacing w:line="400" w:lineRule="exact"/>
        <w:ind w:firstLine="480" w:firstLineChars="200"/>
        <w:jc w:val="left"/>
        <w:rPr>
          <w:rFonts w:ascii="宋体" w:hAnsi="宋体"/>
          <w:sz w:val="24"/>
        </w:rPr>
      </w:pPr>
      <w:r>
        <w:rPr>
          <w:rFonts w:hint="eastAsia" w:ascii="宋体" w:hAnsi="宋体"/>
          <w:sz w:val="24"/>
        </w:rPr>
        <w:t>3.投诉人提起投诉应当符合下列条件：</w:t>
      </w:r>
    </w:p>
    <w:p>
      <w:pPr>
        <w:adjustRightInd w:val="0"/>
        <w:snapToGrid w:val="0"/>
        <w:spacing w:line="400" w:lineRule="exact"/>
        <w:ind w:firstLine="480" w:firstLineChars="200"/>
        <w:jc w:val="left"/>
        <w:rPr>
          <w:rFonts w:ascii="宋体" w:hAnsi="宋体"/>
          <w:sz w:val="24"/>
        </w:rPr>
      </w:pPr>
      <w:r>
        <w:rPr>
          <w:rFonts w:hint="eastAsia" w:ascii="宋体" w:hAnsi="宋体"/>
          <w:sz w:val="24"/>
        </w:rPr>
        <w:t>1）提起投诉前已依法进行质疑；</w:t>
      </w:r>
    </w:p>
    <w:p>
      <w:pPr>
        <w:adjustRightInd w:val="0"/>
        <w:snapToGrid w:val="0"/>
        <w:spacing w:line="400" w:lineRule="exact"/>
        <w:ind w:firstLine="480" w:firstLineChars="200"/>
        <w:jc w:val="left"/>
        <w:rPr>
          <w:rFonts w:ascii="宋体" w:hAnsi="宋体"/>
          <w:sz w:val="24"/>
        </w:rPr>
      </w:pPr>
      <w:r>
        <w:rPr>
          <w:rFonts w:hint="eastAsia" w:ascii="宋体" w:hAnsi="宋体"/>
          <w:sz w:val="24"/>
        </w:rPr>
        <w:t>2）投诉书内容符合本办法的规定；</w:t>
      </w:r>
    </w:p>
    <w:p>
      <w:pPr>
        <w:adjustRightInd w:val="0"/>
        <w:snapToGrid w:val="0"/>
        <w:spacing w:line="400" w:lineRule="exact"/>
        <w:ind w:firstLine="480" w:firstLineChars="200"/>
        <w:jc w:val="left"/>
        <w:rPr>
          <w:rFonts w:ascii="宋体" w:hAnsi="宋体"/>
          <w:sz w:val="24"/>
        </w:rPr>
      </w:pPr>
      <w:r>
        <w:rPr>
          <w:rFonts w:hint="eastAsia" w:ascii="宋体" w:hAnsi="宋体"/>
          <w:sz w:val="24"/>
        </w:rPr>
        <w:t>3）在投诉有效期限内提起投诉；</w:t>
      </w:r>
    </w:p>
    <w:p>
      <w:pPr>
        <w:adjustRightInd w:val="0"/>
        <w:snapToGrid w:val="0"/>
        <w:spacing w:line="400" w:lineRule="exact"/>
        <w:ind w:firstLine="480" w:firstLineChars="200"/>
        <w:jc w:val="left"/>
        <w:rPr>
          <w:rFonts w:ascii="宋体" w:hAnsi="宋体"/>
          <w:sz w:val="24"/>
        </w:rPr>
      </w:pPr>
      <w:r>
        <w:rPr>
          <w:rFonts w:hint="eastAsia" w:ascii="宋体" w:hAnsi="宋体"/>
          <w:sz w:val="24"/>
        </w:rPr>
        <w:t>4）同一投诉事项未经财政部门投诉处理；</w:t>
      </w:r>
    </w:p>
    <w:p>
      <w:pPr>
        <w:adjustRightInd w:val="0"/>
        <w:snapToGrid w:val="0"/>
        <w:spacing w:line="400" w:lineRule="exact"/>
        <w:ind w:firstLine="480" w:firstLineChars="200"/>
        <w:jc w:val="left"/>
        <w:rPr>
          <w:rFonts w:ascii="宋体" w:hAnsi="宋体"/>
          <w:sz w:val="24"/>
        </w:rPr>
      </w:pPr>
      <w:r>
        <w:rPr>
          <w:rFonts w:hint="eastAsia" w:ascii="宋体" w:hAnsi="宋体"/>
          <w:sz w:val="24"/>
        </w:rPr>
        <w:t>5）财政部规定的其他条件。</w:t>
      </w:r>
    </w:p>
    <w:p>
      <w:pPr>
        <w:adjustRightInd w:val="0"/>
        <w:snapToGrid w:val="0"/>
        <w:spacing w:line="400" w:lineRule="exact"/>
        <w:ind w:firstLine="480" w:firstLineChars="200"/>
        <w:jc w:val="left"/>
        <w:rPr>
          <w:rFonts w:ascii="宋体" w:hAnsi="宋体"/>
          <w:sz w:val="24"/>
        </w:rPr>
      </w:pPr>
      <w:r>
        <w:rPr>
          <w:rFonts w:hint="eastAsia" w:ascii="宋体" w:hAnsi="宋体"/>
          <w:sz w:val="24"/>
        </w:rPr>
        <w:t>4.投诉人投诉时,应当提交投诉书和必要的证明材料，并按照被投诉采购人、采购代理机构和与投诉事项有关的供应商数量提供投诉书的副本。投诉书应当包括下列内容：</w:t>
      </w:r>
    </w:p>
    <w:p>
      <w:pPr>
        <w:adjustRightInd w:val="0"/>
        <w:snapToGrid w:val="0"/>
        <w:spacing w:line="400" w:lineRule="exact"/>
        <w:ind w:firstLine="480" w:firstLineChars="200"/>
        <w:jc w:val="left"/>
        <w:rPr>
          <w:rFonts w:ascii="宋体" w:hAnsi="宋体"/>
          <w:sz w:val="24"/>
        </w:rPr>
      </w:pPr>
      <w:r>
        <w:rPr>
          <w:rFonts w:hint="eastAsia" w:ascii="宋体" w:hAnsi="宋体"/>
          <w:sz w:val="24"/>
        </w:rPr>
        <w:t>1）投诉人和被投诉人的姓名或者名称、通讯地址、邮编、联系人及联系电话；</w:t>
      </w:r>
    </w:p>
    <w:p>
      <w:pPr>
        <w:adjustRightInd w:val="0"/>
        <w:snapToGrid w:val="0"/>
        <w:spacing w:line="400" w:lineRule="exact"/>
        <w:ind w:firstLine="480" w:firstLineChars="200"/>
        <w:jc w:val="left"/>
        <w:rPr>
          <w:rFonts w:ascii="宋体" w:hAnsi="宋体"/>
          <w:sz w:val="24"/>
        </w:rPr>
      </w:pPr>
      <w:r>
        <w:rPr>
          <w:rFonts w:hint="eastAsia" w:ascii="宋体" w:hAnsi="宋体"/>
          <w:sz w:val="24"/>
        </w:rPr>
        <w:t>2）质疑和质疑答复情况说明及相关证明材料；</w:t>
      </w:r>
    </w:p>
    <w:p>
      <w:pPr>
        <w:adjustRightInd w:val="0"/>
        <w:snapToGrid w:val="0"/>
        <w:spacing w:line="400" w:lineRule="exact"/>
        <w:ind w:firstLine="480" w:firstLineChars="200"/>
        <w:jc w:val="left"/>
        <w:rPr>
          <w:rFonts w:ascii="宋体" w:hAnsi="宋体"/>
          <w:sz w:val="24"/>
        </w:rPr>
      </w:pPr>
      <w:r>
        <w:rPr>
          <w:rFonts w:hint="eastAsia" w:ascii="宋体" w:hAnsi="宋体"/>
          <w:sz w:val="24"/>
        </w:rPr>
        <w:t>3）具体、明确的投诉事项和与投诉事项相关的投诉请求；</w:t>
      </w:r>
    </w:p>
    <w:p>
      <w:pPr>
        <w:adjustRightInd w:val="0"/>
        <w:snapToGrid w:val="0"/>
        <w:spacing w:line="400" w:lineRule="exact"/>
        <w:ind w:firstLine="480" w:firstLineChars="200"/>
        <w:jc w:val="left"/>
        <w:rPr>
          <w:rFonts w:ascii="宋体" w:hAnsi="宋体"/>
          <w:sz w:val="24"/>
        </w:rPr>
      </w:pPr>
      <w:r>
        <w:rPr>
          <w:rFonts w:hint="eastAsia" w:ascii="宋体" w:hAnsi="宋体"/>
          <w:sz w:val="24"/>
        </w:rPr>
        <w:t>4）事实依据；</w:t>
      </w:r>
    </w:p>
    <w:p>
      <w:pPr>
        <w:adjustRightInd w:val="0"/>
        <w:snapToGrid w:val="0"/>
        <w:spacing w:line="400" w:lineRule="exact"/>
        <w:ind w:firstLine="480" w:firstLineChars="200"/>
        <w:jc w:val="left"/>
        <w:rPr>
          <w:rFonts w:ascii="宋体" w:hAnsi="宋体"/>
          <w:sz w:val="24"/>
        </w:rPr>
      </w:pPr>
      <w:r>
        <w:rPr>
          <w:rFonts w:hint="eastAsia" w:ascii="宋体" w:hAnsi="宋体"/>
          <w:sz w:val="24"/>
        </w:rPr>
        <w:t>5）法律依据；</w:t>
      </w:r>
    </w:p>
    <w:p>
      <w:pPr>
        <w:adjustRightInd w:val="0"/>
        <w:snapToGrid w:val="0"/>
        <w:spacing w:line="400" w:lineRule="exact"/>
        <w:ind w:firstLine="480" w:firstLineChars="200"/>
        <w:jc w:val="left"/>
        <w:rPr>
          <w:rFonts w:ascii="宋体" w:hAnsi="宋体"/>
          <w:sz w:val="24"/>
        </w:rPr>
      </w:pPr>
      <w:r>
        <w:rPr>
          <w:rFonts w:hint="eastAsia" w:ascii="宋体" w:hAnsi="宋体"/>
          <w:sz w:val="24"/>
        </w:rPr>
        <w:t>6）提起投诉的日期。</w:t>
      </w:r>
    </w:p>
    <w:p>
      <w:pPr>
        <w:adjustRightInd w:val="0"/>
        <w:snapToGrid w:val="0"/>
        <w:spacing w:line="400" w:lineRule="exact"/>
        <w:ind w:firstLine="480" w:firstLineChars="200"/>
        <w:jc w:val="left"/>
        <w:rPr>
          <w:rFonts w:ascii="宋体" w:hAnsi="宋体"/>
          <w:sz w:val="24"/>
        </w:rPr>
      </w:pPr>
      <w:r>
        <w:rPr>
          <w:rFonts w:hint="eastAsia" w:ascii="宋体" w:hAnsi="宋体"/>
          <w:sz w:val="24"/>
        </w:rPr>
        <w:t>质疑供应商对采购人、采购代理机构的答复不满意，或者采购人、采购代理机构未在规定时间内作出答复的，可以在答复期满后15个工作日内向本办法第六条规定的财政部门提起投诉。</w:t>
      </w:r>
    </w:p>
    <w:p>
      <w:pPr>
        <w:adjustRightInd w:val="0"/>
        <w:snapToGrid w:val="0"/>
        <w:spacing w:line="400" w:lineRule="exact"/>
        <w:ind w:firstLine="480" w:firstLineChars="200"/>
        <w:jc w:val="left"/>
        <w:rPr>
          <w:rFonts w:ascii="宋体" w:hAnsi="宋体"/>
          <w:sz w:val="24"/>
        </w:rPr>
      </w:pPr>
      <w:r>
        <w:rPr>
          <w:rFonts w:hint="eastAsia" w:ascii="宋体" w:hAnsi="宋体"/>
          <w:sz w:val="24"/>
        </w:rPr>
        <w:t>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pPr>
        <w:adjustRightInd w:val="0"/>
        <w:snapToGrid w:val="0"/>
        <w:spacing w:line="400" w:lineRule="exact"/>
        <w:ind w:firstLine="480" w:firstLineChars="200"/>
        <w:jc w:val="left"/>
        <w:rPr>
          <w:rFonts w:ascii="宋体" w:hAnsi="宋体"/>
          <w:b/>
          <w:bCs/>
          <w:sz w:val="24"/>
        </w:rPr>
      </w:pPr>
      <w:r>
        <w:rPr>
          <w:rFonts w:hint="eastAsia" w:ascii="宋体" w:hAnsi="宋体"/>
          <w:sz w:val="24"/>
        </w:rPr>
        <w:t>5、质疑函模板参照浙江政府采购网下载专区下载。</w:t>
      </w:r>
    </w:p>
    <w:p>
      <w:pPr>
        <w:spacing w:line="400" w:lineRule="exact"/>
        <w:outlineLvl w:val="1"/>
        <w:rPr>
          <w:rFonts w:ascii="宋体" w:hAnsi="宋体"/>
          <w:b/>
          <w:bCs/>
          <w:sz w:val="24"/>
        </w:rPr>
      </w:pPr>
      <w:bookmarkStart w:id="178" w:name="_Toc22693"/>
      <w:r>
        <w:rPr>
          <w:rFonts w:hint="eastAsia" w:ascii="宋体" w:hAnsi="宋体"/>
          <w:b/>
          <w:bCs/>
          <w:sz w:val="24"/>
        </w:rPr>
        <w:t>二、招标文件</w:t>
      </w:r>
      <w:bookmarkEnd w:id="171"/>
      <w:bookmarkEnd w:id="172"/>
      <w:bookmarkEnd w:id="173"/>
      <w:bookmarkEnd w:id="174"/>
      <w:bookmarkEnd w:id="175"/>
      <w:bookmarkEnd w:id="176"/>
      <w:bookmarkEnd w:id="177"/>
      <w:bookmarkEnd w:id="178"/>
    </w:p>
    <w:p>
      <w:pPr>
        <w:adjustRightInd w:val="0"/>
        <w:snapToGrid w:val="0"/>
        <w:spacing w:line="400" w:lineRule="exact"/>
        <w:jc w:val="left"/>
        <w:rPr>
          <w:rFonts w:ascii="宋体" w:hAnsi="宋体"/>
          <w:b/>
          <w:sz w:val="24"/>
        </w:rPr>
      </w:pPr>
      <w:r>
        <w:rPr>
          <w:rFonts w:hint="eastAsia" w:ascii="宋体" w:hAnsi="宋体"/>
          <w:b/>
          <w:sz w:val="24"/>
        </w:rPr>
        <w:t>（一）招标文件的构成。本招标文件由以下部份组成：</w:t>
      </w:r>
    </w:p>
    <w:p>
      <w:pPr>
        <w:adjustRightInd w:val="0"/>
        <w:snapToGrid w:val="0"/>
        <w:spacing w:line="400" w:lineRule="exact"/>
        <w:ind w:firstLine="480" w:firstLineChars="200"/>
        <w:jc w:val="left"/>
        <w:rPr>
          <w:rFonts w:ascii="宋体" w:hAnsi="宋体"/>
          <w:sz w:val="24"/>
        </w:rPr>
      </w:pPr>
      <w:r>
        <w:rPr>
          <w:rFonts w:hint="eastAsia" w:ascii="宋体" w:hAnsi="宋体"/>
          <w:sz w:val="24"/>
        </w:rPr>
        <w:t>1、招标公告；</w:t>
      </w:r>
    </w:p>
    <w:p>
      <w:pPr>
        <w:adjustRightInd w:val="0"/>
        <w:snapToGrid w:val="0"/>
        <w:spacing w:line="400" w:lineRule="exact"/>
        <w:ind w:firstLine="480" w:firstLineChars="200"/>
        <w:jc w:val="left"/>
        <w:rPr>
          <w:rFonts w:ascii="宋体" w:hAnsi="宋体"/>
          <w:sz w:val="24"/>
        </w:rPr>
      </w:pPr>
      <w:r>
        <w:rPr>
          <w:rFonts w:hint="eastAsia" w:ascii="宋体" w:hAnsi="宋体"/>
          <w:sz w:val="24"/>
        </w:rPr>
        <w:t>2、招标需求；</w:t>
      </w:r>
    </w:p>
    <w:p>
      <w:pPr>
        <w:adjustRightInd w:val="0"/>
        <w:snapToGrid w:val="0"/>
        <w:spacing w:line="400" w:lineRule="exact"/>
        <w:ind w:firstLine="480" w:firstLineChars="200"/>
        <w:jc w:val="left"/>
        <w:rPr>
          <w:rFonts w:ascii="宋体" w:hAnsi="宋体"/>
          <w:sz w:val="24"/>
        </w:rPr>
      </w:pPr>
      <w:r>
        <w:rPr>
          <w:rFonts w:hint="eastAsia" w:ascii="宋体" w:hAnsi="宋体"/>
          <w:sz w:val="24"/>
        </w:rPr>
        <w:t>3、投标人须知；</w:t>
      </w:r>
    </w:p>
    <w:p>
      <w:pPr>
        <w:adjustRightInd w:val="0"/>
        <w:snapToGrid w:val="0"/>
        <w:spacing w:line="400" w:lineRule="exact"/>
        <w:ind w:firstLine="480" w:firstLineChars="200"/>
        <w:jc w:val="left"/>
        <w:rPr>
          <w:rFonts w:ascii="宋体" w:hAnsi="宋体"/>
          <w:sz w:val="24"/>
        </w:rPr>
      </w:pPr>
      <w:r>
        <w:rPr>
          <w:rFonts w:hint="eastAsia" w:ascii="宋体" w:hAnsi="宋体"/>
          <w:sz w:val="24"/>
        </w:rPr>
        <w:t>4、评标办法及标准；</w:t>
      </w:r>
    </w:p>
    <w:p>
      <w:pPr>
        <w:adjustRightInd w:val="0"/>
        <w:snapToGrid w:val="0"/>
        <w:spacing w:line="400" w:lineRule="exact"/>
        <w:ind w:firstLine="480" w:firstLineChars="200"/>
        <w:jc w:val="left"/>
        <w:rPr>
          <w:rFonts w:ascii="宋体" w:hAnsi="宋体"/>
          <w:sz w:val="24"/>
        </w:rPr>
      </w:pPr>
      <w:r>
        <w:rPr>
          <w:rFonts w:hint="eastAsia" w:ascii="宋体" w:hAnsi="宋体"/>
          <w:sz w:val="24"/>
        </w:rPr>
        <w:t>5、合同主要条款；</w:t>
      </w:r>
    </w:p>
    <w:p>
      <w:pPr>
        <w:adjustRightInd w:val="0"/>
        <w:snapToGrid w:val="0"/>
        <w:spacing w:line="400" w:lineRule="exact"/>
        <w:ind w:firstLine="480" w:firstLineChars="200"/>
        <w:jc w:val="left"/>
        <w:rPr>
          <w:rFonts w:ascii="宋体" w:hAnsi="宋体"/>
          <w:sz w:val="24"/>
        </w:rPr>
      </w:pPr>
      <w:r>
        <w:rPr>
          <w:rFonts w:hint="eastAsia" w:ascii="宋体" w:hAnsi="宋体"/>
          <w:sz w:val="24"/>
        </w:rPr>
        <w:t xml:space="preserve">6、投标文件格式； </w:t>
      </w:r>
    </w:p>
    <w:p>
      <w:pPr>
        <w:adjustRightInd w:val="0"/>
        <w:snapToGrid w:val="0"/>
        <w:spacing w:line="400" w:lineRule="exact"/>
        <w:ind w:firstLine="480" w:firstLineChars="200"/>
        <w:jc w:val="left"/>
        <w:rPr>
          <w:rFonts w:ascii="宋体" w:hAnsi="宋体"/>
          <w:sz w:val="24"/>
        </w:rPr>
      </w:pPr>
      <w:r>
        <w:rPr>
          <w:rFonts w:hint="eastAsia" w:ascii="宋体" w:hAnsi="宋体"/>
          <w:sz w:val="24"/>
        </w:rPr>
        <w:t>7、本项目招标文件的澄清、答复、修改、补充的内容。</w:t>
      </w:r>
    </w:p>
    <w:p>
      <w:pPr>
        <w:adjustRightInd w:val="0"/>
        <w:snapToGrid w:val="0"/>
        <w:spacing w:line="400" w:lineRule="exact"/>
        <w:jc w:val="left"/>
        <w:rPr>
          <w:rFonts w:ascii="宋体" w:hAnsi="宋体"/>
          <w:b/>
          <w:sz w:val="24"/>
        </w:rPr>
      </w:pPr>
      <w:r>
        <w:rPr>
          <w:rFonts w:hint="eastAsia" w:ascii="宋体" w:hAnsi="宋体"/>
          <w:b/>
          <w:sz w:val="24"/>
        </w:rPr>
        <w:t>（二）投标人的风险</w:t>
      </w:r>
    </w:p>
    <w:p>
      <w:pPr>
        <w:adjustRightInd w:val="0"/>
        <w:snapToGrid w:val="0"/>
        <w:spacing w:line="400" w:lineRule="exact"/>
        <w:ind w:firstLine="480" w:firstLineChars="200"/>
        <w:jc w:val="left"/>
        <w:rPr>
          <w:rFonts w:ascii="宋体" w:hAnsi="宋体"/>
          <w:sz w:val="24"/>
        </w:rPr>
      </w:pPr>
      <w:r>
        <w:rPr>
          <w:rFonts w:hint="eastAsia" w:ascii="宋体" w:hAnsi="宋体"/>
          <w:sz w:val="24"/>
        </w:rPr>
        <w:t>投标人没有按照招标文件要求提供全部资料，或者投标人没有对招标文件在各方面作出实质性响应是投标人的风险，并可能导致其投标被拒绝。</w:t>
      </w:r>
    </w:p>
    <w:p>
      <w:pPr>
        <w:pStyle w:val="14"/>
        <w:widowControl w:val="0"/>
        <w:adjustRightInd w:val="0"/>
        <w:snapToGrid w:val="0"/>
        <w:spacing w:afterLines="0" w:line="400" w:lineRule="exact"/>
        <w:ind w:left="0" w:firstLine="0"/>
        <w:rPr>
          <w:rFonts w:ascii="宋体" w:hAnsi="宋体"/>
          <w:b/>
          <w:szCs w:val="24"/>
        </w:rPr>
      </w:pPr>
      <w:r>
        <w:rPr>
          <w:rFonts w:hint="eastAsia" w:ascii="宋体" w:hAnsi="宋体"/>
          <w:b/>
          <w:szCs w:val="24"/>
        </w:rPr>
        <w:t xml:space="preserve">（三）招标文件的澄清与修改 </w:t>
      </w:r>
    </w:p>
    <w:p>
      <w:pPr>
        <w:spacing w:line="400" w:lineRule="exact"/>
        <w:ind w:firstLine="480" w:firstLineChars="200"/>
        <w:outlineLvl w:val="1"/>
        <w:rPr>
          <w:rFonts w:ascii="宋体" w:hAnsi="宋体"/>
          <w:sz w:val="24"/>
        </w:rPr>
      </w:pPr>
      <w:bookmarkStart w:id="179" w:name="_Toc11404"/>
      <w:bookmarkStart w:id="180" w:name="_Toc6325"/>
      <w:bookmarkStart w:id="181" w:name="_Toc177870545"/>
      <w:bookmarkStart w:id="182" w:name="_Toc293916367"/>
      <w:bookmarkStart w:id="183" w:name="_Toc424544535"/>
      <w:bookmarkStart w:id="184" w:name="_Toc293917019"/>
      <w:bookmarkStart w:id="185" w:name="_Toc293916875"/>
      <w:bookmarkStart w:id="186" w:name="_Toc424544814"/>
      <w:bookmarkStart w:id="187" w:name="_Toc293916016"/>
      <w:r>
        <w:rPr>
          <w:rFonts w:hint="eastAsia" w:ascii="宋体" w:hAnsi="宋体"/>
          <w:sz w:val="24"/>
        </w:rPr>
        <w:t>1. 供应商对采购文件有异议的，应当在</w:t>
      </w:r>
      <w:r>
        <w:rPr>
          <w:rFonts w:hint="eastAsia" w:ascii="宋体" w:hAnsi="宋体"/>
          <w:sz w:val="24"/>
          <w:u w:val="single"/>
        </w:rPr>
        <w:t>2020年</w:t>
      </w:r>
      <w:r>
        <w:rPr>
          <w:rFonts w:hint="eastAsia" w:ascii="宋体" w:hAnsi="宋体"/>
          <w:sz w:val="24"/>
          <w:u w:val="single"/>
          <w:lang w:val="en-US" w:eastAsia="zh-CN"/>
        </w:rPr>
        <w:t>8</w:t>
      </w:r>
      <w:r>
        <w:rPr>
          <w:rFonts w:hint="eastAsia" w:ascii="宋体" w:hAnsi="宋体"/>
          <w:sz w:val="24"/>
          <w:u w:val="single"/>
        </w:rPr>
        <w:t>月</w:t>
      </w:r>
      <w:r>
        <w:rPr>
          <w:rFonts w:hint="eastAsia" w:ascii="宋体" w:hAnsi="宋体"/>
          <w:sz w:val="24"/>
          <w:u w:val="single"/>
          <w:lang w:val="en-US" w:eastAsia="zh-CN"/>
        </w:rPr>
        <w:t>13</w:t>
      </w:r>
      <w:r>
        <w:rPr>
          <w:rFonts w:hint="eastAsia" w:ascii="宋体" w:hAnsi="宋体"/>
          <w:sz w:val="24"/>
          <w:u w:val="single"/>
        </w:rPr>
        <w:t>日</w:t>
      </w:r>
      <w:r>
        <w:rPr>
          <w:rFonts w:hint="eastAsia" w:ascii="宋体" w:hAnsi="宋体"/>
          <w:sz w:val="24"/>
        </w:rPr>
        <w:t>下午17:00前以书面（含传真）形式向采购代理机构一次性提出，采购单位将在规定的时间内统一进行澄清和修改，并书面（含传真）通知所有认购采购文件的供应商。供应商未按规定要求提出的，则视同认可采购文件，但法律法规及规范性文件有明确规定的除外。采购代理机构对已发出的采购文件进行必要澄清、答复、修改或补充的，应当在采购文件要求提交投标文件截止时间15日前；采购代理机构对已发出的采购文件进行必要澄清、答复、修改或补充时间距离提交投标文件截止时间不足15日时，投标截止时间将顺延至少15日，并在浙江政府采购网上发布更正公告，同时以书面形式通知所有采购文件收受人。</w:t>
      </w:r>
      <w:bookmarkEnd w:id="179"/>
      <w:bookmarkEnd w:id="180"/>
    </w:p>
    <w:p>
      <w:pPr>
        <w:spacing w:line="400" w:lineRule="exact"/>
        <w:ind w:firstLine="480" w:firstLineChars="200"/>
        <w:outlineLvl w:val="1"/>
        <w:rPr>
          <w:rFonts w:ascii="宋体" w:hAnsi="宋体"/>
          <w:sz w:val="24"/>
        </w:rPr>
      </w:pPr>
      <w:bookmarkStart w:id="188" w:name="_Toc24540"/>
      <w:bookmarkStart w:id="189" w:name="_Toc28961"/>
      <w:r>
        <w:rPr>
          <w:rFonts w:hint="eastAsia" w:ascii="宋体" w:hAnsi="宋体"/>
          <w:sz w:val="24"/>
        </w:rPr>
        <w:t>2.采购人必须以书面形式答复投标供应商要求澄清的问题，并将不包含问题来源的答复书面通知所有购买采购文件的投标供应商；除书面答复以外的其他澄清方式及澄清内容均无效。</w:t>
      </w:r>
      <w:bookmarkEnd w:id="188"/>
      <w:bookmarkEnd w:id="189"/>
    </w:p>
    <w:p>
      <w:pPr>
        <w:spacing w:line="400" w:lineRule="exact"/>
        <w:ind w:firstLine="480" w:firstLineChars="200"/>
        <w:outlineLvl w:val="1"/>
        <w:rPr>
          <w:rFonts w:ascii="宋体" w:hAnsi="宋体"/>
          <w:sz w:val="24"/>
        </w:rPr>
      </w:pPr>
      <w:bookmarkStart w:id="190" w:name="_Toc4879"/>
      <w:bookmarkStart w:id="191" w:name="_Toc31141"/>
      <w:r>
        <w:rPr>
          <w:rFonts w:hint="eastAsia" w:ascii="宋体" w:hAnsi="宋体"/>
          <w:sz w:val="24"/>
        </w:rPr>
        <w:t>3.采购文件澄清、答复、修改、补充的内容为采购文件的组成部分。当采购文件与采购文件的答复、澄清、修改、补充通知就同一内容的表述不一致时，以最后发出的书面文件为准。</w:t>
      </w:r>
      <w:bookmarkEnd w:id="190"/>
      <w:bookmarkEnd w:id="191"/>
    </w:p>
    <w:p>
      <w:pPr>
        <w:spacing w:line="400" w:lineRule="exact"/>
        <w:ind w:firstLine="480" w:firstLineChars="200"/>
        <w:outlineLvl w:val="1"/>
        <w:rPr>
          <w:rFonts w:ascii="宋体" w:hAnsi="宋体"/>
          <w:sz w:val="24"/>
        </w:rPr>
      </w:pPr>
      <w:bookmarkStart w:id="192" w:name="_Toc15936"/>
      <w:bookmarkStart w:id="193" w:name="_Toc17262"/>
      <w:r>
        <w:rPr>
          <w:rFonts w:hint="eastAsia" w:ascii="宋体" w:hAnsi="宋体"/>
          <w:sz w:val="24"/>
        </w:rPr>
        <w:t>4.采购文件的澄清、答复、修改或补充都应该通过代理机构以法定形式发布，采购人非通过代理机构，不得擅自澄清、答复、修改或补充采购文件。</w:t>
      </w:r>
      <w:bookmarkEnd w:id="192"/>
      <w:bookmarkEnd w:id="193"/>
    </w:p>
    <w:p>
      <w:pPr>
        <w:spacing w:line="400" w:lineRule="exact"/>
        <w:outlineLvl w:val="1"/>
        <w:rPr>
          <w:rFonts w:ascii="宋体" w:hAnsi="宋体"/>
          <w:b/>
          <w:bCs/>
          <w:sz w:val="24"/>
        </w:rPr>
      </w:pPr>
      <w:bookmarkStart w:id="194" w:name="_Toc26778"/>
      <w:r>
        <w:rPr>
          <w:rFonts w:hint="eastAsia" w:ascii="宋体" w:hAnsi="宋体"/>
          <w:b/>
          <w:bCs/>
          <w:sz w:val="24"/>
        </w:rPr>
        <w:t>三、投标文件</w:t>
      </w:r>
      <w:bookmarkEnd w:id="181"/>
      <w:r>
        <w:rPr>
          <w:rFonts w:hint="eastAsia" w:ascii="宋体" w:hAnsi="宋体"/>
          <w:b/>
          <w:bCs/>
          <w:sz w:val="24"/>
        </w:rPr>
        <w:t>的编制</w:t>
      </w:r>
      <w:bookmarkEnd w:id="182"/>
      <w:bookmarkEnd w:id="183"/>
      <w:bookmarkEnd w:id="184"/>
      <w:bookmarkEnd w:id="185"/>
      <w:bookmarkEnd w:id="186"/>
      <w:bookmarkEnd w:id="187"/>
      <w:bookmarkEnd w:id="194"/>
    </w:p>
    <w:p>
      <w:pPr>
        <w:spacing w:line="400" w:lineRule="exact"/>
        <w:outlineLvl w:val="1"/>
        <w:rPr>
          <w:rFonts w:ascii="宋体" w:hAnsi="宋体"/>
          <w:sz w:val="24"/>
        </w:rPr>
      </w:pPr>
      <w:bookmarkStart w:id="195" w:name="_Toc13465"/>
      <w:bookmarkStart w:id="196" w:name="_Toc22953"/>
      <w:r>
        <w:rPr>
          <w:rFonts w:hint="eastAsia" w:ascii="宋体" w:hAnsi="宋体"/>
          <w:sz w:val="24"/>
        </w:rPr>
        <w:t>（一）投标文件的形式和效力：</w:t>
      </w:r>
      <w:bookmarkEnd w:id="195"/>
      <w:bookmarkEnd w:id="196"/>
    </w:p>
    <w:p>
      <w:pPr>
        <w:spacing w:line="400" w:lineRule="exact"/>
        <w:outlineLvl w:val="1"/>
        <w:rPr>
          <w:rFonts w:ascii="宋体" w:hAnsi="宋体"/>
          <w:sz w:val="24"/>
        </w:rPr>
      </w:pPr>
      <w:bookmarkStart w:id="197" w:name="_Toc6776"/>
      <w:bookmarkStart w:id="198" w:name="_Toc22127"/>
      <w:r>
        <w:rPr>
          <w:rFonts w:hint="eastAsia" w:ascii="宋体" w:hAnsi="宋体"/>
          <w:sz w:val="24"/>
        </w:rPr>
        <w:t>1.投标文件的形式</w:t>
      </w:r>
      <w:bookmarkEnd w:id="197"/>
      <w:bookmarkEnd w:id="198"/>
    </w:p>
    <w:p>
      <w:pPr>
        <w:spacing w:line="400" w:lineRule="exact"/>
        <w:ind w:firstLine="480" w:firstLineChars="200"/>
        <w:outlineLvl w:val="1"/>
        <w:rPr>
          <w:rFonts w:ascii="宋体" w:hAnsi="宋体"/>
          <w:sz w:val="24"/>
        </w:rPr>
      </w:pPr>
      <w:bookmarkStart w:id="199" w:name="_Toc15112"/>
      <w:bookmarkStart w:id="200" w:name="_Toc27277"/>
      <w:r>
        <w:rPr>
          <w:rFonts w:hint="eastAsia" w:ascii="宋体" w:hAnsi="宋体"/>
          <w:sz w:val="24"/>
        </w:rPr>
        <w:t>（1）电子投标文件：按政采云平台项目采购-电子交易操作指南及本采购文件要求制</w:t>
      </w:r>
      <w:bookmarkEnd w:id="199"/>
      <w:bookmarkEnd w:id="200"/>
    </w:p>
    <w:p>
      <w:pPr>
        <w:spacing w:line="400" w:lineRule="exact"/>
        <w:outlineLvl w:val="1"/>
        <w:rPr>
          <w:rFonts w:ascii="宋体" w:hAnsi="宋体"/>
          <w:sz w:val="24"/>
        </w:rPr>
      </w:pPr>
      <w:bookmarkStart w:id="201" w:name="_Toc5003"/>
      <w:bookmarkStart w:id="202" w:name="_Toc32128"/>
      <w:r>
        <w:rPr>
          <w:rFonts w:hint="eastAsia" w:ascii="宋体" w:hAnsi="宋体"/>
          <w:sz w:val="24"/>
        </w:rPr>
        <w:t>作、加密并递交，供应商电子交易操作指南详见网址：</w:t>
      </w:r>
      <w:bookmarkEnd w:id="201"/>
      <w:bookmarkEnd w:id="202"/>
    </w:p>
    <w:p>
      <w:pPr>
        <w:spacing w:line="400" w:lineRule="exact"/>
        <w:outlineLvl w:val="1"/>
        <w:rPr>
          <w:rFonts w:ascii="宋体" w:hAnsi="宋体"/>
          <w:sz w:val="24"/>
        </w:rPr>
      </w:pPr>
      <w:bookmarkStart w:id="203" w:name="_Toc25139"/>
      <w:bookmarkStart w:id="204" w:name="_Toc29145"/>
      <w:r>
        <w:rPr>
          <w:rFonts w:hint="eastAsia" w:ascii="宋体" w:hAnsi="宋体"/>
          <w:sz w:val="24"/>
        </w:rPr>
        <w:t>https://help.zcygov.cn/web/site_2/2018/12-28/2573.html）。</w:t>
      </w:r>
      <w:bookmarkEnd w:id="203"/>
      <w:bookmarkEnd w:id="204"/>
    </w:p>
    <w:p>
      <w:pPr>
        <w:spacing w:line="400" w:lineRule="exact"/>
        <w:ind w:firstLine="480" w:firstLineChars="200"/>
        <w:outlineLvl w:val="1"/>
        <w:rPr>
          <w:rFonts w:ascii="宋体" w:hAnsi="宋体"/>
          <w:sz w:val="24"/>
        </w:rPr>
      </w:pPr>
      <w:bookmarkStart w:id="205" w:name="_Toc31014"/>
      <w:bookmarkStart w:id="206" w:name="_Toc7194"/>
      <w:r>
        <w:rPr>
          <w:rFonts w:hint="eastAsia" w:ascii="宋体" w:hAnsi="宋体"/>
          <w:sz w:val="24"/>
        </w:rPr>
        <w:t>（2）备份投标文件（U 盘）：以 U 盘形式提供的数据电子备份投标文件格式及内容须与政采云平台项目采购-电子交易操作指南中制作、加密并递交的电子投标文件格式及内容一致。</w:t>
      </w:r>
      <w:bookmarkEnd w:id="205"/>
      <w:bookmarkEnd w:id="206"/>
    </w:p>
    <w:p>
      <w:pPr>
        <w:spacing w:line="400" w:lineRule="exact"/>
        <w:outlineLvl w:val="1"/>
        <w:rPr>
          <w:rFonts w:ascii="宋体" w:hAnsi="宋体"/>
          <w:sz w:val="24"/>
        </w:rPr>
      </w:pPr>
      <w:bookmarkStart w:id="207" w:name="_Toc6089"/>
      <w:bookmarkStart w:id="208" w:name="_Toc19480"/>
      <w:r>
        <w:rPr>
          <w:rFonts w:hint="eastAsia" w:ascii="宋体" w:hAnsi="宋体"/>
          <w:sz w:val="24"/>
        </w:rPr>
        <w:t>2.投标文件的效力</w:t>
      </w:r>
      <w:bookmarkEnd w:id="207"/>
      <w:bookmarkEnd w:id="208"/>
    </w:p>
    <w:p>
      <w:pPr>
        <w:spacing w:line="400" w:lineRule="exact"/>
        <w:ind w:firstLine="480" w:firstLineChars="200"/>
        <w:outlineLvl w:val="1"/>
        <w:rPr>
          <w:rFonts w:ascii="宋体" w:hAnsi="宋体"/>
          <w:sz w:val="24"/>
        </w:rPr>
      </w:pPr>
      <w:bookmarkStart w:id="209" w:name="_Toc6038"/>
      <w:bookmarkStart w:id="210" w:name="_Toc5911"/>
      <w:r>
        <w:rPr>
          <w:rFonts w:hint="eastAsia" w:ascii="宋体" w:hAnsi="宋体"/>
          <w:sz w:val="24"/>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供应商仅提交“备份投标文件”的，投标无效。</w:t>
      </w:r>
      <w:bookmarkEnd w:id="209"/>
      <w:bookmarkEnd w:id="210"/>
    </w:p>
    <w:p>
      <w:pPr>
        <w:spacing w:line="400" w:lineRule="exact"/>
        <w:ind w:firstLine="480" w:firstLineChars="200"/>
        <w:outlineLvl w:val="1"/>
        <w:rPr>
          <w:rFonts w:ascii="宋体" w:hAnsi="宋体"/>
          <w:b/>
          <w:sz w:val="24"/>
        </w:rPr>
      </w:pPr>
      <w:r>
        <w:rPr>
          <w:rFonts w:hint="eastAsia" w:ascii="宋体" w:hAnsi="宋体"/>
          <w:b/>
          <w:sz w:val="24"/>
        </w:rPr>
        <w:t>为保障解密成功，建议参加开标会议的供应商携带笔记本电脑及CA数字证书至开标现场完成传输、解密等事宜（交易中心不提供无线网络，请供应商自行解决上网问题）。</w:t>
      </w:r>
    </w:p>
    <w:p>
      <w:pPr>
        <w:adjustRightInd w:val="0"/>
        <w:snapToGrid w:val="0"/>
        <w:spacing w:line="400" w:lineRule="exact"/>
        <w:jc w:val="left"/>
        <w:rPr>
          <w:rFonts w:ascii="宋体" w:hAnsi="宋体"/>
          <w:b/>
          <w:sz w:val="24"/>
        </w:rPr>
      </w:pPr>
      <w:bookmarkStart w:id="211" w:name="_Toc177870546"/>
      <w:bookmarkStart w:id="212" w:name="_Toc177825124"/>
      <w:bookmarkStart w:id="213" w:name="_Toc177824943"/>
      <w:bookmarkStart w:id="214" w:name="_Toc177824876"/>
      <w:bookmarkStart w:id="215" w:name="_Toc293916368"/>
      <w:bookmarkStart w:id="216" w:name="_Toc293916017"/>
      <w:r>
        <w:rPr>
          <w:rFonts w:hint="eastAsia" w:ascii="宋体" w:hAnsi="宋体"/>
          <w:b/>
          <w:sz w:val="24"/>
        </w:rPr>
        <w:t>（</w:t>
      </w:r>
      <w:r>
        <w:rPr>
          <w:rFonts w:hint="eastAsia" w:ascii="宋体" w:hAnsi="宋体"/>
          <w:sz w:val="24"/>
        </w:rPr>
        <w:t>二</w:t>
      </w:r>
      <w:r>
        <w:rPr>
          <w:rFonts w:hint="eastAsia" w:ascii="宋体" w:hAnsi="宋体"/>
          <w:b/>
          <w:sz w:val="24"/>
        </w:rPr>
        <w:t>）投标文件的组成</w:t>
      </w:r>
      <w:bookmarkEnd w:id="211"/>
      <w:bookmarkEnd w:id="212"/>
      <w:bookmarkEnd w:id="213"/>
      <w:bookmarkEnd w:id="214"/>
      <w:bookmarkEnd w:id="215"/>
      <w:bookmarkEnd w:id="216"/>
    </w:p>
    <w:p>
      <w:pPr>
        <w:adjustRightInd w:val="0"/>
        <w:snapToGrid w:val="0"/>
        <w:spacing w:line="400" w:lineRule="exact"/>
        <w:jc w:val="left"/>
        <w:rPr>
          <w:rFonts w:ascii="宋体" w:hAnsi="宋体"/>
          <w:b/>
          <w:sz w:val="24"/>
          <w:u w:val="single"/>
        </w:rPr>
      </w:pPr>
      <w:r>
        <w:rPr>
          <w:rFonts w:hint="eastAsia" w:ascii="宋体" w:hAnsi="宋体"/>
          <w:sz w:val="24"/>
        </w:rPr>
        <w:t>投标文件由《资格文件》、《技术、商务、资信及其他文件》、《报价文件》三部份组成。</w:t>
      </w:r>
    </w:p>
    <w:p>
      <w:pPr>
        <w:adjustRightInd w:val="0"/>
        <w:snapToGrid w:val="0"/>
        <w:spacing w:line="400" w:lineRule="exact"/>
        <w:ind w:firstLine="480" w:firstLineChars="200"/>
        <w:jc w:val="left"/>
        <w:rPr>
          <w:rFonts w:ascii="宋体" w:hAnsi="宋体"/>
          <w:sz w:val="24"/>
        </w:rPr>
      </w:pPr>
      <w:bookmarkStart w:id="217" w:name="_Toc177824944"/>
      <w:bookmarkStart w:id="218" w:name="_Toc177825125"/>
      <w:bookmarkStart w:id="219" w:name="_Toc177824877"/>
      <w:bookmarkStart w:id="220" w:name="_Toc177870547"/>
      <w:r>
        <w:rPr>
          <w:rFonts w:hint="eastAsia" w:ascii="宋体" w:hAnsi="宋体"/>
          <w:sz w:val="24"/>
        </w:rPr>
        <w:t>一、资格文件：</w:t>
      </w:r>
    </w:p>
    <w:p>
      <w:pPr>
        <w:adjustRightInd w:val="0"/>
        <w:snapToGrid w:val="0"/>
        <w:spacing w:line="400" w:lineRule="exact"/>
        <w:ind w:firstLine="480" w:firstLineChars="200"/>
        <w:jc w:val="left"/>
        <w:rPr>
          <w:rFonts w:ascii="宋体" w:hAnsi="宋体"/>
          <w:sz w:val="24"/>
        </w:rPr>
      </w:pPr>
      <w:r>
        <w:rPr>
          <w:rFonts w:hint="eastAsia" w:ascii="宋体" w:hAnsi="宋体"/>
          <w:sz w:val="24"/>
        </w:rPr>
        <w:t>1、法定代表人身份证明书或法定代表人授权委托书；</w:t>
      </w:r>
    </w:p>
    <w:p>
      <w:pPr>
        <w:adjustRightInd w:val="0"/>
        <w:snapToGrid w:val="0"/>
        <w:spacing w:line="400" w:lineRule="exact"/>
        <w:ind w:firstLine="480" w:firstLineChars="200"/>
        <w:jc w:val="left"/>
        <w:rPr>
          <w:rFonts w:ascii="宋体" w:hAnsi="宋体"/>
          <w:sz w:val="24"/>
        </w:rPr>
      </w:pPr>
      <w:r>
        <w:rPr>
          <w:rFonts w:hint="eastAsia" w:ascii="宋体" w:hAnsi="宋体"/>
          <w:sz w:val="24"/>
        </w:rPr>
        <w:t>2、有效的企业营业执照、税务登记证；或“三证合一”的营业执照；或“五证合一”的营业执照；</w:t>
      </w:r>
    </w:p>
    <w:p>
      <w:pPr>
        <w:adjustRightInd w:val="0"/>
        <w:snapToGrid w:val="0"/>
        <w:spacing w:line="400" w:lineRule="exact"/>
        <w:ind w:firstLine="480" w:firstLineChars="200"/>
        <w:jc w:val="left"/>
        <w:rPr>
          <w:rFonts w:ascii="宋体" w:hAnsi="宋体"/>
          <w:sz w:val="24"/>
        </w:rPr>
      </w:pPr>
      <w:r>
        <w:rPr>
          <w:rFonts w:hint="eastAsia" w:ascii="宋体" w:hAnsi="宋体"/>
          <w:sz w:val="24"/>
        </w:rPr>
        <w:t>3、资质证书；</w:t>
      </w:r>
    </w:p>
    <w:p>
      <w:pPr>
        <w:adjustRightInd w:val="0"/>
        <w:snapToGrid w:val="0"/>
        <w:spacing w:line="400" w:lineRule="exact"/>
        <w:ind w:firstLine="480" w:firstLineChars="200"/>
        <w:jc w:val="left"/>
        <w:rPr>
          <w:rFonts w:ascii="宋体" w:hAnsi="宋体"/>
          <w:sz w:val="24"/>
        </w:rPr>
      </w:pPr>
      <w:r>
        <w:rPr>
          <w:rFonts w:hint="eastAsia" w:ascii="宋体" w:hAnsi="宋体"/>
          <w:sz w:val="24"/>
        </w:rPr>
        <w:t>4、投标人最近一个季度依法缴纳税收和社保费的证明[税费凭证复印件，或者依法缴纳税费或依法免缴税费的证明]；</w:t>
      </w:r>
    </w:p>
    <w:p>
      <w:pPr>
        <w:adjustRightInd w:val="0"/>
        <w:snapToGrid w:val="0"/>
        <w:spacing w:line="400" w:lineRule="exact"/>
        <w:ind w:firstLine="480" w:firstLineChars="200"/>
        <w:jc w:val="left"/>
        <w:rPr>
          <w:rFonts w:ascii="宋体" w:hAnsi="宋体"/>
          <w:sz w:val="24"/>
        </w:rPr>
      </w:pPr>
      <w:r>
        <w:rPr>
          <w:rFonts w:hint="eastAsia" w:ascii="宋体" w:hAnsi="宋体"/>
          <w:sz w:val="24"/>
        </w:rPr>
        <w:t>5、提供自招标公告发布之后任意时间的“信用中国”（www.creditchina.gov.cn ）、中国政府采购（www.ccgp.gov.cn ）投标人信用查询网页截图（二者缺一不可）；</w:t>
      </w:r>
    </w:p>
    <w:p>
      <w:pPr>
        <w:adjustRightInd w:val="0"/>
        <w:snapToGrid w:val="0"/>
        <w:spacing w:line="400" w:lineRule="exact"/>
        <w:ind w:firstLine="480" w:firstLineChars="200"/>
        <w:jc w:val="left"/>
        <w:rPr>
          <w:rFonts w:ascii="宋体" w:hAnsi="宋体"/>
          <w:sz w:val="24"/>
        </w:rPr>
      </w:pPr>
      <w:r>
        <w:rPr>
          <w:rFonts w:hint="eastAsia" w:ascii="宋体" w:hAnsi="宋体"/>
          <w:sz w:val="24"/>
        </w:rPr>
        <w:t>6、投标声明书；</w:t>
      </w:r>
    </w:p>
    <w:p>
      <w:pPr>
        <w:adjustRightInd w:val="0"/>
        <w:snapToGrid w:val="0"/>
        <w:spacing w:line="400" w:lineRule="exact"/>
        <w:ind w:firstLine="480" w:firstLineChars="200"/>
        <w:jc w:val="left"/>
        <w:rPr>
          <w:rFonts w:ascii="宋体" w:hAnsi="宋体"/>
          <w:sz w:val="24"/>
        </w:rPr>
      </w:pPr>
      <w:r>
        <w:rPr>
          <w:rFonts w:hint="eastAsia" w:ascii="宋体" w:hAnsi="宋体"/>
          <w:sz w:val="24"/>
        </w:rPr>
        <w:t>7、信用承诺书。</w:t>
      </w:r>
    </w:p>
    <w:p>
      <w:pPr>
        <w:adjustRightInd w:val="0"/>
        <w:snapToGrid w:val="0"/>
        <w:spacing w:line="400" w:lineRule="exact"/>
        <w:ind w:firstLine="480" w:firstLineChars="200"/>
        <w:jc w:val="left"/>
        <w:rPr>
          <w:rFonts w:ascii="宋体" w:hAnsi="宋体"/>
          <w:sz w:val="24"/>
        </w:rPr>
      </w:pPr>
      <w:r>
        <w:rPr>
          <w:rFonts w:hint="eastAsia" w:ascii="宋体" w:hAnsi="宋体"/>
          <w:sz w:val="24"/>
        </w:rPr>
        <w:t>二、技术、商务、资信文件：</w:t>
      </w:r>
    </w:p>
    <w:p>
      <w:pPr>
        <w:adjustRightInd w:val="0"/>
        <w:snapToGrid w:val="0"/>
        <w:spacing w:line="400" w:lineRule="exact"/>
        <w:ind w:firstLine="480" w:firstLineChars="200"/>
        <w:jc w:val="left"/>
        <w:rPr>
          <w:rFonts w:ascii="宋体" w:hAnsi="宋体"/>
          <w:sz w:val="24"/>
        </w:rPr>
      </w:pPr>
      <w:r>
        <w:rPr>
          <w:rFonts w:hint="eastAsia" w:ascii="宋体" w:hAnsi="宋体"/>
          <w:sz w:val="24"/>
        </w:rPr>
        <w:t>1、自评分表（格式自拟）；</w:t>
      </w:r>
    </w:p>
    <w:p>
      <w:pPr>
        <w:adjustRightInd w:val="0"/>
        <w:snapToGrid w:val="0"/>
        <w:spacing w:line="400" w:lineRule="exact"/>
        <w:ind w:firstLine="480" w:firstLineChars="200"/>
        <w:jc w:val="left"/>
        <w:rPr>
          <w:rFonts w:ascii="宋体" w:hAnsi="宋体"/>
          <w:sz w:val="24"/>
        </w:rPr>
      </w:pPr>
      <w:r>
        <w:rPr>
          <w:rFonts w:hint="eastAsia" w:ascii="宋体" w:hAnsi="宋体"/>
          <w:sz w:val="24"/>
        </w:rPr>
        <w:t>2、对本项目需求的理解与建设方案；</w:t>
      </w:r>
    </w:p>
    <w:p>
      <w:pPr>
        <w:adjustRightInd w:val="0"/>
        <w:snapToGrid w:val="0"/>
        <w:spacing w:line="400" w:lineRule="exact"/>
        <w:ind w:firstLine="480" w:firstLineChars="200"/>
        <w:jc w:val="left"/>
        <w:rPr>
          <w:rFonts w:ascii="宋体" w:hAnsi="宋体"/>
          <w:sz w:val="24"/>
        </w:rPr>
      </w:pPr>
      <w:r>
        <w:rPr>
          <w:rFonts w:hint="eastAsia" w:ascii="宋体" w:hAnsi="宋体"/>
          <w:sz w:val="24"/>
        </w:rPr>
        <w:t>3、功能及架构；</w:t>
      </w:r>
    </w:p>
    <w:p>
      <w:pPr>
        <w:adjustRightInd w:val="0"/>
        <w:snapToGrid w:val="0"/>
        <w:spacing w:line="400" w:lineRule="exact"/>
        <w:ind w:firstLine="480" w:firstLineChars="200"/>
        <w:jc w:val="left"/>
        <w:rPr>
          <w:rFonts w:ascii="宋体" w:hAnsi="宋体"/>
          <w:sz w:val="24"/>
        </w:rPr>
      </w:pPr>
      <w:r>
        <w:rPr>
          <w:rFonts w:hint="eastAsia" w:ascii="宋体" w:hAnsi="宋体"/>
          <w:sz w:val="24"/>
        </w:rPr>
        <w:t>4、项目组织实施；</w:t>
      </w:r>
    </w:p>
    <w:p>
      <w:pPr>
        <w:adjustRightInd w:val="0"/>
        <w:snapToGrid w:val="0"/>
        <w:spacing w:line="400" w:lineRule="exact"/>
        <w:ind w:firstLine="480" w:firstLineChars="200"/>
        <w:jc w:val="left"/>
        <w:rPr>
          <w:rFonts w:ascii="宋体" w:hAnsi="宋体"/>
          <w:sz w:val="24"/>
        </w:rPr>
      </w:pPr>
      <w:r>
        <w:rPr>
          <w:rFonts w:hint="eastAsia" w:ascii="宋体" w:hAnsi="宋体"/>
          <w:sz w:val="24"/>
        </w:rPr>
        <w:t>5、售后服务、培训及服务承诺；</w:t>
      </w:r>
    </w:p>
    <w:p>
      <w:pPr>
        <w:adjustRightInd w:val="0"/>
        <w:snapToGrid w:val="0"/>
        <w:spacing w:line="400" w:lineRule="exact"/>
        <w:ind w:firstLine="480" w:firstLineChars="200"/>
        <w:jc w:val="left"/>
        <w:rPr>
          <w:rFonts w:ascii="宋体" w:hAnsi="宋体"/>
          <w:sz w:val="24"/>
        </w:rPr>
      </w:pPr>
      <w:r>
        <w:rPr>
          <w:rFonts w:hint="eastAsia" w:ascii="宋体" w:hAnsi="宋体"/>
          <w:sz w:val="24"/>
        </w:rPr>
        <w:t>6、政策分相关证明资料；</w:t>
      </w:r>
    </w:p>
    <w:p>
      <w:pPr>
        <w:adjustRightInd w:val="0"/>
        <w:snapToGrid w:val="0"/>
        <w:spacing w:line="400" w:lineRule="exact"/>
        <w:ind w:firstLine="480" w:firstLineChars="200"/>
        <w:jc w:val="left"/>
        <w:rPr>
          <w:rFonts w:ascii="宋体" w:hAnsi="宋体"/>
          <w:sz w:val="24"/>
        </w:rPr>
      </w:pPr>
      <w:r>
        <w:rPr>
          <w:rFonts w:hint="eastAsia" w:ascii="宋体" w:hAnsi="宋体"/>
          <w:sz w:val="24"/>
        </w:rPr>
        <w:t>7、业绩证明材料；</w:t>
      </w:r>
    </w:p>
    <w:p>
      <w:pPr>
        <w:adjustRightInd w:val="0"/>
        <w:snapToGrid w:val="0"/>
        <w:spacing w:line="400" w:lineRule="exact"/>
        <w:ind w:firstLine="480" w:firstLineChars="200"/>
        <w:jc w:val="left"/>
        <w:rPr>
          <w:rFonts w:ascii="宋体" w:hAnsi="宋体"/>
          <w:sz w:val="24"/>
        </w:rPr>
      </w:pPr>
      <w:r>
        <w:rPr>
          <w:rFonts w:hint="eastAsia" w:ascii="宋体" w:hAnsi="宋体"/>
          <w:sz w:val="24"/>
        </w:rPr>
        <w:t>8、商务响应表；</w:t>
      </w:r>
    </w:p>
    <w:p>
      <w:pPr>
        <w:adjustRightInd w:val="0"/>
        <w:snapToGrid w:val="0"/>
        <w:spacing w:line="400" w:lineRule="exact"/>
        <w:ind w:firstLine="480" w:firstLineChars="200"/>
        <w:jc w:val="left"/>
        <w:rPr>
          <w:rFonts w:ascii="宋体" w:hAnsi="宋体"/>
          <w:sz w:val="24"/>
        </w:rPr>
      </w:pPr>
      <w:r>
        <w:rPr>
          <w:rFonts w:hint="eastAsia" w:ascii="宋体" w:hAnsi="宋体"/>
          <w:sz w:val="24"/>
        </w:rPr>
        <w:t>9、投标人认为可以证明其能力或业绩的其他材料；</w:t>
      </w:r>
    </w:p>
    <w:p>
      <w:pPr>
        <w:adjustRightInd w:val="0"/>
        <w:snapToGrid w:val="0"/>
        <w:spacing w:line="400" w:lineRule="exact"/>
        <w:ind w:firstLine="480" w:firstLineChars="200"/>
        <w:jc w:val="left"/>
        <w:rPr>
          <w:rFonts w:ascii="宋体" w:hAnsi="宋体"/>
          <w:sz w:val="24"/>
        </w:rPr>
      </w:pPr>
      <w:r>
        <w:rPr>
          <w:rFonts w:hint="eastAsia" w:ascii="宋体" w:hAnsi="宋体"/>
          <w:sz w:val="24"/>
        </w:rPr>
        <w:t>10、投标人需要说明的其他文件和说明（格式自拟）。</w:t>
      </w:r>
    </w:p>
    <w:p>
      <w:pPr>
        <w:adjustRightInd w:val="0"/>
        <w:snapToGrid w:val="0"/>
        <w:spacing w:line="400" w:lineRule="exact"/>
        <w:ind w:firstLine="480" w:firstLineChars="200"/>
        <w:jc w:val="left"/>
        <w:rPr>
          <w:rFonts w:ascii="宋体" w:hAnsi="宋体"/>
          <w:sz w:val="24"/>
        </w:rPr>
      </w:pPr>
      <w:r>
        <w:rPr>
          <w:rFonts w:hint="eastAsia" w:ascii="宋体" w:hAnsi="宋体"/>
          <w:sz w:val="24"/>
        </w:rPr>
        <w:t>注：以上资料均要求提供复印件并加盖企业公章。</w:t>
      </w:r>
    </w:p>
    <w:p>
      <w:pPr>
        <w:adjustRightInd w:val="0"/>
        <w:snapToGrid w:val="0"/>
        <w:spacing w:line="400" w:lineRule="exact"/>
        <w:ind w:firstLine="480" w:firstLineChars="200"/>
        <w:jc w:val="left"/>
        <w:rPr>
          <w:rFonts w:ascii="宋体" w:hAnsi="宋体"/>
          <w:sz w:val="24"/>
        </w:rPr>
      </w:pPr>
      <w:r>
        <w:rPr>
          <w:rFonts w:hint="eastAsia" w:ascii="宋体" w:hAnsi="宋体"/>
          <w:sz w:val="24"/>
        </w:rPr>
        <w:t>三、报价文件：</w:t>
      </w:r>
    </w:p>
    <w:p>
      <w:pPr>
        <w:adjustRightInd w:val="0"/>
        <w:snapToGrid w:val="0"/>
        <w:spacing w:line="400" w:lineRule="exact"/>
        <w:ind w:firstLine="480" w:firstLineChars="200"/>
        <w:jc w:val="left"/>
        <w:rPr>
          <w:rFonts w:ascii="宋体" w:hAnsi="宋体"/>
          <w:sz w:val="24"/>
        </w:rPr>
      </w:pPr>
      <w:r>
        <w:rPr>
          <w:rFonts w:hint="eastAsia" w:ascii="宋体" w:hAnsi="宋体"/>
          <w:sz w:val="24"/>
        </w:rPr>
        <w:t>1、开标一览表；</w:t>
      </w:r>
    </w:p>
    <w:p>
      <w:pPr>
        <w:adjustRightInd w:val="0"/>
        <w:snapToGrid w:val="0"/>
        <w:spacing w:line="400" w:lineRule="exact"/>
        <w:ind w:firstLine="480" w:firstLineChars="200"/>
        <w:jc w:val="left"/>
        <w:rPr>
          <w:rFonts w:ascii="宋体" w:hAnsi="宋体"/>
          <w:sz w:val="24"/>
        </w:rPr>
      </w:pPr>
      <w:r>
        <w:rPr>
          <w:rFonts w:hint="eastAsia" w:ascii="宋体" w:hAnsi="宋体"/>
          <w:sz w:val="24"/>
        </w:rPr>
        <w:t>2、投标函；</w:t>
      </w:r>
    </w:p>
    <w:p>
      <w:pPr>
        <w:adjustRightInd w:val="0"/>
        <w:snapToGrid w:val="0"/>
        <w:spacing w:line="400" w:lineRule="exact"/>
        <w:ind w:firstLine="480" w:firstLineChars="200"/>
        <w:jc w:val="left"/>
        <w:rPr>
          <w:rFonts w:ascii="宋体" w:hAnsi="宋体"/>
          <w:sz w:val="24"/>
        </w:rPr>
      </w:pPr>
      <w:r>
        <w:rPr>
          <w:rFonts w:hint="eastAsia" w:ascii="宋体" w:hAnsi="宋体"/>
          <w:sz w:val="24"/>
        </w:rPr>
        <w:t>3、招标代理服务费承诺函；</w:t>
      </w:r>
    </w:p>
    <w:p>
      <w:pPr>
        <w:adjustRightInd w:val="0"/>
        <w:snapToGrid w:val="0"/>
        <w:spacing w:line="400" w:lineRule="exact"/>
        <w:ind w:firstLine="480" w:firstLineChars="200"/>
        <w:jc w:val="left"/>
        <w:rPr>
          <w:rFonts w:ascii="宋体" w:hAnsi="宋体"/>
          <w:sz w:val="24"/>
        </w:rPr>
      </w:pPr>
      <w:r>
        <w:rPr>
          <w:rFonts w:hint="eastAsia" w:ascii="宋体" w:hAnsi="宋体"/>
          <w:sz w:val="24"/>
        </w:rPr>
        <w:t>4、投标人针对报价需要说明的其他文件和说明（格式自拟）。</w:t>
      </w:r>
    </w:p>
    <w:p>
      <w:pPr>
        <w:adjustRightInd w:val="0"/>
        <w:snapToGrid w:val="0"/>
        <w:spacing w:line="400" w:lineRule="exact"/>
        <w:ind w:firstLine="480" w:firstLineChars="200"/>
        <w:jc w:val="left"/>
        <w:rPr>
          <w:rFonts w:ascii="宋体" w:hAnsi="宋体"/>
          <w:sz w:val="24"/>
        </w:rPr>
      </w:pPr>
      <w:r>
        <w:rPr>
          <w:rFonts w:hint="eastAsia" w:ascii="宋体" w:hAnsi="宋体"/>
          <w:sz w:val="24"/>
        </w:rPr>
        <w:t>▲注：法定代表人授权委托书、投标声明书、投标函、开标一览表必须由法定代表人签名并加盖单位公章。</w:t>
      </w:r>
    </w:p>
    <w:p>
      <w:pPr>
        <w:pStyle w:val="7"/>
        <w:spacing w:line="240" w:lineRule="auto"/>
        <w:ind w:firstLine="480" w:firstLineChars="200"/>
        <w:rPr>
          <w:rFonts w:ascii="宋体" w:hAnsi="宋体" w:eastAsia="微软雅黑"/>
          <w:b w:val="0"/>
          <w:bCs w:val="0"/>
          <w:sz w:val="24"/>
          <w:szCs w:val="21"/>
        </w:rPr>
      </w:pPr>
      <w:r>
        <w:rPr>
          <w:rFonts w:hint="eastAsia" w:ascii="宋体" w:hAnsi="宋体" w:eastAsia="微软雅黑"/>
          <w:b w:val="0"/>
          <w:bCs w:val="0"/>
          <w:sz w:val="24"/>
          <w:szCs w:val="21"/>
        </w:rPr>
        <w:t>投标文件须提供复印件并加盖企业公章，需提供原件的，供应商应在投标截止时间前将相关原件拍照发送至指定邮箱（</w:t>
      </w:r>
      <w:r>
        <w:fldChar w:fldCharType="begin"/>
      </w:r>
      <w:r>
        <w:instrText xml:space="preserve"> HYPERLINK "mailto:43846101@qq.com" </w:instrText>
      </w:r>
      <w:r>
        <w:fldChar w:fldCharType="separate"/>
      </w:r>
      <w:r>
        <w:rPr>
          <w:rFonts w:hint="eastAsia" w:ascii="宋体" w:hAnsi="宋体" w:eastAsia="微软雅黑"/>
          <w:b w:val="0"/>
          <w:bCs w:val="0"/>
          <w:sz w:val="24"/>
          <w:szCs w:val="21"/>
        </w:rPr>
        <w:t>2411406203@qq.com</w:t>
      </w:r>
      <w:r>
        <w:rPr>
          <w:rFonts w:hint="eastAsia" w:ascii="宋体" w:hAnsi="宋体" w:eastAsia="微软雅黑"/>
          <w:b w:val="0"/>
          <w:bCs w:val="0"/>
          <w:sz w:val="24"/>
          <w:szCs w:val="21"/>
        </w:rPr>
        <w:fldChar w:fldCharType="end"/>
      </w:r>
      <w:r>
        <w:rPr>
          <w:rFonts w:hint="eastAsia" w:ascii="宋体" w:hAnsi="宋体" w:eastAsia="微软雅黑"/>
          <w:b w:val="0"/>
          <w:bCs w:val="0"/>
          <w:sz w:val="24"/>
          <w:szCs w:val="21"/>
        </w:rPr>
        <w:t>）备查，若由于未发送原件至指定邮箱而引起的不利于供应商的评判，责任由供应商自负。</w:t>
      </w:r>
    </w:p>
    <w:p>
      <w:pPr>
        <w:adjustRightInd w:val="0"/>
        <w:snapToGrid w:val="0"/>
        <w:spacing w:line="400" w:lineRule="exact"/>
        <w:jc w:val="left"/>
        <w:rPr>
          <w:rFonts w:ascii="宋体" w:hAnsi="宋体"/>
          <w:b/>
          <w:sz w:val="24"/>
        </w:rPr>
      </w:pPr>
      <w:r>
        <w:rPr>
          <w:rFonts w:hint="eastAsia" w:ascii="宋体" w:hAnsi="宋体"/>
          <w:b/>
          <w:sz w:val="24"/>
        </w:rPr>
        <w:t>（二）投标文件的语言及</w:t>
      </w:r>
      <w:bookmarkEnd w:id="217"/>
      <w:bookmarkEnd w:id="218"/>
      <w:bookmarkEnd w:id="219"/>
      <w:bookmarkEnd w:id="220"/>
      <w:r>
        <w:rPr>
          <w:rFonts w:hint="eastAsia" w:ascii="宋体" w:hAnsi="宋体"/>
          <w:b/>
          <w:sz w:val="24"/>
        </w:rPr>
        <w:t>度量衡单位</w:t>
      </w:r>
    </w:p>
    <w:p>
      <w:pPr>
        <w:adjustRightInd w:val="0"/>
        <w:snapToGrid w:val="0"/>
        <w:spacing w:line="400" w:lineRule="exact"/>
        <w:ind w:firstLine="480" w:firstLineChars="200"/>
        <w:jc w:val="left"/>
        <w:rPr>
          <w:rFonts w:ascii="宋体" w:hAnsi="宋体"/>
          <w:b/>
          <w:sz w:val="24"/>
        </w:rPr>
      </w:pPr>
      <w:r>
        <w:rPr>
          <w:rFonts w:hint="eastAsia" w:ascii="宋体" w:hAnsi="宋体"/>
          <w:sz w:val="24"/>
        </w:rPr>
        <w:t>▲1、投标文件以及投标人与招标采购单位就有关投标事宜的所有来往函电，均应以中文书写。</w:t>
      </w:r>
    </w:p>
    <w:p>
      <w:pPr>
        <w:adjustRightInd w:val="0"/>
        <w:snapToGrid w:val="0"/>
        <w:spacing w:line="400" w:lineRule="exact"/>
        <w:ind w:firstLine="480" w:firstLineChars="200"/>
        <w:jc w:val="left"/>
        <w:rPr>
          <w:rFonts w:ascii="宋体" w:hAnsi="宋体"/>
          <w:b/>
          <w:sz w:val="24"/>
        </w:rPr>
      </w:pPr>
      <w:r>
        <w:rPr>
          <w:rFonts w:hint="eastAsia" w:ascii="宋体" w:hAnsi="宋体"/>
          <w:sz w:val="24"/>
        </w:rPr>
        <w:t>▲2、投标文件所使用的度量衡单位，均采用我国法定计量单位。</w:t>
      </w:r>
      <w:bookmarkStart w:id="221" w:name="_Toc177824945"/>
      <w:bookmarkStart w:id="222" w:name="_Toc177825126"/>
      <w:bookmarkStart w:id="223" w:name="_Toc177870548"/>
      <w:bookmarkStart w:id="224" w:name="_Toc177824878"/>
    </w:p>
    <w:p>
      <w:pPr>
        <w:numPr>
          <w:ilvl w:val="0"/>
          <w:numId w:val="3"/>
        </w:numPr>
        <w:adjustRightInd w:val="0"/>
        <w:snapToGrid w:val="0"/>
        <w:spacing w:line="400" w:lineRule="exact"/>
        <w:jc w:val="left"/>
        <w:rPr>
          <w:rFonts w:ascii="宋体" w:hAnsi="宋体"/>
          <w:b/>
          <w:sz w:val="24"/>
        </w:rPr>
      </w:pPr>
      <w:r>
        <w:rPr>
          <w:rFonts w:hint="eastAsia" w:ascii="宋体" w:hAnsi="宋体"/>
          <w:b/>
          <w:sz w:val="24"/>
        </w:rPr>
        <w:t>投标报价</w:t>
      </w:r>
      <w:bookmarkEnd w:id="221"/>
      <w:bookmarkEnd w:id="222"/>
      <w:bookmarkEnd w:id="223"/>
      <w:bookmarkEnd w:id="224"/>
      <w:bookmarkStart w:id="225" w:name="_Toc293916876"/>
    </w:p>
    <w:p>
      <w:pPr>
        <w:adjustRightInd w:val="0"/>
        <w:snapToGrid w:val="0"/>
        <w:spacing w:line="400" w:lineRule="exact"/>
        <w:ind w:firstLine="480" w:firstLineChars="200"/>
        <w:jc w:val="left"/>
        <w:rPr>
          <w:rFonts w:ascii="宋体" w:hAnsi="宋体"/>
          <w:sz w:val="24"/>
        </w:rPr>
      </w:pPr>
      <w:r>
        <w:rPr>
          <w:rFonts w:hint="eastAsia" w:ascii="宋体" w:hAnsi="宋体"/>
          <w:sz w:val="24"/>
        </w:rPr>
        <w:t>▲1、投标人应按招标文件规定的报价格式进行投标报价。投标文件只允许有一个报价，任何有选择性的报价将不予接受。</w:t>
      </w:r>
    </w:p>
    <w:p>
      <w:pPr>
        <w:adjustRightInd w:val="0"/>
        <w:snapToGrid w:val="0"/>
        <w:spacing w:line="400" w:lineRule="exact"/>
        <w:ind w:firstLine="480" w:firstLineChars="200"/>
        <w:jc w:val="left"/>
        <w:rPr>
          <w:rFonts w:ascii="宋体" w:hAnsi="宋体"/>
          <w:sz w:val="24"/>
        </w:rPr>
      </w:pPr>
      <w:r>
        <w:rPr>
          <w:rFonts w:hint="eastAsia" w:ascii="宋体" w:hAnsi="宋体"/>
          <w:bCs/>
          <w:sz w:val="24"/>
        </w:rPr>
        <w:t>2、投标报价是履行合同的最终价格，应包括完成本项目服务内容所需的一切费用等；投标人应同时列出认为必要的其他费用，招标结束后不再另行增加费用。</w:t>
      </w:r>
    </w:p>
    <w:p>
      <w:pPr>
        <w:adjustRightInd w:val="0"/>
        <w:snapToGrid w:val="0"/>
        <w:spacing w:line="400" w:lineRule="exact"/>
        <w:ind w:firstLine="480" w:firstLineChars="200"/>
        <w:jc w:val="left"/>
        <w:rPr>
          <w:rFonts w:ascii="宋体" w:hAnsi="宋体"/>
          <w:sz w:val="24"/>
        </w:rPr>
      </w:pPr>
      <w:r>
        <w:rPr>
          <w:rFonts w:hint="eastAsia" w:ascii="宋体" w:hAnsi="宋体"/>
          <w:sz w:val="24"/>
        </w:rPr>
        <w:t>▲3、招标采购单位不接受备选方案。</w:t>
      </w:r>
    </w:p>
    <w:p>
      <w:pPr>
        <w:adjustRightInd w:val="0"/>
        <w:snapToGrid w:val="0"/>
        <w:spacing w:line="400" w:lineRule="exact"/>
        <w:ind w:firstLine="480" w:firstLineChars="200"/>
        <w:jc w:val="left"/>
        <w:rPr>
          <w:rFonts w:ascii="宋体" w:hAnsi="宋体"/>
          <w:sz w:val="24"/>
        </w:rPr>
      </w:pPr>
      <w:r>
        <w:rPr>
          <w:rFonts w:hint="eastAsia" w:ascii="宋体" w:hAnsi="宋体"/>
          <w:sz w:val="24"/>
        </w:rPr>
        <w:t>▲4、投标文件中的单价、合价、总价全部采用人民币表示。</w:t>
      </w:r>
      <w:bookmarkEnd w:id="225"/>
    </w:p>
    <w:p>
      <w:pPr>
        <w:numPr>
          <w:ilvl w:val="0"/>
          <w:numId w:val="3"/>
        </w:numPr>
        <w:adjustRightInd w:val="0"/>
        <w:snapToGrid w:val="0"/>
        <w:spacing w:line="400" w:lineRule="exact"/>
        <w:jc w:val="left"/>
        <w:rPr>
          <w:rFonts w:ascii="宋体" w:hAnsi="宋体"/>
          <w:b/>
          <w:sz w:val="24"/>
        </w:rPr>
      </w:pPr>
      <w:r>
        <w:rPr>
          <w:rFonts w:hint="eastAsia" w:ascii="宋体" w:hAnsi="宋体"/>
          <w:b/>
          <w:sz w:val="24"/>
        </w:rPr>
        <w:t>投标文件的有效期</w:t>
      </w:r>
    </w:p>
    <w:p>
      <w:pPr>
        <w:adjustRightInd w:val="0"/>
        <w:snapToGrid w:val="0"/>
        <w:spacing w:line="400" w:lineRule="exact"/>
        <w:ind w:firstLine="480" w:firstLineChars="200"/>
        <w:jc w:val="left"/>
        <w:rPr>
          <w:rFonts w:ascii="宋体" w:hAnsi="宋体"/>
          <w:sz w:val="24"/>
        </w:rPr>
      </w:pPr>
      <w:r>
        <w:rPr>
          <w:rFonts w:hint="eastAsia" w:ascii="宋体" w:hAnsi="宋体"/>
          <w:sz w:val="24"/>
        </w:rPr>
        <w:t>▲1、自投标截止日起</w:t>
      </w:r>
      <w:r>
        <w:rPr>
          <w:rFonts w:hint="eastAsia" w:ascii="宋体" w:hAnsi="宋体"/>
          <w:sz w:val="24"/>
          <w:u w:val="single"/>
        </w:rPr>
        <w:t>90</w:t>
      </w:r>
      <w:r>
        <w:rPr>
          <w:rFonts w:hint="eastAsia" w:ascii="宋体" w:hAnsi="宋体"/>
          <w:sz w:val="24"/>
        </w:rPr>
        <w:t>天投标书应保持有效。有效期短于这个规定期限的投标将被拒绝。</w:t>
      </w:r>
    </w:p>
    <w:p>
      <w:pPr>
        <w:numPr>
          <w:ilvl w:val="0"/>
          <w:numId w:val="4"/>
        </w:numPr>
        <w:adjustRightInd w:val="0"/>
        <w:snapToGrid w:val="0"/>
        <w:spacing w:line="400" w:lineRule="exact"/>
        <w:ind w:firstLine="480" w:firstLineChars="200"/>
        <w:jc w:val="left"/>
        <w:rPr>
          <w:rFonts w:ascii="宋体" w:hAnsi="宋体"/>
          <w:sz w:val="24"/>
        </w:rPr>
      </w:pPr>
      <w:r>
        <w:rPr>
          <w:rFonts w:hint="eastAsia" w:ascii="宋体" w:hAnsi="宋体"/>
          <w:sz w:val="24"/>
        </w:rPr>
        <w:t>在特殊情况下，采购人可与投标人协商延长投标书的有效期，这种要求和答复均以书面形式进行。</w:t>
      </w:r>
      <w:bookmarkStart w:id="226" w:name="_Toc177825127"/>
      <w:bookmarkStart w:id="227" w:name="_Toc177824946"/>
      <w:bookmarkStart w:id="228" w:name="_Toc177824879"/>
      <w:bookmarkStart w:id="229" w:name="_Toc177870549"/>
    </w:p>
    <w:p>
      <w:pPr>
        <w:adjustRightInd w:val="0"/>
        <w:snapToGrid w:val="0"/>
        <w:spacing w:line="400" w:lineRule="exact"/>
        <w:ind w:firstLine="480" w:firstLineChars="200"/>
        <w:jc w:val="left"/>
        <w:rPr>
          <w:rFonts w:ascii="宋体" w:hAnsi="宋体"/>
          <w:b/>
          <w:sz w:val="24"/>
        </w:rPr>
      </w:pPr>
      <w:r>
        <w:rPr>
          <w:rFonts w:hint="eastAsia" w:ascii="宋体" w:hAnsi="宋体"/>
          <w:sz w:val="24"/>
        </w:rPr>
        <w:t>3、投标人可拒绝接受延期要求。同意延长有效期的但不能修改投标文件。</w:t>
      </w:r>
      <w:bookmarkEnd w:id="226"/>
      <w:bookmarkEnd w:id="227"/>
      <w:bookmarkEnd w:id="228"/>
      <w:bookmarkEnd w:id="229"/>
    </w:p>
    <w:p>
      <w:pPr>
        <w:adjustRightInd w:val="0"/>
        <w:snapToGrid w:val="0"/>
        <w:spacing w:line="400" w:lineRule="exact"/>
        <w:ind w:firstLine="480" w:firstLineChars="200"/>
        <w:jc w:val="left"/>
        <w:rPr>
          <w:rFonts w:ascii="宋体" w:hAnsi="宋体"/>
          <w:sz w:val="24"/>
        </w:rPr>
      </w:pPr>
      <w:r>
        <w:rPr>
          <w:rFonts w:hint="eastAsia" w:ascii="宋体" w:hAnsi="宋体"/>
          <w:sz w:val="24"/>
        </w:rPr>
        <w:t>4、中标人的投标文件自开标之日起至合同履行完毕止均应保持有效。</w:t>
      </w:r>
    </w:p>
    <w:p>
      <w:pPr>
        <w:adjustRightInd w:val="0"/>
        <w:snapToGrid w:val="0"/>
        <w:spacing w:line="400" w:lineRule="exact"/>
        <w:jc w:val="left"/>
        <w:rPr>
          <w:rFonts w:ascii="宋体" w:hAnsi="宋体"/>
          <w:b/>
          <w:sz w:val="24"/>
        </w:rPr>
      </w:pPr>
      <w:bookmarkStart w:id="230" w:name="_Toc177825128"/>
      <w:bookmarkStart w:id="231" w:name="_Toc177870550"/>
      <w:bookmarkStart w:id="232" w:name="_Toc177824880"/>
      <w:bookmarkStart w:id="233" w:name="_Toc177824947"/>
      <w:bookmarkStart w:id="234" w:name="_Toc293916369"/>
      <w:bookmarkStart w:id="235" w:name="_Toc293916018"/>
      <w:r>
        <w:rPr>
          <w:rFonts w:hint="eastAsia" w:ascii="宋体" w:hAnsi="宋体"/>
          <w:b/>
          <w:sz w:val="24"/>
        </w:rPr>
        <w:t>（五）</w:t>
      </w:r>
      <w:bookmarkEnd w:id="230"/>
      <w:bookmarkEnd w:id="231"/>
      <w:bookmarkEnd w:id="232"/>
      <w:bookmarkEnd w:id="233"/>
      <w:bookmarkEnd w:id="234"/>
      <w:bookmarkEnd w:id="235"/>
      <w:bookmarkStart w:id="236" w:name="_Toc177825129"/>
      <w:bookmarkStart w:id="237" w:name="_Toc177870551"/>
      <w:bookmarkStart w:id="238" w:name="_Toc293916019"/>
      <w:bookmarkStart w:id="239" w:name="_Toc293916370"/>
      <w:bookmarkStart w:id="240" w:name="_Toc177824881"/>
      <w:bookmarkStart w:id="241" w:name="_Toc177824948"/>
      <w:r>
        <w:rPr>
          <w:rFonts w:hint="eastAsia" w:ascii="宋体" w:hAnsi="宋体"/>
          <w:b/>
          <w:sz w:val="24"/>
        </w:rPr>
        <w:t>投标文件的签署和份数</w:t>
      </w:r>
      <w:bookmarkEnd w:id="236"/>
      <w:bookmarkEnd w:id="237"/>
      <w:bookmarkEnd w:id="238"/>
      <w:bookmarkEnd w:id="239"/>
      <w:bookmarkEnd w:id="240"/>
      <w:bookmarkEnd w:id="241"/>
    </w:p>
    <w:p>
      <w:pPr>
        <w:snapToGrid w:val="0"/>
        <w:spacing w:line="440" w:lineRule="exact"/>
        <w:ind w:firstLine="470" w:firstLineChars="196"/>
        <w:jc w:val="left"/>
        <w:outlineLvl w:val="0"/>
        <w:rPr>
          <w:rFonts w:ascii="宋体" w:hAnsi="宋体"/>
          <w:b/>
          <w:sz w:val="24"/>
        </w:rPr>
      </w:pPr>
      <w:bookmarkStart w:id="242" w:name="_Toc2314"/>
      <w:bookmarkStart w:id="243" w:name="_Toc22808"/>
      <w:r>
        <w:rPr>
          <w:rFonts w:hint="eastAsia" w:ascii="宋体" w:hAnsi="宋体" w:cs="宋体"/>
          <w:sz w:val="24"/>
        </w:rPr>
        <w:t>本项目通过“政府采购云平台（www.zcygov.cn）”实行在线投标（电子投标）。供应商应通过“政采云电子交易客户端”，并按照本采购文件和“政府采购云平台”的要求编制并加密投标文件。</w:t>
      </w:r>
      <w:bookmarkEnd w:id="242"/>
      <w:bookmarkEnd w:id="243"/>
    </w:p>
    <w:p>
      <w:pPr>
        <w:snapToGrid w:val="0"/>
        <w:spacing w:line="440" w:lineRule="exact"/>
        <w:ind w:firstLine="470" w:firstLineChars="196"/>
        <w:jc w:val="left"/>
        <w:outlineLvl w:val="0"/>
        <w:rPr>
          <w:rFonts w:ascii="宋体" w:hAnsi="宋体"/>
          <w:b/>
          <w:sz w:val="24"/>
        </w:rPr>
      </w:pPr>
      <w:bookmarkStart w:id="244" w:name="_Toc7948"/>
      <w:bookmarkStart w:id="245" w:name="_Toc17797"/>
      <w:r>
        <w:rPr>
          <w:rFonts w:hint="eastAsia" w:ascii="宋体" w:hAnsi="宋体" w:cs="宋体"/>
          <w:sz w:val="24"/>
        </w:rPr>
        <w:t>1.投标供应商应当按照本章节 “投标文件组成”规定的内容及顺序在“政采云电子交易客户端”编制投标文件。其中《资格文件》和《技术、商务、资信及其他文件》中不得出现本项目投标报价，如因投标人原因提前泄露投标报价，是投标人的责任。</w:t>
      </w:r>
      <w:bookmarkEnd w:id="244"/>
      <w:bookmarkEnd w:id="245"/>
    </w:p>
    <w:p>
      <w:pPr>
        <w:snapToGrid w:val="0"/>
        <w:spacing w:line="440" w:lineRule="exact"/>
        <w:ind w:firstLine="470" w:firstLineChars="196"/>
        <w:jc w:val="left"/>
        <w:outlineLvl w:val="0"/>
        <w:rPr>
          <w:rFonts w:ascii="宋体" w:hAnsi="宋体"/>
          <w:b/>
          <w:sz w:val="24"/>
        </w:rPr>
      </w:pPr>
      <w:bookmarkStart w:id="246" w:name="_Toc11108"/>
      <w:bookmarkStart w:id="247" w:name="_Toc21072"/>
      <w:r>
        <w:rPr>
          <w:rFonts w:hint="eastAsia" w:ascii="宋体" w:hAnsi="宋体" w:cs="宋体"/>
          <w:sz w:val="24"/>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bookmarkEnd w:id="246"/>
      <w:bookmarkEnd w:id="247"/>
    </w:p>
    <w:p>
      <w:pPr>
        <w:snapToGrid w:val="0"/>
        <w:spacing w:line="440" w:lineRule="exact"/>
        <w:ind w:firstLine="470" w:firstLineChars="196"/>
        <w:jc w:val="left"/>
        <w:outlineLvl w:val="0"/>
        <w:rPr>
          <w:rFonts w:ascii="宋体" w:hAnsi="宋体"/>
          <w:b/>
          <w:sz w:val="24"/>
        </w:rPr>
      </w:pPr>
      <w:bookmarkStart w:id="248" w:name="_Toc18153"/>
      <w:bookmarkStart w:id="249" w:name="_Toc9589"/>
      <w:r>
        <w:rPr>
          <w:rFonts w:hint="eastAsia" w:ascii="宋体" w:hAnsi="宋体" w:cs="宋体"/>
          <w:sz w:val="24"/>
        </w:rPr>
        <w:t>3.《投标文件》内容不完整、编排混乱导致《投标文件》被误读、漏读或者查找不到相关内容的，是投标供应商的责任。</w:t>
      </w:r>
      <w:bookmarkEnd w:id="248"/>
      <w:bookmarkEnd w:id="249"/>
    </w:p>
    <w:p>
      <w:pPr>
        <w:snapToGrid w:val="0"/>
        <w:spacing w:line="440" w:lineRule="exact"/>
        <w:ind w:firstLine="470" w:firstLineChars="196"/>
        <w:jc w:val="left"/>
        <w:outlineLvl w:val="0"/>
        <w:rPr>
          <w:rFonts w:ascii="宋体" w:hAnsi="宋体"/>
          <w:b/>
          <w:sz w:val="24"/>
        </w:rPr>
      </w:pPr>
      <w:bookmarkStart w:id="250" w:name="_Toc9380"/>
      <w:bookmarkStart w:id="251" w:name="_Toc31590"/>
      <w:r>
        <w:rPr>
          <w:rFonts w:hint="eastAsia" w:ascii="宋体" w:hAnsi="宋体" w:cs="宋体"/>
          <w:sz w:val="24"/>
        </w:rPr>
        <w:t>4.投标供应商没有按照本章节 “投标文件组成”要求提供全部资料，或者没有仔细阅读采购文件，或者没有对采购文件在各方面的要求作出实质性响应是投标供应商的风险，由此造成的一切后果由投标供应商自行承担。</w:t>
      </w:r>
      <w:bookmarkEnd w:id="250"/>
      <w:bookmarkEnd w:id="251"/>
    </w:p>
    <w:p>
      <w:pPr>
        <w:snapToGrid w:val="0"/>
        <w:spacing w:line="440" w:lineRule="exact"/>
        <w:ind w:firstLine="470" w:firstLineChars="196"/>
        <w:jc w:val="left"/>
        <w:outlineLvl w:val="0"/>
        <w:rPr>
          <w:rFonts w:ascii="宋体" w:hAnsi="宋体" w:cs="宋体"/>
          <w:sz w:val="24"/>
        </w:rPr>
      </w:pPr>
      <w:bookmarkStart w:id="252" w:name="_Toc2264"/>
      <w:bookmarkStart w:id="253" w:name="_Toc29583"/>
      <w:r>
        <w:rPr>
          <w:rFonts w:hint="eastAsia" w:ascii="宋体" w:hAnsi="宋体" w:cs="宋体"/>
          <w:sz w:val="24"/>
        </w:rPr>
        <w:t>5.其他：投标文件需按采购文件要求的格式填写并签字（或盖章）。</w:t>
      </w:r>
      <w:bookmarkEnd w:id="252"/>
      <w:bookmarkEnd w:id="253"/>
    </w:p>
    <w:p>
      <w:pPr>
        <w:snapToGrid w:val="0"/>
        <w:spacing w:line="440" w:lineRule="exact"/>
        <w:ind w:firstLine="470" w:firstLineChars="196"/>
        <w:jc w:val="left"/>
        <w:outlineLvl w:val="0"/>
        <w:rPr>
          <w:rFonts w:ascii="宋体" w:hAnsi="宋体" w:cs="宋体"/>
          <w:sz w:val="24"/>
        </w:rPr>
      </w:pPr>
      <w:bookmarkStart w:id="254" w:name="_Toc24481"/>
      <w:bookmarkStart w:id="255" w:name="_Toc15978"/>
      <w:r>
        <w:rPr>
          <w:rFonts w:hint="eastAsia" w:ascii="宋体" w:hAnsi="宋体" w:cs="宋体"/>
          <w:sz w:val="24"/>
        </w:rPr>
        <w:t>6.投标文件的形式：见《前附表》；</w:t>
      </w:r>
      <w:bookmarkEnd w:id="254"/>
      <w:bookmarkEnd w:id="255"/>
    </w:p>
    <w:p>
      <w:pPr>
        <w:snapToGrid w:val="0"/>
        <w:spacing w:line="440" w:lineRule="exact"/>
        <w:ind w:firstLine="470" w:firstLineChars="196"/>
        <w:jc w:val="left"/>
        <w:outlineLvl w:val="0"/>
        <w:rPr>
          <w:rFonts w:ascii="宋体" w:hAnsi="宋体" w:cs="宋体"/>
          <w:sz w:val="24"/>
        </w:rPr>
      </w:pPr>
      <w:bookmarkStart w:id="256" w:name="_Toc10031"/>
      <w:bookmarkStart w:id="257" w:name="_Toc5920"/>
      <w:r>
        <w:rPr>
          <w:rFonts w:hint="eastAsia" w:ascii="宋体" w:hAnsi="宋体" w:cs="宋体"/>
          <w:sz w:val="24"/>
        </w:rPr>
        <w:t>（1）“电子加密投标文件”：“电子加密投标文件”是指通过“政采云电子交易客户端”完成投标文件编制后生成并加密的数据电文形式的投标文件。</w:t>
      </w:r>
      <w:bookmarkEnd w:id="256"/>
      <w:bookmarkEnd w:id="257"/>
    </w:p>
    <w:p>
      <w:pPr>
        <w:snapToGrid w:val="0"/>
        <w:spacing w:line="440" w:lineRule="exact"/>
        <w:ind w:firstLine="470" w:firstLineChars="196"/>
        <w:jc w:val="left"/>
        <w:outlineLvl w:val="0"/>
        <w:rPr>
          <w:rFonts w:ascii="宋体" w:hAnsi="宋体" w:cs="宋体"/>
          <w:sz w:val="24"/>
        </w:rPr>
      </w:pPr>
      <w:bookmarkStart w:id="258" w:name="_Toc20867"/>
      <w:bookmarkStart w:id="259" w:name="_Toc81"/>
      <w:r>
        <w:rPr>
          <w:rFonts w:hint="eastAsia" w:ascii="宋体" w:hAnsi="宋体" w:cs="宋体"/>
          <w:sz w:val="24"/>
        </w:rPr>
        <w:t>（2）“备份投标文件”：“备份投标文件”是指与“电子加密投标文件”同时生成的数据电文形式的电子文件（备份标书），其他方式编制的“备份投标文件”视为无效的“备份投标文件”。</w:t>
      </w:r>
      <w:bookmarkEnd w:id="258"/>
      <w:bookmarkEnd w:id="259"/>
    </w:p>
    <w:p>
      <w:pPr>
        <w:snapToGrid w:val="0"/>
        <w:spacing w:line="440" w:lineRule="exact"/>
        <w:ind w:firstLine="470" w:firstLineChars="196"/>
        <w:jc w:val="left"/>
        <w:outlineLvl w:val="0"/>
        <w:rPr>
          <w:rFonts w:ascii="宋体" w:hAnsi="宋体" w:cs="宋体"/>
          <w:sz w:val="24"/>
        </w:rPr>
      </w:pPr>
      <w:bookmarkStart w:id="260" w:name="_Toc613"/>
      <w:bookmarkStart w:id="261" w:name="_Toc11337"/>
      <w:r>
        <w:rPr>
          <w:rFonts w:hint="eastAsia" w:ascii="宋体" w:hAnsi="宋体" w:cs="宋体"/>
          <w:sz w:val="24"/>
        </w:rPr>
        <w:t>7.投标文件的份数：见《前附表》。</w:t>
      </w:r>
      <w:bookmarkEnd w:id="260"/>
      <w:bookmarkEnd w:id="261"/>
    </w:p>
    <w:p>
      <w:pPr>
        <w:snapToGrid w:val="0"/>
        <w:spacing w:line="440" w:lineRule="exact"/>
        <w:ind w:firstLine="470" w:firstLineChars="196"/>
        <w:jc w:val="left"/>
        <w:outlineLvl w:val="0"/>
        <w:rPr>
          <w:rFonts w:ascii="宋体" w:hAnsi="宋体" w:cs="宋体"/>
          <w:sz w:val="24"/>
        </w:rPr>
      </w:pPr>
      <w:bookmarkStart w:id="262" w:name="_Toc27959"/>
      <w:bookmarkStart w:id="263" w:name="_Toc1928"/>
      <w:r>
        <w:rPr>
          <w:rFonts w:hint="eastAsia" w:ascii="宋体" w:hAnsi="宋体" w:cs="宋体"/>
          <w:sz w:val="24"/>
        </w:rPr>
        <w:t>8.投标文件的上传和递交：见《前附表》。</w:t>
      </w:r>
      <w:bookmarkEnd w:id="262"/>
      <w:bookmarkEnd w:id="263"/>
    </w:p>
    <w:p>
      <w:pPr>
        <w:snapToGrid w:val="0"/>
        <w:spacing w:line="440" w:lineRule="exact"/>
        <w:ind w:firstLine="470" w:firstLineChars="196"/>
        <w:jc w:val="left"/>
        <w:outlineLvl w:val="0"/>
      </w:pPr>
      <w:bookmarkStart w:id="264" w:name="_Toc23325"/>
      <w:bookmarkStart w:id="265" w:name="_Toc18679"/>
      <w:r>
        <w:rPr>
          <w:rFonts w:hint="eastAsia" w:ascii="宋体" w:hAnsi="宋体" w:cs="宋体"/>
          <w:sz w:val="24"/>
        </w:rPr>
        <w:t>9.“电子加密投标文件”解密和异常情况处理：见《前附表》。</w:t>
      </w:r>
      <w:bookmarkEnd w:id="264"/>
      <w:bookmarkEnd w:id="265"/>
    </w:p>
    <w:p>
      <w:pPr>
        <w:numPr>
          <w:ilvl w:val="0"/>
          <w:numId w:val="3"/>
        </w:numPr>
        <w:adjustRightInd w:val="0"/>
        <w:snapToGrid w:val="0"/>
        <w:spacing w:line="400" w:lineRule="exact"/>
        <w:jc w:val="left"/>
        <w:rPr>
          <w:rFonts w:ascii="宋体" w:hAnsi="宋体"/>
          <w:b/>
          <w:sz w:val="24"/>
        </w:rPr>
      </w:pPr>
      <w:r>
        <w:rPr>
          <w:rFonts w:hint="eastAsia" w:ascii="宋体" w:hAnsi="宋体"/>
          <w:b/>
          <w:sz w:val="24"/>
        </w:rPr>
        <w:t>投标文件的包装、递交、修改和撤回</w:t>
      </w:r>
    </w:p>
    <w:p>
      <w:pPr>
        <w:adjustRightInd w:val="0"/>
        <w:snapToGrid w:val="0"/>
        <w:spacing w:line="440" w:lineRule="exact"/>
        <w:ind w:firstLine="470" w:firstLineChars="196"/>
        <w:jc w:val="left"/>
        <w:rPr>
          <w:rFonts w:ascii="宋体" w:hAnsi="宋体" w:cs="宋体"/>
          <w:sz w:val="24"/>
        </w:rPr>
      </w:pPr>
      <w:r>
        <w:rPr>
          <w:rFonts w:hint="eastAsia" w:ascii="宋体" w:hAnsi="宋体" w:cs="宋体"/>
          <w:sz w:val="24"/>
        </w:rPr>
        <w:t>1.供应商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作无效标处理。</w:t>
      </w:r>
    </w:p>
    <w:p>
      <w:pPr>
        <w:adjustRightInd w:val="0"/>
        <w:snapToGrid w:val="0"/>
        <w:spacing w:line="440" w:lineRule="exact"/>
        <w:ind w:firstLine="470" w:firstLineChars="196"/>
        <w:jc w:val="left"/>
        <w:rPr>
          <w:rFonts w:ascii="宋体" w:hAnsi="宋体" w:cs="宋体"/>
          <w:sz w:val="24"/>
        </w:rPr>
      </w:pPr>
      <w:bookmarkStart w:id="266" w:name="_Toc177870552"/>
      <w:r>
        <w:rPr>
          <w:rFonts w:hint="eastAsia" w:ascii="宋体" w:hAnsi="宋体" w:cs="宋体"/>
          <w:sz w:val="24"/>
        </w:rPr>
        <w:t>2. 投标供应商如需递交“备份投标文件”，应在投标截止时间前将“备份投标文件”递交至发包文件指定地点。</w:t>
      </w:r>
    </w:p>
    <w:p>
      <w:pPr>
        <w:adjustRightInd w:val="0"/>
        <w:snapToGrid w:val="0"/>
        <w:spacing w:line="440" w:lineRule="exact"/>
        <w:ind w:firstLine="470" w:firstLineChars="196"/>
        <w:jc w:val="left"/>
        <w:rPr>
          <w:rFonts w:ascii="宋体" w:hAnsi="宋体" w:cs="宋体"/>
          <w:sz w:val="24"/>
        </w:rPr>
      </w:pPr>
      <w:r>
        <w:rPr>
          <w:rFonts w:hint="eastAsia" w:ascii="宋体" w:hAnsi="宋体" w:cs="宋体"/>
          <w:sz w:val="24"/>
        </w:rPr>
        <w:t>“备份投标文件”包括《资格文件》、《技术、商务、资信及其他文件》及《报价文件》各一份。“备份投标文件”的包装封面上应注明供应商名称、供应商地址、投标文件名称、投标项目名称、标项及项目编号，并加盖供应商公章。未按规定密封、包装或标记的，由此造成“备份投标文件”被误投或提前拆封的风险由投标供应商承担。</w:t>
      </w:r>
    </w:p>
    <w:p>
      <w:pPr>
        <w:adjustRightInd w:val="0"/>
        <w:snapToGrid w:val="0"/>
        <w:spacing w:line="400" w:lineRule="exact"/>
        <w:rPr>
          <w:rFonts w:ascii="宋体" w:hAnsi="宋体"/>
          <w:b/>
          <w:sz w:val="24"/>
        </w:rPr>
      </w:pPr>
      <w:r>
        <w:rPr>
          <w:rFonts w:hint="eastAsia" w:ascii="宋体" w:hAnsi="宋体"/>
          <w:b/>
          <w:sz w:val="24"/>
        </w:rPr>
        <w:t>（七）投标无效的情形</w:t>
      </w:r>
      <w:bookmarkEnd w:id="266"/>
    </w:p>
    <w:p>
      <w:pPr>
        <w:spacing w:line="400" w:lineRule="exact"/>
        <w:ind w:firstLine="480" w:firstLineChars="200"/>
        <w:rPr>
          <w:rFonts w:ascii="宋体" w:hAnsi="宋体"/>
          <w:sz w:val="24"/>
        </w:rPr>
      </w:pPr>
      <w:bookmarkStart w:id="267" w:name="_Toc293916020"/>
      <w:bookmarkStart w:id="268" w:name="_Toc177870553"/>
      <w:bookmarkStart w:id="269" w:name="_Toc107820050"/>
      <w:bookmarkStart w:id="270" w:name="_Toc293916371"/>
      <w:bookmarkStart w:id="271" w:name="_Toc170792769"/>
      <w:bookmarkStart w:id="272" w:name="_Toc293916879"/>
      <w:bookmarkStart w:id="273" w:name="_Toc293917020"/>
      <w:r>
        <w:rPr>
          <w:rFonts w:hint="eastAsia" w:ascii="宋体" w:hAnsi="宋体"/>
          <w:sz w:val="24"/>
        </w:rPr>
        <w:t>实质上没有响应招标文件要求的投标将被视为无效投标。在评审时，如发现下列情形之一的，投标文件将被视为无效：</w:t>
      </w:r>
    </w:p>
    <w:p>
      <w:pPr>
        <w:adjustRightInd w:val="0"/>
        <w:snapToGrid w:val="0"/>
        <w:spacing w:line="360" w:lineRule="exact"/>
        <w:ind w:firstLine="720" w:firstLineChars="300"/>
        <w:jc w:val="left"/>
        <w:rPr>
          <w:rFonts w:ascii="宋体" w:hAnsi="宋体"/>
          <w:sz w:val="24"/>
        </w:rPr>
      </w:pPr>
      <w:r>
        <w:rPr>
          <w:rFonts w:hint="eastAsia" w:ascii="宋体" w:hAnsi="宋体"/>
          <w:sz w:val="24"/>
        </w:rPr>
        <w:t>1、在资格审查时，如发现下列情形之一的，投标文件将被视为无效：</w:t>
      </w:r>
    </w:p>
    <w:p>
      <w:pPr>
        <w:adjustRightInd w:val="0"/>
        <w:snapToGrid w:val="0"/>
        <w:spacing w:line="360" w:lineRule="exact"/>
        <w:ind w:firstLine="720" w:firstLineChars="300"/>
        <w:jc w:val="left"/>
        <w:rPr>
          <w:rFonts w:ascii="宋体" w:hAnsi="宋体"/>
          <w:sz w:val="24"/>
        </w:rPr>
      </w:pPr>
      <w:r>
        <w:rPr>
          <w:rFonts w:hint="eastAsia" w:ascii="宋体" w:hAnsi="宋体"/>
          <w:sz w:val="24"/>
        </w:rPr>
        <w:t>（1）资格证明文件不全的，或者不符合招标文件标明的资格要求的；</w:t>
      </w:r>
    </w:p>
    <w:p>
      <w:pPr>
        <w:adjustRightInd w:val="0"/>
        <w:snapToGrid w:val="0"/>
        <w:spacing w:line="360" w:lineRule="exact"/>
        <w:ind w:firstLine="720" w:firstLineChars="300"/>
        <w:jc w:val="left"/>
        <w:rPr>
          <w:rFonts w:ascii="宋体" w:hAnsi="宋体"/>
          <w:sz w:val="24"/>
        </w:rPr>
      </w:pPr>
      <w:r>
        <w:rPr>
          <w:rFonts w:hint="eastAsia" w:ascii="宋体" w:hAnsi="宋体"/>
          <w:sz w:val="24"/>
        </w:rPr>
        <w:t>（2）投标人是采购人不具有独立法人资格的附属机构（单位）；</w:t>
      </w:r>
    </w:p>
    <w:p>
      <w:pPr>
        <w:adjustRightInd w:val="0"/>
        <w:snapToGrid w:val="0"/>
        <w:spacing w:line="360" w:lineRule="exact"/>
        <w:ind w:firstLine="720" w:firstLineChars="300"/>
        <w:jc w:val="left"/>
        <w:rPr>
          <w:rFonts w:ascii="宋体" w:hAnsi="宋体"/>
          <w:sz w:val="24"/>
        </w:rPr>
      </w:pPr>
      <w:r>
        <w:rPr>
          <w:rFonts w:hint="eastAsia" w:ascii="宋体" w:hAnsi="宋体"/>
          <w:sz w:val="24"/>
        </w:rPr>
        <w:t>（3）至本项目投标截止时间前，投标人在“信用中国”网站www.creditchina.gov.cn、“中国政府采购网”www.ccgp.gov.cn中被列入失信被执行人、重大税收违法案件当事人名单、政府采购严重违法失信行为记录名单的。</w:t>
      </w:r>
    </w:p>
    <w:p>
      <w:pPr>
        <w:adjustRightInd w:val="0"/>
        <w:snapToGrid w:val="0"/>
        <w:spacing w:line="360" w:lineRule="exact"/>
        <w:ind w:firstLine="720" w:firstLineChars="300"/>
        <w:jc w:val="left"/>
        <w:rPr>
          <w:rFonts w:ascii="宋体" w:hAnsi="宋体"/>
          <w:sz w:val="24"/>
        </w:rPr>
      </w:pPr>
      <w:r>
        <w:rPr>
          <w:rFonts w:hint="eastAsia" w:ascii="宋体" w:hAnsi="宋体"/>
          <w:sz w:val="24"/>
        </w:rPr>
        <w:t>2、在符合性审查时，如发现下列情形之一的，投标文件将被视为无效：</w:t>
      </w:r>
    </w:p>
    <w:p>
      <w:pPr>
        <w:adjustRightInd w:val="0"/>
        <w:snapToGrid w:val="0"/>
        <w:spacing w:line="360" w:lineRule="exact"/>
        <w:ind w:firstLine="720" w:firstLineChars="300"/>
        <w:jc w:val="left"/>
        <w:rPr>
          <w:rFonts w:ascii="宋体" w:hAnsi="宋体"/>
          <w:sz w:val="24"/>
        </w:rPr>
      </w:pPr>
      <w:r>
        <w:rPr>
          <w:rFonts w:hint="eastAsia" w:ascii="宋体" w:hAnsi="宋体"/>
          <w:sz w:val="24"/>
        </w:rPr>
        <w:t>（1）授权代理人未经有效授权的；</w:t>
      </w:r>
    </w:p>
    <w:p>
      <w:pPr>
        <w:adjustRightInd w:val="0"/>
        <w:snapToGrid w:val="0"/>
        <w:spacing w:line="360" w:lineRule="exact"/>
        <w:ind w:firstLine="720" w:firstLineChars="300"/>
        <w:jc w:val="left"/>
        <w:rPr>
          <w:rFonts w:ascii="宋体" w:hAnsi="宋体"/>
          <w:sz w:val="24"/>
        </w:rPr>
      </w:pPr>
      <w:r>
        <w:rPr>
          <w:rFonts w:hint="eastAsia" w:ascii="宋体" w:hAnsi="宋体"/>
          <w:sz w:val="24"/>
        </w:rPr>
        <w:t>（2）投标文件未按照招标文件规定的要求签署、盖章的；</w:t>
      </w:r>
    </w:p>
    <w:p>
      <w:pPr>
        <w:adjustRightInd w:val="0"/>
        <w:snapToGrid w:val="0"/>
        <w:spacing w:line="360" w:lineRule="exact"/>
        <w:ind w:firstLine="720" w:firstLineChars="300"/>
        <w:jc w:val="left"/>
        <w:rPr>
          <w:rFonts w:ascii="宋体" w:hAnsi="宋体"/>
          <w:sz w:val="24"/>
        </w:rPr>
      </w:pPr>
      <w:r>
        <w:rPr>
          <w:rFonts w:hint="eastAsia" w:ascii="宋体" w:hAnsi="宋体"/>
          <w:sz w:val="24"/>
        </w:rPr>
        <w:t>（3）投标有效期、交货期（服务期）、质保期等不能满足招标文件要求的；</w:t>
      </w:r>
    </w:p>
    <w:p>
      <w:pPr>
        <w:adjustRightInd w:val="0"/>
        <w:snapToGrid w:val="0"/>
        <w:spacing w:line="360" w:lineRule="exact"/>
        <w:ind w:firstLine="720" w:firstLineChars="300"/>
        <w:jc w:val="left"/>
        <w:rPr>
          <w:rFonts w:ascii="宋体" w:hAnsi="宋体"/>
          <w:sz w:val="24"/>
        </w:rPr>
      </w:pPr>
      <w:r>
        <w:rPr>
          <w:rFonts w:hint="eastAsia" w:ascii="宋体" w:hAnsi="宋体"/>
          <w:sz w:val="24"/>
        </w:rPr>
        <w:t>（4）不响应或者擅自改变招标文件要求或者投标文件有采购人不能接受的附加条件的；</w:t>
      </w:r>
    </w:p>
    <w:p>
      <w:pPr>
        <w:adjustRightInd w:val="0"/>
        <w:snapToGrid w:val="0"/>
        <w:spacing w:line="360" w:lineRule="exact"/>
        <w:ind w:firstLine="720" w:firstLineChars="300"/>
        <w:jc w:val="left"/>
        <w:rPr>
          <w:rFonts w:ascii="宋体" w:hAnsi="宋体"/>
          <w:sz w:val="24"/>
        </w:rPr>
      </w:pPr>
      <w:r>
        <w:rPr>
          <w:rFonts w:hint="eastAsia" w:ascii="宋体" w:hAnsi="宋体"/>
          <w:sz w:val="24"/>
        </w:rPr>
        <w:t>（5）未提供或未如实提供服务内容，或者虚假投标的。</w:t>
      </w:r>
    </w:p>
    <w:p>
      <w:pPr>
        <w:adjustRightInd w:val="0"/>
        <w:snapToGrid w:val="0"/>
        <w:spacing w:line="360" w:lineRule="exact"/>
        <w:ind w:firstLine="720" w:firstLineChars="300"/>
        <w:jc w:val="left"/>
        <w:rPr>
          <w:rFonts w:ascii="宋体" w:hAnsi="宋体"/>
          <w:sz w:val="24"/>
        </w:rPr>
      </w:pPr>
      <w:r>
        <w:rPr>
          <w:rFonts w:hint="eastAsia" w:ascii="宋体" w:hAnsi="宋体"/>
          <w:sz w:val="24"/>
        </w:rPr>
        <w:t>3、在技术评审时，如发现下列情形之一的，投标文件将被视为无效：</w:t>
      </w:r>
    </w:p>
    <w:p>
      <w:pPr>
        <w:adjustRightInd w:val="0"/>
        <w:snapToGrid w:val="0"/>
        <w:spacing w:line="360" w:lineRule="exact"/>
        <w:ind w:firstLine="720" w:firstLineChars="300"/>
        <w:jc w:val="left"/>
        <w:rPr>
          <w:rFonts w:ascii="宋体" w:hAnsi="宋体"/>
          <w:sz w:val="24"/>
        </w:rPr>
      </w:pPr>
      <w:r>
        <w:rPr>
          <w:rFonts w:hint="eastAsia" w:ascii="宋体" w:hAnsi="宋体"/>
          <w:sz w:val="24"/>
        </w:rPr>
        <w:t>（1）与招标文件中标“▲”的服务指标、主要服务要求发生实质性偏离的；</w:t>
      </w:r>
    </w:p>
    <w:p>
      <w:pPr>
        <w:adjustRightInd w:val="0"/>
        <w:snapToGrid w:val="0"/>
        <w:spacing w:line="360" w:lineRule="exact"/>
        <w:ind w:firstLine="720" w:firstLineChars="300"/>
        <w:jc w:val="left"/>
        <w:rPr>
          <w:rFonts w:ascii="宋体" w:hAnsi="宋体"/>
          <w:sz w:val="24"/>
        </w:rPr>
      </w:pPr>
      <w:r>
        <w:rPr>
          <w:rFonts w:hint="eastAsia" w:ascii="宋体" w:hAnsi="宋体"/>
          <w:sz w:val="24"/>
        </w:rPr>
        <w:t>（2）投标项目方案不明确，存在一个或一个以上备选（替代）投标方案且未注明哪个有效的；</w:t>
      </w:r>
    </w:p>
    <w:p>
      <w:pPr>
        <w:adjustRightInd w:val="0"/>
        <w:snapToGrid w:val="0"/>
        <w:spacing w:line="360" w:lineRule="exact"/>
        <w:ind w:firstLine="720" w:firstLineChars="300"/>
        <w:jc w:val="left"/>
        <w:rPr>
          <w:rFonts w:ascii="宋体" w:hAnsi="宋体"/>
          <w:sz w:val="24"/>
        </w:rPr>
      </w:pPr>
      <w:r>
        <w:rPr>
          <w:rFonts w:hint="eastAsia" w:ascii="宋体" w:hAnsi="宋体"/>
          <w:sz w:val="24"/>
        </w:rPr>
        <w:t>（3）</w:t>
      </w:r>
      <w:r>
        <w:rPr>
          <w:rFonts w:hint="eastAsia" w:ascii="宋体" w:hAnsi="宋体"/>
          <w:bCs/>
          <w:sz w:val="24"/>
        </w:rPr>
        <w:t>项目方案不符合项目需求或不具有操作性的</w:t>
      </w:r>
      <w:r>
        <w:rPr>
          <w:rFonts w:hint="eastAsia" w:ascii="宋体" w:hAnsi="宋体"/>
          <w:sz w:val="24"/>
        </w:rPr>
        <w:t>。</w:t>
      </w:r>
    </w:p>
    <w:p>
      <w:pPr>
        <w:adjustRightInd w:val="0"/>
        <w:snapToGrid w:val="0"/>
        <w:spacing w:line="360" w:lineRule="exact"/>
        <w:ind w:firstLine="720" w:firstLineChars="300"/>
        <w:jc w:val="left"/>
        <w:rPr>
          <w:rFonts w:ascii="宋体" w:hAnsi="宋体"/>
          <w:sz w:val="24"/>
        </w:rPr>
      </w:pPr>
      <w:r>
        <w:rPr>
          <w:rFonts w:hint="eastAsia" w:ascii="宋体" w:hAnsi="宋体"/>
          <w:sz w:val="24"/>
        </w:rPr>
        <w:t>4、在价格评审时，如发现下列情形之一的，投标文件将被视为无效：</w:t>
      </w:r>
    </w:p>
    <w:p>
      <w:pPr>
        <w:adjustRightInd w:val="0"/>
        <w:spacing w:line="360" w:lineRule="exact"/>
        <w:ind w:firstLine="720" w:firstLineChars="300"/>
        <w:jc w:val="left"/>
        <w:rPr>
          <w:rFonts w:ascii="宋体" w:hAnsi="宋体"/>
          <w:sz w:val="24"/>
        </w:rPr>
      </w:pPr>
      <w:r>
        <w:rPr>
          <w:rFonts w:hint="eastAsia" w:ascii="宋体" w:hAnsi="宋体"/>
          <w:sz w:val="24"/>
        </w:rPr>
        <w:t>（1）报价超出采购预算金额或最高限价(自主创新产品除外)的；</w:t>
      </w:r>
    </w:p>
    <w:p>
      <w:pPr>
        <w:adjustRightInd w:val="0"/>
        <w:spacing w:line="360" w:lineRule="exact"/>
        <w:ind w:firstLine="720" w:firstLineChars="300"/>
        <w:jc w:val="left"/>
        <w:rPr>
          <w:rFonts w:ascii="宋体" w:hAnsi="宋体"/>
          <w:sz w:val="24"/>
        </w:rPr>
      </w:pPr>
      <w:r>
        <w:rPr>
          <w:rFonts w:hint="eastAsia" w:ascii="宋体" w:hAnsi="宋体"/>
          <w:sz w:val="24"/>
        </w:rPr>
        <w:t>（2）投标报价具有选择性，且未注明哪个有效的；</w:t>
      </w:r>
    </w:p>
    <w:p>
      <w:pPr>
        <w:adjustRightInd w:val="0"/>
        <w:spacing w:line="360" w:lineRule="exact"/>
        <w:ind w:firstLine="720" w:firstLineChars="300"/>
        <w:jc w:val="left"/>
        <w:rPr>
          <w:rFonts w:ascii="宋体" w:hAnsi="宋体"/>
          <w:sz w:val="24"/>
        </w:rPr>
      </w:pPr>
      <w:r>
        <w:rPr>
          <w:rFonts w:hint="eastAsia" w:ascii="宋体" w:hAnsi="宋体"/>
          <w:sz w:val="24"/>
        </w:rPr>
        <w:t>（3）投标报价出现前后不一致且不同意按照招标文件规定的方法进行修正的；</w:t>
      </w:r>
    </w:p>
    <w:p>
      <w:pPr>
        <w:adjustRightInd w:val="0"/>
        <w:spacing w:line="360" w:lineRule="exact"/>
        <w:ind w:firstLine="720" w:firstLineChars="300"/>
        <w:jc w:val="left"/>
        <w:rPr>
          <w:rFonts w:ascii="宋体" w:hAnsi="宋体"/>
          <w:sz w:val="24"/>
        </w:rPr>
      </w:pPr>
      <w:r>
        <w:rPr>
          <w:rFonts w:hint="eastAsia" w:ascii="宋体" w:hAnsi="宋体"/>
          <w:sz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可以当将其作为无效投标处理。</w:t>
      </w:r>
    </w:p>
    <w:p>
      <w:pPr>
        <w:adjustRightInd w:val="0"/>
        <w:snapToGrid w:val="0"/>
        <w:spacing w:line="360" w:lineRule="exact"/>
        <w:ind w:firstLine="720" w:firstLineChars="300"/>
        <w:jc w:val="left"/>
        <w:rPr>
          <w:rFonts w:ascii="宋体" w:hAnsi="宋体"/>
          <w:sz w:val="24"/>
        </w:rPr>
      </w:pPr>
      <w:r>
        <w:rPr>
          <w:rFonts w:hint="eastAsia" w:ascii="宋体" w:hAnsi="宋体"/>
          <w:sz w:val="24"/>
        </w:rPr>
        <w:t>5、投标人串通投标的，投标无效。</w:t>
      </w:r>
    </w:p>
    <w:p>
      <w:pPr>
        <w:adjustRightInd w:val="0"/>
        <w:snapToGrid w:val="0"/>
        <w:spacing w:line="360" w:lineRule="exact"/>
        <w:ind w:firstLine="720" w:firstLineChars="300"/>
        <w:jc w:val="left"/>
        <w:rPr>
          <w:rFonts w:ascii="宋体" w:hAnsi="宋体"/>
          <w:sz w:val="24"/>
        </w:rPr>
      </w:pPr>
      <w:r>
        <w:rPr>
          <w:rFonts w:hint="eastAsia" w:ascii="宋体" w:hAnsi="宋体"/>
          <w:sz w:val="24"/>
        </w:rPr>
        <w:t>投标人有以下情形之一的，视为投标人串通投标：</w:t>
      </w:r>
    </w:p>
    <w:p>
      <w:pPr>
        <w:adjustRightInd w:val="0"/>
        <w:snapToGrid w:val="0"/>
        <w:spacing w:line="360" w:lineRule="exact"/>
        <w:ind w:firstLine="720" w:firstLineChars="300"/>
        <w:jc w:val="left"/>
        <w:rPr>
          <w:rFonts w:ascii="宋体" w:hAnsi="宋体"/>
          <w:sz w:val="24"/>
        </w:rPr>
      </w:pPr>
      <w:r>
        <w:rPr>
          <w:rFonts w:hint="eastAsia" w:ascii="宋体" w:hAnsi="宋体"/>
          <w:sz w:val="24"/>
        </w:rPr>
        <w:t>（1）不同投标人的投标文件由同一单位或者个人编制；</w:t>
      </w:r>
    </w:p>
    <w:p>
      <w:pPr>
        <w:adjustRightInd w:val="0"/>
        <w:snapToGrid w:val="0"/>
        <w:spacing w:line="360" w:lineRule="exact"/>
        <w:ind w:firstLine="720" w:firstLineChars="300"/>
        <w:jc w:val="left"/>
        <w:rPr>
          <w:rFonts w:ascii="宋体" w:hAnsi="宋体"/>
          <w:sz w:val="24"/>
        </w:rPr>
      </w:pPr>
      <w:r>
        <w:rPr>
          <w:rFonts w:hint="eastAsia" w:ascii="宋体" w:hAnsi="宋体"/>
          <w:sz w:val="24"/>
        </w:rPr>
        <w:t>（2）不同投标人委托同一单位或者个人办理投标事宜；</w:t>
      </w:r>
    </w:p>
    <w:p>
      <w:pPr>
        <w:adjustRightInd w:val="0"/>
        <w:snapToGrid w:val="0"/>
        <w:spacing w:line="360" w:lineRule="exact"/>
        <w:ind w:firstLine="720" w:firstLineChars="300"/>
        <w:jc w:val="left"/>
        <w:rPr>
          <w:rFonts w:ascii="宋体" w:hAnsi="宋体"/>
          <w:sz w:val="24"/>
        </w:rPr>
      </w:pPr>
      <w:r>
        <w:rPr>
          <w:rFonts w:hint="eastAsia" w:ascii="宋体" w:hAnsi="宋体"/>
          <w:sz w:val="24"/>
        </w:rPr>
        <w:t>（3）不同投标人的投标文件载明的项目管理成员或者联系人员为同一人；</w:t>
      </w:r>
    </w:p>
    <w:p>
      <w:pPr>
        <w:adjustRightInd w:val="0"/>
        <w:snapToGrid w:val="0"/>
        <w:spacing w:line="360" w:lineRule="exact"/>
        <w:ind w:firstLine="720" w:firstLineChars="300"/>
        <w:jc w:val="left"/>
        <w:rPr>
          <w:rFonts w:ascii="宋体" w:hAnsi="宋体"/>
          <w:sz w:val="24"/>
        </w:rPr>
      </w:pPr>
      <w:r>
        <w:rPr>
          <w:rFonts w:hint="eastAsia" w:ascii="宋体" w:hAnsi="宋体"/>
          <w:sz w:val="24"/>
        </w:rPr>
        <w:t>（4）不同投标人的投标文件异常一致或者投标报价呈规律性差异；</w:t>
      </w:r>
    </w:p>
    <w:p>
      <w:pPr>
        <w:adjustRightInd w:val="0"/>
        <w:snapToGrid w:val="0"/>
        <w:spacing w:line="360" w:lineRule="exact"/>
        <w:ind w:firstLine="720" w:firstLineChars="300"/>
        <w:jc w:val="left"/>
        <w:rPr>
          <w:rFonts w:ascii="宋体" w:hAnsi="宋体"/>
          <w:sz w:val="24"/>
        </w:rPr>
      </w:pPr>
      <w:r>
        <w:rPr>
          <w:rFonts w:hint="eastAsia" w:ascii="宋体" w:hAnsi="宋体"/>
          <w:sz w:val="24"/>
        </w:rPr>
        <w:t>（5）不同投标人的投标文件相互混装；</w:t>
      </w:r>
    </w:p>
    <w:p>
      <w:pPr>
        <w:adjustRightInd w:val="0"/>
        <w:snapToGrid w:val="0"/>
        <w:spacing w:line="360" w:lineRule="exact"/>
        <w:ind w:firstLine="720" w:firstLineChars="300"/>
        <w:jc w:val="left"/>
        <w:rPr>
          <w:rFonts w:ascii="宋体" w:hAnsi="宋体"/>
          <w:sz w:val="24"/>
        </w:rPr>
      </w:pPr>
      <w:r>
        <w:rPr>
          <w:rFonts w:hint="eastAsia" w:ascii="宋体" w:hAnsi="宋体"/>
          <w:sz w:val="24"/>
        </w:rPr>
        <w:t>6、法律、法规和招标文件规定的其他无效标情形。</w:t>
      </w:r>
    </w:p>
    <w:p>
      <w:pPr>
        <w:adjustRightInd w:val="0"/>
        <w:snapToGrid w:val="0"/>
        <w:spacing w:line="360" w:lineRule="exact"/>
        <w:ind w:firstLine="720" w:firstLineChars="300"/>
        <w:jc w:val="left"/>
        <w:rPr>
          <w:rFonts w:ascii="宋体" w:hAnsi="宋体"/>
          <w:sz w:val="24"/>
        </w:rPr>
      </w:pPr>
      <w:r>
        <w:rPr>
          <w:rFonts w:hint="eastAsia" w:ascii="宋体" w:hAnsi="宋体"/>
          <w:sz w:val="24"/>
        </w:rPr>
        <w:t>7、出现以下情形，导致电子交易平台无法正常进行，或者无法保证电子交易的公平、公正和安全时，中止电子交易活动：</w:t>
      </w:r>
    </w:p>
    <w:p>
      <w:pPr>
        <w:adjustRightInd w:val="0"/>
        <w:snapToGrid w:val="0"/>
        <w:spacing w:line="360" w:lineRule="exact"/>
        <w:ind w:firstLine="720" w:firstLineChars="300"/>
        <w:jc w:val="left"/>
        <w:rPr>
          <w:rFonts w:ascii="宋体" w:hAnsi="宋体"/>
          <w:sz w:val="24"/>
        </w:rPr>
      </w:pPr>
      <w:r>
        <w:rPr>
          <w:rFonts w:hint="eastAsia" w:ascii="宋体" w:hAnsi="宋体"/>
          <w:sz w:val="24"/>
        </w:rPr>
        <w:t>7.1电子交易平台发生故障而无法登录访问的；</w:t>
      </w:r>
    </w:p>
    <w:p>
      <w:pPr>
        <w:adjustRightInd w:val="0"/>
        <w:snapToGrid w:val="0"/>
        <w:spacing w:line="360" w:lineRule="exact"/>
        <w:ind w:firstLine="720" w:firstLineChars="300"/>
        <w:jc w:val="left"/>
        <w:rPr>
          <w:rFonts w:ascii="宋体" w:hAnsi="宋体"/>
          <w:sz w:val="24"/>
        </w:rPr>
      </w:pPr>
      <w:r>
        <w:rPr>
          <w:rFonts w:hint="eastAsia" w:ascii="宋体" w:hAnsi="宋体"/>
          <w:sz w:val="24"/>
        </w:rPr>
        <w:t>7.2电子交易平台应用或数据库出现错误，不能进行正常操作的；</w:t>
      </w:r>
    </w:p>
    <w:p>
      <w:pPr>
        <w:adjustRightInd w:val="0"/>
        <w:snapToGrid w:val="0"/>
        <w:spacing w:line="360" w:lineRule="exact"/>
        <w:ind w:firstLine="720" w:firstLineChars="300"/>
        <w:jc w:val="left"/>
        <w:rPr>
          <w:rFonts w:ascii="宋体" w:hAnsi="宋体"/>
          <w:sz w:val="24"/>
        </w:rPr>
      </w:pPr>
      <w:r>
        <w:rPr>
          <w:rFonts w:hint="eastAsia" w:ascii="宋体" w:hAnsi="宋体"/>
          <w:sz w:val="24"/>
        </w:rPr>
        <w:t>7.3电子交易平台发现严重安全漏洞，有潜在泄密危险的；</w:t>
      </w:r>
    </w:p>
    <w:p>
      <w:pPr>
        <w:adjustRightInd w:val="0"/>
        <w:snapToGrid w:val="0"/>
        <w:spacing w:line="360" w:lineRule="exact"/>
        <w:ind w:firstLine="720" w:firstLineChars="300"/>
        <w:jc w:val="left"/>
        <w:rPr>
          <w:rFonts w:ascii="宋体" w:hAnsi="宋体"/>
          <w:sz w:val="24"/>
        </w:rPr>
      </w:pPr>
      <w:r>
        <w:rPr>
          <w:rFonts w:hint="eastAsia" w:ascii="宋体" w:hAnsi="宋体"/>
          <w:sz w:val="24"/>
        </w:rPr>
        <w:t>7.4病毒发作导致不能进行正常操作的；</w:t>
      </w:r>
    </w:p>
    <w:p>
      <w:pPr>
        <w:adjustRightInd w:val="0"/>
        <w:snapToGrid w:val="0"/>
        <w:spacing w:line="360" w:lineRule="exact"/>
        <w:ind w:firstLine="720" w:firstLineChars="300"/>
        <w:jc w:val="left"/>
        <w:rPr>
          <w:rFonts w:ascii="宋体" w:hAnsi="宋体"/>
          <w:sz w:val="24"/>
        </w:rPr>
      </w:pPr>
      <w:r>
        <w:rPr>
          <w:rFonts w:hint="eastAsia" w:ascii="宋体" w:hAnsi="宋体"/>
          <w:sz w:val="24"/>
        </w:rPr>
        <w:t>7.5其他无法保证电子交易的公平、公正和安全的情况。</w:t>
      </w:r>
    </w:p>
    <w:p>
      <w:pPr>
        <w:adjustRightInd w:val="0"/>
        <w:snapToGrid w:val="0"/>
        <w:spacing w:line="360" w:lineRule="exact"/>
        <w:ind w:firstLine="720" w:firstLineChars="300"/>
        <w:jc w:val="left"/>
        <w:rPr>
          <w:rFonts w:ascii="宋体" w:hAnsi="宋体"/>
          <w:sz w:val="24"/>
        </w:rPr>
      </w:pPr>
      <w:r>
        <w:rPr>
          <w:rFonts w:hint="eastAsia" w:ascii="宋体" w:hAnsi="宋体"/>
          <w:sz w:val="24"/>
        </w:rPr>
        <w:t>出现以上规定情形，不影响采购公平、公正性的，采购代理机构可以待上述情形消除后继续组织电子交易活动，也可以决定某些环节以纸质形式进行；影响或可能影响采购公平、公正性的，重新采购。</w:t>
      </w:r>
    </w:p>
    <w:p>
      <w:pPr>
        <w:pStyle w:val="22"/>
        <w:ind w:firstLine="0"/>
      </w:pPr>
    </w:p>
    <w:p>
      <w:pPr>
        <w:spacing w:line="400" w:lineRule="exact"/>
        <w:rPr>
          <w:rFonts w:ascii="宋体" w:hAnsi="宋体"/>
          <w:b/>
          <w:bCs/>
          <w:sz w:val="24"/>
        </w:rPr>
      </w:pPr>
      <w:r>
        <w:rPr>
          <w:rFonts w:ascii="宋体" w:hAnsi="宋体"/>
          <w:b/>
          <w:bCs/>
          <w:sz w:val="24"/>
        </w:rPr>
        <w:t>（</w:t>
      </w:r>
      <w:r>
        <w:rPr>
          <w:rFonts w:hint="eastAsia" w:ascii="宋体" w:hAnsi="宋体"/>
          <w:b/>
          <w:bCs/>
          <w:sz w:val="24"/>
        </w:rPr>
        <w:t>八</w:t>
      </w:r>
      <w:r>
        <w:rPr>
          <w:rFonts w:ascii="宋体" w:hAnsi="宋体"/>
          <w:b/>
          <w:bCs/>
          <w:sz w:val="24"/>
        </w:rPr>
        <w:t>）废标的情形</w:t>
      </w:r>
    </w:p>
    <w:p>
      <w:pPr>
        <w:spacing w:line="400" w:lineRule="exact"/>
        <w:ind w:firstLine="480" w:firstLineChars="200"/>
        <w:rPr>
          <w:rFonts w:ascii="宋体" w:hAnsi="宋体"/>
          <w:sz w:val="24"/>
        </w:rPr>
      </w:pPr>
      <w:r>
        <w:rPr>
          <w:rFonts w:ascii="宋体" w:hAnsi="宋体"/>
          <w:sz w:val="24"/>
        </w:rPr>
        <w:t>在招标采购中，出现下列情形之一的，应予废标：</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符合专业条件的供应商或者对招标文件作实质性响应的供应商不足三家的</w:t>
      </w:r>
      <w:r>
        <w:rPr>
          <w:rFonts w:ascii="宋体" w:hAnsi="宋体"/>
          <w:sz w:val="24"/>
        </w:rPr>
        <w:t>；</w:t>
      </w:r>
    </w:p>
    <w:p>
      <w:pPr>
        <w:spacing w:line="400" w:lineRule="exact"/>
        <w:ind w:firstLine="480" w:firstLineChars="200"/>
        <w:rPr>
          <w:rFonts w:ascii="宋体" w:hAnsi="宋体"/>
          <w:sz w:val="24"/>
        </w:rPr>
      </w:pPr>
      <w:r>
        <w:rPr>
          <w:rFonts w:ascii="宋体" w:hAnsi="宋体"/>
          <w:sz w:val="24"/>
        </w:rPr>
        <w:t>（2）出现影响采购公正的违法、违规行为的；</w:t>
      </w:r>
    </w:p>
    <w:p>
      <w:pPr>
        <w:spacing w:line="400" w:lineRule="exact"/>
        <w:ind w:firstLine="480" w:firstLineChars="200"/>
        <w:rPr>
          <w:rFonts w:ascii="宋体" w:hAnsi="宋体"/>
          <w:sz w:val="24"/>
        </w:rPr>
      </w:pPr>
      <w:r>
        <w:rPr>
          <w:rFonts w:ascii="宋体" w:hAnsi="宋体"/>
          <w:sz w:val="24"/>
        </w:rPr>
        <w:t>（3）投标人的报价均超过了采购预算</w:t>
      </w:r>
      <w:r>
        <w:rPr>
          <w:rFonts w:hint="eastAsia" w:ascii="宋体" w:hAnsi="宋体"/>
          <w:sz w:val="24"/>
        </w:rPr>
        <w:t>或单价限价</w:t>
      </w:r>
      <w:r>
        <w:rPr>
          <w:rFonts w:ascii="宋体" w:hAnsi="宋体"/>
          <w:sz w:val="24"/>
        </w:rPr>
        <w:t>，采购人不能支付的；</w:t>
      </w:r>
    </w:p>
    <w:p>
      <w:pPr>
        <w:spacing w:line="400" w:lineRule="exact"/>
        <w:ind w:firstLine="480" w:firstLineChars="200"/>
        <w:rPr>
          <w:rFonts w:ascii="宋体" w:hAnsi="宋体"/>
          <w:sz w:val="24"/>
        </w:rPr>
      </w:pPr>
      <w:r>
        <w:rPr>
          <w:rFonts w:ascii="宋体" w:hAnsi="宋体"/>
          <w:sz w:val="24"/>
        </w:rPr>
        <w:t xml:space="preserve">（4）因重大变故，采购任务取消的。 </w:t>
      </w:r>
      <w:bookmarkStart w:id="274" w:name="_Toc424544536"/>
      <w:bookmarkStart w:id="275" w:name="_Toc424544815"/>
    </w:p>
    <w:p>
      <w:pPr>
        <w:spacing w:line="400" w:lineRule="exact"/>
        <w:outlineLvl w:val="1"/>
        <w:rPr>
          <w:rFonts w:ascii="宋体" w:hAnsi="宋体"/>
          <w:b/>
          <w:bCs/>
          <w:sz w:val="24"/>
        </w:rPr>
      </w:pPr>
      <w:bookmarkStart w:id="276" w:name="_Toc16849"/>
      <w:r>
        <w:rPr>
          <w:rFonts w:hint="eastAsia" w:ascii="宋体" w:hAnsi="宋体"/>
          <w:b/>
          <w:bCs/>
          <w:sz w:val="24"/>
        </w:rPr>
        <w:t>四、开标</w:t>
      </w:r>
      <w:bookmarkEnd w:id="267"/>
      <w:bookmarkEnd w:id="268"/>
      <w:bookmarkEnd w:id="269"/>
      <w:bookmarkEnd w:id="270"/>
      <w:bookmarkEnd w:id="271"/>
      <w:bookmarkEnd w:id="272"/>
      <w:bookmarkEnd w:id="273"/>
      <w:bookmarkEnd w:id="274"/>
      <w:bookmarkEnd w:id="275"/>
      <w:bookmarkEnd w:id="276"/>
    </w:p>
    <w:p>
      <w:pPr>
        <w:pStyle w:val="27"/>
        <w:adjustRightInd w:val="0"/>
        <w:snapToGrid w:val="0"/>
        <w:spacing w:beforeLines="0" w:afterLines="0"/>
        <w:ind w:left="0" w:firstLine="0"/>
        <w:rPr>
          <w:rFonts w:hAnsi="宋体"/>
          <w:b/>
        </w:rPr>
      </w:pPr>
      <w:bookmarkStart w:id="277" w:name="_Toc293916880"/>
      <w:r>
        <w:rPr>
          <w:rFonts w:hint="eastAsia" w:hAnsi="宋体"/>
          <w:b/>
        </w:rPr>
        <w:t>（一）开标准备</w:t>
      </w:r>
      <w:bookmarkEnd w:id="277"/>
    </w:p>
    <w:p>
      <w:pPr>
        <w:pStyle w:val="27"/>
        <w:adjustRightInd w:val="0"/>
        <w:snapToGrid w:val="0"/>
        <w:spacing w:beforeLines="0" w:afterLines="0"/>
        <w:ind w:left="0" w:firstLine="480" w:firstLineChars="200"/>
        <w:rPr>
          <w:rFonts w:hAnsi="宋体"/>
          <w:b/>
        </w:rPr>
      </w:pPr>
      <w:bookmarkStart w:id="278" w:name="_Toc293916882"/>
      <w:r>
        <w:rPr>
          <w:rFonts w:hint="eastAsia" w:hAnsi="宋体"/>
          <w:b/>
        </w:rPr>
        <w:t>采购组织机构将按照招标文件规定的时间通过“政府采购云平台”组织开标、开启投标文件，所有供应商均应当准时参加。</w:t>
      </w:r>
    </w:p>
    <w:bookmarkEnd w:id="278"/>
    <w:p>
      <w:pPr>
        <w:spacing w:line="305" w:lineRule="exact"/>
        <w:rPr>
          <w:b/>
          <w:sz w:val="24"/>
        </w:rPr>
      </w:pPr>
      <w:bookmarkStart w:id="279" w:name="_Toc495915050"/>
      <w:bookmarkStart w:id="280" w:name="_Toc293916372"/>
      <w:bookmarkStart w:id="281" w:name="_Toc293917021"/>
      <w:bookmarkStart w:id="282" w:name="_Toc424544537"/>
      <w:bookmarkStart w:id="283" w:name="_Toc293916021"/>
      <w:bookmarkStart w:id="284" w:name="_Toc293916883"/>
      <w:bookmarkStart w:id="285" w:name="_Toc424544816"/>
      <w:r>
        <w:rPr>
          <w:b/>
          <w:sz w:val="24"/>
        </w:rPr>
        <w:t>（二） 电子招投标开标及评审程序：</w:t>
      </w:r>
    </w:p>
    <w:p>
      <w:pPr>
        <w:adjustRightInd w:val="0"/>
        <w:snapToGrid w:val="0"/>
        <w:spacing w:line="360" w:lineRule="exact"/>
        <w:ind w:firstLine="480" w:firstLineChars="200"/>
        <w:jc w:val="left"/>
        <w:rPr>
          <w:rFonts w:ascii="宋体" w:hAnsi="宋体"/>
          <w:sz w:val="24"/>
        </w:rPr>
      </w:pPr>
      <w:r>
        <w:rPr>
          <w:rFonts w:hint="eastAsia" w:ascii="宋体" w:hAnsi="宋体"/>
          <w:sz w:val="24"/>
        </w:rPr>
        <w:t>1.开标由采购人或者采购代理机构主持，邀请供应商参加。评标委员会成员不得参加开标活动；</w:t>
      </w:r>
    </w:p>
    <w:p>
      <w:pPr>
        <w:adjustRightInd w:val="0"/>
        <w:snapToGrid w:val="0"/>
        <w:spacing w:line="360" w:lineRule="exact"/>
        <w:ind w:firstLine="480" w:firstLineChars="200"/>
        <w:jc w:val="left"/>
        <w:rPr>
          <w:rFonts w:ascii="宋体" w:hAnsi="宋体"/>
          <w:sz w:val="24"/>
        </w:rPr>
      </w:pPr>
      <w:r>
        <w:rPr>
          <w:rFonts w:hint="eastAsia" w:ascii="宋体" w:hAnsi="宋体"/>
          <w:sz w:val="24"/>
        </w:rPr>
        <w:t>2.主持人宣布开标会议开始，并按照规定的时间通过政采云系统组织开标，所有供应商应当准时在线参加；</w:t>
      </w:r>
    </w:p>
    <w:p>
      <w:pPr>
        <w:adjustRightInd w:val="0"/>
        <w:snapToGrid w:val="0"/>
        <w:spacing w:line="360" w:lineRule="exact"/>
        <w:ind w:firstLine="480" w:firstLineChars="200"/>
        <w:jc w:val="left"/>
        <w:rPr>
          <w:rFonts w:ascii="宋体" w:hAnsi="宋体"/>
          <w:sz w:val="24"/>
        </w:rPr>
      </w:pPr>
      <w:r>
        <w:rPr>
          <w:rFonts w:hint="eastAsia" w:ascii="宋体" w:hAnsi="宋体"/>
          <w:sz w:val="24"/>
        </w:rPr>
        <w:t>3.主持人介绍参加开标会的人员名单；</w:t>
      </w:r>
    </w:p>
    <w:p>
      <w:pPr>
        <w:adjustRightInd w:val="0"/>
        <w:snapToGrid w:val="0"/>
        <w:spacing w:line="360" w:lineRule="exact"/>
        <w:ind w:firstLine="480" w:firstLineChars="200"/>
        <w:jc w:val="left"/>
        <w:rPr>
          <w:rFonts w:ascii="宋体" w:hAnsi="宋体"/>
          <w:sz w:val="24"/>
        </w:rPr>
      </w:pPr>
      <w:r>
        <w:rPr>
          <w:rFonts w:hint="eastAsia" w:ascii="宋体" w:hAnsi="宋体"/>
          <w:sz w:val="24"/>
        </w:rPr>
        <w:t>4.开标过程应当由采购人或者采购代理机构负责记录, 由参加开标的各供应商代表和相关工作人员签字确认后随招标文件一并存档。供应商代表对开标过程和开标记录有疑义，以及认为采购人、采购代理机构相关工作人员有需要回避情形的，应当场提出询问或者回避申请。采购人、采购代理机构对供应商代表提出的疑问或者回避申请应当及时处理。供应商未参加开标的，视同认可开标结果；</w:t>
      </w:r>
    </w:p>
    <w:p>
      <w:pPr>
        <w:adjustRightInd w:val="0"/>
        <w:snapToGrid w:val="0"/>
        <w:spacing w:line="360" w:lineRule="exact"/>
        <w:ind w:firstLine="480" w:firstLineChars="200"/>
        <w:jc w:val="left"/>
        <w:rPr>
          <w:rFonts w:ascii="宋体" w:hAnsi="宋体"/>
          <w:sz w:val="24"/>
        </w:rPr>
      </w:pPr>
      <w:r>
        <w:rPr>
          <w:rFonts w:hint="eastAsia" w:ascii="宋体" w:hAnsi="宋体"/>
          <w:sz w:val="24"/>
        </w:rPr>
        <w:t>5.投标截止时间后，投标人登录政采云平台，用“项目采购-开标评标”功能对电子投标文件进行在线解密；</w:t>
      </w:r>
    </w:p>
    <w:p>
      <w:pPr>
        <w:adjustRightInd w:val="0"/>
        <w:snapToGrid w:val="0"/>
        <w:spacing w:line="360" w:lineRule="exact"/>
        <w:ind w:firstLine="480" w:firstLineChars="200"/>
        <w:jc w:val="left"/>
        <w:rPr>
          <w:rFonts w:ascii="宋体" w:hAnsi="宋体"/>
          <w:sz w:val="24"/>
        </w:rPr>
      </w:pPr>
      <w:r>
        <w:rPr>
          <w:rFonts w:hint="eastAsia" w:ascii="宋体" w:hAnsi="宋体"/>
          <w:sz w:val="24"/>
        </w:rPr>
        <w:t>6.在开标结束后（评标开始前），由采购人或采购代理机构进行资格审查。资格审查后在系统上公布资格审查结果；</w:t>
      </w:r>
    </w:p>
    <w:p>
      <w:pPr>
        <w:adjustRightInd w:val="0"/>
        <w:snapToGrid w:val="0"/>
        <w:spacing w:line="360" w:lineRule="exact"/>
        <w:ind w:firstLine="480" w:firstLineChars="200"/>
        <w:jc w:val="left"/>
        <w:rPr>
          <w:rFonts w:ascii="宋体" w:hAnsi="宋体"/>
          <w:sz w:val="24"/>
        </w:rPr>
      </w:pPr>
      <w:r>
        <w:rPr>
          <w:rFonts w:hint="eastAsia" w:ascii="宋体" w:hAnsi="宋体"/>
          <w:sz w:val="24"/>
        </w:rPr>
        <w:t>7.由评标委员会对资格审查通过的供应商进行技术、商务、资信及其他部分评审， 符合性审查及评分结束后，由主持人公布无效投标的供应商名单、投标无效的原因，并在系统上公布其他有效投标的评审结果；</w:t>
      </w:r>
    </w:p>
    <w:p>
      <w:pPr>
        <w:adjustRightInd w:val="0"/>
        <w:snapToGrid w:val="0"/>
        <w:spacing w:line="360" w:lineRule="exact"/>
        <w:ind w:firstLine="480" w:firstLineChars="200"/>
        <w:jc w:val="left"/>
        <w:rPr>
          <w:rFonts w:ascii="宋体" w:hAnsi="宋体"/>
          <w:sz w:val="24"/>
        </w:rPr>
      </w:pPr>
      <w:r>
        <w:rPr>
          <w:rFonts w:hint="eastAsia" w:ascii="宋体" w:hAnsi="宋体"/>
          <w:sz w:val="24"/>
        </w:rPr>
        <w:t>8.由主持人在政采云系统上公布的供应商名称及在其投标文件中承诺的投标报价、投标内容以及其他有必要宣读的内容；</w:t>
      </w:r>
    </w:p>
    <w:p>
      <w:pPr>
        <w:adjustRightInd w:val="0"/>
        <w:snapToGrid w:val="0"/>
        <w:spacing w:line="360" w:lineRule="exact"/>
        <w:ind w:firstLine="480" w:firstLineChars="200"/>
        <w:jc w:val="left"/>
        <w:rPr>
          <w:rFonts w:ascii="宋体" w:hAnsi="宋体"/>
          <w:sz w:val="24"/>
        </w:rPr>
      </w:pPr>
      <w:r>
        <w:rPr>
          <w:rFonts w:hint="eastAsia" w:ascii="宋体" w:hAnsi="宋体"/>
          <w:sz w:val="24"/>
        </w:rPr>
        <w:t>9.报价部分符合性审查及评分结束后，由主持人公布无效投标的供应商名单、投标无效的原因，并在政采云系统上公布其他有效投标的评分结果；</w:t>
      </w:r>
    </w:p>
    <w:p>
      <w:pPr>
        <w:adjustRightInd w:val="0"/>
        <w:snapToGrid w:val="0"/>
        <w:spacing w:line="360" w:lineRule="exact"/>
        <w:ind w:firstLine="480" w:firstLineChars="200"/>
        <w:jc w:val="left"/>
        <w:rPr>
          <w:rFonts w:ascii="宋体" w:hAnsi="宋体"/>
          <w:sz w:val="24"/>
        </w:rPr>
      </w:pPr>
      <w:r>
        <w:rPr>
          <w:rFonts w:hint="eastAsia" w:ascii="宋体" w:hAnsi="宋体"/>
          <w:sz w:val="24"/>
        </w:rPr>
        <w:t>10.最终在政采云系统上公布评审结果；</w:t>
      </w:r>
    </w:p>
    <w:p>
      <w:pPr>
        <w:adjustRightInd w:val="0"/>
        <w:snapToGrid w:val="0"/>
        <w:spacing w:line="360" w:lineRule="exact"/>
        <w:ind w:firstLine="480" w:firstLineChars="200"/>
        <w:jc w:val="left"/>
        <w:rPr>
          <w:rFonts w:ascii="宋体" w:hAnsi="宋体"/>
          <w:sz w:val="24"/>
        </w:rPr>
      </w:pPr>
      <w:r>
        <w:rPr>
          <w:rFonts w:hint="eastAsia" w:ascii="宋体" w:hAnsi="宋体"/>
          <w:sz w:val="24"/>
        </w:rPr>
        <w:t>11.开标会议结束。</w:t>
      </w:r>
    </w:p>
    <w:p>
      <w:pPr>
        <w:adjustRightInd w:val="0"/>
        <w:snapToGrid w:val="0"/>
        <w:spacing w:line="360" w:lineRule="exact"/>
        <w:ind w:firstLine="240" w:firstLineChars="100"/>
        <w:jc w:val="left"/>
        <w:rPr>
          <w:rFonts w:hAnsi="宋体"/>
          <w:sz w:val="24"/>
        </w:rPr>
      </w:pPr>
      <w:r>
        <w:rPr>
          <w:rFonts w:hint="eastAsia" w:ascii="宋体" w:hAnsi="宋体"/>
          <w:sz w:val="24"/>
        </w:rPr>
        <w:t>特别说明：政采云公司如对电子化开标及评审程序有调整的，应按调整的程序操作。</w:t>
      </w:r>
    </w:p>
    <w:p>
      <w:pPr>
        <w:pStyle w:val="22"/>
        <w:rPr>
          <w:rFonts w:hAnsi="宋体"/>
          <w:sz w:val="24"/>
        </w:rPr>
      </w:pPr>
    </w:p>
    <w:p>
      <w:pPr>
        <w:spacing w:line="400" w:lineRule="exact"/>
        <w:outlineLvl w:val="1"/>
        <w:rPr>
          <w:rFonts w:ascii="宋体" w:hAnsi="宋体"/>
          <w:b/>
          <w:bCs/>
          <w:sz w:val="24"/>
        </w:rPr>
      </w:pPr>
      <w:bookmarkStart w:id="286" w:name="_Toc30002"/>
      <w:r>
        <w:rPr>
          <w:rFonts w:hint="eastAsia" w:ascii="宋体" w:hAnsi="宋体"/>
          <w:b/>
          <w:bCs/>
          <w:sz w:val="24"/>
        </w:rPr>
        <w:t>五、资格证明文件审查</w:t>
      </w:r>
      <w:bookmarkEnd w:id="279"/>
      <w:bookmarkEnd w:id="286"/>
    </w:p>
    <w:p>
      <w:pPr>
        <w:pStyle w:val="27"/>
        <w:adjustRightInd w:val="0"/>
        <w:snapToGrid w:val="0"/>
        <w:spacing w:beforeLines="0" w:afterLines="0"/>
        <w:ind w:left="0" w:firstLine="0"/>
        <w:rPr>
          <w:rFonts w:hAnsi="宋体"/>
          <w:b/>
        </w:rPr>
      </w:pPr>
      <w:r>
        <w:rPr>
          <w:rFonts w:hint="eastAsia" w:hAnsi="宋体"/>
          <w:b/>
        </w:rPr>
        <w:t>（一）审查人员</w:t>
      </w:r>
    </w:p>
    <w:p>
      <w:pPr>
        <w:pStyle w:val="27"/>
        <w:adjustRightInd w:val="0"/>
        <w:snapToGrid w:val="0"/>
        <w:spacing w:beforeLines="0" w:afterLines="0"/>
        <w:ind w:left="0" w:firstLine="480" w:firstLineChars="200"/>
        <w:rPr>
          <w:rFonts w:hAnsi="宋体"/>
        </w:rPr>
      </w:pPr>
      <w:r>
        <w:rPr>
          <w:rFonts w:hint="eastAsia" w:hAnsi="宋体"/>
        </w:rPr>
        <w:t>采购人及采购代理机构负责审查。</w:t>
      </w:r>
    </w:p>
    <w:p>
      <w:pPr>
        <w:pStyle w:val="27"/>
        <w:adjustRightInd w:val="0"/>
        <w:snapToGrid w:val="0"/>
        <w:spacing w:beforeLines="0" w:afterLines="0"/>
        <w:ind w:left="0" w:firstLine="0"/>
        <w:rPr>
          <w:rFonts w:hAnsi="宋体"/>
          <w:b/>
        </w:rPr>
      </w:pPr>
      <w:r>
        <w:rPr>
          <w:rFonts w:hint="eastAsia" w:hAnsi="宋体"/>
          <w:b/>
        </w:rPr>
        <w:t>（二）审查依据</w:t>
      </w:r>
    </w:p>
    <w:p>
      <w:pPr>
        <w:pStyle w:val="27"/>
        <w:adjustRightInd w:val="0"/>
        <w:snapToGrid w:val="0"/>
        <w:spacing w:beforeLines="0" w:afterLines="0"/>
        <w:ind w:left="0" w:firstLine="480" w:firstLineChars="200"/>
        <w:rPr>
          <w:rFonts w:hAnsi="宋体"/>
        </w:rPr>
      </w:pPr>
      <w:r>
        <w:rPr>
          <w:rFonts w:hint="eastAsia" w:hAnsi="宋体"/>
        </w:rPr>
        <w:t>招标文件、投标人的资格文件、“信用中国”网站www.creditchina.gov.cn及“中国政府采购网”www.ccgp.gov.cn查询结果。</w:t>
      </w:r>
    </w:p>
    <w:p>
      <w:pPr>
        <w:pStyle w:val="27"/>
        <w:adjustRightInd w:val="0"/>
        <w:snapToGrid w:val="0"/>
        <w:spacing w:beforeLines="0" w:afterLines="0"/>
        <w:ind w:left="0" w:firstLine="0"/>
        <w:rPr>
          <w:rFonts w:hAnsi="宋体"/>
          <w:b/>
        </w:rPr>
      </w:pPr>
      <w:r>
        <w:rPr>
          <w:rFonts w:hint="eastAsia" w:hAnsi="宋体"/>
          <w:b/>
        </w:rPr>
        <w:t>（三）审查方法</w:t>
      </w:r>
    </w:p>
    <w:p>
      <w:pPr>
        <w:pStyle w:val="27"/>
        <w:adjustRightInd w:val="0"/>
        <w:snapToGrid w:val="0"/>
        <w:spacing w:beforeLines="0" w:afterLines="0"/>
        <w:ind w:left="0" w:firstLine="480" w:firstLineChars="200"/>
        <w:rPr>
          <w:rFonts w:hAnsi="宋体"/>
        </w:rPr>
      </w:pPr>
      <w:r>
        <w:rPr>
          <w:rFonts w:hint="eastAsia" w:hAnsi="宋体"/>
        </w:rPr>
        <w:t>1、审查投标人资格文件的完整性、符合性。</w:t>
      </w:r>
    </w:p>
    <w:p>
      <w:pPr>
        <w:pStyle w:val="27"/>
        <w:adjustRightInd w:val="0"/>
        <w:snapToGrid w:val="0"/>
        <w:spacing w:beforeLines="0" w:afterLines="0"/>
        <w:ind w:left="0" w:firstLine="480" w:firstLineChars="200"/>
        <w:rPr>
          <w:rFonts w:hAnsi="宋体"/>
        </w:rPr>
      </w:pPr>
      <w:r>
        <w:rPr>
          <w:rFonts w:hint="eastAsia" w:hAnsi="宋体"/>
        </w:rPr>
        <w:t>2、采购人及采购代理机构登录“信用中国”网站www.creditchina.gov.cn、“中国政府采购网”www.ccgp.gov.cn核实信息真实性。</w:t>
      </w:r>
    </w:p>
    <w:p>
      <w:pPr>
        <w:spacing w:line="400" w:lineRule="exact"/>
        <w:outlineLvl w:val="1"/>
        <w:rPr>
          <w:rFonts w:ascii="宋体" w:hAnsi="宋体"/>
          <w:b/>
          <w:bCs/>
          <w:sz w:val="24"/>
        </w:rPr>
      </w:pPr>
      <w:bookmarkStart w:id="287" w:name="_Toc31368"/>
      <w:r>
        <w:rPr>
          <w:rFonts w:hint="eastAsia" w:ascii="宋体" w:hAnsi="宋体"/>
          <w:b/>
          <w:bCs/>
          <w:sz w:val="24"/>
        </w:rPr>
        <w:t>六、评标</w:t>
      </w:r>
      <w:bookmarkEnd w:id="280"/>
      <w:bookmarkEnd w:id="281"/>
      <w:bookmarkEnd w:id="282"/>
      <w:bookmarkEnd w:id="283"/>
      <w:bookmarkEnd w:id="284"/>
      <w:bookmarkEnd w:id="285"/>
      <w:bookmarkEnd w:id="287"/>
    </w:p>
    <w:p>
      <w:pPr>
        <w:pStyle w:val="27"/>
        <w:adjustRightInd w:val="0"/>
        <w:snapToGrid w:val="0"/>
        <w:spacing w:beforeLines="0" w:afterLines="0"/>
        <w:ind w:left="0" w:firstLine="0"/>
        <w:rPr>
          <w:rFonts w:hAnsi="宋体"/>
          <w:b/>
        </w:rPr>
      </w:pPr>
      <w:bookmarkStart w:id="288" w:name="_Toc293916884"/>
      <w:r>
        <w:rPr>
          <w:rFonts w:hint="eastAsia" w:hAnsi="宋体"/>
          <w:b/>
        </w:rPr>
        <w:t>（一）组建评标委员会</w:t>
      </w:r>
      <w:bookmarkEnd w:id="288"/>
    </w:p>
    <w:p>
      <w:pPr>
        <w:tabs>
          <w:tab w:val="left" w:pos="1200"/>
          <w:tab w:val="left" w:pos="1211"/>
        </w:tabs>
        <w:adjustRightInd w:val="0"/>
        <w:snapToGrid w:val="0"/>
        <w:spacing w:line="400" w:lineRule="exact"/>
        <w:ind w:firstLine="480" w:firstLineChars="200"/>
        <w:rPr>
          <w:rFonts w:ascii="宋体" w:hAnsi="宋体"/>
          <w:color w:val="000000"/>
          <w:sz w:val="24"/>
        </w:rPr>
      </w:pPr>
      <w:bookmarkStart w:id="289" w:name="_Toc293916886"/>
      <w:r>
        <w:rPr>
          <w:rFonts w:hint="eastAsia" w:ascii="宋体" w:hAnsi="宋体"/>
          <w:color w:val="000000"/>
          <w:sz w:val="24"/>
        </w:rPr>
        <w:t>本项目评标委员会由政府采购评审专家4人和招标采购人代表1人组成。</w:t>
      </w:r>
    </w:p>
    <w:p>
      <w:pPr>
        <w:pStyle w:val="27"/>
        <w:adjustRightInd w:val="0"/>
        <w:snapToGrid w:val="0"/>
        <w:spacing w:beforeLines="0" w:afterLines="0"/>
        <w:ind w:left="0" w:firstLine="0"/>
        <w:rPr>
          <w:rFonts w:hAnsi="宋体"/>
          <w:b/>
        </w:rPr>
      </w:pPr>
      <w:r>
        <w:rPr>
          <w:rFonts w:hint="eastAsia" w:hAnsi="宋体"/>
          <w:b/>
        </w:rPr>
        <w:t>（二）评标的方式</w:t>
      </w:r>
      <w:bookmarkEnd w:id="289"/>
    </w:p>
    <w:p>
      <w:pPr>
        <w:pStyle w:val="27"/>
        <w:adjustRightInd w:val="0"/>
        <w:snapToGrid w:val="0"/>
        <w:spacing w:beforeLines="0" w:afterLines="0"/>
        <w:ind w:left="0" w:firstLine="480" w:firstLineChars="200"/>
        <w:rPr>
          <w:rFonts w:hAnsi="宋体"/>
        </w:rPr>
      </w:pPr>
      <w:bookmarkStart w:id="290" w:name="_Toc293916887"/>
      <w:r>
        <w:rPr>
          <w:rFonts w:hint="eastAsia" w:hAnsi="宋体"/>
        </w:rPr>
        <w:t>本项目采用不公开方式评标，评标的依据为招标文件和投标文件。</w:t>
      </w:r>
      <w:bookmarkEnd w:id="290"/>
    </w:p>
    <w:p>
      <w:pPr>
        <w:pStyle w:val="27"/>
        <w:adjustRightInd w:val="0"/>
        <w:snapToGrid w:val="0"/>
        <w:spacing w:beforeLines="0" w:afterLines="0"/>
        <w:ind w:left="0" w:firstLine="0"/>
        <w:rPr>
          <w:rFonts w:hAnsi="宋体"/>
          <w:b/>
        </w:rPr>
      </w:pPr>
      <w:bookmarkStart w:id="291" w:name="_Toc293916888"/>
      <w:r>
        <w:rPr>
          <w:rFonts w:hint="eastAsia" w:hAnsi="宋体"/>
          <w:b/>
        </w:rPr>
        <w:t xml:space="preserve">（三） </w:t>
      </w:r>
      <w:r>
        <w:rPr>
          <w:rFonts w:hint="eastAsia" w:hAnsi="宋体"/>
          <w:b/>
          <w:bCs/>
        </w:rPr>
        <w:t>评标程序</w:t>
      </w:r>
      <w:bookmarkEnd w:id="291"/>
    </w:p>
    <w:p>
      <w:pPr>
        <w:pStyle w:val="27"/>
        <w:adjustRightInd w:val="0"/>
        <w:snapToGrid w:val="0"/>
        <w:spacing w:beforeLines="0" w:afterLines="0" w:line="440" w:lineRule="exact"/>
        <w:ind w:left="0" w:firstLine="480" w:firstLineChars="200"/>
        <w:rPr>
          <w:rFonts w:hAnsi="宋体"/>
        </w:rPr>
      </w:pPr>
      <w:r>
        <w:rPr>
          <w:rFonts w:hint="eastAsia" w:hAnsi="宋体"/>
        </w:rPr>
        <w:t>1.对所有通过资格审查的投标供应商的投标文件进行初步审查，审查、评价投标文件是否符合招标文件的商务、技术、服务等实质性要求。</w:t>
      </w:r>
    </w:p>
    <w:p>
      <w:pPr>
        <w:pStyle w:val="27"/>
        <w:adjustRightInd w:val="0"/>
        <w:snapToGrid w:val="0"/>
        <w:spacing w:beforeLines="0" w:afterLines="0" w:line="440" w:lineRule="exact"/>
        <w:ind w:left="0" w:firstLine="480" w:firstLineChars="200"/>
        <w:rPr>
          <w:rFonts w:hAnsi="宋体"/>
        </w:rPr>
      </w:pPr>
      <w:r>
        <w:rPr>
          <w:rFonts w:hint="eastAsia" w:hAnsi="宋体"/>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pPr>
        <w:pStyle w:val="27"/>
        <w:adjustRightInd w:val="0"/>
        <w:snapToGrid w:val="0"/>
        <w:spacing w:beforeLines="0" w:afterLines="0" w:line="440" w:lineRule="exact"/>
        <w:ind w:left="0" w:firstLine="480" w:firstLineChars="200"/>
        <w:rPr>
          <w:rFonts w:hAnsi="宋体"/>
        </w:rPr>
      </w:pPr>
      <w:r>
        <w:rPr>
          <w:rFonts w:hint="eastAsia" w:hAnsi="宋体"/>
        </w:rPr>
        <w:t>3.对采购组织机构工作人员汇总的评审结果进行确认。如发现分值汇总计算错误、分项评分超出评分标准范围、客观评分不一致以及存在畸高、畸低情形的，评审小组组长（评标委员会主任委员）应提醒相关评审人员当场改正或书面说明理由，拒不改正又不作书面说明的，由现场监督员如实记载后存入项目档案资料。</w:t>
      </w:r>
    </w:p>
    <w:p>
      <w:pPr>
        <w:pStyle w:val="27"/>
        <w:adjustRightInd w:val="0"/>
        <w:snapToGrid w:val="0"/>
        <w:spacing w:beforeLines="0" w:afterLines="0"/>
        <w:ind w:left="0" w:firstLine="0"/>
        <w:rPr>
          <w:rFonts w:hAnsi="宋体"/>
          <w:b/>
        </w:rPr>
      </w:pPr>
      <w:r>
        <w:rPr>
          <w:rFonts w:hint="eastAsia" w:hAnsi="宋体"/>
          <w:b/>
        </w:rPr>
        <w:t>（四）澄清问题的形式</w:t>
      </w:r>
    </w:p>
    <w:p>
      <w:pPr>
        <w:snapToGrid w:val="0"/>
        <w:spacing w:line="560" w:lineRule="exact"/>
        <w:ind w:firstLine="480" w:firstLineChars="200"/>
        <w:rPr>
          <w:rFonts w:ascii="宋体" w:hAnsi="宋体"/>
          <w:sz w:val="24"/>
          <w:szCs w:val="24"/>
        </w:rPr>
      </w:pPr>
      <w:r>
        <w:rPr>
          <w:rFonts w:hint="eastAsia" w:ascii="宋体" w:hAnsi="宋体"/>
          <w:sz w:val="24"/>
          <w:szCs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napToGrid w:val="0"/>
        <w:spacing w:line="560" w:lineRule="exact"/>
        <w:ind w:firstLine="480" w:firstLineChars="200"/>
        <w:rPr>
          <w:rFonts w:ascii="宋体" w:hAnsi="宋体"/>
          <w:sz w:val="24"/>
          <w:szCs w:val="24"/>
        </w:rPr>
      </w:pPr>
      <w:r>
        <w:rPr>
          <w:rFonts w:hint="eastAsia" w:ascii="宋体" w:hAnsi="宋体"/>
          <w:sz w:val="24"/>
          <w:szCs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pStyle w:val="27"/>
        <w:adjustRightInd w:val="0"/>
        <w:snapToGrid w:val="0"/>
        <w:spacing w:beforeLines="0" w:afterLines="0"/>
        <w:ind w:left="0" w:firstLine="0"/>
        <w:rPr>
          <w:rFonts w:hAnsi="宋体"/>
          <w:b/>
        </w:rPr>
      </w:pPr>
      <w:bookmarkStart w:id="292" w:name="_Toc293916889"/>
      <w:r>
        <w:rPr>
          <w:rFonts w:hint="eastAsia" w:hAnsi="宋体"/>
          <w:b/>
        </w:rPr>
        <w:t>（五） 错误修正</w:t>
      </w:r>
      <w:bookmarkEnd w:id="292"/>
    </w:p>
    <w:p>
      <w:pPr>
        <w:pStyle w:val="27"/>
        <w:adjustRightInd w:val="0"/>
        <w:snapToGrid w:val="0"/>
        <w:spacing w:beforeLines="0" w:afterLines="0"/>
        <w:ind w:left="0" w:firstLine="480" w:firstLineChars="200"/>
        <w:rPr>
          <w:rFonts w:hAnsi="宋体"/>
        </w:rPr>
      </w:pPr>
      <w:bookmarkStart w:id="293" w:name="_Toc293916895"/>
      <w:r>
        <w:rPr>
          <w:rFonts w:hint="eastAsia" w:hAnsi="宋体"/>
        </w:rPr>
        <w:t>投标文件如果出现计算或表达上的错误，修正错误的原则如下：</w:t>
      </w:r>
    </w:p>
    <w:p>
      <w:pPr>
        <w:pStyle w:val="27"/>
        <w:adjustRightInd w:val="0"/>
        <w:snapToGrid w:val="0"/>
        <w:spacing w:beforeLines="0" w:afterLines="0"/>
        <w:ind w:left="0" w:firstLine="480" w:firstLineChars="200"/>
        <w:rPr>
          <w:rFonts w:hAnsi="宋体"/>
          <w:b/>
        </w:rPr>
      </w:pPr>
      <w:r>
        <w:rPr>
          <w:rFonts w:hint="eastAsia" w:hAnsi="宋体"/>
          <w:b/>
        </w:rPr>
        <w:t>1、开标一览表总价与投标报价明细表汇总数不一致的，以开标一览表为准；</w:t>
      </w:r>
    </w:p>
    <w:p>
      <w:pPr>
        <w:pStyle w:val="27"/>
        <w:adjustRightInd w:val="0"/>
        <w:snapToGrid w:val="0"/>
        <w:spacing w:beforeLines="0" w:afterLines="0"/>
        <w:ind w:left="0" w:firstLine="480" w:firstLineChars="200"/>
        <w:rPr>
          <w:rFonts w:hAnsi="宋体"/>
        </w:rPr>
      </w:pPr>
      <w:r>
        <w:rPr>
          <w:rFonts w:hint="eastAsia" w:hAnsi="宋体"/>
        </w:rPr>
        <w:t>2、大写金额和小写金额不一致的，以大写金额为准；</w:t>
      </w:r>
    </w:p>
    <w:p>
      <w:pPr>
        <w:pStyle w:val="27"/>
        <w:adjustRightInd w:val="0"/>
        <w:snapToGrid w:val="0"/>
        <w:spacing w:beforeLines="0" w:afterLines="0"/>
        <w:ind w:left="0" w:firstLine="480" w:firstLineChars="200"/>
        <w:rPr>
          <w:rFonts w:hAnsi="宋体"/>
        </w:rPr>
      </w:pPr>
      <w:r>
        <w:rPr>
          <w:rFonts w:hint="eastAsia" w:hAnsi="宋体"/>
        </w:rPr>
        <w:t>3、单价金额小数点有明显错位的，应以开标一览表的总价为准，并修改单价；</w:t>
      </w:r>
    </w:p>
    <w:p>
      <w:pPr>
        <w:pStyle w:val="27"/>
        <w:adjustRightInd w:val="0"/>
        <w:snapToGrid w:val="0"/>
        <w:spacing w:beforeLines="0" w:afterLines="0"/>
        <w:ind w:left="0" w:firstLine="480" w:firstLineChars="200"/>
        <w:rPr>
          <w:rFonts w:hAnsi="宋体"/>
        </w:rPr>
      </w:pPr>
      <w:r>
        <w:rPr>
          <w:rFonts w:hint="eastAsia" w:hAnsi="宋体"/>
        </w:rPr>
        <w:t>4、总价金额与按单价汇总金额不一致的，以单价金额计算结果为准；</w:t>
      </w:r>
    </w:p>
    <w:p>
      <w:pPr>
        <w:pStyle w:val="27"/>
        <w:adjustRightInd w:val="0"/>
        <w:snapToGrid w:val="0"/>
        <w:spacing w:beforeLines="0" w:afterLines="0"/>
        <w:ind w:left="0" w:firstLine="480" w:firstLineChars="200"/>
        <w:rPr>
          <w:rFonts w:hAnsi="宋体"/>
        </w:rPr>
      </w:pPr>
      <w:r>
        <w:rPr>
          <w:rFonts w:hint="eastAsia" w:hAnsi="宋体"/>
        </w:rPr>
        <w:t>5、对不同文字文本投标文件的解释发生异议的，以中文文本为准。</w:t>
      </w:r>
    </w:p>
    <w:p>
      <w:pPr>
        <w:pStyle w:val="27"/>
        <w:adjustRightInd w:val="0"/>
        <w:snapToGrid w:val="0"/>
        <w:spacing w:beforeLines="0" w:afterLines="0"/>
        <w:ind w:left="0" w:firstLine="480" w:firstLineChars="200"/>
        <w:rPr>
          <w:rFonts w:hAnsi="宋体"/>
        </w:rPr>
      </w:pPr>
      <w:r>
        <w:rPr>
          <w:rFonts w:hint="eastAsia" w:hAnsi="宋体"/>
        </w:rPr>
        <w:t>同时出现两种以上不一致的，按照上述规定的顺序修正，由投标人以书面形式进行修正，并加盖公章或者由法定代表人或其授权的代表签字。投标人确认后产生约束力；投标人不确认的，其投标无效。</w:t>
      </w:r>
    </w:p>
    <w:p>
      <w:pPr>
        <w:pStyle w:val="27"/>
        <w:adjustRightInd w:val="0"/>
        <w:snapToGrid w:val="0"/>
        <w:spacing w:beforeLines="0" w:afterLines="0"/>
        <w:ind w:left="0" w:firstLine="0"/>
        <w:rPr>
          <w:rFonts w:hAnsi="宋体"/>
          <w:b/>
        </w:rPr>
      </w:pPr>
      <w:r>
        <w:rPr>
          <w:rFonts w:hint="eastAsia" w:hAnsi="宋体"/>
          <w:b/>
        </w:rPr>
        <w:t>（六） 评标过程的保密</w:t>
      </w:r>
      <w:bookmarkEnd w:id="293"/>
    </w:p>
    <w:p>
      <w:pPr>
        <w:pStyle w:val="27"/>
        <w:adjustRightInd w:val="0"/>
        <w:snapToGrid w:val="0"/>
        <w:spacing w:beforeLines="0" w:afterLines="0"/>
        <w:ind w:left="0" w:firstLine="480" w:firstLineChars="200"/>
        <w:rPr>
          <w:rFonts w:hAnsi="宋体"/>
        </w:rPr>
      </w:pPr>
      <w:bookmarkStart w:id="294" w:name="_Toc293916896"/>
      <w:r>
        <w:rPr>
          <w:rFonts w:hint="eastAsia" w:hAnsi="宋体"/>
        </w:rPr>
        <w:t>凡是属于审查、澄清、评审和比较的有关资料以及授标建议，任何人均不得向投标人或其他无关的人员透露。投标人在评标过程中所进行的力图影响评标结果的不公正活动，可能导致其投标被拒绝。</w:t>
      </w:r>
      <w:bookmarkEnd w:id="294"/>
    </w:p>
    <w:p>
      <w:pPr>
        <w:pStyle w:val="27"/>
        <w:tabs>
          <w:tab w:val="left" w:pos="630"/>
        </w:tabs>
        <w:adjustRightInd w:val="0"/>
        <w:snapToGrid w:val="0"/>
        <w:spacing w:beforeLines="0" w:afterLines="0"/>
        <w:ind w:left="0" w:firstLine="0"/>
        <w:rPr>
          <w:rFonts w:hAnsi="宋体"/>
          <w:b/>
        </w:rPr>
      </w:pPr>
      <w:bookmarkStart w:id="295" w:name="_Toc293916897"/>
      <w:r>
        <w:rPr>
          <w:rFonts w:hint="eastAsia" w:hAnsi="宋体"/>
          <w:b/>
        </w:rPr>
        <w:t>（七）评标原则和评标办法</w:t>
      </w:r>
      <w:bookmarkEnd w:id="295"/>
    </w:p>
    <w:p>
      <w:pPr>
        <w:pStyle w:val="27"/>
        <w:adjustRightInd w:val="0"/>
        <w:snapToGrid w:val="0"/>
        <w:spacing w:beforeLines="0" w:afterLines="0"/>
        <w:ind w:left="0" w:firstLine="480" w:firstLineChars="200"/>
        <w:rPr>
          <w:rFonts w:hAnsi="宋体"/>
        </w:rPr>
      </w:pPr>
      <w:bookmarkStart w:id="296" w:name="_Toc293916898"/>
      <w:r>
        <w:rPr>
          <w:rFonts w:hint="eastAsia" w:hAnsi="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bookmarkEnd w:id="296"/>
    </w:p>
    <w:p>
      <w:pPr>
        <w:pStyle w:val="27"/>
        <w:adjustRightInd w:val="0"/>
        <w:snapToGrid w:val="0"/>
        <w:spacing w:beforeLines="0" w:afterLines="0"/>
        <w:ind w:left="0" w:firstLine="480" w:firstLineChars="200"/>
        <w:rPr>
          <w:rFonts w:hAnsi="宋体"/>
        </w:rPr>
      </w:pPr>
      <w:bookmarkStart w:id="297" w:name="_Toc293916899"/>
      <w:r>
        <w:rPr>
          <w:rFonts w:hint="eastAsia" w:hAnsi="宋体"/>
        </w:rPr>
        <w:t>2、财政部第87号令《政府采购货物和服务招标投标管理办法》第三十一条第二第三款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7"/>
        <w:adjustRightInd w:val="0"/>
        <w:snapToGrid w:val="0"/>
        <w:spacing w:beforeLines="0" w:afterLines="0"/>
        <w:ind w:left="0" w:firstLine="480" w:firstLineChars="200"/>
        <w:rPr>
          <w:rFonts w:hAnsi="宋体"/>
        </w:rPr>
      </w:pPr>
      <w:r>
        <w:rPr>
          <w:rFonts w:hint="eastAsia" w:hAnsi="宋体"/>
        </w:rPr>
        <w:t>非单一产品采购项目，采购人应当根据采购项目技术构成、产品价格比重等合理确定核心产品，并在招标文件中载明。多家投标人提供的核心产品品牌相同的，按三十一条第二款规定处理。</w:t>
      </w:r>
    </w:p>
    <w:p>
      <w:pPr>
        <w:pStyle w:val="27"/>
        <w:adjustRightInd w:val="0"/>
        <w:snapToGrid w:val="0"/>
        <w:spacing w:beforeLines="0" w:afterLines="0"/>
        <w:ind w:left="0" w:firstLine="480" w:firstLineChars="200"/>
        <w:rPr>
          <w:rFonts w:hAnsi="宋体"/>
          <w:b/>
          <w:bCs/>
        </w:rPr>
      </w:pPr>
      <w:r>
        <w:rPr>
          <w:rFonts w:hint="eastAsia" w:hAnsi="宋体"/>
        </w:rPr>
        <w:t>3、评标办法。本项目采用综合评分法，详见《第四章：评标办法及评分标准》。</w:t>
      </w:r>
      <w:bookmarkEnd w:id="297"/>
      <w:bookmarkStart w:id="298" w:name="_Toc293916022"/>
      <w:bookmarkStart w:id="299" w:name="_Toc424544538"/>
      <w:bookmarkStart w:id="300" w:name="_Toc293916373"/>
      <w:bookmarkStart w:id="301" w:name="_Toc293916900"/>
      <w:bookmarkStart w:id="302" w:name="_Toc293917022"/>
      <w:bookmarkStart w:id="303" w:name="_Toc424544817"/>
    </w:p>
    <w:p>
      <w:pPr>
        <w:spacing w:line="400" w:lineRule="exact"/>
        <w:outlineLvl w:val="1"/>
        <w:rPr>
          <w:rFonts w:ascii="宋体" w:hAnsi="宋体"/>
          <w:b/>
          <w:bCs/>
          <w:sz w:val="24"/>
        </w:rPr>
      </w:pPr>
      <w:bookmarkStart w:id="304" w:name="_Toc19015"/>
      <w:r>
        <w:rPr>
          <w:rFonts w:hint="eastAsia" w:ascii="宋体" w:hAnsi="宋体"/>
          <w:b/>
          <w:bCs/>
          <w:sz w:val="24"/>
        </w:rPr>
        <w:t>七、定标</w:t>
      </w:r>
      <w:bookmarkEnd w:id="298"/>
      <w:bookmarkEnd w:id="299"/>
      <w:bookmarkEnd w:id="300"/>
      <w:bookmarkEnd w:id="301"/>
      <w:bookmarkEnd w:id="302"/>
      <w:bookmarkEnd w:id="303"/>
      <w:bookmarkEnd w:id="304"/>
    </w:p>
    <w:p>
      <w:pPr>
        <w:spacing w:line="400" w:lineRule="exact"/>
        <w:ind w:left="420" w:leftChars="200"/>
        <w:outlineLvl w:val="1"/>
        <w:rPr>
          <w:rFonts w:ascii="宋体" w:hAnsi="宋体"/>
          <w:sz w:val="24"/>
        </w:rPr>
      </w:pPr>
      <w:bookmarkStart w:id="305" w:name="_Toc26888"/>
      <w:bookmarkStart w:id="306" w:name="_Toc16690"/>
      <w:bookmarkStart w:id="307" w:name="_Toc293917023"/>
      <w:bookmarkStart w:id="308" w:name="_Toc293916901"/>
      <w:bookmarkStart w:id="309" w:name="_Toc293916374"/>
      <w:bookmarkStart w:id="310" w:name="_Toc424544539"/>
      <w:bookmarkStart w:id="311" w:name="_Toc293916023"/>
      <w:bookmarkStart w:id="312" w:name="_Toc424544818"/>
      <w:r>
        <w:rPr>
          <w:rFonts w:ascii="宋体" w:hAnsi="宋体"/>
          <w:sz w:val="24"/>
        </w:rPr>
        <w:t>1、确定中标人。本项目由采购人确定中标人。</w:t>
      </w:r>
      <w:r>
        <w:rPr>
          <w:rFonts w:ascii="宋体" w:hAnsi="宋体"/>
          <w:sz w:val="24"/>
        </w:rPr>
        <w:br w:type="textWrapping"/>
      </w:r>
      <w:r>
        <w:rPr>
          <w:rFonts w:ascii="宋体" w:hAnsi="宋体"/>
          <w:sz w:val="24"/>
        </w:rPr>
        <w:t>2、采购代理机构在评标结束后2个工作日内将评标报告交采购人确认。</w:t>
      </w:r>
      <w:r>
        <w:rPr>
          <w:rFonts w:ascii="宋体" w:hAnsi="宋体"/>
          <w:sz w:val="24"/>
        </w:rPr>
        <w:br w:type="textWrapping"/>
      </w:r>
      <w:r>
        <w:rPr>
          <w:rFonts w:ascii="宋体" w:hAnsi="宋体"/>
          <w:sz w:val="24"/>
        </w:rPr>
        <w:t>3、采购人应当自收到评标报告之日起</w:t>
      </w:r>
      <w:r>
        <w:rPr>
          <w:rFonts w:hint="eastAsia" w:ascii="宋体" w:hAnsi="宋体"/>
          <w:sz w:val="24"/>
        </w:rPr>
        <w:t>5</w:t>
      </w:r>
      <w:r>
        <w:rPr>
          <w:rFonts w:ascii="宋体" w:hAnsi="宋体"/>
          <w:sz w:val="24"/>
        </w:rPr>
        <w:t>个工作日内，在评标报告确定的中标候选人名单中按顺序确定中标人。中标候选人并列的，由采购人或者采购人委托评标委员会按照招标文件规定的方式确定中标人；招标文件未规定的，采取随机抽取的方式确定。</w:t>
      </w:r>
      <w:r>
        <w:rPr>
          <w:rFonts w:ascii="宋体" w:hAnsi="宋体"/>
          <w:sz w:val="24"/>
        </w:rPr>
        <w:br w:type="textWrapping"/>
      </w:r>
      <w:r>
        <w:rPr>
          <w:rFonts w:ascii="宋体" w:hAnsi="宋体"/>
          <w:sz w:val="24"/>
        </w:rPr>
        <w:t>4、采购人自行组织招标的，应当在评标结束后5个工作日内确定中标人。</w:t>
      </w:r>
      <w:r>
        <w:rPr>
          <w:rFonts w:ascii="宋体" w:hAnsi="宋体"/>
          <w:sz w:val="24"/>
        </w:rPr>
        <w:br w:type="textWrapping"/>
      </w:r>
      <w:r>
        <w:rPr>
          <w:rFonts w:ascii="宋体" w:hAnsi="宋体"/>
          <w:sz w:val="24"/>
        </w:rPr>
        <w:t>5、采购人在收到评标报告5个工作日内未按评标报告推荐的中标候选人顺序确定中标人，又不能说明合法理由的，视同按评标报告推荐的顺序确定排名第一的中标候选人为中标人。 </w:t>
      </w:r>
      <w:r>
        <w:rPr>
          <w:rFonts w:ascii="宋体" w:hAnsi="宋体"/>
          <w:sz w:val="24"/>
        </w:rPr>
        <w:br w:type="textWrapping"/>
      </w:r>
      <w:r>
        <w:rPr>
          <w:rFonts w:ascii="宋体" w:hAnsi="宋体"/>
          <w:sz w:val="24"/>
        </w:rPr>
        <w:t>6、采购人依法确定中标人后2个工作日内，采购代理机构以书面形式发出《中标通知书》，并同时在相关网站发布中标公告。中标公告期限为1个工作日。</w:t>
      </w:r>
      <w:bookmarkEnd w:id="305"/>
      <w:bookmarkEnd w:id="306"/>
    </w:p>
    <w:p>
      <w:pPr>
        <w:spacing w:line="400" w:lineRule="exact"/>
        <w:outlineLvl w:val="1"/>
        <w:rPr>
          <w:rFonts w:ascii="宋体" w:hAnsi="宋体"/>
          <w:b/>
          <w:bCs/>
          <w:sz w:val="24"/>
        </w:rPr>
      </w:pPr>
      <w:bookmarkStart w:id="313" w:name="_Toc22954"/>
      <w:r>
        <w:rPr>
          <w:rFonts w:hint="eastAsia" w:ascii="宋体" w:hAnsi="宋体"/>
          <w:b/>
          <w:bCs/>
          <w:sz w:val="24"/>
        </w:rPr>
        <w:t>八、合同授予</w:t>
      </w:r>
      <w:bookmarkEnd w:id="307"/>
      <w:bookmarkEnd w:id="308"/>
      <w:bookmarkEnd w:id="309"/>
      <w:bookmarkEnd w:id="310"/>
      <w:bookmarkEnd w:id="311"/>
      <w:bookmarkEnd w:id="312"/>
      <w:bookmarkEnd w:id="313"/>
    </w:p>
    <w:p>
      <w:pPr>
        <w:adjustRightInd w:val="0"/>
        <w:snapToGrid w:val="0"/>
        <w:spacing w:line="400" w:lineRule="exact"/>
        <w:rPr>
          <w:rFonts w:ascii="宋体" w:hAnsi="宋体"/>
          <w:b/>
          <w:sz w:val="24"/>
        </w:rPr>
      </w:pPr>
      <w:r>
        <w:rPr>
          <w:rFonts w:hint="eastAsia" w:ascii="宋体" w:hAnsi="宋体"/>
          <w:b/>
          <w:sz w:val="24"/>
        </w:rPr>
        <w:t>（一）签订合同</w:t>
      </w:r>
    </w:p>
    <w:p>
      <w:pPr>
        <w:adjustRightInd w:val="0"/>
        <w:snapToGrid w:val="0"/>
        <w:spacing w:line="400" w:lineRule="exact"/>
        <w:ind w:firstLine="480" w:firstLineChars="200"/>
        <w:rPr>
          <w:rFonts w:ascii="宋体" w:hAnsi="宋体"/>
          <w:sz w:val="24"/>
        </w:rPr>
      </w:pPr>
      <w:r>
        <w:rPr>
          <w:rFonts w:ascii="宋体" w:hAnsi="宋体"/>
          <w:sz w:val="24"/>
        </w:rPr>
        <w:t>1</w:t>
      </w:r>
      <w:r>
        <w:rPr>
          <w:rFonts w:hint="eastAsia" w:ascii="宋体" w:hAnsi="宋体"/>
          <w:sz w:val="24"/>
        </w:rPr>
        <w:t>、中标人应自接到中标通知书后</w:t>
      </w:r>
      <w:r>
        <w:rPr>
          <w:rFonts w:hint="eastAsia" w:ascii="宋体" w:hAnsi="宋体"/>
          <w:sz w:val="24"/>
          <w:u w:val="single"/>
        </w:rPr>
        <w:t>30</w:t>
      </w:r>
      <w:r>
        <w:rPr>
          <w:rFonts w:hint="eastAsia" w:ascii="宋体" w:hAnsi="宋体"/>
          <w:sz w:val="24"/>
        </w:rPr>
        <w:t>天内与采购人签定合同。同时，采购人对合同内容进行审查，如发现与采购结果和投标承诺内容不一致的，应予以纠正。</w:t>
      </w:r>
    </w:p>
    <w:p>
      <w:pPr>
        <w:adjustRightInd w:val="0"/>
        <w:snapToGrid w:val="0"/>
        <w:spacing w:line="400" w:lineRule="exact"/>
        <w:ind w:firstLine="480" w:firstLineChars="200"/>
        <w:rPr>
          <w:rFonts w:ascii="宋体" w:hAnsi="宋体"/>
          <w:b/>
          <w:bCs/>
          <w:sz w:val="32"/>
          <w:szCs w:val="30"/>
        </w:rPr>
      </w:pPr>
      <w:r>
        <w:rPr>
          <w:rFonts w:hint="eastAsia" w:ascii="宋体" w:hAnsi="宋体"/>
          <w:sz w:val="24"/>
        </w:rPr>
        <w:t>2、中标人拖延、拒签合同的，将取消中标资格。</w:t>
      </w:r>
      <w:bookmarkStart w:id="314" w:name="_Toc293916375"/>
      <w:bookmarkStart w:id="315" w:name="_Toc293916907"/>
      <w:bookmarkStart w:id="316" w:name="_Toc293917024"/>
      <w:bookmarkStart w:id="317" w:name="_Toc424544819"/>
      <w:bookmarkStart w:id="318" w:name="_Toc424544540"/>
      <w:bookmarkStart w:id="319" w:name="_Toc293916024"/>
      <w:bookmarkStart w:id="320" w:name="_Toc177870559"/>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spacing w:beforeLines="50" w:afterLines="50"/>
        <w:jc w:val="center"/>
        <w:outlineLvl w:val="0"/>
        <w:rPr>
          <w:rFonts w:ascii="宋体" w:hAnsi="宋体"/>
          <w:b/>
          <w:bCs/>
          <w:sz w:val="32"/>
          <w:szCs w:val="30"/>
        </w:rPr>
      </w:pPr>
      <w:bookmarkStart w:id="321" w:name="_Toc18828"/>
      <w:r>
        <w:rPr>
          <w:rFonts w:hint="eastAsia" w:ascii="宋体" w:hAnsi="宋体"/>
          <w:b/>
          <w:bCs/>
          <w:sz w:val="32"/>
          <w:szCs w:val="30"/>
        </w:rPr>
        <w:t>第四章、评标办法及评分标准</w:t>
      </w:r>
      <w:bookmarkEnd w:id="314"/>
      <w:bookmarkEnd w:id="315"/>
      <w:bookmarkEnd w:id="316"/>
      <w:bookmarkEnd w:id="317"/>
      <w:bookmarkEnd w:id="318"/>
      <w:bookmarkEnd w:id="319"/>
      <w:bookmarkEnd w:id="321"/>
    </w:p>
    <w:p>
      <w:pPr>
        <w:adjustRightInd w:val="0"/>
        <w:snapToGrid w:val="0"/>
        <w:spacing w:line="400" w:lineRule="exact"/>
        <w:ind w:firstLine="480" w:firstLineChars="200"/>
        <w:rPr>
          <w:rFonts w:ascii="宋体" w:hAnsi="宋体"/>
          <w:sz w:val="24"/>
        </w:rPr>
      </w:pPr>
      <w:r>
        <w:rPr>
          <w:rFonts w:hint="eastAsia" w:ascii="宋体" w:hAnsi="宋体"/>
          <w:sz w:val="24"/>
        </w:rPr>
        <w:t>为公正、公平、科学地选择中标人，根据《中华人民共和国政府采购法》等有关法律法规的规定，并结合本项目的实际，制定本办法。</w:t>
      </w:r>
    </w:p>
    <w:p>
      <w:pPr>
        <w:adjustRightInd w:val="0"/>
        <w:snapToGrid w:val="0"/>
        <w:spacing w:line="400" w:lineRule="exact"/>
        <w:ind w:firstLine="480" w:firstLineChars="200"/>
        <w:rPr>
          <w:rFonts w:ascii="宋体" w:hAnsi="宋体"/>
          <w:bCs/>
          <w:sz w:val="24"/>
        </w:rPr>
      </w:pPr>
      <w:r>
        <w:rPr>
          <w:rFonts w:hint="eastAsia" w:ascii="宋体" w:hAnsi="宋体"/>
          <w:sz w:val="24"/>
        </w:rPr>
        <w:t>本办法适用于</w:t>
      </w:r>
      <w:r>
        <w:rPr>
          <w:rFonts w:hint="eastAsia" w:ascii="宋体" w:hAnsi="宋体"/>
          <w:b/>
          <w:sz w:val="24"/>
        </w:rPr>
        <w:t>湖州市吴兴区（含南太湖新区）门牌数据信息采集项目</w:t>
      </w:r>
      <w:r>
        <w:rPr>
          <w:rFonts w:hint="eastAsia" w:ascii="宋体" w:hAnsi="宋体"/>
          <w:bCs/>
          <w:sz w:val="24"/>
        </w:rPr>
        <w:t>的评标。</w:t>
      </w:r>
    </w:p>
    <w:p>
      <w:pPr>
        <w:pStyle w:val="5"/>
        <w:keepNext w:val="0"/>
        <w:keepLines w:val="0"/>
        <w:spacing w:before="0" w:after="0" w:line="400" w:lineRule="exact"/>
        <w:rPr>
          <w:rFonts w:ascii="宋体" w:hAnsi="宋体" w:eastAsia="宋体"/>
          <w:sz w:val="24"/>
          <w:szCs w:val="24"/>
        </w:rPr>
      </w:pPr>
      <w:bookmarkStart w:id="322" w:name="_Toc31545"/>
      <w:bookmarkStart w:id="323" w:name="_Toc424544541"/>
      <w:bookmarkStart w:id="324" w:name="_Toc424544820"/>
      <w:bookmarkStart w:id="325" w:name="_Toc1048"/>
      <w:bookmarkStart w:id="326" w:name="_Toc293916027"/>
      <w:bookmarkStart w:id="327" w:name="_Toc293917027"/>
      <w:bookmarkStart w:id="328" w:name="_Toc293916378"/>
      <w:bookmarkStart w:id="329" w:name="_Toc293916910"/>
      <w:r>
        <w:rPr>
          <w:rFonts w:hint="eastAsia" w:ascii="宋体" w:hAnsi="宋体" w:eastAsia="宋体"/>
          <w:sz w:val="24"/>
          <w:szCs w:val="24"/>
        </w:rPr>
        <w:t>一、总则</w:t>
      </w:r>
      <w:bookmarkEnd w:id="322"/>
      <w:bookmarkEnd w:id="323"/>
      <w:bookmarkEnd w:id="324"/>
      <w:bookmarkEnd w:id="325"/>
    </w:p>
    <w:p>
      <w:pPr>
        <w:spacing w:line="400" w:lineRule="exact"/>
        <w:ind w:firstLine="480" w:firstLineChars="200"/>
        <w:jc w:val="left"/>
        <w:rPr>
          <w:rFonts w:ascii="宋体" w:hAnsi="宋体"/>
          <w:bCs/>
          <w:sz w:val="24"/>
        </w:rPr>
      </w:pPr>
      <w:r>
        <w:rPr>
          <w:rFonts w:hint="eastAsia" w:ascii="宋体" w:hAnsi="宋体"/>
          <w:sz w:val="24"/>
        </w:rPr>
        <w:t>本次评标采用综合评分法，总分为100分，其中价格分20分、技术、商务、资信及其他分80分。合格投标人的评标得分为各项目汇总得分。本项目由采购人授权评标委员会按综合评分从高到低原则直接确定中标人。若综合得分最高分有2名及以上投标人，则以投标报价低者为中标人；若投标报价也相同，则以“技术、商务、资信及其他分”得分高者为中标人。评分过程中采用四舍五入法，并保留2位小数，第3位四舍五入。</w:t>
      </w:r>
    </w:p>
    <w:p>
      <w:pPr>
        <w:spacing w:line="400" w:lineRule="exact"/>
        <w:ind w:firstLine="480" w:firstLineChars="200"/>
        <w:jc w:val="left"/>
        <w:rPr>
          <w:rFonts w:ascii="宋体" w:hAnsi="宋体"/>
          <w:sz w:val="24"/>
        </w:rPr>
      </w:pPr>
      <w:r>
        <w:rPr>
          <w:rFonts w:hint="eastAsia" w:ascii="宋体" w:hAnsi="宋体"/>
          <w:sz w:val="24"/>
        </w:rPr>
        <w:t>供应商评标综合得分=价格分+技术、商务、资信及其他分</w:t>
      </w:r>
    </w:p>
    <w:p>
      <w:pPr>
        <w:spacing w:line="400" w:lineRule="exact"/>
        <w:rPr>
          <w:rFonts w:ascii="宋体" w:hAnsi="宋体"/>
          <w:b/>
          <w:sz w:val="24"/>
        </w:rPr>
      </w:pPr>
      <w:r>
        <w:rPr>
          <w:rFonts w:hint="eastAsia" w:ascii="宋体" w:hAnsi="宋体"/>
          <w:b/>
          <w:sz w:val="24"/>
        </w:rPr>
        <w:t xml:space="preserve">二、评标内容及标准 </w:t>
      </w:r>
    </w:p>
    <w:p>
      <w:pPr>
        <w:pStyle w:val="22"/>
        <w:tabs>
          <w:tab w:val="left" w:pos="0"/>
          <w:tab w:val="left" w:pos="993"/>
          <w:tab w:val="left" w:pos="1134"/>
        </w:tabs>
        <w:spacing w:line="440" w:lineRule="exact"/>
        <w:ind w:firstLine="480" w:firstLineChars="200"/>
        <w:rPr>
          <w:rFonts w:hAnsi="宋体"/>
          <w:spacing w:val="0"/>
          <w:sz w:val="24"/>
          <w:szCs w:val="21"/>
        </w:rPr>
      </w:pPr>
      <w:bookmarkStart w:id="330" w:name="_Toc424544822"/>
      <w:bookmarkStart w:id="331" w:name="_Toc424544543"/>
      <w:r>
        <w:rPr>
          <w:rFonts w:hint="eastAsia" w:hAnsi="宋体"/>
          <w:spacing w:val="0"/>
          <w:sz w:val="24"/>
          <w:szCs w:val="21"/>
        </w:rPr>
        <w:t>价格部分评审：</w:t>
      </w:r>
    </w:p>
    <w:p>
      <w:pPr>
        <w:pStyle w:val="22"/>
        <w:tabs>
          <w:tab w:val="left" w:pos="0"/>
          <w:tab w:val="left" w:pos="993"/>
          <w:tab w:val="left" w:pos="1134"/>
        </w:tabs>
        <w:spacing w:line="440" w:lineRule="exact"/>
        <w:ind w:firstLine="480" w:firstLineChars="200"/>
        <w:rPr>
          <w:rFonts w:hAnsi="宋体"/>
          <w:spacing w:val="0"/>
          <w:sz w:val="24"/>
          <w:szCs w:val="21"/>
        </w:rPr>
      </w:pPr>
      <w:r>
        <w:rPr>
          <w:rFonts w:hint="eastAsia" w:hAnsi="宋体"/>
          <w:spacing w:val="0"/>
          <w:sz w:val="24"/>
          <w:szCs w:val="21"/>
        </w:rPr>
        <w:t>投标报价超过采购预算</w:t>
      </w:r>
      <w:r>
        <w:rPr>
          <w:rFonts w:hint="eastAsia" w:hAnsi="宋体"/>
          <w:spacing w:val="0"/>
          <w:sz w:val="24"/>
          <w:szCs w:val="21"/>
          <w:lang w:eastAsia="zh-CN"/>
        </w:rPr>
        <w:t>或最高限价</w:t>
      </w:r>
      <w:r>
        <w:rPr>
          <w:rFonts w:hint="eastAsia" w:hAnsi="宋体"/>
          <w:spacing w:val="0"/>
          <w:sz w:val="24"/>
          <w:szCs w:val="21"/>
        </w:rPr>
        <w:t>的作无效标处理。</w:t>
      </w:r>
    </w:p>
    <w:p>
      <w:pPr>
        <w:pStyle w:val="22"/>
        <w:tabs>
          <w:tab w:val="left" w:pos="0"/>
          <w:tab w:val="left" w:pos="993"/>
          <w:tab w:val="left" w:pos="1134"/>
        </w:tabs>
        <w:spacing w:line="440" w:lineRule="exact"/>
        <w:ind w:firstLine="480" w:firstLineChars="200"/>
        <w:rPr>
          <w:rFonts w:hAnsi="宋体"/>
          <w:spacing w:val="0"/>
          <w:sz w:val="24"/>
          <w:szCs w:val="21"/>
        </w:rPr>
      </w:pPr>
      <w:r>
        <w:rPr>
          <w:rFonts w:hint="eastAsia" w:hAnsi="宋体"/>
          <w:spacing w:val="0"/>
          <w:sz w:val="24"/>
          <w:szCs w:val="21"/>
        </w:rPr>
        <w:t>价格分采用低价优先法计算，即满足招标文件要求且投标价格最低的有效投标报价为评标基准价，其他投标人的价格分按照下列公式计算（结果保留2位小数，第3位四舍五入）：</w:t>
      </w:r>
    </w:p>
    <w:p>
      <w:pPr>
        <w:spacing w:line="440" w:lineRule="exact"/>
        <w:ind w:firstLine="480" w:firstLineChars="200"/>
        <w:rPr>
          <w:rFonts w:ascii="宋体" w:hAnsi="宋体"/>
          <w:sz w:val="24"/>
        </w:rPr>
      </w:pPr>
      <w:r>
        <w:rPr>
          <w:rFonts w:hint="eastAsia" w:ascii="宋体" w:hAnsi="宋体"/>
          <w:sz w:val="24"/>
        </w:rPr>
        <w:t>价格分=【评标基准价/投标报价】×20%×100</w:t>
      </w:r>
    </w:p>
    <w:p>
      <w:pPr>
        <w:pStyle w:val="22"/>
        <w:tabs>
          <w:tab w:val="left" w:pos="0"/>
          <w:tab w:val="left" w:pos="993"/>
          <w:tab w:val="left" w:pos="1134"/>
        </w:tabs>
        <w:spacing w:line="440" w:lineRule="exact"/>
        <w:ind w:firstLine="480" w:firstLineChars="200"/>
        <w:outlineLvl w:val="2"/>
        <w:rPr>
          <w:rFonts w:hAnsi="宋体"/>
          <w:spacing w:val="0"/>
          <w:sz w:val="24"/>
          <w:szCs w:val="21"/>
        </w:rPr>
      </w:pPr>
      <w:bookmarkStart w:id="332" w:name="_Toc780"/>
      <w:bookmarkStart w:id="333" w:name="_Toc6824"/>
      <w:r>
        <w:rPr>
          <w:rFonts w:hint="eastAsia" w:hAnsi="宋体"/>
          <w:spacing w:val="0"/>
          <w:sz w:val="24"/>
          <w:szCs w:val="21"/>
        </w:rPr>
        <w:t>注：1、根据财政部、工业和信息化部制定的《政府采购促进中小企业发展暂行办法》和转发财政部、工业和信息化部关于印发《政府采购促进中小企业发展暂行办法》的通知（浙财采监[2012]11号），对小型或微型企业的投标报价给予6%的扣除，并用扣除后的价格计算价格评分。</w:t>
      </w:r>
      <w:bookmarkEnd w:id="332"/>
      <w:bookmarkEnd w:id="333"/>
    </w:p>
    <w:p>
      <w:pPr>
        <w:pStyle w:val="22"/>
        <w:tabs>
          <w:tab w:val="left" w:pos="0"/>
          <w:tab w:val="left" w:pos="993"/>
          <w:tab w:val="left" w:pos="1134"/>
        </w:tabs>
        <w:spacing w:line="440" w:lineRule="exact"/>
        <w:ind w:firstLine="480" w:firstLineChars="200"/>
        <w:outlineLvl w:val="2"/>
        <w:rPr>
          <w:rFonts w:hAnsi="宋体"/>
          <w:spacing w:val="0"/>
          <w:sz w:val="24"/>
          <w:szCs w:val="21"/>
        </w:rPr>
      </w:pPr>
      <w:bookmarkStart w:id="334" w:name="_Toc21560"/>
      <w:bookmarkStart w:id="335" w:name="_Toc13737"/>
      <w:r>
        <w:rPr>
          <w:rFonts w:hint="eastAsia" w:hAnsi="宋体"/>
          <w:spacing w:val="0"/>
          <w:sz w:val="24"/>
          <w:szCs w:val="21"/>
        </w:rPr>
        <w:t>同时符合以下所有要求的供应商被认定为小型、微型企业：</w:t>
      </w:r>
      <w:bookmarkEnd w:id="334"/>
      <w:bookmarkEnd w:id="335"/>
    </w:p>
    <w:p>
      <w:pPr>
        <w:pStyle w:val="22"/>
        <w:tabs>
          <w:tab w:val="left" w:pos="0"/>
          <w:tab w:val="left" w:pos="993"/>
          <w:tab w:val="left" w:pos="1134"/>
        </w:tabs>
        <w:spacing w:line="440" w:lineRule="exact"/>
        <w:ind w:firstLine="480" w:firstLineChars="200"/>
        <w:outlineLvl w:val="2"/>
        <w:rPr>
          <w:rFonts w:hAnsi="宋体"/>
          <w:spacing w:val="0"/>
          <w:sz w:val="24"/>
          <w:szCs w:val="21"/>
        </w:rPr>
      </w:pPr>
      <w:bookmarkStart w:id="336" w:name="_Toc28553"/>
      <w:bookmarkStart w:id="337" w:name="_Toc29868"/>
      <w:r>
        <w:rPr>
          <w:rFonts w:hint="eastAsia" w:hAnsi="宋体"/>
          <w:spacing w:val="0"/>
          <w:sz w:val="24"/>
          <w:szCs w:val="21"/>
        </w:rPr>
        <w:t>1）供应商按照《关于印发中小企业划型标准规定的通知》（工信部联企业【2011】300号）的所属行业规定为小型、微型企业【注：按《关于印发中小企业划型标准规定的通知》规定提供《中小企业声明函》及其相关的证明材料】。</w:t>
      </w:r>
      <w:bookmarkEnd w:id="336"/>
      <w:bookmarkEnd w:id="337"/>
    </w:p>
    <w:p>
      <w:pPr>
        <w:pStyle w:val="22"/>
        <w:tabs>
          <w:tab w:val="left" w:pos="0"/>
          <w:tab w:val="left" w:pos="993"/>
          <w:tab w:val="left" w:pos="1134"/>
        </w:tabs>
        <w:spacing w:line="440" w:lineRule="exact"/>
        <w:ind w:firstLine="480" w:firstLineChars="200"/>
        <w:outlineLvl w:val="2"/>
        <w:rPr>
          <w:rFonts w:hAnsi="宋体"/>
          <w:spacing w:val="0"/>
          <w:sz w:val="24"/>
          <w:szCs w:val="21"/>
        </w:rPr>
      </w:pPr>
      <w:bookmarkStart w:id="338" w:name="_Toc21443"/>
      <w:bookmarkStart w:id="339" w:name="_Toc17996"/>
      <w:r>
        <w:rPr>
          <w:rFonts w:hint="eastAsia" w:hAnsi="宋体"/>
          <w:spacing w:val="0"/>
          <w:sz w:val="24"/>
          <w:szCs w:val="21"/>
        </w:rPr>
        <w:t>2）供应商已通过浙江政府采购网（www.zjzfcg.gov.cn）申请注册并成为正式入库供应商【注：提供正式入库供应商的网站信息材料】。</w:t>
      </w:r>
      <w:bookmarkEnd w:id="338"/>
      <w:bookmarkEnd w:id="339"/>
    </w:p>
    <w:p>
      <w:pPr>
        <w:pStyle w:val="22"/>
        <w:tabs>
          <w:tab w:val="left" w:pos="0"/>
          <w:tab w:val="left" w:pos="993"/>
          <w:tab w:val="left" w:pos="1134"/>
        </w:tabs>
        <w:spacing w:line="440" w:lineRule="exact"/>
        <w:ind w:firstLine="480" w:firstLineChars="200"/>
        <w:outlineLvl w:val="2"/>
        <w:rPr>
          <w:rFonts w:hAnsi="宋体"/>
          <w:spacing w:val="0"/>
          <w:sz w:val="24"/>
          <w:szCs w:val="21"/>
        </w:rPr>
      </w:pPr>
      <w:bookmarkStart w:id="340" w:name="_Toc2129"/>
      <w:bookmarkStart w:id="341" w:name="_Toc15757"/>
      <w:r>
        <w:rPr>
          <w:rFonts w:hint="eastAsia" w:hAnsi="宋体"/>
          <w:spacing w:val="0"/>
          <w:sz w:val="24"/>
          <w:szCs w:val="21"/>
        </w:rPr>
        <w:t>2、监狱企业参加投标【提供《监狱企业声明函》及其相关的证明材料】，视为小型、微型企业，享受小微企业政策扶持，监狱企业属于小型、微型企业的，不重复享受政策。</w:t>
      </w:r>
      <w:bookmarkEnd w:id="340"/>
      <w:bookmarkEnd w:id="341"/>
    </w:p>
    <w:p>
      <w:pPr>
        <w:pStyle w:val="22"/>
        <w:tabs>
          <w:tab w:val="left" w:pos="0"/>
          <w:tab w:val="left" w:pos="993"/>
          <w:tab w:val="left" w:pos="1134"/>
        </w:tabs>
        <w:spacing w:line="440" w:lineRule="exact"/>
        <w:ind w:firstLine="480" w:firstLineChars="200"/>
        <w:outlineLvl w:val="2"/>
        <w:rPr>
          <w:rFonts w:hAnsi="宋体"/>
          <w:spacing w:val="0"/>
          <w:sz w:val="24"/>
          <w:szCs w:val="21"/>
        </w:rPr>
      </w:pPr>
      <w:bookmarkStart w:id="342" w:name="_Toc6320"/>
      <w:bookmarkStart w:id="343" w:name="_Toc28162"/>
      <w:r>
        <w:rPr>
          <w:rFonts w:hint="eastAsia" w:hAnsi="宋体"/>
          <w:spacing w:val="0"/>
          <w:sz w:val="24"/>
          <w:szCs w:val="21"/>
        </w:rPr>
        <w:t>3、残疾人福利性单位参加投标【提供《残疾人福利性单位声明函》】，视为小型、微型企业，享受小微企业政策扶持，残疾人福利性单位属于小型、微型企业的，不重复享受政策。</w:t>
      </w:r>
      <w:bookmarkEnd w:id="342"/>
      <w:bookmarkEnd w:id="343"/>
    </w:p>
    <w:p>
      <w:pPr>
        <w:pStyle w:val="22"/>
        <w:tabs>
          <w:tab w:val="left" w:pos="0"/>
          <w:tab w:val="left" w:pos="993"/>
          <w:tab w:val="left" w:pos="1134"/>
        </w:tabs>
        <w:spacing w:line="440" w:lineRule="exact"/>
        <w:ind w:firstLine="480" w:firstLineChars="200"/>
        <w:outlineLvl w:val="2"/>
        <w:rPr>
          <w:rFonts w:hAnsi="宋体"/>
          <w:spacing w:val="0"/>
          <w:sz w:val="24"/>
          <w:szCs w:val="21"/>
        </w:rPr>
      </w:pPr>
      <w:bookmarkStart w:id="344" w:name="_Toc29875"/>
      <w:bookmarkStart w:id="345" w:name="_Toc32159"/>
      <w:r>
        <w:rPr>
          <w:rFonts w:hint="eastAsia" w:hAnsi="宋体"/>
          <w:spacing w:val="0"/>
          <w:sz w:val="24"/>
          <w:szCs w:val="21"/>
        </w:rPr>
        <w:t>此项由评标委员会集体核实后统一打分。</w:t>
      </w:r>
      <w:bookmarkEnd w:id="344"/>
      <w:bookmarkEnd w:id="345"/>
    </w:p>
    <w:p>
      <w:pPr>
        <w:pStyle w:val="22"/>
        <w:tabs>
          <w:tab w:val="left" w:pos="0"/>
          <w:tab w:val="left" w:pos="993"/>
          <w:tab w:val="left" w:pos="1134"/>
        </w:tabs>
        <w:spacing w:line="440" w:lineRule="exact"/>
        <w:ind w:firstLine="480" w:firstLineChars="200"/>
        <w:outlineLvl w:val="2"/>
        <w:rPr>
          <w:rFonts w:hAnsi="宋体"/>
          <w:spacing w:val="0"/>
          <w:sz w:val="24"/>
          <w:szCs w:val="21"/>
        </w:rPr>
      </w:pPr>
      <w:bookmarkStart w:id="346" w:name="_Toc235"/>
      <w:bookmarkStart w:id="347" w:name="_Toc13204"/>
      <w:r>
        <w:rPr>
          <w:rFonts w:hint="eastAsia" w:hAnsi="宋体"/>
          <w:spacing w:val="0"/>
          <w:sz w:val="24"/>
          <w:szCs w:val="21"/>
        </w:rPr>
        <w:t>（二）技术、商务、资信及其他分（80分，投标人应提供有关证明文件或资料复印件，并盖投标人公章,未提供的不得分。）</w:t>
      </w:r>
      <w:bookmarkEnd w:id="346"/>
      <w:bookmarkEnd w:id="347"/>
    </w:p>
    <w:tbl>
      <w:tblPr>
        <w:tblStyle w:val="60"/>
        <w:tblW w:w="96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9"/>
        <w:gridCol w:w="1109"/>
        <w:gridCol w:w="6262"/>
        <w:gridCol w:w="13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929" w:type="dxa"/>
            <w:tcBorders>
              <w:top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348" w:name="_Toc17423"/>
            <w:bookmarkStart w:id="349" w:name="_Toc27814"/>
            <w:r>
              <w:rPr>
                <w:rFonts w:hint="eastAsia" w:ascii="微软雅黑" w:hAnsi="微软雅黑" w:cs="微软雅黑"/>
                <w:sz w:val="24"/>
                <w:szCs w:val="24"/>
              </w:rPr>
              <w:t>序号</w:t>
            </w:r>
            <w:bookmarkEnd w:id="348"/>
            <w:bookmarkEnd w:id="349"/>
          </w:p>
        </w:tc>
        <w:tc>
          <w:tcPr>
            <w:tcW w:w="1109" w:type="dxa"/>
            <w:tcBorders>
              <w:top w:val="single" w:color="auto" w:sz="4" w:space="0"/>
              <w:left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350" w:name="_Toc10550"/>
            <w:bookmarkStart w:id="351" w:name="_Toc21760"/>
            <w:r>
              <w:rPr>
                <w:rFonts w:hint="eastAsia" w:ascii="微软雅黑" w:hAnsi="微软雅黑" w:cs="微软雅黑"/>
                <w:sz w:val="24"/>
                <w:szCs w:val="24"/>
              </w:rPr>
              <w:t>评审</w:t>
            </w:r>
            <w:bookmarkEnd w:id="350"/>
            <w:bookmarkEnd w:id="351"/>
          </w:p>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352" w:name="_Toc27898"/>
            <w:bookmarkStart w:id="353" w:name="_Toc17202"/>
            <w:r>
              <w:rPr>
                <w:rFonts w:hint="eastAsia" w:ascii="微软雅黑" w:hAnsi="微软雅黑" w:cs="微软雅黑"/>
                <w:sz w:val="24"/>
                <w:szCs w:val="24"/>
              </w:rPr>
              <w:t>内容</w:t>
            </w:r>
            <w:bookmarkEnd w:id="352"/>
            <w:bookmarkEnd w:id="353"/>
          </w:p>
        </w:tc>
        <w:tc>
          <w:tcPr>
            <w:tcW w:w="6262" w:type="dxa"/>
            <w:tcBorders>
              <w:top w:val="single" w:color="auto" w:sz="4" w:space="0"/>
              <w:left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464" w:firstLineChars="200"/>
              <w:jc w:val="center"/>
              <w:outlineLvl w:val="2"/>
              <w:rPr>
                <w:rFonts w:ascii="微软雅黑" w:hAnsi="微软雅黑" w:cs="微软雅黑"/>
                <w:sz w:val="24"/>
                <w:szCs w:val="24"/>
              </w:rPr>
            </w:pPr>
            <w:bookmarkStart w:id="354" w:name="_Toc2873"/>
            <w:bookmarkStart w:id="355" w:name="_Toc7434"/>
            <w:r>
              <w:rPr>
                <w:rFonts w:hint="eastAsia" w:ascii="微软雅黑" w:hAnsi="微软雅黑" w:cs="微软雅黑"/>
                <w:sz w:val="24"/>
                <w:szCs w:val="24"/>
              </w:rPr>
              <w:t>评分标准</w:t>
            </w:r>
            <w:bookmarkEnd w:id="354"/>
            <w:bookmarkEnd w:id="355"/>
          </w:p>
        </w:tc>
        <w:tc>
          <w:tcPr>
            <w:tcW w:w="1388" w:type="dxa"/>
            <w:tcBorders>
              <w:top w:val="single" w:color="auto" w:sz="4" w:space="0"/>
              <w:left w:val="single" w:color="auto" w:sz="4" w:space="0"/>
              <w:bottom w:val="single" w:color="auto" w:sz="4" w:space="0"/>
            </w:tcBorders>
            <w:vAlign w:val="center"/>
          </w:tcPr>
          <w:p>
            <w:pPr>
              <w:pStyle w:val="22"/>
              <w:tabs>
                <w:tab w:val="left" w:pos="0"/>
                <w:tab w:val="left" w:pos="993"/>
                <w:tab w:val="left" w:pos="1134"/>
              </w:tabs>
              <w:spacing w:line="360" w:lineRule="exact"/>
              <w:ind w:firstLine="0"/>
              <w:jc w:val="center"/>
              <w:outlineLvl w:val="2"/>
              <w:rPr>
                <w:rFonts w:ascii="微软雅黑" w:hAnsi="微软雅黑" w:cs="微软雅黑"/>
                <w:sz w:val="24"/>
                <w:szCs w:val="24"/>
              </w:rPr>
            </w:pPr>
            <w:bookmarkStart w:id="356" w:name="_Toc27210"/>
            <w:bookmarkStart w:id="357" w:name="_Toc5032"/>
            <w:r>
              <w:rPr>
                <w:rFonts w:hint="eastAsia" w:ascii="微软雅黑" w:hAnsi="微软雅黑" w:cs="微软雅黑"/>
                <w:sz w:val="24"/>
                <w:szCs w:val="24"/>
              </w:rPr>
              <w:t>分值</w:t>
            </w:r>
            <w:bookmarkEnd w:id="356"/>
            <w:bookmarkEnd w:id="35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 w:hRule="atLeast"/>
          <w:jc w:val="center"/>
        </w:trPr>
        <w:tc>
          <w:tcPr>
            <w:tcW w:w="929" w:type="dxa"/>
            <w:tcBorders>
              <w:top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jc w:val="center"/>
              <w:outlineLvl w:val="2"/>
              <w:rPr>
                <w:rFonts w:ascii="微软雅黑" w:hAnsi="微软雅黑" w:cs="微软雅黑"/>
                <w:sz w:val="24"/>
                <w:szCs w:val="24"/>
              </w:rPr>
            </w:pPr>
            <w:bookmarkStart w:id="358" w:name="_Toc31833"/>
            <w:bookmarkStart w:id="359" w:name="_Toc3851"/>
            <w:r>
              <w:rPr>
                <w:rFonts w:hint="eastAsia" w:ascii="微软雅黑" w:hAnsi="微软雅黑" w:cs="微软雅黑"/>
                <w:sz w:val="24"/>
                <w:szCs w:val="24"/>
              </w:rPr>
              <w:t>一</w:t>
            </w:r>
            <w:bookmarkEnd w:id="358"/>
            <w:bookmarkEnd w:id="359"/>
          </w:p>
        </w:tc>
        <w:tc>
          <w:tcPr>
            <w:tcW w:w="1109" w:type="dxa"/>
            <w:tcBorders>
              <w:top w:val="single" w:color="auto" w:sz="4" w:space="0"/>
              <w:left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jc w:val="center"/>
              <w:outlineLvl w:val="2"/>
              <w:rPr>
                <w:rFonts w:ascii="微软雅黑" w:hAnsi="微软雅黑" w:cs="微软雅黑"/>
                <w:sz w:val="24"/>
                <w:szCs w:val="24"/>
              </w:rPr>
            </w:pPr>
            <w:bookmarkStart w:id="360" w:name="_Toc25176"/>
            <w:bookmarkStart w:id="361" w:name="_Toc31779"/>
            <w:r>
              <w:rPr>
                <w:rFonts w:hint="eastAsia" w:ascii="微软雅黑" w:hAnsi="微软雅黑" w:cs="微软雅黑"/>
                <w:sz w:val="24"/>
                <w:szCs w:val="24"/>
              </w:rPr>
              <w:t>技术分</w:t>
            </w:r>
            <w:bookmarkEnd w:id="360"/>
            <w:bookmarkEnd w:id="361"/>
          </w:p>
        </w:tc>
        <w:tc>
          <w:tcPr>
            <w:tcW w:w="6262" w:type="dxa"/>
            <w:tcBorders>
              <w:top w:val="single" w:color="auto" w:sz="4" w:space="0"/>
              <w:left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464" w:firstLineChars="200"/>
              <w:outlineLvl w:val="2"/>
              <w:rPr>
                <w:rFonts w:ascii="微软雅黑" w:hAnsi="微软雅黑" w:cs="微软雅黑"/>
                <w:sz w:val="24"/>
                <w:szCs w:val="24"/>
              </w:rPr>
            </w:pPr>
          </w:p>
        </w:tc>
        <w:tc>
          <w:tcPr>
            <w:tcW w:w="1388" w:type="dxa"/>
            <w:tcBorders>
              <w:top w:val="single" w:color="auto" w:sz="4" w:space="0"/>
              <w:left w:val="single" w:color="auto" w:sz="4" w:space="0"/>
              <w:bottom w:val="single" w:color="auto" w:sz="4" w:space="0"/>
            </w:tcBorders>
            <w:vAlign w:val="center"/>
          </w:tcPr>
          <w:p>
            <w:pPr>
              <w:pStyle w:val="22"/>
              <w:tabs>
                <w:tab w:val="left" w:pos="0"/>
                <w:tab w:val="left" w:pos="993"/>
                <w:tab w:val="left" w:pos="1134"/>
              </w:tabs>
              <w:spacing w:line="360" w:lineRule="exact"/>
              <w:ind w:firstLine="0"/>
              <w:jc w:val="center"/>
              <w:outlineLvl w:val="2"/>
              <w:rPr>
                <w:rFonts w:ascii="微软雅黑" w:hAnsi="微软雅黑" w:cs="微软雅黑"/>
                <w:sz w:val="24"/>
                <w:szCs w:val="24"/>
              </w:rPr>
            </w:pPr>
            <w:bookmarkStart w:id="362" w:name="_Toc7690"/>
            <w:bookmarkStart w:id="363" w:name="_Toc24649"/>
            <w:r>
              <w:rPr>
                <w:rFonts w:hint="eastAsia" w:ascii="微软雅黑" w:hAnsi="微软雅黑" w:cs="微软雅黑"/>
                <w:sz w:val="24"/>
                <w:szCs w:val="24"/>
              </w:rPr>
              <w:t>60分</w:t>
            </w:r>
            <w:bookmarkEnd w:id="362"/>
            <w:bookmarkEnd w:id="36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22" w:hRule="atLeast"/>
          <w:jc w:val="center"/>
        </w:trPr>
        <w:tc>
          <w:tcPr>
            <w:tcW w:w="929" w:type="dxa"/>
            <w:tcBorders>
              <w:top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jc w:val="center"/>
              <w:outlineLvl w:val="2"/>
              <w:rPr>
                <w:rFonts w:ascii="微软雅黑" w:hAnsi="微软雅黑" w:cs="微软雅黑"/>
                <w:sz w:val="24"/>
                <w:szCs w:val="24"/>
              </w:rPr>
            </w:pPr>
            <w:bookmarkStart w:id="364" w:name="_Toc6996"/>
            <w:bookmarkStart w:id="365" w:name="_Toc5626"/>
            <w:r>
              <w:rPr>
                <w:rFonts w:hint="eastAsia" w:ascii="微软雅黑" w:hAnsi="微软雅黑" w:cs="微软雅黑"/>
                <w:sz w:val="24"/>
                <w:szCs w:val="24"/>
              </w:rPr>
              <w:t>1</w:t>
            </w:r>
            <w:bookmarkEnd w:id="364"/>
            <w:bookmarkEnd w:id="365"/>
          </w:p>
        </w:tc>
        <w:tc>
          <w:tcPr>
            <w:tcW w:w="1109" w:type="dxa"/>
            <w:tcBorders>
              <w:top w:val="single" w:color="auto" w:sz="4" w:space="0"/>
              <w:left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366" w:name="_Toc24872"/>
            <w:bookmarkStart w:id="367" w:name="_Toc26115"/>
            <w:r>
              <w:rPr>
                <w:rFonts w:hint="eastAsia" w:ascii="微软雅黑" w:hAnsi="微软雅黑" w:cs="微软雅黑"/>
                <w:sz w:val="24"/>
                <w:szCs w:val="24"/>
              </w:rPr>
              <w:t>对本项目需求的理解与建设方案</w:t>
            </w:r>
            <w:bookmarkEnd w:id="366"/>
            <w:bookmarkEnd w:id="367"/>
          </w:p>
        </w:tc>
        <w:tc>
          <w:tcPr>
            <w:tcW w:w="6262" w:type="dxa"/>
            <w:tcBorders>
              <w:top w:val="single" w:color="auto" w:sz="4" w:space="0"/>
              <w:left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368" w:name="_Toc833"/>
            <w:bookmarkStart w:id="369" w:name="_Toc17100"/>
            <w:r>
              <w:rPr>
                <w:rFonts w:hint="eastAsia" w:ascii="微软雅黑" w:hAnsi="微软雅黑" w:cs="微软雅黑"/>
                <w:sz w:val="24"/>
                <w:szCs w:val="24"/>
              </w:rPr>
              <w:t>投标人对项目背景、现状、目标和需求分析的理解深入，对项目实际需求及业务流程分析合理，方案符合国家、省、市的相关标准、指南、解决方案的要求等，由专家综合分析比较后评分，方案合理、内容详细的得11-15分，方案笼统的得6-10分，方案一般纯在缺漏的得1-5分。</w:t>
            </w:r>
            <w:bookmarkEnd w:id="368"/>
            <w:bookmarkEnd w:id="369"/>
          </w:p>
        </w:tc>
        <w:tc>
          <w:tcPr>
            <w:tcW w:w="1388" w:type="dxa"/>
            <w:tcBorders>
              <w:top w:val="single" w:color="auto" w:sz="4" w:space="0"/>
              <w:left w:val="single" w:color="auto" w:sz="4" w:space="0"/>
              <w:bottom w:val="single" w:color="auto" w:sz="4" w:space="0"/>
            </w:tcBorders>
            <w:vAlign w:val="center"/>
          </w:tcPr>
          <w:p>
            <w:pPr>
              <w:pStyle w:val="22"/>
              <w:tabs>
                <w:tab w:val="left" w:pos="0"/>
                <w:tab w:val="left" w:pos="993"/>
                <w:tab w:val="left" w:pos="1134"/>
              </w:tabs>
              <w:spacing w:line="360" w:lineRule="exact"/>
              <w:ind w:firstLine="0"/>
              <w:jc w:val="center"/>
              <w:outlineLvl w:val="2"/>
              <w:rPr>
                <w:rFonts w:ascii="微软雅黑" w:hAnsi="微软雅黑" w:cs="微软雅黑"/>
                <w:sz w:val="24"/>
                <w:szCs w:val="24"/>
              </w:rPr>
            </w:pPr>
            <w:bookmarkStart w:id="370" w:name="_Toc9431"/>
            <w:bookmarkStart w:id="371" w:name="_Toc31883"/>
            <w:r>
              <w:rPr>
                <w:rFonts w:hint="eastAsia" w:ascii="微软雅黑" w:hAnsi="微软雅黑" w:cs="微软雅黑"/>
                <w:sz w:val="24"/>
                <w:szCs w:val="24"/>
              </w:rPr>
              <w:t>15分</w:t>
            </w:r>
            <w:bookmarkEnd w:id="370"/>
            <w:bookmarkEnd w:id="37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8" w:hRule="exact"/>
          <w:jc w:val="center"/>
        </w:trPr>
        <w:tc>
          <w:tcPr>
            <w:tcW w:w="929" w:type="dxa"/>
            <w:tcBorders>
              <w:top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jc w:val="center"/>
              <w:outlineLvl w:val="2"/>
              <w:rPr>
                <w:rFonts w:ascii="微软雅黑" w:hAnsi="微软雅黑" w:cs="微软雅黑"/>
                <w:sz w:val="24"/>
                <w:szCs w:val="24"/>
              </w:rPr>
            </w:pPr>
            <w:bookmarkStart w:id="372" w:name="_Toc16531"/>
            <w:bookmarkStart w:id="373" w:name="_Toc31421"/>
            <w:r>
              <w:rPr>
                <w:rFonts w:hint="eastAsia" w:ascii="微软雅黑" w:hAnsi="微软雅黑" w:cs="微软雅黑"/>
                <w:sz w:val="24"/>
                <w:szCs w:val="24"/>
              </w:rPr>
              <w:t>2</w:t>
            </w:r>
            <w:bookmarkEnd w:id="372"/>
            <w:bookmarkEnd w:id="373"/>
          </w:p>
        </w:tc>
        <w:tc>
          <w:tcPr>
            <w:tcW w:w="1109" w:type="dxa"/>
            <w:tcBorders>
              <w:top w:val="single" w:color="auto" w:sz="4" w:space="0"/>
              <w:left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374" w:name="_Toc26506"/>
            <w:bookmarkStart w:id="375" w:name="_Toc26259"/>
            <w:r>
              <w:rPr>
                <w:rFonts w:hint="eastAsia" w:ascii="微软雅黑" w:hAnsi="微软雅黑" w:cs="微软雅黑"/>
                <w:sz w:val="24"/>
                <w:szCs w:val="24"/>
              </w:rPr>
              <w:t>功能及架构</w:t>
            </w:r>
            <w:bookmarkEnd w:id="374"/>
            <w:bookmarkEnd w:id="375"/>
          </w:p>
        </w:tc>
        <w:tc>
          <w:tcPr>
            <w:tcW w:w="6262" w:type="dxa"/>
            <w:tcBorders>
              <w:top w:val="single" w:color="auto" w:sz="4" w:space="0"/>
              <w:left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376" w:name="_Toc28134"/>
            <w:bookmarkStart w:id="377" w:name="_Toc22762"/>
            <w:r>
              <w:rPr>
                <w:rFonts w:hint="eastAsia" w:ascii="微软雅黑" w:hAnsi="微软雅黑" w:cs="微软雅黑"/>
                <w:sz w:val="24"/>
                <w:szCs w:val="24"/>
              </w:rPr>
              <w:t>根据投标文件内容，与浙江省区划地名信息管理系统14个事项业务流程需求相吻合【1.个人申请门（楼）牌号码及门牌证2.单位申请门（楼）牌号码及门牌证3.个人申请变更门牌证4.单位申请变更门牌证5.个人申请注销门（楼）牌号码及门牌证6.单位申请注销门（楼）牌号码及门牌证7.个人申请换（补）发门牌证8.单位申请换（补）发门牌证9.住宅小区（楼）、建筑物预命名10.住宅小区（楼）、建筑物命名</w:t>
            </w:r>
          </w:p>
          <w:p>
            <w:pPr>
              <w:pStyle w:val="22"/>
              <w:tabs>
                <w:tab w:val="left" w:pos="0"/>
                <w:tab w:val="left" w:pos="993"/>
                <w:tab w:val="left" w:pos="1134"/>
              </w:tabs>
              <w:spacing w:line="360" w:lineRule="exact"/>
              <w:ind w:firstLine="0"/>
              <w:outlineLvl w:val="2"/>
              <w:rPr>
                <w:rFonts w:ascii="微软雅黑" w:hAnsi="微软雅黑" w:cs="微软雅黑"/>
                <w:sz w:val="24"/>
                <w:szCs w:val="24"/>
              </w:rPr>
            </w:pPr>
            <w:r>
              <w:rPr>
                <w:rFonts w:hint="eastAsia" w:ascii="微软雅黑" w:hAnsi="微软雅黑" w:cs="微软雅黑"/>
                <w:sz w:val="24"/>
                <w:szCs w:val="24"/>
              </w:rPr>
              <w:t>11.新建道路命名12.住宅小区（楼）、建筑物更名13.申请换（补）发地名核准书14.申请地名证明】得0-7分，与湖州市民政局共享交换平台对接完整的得3分，由专家综合分析比较后进行评分。</w:t>
            </w:r>
            <w:bookmarkEnd w:id="376"/>
            <w:bookmarkEnd w:id="377"/>
          </w:p>
        </w:tc>
        <w:tc>
          <w:tcPr>
            <w:tcW w:w="1388" w:type="dxa"/>
            <w:tcBorders>
              <w:top w:val="single" w:color="auto" w:sz="4" w:space="0"/>
              <w:left w:val="single" w:color="auto" w:sz="4" w:space="0"/>
              <w:bottom w:val="single" w:color="auto" w:sz="4" w:space="0"/>
            </w:tcBorders>
            <w:vAlign w:val="center"/>
          </w:tcPr>
          <w:p>
            <w:pPr>
              <w:pStyle w:val="22"/>
              <w:tabs>
                <w:tab w:val="left" w:pos="0"/>
                <w:tab w:val="left" w:pos="993"/>
                <w:tab w:val="left" w:pos="1134"/>
              </w:tabs>
              <w:spacing w:line="360" w:lineRule="exact"/>
              <w:ind w:firstLine="0"/>
              <w:jc w:val="center"/>
              <w:outlineLvl w:val="2"/>
              <w:rPr>
                <w:rFonts w:ascii="微软雅黑" w:hAnsi="微软雅黑" w:cs="微软雅黑"/>
                <w:sz w:val="24"/>
                <w:szCs w:val="24"/>
              </w:rPr>
            </w:pPr>
            <w:bookmarkStart w:id="378" w:name="_Toc11191"/>
            <w:bookmarkStart w:id="379" w:name="_Toc9489"/>
            <w:r>
              <w:rPr>
                <w:rFonts w:hint="eastAsia" w:ascii="微软雅黑" w:hAnsi="微软雅黑" w:cs="微软雅黑"/>
                <w:sz w:val="24"/>
                <w:szCs w:val="24"/>
              </w:rPr>
              <w:t>10分</w:t>
            </w:r>
            <w:bookmarkEnd w:id="378"/>
            <w:bookmarkEnd w:id="37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71" w:hRule="exact"/>
          <w:jc w:val="center"/>
        </w:trPr>
        <w:tc>
          <w:tcPr>
            <w:tcW w:w="929" w:type="dxa"/>
            <w:vMerge w:val="restart"/>
            <w:tcBorders>
              <w:top w:val="single" w:color="auto" w:sz="4" w:space="0"/>
              <w:right w:val="single" w:color="auto" w:sz="4" w:space="0"/>
            </w:tcBorders>
            <w:vAlign w:val="center"/>
          </w:tcPr>
          <w:p>
            <w:pPr>
              <w:pStyle w:val="22"/>
              <w:tabs>
                <w:tab w:val="left" w:pos="0"/>
                <w:tab w:val="left" w:pos="993"/>
                <w:tab w:val="left" w:pos="1134"/>
              </w:tabs>
              <w:spacing w:line="360" w:lineRule="exact"/>
              <w:ind w:firstLine="0"/>
              <w:jc w:val="center"/>
              <w:outlineLvl w:val="2"/>
              <w:rPr>
                <w:rFonts w:ascii="微软雅黑" w:hAnsi="微软雅黑" w:cs="微软雅黑"/>
                <w:sz w:val="24"/>
                <w:szCs w:val="24"/>
              </w:rPr>
            </w:pPr>
            <w:bookmarkStart w:id="380" w:name="_Toc9860"/>
            <w:bookmarkStart w:id="381" w:name="_Toc6666"/>
            <w:r>
              <w:rPr>
                <w:rFonts w:hint="eastAsia" w:ascii="微软雅黑" w:hAnsi="微软雅黑" w:cs="微软雅黑"/>
                <w:sz w:val="24"/>
                <w:szCs w:val="24"/>
              </w:rPr>
              <w:t>3</w:t>
            </w:r>
            <w:bookmarkEnd w:id="380"/>
            <w:bookmarkEnd w:id="381"/>
          </w:p>
        </w:tc>
        <w:tc>
          <w:tcPr>
            <w:tcW w:w="1109" w:type="dxa"/>
            <w:vMerge w:val="restart"/>
            <w:tcBorders>
              <w:top w:val="single" w:color="auto" w:sz="4" w:space="0"/>
              <w:left w:val="single" w:color="auto" w:sz="4" w:space="0"/>
              <w:right w:val="single" w:color="auto" w:sz="4" w:space="0"/>
            </w:tcBorders>
            <w:vAlign w:val="center"/>
          </w:tcPr>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382" w:name="_Toc16929"/>
            <w:bookmarkStart w:id="383" w:name="_Toc18547"/>
            <w:r>
              <w:rPr>
                <w:rFonts w:hint="eastAsia" w:ascii="微软雅黑" w:hAnsi="微软雅黑" w:cs="微软雅黑"/>
                <w:sz w:val="24"/>
                <w:szCs w:val="24"/>
              </w:rPr>
              <w:t>项目组织实施</w:t>
            </w:r>
            <w:bookmarkEnd w:id="382"/>
            <w:bookmarkEnd w:id="383"/>
          </w:p>
        </w:tc>
        <w:tc>
          <w:tcPr>
            <w:tcW w:w="6262" w:type="dxa"/>
            <w:tcBorders>
              <w:top w:val="single" w:color="auto" w:sz="4" w:space="0"/>
              <w:left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384" w:name="_Toc23130"/>
            <w:bookmarkStart w:id="385" w:name="_Toc16127"/>
            <w:r>
              <w:rPr>
                <w:rFonts w:hint="eastAsia" w:ascii="微软雅黑" w:hAnsi="微软雅黑" w:cs="微软雅黑"/>
                <w:sz w:val="24"/>
                <w:szCs w:val="24"/>
              </w:rPr>
              <w:t>投标人提供的项目管理、质量保障、培训方案合理性和可实施性。</w:t>
            </w:r>
            <w:bookmarkEnd w:id="384"/>
            <w:bookmarkEnd w:id="385"/>
          </w:p>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386" w:name="_Toc12213"/>
            <w:bookmarkStart w:id="387" w:name="_Toc19508"/>
            <w:r>
              <w:rPr>
                <w:rFonts w:hint="eastAsia" w:ascii="微软雅黑" w:hAnsi="微软雅黑" w:cs="微软雅黑"/>
                <w:sz w:val="24"/>
                <w:szCs w:val="24"/>
              </w:rPr>
              <w:t>相关内容完整、齐全、设计合理具有针对性且可行的得5-8分，相关内容少量缺损、设计合理具有针对性且可行的得1-4分，相关内容大量缺失或无内容或内容不可行的得0分。</w:t>
            </w:r>
            <w:bookmarkEnd w:id="386"/>
            <w:bookmarkEnd w:id="387"/>
          </w:p>
        </w:tc>
        <w:tc>
          <w:tcPr>
            <w:tcW w:w="1388" w:type="dxa"/>
            <w:tcBorders>
              <w:top w:val="single" w:color="auto" w:sz="4" w:space="0"/>
              <w:left w:val="single" w:color="auto" w:sz="4" w:space="0"/>
              <w:bottom w:val="single" w:color="auto" w:sz="4" w:space="0"/>
            </w:tcBorders>
            <w:vAlign w:val="center"/>
          </w:tcPr>
          <w:p>
            <w:pPr>
              <w:pStyle w:val="22"/>
              <w:tabs>
                <w:tab w:val="left" w:pos="0"/>
                <w:tab w:val="left" w:pos="993"/>
                <w:tab w:val="left" w:pos="1134"/>
              </w:tabs>
              <w:spacing w:line="360" w:lineRule="exact"/>
              <w:ind w:firstLine="0"/>
              <w:jc w:val="center"/>
              <w:outlineLvl w:val="2"/>
              <w:rPr>
                <w:rFonts w:ascii="微软雅黑" w:hAnsi="微软雅黑" w:cs="微软雅黑"/>
                <w:sz w:val="24"/>
                <w:szCs w:val="24"/>
              </w:rPr>
            </w:pPr>
            <w:bookmarkStart w:id="388" w:name="_Toc30720"/>
            <w:bookmarkStart w:id="389" w:name="_Toc12154"/>
            <w:r>
              <w:rPr>
                <w:rFonts w:hint="eastAsia" w:ascii="微软雅黑" w:hAnsi="微软雅黑" w:cs="微软雅黑"/>
                <w:sz w:val="24"/>
                <w:szCs w:val="24"/>
              </w:rPr>
              <w:t>8分</w:t>
            </w:r>
            <w:bookmarkEnd w:id="388"/>
            <w:bookmarkEnd w:id="38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23" w:hRule="exact"/>
          <w:jc w:val="center"/>
        </w:trPr>
        <w:tc>
          <w:tcPr>
            <w:tcW w:w="929" w:type="dxa"/>
            <w:vMerge w:val="continue"/>
            <w:tcBorders>
              <w:bottom w:val="single" w:color="auto" w:sz="4" w:space="0"/>
              <w:right w:val="single" w:color="auto" w:sz="4" w:space="0"/>
            </w:tcBorders>
            <w:vAlign w:val="center"/>
          </w:tcPr>
          <w:p>
            <w:pPr>
              <w:pStyle w:val="22"/>
              <w:tabs>
                <w:tab w:val="left" w:pos="0"/>
                <w:tab w:val="left" w:pos="993"/>
                <w:tab w:val="left" w:pos="1134"/>
              </w:tabs>
              <w:spacing w:line="360" w:lineRule="exact"/>
              <w:ind w:firstLine="0"/>
              <w:jc w:val="center"/>
              <w:outlineLvl w:val="2"/>
              <w:rPr>
                <w:rFonts w:ascii="微软雅黑" w:hAnsi="微软雅黑" w:cs="微软雅黑"/>
                <w:sz w:val="24"/>
                <w:szCs w:val="24"/>
              </w:rPr>
            </w:pPr>
          </w:p>
        </w:tc>
        <w:tc>
          <w:tcPr>
            <w:tcW w:w="1109" w:type="dxa"/>
            <w:vMerge w:val="continue"/>
            <w:tcBorders>
              <w:left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outlineLvl w:val="2"/>
              <w:rPr>
                <w:rFonts w:ascii="微软雅黑" w:hAnsi="微软雅黑" w:cs="微软雅黑"/>
                <w:sz w:val="24"/>
                <w:szCs w:val="24"/>
              </w:rPr>
            </w:pPr>
          </w:p>
        </w:tc>
        <w:tc>
          <w:tcPr>
            <w:tcW w:w="6262" w:type="dxa"/>
            <w:tcBorders>
              <w:top w:val="single" w:color="auto" w:sz="4" w:space="0"/>
              <w:left w:val="single" w:color="auto" w:sz="4" w:space="0"/>
              <w:bottom w:val="single" w:color="auto" w:sz="4" w:space="0"/>
              <w:right w:val="single" w:color="auto" w:sz="4" w:space="0"/>
            </w:tcBorders>
          </w:tcPr>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390" w:name="_Toc7860"/>
            <w:bookmarkStart w:id="391" w:name="_Toc3237"/>
            <w:r>
              <w:rPr>
                <w:rFonts w:hint="eastAsia" w:ascii="微软雅黑" w:hAnsi="微软雅黑" w:cs="微软雅黑"/>
                <w:sz w:val="24"/>
                <w:szCs w:val="24"/>
              </w:rPr>
              <w:t>投标人需针对本项目制定科学的项目实施方案，明确相关人员及资质；</w:t>
            </w:r>
            <w:bookmarkEnd w:id="390"/>
            <w:bookmarkEnd w:id="391"/>
          </w:p>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392" w:name="_Toc10525"/>
            <w:bookmarkStart w:id="393" w:name="_Toc25035"/>
            <w:r>
              <w:rPr>
                <w:rFonts w:hint="eastAsia" w:ascii="微软雅黑" w:hAnsi="微软雅黑" w:cs="微软雅黑"/>
                <w:sz w:val="24"/>
                <w:szCs w:val="24"/>
              </w:rPr>
              <w:t>相关内容完整、齐全、设计合理具有针对性且可行的得5-8分，相关内容少量缺损、设计合理具有针对性且可行的得1-4分，相关内容大量缺失或无内容或内容不可行的得0分。</w:t>
            </w:r>
            <w:bookmarkEnd w:id="392"/>
            <w:bookmarkEnd w:id="393"/>
          </w:p>
        </w:tc>
        <w:tc>
          <w:tcPr>
            <w:tcW w:w="1388" w:type="dxa"/>
            <w:tcBorders>
              <w:top w:val="single" w:color="auto" w:sz="4" w:space="0"/>
              <w:left w:val="single" w:color="auto" w:sz="4" w:space="0"/>
              <w:bottom w:val="single" w:color="auto" w:sz="4" w:space="0"/>
            </w:tcBorders>
            <w:vAlign w:val="center"/>
          </w:tcPr>
          <w:p>
            <w:pPr>
              <w:pStyle w:val="22"/>
              <w:tabs>
                <w:tab w:val="left" w:pos="0"/>
                <w:tab w:val="left" w:pos="993"/>
                <w:tab w:val="left" w:pos="1134"/>
              </w:tabs>
              <w:spacing w:line="360" w:lineRule="exact"/>
              <w:ind w:firstLine="0"/>
              <w:jc w:val="center"/>
              <w:outlineLvl w:val="2"/>
              <w:rPr>
                <w:rFonts w:ascii="微软雅黑" w:hAnsi="微软雅黑" w:cs="微软雅黑"/>
                <w:sz w:val="24"/>
                <w:szCs w:val="24"/>
              </w:rPr>
            </w:pPr>
            <w:bookmarkStart w:id="394" w:name="_Toc4385"/>
            <w:bookmarkStart w:id="395" w:name="_Toc7423"/>
            <w:r>
              <w:rPr>
                <w:rFonts w:hint="eastAsia" w:ascii="微软雅黑" w:hAnsi="微软雅黑" w:cs="微软雅黑"/>
                <w:sz w:val="24"/>
                <w:szCs w:val="24"/>
              </w:rPr>
              <w:t>8分</w:t>
            </w:r>
            <w:bookmarkEnd w:id="394"/>
            <w:bookmarkEnd w:id="39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9" w:hRule="exact"/>
          <w:jc w:val="center"/>
        </w:trPr>
        <w:tc>
          <w:tcPr>
            <w:tcW w:w="929" w:type="dxa"/>
            <w:tcBorders>
              <w:bottom w:val="single" w:color="auto" w:sz="4" w:space="0"/>
              <w:right w:val="single" w:color="auto" w:sz="4" w:space="0"/>
            </w:tcBorders>
            <w:vAlign w:val="center"/>
          </w:tcPr>
          <w:p>
            <w:pPr>
              <w:pStyle w:val="22"/>
              <w:tabs>
                <w:tab w:val="left" w:pos="0"/>
                <w:tab w:val="left" w:pos="993"/>
                <w:tab w:val="left" w:pos="1134"/>
              </w:tabs>
              <w:spacing w:line="360" w:lineRule="exact"/>
              <w:ind w:firstLine="0"/>
              <w:jc w:val="center"/>
              <w:outlineLvl w:val="2"/>
              <w:rPr>
                <w:rFonts w:ascii="微软雅黑" w:hAnsi="微软雅黑" w:cs="微软雅黑"/>
                <w:sz w:val="24"/>
                <w:szCs w:val="24"/>
              </w:rPr>
            </w:pPr>
            <w:bookmarkStart w:id="396" w:name="_Toc32447"/>
            <w:bookmarkStart w:id="397" w:name="_Toc30188"/>
            <w:r>
              <w:rPr>
                <w:rFonts w:hint="eastAsia" w:ascii="微软雅黑" w:hAnsi="微软雅黑" w:cs="微软雅黑"/>
                <w:sz w:val="24"/>
                <w:szCs w:val="24"/>
              </w:rPr>
              <w:t>4</w:t>
            </w:r>
            <w:bookmarkEnd w:id="396"/>
            <w:bookmarkEnd w:id="397"/>
          </w:p>
        </w:tc>
        <w:tc>
          <w:tcPr>
            <w:tcW w:w="1109" w:type="dxa"/>
            <w:tcBorders>
              <w:left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398" w:name="_Toc21173"/>
            <w:bookmarkStart w:id="399" w:name="_Toc23578"/>
            <w:r>
              <w:rPr>
                <w:rFonts w:hint="eastAsia" w:ascii="微软雅黑" w:hAnsi="微软雅黑" w:cs="微软雅黑"/>
                <w:sz w:val="24"/>
                <w:szCs w:val="24"/>
              </w:rPr>
              <w:t>系统功能演示</w:t>
            </w:r>
            <w:bookmarkEnd w:id="398"/>
            <w:bookmarkEnd w:id="399"/>
          </w:p>
        </w:tc>
        <w:tc>
          <w:tcPr>
            <w:tcW w:w="6262" w:type="dxa"/>
            <w:tcBorders>
              <w:top w:val="single" w:color="auto" w:sz="4" w:space="0"/>
              <w:left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400" w:name="_Toc27300"/>
            <w:bookmarkStart w:id="401" w:name="_Toc4435"/>
            <w:r>
              <w:rPr>
                <w:rFonts w:hint="eastAsia" w:ascii="微软雅黑" w:hAnsi="微软雅黑" w:cs="微软雅黑"/>
                <w:sz w:val="24"/>
                <w:szCs w:val="24"/>
              </w:rPr>
              <w:t>投标方需根据本项目的功能要求，提供系统主要功能演示，演示内容：1. 演示任一地名地址数据全量采集清洗成果0-3分；2.演示新增一条门牌数据，通过“浙里办”受理，在浙江省区划地名信息管理系统中审核通过后能查询到该条新增的数据0-3分。3.演示上述新增数据在湖州市民政局共享交换平台中的展现0-4分。</w:t>
            </w:r>
            <w:bookmarkEnd w:id="400"/>
            <w:bookmarkEnd w:id="401"/>
          </w:p>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402" w:name="_Toc32763"/>
            <w:bookmarkStart w:id="403" w:name="_Toc13094"/>
            <w:r>
              <w:rPr>
                <w:rFonts w:hint="eastAsia" w:ascii="微软雅黑" w:hAnsi="微软雅黑" w:cs="微软雅黑"/>
                <w:sz w:val="24"/>
                <w:szCs w:val="24"/>
              </w:rPr>
              <w:t>评标委员会根据以上模块演示程度进行综合评分，演示时长不得少于5分钟超过15分钟。</w:t>
            </w:r>
            <w:bookmarkEnd w:id="402"/>
            <w:bookmarkEnd w:id="403"/>
          </w:p>
          <w:p>
            <w:pPr>
              <w:pStyle w:val="22"/>
              <w:tabs>
                <w:tab w:val="left" w:pos="0"/>
                <w:tab w:val="left" w:pos="993"/>
                <w:tab w:val="left" w:pos="1134"/>
              </w:tabs>
              <w:spacing w:line="360" w:lineRule="exact"/>
              <w:ind w:firstLine="0"/>
              <w:outlineLvl w:val="2"/>
              <w:rPr>
                <w:rFonts w:ascii="微软雅黑" w:hAnsi="微软雅黑" w:cs="微软雅黑"/>
                <w:sz w:val="24"/>
                <w:szCs w:val="24"/>
              </w:rPr>
            </w:pPr>
            <w:r>
              <w:rPr>
                <w:rFonts w:hint="eastAsia" w:ascii="微软雅黑" w:hAnsi="微软雅黑" w:cs="微软雅黑"/>
                <w:sz w:val="24"/>
                <w:szCs w:val="24"/>
              </w:rPr>
              <w:t>注：若为邮寄供应商，演示内容以介质存储的数据电文形式的U盘形式密封，与备份投标文件分开密封一起邮寄，若邮寄演示内容的U盘</w:t>
            </w:r>
            <w:r>
              <w:rPr>
                <w:rFonts w:hint="eastAsia" w:hAnsi="宋体" w:cs="宋体"/>
                <w:kern w:val="0"/>
                <w:sz w:val="24"/>
                <w:szCs w:val="21"/>
              </w:rPr>
              <w:t>无法进行演示的，相关风险由供应商自行承担。</w:t>
            </w:r>
            <w:r>
              <w:rPr>
                <w:rFonts w:hint="eastAsia" w:hAnsi="宋体" w:cs="宋体"/>
                <w:kern w:val="0"/>
                <w:sz w:val="24"/>
                <w:szCs w:val="21"/>
              </w:rPr>
              <w:br w:type="textWrapping"/>
            </w:r>
            <w:r>
              <w:rPr>
                <w:rFonts w:hint="eastAsia" w:ascii="微软雅黑" w:hAnsi="微软雅黑" w:cs="微软雅黑"/>
                <w:sz w:val="24"/>
                <w:szCs w:val="24"/>
              </w:rPr>
              <w:t>。</w:t>
            </w:r>
          </w:p>
        </w:tc>
        <w:tc>
          <w:tcPr>
            <w:tcW w:w="1388" w:type="dxa"/>
            <w:tcBorders>
              <w:top w:val="single" w:color="auto" w:sz="4" w:space="0"/>
              <w:left w:val="single" w:color="auto" w:sz="4" w:space="0"/>
              <w:bottom w:val="single" w:color="auto" w:sz="4" w:space="0"/>
            </w:tcBorders>
            <w:vAlign w:val="center"/>
          </w:tcPr>
          <w:p>
            <w:pPr>
              <w:widowControl/>
              <w:spacing w:line="380" w:lineRule="exact"/>
              <w:jc w:val="center"/>
              <w:rPr>
                <w:rFonts w:ascii="微软雅黑" w:hAnsi="微软雅黑" w:cs="微软雅黑"/>
                <w:sz w:val="24"/>
                <w:szCs w:val="24"/>
              </w:rPr>
            </w:pPr>
            <w:r>
              <w:rPr>
                <w:rFonts w:hint="eastAsia" w:ascii="微软雅黑" w:hAnsi="微软雅黑" w:cs="微软雅黑"/>
                <w:spacing w:val="-4"/>
                <w:sz w:val="24"/>
                <w:szCs w:val="24"/>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23" w:hRule="exact"/>
          <w:jc w:val="center"/>
        </w:trPr>
        <w:tc>
          <w:tcPr>
            <w:tcW w:w="929" w:type="dxa"/>
            <w:tcBorders>
              <w:bottom w:val="single" w:color="auto" w:sz="4" w:space="0"/>
              <w:right w:val="single" w:color="auto" w:sz="4" w:space="0"/>
            </w:tcBorders>
            <w:vAlign w:val="center"/>
          </w:tcPr>
          <w:p>
            <w:pPr>
              <w:pStyle w:val="22"/>
              <w:tabs>
                <w:tab w:val="left" w:pos="0"/>
                <w:tab w:val="left" w:pos="993"/>
                <w:tab w:val="left" w:pos="1134"/>
              </w:tabs>
              <w:spacing w:line="360" w:lineRule="exact"/>
              <w:ind w:firstLine="0"/>
              <w:jc w:val="center"/>
              <w:outlineLvl w:val="2"/>
              <w:rPr>
                <w:rFonts w:ascii="微软雅黑" w:hAnsi="微软雅黑" w:cs="微软雅黑"/>
                <w:sz w:val="24"/>
                <w:szCs w:val="24"/>
              </w:rPr>
            </w:pPr>
            <w:bookmarkStart w:id="404" w:name="_Toc19738"/>
            <w:bookmarkStart w:id="405" w:name="_Toc12418"/>
            <w:r>
              <w:rPr>
                <w:rFonts w:hint="eastAsia" w:ascii="微软雅黑" w:hAnsi="微软雅黑" w:cs="微软雅黑"/>
                <w:sz w:val="24"/>
                <w:szCs w:val="24"/>
              </w:rPr>
              <w:t>5</w:t>
            </w:r>
            <w:bookmarkEnd w:id="404"/>
            <w:bookmarkEnd w:id="405"/>
          </w:p>
        </w:tc>
        <w:tc>
          <w:tcPr>
            <w:tcW w:w="1109" w:type="dxa"/>
            <w:tcBorders>
              <w:left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406" w:name="_Toc30628"/>
            <w:bookmarkStart w:id="407" w:name="_Toc29428"/>
            <w:r>
              <w:rPr>
                <w:rFonts w:hint="eastAsia" w:ascii="微软雅黑" w:hAnsi="微软雅黑" w:cs="微软雅黑"/>
                <w:sz w:val="24"/>
                <w:szCs w:val="24"/>
              </w:rPr>
              <w:t>售后服务、培训及服务承诺</w:t>
            </w:r>
            <w:bookmarkEnd w:id="406"/>
            <w:bookmarkEnd w:id="407"/>
          </w:p>
        </w:tc>
        <w:tc>
          <w:tcPr>
            <w:tcW w:w="6262" w:type="dxa"/>
            <w:tcBorders>
              <w:top w:val="single" w:color="auto" w:sz="4" w:space="0"/>
              <w:left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408" w:name="_Toc27331"/>
            <w:bookmarkStart w:id="409" w:name="_Toc32377"/>
            <w:r>
              <w:rPr>
                <w:rFonts w:hint="eastAsia" w:ascii="微软雅黑" w:hAnsi="微软雅黑" w:cs="微软雅黑"/>
                <w:sz w:val="24"/>
                <w:szCs w:val="24"/>
              </w:rPr>
              <w:t>1.售后服务的具体内容和措施（包括质保期内的售后服务具体方案及质保期满后的售后服务具体方案）7分；</w:t>
            </w:r>
            <w:bookmarkEnd w:id="408"/>
            <w:bookmarkEnd w:id="409"/>
          </w:p>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410" w:name="_Toc25950"/>
            <w:bookmarkStart w:id="411" w:name="_Toc13961"/>
            <w:r>
              <w:rPr>
                <w:rFonts w:hint="eastAsia" w:ascii="微软雅黑" w:hAnsi="微软雅黑" w:cs="微软雅黑"/>
                <w:sz w:val="24"/>
                <w:szCs w:val="24"/>
              </w:rPr>
              <w:t>2.现场响应2小时内得1分；</w:t>
            </w:r>
            <w:bookmarkEnd w:id="410"/>
            <w:bookmarkEnd w:id="411"/>
          </w:p>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412" w:name="_Toc13589"/>
            <w:bookmarkStart w:id="413" w:name="_Toc17645"/>
            <w:r>
              <w:rPr>
                <w:rFonts w:hint="eastAsia" w:ascii="微软雅黑" w:hAnsi="微软雅黑" w:cs="微软雅黑"/>
                <w:sz w:val="24"/>
                <w:szCs w:val="24"/>
              </w:rPr>
              <w:t>3.重大故障问题在1个工作日内予以修复（不能修复的必须予以更换）得1分。</w:t>
            </w:r>
            <w:bookmarkEnd w:id="412"/>
            <w:bookmarkEnd w:id="413"/>
          </w:p>
        </w:tc>
        <w:tc>
          <w:tcPr>
            <w:tcW w:w="1388" w:type="dxa"/>
            <w:tcBorders>
              <w:top w:val="single" w:color="auto" w:sz="4" w:space="0"/>
              <w:left w:val="single" w:color="auto" w:sz="4" w:space="0"/>
              <w:bottom w:val="single" w:color="auto" w:sz="4" w:space="0"/>
            </w:tcBorders>
            <w:vAlign w:val="center"/>
          </w:tcPr>
          <w:p>
            <w:pPr>
              <w:widowControl/>
              <w:spacing w:line="380" w:lineRule="exact"/>
              <w:jc w:val="center"/>
              <w:rPr>
                <w:rFonts w:ascii="仿宋" w:hAnsi="仿宋" w:eastAsia="仿宋" w:cs="宋体"/>
                <w:bCs/>
                <w:kern w:val="0"/>
                <w:sz w:val="18"/>
                <w:szCs w:val="18"/>
              </w:rPr>
            </w:pPr>
            <w:r>
              <w:rPr>
                <w:rFonts w:hint="eastAsia" w:ascii="微软雅黑" w:hAnsi="微软雅黑" w:cs="微软雅黑"/>
                <w:spacing w:val="-4"/>
                <w:sz w:val="24"/>
                <w:szCs w:val="24"/>
              </w:rPr>
              <w:t>9分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0" w:hRule="exact"/>
          <w:jc w:val="center"/>
        </w:trPr>
        <w:tc>
          <w:tcPr>
            <w:tcW w:w="929" w:type="dxa"/>
            <w:tcBorders>
              <w:bottom w:val="single" w:color="auto" w:sz="4" w:space="0"/>
              <w:right w:val="single" w:color="auto" w:sz="4" w:space="0"/>
            </w:tcBorders>
            <w:vAlign w:val="center"/>
          </w:tcPr>
          <w:p>
            <w:pPr>
              <w:pStyle w:val="22"/>
              <w:tabs>
                <w:tab w:val="left" w:pos="0"/>
                <w:tab w:val="left" w:pos="993"/>
                <w:tab w:val="left" w:pos="1134"/>
              </w:tabs>
              <w:spacing w:line="360" w:lineRule="exact"/>
              <w:ind w:firstLine="0"/>
              <w:jc w:val="center"/>
              <w:outlineLvl w:val="2"/>
              <w:rPr>
                <w:rFonts w:ascii="微软雅黑" w:hAnsi="微软雅黑" w:cs="微软雅黑"/>
                <w:sz w:val="24"/>
                <w:szCs w:val="24"/>
              </w:rPr>
            </w:pPr>
            <w:bookmarkStart w:id="414" w:name="_Toc5386"/>
            <w:bookmarkStart w:id="415" w:name="_Toc25271"/>
            <w:r>
              <w:rPr>
                <w:rFonts w:hint="eastAsia" w:ascii="微软雅黑" w:hAnsi="微软雅黑" w:cs="微软雅黑"/>
                <w:sz w:val="24"/>
                <w:szCs w:val="24"/>
              </w:rPr>
              <w:t>二</w:t>
            </w:r>
            <w:bookmarkEnd w:id="414"/>
            <w:bookmarkEnd w:id="415"/>
          </w:p>
        </w:tc>
        <w:tc>
          <w:tcPr>
            <w:tcW w:w="1109" w:type="dxa"/>
            <w:tcBorders>
              <w:left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416" w:name="_Toc7888"/>
            <w:bookmarkStart w:id="417" w:name="_Toc10344"/>
            <w:r>
              <w:rPr>
                <w:rFonts w:hint="eastAsia" w:ascii="微软雅黑" w:hAnsi="微软雅黑" w:cs="微软雅黑"/>
                <w:sz w:val="24"/>
                <w:szCs w:val="24"/>
              </w:rPr>
              <w:t>商务、资信及其他分</w:t>
            </w:r>
            <w:bookmarkEnd w:id="416"/>
            <w:bookmarkEnd w:id="417"/>
          </w:p>
        </w:tc>
        <w:tc>
          <w:tcPr>
            <w:tcW w:w="6262" w:type="dxa"/>
            <w:tcBorders>
              <w:top w:val="single" w:color="auto" w:sz="4" w:space="0"/>
              <w:left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outlineLvl w:val="2"/>
              <w:rPr>
                <w:rFonts w:ascii="微软雅黑" w:hAnsi="微软雅黑" w:cs="微软雅黑"/>
                <w:sz w:val="24"/>
                <w:szCs w:val="24"/>
              </w:rPr>
            </w:pPr>
          </w:p>
        </w:tc>
        <w:tc>
          <w:tcPr>
            <w:tcW w:w="1388" w:type="dxa"/>
            <w:tcBorders>
              <w:top w:val="single" w:color="auto" w:sz="4" w:space="0"/>
              <w:left w:val="single" w:color="auto" w:sz="4" w:space="0"/>
              <w:bottom w:val="single" w:color="auto" w:sz="4" w:space="0"/>
            </w:tcBorders>
            <w:vAlign w:val="center"/>
          </w:tcPr>
          <w:p>
            <w:pPr>
              <w:widowControl/>
              <w:spacing w:line="380" w:lineRule="exact"/>
              <w:jc w:val="center"/>
              <w:rPr>
                <w:rFonts w:ascii="微软雅黑" w:hAnsi="微软雅黑" w:cs="微软雅黑"/>
                <w:spacing w:val="-4"/>
                <w:sz w:val="24"/>
                <w:szCs w:val="24"/>
              </w:rPr>
            </w:pPr>
            <w:r>
              <w:rPr>
                <w:rFonts w:hint="eastAsia" w:ascii="微软雅黑" w:hAnsi="微软雅黑" w:cs="微软雅黑"/>
                <w:spacing w:val="-4"/>
                <w:sz w:val="24"/>
                <w:szCs w:val="24"/>
              </w:rPr>
              <w:t>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82" w:hRule="exact"/>
          <w:jc w:val="center"/>
        </w:trPr>
        <w:tc>
          <w:tcPr>
            <w:tcW w:w="929" w:type="dxa"/>
            <w:tcBorders>
              <w:bottom w:val="single" w:color="auto" w:sz="4" w:space="0"/>
              <w:right w:val="single" w:color="auto" w:sz="4" w:space="0"/>
            </w:tcBorders>
            <w:vAlign w:val="center"/>
          </w:tcPr>
          <w:p>
            <w:pPr>
              <w:pStyle w:val="22"/>
              <w:tabs>
                <w:tab w:val="left" w:pos="0"/>
                <w:tab w:val="left" w:pos="993"/>
                <w:tab w:val="left" w:pos="1134"/>
              </w:tabs>
              <w:spacing w:line="360" w:lineRule="exact"/>
              <w:ind w:firstLine="0"/>
              <w:jc w:val="center"/>
              <w:outlineLvl w:val="2"/>
              <w:rPr>
                <w:rFonts w:ascii="微软雅黑" w:hAnsi="微软雅黑" w:cs="微软雅黑"/>
                <w:sz w:val="24"/>
                <w:szCs w:val="24"/>
              </w:rPr>
            </w:pPr>
            <w:bookmarkStart w:id="418" w:name="_Toc32704"/>
            <w:bookmarkStart w:id="419" w:name="_Toc19545"/>
            <w:r>
              <w:rPr>
                <w:rFonts w:hint="eastAsia" w:ascii="微软雅黑" w:hAnsi="微软雅黑" w:cs="微软雅黑"/>
                <w:sz w:val="24"/>
                <w:szCs w:val="24"/>
              </w:rPr>
              <w:t>1</w:t>
            </w:r>
            <w:bookmarkEnd w:id="418"/>
            <w:bookmarkEnd w:id="419"/>
          </w:p>
        </w:tc>
        <w:tc>
          <w:tcPr>
            <w:tcW w:w="1109" w:type="dxa"/>
            <w:tcBorders>
              <w:left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420" w:name="_Toc19179"/>
            <w:bookmarkStart w:id="421" w:name="_Toc12444"/>
            <w:r>
              <w:rPr>
                <w:rFonts w:hint="eastAsia" w:ascii="微软雅黑" w:hAnsi="微软雅黑" w:cs="微软雅黑"/>
                <w:sz w:val="24"/>
                <w:szCs w:val="24"/>
              </w:rPr>
              <w:t>成熟度</w:t>
            </w:r>
            <w:bookmarkEnd w:id="420"/>
            <w:bookmarkEnd w:id="421"/>
          </w:p>
        </w:tc>
        <w:tc>
          <w:tcPr>
            <w:tcW w:w="6262" w:type="dxa"/>
            <w:tcBorders>
              <w:top w:val="single" w:color="auto" w:sz="4" w:space="0"/>
              <w:left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422" w:name="_Toc29622"/>
            <w:bookmarkStart w:id="423" w:name="_Toc30639"/>
            <w:r>
              <w:rPr>
                <w:rFonts w:hint="eastAsia" w:ascii="微软雅黑" w:hAnsi="微软雅黑" w:cs="微软雅黑"/>
                <w:sz w:val="24"/>
                <w:szCs w:val="24"/>
              </w:rPr>
              <w:t>投标人获得民政地名地址、民政空间信息、民政地理信息、民政数据共享交换等相关软件有自主知识产权的证明，每个得3分，最高得9分（复印件加盖公章，需提供原件核查）。</w:t>
            </w:r>
            <w:bookmarkEnd w:id="422"/>
            <w:bookmarkEnd w:id="423"/>
          </w:p>
        </w:tc>
        <w:tc>
          <w:tcPr>
            <w:tcW w:w="1388" w:type="dxa"/>
            <w:tcBorders>
              <w:top w:val="single" w:color="auto" w:sz="4" w:space="0"/>
              <w:left w:val="single" w:color="auto" w:sz="4" w:space="0"/>
              <w:bottom w:val="single" w:color="auto" w:sz="4" w:space="0"/>
            </w:tcBorders>
            <w:vAlign w:val="center"/>
          </w:tcPr>
          <w:p>
            <w:pPr>
              <w:pStyle w:val="22"/>
              <w:tabs>
                <w:tab w:val="left" w:pos="0"/>
                <w:tab w:val="left" w:pos="993"/>
                <w:tab w:val="left" w:pos="1134"/>
              </w:tabs>
              <w:spacing w:line="360" w:lineRule="exact"/>
              <w:ind w:firstLine="0"/>
              <w:jc w:val="center"/>
              <w:outlineLvl w:val="2"/>
              <w:rPr>
                <w:rFonts w:ascii="微软雅黑" w:hAnsi="微软雅黑" w:cs="微软雅黑"/>
                <w:sz w:val="24"/>
                <w:szCs w:val="24"/>
              </w:rPr>
            </w:pPr>
            <w:bookmarkStart w:id="424" w:name="_Toc22384"/>
            <w:bookmarkStart w:id="425" w:name="_Toc8387"/>
            <w:r>
              <w:rPr>
                <w:rFonts w:hint="eastAsia" w:ascii="微软雅黑" w:hAnsi="微软雅黑" w:cs="微软雅黑"/>
                <w:sz w:val="24"/>
                <w:szCs w:val="24"/>
              </w:rPr>
              <w:t>9分</w:t>
            </w:r>
            <w:bookmarkEnd w:id="424"/>
            <w:bookmarkEnd w:id="42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52" w:hRule="exact"/>
          <w:jc w:val="center"/>
        </w:trPr>
        <w:tc>
          <w:tcPr>
            <w:tcW w:w="929" w:type="dxa"/>
            <w:tcBorders>
              <w:bottom w:val="single" w:color="auto" w:sz="4" w:space="0"/>
              <w:right w:val="single" w:color="auto" w:sz="4" w:space="0"/>
            </w:tcBorders>
            <w:vAlign w:val="center"/>
          </w:tcPr>
          <w:p>
            <w:pPr>
              <w:pStyle w:val="22"/>
              <w:tabs>
                <w:tab w:val="left" w:pos="0"/>
                <w:tab w:val="left" w:pos="993"/>
                <w:tab w:val="left" w:pos="1134"/>
              </w:tabs>
              <w:spacing w:line="360" w:lineRule="exact"/>
              <w:ind w:firstLine="0"/>
              <w:jc w:val="center"/>
              <w:outlineLvl w:val="2"/>
              <w:rPr>
                <w:rFonts w:ascii="微软雅黑" w:hAnsi="微软雅黑" w:cs="微软雅黑"/>
                <w:sz w:val="24"/>
                <w:szCs w:val="24"/>
              </w:rPr>
            </w:pPr>
            <w:bookmarkStart w:id="426" w:name="_Toc4977"/>
            <w:bookmarkStart w:id="427" w:name="_Toc9344"/>
            <w:r>
              <w:rPr>
                <w:rFonts w:hint="eastAsia" w:ascii="微软雅黑" w:hAnsi="微软雅黑" w:cs="微软雅黑"/>
                <w:sz w:val="24"/>
                <w:szCs w:val="24"/>
              </w:rPr>
              <w:t>2</w:t>
            </w:r>
            <w:bookmarkEnd w:id="426"/>
            <w:bookmarkEnd w:id="427"/>
          </w:p>
        </w:tc>
        <w:tc>
          <w:tcPr>
            <w:tcW w:w="1109" w:type="dxa"/>
            <w:tcBorders>
              <w:left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428" w:name="_Toc7949"/>
            <w:bookmarkStart w:id="429" w:name="_Toc13581"/>
            <w:r>
              <w:rPr>
                <w:rFonts w:hint="eastAsia" w:ascii="微软雅黑" w:hAnsi="微软雅黑" w:cs="微软雅黑"/>
                <w:sz w:val="24"/>
                <w:szCs w:val="24"/>
              </w:rPr>
              <w:t>能力或业绩要求</w:t>
            </w:r>
            <w:bookmarkEnd w:id="428"/>
            <w:bookmarkEnd w:id="429"/>
          </w:p>
        </w:tc>
        <w:tc>
          <w:tcPr>
            <w:tcW w:w="6262" w:type="dxa"/>
            <w:tcBorders>
              <w:top w:val="single" w:color="auto" w:sz="4" w:space="0"/>
              <w:left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430" w:name="_Toc2316"/>
            <w:bookmarkStart w:id="431" w:name="_Toc15051"/>
            <w:r>
              <w:rPr>
                <w:rFonts w:hint="eastAsia" w:ascii="微软雅黑" w:hAnsi="微软雅黑" w:cs="微软雅黑"/>
                <w:sz w:val="24"/>
                <w:szCs w:val="24"/>
              </w:rPr>
              <w:t>近三年（自投标截止日起往前追溯3年，以合同为准）以来实施的民政地名类似政府采购项目，每个项目得1分，最高得5分（须提供项目合同复印件或中标（成交）通知书复印件，需提供原件核查）。</w:t>
            </w:r>
            <w:bookmarkEnd w:id="430"/>
            <w:bookmarkEnd w:id="431"/>
          </w:p>
        </w:tc>
        <w:tc>
          <w:tcPr>
            <w:tcW w:w="1388" w:type="dxa"/>
            <w:tcBorders>
              <w:top w:val="single" w:color="auto" w:sz="4" w:space="0"/>
              <w:left w:val="single" w:color="auto" w:sz="4" w:space="0"/>
              <w:bottom w:val="single" w:color="auto" w:sz="4" w:space="0"/>
            </w:tcBorders>
            <w:vAlign w:val="center"/>
          </w:tcPr>
          <w:p>
            <w:pPr>
              <w:pStyle w:val="22"/>
              <w:tabs>
                <w:tab w:val="left" w:pos="0"/>
                <w:tab w:val="left" w:pos="993"/>
                <w:tab w:val="left" w:pos="1134"/>
              </w:tabs>
              <w:spacing w:line="360" w:lineRule="exact"/>
              <w:ind w:firstLine="0"/>
              <w:jc w:val="center"/>
              <w:outlineLvl w:val="2"/>
              <w:rPr>
                <w:rFonts w:ascii="微软雅黑" w:hAnsi="微软雅黑" w:cs="微软雅黑"/>
                <w:sz w:val="24"/>
                <w:szCs w:val="24"/>
              </w:rPr>
            </w:pPr>
            <w:bookmarkStart w:id="432" w:name="_Toc391"/>
            <w:bookmarkStart w:id="433" w:name="_Toc9036"/>
            <w:r>
              <w:rPr>
                <w:rFonts w:hint="eastAsia" w:ascii="微软雅黑" w:hAnsi="微软雅黑" w:cs="微软雅黑"/>
                <w:sz w:val="24"/>
                <w:szCs w:val="24"/>
              </w:rPr>
              <w:t>5分</w:t>
            </w:r>
            <w:bookmarkEnd w:id="432"/>
            <w:bookmarkEnd w:id="43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8" w:hRule="exact"/>
          <w:jc w:val="center"/>
        </w:trPr>
        <w:tc>
          <w:tcPr>
            <w:tcW w:w="929" w:type="dxa"/>
            <w:tcBorders>
              <w:bottom w:val="single" w:color="auto" w:sz="4" w:space="0"/>
              <w:right w:val="single" w:color="auto" w:sz="4" w:space="0"/>
            </w:tcBorders>
            <w:vAlign w:val="center"/>
          </w:tcPr>
          <w:p>
            <w:pPr>
              <w:pStyle w:val="22"/>
              <w:tabs>
                <w:tab w:val="left" w:pos="0"/>
                <w:tab w:val="left" w:pos="993"/>
                <w:tab w:val="left" w:pos="1134"/>
              </w:tabs>
              <w:spacing w:line="360" w:lineRule="exact"/>
              <w:ind w:firstLine="0"/>
              <w:jc w:val="center"/>
              <w:outlineLvl w:val="2"/>
              <w:rPr>
                <w:rFonts w:ascii="微软雅黑" w:hAnsi="微软雅黑" w:cs="微软雅黑"/>
                <w:sz w:val="24"/>
                <w:szCs w:val="24"/>
              </w:rPr>
            </w:pPr>
            <w:bookmarkStart w:id="434" w:name="_Toc7645"/>
            <w:bookmarkStart w:id="435" w:name="_Toc23754"/>
            <w:r>
              <w:rPr>
                <w:rFonts w:hint="eastAsia" w:ascii="微软雅黑" w:hAnsi="微软雅黑" w:cs="微软雅黑"/>
                <w:sz w:val="24"/>
                <w:szCs w:val="24"/>
              </w:rPr>
              <w:t>3</w:t>
            </w:r>
            <w:bookmarkEnd w:id="434"/>
            <w:bookmarkEnd w:id="435"/>
          </w:p>
        </w:tc>
        <w:tc>
          <w:tcPr>
            <w:tcW w:w="1109" w:type="dxa"/>
            <w:tcBorders>
              <w:left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436" w:name="_Toc31735"/>
            <w:bookmarkStart w:id="437" w:name="_Toc30398"/>
            <w:r>
              <w:rPr>
                <w:rFonts w:hint="eastAsia" w:ascii="微软雅黑" w:hAnsi="微软雅黑" w:cs="微软雅黑"/>
                <w:sz w:val="24"/>
                <w:szCs w:val="24"/>
              </w:rPr>
              <w:t>企业资信</w:t>
            </w:r>
            <w:bookmarkEnd w:id="436"/>
            <w:bookmarkEnd w:id="437"/>
          </w:p>
        </w:tc>
        <w:tc>
          <w:tcPr>
            <w:tcW w:w="6262" w:type="dxa"/>
            <w:tcBorders>
              <w:top w:val="single" w:color="auto" w:sz="4" w:space="0"/>
              <w:left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438" w:name="_Toc15107"/>
            <w:bookmarkStart w:id="439" w:name="_Toc14155"/>
            <w:r>
              <w:rPr>
                <w:rFonts w:hint="eastAsia" w:ascii="微软雅黑" w:hAnsi="微软雅黑" w:cs="微软雅黑"/>
                <w:sz w:val="24"/>
                <w:szCs w:val="24"/>
              </w:rPr>
              <w:t>投标人具备省级高新技术企业相关证书的得4分；具备市级高新技术企业相关证书的得2分（复印件加盖公章，需提供原件核查）。</w:t>
            </w:r>
            <w:bookmarkEnd w:id="438"/>
            <w:bookmarkEnd w:id="439"/>
          </w:p>
        </w:tc>
        <w:tc>
          <w:tcPr>
            <w:tcW w:w="1388" w:type="dxa"/>
            <w:tcBorders>
              <w:top w:val="single" w:color="auto" w:sz="4" w:space="0"/>
              <w:left w:val="single" w:color="auto" w:sz="4" w:space="0"/>
              <w:bottom w:val="single" w:color="auto" w:sz="4" w:space="0"/>
            </w:tcBorders>
            <w:vAlign w:val="center"/>
          </w:tcPr>
          <w:p>
            <w:pPr>
              <w:pStyle w:val="22"/>
              <w:tabs>
                <w:tab w:val="left" w:pos="0"/>
                <w:tab w:val="left" w:pos="993"/>
                <w:tab w:val="left" w:pos="1134"/>
              </w:tabs>
              <w:spacing w:line="360" w:lineRule="exact"/>
              <w:ind w:firstLine="0"/>
              <w:jc w:val="center"/>
              <w:outlineLvl w:val="2"/>
              <w:rPr>
                <w:rFonts w:ascii="微软雅黑" w:hAnsi="微软雅黑" w:cs="微软雅黑"/>
                <w:sz w:val="24"/>
                <w:szCs w:val="24"/>
              </w:rPr>
            </w:pPr>
            <w:bookmarkStart w:id="440" w:name="_Toc22979"/>
            <w:bookmarkStart w:id="441" w:name="_Toc25941"/>
            <w:r>
              <w:rPr>
                <w:rFonts w:hint="eastAsia" w:ascii="微软雅黑" w:hAnsi="微软雅黑" w:cs="微软雅黑"/>
                <w:sz w:val="24"/>
                <w:szCs w:val="24"/>
              </w:rPr>
              <w:t>4分</w:t>
            </w:r>
            <w:bookmarkEnd w:id="440"/>
            <w:bookmarkEnd w:id="44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7" w:hRule="exact"/>
          <w:jc w:val="center"/>
        </w:trPr>
        <w:tc>
          <w:tcPr>
            <w:tcW w:w="929" w:type="dxa"/>
            <w:tcBorders>
              <w:top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jc w:val="center"/>
              <w:outlineLvl w:val="2"/>
              <w:rPr>
                <w:rFonts w:ascii="微软雅黑" w:hAnsi="微软雅黑" w:cs="微软雅黑"/>
                <w:sz w:val="24"/>
                <w:szCs w:val="24"/>
              </w:rPr>
            </w:pPr>
            <w:bookmarkStart w:id="442" w:name="_Toc29191"/>
            <w:bookmarkStart w:id="443" w:name="_Toc31569"/>
            <w:r>
              <w:rPr>
                <w:rFonts w:hint="eastAsia" w:ascii="微软雅黑" w:hAnsi="微软雅黑" w:cs="微软雅黑"/>
                <w:sz w:val="24"/>
                <w:szCs w:val="24"/>
              </w:rPr>
              <w:t>4</w:t>
            </w:r>
            <w:bookmarkEnd w:id="442"/>
            <w:bookmarkEnd w:id="443"/>
          </w:p>
        </w:tc>
        <w:tc>
          <w:tcPr>
            <w:tcW w:w="1109" w:type="dxa"/>
            <w:tcBorders>
              <w:top w:val="single" w:color="auto" w:sz="4" w:space="0"/>
              <w:left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jc w:val="center"/>
              <w:outlineLvl w:val="2"/>
              <w:rPr>
                <w:rFonts w:ascii="微软雅黑" w:hAnsi="微软雅黑" w:cs="微软雅黑"/>
                <w:sz w:val="24"/>
                <w:szCs w:val="24"/>
              </w:rPr>
            </w:pPr>
            <w:bookmarkStart w:id="444" w:name="_Toc29474"/>
            <w:bookmarkStart w:id="445" w:name="_Toc19329"/>
            <w:r>
              <w:rPr>
                <w:rFonts w:hint="eastAsia" w:ascii="微软雅黑" w:hAnsi="微软雅黑" w:cs="微软雅黑"/>
                <w:sz w:val="24"/>
                <w:szCs w:val="24"/>
              </w:rPr>
              <w:t>政策分</w:t>
            </w:r>
            <w:bookmarkEnd w:id="444"/>
            <w:bookmarkEnd w:id="445"/>
          </w:p>
        </w:tc>
        <w:tc>
          <w:tcPr>
            <w:tcW w:w="6262" w:type="dxa"/>
            <w:tcBorders>
              <w:top w:val="single" w:color="auto" w:sz="4" w:space="0"/>
              <w:left w:val="single" w:color="auto" w:sz="4" w:space="0"/>
              <w:bottom w:val="single" w:color="auto" w:sz="4" w:space="0"/>
              <w:right w:val="single" w:color="auto" w:sz="4" w:space="0"/>
            </w:tcBorders>
            <w:vAlign w:val="center"/>
          </w:tcPr>
          <w:p>
            <w:pPr>
              <w:pStyle w:val="22"/>
              <w:tabs>
                <w:tab w:val="left" w:pos="0"/>
                <w:tab w:val="left" w:pos="993"/>
                <w:tab w:val="left" w:pos="1134"/>
              </w:tabs>
              <w:spacing w:line="360" w:lineRule="exact"/>
              <w:ind w:firstLine="0"/>
              <w:outlineLvl w:val="2"/>
              <w:rPr>
                <w:rFonts w:ascii="微软雅黑" w:hAnsi="微软雅黑" w:cs="微软雅黑"/>
                <w:sz w:val="24"/>
                <w:szCs w:val="24"/>
              </w:rPr>
            </w:pPr>
            <w:bookmarkStart w:id="446" w:name="_Toc23502"/>
            <w:bookmarkStart w:id="447" w:name="_Toc3385"/>
            <w:r>
              <w:rPr>
                <w:rFonts w:hint="eastAsia" w:ascii="微软雅黑" w:hAnsi="微软雅黑" w:cs="微软雅黑"/>
                <w:sz w:val="24"/>
                <w:szCs w:val="24"/>
              </w:rPr>
              <w:t>供应商属于中小企业的得 1分; 供应商或产品按规定享受其他国家政策支持、扶持的得1分，由供应商提供声明函及相关证明材料。</w:t>
            </w:r>
            <w:bookmarkEnd w:id="446"/>
            <w:bookmarkEnd w:id="447"/>
          </w:p>
        </w:tc>
        <w:tc>
          <w:tcPr>
            <w:tcW w:w="1388" w:type="dxa"/>
            <w:tcBorders>
              <w:top w:val="single" w:color="auto" w:sz="4" w:space="0"/>
              <w:left w:val="single" w:color="auto" w:sz="4" w:space="0"/>
              <w:bottom w:val="single" w:color="auto" w:sz="4" w:space="0"/>
            </w:tcBorders>
            <w:vAlign w:val="center"/>
          </w:tcPr>
          <w:p>
            <w:pPr>
              <w:pStyle w:val="22"/>
              <w:tabs>
                <w:tab w:val="left" w:pos="0"/>
                <w:tab w:val="left" w:pos="993"/>
                <w:tab w:val="left" w:pos="1134"/>
              </w:tabs>
              <w:spacing w:line="360" w:lineRule="exact"/>
              <w:ind w:firstLine="0"/>
              <w:jc w:val="center"/>
              <w:outlineLvl w:val="2"/>
              <w:rPr>
                <w:rFonts w:ascii="微软雅黑" w:hAnsi="微软雅黑" w:cs="微软雅黑"/>
                <w:sz w:val="24"/>
                <w:szCs w:val="24"/>
              </w:rPr>
            </w:pPr>
            <w:bookmarkStart w:id="448" w:name="_Toc14118"/>
            <w:bookmarkStart w:id="449" w:name="_Toc16580"/>
            <w:r>
              <w:rPr>
                <w:rFonts w:hint="eastAsia" w:ascii="微软雅黑" w:hAnsi="微软雅黑" w:cs="微软雅黑"/>
                <w:sz w:val="24"/>
                <w:szCs w:val="24"/>
              </w:rPr>
              <w:t>2分</w:t>
            </w:r>
            <w:bookmarkEnd w:id="448"/>
            <w:bookmarkEnd w:id="449"/>
          </w:p>
        </w:tc>
      </w:tr>
    </w:tbl>
    <w:p/>
    <w:p>
      <w:pPr>
        <w:pStyle w:val="22"/>
        <w:tabs>
          <w:tab w:val="left" w:pos="0"/>
          <w:tab w:val="left" w:pos="993"/>
          <w:tab w:val="left" w:pos="1134"/>
        </w:tabs>
        <w:spacing w:line="440" w:lineRule="exact"/>
        <w:ind w:firstLine="480" w:firstLineChars="200"/>
        <w:outlineLvl w:val="2"/>
        <w:rPr>
          <w:rFonts w:hAnsi="宋体"/>
          <w:spacing w:val="0"/>
          <w:sz w:val="24"/>
          <w:szCs w:val="21"/>
        </w:rPr>
      </w:pPr>
      <w:bookmarkStart w:id="450" w:name="_Toc6734"/>
      <w:bookmarkStart w:id="451" w:name="_Toc19485"/>
      <w:r>
        <w:rPr>
          <w:rFonts w:hint="eastAsia" w:hAnsi="宋体"/>
          <w:spacing w:val="0"/>
          <w:sz w:val="24"/>
          <w:szCs w:val="21"/>
        </w:rPr>
        <w:t>技术、商务、资信及其他分按照全体评标委员会成员的独立评分结果的算术平均分计算，结果保留2位小数，第3位四舍五入。</w:t>
      </w:r>
      <w:bookmarkEnd w:id="450"/>
      <w:bookmarkEnd w:id="451"/>
    </w:p>
    <w:p/>
    <w:bookmarkEnd w:id="320"/>
    <w:bookmarkEnd w:id="326"/>
    <w:bookmarkEnd w:id="327"/>
    <w:bookmarkEnd w:id="328"/>
    <w:bookmarkEnd w:id="329"/>
    <w:bookmarkEnd w:id="330"/>
    <w:bookmarkEnd w:id="331"/>
    <w:p>
      <w:pPr>
        <w:spacing w:beforeLines="50" w:afterLines="50"/>
        <w:jc w:val="center"/>
        <w:outlineLvl w:val="0"/>
        <w:rPr>
          <w:rFonts w:ascii="宋体" w:hAnsi="宋体"/>
          <w:b/>
          <w:bCs/>
          <w:sz w:val="32"/>
          <w:szCs w:val="30"/>
        </w:rPr>
      </w:pPr>
      <w:bookmarkStart w:id="452" w:name="_Toc890"/>
      <w:bookmarkStart w:id="453" w:name="_Toc293916029"/>
      <w:bookmarkStart w:id="454" w:name="_Toc293917028"/>
      <w:bookmarkStart w:id="455" w:name="_Toc424544544"/>
      <w:bookmarkStart w:id="456" w:name="_Toc293916978"/>
      <w:bookmarkStart w:id="457" w:name="_Toc424544823"/>
      <w:bookmarkStart w:id="458" w:name="_Toc293916380"/>
      <w:r>
        <w:rPr>
          <w:rFonts w:hint="eastAsia" w:ascii="宋体" w:hAnsi="宋体"/>
          <w:b/>
          <w:bCs/>
          <w:sz w:val="32"/>
          <w:szCs w:val="30"/>
        </w:rPr>
        <w:t>第五章  合同主要条款</w:t>
      </w:r>
      <w:bookmarkEnd w:id="452"/>
    </w:p>
    <w:p>
      <w:pPr>
        <w:pStyle w:val="22"/>
        <w:rPr>
          <w:rFonts w:hAnsi="宋体"/>
          <w:b/>
          <w:bCs/>
          <w:sz w:val="32"/>
          <w:szCs w:val="32"/>
        </w:rPr>
      </w:pPr>
    </w:p>
    <w:p>
      <w:pPr>
        <w:pStyle w:val="22"/>
        <w:rPr>
          <w:rFonts w:hAnsi="宋体"/>
          <w:b/>
          <w:bCs/>
          <w:sz w:val="32"/>
          <w:szCs w:val="32"/>
        </w:rPr>
      </w:pPr>
    </w:p>
    <w:p>
      <w:pPr>
        <w:tabs>
          <w:tab w:val="left" w:pos="1260"/>
        </w:tabs>
        <w:spacing w:line="360" w:lineRule="auto"/>
        <w:ind w:left="239" w:leftChars="114" w:firstLine="240" w:firstLineChars="100"/>
        <w:rPr>
          <w:rFonts w:ascii="宋体" w:hAnsi="宋体"/>
          <w:color w:val="000000"/>
          <w:sz w:val="24"/>
        </w:rPr>
      </w:pPr>
      <w:r>
        <w:rPr>
          <w:rFonts w:hint="eastAsia" w:ascii="宋体" w:hAnsi="宋体"/>
          <w:color w:val="000000"/>
          <w:sz w:val="24"/>
        </w:rPr>
        <w:t xml:space="preserve">（甲方）的(项目名称)由 </w:t>
      </w:r>
      <w:r>
        <w:rPr>
          <w:rFonts w:hint="eastAsia" w:ascii="宋体" w:hAnsi="宋体"/>
          <w:color w:val="000000"/>
          <w:sz w:val="24"/>
          <w:u w:val="single"/>
        </w:rPr>
        <w:t>浙江中合工程管理有限公司</w:t>
      </w:r>
      <w:r>
        <w:rPr>
          <w:rFonts w:hint="eastAsia" w:ascii="宋体" w:hAnsi="宋体"/>
          <w:color w:val="000000"/>
          <w:sz w:val="24"/>
        </w:rPr>
        <w:t>（代理机构名</w:t>
      </w:r>
      <w:r>
        <w:rPr>
          <w:rFonts w:hint="eastAsia" w:ascii="宋体" w:hAnsi="宋体"/>
          <w:sz w:val="24"/>
        </w:rPr>
        <w:t>称）以</w:t>
      </w:r>
      <w:r>
        <w:rPr>
          <w:rFonts w:hint="eastAsia" w:ascii="宋体" w:hAnsi="宋体"/>
          <w:sz w:val="24"/>
          <w:u w:val="single"/>
        </w:rPr>
        <w:t>公开招标</w:t>
      </w:r>
      <w:r>
        <w:rPr>
          <w:rFonts w:hint="eastAsia" w:ascii="宋体" w:hAnsi="宋体"/>
          <w:sz w:val="24"/>
        </w:rPr>
        <w:t>（采购方式）方式进行采购。经</w:t>
      </w:r>
      <w:r>
        <w:rPr>
          <w:rFonts w:hint="eastAsia" w:ascii="宋体" w:hAnsi="宋体"/>
          <w:color w:val="000000"/>
          <w:sz w:val="24"/>
        </w:rPr>
        <w:t>评委确定致(乙方)为中标单位。甲乙双方在自愿协商的基础上签订合同如下：</w:t>
      </w:r>
    </w:p>
    <w:p>
      <w:pPr>
        <w:tabs>
          <w:tab w:val="left" w:pos="1260"/>
        </w:tabs>
        <w:adjustRightInd w:val="0"/>
        <w:snapToGrid w:val="0"/>
        <w:spacing w:line="360" w:lineRule="auto"/>
        <w:rPr>
          <w:rFonts w:ascii="宋体" w:hAnsi="宋体"/>
          <w:b/>
          <w:bCs/>
          <w:color w:val="000000"/>
          <w:sz w:val="24"/>
        </w:rPr>
      </w:pPr>
      <w:r>
        <w:rPr>
          <w:rFonts w:hint="eastAsia" w:ascii="宋体" w:hAnsi="宋体"/>
          <w:b/>
          <w:bCs/>
          <w:color w:val="000000"/>
          <w:sz w:val="24"/>
        </w:rPr>
        <w:t>一、合同文件</w:t>
      </w:r>
    </w:p>
    <w:p>
      <w:pPr>
        <w:tabs>
          <w:tab w:val="left" w:pos="1260"/>
        </w:tabs>
        <w:adjustRightInd w:val="0"/>
        <w:snapToGrid w:val="0"/>
        <w:spacing w:line="360" w:lineRule="auto"/>
        <w:ind w:left="525"/>
        <w:rPr>
          <w:rFonts w:ascii="宋体" w:hAnsi="宋体"/>
          <w:color w:val="000000"/>
          <w:sz w:val="24"/>
        </w:rPr>
      </w:pPr>
      <w:r>
        <w:rPr>
          <w:rFonts w:hint="eastAsia" w:ascii="宋体" w:hAnsi="宋体"/>
          <w:color w:val="000000"/>
          <w:sz w:val="24"/>
        </w:rPr>
        <w:t>本合同由下列文件组成：</w:t>
      </w:r>
    </w:p>
    <w:p>
      <w:pPr>
        <w:tabs>
          <w:tab w:val="left" w:pos="1260"/>
        </w:tabs>
        <w:adjustRightInd w:val="0"/>
        <w:snapToGrid w:val="0"/>
        <w:spacing w:line="360" w:lineRule="auto"/>
        <w:ind w:left="525"/>
        <w:rPr>
          <w:rFonts w:ascii="宋体" w:hAnsi="宋体" w:eastAsia="宋体"/>
          <w:color w:val="000000"/>
          <w:sz w:val="24"/>
        </w:rPr>
      </w:pPr>
      <w:r>
        <w:rPr>
          <w:rFonts w:hint="eastAsia" w:ascii="宋体" w:hAnsi="宋体"/>
          <w:color w:val="000000"/>
          <w:sz w:val="24"/>
        </w:rPr>
        <w:t>（1）招标文件；</w:t>
      </w:r>
    </w:p>
    <w:p>
      <w:pPr>
        <w:tabs>
          <w:tab w:val="left" w:pos="1260"/>
        </w:tabs>
        <w:adjustRightInd w:val="0"/>
        <w:snapToGrid w:val="0"/>
        <w:spacing w:line="360" w:lineRule="auto"/>
        <w:ind w:left="525"/>
        <w:rPr>
          <w:rFonts w:ascii="宋体" w:hAnsi="宋体" w:eastAsia="宋体"/>
          <w:color w:val="000000"/>
          <w:sz w:val="24"/>
        </w:rPr>
      </w:pPr>
      <w:r>
        <w:rPr>
          <w:rFonts w:hint="eastAsia" w:ascii="宋体" w:hAnsi="宋体"/>
          <w:color w:val="000000"/>
          <w:sz w:val="24"/>
        </w:rPr>
        <w:t>（2）投标文件；</w:t>
      </w:r>
    </w:p>
    <w:p>
      <w:pPr>
        <w:tabs>
          <w:tab w:val="left" w:pos="1260"/>
        </w:tabs>
        <w:adjustRightInd w:val="0"/>
        <w:snapToGrid w:val="0"/>
        <w:spacing w:line="360" w:lineRule="auto"/>
        <w:ind w:left="525"/>
        <w:rPr>
          <w:rFonts w:ascii="宋体" w:hAnsi="宋体" w:eastAsia="宋体"/>
          <w:color w:val="000000"/>
          <w:sz w:val="24"/>
        </w:rPr>
      </w:pPr>
      <w:r>
        <w:rPr>
          <w:rFonts w:hint="eastAsia" w:ascii="宋体" w:hAnsi="宋体"/>
          <w:color w:val="000000"/>
          <w:sz w:val="24"/>
        </w:rPr>
        <w:t>（3）中标通知书；</w:t>
      </w:r>
    </w:p>
    <w:p>
      <w:pPr>
        <w:tabs>
          <w:tab w:val="left" w:pos="1260"/>
        </w:tabs>
        <w:adjustRightInd w:val="0"/>
        <w:snapToGrid w:val="0"/>
        <w:spacing w:line="360" w:lineRule="auto"/>
        <w:ind w:left="525"/>
        <w:rPr>
          <w:rFonts w:ascii="宋体" w:hAnsi="宋体" w:eastAsia="宋体"/>
          <w:color w:val="000000"/>
          <w:sz w:val="24"/>
        </w:rPr>
      </w:pPr>
      <w:r>
        <w:rPr>
          <w:rFonts w:hint="eastAsia" w:ascii="宋体" w:hAnsi="宋体"/>
          <w:color w:val="000000"/>
          <w:sz w:val="24"/>
        </w:rPr>
        <w:t>（4）乙方在投标时的书面承诺；</w:t>
      </w:r>
    </w:p>
    <w:p>
      <w:pPr>
        <w:tabs>
          <w:tab w:val="left" w:pos="1260"/>
        </w:tabs>
        <w:adjustRightInd w:val="0"/>
        <w:snapToGrid w:val="0"/>
        <w:spacing w:line="360" w:lineRule="auto"/>
        <w:ind w:left="525"/>
        <w:rPr>
          <w:rFonts w:ascii="宋体" w:hAnsi="宋体" w:eastAsia="宋体"/>
          <w:color w:val="000000"/>
          <w:sz w:val="24"/>
        </w:rPr>
      </w:pPr>
      <w:r>
        <w:rPr>
          <w:rFonts w:hint="eastAsia" w:ascii="宋体" w:hAnsi="宋体"/>
          <w:color w:val="000000"/>
          <w:sz w:val="24"/>
        </w:rPr>
        <w:t>（5）合同补充条款或说明；</w:t>
      </w:r>
    </w:p>
    <w:p>
      <w:pPr>
        <w:tabs>
          <w:tab w:val="left" w:pos="1260"/>
        </w:tabs>
        <w:adjustRightInd w:val="0"/>
        <w:snapToGrid w:val="0"/>
        <w:spacing w:line="360" w:lineRule="auto"/>
        <w:ind w:left="525"/>
        <w:rPr>
          <w:rFonts w:ascii="宋体" w:hAnsi="宋体" w:eastAsia="宋体"/>
          <w:color w:val="000000"/>
          <w:sz w:val="24"/>
        </w:rPr>
      </w:pPr>
      <w:r>
        <w:rPr>
          <w:rFonts w:hint="eastAsia" w:ascii="宋体" w:hAnsi="宋体"/>
          <w:color w:val="000000"/>
          <w:sz w:val="24"/>
        </w:rPr>
        <w:t>（6）附件。</w:t>
      </w:r>
    </w:p>
    <w:p>
      <w:pPr>
        <w:spacing w:line="360" w:lineRule="auto"/>
        <w:rPr>
          <w:rFonts w:ascii="宋体" w:hAnsi="宋体"/>
          <w:b/>
          <w:color w:val="000000"/>
          <w:sz w:val="24"/>
        </w:rPr>
      </w:pPr>
      <w:r>
        <w:rPr>
          <w:rFonts w:hint="eastAsia" w:ascii="宋体" w:hAnsi="宋体"/>
          <w:b/>
          <w:color w:val="000000"/>
          <w:sz w:val="24"/>
        </w:rPr>
        <w:t>二、信息采集内容与采集区范围</w:t>
      </w:r>
    </w:p>
    <w:p>
      <w:pPr>
        <w:spacing w:line="360" w:lineRule="auto"/>
        <w:ind w:firstLine="480" w:firstLineChars="200"/>
        <w:rPr>
          <w:rFonts w:ascii="宋体" w:hAnsi="宋体"/>
          <w:color w:val="000000"/>
          <w:sz w:val="24"/>
        </w:rPr>
      </w:pPr>
      <w:r>
        <w:rPr>
          <w:rFonts w:hint="eastAsia" w:ascii="宋体" w:hAnsi="宋体"/>
          <w:color w:val="000000"/>
          <w:sz w:val="24"/>
        </w:rPr>
        <w:t>1、内容：</w:t>
      </w:r>
      <w:r>
        <w:rPr>
          <w:rFonts w:hint="eastAsia" w:ascii="宋体" w:hAnsi="宋体"/>
          <w:color w:val="000000"/>
          <w:sz w:val="24"/>
          <w:lang w:val="zh-CN"/>
        </w:rPr>
        <w:t>地名管理部门健全完善地名数据库，对非因企业原因发生的不动产坐落、地址变化需要办理变更登记，经申请由不动产登记机构通过地名数据共享办理变更登记。”，通过“吴兴区（南太湖）地名地址信息采集建库项目”建设，进一步采集完善地名地址信息，将极大的丰富和完善地名地址数据资源，在资源共享的基础上，为优化营商环境不动产登记“一件事”、深化“最多跑一次”便民服务改革，实现政府数字化转型提供更为全面的、重要的数据支撑。</w:t>
      </w:r>
    </w:p>
    <w:p>
      <w:pPr>
        <w:spacing w:line="360" w:lineRule="auto"/>
        <w:ind w:firstLine="480" w:firstLineChars="200"/>
        <w:rPr>
          <w:rFonts w:ascii="宋体" w:hAnsi="宋体"/>
          <w:color w:val="000000"/>
          <w:sz w:val="24"/>
        </w:rPr>
      </w:pPr>
      <w:r>
        <w:rPr>
          <w:rFonts w:hint="eastAsia" w:ascii="宋体" w:hAnsi="宋体"/>
          <w:color w:val="000000"/>
          <w:sz w:val="24"/>
        </w:rPr>
        <w:t>2、采集区范围：</w:t>
      </w:r>
      <w:r>
        <w:rPr>
          <w:rFonts w:hint="eastAsia" w:ascii="宋体" w:hAnsi="宋体"/>
          <w:color w:val="000000"/>
          <w:sz w:val="24"/>
          <w:lang w:val="zh-CN"/>
        </w:rPr>
        <w:t>吴兴区（南太湖）地名地址信息采集建库项目通过对地名地址全量数据采集核查，属性信息部分的归集整理及空间信息部分的采集，匹配关联，录入浙江省区划地名管理信息系统，推送湖州市民政局共享交换平台，实现与湖州市大数据局的数据共享交换，完成吴兴区（南太湖）地名地址库的建设。</w:t>
      </w:r>
      <w:r>
        <w:rPr>
          <w:rFonts w:hint="eastAsia" w:ascii="宋体" w:hAnsi="宋体" w:cs="Arial"/>
          <w:b/>
          <w:bCs/>
          <w:color w:val="FF0000"/>
          <w:kern w:val="0"/>
          <w:sz w:val="24"/>
          <w:lang w:val="zh-CN"/>
        </w:rPr>
        <w:t>本项目统筹规划，分步实施，本次招标项目范围为吴兴区：646平方公里（全域），南太湖225平方公里（全域）。</w:t>
      </w:r>
    </w:p>
    <w:p>
      <w:pPr>
        <w:spacing w:line="360" w:lineRule="auto"/>
        <w:rPr>
          <w:rFonts w:ascii="宋体" w:hAnsi="宋体"/>
          <w:b/>
          <w:color w:val="000000"/>
          <w:sz w:val="24"/>
        </w:rPr>
      </w:pPr>
      <w:r>
        <w:rPr>
          <w:rFonts w:hint="eastAsia" w:ascii="宋体" w:hAnsi="宋体"/>
          <w:color w:val="000000"/>
          <w:sz w:val="24"/>
        </w:rPr>
        <w:t>三、</w:t>
      </w:r>
      <w:r>
        <w:rPr>
          <w:rFonts w:hint="eastAsia" w:ascii="宋体" w:hAnsi="宋体"/>
          <w:b/>
          <w:color w:val="000000"/>
          <w:sz w:val="24"/>
        </w:rPr>
        <w:t>项目相关要求</w:t>
      </w:r>
    </w:p>
    <w:p>
      <w:pPr>
        <w:spacing w:line="360" w:lineRule="auto"/>
        <w:rPr>
          <w:rFonts w:ascii="宋体" w:hAnsi="宋体" w:eastAsia="宋体"/>
          <w:b/>
          <w:color w:val="000000"/>
          <w:sz w:val="24"/>
        </w:rPr>
      </w:pPr>
      <w:r>
        <w:rPr>
          <w:rFonts w:hint="eastAsia" w:ascii="宋体" w:hAnsi="宋体"/>
          <w:b/>
          <w:color w:val="000000"/>
          <w:sz w:val="24"/>
        </w:rPr>
        <w:t>本项目主要包含以下苏部分内容：</w:t>
      </w:r>
    </w:p>
    <w:p>
      <w:pPr>
        <w:spacing w:line="360" w:lineRule="auto"/>
        <w:ind w:firstLine="480" w:firstLineChars="200"/>
        <w:rPr>
          <w:rFonts w:ascii="宋体" w:hAnsi="宋体" w:eastAsia="宋体"/>
          <w:color w:val="000000"/>
          <w:sz w:val="24"/>
        </w:rPr>
      </w:pPr>
      <w:r>
        <w:rPr>
          <w:rFonts w:hint="eastAsia" w:ascii="宋体" w:hAnsi="宋体"/>
          <w:color w:val="000000"/>
          <w:sz w:val="24"/>
        </w:rPr>
        <w:t>1、地名地址数据内业整理；</w:t>
      </w:r>
    </w:p>
    <w:p>
      <w:pPr>
        <w:spacing w:line="360" w:lineRule="auto"/>
        <w:ind w:firstLine="480" w:firstLineChars="200"/>
        <w:rPr>
          <w:rFonts w:ascii="宋体" w:hAnsi="宋体" w:eastAsia="宋体"/>
          <w:color w:val="000000"/>
          <w:sz w:val="24"/>
        </w:rPr>
      </w:pPr>
      <w:r>
        <w:rPr>
          <w:rFonts w:hint="eastAsia" w:ascii="宋体" w:hAnsi="宋体"/>
          <w:color w:val="000000"/>
          <w:sz w:val="24"/>
        </w:rPr>
        <w:t>2、地名地址空间信息外业采集；</w:t>
      </w:r>
    </w:p>
    <w:p>
      <w:pPr>
        <w:spacing w:line="360" w:lineRule="auto"/>
        <w:ind w:firstLine="480" w:firstLineChars="200"/>
        <w:rPr>
          <w:rFonts w:ascii="宋体" w:hAnsi="宋体"/>
          <w:color w:val="000000"/>
          <w:sz w:val="24"/>
        </w:rPr>
      </w:pPr>
      <w:r>
        <w:rPr>
          <w:rFonts w:hint="eastAsia" w:ascii="宋体" w:hAnsi="宋体"/>
          <w:color w:val="000000"/>
          <w:sz w:val="24"/>
        </w:rPr>
        <w:t>3、数据比对清洗；</w:t>
      </w:r>
    </w:p>
    <w:p>
      <w:pPr>
        <w:spacing w:line="360" w:lineRule="auto"/>
        <w:ind w:firstLine="480" w:firstLineChars="200"/>
        <w:rPr>
          <w:rFonts w:ascii="宋体" w:hAnsi="宋体"/>
          <w:b/>
          <w:color w:val="000000"/>
          <w:sz w:val="24"/>
        </w:rPr>
      </w:pPr>
      <w:r>
        <w:rPr>
          <w:rFonts w:hint="eastAsia" w:ascii="宋体" w:hAnsi="宋体"/>
          <w:color w:val="000000"/>
          <w:sz w:val="24"/>
        </w:rPr>
        <w:t>4、成果数据录入浙江省区划地名信息管理系统实现数据实时更新并共享交换。</w:t>
      </w:r>
    </w:p>
    <w:p>
      <w:pPr>
        <w:spacing w:line="360" w:lineRule="auto"/>
        <w:rPr>
          <w:rFonts w:ascii="宋体" w:hAnsi="宋体"/>
          <w:color w:val="000000"/>
          <w:sz w:val="24"/>
        </w:rPr>
      </w:pPr>
      <w:r>
        <w:rPr>
          <w:rFonts w:hint="eastAsia" w:ascii="宋体" w:hAnsi="宋体"/>
          <w:b/>
          <w:color w:val="000000"/>
          <w:sz w:val="24"/>
        </w:rPr>
        <w:t>四、合同金额与付款方式</w:t>
      </w:r>
    </w:p>
    <w:p>
      <w:pPr>
        <w:tabs>
          <w:tab w:val="left" w:pos="1260"/>
        </w:tabs>
        <w:spacing w:line="360" w:lineRule="auto"/>
        <w:ind w:firstLine="480" w:firstLineChars="200"/>
        <w:rPr>
          <w:rFonts w:ascii="宋体" w:hAnsi="宋体"/>
          <w:color w:val="000000"/>
          <w:sz w:val="24"/>
        </w:rPr>
      </w:pPr>
      <w:r>
        <w:rPr>
          <w:rFonts w:hint="eastAsia" w:ascii="宋体" w:hAnsi="宋体"/>
          <w:color w:val="000000"/>
          <w:sz w:val="24"/>
        </w:rPr>
        <w:t>1、本合同中标金额为元，大写为 元整，最终结算价格以本合同条款为依据。</w:t>
      </w:r>
    </w:p>
    <w:p>
      <w:pPr>
        <w:spacing w:line="360" w:lineRule="auto"/>
        <w:ind w:firstLine="480" w:firstLineChars="200"/>
        <w:rPr>
          <w:rFonts w:ascii="微软雅黑" w:hAnsi="微软雅黑" w:cs="微软雅黑"/>
          <w:color w:val="000000" w:themeColor="text1"/>
          <w:sz w:val="24"/>
          <w:szCs w:val="24"/>
        </w:rPr>
      </w:pPr>
      <w:r>
        <w:rPr>
          <w:rFonts w:hint="eastAsia" w:ascii="微软雅黑" w:hAnsi="微软雅黑" w:cs="微软雅黑"/>
          <w:color w:val="000000" w:themeColor="text1"/>
          <w:sz w:val="24"/>
          <w:szCs w:val="24"/>
        </w:rPr>
        <w:t>2、本项目分为吴兴区和南太湖新区两块合并招标，两区块最终分别签订合同和费用支付。</w:t>
      </w:r>
    </w:p>
    <w:p>
      <w:pPr>
        <w:tabs>
          <w:tab w:val="left" w:pos="1260"/>
        </w:tabs>
        <w:spacing w:line="360" w:lineRule="auto"/>
        <w:ind w:firstLine="480" w:firstLineChars="200"/>
        <w:rPr>
          <w:rFonts w:ascii="宋体" w:hAnsi="宋体"/>
          <w:color w:val="FF0000"/>
          <w:sz w:val="24"/>
        </w:rPr>
      </w:pPr>
      <w:r>
        <w:rPr>
          <w:rFonts w:hint="eastAsia" w:ascii="宋体" w:hAnsi="宋体"/>
          <w:color w:val="FF0000"/>
          <w:sz w:val="24"/>
        </w:rPr>
        <w:t>（1）预付款：采购人自采购合同生效及具备实施条件后15天内支付预付款</w:t>
      </w:r>
      <w:bookmarkStart w:id="460" w:name="_GoBack"/>
      <w:bookmarkEnd w:id="460"/>
      <w:r>
        <w:rPr>
          <w:rFonts w:hint="eastAsia" w:ascii="宋体" w:hAnsi="宋体"/>
          <w:color w:val="FF0000"/>
          <w:sz w:val="24"/>
        </w:rPr>
        <w:t>，也即合同金额的30%；</w:t>
      </w:r>
    </w:p>
    <w:p>
      <w:pPr>
        <w:tabs>
          <w:tab w:val="left" w:pos="1260"/>
        </w:tabs>
        <w:spacing w:line="360" w:lineRule="auto"/>
        <w:ind w:firstLine="480" w:firstLineChars="200"/>
        <w:rPr>
          <w:rFonts w:ascii="宋体" w:hAnsi="宋体"/>
          <w:color w:val="FF0000"/>
          <w:sz w:val="24"/>
        </w:rPr>
      </w:pPr>
      <w:r>
        <w:rPr>
          <w:rFonts w:hint="eastAsia" w:ascii="宋体" w:hAnsi="宋体"/>
          <w:color w:val="FF0000"/>
          <w:sz w:val="24"/>
        </w:rPr>
        <w:t>（2）完成项目总体工程量50%，支付合同总价的30%；</w:t>
      </w:r>
    </w:p>
    <w:p>
      <w:pPr>
        <w:tabs>
          <w:tab w:val="left" w:pos="1260"/>
        </w:tabs>
        <w:spacing w:line="360" w:lineRule="auto"/>
        <w:ind w:firstLine="480" w:firstLineChars="200"/>
        <w:rPr>
          <w:rFonts w:ascii="宋体" w:hAnsi="宋体"/>
          <w:color w:val="FF0000"/>
          <w:sz w:val="24"/>
        </w:rPr>
      </w:pPr>
      <w:r>
        <w:rPr>
          <w:rFonts w:hint="eastAsia" w:ascii="宋体" w:hAnsi="宋体"/>
          <w:color w:val="FF0000"/>
          <w:sz w:val="24"/>
        </w:rPr>
        <w:t>（3）</w:t>
      </w:r>
      <w:r>
        <w:rPr>
          <w:rFonts w:ascii="宋体" w:hAnsi="宋体"/>
          <w:color w:val="FF0000"/>
          <w:sz w:val="24"/>
        </w:rPr>
        <w:t>项目</w:t>
      </w:r>
      <w:r>
        <w:rPr>
          <w:rFonts w:hint="eastAsia" w:ascii="宋体" w:hAnsi="宋体"/>
          <w:color w:val="FF0000"/>
          <w:sz w:val="24"/>
        </w:rPr>
        <w:t>整体</w:t>
      </w:r>
      <w:r>
        <w:rPr>
          <w:rFonts w:ascii="宋体" w:hAnsi="宋体"/>
          <w:color w:val="FF0000"/>
          <w:sz w:val="24"/>
        </w:rPr>
        <w:t>完成上线试运行1个月后，支付合同总价的</w:t>
      </w:r>
      <w:r>
        <w:rPr>
          <w:rFonts w:hint="eastAsia" w:ascii="宋体" w:hAnsi="宋体"/>
          <w:color w:val="FF0000"/>
          <w:sz w:val="24"/>
        </w:rPr>
        <w:t>30</w:t>
      </w:r>
      <w:r>
        <w:rPr>
          <w:rFonts w:ascii="宋体" w:hAnsi="宋体"/>
          <w:color w:val="FF0000"/>
          <w:sz w:val="24"/>
        </w:rPr>
        <w:t>%；</w:t>
      </w:r>
    </w:p>
    <w:p>
      <w:pPr>
        <w:tabs>
          <w:tab w:val="left" w:pos="1260"/>
        </w:tabs>
        <w:spacing w:line="360" w:lineRule="auto"/>
        <w:ind w:firstLine="480" w:firstLineChars="200"/>
        <w:rPr>
          <w:rFonts w:ascii="宋体" w:hAnsi="宋体"/>
          <w:color w:val="FF0000"/>
          <w:sz w:val="24"/>
        </w:rPr>
      </w:pPr>
      <w:r>
        <w:rPr>
          <w:rFonts w:hint="eastAsia" w:ascii="宋体" w:hAnsi="宋体"/>
          <w:color w:val="FF0000"/>
          <w:sz w:val="24"/>
        </w:rPr>
        <w:t>（4）</w:t>
      </w:r>
      <w:r>
        <w:rPr>
          <w:rFonts w:ascii="宋体" w:hAnsi="宋体"/>
          <w:color w:val="FF0000"/>
          <w:sz w:val="24"/>
        </w:rPr>
        <w:t>组织项目整体终验，验收通过后5个工作日内支付合同总价的</w:t>
      </w:r>
      <w:r>
        <w:rPr>
          <w:rFonts w:hint="eastAsia" w:ascii="宋体" w:hAnsi="宋体"/>
          <w:color w:val="FF0000"/>
          <w:sz w:val="24"/>
        </w:rPr>
        <w:t>10</w:t>
      </w:r>
      <w:r>
        <w:rPr>
          <w:rFonts w:ascii="宋体" w:hAnsi="宋体"/>
          <w:color w:val="FF0000"/>
          <w:sz w:val="24"/>
        </w:rPr>
        <w:t>%。</w:t>
      </w:r>
    </w:p>
    <w:p>
      <w:pPr>
        <w:tabs>
          <w:tab w:val="left" w:pos="1260"/>
        </w:tabs>
        <w:spacing w:line="360" w:lineRule="auto"/>
        <w:ind w:firstLine="480" w:firstLineChars="200"/>
        <w:rPr>
          <w:rFonts w:hint="eastAsia" w:ascii="宋体" w:hAnsi="宋体"/>
          <w:color w:val="000000"/>
          <w:sz w:val="24"/>
        </w:rPr>
      </w:pPr>
      <w:r>
        <w:rPr>
          <w:rFonts w:hint="eastAsia" w:ascii="宋体" w:hAnsi="宋体"/>
          <w:color w:val="000000"/>
          <w:sz w:val="24"/>
        </w:rPr>
        <w:t>注：本项目最终服务金额以中标供应商实际采集公里数*中标单价结算，但若最终服务金额超过相应区块的采购预算，最终服务金额按采购预算金额支付采购单位不另行增加费用。</w:t>
      </w:r>
    </w:p>
    <w:p>
      <w:pPr>
        <w:tabs>
          <w:tab w:val="left" w:pos="1260"/>
        </w:tabs>
        <w:spacing w:line="360" w:lineRule="auto"/>
        <w:ind w:firstLine="480" w:firstLineChars="200"/>
        <w:rPr>
          <w:rFonts w:ascii="宋体" w:hAnsi="宋体"/>
          <w:color w:val="000000"/>
          <w:sz w:val="24"/>
        </w:rPr>
      </w:pPr>
      <w:r>
        <w:rPr>
          <w:rFonts w:hint="eastAsia" w:ascii="宋体" w:hAnsi="宋体"/>
          <w:color w:val="000000"/>
          <w:sz w:val="24"/>
        </w:rPr>
        <w:t>吴兴区为两年连续性费用，每年预算200 万元分年度支付，每年信息采集工程量为项目总体工程量的50%。</w:t>
      </w:r>
    </w:p>
    <w:p>
      <w:pPr>
        <w:spacing w:line="360" w:lineRule="auto"/>
        <w:rPr>
          <w:rFonts w:ascii="宋体" w:hAnsi="宋体"/>
          <w:color w:val="000000"/>
          <w:sz w:val="24"/>
        </w:rPr>
      </w:pPr>
      <w:r>
        <w:rPr>
          <w:rFonts w:hint="eastAsia" w:ascii="宋体" w:hAnsi="宋体" w:cs="宋体"/>
          <w:b/>
          <w:color w:val="000000"/>
          <w:sz w:val="24"/>
        </w:rPr>
        <w:t>五、合同期限</w:t>
      </w:r>
    </w:p>
    <w:p>
      <w:pPr>
        <w:spacing w:line="360" w:lineRule="auto"/>
        <w:ind w:firstLine="480" w:firstLineChars="200"/>
        <w:rPr>
          <w:rFonts w:ascii="宋体" w:hAnsi="宋体"/>
          <w:color w:val="000000"/>
          <w:sz w:val="24"/>
        </w:rPr>
      </w:pPr>
      <w:r>
        <w:rPr>
          <w:rFonts w:hint="eastAsia" w:ascii="宋体" w:hAnsi="宋体"/>
          <w:color w:val="000000"/>
          <w:sz w:val="24"/>
        </w:rPr>
        <w:t>1、本合同期限：</w:t>
      </w:r>
      <w:r>
        <w:rPr>
          <w:rFonts w:hint="eastAsia" w:ascii="微软雅黑" w:hAnsi="微软雅黑" w:cs="微软雅黑"/>
          <w:color w:val="FF0000"/>
          <w:sz w:val="24"/>
          <w:szCs w:val="24"/>
        </w:rPr>
        <w:t>在合同签订后180天内交货并完成项目上线调试。</w:t>
      </w:r>
    </w:p>
    <w:p>
      <w:pPr>
        <w:spacing w:line="360" w:lineRule="auto"/>
        <w:ind w:firstLine="480" w:firstLineChars="200"/>
        <w:rPr>
          <w:rFonts w:eastAsia="黑体"/>
        </w:rPr>
      </w:pPr>
      <w:r>
        <w:rPr>
          <w:rFonts w:hint="eastAsia" w:ascii="宋体" w:hAnsi="宋体"/>
          <w:color w:val="000000"/>
          <w:sz w:val="24"/>
        </w:rPr>
        <w:t>2、</w:t>
      </w:r>
      <w:r>
        <w:rPr>
          <w:rFonts w:hint="eastAsia" w:ascii="宋体" w:hAnsi="宋体"/>
          <w:bCs/>
          <w:color w:val="000000"/>
          <w:sz w:val="24"/>
        </w:rPr>
        <w:t>服务期内乙方不得以任何形式拒绝或中断为甲方提供信息采集服务。</w:t>
      </w:r>
    </w:p>
    <w:p>
      <w:pPr>
        <w:spacing w:line="360" w:lineRule="auto"/>
        <w:rPr>
          <w:rFonts w:ascii="宋体" w:hAnsi="宋体"/>
          <w:bCs/>
          <w:color w:val="000000"/>
          <w:sz w:val="24"/>
        </w:rPr>
      </w:pPr>
      <w:r>
        <w:rPr>
          <w:rFonts w:hint="eastAsia" w:ascii="宋体" w:hAnsi="宋体"/>
          <w:b/>
          <w:bCs/>
          <w:color w:val="000000"/>
          <w:sz w:val="24"/>
        </w:rPr>
        <w:t>六、相关权利与义务</w:t>
      </w:r>
    </w:p>
    <w:p>
      <w:pPr>
        <w:spacing w:line="360" w:lineRule="auto"/>
        <w:ind w:firstLine="480" w:firstLineChars="200"/>
        <w:rPr>
          <w:rFonts w:ascii="宋体" w:hAnsi="宋体"/>
          <w:color w:val="000000"/>
          <w:sz w:val="24"/>
        </w:rPr>
      </w:pPr>
      <w:r>
        <w:rPr>
          <w:rFonts w:hint="eastAsia" w:ascii="宋体" w:hAnsi="宋体"/>
          <w:color w:val="000000"/>
          <w:sz w:val="24"/>
        </w:rPr>
        <w:t>1、甲方应向乙方提供有关信息采集标准、工作流程以及相关设备使用的说明。</w:t>
      </w:r>
    </w:p>
    <w:p>
      <w:pPr>
        <w:spacing w:line="360" w:lineRule="auto"/>
        <w:ind w:firstLine="480" w:firstLineChars="200"/>
        <w:rPr>
          <w:rFonts w:ascii="宋体" w:hAnsi="宋体"/>
          <w:color w:val="000000"/>
          <w:sz w:val="24"/>
        </w:rPr>
      </w:pPr>
      <w:r>
        <w:rPr>
          <w:rFonts w:hint="eastAsia" w:ascii="宋体" w:hAnsi="宋体"/>
          <w:color w:val="000000"/>
          <w:sz w:val="24"/>
        </w:rPr>
        <w:t>2、甲方应向乙方无偿提供乙方管理所需要的信息，该信息由双方协商确定。</w:t>
      </w:r>
    </w:p>
    <w:p>
      <w:pPr>
        <w:spacing w:line="360" w:lineRule="auto"/>
        <w:ind w:firstLine="480" w:firstLineChars="200"/>
        <w:rPr>
          <w:rFonts w:ascii="宋体" w:hAnsi="宋体"/>
          <w:color w:val="000000"/>
          <w:sz w:val="24"/>
        </w:rPr>
      </w:pPr>
      <w:r>
        <w:rPr>
          <w:rFonts w:hint="eastAsia" w:ascii="宋体" w:hAnsi="宋体"/>
          <w:color w:val="000000"/>
          <w:sz w:val="24"/>
        </w:rPr>
        <w:t>3、乙方在日常工作中对甲方提出的需反馈的意见，应在限定时间内作出书面答复。</w:t>
      </w:r>
    </w:p>
    <w:p>
      <w:pPr>
        <w:spacing w:line="360" w:lineRule="auto"/>
        <w:ind w:firstLine="480" w:firstLineChars="200"/>
        <w:rPr>
          <w:rFonts w:ascii="宋体" w:hAnsi="宋体"/>
          <w:color w:val="000000"/>
          <w:sz w:val="24"/>
        </w:rPr>
      </w:pPr>
      <w:r>
        <w:rPr>
          <w:rFonts w:hint="eastAsia" w:ascii="宋体" w:hAnsi="宋体"/>
          <w:color w:val="000000"/>
          <w:sz w:val="24"/>
        </w:rPr>
        <w:t>4、甲方承诺为乙方顺利开工工作提供其他必要的支持。</w:t>
      </w:r>
    </w:p>
    <w:p>
      <w:pPr>
        <w:spacing w:line="360" w:lineRule="auto"/>
        <w:ind w:firstLine="480" w:firstLineChars="200"/>
        <w:rPr>
          <w:rFonts w:ascii="宋体" w:hAnsi="宋体"/>
          <w:color w:val="000000"/>
          <w:sz w:val="24"/>
        </w:rPr>
      </w:pPr>
      <w:r>
        <w:rPr>
          <w:rFonts w:hint="eastAsia" w:ascii="宋体" w:hAnsi="宋体"/>
          <w:color w:val="000000"/>
          <w:sz w:val="24"/>
        </w:rPr>
        <w:t>5、乙方应保证按照《劳动合同法》等有关法律法规保障劳动者权益，支付人员的月工资，甲方概不负责信息采集员的一切问题。</w:t>
      </w:r>
    </w:p>
    <w:p>
      <w:pPr>
        <w:spacing w:line="360" w:lineRule="auto"/>
        <w:ind w:firstLine="480" w:firstLineChars="200"/>
        <w:rPr>
          <w:rFonts w:ascii="宋体" w:hAnsi="宋体"/>
          <w:b/>
          <w:bCs/>
          <w:color w:val="000000"/>
          <w:sz w:val="24"/>
        </w:rPr>
      </w:pPr>
      <w:r>
        <w:rPr>
          <w:rFonts w:hint="eastAsia" w:ascii="宋体" w:hAnsi="宋体"/>
          <w:bCs/>
          <w:color w:val="000000"/>
          <w:sz w:val="24"/>
        </w:rPr>
        <w:t>6、</w:t>
      </w:r>
      <w:r>
        <w:rPr>
          <w:rFonts w:hint="eastAsia" w:ascii="宋体" w:hAnsi="宋体"/>
          <w:color w:val="000000"/>
          <w:sz w:val="24"/>
        </w:rPr>
        <w:t>乙方采集的数据成果所有权最终归甲方所有，未经甲方同意，乙方不得擅自扩散或提供给第三方使用。乙方在项目实施过程中需共享数据的，须经甲方同意。</w:t>
      </w:r>
    </w:p>
    <w:p>
      <w:pPr>
        <w:spacing w:line="360" w:lineRule="auto"/>
        <w:ind w:firstLine="480" w:firstLineChars="200"/>
        <w:rPr>
          <w:rFonts w:ascii="宋体" w:hAnsi="宋体"/>
          <w:color w:val="000000"/>
          <w:sz w:val="24"/>
        </w:rPr>
      </w:pPr>
      <w:r>
        <w:rPr>
          <w:rFonts w:hint="eastAsia" w:ascii="宋体" w:hAnsi="宋体"/>
          <w:color w:val="000000"/>
          <w:sz w:val="24"/>
        </w:rPr>
        <w:t>7、未经甲方事先书面同意，乙方不得转让其应履行的合同义务。</w:t>
      </w:r>
    </w:p>
    <w:p>
      <w:pPr>
        <w:spacing w:line="360" w:lineRule="auto"/>
        <w:ind w:firstLine="480" w:firstLineChars="200"/>
        <w:rPr>
          <w:rFonts w:ascii="宋体" w:hAnsi="宋体"/>
          <w:color w:val="000000"/>
          <w:sz w:val="24"/>
        </w:rPr>
      </w:pPr>
      <w:r>
        <w:rPr>
          <w:rFonts w:hint="eastAsia" w:ascii="宋体" w:hAnsi="宋体" w:cs="宋体"/>
          <w:color w:val="000000"/>
          <w:sz w:val="24"/>
        </w:rPr>
        <w:t>8、</w:t>
      </w:r>
      <w:r>
        <w:rPr>
          <w:rFonts w:hint="eastAsia" w:ascii="宋体" w:hAnsi="宋体"/>
          <w:color w:val="000000"/>
          <w:sz w:val="24"/>
        </w:rPr>
        <w:t>乙方在合同规定的服务期限内，应遵守相关规章、制度等，乙方对在系统建设期间所获得的甲方的情报和资料有保密义务，泄漏秘密应承担相应责任。不论本合同是否变更、终止、解除，本条款均有效。</w:t>
      </w:r>
    </w:p>
    <w:p>
      <w:pPr>
        <w:spacing w:line="360" w:lineRule="auto"/>
        <w:ind w:firstLine="480" w:firstLineChars="200"/>
        <w:rPr>
          <w:rFonts w:ascii="宋体" w:hAnsi="宋体" w:cs="宋体"/>
          <w:color w:val="000000"/>
          <w:sz w:val="24"/>
        </w:rPr>
      </w:pPr>
      <w:r>
        <w:rPr>
          <w:rFonts w:hint="eastAsia" w:ascii="宋体" w:hAnsi="宋体"/>
          <w:color w:val="000000"/>
          <w:sz w:val="24"/>
        </w:rPr>
        <w:t>9、</w:t>
      </w:r>
      <w:r>
        <w:rPr>
          <w:rFonts w:hint="eastAsia" w:ascii="宋体" w:hAnsi="宋体" w:cs="宋体"/>
          <w:color w:val="000000"/>
          <w:sz w:val="24"/>
        </w:rPr>
        <w:t xml:space="preserve">双方约定，有下列情形之一，甲方有权解除合同： </w:t>
      </w:r>
    </w:p>
    <w:p>
      <w:pPr>
        <w:spacing w:line="360" w:lineRule="auto"/>
        <w:ind w:firstLine="360" w:firstLineChars="150"/>
        <w:rPr>
          <w:rFonts w:ascii="宋体" w:hAnsi="宋体"/>
          <w:color w:val="000000"/>
          <w:sz w:val="24"/>
        </w:rPr>
      </w:pPr>
      <w:r>
        <w:rPr>
          <w:rFonts w:hint="eastAsia" w:ascii="宋体" w:hAnsi="宋体"/>
          <w:color w:val="000000"/>
          <w:sz w:val="24"/>
        </w:rPr>
        <w:t>（1）乙方于</w:t>
      </w:r>
      <w:r>
        <w:rPr>
          <w:rFonts w:hint="eastAsia" w:ascii="宋体" w:hAnsi="宋体"/>
          <w:color w:val="000000"/>
          <w:sz w:val="24"/>
          <w:u w:val="single"/>
        </w:rPr>
        <w:t xml:space="preserve">   年  月  日</w:t>
      </w:r>
      <w:r>
        <w:rPr>
          <w:rFonts w:hint="eastAsia" w:ascii="宋体" w:hAnsi="宋体"/>
          <w:color w:val="000000"/>
          <w:sz w:val="24"/>
        </w:rPr>
        <w:t>未履行信息采集服务的义务，经催告后5日内仍未履行的；</w:t>
      </w:r>
    </w:p>
    <w:p>
      <w:pPr>
        <w:spacing w:line="360" w:lineRule="auto"/>
        <w:ind w:firstLine="360" w:firstLineChars="150"/>
        <w:rPr>
          <w:rFonts w:ascii="宋体" w:hAnsi="宋体"/>
          <w:color w:val="000000"/>
          <w:sz w:val="24"/>
        </w:rPr>
      </w:pPr>
      <w:r>
        <w:rPr>
          <w:rFonts w:hint="eastAsia" w:ascii="宋体" w:hAnsi="宋体"/>
          <w:color w:val="000000"/>
          <w:sz w:val="24"/>
        </w:rPr>
        <w:t>（2）法律规定的其他情形。</w:t>
      </w:r>
    </w:p>
    <w:p>
      <w:pPr>
        <w:spacing w:line="360" w:lineRule="auto"/>
        <w:ind w:firstLine="480" w:firstLineChars="200"/>
        <w:rPr>
          <w:rFonts w:ascii="宋体" w:hAnsi="宋体"/>
          <w:color w:val="000000"/>
          <w:sz w:val="24"/>
        </w:rPr>
      </w:pPr>
      <w:r>
        <w:rPr>
          <w:rFonts w:hint="eastAsia" w:ascii="宋体" w:hAnsi="宋体"/>
          <w:color w:val="000000"/>
          <w:sz w:val="24"/>
        </w:rPr>
        <w:t>对于因解除合同对甲方或乙方造成的损失，受损方有权要求责任方赔偿损失。</w:t>
      </w:r>
    </w:p>
    <w:p>
      <w:pPr>
        <w:spacing w:line="360" w:lineRule="auto"/>
        <w:rPr>
          <w:rFonts w:ascii="宋体" w:hAnsi="宋体"/>
          <w:color w:val="000000"/>
          <w:sz w:val="24"/>
        </w:rPr>
      </w:pPr>
      <w:r>
        <w:rPr>
          <w:rFonts w:hint="eastAsia" w:ascii="宋体" w:hAnsi="宋体"/>
          <w:b/>
          <w:color w:val="000000"/>
          <w:sz w:val="24"/>
        </w:rPr>
        <w:t>七、争议解决</w:t>
      </w:r>
    </w:p>
    <w:p>
      <w:pPr>
        <w:spacing w:line="360" w:lineRule="auto"/>
        <w:ind w:firstLine="480" w:firstLineChars="200"/>
        <w:rPr>
          <w:rFonts w:ascii="宋体" w:hAnsi="宋体"/>
          <w:color w:val="000000"/>
          <w:sz w:val="24"/>
        </w:rPr>
      </w:pPr>
      <w:r>
        <w:rPr>
          <w:rFonts w:hint="eastAsia" w:ascii="宋体" w:hAnsi="宋体"/>
          <w:color w:val="000000"/>
          <w:sz w:val="24"/>
        </w:rPr>
        <w:t>在解释或者执行本合同的过程中出现疑问或发生争议时，双方应通过协商方式解决。</w:t>
      </w:r>
    </w:p>
    <w:p>
      <w:pPr>
        <w:spacing w:line="360" w:lineRule="auto"/>
        <w:ind w:firstLine="480" w:firstLineChars="200"/>
        <w:rPr>
          <w:rFonts w:ascii="宋体" w:hAnsi="宋体"/>
          <w:color w:val="000000"/>
          <w:sz w:val="24"/>
        </w:rPr>
      </w:pPr>
      <w:r>
        <w:rPr>
          <w:rFonts w:hint="eastAsia" w:ascii="宋体" w:hAnsi="宋体"/>
          <w:color w:val="000000"/>
          <w:sz w:val="24"/>
        </w:rPr>
        <w:t>双方协商、调解不成的，双方自愿将争议提交湖州仲裁委员会，仲裁裁决对双方有约束力。</w:t>
      </w:r>
    </w:p>
    <w:p>
      <w:pPr>
        <w:spacing w:line="360" w:lineRule="auto"/>
        <w:ind w:firstLine="480" w:firstLineChars="200"/>
        <w:rPr>
          <w:rFonts w:ascii="宋体" w:hAnsi="宋体"/>
          <w:color w:val="000000"/>
          <w:sz w:val="24"/>
        </w:rPr>
      </w:pPr>
      <w:r>
        <w:rPr>
          <w:rFonts w:hint="eastAsia" w:ascii="宋体" w:hAnsi="宋体"/>
          <w:color w:val="000000"/>
          <w:sz w:val="24"/>
        </w:rPr>
        <w:t>对合同有争议的部分，在争议未解决之前乙方应当继续履行。</w:t>
      </w:r>
    </w:p>
    <w:p>
      <w:pPr>
        <w:spacing w:line="360" w:lineRule="auto"/>
        <w:rPr>
          <w:rFonts w:ascii="宋体" w:hAnsi="宋体"/>
          <w:color w:val="000000"/>
          <w:sz w:val="24"/>
        </w:rPr>
      </w:pPr>
      <w:r>
        <w:rPr>
          <w:rFonts w:hint="eastAsia" w:ascii="宋体" w:hAnsi="宋体"/>
          <w:b/>
          <w:color w:val="000000"/>
          <w:sz w:val="24"/>
        </w:rPr>
        <w:t>八、其他事项</w:t>
      </w:r>
    </w:p>
    <w:p>
      <w:pPr>
        <w:spacing w:line="360" w:lineRule="auto"/>
        <w:ind w:firstLine="480" w:firstLineChars="200"/>
        <w:rPr>
          <w:rFonts w:ascii="宋体" w:hAnsi="宋体"/>
          <w:color w:val="000000"/>
          <w:sz w:val="24"/>
        </w:rPr>
      </w:pPr>
      <w:r>
        <w:rPr>
          <w:rFonts w:hint="eastAsia" w:ascii="宋体" w:hAnsi="宋体"/>
          <w:color w:val="000000"/>
          <w:sz w:val="24"/>
        </w:rPr>
        <w:t>1、乙方在履行本合同的过程中，确因在现有水平和条件下难以克服的技术困难，导致部分或全部失败所造成的损失，风险责任全部由乙方承担。</w:t>
      </w:r>
    </w:p>
    <w:p>
      <w:pPr>
        <w:spacing w:line="360" w:lineRule="auto"/>
        <w:ind w:firstLine="480" w:firstLineChars="200"/>
        <w:rPr>
          <w:rFonts w:ascii="宋体" w:hAnsi="宋体"/>
          <w:color w:val="000000"/>
          <w:sz w:val="24"/>
        </w:rPr>
      </w:pPr>
      <w:r>
        <w:rPr>
          <w:rFonts w:hint="eastAsia" w:ascii="宋体" w:hAnsi="宋体"/>
          <w:color w:val="000000"/>
          <w:sz w:val="24"/>
        </w:rPr>
        <w:t>2、如因甲方技术掌握、操作不当造成管理系统发生不应有的故障，应由甲方负责。</w:t>
      </w:r>
    </w:p>
    <w:p>
      <w:pPr>
        <w:spacing w:line="360" w:lineRule="auto"/>
        <w:ind w:firstLine="480" w:firstLineChars="200"/>
        <w:rPr>
          <w:rFonts w:ascii="宋体" w:hAnsi="宋体"/>
          <w:color w:val="000000"/>
          <w:sz w:val="24"/>
        </w:rPr>
      </w:pPr>
      <w:r>
        <w:rPr>
          <w:rFonts w:hint="eastAsia" w:ascii="宋体" w:hAnsi="宋体"/>
          <w:color w:val="000000"/>
          <w:sz w:val="24"/>
        </w:rPr>
        <w:t>3、本合同任何一方给另一方的通知，都应以书面或电传／传真／电报的形式发送，而另一方应以书面形式确认并发送到对方明确的地址。</w:t>
      </w:r>
    </w:p>
    <w:p>
      <w:pPr>
        <w:spacing w:line="360" w:lineRule="auto"/>
        <w:ind w:firstLine="480" w:firstLineChars="200"/>
        <w:rPr>
          <w:rFonts w:ascii="宋体" w:hAnsi="宋体"/>
          <w:color w:val="000000"/>
          <w:sz w:val="24"/>
        </w:rPr>
      </w:pPr>
      <w:r>
        <w:rPr>
          <w:rFonts w:hint="eastAsia" w:ascii="宋体" w:hAnsi="宋体"/>
          <w:color w:val="000000"/>
          <w:sz w:val="24"/>
        </w:rPr>
        <w:t>4、如果双方中任何一方由于战争、严重火灾、水灾、台风和地震以及其它经双方同意属于不可抗力的事故，致使合同履行受阻时，履行合同的期限应予相应延长，延长的期限应相当于事故所影响的时间。</w:t>
      </w:r>
    </w:p>
    <w:p>
      <w:pPr>
        <w:spacing w:line="360" w:lineRule="auto"/>
        <w:ind w:firstLine="480" w:firstLineChars="200"/>
        <w:rPr>
          <w:rFonts w:ascii="宋体" w:hAnsi="宋体"/>
          <w:color w:val="000000"/>
          <w:sz w:val="24"/>
        </w:rPr>
      </w:pPr>
      <w:r>
        <w:rPr>
          <w:rFonts w:hint="eastAsia" w:ascii="宋体" w:hAnsi="宋体"/>
          <w:color w:val="000000"/>
          <w:sz w:val="24"/>
        </w:rPr>
        <w:t>受事故影响的一方应在不可抗力的事故发生后半小时内以书面形式通知另一方。如果不可抗力影响时间延续30天以上的，双方应通过友好协商在合理的时间内达成进一步履行合同的协议。</w:t>
      </w:r>
    </w:p>
    <w:p>
      <w:pPr>
        <w:spacing w:line="360" w:lineRule="auto"/>
        <w:ind w:firstLine="480" w:firstLineChars="200"/>
        <w:rPr>
          <w:rFonts w:ascii="宋体" w:hAnsi="宋体"/>
          <w:color w:val="000000"/>
          <w:sz w:val="24"/>
        </w:rPr>
      </w:pPr>
      <w:r>
        <w:rPr>
          <w:rFonts w:hint="eastAsia" w:ascii="宋体" w:hAnsi="宋体"/>
          <w:color w:val="000000"/>
          <w:sz w:val="24"/>
        </w:rPr>
        <w:t>5、本合同未规定事宜，经双方协商可签订补充协议，并参照《中华人民共和国合同法》有关条款执行，所签订的补充协议与本合同具有同等的法律效力，补充协议应同时报政府采购监管科备案。</w:t>
      </w:r>
    </w:p>
    <w:p>
      <w:pPr>
        <w:spacing w:line="360" w:lineRule="auto"/>
        <w:ind w:firstLine="480" w:firstLineChars="200"/>
        <w:rPr>
          <w:rFonts w:ascii="宋体" w:hAnsi="宋体"/>
          <w:color w:val="000000"/>
          <w:sz w:val="24"/>
        </w:rPr>
      </w:pPr>
      <w:r>
        <w:rPr>
          <w:rFonts w:hint="eastAsia" w:ascii="宋体" w:hAnsi="宋体"/>
          <w:color w:val="000000"/>
          <w:sz w:val="24"/>
        </w:rPr>
        <w:t>6、本合同一式六份，甲、乙双方各执两份，</w:t>
      </w:r>
      <w:r>
        <w:rPr>
          <w:rFonts w:hint="eastAsia" w:ascii="宋体" w:hAnsi="宋体" w:cs="仿宋_GB2312"/>
          <w:color w:val="000000"/>
          <w:sz w:val="24"/>
          <w:lang w:val="zh-CN"/>
        </w:rPr>
        <w:t>招标代理机构、</w:t>
      </w:r>
      <w:r>
        <w:rPr>
          <w:rFonts w:hint="eastAsia" w:ascii="宋体" w:hAnsi="宋体" w:cs="宋体"/>
          <w:sz w:val="24"/>
        </w:rPr>
        <w:t>政府采购监管科各执</w:t>
      </w:r>
      <w:r>
        <w:rPr>
          <w:rFonts w:hint="eastAsia" w:ascii="宋体" w:hAnsi="宋体" w:cs="仿宋_GB2312"/>
          <w:color w:val="000000"/>
          <w:sz w:val="24"/>
          <w:lang w:val="zh-CN"/>
        </w:rPr>
        <w:t>一份</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7、本合同经双方法定代表人签字并加盖公章后生效。</w:t>
      </w:r>
    </w:p>
    <w:p>
      <w:pPr>
        <w:spacing w:line="360" w:lineRule="auto"/>
        <w:ind w:firstLine="480" w:firstLineChars="200"/>
        <w:rPr>
          <w:rFonts w:ascii="宋体" w:hAnsi="宋体"/>
          <w:b/>
          <w:bCs/>
          <w:color w:val="000000"/>
          <w:sz w:val="24"/>
        </w:rPr>
      </w:pPr>
      <w:r>
        <w:rPr>
          <w:rFonts w:hint="eastAsia" w:ascii="宋体" w:hAnsi="宋体"/>
          <w:b/>
          <w:bCs/>
          <w:color w:val="000000"/>
          <w:sz w:val="24"/>
        </w:rPr>
        <w:t xml:space="preserve">8、本项目由湖州市吴兴区民政局和湖州南太湖新区社会发展服务中心两位采购单位实行统招，中标单位应于湖州市吴兴区民政局和湖州南太湖新区社会发展服务中心分别签订本项目服务合同。  </w:t>
      </w:r>
    </w:p>
    <w:p/>
    <w:p/>
    <w:p>
      <w:pPr>
        <w:spacing w:before="100" w:beforeAutospacing="1" w:after="100" w:afterAutospacing="1" w:line="360" w:lineRule="auto"/>
        <w:ind w:firstLine="540" w:firstLineChars="225"/>
        <w:rPr>
          <w:rFonts w:ascii="宋体" w:hAnsi="宋体"/>
          <w:color w:val="000000"/>
          <w:sz w:val="24"/>
        </w:rPr>
      </w:pPr>
      <w:r>
        <w:rPr>
          <w:rFonts w:hint="eastAsia" w:ascii="宋体" w:hAnsi="宋体"/>
          <w:color w:val="000000"/>
          <w:sz w:val="24"/>
        </w:rPr>
        <w:t>甲   方：                                乙   方：</w:t>
      </w:r>
    </w:p>
    <w:p>
      <w:pPr>
        <w:spacing w:before="100" w:beforeAutospacing="1" w:after="100" w:afterAutospacing="1" w:line="360" w:lineRule="auto"/>
        <w:ind w:firstLine="540" w:firstLineChars="225"/>
        <w:rPr>
          <w:rFonts w:ascii="宋体" w:hAnsi="宋体"/>
          <w:color w:val="000000"/>
          <w:sz w:val="24"/>
        </w:rPr>
      </w:pPr>
      <w:r>
        <w:rPr>
          <w:rFonts w:hint="eastAsia" w:ascii="宋体" w:hAnsi="宋体"/>
          <w:color w:val="000000"/>
          <w:sz w:val="24"/>
        </w:rPr>
        <w:t>名称：（盖章）                           名称：（盖章）</w:t>
      </w:r>
    </w:p>
    <w:p>
      <w:pPr>
        <w:spacing w:before="100" w:beforeAutospacing="1" w:after="100" w:afterAutospacing="1" w:line="360" w:lineRule="auto"/>
        <w:ind w:firstLine="540" w:firstLineChars="225"/>
        <w:rPr>
          <w:rFonts w:ascii="宋体" w:hAnsi="宋体" w:eastAsia="宋体"/>
          <w:color w:val="000000"/>
          <w:sz w:val="24"/>
        </w:rPr>
      </w:pPr>
      <w:r>
        <w:rPr>
          <w:rFonts w:hint="eastAsia" w:ascii="宋体" w:hAnsi="宋体"/>
          <w:color w:val="000000"/>
          <w:sz w:val="24"/>
        </w:rPr>
        <w:t>法定代表人（签字）：                     法定代表人（签字）：</w:t>
      </w:r>
    </w:p>
    <w:p>
      <w:pPr>
        <w:spacing w:before="100" w:beforeAutospacing="1" w:after="100" w:afterAutospacing="1" w:line="360" w:lineRule="auto"/>
        <w:ind w:firstLine="540" w:firstLineChars="225"/>
        <w:rPr>
          <w:rFonts w:ascii="宋体" w:hAnsi="宋体"/>
          <w:color w:val="000000"/>
          <w:sz w:val="24"/>
        </w:rPr>
      </w:pPr>
      <w:r>
        <w:rPr>
          <w:rFonts w:hint="eastAsia" w:ascii="宋体" w:hAnsi="宋体"/>
          <w:color w:val="000000"/>
          <w:sz w:val="24"/>
        </w:rPr>
        <w:t>日期：　　　　　　　　　　　　　　　 　　日期：</w:t>
      </w:r>
    </w:p>
    <w:p>
      <w:pPr>
        <w:spacing w:before="100" w:beforeAutospacing="1" w:after="100" w:afterAutospacing="1" w:line="360" w:lineRule="auto"/>
        <w:ind w:firstLine="540" w:firstLineChars="225"/>
        <w:rPr>
          <w:rFonts w:ascii="宋体" w:hAnsi="宋体"/>
          <w:color w:val="000000"/>
          <w:sz w:val="24"/>
        </w:rPr>
      </w:pPr>
      <w:r>
        <w:rPr>
          <w:rFonts w:hint="eastAsia" w:ascii="宋体" w:hAnsi="宋体"/>
          <w:color w:val="000000"/>
          <w:sz w:val="24"/>
        </w:rPr>
        <w:t>开户银行：                               开户银行：</w:t>
      </w:r>
    </w:p>
    <w:p>
      <w:pPr>
        <w:spacing w:before="100" w:beforeAutospacing="1" w:after="100" w:afterAutospacing="1" w:line="360" w:lineRule="auto"/>
        <w:ind w:firstLine="540" w:firstLineChars="225"/>
        <w:rPr>
          <w:rFonts w:ascii="宋体" w:hAnsi="宋体"/>
          <w:color w:val="000000"/>
          <w:sz w:val="24"/>
        </w:rPr>
      </w:pPr>
      <w:r>
        <w:rPr>
          <w:rFonts w:hint="eastAsia" w:ascii="宋体" w:hAnsi="宋体"/>
          <w:color w:val="000000"/>
          <w:sz w:val="24"/>
        </w:rPr>
        <w:t>银行帐号：                               银行帐号：</w:t>
      </w: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pStyle w:val="22"/>
        <w:ind w:firstLine="0"/>
        <w:rPr>
          <w:rFonts w:hAnsi="宋体"/>
          <w:b/>
          <w:bCs/>
          <w:sz w:val="32"/>
          <w:szCs w:val="30"/>
        </w:rPr>
      </w:pPr>
    </w:p>
    <w:p>
      <w:pPr>
        <w:numPr>
          <w:ilvl w:val="0"/>
          <w:numId w:val="5"/>
        </w:numPr>
        <w:spacing w:beforeLines="50" w:afterLines="50"/>
        <w:jc w:val="center"/>
        <w:outlineLvl w:val="0"/>
        <w:rPr>
          <w:rFonts w:ascii="宋体" w:hAnsi="宋体"/>
          <w:b/>
          <w:bCs/>
          <w:sz w:val="32"/>
          <w:szCs w:val="30"/>
        </w:rPr>
      </w:pPr>
      <w:bookmarkStart w:id="459" w:name="_Toc12218"/>
      <w:r>
        <w:rPr>
          <w:rFonts w:hint="eastAsia" w:ascii="宋体" w:hAnsi="宋体"/>
          <w:b/>
          <w:bCs/>
          <w:sz w:val="32"/>
          <w:szCs w:val="30"/>
        </w:rPr>
        <w:t>投标文件格式</w:t>
      </w:r>
      <w:bookmarkEnd w:id="453"/>
      <w:bookmarkEnd w:id="454"/>
      <w:bookmarkEnd w:id="455"/>
      <w:bookmarkEnd w:id="456"/>
      <w:bookmarkEnd w:id="457"/>
      <w:bookmarkEnd w:id="458"/>
      <w:bookmarkEnd w:id="459"/>
    </w:p>
    <w:p>
      <w:pPr>
        <w:tabs>
          <w:tab w:val="left" w:pos="1650"/>
        </w:tabs>
        <w:spacing w:line="560" w:lineRule="exact"/>
        <w:jc w:val="center"/>
        <w:rPr>
          <w:rFonts w:ascii="微软雅黑" w:hAnsi="微软雅黑" w:cs="微软雅黑"/>
          <w:b/>
          <w:bCs/>
          <w:spacing w:val="24"/>
          <w:sz w:val="24"/>
          <w:szCs w:val="24"/>
        </w:rPr>
      </w:pPr>
      <w:r>
        <w:rPr>
          <w:rFonts w:hint="eastAsia" w:ascii="微软雅黑" w:hAnsi="微软雅黑" w:cs="微软雅黑"/>
          <w:b/>
          <w:bCs/>
          <w:sz w:val="24"/>
          <w:szCs w:val="24"/>
        </w:rPr>
        <w:t>1、法定代表人有效身份证明书</w:t>
      </w:r>
    </w:p>
    <w:p>
      <w:pPr>
        <w:pStyle w:val="4"/>
        <w:spacing w:line="500" w:lineRule="exact"/>
        <w:ind w:firstLine="449" w:firstLineChars="156"/>
        <w:jc w:val="center"/>
        <w:rPr>
          <w:rFonts w:ascii="微软雅黑" w:hAnsi="微软雅黑" w:eastAsia="微软雅黑" w:cs="微软雅黑"/>
          <w:b/>
          <w:bCs/>
          <w:spacing w:val="24"/>
          <w:sz w:val="24"/>
          <w:szCs w:val="24"/>
        </w:rPr>
      </w:pPr>
    </w:p>
    <w:p>
      <w:pPr>
        <w:pStyle w:val="4"/>
        <w:spacing w:line="500" w:lineRule="exact"/>
        <w:ind w:firstLineChars="175"/>
        <w:rPr>
          <w:rFonts w:ascii="微软雅黑" w:hAnsi="微软雅黑" w:eastAsia="微软雅黑" w:cs="微软雅黑"/>
          <w:sz w:val="24"/>
          <w:szCs w:val="24"/>
        </w:rPr>
      </w:pPr>
      <w:r>
        <w:rPr>
          <w:rFonts w:hint="eastAsia" w:ascii="微软雅黑" w:hAnsi="微软雅黑" w:eastAsia="微软雅黑" w:cs="微软雅黑"/>
          <w:sz w:val="24"/>
          <w:szCs w:val="24"/>
        </w:rPr>
        <w:t>（姓名）是（单位全称）的法定代表人，身份证号码为。</w:t>
      </w:r>
    </w:p>
    <w:p>
      <w:pPr>
        <w:pStyle w:val="4"/>
        <w:spacing w:line="500" w:lineRule="exact"/>
        <w:ind w:firstLine="374" w:firstLineChars="156"/>
        <w:rPr>
          <w:rFonts w:ascii="微软雅黑" w:hAnsi="微软雅黑" w:eastAsia="微软雅黑" w:cs="微软雅黑"/>
          <w:sz w:val="24"/>
          <w:szCs w:val="24"/>
        </w:rPr>
      </w:pPr>
    </w:p>
    <w:p>
      <w:pPr>
        <w:pStyle w:val="4"/>
        <w:spacing w:line="500" w:lineRule="exact"/>
        <w:ind w:firstLine="374" w:firstLineChars="156"/>
        <w:rPr>
          <w:rFonts w:ascii="微软雅黑" w:hAnsi="微软雅黑" w:eastAsia="微软雅黑" w:cs="微软雅黑"/>
          <w:sz w:val="24"/>
          <w:szCs w:val="24"/>
        </w:rPr>
      </w:pPr>
      <w:r>
        <w:rPr>
          <w:rFonts w:hint="eastAsia" w:ascii="微软雅黑" w:hAnsi="微软雅黑" w:eastAsia="微软雅黑" w:cs="微软雅黑"/>
          <w:sz w:val="24"/>
          <w:szCs w:val="24"/>
        </w:rPr>
        <w:t xml:space="preserve">    特此证明。</w:t>
      </w:r>
    </w:p>
    <w:p>
      <w:pPr>
        <w:pStyle w:val="4"/>
        <w:spacing w:line="500" w:lineRule="exact"/>
        <w:ind w:firstLine="374" w:firstLineChars="156"/>
        <w:rPr>
          <w:rFonts w:ascii="微软雅黑" w:hAnsi="微软雅黑" w:eastAsia="微软雅黑" w:cs="微软雅黑"/>
          <w:sz w:val="24"/>
          <w:szCs w:val="24"/>
        </w:rPr>
      </w:pPr>
    </w:p>
    <w:p>
      <w:pPr>
        <w:pStyle w:val="4"/>
        <w:spacing w:line="500" w:lineRule="exact"/>
        <w:ind w:firstLine="374" w:firstLineChars="156"/>
        <w:rPr>
          <w:rFonts w:ascii="微软雅黑" w:hAnsi="微软雅黑" w:eastAsia="微软雅黑" w:cs="微软雅黑"/>
          <w:sz w:val="24"/>
          <w:szCs w:val="24"/>
        </w:rPr>
      </w:pPr>
    </w:p>
    <w:p>
      <w:pPr>
        <w:pStyle w:val="4"/>
        <w:spacing w:line="500" w:lineRule="exact"/>
        <w:ind w:firstLine="0"/>
        <w:jc w:val="right"/>
        <w:rPr>
          <w:rFonts w:ascii="微软雅黑" w:hAnsi="微软雅黑" w:eastAsia="微软雅黑" w:cs="微软雅黑"/>
          <w:sz w:val="24"/>
          <w:szCs w:val="24"/>
        </w:rPr>
      </w:pPr>
      <w:r>
        <w:rPr>
          <w:rFonts w:hint="eastAsia" w:ascii="微软雅黑" w:hAnsi="微软雅黑" w:eastAsia="微软雅黑" w:cs="微软雅黑"/>
          <w:sz w:val="24"/>
          <w:szCs w:val="24"/>
        </w:rPr>
        <w:t>投标人：（盖章）</w:t>
      </w:r>
    </w:p>
    <w:p>
      <w:pPr>
        <w:pStyle w:val="4"/>
        <w:spacing w:line="500" w:lineRule="exact"/>
        <w:ind w:firstLine="374" w:firstLineChars="156"/>
        <w:jc w:val="right"/>
        <w:rPr>
          <w:rFonts w:ascii="微软雅黑" w:hAnsi="微软雅黑" w:eastAsia="微软雅黑" w:cs="微软雅黑"/>
          <w:sz w:val="24"/>
          <w:szCs w:val="24"/>
        </w:rPr>
      </w:pPr>
    </w:p>
    <w:p>
      <w:pPr>
        <w:pStyle w:val="4"/>
        <w:spacing w:line="500" w:lineRule="exact"/>
        <w:ind w:firstLine="0"/>
        <w:jc w:val="right"/>
        <w:rPr>
          <w:rFonts w:ascii="微软雅黑" w:hAnsi="微软雅黑" w:eastAsia="微软雅黑" w:cs="微软雅黑"/>
          <w:sz w:val="24"/>
          <w:szCs w:val="24"/>
        </w:rPr>
      </w:pPr>
      <w:r>
        <w:rPr>
          <w:rFonts w:hint="eastAsia" w:ascii="微软雅黑" w:hAnsi="微软雅黑" w:eastAsia="微软雅黑" w:cs="微软雅黑"/>
          <w:sz w:val="24"/>
          <w:szCs w:val="24"/>
        </w:rPr>
        <w:t>法定代表人或其授权代理人（签名或盖章）</w:t>
      </w:r>
    </w:p>
    <w:p>
      <w:pPr>
        <w:pStyle w:val="4"/>
        <w:spacing w:line="500" w:lineRule="exact"/>
        <w:ind w:firstLine="0"/>
        <w:jc w:val="right"/>
        <w:rPr>
          <w:rFonts w:ascii="微软雅黑" w:hAnsi="微软雅黑" w:eastAsia="微软雅黑" w:cs="微软雅黑"/>
          <w:sz w:val="24"/>
          <w:szCs w:val="24"/>
        </w:rPr>
      </w:pPr>
    </w:p>
    <w:p>
      <w:pPr>
        <w:pStyle w:val="4"/>
        <w:spacing w:line="500" w:lineRule="exact"/>
        <w:ind w:firstLine="6960" w:firstLineChars="29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年   月   日</w:t>
      </w:r>
    </w:p>
    <w:p>
      <w:pPr>
        <w:pStyle w:val="4"/>
        <w:spacing w:line="500" w:lineRule="exact"/>
        <w:ind w:firstLine="374" w:firstLineChars="156"/>
        <w:jc w:val="center"/>
        <w:rPr>
          <w:rFonts w:ascii="微软雅黑" w:hAnsi="微软雅黑" w:eastAsia="微软雅黑" w:cs="微软雅黑"/>
          <w:sz w:val="24"/>
          <w:szCs w:val="24"/>
        </w:rPr>
      </w:pPr>
    </w:p>
    <w:p>
      <w:pPr>
        <w:pStyle w:val="4"/>
        <w:spacing w:line="500" w:lineRule="exact"/>
        <w:ind w:firstLine="0"/>
        <w:rPr>
          <w:rFonts w:ascii="微软雅黑" w:hAnsi="微软雅黑" w:eastAsia="微软雅黑" w:cs="微软雅黑"/>
          <w:sz w:val="24"/>
          <w:szCs w:val="24"/>
        </w:rPr>
      </w:pPr>
      <w:r>
        <w:rPr>
          <w:rFonts w:hint="eastAsia" w:ascii="微软雅黑" w:hAnsi="微软雅黑" w:eastAsia="微软雅黑" w:cs="微软雅黑"/>
          <w:sz w:val="24"/>
          <w:szCs w:val="24"/>
        </w:rPr>
        <w:t>————————————————————————————--------</w:t>
      </w:r>
    </w:p>
    <w:p>
      <w:pPr>
        <w:pStyle w:val="4"/>
        <w:spacing w:line="500" w:lineRule="exact"/>
        <w:ind w:firstLine="374" w:firstLineChars="156"/>
        <w:jc w:val="center"/>
        <w:rPr>
          <w:rFonts w:ascii="微软雅黑" w:hAnsi="微软雅黑" w:eastAsia="微软雅黑" w:cs="微软雅黑"/>
          <w:sz w:val="24"/>
          <w:szCs w:val="24"/>
        </w:rPr>
      </w:pPr>
      <w:r>
        <w:rPr>
          <w:rFonts w:hint="eastAsia" w:ascii="微软雅黑" w:hAnsi="微软雅黑" w:eastAsia="微软雅黑" w:cs="微软雅黑"/>
          <w:sz w:val="24"/>
          <w:szCs w:val="24"/>
        </w:rPr>
        <w:t>有效身份证明复印件粘贴处</w:t>
      </w:r>
    </w:p>
    <w:p>
      <w:pPr>
        <w:snapToGrid w:val="0"/>
        <w:spacing w:beforeLines="50" w:after="50"/>
        <w:ind w:firstLine="6240" w:firstLineChars="2600"/>
        <w:rPr>
          <w:rFonts w:ascii="微软雅黑" w:hAnsi="微软雅黑" w:cs="微软雅黑"/>
          <w:sz w:val="24"/>
          <w:szCs w:val="24"/>
        </w:rPr>
      </w:pPr>
    </w:p>
    <w:p>
      <w:pPr>
        <w:snapToGrid w:val="0"/>
        <w:spacing w:beforeLines="50" w:after="50"/>
        <w:rPr>
          <w:rFonts w:ascii="微软雅黑" w:hAnsi="微软雅黑" w:cs="微软雅黑"/>
          <w:sz w:val="24"/>
          <w:szCs w:val="24"/>
        </w:rPr>
      </w:pP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rPr>
          <w:rFonts w:ascii="宋体" w:hAnsi="宋体"/>
          <w:sz w:val="24"/>
        </w:rPr>
      </w:pPr>
    </w:p>
    <w:p>
      <w:pPr>
        <w:snapToGrid w:val="0"/>
        <w:spacing w:beforeLines="50" w:after="50"/>
        <w:rPr>
          <w:rFonts w:ascii="宋体" w:hAnsi="宋体"/>
          <w:sz w:val="24"/>
        </w:rPr>
      </w:pPr>
    </w:p>
    <w:p>
      <w:pPr>
        <w:pStyle w:val="2"/>
        <w:ind w:firstLine="480"/>
        <w:rPr>
          <w:rFonts w:ascii="宋体" w:hAnsi="宋体"/>
          <w:sz w:val="24"/>
        </w:rPr>
      </w:pPr>
    </w:p>
    <w:p>
      <w:pPr>
        <w:pStyle w:val="2"/>
        <w:ind w:firstLine="480"/>
        <w:rPr>
          <w:rFonts w:ascii="宋体" w:hAnsi="宋体"/>
          <w:sz w:val="24"/>
        </w:rPr>
      </w:pPr>
    </w:p>
    <w:p>
      <w:pPr>
        <w:pStyle w:val="2"/>
        <w:ind w:firstLine="480"/>
        <w:rPr>
          <w:rFonts w:ascii="宋体" w:hAnsi="宋体"/>
          <w:sz w:val="24"/>
        </w:rPr>
      </w:pPr>
    </w:p>
    <w:p>
      <w:pPr>
        <w:pStyle w:val="2"/>
        <w:ind w:firstLine="480"/>
        <w:rPr>
          <w:rFonts w:ascii="宋体" w:hAnsi="宋体"/>
          <w:sz w:val="24"/>
        </w:rPr>
      </w:pPr>
    </w:p>
    <w:p>
      <w:pPr>
        <w:pStyle w:val="2"/>
        <w:ind w:firstLine="480"/>
        <w:rPr>
          <w:rFonts w:ascii="宋体" w:hAnsi="宋体"/>
          <w:sz w:val="24"/>
        </w:rPr>
      </w:pPr>
    </w:p>
    <w:p>
      <w:pPr>
        <w:snapToGrid w:val="0"/>
        <w:spacing w:beforeLines="50" w:after="50"/>
        <w:rPr>
          <w:rFonts w:hint="eastAsia" w:ascii="宋体" w:hAnsi="宋体"/>
          <w:sz w:val="24"/>
        </w:rPr>
      </w:pPr>
    </w:p>
    <w:p>
      <w:pPr>
        <w:pStyle w:val="2"/>
        <w:rPr>
          <w:rFonts w:hint="eastAsia"/>
        </w:rPr>
      </w:pPr>
    </w:p>
    <w:p>
      <w:pPr>
        <w:pStyle w:val="2"/>
      </w:pPr>
    </w:p>
    <w:p>
      <w:pPr>
        <w:snapToGrid w:val="0"/>
        <w:spacing w:beforeLines="50" w:after="50"/>
        <w:jc w:val="center"/>
        <w:rPr>
          <w:rFonts w:ascii="微软雅黑" w:hAnsi="微软雅黑" w:cs="微软雅黑"/>
          <w:b/>
          <w:bCs/>
          <w:sz w:val="24"/>
        </w:rPr>
      </w:pPr>
      <w:r>
        <w:rPr>
          <w:rFonts w:hint="eastAsia" w:ascii="微软雅黑" w:hAnsi="微软雅黑" w:cs="微软雅黑"/>
          <w:b/>
          <w:sz w:val="24"/>
        </w:rPr>
        <w:t>2、</w:t>
      </w:r>
      <w:r>
        <w:rPr>
          <w:rFonts w:hint="eastAsia" w:ascii="微软雅黑" w:hAnsi="微软雅黑" w:cs="微软雅黑"/>
          <w:b/>
          <w:bCs/>
          <w:sz w:val="24"/>
        </w:rPr>
        <w:t>法定代表人授权委托书</w:t>
      </w:r>
    </w:p>
    <w:p>
      <w:pPr>
        <w:snapToGrid w:val="0"/>
        <w:spacing w:beforeLines="50" w:after="50"/>
        <w:rPr>
          <w:rFonts w:ascii="微软雅黑" w:hAnsi="微软雅黑" w:cs="微软雅黑"/>
          <w:b/>
          <w:sz w:val="24"/>
          <w:szCs w:val="20"/>
        </w:rPr>
      </w:pPr>
      <w:r>
        <w:rPr>
          <w:rFonts w:hint="eastAsia" w:ascii="微软雅黑" w:hAnsi="微软雅黑" w:cs="微软雅黑"/>
          <w:bCs/>
          <w:sz w:val="24"/>
        </w:rPr>
        <w:t>致：</w:t>
      </w:r>
      <w:r>
        <w:rPr>
          <w:rFonts w:hint="eastAsia" w:ascii="微软雅黑" w:hAnsi="微软雅黑" w:cs="微软雅黑"/>
          <w:sz w:val="24"/>
        </w:rPr>
        <w:t>（招标采购单位名称）：</w:t>
      </w:r>
    </w:p>
    <w:p>
      <w:pPr>
        <w:snapToGrid w:val="0"/>
        <w:spacing w:beforeLines="50" w:after="50"/>
        <w:ind w:firstLine="720" w:firstLineChars="300"/>
        <w:rPr>
          <w:rFonts w:ascii="微软雅黑" w:hAnsi="微软雅黑" w:cs="微软雅黑"/>
          <w:sz w:val="24"/>
          <w:szCs w:val="20"/>
        </w:rPr>
      </w:pPr>
      <w:r>
        <w:rPr>
          <w:rFonts w:hint="eastAsia" w:ascii="微软雅黑" w:hAnsi="微软雅黑" w:cs="微软雅黑"/>
          <w:sz w:val="24"/>
        </w:rPr>
        <w:t>我（姓名）系（投标人名称）的法定代表人，现授权委托本单位在职职工 （姓名）以我方的名义参加</w:t>
      </w:r>
      <w:r>
        <w:rPr>
          <w:rFonts w:hint="eastAsia" w:ascii="微软雅黑" w:hAnsi="微软雅黑" w:cs="微软雅黑"/>
          <w:sz w:val="24"/>
          <w:u w:val="single"/>
        </w:rPr>
        <w:t xml:space="preserve">                （项目名称）</w:t>
      </w:r>
      <w:r>
        <w:rPr>
          <w:rFonts w:hint="eastAsia" w:ascii="微软雅黑" w:hAnsi="微软雅黑" w:cs="微软雅黑"/>
          <w:sz w:val="24"/>
        </w:rPr>
        <w:t>的投标活动，并代表我方全权办理针对上述项目的投标、开标、评标、签约等具体事务和签署相关文件。</w:t>
      </w:r>
    </w:p>
    <w:p>
      <w:pPr>
        <w:snapToGrid w:val="0"/>
        <w:spacing w:beforeLines="50" w:after="50"/>
        <w:rPr>
          <w:rFonts w:ascii="微软雅黑" w:hAnsi="微软雅黑" w:cs="微软雅黑"/>
          <w:sz w:val="24"/>
          <w:szCs w:val="20"/>
        </w:rPr>
      </w:pPr>
      <w:r>
        <w:rPr>
          <w:rFonts w:hint="eastAsia" w:ascii="微软雅黑" w:hAnsi="微软雅黑" w:cs="微软雅黑"/>
          <w:sz w:val="24"/>
        </w:rPr>
        <w:t xml:space="preserve">    我方对被授权人的签名事项负全部责任。</w:t>
      </w:r>
    </w:p>
    <w:p>
      <w:pPr>
        <w:snapToGrid w:val="0"/>
        <w:spacing w:beforeLines="50" w:after="50"/>
        <w:ind w:firstLine="480"/>
        <w:rPr>
          <w:rFonts w:ascii="微软雅黑" w:hAnsi="微软雅黑" w:cs="微软雅黑"/>
          <w:sz w:val="24"/>
          <w:szCs w:val="20"/>
        </w:rPr>
      </w:pPr>
      <w:r>
        <w:rPr>
          <w:rFonts w:hint="eastAsia" w:ascii="微软雅黑" w:hAnsi="微软雅黑" w:cs="微软雅黑"/>
          <w:sz w:val="24"/>
          <w:u w:val="single"/>
        </w:rPr>
        <w:t>在撤销授权的书面通知以前，本授权书一直有效。</w:t>
      </w:r>
      <w:r>
        <w:rPr>
          <w:rFonts w:hint="eastAsia" w:ascii="微软雅黑" w:hAnsi="微软雅黑" w:cs="微软雅黑"/>
          <w:sz w:val="24"/>
        </w:rPr>
        <w:t>被授权人在授权书有效期内签署的所有文件不因授权的撤销而失效。</w:t>
      </w:r>
    </w:p>
    <w:p>
      <w:pPr>
        <w:snapToGrid w:val="0"/>
        <w:spacing w:beforeLines="50" w:after="50"/>
        <w:ind w:firstLine="480"/>
        <w:rPr>
          <w:rFonts w:ascii="微软雅黑" w:hAnsi="微软雅黑" w:cs="微软雅黑"/>
          <w:sz w:val="24"/>
          <w:szCs w:val="20"/>
        </w:rPr>
      </w:pPr>
      <w:r>
        <w:rPr>
          <w:rFonts w:hint="eastAsia" w:ascii="微软雅黑" w:hAnsi="微软雅黑" w:cs="微软雅黑"/>
          <w:sz w:val="24"/>
        </w:rPr>
        <w:t>被授权人无转委托权，特此委托。</w:t>
      </w:r>
    </w:p>
    <w:p>
      <w:pPr>
        <w:snapToGrid w:val="0"/>
        <w:spacing w:beforeLines="50" w:after="50"/>
        <w:rPr>
          <w:rFonts w:ascii="微软雅黑" w:hAnsi="微软雅黑" w:cs="微软雅黑"/>
          <w:sz w:val="24"/>
          <w:szCs w:val="20"/>
        </w:rPr>
      </w:pPr>
    </w:p>
    <w:p>
      <w:pPr>
        <w:snapToGrid w:val="0"/>
        <w:spacing w:beforeLines="50" w:after="50"/>
        <w:rPr>
          <w:rFonts w:ascii="微软雅黑" w:hAnsi="微软雅黑" w:cs="微软雅黑"/>
          <w:sz w:val="24"/>
          <w:szCs w:val="20"/>
          <w:u w:val="single"/>
        </w:rPr>
      </w:pPr>
      <w:r>
        <w:rPr>
          <w:rFonts w:hint="eastAsia" w:ascii="微软雅黑" w:hAnsi="微软雅黑" w:cs="微软雅黑"/>
          <w:sz w:val="24"/>
        </w:rPr>
        <w:t>被授权人签名：                 法定代表人签名：</w:t>
      </w:r>
    </w:p>
    <w:p>
      <w:pPr>
        <w:snapToGrid w:val="0"/>
        <w:spacing w:beforeLines="50" w:after="50"/>
        <w:ind w:firstLine="960" w:firstLineChars="400"/>
        <w:rPr>
          <w:rFonts w:ascii="微软雅黑" w:hAnsi="微软雅黑" w:cs="微软雅黑"/>
          <w:sz w:val="24"/>
          <w:szCs w:val="20"/>
        </w:rPr>
      </w:pPr>
      <w:r>
        <w:rPr>
          <w:rFonts w:hint="eastAsia" w:ascii="微软雅黑" w:hAnsi="微软雅黑" w:cs="微软雅黑"/>
          <w:sz w:val="24"/>
        </w:rPr>
        <w:t>职务：                          职务：</w:t>
      </w:r>
    </w:p>
    <w:p>
      <w:pPr>
        <w:snapToGrid w:val="0"/>
        <w:spacing w:beforeLines="50" w:after="50"/>
        <w:rPr>
          <w:rFonts w:ascii="微软雅黑" w:hAnsi="微软雅黑" w:cs="微软雅黑"/>
          <w:sz w:val="24"/>
          <w:szCs w:val="20"/>
        </w:rPr>
      </w:pPr>
      <w:r>
        <w:rPr>
          <w:rFonts w:hint="eastAsia" w:ascii="微软雅黑" w:hAnsi="微软雅黑" w:cs="微软雅黑"/>
          <w:sz w:val="24"/>
        </w:rPr>
        <w:t>被授权人身份证号码：</w:t>
      </w:r>
    </w:p>
    <w:p>
      <w:pPr>
        <w:snapToGrid w:val="0"/>
        <w:spacing w:beforeLines="50" w:after="50"/>
        <w:rPr>
          <w:rFonts w:ascii="微软雅黑" w:hAnsi="微软雅黑" w:cs="微软雅黑"/>
          <w:sz w:val="24"/>
        </w:rPr>
      </w:pPr>
      <w:r>
        <w:rPr>
          <w:rFonts w:hint="eastAsia" w:ascii="微软雅黑" w:hAnsi="微软雅黑" w:cs="微软雅黑"/>
          <w:sz w:val="24"/>
        </w:rPr>
        <w:t xml:space="preserve">                                     投标人公章：</w:t>
      </w:r>
    </w:p>
    <w:p>
      <w:pPr>
        <w:pStyle w:val="57"/>
        <w:widowControl w:val="0"/>
        <w:spacing w:line="600" w:lineRule="exact"/>
        <w:ind w:firstLine="374" w:firstLineChars="156"/>
        <w:jc w:val="both"/>
        <w:rPr>
          <w:rFonts w:ascii="微软雅黑" w:hAnsi="微软雅黑" w:cs="微软雅黑"/>
        </w:rPr>
      </w:pPr>
      <w:r>
        <w:rPr>
          <w:rFonts w:hint="eastAsia" w:ascii="微软雅黑" w:hAnsi="微软雅黑" w:cs="微软雅黑"/>
          <w:kern w:val="2"/>
        </w:rPr>
        <w:t>————————————————————-----------</w:t>
      </w:r>
    </w:p>
    <w:p>
      <w:pPr>
        <w:pStyle w:val="57"/>
        <w:widowControl w:val="0"/>
        <w:spacing w:line="600" w:lineRule="exact"/>
        <w:ind w:firstLine="374" w:firstLineChars="156"/>
        <w:jc w:val="center"/>
        <w:rPr>
          <w:rFonts w:ascii="微软雅黑" w:hAnsi="微软雅黑" w:cs="微软雅黑"/>
        </w:rPr>
      </w:pPr>
    </w:p>
    <w:p>
      <w:pPr>
        <w:pStyle w:val="57"/>
        <w:widowControl w:val="0"/>
        <w:spacing w:line="600" w:lineRule="exact"/>
        <w:ind w:firstLine="374" w:firstLineChars="156"/>
        <w:jc w:val="center"/>
        <w:rPr>
          <w:rFonts w:ascii="微软雅黑" w:hAnsi="微软雅黑" w:cs="微软雅黑"/>
        </w:rPr>
      </w:pPr>
      <w:r>
        <w:rPr>
          <w:rFonts w:hint="eastAsia" w:ascii="微软雅黑" w:hAnsi="微软雅黑" w:cs="微软雅黑"/>
          <w:kern w:val="2"/>
        </w:rPr>
        <w:t>授权代理人有效身份证明复印件粘贴处</w:t>
      </w:r>
    </w:p>
    <w:p>
      <w:pPr>
        <w:snapToGrid w:val="0"/>
        <w:spacing w:beforeLines="50" w:after="50"/>
        <w:rPr>
          <w:rFonts w:ascii="微软雅黑" w:hAnsi="微软雅黑" w:cs="微软雅黑"/>
          <w:sz w:val="24"/>
        </w:rPr>
      </w:pPr>
    </w:p>
    <w:p>
      <w:pPr>
        <w:snapToGrid w:val="0"/>
        <w:spacing w:beforeLines="50" w:after="50"/>
        <w:jc w:val="center"/>
        <w:rPr>
          <w:rFonts w:ascii="微软雅黑" w:hAnsi="微软雅黑" w:cs="微软雅黑"/>
          <w:sz w:val="24"/>
        </w:rPr>
      </w:pPr>
      <w:r>
        <w:rPr>
          <w:rFonts w:hint="eastAsia" w:ascii="微软雅黑" w:hAnsi="微软雅黑" w:cs="微软雅黑"/>
          <w:sz w:val="24"/>
        </w:rPr>
        <w:t xml:space="preserve">                                        年    月    日</w:t>
      </w:r>
    </w:p>
    <w:p>
      <w:pPr>
        <w:spacing w:line="640" w:lineRule="exact"/>
        <w:jc w:val="center"/>
        <w:rPr>
          <w:rFonts w:ascii="宋体" w:hAnsi="宋体"/>
          <w:sz w:val="24"/>
          <w:u w:val="single"/>
        </w:rPr>
      </w:pPr>
    </w:p>
    <w:p>
      <w:pPr>
        <w:adjustRightInd w:val="0"/>
        <w:snapToGrid w:val="0"/>
        <w:spacing w:line="360" w:lineRule="exact"/>
        <w:rPr>
          <w:rFonts w:ascii="宋体" w:hAnsi="宋体"/>
          <w:b/>
        </w:rPr>
      </w:pPr>
    </w:p>
    <w:p>
      <w:pPr>
        <w:adjustRightInd w:val="0"/>
        <w:snapToGrid w:val="0"/>
        <w:spacing w:line="360" w:lineRule="exact"/>
        <w:rPr>
          <w:rFonts w:ascii="宋体" w:hAnsi="宋体"/>
          <w:b/>
        </w:rPr>
      </w:pPr>
    </w:p>
    <w:p>
      <w:pPr>
        <w:pStyle w:val="2"/>
        <w:rPr>
          <w:rFonts w:ascii="宋体" w:hAnsi="宋体"/>
          <w:b/>
        </w:rPr>
      </w:pPr>
    </w:p>
    <w:p>
      <w:pPr>
        <w:pStyle w:val="2"/>
        <w:rPr>
          <w:rFonts w:ascii="宋体" w:hAnsi="宋体"/>
          <w:b/>
        </w:rPr>
      </w:pPr>
    </w:p>
    <w:p>
      <w:pPr>
        <w:pStyle w:val="2"/>
        <w:rPr>
          <w:rFonts w:hint="eastAsia" w:ascii="宋体" w:hAnsi="宋体"/>
          <w:b/>
        </w:rPr>
      </w:pPr>
    </w:p>
    <w:p>
      <w:pPr>
        <w:pStyle w:val="2"/>
        <w:rPr>
          <w:rFonts w:hint="eastAsia" w:ascii="宋体" w:hAnsi="宋体"/>
          <w:b/>
        </w:rPr>
      </w:pPr>
    </w:p>
    <w:p>
      <w:pPr>
        <w:pStyle w:val="2"/>
        <w:rPr>
          <w:rFonts w:ascii="宋体" w:hAnsi="宋体"/>
          <w:b/>
        </w:rPr>
      </w:pPr>
    </w:p>
    <w:p>
      <w:pPr>
        <w:snapToGrid w:val="0"/>
        <w:spacing w:beforeLines="50" w:after="50"/>
        <w:jc w:val="center"/>
        <w:rPr>
          <w:rFonts w:ascii="宋体" w:hAnsi="宋体" w:cs="宋体"/>
          <w:b/>
          <w:bCs/>
          <w:sz w:val="24"/>
        </w:rPr>
      </w:pPr>
      <w:r>
        <w:rPr>
          <w:rFonts w:hint="eastAsia" w:ascii="宋体" w:hAnsi="宋体" w:cs="宋体"/>
          <w:b/>
          <w:bCs/>
          <w:sz w:val="24"/>
        </w:rPr>
        <w:t>3、投标声明书</w:t>
      </w:r>
    </w:p>
    <w:p>
      <w:pPr>
        <w:snapToGrid w:val="0"/>
        <w:spacing w:beforeLines="50" w:after="50"/>
        <w:rPr>
          <w:rFonts w:ascii="宋体" w:hAnsi="宋体" w:cs="宋体"/>
          <w:sz w:val="24"/>
          <w:szCs w:val="20"/>
        </w:rPr>
      </w:pPr>
      <w:r>
        <w:rPr>
          <w:rFonts w:hint="eastAsia" w:ascii="宋体" w:hAnsi="宋体" w:cs="宋体"/>
          <w:sz w:val="24"/>
        </w:rPr>
        <w:t>致：（招标采购单位名称）：</w:t>
      </w:r>
    </w:p>
    <w:p>
      <w:pPr>
        <w:snapToGrid w:val="0"/>
        <w:spacing w:beforeLines="50" w:after="50"/>
        <w:ind w:firstLine="480" w:firstLineChars="200"/>
        <w:rPr>
          <w:rFonts w:ascii="宋体" w:hAnsi="宋体" w:cs="宋体"/>
          <w:sz w:val="24"/>
          <w:szCs w:val="20"/>
        </w:rPr>
      </w:pPr>
      <w:r>
        <w:rPr>
          <w:rFonts w:hint="eastAsia" w:ascii="宋体" w:hAnsi="宋体" w:cs="宋体"/>
          <w:sz w:val="24"/>
        </w:rPr>
        <w:t>（投标人名称）系中华人民共和国合法单位，经营地址。</w:t>
      </w:r>
    </w:p>
    <w:p>
      <w:pPr>
        <w:snapToGrid w:val="0"/>
        <w:spacing w:beforeLines="50" w:after="50"/>
        <w:ind w:firstLine="645"/>
        <w:rPr>
          <w:rFonts w:ascii="宋体" w:hAnsi="宋体" w:cs="宋体"/>
          <w:sz w:val="24"/>
          <w:szCs w:val="20"/>
        </w:rPr>
      </w:pPr>
      <w:r>
        <w:rPr>
          <w:rFonts w:hint="eastAsia" w:ascii="宋体" w:hAnsi="宋体" w:cs="宋体"/>
          <w:sz w:val="24"/>
        </w:rPr>
        <w:t>我（姓名）系（投标人名称）的法定代表人，我方愿意参加贵方组织的项目的投标，为便于贵方公正、择优地确定中标人及其投标产品和服务，我方就本次投标有关事项郑重声明如下：</w:t>
      </w:r>
    </w:p>
    <w:p>
      <w:pPr>
        <w:snapToGrid w:val="0"/>
        <w:ind w:firstLine="480" w:firstLineChars="200"/>
        <w:rPr>
          <w:rFonts w:ascii="宋体" w:hAnsi="宋体" w:cs="宋体"/>
          <w:sz w:val="24"/>
          <w:szCs w:val="20"/>
        </w:rPr>
      </w:pPr>
      <w:r>
        <w:rPr>
          <w:rFonts w:hint="eastAsia" w:ascii="宋体" w:hAnsi="宋体" w:cs="宋体"/>
          <w:sz w:val="24"/>
        </w:rPr>
        <w:t>1.我方向贵方提交的所有投标文件、资料都是准确的和真实的。</w:t>
      </w:r>
    </w:p>
    <w:p>
      <w:pPr>
        <w:snapToGrid w:val="0"/>
        <w:spacing w:beforeLines="50"/>
        <w:ind w:firstLine="480" w:firstLineChars="200"/>
        <w:rPr>
          <w:rFonts w:ascii="宋体" w:hAnsi="宋体" w:cs="宋体"/>
          <w:sz w:val="24"/>
          <w:szCs w:val="20"/>
        </w:rPr>
      </w:pPr>
      <w:r>
        <w:rPr>
          <w:rFonts w:hint="eastAsia" w:ascii="宋体" w:hAnsi="宋体" w:cs="宋体"/>
          <w:sz w:val="24"/>
        </w:rPr>
        <w:t>2.我方不是采购人的附属机构；在获知本项目采购信息后，与采购人聘请的为此项目提供咨询服务的公司及其附属机构没有任何联系。</w:t>
      </w:r>
    </w:p>
    <w:p>
      <w:pPr>
        <w:snapToGrid w:val="0"/>
        <w:spacing w:beforeLines="50"/>
        <w:ind w:firstLine="480" w:firstLineChars="200"/>
        <w:rPr>
          <w:rFonts w:ascii="宋体" w:hAnsi="宋体" w:cs="宋体"/>
          <w:sz w:val="24"/>
          <w:szCs w:val="20"/>
        </w:rPr>
      </w:pPr>
      <w:r>
        <w:rPr>
          <w:rFonts w:hint="eastAsia" w:ascii="宋体" w:hAnsi="宋体" w:cs="宋体"/>
          <w:sz w:val="24"/>
        </w:rPr>
        <w:t>3.我方诚意提请贵方关注：近期有关服务等方面的重大决策和事项有：</w:t>
      </w:r>
    </w:p>
    <w:p>
      <w:pPr>
        <w:snapToGrid w:val="0"/>
        <w:spacing w:beforeLines="50"/>
        <w:ind w:firstLine="480" w:firstLineChars="200"/>
        <w:rPr>
          <w:rFonts w:ascii="宋体" w:hAnsi="宋体" w:cs="宋体"/>
          <w:sz w:val="24"/>
          <w:szCs w:val="20"/>
          <w:u w:val="single"/>
        </w:rPr>
      </w:pPr>
      <w:r>
        <w:rPr>
          <w:rFonts w:hint="eastAsia" w:ascii="宋体" w:hAnsi="宋体" w:cs="宋体"/>
          <w:sz w:val="24"/>
          <w:u w:val="single"/>
        </w:rPr>
        <w:t>　　　　　　　　　　　　　　　　　　　　　　　　　　　</w:t>
      </w:r>
    </w:p>
    <w:p>
      <w:pPr>
        <w:pStyle w:val="57"/>
        <w:widowControl w:val="0"/>
        <w:snapToGrid w:val="0"/>
        <w:ind w:firstLine="464" w:firstLineChars="200"/>
        <w:jc w:val="both"/>
        <w:rPr>
          <w:szCs w:val="20"/>
        </w:rPr>
      </w:pPr>
      <w:r>
        <w:rPr>
          <w:rFonts w:hint="eastAsia"/>
          <w:spacing w:val="-4"/>
          <w:kern w:val="2"/>
          <w:szCs w:val="20"/>
        </w:rPr>
        <w:t>4.我方及由本人担任法定代表人的其他机构最近三年内被通报或者被处罚的违法行为有：</w:t>
      </w:r>
    </w:p>
    <w:p>
      <w:pPr>
        <w:snapToGrid w:val="0"/>
        <w:spacing w:beforeLines="50"/>
        <w:ind w:firstLine="480" w:firstLineChars="200"/>
        <w:rPr>
          <w:rFonts w:ascii="宋体" w:hAnsi="宋体" w:cs="宋体"/>
          <w:sz w:val="24"/>
          <w:szCs w:val="20"/>
          <w:u w:val="single"/>
        </w:rPr>
      </w:pPr>
      <w:r>
        <w:rPr>
          <w:rFonts w:hint="eastAsia" w:ascii="宋体" w:hAnsi="宋体" w:cs="宋体"/>
          <w:sz w:val="24"/>
          <w:u w:val="single"/>
        </w:rPr>
        <w:t>　　　　　　　　　　　　　　　　　　　　　　　　　　　</w:t>
      </w:r>
    </w:p>
    <w:p>
      <w:pPr>
        <w:snapToGrid w:val="0"/>
        <w:ind w:firstLine="480" w:firstLineChars="200"/>
        <w:rPr>
          <w:rFonts w:ascii="宋体" w:hAnsi="宋体" w:cs="宋体"/>
          <w:sz w:val="24"/>
          <w:szCs w:val="20"/>
        </w:rPr>
      </w:pPr>
      <w:r>
        <w:rPr>
          <w:rFonts w:hint="eastAsia" w:ascii="宋体" w:hAnsi="宋体" w:cs="宋体"/>
          <w:sz w:val="24"/>
        </w:rPr>
        <w:t>5.以上事项如有虚假或隐瞒，我方愿意承担一切后果，并不再寻求任何旨在减轻或免除法律责任的辩解。</w:t>
      </w:r>
    </w:p>
    <w:p>
      <w:pPr>
        <w:pStyle w:val="57"/>
        <w:widowControl w:val="0"/>
        <w:tabs>
          <w:tab w:val="left" w:pos="939"/>
        </w:tabs>
        <w:snapToGrid w:val="0"/>
        <w:ind w:left="773" w:leftChars="150" w:hanging="458" w:hangingChars="191"/>
        <w:jc w:val="both"/>
      </w:pPr>
    </w:p>
    <w:p>
      <w:pPr>
        <w:pStyle w:val="57"/>
        <w:widowControl w:val="0"/>
        <w:snapToGrid w:val="0"/>
        <w:spacing w:beforeLines="50"/>
        <w:ind w:firstLine="200"/>
        <w:jc w:val="both"/>
      </w:pPr>
    </w:p>
    <w:p>
      <w:pPr>
        <w:snapToGrid w:val="0"/>
        <w:spacing w:beforeLines="50"/>
        <w:ind w:firstLine="3823" w:firstLineChars="1593"/>
        <w:rPr>
          <w:rFonts w:ascii="宋体" w:hAnsi="宋体" w:cs="宋体"/>
          <w:sz w:val="24"/>
          <w:szCs w:val="20"/>
          <w:u w:val="single"/>
        </w:rPr>
      </w:pPr>
      <w:r>
        <w:rPr>
          <w:rFonts w:hint="eastAsia" w:ascii="宋体" w:hAnsi="宋体" w:cs="宋体"/>
          <w:sz w:val="24"/>
        </w:rPr>
        <w:t>法定代表人或授权代表</w:t>
      </w:r>
      <w:r>
        <w:rPr>
          <w:rFonts w:hint="eastAsia" w:ascii="微软雅黑" w:hAnsi="微软雅黑" w:cs="微软雅黑"/>
          <w:sz w:val="24"/>
          <w:szCs w:val="24"/>
        </w:rPr>
        <w:t>（签名或盖章）</w:t>
      </w:r>
      <w:r>
        <w:rPr>
          <w:rFonts w:hint="eastAsia" w:ascii="宋体" w:hAnsi="宋体" w:cs="宋体"/>
          <w:sz w:val="24"/>
        </w:rPr>
        <w:t>：</w:t>
      </w:r>
    </w:p>
    <w:p>
      <w:pPr>
        <w:widowControl/>
        <w:ind w:firstLine="3840" w:firstLineChars="1600"/>
        <w:jc w:val="left"/>
        <w:rPr>
          <w:rFonts w:ascii="宋体" w:hAnsi="宋体"/>
          <w:sz w:val="24"/>
        </w:rPr>
      </w:pPr>
      <w:r>
        <w:rPr>
          <w:rFonts w:hint="eastAsia" w:ascii="宋体" w:hAnsi="宋体"/>
          <w:sz w:val="24"/>
        </w:rPr>
        <w:t>投标人公章：</w:t>
      </w:r>
    </w:p>
    <w:p>
      <w:pPr>
        <w:widowControl/>
        <w:ind w:firstLine="4320" w:firstLineChars="1800"/>
        <w:jc w:val="left"/>
      </w:pPr>
      <w:r>
        <w:rPr>
          <w:rFonts w:hint="eastAsia" w:ascii="宋体" w:hAnsi="宋体"/>
          <w:sz w:val="24"/>
        </w:rPr>
        <w:t>年    月    日</w:t>
      </w:r>
    </w:p>
    <w:p>
      <w:pPr>
        <w:ind w:firstLine="470" w:firstLineChars="196"/>
        <w:jc w:val="left"/>
        <w:rPr>
          <w:rFonts w:ascii="宋体" w:hAnsi="宋体" w:cs="宋体"/>
          <w:sz w:val="24"/>
        </w:rPr>
      </w:pPr>
    </w:p>
    <w:p>
      <w:pPr>
        <w:ind w:firstLine="470" w:firstLineChars="196"/>
        <w:jc w:val="left"/>
        <w:rPr>
          <w:rFonts w:ascii="宋体" w:hAnsi="宋体" w:cs="宋体"/>
          <w:sz w:val="24"/>
        </w:rPr>
      </w:pPr>
    </w:p>
    <w:p>
      <w:pPr>
        <w:snapToGrid w:val="0"/>
        <w:spacing w:beforeLines="50" w:after="50"/>
        <w:ind w:firstLine="6240" w:firstLineChars="2600"/>
        <w:rPr>
          <w:rFonts w:ascii="宋体" w:hAnsi="宋体"/>
          <w:sz w:val="24"/>
        </w:rPr>
      </w:pPr>
    </w:p>
    <w:p>
      <w:pPr>
        <w:tabs>
          <w:tab w:val="left" w:pos="1650"/>
        </w:tabs>
        <w:spacing w:line="560" w:lineRule="exact"/>
        <w:jc w:val="center"/>
        <w:rPr>
          <w:rFonts w:ascii="宋体" w:hAnsi="宋体" w:cs="宋体"/>
          <w:b/>
          <w:bCs/>
        </w:rPr>
      </w:pPr>
    </w:p>
    <w:p>
      <w:pPr>
        <w:pStyle w:val="2"/>
        <w:rPr>
          <w:rFonts w:ascii="宋体" w:hAnsi="宋体" w:cs="宋体"/>
          <w:b/>
          <w:bCs/>
        </w:rPr>
      </w:pPr>
    </w:p>
    <w:p>
      <w:pPr>
        <w:pStyle w:val="2"/>
        <w:rPr>
          <w:rFonts w:ascii="宋体" w:hAnsi="宋体" w:cs="宋体"/>
          <w:b/>
          <w:bCs/>
        </w:rPr>
      </w:pPr>
    </w:p>
    <w:p>
      <w:pPr>
        <w:pStyle w:val="2"/>
        <w:rPr>
          <w:rFonts w:ascii="宋体" w:hAnsi="宋体" w:cs="宋体"/>
          <w:b/>
          <w:bCs/>
        </w:rPr>
      </w:pPr>
    </w:p>
    <w:p>
      <w:pPr>
        <w:pStyle w:val="2"/>
        <w:rPr>
          <w:rFonts w:ascii="宋体" w:hAnsi="宋体" w:cs="宋体"/>
          <w:b/>
          <w:bCs/>
        </w:rPr>
      </w:pPr>
    </w:p>
    <w:p>
      <w:pPr>
        <w:pStyle w:val="2"/>
        <w:rPr>
          <w:rFonts w:hint="eastAsia" w:ascii="宋体" w:hAnsi="宋体" w:cs="宋体"/>
          <w:b/>
          <w:bCs/>
        </w:rPr>
      </w:pPr>
    </w:p>
    <w:p>
      <w:pPr>
        <w:pStyle w:val="2"/>
        <w:rPr>
          <w:rFonts w:ascii="宋体" w:hAnsi="宋体" w:cs="宋体"/>
          <w:b/>
          <w:bCs/>
        </w:rPr>
      </w:pPr>
    </w:p>
    <w:p>
      <w:pPr>
        <w:pStyle w:val="2"/>
        <w:ind w:firstLine="0" w:firstLineChars="0"/>
        <w:rPr>
          <w:rFonts w:ascii="宋体" w:hAnsi="宋体" w:cs="宋体"/>
          <w:b/>
          <w:bCs/>
        </w:rPr>
      </w:pPr>
    </w:p>
    <w:p>
      <w:pPr>
        <w:tabs>
          <w:tab w:val="left" w:pos="1650"/>
        </w:tabs>
        <w:spacing w:line="560" w:lineRule="exact"/>
        <w:jc w:val="center"/>
        <w:rPr>
          <w:rFonts w:ascii="微软雅黑" w:hAnsi="微软雅黑" w:cs="微软雅黑"/>
          <w:b/>
          <w:bCs/>
          <w:sz w:val="24"/>
          <w:szCs w:val="24"/>
        </w:rPr>
      </w:pPr>
      <w:r>
        <w:rPr>
          <w:rFonts w:hint="eastAsia" w:ascii="微软雅黑" w:hAnsi="微软雅黑" w:cs="微软雅黑"/>
          <w:b/>
          <w:bCs/>
          <w:sz w:val="24"/>
          <w:szCs w:val="24"/>
        </w:rPr>
        <w:t>4、信用承诺书</w:t>
      </w:r>
    </w:p>
    <w:p>
      <w:pPr>
        <w:tabs>
          <w:tab w:val="left" w:pos="1650"/>
        </w:tabs>
        <w:spacing w:line="560" w:lineRule="exact"/>
        <w:rPr>
          <w:rFonts w:ascii="微软雅黑" w:hAnsi="微软雅黑" w:cs="微软雅黑"/>
          <w:sz w:val="24"/>
          <w:szCs w:val="24"/>
        </w:rPr>
      </w:pPr>
    </w:p>
    <w:p>
      <w:pPr>
        <w:tabs>
          <w:tab w:val="left" w:pos="1650"/>
        </w:tabs>
        <w:ind w:firstLine="240" w:firstLineChars="100"/>
        <w:jc w:val="left"/>
        <w:rPr>
          <w:rFonts w:ascii="微软雅黑" w:hAnsi="微软雅黑" w:cs="微软雅黑"/>
          <w:sz w:val="24"/>
          <w:szCs w:val="24"/>
        </w:rPr>
      </w:pPr>
      <w:r>
        <w:rPr>
          <w:rFonts w:hint="eastAsia" w:ascii="微软雅黑" w:hAnsi="微软雅黑" w:cs="微软雅黑"/>
          <w:sz w:val="24"/>
          <w:szCs w:val="24"/>
          <w:u w:val="single"/>
        </w:rPr>
        <w:t>（投标单位）</w:t>
      </w:r>
      <w:r>
        <w:rPr>
          <w:rFonts w:hint="eastAsia" w:ascii="微软雅黑" w:hAnsi="微软雅黑" w:cs="微软雅黑"/>
          <w:sz w:val="24"/>
          <w:szCs w:val="24"/>
        </w:rPr>
        <w:t>现参加（采购项目）政府采购活动，郑重承诺如下：</w:t>
      </w:r>
    </w:p>
    <w:p>
      <w:pPr>
        <w:tabs>
          <w:tab w:val="left" w:pos="1650"/>
        </w:tabs>
        <w:spacing w:line="560" w:lineRule="exact"/>
        <w:ind w:firstLine="630"/>
        <w:rPr>
          <w:rFonts w:ascii="微软雅黑" w:hAnsi="微软雅黑" w:cs="微软雅黑"/>
          <w:sz w:val="24"/>
          <w:szCs w:val="24"/>
        </w:rPr>
      </w:pPr>
      <w:r>
        <w:rPr>
          <w:rFonts w:hint="eastAsia" w:ascii="微软雅黑" w:hAnsi="微软雅黑" w:cs="微软雅黑"/>
          <w:sz w:val="24"/>
          <w:szCs w:val="24"/>
        </w:rPr>
        <w:t>对所提供的资料合法性、真实性、准确性和有效性负责；</w:t>
      </w:r>
    </w:p>
    <w:p>
      <w:pPr>
        <w:tabs>
          <w:tab w:val="left" w:pos="1650"/>
        </w:tabs>
        <w:spacing w:line="560" w:lineRule="exact"/>
        <w:ind w:firstLine="630"/>
        <w:rPr>
          <w:rFonts w:ascii="微软雅黑" w:hAnsi="微软雅黑" w:cs="微软雅黑"/>
          <w:sz w:val="24"/>
          <w:szCs w:val="24"/>
        </w:rPr>
      </w:pPr>
      <w:r>
        <w:rPr>
          <w:rFonts w:hint="eastAsia" w:ascii="微软雅黑" w:hAnsi="微软雅黑" w:cs="微软雅黑"/>
          <w:sz w:val="24"/>
          <w:szCs w:val="24"/>
        </w:rPr>
        <w:t>严格按照国家法律、法规和规章，依法开展相关经济活动，全面履行应尽的责任和义务；</w:t>
      </w:r>
    </w:p>
    <w:p>
      <w:pPr>
        <w:tabs>
          <w:tab w:val="left" w:pos="1650"/>
        </w:tabs>
        <w:spacing w:line="560" w:lineRule="exact"/>
        <w:ind w:firstLine="630"/>
        <w:rPr>
          <w:rFonts w:ascii="微软雅黑" w:hAnsi="微软雅黑" w:cs="微软雅黑"/>
          <w:sz w:val="24"/>
          <w:szCs w:val="24"/>
        </w:rPr>
      </w:pPr>
      <w:r>
        <w:rPr>
          <w:rFonts w:hint="eastAsia" w:ascii="微软雅黑" w:hAnsi="微软雅黑" w:cs="微软雅黑"/>
          <w:sz w:val="24"/>
          <w:szCs w:val="24"/>
        </w:rPr>
        <w:t>加强自我约束、自我规范、自我管理，不制假售假、不虚假宣传、不违约毁约、不恶意逃债、不偷税漏税，诚信依法经营；</w:t>
      </w:r>
    </w:p>
    <w:p>
      <w:pPr>
        <w:tabs>
          <w:tab w:val="left" w:pos="1650"/>
        </w:tabs>
        <w:spacing w:line="560" w:lineRule="exact"/>
        <w:ind w:firstLine="630"/>
        <w:rPr>
          <w:rFonts w:ascii="微软雅黑" w:hAnsi="微软雅黑" w:cs="微软雅黑"/>
          <w:sz w:val="24"/>
          <w:szCs w:val="24"/>
        </w:rPr>
      </w:pPr>
      <w:r>
        <w:rPr>
          <w:rFonts w:hint="eastAsia" w:ascii="微软雅黑" w:hAnsi="微软雅黑" w:cs="微软雅黑"/>
          <w:sz w:val="24"/>
          <w:szCs w:val="24"/>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ascii="微软雅黑" w:hAnsi="微软雅黑" w:cs="微软雅黑"/>
          <w:sz w:val="24"/>
          <w:szCs w:val="24"/>
        </w:rPr>
      </w:pPr>
      <w:r>
        <w:rPr>
          <w:rFonts w:hint="eastAsia" w:ascii="微软雅黑" w:hAnsi="微软雅黑" w:cs="微软雅黑"/>
          <w:color w:val="333333"/>
          <w:kern w:val="0"/>
          <w:sz w:val="24"/>
          <w:szCs w:val="24"/>
        </w:rPr>
        <w:t>按照信用信息管理有关要求，本单位（个人）同意将以上承诺在信用湖州网站公示，若违背以上承诺，依据相关规定记入企业（个人）信用</w:t>
      </w:r>
      <w:r>
        <w:rPr>
          <w:rFonts w:hint="eastAsia" w:ascii="微软雅黑" w:hAnsi="微软雅黑" w:cs="微软雅黑"/>
          <w:color w:val="000000"/>
          <w:kern w:val="0"/>
          <w:sz w:val="24"/>
          <w:szCs w:val="24"/>
        </w:rPr>
        <w:t>档案；性质严重的，承担相应法律后果和责任，并依法依规列入严重失信名单。</w:t>
      </w:r>
    </w:p>
    <w:p>
      <w:pPr>
        <w:tabs>
          <w:tab w:val="left" w:pos="1650"/>
        </w:tabs>
        <w:spacing w:line="560" w:lineRule="exact"/>
        <w:rPr>
          <w:rFonts w:ascii="微软雅黑" w:hAnsi="微软雅黑" w:cs="微软雅黑"/>
          <w:sz w:val="24"/>
          <w:szCs w:val="24"/>
          <w:u w:val="single"/>
        </w:rPr>
      </w:pPr>
    </w:p>
    <w:p>
      <w:pPr>
        <w:tabs>
          <w:tab w:val="left" w:pos="1650"/>
        </w:tabs>
        <w:spacing w:line="560" w:lineRule="exact"/>
        <w:rPr>
          <w:rFonts w:ascii="微软雅黑" w:hAnsi="微软雅黑" w:cs="微软雅黑"/>
          <w:sz w:val="24"/>
          <w:szCs w:val="24"/>
          <w:u w:val="single"/>
        </w:rPr>
      </w:pPr>
    </w:p>
    <w:p>
      <w:pPr>
        <w:widowControl/>
        <w:spacing w:line="560" w:lineRule="exact"/>
        <w:ind w:firstLine="600" w:firstLineChars="250"/>
        <w:jc w:val="left"/>
        <w:rPr>
          <w:rFonts w:ascii="微软雅黑" w:hAnsi="微软雅黑" w:cs="微软雅黑"/>
          <w:color w:val="000000"/>
          <w:spacing w:val="-7"/>
          <w:kern w:val="0"/>
          <w:sz w:val="24"/>
          <w:szCs w:val="24"/>
        </w:rPr>
      </w:pPr>
      <w:r>
        <w:rPr>
          <w:rFonts w:hint="eastAsia" w:ascii="微软雅黑" w:hAnsi="微软雅黑" w:cs="微软雅黑"/>
          <w:sz w:val="24"/>
          <w:szCs w:val="24"/>
        </w:rPr>
        <w:t>统一社会信用代码：</w:t>
      </w:r>
    </w:p>
    <w:p>
      <w:pPr>
        <w:widowControl/>
        <w:spacing w:line="560" w:lineRule="exact"/>
        <w:jc w:val="left"/>
        <w:rPr>
          <w:rFonts w:ascii="微软雅黑" w:hAnsi="微软雅黑" w:cs="微软雅黑"/>
          <w:color w:val="000000"/>
          <w:kern w:val="0"/>
          <w:sz w:val="24"/>
          <w:szCs w:val="24"/>
        </w:rPr>
      </w:pPr>
    </w:p>
    <w:p>
      <w:pPr>
        <w:widowControl/>
        <w:spacing w:line="560" w:lineRule="exact"/>
        <w:ind w:firstLine="6360" w:firstLineChars="2650"/>
        <w:jc w:val="left"/>
        <w:rPr>
          <w:rFonts w:ascii="微软雅黑" w:hAnsi="微软雅黑" w:cs="微软雅黑"/>
          <w:sz w:val="24"/>
          <w:szCs w:val="24"/>
        </w:rPr>
      </w:pPr>
      <w:r>
        <w:rPr>
          <w:rFonts w:hint="eastAsia" w:ascii="微软雅黑" w:hAnsi="微软雅黑" w:cs="微软雅黑"/>
          <w:sz w:val="24"/>
          <w:szCs w:val="24"/>
        </w:rPr>
        <w:t>承诺单位/个人（盖章/签名）</w:t>
      </w:r>
    </w:p>
    <w:p>
      <w:pPr>
        <w:adjustRightInd w:val="0"/>
        <w:snapToGrid w:val="0"/>
        <w:spacing w:line="320" w:lineRule="exact"/>
        <w:rPr>
          <w:rFonts w:ascii="微软雅黑" w:hAnsi="微软雅黑" w:cs="微软雅黑"/>
          <w:sz w:val="24"/>
          <w:szCs w:val="24"/>
        </w:rPr>
      </w:pPr>
      <w:r>
        <w:rPr>
          <w:rFonts w:hint="eastAsia" w:ascii="微软雅黑" w:hAnsi="微软雅黑" w:cs="微软雅黑"/>
          <w:sz w:val="24"/>
          <w:szCs w:val="24"/>
        </w:rPr>
        <w:t xml:space="preserve">                                                       时间： 年  月  日</w:t>
      </w:r>
    </w:p>
    <w:p>
      <w:pPr>
        <w:adjustRightInd w:val="0"/>
        <w:snapToGrid w:val="0"/>
        <w:spacing w:line="320" w:lineRule="exact"/>
        <w:rPr>
          <w:rFonts w:ascii="微软雅黑" w:hAnsi="微软雅黑" w:cs="微软雅黑"/>
          <w:sz w:val="24"/>
          <w:szCs w:val="24"/>
        </w:rPr>
      </w:pPr>
    </w:p>
    <w:p>
      <w:pPr>
        <w:adjustRightInd w:val="0"/>
        <w:snapToGrid w:val="0"/>
        <w:spacing w:line="320" w:lineRule="exact"/>
        <w:rPr>
          <w:rFonts w:ascii="微软雅黑" w:hAnsi="微软雅黑" w:cs="微软雅黑"/>
          <w:sz w:val="24"/>
          <w:szCs w:val="24"/>
        </w:rPr>
      </w:pPr>
    </w:p>
    <w:p>
      <w:pPr>
        <w:adjustRightInd w:val="0"/>
        <w:snapToGrid w:val="0"/>
        <w:spacing w:line="320" w:lineRule="exact"/>
        <w:rPr>
          <w:rFonts w:ascii="微软雅黑" w:hAnsi="微软雅黑" w:cs="微软雅黑"/>
          <w:sz w:val="24"/>
          <w:szCs w:val="24"/>
        </w:rPr>
      </w:pPr>
    </w:p>
    <w:p>
      <w:pPr>
        <w:adjustRightInd w:val="0"/>
        <w:snapToGrid w:val="0"/>
        <w:spacing w:line="320" w:lineRule="exact"/>
        <w:rPr>
          <w:rFonts w:ascii="微软雅黑" w:hAnsi="微软雅黑" w:cs="微软雅黑"/>
          <w:sz w:val="24"/>
          <w:szCs w:val="24"/>
        </w:rPr>
      </w:pPr>
    </w:p>
    <w:p>
      <w:pPr>
        <w:adjustRightInd w:val="0"/>
        <w:snapToGrid w:val="0"/>
        <w:spacing w:beforeLines="50" w:afterLines="50" w:line="500" w:lineRule="exact"/>
        <w:rPr>
          <w:b/>
        </w:rPr>
      </w:pPr>
    </w:p>
    <w:p>
      <w:pPr>
        <w:adjustRightInd w:val="0"/>
        <w:snapToGrid w:val="0"/>
        <w:spacing w:line="320" w:lineRule="exact"/>
        <w:rPr>
          <w:rFonts w:ascii="宋体" w:hAnsi="宋体"/>
          <w:b/>
        </w:rPr>
      </w:pPr>
    </w:p>
    <w:p>
      <w:pPr>
        <w:adjustRightInd w:val="0"/>
        <w:snapToGrid w:val="0"/>
        <w:spacing w:line="320" w:lineRule="exact"/>
        <w:rPr>
          <w:rFonts w:ascii="宋体" w:hAnsi="宋体"/>
          <w:b/>
        </w:rPr>
      </w:pPr>
    </w:p>
    <w:p>
      <w:pPr>
        <w:adjustRightInd w:val="0"/>
        <w:snapToGrid w:val="0"/>
        <w:spacing w:line="320" w:lineRule="exact"/>
        <w:rPr>
          <w:rFonts w:ascii="宋体" w:hAnsi="宋体"/>
          <w:b/>
        </w:rPr>
      </w:pPr>
    </w:p>
    <w:p>
      <w:pPr>
        <w:adjustRightInd w:val="0"/>
        <w:snapToGrid w:val="0"/>
        <w:spacing w:line="320" w:lineRule="exact"/>
        <w:rPr>
          <w:rFonts w:ascii="宋体" w:hAnsi="宋体"/>
          <w:b/>
        </w:rPr>
      </w:pPr>
    </w:p>
    <w:p>
      <w:pPr>
        <w:pStyle w:val="2"/>
        <w:ind w:firstLine="0" w:firstLineChars="0"/>
        <w:rPr>
          <w:rFonts w:ascii="宋体" w:hAnsi="宋体"/>
          <w:b/>
        </w:rPr>
      </w:pPr>
    </w:p>
    <w:p>
      <w:pPr>
        <w:pStyle w:val="2"/>
        <w:rPr>
          <w:rFonts w:ascii="宋体" w:hAnsi="宋体"/>
          <w:b/>
        </w:rPr>
      </w:pPr>
    </w:p>
    <w:p>
      <w:pPr>
        <w:autoSpaceDE w:val="0"/>
        <w:autoSpaceDN w:val="0"/>
        <w:adjustRightInd w:val="0"/>
        <w:snapToGrid w:val="0"/>
        <w:spacing w:line="440" w:lineRule="exact"/>
        <w:jc w:val="center"/>
        <w:rPr>
          <w:rFonts w:ascii="微软雅黑" w:hAnsi="微软雅黑" w:cs="微软雅黑"/>
          <w:b/>
          <w:sz w:val="24"/>
          <w:szCs w:val="24"/>
        </w:rPr>
      </w:pPr>
      <w:r>
        <w:rPr>
          <w:rFonts w:hint="eastAsia" w:ascii="微软雅黑" w:hAnsi="微软雅黑" w:cs="微软雅黑"/>
          <w:b/>
          <w:sz w:val="24"/>
          <w:szCs w:val="24"/>
        </w:rPr>
        <w:t>5、 投标人同类项目一览表</w:t>
      </w:r>
    </w:p>
    <w:tbl>
      <w:tblPr>
        <w:tblStyle w:val="60"/>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454"/>
        <w:gridCol w:w="1660"/>
        <w:gridCol w:w="1963"/>
        <w:gridCol w:w="1844"/>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613" w:type="dxa"/>
            <w:vAlign w:val="center"/>
          </w:tcPr>
          <w:p>
            <w:pPr>
              <w:spacing w:line="360" w:lineRule="exact"/>
              <w:jc w:val="center"/>
              <w:rPr>
                <w:rFonts w:ascii="微软雅黑" w:hAnsi="微软雅黑" w:cs="微软雅黑"/>
                <w:sz w:val="24"/>
                <w:szCs w:val="24"/>
              </w:rPr>
            </w:pPr>
            <w:r>
              <w:rPr>
                <w:rFonts w:hint="eastAsia" w:ascii="微软雅黑" w:hAnsi="微软雅黑" w:cs="微软雅黑"/>
                <w:sz w:val="24"/>
                <w:szCs w:val="24"/>
              </w:rPr>
              <w:t>序号</w:t>
            </w:r>
          </w:p>
        </w:tc>
        <w:tc>
          <w:tcPr>
            <w:tcW w:w="1454" w:type="dxa"/>
            <w:vAlign w:val="center"/>
          </w:tcPr>
          <w:p>
            <w:pPr>
              <w:spacing w:line="360" w:lineRule="exact"/>
              <w:jc w:val="center"/>
              <w:rPr>
                <w:rFonts w:ascii="微软雅黑" w:hAnsi="微软雅黑" w:cs="微软雅黑"/>
                <w:sz w:val="24"/>
                <w:szCs w:val="24"/>
              </w:rPr>
            </w:pPr>
            <w:r>
              <w:rPr>
                <w:rFonts w:hint="eastAsia" w:ascii="微软雅黑" w:hAnsi="微软雅黑" w:cs="微软雅黑"/>
                <w:sz w:val="24"/>
                <w:szCs w:val="24"/>
              </w:rPr>
              <w:t>项目名称</w:t>
            </w:r>
          </w:p>
        </w:tc>
        <w:tc>
          <w:tcPr>
            <w:tcW w:w="1660" w:type="dxa"/>
            <w:vAlign w:val="center"/>
          </w:tcPr>
          <w:p>
            <w:pPr>
              <w:spacing w:line="360" w:lineRule="exact"/>
              <w:jc w:val="center"/>
              <w:rPr>
                <w:rFonts w:ascii="微软雅黑" w:hAnsi="微软雅黑" w:cs="微软雅黑"/>
                <w:sz w:val="24"/>
                <w:szCs w:val="24"/>
              </w:rPr>
            </w:pPr>
            <w:r>
              <w:rPr>
                <w:rFonts w:hint="eastAsia" w:ascii="微软雅黑" w:hAnsi="微软雅黑" w:cs="微软雅黑"/>
                <w:sz w:val="24"/>
                <w:szCs w:val="24"/>
              </w:rPr>
              <w:t>项目实施时间</w:t>
            </w:r>
          </w:p>
        </w:tc>
        <w:tc>
          <w:tcPr>
            <w:tcW w:w="1963" w:type="dxa"/>
            <w:vAlign w:val="center"/>
          </w:tcPr>
          <w:p>
            <w:pPr>
              <w:spacing w:line="360" w:lineRule="exact"/>
              <w:jc w:val="center"/>
              <w:rPr>
                <w:rFonts w:ascii="微软雅黑" w:hAnsi="微软雅黑" w:cs="微软雅黑"/>
                <w:sz w:val="24"/>
                <w:szCs w:val="24"/>
              </w:rPr>
            </w:pPr>
            <w:r>
              <w:rPr>
                <w:rFonts w:hint="eastAsia" w:ascii="微软雅黑" w:hAnsi="微软雅黑" w:cs="微软雅黑"/>
                <w:sz w:val="24"/>
                <w:szCs w:val="24"/>
              </w:rPr>
              <w:t>项目单位名称</w:t>
            </w:r>
          </w:p>
          <w:p>
            <w:pPr>
              <w:spacing w:line="360" w:lineRule="exact"/>
              <w:jc w:val="center"/>
              <w:rPr>
                <w:rFonts w:ascii="微软雅黑" w:hAnsi="微软雅黑" w:cs="微软雅黑"/>
                <w:sz w:val="24"/>
                <w:szCs w:val="24"/>
              </w:rPr>
            </w:pPr>
            <w:r>
              <w:rPr>
                <w:rFonts w:hint="eastAsia" w:ascii="微软雅黑" w:hAnsi="微软雅黑" w:cs="微软雅黑"/>
                <w:sz w:val="24"/>
                <w:szCs w:val="24"/>
              </w:rPr>
              <w:t>地址及联系方式</w:t>
            </w:r>
          </w:p>
        </w:tc>
        <w:tc>
          <w:tcPr>
            <w:tcW w:w="1844" w:type="dxa"/>
            <w:vAlign w:val="center"/>
          </w:tcPr>
          <w:p>
            <w:pPr>
              <w:spacing w:line="360" w:lineRule="exact"/>
              <w:jc w:val="center"/>
              <w:rPr>
                <w:rFonts w:ascii="微软雅黑" w:hAnsi="微软雅黑" w:cs="微软雅黑"/>
                <w:sz w:val="24"/>
                <w:szCs w:val="24"/>
              </w:rPr>
            </w:pPr>
            <w:r>
              <w:rPr>
                <w:rFonts w:hint="eastAsia" w:ascii="微软雅黑" w:hAnsi="微软雅黑" w:cs="微软雅黑"/>
                <w:sz w:val="24"/>
                <w:szCs w:val="24"/>
              </w:rPr>
              <w:t>项目合同金额（单位：万元）</w:t>
            </w:r>
          </w:p>
        </w:tc>
        <w:tc>
          <w:tcPr>
            <w:tcW w:w="1270" w:type="dxa"/>
            <w:vAlign w:val="center"/>
          </w:tcPr>
          <w:p>
            <w:pPr>
              <w:spacing w:line="360" w:lineRule="exact"/>
              <w:jc w:val="center"/>
              <w:rPr>
                <w:rFonts w:ascii="微软雅黑" w:hAnsi="微软雅黑" w:cs="微软雅黑"/>
                <w:sz w:val="24"/>
                <w:szCs w:val="24"/>
              </w:rPr>
            </w:pPr>
            <w:r>
              <w:rPr>
                <w:rFonts w:hint="eastAsia" w:ascii="微软雅黑" w:hAnsi="微软雅黑" w:cs="微软雅黑"/>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微软雅黑" w:hAnsi="微软雅黑" w:cs="微软雅黑"/>
                <w:sz w:val="24"/>
                <w:szCs w:val="24"/>
              </w:rPr>
            </w:pPr>
          </w:p>
        </w:tc>
        <w:tc>
          <w:tcPr>
            <w:tcW w:w="1454" w:type="dxa"/>
            <w:vAlign w:val="center"/>
          </w:tcPr>
          <w:p>
            <w:pPr>
              <w:spacing w:line="360" w:lineRule="exact"/>
              <w:jc w:val="center"/>
              <w:rPr>
                <w:rFonts w:ascii="微软雅黑" w:hAnsi="微软雅黑" w:cs="微软雅黑"/>
                <w:sz w:val="24"/>
                <w:szCs w:val="24"/>
              </w:rPr>
            </w:pPr>
          </w:p>
        </w:tc>
        <w:tc>
          <w:tcPr>
            <w:tcW w:w="1660" w:type="dxa"/>
            <w:vAlign w:val="center"/>
          </w:tcPr>
          <w:p>
            <w:pPr>
              <w:spacing w:line="360" w:lineRule="exact"/>
              <w:jc w:val="center"/>
              <w:rPr>
                <w:rFonts w:ascii="微软雅黑" w:hAnsi="微软雅黑" w:cs="微软雅黑"/>
                <w:sz w:val="24"/>
                <w:szCs w:val="24"/>
              </w:rPr>
            </w:pPr>
          </w:p>
        </w:tc>
        <w:tc>
          <w:tcPr>
            <w:tcW w:w="1963" w:type="dxa"/>
            <w:vAlign w:val="center"/>
          </w:tcPr>
          <w:p>
            <w:pPr>
              <w:spacing w:line="360" w:lineRule="exact"/>
              <w:jc w:val="center"/>
              <w:rPr>
                <w:rFonts w:ascii="微软雅黑" w:hAnsi="微软雅黑" w:cs="微软雅黑"/>
                <w:sz w:val="24"/>
                <w:szCs w:val="24"/>
              </w:rPr>
            </w:pPr>
          </w:p>
        </w:tc>
        <w:tc>
          <w:tcPr>
            <w:tcW w:w="1844" w:type="dxa"/>
            <w:vAlign w:val="center"/>
          </w:tcPr>
          <w:p>
            <w:pPr>
              <w:spacing w:line="360" w:lineRule="exact"/>
              <w:jc w:val="center"/>
              <w:rPr>
                <w:rFonts w:ascii="微软雅黑" w:hAnsi="微软雅黑" w:cs="微软雅黑"/>
                <w:sz w:val="24"/>
                <w:szCs w:val="24"/>
              </w:rPr>
            </w:pPr>
          </w:p>
        </w:tc>
        <w:tc>
          <w:tcPr>
            <w:tcW w:w="1270" w:type="dxa"/>
            <w:vAlign w:val="center"/>
          </w:tcPr>
          <w:p>
            <w:pPr>
              <w:spacing w:line="360" w:lineRule="exact"/>
              <w:jc w:val="center"/>
              <w:rPr>
                <w:rFonts w:ascii="微软雅黑" w:hAnsi="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微软雅黑" w:hAnsi="微软雅黑" w:cs="微软雅黑"/>
                <w:sz w:val="24"/>
                <w:szCs w:val="24"/>
              </w:rPr>
            </w:pPr>
          </w:p>
        </w:tc>
        <w:tc>
          <w:tcPr>
            <w:tcW w:w="1454" w:type="dxa"/>
            <w:vAlign w:val="center"/>
          </w:tcPr>
          <w:p>
            <w:pPr>
              <w:spacing w:line="360" w:lineRule="exact"/>
              <w:jc w:val="center"/>
              <w:rPr>
                <w:rFonts w:ascii="微软雅黑" w:hAnsi="微软雅黑" w:cs="微软雅黑"/>
                <w:sz w:val="24"/>
                <w:szCs w:val="24"/>
              </w:rPr>
            </w:pPr>
          </w:p>
        </w:tc>
        <w:tc>
          <w:tcPr>
            <w:tcW w:w="1660" w:type="dxa"/>
            <w:vAlign w:val="center"/>
          </w:tcPr>
          <w:p>
            <w:pPr>
              <w:spacing w:line="360" w:lineRule="exact"/>
              <w:jc w:val="center"/>
              <w:rPr>
                <w:rFonts w:ascii="微软雅黑" w:hAnsi="微软雅黑" w:cs="微软雅黑"/>
                <w:sz w:val="24"/>
                <w:szCs w:val="24"/>
              </w:rPr>
            </w:pPr>
          </w:p>
        </w:tc>
        <w:tc>
          <w:tcPr>
            <w:tcW w:w="1963" w:type="dxa"/>
            <w:vAlign w:val="center"/>
          </w:tcPr>
          <w:p>
            <w:pPr>
              <w:spacing w:line="360" w:lineRule="exact"/>
              <w:jc w:val="center"/>
              <w:rPr>
                <w:rFonts w:ascii="微软雅黑" w:hAnsi="微软雅黑" w:cs="微软雅黑"/>
                <w:sz w:val="24"/>
                <w:szCs w:val="24"/>
              </w:rPr>
            </w:pPr>
          </w:p>
        </w:tc>
        <w:tc>
          <w:tcPr>
            <w:tcW w:w="1844" w:type="dxa"/>
            <w:vAlign w:val="center"/>
          </w:tcPr>
          <w:p>
            <w:pPr>
              <w:spacing w:line="360" w:lineRule="exact"/>
              <w:jc w:val="center"/>
              <w:rPr>
                <w:rFonts w:ascii="微软雅黑" w:hAnsi="微软雅黑" w:cs="微软雅黑"/>
                <w:sz w:val="24"/>
                <w:szCs w:val="24"/>
              </w:rPr>
            </w:pPr>
          </w:p>
        </w:tc>
        <w:tc>
          <w:tcPr>
            <w:tcW w:w="1270" w:type="dxa"/>
            <w:vAlign w:val="center"/>
          </w:tcPr>
          <w:p>
            <w:pPr>
              <w:spacing w:line="360" w:lineRule="exact"/>
              <w:jc w:val="center"/>
              <w:rPr>
                <w:rFonts w:ascii="微软雅黑" w:hAnsi="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微软雅黑" w:hAnsi="微软雅黑" w:cs="微软雅黑"/>
                <w:sz w:val="24"/>
                <w:szCs w:val="24"/>
              </w:rPr>
            </w:pPr>
          </w:p>
        </w:tc>
        <w:tc>
          <w:tcPr>
            <w:tcW w:w="1454" w:type="dxa"/>
            <w:vAlign w:val="center"/>
          </w:tcPr>
          <w:p>
            <w:pPr>
              <w:spacing w:line="360" w:lineRule="exact"/>
              <w:jc w:val="center"/>
              <w:rPr>
                <w:rFonts w:ascii="微软雅黑" w:hAnsi="微软雅黑" w:cs="微软雅黑"/>
                <w:sz w:val="24"/>
                <w:szCs w:val="24"/>
              </w:rPr>
            </w:pPr>
          </w:p>
        </w:tc>
        <w:tc>
          <w:tcPr>
            <w:tcW w:w="1660" w:type="dxa"/>
            <w:vAlign w:val="center"/>
          </w:tcPr>
          <w:p>
            <w:pPr>
              <w:spacing w:line="360" w:lineRule="exact"/>
              <w:jc w:val="center"/>
              <w:rPr>
                <w:rFonts w:ascii="微软雅黑" w:hAnsi="微软雅黑" w:cs="微软雅黑"/>
                <w:sz w:val="24"/>
                <w:szCs w:val="24"/>
              </w:rPr>
            </w:pPr>
          </w:p>
        </w:tc>
        <w:tc>
          <w:tcPr>
            <w:tcW w:w="1963" w:type="dxa"/>
            <w:vAlign w:val="center"/>
          </w:tcPr>
          <w:p>
            <w:pPr>
              <w:spacing w:line="360" w:lineRule="exact"/>
              <w:jc w:val="center"/>
              <w:rPr>
                <w:rFonts w:ascii="微软雅黑" w:hAnsi="微软雅黑" w:cs="微软雅黑"/>
                <w:sz w:val="24"/>
                <w:szCs w:val="24"/>
              </w:rPr>
            </w:pPr>
          </w:p>
        </w:tc>
        <w:tc>
          <w:tcPr>
            <w:tcW w:w="1844" w:type="dxa"/>
            <w:vAlign w:val="center"/>
          </w:tcPr>
          <w:p>
            <w:pPr>
              <w:spacing w:line="360" w:lineRule="exact"/>
              <w:jc w:val="center"/>
              <w:rPr>
                <w:rFonts w:ascii="微软雅黑" w:hAnsi="微软雅黑" w:cs="微软雅黑"/>
                <w:sz w:val="24"/>
                <w:szCs w:val="24"/>
              </w:rPr>
            </w:pPr>
          </w:p>
        </w:tc>
        <w:tc>
          <w:tcPr>
            <w:tcW w:w="1270" w:type="dxa"/>
            <w:vAlign w:val="center"/>
          </w:tcPr>
          <w:p>
            <w:pPr>
              <w:spacing w:line="360" w:lineRule="exact"/>
              <w:jc w:val="center"/>
              <w:rPr>
                <w:rFonts w:ascii="微软雅黑" w:hAnsi="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微软雅黑" w:hAnsi="微软雅黑" w:cs="微软雅黑"/>
                <w:sz w:val="24"/>
                <w:szCs w:val="24"/>
              </w:rPr>
            </w:pPr>
          </w:p>
        </w:tc>
        <w:tc>
          <w:tcPr>
            <w:tcW w:w="1454" w:type="dxa"/>
            <w:vAlign w:val="center"/>
          </w:tcPr>
          <w:p>
            <w:pPr>
              <w:spacing w:line="360" w:lineRule="exact"/>
              <w:jc w:val="center"/>
              <w:rPr>
                <w:rFonts w:ascii="微软雅黑" w:hAnsi="微软雅黑" w:cs="微软雅黑"/>
                <w:sz w:val="24"/>
                <w:szCs w:val="24"/>
              </w:rPr>
            </w:pPr>
          </w:p>
        </w:tc>
        <w:tc>
          <w:tcPr>
            <w:tcW w:w="1660" w:type="dxa"/>
            <w:vAlign w:val="center"/>
          </w:tcPr>
          <w:p>
            <w:pPr>
              <w:spacing w:line="360" w:lineRule="exact"/>
              <w:jc w:val="center"/>
              <w:rPr>
                <w:rFonts w:ascii="微软雅黑" w:hAnsi="微软雅黑" w:cs="微软雅黑"/>
                <w:sz w:val="24"/>
                <w:szCs w:val="24"/>
              </w:rPr>
            </w:pPr>
          </w:p>
        </w:tc>
        <w:tc>
          <w:tcPr>
            <w:tcW w:w="1963" w:type="dxa"/>
            <w:vAlign w:val="center"/>
          </w:tcPr>
          <w:p>
            <w:pPr>
              <w:spacing w:line="360" w:lineRule="exact"/>
              <w:jc w:val="center"/>
              <w:rPr>
                <w:rFonts w:ascii="微软雅黑" w:hAnsi="微软雅黑" w:cs="微软雅黑"/>
                <w:sz w:val="24"/>
                <w:szCs w:val="24"/>
              </w:rPr>
            </w:pPr>
          </w:p>
        </w:tc>
        <w:tc>
          <w:tcPr>
            <w:tcW w:w="1844" w:type="dxa"/>
            <w:vAlign w:val="center"/>
          </w:tcPr>
          <w:p>
            <w:pPr>
              <w:spacing w:line="360" w:lineRule="exact"/>
              <w:jc w:val="center"/>
              <w:rPr>
                <w:rFonts w:ascii="微软雅黑" w:hAnsi="微软雅黑" w:cs="微软雅黑"/>
                <w:sz w:val="24"/>
                <w:szCs w:val="24"/>
              </w:rPr>
            </w:pPr>
          </w:p>
        </w:tc>
        <w:tc>
          <w:tcPr>
            <w:tcW w:w="1270" w:type="dxa"/>
            <w:vAlign w:val="center"/>
          </w:tcPr>
          <w:p>
            <w:pPr>
              <w:spacing w:line="360" w:lineRule="exact"/>
              <w:jc w:val="center"/>
              <w:rPr>
                <w:rFonts w:ascii="微软雅黑" w:hAnsi="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微软雅黑" w:hAnsi="微软雅黑" w:cs="微软雅黑"/>
                <w:sz w:val="24"/>
                <w:szCs w:val="24"/>
              </w:rPr>
            </w:pPr>
          </w:p>
        </w:tc>
        <w:tc>
          <w:tcPr>
            <w:tcW w:w="1454" w:type="dxa"/>
            <w:vAlign w:val="center"/>
          </w:tcPr>
          <w:p>
            <w:pPr>
              <w:spacing w:line="360" w:lineRule="exact"/>
              <w:jc w:val="center"/>
              <w:rPr>
                <w:rFonts w:ascii="微软雅黑" w:hAnsi="微软雅黑" w:cs="微软雅黑"/>
                <w:sz w:val="24"/>
                <w:szCs w:val="24"/>
              </w:rPr>
            </w:pPr>
          </w:p>
        </w:tc>
        <w:tc>
          <w:tcPr>
            <w:tcW w:w="1660" w:type="dxa"/>
            <w:vAlign w:val="center"/>
          </w:tcPr>
          <w:p>
            <w:pPr>
              <w:spacing w:line="360" w:lineRule="exact"/>
              <w:jc w:val="center"/>
              <w:rPr>
                <w:rFonts w:ascii="微软雅黑" w:hAnsi="微软雅黑" w:cs="微软雅黑"/>
                <w:sz w:val="24"/>
                <w:szCs w:val="24"/>
              </w:rPr>
            </w:pPr>
          </w:p>
        </w:tc>
        <w:tc>
          <w:tcPr>
            <w:tcW w:w="1963" w:type="dxa"/>
            <w:vAlign w:val="center"/>
          </w:tcPr>
          <w:p>
            <w:pPr>
              <w:spacing w:line="360" w:lineRule="exact"/>
              <w:jc w:val="center"/>
              <w:rPr>
                <w:rFonts w:ascii="微软雅黑" w:hAnsi="微软雅黑" w:cs="微软雅黑"/>
                <w:sz w:val="24"/>
                <w:szCs w:val="24"/>
              </w:rPr>
            </w:pPr>
          </w:p>
        </w:tc>
        <w:tc>
          <w:tcPr>
            <w:tcW w:w="1844" w:type="dxa"/>
            <w:vAlign w:val="center"/>
          </w:tcPr>
          <w:p>
            <w:pPr>
              <w:spacing w:line="360" w:lineRule="exact"/>
              <w:jc w:val="center"/>
              <w:rPr>
                <w:rFonts w:ascii="微软雅黑" w:hAnsi="微软雅黑" w:cs="微软雅黑"/>
                <w:sz w:val="24"/>
                <w:szCs w:val="24"/>
              </w:rPr>
            </w:pPr>
          </w:p>
        </w:tc>
        <w:tc>
          <w:tcPr>
            <w:tcW w:w="1270" w:type="dxa"/>
            <w:vAlign w:val="center"/>
          </w:tcPr>
          <w:p>
            <w:pPr>
              <w:spacing w:line="360" w:lineRule="exact"/>
              <w:jc w:val="center"/>
              <w:rPr>
                <w:rFonts w:ascii="微软雅黑" w:hAnsi="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微软雅黑" w:hAnsi="微软雅黑" w:cs="微软雅黑"/>
                <w:sz w:val="24"/>
                <w:szCs w:val="24"/>
              </w:rPr>
            </w:pPr>
          </w:p>
        </w:tc>
        <w:tc>
          <w:tcPr>
            <w:tcW w:w="1454" w:type="dxa"/>
            <w:vAlign w:val="center"/>
          </w:tcPr>
          <w:p>
            <w:pPr>
              <w:spacing w:line="360" w:lineRule="exact"/>
              <w:jc w:val="center"/>
              <w:rPr>
                <w:rFonts w:ascii="微软雅黑" w:hAnsi="微软雅黑" w:cs="微软雅黑"/>
                <w:sz w:val="24"/>
                <w:szCs w:val="24"/>
              </w:rPr>
            </w:pPr>
          </w:p>
        </w:tc>
        <w:tc>
          <w:tcPr>
            <w:tcW w:w="1660" w:type="dxa"/>
            <w:vAlign w:val="center"/>
          </w:tcPr>
          <w:p>
            <w:pPr>
              <w:spacing w:line="360" w:lineRule="exact"/>
              <w:jc w:val="center"/>
              <w:rPr>
                <w:rFonts w:ascii="微软雅黑" w:hAnsi="微软雅黑" w:cs="微软雅黑"/>
                <w:sz w:val="24"/>
                <w:szCs w:val="24"/>
              </w:rPr>
            </w:pPr>
          </w:p>
        </w:tc>
        <w:tc>
          <w:tcPr>
            <w:tcW w:w="1963" w:type="dxa"/>
            <w:vAlign w:val="center"/>
          </w:tcPr>
          <w:p>
            <w:pPr>
              <w:spacing w:line="360" w:lineRule="exact"/>
              <w:jc w:val="center"/>
              <w:rPr>
                <w:rFonts w:ascii="微软雅黑" w:hAnsi="微软雅黑" w:cs="微软雅黑"/>
                <w:sz w:val="24"/>
                <w:szCs w:val="24"/>
              </w:rPr>
            </w:pPr>
          </w:p>
        </w:tc>
        <w:tc>
          <w:tcPr>
            <w:tcW w:w="1844" w:type="dxa"/>
            <w:vAlign w:val="center"/>
          </w:tcPr>
          <w:p>
            <w:pPr>
              <w:spacing w:line="360" w:lineRule="exact"/>
              <w:jc w:val="center"/>
              <w:rPr>
                <w:rFonts w:ascii="微软雅黑" w:hAnsi="微软雅黑" w:cs="微软雅黑"/>
                <w:sz w:val="24"/>
                <w:szCs w:val="24"/>
              </w:rPr>
            </w:pPr>
          </w:p>
        </w:tc>
        <w:tc>
          <w:tcPr>
            <w:tcW w:w="1270" w:type="dxa"/>
            <w:vAlign w:val="center"/>
          </w:tcPr>
          <w:p>
            <w:pPr>
              <w:spacing w:line="360" w:lineRule="exact"/>
              <w:jc w:val="center"/>
              <w:rPr>
                <w:rFonts w:ascii="微软雅黑" w:hAnsi="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微软雅黑" w:hAnsi="微软雅黑" w:cs="微软雅黑"/>
                <w:sz w:val="24"/>
                <w:szCs w:val="24"/>
              </w:rPr>
            </w:pPr>
          </w:p>
        </w:tc>
        <w:tc>
          <w:tcPr>
            <w:tcW w:w="1454" w:type="dxa"/>
            <w:vAlign w:val="center"/>
          </w:tcPr>
          <w:p>
            <w:pPr>
              <w:spacing w:line="360" w:lineRule="exact"/>
              <w:jc w:val="center"/>
              <w:rPr>
                <w:rFonts w:ascii="微软雅黑" w:hAnsi="微软雅黑" w:cs="微软雅黑"/>
                <w:sz w:val="24"/>
                <w:szCs w:val="24"/>
              </w:rPr>
            </w:pPr>
          </w:p>
        </w:tc>
        <w:tc>
          <w:tcPr>
            <w:tcW w:w="1660" w:type="dxa"/>
            <w:vAlign w:val="center"/>
          </w:tcPr>
          <w:p>
            <w:pPr>
              <w:spacing w:line="360" w:lineRule="exact"/>
              <w:jc w:val="center"/>
              <w:rPr>
                <w:rFonts w:ascii="微软雅黑" w:hAnsi="微软雅黑" w:cs="微软雅黑"/>
                <w:sz w:val="24"/>
                <w:szCs w:val="24"/>
              </w:rPr>
            </w:pPr>
          </w:p>
        </w:tc>
        <w:tc>
          <w:tcPr>
            <w:tcW w:w="1963" w:type="dxa"/>
            <w:vAlign w:val="center"/>
          </w:tcPr>
          <w:p>
            <w:pPr>
              <w:spacing w:line="360" w:lineRule="exact"/>
              <w:jc w:val="center"/>
              <w:rPr>
                <w:rFonts w:ascii="微软雅黑" w:hAnsi="微软雅黑" w:cs="微软雅黑"/>
                <w:sz w:val="24"/>
                <w:szCs w:val="24"/>
              </w:rPr>
            </w:pPr>
          </w:p>
        </w:tc>
        <w:tc>
          <w:tcPr>
            <w:tcW w:w="1844" w:type="dxa"/>
            <w:vAlign w:val="center"/>
          </w:tcPr>
          <w:p>
            <w:pPr>
              <w:spacing w:line="360" w:lineRule="exact"/>
              <w:jc w:val="center"/>
              <w:rPr>
                <w:rFonts w:ascii="微软雅黑" w:hAnsi="微软雅黑" w:cs="微软雅黑"/>
                <w:sz w:val="24"/>
                <w:szCs w:val="24"/>
              </w:rPr>
            </w:pPr>
          </w:p>
        </w:tc>
        <w:tc>
          <w:tcPr>
            <w:tcW w:w="1270" w:type="dxa"/>
            <w:vAlign w:val="center"/>
          </w:tcPr>
          <w:p>
            <w:pPr>
              <w:spacing w:line="360" w:lineRule="exact"/>
              <w:jc w:val="center"/>
              <w:rPr>
                <w:rFonts w:ascii="微软雅黑" w:hAnsi="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微软雅黑" w:hAnsi="微软雅黑" w:cs="微软雅黑"/>
                <w:sz w:val="24"/>
                <w:szCs w:val="24"/>
              </w:rPr>
            </w:pPr>
          </w:p>
        </w:tc>
        <w:tc>
          <w:tcPr>
            <w:tcW w:w="1454" w:type="dxa"/>
            <w:vAlign w:val="center"/>
          </w:tcPr>
          <w:p>
            <w:pPr>
              <w:spacing w:line="360" w:lineRule="exact"/>
              <w:jc w:val="center"/>
              <w:rPr>
                <w:rFonts w:ascii="微软雅黑" w:hAnsi="微软雅黑" w:cs="微软雅黑"/>
                <w:sz w:val="24"/>
                <w:szCs w:val="24"/>
              </w:rPr>
            </w:pPr>
          </w:p>
        </w:tc>
        <w:tc>
          <w:tcPr>
            <w:tcW w:w="1660" w:type="dxa"/>
            <w:vAlign w:val="center"/>
          </w:tcPr>
          <w:p>
            <w:pPr>
              <w:spacing w:line="360" w:lineRule="exact"/>
              <w:jc w:val="center"/>
              <w:rPr>
                <w:rFonts w:ascii="微软雅黑" w:hAnsi="微软雅黑" w:cs="微软雅黑"/>
                <w:sz w:val="24"/>
                <w:szCs w:val="24"/>
              </w:rPr>
            </w:pPr>
          </w:p>
        </w:tc>
        <w:tc>
          <w:tcPr>
            <w:tcW w:w="1963" w:type="dxa"/>
            <w:vAlign w:val="center"/>
          </w:tcPr>
          <w:p>
            <w:pPr>
              <w:spacing w:line="360" w:lineRule="exact"/>
              <w:jc w:val="center"/>
              <w:rPr>
                <w:rFonts w:ascii="微软雅黑" w:hAnsi="微软雅黑" w:cs="微软雅黑"/>
                <w:sz w:val="24"/>
                <w:szCs w:val="24"/>
              </w:rPr>
            </w:pPr>
          </w:p>
        </w:tc>
        <w:tc>
          <w:tcPr>
            <w:tcW w:w="1844" w:type="dxa"/>
            <w:vAlign w:val="center"/>
          </w:tcPr>
          <w:p>
            <w:pPr>
              <w:spacing w:line="360" w:lineRule="exact"/>
              <w:jc w:val="center"/>
              <w:rPr>
                <w:rFonts w:ascii="微软雅黑" w:hAnsi="微软雅黑" w:cs="微软雅黑"/>
                <w:sz w:val="24"/>
                <w:szCs w:val="24"/>
              </w:rPr>
            </w:pPr>
          </w:p>
        </w:tc>
        <w:tc>
          <w:tcPr>
            <w:tcW w:w="1270" w:type="dxa"/>
            <w:vAlign w:val="center"/>
          </w:tcPr>
          <w:p>
            <w:pPr>
              <w:spacing w:line="360" w:lineRule="exact"/>
              <w:jc w:val="center"/>
              <w:rPr>
                <w:rFonts w:ascii="微软雅黑" w:hAnsi="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微软雅黑" w:hAnsi="微软雅黑" w:cs="微软雅黑"/>
                <w:sz w:val="24"/>
                <w:szCs w:val="24"/>
              </w:rPr>
            </w:pPr>
          </w:p>
        </w:tc>
        <w:tc>
          <w:tcPr>
            <w:tcW w:w="1454" w:type="dxa"/>
            <w:vAlign w:val="center"/>
          </w:tcPr>
          <w:p>
            <w:pPr>
              <w:spacing w:line="360" w:lineRule="exact"/>
              <w:jc w:val="center"/>
              <w:rPr>
                <w:rFonts w:ascii="微软雅黑" w:hAnsi="微软雅黑" w:cs="微软雅黑"/>
                <w:sz w:val="24"/>
                <w:szCs w:val="24"/>
              </w:rPr>
            </w:pPr>
          </w:p>
        </w:tc>
        <w:tc>
          <w:tcPr>
            <w:tcW w:w="1660" w:type="dxa"/>
            <w:vAlign w:val="center"/>
          </w:tcPr>
          <w:p>
            <w:pPr>
              <w:spacing w:line="360" w:lineRule="exact"/>
              <w:jc w:val="center"/>
              <w:rPr>
                <w:rFonts w:ascii="微软雅黑" w:hAnsi="微软雅黑" w:cs="微软雅黑"/>
                <w:sz w:val="24"/>
                <w:szCs w:val="24"/>
              </w:rPr>
            </w:pPr>
          </w:p>
        </w:tc>
        <w:tc>
          <w:tcPr>
            <w:tcW w:w="1963" w:type="dxa"/>
            <w:vAlign w:val="center"/>
          </w:tcPr>
          <w:p>
            <w:pPr>
              <w:spacing w:line="360" w:lineRule="exact"/>
              <w:jc w:val="center"/>
              <w:rPr>
                <w:rFonts w:ascii="微软雅黑" w:hAnsi="微软雅黑" w:cs="微软雅黑"/>
                <w:sz w:val="24"/>
                <w:szCs w:val="24"/>
              </w:rPr>
            </w:pPr>
          </w:p>
        </w:tc>
        <w:tc>
          <w:tcPr>
            <w:tcW w:w="1844" w:type="dxa"/>
            <w:vAlign w:val="center"/>
          </w:tcPr>
          <w:p>
            <w:pPr>
              <w:spacing w:line="360" w:lineRule="exact"/>
              <w:jc w:val="center"/>
              <w:rPr>
                <w:rFonts w:ascii="微软雅黑" w:hAnsi="微软雅黑" w:cs="微软雅黑"/>
                <w:sz w:val="24"/>
                <w:szCs w:val="24"/>
              </w:rPr>
            </w:pPr>
          </w:p>
        </w:tc>
        <w:tc>
          <w:tcPr>
            <w:tcW w:w="1270" w:type="dxa"/>
            <w:vAlign w:val="center"/>
          </w:tcPr>
          <w:p>
            <w:pPr>
              <w:spacing w:line="360" w:lineRule="exact"/>
              <w:jc w:val="center"/>
              <w:rPr>
                <w:rFonts w:ascii="微软雅黑" w:hAnsi="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微软雅黑" w:hAnsi="微软雅黑" w:cs="微软雅黑"/>
                <w:sz w:val="24"/>
                <w:szCs w:val="24"/>
              </w:rPr>
            </w:pPr>
          </w:p>
        </w:tc>
        <w:tc>
          <w:tcPr>
            <w:tcW w:w="1454" w:type="dxa"/>
            <w:vAlign w:val="center"/>
          </w:tcPr>
          <w:p>
            <w:pPr>
              <w:spacing w:line="360" w:lineRule="exact"/>
              <w:jc w:val="center"/>
              <w:rPr>
                <w:rFonts w:ascii="微软雅黑" w:hAnsi="微软雅黑" w:cs="微软雅黑"/>
                <w:sz w:val="24"/>
                <w:szCs w:val="24"/>
              </w:rPr>
            </w:pPr>
          </w:p>
        </w:tc>
        <w:tc>
          <w:tcPr>
            <w:tcW w:w="1660" w:type="dxa"/>
            <w:vAlign w:val="center"/>
          </w:tcPr>
          <w:p>
            <w:pPr>
              <w:spacing w:line="360" w:lineRule="exact"/>
              <w:jc w:val="center"/>
              <w:rPr>
                <w:rFonts w:ascii="微软雅黑" w:hAnsi="微软雅黑" w:cs="微软雅黑"/>
                <w:sz w:val="24"/>
                <w:szCs w:val="24"/>
              </w:rPr>
            </w:pPr>
          </w:p>
        </w:tc>
        <w:tc>
          <w:tcPr>
            <w:tcW w:w="1963" w:type="dxa"/>
            <w:vAlign w:val="center"/>
          </w:tcPr>
          <w:p>
            <w:pPr>
              <w:spacing w:line="360" w:lineRule="exact"/>
              <w:jc w:val="center"/>
              <w:rPr>
                <w:rFonts w:ascii="微软雅黑" w:hAnsi="微软雅黑" w:cs="微软雅黑"/>
                <w:sz w:val="24"/>
                <w:szCs w:val="24"/>
              </w:rPr>
            </w:pPr>
          </w:p>
        </w:tc>
        <w:tc>
          <w:tcPr>
            <w:tcW w:w="1844" w:type="dxa"/>
            <w:vAlign w:val="center"/>
          </w:tcPr>
          <w:p>
            <w:pPr>
              <w:spacing w:line="360" w:lineRule="exact"/>
              <w:jc w:val="center"/>
              <w:rPr>
                <w:rFonts w:ascii="微软雅黑" w:hAnsi="微软雅黑" w:cs="微软雅黑"/>
                <w:sz w:val="24"/>
                <w:szCs w:val="24"/>
              </w:rPr>
            </w:pPr>
          </w:p>
        </w:tc>
        <w:tc>
          <w:tcPr>
            <w:tcW w:w="1270" w:type="dxa"/>
            <w:vAlign w:val="center"/>
          </w:tcPr>
          <w:p>
            <w:pPr>
              <w:spacing w:line="360" w:lineRule="exact"/>
              <w:jc w:val="center"/>
              <w:rPr>
                <w:rFonts w:ascii="微软雅黑" w:hAnsi="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微软雅黑" w:hAnsi="微软雅黑" w:cs="微软雅黑"/>
                <w:sz w:val="24"/>
                <w:szCs w:val="24"/>
              </w:rPr>
            </w:pPr>
          </w:p>
        </w:tc>
        <w:tc>
          <w:tcPr>
            <w:tcW w:w="1454" w:type="dxa"/>
            <w:vAlign w:val="center"/>
          </w:tcPr>
          <w:p>
            <w:pPr>
              <w:spacing w:line="360" w:lineRule="exact"/>
              <w:jc w:val="center"/>
              <w:rPr>
                <w:rFonts w:ascii="微软雅黑" w:hAnsi="微软雅黑" w:cs="微软雅黑"/>
                <w:sz w:val="24"/>
                <w:szCs w:val="24"/>
              </w:rPr>
            </w:pPr>
          </w:p>
        </w:tc>
        <w:tc>
          <w:tcPr>
            <w:tcW w:w="1660" w:type="dxa"/>
            <w:vAlign w:val="center"/>
          </w:tcPr>
          <w:p>
            <w:pPr>
              <w:spacing w:line="360" w:lineRule="exact"/>
              <w:jc w:val="center"/>
              <w:rPr>
                <w:rFonts w:ascii="微软雅黑" w:hAnsi="微软雅黑" w:cs="微软雅黑"/>
                <w:sz w:val="24"/>
                <w:szCs w:val="24"/>
              </w:rPr>
            </w:pPr>
          </w:p>
        </w:tc>
        <w:tc>
          <w:tcPr>
            <w:tcW w:w="1963" w:type="dxa"/>
            <w:vAlign w:val="center"/>
          </w:tcPr>
          <w:p>
            <w:pPr>
              <w:spacing w:line="360" w:lineRule="exact"/>
              <w:jc w:val="center"/>
              <w:rPr>
                <w:rFonts w:ascii="微软雅黑" w:hAnsi="微软雅黑" w:cs="微软雅黑"/>
                <w:sz w:val="24"/>
                <w:szCs w:val="24"/>
              </w:rPr>
            </w:pPr>
          </w:p>
        </w:tc>
        <w:tc>
          <w:tcPr>
            <w:tcW w:w="1844" w:type="dxa"/>
            <w:vAlign w:val="center"/>
          </w:tcPr>
          <w:p>
            <w:pPr>
              <w:spacing w:line="360" w:lineRule="exact"/>
              <w:jc w:val="center"/>
              <w:rPr>
                <w:rFonts w:ascii="微软雅黑" w:hAnsi="微软雅黑" w:cs="微软雅黑"/>
                <w:sz w:val="24"/>
                <w:szCs w:val="24"/>
              </w:rPr>
            </w:pPr>
          </w:p>
        </w:tc>
        <w:tc>
          <w:tcPr>
            <w:tcW w:w="1270" w:type="dxa"/>
            <w:vAlign w:val="center"/>
          </w:tcPr>
          <w:p>
            <w:pPr>
              <w:spacing w:line="360" w:lineRule="exact"/>
              <w:jc w:val="center"/>
              <w:rPr>
                <w:rFonts w:ascii="微软雅黑" w:hAnsi="微软雅黑" w:cs="微软雅黑"/>
                <w:sz w:val="24"/>
                <w:szCs w:val="24"/>
              </w:rPr>
            </w:pPr>
          </w:p>
        </w:tc>
      </w:tr>
    </w:tbl>
    <w:p>
      <w:pPr>
        <w:autoSpaceDE w:val="0"/>
        <w:autoSpaceDN w:val="0"/>
        <w:adjustRightInd w:val="0"/>
        <w:snapToGrid w:val="0"/>
        <w:spacing w:line="440" w:lineRule="exact"/>
        <w:ind w:firstLine="480" w:firstLineChars="200"/>
        <w:rPr>
          <w:rFonts w:ascii="微软雅黑" w:hAnsi="微软雅黑" w:cs="微软雅黑"/>
          <w:b/>
          <w:sz w:val="24"/>
          <w:szCs w:val="24"/>
        </w:rPr>
      </w:pPr>
      <w:r>
        <w:rPr>
          <w:rFonts w:hint="eastAsia" w:ascii="微软雅黑" w:hAnsi="微软雅黑" w:cs="微软雅黑"/>
          <w:b/>
          <w:sz w:val="24"/>
          <w:szCs w:val="24"/>
        </w:rPr>
        <w:t>注：证明材料复印件附后</w:t>
      </w:r>
    </w:p>
    <w:p>
      <w:pPr>
        <w:autoSpaceDE w:val="0"/>
        <w:autoSpaceDN w:val="0"/>
        <w:adjustRightInd w:val="0"/>
        <w:snapToGrid w:val="0"/>
        <w:spacing w:line="440" w:lineRule="exact"/>
        <w:ind w:firstLine="480" w:firstLineChars="200"/>
        <w:rPr>
          <w:rFonts w:ascii="微软雅黑" w:hAnsi="微软雅黑" w:cs="微软雅黑"/>
          <w:b/>
          <w:sz w:val="24"/>
          <w:szCs w:val="24"/>
        </w:rPr>
      </w:pPr>
    </w:p>
    <w:p>
      <w:pPr>
        <w:snapToGrid w:val="0"/>
        <w:spacing w:line="440" w:lineRule="exact"/>
        <w:rPr>
          <w:rFonts w:ascii="微软雅黑" w:hAnsi="微软雅黑" w:cs="微软雅黑"/>
          <w:sz w:val="24"/>
          <w:szCs w:val="24"/>
        </w:rPr>
      </w:pPr>
    </w:p>
    <w:p>
      <w:pPr>
        <w:snapToGrid w:val="0"/>
        <w:spacing w:line="440" w:lineRule="exact"/>
        <w:ind w:firstLine="240" w:firstLineChars="100"/>
        <w:rPr>
          <w:rFonts w:ascii="微软雅黑" w:hAnsi="微软雅黑" w:cs="微软雅黑"/>
          <w:sz w:val="24"/>
          <w:szCs w:val="24"/>
          <w:u w:val="single"/>
        </w:rPr>
      </w:pPr>
      <w:r>
        <w:rPr>
          <w:rFonts w:hint="eastAsia" w:ascii="宋体" w:hAnsi="宋体" w:cs="宋体"/>
          <w:sz w:val="24"/>
        </w:rPr>
        <w:t>法定代表人或授权代表</w:t>
      </w:r>
      <w:r>
        <w:rPr>
          <w:rFonts w:hint="eastAsia" w:ascii="微软雅黑" w:hAnsi="微软雅黑" w:cs="微软雅黑"/>
          <w:sz w:val="24"/>
          <w:szCs w:val="24"/>
        </w:rPr>
        <w:t>（签名或盖章）：</w:t>
      </w:r>
    </w:p>
    <w:p>
      <w:pPr>
        <w:pStyle w:val="20"/>
        <w:adjustRightInd w:val="0"/>
        <w:snapToGrid w:val="0"/>
        <w:spacing w:after="0" w:line="440" w:lineRule="exact"/>
        <w:ind w:firstLine="240" w:firstLineChars="100"/>
        <w:rPr>
          <w:rFonts w:ascii="微软雅黑" w:hAnsi="微软雅黑" w:eastAsia="微软雅黑" w:cs="微软雅黑"/>
          <w:sz w:val="24"/>
        </w:rPr>
      </w:pPr>
      <w:r>
        <w:rPr>
          <w:rFonts w:hint="eastAsia" w:ascii="微软雅黑" w:hAnsi="微软雅黑" w:eastAsia="微软雅黑" w:cs="微软雅黑"/>
          <w:sz w:val="24"/>
        </w:rPr>
        <w:t>投标人盖章：</w:t>
      </w:r>
    </w:p>
    <w:p>
      <w:pPr>
        <w:adjustRightInd w:val="0"/>
        <w:snapToGrid w:val="0"/>
        <w:spacing w:line="440" w:lineRule="exact"/>
        <w:ind w:firstLine="240" w:firstLineChars="100"/>
        <w:rPr>
          <w:rFonts w:ascii="微软雅黑" w:hAnsi="微软雅黑" w:cs="微软雅黑"/>
          <w:bCs/>
          <w:sz w:val="24"/>
          <w:szCs w:val="24"/>
        </w:rPr>
      </w:pPr>
      <w:r>
        <w:rPr>
          <w:rFonts w:hint="eastAsia" w:ascii="微软雅黑" w:hAnsi="微软雅黑" w:cs="微软雅黑"/>
          <w:bCs/>
          <w:sz w:val="24"/>
          <w:szCs w:val="24"/>
        </w:rPr>
        <w:t>年月日</w:t>
      </w:r>
    </w:p>
    <w:p>
      <w:pPr>
        <w:adjustRightInd w:val="0"/>
        <w:snapToGrid w:val="0"/>
        <w:spacing w:line="440" w:lineRule="exact"/>
        <w:rPr>
          <w:rFonts w:ascii="微软雅黑" w:hAnsi="微软雅黑" w:cs="微软雅黑"/>
          <w:bCs/>
          <w:sz w:val="24"/>
          <w:szCs w:val="24"/>
        </w:rPr>
      </w:pPr>
    </w:p>
    <w:p>
      <w:pPr>
        <w:adjustRightInd w:val="0"/>
        <w:snapToGrid w:val="0"/>
        <w:spacing w:line="440" w:lineRule="exact"/>
        <w:rPr>
          <w:rFonts w:ascii="宋体" w:hAnsi="宋体"/>
          <w:bCs/>
        </w:rPr>
      </w:pPr>
    </w:p>
    <w:p>
      <w:pPr>
        <w:adjustRightInd w:val="0"/>
        <w:snapToGrid w:val="0"/>
        <w:spacing w:line="440" w:lineRule="exact"/>
        <w:rPr>
          <w:rFonts w:ascii="宋体" w:hAnsi="宋体"/>
          <w:bCs/>
        </w:rPr>
      </w:pPr>
    </w:p>
    <w:p>
      <w:pPr>
        <w:adjustRightInd w:val="0"/>
        <w:snapToGrid w:val="0"/>
        <w:spacing w:line="440" w:lineRule="exact"/>
        <w:rPr>
          <w:rFonts w:ascii="宋体" w:hAnsi="宋体"/>
          <w:bCs/>
        </w:rPr>
      </w:pPr>
    </w:p>
    <w:p>
      <w:pPr>
        <w:adjustRightInd w:val="0"/>
        <w:snapToGrid w:val="0"/>
        <w:spacing w:line="440" w:lineRule="exact"/>
        <w:rPr>
          <w:rFonts w:ascii="宋体" w:hAnsi="宋体"/>
          <w:bCs/>
        </w:rPr>
      </w:pPr>
    </w:p>
    <w:p>
      <w:pPr>
        <w:adjustRightInd w:val="0"/>
        <w:snapToGrid w:val="0"/>
        <w:spacing w:line="440" w:lineRule="exact"/>
        <w:rPr>
          <w:rFonts w:ascii="宋体" w:hAnsi="宋体"/>
          <w:bCs/>
        </w:rPr>
      </w:pPr>
    </w:p>
    <w:p>
      <w:pPr>
        <w:adjustRightInd w:val="0"/>
        <w:snapToGrid w:val="0"/>
        <w:spacing w:line="440" w:lineRule="exact"/>
        <w:rPr>
          <w:rFonts w:ascii="宋体" w:hAnsi="宋体"/>
          <w:bCs/>
        </w:rPr>
      </w:pPr>
    </w:p>
    <w:p>
      <w:pPr>
        <w:adjustRightInd w:val="0"/>
        <w:snapToGrid w:val="0"/>
        <w:spacing w:line="440" w:lineRule="exact"/>
        <w:rPr>
          <w:rFonts w:ascii="宋体" w:hAnsi="宋体"/>
          <w:bCs/>
        </w:rPr>
      </w:pPr>
    </w:p>
    <w:p>
      <w:pPr>
        <w:pStyle w:val="4"/>
        <w:spacing w:line="500" w:lineRule="exact"/>
        <w:ind w:firstLine="0"/>
        <w:rPr>
          <w:rFonts w:ascii="宋体" w:hAnsi="宋体"/>
          <w:b/>
          <w:sz w:val="24"/>
        </w:rPr>
      </w:pPr>
    </w:p>
    <w:p>
      <w:pPr>
        <w:snapToGrid w:val="0"/>
        <w:spacing w:beforeLines="50" w:after="50"/>
        <w:rPr>
          <w:rFonts w:ascii="宋体" w:hAnsi="宋体"/>
          <w:b/>
          <w:sz w:val="24"/>
        </w:rPr>
      </w:pPr>
    </w:p>
    <w:p>
      <w:pPr>
        <w:snapToGrid w:val="0"/>
        <w:spacing w:beforeLines="50" w:after="50"/>
        <w:rPr>
          <w:rFonts w:ascii="宋体" w:hAnsi="宋体"/>
          <w:b/>
          <w:sz w:val="24"/>
        </w:rPr>
      </w:pPr>
    </w:p>
    <w:p>
      <w:pPr>
        <w:spacing w:line="440" w:lineRule="exact"/>
        <w:jc w:val="center"/>
        <w:rPr>
          <w:rFonts w:ascii="微软雅黑" w:hAnsi="微软雅黑" w:cs="微软雅黑"/>
          <w:b/>
          <w:bCs/>
          <w:sz w:val="24"/>
          <w:szCs w:val="24"/>
        </w:rPr>
      </w:pPr>
      <w:r>
        <w:rPr>
          <w:rFonts w:hint="eastAsia" w:ascii="微软雅黑" w:hAnsi="微软雅黑" w:cs="微软雅黑"/>
          <w:b/>
          <w:bCs/>
          <w:sz w:val="24"/>
          <w:szCs w:val="24"/>
        </w:rPr>
        <w:t>6、商务响应表</w:t>
      </w:r>
    </w:p>
    <w:p>
      <w:pPr>
        <w:spacing w:line="360" w:lineRule="auto"/>
        <w:jc w:val="center"/>
        <w:rPr>
          <w:rFonts w:ascii="微软雅黑" w:hAnsi="微软雅黑" w:cs="微软雅黑"/>
          <w:sz w:val="24"/>
          <w:szCs w:val="24"/>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052"/>
        <w:gridCol w:w="1234"/>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526" w:type="dxa"/>
            <w:noWrap/>
            <w:vAlign w:val="center"/>
          </w:tcPr>
          <w:p>
            <w:pPr>
              <w:snapToGrid w:val="0"/>
              <w:spacing w:before="50" w:afterLines="50"/>
              <w:jc w:val="center"/>
              <w:rPr>
                <w:rFonts w:ascii="微软雅黑" w:hAnsi="微软雅黑" w:cs="微软雅黑"/>
                <w:sz w:val="24"/>
                <w:szCs w:val="24"/>
              </w:rPr>
            </w:pPr>
            <w:r>
              <w:rPr>
                <w:rFonts w:hint="eastAsia" w:ascii="微软雅黑" w:hAnsi="微软雅黑" w:cs="微软雅黑"/>
                <w:sz w:val="24"/>
                <w:szCs w:val="24"/>
              </w:rPr>
              <w:t>项目</w:t>
            </w:r>
          </w:p>
        </w:tc>
        <w:tc>
          <w:tcPr>
            <w:tcW w:w="4052" w:type="dxa"/>
            <w:noWrap/>
            <w:vAlign w:val="center"/>
          </w:tcPr>
          <w:p>
            <w:pPr>
              <w:snapToGrid w:val="0"/>
              <w:spacing w:before="50" w:afterLines="50"/>
              <w:jc w:val="center"/>
              <w:rPr>
                <w:rFonts w:ascii="微软雅黑" w:hAnsi="微软雅黑" w:cs="微软雅黑"/>
                <w:sz w:val="24"/>
                <w:szCs w:val="24"/>
              </w:rPr>
            </w:pPr>
            <w:r>
              <w:rPr>
                <w:rFonts w:hint="eastAsia" w:ascii="微软雅黑" w:hAnsi="微软雅黑" w:cs="微软雅黑"/>
                <w:sz w:val="24"/>
                <w:szCs w:val="24"/>
              </w:rPr>
              <w:t>招标文件要求</w:t>
            </w:r>
          </w:p>
        </w:tc>
        <w:tc>
          <w:tcPr>
            <w:tcW w:w="1234" w:type="dxa"/>
            <w:noWrap/>
            <w:vAlign w:val="center"/>
          </w:tcPr>
          <w:p>
            <w:pPr>
              <w:snapToGrid w:val="0"/>
              <w:spacing w:before="50" w:afterLines="50"/>
              <w:jc w:val="center"/>
              <w:rPr>
                <w:rFonts w:ascii="微软雅黑" w:hAnsi="微软雅黑" w:cs="微软雅黑"/>
                <w:sz w:val="24"/>
                <w:szCs w:val="24"/>
              </w:rPr>
            </w:pPr>
            <w:r>
              <w:rPr>
                <w:rFonts w:hint="eastAsia" w:ascii="微软雅黑" w:hAnsi="微软雅黑" w:cs="微软雅黑"/>
                <w:sz w:val="24"/>
                <w:szCs w:val="24"/>
              </w:rPr>
              <w:t>是否响应</w:t>
            </w:r>
          </w:p>
        </w:tc>
        <w:tc>
          <w:tcPr>
            <w:tcW w:w="2781" w:type="dxa"/>
            <w:noWrap/>
            <w:vAlign w:val="center"/>
          </w:tcPr>
          <w:p>
            <w:pPr>
              <w:snapToGrid w:val="0"/>
              <w:spacing w:before="50" w:afterLines="50"/>
              <w:jc w:val="center"/>
              <w:rPr>
                <w:rFonts w:ascii="微软雅黑" w:hAnsi="微软雅黑" w:cs="微软雅黑"/>
                <w:sz w:val="24"/>
                <w:szCs w:val="24"/>
              </w:rPr>
            </w:pPr>
            <w:r>
              <w:rPr>
                <w:rFonts w:hint="eastAsia" w:ascii="微软雅黑" w:hAnsi="微软雅黑" w:cs="微软雅黑"/>
                <w:sz w:val="24"/>
                <w:szCs w:val="24"/>
              </w:rPr>
              <w:t>投标人承诺及偏离说明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26" w:type="dxa"/>
            <w:noWrap/>
            <w:vAlign w:val="center"/>
          </w:tcPr>
          <w:p>
            <w:pPr>
              <w:snapToGrid w:val="0"/>
              <w:spacing w:line="360" w:lineRule="exact"/>
              <w:jc w:val="center"/>
              <w:rPr>
                <w:rFonts w:ascii="微软雅黑" w:hAnsi="微软雅黑" w:cs="微软雅黑"/>
                <w:sz w:val="24"/>
                <w:szCs w:val="24"/>
              </w:rPr>
            </w:pPr>
          </w:p>
        </w:tc>
        <w:tc>
          <w:tcPr>
            <w:tcW w:w="4052" w:type="dxa"/>
            <w:noWrap/>
            <w:vAlign w:val="center"/>
          </w:tcPr>
          <w:p>
            <w:pPr>
              <w:snapToGrid w:val="0"/>
              <w:spacing w:before="50" w:afterLines="50"/>
              <w:ind w:firstLine="480"/>
              <w:jc w:val="center"/>
              <w:rPr>
                <w:rFonts w:ascii="微软雅黑" w:hAnsi="微软雅黑" w:cs="微软雅黑"/>
                <w:sz w:val="24"/>
                <w:szCs w:val="24"/>
              </w:rPr>
            </w:pPr>
          </w:p>
        </w:tc>
        <w:tc>
          <w:tcPr>
            <w:tcW w:w="1234" w:type="dxa"/>
            <w:noWrap/>
            <w:vAlign w:val="center"/>
          </w:tcPr>
          <w:p>
            <w:pPr>
              <w:snapToGrid w:val="0"/>
              <w:spacing w:before="50" w:afterLines="50"/>
              <w:ind w:firstLine="480"/>
              <w:jc w:val="center"/>
              <w:rPr>
                <w:rFonts w:ascii="微软雅黑" w:hAnsi="微软雅黑" w:cs="微软雅黑"/>
                <w:sz w:val="24"/>
                <w:szCs w:val="24"/>
              </w:rPr>
            </w:pPr>
          </w:p>
        </w:tc>
        <w:tc>
          <w:tcPr>
            <w:tcW w:w="2781" w:type="dxa"/>
            <w:noWrap/>
            <w:vAlign w:val="center"/>
          </w:tcPr>
          <w:p>
            <w:pPr>
              <w:snapToGrid w:val="0"/>
              <w:spacing w:before="50" w:afterLines="50"/>
              <w:ind w:firstLine="480"/>
              <w:jc w:val="center"/>
              <w:rPr>
                <w:rFonts w:ascii="微软雅黑" w:hAnsi="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26" w:type="dxa"/>
            <w:noWrap/>
            <w:vAlign w:val="center"/>
          </w:tcPr>
          <w:p>
            <w:pPr>
              <w:snapToGrid w:val="0"/>
              <w:spacing w:line="360" w:lineRule="exact"/>
              <w:jc w:val="center"/>
              <w:rPr>
                <w:rFonts w:ascii="微软雅黑" w:hAnsi="微软雅黑" w:cs="微软雅黑"/>
                <w:sz w:val="24"/>
                <w:szCs w:val="24"/>
              </w:rPr>
            </w:pPr>
          </w:p>
        </w:tc>
        <w:tc>
          <w:tcPr>
            <w:tcW w:w="4052" w:type="dxa"/>
            <w:noWrap/>
            <w:vAlign w:val="center"/>
          </w:tcPr>
          <w:p>
            <w:pPr>
              <w:snapToGrid w:val="0"/>
              <w:spacing w:before="50" w:afterLines="50"/>
              <w:ind w:firstLine="480"/>
              <w:jc w:val="center"/>
              <w:rPr>
                <w:rFonts w:ascii="微软雅黑" w:hAnsi="微软雅黑" w:cs="微软雅黑"/>
                <w:sz w:val="24"/>
                <w:szCs w:val="24"/>
              </w:rPr>
            </w:pPr>
          </w:p>
        </w:tc>
        <w:tc>
          <w:tcPr>
            <w:tcW w:w="1234" w:type="dxa"/>
            <w:noWrap/>
            <w:vAlign w:val="center"/>
          </w:tcPr>
          <w:p>
            <w:pPr>
              <w:snapToGrid w:val="0"/>
              <w:spacing w:before="50" w:afterLines="50"/>
              <w:ind w:firstLine="480"/>
              <w:jc w:val="center"/>
              <w:rPr>
                <w:rFonts w:ascii="微软雅黑" w:hAnsi="微软雅黑" w:cs="微软雅黑"/>
                <w:sz w:val="24"/>
                <w:szCs w:val="24"/>
              </w:rPr>
            </w:pPr>
          </w:p>
        </w:tc>
        <w:tc>
          <w:tcPr>
            <w:tcW w:w="2781" w:type="dxa"/>
            <w:noWrap/>
            <w:vAlign w:val="center"/>
          </w:tcPr>
          <w:p>
            <w:pPr>
              <w:snapToGrid w:val="0"/>
              <w:spacing w:before="50" w:afterLines="50"/>
              <w:ind w:firstLine="480"/>
              <w:jc w:val="center"/>
              <w:rPr>
                <w:rFonts w:ascii="微软雅黑" w:hAnsi="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26" w:type="dxa"/>
            <w:noWrap/>
            <w:vAlign w:val="center"/>
          </w:tcPr>
          <w:p>
            <w:pPr>
              <w:snapToGrid w:val="0"/>
              <w:spacing w:line="360" w:lineRule="exact"/>
              <w:jc w:val="center"/>
              <w:rPr>
                <w:rFonts w:ascii="微软雅黑" w:hAnsi="微软雅黑" w:cs="微软雅黑"/>
                <w:sz w:val="24"/>
                <w:szCs w:val="24"/>
              </w:rPr>
            </w:pPr>
          </w:p>
        </w:tc>
        <w:tc>
          <w:tcPr>
            <w:tcW w:w="4052" w:type="dxa"/>
            <w:noWrap/>
            <w:vAlign w:val="center"/>
          </w:tcPr>
          <w:p>
            <w:pPr>
              <w:snapToGrid w:val="0"/>
              <w:spacing w:before="50" w:afterLines="50"/>
              <w:ind w:firstLine="480"/>
              <w:jc w:val="left"/>
              <w:rPr>
                <w:rFonts w:ascii="微软雅黑" w:hAnsi="微软雅黑" w:cs="微软雅黑"/>
                <w:sz w:val="24"/>
                <w:szCs w:val="24"/>
              </w:rPr>
            </w:pPr>
          </w:p>
        </w:tc>
        <w:tc>
          <w:tcPr>
            <w:tcW w:w="1234" w:type="dxa"/>
            <w:noWrap/>
            <w:vAlign w:val="center"/>
          </w:tcPr>
          <w:p>
            <w:pPr>
              <w:snapToGrid w:val="0"/>
              <w:spacing w:before="50" w:afterLines="50"/>
              <w:ind w:firstLine="480"/>
              <w:jc w:val="center"/>
              <w:rPr>
                <w:rFonts w:ascii="微软雅黑" w:hAnsi="微软雅黑" w:cs="微软雅黑"/>
                <w:sz w:val="24"/>
                <w:szCs w:val="24"/>
              </w:rPr>
            </w:pPr>
          </w:p>
        </w:tc>
        <w:tc>
          <w:tcPr>
            <w:tcW w:w="2781" w:type="dxa"/>
            <w:noWrap/>
            <w:vAlign w:val="center"/>
          </w:tcPr>
          <w:p>
            <w:pPr>
              <w:snapToGrid w:val="0"/>
              <w:spacing w:before="50" w:afterLines="50"/>
              <w:ind w:firstLine="480"/>
              <w:jc w:val="center"/>
              <w:rPr>
                <w:rFonts w:ascii="微软雅黑" w:hAnsi="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26" w:type="dxa"/>
            <w:noWrap/>
            <w:vAlign w:val="center"/>
          </w:tcPr>
          <w:p>
            <w:pPr>
              <w:snapToGrid w:val="0"/>
              <w:spacing w:line="360" w:lineRule="exact"/>
              <w:jc w:val="center"/>
              <w:rPr>
                <w:rFonts w:ascii="微软雅黑" w:hAnsi="微软雅黑" w:cs="微软雅黑"/>
                <w:sz w:val="24"/>
                <w:szCs w:val="24"/>
              </w:rPr>
            </w:pPr>
          </w:p>
        </w:tc>
        <w:tc>
          <w:tcPr>
            <w:tcW w:w="4052" w:type="dxa"/>
            <w:noWrap/>
            <w:vAlign w:val="center"/>
          </w:tcPr>
          <w:p>
            <w:pPr>
              <w:snapToGrid w:val="0"/>
              <w:spacing w:before="50" w:afterLines="50"/>
              <w:ind w:firstLine="480"/>
              <w:jc w:val="center"/>
              <w:rPr>
                <w:rFonts w:ascii="微软雅黑" w:hAnsi="微软雅黑" w:cs="微软雅黑"/>
                <w:sz w:val="24"/>
                <w:szCs w:val="24"/>
              </w:rPr>
            </w:pPr>
          </w:p>
        </w:tc>
        <w:tc>
          <w:tcPr>
            <w:tcW w:w="1234" w:type="dxa"/>
            <w:noWrap/>
            <w:vAlign w:val="center"/>
          </w:tcPr>
          <w:p>
            <w:pPr>
              <w:snapToGrid w:val="0"/>
              <w:spacing w:before="50" w:afterLines="50"/>
              <w:ind w:firstLine="480"/>
              <w:jc w:val="center"/>
              <w:rPr>
                <w:rFonts w:ascii="微软雅黑" w:hAnsi="微软雅黑" w:cs="微软雅黑"/>
                <w:sz w:val="24"/>
                <w:szCs w:val="24"/>
              </w:rPr>
            </w:pPr>
          </w:p>
        </w:tc>
        <w:tc>
          <w:tcPr>
            <w:tcW w:w="2781" w:type="dxa"/>
            <w:noWrap/>
            <w:vAlign w:val="center"/>
          </w:tcPr>
          <w:p>
            <w:pPr>
              <w:snapToGrid w:val="0"/>
              <w:spacing w:before="50" w:afterLines="50"/>
              <w:ind w:firstLine="480"/>
              <w:jc w:val="center"/>
              <w:rPr>
                <w:rFonts w:ascii="微软雅黑" w:hAnsi="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26" w:type="dxa"/>
            <w:noWrap/>
            <w:vAlign w:val="center"/>
          </w:tcPr>
          <w:p>
            <w:pPr>
              <w:snapToGrid w:val="0"/>
              <w:spacing w:beforeLines="50"/>
              <w:jc w:val="center"/>
              <w:rPr>
                <w:rFonts w:ascii="微软雅黑" w:hAnsi="微软雅黑" w:cs="微软雅黑"/>
                <w:sz w:val="24"/>
                <w:szCs w:val="24"/>
              </w:rPr>
            </w:pPr>
          </w:p>
        </w:tc>
        <w:tc>
          <w:tcPr>
            <w:tcW w:w="4052" w:type="dxa"/>
            <w:noWrap/>
            <w:vAlign w:val="center"/>
          </w:tcPr>
          <w:p>
            <w:pPr>
              <w:snapToGrid w:val="0"/>
              <w:spacing w:before="50" w:afterLines="50"/>
              <w:ind w:firstLine="480"/>
              <w:rPr>
                <w:rFonts w:ascii="微软雅黑" w:hAnsi="微软雅黑" w:cs="微软雅黑"/>
                <w:sz w:val="24"/>
                <w:szCs w:val="24"/>
              </w:rPr>
            </w:pPr>
          </w:p>
        </w:tc>
        <w:tc>
          <w:tcPr>
            <w:tcW w:w="1234" w:type="dxa"/>
            <w:noWrap/>
            <w:vAlign w:val="center"/>
          </w:tcPr>
          <w:p>
            <w:pPr>
              <w:snapToGrid w:val="0"/>
              <w:spacing w:before="50" w:afterLines="50"/>
              <w:ind w:firstLine="480"/>
              <w:jc w:val="center"/>
              <w:rPr>
                <w:rFonts w:ascii="微软雅黑" w:hAnsi="微软雅黑" w:cs="微软雅黑"/>
                <w:sz w:val="24"/>
                <w:szCs w:val="24"/>
              </w:rPr>
            </w:pPr>
          </w:p>
        </w:tc>
        <w:tc>
          <w:tcPr>
            <w:tcW w:w="2781" w:type="dxa"/>
            <w:noWrap/>
            <w:vAlign w:val="center"/>
          </w:tcPr>
          <w:p>
            <w:pPr>
              <w:snapToGrid w:val="0"/>
              <w:spacing w:before="50" w:afterLines="50"/>
              <w:ind w:firstLine="480"/>
              <w:jc w:val="center"/>
              <w:rPr>
                <w:rFonts w:ascii="微软雅黑" w:hAnsi="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26" w:type="dxa"/>
            <w:noWrap/>
            <w:vAlign w:val="center"/>
          </w:tcPr>
          <w:p>
            <w:pPr>
              <w:snapToGrid w:val="0"/>
              <w:spacing w:beforeLines="50"/>
              <w:jc w:val="center"/>
              <w:rPr>
                <w:rFonts w:ascii="微软雅黑" w:hAnsi="微软雅黑" w:cs="微软雅黑"/>
                <w:sz w:val="24"/>
                <w:szCs w:val="24"/>
              </w:rPr>
            </w:pPr>
          </w:p>
        </w:tc>
        <w:tc>
          <w:tcPr>
            <w:tcW w:w="4052" w:type="dxa"/>
            <w:noWrap/>
            <w:vAlign w:val="center"/>
          </w:tcPr>
          <w:p>
            <w:pPr>
              <w:snapToGrid w:val="0"/>
              <w:spacing w:before="50" w:afterLines="50"/>
              <w:ind w:firstLine="480"/>
              <w:rPr>
                <w:rFonts w:ascii="微软雅黑" w:hAnsi="微软雅黑" w:cs="微软雅黑"/>
                <w:sz w:val="24"/>
                <w:szCs w:val="24"/>
              </w:rPr>
            </w:pPr>
          </w:p>
        </w:tc>
        <w:tc>
          <w:tcPr>
            <w:tcW w:w="1234" w:type="dxa"/>
            <w:noWrap/>
            <w:vAlign w:val="center"/>
          </w:tcPr>
          <w:p>
            <w:pPr>
              <w:snapToGrid w:val="0"/>
              <w:spacing w:before="50" w:afterLines="50"/>
              <w:ind w:firstLine="480"/>
              <w:jc w:val="center"/>
              <w:rPr>
                <w:rFonts w:ascii="微软雅黑" w:hAnsi="微软雅黑" w:cs="微软雅黑"/>
                <w:sz w:val="24"/>
                <w:szCs w:val="24"/>
              </w:rPr>
            </w:pPr>
          </w:p>
        </w:tc>
        <w:tc>
          <w:tcPr>
            <w:tcW w:w="2781" w:type="dxa"/>
            <w:noWrap/>
            <w:vAlign w:val="center"/>
          </w:tcPr>
          <w:p>
            <w:pPr>
              <w:snapToGrid w:val="0"/>
              <w:spacing w:before="50" w:afterLines="50"/>
              <w:ind w:firstLine="480"/>
              <w:jc w:val="center"/>
              <w:rPr>
                <w:rFonts w:ascii="微软雅黑" w:hAnsi="微软雅黑" w:cs="微软雅黑"/>
                <w:sz w:val="24"/>
                <w:szCs w:val="24"/>
              </w:rPr>
            </w:pPr>
          </w:p>
        </w:tc>
      </w:tr>
    </w:tbl>
    <w:p>
      <w:pPr>
        <w:snapToGrid w:val="0"/>
        <w:spacing w:line="440" w:lineRule="exact"/>
        <w:ind w:firstLine="4320" w:firstLineChars="1800"/>
        <w:rPr>
          <w:rFonts w:ascii="宋体" w:hAnsi="宋体" w:cs="宋体"/>
          <w:sz w:val="24"/>
        </w:rPr>
      </w:pPr>
    </w:p>
    <w:p>
      <w:pPr>
        <w:snapToGrid w:val="0"/>
        <w:spacing w:line="440" w:lineRule="exact"/>
        <w:ind w:firstLine="4320" w:firstLineChars="1800"/>
        <w:rPr>
          <w:rFonts w:ascii="宋体" w:hAnsi="宋体" w:cs="宋体"/>
          <w:sz w:val="24"/>
        </w:rPr>
      </w:pPr>
    </w:p>
    <w:p>
      <w:pPr>
        <w:snapToGrid w:val="0"/>
        <w:spacing w:line="440" w:lineRule="exact"/>
        <w:ind w:firstLine="4320" w:firstLineChars="1800"/>
        <w:rPr>
          <w:rFonts w:ascii="微软雅黑" w:hAnsi="微软雅黑" w:cs="微软雅黑"/>
          <w:sz w:val="24"/>
          <w:szCs w:val="24"/>
          <w:u w:val="single"/>
        </w:rPr>
      </w:pPr>
      <w:r>
        <w:rPr>
          <w:rFonts w:hint="eastAsia" w:ascii="宋体" w:hAnsi="宋体" w:cs="宋体"/>
          <w:sz w:val="24"/>
        </w:rPr>
        <w:t>法定代表人或授权代表</w:t>
      </w:r>
      <w:r>
        <w:rPr>
          <w:rFonts w:hint="eastAsia" w:ascii="微软雅黑" w:hAnsi="微软雅黑" w:cs="微软雅黑"/>
          <w:sz w:val="24"/>
          <w:szCs w:val="24"/>
        </w:rPr>
        <w:t>（签名或盖章）：</w:t>
      </w:r>
    </w:p>
    <w:p>
      <w:pPr>
        <w:spacing w:line="480" w:lineRule="exact"/>
        <w:ind w:left="4200" w:leftChars="2000"/>
        <w:jc w:val="left"/>
        <w:rPr>
          <w:rFonts w:ascii="微软雅黑" w:hAnsi="微软雅黑" w:cs="微软雅黑"/>
          <w:sz w:val="24"/>
          <w:szCs w:val="24"/>
        </w:rPr>
      </w:pPr>
      <w:r>
        <w:rPr>
          <w:rFonts w:hint="eastAsia" w:ascii="微软雅黑" w:hAnsi="微软雅黑" w:cs="微软雅黑"/>
          <w:sz w:val="24"/>
          <w:szCs w:val="24"/>
        </w:rPr>
        <w:t>投标人公章：</w:t>
      </w:r>
    </w:p>
    <w:p>
      <w:pPr>
        <w:ind w:left="4200" w:leftChars="2000"/>
        <w:jc w:val="left"/>
        <w:rPr>
          <w:rFonts w:ascii="微软雅黑" w:hAnsi="微软雅黑" w:cs="微软雅黑"/>
          <w:sz w:val="24"/>
          <w:szCs w:val="24"/>
        </w:rPr>
      </w:pPr>
    </w:p>
    <w:p>
      <w:pPr>
        <w:spacing w:line="480" w:lineRule="exact"/>
        <w:jc w:val="right"/>
        <w:rPr>
          <w:rFonts w:ascii="微软雅黑" w:hAnsi="微软雅黑" w:cs="微软雅黑"/>
          <w:sz w:val="24"/>
          <w:szCs w:val="24"/>
        </w:rPr>
      </w:pPr>
      <w:r>
        <w:rPr>
          <w:rFonts w:hint="eastAsia" w:ascii="微软雅黑" w:hAnsi="微软雅黑" w:cs="微软雅黑"/>
          <w:sz w:val="24"/>
          <w:szCs w:val="24"/>
        </w:rPr>
        <w:t>年     月    日</w:t>
      </w:r>
    </w:p>
    <w:p>
      <w:pPr>
        <w:snapToGrid w:val="0"/>
        <w:spacing w:beforeLines="50" w:after="50"/>
        <w:rPr>
          <w:rFonts w:ascii="微软雅黑" w:hAnsi="微软雅黑" w:cs="微软雅黑"/>
          <w:b/>
          <w:sz w:val="24"/>
          <w:szCs w:val="24"/>
        </w:rPr>
      </w:pPr>
    </w:p>
    <w:p>
      <w:pPr>
        <w:snapToGrid w:val="0"/>
        <w:spacing w:beforeLines="50" w:after="50"/>
        <w:rPr>
          <w:rFonts w:ascii="宋体" w:hAnsi="宋体"/>
          <w:b/>
          <w:sz w:val="24"/>
        </w:rPr>
      </w:pPr>
    </w:p>
    <w:p>
      <w:pPr>
        <w:snapToGrid w:val="0"/>
        <w:spacing w:beforeLines="50" w:after="50"/>
        <w:rPr>
          <w:rFonts w:ascii="宋体" w:hAnsi="宋体"/>
          <w:b/>
          <w:sz w:val="24"/>
        </w:rPr>
      </w:pPr>
    </w:p>
    <w:p>
      <w:pPr>
        <w:spacing w:beforeLines="50" w:afterLines="50"/>
        <w:outlineLvl w:val="0"/>
        <w:rPr>
          <w:rFonts w:ascii="宋体" w:hAnsi="宋体"/>
          <w:b/>
        </w:rPr>
      </w:pPr>
    </w:p>
    <w:p>
      <w:pPr>
        <w:pStyle w:val="2"/>
        <w:rPr>
          <w:rFonts w:ascii="宋体" w:hAnsi="宋体"/>
          <w:b/>
        </w:rPr>
      </w:pPr>
    </w:p>
    <w:p>
      <w:pPr>
        <w:pStyle w:val="2"/>
        <w:rPr>
          <w:rFonts w:ascii="宋体" w:hAnsi="宋体"/>
          <w:b/>
        </w:rPr>
      </w:pPr>
    </w:p>
    <w:p>
      <w:pPr>
        <w:pStyle w:val="2"/>
        <w:rPr>
          <w:rFonts w:ascii="宋体" w:hAnsi="宋体"/>
          <w:b/>
        </w:rPr>
      </w:pPr>
    </w:p>
    <w:p>
      <w:pPr>
        <w:pStyle w:val="2"/>
        <w:rPr>
          <w:rFonts w:ascii="宋体" w:hAnsi="宋体"/>
          <w:b/>
        </w:rPr>
      </w:pPr>
    </w:p>
    <w:p>
      <w:pPr>
        <w:pStyle w:val="2"/>
        <w:rPr>
          <w:rFonts w:ascii="宋体" w:hAnsi="宋体"/>
          <w:b/>
        </w:rPr>
      </w:pPr>
    </w:p>
    <w:p>
      <w:pPr>
        <w:pStyle w:val="2"/>
        <w:rPr>
          <w:rFonts w:ascii="宋体" w:hAnsi="宋体"/>
          <w:b/>
        </w:rPr>
      </w:pPr>
    </w:p>
    <w:p>
      <w:pPr>
        <w:pStyle w:val="2"/>
        <w:rPr>
          <w:rFonts w:ascii="宋体" w:hAnsi="宋体"/>
          <w:b/>
        </w:rPr>
      </w:pPr>
    </w:p>
    <w:p>
      <w:pPr>
        <w:pStyle w:val="2"/>
        <w:rPr>
          <w:rFonts w:ascii="宋体" w:hAnsi="宋体"/>
          <w:b/>
        </w:rPr>
      </w:pPr>
    </w:p>
    <w:p>
      <w:pPr>
        <w:pStyle w:val="2"/>
        <w:rPr>
          <w:rFonts w:ascii="宋体" w:hAnsi="宋体"/>
          <w:b/>
        </w:rPr>
      </w:pPr>
    </w:p>
    <w:p>
      <w:pPr>
        <w:pStyle w:val="2"/>
        <w:rPr>
          <w:rFonts w:ascii="宋体" w:hAnsi="宋体"/>
          <w:b/>
        </w:rPr>
      </w:pPr>
    </w:p>
    <w:p>
      <w:pPr>
        <w:pStyle w:val="2"/>
        <w:rPr>
          <w:rFonts w:ascii="宋体" w:hAnsi="宋体"/>
          <w:b/>
        </w:rPr>
      </w:pPr>
    </w:p>
    <w:p>
      <w:pPr>
        <w:pStyle w:val="2"/>
        <w:rPr>
          <w:rFonts w:ascii="宋体" w:hAnsi="宋体"/>
          <w:b/>
        </w:rPr>
      </w:pPr>
    </w:p>
    <w:p>
      <w:pPr>
        <w:pStyle w:val="2"/>
        <w:rPr>
          <w:rFonts w:ascii="宋体" w:hAnsi="宋体"/>
          <w:b/>
        </w:rPr>
      </w:pPr>
    </w:p>
    <w:p>
      <w:pPr>
        <w:snapToGrid w:val="0"/>
        <w:spacing w:beforeLines="50" w:after="50"/>
        <w:jc w:val="center"/>
        <w:rPr>
          <w:rFonts w:ascii="宋体" w:hAnsi="宋体"/>
          <w:b/>
          <w:sz w:val="24"/>
        </w:rPr>
      </w:pPr>
      <w:r>
        <w:rPr>
          <w:rFonts w:hint="eastAsia" w:ascii="宋体" w:hAnsi="宋体"/>
          <w:b/>
          <w:sz w:val="24"/>
        </w:rPr>
        <w:t>7、投标函</w:t>
      </w:r>
    </w:p>
    <w:p>
      <w:pPr>
        <w:spacing w:line="480" w:lineRule="exact"/>
        <w:rPr>
          <w:rFonts w:ascii="宋体" w:hAnsi="宋体" w:eastAsia="宋体"/>
          <w:sz w:val="24"/>
          <w:u w:val="single"/>
        </w:rPr>
      </w:pPr>
      <w:r>
        <w:rPr>
          <w:rFonts w:hint="eastAsia" w:ascii="宋体" w:hAnsi="宋体"/>
          <w:sz w:val="24"/>
        </w:rPr>
        <w:t>致：</w:t>
      </w:r>
    </w:p>
    <w:p>
      <w:pPr>
        <w:spacing w:line="480" w:lineRule="exact"/>
        <w:ind w:firstLine="480" w:firstLineChars="200"/>
        <w:rPr>
          <w:rFonts w:ascii="宋体" w:hAnsi="宋体"/>
          <w:sz w:val="24"/>
        </w:rPr>
      </w:pPr>
      <w:r>
        <w:rPr>
          <w:rFonts w:hint="eastAsia" w:ascii="宋体" w:hAnsi="宋体"/>
          <w:sz w:val="24"/>
        </w:rPr>
        <w:t xml:space="preserve">根据已收到贵方的————————（招标文件编号：—————）的招标文件，正式授权下述签字人：————————（姓名和职务）为我公司在职职工，代表投标人（即投标单位） ——————————————，按招标文件要求提交投标文件份数。 </w:t>
      </w:r>
    </w:p>
    <w:p>
      <w:pPr>
        <w:spacing w:line="480" w:lineRule="exact"/>
        <w:ind w:firstLine="480" w:firstLineChars="200"/>
        <w:rPr>
          <w:rFonts w:ascii="宋体" w:hAnsi="宋体"/>
          <w:sz w:val="24"/>
        </w:rPr>
      </w:pPr>
      <w:r>
        <w:rPr>
          <w:rFonts w:hint="eastAsia" w:ascii="宋体" w:hAnsi="宋体"/>
          <w:sz w:val="24"/>
        </w:rPr>
        <w:t>据此函，签字人兹宣布同意如下：</w:t>
      </w:r>
    </w:p>
    <w:p>
      <w:pPr>
        <w:spacing w:line="480" w:lineRule="exact"/>
        <w:ind w:firstLine="480" w:firstLineChars="200"/>
        <w:rPr>
          <w:rFonts w:ascii="宋体" w:hAnsi="宋体"/>
          <w:sz w:val="24"/>
        </w:rPr>
      </w:pPr>
      <w:r>
        <w:rPr>
          <w:rFonts w:hint="eastAsia" w:ascii="宋体" w:hAnsi="宋体"/>
          <w:sz w:val="24"/>
        </w:rPr>
        <w:t xml:space="preserve">（1）我单位经研究本项目招标文件、招标文件补充、修改通知、投标答疑纪要等所有内容后，决定参加本项目投标。投标报价以开标一览表为准。  </w:t>
      </w:r>
    </w:p>
    <w:p>
      <w:pPr>
        <w:spacing w:line="480" w:lineRule="exact"/>
        <w:ind w:firstLine="480" w:firstLineChars="200"/>
        <w:rPr>
          <w:rFonts w:ascii="宋体" w:hAnsi="宋体"/>
          <w:sz w:val="24"/>
        </w:rPr>
      </w:pPr>
      <w:r>
        <w:rPr>
          <w:rFonts w:hint="eastAsia" w:ascii="宋体" w:hAnsi="宋体"/>
          <w:sz w:val="24"/>
        </w:rPr>
        <w:t>（2）根据招标文件的规定，我单位承担合同执行的责任和义务；</w:t>
      </w:r>
    </w:p>
    <w:p>
      <w:pPr>
        <w:spacing w:line="480" w:lineRule="exact"/>
        <w:ind w:firstLine="480" w:firstLineChars="200"/>
        <w:rPr>
          <w:rFonts w:ascii="宋体" w:hAnsi="宋体"/>
          <w:sz w:val="24"/>
        </w:rPr>
      </w:pPr>
      <w:r>
        <w:rPr>
          <w:rFonts w:hint="eastAsia" w:ascii="宋体" w:hAnsi="宋体"/>
          <w:sz w:val="24"/>
        </w:rPr>
        <w:t>（3）我单位已详细审核全部招标文件，包括修改文件、参考资料及有关附件，在完全理解和接受的前提下，完全知道必须放弃因含糊不清或误解而对招标文件提出质疑的权利;</w:t>
      </w:r>
    </w:p>
    <w:p>
      <w:pPr>
        <w:spacing w:line="480" w:lineRule="exact"/>
        <w:ind w:firstLine="480" w:firstLineChars="200"/>
        <w:rPr>
          <w:rFonts w:ascii="宋体" w:hAnsi="宋体"/>
          <w:sz w:val="24"/>
        </w:rPr>
      </w:pPr>
      <w:r>
        <w:rPr>
          <w:rFonts w:hint="eastAsia" w:ascii="宋体" w:hAnsi="宋体"/>
          <w:sz w:val="24"/>
        </w:rPr>
        <w:t>（4）同意提供可能另外要求的与投标有关的任何数据或资料；</w:t>
      </w:r>
    </w:p>
    <w:p>
      <w:pPr>
        <w:spacing w:line="480" w:lineRule="exact"/>
        <w:ind w:firstLine="480" w:firstLineChars="200"/>
        <w:rPr>
          <w:rFonts w:ascii="宋体" w:hAnsi="宋体"/>
          <w:sz w:val="24"/>
        </w:rPr>
      </w:pPr>
      <w:r>
        <w:rPr>
          <w:rFonts w:hint="eastAsia" w:ascii="宋体" w:hAnsi="宋体"/>
          <w:sz w:val="24"/>
        </w:rPr>
        <w:t>（5）同意按照投标人须知前附表中规定的服务要求；</w:t>
      </w:r>
    </w:p>
    <w:p>
      <w:pPr>
        <w:spacing w:line="480" w:lineRule="exact"/>
        <w:ind w:firstLine="480" w:firstLineChars="200"/>
        <w:rPr>
          <w:rFonts w:ascii="宋体" w:hAnsi="宋体"/>
          <w:sz w:val="24"/>
        </w:rPr>
      </w:pPr>
      <w:r>
        <w:rPr>
          <w:rFonts w:hint="eastAsia" w:ascii="宋体" w:hAnsi="宋体"/>
          <w:sz w:val="24"/>
        </w:rPr>
        <w:t>（6）我单位保证所供服务质量符合招标文件规定的要求；</w:t>
      </w:r>
    </w:p>
    <w:p>
      <w:pPr>
        <w:spacing w:line="480" w:lineRule="exact"/>
        <w:ind w:firstLine="480" w:firstLineChars="200"/>
        <w:rPr>
          <w:rFonts w:ascii="宋体" w:hAnsi="宋体"/>
          <w:sz w:val="24"/>
        </w:rPr>
      </w:pPr>
      <w:r>
        <w:rPr>
          <w:rFonts w:hint="eastAsia" w:ascii="宋体" w:hAnsi="宋体"/>
          <w:sz w:val="24"/>
        </w:rPr>
        <w:t>（7）我单位同意所提交的投标文件在投标有效期内有效，在此期间我单位的投标有可能中标，我单位将受此约束；</w:t>
      </w:r>
    </w:p>
    <w:p>
      <w:pPr>
        <w:spacing w:line="480" w:lineRule="exact"/>
        <w:ind w:firstLine="480" w:firstLineChars="200"/>
        <w:rPr>
          <w:rFonts w:ascii="宋体" w:hAnsi="宋体"/>
          <w:sz w:val="24"/>
        </w:rPr>
      </w:pPr>
      <w:r>
        <w:rPr>
          <w:rFonts w:hint="eastAsia" w:ascii="宋体" w:hAnsi="宋体"/>
          <w:sz w:val="24"/>
        </w:rPr>
        <w:t>（8）除非另外达成协议并生效，招标文件、招标文件补充、修改通知、技术规范、中标通知书和本投标文件将构成约束我们双方的合同。</w:t>
      </w:r>
    </w:p>
    <w:p>
      <w:pPr>
        <w:spacing w:line="480" w:lineRule="exact"/>
        <w:ind w:firstLine="720" w:firstLineChars="300"/>
        <w:rPr>
          <w:rFonts w:ascii="宋体" w:hAnsi="宋体"/>
          <w:sz w:val="24"/>
        </w:rPr>
      </w:pPr>
    </w:p>
    <w:p>
      <w:pPr>
        <w:spacing w:line="480" w:lineRule="exact"/>
        <w:ind w:firstLine="480" w:firstLineChars="200"/>
        <w:rPr>
          <w:rFonts w:ascii="宋体" w:hAnsi="宋体"/>
          <w:sz w:val="24"/>
        </w:rPr>
      </w:pPr>
      <w:r>
        <w:rPr>
          <w:rFonts w:hint="eastAsia" w:ascii="宋体" w:hAnsi="宋体"/>
          <w:sz w:val="24"/>
        </w:rPr>
        <w:t xml:space="preserve">投标单位（盖章）：  </w:t>
      </w:r>
    </w:p>
    <w:p>
      <w:pPr>
        <w:spacing w:line="480" w:lineRule="exact"/>
        <w:ind w:firstLine="480" w:firstLineChars="200"/>
        <w:rPr>
          <w:rFonts w:ascii="宋体" w:hAnsi="宋体"/>
          <w:sz w:val="24"/>
        </w:rPr>
      </w:pPr>
      <w:r>
        <w:rPr>
          <w:rFonts w:hint="eastAsia" w:ascii="宋体" w:hAnsi="宋体"/>
          <w:sz w:val="24"/>
        </w:rPr>
        <w:t xml:space="preserve">法定代表人或其授权代理人（签名或盖章）：  </w:t>
      </w:r>
    </w:p>
    <w:p>
      <w:pPr>
        <w:spacing w:line="480" w:lineRule="exact"/>
        <w:ind w:firstLine="480" w:firstLineChars="200"/>
        <w:rPr>
          <w:rFonts w:ascii="宋体" w:hAnsi="宋体"/>
          <w:sz w:val="24"/>
        </w:rPr>
      </w:pPr>
      <w:r>
        <w:rPr>
          <w:rFonts w:hint="eastAsia" w:ascii="宋体" w:hAnsi="宋体"/>
          <w:sz w:val="24"/>
        </w:rPr>
        <w:t xml:space="preserve">  年   月  日</w:t>
      </w:r>
    </w:p>
    <w:p>
      <w:pPr>
        <w:pStyle w:val="27"/>
        <w:snapToGrid w:val="0"/>
        <w:spacing w:beforeLines="0" w:afterLines="0" w:line="240" w:lineRule="auto"/>
        <w:rPr>
          <w:rFonts w:hAnsi="宋体"/>
        </w:rPr>
      </w:pPr>
    </w:p>
    <w:p>
      <w:pPr>
        <w:spacing w:line="480" w:lineRule="auto"/>
        <w:jc w:val="center"/>
        <w:rPr>
          <w:rFonts w:ascii="微软雅黑" w:hAnsi="微软雅黑" w:cs="微软雅黑"/>
          <w:b/>
          <w:sz w:val="24"/>
        </w:rPr>
      </w:pPr>
      <w:r>
        <w:rPr>
          <w:rFonts w:ascii="宋体" w:hAnsi="宋体"/>
          <w:sz w:val="24"/>
        </w:rPr>
        <w:br w:type="page"/>
      </w:r>
      <w:r>
        <w:rPr>
          <w:rFonts w:hint="eastAsia" w:ascii="微软雅黑" w:hAnsi="微软雅黑" w:cs="微软雅黑"/>
          <w:sz w:val="24"/>
        </w:rPr>
        <w:t>8、</w:t>
      </w:r>
      <w:r>
        <w:rPr>
          <w:rFonts w:hint="eastAsia" w:ascii="微软雅黑" w:hAnsi="微软雅黑" w:cs="微软雅黑"/>
          <w:b/>
          <w:sz w:val="24"/>
        </w:rPr>
        <w:t>开标一览表</w:t>
      </w:r>
    </w:p>
    <w:p>
      <w:pPr>
        <w:snapToGrid w:val="0"/>
        <w:spacing w:before="50" w:after="50"/>
        <w:jc w:val="center"/>
        <w:rPr>
          <w:rFonts w:ascii="微软雅黑" w:hAnsi="微软雅黑" w:cs="微软雅黑"/>
          <w:b/>
          <w:sz w:val="24"/>
        </w:rPr>
      </w:pPr>
    </w:p>
    <w:p>
      <w:pPr>
        <w:snapToGrid w:val="0"/>
        <w:spacing w:before="50" w:after="50"/>
        <w:rPr>
          <w:rFonts w:ascii="微软雅黑" w:hAnsi="微软雅黑" w:cs="微软雅黑"/>
          <w:sz w:val="24"/>
          <w:u w:val="single"/>
        </w:rPr>
      </w:pPr>
      <w:r>
        <w:rPr>
          <w:rFonts w:hint="eastAsia" w:ascii="微软雅黑" w:hAnsi="微软雅黑" w:cs="微软雅黑"/>
          <w:sz w:val="24"/>
        </w:rPr>
        <w:t>招标编号：                         项目名称：</w:t>
      </w:r>
    </w:p>
    <w:p>
      <w:pPr>
        <w:snapToGrid w:val="0"/>
        <w:spacing w:before="50" w:after="50"/>
        <w:rPr>
          <w:rFonts w:ascii="微软雅黑" w:hAnsi="微软雅黑" w:cs="微软雅黑"/>
          <w:sz w:val="24"/>
        </w:rPr>
      </w:pPr>
      <w:r>
        <w:rPr>
          <w:rFonts w:hint="eastAsia" w:ascii="微软雅黑" w:hAnsi="微软雅黑" w:cs="微软雅黑"/>
          <w:sz w:val="24"/>
        </w:rPr>
        <w:t>投标人名称：</w:t>
      </w:r>
    </w:p>
    <w:tbl>
      <w:tblPr>
        <w:tblStyle w:val="60"/>
        <w:tblW w:w="103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
        <w:gridCol w:w="2892"/>
        <w:gridCol w:w="2200"/>
        <w:gridCol w:w="2562"/>
        <w:gridCol w:w="1138"/>
        <w:gridCol w:w="6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91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微软雅黑" w:hAnsi="微软雅黑" w:cs="微软雅黑"/>
                <w:b/>
                <w:sz w:val="24"/>
              </w:rPr>
            </w:pPr>
            <w:r>
              <w:rPr>
                <w:rFonts w:hint="eastAsia" w:ascii="微软雅黑" w:hAnsi="微软雅黑" w:cs="微软雅黑"/>
                <w:b/>
                <w:sz w:val="24"/>
              </w:rPr>
              <w:t>序号</w:t>
            </w:r>
          </w:p>
        </w:tc>
        <w:tc>
          <w:tcPr>
            <w:tcW w:w="289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微软雅黑" w:hAnsi="微软雅黑" w:cs="微软雅黑"/>
                <w:b/>
                <w:sz w:val="24"/>
              </w:rPr>
            </w:pPr>
            <w:r>
              <w:rPr>
                <w:rFonts w:hint="eastAsia" w:ascii="微软雅黑" w:hAnsi="微软雅黑" w:cs="微软雅黑"/>
                <w:b/>
                <w:sz w:val="24"/>
              </w:rPr>
              <w:t>项目名称</w:t>
            </w:r>
          </w:p>
        </w:tc>
        <w:tc>
          <w:tcPr>
            <w:tcW w:w="22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微软雅黑" w:hAnsi="微软雅黑" w:cs="微软雅黑"/>
                <w:b/>
                <w:sz w:val="24"/>
              </w:rPr>
            </w:pPr>
            <w:r>
              <w:rPr>
                <w:rFonts w:hint="eastAsia" w:ascii="微软雅黑" w:hAnsi="微软雅黑" w:cs="微软雅黑"/>
                <w:b/>
                <w:sz w:val="24"/>
              </w:rPr>
              <w:t>单价</w:t>
            </w:r>
          </w:p>
        </w:tc>
        <w:tc>
          <w:tcPr>
            <w:tcW w:w="256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微软雅黑" w:hAnsi="微软雅黑" w:cs="微软雅黑"/>
                <w:b/>
                <w:sz w:val="24"/>
              </w:rPr>
            </w:pPr>
            <w:r>
              <w:rPr>
                <w:rFonts w:hint="eastAsia" w:ascii="微软雅黑" w:hAnsi="微软雅黑" w:cs="微软雅黑"/>
                <w:b/>
                <w:sz w:val="24"/>
              </w:rPr>
              <w:t>单区块合计</w:t>
            </w:r>
          </w:p>
        </w:tc>
        <w:tc>
          <w:tcPr>
            <w:tcW w:w="113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微软雅黑" w:hAnsi="微软雅黑" w:cs="微软雅黑"/>
                <w:b/>
                <w:sz w:val="24"/>
              </w:rPr>
            </w:pPr>
            <w:r>
              <w:rPr>
                <w:rFonts w:hint="eastAsia" w:ascii="微软雅黑" w:hAnsi="微软雅黑" w:cs="微软雅黑"/>
                <w:b/>
                <w:sz w:val="24"/>
              </w:rPr>
              <w:t>交货期</w:t>
            </w:r>
          </w:p>
        </w:tc>
        <w:tc>
          <w:tcPr>
            <w:tcW w:w="61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微软雅黑" w:hAnsi="微软雅黑" w:cs="微软雅黑"/>
                <w:b/>
                <w:sz w:val="24"/>
              </w:rPr>
            </w:pPr>
            <w:r>
              <w:rPr>
                <w:rFonts w:hint="eastAsia" w:ascii="微软雅黑" w:hAnsi="微软雅黑" w:cs="微软雅黑"/>
                <w:b/>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5" w:hRule="atLeast"/>
          <w:jc w:val="center"/>
        </w:trPr>
        <w:tc>
          <w:tcPr>
            <w:tcW w:w="914" w:type="dxa"/>
            <w:vMerge w:val="restart"/>
            <w:tcBorders>
              <w:top w:val="single" w:color="auto" w:sz="4" w:space="0"/>
              <w:left w:val="single" w:color="auto" w:sz="4" w:space="0"/>
              <w:right w:val="single" w:color="auto" w:sz="4" w:space="0"/>
            </w:tcBorders>
            <w:noWrap/>
            <w:vAlign w:val="center"/>
          </w:tcPr>
          <w:p>
            <w:pPr>
              <w:snapToGrid w:val="0"/>
              <w:spacing w:before="50" w:after="50"/>
              <w:jc w:val="center"/>
              <w:rPr>
                <w:rFonts w:ascii="微软雅黑" w:hAnsi="微软雅黑" w:cs="微软雅黑"/>
                <w:sz w:val="24"/>
              </w:rPr>
            </w:pPr>
            <w:r>
              <w:rPr>
                <w:rFonts w:hint="eastAsia" w:ascii="微软雅黑" w:hAnsi="微软雅黑" w:cs="微软雅黑"/>
                <w:sz w:val="24"/>
              </w:rPr>
              <w:t>1</w:t>
            </w:r>
          </w:p>
          <w:p>
            <w:pPr>
              <w:snapToGrid w:val="0"/>
              <w:spacing w:before="50" w:after="50"/>
              <w:jc w:val="center"/>
              <w:rPr>
                <w:rFonts w:ascii="微软雅黑" w:hAnsi="微软雅黑" w:cs="微软雅黑"/>
                <w:sz w:val="24"/>
              </w:rPr>
            </w:pPr>
          </w:p>
        </w:tc>
        <w:tc>
          <w:tcPr>
            <w:tcW w:w="2892" w:type="dxa"/>
            <w:vMerge w:val="restart"/>
            <w:tcBorders>
              <w:top w:val="single" w:color="auto" w:sz="4" w:space="0"/>
              <w:left w:val="single" w:color="auto" w:sz="4" w:space="0"/>
              <w:right w:val="single" w:color="auto" w:sz="4" w:space="0"/>
            </w:tcBorders>
            <w:noWrap/>
            <w:vAlign w:val="center"/>
          </w:tcPr>
          <w:p>
            <w:pPr>
              <w:snapToGrid w:val="0"/>
              <w:spacing w:before="50" w:after="50"/>
              <w:jc w:val="center"/>
              <w:rPr>
                <w:rFonts w:ascii="微软雅黑" w:hAnsi="微软雅黑" w:cs="微软雅黑"/>
                <w:b/>
              </w:rPr>
            </w:pPr>
            <w:r>
              <w:rPr>
                <w:rFonts w:hint="eastAsia" w:ascii="微软雅黑" w:hAnsi="微软雅黑" w:cs="微软雅黑"/>
                <w:b/>
              </w:rPr>
              <w:t>湖州市吴兴区（含南太湖新区）门牌数据信息采集项目</w:t>
            </w:r>
          </w:p>
        </w:tc>
        <w:tc>
          <w:tcPr>
            <w:tcW w:w="2200" w:type="dxa"/>
            <w:vMerge w:val="restart"/>
            <w:tcBorders>
              <w:top w:val="single" w:color="auto" w:sz="4" w:space="0"/>
              <w:left w:val="single" w:color="auto" w:sz="4" w:space="0"/>
              <w:right w:val="single" w:color="auto" w:sz="4" w:space="0"/>
            </w:tcBorders>
            <w:noWrap/>
            <w:vAlign w:val="center"/>
          </w:tcPr>
          <w:p>
            <w:pPr>
              <w:snapToGrid w:val="0"/>
              <w:spacing w:before="50" w:after="50"/>
              <w:rPr>
                <w:rFonts w:ascii="微软雅黑" w:hAnsi="微软雅黑" w:cs="微软雅黑"/>
                <w:sz w:val="24"/>
              </w:rPr>
            </w:pPr>
            <w:r>
              <w:rPr>
                <w:rFonts w:hint="eastAsia" w:ascii="微软雅黑" w:hAnsi="微软雅黑" w:cs="微软雅黑"/>
                <w:sz w:val="24"/>
              </w:rPr>
              <w:t>元/平方公里</w:t>
            </w:r>
          </w:p>
        </w:tc>
        <w:tc>
          <w:tcPr>
            <w:tcW w:w="256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微软雅黑" w:hAnsi="微软雅黑" w:cs="微软雅黑"/>
                <w:sz w:val="24"/>
              </w:rPr>
            </w:pPr>
            <w:r>
              <w:rPr>
                <w:rFonts w:hint="eastAsia" w:ascii="微软雅黑" w:hAnsi="微软雅黑" w:cs="微软雅黑"/>
                <w:sz w:val="24"/>
                <w:u w:val="single"/>
              </w:rPr>
              <w:t xml:space="preserve">吴兴区：         </w:t>
            </w:r>
            <w:r>
              <w:rPr>
                <w:rFonts w:hint="eastAsia" w:ascii="微软雅黑" w:hAnsi="微软雅黑" w:cs="微软雅黑"/>
                <w:sz w:val="24"/>
              </w:rPr>
              <w:t>元</w:t>
            </w:r>
          </w:p>
        </w:tc>
        <w:tc>
          <w:tcPr>
            <w:tcW w:w="113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微软雅黑" w:hAnsi="微软雅黑" w:cs="微软雅黑"/>
                <w:sz w:val="24"/>
              </w:rPr>
            </w:pPr>
          </w:p>
        </w:tc>
        <w:tc>
          <w:tcPr>
            <w:tcW w:w="61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微软雅黑" w:hAnsi="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5" w:hRule="atLeast"/>
          <w:jc w:val="center"/>
        </w:trPr>
        <w:tc>
          <w:tcPr>
            <w:tcW w:w="914" w:type="dxa"/>
            <w:vMerge w:val="continue"/>
            <w:tcBorders>
              <w:left w:val="single" w:color="auto" w:sz="4" w:space="0"/>
              <w:bottom w:val="single" w:color="auto" w:sz="4" w:space="0"/>
              <w:right w:val="single" w:color="auto" w:sz="4" w:space="0"/>
            </w:tcBorders>
            <w:noWrap/>
            <w:vAlign w:val="center"/>
          </w:tcPr>
          <w:p>
            <w:pPr>
              <w:snapToGrid w:val="0"/>
              <w:spacing w:before="50" w:after="50"/>
              <w:jc w:val="center"/>
              <w:rPr>
                <w:rFonts w:ascii="微软雅黑" w:hAnsi="微软雅黑" w:cs="微软雅黑"/>
                <w:sz w:val="24"/>
              </w:rPr>
            </w:pPr>
          </w:p>
        </w:tc>
        <w:tc>
          <w:tcPr>
            <w:tcW w:w="2892" w:type="dxa"/>
            <w:vMerge w:val="continue"/>
            <w:tcBorders>
              <w:left w:val="single" w:color="auto" w:sz="4" w:space="0"/>
              <w:bottom w:val="single" w:color="auto" w:sz="4" w:space="0"/>
              <w:right w:val="single" w:color="auto" w:sz="4" w:space="0"/>
            </w:tcBorders>
            <w:noWrap/>
            <w:vAlign w:val="center"/>
          </w:tcPr>
          <w:p>
            <w:pPr>
              <w:snapToGrid w:val="0"/>
              <w:spacing w:before="50" w:after="50"/>
              <w:jc w:val="center"/>
              <w:rPr>
                <w:rFonts w:ascii="微软雅黑" w:hAnsi="微软雅黑" w:cs="微软雅黑"/>
                <w:b/>
              </w:rPr>
            </w:pPr>
          </w:p>
        </w:tc>
        <w:tc>
          <w:tcPr>
            <w:tcW w:w="2200" w:type="dxa"/>
            <w:vMerge w:val="continue"/>
            <w:tcBorders>
              <w:left w:val="single" w:color="auto" w:sz="4" w:space="0"/>
              <w:bottom w:val="single" w:color="auto" w:sz="4" w:space="0"/>
              <w:right w:val="single" w:color="auto" w:sz="4" w:space="0"/>
            </w:tcBorders>
            <w:noWrap/>
            <w:vAlign w:val="center"/>
          </w:tcPr>
          <w:p>
            <w:pPr>
              <w:snapToGrid w:val="0"/>
              <w:spacing w:before="50" w:after="50"/>
              <w:jc w:val="center"/>
              <w:rPr>
                <w:rFonts w:ascii="微软雅黑" w:hAnsi="微软雅黑" w:cs="微软雅黑"/>
                <w:sz w:val="24"/>
              </w:rPr>
            </w:pPr>
          </w:p>
        </w:tc>
        <w:tc>
          <w:tcPr>
            <w:tcW w:w="256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微软雅黑" w:hAnsi="微软雅黑" w:cs="微软雅黑"/>
                <w:sz w:val="24"/>
                <w:u w:val="single"/>
              </w:rPr>
            </w:pPr>
            <w:r>
              <w:rPr>
                <w:rFonts w:hint="eastAsia" w:ascii="微软雅黑" w:hAnsi="微软雅黑" w:cs="微软雅黑"/>
                <w:sz w:val="24"/>
                <w:u w:val="single"/>
              </w:rPr>
              <w:t>南太湖新区：      元</w:t>
            </w:r>
          </w:p>
        </w:tc>
        <w:tc>
          <w:tcPr>
            <w:tcW w:w="113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微软雅黑" w:hAnsi="微软雅黑" w:cs="微软雅黑"/>
                <w:sz w:val="24"/>
              </w:rPr>
            </w:pPr>
          </w:p>
        </w:tc>
        <w:tc>
          <w:tcPr>
            <w:tcW w:w="61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微软雅黑" w:hAnsi="微软雅黑" w:cs="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0" w:hRule="atLeast"/>
          <w:jc w:val="center"/>
        </w:trPr>
        <w:tc>
          <w:tcPr>
            <w:tcW w:w="91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微软雅黑" w:hAnsi="微软雅黑" w:cs="微软雅黑"/>
                <w:sz w:val="24"/>
              </w:rPr>
            </w:pPr>
            <w:r>
              <w:rPr>
                <w:rFonts w:hint="eastAsia" w:ascii="微软雅黑" w:hAnsi="微软雅黑" w:cs="微软雅黑"/>
                <w:sz w:val="24"/>
              </w:rPr>
              <w:t>2</w:t>
            </w:r>
          </w:p>
        </w:tc>
        <w:tc>
          <w:tcPr>
            <w:tcW w:w="9410"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微软雅黑" w:hAnsi="微软雅黑" w:cs="微软雅黑"/>
                <w:sz w:val="24"/>
              </w:rPr>
            </w:pPr>
            <w:r>
              <w:rPr>
                <w:rFonts w:hint="eastAsia" w:ascii="微软雅黑" w:hAnsi="微软雅黑" w:cs="微软雅黑"/>
                <w:sz w:val="24"/>
              </w:rPr>
              <w:t>总计金额小写：</w:t>
            </w:r>
          </w:p>
          <w:p>
            <w:pPr>
              <w:snapToGrid w:val="0"/>
              <w:spacing w:before="50" w:after="50"/>
              <w:rPr>
                <w:rFonts w:ascii="微软雅黑" w:hAnsi="微软雅黑" w:cs="微软雅黑"/>
                <w:sz w:val="24"/>
              </w:rPr>
            </w:pPr>
            <w:r>
              <w:rPr>
                <w:rFonts w:hint="eastAsia" w:ascii="微软雅黑" w:hAnsi="微软雅黑" w:cs="微软雅黑"/>
                <w:sz w:val="24"/>
              </w:rPr>
              <w:t>总计金额大写：</w:t>
            </w:r>
          </w:p>
        </w:tc>
      </w:tr>
    </w:tbl>
    <w:p>
      <w:pPr>
        <w:snapToGrid w:val="0"/>
        <w:spacing w:before="50" w:after="50"/>
        <w:ind w:firstLine="480" w:firstLineChars="200"/>
        <w:jc w:val="left"/>
        <w:rPr>
          <w:rFonts w:ascii="微软雅黑" w:hAnsi="微软雅黑" w:cs="微软雅黑"/>
          <w:sz w:val="24"/>
        </w:rPr>
      </w:pPr>
      <w:r>
        <w:rPr>
          <w:rFonts w:hint="eastAsia" w:ascii="微软雅黑" w:hAnsi="微软雅黑" w:cs="微软雅黑"/>
          <w:sz w:val="24"/>
        </w:rPr>
        <w:t>注: 1、报价一经涂改，应在涂改处加盖单位公章或者由法定代表人或授权委托人签名或盖章，否则其投标作无效标处理。</w:t>
      </w:r>
    </w:p>
    <w:p>
      <w:pPr>
        <w:snapToGrid w:val="0"/>
        <w:spacing w:before="50" w:after="50"/>
        <w:ind w:firstLine="480" w:firstLineChars="200"/>
        <w:jc w:val="left"/>
        <w:rPr>
          <w:rFonts w:ascii="微软雅黑" w:hAnsi="微软雅黑" w:cs="微软雅黑"/>
          <w:sz w:val="24"/>
        </w:rPr>
      </w:pPr>
      <w:r>
        <w:rPr>
          <w:rFonts w:hint="eastAsia" w:ascii="微软雅黑" w:hAnsi="微软雅黑" w:cs="微软雅黑"/>
          <w:sz w:val="24"/>
        </w:rPr>
        <w:t>2、投标费用包括项目实施所需的一切可能发生的费用。</w:t>
      </w:r>
    </w:p>
    <w:p>
      <w:pPr>
        <w:snapToGrid w:val="0"/>
        <w:spacing w:before="50" w:after="50"/>
        <w:ind w:firstLine="480" w:firstLineChars="200"/>
        <w:rPr>
          <w:rFonts w:ascii="微软雅黑" w:hAnsi="微软雅黑" w:cs="微软雅黑"/>
          <w:sz w:val="24"/>
        </w:rPr>
      </w:pPr>
    </w:p>
    <w:p>
      <w:pPr>
        <w:pStyle w:val="2"/>
      </w:pPr>
    </w:p>
    <w:p>
      <w:pPr>
        <w:snapToGrid w:val="0"/>
        <w:spacing w:before="50" w:after="50"/>
        <w:ind w:firstLine="480" w:firstLineChars="200"/>
        <w:rPr>
          <w:rFonts w:ascii="微软雅黑" w:hAnsi="微软雅黑" w:cs="微软雅黑"/>
          <w:sz w:val="24"/>
        </w:rPr>
      </w:pPr>
    </w:p>
    <w:p>
      <w:pPr>
        <w:snapToGrid w:val="0"/>
        <w:spacing w:before="50" w:after="50"/>
        <w:ind w:firstLine="480" w:firstLineChars="200"/>
        <w:rPr>
          <w:rFonts w:ascii="微软雅黑" w:hAnsi="微软雅黑" w:cs="微软雅黑"/>
          <w:sz w:val="24"/>
        </w:rPr>
      </w:pPr>
    </w:p>
    <w:p>
      <w:pPr>
        <w:snapToGrid w:val="0"/>
        <w:spacing w:before="50" w:after="50"/>
        <w:ind w:firstLine="480" w:firstLineChars="200"/>
        <w:rPr>
          <w:rFonts w:ascii="微软雅黑" w:hAnsi="微软雅黑" w:cs="微软雅黑"/>
          <w:sz w:val="24"/>
        </w:rPr>
      </w:pPr>
    </w:p>
    <w:p>
      <w:pPr>
        <w:snapToGrid w:val="0"/>
        <w:spacing w:before="50" w:after="50"/>
        <w:ind w:firstLine="480" w:firstLineChars="200"/>
        <w:rPr>
          <w:rFonts w:ascii="微软雅黑" w:hAnsi="微软雅黑" w:cs="微软雅黑"/>
          <w:sz w:val="24"/>
        </w:rPr>
      </w:pPr>
    </w:p>
    <w:p>
      <w:pPr>
        <w:snapToGrid w:val="0"/>
        <w:spacing w:before="50" w:after="50"/>
        <w:ind w:firstLine="480" w:firstLineChars="200"/>
        <w:rPr>
          <w:rFonts w:ascii="微软雅黑" w:hAnsi="微软雅黑" w:cs="微软雅黑"/>
          <w:sz w:val="24"/>
        </w:rPr>
      </w:pPr>
    </w:p>
    <w:p>
      <w:pPr>
        <w:snapToGrid w:val="0"/>
        <w:spacing w:before="50" w:after="50"/>
        <w:ind w:left="-2" w:leftChars="-1" w:right="-817" w:rightChars="-389"/>
        <w:rPr>
          <w:rFonts w:ascii="微软雅黑" w:hAnsi="微软雅黑" w:cs="微软雅黑"/>
          <w:sz w:val="24"/>
        </w:rPr>
      </w:pPr>
      <w:r>
        <w:rPr>
          <w:rFonts w:hint="eastAsia" w:ascii="宋体" w:hAnsi="宋体"/>
          <w:sz w:val="24"/>
        </w:rPr>
        <w:t xml:space="preserve">法定代表人（签名或盖章） </w:t>
      </w:r>
      <w:r>
        <w:rPr>
          <w:rFonts w:hint="eastAsia" w:ascii="微软雅黑" w:hAnsi="微软雅黑" w:cs="微软雅黑"/>
          <w:sz w:val="24"/>
        </w:rPr>
        <w:t xml:space="preserve">：                    </w:t>
      </w:r>
    </w:p>
    <w:p>
      <w:pPr>
        <w:snapToGrid w:val="0"/>
        <w:spacing w:before="50" w:after="50"/>
        <w:ind w:right="-817" w:rightChars="-389"/>
        <w:rPr>
          <w:rFonts w:ascii="微软雅黑" w:hAnsi="微软雅黑" w:cs="微软雅黑"/>
          <w:sz w:val="24"/>
        </w:rPr>
      </w:pPr>
      <w:r>
        <w:rPr>
          <w:rFonts w:hint="eastAsia" w:ascii="微软雅黑" w:hAnsi="微软雅黑" w:cs="微软雅黑"/>
          <w:sz w:val="24"/>
        </w:rPr>
        <w:t xml:space="preserve">投标人名称（盖章）：                               </w:t>
      </w:r>
    </w:p>
    <w:p>
      <w:pPr>
        <w:snapToGrid w:val="0"/>
        <w:spacing w:before="50" w:after="50"/>
        <w:ind w:right="-817" w:rightChars="-389"/>
        <w:rPr>
          <w:rFonts w:ascii="微软雅黑" w:hAnsi="微软雅黑" w:cs="微软雅黑"/>
          <w:sz w:val="24"/>
        </w:rPr>
      </w:pPr>
      <w:r>
        <w:rPr>
          <w:rFonts w:hint="eastAsia" w:ascii="微软雅黑" w:hAnsi="微软雅黑" w:cs="微软雅黑"/>
          <w:sz w:val="24"/>
        </w:rPr>
        <w:t xml:space="preserve">  年   月   日</w:t>
      </w:r>
    </w:p>
    <w:p>
      <w:pPr>
        <w:snapToGrid w:val="0"/>
        <w:spacing w:before="50" w:after="50"/>
        <w:ind w:right="-817" w:rightChars="-389"/>
        <w:rPr>
          <w:rFonts w:ascii="微软雅黑" w:hAnsi="微软雅黑" w:cs="微软雅黑"/>
          <w:sz w:val="24"/>
        </w:rPr>
      </w:pPr>
    </w:p>
    <w:p>
      <w:pPr>
        <w:snapToGrid w:val="0"/>
        <w:spacing w:before="50" w:after="50"/>
        <w:ind w:right="-817" w:rightChars="-389"/>
        <w:rPr>
          <w:rFonts w:ascii="宋体" w:hAnsi="宋体"/>
          <w:sz w:val="24"/>
        </w:rPr>
      </w:pPr>
    </w:p>
    <w:p>
      <w:pPr>
        <w:snapToGrid w:val="0"/>
        <w:spacing w:before="50" w:after="50"/>
        <w:jc w:val="center"/>
        <w:rPr>
          <w:rFonts w:ascii="宋体" w:hAnsi="宋体"/>
          <w:b/>
          <w:sz w:val="24"/>
        </w:rPr>
      </w:pPr>
    </w:p>
    <w:p>
      <w:pPr>
        <w:pStyle w:val="2"/>
      </w:pPr>
    </w:p>
    <w:p>
      <w:pPr>
        <w:pStyle w:val="2"/>
        <w:rPr>
          <w:rFonts w:ascii="宋体" w:hAnsi="宋体"/>
          <w:b/>
        </w:rPr>
      </w:pPr>
    </w:p>
    <w:p>
      <w:pPr>
        <w:pStyle w:val="2"/>
        <w:rPr>
          <w:rFonts w:ascii="宋体" w:hAnsi="宋体"/>
          <w:b/>
        </w:rPr>
      </w:pPr>
    </w:p>
    <w:p>
      <w:pPr>
        <w:pStyle w:val="2"/>
        <w:rPr>
          <w:rFonts w:ascii="宋体" w:hAnsi="宋体"/>
          <w:b/>
        </w:rPr>
      </w:pPr>
    </w:p>
    <w:p>
      <w:pPr>
        <w:pStyle w:val="2"/>
        <w:rPr>
          <w:rFonts w:ascii="宋体" w:hAnsi="宋体"/>
          <w:b/>
        </w:rPr>
      </w:pPr>
    </w:p>
    <w:p>
      <w:pPr>
        <w:spacing w:line="480" w:lineRule="auto"/>
        <w:jc w:val="center"/>
        <w:rPr>
          <w:rFonts w:ascii="微软雅黑" w:hAnsi="微软雅黑" w:cs="微软雅黑"/>
          <w:b/>
          <w:sz w:val="24"/>
        </w:rPr>
      </w:pPr>
      <w:r>
        <w:rPr>
          <w:rFonts w:hint="eastAsia" w:ascii="微软雅黑" w:hAnsi="微软雅黑" w:cs="微软雅黑"/>
          <w:b/>
          <w:sz w:val="24"/>
        </w:rPr>
        <w:t>9、招标代理服务费承诺函</w:t>
      </w:r>
    </w:p>
    <w:p>
      <w:pPr>
        <w:tabs>
          <w:tab w:val="left" w:pos="2996"/>
        </w:tabs>
        <w:spacing w:line="480" w:lineRule="auto"/>
        <w:ind w:firstLine="720" w:firstLineChars="300"/>
        <w:rPr>
          <w:sz w:val="24"/>
        </w:rPr>
      </w:pPr>
      <w:r>
        <w:rPr>
          <w:rFonts w:hint="eastAsia"/>
          <w:sz w:val="24"/>
        </w:rPr>
        <w:t>根据国家计委、物价局文件和磋商文件的规定，一旦我公司成交，我公司同意按本招标文件规定向招标代理机构交纳招标代理服务费，费用在收到成交通知书的当日一次性向招标代理机构缴清招标代理服务费。本承诺函自投标之日起至本次采购期满有效。</w:t>
      </w:r>
    </w:p>
    <w:p>
      <w:pPr>
        <w:spacing w:line="480" w:lineRule="auto"/>
        <w:rPr>
          <w:sz w:val="24"/>
        </w:rPr>
      </w:pPr>
    </w:p>
    <w:p>
      <w:pPr>
        <w:spacing w:line="360" w:lineRule="auto"/>
        <w:rPr>
          <w:sz w:val="24"/>
        </w:rPr>
      </w:pPr>
    </w:p>
    <w:p>
      <w:pPr>
        <w:spacing w:line="360" w:lineRule="auto"/>
        <w:rPr>
          <w:sz w:val="24"/>
        </w:rPr>
      </w:pPr>
    </w:p>
    <w:p>
      <w:pPr>
        <w:spacing w:line="360" w:lineRule="auto"/>
        <w:rPr>
          <w:sz w:val="24"/>
        </w:rPr>
      </w:pPr>
    </w:p>
    <w:p>
      <w:pPr>
        <w:spacing w:line="480" w:lineRule="auto"/>
        <w:ind w:firstLine="3840" w:firstLineChars="1600"/>
        <w:rPr>
          <w:rFonts w:ascii="宋体" w:hAnsi="宋体"/>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snapToGrid w:val="0"/>
        <w:spacing w:before="50" w:after="50"/>
        <w:ind w:firstLine="1680" w:firstLineChars="600"/>
        <w:rPr>
          <w:rFonts w:ascii="宋体" w:hAnsi="宋体"/>
          <w:spacing w:val="20"/>
          <w:sz w:val="24"/>
          <w:szCs w:val="20"/>
          <w:u w:val="single"/>
        </w:rPr>
      </w:pPr>
      <w:r>
        <w:rPr>
          <w:rFonts w:hint="eastAsia" w:ascii="宋体" w:hAnsi="宋体"/>
          <w:spacing w:val="20"/>
          <w:sz w:val="24"/>
        </w:rPr>
        <w:t>法定代表人或授权人签名：</w:t>
      </w:r>
    </w:p>
    <w:p>
      <w:pPr>
        <w:snapToGrid w:val="0"/>
        <w:spacing w:beforeLines="50" w:after="50"/>
        <w:jc w:val="center"/>
        <w:rPr>
          <w:rFonts w:ascii="宋体" w:hAnsi="宋体" w:cs="宋体"/>
          <w:b/>
          <w:sz w:val="32"/>
          <w:szCs w:val="32"/>
        </w:rPr>
      </w:pPr>
      <w:r>
        <w:rPr>
          <w:rFonts w:hint="eastAsia" w:ascii="宋体" w:hAnsi="宋体"/>
          <w:spacing w:val="20"/>
          <w:sz w:val="24"/>
        </w:rPr>
        <w:t>供应商盖章：日期：</w:t>
      </w:r>
    </w:p>
    <w:p>
      <w:pPr>
        <w:snapToGrid w:val="0"/>
        <w:spacing w:beforeLines="50" w:after="50"/>
        <w:jc w:val="center"/>
        <w:rPr>
          <w:rFonts w:ascii="宋体" w:hAnsi="宋体" w:cs="宋体"/>
          <w:b/>
          <w:sz w:val="32"/>
          <w:szCs w:val="32"/>
        </w:rPr>
      </w:pPr>
    </w:p>
    <w:p>
      <w:pPr>
        <w:pStyle w:val="2"/>
        <w:ind w:firstLine="0" w:firstLineChars="0"/>
        <w:rPr>
          <w:rFonts w:ascii="微软雅黑" w:hAnsi="微软雅黑" w:cs="微软雅黑"/>
          <w:b/>
          <w:sz w:val="24"/>
        </w:rPr>
      </w:pPr>
    </w:p>
    <w:p>
      <w:pPr>
        <w:pStyle w:val="2"/>
        <w:ind w:firstLine="0" w:firstLineChars="0"/>
        <w:jc w:val="center"/>
        <w:rPr>
          <w:rFonts w:ascii="微软雅黑" w:hAnsi="微软雅黑" w:cs="微软雅黑"/>
          <w:b/>
          <w:sz w:val="24"/>
        </w:rPr>
      </w:pPr>
    </w:p>
    <w:sectPr>
      <w:headerReference r:id="rId14" w:type="first"/>
      <w:headerReference r:id="rId13" w:type="default"/>
      <w:pgSz w:w="11906" w:h="16838"/>
      <w:pgMar w:top="1440" w:right="1077" w:bottom="1440" w:left="1077" w:header="851"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Calibri Light">
    <w:altName w:val="Calibri"/>
    <w:panose1 w:val="020F030202020403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Helvetica">
    <w:altName w:val="Arial"/>
    <w:panose1 w:val="020B0504020202020204"/>
    <w:charset w:val="00"/>
    <w:family w:val="swiss"/>
    <w:pitch w:val="default"/>
    <w:sig w:usb0="00000000" w:usb1="00000000" w:usb2="00000000" w:usb3="00000000" w:csb0="00000001" w:csb1="00000000"/>
  </w:font>
  <w:font w:name="Century">
    <w:panose1 w:val="02040604050505020304"/>
    <w:charset w:val="00"/>
    <w:family w:val="roman"/>
    <w:pitch w:val="default"/>
    <w:sig w:usb0="00000287" w:usb1="000000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_x0000_s4098" o:spid="_x0000_s4098"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pStyle w:val="33"/>
                  <w:rPr>
                    <w:rFonts w:eastAsia="微软雅黑"/>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w:r>
    <w:r>
      <w:rPr>
        <w:rFonts w:hint="eastAsia"/>
      </w:rPr>
      <w:t>浙江中合工程管理有限公司                 电话：0572-2026620</w:t>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64"/>
      </w:rPr>
    </w:pPr>
    <w:r>
      <w:fldChar w:fldCharType="begin"/>
    </w:r>
    <w:r>
      <w:rPr>
        <w:rStyle w:val="64"/>
      </w:rPr>
      <w:instrText xml:space="preserve">PAGE  </w:instrText>
    </w:r>
    <w:r>
      <w:fldChar w:fldCharType="end"/>
    </w:r>
  </w:p>
  <w:p>
    <w:pPr>
      <w:pStyle w:val="3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33"/>
                  <w:rPr>
                    <w:rFonts w:eastAsia="微软雅黑"/>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w:r>
    <w:r>
      <w:rPr>
        <w:rFonts w:hint="eastAsia"/>
      </w:rPr>
      <w:t>浙江中合工程管理有限公司                 电话：0572-2026620</w:t>
    </w:r>
  </w:p>
  <w:p>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_x0000_s4100" o:spid="_x0000_s4100"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pStyle w:val="33"/>
                  <w:rPr>
                    <w:rFonts w:eastAsia="微软雅黑"/>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r>
                  <w:rPr>
                    <w:rFonts w:hint="eastAsia"/>
                  </w:rPr>
                  <w:t xml:space="preserve"> 页</w:t>
                </w:r>
              </w:p>
            </w:txbxContent>
          </v:textbox>
        </v:shape>
      </w:pict>
    </w:r>
    <w:r>
      <w:rPr>
        <w:rFonts w:hint="eastAsia"/>
      </w:rPr>
      <w:t>浙江中合工程管理有限公司                 电话：0572-2026620</w:t>
    </w:r>
  </w:p>
  <w:p>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_x0000_s4099" o:spid="_x0000_s4099"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joinstyle="miter"/>
          <v:imagedata o:title=""/>
          <o:lock v:ext="edit"/>
          <v:textbox inset="0mm,0mm,0mm,0mm" style="mso-fit-shape-to-text:t;">
            <w:txbxContent>
              <w:p>
                <w:pPr>
                  <w:pStyle w:val="33"/>
                  <w:rPr>
                    <w:rFonts w:eastAsia="微软雅黑"/>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v:textbox>
        </v:shape>
      </w:pict>
    </w:r>
    <w:r>
      <w:rPr>
        <w:rFonts w:hint="eastAsia"/>
      </w:rPr>
      <w:t>浙江中合工程管理有限公司                 电话：0572-2026620</w:t>
    </w:r>
  </w:p>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asciiTheme="majorEastAsia" w:hAnsiTheme="majorEastAsia" w:eastAsiaTheme="majorEastAsia" w:cstheme="majorEastAsia"/>
      </w:rPr>
    </w:pPr>
    <w:r>
      <w:rPr>
        <w:rFonts w:hint="eastAsia" w:asciiTheme="majorEastAsia" w:hAnsiTheme="majorEastAsia" w:eastAsiaTheme="majorEastAsia" w:cstheme="majorEastAsia"/>
      </w:rPr>
      <w:t>湖州市吴兴区（含南太湖新区）门牌数据信息采集项目                        公开招标采购文件</w:t>
    </w:r>
  </w:p>
  <w:p>
    <w:pPr>
      <w:pStyle w:val="34"/>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Style w:val="64"/>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Fonts w:asciiTheme="majorEastAsia" w:hAnsiTheme="majorEastAsia" w:eastAsiaTheme="majorEastAsia" w:cstheme="majorEastAsia"/>
      </w:rPr>
    </w:pPr>
    <w:r>
      <w:rPr>
        <w:rFonts w:hint="eastAsia" w:asciiTheme="majorEastAsia" w:hAnsiTheme="majorEastAsia" w:eastAsiaTheme="majorEastAsia" w:cstheme="majorEastAsia"/>
      </w:rPr>
      <w:t>湖州市吴兴区（含南太湖新区）门牌数据信息采集项目                        公开招标采购文件</w:t>
    </w:r>
  </w:p>
  <w:p>
    <w:pPr>
      <w:pStyle w:val="34"/>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rPr>
        <w:rStyle w:val="64"/>
        <w:sz w:val="21"/>
        <w:szCs w:val="21"/>
      </w:rPr>
    </w:pPr>
    <w:r>
      <w:rPr>
        <w:rFonts w:hint="eastAsia" w:asciiTheme="majorEastAsia" w:hAnsiTheme="majorEastAsia" w:eastAsiaTheme="majorEastAsia" w:cstheme="majorEastAsia"/>
      </w:rPr>
      <w:t>湖州市吴兴区（含南太湖新区）门牌数据信息采集项目                        公开招标采购文件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FB24D0"/>
    <w:multiLevelType w:val="singleLevel"/>
    <w:tmpl w:val="A8FB24D0"/>
    <w:lvl w:ilvl="0" w:tentative="0">
      <w:start w:val="6"/>
      <w:numFmt w:val="chineseCounting"/>
      <w:suff w:val="nothing"/>
      <w:lvlText w:val="第%1章、"/>
      <w:lvlJc w:val="left"/>
      <w:rPr>
        <w:rFonts w:hint="eastAsia"/>
      </w:rPr>
    </w:lvl>
  </w:abstractNum>
  <w:abstractNum w:abstractNumId="1">
    <w:nsid w:val="00000010"/>
    <w:multiLevelType w:val="singleLevel"/>
    <w:tmpl w:val="00000010"/>
    <w:lvl w:ilvl="0" w:tentative="0">
      <w:start w:val="3"/>
      <w:numFmt w:val="chineseCounting"/>
      <w:suff w:val="nothing"/>
      <w:lvlText w:val="（%1）"/>
      <w:lvlJc w:val="left"/>
    </w:lvl>
  </w:abstractNum>
  <w:abstractNum w:abstractNumId="2">
    <w:nsid w:val="00000019"/>
    <w:multiLevelType w:val="multilevel"/>
    <w:tmpl w:val="00000019"/>
    <w:lvl w:ilvl="0" w:tentative="0">
      <w:start w:val="2"/>
      <w:numFmt w:val="decimal"/>
      <w:suff w:val="nothing"/>
      <w:lvlText w:val="%1、"/>
      <w:lvlJc w:val="left"/>
    </w:lvl>
    <w:lvl w:ilvl="1" w:tentative="0">
      <w:start w:val="1"/>
      <w:numFmt w:val="decimalZero"/>
      <w:isLgl/>
      <w:lvlText w:val="节 %1.%2"/>
      <w:lvlJc w:val="left"/>
      <w:pPr>
        <w:tabs>
          <w:tab w:val="left" w:pos="1080"/>
        </w:tabs>
      </w:pPr>
      <w:rPr>
        <w:rFonts w:hint="eastAsia" w:cs="Times New Roman"/>
      </w:rPr>
    </w:lvl>
    <w:lvl w:ilvl="2" w:tentative="0">
      <w:start w:val="1"/>
      <w:numFmt w:val="none"/>
      <w:suff w:val="space"/>
      <w:lvlText w:val="3.5"/>
      <w:lvlJc w:val="left"/>
      <w:pPr>
        <w:ind w:left="432" w:hanging="432"/>
      </w:pPr>
      <w:rPr>
        <w:rFonts w:hint="eastAsia" w:cs="Times New Roman"/>
      </w:rPr>
    </w:lvl>
    <w:lvl w:ilvl="3" w:tentative="0">
      <w:start w:val="1"/>
      <w:numFmt w:val="lowerRoman"/>
      <w:lvlText w:val="(%4)"/>
      <w:lvlJc w:val="right"/>
      <w:pPr>
        <w:tabs>
          <w:tab w:val="left" w:pos="864"/>
        </w:tabs>
        <w:ind w:left="864" w:hanging="144"/>
      </w:pPr>
      <w:rPr>
        <w:rFonts w:hint="eastAsia" w:cs="Times New Roman"/>
      </w:rPr>
    </w:lvl>
    <w:lvl w:ilvl="4" w:tentative="0">
      <w:start w:val="1"/>
      <w:numFmt w:val="decimal"/>
      <w:lvlText w:val="%5)"/>
      <w:lvlJc w:val="left"/>
      <w:pPr>
        <w:tabs>
          <w:tab w:val="left" w:pos="1008"/>
        </w:tabs>
        <w:ind w:left="1008" w:hanging="432"/>
      </w:pPr>
      <w:rPr>
        <w:rFonts w:hint="eastAsia" w:cs="Times New Roman"/>
      </w:rPr>
    </w:lvl>
    <w:lvl w:ilvl="5" w:tentative="0">
      <w:start w:val="1"/>
      <w:numFmt w:val="lowerLetter"/>
      <w:lvlText w:val="%6)"/>
      <w:lvlJc w:val="left"/>
      <w:pPr>
        <w:tabs>
          <w:tab w:val="left" w:pos="1152"/>
        </w:tabs>
        <w:ind w:left="1152" w:hanging="432"/>
      </w:pPr>
      <w:rPr>
        <w:rFonts w:hint="eastAsia" w:cs="Times New Roman"/>
      </w:rPr>
    </w:lvl>
    <w:lvl w:ilvl="6" w:tentative="0">
      <w:start w:val="1"/>
      <w:numFmt w:val="lowerRoman"/>
      <w:lvlText w:val="%7)"/>
      <w:lvlJc w:val="right"/>
      <w:pPr>
        <w:tabs>
          <w:tab w:val="left" w:pos="1296"/>
        </w:tabs>
        <w:ind w:left="1296" w:hanging="288"/>
      </w:pPr>
      <w:rPr>
        <w:rFonts w:hint="eastAsia" w:cs="Times New Roman"/>
      </w:rPr>
    </w:lvl>
    <w:lvl w:ilvl="7" w:tentative="0">
      <w:start w:val="1"/>
      <w:numFmt w:val="lowerLetter"/>
      <w:lvlText w:val="%8."/>
      <w:lvlJc w:val="left"/>
      <w:pPr>
        <w:tabs>
          <w:tab w:val="left" w:pos="1440"/>
        </w:tabs>
        <w:ind w:left="1440" w:hanging="432"/>
      </w:pPr>
      <w:rPr>
        <w:rFonts w:hint="eastAsia" w:cs="Times New Roman"/>
      </w:rPr>
    </w:lvl>
    <w:lvl w:ilvl="8" w:tentative="0">
      <w:start w:val="1"/>
      <w:numFmt w:val="lowerRoman"/>
      <w:lvlText w:val="%9."/>
      <w:lvlJc w:val="right"/>
      <w:pPr>
        <w:tabs>
          <w:tab w:val="left" w:pos="1584"/>
        </w:tabs>
        <w:ind w:left="1584" w:hanging="144"/>
      </w:pPr>
      <w:rPr>
        <w:rFonts w:hint="eastAsia" w:cs="Times New Roman"/>
      </w:rPr>
    </w:lvl>
  </w:abstractNum>
  <w:abstractNum w:abstractNumId="3">
    <w:nsid w:val="00007E87"/>
    <w:multiLevelType w:val="multilevel"/>
    <w:tmpl w:val="00007E87"/>
    <w:lvl w:ilvl="0" w:tentative="0">
      <w:start w:val="1"/>
      <w:numFmt w:val="decimal"/>
      <w:lvlText w:val="%1"/>
      <w:lvlJc w:val="left"/>
      <w:rPr>
        <w:rFonts w:cs="Times New Roman"/>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6F1307FA"/>
    <w:multiLevelType w:val="multilevel"/>
    <w:tmpl w:val="6F1307FA"/>
    <w:lvl w:ilvl="0" w:tentative="0">
      <w:start w:val="1"/>
      <w:numFmt w:val="decimal"/>
      <w:lvlText w:val="%1"/>
      <w:lvlJc w:val="left"/>
      <w:pPr>
        <w:ind w:left="425" w:hanging="425"/>
      </w:pPr>
      <w:rPr>
        <w:rFonts w:cs="Times New Roman"/>
      </w:rPr>
    </w:lvl>
    <w:lvl w:ilvl="1" w:tentative="0">
      <w:start w:val="1"/>
      <w:numFmt w:val="decimal"/>
      <w:lvlText w:val="%1.%2"/>
      <w:lvlJc w:val="left"/>
      <w:pPr>
        <w:ind w:left="992" w:hanging="567"/>
      </w:pPr>
      <w:rPr>
        <w:rFonts w:cs="Times New Roman"/>
        <w:b/>
        <w:color w:val="auto"/>
        <w:sz w:val="32"/>
        <w:szCs w:val="32"/>
      </w:rPr>
    </w:lvl>
    <w:lvl w:ilvl="2" w:tentative="0">
      <w:start w:val="1"/>
      <w:numFmt w:val="decimal"/>
      <w:lvlText w:val="%1.%2.%3"/>
      <w:lvlJc w:val="left"/>
      <w:pPr>
        <w:ind w:left="1418" w:hanging="567"/>
      </w:pPr>
      <w:rPr>
        <w:rFonts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24C"/>
    <w:rsid w:val="00001255"/>
    <w:rsid w:val="00001889"/>
    <w:rsid w:val="00002311"/>
    <w:rsid w:val="000039A1"/>
    <w:rsid w:val="00004E83"/>
    <w:rsid w:val="0000635E"/>
    <w:rsid w:val="000065C1"/>
    <w:rsid w:val="0000757E"/>
    <w:rsid w:val="00007A9F"/>
    <w:rsid w:val="00011CDD"/>
    <w:rsid w:val="0001272C"/>
    <w:rsid w:val="000131BE"/>
    <w:rsid w:val="00013607"/>
    <w:rsid w:val="00014910"/>
    <w:rsid w:val="000161E6"/>
    <w:rsid w:val="0001699D"/>
    <w:rsid w:val="00024B02"/>
    <w:rsid w:val="0002565C"/>
    <w:rsid w:val="00025FDF"/>
    <w:rsid w:val="00026274"/>
    <w:rsid w:val="00030441"/>
    <w:rsid w:val="00030A37"/>
    <w:rsid w:val="00031947"/>
    <w:rsid w:val="00031A5F"/>
    <w:rsid w:val="000323A9"/>
    <w:rsid w:val="00032EB2"/>
    <w:rsid w:val="00033A3E"/>
    <w:rsid w:val="00033FB1"/>
    <w:rsid w:val="00034CE2"/>
    <w:rsid w:val="000408C5"/>
    <w:rsid w:val="00040E4A"/>
    <w:rsid w:val="00042687"/>
    <w:rsid w:val="00042898"/>
    <w:rsid w:val="00043313"/>
    <w:rsid w:val="00044292"/>
    <w:rsid w:val="00044D42"/>
    <w:rsid w:val="000458AB"/>
    <w:rsid w:val="000463E6"/>
    <w:rsid w:val="00047442"/>
    <w:rsid w:val="00050E9E"/>
    <w:rsid w:val="0005179B"/>
    <w:rsid w:val="00051B0B"/>
    <w:rsid w:val="0005200E"/>
    <w:rsid w:val="00052DFA"/>
    <w:rsid w:val="00054265"/>
    <w:rsid w:val="00055C16"/>
    <w:rsid w:val="00060FAB"/>
    <w:rsid w:val="000629DD"/>
    <w:rsid w:val="00066319"/>
    <w:rsid w:val="00066DE1"/>
    <w:rsid w:val="00067BA6"/>
    <w:rsid w:val="0007184A"/>
    <w:rsid w:val="000719AD"/>
    <w:rsid w:val="00071C15"/>
    <w:rsid w:val="00072D5C"/>
    <w:rsid w:val="00073161"/>
    <w:rsid w:val="00074817"/>
    <w:rsid w:val="000751F2"/>
    <w:rsid w:val="00076001"/>
    <w:rsid w:val="00076F0E"/>
    <w:rsid w:val="000802E1"/>
    <w:rsid w:val="00080736"/>
    <w:rsid w:val="00081957"/>
    <w:rsid w:val="0008232D"/>
    <w:rsid w:val="000850F7"/>
    <w:rsid w:val="00087A61"/>
    <w:rsid w:val="0009213E"/>
    <w:rsid w:val="000942C5"/>
    <w:rsid w:val="000A2DCC"/>
    <w:rsid w:val="000A34FE"/>
    <w:rsid w:val="000A3FF6"/>
    <w:rsid w:val="000A4DD5"/>
    <w:rsid w:val="000A5B3E"/>
    <w:rsid w:val="000A6A48"/>
    <w:rsid w:val="000A6C74"/>
    <w:rsid w:val="000A7486"/>
    <w:rsid w:val="000A7A25"/>
    <w:rsid w:val="000B1F4E"/>
    <w:rsid w:val="000B2661"/>
    <w:rsid w:val="000B2E53"/>
    <w:rsid w:val="000B30F9"/>
    <w:rsid w:val="000B4AED"/>
    <w:rsid w:val="000B6746"/>
    <w:rsid w:val="000B71C9"/>
    <w:rsid w:val="000C1B8C"/>
    <w:rsid w:val="000C1EA3"/>
    <w:rsid w:val="000C25FF"/>
    <w:rsid w:val="000C28A3"/>
    <w:rsid w:val="000C2943"/>
    <w:rsid w:val="000C2CE4"/>
    <w:rsid w:val="000C42D3"/>
    <w:rsid w:val="000C49C8"/>
    <w:rsid w:val="000C519B"/>
    <w:rsid w:val="000C74E2"/>
    <w:rsid w:val="000C762D"/>
    <w:rsid w:val="000D1887"/>
    <w:rsid w:val="000D26CD"/>
    <w:rsid w:val="000D27C0"/>
    <w:rsid w:val="000D2AF3"/>
    <w:rsid w:val="000D3671"/>
    <w:rsid w:val="000D3927"/>
    <w:rsid w:val="000D3BB8"/>
    <w:rsid w:val="000D3C6A"/>
    <w:rsid w:val="000D796F"/>
    <w:rsid w:val="000E09E5"/>
    <w:rsid w:val="000E0C1F"/>
    <w:rsid w:val="000E0EA5"/>
    <w:rsid w:val="000E2E7A"/>
    <w:rsid w:val="000E39D9"/>
    <w:rsid w:val="000E6975"/>
    <w:rsid w:val="000E7FAA"/>
    <w:rsid w:val="000F0C73"/>
    <w:rsid w:val="000F147A"/>
    <w:rsid w:val="000F2A67"/>
    <w:rsid w:val="000F3F3E"/>
    <w:rsid w:val="000F6732"/>
    <w:rsid w:val="000F6E20"/>
    <w:rsid w:val="000F6FB7"/>
    <w:rsid w:val="000F7597"/>
    <w:rsid w:val="00100FB6"/>
    <w:rsid w:val="00102786"/>
    <w:rsid w:val="001033A8"/>
    <w:rsid w:val="0010384B"/>
    <w:rsid w:val="0010466A"/>
    <w:rsid w:val="00105DF7"/>
    <w:rsid w:val="00111F28"/>
    <w:rsid w:val="001123CE"/>
    <w:rsid w:val="0011311E"/>
    <w:rsid w:val="001145AD"/>
    <w:rsid w:val="00115A48"/>
    <w:rsid w:val="001175F1"/>
    <w:rsid w:val="0012168A"/>
    <w:rsid w:val="00122037"/>
    <w:rsid w:val="0012319D"/>
    <w:rsid w:val="001232F7"/>
    <w:rsid w:val="001245DC"/>
    <w:rsid w:val="00124B82"/>
    <w:rsid w:val="001317ED"/>
    <w:rsid w:val="001318FD"/>
    <w:rsid w:val="00134760"/>
    <w:rsid w:val="00134C63"/>
    <w:rsid w:val="001358B6"/>
    <w:rsid w:val="00137C09"/>
    <w:rsid w:val="00140120"/>
    <w:rsid w:val="001408E7"/>
    <w:rsid w:val="00140A8D"/>
    <w:rsid w:val="00141A7F"/>
    <w:rsid w:val="00142E4C"/>
    <w:rsid w:val="001466EC"/>
    <w:rsid w:val="001478CD"/>
    <w:rsid w:val="00147DF0"/>
    <w:rsid w:val="00151251"/>
    <w:rsid w:val="00151CAE"/>
    <w:rsid w:val="00152D7E"/>
    <w:rsid w:val="0015351D"/>
    <w:rsid w:val="00155E77"/>
    <w:rsid w:val="00155EA3"/>
    <w:rsid w:val="001610E4"/>
    <w:rsid w:val="00161D98"/>
    <w:rsid w:val="001629C4"/>
    <w:rsid w:val="00162C45"/>
    <w:rsid w:val="00163085"/>
    <w:rsid w:val="00163434"/>
    <w:rsid w:val="00163A0A"/>
    <w:rsid w:val="00164E1D"/>
    <w:rsid w:val="00164F8D"/>
    <w:rsid w:val="00165D5E"/>
    <w:rsid w:val="00166044"/>
    <w:rsid w:val="0016619A"/>
    <w:rsid w:val="00166652"/>
    <w:rsid w:val="00172A27"/>
    <w:rsid w:val="00172C5A"/>
    <w:rsid w:val="00175967"/>
    <w:rsid w:val="00175BA6"/>
    <w:rsid w:val="00175E55"/>
    <w:rsid w:val="00180768"/>
    <w:rsid w:val="00180C6A"/>
    <w:rsid w:val="00181E9E"/>
    <w:rsid w:val="00182886"/>
    <w:rsid w:val="00184B10"/>
    <w:rsid w:val="00184BF6"/>
    <w:rsid w:val="001859BA"/>
    <w:rsid w:val="0018626C"/>
    <w:rsid w:val="001863A9"/>
    <w:rsid w:val="00190029"/>
    <w:rsid w:val="001914FF"/>
    <w:rsid w:val="0019573E"/>
    <w:rsid w:val="00195882"/>
    <w:rsid w:val="00197AD3"/>
    <w:rsid w:val="001A2598"/>
    <w:rsid w:val="001A2723"/>
    <w:rsid w:val="001A4787"/>
    <w:rsid w:val="001A4A5E"/>
    <w:rsid w:val="001B0C0C"/>
    <w:rsid w:val="001B100A"/>
    <w:rsid w:val="001B2E7C"/>
    <w:rsid w:val="001B3C6F"/>
    <w:rsid w:val="001B3EE4"/>
    <w:rsid w:val="001B5290"/>
    <w:rsid w:val="001B5A82"/>
    <w:rsid w:val="001B5AC1"/>
    <w:rsid w:val="001B688B"/>
    <w:rsid w:val="001B6A70"/>
    <w:rsid w:val="001B7025"/>
    <w:rsid w:val="001C00A6"/>
    <w:rsid w:val="001C21F0"/>
    <w:rsid w:val="001C2FE6"/>
    <w:rsid w:val="001C373C"/>
    <w:rsid w:val="001C48E3"/>
    <w:rsid w:val="001C494A"/>
    <w:rsid w:val="001C6344"/>
    <w:rsid w:val="001D0CE0"/>
    <w:rsid w:val="001D2236"/>
    <w:rsid w:val="001D2AF0"/>
    <w:rsid w:val="001D3919"/>
    <w:rsid w:val="001D5A7E"/>
    <w:rsid w:val="001D7DB2"/>
    <w:rsid w:val="001D7E6C"/>
    <w:rsid w:val="001E191D"/>
    <w:rsid w:val="001E2566"/>
    <w:rsid w:val="001E451F"/>
    <w:rsid w:val="001E5B69"/>
    <w:rsid w:val="001E6753"/>
    <w:rsid w:val="001F2B5C"/>
    <w:rsid w:val="001F4153"/>
    <w:rsid w:val="001F464C"/>
    <w:rsid w:val="001F46B9"/>
    <w:rsid w:val="001F5F0A"/>
    <w:rsid w:val="001F6BA5"/>
    <w:rsid w:val="001F7DEC"/>
    <w:rsid w:val="00203BD9"/>
    <w:rsid w:val="002050D6"/>
    <w:rsid w:val="00205A21"/>
    <w:rsid w:val="00206C31"/>
    <w:rsid w:val="002079A1"/>
    <w:rsid w:val="00207A11"/>
    <w:rsid w:val="00212454"/>
    <w:rsid w:val="002125C4"/>
    <w:rsid w:val="00212BFB"/>
    <w:rsid w:val="0021362E"/>
    <w:rsid w:val="00216324"/>
    <w:rsid w:val="0022008B"/>
    <w:rsid w:val="002229BC"/>
    <w:rsid w:val="002245D1"/>
    <w:rsid w:val="0022501B"/>
    <w:rsid w:val="002270CB"/>
    <w:rsid w:val="00227A8C"/>
    <w:rsid w:val="00227B67"/>
    <w:rsid w:val="00227D25"/>
    <w:rsid w:val="0023004D"/>
    <w:rsid w:val="00230E40"/>
    <w:rsid w:val="002320E0"/>
    <w:rsid w:val="00233065"/>
    <w:rsid w:val="0023573F"/>
    <w:rsid w:val="002360E2"/>
    <w:rsid w:val="00236DED"/>
    <w:rsid w:val="00237189"/>
    <w:rsid w:val="00237D38"/>
    <w:rsid w:val="00243C36"/>
    <w:rsid w:val="002446A3"/>
    <w:rsid w:val="00244ABC"/>
    <w:rsid w:val="002453BF"/>
    <w:rsid w:val="002455A9"/>
    <w:rsid w:val="00245BAF"/>
    <w:rsid w:val="002469CF"/>
    <w:rsid w:val="00246A11"/>
    <w:rsid w:val="00246B95"/>
    <w:rsid w:val="00251E3E"/>
    <w:rsid w:val="00256E46"/>
    <w:rsid w:val="00257436"/>
    <w:rsid w:val="00261FE5"/>
    <w:rsid w:val="00263412"/>
    <w:rsid w:val="00263770"/>
    <w:rsid w:val="00265AE1"/>
    <w:rsid w:val="0027097A"/>
    <w:rsid w:val="00270EEB"/>
    <w:rsid w:val="002711D7"/>
    <w:rsid w:val="00271A27"/>
    <w:rsid w:val="00271CA8"/>
    <w:rsid w:val="0027208D"/>
    <w:rsid w:val="00272CF4"/>
    <w:rsid w:val="002736EB"/>
    <w:rsid w:val="0027458C"/>
    <w:rsid w:val="0027572F"/>
    <w:rsid w:val="002764C2"/>
    <w:rsid w:val="00276B0D"/>
    <w:rsid w:val="002805B1"/>
    <w:rsid w:val="00281A96"/>
    <w:rsid w:val="0028235D"/>
    <w:rsid w:val="00282FCC"/>
    <w:rsid w:val="00283B41"/>
    <w:rsid w:val="00287CF8"/>
    <w:rsid w:val="00290336"/>
    <w:rsid w:val="00290E46"/>
    <w:rsid w:val="002914E7"/>
    <w:rsid w:val="00291C22"/>
    <w:rsid w:val="002921B3"/>
    <w:rsid w:val="002926A5"/>
    <w:rsid w:val="00293B6C"/>
    <w:rsid w:val="00297AA2"/>
    <w:rsid w:val="002A0637"/>
    <w:rsid w:val="002A423D"/>
    <w:rsid w:val="002A4567"/>
    <w:rsid w:val="002A7839"/>
    <w:rsid w:val="002B1217"/>
    <w:rsid w:val="002B14C6"/>
    <w:rsid w:val="002B26EF"/>
    <w:rsid w:val="002B275D"/>
    <w:rsid w:val="002B3A71"/>
    <w:rsid w:val="002B4179"/>
    <w:rsid w:val="002B4EEA"/>
    <w:rsid w:val="002B792A"/>
    <w:rsid w:val="002C2D19"/>
    <w:rsid w:val="002C301D"/>
    <w:rsid w:val="002C3955"/>
    <w:rsid w:val="002C5B30"/>
    <w:rsid w:val="002D071D"/>
    <w:rsid w:val="002D1052"/>
    <w:rsid w:val="002D1943"/>
    <w:rsid w:val="002D44CB"/>
    <w:rsid w:val="002D6BF2"/>
    <w:rsid w:val="002D6E11"/>
    <w:rsid w:val="002D7396"/>
    <w:rsid w:val="002E0D02"/>
    <w:rsid w:val="002E0F9A"/>
    <w:rsid w:val="002E1C53"/>
    <w:rsid w:val="002E2FCF"/>
    <w:rsid w:val="002E5F67"/>
    <w:rsid w:val="002E761C"/>
    <w:rsid w:val="002E7727"/>
    <w:rsid w:val="002F0068"/>
    <w:rsid w:val="002F2081"/>
    <w:rsid w:val="002F3681"/>
    <w:rsid w:val="002F6828"/>
    <w:rsid w:val="002F701D"/>
    <w:rsid w:val="002F7777"/>
    <w:rsid w:val="002F78C6"/>
    <w:rsid w:val="0030053B"/>
    <w:rsid w:val="00301A33"/>
    <w:rsid w:val="0030317A"/>
    <w:rsid w:val="003036AF"/>
    <w:rsid w:val="00305D78"/>
    <w:rsid w:val="003129AF"/>
    <w:rsid w:val="00313521"/>
    <w:rsid w:val="003139B7"/>
    <w:rsid w:val="003145CD"/>
    <w:rsid w:val="003148EE"/>
    <w:rsid w:val="00314B5D"/>
    <w:rsid w:val="003157F4"/>
    <w:rsid w:val="003161E2"/>
    <w:rsid w:val="00316941"/>
    <w:rsid w:val="00316FF6"/>
    <w:rsid w:val="00317CA3"/>
    <w:rsid w:val="003201E2"/>
    <w:rsid w:val="00321074"/>
    <w:rsid w:val="00322099"/>
    <w:rsid w:val="00323057"/>
    <w:rsid w:val="003231A0"/>
    <w:rsid w:val="00324897"/>
    <w:rsid w:val="00327A21"/>
    <w:rsid w:val="00330F6B"/>
    <w:rsid w:val="00333CF7"/>
    <w:rsid w:val="00335525"/>
    <w:rsid w:val="003362D0"/>
    <w:rsid w:val="0033700F"/>
    <w:rsid w:val="003379C6"/>
    <w:rsid w:val="003403AC"/>
    <w:rsid w:val="003451D7"/>
    <w:rsid w:val="003462C9"/>
    <w:rsid w:val="003465EF"/>
    <w:rsid w:val="00346893"/>
    <w:rsid w:val="003505B3"/>
    <w:rsid w:val="00351CB6"/>
    <w:rsid w:val="00352119"/>
    <w:rsid w:val="00352B2B"/>
    <w:rsid w:val="00353D75"/>
    <w:rsid w:val="0035405E"/>
    <w:rsid w:val="00354188"/>
    <w:rsid w:val="0035497B"/>
    <w:rsid w:val="00355D1B"/>
    <w:rsid w:val="00357769"/>
    <w:rsid w:val="003605F6"/>
    <w:rsid w:val="00360971"/>
    <w:rsid w:val="00361560"/>
    <w:rsid w:val="003638D4"/>
    <w:rsid w:val="00363922"/>
    <w:rsid w:val="00364BAE"/>
    <w:rsid w:val="00366322"/>
    <w:rsid w:val="00370145"/>
    <w:rsid w:val="00370A67"/>
    <w:rsid w:val="00371021"/>
    <w:rsid w:val="0037143A"/>
    <w:rsid w:val="00371E20"/>
    <w:rsid w:val="00372FA1"/>
    <w:rsid w:val="0037315B"/>
    <w:rsid w:val="003804C2"/>
    <w:rsid w:val="00381300"/>
    <w:rsid w:val="00381C69"/>
    <w:rsid w:val="00381F25"/>
    <w:rsid w:val="00382785"/>
    <w:rsid w:val="0038340C"/>
    <w:rsid w:val="003848A7"/>
    <w:rsid w:val="003903A8"/>
    <w:rsid w:val="003936B0"/>
    <w:rsid w:val="00394BCF"/>
    <w:rsid w:val="00394D95"/>
    <w:rsid w:val="00395111"/>
    <w:rsid w:val="00395ECE"/>
    <w:rsid w:val="00396766"/>
    <w:rsid w:val="003A1A5A"/>
    <w:rsid w:val="003A2E8F"/>
    <w:rsid w:val="003A2FE7"/>
    <w:rsid w:val="003A422C"/>
    <w:rsid w:val="003A4501"/>
    <w:rsid w:val="003A4CC3"/>
    <w:rsid w:val="003A5FF5"/>
    <w:rsid w:val="003A6AC0"/>
    <w:rsid w:val="003B0464"/>
    <w:rsid w:val="003B058A"/>
    <w:rsid w:val="003B06E7"/>
    <w:rsid w:val="003B15D9"/>
    <w:rsid w:val="003B1625"/>
    <w:rsid w:val="003B186E"/>
    <w:rsid w:val="003B27D6"/>
    <w:rsid w:val="003B30F7"/>
    <w:rsid w:val="003B47B3"/>
    <w:rsid w:val="003B6342"/>
    <w:rsid w:val="003B79D2"/>
    <w:rsid w:val="003C1434"/>
    <w:rsid w:val="003C197D"/>
    <w:rsid w:val="003C1D7F"/>
    <w:rsid w:val="003C1F61"/>
    <w:rsid w:val="003C2788"/>
    <w:rsid w:val="003C29FE"/>
    <w:rsid w:val="003C385A"/>
    <w:rsid w:val="003C3C9E"/>
    <w:rsid w:val="003C46CF"/>
    <w:rsid w:val="003C6FCE"/>
    <w:rsid w:val="003C7A6C"/>
    <w:rsid w:val="003C7F32"/>
    <w:rsid w:val="003D004D"/>
    <w:rsid w:val="003D0B65"/>
    <w:rsid w:val="003D0BD1"/>
    <w:rsid w:val="003D0D13"/>
    <w:rsid w:val="003D1857"/>
    <w:rsid w:val="003D3E71"/>
    <w:rsid w:val="003D57BF"/>
    <w:rsid w:val="003D6CE4"/>
    <w:rsid w:val="003E1155"/>
    <w:rsid w:val="003E1245"/>
    <w:rsid w:val="003E52CB"/>
    <w:rsid w:val="003E7405"/>
    <w:rsid w:val="003E770D"/>
    <w:rsid w:val="003F0C5A"/>
    <w:rsid w:val="003F2A56"/>
    <w:rsid w:val="003F4036"/>
    <w:rsid w:val="003F6AC7"/>
    <w:rsid w:val="003F779E"/>
    <w:rsid w:val="00402554"/>
    <w:rsid w:val="00402898"/>
    <w:rsid w:val="004030E3"/>
    <w:rsid w:val="004032C5"/>
    <w:rsid w:val="00405FEA"/>
    <w:rsid w:val="0040651F"/>
    <w:rsid w:val="00406B5F"/>
    <w:rsid w:val="00412A59"/>
    <w:rsid w:val="0041314B"/>
    <w:rsid w:val="004143AD"/>
    <w:rsid w:val="00417A5F"/>
    <w:rsid w:val="004217DB"/>
    <w:rsid w:val="0042241E"/>
    <w:rsid w:val="00422CB5"/>
    <w:rsid w:val="0042332F"/>
    <w:rsid w:val="00424B70"/>
    <w:rsid w:val="00424D02"/>
    <w:rsid w:val="00430273"/>
    <w:rsid w:val="00432DCF"/>
    <w:rsid w:val="00432EA8"/>
    <w:rsid w:val="004339C3"/>
    <w:rsid w:val="00434439"/>
    <w:rsid w:val="00435B9E"/>
    <w:rsid w:val="004419BE"/>
    <w:rsid w:val="00442FBB"/>
    <w:rsid w:val="00443DA6"/>
    <w:rsid w:val="00444AB0"/>
    <w:rsid w:val="00445284"/>
    <w:rsid w:val="00445D22"/>
    <w:rsid w:val="0044695A"/>
    <w:rsid w:val="00446E54"/>
    <w:rsid w:val="00447F22"/>
    <w:rsid w:val="00450F87"/>
    <w:rsid w:val="004511F5"/>
    <w:rsid w:val="00451BB5"/>
    <w:rsid w:val="00453517"/>
    <w:rsid w:val="004539D5"/>
    <w:rsid w:val="0045428B"/>
    <w:rsid w:val="00455B4D"/>
    <w:rsid w:val="0045716F"/>
    <w:rsid w:val="00460447"/>
    <w:rsid w:val="00460910"/>
    <w:rsid w:val="00460EB7"/>
    <w:rsid w:val="0046120B"/>
    <w:rsid w:val="00461E0E"/>
    <w:rsid w:val="0046288A"/>
    <w:rsid w:val="00462FAA"/>
    <w:rsid w:val="00463FE1"/>
    <w:rsid w:val="004648BF"/>
    <w:rsid w:val="00464EAA"/>
    <w:rsid w:val="004661C0"/>
    <w:rsid w:val="004667DD"/>
    <w:rsid w:val="00466DD3"/>
    <w:rsid w:val="00467442"/>
    <w:rsid w:val="00470C55"/>
    <w:rsid w:val="00471A4F"/>
    <w:rsid w:val="00472975"/>
    <w:rsid w:val="00472AE6"/>
    <w:rsid w:val="00473495"/>
    <w:rsid w:val="00474CE4"/>
    <w:rsid w:val="00477569"/>
    <w:rsid w:val="00477B21"/>
    <w:rsid w:val="004802B5"/>
    <w:rsid w:val="004811D4"/>
    <w:rsid w:val="00482052"/>
    <w:rsid w:val="004849AB"/>
    <w:rsid w:val="0048573A"/>
    <w:rsid w:val="004866B5"/>
    <w:rsid w:val="00487C57"/>
    <w:rsid w:val="004950F8"/>
    <w:rsid w:val="004960B1"/>
    <w:rsid w:val="00496308"/>
    <w:rsid w:val="004A0B45"/>
    <w:rsid w:val="004A14D7"/>
    <w:rsid w:val="004A15A7"/>
    <w:rsid w:val="004A2157"/>
    <w:rsid w:val="004A2EC1"/>
    <w:rsid w:val="004A3B6D"/>
    <w:rsid w:val="004A7A1B"/>
    <w:rsid w:val="004B2627"/>
    <w:rsid w:val="004B377C"/>
    <w:rsid w:val="004B3943"/>
    <w:rsid w:val="004B44E6"/>
    <w:rsid w:val="004B6957"/>
    <w:rsid w:val="004C00EB"/>
    <w:rsid w:val="004C088B"/>
    <w:rsid w:val="004C1681"/>
    <w:rsid w:val="004C3B9B"/>
    <w:rsid w:val="004C479A"/>
    <w:rsid w:val="004C5452"/>
    <w:rsid w:val="004C5790"/>
    <w:rsid w:val="004C59F0"/>
    <w:rsid w:val="004C5A19"/>
    <w:rsid w:val="004C686B"/>
    <w:rsid w:val="004C69E2"/>
    <w:rsid w:val="004C767A"/>
    <w:rsid w:val="004C7C78"/>
    <w:rsid w:val="004C7F22"/>
    <w:rsid w:val="004D090E"/>
    <w:rsid w:val="004D15C0"/>
    <w:rsid w:val="004D1BE6"/>
    <w:rsid w:val="004D1FF0"/>
    <w:rsid w:val="004D347B"/>
    <w:rsid w:val="004D34D0"/>
    <w:rsid w:val="004D351E"/>
    <w:rsid w:val="004D3958"/>
    <w:rsid w:val="004D4E21"/>
    <w:rsid w:val="004D5F7A"/>
    <w:rsid w:val="004D6CFF"/>
    <w:rsid w:val="004E1938"/>
    <w:rsid w:val="004E3228"/>
    <w:rsid w:val="004E3FAF"/>
    <w:rsid w:val="004E5347"/>
    <w:rsid w:val="004E6C88"/>
    <w:rsid w:val="004F00B5"/>
    <w:rsid w:val="004F1B76"/>
    <w:rsid w:val="004F1BF3"/>
    <w:rsid w:val="004F2072"/>
    <w:rsid w:val="004F2600"/>
    <w:rsid w:val="004F3025"/>
    <w:rsid w:val="004F4724"/>
    <w:rsid w:val="004F52A5"/>
    <w:rsid w:val="004F7016"/>
    <w:rsid w:val="004F7951"/>
    <w:rsid w:val="00501B46"/>
    <w:rsid w:val="00501DE8"/>
    <w:rsid w:val="00501F6A"/>
    <w:rsid w:val="005023AD"/>
    <w:rsid w:val="0050345C"/>
    <w:rsid w:val="00503DEE"/>
    <w:rsid w:val="0050459D"/>
    <w:rsid w:val="00504BD8"/>
    <w:rsid w:val="00505753"/>
    <w:rsid w:val="005063A4"/>
    <w:rsid w:val="00506BBB"/>
    <w:rsid w:val="00506C1A"/>
    <w:rsid w:val="00506D4E"/>
    <w:rsid w:val="00507B76"/>
    <w:rsid w:val="00507C6C"/>
    <w:rsid w:val="00512529"/>
    <w:rsid w:val="005127F8"/>
    <w:rsid w:val="00512CD6"/>
    <w:rsid w:val="00512FAD"/>
    <w:rsid w:val="00514A6D"/>
    <w:rsid w:val="00516567"/>
    <w:rsid w:val="00521007"/>
    <w:rsid w:val="005213AA"/>
    <w:rsid w:val="00522CA1"/>
    <w:rsid w:val="005231DD"/>
    <w:rsid w:val="00523EB2"/>
    <w:rsid w:val="00526A3C"/>
    <w:rsid w:val="00527939"/>
    <w:rsid w:val="00531D61"/>
    <w:rsid w:val="0053283C"/>
    <w:rsid w:val="00533267"/>
    <w:rsid w:val="00535430"/>
    <w:rsid w:val="00535816"/>
    <w:rsid w:val="00535866"/>
    <w:rsid w:val="005371BC"/>
    <w:rsid w:val="00537874"/>
    <w:rsid w:val="00540012"/>
    <w:rsid w:val="0054132A"/>
    <w:rsid w:val="0054316B"/>
    <w:rsid w:val="00544739"/>
    <w:rsid w:val="00546501"/>
    <w:rsid w:val="00546EDF"/>
    <w:rsid w:val="0054733D"/>
    <w:rsid w:val="0054765B"/>
    <w:rsid w:val="00547C33"/>
    <w:rsid w:val="005512B6"/>
    <w:rsid w:val="005514D0"/>
    <w:rsid w:val="00552655"/>
    <w:rsid w:val="0055297C"/>
    <w:rsid w:val="00553B0B"/>
    <w:rsid w:val="00553D9E"/>
    <w:rsid w:val="00554C60"/>
    <w:rsid w:val="00556116"/>
    <w:rsid w:val="0055633C"/>
    <w:rsid w:val="0055773D"/>
    <w:rsid w:val="0056014B"/>
    <w:rsid w:val="00560952"/>
    <w:rsid w:val="005610E3"/>
    <w:rsid w:val="00561629"/>
    <w:rsid w:val="005628A7"/>
    <w:rsid w:val="00562F89"/>
    <w:rsid w:val="005637F1"/>
    <w:rsid w:val="00563DC7"/>
    <w:rsid w:val="005646F3"/>
    <w:rsid w:val="00565807"/>
    <w:rsid w:val="00565DA1"/>
    <w:rsid w:val="0056667D"/>
    <w:rsid w:val="00566A08"/>
    <w:rsid w:val="00570AA5"/>
    <w:rsid w:val="00571E98"/>
    <w:rsid w:val="005728C6"/>
    <w:rsid w:val="00572920"/>
    <w:rsid w:val="005731AA"/>
    <w:rsid w:val="00574387"/>
    <w:rsid w:val="00574665"/>
    <w:rsid w:val="00576C15"/>
    <w:rsid w:val="00577EE7"/>
    <w:rsid w:val="005800B9"/>
    <w:rsid w:val="00580EE7"/>
    <w:rsid w:val="0058124E"/>
    <w:rsid w:val="00582079"/>
    <w:rsid w:val="005827B9"/>
    <w:rsid w:val="005827E1"/>
    <w:rsid w:val="00583B6F"/>
    <w:rsid w:val="00583FD3"/>
    <w:rsid w:val="00584C2F"/>
    <w:rsid w:val="0058591D"/>
    <w:rsid w:val="00586A16"/>
    <w:rsid w:val="005900B7"/>
    <w:rsid w:val="00593D64"/>
    <w:rsid w:val="00594FC4"/>
    <w:rsid w:val="005952F0"/>
    <w:rsid w:val="005955B8"/>
    <w:rsid w:val="005964A4"/>
    <w:rsid w:val="00596734"/>
    <w:rsid w:val="005967F1"/>
    <w:rsid w:val="00596F75"/>
    <w:rsid w:val="005A0230"/>
    <w:rsid w:val="005A1269"/>
    <w:rsid w:val="005A3D8C"/>
    <w:rsid w:val="005A48EF"/>
    <w:rsid w:val="005A4B42"/>
    <w:rsid w:val="005A5CC0"/>
    <w:rsid w:val="005A615F"/>
    <w:rsid w:val="005A6390"/>
    <w:rsid w:val="005A6DDC"/>
    <w:rsid w:val="005B112C"/>
    <w:rsid w:val="005B1D9C"/>
    <w:rsid w:val="005B2792"/>
    <w:rsid w:val="005B2B5C"/>
    <w:rsid w:val="005B366B"/>
    <w:rsid w:val="005B374A"/>
    <w:rsid w:val="005B54EE"/>
    <w:rsid w:val="005B57CC"/>
    <w:rsid w:val="005B630C"/>
    <w:rsid w:val="005B67C0"/>
    <w:rsid w:val="005B6B26"/>
    <w:rsid w:val="005B75E4"/>
    <w:rsid w:val="005B79C0"/>
    <w:rsid w:val="005B7D2C"/>
    <w:rsid w:val="005C0E6C"/>
    <w:rsid w:val="005C3330"/>
    <w:rsid w:val="005D1E43"/>
    <w:rsid w:val="005D1E8F"/>
    <w:rsid w:val="005D2639"/>
    <w:rsid w:val="005D4045"/>
    <w:rsid w:val="005D55CA"/>
    <w:rsid w:val="005D6F85"/>
    <w:rsid w:val="005D72F1"/>
    <w:rsid w:val="005D7550"/>
    <w:rsid w:val="005D7FC0"/>
    <w:rsid w:val="005E25E3"/>
    <w:rsid w:val="005E2A34"/>
    <w:rsid w:val="005E3446"/>
    <w:rsid w:val="005E517B"/>
    <w:rsid w:val="005E5FC7"/>
    <w:rsid w:val="005F1948"/>
    <w:rsid w:val="005F3381"/>
    <w:rsid w:val="005F3C98"/>
    <w:rsid w:val="005F3CC0"/>
    <w:rsid w:val="005F3D90"/>
    <w:rsid w:val="005F4764"/>
    <w:rsid w:val="005F502E"/>
    <w:rsid w:val="005F66AE"/>
    <w:rsid w:val="005F6D98"/>
    <w:rsid w:val="005F7F22"/>
    <w:rsid w:val="006007E2"/>
    <w:rsid w:val="0060179C"/>
    <w:rsid w:val="00602058"/>
    <w:rsid w:val="006021F8"/>
    <w:rsid w:val="00602AD4"/>
    <w:rsid w:val="00604569"/>
    <w:rsid w:val="00605FF2"/>
    <w:rsid w:val="006063E9"/>
    <w:rsid w:val="0060715B"/>
    <w:rsid w:val="00610F3A"/>
    <w:rsid w:val="00610F76"/>
    <w:rsid w:val="006112EF"/>
    <w:rsid w:val="00614DC1"/>
    <w:rsid w:val="006168FB"/>
    <w:rsid w:val="006178D7"/>
    <w:rsid w:val="00620349"/>
    <w:rsid w:val="006203CA"/>
    <w:rsid w:val="0062136B"/>
    <w:rsid w:val="00622388"/>
    <w:rsid w:val="006233FD"/>
    <w:rsid w:val="00623CCE"/>
    <w:rsid w:val="006246CD"/>
    <w:rsid w:val="00625B60"/>
    <w:rsid w:val="00626190"/>
    <w:rsid w:val="00627250"/>
    <w:rsid w:val="00627C97"/>
    <w:rsid w:val="00630DF6"/>
    <w:rsid w:val="006312A1"/>
    <w:rsid w:val="006315AC"/>
    <w:rsid w:val="00634BC5"/>
    <w:rsid w:val="006352A0"/>
    <w:rsid w:val="0064068D"/>
    <w:rsid w:val="00640721"/>
    <w:rsid w:val="006412C1"/>
    <w:rsid w:val="00641768"/>
    <w:rsid w:val="00641F46"/>
    <w:rsid w:val="00641FBD"/>
    <w:rsid w:val="00642E39"/>
    <w:rsid w:val="006442CF"/>
    <w:rsid w:val="006466EF"/>
    <w:rsid w:val="00650106"/>
    <w:rsid w:val="006513D1"/>
    <w:rsid w:val="00651569"/>
    <w:rsid w:val="00652A97"/>
    <w:rsid w:val="00653016"/>
    <w:rsid w:val="006535A3"/>
    <w:rsid w:val="0065482B"/>
    <w:rsid w:val="00655341"/>
    <w:rsid w:val="00655C91"/>
    <w:rsid w:val="00656F61"/>
    <w:rsid w:val="00657CDF"/>
    <w:rsid w:val="0066118D"/>
    <w:rsid w:val="0066147A"/>
    <w:rsid w:val="00661862"/>
    <w:rsid w:val="00661F19"/>
    <w:rsid w:val="006642C5"/>
    <w:rsid w:val="0066516F"/>
    <w:rsid w:val="00667082"/>
    <w:rsid w:val="00667D8F"/>
    <w:rsid w:val="00674A8C"/>
    <w:rsid w:val="00676481"/>
    <w:rsid w:val="0067760B"/>
    <w:rsid w:val="00677859"/>
    <w:rsid w:val="00680EA8"/>
    <w:rsid w:val="00681D06"/>
    <w:rsid w:val="00682F8C"/>
    <w:rsid w:val="006836C2"/>
    <w:rsid w:val="00684692"/>
    <w:rsid w:val="00684CB1"/>
    <w:rsid w:val="00685155"/>
    <w:rsid w:val="00685227"/>
    <w:rsid w:val="00686E81"/>
    <w:rsid w:val="00687B1B"/>
    <w:rsid w:val="006900D5"/>
    <w:rsid w:val="0069060B"/>
    <w:rsid w:val="00690D46"/>
    <w:rsid w:val="0069100F"/>
    <w:rsid w:val="00691AA5"/>
    <w:rsid w:val="0069211A"/>
    <w:rsid w:val="0069269F"/>
    <w:rsid w:val="00693A37"/>
    <w:rsid w:val="006952AD"/>
    <w:rsid w:val="0069567B"/>
    <w:rsid w:val="00696ED8"/>
    <w:rsid w:val="006A13DE"/>
    <w:rsid w:val="006A1703"/>
    <w:rsid w:val="006A39CE"/>
    <w:rsid w:val="006A3E5D"/>
    <w:rsid w:val="006A48A6"/>
    <w:rsid w:val="006A5200"/>
    <w:rsid w:val="006A6A60"/>
    <w:rsid w:val="006B09D1"/>
    <w:rsid w:val="006B15C1"/>
    <w:rsid w:val="006B20F9"/>
    <w:rsid w:val="006B210A"/>
    <w:rsid w:val="006B243A"/>
    <w:rsid w:val="006B29DF"/>
    <w:rsid w:val="006B3206"/>
    <w:rsid w:val="006B6307"/>
    <w:rsid w:val="006B6B80"/>
    <w:rsid w:val="006C08DE"/>
    <w:rsid w:val="006C1A02"/>
    <w:rsid w:val="006C31C6"/>
    <w:rsid w:val="006C3270"/>
    <w:rsid w:val="006C63D7"/>
    <w:rsid w:val="006C6B64"/>
    <w:rsid w:val="006C7B7D"/>
    <w:rsid w:val="006D017B"/>
    <w:rsid w:val="006D12F7"/>
    <w:rsid w:val="006D1327"/>
    <w:rsid w:val="006D3C46"/>
    <w:rsid w:val="006D4B11"/>
    <w:rsid w:val="006D62AE"/>
    <w:rsid w:val="006D6424"/>
    <w:rsid w:val="006D7627"/>
    <w:rsid w:val="006E0486"/>
    <w:rsid w:val="006E0B99"/>
    <w:rsid w:val="006E1401"/>
    <w:rsid w:val="006E2118"/>
    <w:rsid w:val="006E6E93"/>
    <w:rsid w:val="006F0C12"/>
    <w:rsid w:val="006F1352"/>
    <w:rsid w:val="006F1536"/>
    <w:rsid w:val="006F2976"/>
    <w:rsid w:val="006F314C"/>
    <w:rsid w:val="006F34D5"/>
    <w:rsid w:val="006F5F46"/>
    <w:rsid w:val="0070312D"/>
    <w:rsid w:val="00705896"/>
    <w:rsid w:val="00706288"/>
    <w:rsid w:val="00706B9E"/>
    <w:rsid w:val="00706F61"/>
    <w:rsid w:val="007070EF"/>
    <w:rsid w:val="00707131"/>
    <w:rsid w:val="007125BE"/>
    <w:rsid w:val="00712A99"/>
    <w:rsid w:val="00714BB1"/>
    <w:rsid w:val="007156EE"/>
    <w:rsid w:val="00716474"/>
    <w:rsid w:val="007178C4"/>
    <w:rsid w:val="00720F9C"/>
    <w:rsid w:val="00722F6A"/>
    <w:rsid w:val="00723EA8"/>
    <w:rsid w:val="00727837"/>
    <w:rsid w:val="007279A7"/>
    <w:rsid w:val="00727B07"/>
    <w:rsid w:val="0073149F"/>
    <w:rsid w:val="007317DB"/>
    <w:rsid w:val="007321A3"/>
    <w:rsid w:val="00732AAE"/>
    <w:rsid w:val="007347BE"/>
    <w:rsid w:val="00735F17"/>
    <w:rsid w:val="007369A9"/>
    <w:rsid w:val="00736C37"/>
    <w:rsid w:val="00736DFB"/>
    <w:rsid w:val="00737BCE"/>
    <w:rsid w:val="00743684"/>
    <w:rsid w:val="007454D4"/>
    <w:rsid w:val="007456B9"/>
    <w:rsid w:val="007469A9"/>
    <w:rsid w:val="00747812"/>
    <w:rsid w:val="0075591A"/>
    <w:rsid w:val="0075736E"/>
    <w:rsid w:val="0076007B"/>
    <w:rsid w:val="0076088D"/>
    <w:rsid w:val="00760B08"/>
    <w:rsid w:val="0076204C"/>
    <w:rsid w:val="00764B72"/>
    <w:rsid w:val="0076522F"/>
    <w:rsid w:val="00766060"/>
    <w:rsid w:val="00771488"/>
    <w:rsid w:val="007720D5"/>
    <w:rsid w:val="00772B4A"/>
    <w:rsid w:val="00774FAC"/>
    <w:rsid w:val="00777657"/>
    <w:rsid w:val="00777E35"/>
    <w:rsid w:val="00780DAC"/>
    <w:rsid w:val="00782170"/>
    <w:rsid w:val="00783962"/>
    <w:rsid w:val="00783C05"/>
    <w:rsid w:val="0078528D"/>
    <w:rsid w:val="00785F18"/>
    <w:rsid w:val="00786E8E"/>
    <w:rsid w:val="0079175F"/>
    <w:rsid w:val="00791B3E"/>
    <w:rsid w:val="00791C0D"/>
    <w:rsid w:val="0079204D"/>
    <w:rsid w:val="00792686"/>
    <w:rsid w:val="007937E8"/>
    <w:rsid w:val="00794D38"/>
    <w:rsid w:val="007959F8"/>
    <w:rsid w:val="00797946"/>
    <w:rsid w:val="007A048C"/>
    <w:rsid w:val="007A1E65"/>
    <w:rsid w:val="007A1FEA"/>
    <w:rsid w:val="007A349C"/>
    <w:rsid w:val="007A3544"/>
    <w:rsid w:val="007A3567"/>
    <w:rsid w:val="007A59D0"/>
    <w:rsid w:val="007B074C"/>
    <w:rsid w:val="007B0A95"/>
    <w:rsid w:val="007B1226"/>
    <w:rsid w:val="007B16AA"/>
    <w:rsid w:val="007B1CEF"/>
    <w:rsid w:val="007B2D59"/>
    <w:rsid w:val="007B30E7"/>
    <w:rsid w:val="007B3FDB"/>
    <w:rsid w:val="007B6D8A"/>
    <w:rsid w:val="007C0581"/>
    <w:rsid w:val="007C0986"/>
    <w:rsid w:val="007C1C2A"/>
    <w:rsid w:val="007C372F"/>
    <w:rsid w:val="007D1347"/>
    <w:rsid w:val="007D15ED"/>
    <w:rsid w:val="007D2D21"/>
    <w:rsid w:val="007D2DE2"/>
    <w:rsid w:val="007D3F5C"/>
    <w:rsid w:val="007D74A0"/>
    <w:rsid w:val="007D7A6F"/>
    <w:rsid w:val="007D7E33"/>
    <w:rsid w:val="007E095D"/>
    <w:rsid w:val="007E0D77"/>
    <w:rsid w:val="007E20FF"/>
    <w:rsid w:val="007E2CC5"/>
    <w:rsid w:val="007E4540"/>
    <w:rsid w:val="007E51B8"/>
    <w:rsid w:val="007E561E"/>
    <w:rsid w:val="007E7270"/>
    <w:rsid w:val="007F1F38"/>
    <w:rsid w:val="007F2B74"/>
    <w:rsid w:val="007F2BE4"/>
    <w:rsid w:val="007F3D6A"/>
    <w:rsid w:val="007F6178"/>
    <w:rsid w:val="007F697D"/>
    <w:rsid w:val="007F6CAF"/>
    <w:rsid w:val="007F729D"/>
    <w:rsid w:val="0080204A"/>
    <w:rsid w:val="0080393D"/>
    <w:rsid w:val="00804855"/>
    <w:rsid w:val="0081100A"/>
    <w:rsid w:val="008140B0"/>
    <w:rsid w:val="00814602"/>
    <w:rsid w:val="00814A8B"/>
    <w:rsid w:val="008216A7"/>
    <w:rsid w:val="0082237D"/>
    <w:rsid w:val="00824076"/>
    <w:rsid w:val="00824455"/>
    <w:rsid w:val="008245D5"/>
    <w:rsid w:val="008250C5"/>
    <w:rsid w:val="008276A0"/>
    <w:rsid w:val="0083070A"/>
    <w:rsid w:val="00832D1F"/>
    <w:rsid w:val="00834F39"/>
    <w:rsid w:val="008350E9"/>
    <w:rsid w:val="00835A0E"/>
    <w:rsid w:val="00835AB4"/>
    <w:rsid w:val="00835ABC"/>
    <w:rsid w:val="00835F14"/>
    <w:rsid w:val="00841B06"/>
    <w:rsid w:val="00841E0E"/>
    <w:rsid w:val="00841F84"/>
    <w:rsid w:val="0084392E"/>
    <w:rsid w:val="008439E0"/>
    <w:rsid w:val="00843FA6"/>
    <w:rsid w:val="00845762"/>
    <w:rsid w:val="00845E81"/>
    <w:rsid w:val="00847E25"/>
    <w:rsid w:val="008500F7"/>
    <w:rsid w:val="008516AC"/>
    <w:rsid w:val="00851C11"/>
    <w:rsid w:val="00853F12"/>
    <w:rsid w:val="00857175"/>
    <w:rsid w:val="00860517"/>
    <w:rsid w:val="00861BB2"/>
    <w:rsid w:val="00862D01"/>
    <w:rsid w:val="0086383A"/>
    <w:rsid w:val="00864B48"/>
    <w:rsid w:val="00872520"/>
    <w:rsid w:val="0087298B"/>
    <w:rsid w:val="008733A0"/>
    <w:rsid w:val="0087441B"/>
    <w:rsid w:val="0087576B"/>
    <w:rsid w:val="008758EC"/>
    <w:rsid w:val="00881727"/>
    <w:rsid w:val="00882744"/>
    <w:rsid w:val="00883936"/>
    <w:rsid w:val="008839C4"/>
    <w:rsid w:val="00883B2E"/>
    <w:rsid w:val="008845A4"/>
    <w:rsid w:val="008853C6"/>
    <w:rsid w:val="008856B5"/>
    <w:rsid w:val="008856BB"/>
    <w:rsid w:val="00885CB0"/>
    <w:rsid w:val="008866E9"/>
    <w:rsid w:val="008869EA"/>
    <w:rsid w:val="00886F15"/>
    <w:rsid w:val="00887DA4"/>
    <w:rsid w:val="00892997"/>
    <w:rsid w:val="0089413B"/>
    <w:rsid w:val="008968B5"/>
    <w:rsid w:val="00897125"/>
    <w:rsid w:val="008A0B37"/>
    <w:rsid w:val="008A1E58"/>
    <w:rsid w:val="008A2DC1"/>
    <w:rsid w:val="008A422F"/>
    <w:rsid w:val="008A7D72"/>
    <w:rsid w:val="008B1286"/>
    <w:rsid w:val="008B18DE"/>
    <w:rsid w:val="008B1D1D"/>
    <w:rsid w:val="008B395D"/>
    <w:rsid w:val="008B3C3C"/>
    <w:rsid w:val="008B4D64"/>
    <w:rsid w:val="008B6AB3"/>
    <w:rsid w:val="008B6D48"/>
    <w:rsid w:val="008B7153"/>
    <w:rsid w:val="008B7A89"/>
    <w:rsid w:val="008C019B"/>
    <w:rsid w:val="008C127F"/>
    <w:rsid w:val="008C12C7"/>
    <w:rsid w:val="008C2261"/>
    <w:rsid w:val="008C3AE8"/>
    <w:rsid w:val="008C4950"/>
    <w:rsid w:val="008C635E"/>
    <w:rsid w:val="008C66F0"/>
    <w:rsid w:val="008C7009"/>
    <w:rsid w:val="008C7EE2"/>
    <w:rsid w:val="008D1D94"/>
    <w:rsid w:val="008D251B"/>
    <w:rsid w:val="008D2DF6"/>
    <w:rsid w:val="008D31DD"/>
    <w:rsid w:val="008D4251"/>
    <w:rsid w:val="008D474D"/>
    <w:rsid w:val="008D489E"/>
    <w:rsid w:val="008D57C6"/>
    <w:rsid w:val="008D5891"/>
    <w:rsid w:val="008D6842"/>
    <w:rsid w:val="008D758B"/>
    <w:rsid w:val="008E0981"/>
    <w:rsid w:val="008E51EB"/>
    <w:rsid w:val="008E573E"/>
    <w:rsid w:val="008E6D33"/>
    <w:rsid w:val="008E7904"/>
    <w:rsid w:val="008F1532"/>
    <w:rsid w:val="008F1B85"/>
    <w:rsid w:val="008F30F5"/>
    <w:rsid w:val="008F39C1"/>
    <w:rsid w:val="008F64FF"/>
    <w:rsid w:val="00900FDB"/>
    <w:rsid w:val="0090126D"/>
    <w:rsid w:val="00902396"/>
    <w:rsid w:val="009031A7"/>
    <w:rsid w:val="009039D2"/>
    <w:rsid w:val="00904660"/>
    <w:rsid w:val="00904AF7"/>
    <w:rsid w:val="009061DB"/>
    <w:rsid w:val="00906FC4"/>
    <w:rsid w:val="009072AA"/>
    <w:rsid w:val="00911028"/>
    <w:rsid w:val="00913B9B"/>
    <w:rsid w:val="00914073"/>
    <w:rsid w:val="009146C5"/>
    <w:rsid w:val="009154B4"/>
    <w:rsid w:val="00915DB3"/>
    <w:rsid w:val="009163BB"/>
    <w:rsid w:val="00916796"/>
    <w:rsid w:val="0092095B"/>
    <w:rsid w:val="00921B3C"/>
    <w:rsid w:val="0092414C"/>
    <w:rsid w:val="00924609"/>
    <w:rsid w:val="00926D60"/>
    <w:rsid w:val="00927A4A"/>
    <w:rsid w:val="00927B54"/>
    <w:rsid w:val="009317A2"/>
    <w:rsid w:val="00931B29"/>
    <w:rsid w:val="009335E2"/>
    <w:rsid w:val="00933AAC"/>
    <w:rsid w:val="0093503C"/>
    <w:rsid w:val="009354E0"/>
    <w:rsid w:val="0093573F"/>
    <w:rsid w:val="00937474"/>
    <w:rsid w:val="009412DC"/>
    <w:rsid w:val="00942969"/>
    <w:rsid w:val="00942EA9"/>
    <w:rsid w:val="00942EDC"/>
    <w:rsid w:val="0094347D"/>
    <w:rsid w:val="009439D6"/>
    <w:rsid w:val="0094419B"/>
    <w:rsid w:val="0094477D"/>
    <w:rsid w:val="00944E2E"/>
    <w:rsid w:val="009457DD"/>
    <w:rsid w:val="009466BD"/>
    <w:rsid w:val="00946A3C"/>
    <w:rsid w:val="00946C99"/>
    <w:rsid w:val="0095053E"/>
    <w:rsid w:val="00950C3A"/>
    <w:rsid w:val="00954C01"/>
    <w:rsid w:val="00954FDB"/>
    <w:rsid w:val="00956AC9"/>
    <w:rsid w:val="00956D99"/>
    <w:rsid w:val="00961525"/>
    <w:rsid w:val="00961596"/>
    <w:rsid w:val="009615AD"/>
    <w:rsid w:val="00962062"/>
    <w:rsid w:val="00962670"/>
    <w:rsid w:val="00965FF3"/>
    <w:rsid w:val="00966669"/>
    <w:rsid w:val="00966DFC"/>
    <w:rsid w:val="00967F1A"/>
    <w:rsid w:val="009705E7"/>
    <w:rsid w:val="00970BAB"/>
    <w:rsid w:val="00970BE7"/>
    <w:rsid w:val="009724F2"/>
    <w:rsid w:val="00972729"/>
    <w:rsid w:val="00973A2C"/>
    <w:rsid w:val="00980B29"/>
    <w:rsid w:val="0098173B"/>
    <w:rsid w:val="0098213C"/>
    <w:rsid w:val="009852B4"/>
    <w:rsid w:val="00987A26"/>
    <w:rsid w:val="00987A73"/>
    <w:rsid w:val="0099133A"/>
    <w:rsid w:val="0099199F"/>
    <w:rsid w:val="009921ED"/>
    <w:rsid w:val="009923D6"/>
    <w:rsid w:val="00992768"/>
    <w:rsid w:val="00993B2F"/>
    <w:rsid w:val="0099403E"/>
    <w:rsid w:val="0099462D"/>
    <w:rsid w:val="0099496B"/>
    <w:rsid w:val="00994986"/>
    <w:rsid w:val="00996C97"/>
    <w:rsid w:val="00997602"/>
    <w:rsid w:val="00997EE9"/>
    <w:rsid w:val="00997FB1"/>
    <w:rsid w:val="009A033B"/>
    <w:rsid w:val="009A0E58"/>
    <w:rsid w:val="009A1021"/>
    <w:rsid w:val="009A2F2A"/>
    <w:rsid w:val="009A4B15"/>
    <w:rsid w:val="009A62F2"/>
    <w:rsid w:val="009A715E"/>
    <w:rsid w:val="009A7539"/>
    <w:rsid w:val="009B05A6"/>
    <w:rsid w:val="009B1571"/>
    <w:rsid w:val="009B21E0"/>
    <w:rsid w:val="009B2D53"/>
    <w:rsid w:val="009B333D"/>
    <w:rsid w:val="009B4048"/>
    <w:rsid w:val="009B4B9C"/>
    <w:rsid w:val="009B6A7E"/>
    <w:rsid w:val="009B753C"/>
    <w:rsid w:val="009C045C"/>
    <w:rsid w:val="009C1534"/>
    <w:rsid w:val="009C2988"/>
    <w:rsid w:val="009C2F5A"/>
    <w:rsid w:val="009C3A97"/>
    <w:rsid w:val="009C504A"/>
    <w:rsid w:val="009C5D86"/>
    <w:rsid w:val="009C686D"/>
    <w:rsid w:val="009C73BF"/>
    <w:rsid w:val="009C79E1"/>
    <w:rsid w:val="009D0391"/>
    <w:rsid w:val="009D09B0"/>
    <w:rsid w:val="009D09BA"/>
    <w:rsid w:val="009D0FA9"/>
    <w:rsid w:val="009D4493"/>
    <w:rsid w:val="009D61AB"/>
    <w:rsid w:val="009D7559"/>
    <w:rsid w:val="009D7EF0"/>
    <w:rsid w:val="009E036E"/>
    <w:rsid w:val="009E04F7"/>
    <w:rsid w:val="009E20F3"/>
    <w:rsid w:val="009E5295"/>
    <w:rsid w:val="009E5CC3"/>
    <w:rsid w:val="009E5DA8"/>
    <w:rsid w:val="009E6976"/>
    <w:rsid w:val="009E6BE0"/>
    <w:rsid w:val="009E71A5"/>
    <w:rsid w:val="009E7710"/>
    <w:rsid w:val="009E7E5F"/>
    <w:rsid w:val="009E7FD5"/>
    <w:rsid w:val="009F0B22"/>
    <w:rsid w:val="009F199A"/>
    <w:rsid w:val="009F2E2D"/>
    <w:rsid w:val="009F3E6D"/>
    <w:rsid w:val="009F7113"/>
    <w:rsid w:val="00A005F1"/>
    <w:rsid w:val="00A00CAF"/>
    <w:rsid w:val="00A02B83"/>
    <w:rsid w:val="00A040DD"/>
    <w:rsid w:val="00A04CA8"/>
    <w:rsid w:val="00A05928"/>
    <w:rsid w:val="00A06022"/>
    <w:rsid w:val="00A07DC9"/>
    <w:rsid w:val="00A10A9E"/>
    <w:rsid w:val="00A11127"/>
    <w:rsid w:val="00A12D51"/>
    <w:rsid w:val="00A12F1B"/>
    <w:rsid w:val="00A131EE"/>
    <w:rsid w:val="00A13F66"/>
    <w:rsid w:val="00A145F4"/>
    <w:rsid w:val="00A14BEF"/>
    <w:rsid w:val="00A14C0E"/>
    <w:rsid w:val="00A15D7B"/>
    <w:rsid w:val="00A17AF7"/>
    <w:rsid w:val="00A21C2A"/>
    <w:rsid w:val="00A21E02"/>
    <w:rsid w:val="00A22D21"/>
    <w:rsid w:val="00A2507E"/>
    <w:rsid w:val="00A250BE"/>
    <w:rsid w:val="00A271A7"/>
    <w:rsid w:val="00A30CAF"/>
    <w:rsid w:val="00A311CF"/>
    <w:rsid w:val="00A31665"/>
    <w:rsid w:val="00A31D5E"/>
    <w:rsid w:val="00A3224D"/>
    <w:rsid w:val="00A32968"/>
    <w:rsid w:val="00A362E3"/>
    <w:rsid w:val="00A40014"/>
    <w:rsid w:val="00A40024"/>
    <w:rsid w:val="00A40BAC"/>
    <w:rsid w:val="00A41832"/>
    <w:rsid w:val="00A422A1"/>
    <w:rsid w:val="00A42B67"/>
    <w:rsid w:val="00A42C30"/>
    <w:rsid w:val="00A463F6"/>
    <w:rsid w:val="00A46B57"/>
    <w:rsid w:val="00A50C4E"/>
    <w:rsid w:val="00A50D85"/>
    <w:rsid w:val="00A53AF2"/>
    <w:rsid w:val="00A551E3"/>
    <w:rsid w:val="00A562FC"/>
    <w:rsid w:val="00A61BA1"/>
    <w:rsid w:val="00A67BB0"/>
    <w:rsid w:val="00A70A5A"/>
    <w:rsid w:val="00A70C6C"/>
    <w:rsid w:val="00A70EE6"/>
    <w:rsid w:val="00A73457"/>
    <w:rsid w:val="00A74149"/>
    <w:rsid w:val="00A74686"/>
    <w:rsid w:val="00A748A0"/>
    <w:rsid w:val="00A74CBD"/>
    <w:rsid w:val="00A811D9"/>
    <w:rsid w:val="00A827CB"/>
    <w:rsid w:val="00A82A9A"/>
    <w:rsid w:val="00A82DD1"/>
    <w:rsid w:val="00A83739"/>
    <w:rsid w:val="00A8393A"/>
    <w:rsid w:val="00A8484E"/>
    <w:rsid w:val="00A86273"/>
    <w:rsid w:val="00A86558"/>
    <w:rsid w:val="00A909B4"/>
    <w:rsid w:val="00A9218C"/>
    <w:rsid w:val="00A92322"/>
    <w:rsid w:val="00A92462"/>
    <w:rsid w:val="00A92527"/>
    <w:rsid w:val="00A925CB"/>
    <w:rsid w:val="00A92902"/>
    <w:rsid w:val="00A93C5B"/>
    <w:rsid w:val="00A94D90"/>
    <w:rsid w:val="00A94F1D"/>
    <w:rsid w:val="00AA04B5"/>
    <w:rsid w:val="00AA0991"/>
    <w:rsid w:val="00AA0AE9"/>
    <w:rsid w:val="00AA11D9"/>
    <w:rsid w:val="00AA14B0"/>
    <w:rsid w:val="00AA217A"/>
    <w:rsid w:val="00AA3A63"/>
    <w:rsid w:val="00AA5B9D"/>
    <w:rsid w:val="00AA5F85"/>
    <w:rsid w:val="00AA6894"/>
    <w:rsid w:val="00AA6A37"/>
    <w:rsid w:val="00AB1210"/>
    <w:rsid w:val="00AB1260"/>
    <w:rsid w:val="00AB230D"/>
    <w:rsid w:val="00AB26C1"/>
    <w:rsid w:val="00AB2784"/>
    <w:rsid w:val="00AB4090"/>
    <w:rsid w:val="00AB4B9D"/>
    <w:rsid w:val="00AB4BF4"/>
    <w:rsid w:val="00AB4EFB"/>
    <w:rsid w:val="00AB6232"/>
    <w:rsid w:val="00AC3507"/>
    <w:rsid w:val="00AC3573"/>
    <w:rsid w:val="00AC3DB1"/>
    <w:rsid w:val="00AC4F8A"/>
    <w:rsid w:val="00AC7397"/>
    <w:rsid w:val="00AD207B"/>
    <w:rsid w:val="00AD47E3"/>
    <w:rsid w:val="00AD5FA4"/>
    <w:rsid w:val="00AE1220"/>
    <w:rsid w:val="00AE1296"/>
    <w:rsid w:val="00AE1873"/>
    <w:rsid w:val="00AE29B8"/>
    <w:rsid w:val="00AE4786"/>
    <w:rsid w:val="00AE4BF6"/>
    <w:rsid w:val="00AE7938"/>
    <w:rsid w:val="00AF11BE"/>
    <w:rsid w:val="00AF12AB"/>
    <w:rsid w:val="00AF1D94"/>
    <w:rsid w:val="00AF2C8A"/>
    <w:rsid w:val="00AF3F9C"/>
    <w:rsid w:val="00AF5501"/>
    <w:rsid w:val="00AF65C4"/>
    <w:rsid w:val="00AF72FD"/>
    <w:rsid w:val="00B01247"/>
    <w:rsid w:val="00B0314C"/>
    <w:rsid w:val="00B03460"/>
    <w:rsid w:val="00B0378C"/>
    <w:rsid w:val="00B0425B"/>
    <w:rsid w:val="00B04338"/>
    <w:rsid w:val="00B06E22"/>
    <w:rsid w:val="00B06F96"/>
    <w:rsid w:val="00B0725E"/>
    <w:rsid w:val="00B1159C"/>
    <w:rsid w:val="00B13018"/>
    <w:rsid w:val="00B13633"/>
    <w:rsid w:val="00B138A5"/>
    <w:rsid w:val="00B164F4"/>
    <w:rsid w:val="00B16656"/>
    <w:rsid w:val="00B16820"/>
    <w:rsid w:val="00B171D6"/>
    <w:rsid w:val="00B174CD"/>
    <w:rsid w:val="00B17516"/>
    <w:rsid w:val="00B20809"/>
    <w:rsid w:val="00B20847"/>
    <w:rsid w:val="00B20B61"/>
    <w:rsid w:val="00B238D9"/>
    <w:rsid w:val="00B241C3"/>
    <w:rsid w:val="00B247AB"/>
    <w:rsid w:val="00B25A86"/>
    <w:rsid w:val="00B25E7F"/>
    <w:rsid w:val="00B26122"/>
    <w:rsid w:val="00B26F93"/>
    <w:rsid w:val="00B272D1"/>
    <w:rsid w:val="00B277CE"/>
    <w:rsid w:val="00B316B4"/>
    <w:rsid w:val="00B31BC0"/>
    <w:rsid w:val="00B347D1"/>
    <w:rsid w:val="00B34E9B"/>
    <w:rsid w:val="00B379A8"/>
    <w:rsid w:val="00B4051D"/>
    <w:rsid w:val="00B40A93"/>
    <w:rsid w:val="00B413A1"/>
    <w:rsid w:val="00B422BC"/>
    <w:rsid w:val="00B426CA"/>
    <w:rsid w:val="00B42EDD"/>
    <w:rsid w:val="00B444B4"/>
    <w:rsid w:val="00B44669"/>
    <w:rsid w:val="00B44F71"/>
    <w:rsid w:val="00B45649"/>
    <w:rsid w:val="00B475BB"/>
    <w:rsid w:val="00B50076"/>
    <w:rsid w:val="00B5229D"/>
    <w:rsid w:val="00B5640C"/>
    <w:rsid w:val="00B61307"/>
    <w:rsid w:val="00B63DB8"/>
    <w:rsid w:val="00B641F7"/>
    <w:rsid w:val="00B662AD"/>
    <w:rsid w:val="00B66CBE"/>
    <w:rsid w:val="00B714F0"/>
    <w:rsid w:val="00B71A8C"/>
    <w:rsid w:val="00B71BAE"/>
    <w:rsid w:val="00B72E79"/>
    <w:rsid w:val="00B74826"/>
    <w:rsid w:val="00B75C67"/>
    <w:rsid w:val="00B76709"/>
    <w:rsid w:val="00B76A6A"/>
    <w:rsid w:val="00B76CF7"/>
    <w:rsid w:val="00B77584"/>
    <w:rsid w:val="00B817D0"/>
    <w:rsid w:val="00B828ED"/>
    <w:rsid w:val="00B83F7F"/>
    <w:rsid w:val="00B8499D"/>
    <w:rsid w:val="00B853C2"/>
    <w:rsid w:val="00B85CC7"/>
    <w:rsid w:val="00B86188"/>
    <w:rsid w:val="00B874AD"/>
    <w:rsid w:val="00B87579"/>
    <w:rsid w:val="00B87915"/>
    <w:rsid w:val="00B90D42"/>
    <w:rsid w:val="00B91C75"/>
    <w:rsid w:val="00B96678"/>
    <w:rsid w:val="00B96788"/>
    <w:rsid w:val="00B96D3B"/>
    <w:rsid w:val="00BA1150"/>
    <w:rsid w:val="00BA411D"/>
    <w:rsid w:val="00BA4551"/>
    <w:rsid w:val="00BA45A7"/>
    <w:rsid w:val="00BA540A"/>
    <w:rsid w:val="00BA56D0"/>
    <w:rsid w:val="00BA58CE"/>
    <w:rsid w:val="00BA65BC"/>
    <w:rsid w:val="00BA6CA1"/>
    <w:rsid w:val="00BB24DE"/>
    <w:rsid w:val="00BB2888"/>
    <w:rsid w:val="00BB7817"/>
    <w:rsid w:val="00BC0FC0"/>
    <w:rsid w:val="00BC133C"/>
    <w:rsid w:val="00BC48C9"/>
    <w:rsid w:val="00BC4E22"/>
    <w:rsid w:val="00BC623E"/>
    <w:rsid w:val="00BC651B"/>
    <w:rsid w:val="00BC6787"/>
    <w:rsid w:val="00BD09E2"/>
    <w:rsid w:val="00BD2DD3"/>
    <w:rsid w:val="00BD2E4C"/>
    <w:rsid w:val="00BD477E"/>
    <w:rsid w:val="00BD783F"/>
    <w:rsid w:val="00BE18D3"/>
    <w:rsid w:val="00BE1C08"/>
    <w:rsid w:val="00BE214D"/>
    <w:rsid w:val="00BE2981"/>
    <w:rsid w:val="00BE29A6"/>
    <w:rsid w:val="00BE5817"/>
    <w:rsid w:val="00BE68A9"/>
    <w:rsid w:val="00BE7AE5"/>
    <w:rsid w:val="00BE7C12"/>
    <w:rsid w:val="00BF4AAB"/>
    <w:rsid w:val="00BF5C36"/>
    <w:rsid w:val="00BF6657"/>
    <w:rsid w:val="00C01A54"/>
    <w:rsid w:val="00C01D31"/>
    <w:rsid w:val="00C01F6F"/>
    <w:rsid w:val="00C02E74"/>
    <w:rsid w:val="00C045A0"/>
    <w:rsid w:val="00C052E4"/>
    <w:rsid w:val="00C05ECF"/>
    <w:rsid w:val="00C0739E"/>
    <w:rsid w:val="00C07FA2"/>
    <w:rsid w:val="00C12262"/>
    <w:rsid w:val="00C13DF6"/>
    <w:rsid w:val="00C150D2"/>
    <w:rsid w:val="00C2026B"/>
    <w:rsid w:val="00C206C0"/>
    <w:rsid w:val="00C20C3D"/>
    <w:rsid w:val="00C21178"/>
    <w:rsid w:val="00C21AD4"/>
    <w:rsid w:val="00C22D4E"/>
    <w:rsid w:val="00C23F2C"/>
    <w:rsid w:val="00C242FE"/>
    <w:rsid w:val="00C24DF6"/>
    <w:rsid w:val="00C27793"/>
    <w:rsid w:val="00C305C1"/>
    <w:rsid w:val="00C33250"/>
    <w:rsid w:val="00C33410"/>
    <w:rsid w:val="00C35D0A"/>
    <w:rsid w:val="00C37B7A"/>
    <w:rsid w:val="00C37CEE"/>
    <w:rsid w:val="00C404CA"/>
    <w:rsid w:val="00C437D9"/>
    <w:rsid w:val="00C458E6"/>
    <w:rsid w:val="00C502A5"/>
    <w:rsid w:val="00C5033D"/>
    <w:rsid w:val="00C5044D"/>
    <w:rsid w:val="00C50943"/>
    <w:rsid w:val="00C50B10"/>
    <w:rsid w:val="00C51DED"/>
    <w:rsid w:val="00C520CD"/>
    <w:rsid w:val="00C5249D"/>
    <w:rsid w:val="00C52715"/>
    <w:rsid w:val="00C5289F"/>
    <w:rsid w:val="00C52E6D"/>
    <w:rsid w:val="00C56A43"/>
    <w:rsid w:val="00C56CAF"/>
    <w:rsid w:val="00C56EF8"/>
    <w:rsid w:val="00C57EC6"/>
    <w:rsid w:val="00C6028A"/>
    <w:rsid w:val="00C6126B"/>
    <w:rsid w:val="00C634FA"/>
    <w:rsid w:val="00C63A87"/>
    <w:rsid w:val="00C656F5"/>
    <w:rsid w:val="00C6671F"/>
    <w:rsid w:val="00C7142F"/>
    <w:rsid w:val="00C73A65"/>
    <w:rsid w:val="00C75795"/>
    <w:rsid w:val="00C80944"/>
    <w:rsid w:val="00C80DA8"/>
    <w:rsid w:val="00C8277E"/>
    <w:rsid w:val="00C82A4A"/>
    <w:rsid w:val="00C8424C"/>
    <w:rsid w:val="00C8435A"/>
    <w:rsid w:val="00C8464B"/>
    <w:rsid w:val="00C8497D"/>
    <w:rsid w:val="00C850E2"/>
    <w:rsid w:val="00C859AC"/>
    <w:rsid w:val="00C86E22"/>
    <w:rsid w:val="00C86F96"/>
    <w:rsid w:val="00C905FD"/>
    <w:rsid w:val="00C907F7"/>
    <w:rsid w:val="00C91281"/>
    <w:rsid w:val="00C918FA"/>
    <w:rsid w:val="00C92330"/>
    <w:rsid w:val="00C933CA"/>
    <w:rsid w:val="00C964B5"/>
    <w:rsid w:val="00CA09AC"/>
    <w:rsid w:val="00CA0C3E"/>
    <w:rsid w:val="00CA0D6A"/>
    <w:rsid w:val="00CA1261"/>
    <w:rsid w:val="00CA170F"/>
    <w:rsid w:val="00CA2E99"/>
    <w:rsid w:val="00CA4DC0"/>
    <w:rsid w:val="00CA65C7"/>
    <w:rsid w:val="00CA6D3F"/>
    <w:rsid w:val="00CA6ED7"/>
    <w:rsid w:val="00CA702B"/>
    <w:rsid w:val="00CA70EB"/>
    <w:rsid w:val="00CB23DD"/>
    <w:rsid w:val="00CB3165"/>
    <w:rsid w:val="00CB5353"/>
    <w:rsid w:val="00CB6FFE"/>
    <w:rsid w:val="00CC4EB8"/>
    <w:rsid w:val="00CC7D9E"/>
    <w:rsid w:val="00CD0711"/>
    <w:rsid w:val="00CD1C09"/>
    <w:rsid w:val="00CD25A2"/>
    <w:rsid w:val="00CD3F5B"/>
    <w:rsid w:val="00CD5629"/>
    <w:rsid w:val="00CD5831"/>
    <w:rsid w:val="00CD5F61"/>
    <w:rsid w:val="00CD5F70"/>
    <w:rsid w:val="00CD638A"/>
    <w:rsid w:val="00CD6E87"/>
    <w:rsid w:val="00CD7AD1"/>
    <w:rsid w:val="00CD7FB3"/>
    <w:rsid w:val="00CE0523"/>
    <w:rsid w:val="00CE124C"/>
    <w:rsid w:val="00CE28F5"/>
    <w:rsid w:val="00CE533E"/>
    <w:rsid w:val="00CF5E1E"/>
    <w:rsid w:val="00CF6CC6"/>
    <w:rsid w:val="00CF7255"/>
    <w:rsid w:val="00D004D6"/>
    <w:rsid w:val="00D00FDA"/>
    <w:rsid w:val="00D017C9"/>
    <w:rsid w:val="00D02C5C"/>
    <w:rsid w:val="00D02E41"/>
    <w:rsid w:val="00D031F1"/>
    <w:rsid w:val="00D03844"/>
    <w:rsid w:val="00D0416E"/>
    <w:rsid w:val="00D0462B"/>
    <w:rsid w:val="00D05775"/>
    <w:rsid w:val="00D06356"/>
    <w:rsid w:val="00D07074"/>
    <w:rsid w:val="00D07601"/>
    <w:rsid w:val="00D07BF1"/>
    <w:rsid w:val="00D07F98"/>
    <w:rsid w:val="00D07FF4"/>
    <w:rsid w:val="00D1081B"/>
    <w:rsid w:val="00D11848"/>
    <w:rsid w:val="00D122AD"/>
    <w:rsid w:val="00D17BA1"/>
    <w:rsid w:val="00D17F27"/>
    <w:rsid w:val="00D206ED"/>
    <w:rsid w:val="00D20A56"/>
    <w:rsid w:val="00D20E94"/>
    <w:rsid w:val="00D221DD"/>
    <w:rsid w:val="00D222E2"/>
    <w:rsid w:val="00D22FFC"/>
    <w:rsid w:val="00D2416C"/>
    <w:rsid w:val="00D2739E"/>
    <w:rsid w:val="00D3009F"/>
    <w:rsid w:val="00D309DA"/>
    <w:rsid w:val="00D31C16"/>
    <w:rsid w:val="00D36BE2"/>
    <w:rsid w:val="00D403F8"/>
    <w:rsid w:val="00D40999"/>
    <w:rsid w:val="00D41F1A"/>
    <w:rsid w:val="00D4225A"/>
    <w:rsid w:val="00D422CF"/>
    <w:rsid w:val="00D43464"/>
    <w:rsid w:val="00D450CF"/>
    <w:rsid w:val="00D451B2"/>
    <w:rsid w:val="00D4637D"/>
    <w:rsid w:val="00D46C05"/>
    <w:rsid w:val="00D504C6"/>
    <w:rsid w:val="00D53457"/>
    <w:rsid w:val="00D546E0"/>
    <w:rsid w:val="00D55AE7"/>
    <w:rsid w:val="00D602A2"/>
    <w:rsid w:val="00D60BFB"/>
    <w:rsid w:val="00D61273"/>
    <w:rsid w:val="00D61E05"/>
    <w:rsid w:val="00D61EE6"/>
    <w:rsid w:val="00D64A35"/>
    <w:rsid w:val="00D64EAF"/>
    <w:rsid w:val="00D65BBD"/>
    <w:rsid w:val="00D721BC"/>
    <w:rsid w:val="00D74C5C"/>
    <w:rsid w:val="00D74C9C"/>
    <w:rsid w:val="00D74F7D"/>
    <w:rsid w:val="00D76160"/>
    <w:rsid w:val="00D768CF"/>
    <w:rsid w:val="00D76ACF"/>
    <w:rsid w:val="00D76AD8"/>
    <w:rsid w:val="00D7778C"/>
    <w:rsid w:val="00D8167F"/>
    <w:rsid w:val="00D83ABE"/>
    <w:rsid w:val="00D85424"/>
    <w:rsid w:val="00D86369"/>
    <w:rsid w:val="00D863AF"/>
    <w:rsid w:val="00D86D4E"/>
    <w:rsid w:val="00D911AA"/>
    <w:rsid w:val="00D91619"/>
    <w:rsid w:val="00D92167"/>
    <w:rsid w:val="00D93D62"/>
    <w:rsid w:val="00D93E13"/>
    <w:rsid w:val="00D94EA6"/>
    <w:rsid w:val="00D955E5"/>
    <w:rsid w:val="00D95D53"/>
    <w:rsid w:val="00D979D8"/>
    <w:rsid w:val="00DA08E9"/>
    <w:rsid w:val="00DA0E14"/>
    <w:rsid w:val="00DA372E"/>
    <w:rsid w:val="00DA535D"/>
    <w:rsid w:val="00DA7CAE"/>
    <w:rsid w:val="00DB0B59"/>
    <w:rsid w:val="00DB32E9"/>
    <w:rsid w:val="00DB3C84"/>
    <w:rsid w:val="00DB4BE4"/>
    <w:rsid w:val="00DC0CB8"/>
    <w:rsid w:val="00DC2164"/>
    <w:rsid w:val="00DC32C5"/>
    <w:rsid w:val="00DC46C6"/>
    <w:rsid w:val="00DC4CF8"/>
    <w:rsid w:val="00DC5F3D"/>
    <w:rsid w:val="00DC646D"/>
    <w:rsid w:val="00DC6856"/>
    <w:rsid w:val="00DC6B36"/>
    <w:rsid w:val="00DC7405"/>
    <w:rsid w:val="00DC7846"/>
    <w:rsid w:val="00DC7D25"/>
    <w:rsid w:val="00DD0B22"/>
    <w:rsid w:val="00DD0D5A"/>
    <w:rsid w:val="00DD1435"/>
    <w:rsid w:val="00DD2B5B"/>
    <w:rsid w:val="00DD3EF4"/>
    <w:rsid w:val="00DD4D9B"/>
    <w:rsid w:val="00DD51E7"/>
    <w:rsid w:val="00DD55EE"/>
    <w:rsid w:val="00DD57A9"/>
    <w:rsid w:val="00DD62BA"/>
    <w:rsid w:val="00DE0471"/>
    <w:rsid w:val="00DE0C61"/>
    <w:rsid w:val="00DE1EED"/>
    <w:rsid w:val="00DE3378"/>
    <w:rsid w:val="00DE3797"/>
    <w:rsid w:val="00DE3941"/>
    <w:rsid w:val="00DE3BE8"/>
    <w:rsid w:val="00DE3C21"/>
    <w:rsid w:val="00DE3F49"/>
    <w:rsid w:val="00DE618E"/>
    <w:rsid w:val="00DE6233"/>
    <w:rsid w:val="00DE6D8A"/>
    <w:rsid w:val="00DE77E6"/>
    <w:rsid w:val="00DF02FF"/>
    <w:rsid w:val="00DF08FF"/>
    <w:rsid w:val="00DF2EBC"/>
    <w:rsid w:val="00DF4109"/>
    <w:rsid w:val="00DF5422"/>
    <w:rsid w:val="00DF5B98"/>
    <w:rsid w:val="00DF6C65"/>
    <w:rsid w:val="00E01D92"/>
    <w:rsid w:val="00E03C8C"/>
    <w:rsid w:val="00E0412A"/>
    <w:rsid w:val="00E05B05"/>
    <w:rsid w:val="00E06712"/>
    <w:rsid w:val="00E07BE2"/>
    <w:rsid w:val="00E1011F"/>
    <w:rsid w:val="00E12A6F"/>
    <w:rsid w:val="00E13824"/>
    <w:rsid w:val="00E16A83"/>
    <w:rsid w:val="00E2195A"/>
    <w:rsid w:val="00E22C25"/>
    <w:rsid w:val="00E25347"/>
    <w:rsid w:val="00E2692E"/>
    <w:rsid w:val="00E27261"/>
    <w:rsid w:val="00E27AEE"/>
    <w:rsid w:val="00E31C92"/>
    <w:rsid w:val="00E326C8"/>
    <w:rsid w:val="00E330EE"/>
    <w:rsid w:val="00E33B43"/>
    <w:rsid w:val="00E34593"/>
    <w:rsid w:val="00E3468B"/>
    <w:rsid w:val="00E347CB"/>
    <w:rsid w:val="00E35443"/>
    <w:rsid w:val="00E355FA"/>
    <w:rsid w:val="00E37691"/>
    <w:rsid w:val="00E376FC"/>
    <w:rsid w:val="00E37847"/>
    <w:rsid w:val="00E40B07"/>
    <w:rsid w:val="00E40E96"/>
    <w:rsid w:val="00E4460E"/>
    <w:rsid w:val="00E459A2"/>
    <w:rsid w:val="00E45B42"/>
    <w:rsid w:val="00E45E3E"/>
    <w:rsid w:val="00E465B3"/>
    <w:rsid w:val="00E510BF"/>
    <w:rsid w:val="00E51DD5"/>
    <w:rsid w:val="00E520EB"/>
    <w:rsid w:val="00E522A3"/>
    <w:rsid w:val="00E553E6"/>
    <w:rsid w:val="00E55780"/>
    <w:rsid w:val="00E55BB0"/>
    <w:rsid w:val="00E55C3F"/>
    <w:rsid w:val="00E55CAE"/>
    <w:rsid w:val="00E566FB"/>
    <w:rsid w:val="00E568CA"/>
    <w:rsid w:val="00E606C0"/>
    <w:rsid w:val="00E60741"/>
    <w:rsid w:val="00E616E9"/>
    <w:rsid w:val="00E61F53"/>
    <w:rsid w:val="00E63EE8"/>
    <w:rsid w:val="00E649A5"/>
    <w:rsid w:val="00E66432"/>
    <w:rsid w:val="00E66C3E"/>
    <w:rsid w:val="00E70062"/>
    <w:rsid w:val="00E72D88"/>
    <w:rsid w:val="00E747F4"/>
    <w:rsid w:val="00E774CF"/>
    <w:rsid w:val="00E82485"/>
    <w:rsid w:val="00E82EFA"/>
    <w:rsid w:val="00E83842"/>
    <w:rsid w:val="00E83AB8"/>
    <w:rsid w:val="00E8414E"/>
    <w:rsid w:val="00E845A5"/>
    <w:rsid w:val="00E84C9F"/>
    <w:rsid w:val="00E84DBD"/>
    <w:rsid w:val="00E84F2B"/>
    <w:rsid w:val="00E8585A"/>
    <w:rsid w:val="00E862A7"/>
    <w:rsid w:val="00E90B05"/>
    <w:rsid w:val="00E91060"/>
    <w:rsid w:val="00E91205"/>
    <w:rsid w:val="00E928C6"/>
    <w:rsid w:val="00E95E46"/>
    <w:rsid w:val="00E9759F"/>
    <w:rsid w:val="00E97A77"/>
    <w:rsid w:val="00E97EBE"/>
    <w:rsid w:val="00E97F22"/>
    <w:rsid w:val="00EA2328"/>
    <w:rsid w:val="00EA264A"/>
    <w:rsid w:val="00EA2A65"/>
    <w:rsid w:val="00EA39C4"/>
    <w:rsid w:val="00EA3A31"/>
    <w:rsid w:val="00EA3ACC"/>
    <w:rsid w:val="00EA4B11"/>
    <w:rsid w:val="00EA4D2F"/>
    <w:rsid w:val="00EA66BF"/>
    <w:rsid w:val="00EA6721"/>
    <w:rsid w:val="00EA6CBA"/>
    <w:rsid w:val="00EB3C6C"/>
    <w:rsid w:val="00EB4502"/>
    <w:rsid w:val="00EB451E"/>
    <w:rsid w:val="00EB4655"/>
    <w:rsid w:val="00EB4979"/>
    <w:rsid w:val="00EB4A87"/>
    <w:rsid w:val="00EB5A1B"/>
    <w:rsid w:val="00EB5EEE"/>
    <w:rsid w:val="00EB6323"/>
    <w:rsid w:val="00EB75F1"/>
    <w:rsid w:val="00EC0B6E"/>
    <w:rsid w:val="00EC171B"/>
    <w:rsid w:val="00EC1CAA"/>
    <w:rsid w:val="00EC3642"/>
    <w:rsid w:val="00EC3CDC"/>
    <w:rsid w:val="00EC4B9D"/>
    <w:rsid w:val="00EC5085"/>
    <w:rsid w:val="00EC6EDA"/>
    <w:rsid w:val="00ED041B"/>
    <w:rsid w:val="00ED150C"/>
    <w:rsid w:val="00ED32BC"/>
    <w:rsid w:val="00ED3F7A"/>
    <w:rsid w:val="00ED400B"/>
    <w:rsid w:val="00ED475D"/>
    <w:rsid w:val="00ED6255"/>
    <w:rsid w:val="00ED65E1"/>
    <w:rsid w:val="00ED689D"/>
    <w:rsid w:val="00ED74EB"/>
    <w:rsid w:val="00ED7CE6"/>
    <w:rsid w:val="00EE08B8"/>
    <w:rsid w:val="00EE1AB0"/>
    <w:rsid w:val="00EE2A9E"/>
    <w:rsid w:val="00EE2FA7"/>
    <w:rsid w:val="00EE3C37"/>
    <w:rsid w:val="00EE5C00"/>
    <w:rsid w:val="00EE6939"/>
    <w:rsid w:val="00EF097D"/>
    <w:rsid w:val="00EF1374"/>
    <w:rsid w:val="00EF2A80"/>
    <w:rsid w:val="00EF2B14"/>
    <w:rsid w:val="00EF4177"/>
    <w:rsid w:val="00EF4B33"/>
    <w:rsid w:val="00EF4CDB"/>
    <w:rsid w:val="00EF4FEA"/>
    <w:rsid w:val="00EF61FC"/>
    <w:rsid w:val="00EF63DF"/>
    <w:rsid w:val="00EF6748"/>
    <w:rsid w:val="00EF6B69"/>
    <w:rsid w:val="00F00064"/>
    <w:rsid w:val="00F02354"/>
    <w:rsid w:val="00F04F51"/>
    <w:rsid w:val="00F052BB"/>
    <w:rsid w:val="00F06216"/>
    <w:rsid w:val="00F06C09"/>
    <w:rsid w:val="00F07E74"/>
    <w:rsid w:val="00F10002"/>
    <w:rsid w:val="00F10083"/>
    <w:rsid w:val="00F10892"/>
    <w:rsid w:val="00F109EA"/>
    <w:rsid w:val="00F10B28"/>
    <w:rsid w:val="00F11F37"/>
    <w:rsid w:val="00F12BA6"/>
    <w:rsid w:val="00F15722"/>
    <w:rsid w:val="00F207DF"/>
    <w:rsid w:val="00F20BF2"/>
    <w:rsid w:val="00F20EEA"/>
    <w:rsid w:val="00F228D2"/>
    <w:rsid w:val="00F26F7F"/>
    <w:rsid w:val="00F276EB"/>
    <w:rsid w:val="00F27C52"/>
    <w:rsid w:val="00F31235"/>
    <w:rsid w:val="00F32E13"/>
    <w:rsid w:val="00F3331B"/>
    <w:rsid w:val="00F403F6"/>
    <w:rsid w:val="00F413FA"/>
    <w:rsid w:val="00F421F5"/>
    <w:rsid w:val="00F44B24"/>
    <w:rsid w:val="00F44C28"/>
    <w:rsid w:val="00F4511C"/>
    <w:rsid w:val="00F4793C"/>
    <w:rsid w:val="00F47E52"/>
    <w:rsid w:val="00F508A1"/>
    <w:rsid w:val="00F50D37"/>
    <w:rsid w:val="00F54803"/>
    <w:rsid w:val="00F5788D"/>
    <w:rsid w:val="00F57F5A"/>
    <w:rsid w:val="00F6086B"/>
    <w:rsid w:val="00F64128"/>
    <w:rsid w:val="00F66043"/>
    <w:rsid w:val="00F660D5"/>
    <w:rsid w:val="00F66F0E"/>
    <w:rsid w:val="00F67E19"/>
    <w:rsid w:val="00F717BD"/>
    <w:rsid w:val="00F721DE"/>
    <w:rsid w:val="00F727D2"/>
    <w:rsid w:val="00F73CB4"/>
    <w:rsid w:val="00F740E4"/>
    <w:rsid w:val="00F755E0"/>
    <w:rsid w:val="00F75D7D"/>
    <w:rsid w:val="00F761FE"/>
    <w:rsid w:val="00F76FC7"/>
    <w:rsid w:val="00F77A43"/>
    <w:rsid w:val="00F809E4"/>
    <w:rsid w:val="00F80DB0"/>
    <w:rsid w:val="00F814D0"/>
    <w:rsid w:val="00F83844"/>
    <w:rsid w:val="00F840D9"/>
    <w:rsid w:val="00F85DFA"/>
    <w:rsid w:val="00F90694"/>
    <w:rsid w:val="00F918A5"/>
    <w:rsid w:val="00F92AD2"/>
    <w:rsid w:val="00F93537"/>
    <w:rsid w:val="00F93ECA"/>
    <w:rsid w:val="00F94BE9"/>
    <w:rsid w:val="00F976D4"/>
    <w:rsid w:val="00FA3FD9"/>
    <w:rsid w:val="00FA47F1"/>
    <w:rsid w:val="00FA7078"/>
    <w:rsid w:val="00FA735F"/>
    <w:rsid w:val="00FB0DDD"/>
    <w:rsid w:val="00FB13F2"/>
    <w:rsid w:val="00FB1706"/>
    <w:rsid w:val="00FB2753"/>
    <w:rsid w:val="00FB2B2E"/>
    <w:rsid w:val="00FB70AD"/>
    <w:rsid w:val="00FB7C8F"/>
    <w:rsid w:val="00FC06C0"/>
    <w:rsid w:val="00FC0FB1"/>
    <w:rsid w:val="00FC1E5D"/>
    <w:rsid w:val="00FC350A"/>
    <w:rsid w:val="00FC3E5E"/>
    <w:rsid w:val="00FC694E"/>
    <w:rsid w:val="00FC6C3F"/>
    <w:rsid w:val="00FD0911"/>
    <w:rsid w:val="00FD221A"/>
    <w:rsid w:val="00FD52B9"/>
    <w:rsid w:val="00FD5451"/>
    <w:rsid w:val="00FD6BB3"/>
    <w:rsid w:val="00FD6C7D"/>
    <w:rsid w:val="00FE02DC"/>
    <w:rsid w:val="00FE0F67"/>
    <w:rsid w:val="00FE136D"/>
    <w:rsid w:val="00FE1769"/>
    <w:rsid w:val="00FE31B7"/>
    <w:rsid w:val="00FE438D"/>
    <w:rsid w:val="00FE455E"/>
    <w:rsid w:val="00FE45B1"/>
    <w:rsid w:val="00FE62C7"/>
    <w:rsid w:val="00FE62D9"/>
    <w:rsid w:val="00FE67DC"/>
    <w:rsid w:val="00FE74FA"/>
    <w:rsid w:val="00FE7BC2"/>
    <w:rsid w:val="00FF06DD"/>
    <w:rsid w:val="00FF0971"/>
    <w:rsid w:val="00FF1D27"/>
    <w:rsid w:val="00FF3524"/>
    <w:rsid w:val="00FF3CDB"/>
    <w:rsid w:val="00FF4FFD"/>
    <w:rsid w:val="00FF5D81"/>
    <w:rsid w:val="00FF7054"/>
    <w:rsid w:val="01064736"/>
    <w:rsid w:val="014A6954"/>
    <w:rsid w:val="01825A4B"/>
    <w:rsid w:val="02424A41"/>
    <w:rsid w:val="03141510"/>
    <w:rsid w:val="0379584E"/>
    <w:rsid w:val="037B7671"/>
    <w:rsid w:val="0387771D"/>
    <w:rsid w:val="038B6837"/>
    <w:rsid w:val="03BE4395"/>
    <w:rsid w:val="044F4707"/>
    <w:rsid w:val="047646BA"/>
    <w:rsid w:val="049C65C7"/>
    <w:rsid w:val="05090736"/>
    <w:rsid w:val="06341CC0"/>
    <w:rsid w:val="06352ECD"/>
    <w:rsid w:val="068B1455"/>
    <w:rsid w:val="06BD7C26"/>
    <w:rsid w:val="071C0E65"/>
    <w:rsid w:val="074569C1"/>
    <w:rsid w:val="07556485"/>
    <w:rsid w:val="07DA5368"/>
    <w:rsid w:val="07F35CEE"/>
    <w:rsid w:val="09891B30"/>
    <w:rsid w:val="099F21B1"/>
    <w:rsid w:val="09FD4EE9"/>
    <w:rsid w:val="0A07235C"/>
    <w:rsid w:val="0A292529"/>
    <w:rsid w:val="0A5A6313"/>
    <w:rsid w:val="0A5C7AB2"/>
    <w:rsid w:val="0ACE516B"/>
    <w:rsid w:val="0B9A35C3"/>
    <w:rsid w:val="0BA768EC"/>
    <w:rsid w:val="0C132430"/>
    <w:rsid w:val="0C2E2C2E"/>
    <w:rsid w:val="0C3573CD"/>
    <w:rsid w:val="0C4150A6"/>
    <w:rsid w:val="0C670906"/>
    <w:rsid w:val="0DC2345D"/>
    <w:rsid w:val="0DE43928"/>
    <w:rsid w:val="0DEB3031"/>
    <w:rsid w:val="0E1C7C79"/>
    <w:rsid w:val="0EC35A2F"/>
    <w:rsid w:val="0F7771DF"/>
    <w:rsid w:val="0FA92C95"/>
    <w:rsid w:val="0FC1739C"/>
    <w:rsid w:val="103B3333"/>
    <w:rsid w:val="106505A7"/>
    <w:rsid w:val="109E6E25"/>
    <w:rsid w:val="112B45C8"/>
    <w:rsid w:val="113D7522"/>
    <w:rsid w:val="115E15B2"/>
    <w:rsid w:val="11A66CF0"/>
    <w:rsid w:val="11DE28D4"/>
    <w:rsid w:val="123F5D06"/>
    <w:rsid w:val="12BD7EF4"/>
    <w:rsid w:val="12F6574D"/>
    <w:rsid w:val="13445C50"/>
    <w:rsid w:val="13975AAC"/>
    <w:rsid w:val="14095335"/>
    <w:rsid w:val="14190871"/>
    <w:rsid w:val="142E1D33"/>
    <w:rsid w:val="149B7EA5"/>
    <w:rsid w:val="14A3024A"/>
    <w:rsid w:val="15445F03"/>
    <w:rsid w:val="159D31CF"/>
    <w:rsid w:val="15B047EB"/>
    <w:rsid w:val="163472A7"/>
    <w:rsid w:val="16630229"/>
    <w:rsid w:val="16BD1398"/>
    <w:rsid w:val="17EB4349"/>
    <w:rsid w:val="181125B4"/>
    <w:rsid w:val="18175909"/>
    <w:rsid w:val="18906841"/>
    <w:rsid w:val="18FD72EE"/>
    <w:rsid w:val="199E771E"/>
    <w:rsid w:val="19CF14E7"/>
    <w:rsid w:val="1A2003A4"/>
    <w:rsid w:val="1A3A7A90"/>
    <w:rsid w:val="1A9A6E9D"/>
    <w:rsid w:val="1B9372F2"/>
    <w:rsid w:val="1BDF0E2E"/>
    <w:rsid w:val="1C3C159C"/>
    <w:rsid w:val="1CC42CCE"/>
    <w:rsid w:val="1CFC56CC"/>
    <w:rsid w:val="1D114FE3"/>
    <w:rsid w:val="1D166259"/>
    <w:rsid w:val="1D3858E9"/>
    <w:rsid w:val="1D917DDE"/>
    <w:rsid w:val="1DA16920"/>
    <w:rsid w:val="1DBF16CE"/>
    <w:rsid w:val="1DD31EFB"/>
    <w:rsid w:val="1EAD18B9"/>
    <w:rsid w:val="1EC27F2E"/>
    <w:rsid w:val="1F8A23A0"/>
    <w:rsid w:val="200157E0"/>
    <w:rsid w:val="202605DC"/>
    <w:rsid w:val="202B2644"/>
    <w:rsid w:val="20B92515"/>
    <w:rsid w:val="21054145"/>
    <w:rsid w:val="212D7985"/>
    <w:rsid w:val="21775997"/>
    <w:rsid w:val="225B6476"/>
    <w:rsid w:val="23250700"/>
    <w:rsid w:val="233E616B"/>
    <w:rsid w:val="234371C5"/>
    <w:rsid w:val="245503A3"/>
    <w:rsid w:val="24985D2E"/>
    <w:rsid w:val="24B03268"/>
    <w:rsid w:val="252970AF"/>
    <w:rsid w:val="259238A8"/>
    <w:rsid w:val="25BF2DB9"/>
    <w:rsid w:val="25F37BB7"/>
    <w:rsid w:val="26137B03"/>
    <w:rsid w:val="261A594C"/>
    <w:rsid w:val="26577677"/>
    <w:rsid w:val="266C615B"/>
    <w:rsid w:val="26BD0C52"/>
    <w:rsid w:val="2709332D"/>
    <w:rsid w:val="27345293"/>
    <w:rsid w:val="27485EDE"/>
    <w:rsid w:val="27886597"/>
    <w:rsid w:val="27B26C0A"/>
    <w:rsid w:val="281563F1"/>
    <w:rsid w:val="283A3B64"/>
    <w:rsid w:val="284D1580"/>
    <w:rsid w:val="28A0029D"/>
    <w:rsid w:val="28A213A8"/>
    <w:rsid w:val="290B5F5D"/>
    <w:rsid w:val="29511799"/>
    <w:rsid w:val="297226FA"/>
    <w:rsid w:val="29E914F4"/>
    <w:rsid w:val="29F35162"/>
    <w:rsid w:val="2A1E1D78"/>
    <w:rsid w:val="2A2A49CF"/>
    <w:rsid w:val="2A41565F"/>
    <w:rsid w:val="2AC765E0"/>
    <w:rsid w:val="2B0F1AEB"/>
    <w:rsid w:val="2B16693C"/>
    <w:rsid w:val="2B367A56"/>
    <w:rsid w:val="2B4C42F2"/>
    <w:rsid w:val="2B854261"/>
    <w:rsid w:val="2B8846CA"/>
    <w:rsid w:val="2BF9413E"/>
    <w:rsid w:val="2C0858D4"/>
    <w:rsid w:val="2C144F7B"/>
    <w:rsid w:val="2C291B6A"/>
    <w:rsid w:val="2C2956A6"/>
    <w:rsid w:val="2C6943DB"/>
    <w:rsid w:val="2CB8715D"/>
    <w:rsid w:val="2CEF7C7C"/>
    <w:rsid w:val="2CF77A54"/>
    <w:rsid w:val="2D6920E8"/>
    <w:rsid w:val="2D6C6813"/>
    <w:rsid w:val="2E7079CA"/>
    <w:rsid w:val="2E9426F8"/>
    <w:rsid w:val="2ECB761F"/>
    <w:rsid w:val="2F20255F"/>
    <w:rsid w:val="2F2B75F4"/>
    <w:rsid w:val="2F8D4B83"/>
    <w:rsid w:val="302B46C6"/>
    <w:rsid w:val="30341D65"/>
    <w:rsid w:val="30A97B8E"/>
    <w:rsid w:val="30E37711"/>
    <w:rsid w:val="315E31BB"/>
    <w:rsid w:val="31A9356B"/>
    <w:rsid w:val="323E3EDB"/>
    <w:rsid w:val="32544691"/>
    <w:rsid w:val="327456FC"/>
    <w:rsid w:val="32EE1B03"/>
    <w:rsid w:val="33284BF3"/>
    <w:rsid w:val="335076E3"/>
    <w:rsid w:val="33C04878"/>
    <w:rsid w:val="33DE6CE9"/>
    <w:rsid w:val="341D5DF7"/>
    <w:rsid w:val="353B78B1"/>
    <w:rsid w:val="35971F2C"/>
    <w:rsid w:val="35A84D37"/>
    <w:rsid w:val="35BA6B98"/>
    <w:rsid w:val="35C22CFE"/>
    <w:rsid w:val="35DC0A12"/>
    <w:rsid w:val="35F02F19"/>
    <w:rsid w:val="362A2567"/>
    <w:rsid w:val="364C7520"/>
    <w:rsid w:val="364E64FE"/>
    <w:rsid w:val="36BA4930"/>
    <w:rsid w:val="37481883"/>
    <w:rsid w:val="37B42669"/>
    <w:rsid w:val="37C962E9"/>
    <w:rsid w:val="382044C2"/>
    <w:rsid w:val="38532EAF"/>
    <w:rsid w:val="38BF0EA2"/>
    <w:rsid w:val="39217151"/>
    <w:rsid w:val="3978583F"/>
    <w:rsid w:val="39A570F0"/>
    <w:rsid w:val="39B041F8"/>
    <w:rsid w:val="39C337FE"/>
    <w:rsid w:val="39C57DE4"/>
    <w:rsid w:val="39DD7710"/>
    <w:rsid w:val="39E23E0F"/>
    <w:rsid w:val="3A18782E"/>
    <w:rsid w:val="3A3640B9"/>
    <w:rsid w:val="3A3C5638"/>
    <w:rsid w:val="3A4F5A4D"/>
    <w:rsid w:val="3A87629C"/>
    <w:rsid w:val="3AC6012D"/>
    <w:rsid w:val="3B0F02EA"/>
    <w:rsid w:val="3B9653CF"/>
    <w:rsid w:val="3B984BA9"/>
    <w:rsid w:val="3C2079E7"/>
    <w:rsid w:val="3C501C53"/>
    <w:rsid w:val="3D120870"/>
    <w:rsid w:val="3D2534D8"/>
    <w:rsid w:val="3D6C33FB"/>
    <w:rsid w:val="3D801FF1"/>
    <w:rsid w:val="3D906DA6"/>
    <w:rsid w:val="3DC70271"/>
    <w:rsid w:val="3DDF20D9"/>
    <w:rsid w:val="3E080A6C"/>
    <w:rsid w:val="3EC32BBA"/>
    <w:rsid w:val="3EC4016B"/>
    <w:rsid w:val="3ED67BDA"/>
    <w:rsid w:val="3F61011B"/>
    <w:rsid w:val="3FE00373"/>
    <w:rsid w:val="400E6983"/>
    <w:rsid w:val="403932DA"/>
    <w:rsid w:val="40BD3216"/>
    <w:rsid w:val="40C46311"/>
    <w:rsid w:val="40D65B01"/>
    <w:rsid w:val="4114763E"/>
    <w:rsid w:val="415961FD"/>
    <w:rsid w:val="41A4312C"/>
    <w:rsid w:val="41AC4478"/>
    <w:rsid w:val="41DA5570"/>
    <w:rsid w:val="41ED3709"/>
    <w:rsid w:val="426C71DF"/>
    <w:rsid w:val="428B5861"/>
    <w:rsid w:val="42BB45CD"/>
    <w:rsid w:val="42DC5CCB"/>
    <w:rsid w:val="432F7C9E"/>
    <w:rsid w:val="43371514"/>
    <w:rsid w:val="43912C80"/>
    <w:rsid w:val="439D5012"/>
    <w:rsid w:val="44A02EC0"/>
    <w:rsid w:val="44E416E0"/>
    <w:rsid w:val="455258BA"/>
    <w:rsid w:val="45765E73"/>
    <w:rsid w:val="461F0AC0"/>
    <w:rsid w:val="46621E13"/>
    <w:rsid w:val="467B2088"/>
    <w:rsid w:val="472666A4"/>
    <w:rsid w:val="473444BD"/>
    <w:rsid w:val="47CC421C"/>
    <w:rsid w:val="47E109D7"/>
    <w:rsid w:val="48497BCB"/>
    <w:rsid w:val="48885A8F"/>
    <w:rsid w:val="48AD3063"/>
    <w:rsid w:val="48CB4AA3"/>
    <w:rsid w:val="491D22D5"/>
    <w:rsid w:val="49234E53"/>
    <w:rsid w:val="494B1189"/>
    <w:rsid w:val="49AC0F14"/>
    <w:rsid w:val="49E42565"/>
    <w:rsid w:val="4A01781E"/>
    <w:rsid w:val="4A1B400D"/>
    <w:rsid w:val="4A3F14F4"/>
    <w:rsid w:val="4A5B3156"/>
    <w:rsid w:val="4B122BE0"/>
    <w:rsid w:val="4B177529"/>
    <w:rsid w:val="4B417926"/>
    <w:rsid w:val="4B593480"/>
    <w:rsid w:val="4B6676F7"/>
    <w:rsid w:val="4B6C51B3"/>
    <w:rsid w:val="4BC17E96"/>
    <w:rsid w:val="4BD0315B"/>
    <w:rsid w:val="4BD7044C"/>
    <w:rsid w:val="4C6F36C6"/>
    <w:rsid w:val="4CC513BA"/>
    <w:rsid w:val="4CCC75E9"/>
    <w:rsid w:val="4D05507B"/>
    <w:rsid w:val="4D9047CC"/>
    <w:rsid w:val="4D9574B3"/>
    <w:rsid w:val="4DE772CF"/>
    <w:rsid w:val="4E6E4B62"/>
    <w:rsid w:val="4EB6405E"/>
    <w:rsid w:val="4ED21DAC"/>
    <w:rsid w:val="4EDF6178"/>
    <w:rsid w:val="4EE24152"/>
    <w:rsid w:val="50257C3B"/>
    <w:rsid w:val="50272010"/>
    <w:rsid w:val="506321FC"/>
    <w:rsid w:val="50702893"/>
    <w:rsid w:val="507D650B"/>
    <w:rsid w:val="50FB7EA8"/>
    <w:rsid w:val="512A410C"/>
    <w:rsid w:val="51D2141A"/>
    <w:rsid w:val="52907AFF"/>
    <w:rsid w:val="53376AEC"/>
    <w:rsid w:val="536C582B"/>
    <w:rsid w:val="53CF5574"/>
    <w:rsid w:val="53E379D9"/>
    <w:rsid w:val="54797D8A"/>
    <w:rsid w:val="548B7F2B"/>
    <w:rsid w:val="54EE120B"/>
    <w:rsid w:val="54FC590B"/>
    <w:rsid w:val="552400B0"/>
    <w:rsid w:val="5588757A"/>
    <w:rsid w:val="55EC37F6"/>
    <w:rsid w:val="55F25D44"/>
    <w:rsid w:val="560B72AE"/>
    <w:rsid w:val="565E18A0"/>
    <w:rsid w:val="56640BB2"/>
    <w:rsid w:val="56964A4D"/>
    <w:rsid w:val="56BA07E0"/>
    <w:rsid w:val="56D020BB"/>
    <w:rsid w:val="56EC2FC0"/>
    <w:rsid w:val="57564687"/>
    <w:rsid w:val="575C58E3"/>
    <w:rsid w:val="57A55C16"/>
    <w:rsid w:val="57F23199"/>
    <w:rsid w:val="58143ED9"/>
    <w:rsid w:val="585B1088"/>
    <w:rsid w:val="58BF41CA"/>
    <w:rsid w:val="58C31871"/>
    <w:rsid w:val="58C76A91"/>
    <w:rsid w:val="58CA5202"/>
    <w:rsid w:val="58CC4D91"/>
    <w:rsid w:val="58E9521A"/>
    <w:rsid w:val="59044794"/>
    <w:rsid w:val="597E663A"/>
    <w:rsid w:val="5A410061"/>
    <w:rsid w:val="5AA26E0A"/>
    <w:rsid w:val="5ADD0AD9"/>
    <w:rsid w:val="5AF33F97"/>
    <w:rsid w:val="5B1A244C"/>
    <w:rsid w:val="5BB95AFA"/>
    <w:rsid w:val="5BF46E77"/>
    <w:rsid w:val="5C0762F6"/>
    <w:rsid w:val="5C184A75"/>
    <w:rsid w:val="5C212843"/>
    <w:rsid w:val="5C2B2069"/>
    <w:rsid w:val="5C7B4DA0"/>
    <w:rsid w:val="5C7B5CB6"/>
    <w:rsid w:val="5CA80947"/>
    <w:rsid w:val="5CBE1F3E"/>
    <w:rsid w:val="5D295B5A"/>
    <w:rsid w:val="5D4179B3"/>
    <w:rsid w:val="5D8F45C4"/>
    <w:rsid w:val="5E0650D2"/>
    <w:rsid w:val="5E1C006E"/>
    <w:rsid w:val="5E5F3229"/>
    <w:rsid w:val="5E912BCD"/>
    <w:rsid w:val="5ED738B9"/>
    <w:rsid w:val="5F1049E6"/>
    <w:rsid w:val="5F4B4EA6"/>
    <w:rsid w:val="5F8D0752"/>
    <w:rsid w:val="5F9B6747"/>
    <w:rsid w:val="5FA61B0C"/>
    <w:rsid w:val="5FBC22FD"/>
    <w:rsid w:val="5FD31EFD"/>
    <w:rsid w:val="607C76BF"/>
    <w:rsid w:val="608B10BA"/>
    <w:rsid w:val="60A04428"/>
    <w:rsid w:val="60B948B4"/>
    <w:rsid w:val="60FA405B"/>
    <w:rsid w:val="6170066E"/>
    <w:rsid w:val="61C07B96"/>
    <w:rsid w:val="62451C4A"/>
    <w:rsid w:val="6260264C"/>
    <w:rsid w:val="62665A82"/>
    <w:rsid w:val="628B77A4"/>
    <w:rsid w:val="62A15A75"/>
    <w:rsid w:val="62CD7BCE"/>
    <w:rsid w:val="62D52C5C"/>
    <w:rsid w:val="6365711E"/>
    <w:rsid w:val="63880C44"/>
    <w:rsid w:val="63B213F4"/>
    <w:rsid w:val="63E0340B"/>
    <w:rsid w:val="63EC5F17"/>
    <w:rsid w:val="63F21409"/>
    <w:rsid w:val="640A52AC"/>
    <w:rsid w:val="64795A14"/>
    <w:rsid w:val="649663C6"/>
    <w:rsid w:val="649F792F"/>
    <w:rsid w:val="658F401C"/>
    <w:rsid w:val="65982CED"/>
    <w:rsid w:val="660536EF"/>
    <w:rsid w:val="66163223"/>
    <w:rsid w:val="664A4C56"/>
    <w:rsid w:val="66A2090D"/>
    <w:rsid w:val="66BE7F4F"/>
    <w:rsid w:val="66DD7E04"/>
    <w:rsid w:val="66EF5DBD"/>
    <w:rsid w:val="67830300"/>
    <w:rsid w:val="67B81331"/>
    <w:rsid w:val="67EB7616"/>
    <w:rsid w:val="6826629B"/>
    <w:rsid w:val="68607B08"/>
    <w:rsid w:val="68934BFF"/>
    <w:rsid w:val="68B531F5"/>
    <w:rsid w:val="68B92E45"/>
    <w:rsid w:val="68DE49E2"/>
    <w:rsid w:val="69077C62"/>
    <w:rsid w:val="69F740EA"/>
    <w:rsid w:val="6A123E45"/>
    <w:rsid w:val="6A217AD0"/>
    <w:rsid w:val="6A862677"/>
    <w:rsid w:val="6A865BCC"/>
    <w:rsid w:val="6B275DCA"/>
    <w:rsid w:val="6B7C6F3D"/>
    <w:rsid w:val="6BB16FC8"/>
    <w:rsid w:val="6C15423A"/>
    <w:rsid w:val="6C6A1A1B"/>
    <w:rsid w:val="6C7A7CD1"/>
    <w:rsid w:val="6CC83B53"/>
    <w:rsid w:val="6CE77668"/>
    <w:rsid w:val="6D22087F"/>
    <w:rsid w:val="6D88326D"/>
    <w:rsid w:val="6D942F79"/>
    <w:rsid w:val="6DB42270"/>
    <w:rsid w:val="6DBB70E9"/>
    <w:rsid w:val="6E060C4B"/>
    <w:rsid w:val="6E075730"/>
    <w:rsid w:val="6EA71967"/>
    <w:rsid w:val="6EB31007"/>
    <w:rsid w:val="6ECE5ECF"/>
    <w:rsid w:val="6EE90AF5"/>
    <w:rsid w:val="6F252441"/>
    <w:rsid w:val="6F574624"/>
    <w:rsid w:val="6F5978AD"/>
    <w:rsid w:val="6F876772"/>
    <w:rsid w:val="6FC1288C"/>
    <w:rsid w:val="6FE559D8"/>
    <w:rsid w:val="708B529E"/>
    <w:rsid w:val="708C7A06"/>
    <w:rsid w:val="70E74E94"/>
    <w:rsid w:val="71A41366"/>
    <w:rsid w:val="72381B5A"/>
    <w:rsid w:val="723D12FD"/>
    <w:rsid w:val="72874F04"/>
    <w:rsid w:val="734C1F4B"/>
    <w:rsid w:val="73D70409"/>
    <w:rsid w:val="740603E3"/>
    <w:rsid w:val="741B127D"/>
    <w:rsid w:val="749C5519"/>
    <w:rsid w:val="74A50903"/>
    <w:rsid w:val="74A97923"/>
    <w:rsid w:val="752112A3"/>
    <w:rsid w:val="75457CD8"/>
    <w:rsid w:val="755B7F16"/>
    <w:rsid w:val="7568205B"/>
    <w:rsid w:val="767D1324"/>
    <w:rsid w:val="769F0F0A"/>
    <w:rsid w:val="76A96DA7"/>
    <w:rsid w:val="76B06700"/>
    <w:rsid w:val="77035278"/>
    <w:rsid w:val="7703641D"/>
    <w:rsid w:val="77053956"/>
    <w:rsid w:val="770A47FA"/>
    <w:rsid w:val="77A06FC1"/>
    <w:rsid w:val="77CE222D"/>
    <w:rsid w:val="77D241CF"/>
    <w:rsid w:val="7817649D"/>
    <w:rsid w:val="78936A45"/>
    <w:rsid w:val="7894346E"/>
    <w:rsid w:val="7894608B"/>
    <w:rsid w:val="78D86C70"/>
    <w:rsid w:val="794E4528"/>
    <w:rsid w:val="79715EA8"/>
    <w:rsid w:val="79A56029"/>
    <w:rsid w:val="79BC2643"/>
    <w:rsid w:val="7A0E2940"/>
    <w:rsid w:val="7A7841C5"/>
    <w:rsid w:val="7ACA370E"/>
    <w:rsid w:val="7B0D6480"/>
    <w:rsid w:val="7B217A21"/>
    <w:rsid w:val="7B453001"/>
    <w:rsid w:val="7B83746E"/>
    <w:rsid w:val="7B9D2006"/>
    <w:rsid w:val="7BE12AC2"/>
    <w:rsid w:val="7BF30DA7"/>
    <w:rsid w:val="7BF7500A"/>
    <w:rsid w:val="7C104EE0"/>
    <w:rsid w:val="7C3535CB"/>
    <w:rsid w:val="7C9D05E8"/>
    <w:rsid w:val="7CFD48E1"/>
    <w:rsid w:val="7D5037C6"/>
    <w:rsid w:val="7D7E715F"/>
    <w:rsid w:val="7D7F5245"/>
    <w:rsid w:val="7D8762F7"/>
    <w:rsid w:val="7EDC4908"/>
    <w:rsid w:val="7EEC3CE5"/>
    <w:rsid w:val="7F390F10"/>
    <w:rsid w:val="7F8E64A6"/>
    <w:rsid w:val="7F994A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1"/>
      <w:lang w:val="en-US" w:eastAsia="zh-CN" w:bidi="ar-SA"/>
    </w:rPr>
  </w:style>
  <w:style w:type="paragraph" w:styleId="3">
    <w:name w:val="heading 1"/>
    <w:basedOn w:val="1"/>
    <w:next w:val="4"/>
    <w:link w:val="87"/>
    <w:qFormat/>
    <w:uiPriority w:val="9"/>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5">
    <w:name w:val="heading 2"/>
    <w:basedOn w:val="3"/>
    <w:next w:val="4"/>
    <w:link w:val="80"/>
    <w:qFormat/>
    <w:uiPriority w:val="9"/>
    <w:pPr>
      <w:spacing w:before="260" w:after="260" w:line="413" w:lineRule="auto"/>
      <w:outlineLvl w:val="1"/>
    </w:pPr>
    <w:rPr>
      <w:rFonts w:ascii="Arial"/>
      <w:bCs/>
      <w:sz w:val="32"/>
      <w:szCs w:val="32"/>
    </w:rPr>
  </w:style>
  <w:style w:type="paragraph" w:styleId="6">
    <w:name w:val="heading 3"/>
    <w:basedOn w:val="1"/>
    <w:next w:val="1"/>
    <w:link w:val="104"/>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7">
    <w:name w:val="heading 4"/>
    <w:basedOn w:val="1"/>
    <w:next w:val="1"/>
    <w:link w:val="83"/>
    <w:qFormat/>
    <w:uiPriority w:val="9"/>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link w:val="93"/>
    <w:qFormat/>
    <w:uiPriority w:val="9"/>
    <w:pPr>
      <w:keepNext/>
      <w:keepLines/>
      <w:spacing w:before="280" w:after="290" w:line="372" w:lineRule="auto"/>
      <w:outlineLvl w:val="4"/>
    </w:pPr>
    <w:rPr>
      <w:rFonts w:eastAsia="宋体"/>
      <w:b/>
      <w:bCs/>
      <w:sz w:val="28"/>
      <w:szCs w:val="28"/>
    </w:rPr>
  </w:style>
  <w:style w:type="paragraph" w:styleId="9">
    <w:name w:val="heading 6"/>
    <w:basedOn w:val="1"/>
    <w:next w:val="1"/>
    <w:link w:val="89"/>
    <w:qFormat/>
    <w:uiPriority w:val="0"/>
    <w:pPr>
      <w:keepNext/>
      <w:keepLines/>
      <w:spacing w:before="240" w:after="64" w:line="317" w:lineRule="auto"/>
      <w:outlineLvl w:val="5"/>
    </w:pPr>
    <w:rPr>
      <w:rFonts w:ascii="Arial" w:hAnsi="Arial" w:eastAsia="黑体"/>
      <w:b/>
      <w:bCs/>
      <w:sz w:val="24"/>
      <w:szCs w:val="20"/>
    </w:rPr>
  </w:style>
  <w:style w:type="paragraph" w:styleId="10">
    <w:name w:val="heading 7"/>
    <w:basedOn w:val="1"/>
    <w:next w:val="1"/>
    <w:link w:val="84"/>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11">
    <w:name w:val="heading 8"/>
    <w:basedOn w:val="1"/>
    <w:next w:val="1"/>
    <w:link w:val="8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100"/>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62">
    <w:name w:val="Default Paragraph Font"/>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34"/>
    <w:pPr>
      <w:ind w:firstLine="420" w:firstLineChars="200"/>
    </w:pPr>
    <w:rPr>
      <w:szCs w:val="22"/>
    </w:rPr>
  </w:style>
  <w:style w:type="paragraph" w:styleId="4">
    <w:name w:val="Normal Indent"/>
    <w:basedOn w:val="1"/>
    <w:link w:val="102"/>
    <w:qFormat/>
    <w:uiPriority w:val="0"/>
    <w:pPr>
      <w:ind w:firstLine="420"/>
    </w:pPr>
    <w:rPr>
      <w:rFonts w:eastAsia="宋体"/>
      <w:szCs w:val="20"/>
    </w:rPr>
  </w:style>
  <w:style w:type="paragraph" w:styleId="13">
    <w:name w:val="toc 7"/>
    <w:basedOn w:val="1"/>
    <w:next w:val="1"/>
    <w:qFormat/>
    <w:uiPriority w:val="0"/>
    <w:pPr>
      <w:ind w:left="1260"/>
      <w:jc w:val="left"/>
    </w:pPr>
    <w:rPr>
      <w:sz w:val="18"/>
      <w:szCs w:val="18"/>
    </w:rPr>
  </w:style>
  <w:style w:type="paragraph" w:styleId="14">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widowControl/>
      <w:tabs>
        <w:tab w:val="left" w:pos="780"/>
      </w:tabs>
      <w:spacing w:before="100" w:beforeAutospacing="1" w:afterLines="50" w:afterAutospacing="1"/>
      <w:ind w:left="780" w:hanging="360"/>
      <w:jc w:val="left"/>
    </w:pPr>
    <w:rPr>
      <w:kern w:val="0"/>
      <w:szCs w:val="20"/>
    </w:rPr>
  </w:style>
  <w:style w:type="paragraph" w:styleId="17">
    <w:name w:val="Document Map"/>
    <w:basedOn w:val="1"/>
    <w:qFormat/>
    <w:uiPriority w:val="0"/>
    <w:pPr>
      <w:shd w:val="clear" w:color="auto" w:fill="000080"/>
    </w:pPr>
  </w:style>
  <w:style w:type="paragraph" w:styleId="18">
    <w:name w:val="annotation text"/>
    <w:basedOn w:val="1"/>
    <w:link w:val="78"/>
    <w:qFormat/>
    <w:uiPriority w:val="99"/>
    <w:pPr>
      <w:jc w:val="left"/>
    </w:pPr>
    <w:rPr>
      <w:szCs w:val="24"/>
    </w:rPr>
  </w:style>
  <w:style w:type="paragraph" w:styleId="19">
    <w:name w:val="Body Text 3"/>
    <w:basedOn w:val="1"/>
    <w:qFormat/>
    <w:uiPriority w:val="0"/>
    <w:pPr>
      <w:spacing w:after="120"/>
    </w:pPr>
    <w:rPr>
      <w:sz w:val="16"/>
      <w:szCs w:val="16"/>
    </w:rPr>
  </w:style>
  <w:style w:type="paragraph" w:styleId="20">
    <w:name w:val="Body Text"/>
    <w:basedOn w:val="1"/>
    <w:next w:val="21"/>
    <w:link w:val="79"/>
    <w:qFormat/>
    <w:uiPriority w:val="1"/>
    <w:pPr>
      <w:spacing w:after="120"/>
    </w:pPr>
    <w:rPr>
      <w:rFonts w:eastAsia="宋体"/>
      <w:sz w:val="28"/>
      <w:szCs w:val="24"/>
    </w:rPr>
  </w:style>
  <w:style w:type="paragraph" w:styleId="21">
    <w:name w:val="Body Text First Indent"/>
    <w:basedOn w:val="20"/>
    <w:next w:val="1"/>
    <w:qFormat/>
    <w:uiPriority w:val="0"/>
    <w:pPr>
      <w:spacing w:line="360" w:lineRule="auto"/>
      <w:ind w:firstLine="200" w:firstLineChars="200"/>
      <w:jc w:val="left"/>
    </w:pPr>
    <w:rPr>
      <w:bCs/>
      <w:sz w:val="24"/>
    </w:rPr>
  </w:style>
  <w:style w:type="paragraph" w:styleId="22">
    <w:name w:val="Body Text Indent"/>
    <w:basedOn w:val="1"/>
    <w:qFormat/>
    <w:uiPriority w:val="0"/>
    <w:pPr>
      <w:spacing w:line="200" w:lineRule="exact"/>
      <w:ind w:firstLine="301"/>
    </w:pPr>
    <w:rPr>
      <w:rFonts w:ascii="宋体" w:hAnsi="Courier New"/>
      <w:spacing w:val="-4"/>
      <w:sz w:val="18"/>
      <w:szCs w:val="20"/>
    </w:rPr>
  </w:style>
  <w:style w:type="paragraph" w:styleId="23">
    <w:name w:val="List Number 3"/>
    <w:basedOn w:val="1"/>
    <w:qFormat/>
    <w:uiPriority w:val="0"/>
    <w:pPr>
      <w:tabs>
        <w:tab w:val="left" w:pos="1200"/>
      </w:tabs>
      <w:ind w:left="1200" w:hanging="360"/>
    </w:pPr>
  </w:style>
  <w:style w:type="paragraph" w:styleId="24">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25">
    <w:name w:val="toc 5"/>
    <w:basedOn w:val="1"/>
    <w:next w:val="1"/>
    <w:qFormat/>
    <w:uiPriority w:val="0"/>
    <w:pPr>
      <w:ind w:left="840"/>
      <w:jc w:val="left"/>
    </w:pPr>
    <w:rPr>
      <w:sz w:val="18"/>
      <w:szCs w:val="18"/>
    </w:rPr>
  </w:style>
  <w:style w:type="paragraph" w:styleId="26">
    <w:name w:val="toc 3"/>
    <w:basedOn w:val="1"/>
    <w:next w:val="1"/>
    <w:qFormat/>
    <w:uiPriority w:val="99"/>
    <w:pPr>
      <w:ind w:left="420"/>
      <w:jc w:val="left"/>
    </w:pPr>
    <w:rPr>
      <w:i/>
      <w:iCs/>
      <w:sz w:val="20"/>
      <w:szCs w:val="20"/>
    </w:rPr>
  </w:style>
  <w:style w:type="paragraph" w:styleId="27">
    <w:name w:val="Plain Text"/>
    <w:basedOn w:val="1"/>
    <w:link w:val="77"/>
    <w:qFormat/>
    <w:uiPriority w:val="0"/>
    <w:pPr>
      <w:tabs>
        <w:tab w:val="left" w:pos="1200"/>
      </w:tabs>
      <w:spacing w:beforeLines="50" w:afterLines="50" w:line="400" w:lineRule="exact"/>
      <w:ind w:left="1200" w:hanging="360"/>
    </w:pPr>
    <w:rPr>
      <w:rFonts w:ascii="宋体" w:hAnsi="Courier New"/>
      <w:sz w:val="24"/>
      <w:szCs w:val="24"/>
    </w:rPr>
  </w:style>
  <w:style w:type="paragraph" w:styleId="28">
    <w:name w:val="toc 8"/>
    <w:basedOn w:val="1"/>
    <w:next w:val="1"/>
    <w:qFormat/>
    <w:uiPriority w:val="0"/>
    <w:pPr>
      <w:ind w:left="1470"/>
      <w:jc w:val="left"/>
    </w:pPr>
    <w:rPr>
      <w:sz w:val="18"/>
      <w:szCs w:val="18"/>
    </w:rPr>
  </w:style>
  <w:style w:type="paragraph" w:styleId="29">
    <w:name w:val="Date"/>
    <w:basedOn w:val="1"/>
    <w:next w:val="1"/>
    <w:qFormat/>
    <w:uiPriority w:val="0"/>
    <w:pPr>
      <w:ind w:left="2500" w:leftChars="2500"/>
    </w:pPr>
    <w:rPr>
      <w:rFonts w:eastAsia="楷体_GB2312"/>
      <w:sz w:val="32"/>
      <w:szCs w:val="20"/>
    </w:rPr>
  </w:style>
  <w:style w:type="paragraph" w:styleId="30">
    <w:name w:val="Body Text Indent 2"/>
    <w:basedOn w:val="1"/>
    <w:qFormat/>
    <w:uiPriority w:val="0"/>
    <w:pPr>
      <w:spacing w:after="120" w:line="480" w:lineRule="auto"/>
      <w:ind w:left="420" w:leftChars="200"/>
    </w:pPr>
  </w:style>
  <w:style w:type="paragraph" w:styleId="31">
    <w:name w:val="endnote text"/>
    <w:basedOn w:val="1"/>
    <w:qFormat/>
    <w:uiPriority w:val="0"/>
    <w:pPr>
      <w:snapToGrid w:val="0"/>
      <w:spacing w:afterLines="50"/>
      <w:jc w:val="left"/>
    </w:pPr>
    <w:rPr>
      <w:rFonts w:ascii="宋体"/>
      <w:snapToGrid w:val="0"/>
      <w:kern w:val="0"/>
      <w:szCs w:val="20"/>
    </w:rPr>
  </w:style>
  <w:style w:type="paragraph" w:styleId="32">
    <w:name w:val="Balloon Text"/>
    <w:basedOn w:val="1"/>
    <w:link w:val="92"/>
    <w:qFormat/>
    <w:uiPriority w:val="99"/>
    <w:rPr>
      <w:sz w:val="18"/>
      <w:szCs w:val="18"/>
    </w:rPr>
  </w:style>
  <w:style w:type="paragraph" w:styleId="33">
    <w:name w:val="footer"/>
    <w:basedOn w:val="1"/>
    <w:link w:val="88"/>
    <w:qFormat/>
    <w:uiPriority w:val="99"/>
    <w:pPr>
      <w:tabs>
        <w:tab w:val="center" w:pos="4153"/>
        <w:tab w:val="right" w:pos="8306"/>
      </w:tabs>
      <w:snapToGrid w:val="0"/>
      <w:jc w:val="left"/>
    </w:pPr>
    <w:rPr>
      <w:rFonts w:eastAsia="黑体"/>
      <w:snapToGrid w:val="0"/>
      <w:sz w:val="18"/>
      <w:szCs w:val="18"/>
    </w:rPr>
  </w:style>
  <w:style w:type="paragraph" w:styleId="34">
    <w:name w:val="header"/>
    <w:basedOn w:val="1"/>
    <w:link w:val="85"/>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35">
    <w:name w:val="toc 1"/>
    <w:basedOn w:val="27"/>
    <w:next w:val="36"/>
    <w:qFormat/>
    <w:uiPriority w:val="99"/>
    <w:pPr>
      <w:spacing w:beforeLines="0" w:afterLines="0" w:line="240" w:lineRule="auto"/>
      <w:ind w:left="0" w:firstLine="0"/>
      <w:jc w:val="left"/>
    </w:pPr>
    <w:rPr>
      <w:rFonts w:ascii="Times New Roman" w:hAnsi="Times New Roman"/>
      <w:b/>
      <w:bCs/>
      <w:caps/>
      <w:sz w:val="20"/>
      <w:szCs w:val="20"/>
    </w:rPr>
  </w:style>
  <w:style w:type="paragraph" w:customStyle="1" w:styleId="36">
    <w:name w:val="Char"/>
    <w:basedOn w:val="1"/>
    <w:qFormat/>
    <w:uiPriority w:val="0"/>
    <w:rPr>
      <w:sz w:val="24"/>
    </w:rPr>
  </w:style>
  <w:style w:type="paragraph" w:styleId="37">
    <w:name w:val="toc 4"/>
    <w:basedOn w:val="1"/>
    <w:next w:val="1"/>
    <w:qFormat/>
    <w:uiPriority w:val="0"/>
    <w:pPr>
      <w:ind w:left="630"/>
      <w:jc w:val="left"/>
    </w:pPr>
    <w:rPr>
      <w:sz w:val="18"/>
      <w:szCs w:val="18"/>
    </w:rPr>
  </w:style>
  <w:style w:type="paragraph" w:styleId="38">
    <w:name w:val="Subtitle"/>
    <w:basedOn w:val="1"/>
    <w:qFormat/>
    <w:uiPriority w:val="0"/>
    <w:pPr>
      <w:spacing w:afterLines="50"/>
      <w:jc w:val="center"/>
    </w:pPr>
    <w:rPr>
      <w:rFonts w:ascii="宋体"/>
      <w:i/>
      <w:snapToGrid w:val="0"/>
      <w:kern w:val="0"/>
      <w:sz w:val="36"/>
      <w:szCs w:val="20"/>
      <w:lang w:val="en-AU"/>
    </w:rPr>
  </w:style>
  <w:style w:type="paragraph" w:styleId="39">
    <w:name w:val="List"/>
    <w:basedOn w:val="1"/>
    <w:qFormat/>
    <w:uiPriority w:val="0"/>
    <w:pPr>
      <w:ind w:left="200" w:hanging="200" w:hangingChars="200"/>
    </w:pPr>
    <w:rPr>
      <w:sz w:val="28"/>
    </w:rPr>
  </w:style>
  <w:style w:type="paragraph" w:styleId="40">
    <w:name w:val="toc 6"/>
    <w:basedOn w:val="1"/>
    <w:next w:val="1"/>
    <w:qFormat/>
    <w:uiPriority w:val="0"/>
    <w:pPr>
      <w:ind w:left="1050"/>
      <w:jc w:val="left"/>
    </w:pPr>
    <w:rPr>
      <w:sz w:val="18"/>
      <w:szCs w:val="18"/>
    </w:rPr>
  </w:style>
  <w:style w:type="paragraph" w:styleId="41">
    <w:name w:val="Body Text Indent 3"/>
    <w:basedOn w:val="1"/>
    <w:link w:val="97"/>
    <w:qFormat/>
    <w:uiPriority w:val="0"/>
    <w:pPr>
      <w:spacing w:line="500" w:lineRule="atLeast"/>
      <w:ind w:firstLine="720" w:firstLineChars="300"/>
    </w:pPr>
    <w:rPr>
      <w:sz w:val="24"/>
      <w:szCs w:val="24"/>
    </w:rPr>
  </w:style>
  <w:style w:type="paragraph" w:styleId="42">
    <w:name w:val="toc 2"/>
    <w:basedOn w:val="1"/>
    <w:next w:val="1"/>
    <w:qFormat/>
    <w:uiPriority w:val="99"/>
    <w:pPr>
      <w:ind w:left="210"/>
      <w:jc w:val="left"/>
    </w:pPr>
    <w:rPr>
      <w:smallCaps/>
      <w:sz w:val="20"/>
      <w:szCs w:val="20"/>
    </w:rPr>
  </w:style>
  <w:style w:type="paragraph" w:styleId="43">
    <w:name w:val="toc 9"/>
    <w:basedOn w:val="44"/>
    <w:next w:val="1"/>
    <w:qFormat/>
    <w:uiPriority w:val="0"/>
    <w:pPr>
      <w:keepNext w:val="0"/>
      <w:tabs>
        <w:tab w:val="left" w:pos="480"/>
      </w:tabs>
      <w:spacing w:before="0" w:after="0"/>
      <w:ind w:left="1680" w:firstLine="0"/>
      <w:outlineLvl w:val="9"/>
    </w:pPr>
    <w:rPr>
      <w:rFonts w:ascii="Times New Roman" w:cs="Times New Roman"/>
      <w:b w:val="0"/>
      <w:snapToGrid/>
      <w:kern w:val="2"/>
      <w:sz w:val="18"/>
      <w:szCs w:val="18"/>
    </w:rPr>
  </w:style>
  <w:style w:type="paragraph" w:customStyle="1" w:styleId="44">
    <w:name w:val="样式 标题1"/>
    <w:basedOn w:val="45"/>
    <w:next w:val="46"/>
    <w:qFormat/>
    <w:uiPriority w:val="0"/>
    <w:pPr>
      <w:tabs>
        <w:tab w:val="left" w:pos="480"/>
      </w:tabs>
      <w:spacing w:afterLines="0"/>
      <w:ind w:left="480" w:hanging="480"/>
    </w:pPr>
    <w:rPr>
      <w:bCs w:val="0"/>
      <w:sz w:val="32"/>
    </w:rPr>
  </w:style>
  <w:style w:type="paragraph" w:customStyle="1" w:styleId="45">
    <w:name w:val="样式 标题 1 + 段后: 0.5 行"/>
    <w:basedOn w:val="3"/>
    <w:qFormat/>
    <w:uiPriority w:val="0"/>
    <w:pPr>
      <w:keepLines w:val="0"/>
      <w:tabs>
        <w:tab w:val="clear" w:pos="360"/>
      </w:tabs>
      <w:autoSpaceDE/>
      <w:autoSpaceDN/>
      <w:adjustRightInd/>
      <w:spacing w:before="120" w:afterLines="50" w:line="240" w:lineRule="auto"/>
      <w:textAlignment w:val="auto"/>
    </w:pPr>
    <w:rPr>
      <w:rFonts w:hAnsi="Times New Roman" w:eastAsia="宋体" w:cs="宋体"/>
      <w:bCs/>
      <w:snapToGrid w:val="0"/>
      <w:color w:val="auto"/>
      <w:kern w:val="0"/>
      <w:sz w:val="28"/>
    </w:rPr>
  </w:style>
  <w:style w:type="paragraph" w:customStyle="1" w:styleId="46">
    <w:name w:val="最新标题2"/>
    <w:basedOn w:val="47"/>
    <w:next w:val="48"/>
    <w:qFormat/>
    <w:uiPriority w:val="0"/>
    <w:pPr>
      <w:tabs>
        <w:tab w:val="left" w:pos="360"/>
        <w:tab w:val="left" w:pos="1680"/>
      </w:tabs>
      <w:spacing w:afterLines="0"/>
    </w:pPr>
  </w:style>
  <w:style w:type="paragraph" w:customStyle="1" w:styleId="47">
    <w:name w:val="样式 标题 2"/>
    <w:basedOn w:val="5"/>
    <w:next w:val="48"/>
    <w:qFormat/>
    <w:uiPriority w:val="0"/>
    <w:pPr>
      <w:keepLines w:val="0"/>
      <w:tabs>
        <w:tab w:val="left" w:pos="1680"/>
      </w:tabs>
      <w:spacing w:before="120" w:afterLines="50" w:line="240" w:lineRule="auto"/>
      <w:ind w:left="380" w:hanging="380"/>
    </w:pPr>
    <w:rPr>
      <w:rFonts w:ascii="宋体" w:hAnsi="Times New Roman" w:eastAsia="宋体" w:cs="宋体"/>
      <w:snapToGrid w:val="0"/>
      <w:kern w:val="0"/>
      <w:sz w:val="28"/>
      <w:szCs w:val="20"/>
    </w:rPr>
  </w:style>
  <w:style w:type="paragraph" w:customStyle="1" w:styleId="48">
    <w:name w:val="最新标题3"/>
    <w:basedOn w:val="49"/>
    <w:next w:val="50"/>
    <w:qFormat/>
    <w:uiPriority w:val="0"/>
    <w:pPr>
      <w:tabs>
        <w:tab w:val="left" w:pos="1260"/>
      </w:tabs>
      <w:spacing w:afterLines="0"/>
    </w:pPr>
  </w:style>
  <w:style w:type="paragraph" w:customStyle="1" w:styleId="49">
    <w:name w:val="样式 标题 3"/>
    <w:basedOn w:val="6"/>
    <w:next w:val="50"/>
    <w:qFormat/>
    <w:uiPriority w:val="0"/>
    <w:pPr>
      <w:keepNext/>
      <w:tabs>
        <w:tab w:val="left" w:pos="1260"/>
        <w:tab w:val="clear" w:pos="709"/>
      </w:tabs>
      <w:autoSpaceDE/>
      <w:autoSpaceDN/>
      <w:adjustRightInd/>
      <w:spacing w:before="120" w:afterLines="50" w:line="240" w:lineRule="auto"/>
      <w:ind w:left="1260" w:hanging="420"/>
      <w:jc w:val="left"/>
      <w:textAlignment w:val="auto"/>
    </w:pPr>
    <w:rPr>
      <w:rFonts w:ascii="宋体" w:eastAsia="宋体" w:cs="宋体"/>
      <w:bCs/>
      <w:snapToGrid w:val="0"/>
      <w:color w:val="auto"/>
      <w:sz w:val="24"/>
    </w:rPr>
  </w:style>
  <w:style w:type="paragraph" w:customStyle="1" w:styleId="50">
    <w:name w:val="最新标题4"/>
    <w:basedOn w:val="51"/>
    <w:next w:val="1"/>
    <w:qFormat/>
    <w:uiPriority w:val="0"/>
    <w:pPr>
      <w:tabs>
        <w:tab w:val="left" w:pos="1080"/>
      </w:tabs>
      <w:spacing w:after="120"/>
      <w:ind w:left="0" w:firstLine="0"/>
    </w:pPr>
  </w:style>
  <w:style w:type="paragraph" w:customStyle="1" w:styleId="51">
    <w:name w:val="样式 标题 4"/>
    <w:basedOn w:val="52"/>
    <w:next w:val="54"/>
    <w:qFormat/>
    <w:uiPriority w:val="0"/>
    <w:pPr>
      <w:tabs>
        <w:tab w:val="left" w:pos="1080"/>
      </w:tabs>
      <w:spacing w:after="50"/>
      <w:ind w:left="1080" w:hanging="1080"/>
    </w:pPr>
  </w:style>
  <w:style w:type="paragraph" w:customStyle="1" w:styleId="52">
    <w:name w:val="样式 标题 4Chapter X.X.X.X. + 段后: 0.5 行1"/>
    <w:basedOn w:val="53"/>
    <w:qFormat/>
    <w:uiPriority w:val="0"/>
    <w:pPr>
      <w:spacing w:afterLines="0"/>
    </w:pPr>
  </w:style>
  <w:style w:type="paragraph" w:customStyle="1" w:styleId="53">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54">
    <w:name w:val="样式 正文"/>
    <w:basedOn w:val="1"/>
    <w:next w:val="1"/>
    <w:qFormat/>
    <w:uiPriority w:val="0"/>
    <w:pPr>
      <w:tabs>
        <w:tab w:val="left" w:pos="1680"/>
      </w:tabs>
      <w:spacing w:afterLines="50"/>
      <w:ind w:left="1680" w:hanging="420"/>
      <w:jc w:val="left"/>
    </w:pPr>
    <w:rPr>
      <w:rFonts w:ascii="宋体" w:cs="宋体"/>
      <w:snapToGrid w:val="0"/>
      <w:kern w:val="0"/>
      <w:szCs w:val="20"/>
    </w:rPr>
  </w:style>
  <w:style w:type="paragraph" w:styleId="55">
    <w:name w:val="Body Text 2"/>
    <w:basedOn w:val="1"/>
    <w:qFormat/>
    <w:uiPriority w:val="0"/>
    <w:pPr>
      <w:autoSpaceDE w:val="0"/>
      <w:autoSpaceDN w:val="0"/>
      <w:adjustRightInd w:val="0"/>
    </w:pPr>
    <w:rPr>
      <w:color w:val="000000"/>
    </w:rPr>
  </w:style>
  <w:style w:type="paragraph" w:styleId="56">
    <w:name w:val="HTML Preformatted"/>
    <w:basedOn w:val="1"/>
    <w:qFormat/>
    <w:uiPriority w:val="0"/>
    <w:rPr>
      <w:rFonts w:ascii="Courier New" w:hAnsi="Courier New" w:cs="Courier New"/>
      <w:sz w:val="20"/>
      <w:szCs w:val="20"/>
    </w:rPr>
  </w:style>
  <w:style w:type="paragraph" w:styleId="57">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58">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59">
    <w:name w:val="annotation subject"/>
    <w:basedOn w:val="18"/>
    <w:next w:val="18"/>
    <w:link w:val="101"/>
    <w:qFormat/>
    <w:uiPriority w:val="99"/>
    <w:rPr>
      <w:b/>
      <w:bCs/>
    </w:rPr>
  </w:style>
  <w:style w:type="table" w:styleId="61">
    <w:name w:val="Table Grid"/>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0"/>
  </w:style>
  <w:style w:type="character" w:styleId="64">
    <w:name w:val="page number"/>
    <w:basedOn w:val="62"/>
    <w:qFormat/>
    <w:uiPriority w:val="0"/>
  </w:style>
  <w:style w:type="character" w:styleId="65">
    <w:name w:val="FollowedHyperlink"/>
    <w:qFormat/>
    <w:uiPriority w:val="99"/>
    <w:rPr>
      <w:rFonts w:cs="Times New Roman"/>
      <w:color w:val="800080"/>
      <w:u w:val="single"/>
    </w:rPr>
  </w:style>
  <w:style w:type="character" w:styleId="66">
    <w:name w:val="Emphasis"/>
    <w:qFormat/>
    <w:uiPriority w:val="0"/>
    <w:rPr>
      <w:color w:val="CC0000"/>
    </w:rPr>
  </w:style>
  <w:style w:type="character" w:styleId="67">
    <w:name w:val="HTML Definition"/>
    <w:qFormat/>
    <w:uiPriority w:val="0"/>
  </w:style>
  <w:style w:type="character" w:styleId="68">
    <w:name w:val="HTML Typewriter"/>
    <w:qFormat/>
    <w:uiPriority w:val="0"/>
    <w:rPr>
      <w:rFonts w:hint="default" w:ascii="monospace" w:hAnsi="monospace" w:eastAsia="monospace" w:cs="monospace"/>
      <w:sz w:val="20"/>
    </w:rPr>
  </w:style>
  <w:style w:type="character" w:styleId="69">
    <w:name w:val="HTML Acronym"/>
    <w:basedOn w:val="62"/>
    <w:qFormat/>
    <w:uiPriority w:val="0"/>
  </w:style>
  <w:style w:type="character" w:styleId="70">
    <w:name w:val="HTML Variable"/>
    <w:qFormat/>
    <w:uiPriority w:val="0"/>
  </w:style>
  <w:style w:type="character" w:styleId="71">
    <w:name w:val="Hyperlink"/>
    <w:basedOn w:val="62"/>
    <w:qFormat/>
    <w:uiPriority w:val="99"/>
    <w:rPr>
      <w:color w:val="333333"/>
      <w:u w:val="none"/>
    </w:rPr>
  </w:style>
  <w:style w:type="character" w:styleId="72">
    <w:name w:val="HTML Code"/>
    <w:qFormat/>
    <w:uiPriority w:val="0"/>
    <w:rPr>
      <w:rFonts w:hint="default" w:ascii="monospace" w:hAnsi="monospace" w:eastAsia="monospace" w:cs="monospace"/>
      <w:sz w:val="20"/>
    </w:rPr>
  </w:style>
  <w:style w:type="character" w:styleId="73">
    <w:name w:val="annotation reference"/>
    <w:qFormat/>
    <w:uiPriority w:val="99"/>
    <w:rPr>
      <w:sz w:val="21"/>
      <w:szCs w:val="21"/>
    </w:rPr>
  </w:style>
  <w:style w:type="character" w:styleId="74">
    <w:name w:val="HTML Cite"/>
    <w:qFormat/>
    <w:uiPriority w:val="0"/>
  </w:style>
  <w:style w:type="character" w:styleId="75">
    <w:name w:val="HTML Keyboard"/>
    <w:qFormat/>
    <w:uiPriority w:val="0"/>
    <w:rPr>
      <w:rFonts w:ascii="monospace" w:hAnsi="monospace" w:eastAsia="monospace" w:cs="monospace"/>
      <w:sz w:val="20"/>
    </w:rPr>
  </w:style>
  <w:style w:type="character" w:styleId="76">
    <w:name w:val="HTML Sample"/>
    <w:qFormat/>
    <w:uiPriority w:val="0"/>
    <w:rPr>
      <w:rFonts w:hint="default" w:ascii="monospace" w:hAnsi="monospace" w:eastAsia="monospace" w:cs="monospace"/>
    </w:rPr>
  </w:style>
  <w:style w:type="character" w:customStyle="1" w:styleId="77">
    <w:name w:val="纯文本 Char"/>
    <w:link w:val="27"/>
    <w:qFormat/>
    <w:uiPriority w:val="0"/>
    <w:rPr>
      <w:rFonts w:ascii="宋体" w:hAnsi="Courier New"/>
      <w:kern w:val="2"/>
      <w:sz w:val="24"/>
      <w:szCs w:val="24"/>
    </w:rPr>
  </w:style>
  <w:style w:type="character" w:customStyle="1" w:styleId="78">
    <w:name w:val="批注文字 Char"/>
    <w:link w:val="18"/>
    <w:qFormat/>
    <w:uiPriority w:val="99"/>
    <w:rPr>
      <w:kern w:val="2"/>
      <w:sz w:val="21"/>
      <w:szCs w:val="24"/>
    </w:rPr>
  </w:style>
  <w:style w:type="character" w:customStyle="1" w:styleId="79">
    <w:name w:val="正文文本 Char"/>
    <w:link w:val="20"/>
    <w:qFormat/>
    <w:uiPriority w:val="1"/>
    <w:rPr>
      <w:rFonts w:eastAsia="宋体"/>
      <w:kern w:val="2"/>
      <w:sz w:val="28"/>
      <w:szCs w:val="24"/>
      <w:lang w:val="en-US" w:eastAsia="zh-CN" w:bidi="ar-SA"/>
    </w:rPr>
  </w:style>
  <w:style w:type="character" w:customStyle="1" w:styleId="80">
    <w:name w:val="标题 2 Char"/>
    <w:link w:val="5"/>
    <w:qFormat/>
    <w:uiPriority w:val="9"/>
    <w:rPr>
      <w:rFonts w:ascii="Arial" w:hAnsi="Arial" w:eastAsia="黑体"/>
      <w:b/>
      <w:bCs/>
      <w:kern w:val="2"/>
      <w:sz w:val="32"/>
      <w:szCs w:val="32"/>
      <w:lang w:val="en-US" w:eastAsia="zh-CN" w:bidi="ar-SA"/>
    </w:rPr>
  </w:style>
  <w:style w:type="character" w:customStyle="1" w:styleId="81">
    <w:name w:val="标题 8 Char"/>
    <w:link w:val="11"/>
    <w:qFormat/>
    <w:uiPriority w:val="0"/>
    <w:rPr>
      <w:rFonts w:ascii="Arial" w:hAnsi="Arial" w:eastAsia="黑体"/>
      <w:sz w:val="24"/>
    </w:rPr>
  </w:style>
  <w:style w:type="character" w:customStyle="1" w:styleId="82">
    <w:name w:val="普通文字 Char Char"/>
    <w:qFormat/>
    <w:uiPriority w:val="0"/>
    <w:rPr>
      <w:rFonts w:ascii="宋体" w:hAnsi="Courier New"/>
    </w:rPr>
  </w:style>
  <w:style w:type="character" w:customStyle="1" w:styleId="83">
    <w:name w:val="标题 4 Char"/>
    <w:link w:val="7"/>
    <w:qFormat/>
    <w:uiPriority w:val="9"/>
    <w:rPr>
      <w:rFonts w:ascii="Arial" w:hAnsi="Arial" w:eastAsia="黑体"/>
      <w:b/>
      <w:bCs/>
      <w:kern w:val="2"/>
      <w:sz w:val="28"/>
      <w:szCs w:val="28"/>
      <w:lang w:val="en-US" w:eastAsia="zh-CN" w:bidi="ar-SA"/>
    </w:rPr>
  </w:style>
  <w:style w:type="character" w:customStyle="1" w:styleId="84">
    <w:name w:val="标题 7 Char"/>
    <w:link w:val="10"/>
    <w:qFormat/>
    <w:uiPriority w:val="0"/>
    <w:rPr>
      <w:rFonts w:ascii="宋体" w:eastAsia="仿宋_GB2312"/>
      <w:b/>
      <w:sz w:val="24"/>
    </w:rPr>
  </w:style>
  <w:style w:type="character" w:customStyle="1" w:styleId="85">
    <w:name w:val="页眉 Char"/>
    <w:link w:val="34"/>
    <w:qFormat/>
    <w:locked/>
    <w:uiPriority w:val="99"/>
    <w:rPr>
      <w:rFonts w:eastAsia="仿宋_GB2312"/>
      <w:kern w:val="2"/>
      <w:sz w:val="18"/>
    </w:rPr>
  </w:style>
  <w:style w:type="character" w:customStyle="1" w:styleId="86">
    <w:name w:val="正文1 Char"/>
    <w:qFormat/>
    <w:uiPriority w:val="0"/>
    <w:rPr>
      <w:rFonts w:ascii="宋体" w:eastAsia="宋体"/>
      <w:snapToGrid w:val="0"/>
      <w:color w:val="000000"/>
      <w:kern w:val="28"/>
      <w:sz w:val="28"/>
      <w:lang w:val="en-US" w:eastAsia="zh-CN" w:bidi="ar-SA"/>
    </w:rPr>
  </w:style>
  <w:style w:type="character" w:customStyle="1" w:styleId="87">
    <w:name w:val="标题 1 Char"/>
    <w:link w:val="3"/>
    <w:qFormat/>
    <w:locked/>
    <w:uiPriority w:val="9"/>
    <w:rPr>
      <w:rFonts w:ascii="宋体" w:hAnsi="Arial" w:eastAsia="黑体"/>
      <w:b/>
      <w:color w:val="000000"/>
      <w:kern w:val="44"/>
      <w:sz w:val="36"/>
    </w:rPr>
  </w:style>
  <w:style w:type="character" w:customStyle="1" w:styleId="88">
    <w:name w:val="页脚 Char"/>
    <w:link w:val="33"/>
    <w:qFormat/>
    <w:uiPriority w:val="99"/>
    <w:rPr>
      <w:rFonts w:eastAsia="黑体"/>
      <w:snapToGrid w:val="0"/>
      <w:kern w:val="2"/>
      <w:sz w:val="18"/>
      <w:szCs w:val="18"/>
    </w:rPr>
  </w:style>
  <w:style w:type="character" w:customStyle="1" w:styleId="89">
    <w:name w:val="标题 6 Char"/>
    <w:link w:val="9"/>
    <w:qFormat/>
    <w:uiPriority w:val="0"/>
    <w:rPr>
      <w:rFonts w:ascii="Arial" w:hAnsi="Arial" w:eastAsia="黑体"/>
      <w:b/>
      <w:bCs/>
      <w:kern w:val="2"/>
      <w:sz w:val="24"/>
    </w:rPr>
  </w:style>
  <w:style w:type="character" w:customStyle="1" w:styleId="90">
    <w:name w:val="列出段落 Char"/>
    <w:link w:val="91"/>
    <w:qFormat/>
    <w:uiPriority w:val="1"/>
    <w:rPr>
      <w:rFonts w:ascii="Calibri" w:hAnsi="Calibri"/>
      <w:kern w:val="2"/>
      <w:sz w:val="21"/>
      <w:szCs w:val="22"/>
    </w:rPr>
  </w:style>
  <w:style w:type="paragraph" w:styleId="91">
    <w:name w:val="List Paragraph"/>
    <w:basedOn w:val="1"/>
    <w:link w:val="90"/>
    <w:qFormat/>
    <w:uiPriority w:val="1"/>
    <w:pPr>
      <w:ind w:firstLine="420" w:firstLineChars="200"/>
    </w:pPr>
    <w:rPr>
      <w:szCs w:val="22"/>
    </w:rPr>
  </w:style>
  <w:style w:type="character" w:customStyle="1" w:styleId="92">
    <w:name w:val="批注框文本 Char"/>
    <w:link w:val="32"/>
    <w:qFormat/>
    <w:uiPriority w:val="99"/>
    <w:rPr>
      <w:kern w:val="2"/>
      <w:sz w:val="18"/>
      <w:szCs w:val="18"/>
    </w:rPr>
  </w:style>
  <w:style w:type="character" w:customStyle="1" w:styleId="93">
    <w:name w:val="标题 5 Char"/>
    <w:link w:val="8"/>
    <w:qFormat/>
    <w:uiPriority w:val="9"/>
    <w:rPr>
      <w:rFonts w:eastAsia="宋体"/>
      <w:b/>
      <w:bCs/>
      <w:kern w:val="2"/>
      <w:sz w:val="28"/>
      <w:szCs w:val="28"/>
      <w:lang w:val="en-US" w:eastAsia="zh-CN" w:bidi="ar-SA"/>
    </w:rPr>
  </w:style>
  <w:style w:type="character" w:customStyle="1" w:styleId="94">
    <w:name w:val="普通文字 Char Char1"/>
    <w:qFormat/>
    <w:uiPriority w:val="0"/>
    <w:rPr>
      <w:rFonts w:ascii="宋体" w:hAnsi="Courier New"/>
      <w:kern w:val="2"/>
      <w:sz w:val="21"/>
    </w:rPr>
  </w:style>
  <w:style w:type="character" w:customStyle="1" w:styleId="95">
    <w:name w:val="bulletintext1"/>
    <w:qFormat/>
    <w:uiPriority w:val="0"/>
    <w:rPr>
      <w:color w:val="000000"/>
      <w:sz w:val="18"/>
      <w:szCs w:val="18"/>
    </w:rPr>
  </w:style>
  <w:style w:type="character" w:customStyle="1" w:styleId="96">
    <w:name w:val="newsitemtext1"/>
    <w:qFormat/>
    <w:uiPriority w:val="0"/>
    <w:rPr>
      <w:color w:val="000000"/>
      <w:spacing w:val="320"/>
      <w:sz w:val="21"/>
      <w:szCs w:val="21"/>
    </w:rPr>
  </w:style>
  <w:style w:type="character" w:customStyle="1" w:styleId="97">
    <w:name w:val="正文文本缩进 3 Char"/>
    <w:link w:val="41"/>
    <w:qFormat/>
    <w:uiPriority w:val="0"/>
    <w:rPr>
      <w:kern w:val="2"/>
      <w:sz w:val="24"/>
      <w:szCs w:val="24"/>
    </w:rPr>
  </w:style>
  <w:style w:type="character" w:customStyle="1" w:styleId="98">
    <w:name w:val="Char Char16"/>
    <w:qFormat/>
    <w:uiPriority w:val="0"/>
    <w:rPr>
      <w:rFonts w:ascii="Tahoma" w:hAnsi="Tahoma" w:eastAsia="宋体"/>
      <w:kern w:val="2"/>
      <w:sz w:val="21"/>
      <w:szCs w:val="20"/>
      <w:lang w:val="en-US" w:eastAsia="zh-CN" w:bidi="ar-SA"/>
    </w:rPr>
  </w:style>
  <w:style w:type="character" w:customStyle="1" w:styleId="99">
    <w:name w:val="ptb181"/>
    <w:qFormat/>
    <w:uiPriority w:val="0"/>
    <w:rPr>
      <w:rFonts w:hint="default" w:ascii="Verdana" w:hAnsi="Verdana"/>
      <w:b/>
      <w:bCs/>
      <w:color w:val="000000"/>
      <w:sz w:val="27"/>
      <w:szCs w:val="27"/>
    </w:rPr>
  </w:style>
  <w:style w:type="character" w:customStyle="1" w:styleId="100">
    <w:name w:val="标题 9 Char"/>
    <w:link w:val="12"/>
    <w:qFormat/>
    <w:uiPriority w:val="0"/>
    <w:rPr>
      <w:rFonts w:ascii="Arial" w:hAnsi="Arial" w:eastAsia="黑体"/>
      <w:sz w:val="28"/>
    </w:rPr>
  </w:style>
  <w:style w:type="character" w:customStyle="1" w:styleId="101">
    <w:name w:val="批注主题 Char"/>
    <w:link w:val="59"/>
    <w:qFormat/>
    <w:uiPriority w:val="99"/>
    <w:rPr>
      <w:b/>
      <w:bCs/>
      <w:kern w:val="2"/>
      <w:sz w:val="21"/>
      <w:szCs w:val="24"/>
    </w:rPr>
  </w:style>
  <w:style w:type="character" w:customStyle="1" w:styleId="102">
    <w:name w:val="正文缩进 Char"/>
    <w:link w:val="4"/>
    <w:qFormat/>
    <w:uiPriority w:val="0"/>
    <w:rPr>
      <w:rFonts w:eastAsia="宋体"/>
      <w:kern w:val="2"/>
      <w:sz w:val="21"/>
      <w:lang w:val="en-US" w:eastAsia="zh-CN" w:bidi="ar-SA"/>
    </w:rPr>
  </w:style>
  <w:style w:type="character" w:customStyle="1" w:styleId="103">
    <w:name w:val="style31"/>
    <w:qFormat/>
    <w:uiPriority w:val="0"/>
    <w:rPr>
      <w:b/>
      <w:bCs/>
      <w:color w:val="0465BE"/>
      <w:sz w:val="28"/>
      <w:szCs w:val="28"/>
    </w:rPr>
  </w:style>
  <w:style w:type="character" w:customStyle="1" w:styleId="104">
    <w:name w:val="标题 3 Char"/>
    <w:link w:val="6"/>
    <w:qFormat/>
    <w:locked/>
    <w:uiPriority w:val="0"/>
    <w:rPr>
      <w:rFonts w:ascii="黑体" w:eastAsia="黑体"/>
      <w:b/>
      <w:color w:val="000000"/>
      <w:sz w:val="28"/>
    </w:rPr>
  </w:style>
  <w:style w:type="character" w:customStyle="1" w:styleId="105">
    <w:name w:val="my正文 Char"/>
    <w:link w:val="106"/>
    <w:qFormat/>
    <w:uiPriority w:val="0"/>
    <w:rPr>
      <w:rFonts w:eastAsia="宋体"/>
      <w:sz w:val="24"/>
      <w:szCs w:val="24"/>
      <w:lang w:val="zh-CN"/>
    </w:rPr>
  </w:style>
  <w:style w:type="paragraph" w:customStyle="1" w:styleId="106">
    <w:name w:val="my正文"/>
    <w:basedOn w:val="1"/>
    <w:link w:val="105"/>
    <w:qFormat/>
    <w:uiPriority w:val="0"/>
    <w:pPr>
      <w:spacing w:line="360" w:lineRule="auto"/>
      <w:ind w:firstLine="480" w:firstLineChars="200"/>
    </w:pPr>
    <w:rPr>
      <w:rFonts w:eastAsia="宋体"/>
      <w:kern w:val="0"/>
      <w:sz w:val="24"/>
      <w:szCs w:val="24"/>
      <w:lang w:val="zh-CN"/>
    </w:rPr>
  </w:style>
  <w:style w:type="paragraph" w:customStyle="1" w:styleId="107">
    <w:name w:val="Char Char11"/>
    <w:basedOn w:val="1"/>
    <w:qFormat/>
    <w:uiPriority w:val="0"/>
    <w:rPr>
      <w:rFonts w:eastAsia="宋体"/>
      <w:sz w:val="24"/>
    </w:rPr>
  </w:style>
  <w:style w:type="paragraph" w:customStyle="1" w:styleId="108">
    <w:name w:val="无间隔1"/>
    <w:qFormat/>
    <w:uiPriority w:val="0"/>
    <w:pPr>
      <w:adjustRightInd w:val="0"/>
      <w:snapToGrid w:val="0"/>
    </w:pPr>
    <w:rPr>
      <w:rFonts w:ascii="Tahoma" w:hAnsi="Tahoma" w:eastAsia="微软雅黑" w:cs="Tahoma"/>
      <w:sz w:val="22"/>
      <w:szCs w:val="22"/>
      <w:lang w:val="en-US" w:eastAsia="zh-CN" w:bidi="ar-SA"/>
    </w:rPr>
  </w:style>
  <w:style w:type="paragraph" w:customStyle="1" w:styleId="109">
    <w:name w:val="Char Char Char"/>
    <w:basedOn w:val="1"/>
    <w:qFormat/>
    <w:uiPriority w:val="0"/>
    <w:rPr>
      <w:rFonts w:ascii="仿宋_GB2312" w:eastAsia="仿宋_GB2312"/>
      <w:b/>
      <w:sz w:val="32"/>
      <w:szCs w:val="32"/>
    </w:rPr>
  </w:style>
  <w:style w:type="paragraph" w:customStyle="1" w:styleId="110">
    <w:name w:val="样式 标题 3Chapter X.X.X. + 段后: 0.5 行1"/>
    <w:basedOn w:val="6"/>
    <w:next w:val="1"/>
    <w:qFormat/>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111">
    <w:name w:val="列出段落1"/>
    <w:basedOn w:val="1"/>
    <w:qFormat/>
    <w:uiPriority w:val="99"/>
    <w:pPr>
      <w:ind w:firstLine="420" w:firstLineChars="200"/>
    </w:pPr>
    <w:rPr>
      <w:kern w:val="0"/>
      <w:szCs w:val="20"/>
    </w:rPr>
  </w:style>
  <w:style w:type="paragraph" w:customStyle="1" w:styleId="112">
    <w:name w:val="段"/>
    <w:qFormat/>
    <w:uiPriority w:val="0"/>
    <w:pPr>
      <w:autoSpaceDE w:val="0"/>
      <w:autoSpaceDN w:val="0"/>
      <w:ind w:firstLine="200" w:firstLineChars="200"/>
      <w:jc w:val="both"/>
    </w:pPr>
    <w:rPr>
      <w:rFonts w:ascii="宋体" w:hAnsi="Calibri" w:eastAsia="微软雅黑" w:cs="Times New Roman"/>
      <w:sz w:val="21"/>
      <w:lang w:val="en-US" w:eastAsia="zh-CN" w:bidi="ar-SA"/>
    </w:rPr>
  </w:style>
  <w:style w:type="paragraph" w:customStyle="1" w:styleId="113">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
    <w:name w:val="Body"/>
    <w:basedOn w:val="1"/>
    <w:qFormat/>
    <w:uiPriority w:val="0"/>
    <w:pPr>
      <w:widowControl/>
      <w:spacing w:before="120" w:afterLines="50"/>
    </w:pPr>
    <w:rPr>
      <w:rFonts w:ascii="宋体"/>
      <w:snapToGrid w:val="0"/>
      <w:kern w:val="0"/>
      <w:szCs w:val="20"/>
    </w:rPr>
  </w:style>
  <w:style w:type="paragraph" w:customStyle="1" w:styleId="115">
    <w:name w:val="样式 模板描述"/>
    <w:basedOn w:val="1"/>
    <w:next w:val="54"/>
    <w:qFormat/>
    <w:uiPriority w:val="0"/>
    <w:pPr>
      <w:spacing w:afterLines="50"/>
      <w:jc w:val="left"/>
    </w:pPr>
    <w:rPr>
      <w:rFonts w:ascii="宋体" w:cs="宋体"/>
      <w:i/>
      <w:iCs/>
      <w:snapToGrid w:val="0"/>
      <w:color w:val="0000FF"/>
      <w:kern w:val="0"/>
    </w:rPr>
  </w:style>
  <w:style w:type="paragraph" w:customStyle="1" w:styleId="116">
    <w:name w:val="Char Char23 Char Char Char Char Char Char Char Char"/>
    <w:basedOn w:val="1"/>
    <w:qFormat/>
    <w:uiPriority w:val="0"/>
    <w:pPr>
      <w:jc w:val="center"/>
    </w:pPr>
    <w:rPr>
      <w:rFonts w:ascii="仿宋_GB2312" w:eastAsia="仿宋_GB2312"/>
      <w:b/>
      <w:kern w:val="0"/>
      <w:sz w:val="32"/>
      <w:szCs w:val="32"/>
      <w:lang w:val="en-GB"/>
    </w:rPr>
  </w:style>
  <w:style w:type="paragraph" w:customStyle="1" w:styleId="117">
    <w:name w:val="font8"/>
    <w:basedOn w:val="1"/>
    <w:qFormat/>
    <w:uiPriority w:val="99"/>
    <w:pPr>
      <w:widowControl/>
      <w:spacing w:before="100" w:beforeAutospacing="1" w:after="100" w:afterAutospacing="1"/>
      <w:jc w:val="left"/>
    </w:pPr>
    <w:rPr>
      <w:rFonts w:ascii="宋体" w:hAnsi="宋体" w:cs="宋体"/>
      <w:color w:val="000000"/>
      <w:kern w:val="0"/>
    </w:rPr>
  </w:style>
  <w:style w:type="paragraph" w:customStyle="1" w:styleId="118">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9">
    <w:name w:val="标题 3Chapter X.X.X. + 段后: 0.5 行 + 段后: 0.5 行 + 段后: 0.5 行1"/>
    <w:basedOn w:val="120"/>
    <w:qFormat/>
    <w:uiPriority w:val="0"/>
    <w:pPr/>
  </w:style>
  <w:style w:type="paragraph" w:customStyle="1" w:styleId="120">
    <w:name w:val="样式 样式 标题 3Chapter X.X.X. + 段后: 0.5 行 + 段后: 0.5 行"/>
    <w:basedOn w:val="121"/>
    <w:qFormat/>
    <w:uiPriority w:val="0"/>
    <w:pPr/>
  </w:style>
  <w:style w:type="paragraph" w:customStyle="1" w:styleId="121">
    <w:name w:val="样式 标题 3Chapter X.X.X. + 段后: 0.5 行"/>
    <w:basedOn w:val="6"/>
    <w:qFormat/>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122">
    <w:name w:val="Bullet"/>
    <w:basedOn w:val="1"/>
    <w:qFormat/>
    <w:uiPriority w:val="0"/>
    <w:pPr>
      <w:widowControl/>
      <w:tabs>
        <w:tab w:val="left" w:pos="720"/>
      </w:tabs>
      <w:spacing w:before="120" w:afterLines="50"/>
      <w:ind w:left="720" w:right="360" w:hanging="420"/>
    </w:pPr>
    <w:rPr>
      <w:rFonts w:ascii="宋体"/>
      <w:snapToGrid w:val="0"/>
      <w:kern w:val="0"/>
      <w:szCs w:val="20"/>
    </w:rPr>
  </w:style>
  <w:style w:type="paragraph" w:customStyle="1" w:styleId="123">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24">
    <w:name w:val="Table - Text"/>
    <w:basedOn w:val="1"/>
    <w:qFormat/>
    <w:uiPriority w:val="0"/>
    <w:pPr>
      <w:widowControl/>
      <w:spacing w:before="60" w:afterLines="50"/>
      <w:jc w:val="left"/>
    </w:pPr>
    <w:rPr>
      <w:kern w:val="0"/>
      <w:szCs w:val="20"/>
      <w:lang w:eastAsia="en-US"/>
    </w:rPr>
  </w:style>
  <w:style w:type="paragraph" w:customStyle="1" w:styleId="12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26">
    <w:name w:val="文本框内文字"/>
    <w:basedOn w:val="1"/>
    <w:qFormat/>
    <w:uiPriority w:val="0"/>
    <w:pPr>
      <w:spacing w:line="0" w:lineRule="atLeast"/>
    </w:pPr>
    <w:rPr>
      <w:rFonts w:eastAsia="仿宋_GB2312"/>
      <w:sz w:val="22"/>
    </w:rPr>
  </w:style>
  <w:style w:type="paragraph" w:customStyle="1" w:styleId="127">
    <w:name w:val="默认段落字体 Para Char Char Char Char Char Char Char Char Char1 Char Char Char Char"/>
    <w:basedOn w:val="1"/>
    <w:qFormat/>
    <w:uiPriority w:val="0"/>
    <w:rPr>
      <w:rFonts w:ascii="Tahoma" w:hAnsi="Tahoma"/>
      <w:sz w:val="24"/>
      <w:szCs w:val="20"/>
    </w:rPr>
  </w:style>
  <w:style w:type="paragraph" w:customStyle="1" w:styleId="128">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9">
    <w:name w:val="默认段落字体 Para Char Char Char Char Char Char Char"/>
    <w:basedOn w:val="1"/>
    <w:qFormat/>
    <w:uiPriority w:val="0"/>
    <w:rPr>
      <w:rFonts w:ascii="Tahoma" w:hAnsi="Tahoma" w:cs="Tahoma"/>
      <w:sz w:val="24"/>
    </w:rPr>
  </w:style>
  <w:style w:type="paragraph" w:customStyle="1" w:styleId="130">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31">
    <w:name w:val="样式 正文文本缩进 + 仿宋_GB2312 小四 首行缩进:  0 厘米 行距: 1.5 倍行距"/>
    <w:basedOn w:val="22"/>
    <w:qFormat/>
    <w:uiPriority w:val="0"/>
    <w:pPr>
      <w:spacing w:line="360" w:lineRule="auto"/>
      <w:ind w:firstLine="0"/>
    </w:pPr>
    <w:rPr>
      <w:rFonts w:ascii="仿宋_GB2312" w:hAnsi="Times New Roman" w:eastAsia="新宋体"/>
      <w:spacing w:val="0"/>
      <w:sz w:val="24"/>
    </w:rPr>
  </w:style>
  <w:style w:type="paragraph" w:customStyle="1" w:styleId="132">
    <w:name w:val="Char1"/>
    <w:basedOn w:val="1"/>
    <w:qFormat/>
    <w:uiPriority w:val="0"/>
    <w:rPr>
      <w:szCs w:val="20"/>
    </w:rPr>
  </w:style>
  <w:style w:type="paragraph" w:customStyle="1" w:styleId="133">
    <w:name w:val="paragraph1"/>
    <w:basedOn w:val="1"/>
    <w:qFormat/>
    <w:uiPriority w:val="0"/>
    <w:pPr>
      <w:spacing w:afterLines="30" w:line="360" w:lineRule="auto"/>
      <w:ind w:firstLine="420" w:firstLineChars="200"/>
    </w:pPr>
    <w:rPr>
      <w:rFonts w:eastAsia="楷体_GB2312"/>
      <w:sz w:val="24"/>
      <w:szCs w:val="20"/>
    </w:rPr>
  </w:style>
  <w:style w:type="paragraph" w:customStyle="1" w:styleId="134">
    <w:name w:val="样式 样式 正文文本缩进 + 仿宋_GB2312 小四 首行缩进:  0 厘米 行距: 1.5 倍行距 + (中文) 仿宋_GB... Char Char"/>
    <w:basedOn w:val="131"/>
    <w:qFormat/>
    <w:uiPriority w:val="0"/>
    <w:pPr>
      <w:ind w:firstLine="480" w:firstLineChars="200"/>
    </w:pPr>
  </w:style>
  <w:style w:type="paragraph" w:customStyle="1" w:styleId="135">
    <w:name w:val="样式 标题 3(A-3)sect1.2.3h3H3level_3PIM 3Level 3 HeadHeading..."/>
    <w:basedOn w:val="6"/>
    <w:qFormat/>
    <w:uiPriority w:val="0"/>
    <w:pPr>
      <w:keepNext/>
      <w:keepLines/>
      <w:autoSpaceDE/>
      <w:autoSpaceDN/>
      <w:adjustRightInd/>
      <w:spacing w:before="260" w:after="260" w:line="413" w:lineRule="auto"/>
      <w:ind w:left="0" w:firstLine="0"/>
      <w:textAlignment w:val="auto"/>
    </w:pPr>
    <w:rPr>
      <w:rFonts w:ascii="Arial" w:hAnsi="Arial" w:eastAsia="宋体"/>
      <w:bCs/>
      <w:color w:val="auto"/>
      <w:kern w:val="2"/>
      <w:sz w:val="30"/>
      <w:szCs w:val="32"/>
    </w:rPr>
  </w:style>
  <w:style w:type="paragraph" w:customStyle="1" w:styleId="136">
    <w:name w:val="S4-I-L15-U"/>
    <w:basedOn w:val="1"/>
    <w:qFormat/>
    <w:uiPriority w:val="0"/>
    <w:pPr>
      <w:spacing w:line="360" w:lineRule="auto"/>
    </w:pPr>
    <w:rPr>
      <w:b/>
      <w:i/>
      <w:sz w:val="24"/>
      <w:u w:val="single"/>
    </w:rPr>
  </w:style>
  <w:style w:type="paragraph" w:customStyle="1" w:styleId="137">
    <w:name w:val="font7"/>
    <w:basedOn w:val="1"/>
    <w:qFormat/>
    <w:uiPriority w:val="99"/>
    <w:pPr>
      <w:widowControl/>
      <w:spacing w:before="100" w:beforeAutospacing="1" w:after="100" w:afterAutospacing="1"/>
      <w:jc w:val="left"/>
    </w:pPr>
    <w:rPr>
      <w:color w:val="000000"/>
      <w:kern w:val="0"/>
    </w:rPr>
  </w:style>
  <w:style w:type="paragraph" w:customStyle="1" w:styleId="138">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139">
    <w:name w:val="Table Description"/>
    <w:next w:val="1"/>
    <w:qFormat/>
    <w:uiPriority w:val="0"/>
    <w:pPr>
      <w:keepNext/>
      <w:tabs>
        <w:tab w:val="left" w:pos="2700"/>
      </w:tabs>
      <w:snapToGrid w:val="0"/>
      <w:spacing w:before="160" w:after="80"/>
      <w:ind w:left="2700" w:hanging="420"/>
      <w:jc w:val="center"/>
    </w:pPr>
    <w:rPr>
      <w:rFonts w:ascii="Arial" w:hAnsi="Arial" w:eastAsia="黑体" w:cs="Times New Roman"/>
      <w:sz w:val="18"/>
      <w:lang w:val="en-US" w:eastAsia="en-US" w:bidi="ar-SA"/>
    </w:rPr>
  </w:style>
  <w:style w:type="paragraph" w:customStyle="1" w:styleId="140">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41">
    <w:name w:val="Blockquote"/>
    <w:basedOn w:val="1"/>
    <w:qFormat/>
    <w:uiPriority w:val="0"/>
    <w:pPr>
      <w:widowControl/>
      <w:spacing w:before="100" w:afterLines="50"/>
      <w:ind w:left="360" w:right="360"/>
      <w:jc w:val="left"/>
    </w:pPr>
    <w:rPr>
      <w:rFonts w:ascii="宋体"/>
      <w:snapToGrid w:val="0"/>
      <w:kern w:val="0"/>
      <w:sz w:val="24"/>
      <w:szCs w:val="20"/>
      <w:lang w:val="en-CA"/>
    </w:rPr>
  </w:style>
  <w:style w:type="paragraph" w:customStyle="1" w:styleId="142">
    <w:name w:val="Figure Description"/>
    <w:next w:val="1"/>
    <w:qFormat/>
    <w:uiPriority w:val="0"/>
    <w:pPr>
      <w:tabs>
        <w:tab w:val="left" w:pos="2280"/>
      </w:tabs>
      <w:snapToGrid w:val="0"/>
      <w:spacing w:before="80" w:after="320"/>
      <w:ind w:left="2280" w:hanging="420"/>
      <w:jc w:val="center"/>
    </w:pPr>
    <w:rPr>
      <w:rFonts w:ascii="Arial" w:hAnsi="Arial" w:eastAsia="黑体" w:cs="Times New Roman"/>
      <w:sz w:val="18"/>
      <w:lang w:val="en-US" w:eastAsia="en-US" w:bidi="ar-SA"/>
    </w:rPr>
  </w:style>
  <w:style w:type="paragraph" w:customStyle="1" w:styleId="143">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144">
    <w:name w:val="xl7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45">
    <w:name w:val="样式 标题 1 + 五号"/>
    <w:basedOn w:val="3"/>
    <w:qFormat/>
    <w:uiPriority w:val="0"/>
    <w:pPr>
      <w:tabs>
        <w:tab w:val="clear" w:pos="360"/>
      </w:tabs>
      <w:autoSpaceDE/>
      <w:autoSpaceDN/>
      <w:adjustRightInd/>
      <w:spacing w:before="0" w:after="0" w:line="240" w:lineRule="auto"/>
      <w:jc w:val="center"/>
      <w:textAlignment w:val="auto"/>
    </w:pPr>
    <w:rPr>
      <w:rFonts w:ascii="Times New Roman" w:hAnsi="Times New Roman" w:eastAsia="宋体"/>
      <w:bCs/>
      <w:color w:val="auto"/>
      <w:sz w:val="32"/>
      <w:szCs w:val="32"/>
    </w:rPr>
  </w:style>
  <w:style w:type="paragraph" w:customStyle="1" w:styleId="146">
    <w:name w:val="Tabletext"/>
    <w:basedOn w:val="1"/>
    <w:qFormat/>
    <w:uiPriority w:val="0"/>
    <w:pPr>
      <w:keepLines/>
      <w:spacing w:afterLines="50"/>
      <w:jc w:val="left"/>
    </w:pPr>
    <w:rPr>
      <w:rFonts w:ascii="宋体"/>
      <w:snapToGrid w:val="0"/>
      <w:kern w:val="0"/>
      <w:szCs w:val="20"/>
    </w:rPr>
  </w:style>
  <w:style w:type="paragraph" w:customStyle="1" w:styleId="147">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148">
    <w:name w:val="xl7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49">
    <w:name w:val="标准标题3"/>
    <w:basedOn w:val="6"/>
    <w:qFormat/>
    <w:uiPriority w:val="0"/>
    <w:pPr>
      <w:keepNext/>
      <w:keepLines/>
      <w:tabs>
        <w:tab w:val="left" w:pos="1200"/>
        <w:tab w:val="clear" w:pos="709"/>
      </w:tabs>
      <w:autoSpaceDE/>
      <w:autoSpaceDN/>
      <w:adjustRightInd/>
      <w:spacing w:before="260" w:after="260" w:line="240" w:lineRule="auto"/>
      <w:ind w:left="0" w:leftChars="-258" w:firstLine="0"/>
      <w:textAlignment w:val="auto"/>
    </w:pPr>
    <w:rPr>
      <w:rFonts w:ascii="Times New Roman" w:eastAsia="仿宋_GB2312"/>
      <w:bCs/>
      <w:color w:val="auto"/>
      <w:kern w:val="2"/>
      <w:szCs w:val="32"/>
    </w:rPr>
  </w:style>
  <w:style w:type="paragraph" w:customStyle="1" w:styleId="150">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Paragraph2"/>
    <w:basedOn w:val="1"/>
    <w:qFormat/>
    <w:uiPriority w:val="0"/>
    <w:pPr>
      <w:spacing w:before="80" w:afterLines="50"/>
      <w:ind w:left="720"/>
    </w:pPr>
    <w:rPr>
      <w:rFonts w:ascii="宋体"/>
      <w:snapToGrid w:val="0"/>
      <w:color w:val="000000"/>
      <w:kern w:val="0"/>
      <w:szCs w:val="20"/>
      <w:lang w:val="en-AU"/>
    </w:rPr>
  </w:style>
  <w:style w:type="paragraph" w:customStyle="1" w:styleId="152">
    <w:name w:val="表内文字"/>
    <w:basedOn w:val="1"/>
    <w:qFormat/>
    <w:uiPriority w:val="0"/>
    <w:pPr>
      <w:tabs>
        <w:tab w:val="left" w:pos="1418"/>
      </w:tabs>
      <w:spacing w:line="360" w:lineRule="auto"/>
      <w:jc w:val="center"/>
    </w:pPr>
    <w:rPr>
      <w:rFonts w:ascii="宋体" w:hAnsi="宋体"/>
      <w:spacing w:val="-20"/>
      <w:kern w:val="0"/>
      <w:sz w:val="24"/>
    </w:rPr>
  </w:style>
  <w:style w:type="paragraph" w:customStyle="1" w:styleId="153">
    <w:name w:val="表格标题"/>
    <w:basedOn w:val="154"/>
    <w:qFormat/>
    <w:uiPriority w:val="0"/>
    <w:pPr>
      <w:jc w:val="center"/>
    </w:pPr>
    <w:rPr>
      <w:b/>
      <w:bCs/>
      <w:i/>
      <w:iCs/>
    </w:rPr>
  </w:style>
  <w:style w:type="paragraph" w:customStyle="1" w:styleId="154">
    <w:name w:val="表格内容"/>
    <w:basedOn w:val="20"/>
    <w:qFormat/>
    <w:uiPriority w:val="0"/>
    <w:pPr>
      <w:suppressLineNumbers/>
      <w:suppressAutoHyphens/>
    </w:pPr>
    <w:rPr>
      <w:kern w:val="1"/>
      <w:sz w:val="21"/>
      <w:lang w:eastAsia="ar-SA"/>
    </w:rPr>
  </w:style>
  <w:style w:type="paragraph" w:customStyle="1" w:styleId="155">
    <w:name w:val="Paragraph3"/>
    <w:basedOn w:val="1"/>
    <w:qFormat/>
    <w:uiPriority w:val="0"/>
    <w:pPr>
      <w:spacing w:before="80" w:afterLines="50"/>
      <w:ind w:left="1530"/>
    </w:pPr>
    <w:rPr>
      <w:rFonts w:ascii="宋体"/>
      <w:snapToGrid w:val="0"/>
      <w:kern w:val="0"/>
      <w:szCs w:val="20"/>
    </w:rPr>
  </w:style>
  <w:style w:type="paragraph" w:customStyle="1" w:styleId="156">
    <w:name w:val="样式 标题 1 + 五号1 Char Char Char Char Char Char Char Char Char Char Char Char Char Char Char Char Char"/>
    <w:basedOn w:val="3"/>
    <w:qFormat/>
    <w:uiPriority w:val="0"/>
    <w:pPr>
      <w:tabs>
        <w:tab w:val="clear" w:pos="360"/>
      </w:tabs>
      <w:autoSpaceDE/>
      <w:autoSpaceDN/>
      <w:adjustRightInd/>
      <w:spacing w:before="0" w:after="0" w:line="480" w:lineRule="auto"/>
      <w:jc w:val="both"/>
      <w:textAlignment w:val="auto"/>
    </w:pPr>
    <w:rPr>
      <w:rFonts w:ascii="Times New Roman" w:hAnsi="Times New Roman" w:eastAsia="宋体"/>
      <w:bCs/>
      <w:color w:val="auto"/>
      <w:sz w:val="21"/>
      <w:szCs w:val="44"/>
    </w:rPr>
  </w:style>
  <w:style w:type="paragraph" w:customStyle="1" w:styleId="157">
    <w:name w:val="P2"/>
    <w:basedOn w:val="1"/>
    <w:qFormat/>
    <w:uiPriority w:val="0"/>
    <w:pPr>
      <w:widowControl/>
      <w:spacing w:before="240" w:line="240" w:lineRule="atLeast"/>
      <w:ind w:left="578"/>
      <w:jc w:val="left"/>
    </w:pPr>
    <w:rPr>
      <w:b/>
      <w:kern w:val="0"/>
      <w:lang w:val="en-AU" w:eastAsia="en-US"/>
    </w:rPr>
  </w:style>
  <w:style w:type="paragraph" w:customStyle="1" w:styleId="158">
    <w:name w:val="标准标题2"/>
    <w:basedOn w:val="5"/>
    <w:qFormat/>
    <w:uiPriority w:val="0"/>
    <w:pPr>
      <w:spacing w:line="360" w:lineRule="auto"/>
    </w:pPr>
    <w:rPr>
      <w:rFonts w:eastAsia="仿宋_GB2312"/>
      <w:bCs w:val="0"/>
      <w:sz w:val="28"/>
    </w:rPr>
  </w:style>
  <w:style w:type="paragraph" w:customStyle="1" w:styleId="159">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160">
    <w:name w:val="此正文"/>
    <w:basedOn w:val="1"/>
    <w:qFormat/>
    <w:uiPriority w:val="0"/>
    <w:pPr>
      <w:spacing w:line="360" w:lineRule="auto"/>
      <w:ind w:firstLine="200" w:firstLineChars="200"/>
    </w:pPr>
    <w:rPr>
      <w:sz w:val="24"/>
      <w:szCs w:val="20"/>
    </w:rPr>
  </w:style>
  <w:style w:type="paragraph" w:customStyle="1" w:styleId="161">
    <w:name w:val="样式 样式 标题 4 + 段后: 0.5 行1"/>
    <w:basedOn w:val="53"/>
    <w:next w:val="31"/>
    <w:qFormat/>
    <w:uiPriority w:val="0"/>
    <w:pPr>
      <w:spacing w:afterLines="0"/>
    </w:pPr>
  </w:style>
  <w:style w:type="paragraph" w:customStyle="1" w:styleId="162">
    <w:name w:val="S4-L15-C"/>
    <w:basedOn w:val="1"/>
    <w:qFormat/>
    <w:uiPriority w:val="0"/>
    <w:pPr>
      <w:spacing w:after="120" w:line="360" w:lineRule="auto"/>
      <w:jc w:val="center"/>
    </w:pPr>
  </w:style>
  <w:style w:type="paragraph" w:customStyle="1" w:styleId="163">
    <w:name w:val="S4-L15-No"/>
    <w:basedOn w:val="164"/>
    <w:qFormat/>
    <w:uiPriority w:val="0"/>
    <w:pPr>
      <w:tabs>
        <w:tab w:val="left" w:pos="1440"/>
      </w:tabs>
      <w:ind w:left="1440" w:hanging="1275"/>
    </w:pPr>
  </w:style>
  <w:style w:type="paragraph" w:customStyle="1" w:styleId="164">
    <w:name w:val="S4-L15"/>
    <w:basedOn w:val="1"/>
    <w:qFormat/>
    <w:uiPriority w:val="0"/>
    <w:pPr>
      <w:spacing w:after="120" w:line="360" w:lineRule="auto"/>
      <w:ind w:left="720" w:firstLine="392"/>
    </w:pPr>
    <w:rPr>
      <w:lang w:val="fr-FR"/>
    </w:rPr>
  </w:style>
  <w:style w:type="paragraph" w:customStyle="1" w:styleId="165">
    <w:name w:val="首行缩进"/>
    <w:basedOn w:val="1"/>
    <w:qFormat/>
    <w:uiPriority w:val="0"/>
    <w:pPr>
      <w:widowControl/>
      <w:tabs>
        <w:tab w:val="left" w:pos="822"/>
      </w:tabs>
      <w:snapToGrid w:val="0"/>
      <w:spacing w:before="40" w:after="40" w:line="300" w:lineRule="atLeast"/>
      <w:ind w:left="3120" w:hanging="420"/>
    </w:pPr>
    <w:rPr>
      <w:rFonts w:ascii="Arial" w:hAnsi="Arial"/>
      <w:kern w:val="0"/>
      <w:szCs w:val="20"/>
    </w:rPr>
  </w:style>
  <w:style w:type="paragraph" w:customStyle="1" w:styleId="166">
    <w:name w:val="Bullet1"/>
    <w:basedOn w:val="1"/>
    <w:qFormat/>
    <w:uiPriority w:val="0"/>
    <w:pPr>
      <w:spacing w:afterLines="50"/>
      <w:ind w:left="720" w:hanging="432"/>
      <w:jc w:val="left"/>
    </w:pPr>
    <w:rPr>
      <w:rFonts w:ascii="宋体"/>
      <w:snapToGrid w:val="0"/>
      <w:kern w:val="0"/>
      <w:szCs w:val="20"/>
    </w:rPr>
  </w:style>
  <w:style w:type="paragraph" w:customStyle="1" w:styleId="167">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8">
    <w:name w:val="样式2"/>
    <w:basedOn w:val="5"/>
    <w:qFormat/>
    <w:uiPriority w:val="0"/>
    <w:pPr>
      <w:tabs>
        <w:tab w:val="left" w:pos="840"/>
      </w:tabs>
      <w:ind w:left="840" w:hanging="420"/>
    </w:pPr>
    <w:rPr>
      <w:rFonts w:eastAsia="宋体"/>
    </w:rPr>
  </w:style>
  <w:style w:type="paragraph" w:customStyle="1" w:styleId="169">
    <w:name w:val="Item List"/>
    <w:qFormat/>
    <w:uiPriority w:val="0"/>
    <w:pPr>
      <w:tabs>
        <w:tab w:val="left" w:pos="900"/>
      </w:tabs>
      <w:spacing w:line="300" w:lineRule="auto"/>
      <w:ind w:left="900" w:hanging="720"/>
      <w:jc w:val="both"/>
    </w:pPr>
    <w:rPr>
      <w:rFonts w:ascii="Arial" w:hAnsi="Arial" w:eastAsia="微软雅黑" w:cs="Times New Roman"/>
      <w:sz w:val="21"/>
      <w:lang w:val="en-US" w:eastAsia="en-US" w:bidi="ar-SA"/>
    </w:rPr>
  </w:style>
  <w:style w:type="paragraph" w:customStyle="1" w:styleId="170">
    <w:name w:val="Main Title"/>
    <w:basedOn w:val="1"/>
    <w:qFormat/>
    <w:uiPriority w:val="0"/>
    <w:pPr>
      <w:spacing w:before="480" w:afterLines="50"/>
      <w:jc w:val="center"/>
    </w:pPr>
    <w:rPr>
      <w:rFonts w:ascii="宋体"/>
      <w:b/>
      <w:snapToGrid w:val="0"/>
      <w:kern w:val="28"/>
      <w:sz w:val="32"/>
      <w:szCs w:val="20"/>
    </w:rPr>
  </w:style>
  <w:style w:type="paragraph" w:customStyle="1" w:styleId="171">
    <w:name w:val="Char Char1"/>
    <w:basedOn w:val="1"/>
    <w:qFormat/>
    <w:uiPriority w:val="0"/>
    <w:rPr>
      <w:rFonts w:eastAsia="宋体"/>
      <w:sz w:val="24"/>
    </w:rPr>
  </w:style>
  <w:style w:type="paragraph" w:customStyle="1" w:styleId="172">
    <w:name w:val="Char11"/>
    <w:basedOn w:val="1"/>
    <w:qFormat/>
    <w:uiPriority w:val="0"/>
    <w:rPr>
      <w:rFonts w:ascii="仿宋_GB2312" w:eastAsia="仿宋_GB2312"/>
      <w:b/>
      <w:sz w:val="32"/>
      <w:szCs w:val="32"/>
    </w:rPr>
  </w:style>
  <w:style w:type="paragraph" w:customStyle="1" w:styleId="17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4">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175">
    <w:name w:val="Char Char Char Char"/>
    <w:basedOn w:val="1"/>
    <w:qFormat/>
    <w:uiPriority w:val="0"/>
    <w:rPr>
      <w:rFonts w:ascii="仿宋_GB2312" w:eastAsia="仿宋_GB2312"/>
      <w:b/>
      <w:sz w:val="32"/>
      <w:szCs w:val="32"/>
    </w:rPr>
  </w:style>
  <w:style w:type="paragraph" w:customStyle="1" w:styleId="176">
    <w:name w:val="二级项目符号"/>
    <w:basedOn w:val="1"/>
    <w:qFormat/>
    <w:uiPriority w:val="0"/>
    <w:pPr>
      <w:widowControl/>
      <w:tabs>
        <w:tab w:val="left" w:pos="900"/>
      </w:tabs>
      <w:spacing w:line="360" w:lineRule="auto"/>
      <w:ind w:left="900" w:hanging="420"/>
    </w:pPr>
    <w:rPr>
      <w:kern w:val="0"/>
      <w:sz w:val="24"/>
      <w:szCs w:val="20"/>
    </w:rPr>
  </w:style>
  <w:style w:type="paragraph" w:customStyle="1" w:styleId="177">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178">
    <w:name w:val="S4-B-L15"/>
    <w:basedOn w:val="1"/>
    <w:qFormat/>
    <w:uiPriority w:val="0"/>
    <w:pPr>
      <w:spacing w:line="360" w:lineRule="auto"/>
    </w:pPr>
    <w:rPr>
      <w:b/>
      <w:bCs/>
      <w:sz w:val="24"/>
    </w:rPr>
  </w:style>
  <w:style w:type="paragraph" w:customStyle="1" w:styleId="179">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0"/>
      <w:szCs w:val="20"/>
    </w:rPr>
  </w:style>
  <w:style w:type="paragraph" w:customStyle="1" w:styleId="180">
    <w:name w:val="Char Char12"/>
    <w:basedOn w:val="1"/>
    <w:qFormat/>
    <w:uiPriority w:val="0"/>
    <w:rPr>
      <w:rFonts w:eastAsia="宋体"/>
      <w:sz w:val="24"/>
    </w:rPr>
  </w:style>
  <w:style w:type="paragraph" w:customStyle="1" w:styleId="181">
    <w:name w:val="样式 标题 2 + 五号"/>
    <w:basedOn w:val="5"/>
    <w:qFormat/>
    <w:uiPriority w:val="0"/>
    <w:pPr>
      <w:spacing w:before="0" w:after="0" w:line="240" w:lineRule="auto"/>
    </w:pPr>
    <w:rPr>
      <w:rFonts w:ascii="宋体" w:hAnsi="宋体" w:eastAsia="宋体"/>
      <w:sz w:val="21"/>
    </w:rPr>
  </w:style>
  <w:style w:type="paragraph" w:customStyle="1" w:styleId="182">
    <w:name w:val="样式 样式 正文文本缩进 + 仿宋_GB2312 小四 首行缩进:  0 厘米 行距: 1.5 倍行距 + (中文) 仿宋_GB..."/>
    <w:basedOn w:val="131"/>
    <w:qFormat/>
    <w:uiPriority w:val="0"/>
    <w:pPr>
      <w:ind w:firstLine="480" w:firstLineChars="200"/>
    </w:pPr>
  </w:style>
  <w:style w:type="paragraph" w:customStyle="1" w:styleId="183">
    <w:name w:val="font9"/>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84">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85">
    <w:name w:val="样式 标题 2Chapter X.X. Statementh22Header 2l2Level 2 Headhea...1"/>
    <w:basedOn w:val="6"/>
    <w:qFormat/>
    <w:uiPriority w:val="0"/>
    <w:pPr>
      <w:keepNext/>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186">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rPr>
  </w:style>
  <w:style w:type="paragraph" w:customStyle="1" w:styleId="187">
    <w:name w:val="font12"/>
    <w:basedOn w:val="1"/>
    <w:qFormat/>
    <w:uiPriority w:val="99"/>
    <w:pPr>
      <w:widowControl/>
      <w:spacing w:before="100" w:beforeAutospacing="1" w:after="100" w:afterAutospacing="1"/>
      <w:jc w:val="left"/>
    </w:pPr>
    <w:rPr>
      <w:rFonts w:ascii="宋体" w:hAnsi="宋体" w:cs="宋体"/>
      <w:color w:val="000000"/>
      <w:kern w:val="0"/>
    </w:rPr>
  </w:style>
  <w:style w:type="paragraph" w:customStyle="1" w:styleId="188">
    <w:name w:val="font6"/>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189">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190">
    <w:name w:val="Style-正文"/>
    <w:basedOn w:val="1"/>
    <w:qFormat/>
    <w:uiPriority w:val="0"/>
    <w:pPr>
      <w:spacing w:line="360" w:lineRule="auto"/>
      <w:ind w:firstLine="420"/>
    </w:pPr>
    <w:rPr>
      <w:rFonts w:ascii="宋体" w:hAnsi="宋体"/>
      <w:sz w:val="24"/>
    </w:rPr>
  </w:style>
  <w:style w:type="paragraph" w:customStyle="1" w:styleId="191">
    <w:name w:val="列出段落3"/>
    <w:basedOn w:val="1"/>
    <w:qFormat/>
    <w:uiPriority w:val="34"/>
    <w:pPr>
      <w:ind w:firstLine="420" w:firstLineChars="200"/>
    </w:pPr>
    <w:rPr>
      <w:szCs w:val="22"/>
    </w:rPr>
  </w:style>
  <w:style w:type="paragraph" w:customStyle="1" w:styleId="192">
    <w:name w:val="font11"/>
    <w:basedOn w:val="1"/>
    <w:qFormat/>
    <w:uiPriority w:val="99"/>
    <w:pPr>
      <w:widowControl/>
      <w:spacing w:before="100" w:beforeAutospacing="1" w:after="100" w:afterAutospacing="1"/>
      <w:jc w:val="left"/>
    </w:pPr>
    <w:rPr>
      <w:rFonts w:ascii="宋体" w:hAnsi="宋体" w:cs="宋体"/>
      <w:color w:val="333333"/>
      <w:kern w:val="0"/>
      <w:sz w:val="18"/>
      <w:szCs w:val="18"/>
    </w:rPr>
  </w:style>
  <w:style w:type="paragraph" w:customStyle="1" w:styleId="193">
    <w:name w:val="P3"/>
    <w:basedOn w:val="1"/>
    <w:qFormat/>
    <w:uiPriority w:val="0"/>
    <w:pPr>
      <w:widowControl/>
      <w:spacing w:before="240" w:line="240" w:lineRule="atLeast"/>
      <w:ind w:left="1152"/>
      <w:jc w:val="left"/>
    </w:pPr>
    <w:rPr>
      <w:b/>
      <w:kern w:val="0"/>
      <w:lang w:val="en-AU" w:eastAsia="en-US"/>
    </w:rPr>
  </w:style>
  <w:style w:type="paragraph" w:customStyle="1" w:styleId="194">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5">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196">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197">
    <w:name w:val="样式 标题 2Chapter X.X. Statementh22Header 2l2Level 2 Headhea..."/>
    <w:basedOn w:val="5"/>
    <w:qFormat/>
    <w:uiPriority w:val="0"/>
    <w:pPr>
      <w:keepLines w:val="0"/>
      <w:spacing w:before="120" w:afterLines="50" w:line="240" w:lineRule="auto"/>
    </w:pPr>
    <w:rPr>
      <w:rFonts w:ascii="宋体" w:hAnsi="Times New Roman" w:eastAsia="宋体" w:cs="宋体"/>
      <w:snapToGrid w:val="0"/>
      <w:kern w:val="0"/>
      <w:sz w:val="24"/>
      <w:szCs w:val="24"/>
    </w:rPr>
  </w:style>
  <w:style w:type="paragraph" w:customStyle="1" w:styleId="198">
    <w:name w:val="Char Char Char Char Char Char Char"/>
    <w:basedOn w:val="1"/>
    <w:qFormat/>
    <w:uiPriority w:val="0"/>
    <w:rPr>
      <w:rFonts w:ascii="仿宋_GB2312" w:eastAsia="仿宋_GB2312"/>
      <w:b/>
      <w:sz w:val="32"/>
      <w:szCs w:val="32"/>
    </w:rPr>
  </w:style>
  <w:style w:type="paragraph" w:customStyle="1" w:styleId="199">
    <w:name w:val="最新标题1"/>
    <w:basedOn w:val="44"/>
    <w:next w:val="46"/>
    <w:qFormat/>
    <w:uiPriority w:val="0"/>
    <w:pPr>
      <w:tabs>
        <w:tab w:val="left" w:pos="1140"/>
      </w:tabs>
      <w:spacing w:after="120"/>
      <w:ind w:left="1140" w:hanging="720"/>
    </w:pPr>
    <w:rPr>
      <w:bCs/>
    </w:rPr>
  </w:style>
  <w:style w:type="paragraph" w:customStyle="1" w:styleId="200">
    <w:name w:val="TOC 标题1"/>
    <w:basedOn w:val="3"/>
    <w:next w:val="1"/>
    <w:qFormat/>
    <w:uiPriority w:val="99"/>
    <w:pPr>
      <w:widowControl/>
      <w:tabs>
        <w:tab w:val="clear" w:pos="360"/>
      </w:tabs>
      <w:autoSpaceDE/>
      <w:autoSpaceDN/>
      <w:adjustRightInd/>
      <w:spacing w:before="240" w:after="0" w:line="259" w:lineRule="auto"/>
      <w:textAlignment w:val="auto"/>
      <w:outlineLvl w:val="9"/>
    </w:pPr>
    <w:rPr>
      <w:rFonts w:ascii="Calibri Light" w:hAnsi="Calibri Light" w:eastAsia="宋体"/>
      <w:b w:val="0"/>
      <w:color w:val="2E74B5"/>
      <w:kern w:val="0"/>
      <w:sz w:val="32"/>
      <w:szCs w:val="32"/>
    </w:rPr>
  </w:style>
  <w:style w:type="paragraph" w:customStyle="1" w:styleId="201">
    <w:name w:val="P1"/>
    <w:basedOn w:val="1"/>
    <w:qFormat/>
    <w:uiPriority w:val="0"/>
    <w:pPr>
      <w:widowControl/>
      <w:spacing w:before="240" w:line="240" w:lineRule="atLeast"/>
      <w:jc w:val="left"/>
    </w:pPr>
    <w:rPr>
      <w:b/>
      <w:kern w:val="0"/>
      <w:lang w:val="en-AU" w:eastAsia="en-US"/>
    </w:rPr>
  </w:style>
  <w:style w:type="paragraph" w:customStyle="1" w:styleId="202">
    <w:name w:val="修订1"/>
    <w:unhideWhenUsed/>
    <w:qFormat/>
    <w:uiPriority w:val="99"/>
    <w:rPr>
      <w:rFonts w:ascii="Calibri" w:hAnsi="Calibri" w:eastAsia="微软雅黑" w:cs="Times New Roman"/>
      <w:kern w:val="2"/>
      <w:sz w:val="21"/>
      <w:szCs w:val="24"/>
      <w:lang w:val="en-US" w:eastAsia="zh-CN" w:bidi="ar-SA"/>
    </w:rPr>
  </w:style>
  <w:style w:type="paragraph" w:customStyle="1" w:styleId="203">
    <w:name w:val="样式 标题 4Chapter X.X.X. + 段后: 0.5 行1 + 段后: 0.5 行"/>
    <w:basedOn w:val="138"/>
    <w:qFormat/>
    <w:uiPriority w:val="0"/>
    <w:rPr>
      <w:szCs w:val="21"/>
    </w:rPr>
  </w:style>
  <w:style w:type="paragraph" w:customStyle="1" w:styleId="204">
    <w:name w:val="IBM 正文"/>
    <w:basedOn w:val="1"/>
    <w:qFormat/>
    <w:uiPriority w:val="0"/>
    <w:pPr>
      <w:spacing w:line="360" w:lineRule="atLeast"/>
    </w:pPr>
    <w:rPr>
      <w:sz w:val="24"/>
      <w:szCs w:val="20"/>
    </w:rPr>
  </w:style>
  <w:style w:type="paragraph" w:customStyle="1" w:styleId="205">
    <w:name w:val="标题1"/>
    <w:basedOn w:val="27"/>
    <w:qFormat/>
    <w:uiPriority w:val="0"/>
    <w:pPr>
      <w:spacing w:beforeLines="0" w:afterLines="0" w:line="360" w:lineRule="auto"/>
      <w:ind w:left="0" w:firstLine="0"/>
    </w:pPr>
    <w:rPr>
      <w:b/>
      <w:sz w:val="30"/>
      <w:szCs w:val="20"/>
    </w:rPr>
  </w:style>
  <w:style w:type="paragraph" w:customStyle="1" w:styleId="206">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7">
    <w:name w:val="封面标准文稿编辑信息"/>
    <w:qFormat/>
    <w:uiPriority w:val="0"/>
    <w:pPr>
      <w:spacing w:before="180" w:line="180" w:lineRule="exact"/>
      <w:jc w:val="center"/>
    </w:pPr>
    <w:rPr>
      <w:rFonts w:ascii="宋体" w:hAnsi="Calibri" w:eastAsia="微软雅黑" w:cs="Times New Roman"/>
      <w:sz w:val="21"/>
      <w:lang w:val="en-US" w:eastAsia="zh-CN" w:bidi="ar-SA"/>
    </w:rPr>
  </w:style>
  <w:style w:type="paragraph" w:customStyle="1" w:styleId="208">
    <w:name w:val="Char1 Char Char Char"/>
    <w:basedOn w:val="1"/>
    <w:qFormat/>
    <w:uiPriority w:val="0"/>
    <w:rPr>
      <w:rFonts w:ascii="宋体" w:hAnsi="宋体"/>
      <w:spacing w:val="-6"/>
      <w:szCs w:val="20"/>
    </w:rPr>
  </w:style>
  <w:style w:type="paragraph" w:customStyle="1" w:styleId="209">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210">
    <w:name w:val="Char Char1 Char"/>
    <w:basedOn w:val="1"/>
    <w:qFormat/>
    <w:uiPriority w:val="0"/>
    <w:rPr>
      <w:rFonts w:ascii="仿宋_GB2312" w:eastAsia="仿宋_GB2312"/>
      <w:b/>
      <w:sz w:val="32"/>
      <w:szCs w:val="32"/>
    </w:rPr>
  </w:style>
  <w:style w:type="paragraph" w:customStyle="1" w:styleId="211">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12">
    <w:name w:val="样式 标题 3Chapter X.X.X. + 五号 段后: 0.5 行"/>
    <w:basedOn w:val="6"/>
    <w:qFormat/>
    <w:uiPriority w:val="0"/>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1"/>
    </w:rPr>
  </w:style>
  <w:style w:type="paragraph" w:customStyle="1" w:styleId="213">
    <w:name w:val="样式 样式 样式 标题 3Chapter X.X.X. + 段后: 0.5 行 + 段后: 0.5 行 + 段后: 0.5 行"/>
    <w:basedOn w:val="120"/>
    <w:qFormat/>
    <w:uiPriority w:val="0"/>
    <w:pPr>
      <w:spacing w:afterLines="0"/>
    </w:pPr>
  </w:style>
  <w:style w:type="paragraph" w:customStyle="1" w:styleId="214">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cs="宋体"/>
      <w:kern w:val="0"/>
      <w:sz w:val="16"/>
      <w:szCs w:val="16"/>
    </w:rPr>
  </w:style>
  <w:style w:type="paragraph" w:customStyle="1" w:styleId="215">
    <w:name w:val="标准标题1"/>
    <w:basedOn w:val="3"/>
    <w:qFormat/>
    <w:uiPriority w:val="0"/>
    <w:pPr>
      <w:pageBreakBefore/>
      <w:tabs>
        <w:tab w:val="left" w:pos="1080"/>
        <w:tab w:val="clear" w:pos="360"/>
      </w:tabs>
      <w:autoSpaceDE/>
      <w:autoSpaceDN/>
      <w:adjustRightInd/>
      <w:spacing w:line="576" w:lineRule="auto"/>
      <w:ind w:left="425" w:hanging="425"/>
      <w:jc w:val="both"/>
      <w:textAlignment w:val="auto"/>
    </w:pPr>
    <w:rPr>
      <w:rFonts w:ascii="Times New Roman" w:hAnsi="Times New Roman" w:eastAsia="仿宋_GB2312"/>
      <w:bCs/>
      <w:color w:val="auto"/>
      <w:sz w:val="32"/>
      <w:szCs w:val="44"/>
    </w:rPr>
  </w:style>
  <w:style w:type="paragraph" w:customStyle="1" w:styleId="216">
    <w:name w:val="样式　标题4"/>
    <w:basedOn w:val="138"/>
    <w:next w:val="1"/>
    <w:qFormat/>
    <w:uiPriority w:val="0"/>
  </w:style>
  <w:style w:type="paragraph" w:customStyle="1" w:styleId="217">
    <w:name w:val="Bullet2"/>
    <w:basedOn w:val="1"/>
    <w:qFormat/>
    <w:uiPriority w:val="0"/>
    <w:pPr>
      <w:spacing w:afterLines="50"/>
      <w:ind w:left="1440" w:hanging="360"/>
      <w:jc w:val="left"/>
    </w:pPr>
    <w:rPr>
      <w:rFonts w:ascii="宋体"/>
      <w:snapToGrid w:val="0"/>
      <w:color w:val="000080"/>
      <w:kern w:val="0"/>
      <w:szCs w:val="20"/>
    </w:rPr>
  </w:style>
  <w:style w:type="paragraph" w:customStyle="1" w:styleId="218">
    <w:name w:val="S4-I-U-L15-No-dot"/>
    <w:basedOn w:val="1"/>
    <w:qFormat/>
    <w:uiPriority w:val="0"/>
    <w:pPr>
      <w:tabs>
        <w:tab w:val="left" w:pos="1112"/>
      </w:tabs>
      <w:spacing w:after="120" w:line="360" w:lineRule="auto"/>
      <w:ind w:left="1112" w:hanging="420"/>
    </w:pPr>
    <w:rPr>
      <w:i/>
      <w:sz w:val="24"/>
      <w:u w:val="single"/>
    </w:rPr>
  </w:style>
  <w:style w:type="paragraph" w:customStyle="1" w:styleId="219">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220">
    <w:name w:val="Default"/>
    <w:unhideWhenUsed/>
    <w:qFormat/>
    <w:uiPriority w:val="0"/>
    <w:pPr>
      <w:widowControl w:val="0"/>
      <w:autoSpaceDE w:val="0"/>
      <w:autoSpaceDN w:val="0"/>
    </w:pPr>
    <w:rPr>
      <w:rFonts w:hint="eastAsia" w:ascii="宋体" w:hAnsi="宋体" w:eastAsia="微软雅黑" w:cs="Times New Roman"/>
      <w:color w:val="000000"/>
      <w:sz w:val="24"/>
      <w:lang w:val="en-US" w:eastAsia="zh-CN" w:bidi="ar-SA"/>
    </w:rPr>
  </w:style>
  <w:style w:type="paragraph" w:customStyle="1" w:styleId="221">
    <w:name w:val="章正文"/>
    <w:basedOn w:val="1"/>
    <w:qFormat/>
    <w:uiPriority w:val="0"/>
    <w:pPr>
      <w:spacing w:beforeLines="50" w:after="120" w:line="300" w:lineRule="auto"/>
      <w:ind w:firstLine="480"/>
    </w:pPr>
    <w:rPr>
      <w:rFonts w:ascii="Helvetica" w:hAnsi="Helvetica"/>
      <w:kern w:val="0"/>
      <w:sz w:val="24"/>
    </w:rPr>
  </w:style>
  <w:style w:type="paragraph" w:customStyle="1" w:styleId="222">
    <w:name w:val="InfoBlue"/>
    <w:basedOn w:val="1"/>
    <w:next w:val="20"/>
    <w:qFormat/>
    <w:uiPriority w:val="0"/>
    <w:pPr>
      <w:spacing w:afterLines="50"/>
      <w:ind w:left="720"/>
      <w:jc w:val="left"/>
    </w:pPr>
    <w:rPr>
      <w:rFonts w:ascii="宋体"/>
      <w:i/>
      <w:snapToGrid w:val="0"/>
      <w:color w:val="0000FF"/>
      <w:kern w:val="0"/>
      <w:szCs w:val="20"/>
    </w:rPr>
  </w:style>
  <w:style w:type="paragraph" w:customStyle="1" w:styleId="223">
    <w:name w:val="Table Paragraph"/>
    <w:basedOn w:val="1"/>
    <w:qFormat/>
    <w:uiPriority w:val="1"/>
    <w:rPr>
      <w:rFonts w:ascii="宋体" w:hAnsi="宋体" w:eastAsia="宋体" w:cs="宋体"/>
      <w:lang w:val="zh-CN" w:bidi="zh-CN"/>
    </w:rPr>
  </w:style>
  <w:style w:type="paragraph" w:customStyle="1" w:styleId="224">
    <w:name w:val="Paragraph1"/>
    <w:basedOn w:val="1"/>
    <w:qFormat/>
    <w:uiPriority w:val="0"/>
    <w:pPr>
      <w:spacing w:before="80" w:afterLines="50"/>
    </w:pPr>
    <w:rPr>
      <w:rFonts w:ascii="宋体"/>
      <w:snapToGrid w:val="0"/>
      <w:kern w:val="0"/>
      <w:szCs w:val="20"/>
    </w:rPr>
  </w:style>
  <w:style w:type="paragraph" w:customStyle="1" w:styleId="225">
    <w:name w:val="正文1"/>
    <w:qFormat/>
    <w:uiPriority w:val="0"/>
    <w:pPr>
      <w:jc w:val="both"/>
    </w:pPr>
    <w:rPr>
      <w:rFonts w:ascii="Calibri" w:hAnsi="Calibri" w:eastAsia="微软雅黑" w:cs="Times New Roman"/>
      <w:kern w:val="2"/>
      <w:sz w:val="21"/>
      <w:szCs w:val="21"/>
      <w:lang w:val="en-US" w:eastAsia="zh-CN" w:bidi="ar-SA"/>
    </w:rPr>
  </w:style>
  <w:style w:type="paragraph" w:customStyle="1" w:styleId="226">
    <w:name w:val="修订11"/>
    <w:semiHidden/>
    <w:qFormat/>
    <w:uiPriority w:val="99"/>
    <w:rPr>
      <w:rFonts w:ascii="Calibri" w:hAnsi="Calibri" w:eastAsia="微软雅黑" w:cs="Times New Roman"/>
      <w:kern w:val="2"/>
      <w:sz w:val="21"/>
      <w:szCs w:val="24"/>
      <w:lang w:val="en-US" w:eastAsia="zh-CN" w:bidi="ar-SA"/>
    </w:rPr>
  </w:style>
  <w:style w:type="paragraph" w:customStyle="1" w:styleId="227">
    <w:name w:val="段(正文）"/>
    <w:qFormat/>
    <w:uiPriority w:val="0"/>
    <w:pPr>
      <w:autoSpaceDE w:val="0"/>
      <w:autoSpaceDN w:val="0"/>
      <w:ind w:firstLine="420"/>
      <w:jc w:val="both"/>
    </w:pPr>
    <w:rPr>
      <w:rFonts w:ascii="宋体" w:hAnsi="Calibri" w:eastAsia="微软雅黑" w:cs="Times New Roman"/>
      <w:sz w:val="21"/>
      <w:lang w:val="en-US" w:eastAsia="zh-CN" w:bidi="ar-SA"/>
    </w:rPr>
  </w:style>
  <w:style w:type="paragraph" w:customStyle="1" w:styleId="228">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229">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230">
    <w:name w:val="font10"/>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231">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232">
    <w:name w:val="样式 样式 标题 4 + 段后: 0.5 行 + 段后: 0.5 行"/>
    <w:basedOn w:val="53"/>
    <w:qFormat/>
    <w:uiPriority w:val="0"/>
  </w:style>
  <w:style w:type="paragraph" w:customStyle="1" w:styleId="233">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34">
    <w:name w:val="p0"/>
    <w:basedOn w:val="1"/>
    <w:qFormat/>
    <w:uiPriority w:val="99"/>
    <w:pPr>
      <w:widowControl/>
    </w:pPr>
    <w:rPr>
      <w:kern w:val="0"/>
      <w:sz w:val="28"/>
      <w:szCs w:val="28"/>
    </w:rPr>
  </w:style>
  <w:style w:type="paragraph" w:customStyle="1" w:styleId="235">
    <w:name w:val="标准有序列表（L1）"/>
    <w:basedOn w:val="4"/>
    <w:qFormat/>
    <w:uiPriority w:val="0"/>
    <w:pPr>
      <w:tabs>
        <w:tab w:val="left" w:pos="0"/>
        <w:tab w:val="left" w:pos="2100"/>
      </w:tabs>
      <w:spacing w:line="360" w:lineRule="auto"/>
      <w:ind w:firstLine="0"/>
    </w:pPr>
    <w:rPr>
      <w:rFonts w:ascii="黑体" w:eastAsia="黑体"/>
      <w:color w:val="000000"/>
      <w:sz w:val="24"/>
    </w:rPr>
  </w:style>
  <w:style w:type="paragraph" w:customStyle="1" w:styleId="236">
    <w:name w:val="样式 样式3 + 宋体 五号 Char Char Char"/>
    <w:basedOn w:val="1"/>
    <w:qFormat/>
    <w:uiPriority w:val="0"/>
    <w:pPr>
      <w:keepNext/>
      <w:keepLines/>
      <w:tabs>
        <w:tab w:val="left" w:pos="1200"/>
      </w:tabs>
      <w:ind w:left="1200" w:hanging="360"/>
      <w:jc w:val="left"/>
      <w:outlineLvl w:val="7"/>
    </w:pPr>
    <w:rPr>
      <w:rFonts w:ascii="宋体" w:hAnsi="宋体"/>
      <w:b/>
      <w:bCs/>
    </w:rPr>
  </w:style>
  <w:style w:type="paragraph" w:customStyle="1" w:styleId="237">
    <w:name w:val="样式 标题 3Chapter X.X.X"/>
    <w:basedOn w:val="119"/>
    <w:qFormat/>
    <w:uiPriority w:val="0"/>
    <w:pPr>
      <w:spacing w:afterLines="0"/>
    </w:pPr>
  </w:style>
  <w:style w:type="paragraph" w:customStyle="1" w:styleId="238">
    <w:name w:val="列出段落2"/>
    <w:basedOn w:val="1"/>
    <w:qFormat/>
    <w:uiPriority w:val="0"/>
    <w:pPr>
      <w:ind w:firstLine="420"/>
    </w:pPr>
    <w:rPr>
      <w:rFonts w:cs="Calibri"/>
      <w:color w:val="000000"/>
      <w:kern w:val="1"/>
      <w:szCs w:val="22"/>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Paragraph4"/>
    <w:basedOn w:val="1"/>
    <w:qFormat/>
    <w:uiPriority w:val="0"/>
    <w:pPr>
      <w:spacing w:before="80" w:afterLines="50"/>
      <w:ind w:left="2250"/>
    </w:pPr>
    <w:rPr>
      <w:rFonts w:ascii="宋体"/>
      <w:snapToGrid w:val="0"/>
      <w:kern w:val="0"/>
      <w:szCs w:val="20"/>
    </w:rPr>
  </w:style>
  <w:style w:type="paragraph" w:customStyle="1" w:styleId="241">
    <w:name w:val="样式1"/>
    <w:basedOn w:val="58"/>
    <w:qFormat/>
    <w:uiPriority w:val="0"/>
    <w:pPr>
      <w:spacing w:line="480" w:lineRule="auto"/>
      <w:ind w:left="600"/>
    </w:pPr>
    <w:rPr>
      <w:rFonts w:ascii="宋体" w:hAnsi="宋体"/>
      <w:b w:val="0"/>
      <w:sz w:val="36"/>
      <w:szCs w:val="36"/>
    </w:rPr>
  </w:style>
  <w:style w:type="paragraph" w:customStyle="1" w:styleId="242">
    <w:name w:val="模版说明"/>
    <w:basedOn w:val="20"/>
    <w:qFormat/>
    <w:uiPriority w:val="0"/>
    <w:pPr>
      <w:widowControl/>
      <w:autoSpaceDE w:val="0"/>
      <w:autoSpaceDN w:val="0"/>
      <w:spacing w:line="240" w:lineRule="atLeast"/>
      <w:ind w:firstLine="473" w:firstLineChars="225"/>
      <w:jc w:val="left"/>
    </w:pPr>
    <w:rPr>
      <w:rFonts w:ascii="Arial" w:hAnsi="Arial"/>
      <w:color w:val="0000FF"/>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7"/>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4928</Words>
  <Characters>28095</Characters>
  <Lines>234</Lines>
  <Paragraphs>65</Paragraphs>
  <TotalTime>16</TotalTime>
  <ScaleCrop>false</ScaleCrop>
  <LinksUpToDate>false</LinksUpToDate>
  <CharactersWithSpaces>32958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2020-01-17T05:44:00Z</dcterms:created>
  <dc:creator>user</dc:creator>
  <cp:lastModifiedBy>黄瓜必须拍、人生必须嗨</cp:lastModifiedBy>
  <cp:lastPrinted>2020-07-24T07:53:45Z</cp:lastPrinted>
  <dcterms:modified xsi:type="dcterms:W3CDTF">2020-07-24T07:54:09Z</dcterms:modified>
  <dc:title>浙江华夏</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