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val="0"/>
        <w:autoSpaceDE w:val="0"/>
        <w:autoSpaceDN w:val="0"/>
        <w:bidi w:val="0"/>
        <w:adjustRightInd/>
        <w:snapToGrid/>
        <w:spacing w:before="625" w:beforeLines="200" w:line="288" w:lineRule="auto"/>
        <w:ind w:left="0" w:leftChars="0" w:right="0" w:rightChars="0" w:firstLine="0" w:firstLineChars="0"/>
        <w:jc w:val="center"/>
        <w:textAlignment w:val="auto"/>
        <w:outlineLvl w:val="9"/>
        <w:rPr>
          <w:rFonts w:hint="eastAsia" w:ascii="宋体" w:hAnsi="宋体" w:eastAsia="宋体" w:cs="宋体"/>
          <w:b/>
          <w:bCs/>
          <w:i w:val="0"/>
          <w:iCs w:val="0"/>
          <w:color w:val="auto"/>
          <w:sz w:val="52"/>
          <w:szCs w:val="52"/>
          <w:highlight w:val="none"/>
        </w:rPr>
      </w:pPr>
      <w:bookmarkStart w:id="303" w:name="_GoBack"/>
      <w:bookmarkEnd w:id="303"/>
      <w:r>
        <w:rPr>
          <w:rFonts w:hint="eastAsia" w:ascii="宋体" w:hAnsi="宋体" w:eastAsia="宋体" w:cs="宋体"/>
          <w:b/>
          <w:bCs/>
          <w:i w:val="0"/>
          <w:iCs w:val="0"/>
          <w:color w:val="auto"/>
          <w:sz w:val="52"/>
          <w:szCs w:val="52"/>
          <w:highlight w:val="none"/>
        </w:rPr>
        <w:t>海盐县公安局交通警察大队2021年电子监控系统、信号协调控制系统租赁</w:t>
      </w:r>
      <w:r>
        <w:rPr>
          <w:rFonts w:hint="eastAsia" w:ascii="宋体" w:hAnsi="宋体" w:eastAsia="宋体" w:cs="宋体"/>
          <w:b/>
          <w:bCs/>
          <w:i w:val="0"/>
          <w:iCs w:val="0"/>
          <w:color w:val="auto"/>
          <w:sz w:val="52"/>
          <w:szCs w:val="52"/>
          <w:highlight w:val="none"/>
          <w:lang w:eastAsia="zh-CN"/>
        </w:rPr>
        <w:t>采购</w:t>
      </w:r>
      <w:r>
        <w:rPr>
          <w:rFonts w:hint="eastAsia" w:ascii="宋体" w:hAnsi="宋体" w:eastAsia="宋体" w:cs="宋体"/>
          <w:b/>
          <w:bCs/>
          <w:i w:val="0"/>
          <w:iCs w:val="0"/>
          <w:color w:val="auto"/>
          <w:sz w:val="52"/>
          <w:szCs w:val="52"/>
          <w:highlight w:val="none"/>
        </w:rPr>
        <w:t>项目</w:t>
      </w:r>
    </w:p>
    <w:p>
      <w:pPr>
        <w:pStyle w:val="3"/>
        <w:keepNext w:val="0"/>
        <w:keepLines w:val="0"/>
        <w:pageBreakBefore w:val="0"/>
        <w:widowControl w:val="0"/>
        <w:kinsoku/>
        <w:wordWrap w:val="0"/>
        <w:overflowPunct w:val="0"/>
        <w:topLinePunct w:val="0"/>
        <w:autoSpaceDE w:val="0"/>
        <w:autoSpaceDN w:val="0"/>
        <w:bidi w:val="0"/>
        <w:adjustRightInd/>
        <w:snapToGrid/>
        <w:spacing w:after="0" w:line="240" w:lineRule="auto"/>
        <w:ind w:left="0" w:leftChars="0" w:right="0" w:rightChars="0" w:firstLine="0" w:firstLineChars="0"/>
        <w:jc w:val="center"/>
        <w:textAlignment w:val="auto"/>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公</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开</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标</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采</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购</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文</w:t>
      </w:r>
    </w:p>
    <w:p>
      <w:pPr>
        <w:keepNext w:val="0"/>
        <w:keepLines w:val="0"/>
        <w:pageBreakBefore w:val="0"/>
        <w:widowControl w:val="0"/>
        <w:kinsoku/>
        <w:wordWrap w:val="0"/>
        <w:overflowPunct w:val="0"/>
        <w:topLinePunct w:val="0"/>
        <w:autoSpaceDE w:val="0"/>
        <w:autoSpaceDN w:val="0"/>
        <w:bidi w:val="0"/>
        <w:adjustRightInd/>
        <w:snapToGrid/>
        <w:spacing w:before="157" w:beforeLines="50" w:line="240" w:lineRule="auto"/>
        <w:ind w:left="0" w:leftChars="0" w:right="0" w:rightChars="0" w:firstLine="0" w:firstLineChars="0"/>
        <w:jc w:val="center"/>
        <w:textAlignment w:val="auto"/>
        <w:outlineLvl w:val="9"/>
        <w:rPr>
          <w:rFonts w:hint="eastAsia"/>
          <w:color w:val="auto"/>
          <w:lang w:val="en-US" w:eastAsia="zh-CN"/>
        </w:rPr>
      </w:pPr>
      <w:r>
        <w:rPr>
          <w:rFonts w:hint="eastAsia" w:ascii="宋体" w:hAnsi="宋体" w:eastAsia="宋体" w:cs="宋体"/>
          <w:b w:val="0"/>
          <w:bCs w:val="0"/>
          <w:color w:val="auto"/>
          <w:sz w:val="72"/>
          <w:szCs w:val="72"/>
          <w:highlight w:val="none"/>
        </w:rPr>
        <w:t>件</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bCs w:val="0"/>
          <w:color w:val="auto"/>
          <w:sz w:val="30"/>
          <w:szCs w:val="30"/>
          <w:highlight w:val="none"/>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bCs w:val="0"/>
          <w:color w:val="auto"/>
          <w:sz w:val="30"/>
          <w:szCs w:val="30"/>
          <w:highlight w:val="none"/>
          <w:lang w:val="en-US" w:eastAsia="zh-CN"/>
        </w:rPr>
        <w:t xml:space="preserve"> </w:t>
      </w:r>
      <w:r>
        <w:rPr>
          <w:rFonts w:hint="eastAsia" w:ascii="宋体" w:hAnsi="宋体" w:eastAsia="宋体" w:cs="宋体"/>
          <w:b/>
          <w:bCs w:val="0"/>
          <w:color w:val="auto"/>
          <w:sz w:val="30"/>
          <w:szCs w:val="30"/>
          <w:highlight w:val="none"/>
        </w:rPr>
        <w:t>采购编号：盐政采（2021）A</w:t>
      </w:r>
      <w:r>
        <w:rPr>
          <w:rFonts w:hint="eastAsia" w:ascii="宋体" w:hAnsi="宋体" w:eastAsia="宋体" w:cs="宋体"/>
          <w:b/>
          <w:bCs w:val="0"/>
          <w:color w:val="auto"/>
          <w:sz w:val="30"/>
          <w:szCs w:val="30"/>
          <w:highlight w:val="none"/>
          <w:lang w:val="en-US" w:eastAsia="zh-CN"/>
        </w:rPr>
        <w:t>0</w:t>
      </w:r>
      <w:r>
        <w:rPr>
          <w:rFonts w:hint="eastAsia" w:hAnsi="宋体" w:eastAsia="宋体" w:cs="宋体"/>
          <w:b/>
          <w:bCs w:val="0"/>
          <w:color w:val="auto"/>
          <w:sz w:val="30"/>
          <w:szCs w:val="30"/>
          <w:highlight w:val="none"/>
          <w:lang w:val="en-US" w:eastAsia="zh-CN"/>
        </w:rPr>
        <w:t>12</w:t>
      </w:r>
      <w:r>
        <w:rPr>
          <w:rFonts w:hint="eastAsia" w:ascii="宋体" w:hAnsi="宋体" w:eastAsia="宋体" w:cs="宋体"/>
          <w:b/>
          <w:bCs w:val="0"/>
          <w:color w:val="auto"/>
          <w:sz w:val="30"/>
          <w:szCs w:val="30"/>
          <w:highlight w:val="none"/>
        </w:rPr>
        <w:t>号</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color w:val="auto"/>
          <w:sz w:val="30"/>
          <w:szCs w:val="30"/>
          <w:highlight w:val="none"/>
          <w:lang w:val="en-US"/>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项目名称：海盐县公安局交通警察大队2021年电子监控系统、信号协调</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控制系统租赁采购项目</w:t>
      </w:r>
      <w:r>
        <w:rPr>
          <w:rFonts w:hint="eastAsia" w:ascii="宋体" w:hAnsi="宋体" w:eastAsia="宋体" w:cs="宋体"/>
          <w:b/>
          <w:color w:val="auto"/>
          <w:sz w:val="30"/>
          <w:szCs w:val="30"/>
          <w:highlight w:val="none"/>
          <w:lang w:val="en-US" w:eastAsia="zh-CN"/>
        </w:rPr>
        <w:t xml:space="preserve"> </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采购单位：海盐县公安局交通警察大队</w:t>
      </w:r>
      <w:r>
        <w:rPr>
          <w:rFonts w:hint="eastAsia" w:ascii="宋体" w:hAnsi="宋体" w:eastAsia="宋体" w:cs="宋体"/>
          <w:b/>
          <w:color w:val="auto"/>
          <w:sz w:val="30"/>
          <w:szCs w:val="30"/>
          <w:highlight w:val="none"/>
          <w:lang w:val="en-US" w:eastAsia="zh-CN"/>
        </w:rPr>
        <w:t xml:space="preserve"> </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right="0" w:rightChars="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集中采购机构：海盐县公共资源交易中心</w:t>
      </w:r>
    </w:p>
    <w:p>
      <w:pPr>
        <w:pStyle w:val="27"/>
        <w:keepNext w:val="0"/>
        <w:keepLines w:val="0"/>
        <w:pageBreakBefore w:val="0"/>
        <w:widowControl w:val="0"/>
        <w:kinsoku/>
        <w:wordWrap w:val="0"/>
        <w:overflowPunct w:val="0"/>
        <w:topLinePunct w:val="0"/>
        <w:autoSpaceDE w:val="0"/>
        <w:autoSpaceDN w:val="0"/>
        <w:bidi w:val="0"/>
        <w:adjustRightInd/>
        <w:snapToGrid w:val="0"/>
        <w:spacing w:before="120" w:after="120" w:line="400" w:lineRule="exact"/>
        <w:ind w:left="0" w:leftChars="0" w:right="0" w:rightChars="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日期：202</w:t>
      </w:r>
      <w:r>
        <w:rPr>
          <w:rFonts w:hint="eastAsia" w:ascii="宋体" w:hAnsi="宋体" w:eastAsia="宋体" w:cs="宋体"/>
          <w:b/>
          <w:color w:val="auto"/>
          <w:sz w:val="30"/>
          <w:szCs w:val="30"/>
          <w:highlight w:val="none"/>
          <w:lang w:val="en-US" w:eastAsia="zh-CN"/>
        </w:rPr>
        <w:t>1</w:t>
      </w:r>
      <w:r>
        <w:rPr>
          <w:rFonts w:hint="eastAsia" w:ascii="宋体" w:hAnsi="宋体" w:eastAsia="宋体" w:cs="宋体"/>
          <w:b/>
          <w:color w:val="auto"/>
          <w:sz w:val="30"/>
          <w:szCs w:val="30"/>
          <w:highlight w:val="none"/>
        </w:rPr>
        <w:t>年</w:t>
      </w:r>
      <w:r>
        <w:rPr>
          <w:rFonts w:hint="eastAsia" w:hAnsi="宋体" w:eastAsia="宋体" w:cs="宋体"/>
          <w:b/>
          <w:color w:val="auto"/>
          <w:sz w:val="30"/>
          <w:szCs w:val="30"/>
          <w:highlight w:val="none"/>
          <w:lang w:val="en-US" w:eastAsia="zh-CN"/>
        </w:rPr>
        <w:t xml:space="preserve"> 9 </w:t>
      </w:r>
      <w:r>
        <w:rPr>
          <w:rFonts w:hint="eastAsia" w:ascii="宋体" w:hAnsi="宋体" w:eastAsia="宋体" w:cs="宋体"/>
          <w:b/>
          <w:color w:val="auto"/>
          <w:sz w:val="30"/>
          <w:szCs w:val="30"/>
          <w:highlight w:val="none"/>
        </w:rPr>
        <w:t>月</w:t>
      </w:r>
      <w:r>
        <w:rPr>
          <w:rFonts w:hint="eastAsia" w:hAnsi="宋体" w:eastAsia="宋体" w:cs="宋体"/>
          <w:b/>
          <w:color w:val="auto"/>
          <w:sz w:val="30"/>
          <w:szCs w:val="30"/>
          <w:highlight w:val="none"/>
          <w:lang w:val="en-US" w:eastAsia="zh-CN"/>
        </w:rPr>
        <w:t xml:space="preserve"> 23 </w:t>
      </w:r>
      <w:r>
        <w:rPr>
          <w:rFonts w:hint="eastAsia" w:ascii="宋体" w:hAnsi="宋体" w:eastAsia="宋体" w:cs="宋体"/>
          <w:b/>
          <w:color w:val="auto"/>
          <w:sz w:val="30"/>
          <w:szCs w:val="30"/>
          <w:highlight w:val="none"/>
        </w:rPr>
        <w:t>日</w:t>
      </w:r>
    </w:p>
    <w:p>
      <w:pPr>
        <w:keepNext w:val="0"/>
        <w:keepLines w:val="0"/>
        <w:pageBreakBefore w:val="0"/>
        <w:widowControl w:val="0"/>
        <w:kinsoku/>
        <w:wordWrap w:val="0"/>
        <w:overflowPunct w:val="0"/>
        <w:topLinePunct w:val="0"/>
        <w:autoSpaceDE w:val="0"/>
        <w:autoSpaceDN w:val="0"/>
        <w:bidi w:val="0"/>
        <w:snapToGrid w:val="0"/>
        <w:spacing w:before="120" w:beforeLines="50" w:line="360" w:lineRule="auto"/>
        <w:rPr>
          <w:rFonts w:hint="eastAsia" w:ascii="宋体" w:hAnsi="宋体" w:eastAsia="宋体" w:cs="宋体"/>
          <w:color w:val="auto"/>
          <w:sz w:val="30"/>
          <w:szCs w:val="20"/>
          <w:highlight w:val="none"/>
        </w:rPr>
        <w:sectPr>
          <w:headerReference r:id="rId3" w:type="default"/>
          <w:footerReference r:id="rId4" w:type="default"/>
          <w:footerReference r:id="rId5" w:type="even"/>
          <w:pgSz w:w="11906" w:h="16838"/>
          <w:pgMar w:top="1134" w:right="1134" w:bottom="1134" w:left="1134" w:header="851" w:footer="850" w:gutter="0"/>
          <w:pgNumType w:fmt="decimal" w:start="1"/>
          <w:cols w:space="720" w:num="1"/>
          <w:docGrid w:linePitch="312" w:charSpace="0"/>
        </w:sectPr>
      </w:pPr>
    </w:p>
    <w:p>
      <w:pPr>
        <w:keepNext w:val="0"/>
        <w:keepLines w:val="0"/>
        <w:pageBreakBefore w:val="0"/>
        <w:widowControl w:val="0"/>
        <w:kinsoku/>
        <w:wordWrap w:val="0"/>
        <w:overflowPunct w:val="0"/>
        <w:topLinePunct w:val="0"/>
        <w:autoSpaceDE w:val="0"/>
        <w:autoSpaceDN w:val="0"/>
        <w:bidi w:val="0"/>
        <w:snapToGrid w:val="0"/>
        <w:spacing w:before="120" w:beforeLines="50" w:line="360" w:lineRule="auto"/>
        <w:rPr>
          <w:rFonts w:hint="eastAsia" w:ascii="宋体" w:hAnsi="宋体" w:eastAsia="宋体" w:cs="宋体"/>
          <w:color w:val="auto"/>
          <w:sz w:val="30"/>
          <w:szCs w:val="20"/>
          <w:highlight w:val="none"/>
        </w:rPr>
      </w:pPr>
    </w:p>
    <w:p>
      <w:pPr>
        <w:pStyle w:val="27"/>
        <w:keepNext w:val="0"/>
        <w:keepLines w:val="0"/>
        <w:pageBreakBefore w:val="0"/>
        <w:widowControl w:val="0"/>
        <w:kinsoku/>
        <w:wordWrap w:val="0"/>
        <w:overflowPunct w:val="0"/>
        <w:topLinePunct w:val="0"/>
        <w:autoSpaceDE w:val="0"/>
        <w:autoSpaceDN w:val="0"/>
        <w:bidi w:val="0"/>
        <w:spacing w:before="120" w:after="120" w:line="360" w:lineRule="auto"/>
        <w:jc w:val="center"/>
        <w:rPr>
          <w:rFonts w:hint="eastAsia" w:ascii="宋体" w:hAnsi="宋体" w:eastAsia="宋体" w:cs="宋体"/>
          <w:color w:val="auto"/>
          <w:highlight w:val="none"/>
        </w:rPr>
      </w:pPr>
      <w:r>
        <w:rPr>
          <w:rFonts w:hint="eastAsia" w:ascii="宋体" w:hAnsi="宋体" w:eastAsia="宋体" w:cs="宋体"/>
          <w:color w:val="auto"/>
          <w:sz w:val="44"/>
          <w:szCs w:val="44"/>
          <w:highlight w:val="none"/>
        </w:rPr>
        <w:t>目    录</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公开招标采购公告</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招标需求</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投标人须知</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评标办法及评分标准</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政府采购合同主要条款</w:t>
      </w:r>
    </w:p>
    <w:p>
      <w:pPr>
        <w:keepNext w:val="0"/>
        <w:keepLines w:val="0"/>
        <w:pageBreakBefore w:val="0"/>
        <w:widowControl w:val="0"/>
        <w:numPr>
          <w:ilvl w:val="0"/>
          <w:numId w:val="5"/>
        </w:numPr>
        <w:tabs>
          <w:tab w:val="left" w:pos="1440"/>
        </w:tabs>
        <w:kinsoku/>
        <w:wordWrap w:val="0"/>
        <w:overflowPunct w:val="0"/>
        <w:topLinePunct w:val="0"/>
        <w:autoSpaceDE w:val="0"/>
        <w:autoSpaceDN w:val="0"/>
        <w:bidi w:val="0"/>
        <w:spacing w:before="120" w:beforeLines="50" w:line="360" w:lineRule="auto"/>
        <w:jc w:val="left"/>
        <w:rPr>
          <w:rFonts w:hint="eastAsia" w:ascii="宋体" w:hAnsi="宋体" w:eastAsia="宋体" w:cs="宋体"/>
          <w:color w:val="auto"/>
          <w:sz w:val="30"/>
          <w:szCs w:val="20"/>
          <w:highlight w:val="none"/>
        </w:rPr>
      </w:pPr>
      <w:r>
        <w:rPr>
          <w:rFonts w:hint="eastAsia" w:ascii="宋体" w:hAnsi="宋体" w:eastAsia="宋体" w:cs="宋体"/>
          <w:color w:val="auto"/>
          <w:sz w:val="30"/>
          <w:highlight w:val="none"/>
        </w:rPr>
        <w:t>投标文件格式</w:t>
      </w:r>
    </w:p>
    <w:p>
      <w:pPr>
        <w:keepNext w:val="0"/>
        <w:keepLines w:val="0"/>
        <w:pageBreakBefore w:val="0"/>
        <w:widowControl w:val="0"/>
        <w:kinsoku/>
        <w:wordWrap w:val="0"/>
        <w:overflowPunct w:val="0"/>
        <w:topLinePunct w:val="0"/>
        <w:autoSpaceDE w:val="0"/>
        <w:autoSpaceDN w:val="0"/>
        <w:bidi w:val="0"/>
        <w:snapToGrid w:val="0"/>
        <w:spacing w:before="240" w:beforeLines="100" w:after="240" w:afterLines="100" w:line="360" w:lineRule="auto"/>
        <w:jc w:val="center"/>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jc w:val="left"/>
        <w:rPr>
          <w:rFonts w:hint="eastAsia" w:ascii="宋体" w:hAnsi="宋体" w:eastAsia="宋体" w:cs="宋体"/>
          <w:b/>
          <w:bCs/>
          <w:color w:val="auto"/>
          <w:sz w:val="30"/>
          <w:szCs w:val="30"/>
          <w:highlight w:val="none"/>
        </w:rPr>
        <w:sectPr>
          <w:headerReference r:id="rId6" w:type="default"/>
          <w:footerReference r:id="rId7" w:type="default"/>
          <w:pgSz w:w="11906" w:h="16838"/>
          <w:pgMar w:top="1134" w:right="1134" w:bottom="1134" w:left="1134" w:header="851" w:footer="850" w:gutter="0"/>
          <w:pgNumType w:fmt="decimal"/>
          <w:cols w:space="720" w:num="1"/>
          <w:docGrid w:linePitch="312" w:charSpace="0"/>
        </w:sectPr>
      </w:pPr>
    </w:p>
    <w:p>
      <w:pPr>
        <w:keepNext w:val="0"/>
        <w:keepLines w:val="0"/>
        <w:pageBreakBefore w:val="0"/>
        <w:widowControl w:val="0"/>
        <w:numPr>
          <w:ilvl w:val="0"/>
          <w:numId w:val="6"/>
        </w:numPr>
        <w:kinsoku/>
        <w:wordWrap w:val="0"/>
        <w:overflowPunct w:val="0"/>
        <w:topLinePunct w:val="0"/>
        <w:autoSpaceDE w:val="0"/>
        <w:autoSpaceDN w:val="0"/>
        <w:bidi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公开招标采购公告</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9" w:type="dxa"/>
            <w:noWrap w:val="0"/>
            <w:vAlign w:val="top"/>
          </w:tcPr>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海盐县公安局交通警察大队2021年电子监控系统、信号协调控制系统租赁采购项目 </w:t>
            </w:r>
            <w:r>
              <w:rPr>
                <w:rFonts w:hint="eastAsia" w:ascii="宋体" w:hAnsi="宋体" w:eastAsia="宋体" w:cs="宋体"/>
                <w:color w:val="auto"/>
                <w:sz w:val="24"/>
                <w:szCs w:val="24"/>
                <w:highlight w:val="none"/>
              </w:rPr>
              <w:t>招标项目的潜在投标人应在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https://zfcg.czt.zj.gov.cn/</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获取（下载）招标文件，并于</w:t>
            </w:r>
            <w:r>
              <w:rPr>
                <w:rFonts w:hint="eastAsia" w:eastAsia="宋体" w:cs="宋体"/>
                <w:color w:val="auto"/>
                <w:sz w:val="24"/>
                <w:szCs w:val="24"/>
                <w:highlight w:val="none"/>
                <w:u w:val="single"/>
                <w:lang w:val="en-US" w:eastAsia="zh-CN"/>
              </w:rPr>
              <w:t xml:space="preserve"> 2021</w:t>
            </w:r>
            <w:r>
              <w:rPr>
                <w:rFonts w:hint="eastAsia" w:ascii="宋体" w:hAnsi="宋体" w:eastAsia="宋体" w:cs="宋体"/>
                <w:color w:val="auto"/>
                <w:sz w:val="24"/>
                <w:szCs w:val="24"/>
                <w:highlight w:val="none"/>
                <w:u w:val="single"/>
              </w:rPr>
              <w:t>年</w:t>
            </w:r>
            <w:r>
              <w:rPr>
                <w:rFonts w:hint="eastAsia"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u w:val="single"/>
              </w:rPr>
              <w:t>月</w:t>
            </w:r>
            <w:r>
              <w:rPr>
                <w:rFonts w:hint="eastAsia" w:eastAsia="宋体" w:cs="宋体"/>
                <w:color w:val="auto"/>
                <w:sz w:val="24"/>
                <w:szCs w:val="24"/>
                <w:highlight w:val="none"/>
                <w:u w:val="single"/>
                <w:lang w:val="en-US" w:eastAsia="zh-CN"/>
              </w:rPr>
              <w:t xml:space="preserve"> 14 </w:t>
            </w:r>
            <w:r>
              <w:rPr>
                <w:rFonts w:hint="eastAsia" w:ascii="宋体" w:hAnsi="宋体" w:eastAsia="宋体" w:cs="宋体"/>
                <w:color w:val="auto"/>
                <w:sz w:val="24"/>
                <w:szCs w:val="24"/>
                <w:highlight w:val="none"/>
                <w:u w:val="single"/>
              </w:rPr>
              <w:t>日 09:00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（北京时间）前递交（上传）投标文件。</w:t>
            </w:r>
          </w:p>
        </w:tc>
      </w:tr>
    </w:tbl>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一、项目基本情况</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盐政采（2021）A0</w:t>
      </w:r>
      <w:r>
        <w:rPr>
          <w:rFonts w:hint="eastAsia"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号</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海盐县公安局交通警察大队2021年电子监控系统、信号协调控制系统</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租赁采购项目</w:t>
      </w:r>
      <w:r>
        <w:rPr>
          <w:rFonts w:hint="eastAsia" w:ascii="宋体" w:hAnsi="宋体" w:eastAsia="宋体" w:cs="宋体"/>
          <w:color w:val="auto"/>
          <w:sz w:val="24"/>
          <w:szCs w:val="24"/>
          <w:highlight w:val="none"/>
          <w:lang w:val="en-US" w:eastAsia="zh-CN"/>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w:t>
      </w:r>
      <w:r>
        <w:rPr>
          <w:rFonts w:hint="eastAsia" w:eastAsia="宋体" w:cs="宋体"/>
          <w:color w:val="auto"/>
          <w:sz w:val="24"/>
          <w:szCs w:val="24"/>
          <w:highlight w:val="none"/>
          <w:u w:val="single"/>
          <w:lang w:val="en-US" w:eastAsia="zh-CN"/>
        </w:rPr>
        <w:t>18000000</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最高限价（元）：</w:t>
      </w:r>
      <w:r>
        <w:rPr>
          <w:rFonts w:hint="eastAsia" w:eastAsia="宋体" w:cs="宋体"/>
          <w:color w:val="auto"/>
          <w:sz w:val="24"/>
          <w:szCs w:val="24"/>
          <w:highlight w:val="none"/>
          <w:u w:val="single"/>
          <w:lang w:val="en-US" w:eastAsia="zh-CN"/>
        </w:rPr>
        <w:t>18000000</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pStyle w:val="44"/>
        <w:keepNext w:val="0"/>
        <w:keepLines w:val="0"/>
        <w:pageBreakBefore w:val="0"/>
        <w:widowControl w:val="0"/>
        <w:kinsoku/>
        <w:wordWrap w:val="0"/>
        <w:overflowPunct w:val="0"/>
        <w:topLinePunct w:val="0"/>
        <w:autoSpaceDE w:val="0"/>
        <w:autoSpaceDN w:val="0"/>
        <w:bidi w:val="0"/>
        <w:adjustRightInd/>
        <w:snapToGrid/>
        <w:spacing w:before="251" w:beforeLines="8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标项一</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标项名称: </w:t>
      </w:r>
      <w:r>
        <w:rPr>
          <w:rFonts w:hint="eastAsia" w:ascii="宋体" w:hAnsi="宋体" w:eastAsia="宋体" w:cs="宋体"/>
          <w:color w:val="auto"/>
          <w:sz w:val="24"/>
          <w:szCs w:val="24"/>
          <w:highlight w:val="none"/>
          <w:u w:val="single"/>
          <w:lang w:eastAsia="zh-CN"/>
        </w:rPr>
        <w:t>标项一</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数量: </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预算金额（元）: </w:t>
      </w:r>
      <w:r>
        <w:rPr>
          <w:rFonts w:hint="eastAsia" w:eastAsia="宋体" w:cs="宋体"/>
          <w:color w:val="auto"/>
          <w:sz w:val="24"/>
          <w:szCs w:val="24"/>
          <w:highlight w:val="none"/>
          <w:u w:val="single"/>
          <w:lang w:val="en-US" w:eastAsia="zh-CN"/>
        </w:rPr>
        <w:t>18000000</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eastAsia="宋体" w:cs="宋体"/>
          <w:color w:val="auto"/>
          <w:sz w:val="24"/>
          <w:szCs w:val="24"/>
          <w:highlight w:val="none"/>
          <w:u w:val="single"/>
          <w:lang w:eastAsia="zh-CN"/>
        </w:rPr>
        <w:t>详见招标需求</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合同履约期限：合同签订后90个日历天内完成整个系统建设并进入试运行。</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租赁服务期限</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统验收</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后租赁服务期为5年，5年内系统工程的租用和使用以合同为准。</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本项目（否）接受联合体投标。</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二、申请人的资格要求：</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1.满足《中华人民共和国政府采购法》第二十二条规定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未被“信用中国”（www.creditchina.gov.cn)、中国政府采购网（www.ccgp.gov.cn）列入失信被执行人、重大税收违法案件当事人名单、政府采购严重违法失信行为记录名单。</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2.落实政府采购政策需满足的资格要求：无</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rPr>
        <w:t>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3.本项目的特定资格要求：</w:t>
      </w:r>
      <w:r>
        <w:rPr>
          <w:rFonts w:hint="eastAsia" w:eastAsia="宋体" w:cs="宋体"/>
          <w:color w:val="auto"/>
          <w:sz w:val="24"/>
          <w:szCs w:val="24"/>
          <w:highlight w:val="none"/>
          <w:u w:val="none"/>
          <w:lang w:eastAsia="zh-CN"/>
        </w:rPr>
        <w:t>具有广播电视网络经营范围的广播电视网络运营商或具有基础电信运营业务经营许可证的通信运营商(含分公司)。</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三、获取招标文件</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 xml:space="preserve">23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 xml:space="preserve"> 2021 年 10 月 14 日</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u w:val="none"/>
        </w:rPr>
        <w:t>00:00至12:00</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none"/>
        </w:rPr>
        <w:t>12:00至23:59</w:t>
      </w:r>
      <w:r>
        <w:rPr>
          <w:rFonts w:hint="eastAsia" w:ascii="宋体" w:hAnsi="宋体" w:eastAsia="宋体" w:cs="宋体"/>
          <w:color w:val="auto"/>
          <w:sz w:val="24"/>
          <w:szCs w:val="24"/>
          <w:highlight w:val="none"/>
        </w:rPr>
        <w:t>（北京时间，线上获取法定节假日均可，线下获取文件法定节假日除外）</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地点（网址）：浙江政府采购网（http://zfcg.czt.zj.gov.cn/）</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政采云平台（https://www.zcygov.cn/）</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r>
        <w:rPr>
          <w:rFonts w:hint="eastAsia" w:ascii="宋体" w:hAnsi="宋体" w:eastAsia="宋体" w:cs="宋体"/>
          <w:color w:val="auto"/>
          <w:sz w:val="24"/>
          <w:szCs w:val="24"/>
          <w:highlight w:val="none"/>
          <w:lang w:val="en-US" w:eastAsia="zh-CN"/>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四、提交投标文件截止时间、开标时间和地点</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u w:val="single"/>
          <w:lang w:val="en-US" w:eastAsia="zh-CN"/>
        </w:rPr>
        <w:t>2021 年 10 月 14 日</w:t>
      </w:r>
      <w:r>
        <w:rPr>
          <w:rFonts w:hint="eastAsia" w:ascii="宋体" w:hAnsi="宋体" w:eastAsia="宋体" w:cs="宋体"/>
          <w:color w:val="auto"/>
          <w:sz w:val="24"/>
          <w:szCs w:val="24"/>
          <w:highlight w:val="none"/>
          <w:u w:val="single"/>
        </w:rPr>
        <w:t>09:00</w:t>
      </w:r>
      <w:r>
        <w:rPr>
          <w:rFonts w:hint="eastAsia" w:ascii="宋体" w:hAnsi="宋体" w:eastAsia="宋体" w:cs="宋体"/>
          <w:color w:val="auto"/>
          <w:sz w:val="24"/>
          <w:szCs w:val="24"/>
          <w:highlight w:val="none"/>
        </w:rPr>
        <w:t>（北京时间）</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投标地点（网址）：请登陆政采云投标客户端投标</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2021 年 10 月 14 日09:00</w:t>
      </w:r>
      <w:r>
        <w:rPr>
          <w:rFonts w:hint="eastAsia" w:ascii="宋体" w:hAnsi="宋体" w:eastAsia="宋体" w:cs="宋体"/>
          <w:color w:val="auto"/>
          <w:sz w:val="24"/>
          <w:szCs w:val="24"/>
          <w:highlight w:val="none"/>
        </w:rPr>
        <w:t>（北京时间）</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开标地点（网址）：政采云平台在线开标</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五、公告期限</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六、其他补充事宜</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其他事项：</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lang w:eastAsia="zh-CN"/>
        </w:rPr>
        <w:t>）惠企政策：本采购项目，中标单位与采购人签订的政府采购合同适用于嘉兴市政府采购贷款政策，简称“政采贷”</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eastAsia="zh-CN"/>
        </w:rPr>
        <w:t>具体内容可参阅政府采购贷款流程</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eastAsia="zh-CN"/>
        </w:rPr>
        <w:fldChar w:fldCharType="begin"/>
      </w:r>
      <w:r>
        <w:rPr>
          <w:rFonts w:hint="eastAsia" w:ascii="宋体" w:hAnsi="宋体" w:eastAsia="宋体" w:cs="宋体"/>
          <w:b/>
          <w:bCs/>
          <w:color w:val="auto"/>
          <w:sz w:val="24"/>
          <w:szCs w:val="24"/>
          <w:highlight w:val="none"/>
          <w:u w:val="single"/>
          <w:lang w:eastAsia="zh-CN"/>
        </w:rPr>
        <w:instrText xml:space="preserve"> HYPERLINK "https://jinrong.zc" </w:instrText>
      </w:r>
      <w:r>
        <w:rPr>
          <w:rFonts w:hint="eastAsia" w:ascii="宋体" w:hAnsi="宋体" w:eastAsia="宋体" w:cs="宋体"/>
          <w:b/>
          <w:bCs/>
          <w:color w:val="auto"/>
          <w:sz w:val="24"/>
          <w:szCs w:val="24"/>
          <w:highlight w:val="none"/>
          <w:u w:val="single"/>
          <w:lang w:eastAsia="zh-CN"/>
        </w:rPr>
        <w:fldChar w:fldCharType="separate"/>
      </w:r>
      <w:r>
        <w:rPr>
          <w:rStyle w:val="57"/>
          <w:rFonts w:hint="eastAsia" w:ascii="宋体" w:hAnsi="宋体" w:eastAsia="宋体" w:cs="宋体"/>
          <w:b/>
          <w:bCs/>
          <w:color w:val="auto"/>
          <w:sz w:val="24"/>
          <w:szCs w:val="24"/>
          <w:highlight w:val="none"/>
          <w:u w:val="single"/>
          <w:lang w:eastAsia="zh-CN"/>
        </w:rPr>
        <w:t>https://jinrong.zc</w:t>
      </w:r>
      <w:r>
        <w:rPr>
          <w:rFonts w:hint="eastAsia" w:ascii="宋体" w:hAnsi="宋体" w:eastAsia="宋体" w:cs="宋体"/>
          <w:b/>
          <w:bCs/>
          <w:color w:val="auto"/>
          <w:sz w:val="24"/>
          <w:szCs w:val="24"/>
          <w:highlight w:val="none"/>
          <w:u w:val="single"/>
          <w:lang w:eastAsia="zh-CN"/>
        </w:rPr>
        <w:fldChar w:fldCharType="end"/>
      </w:r>
      <w:r>
        <w:rPr>
          <w:rFonts w:hint="eastAsia" w:ascii="宋体" w:hAnsi="宋体" w:eastAsia="宋体" w:cs="宋体"/>
          <w:b/>
          <w:bCs/>
          <w:color w:val="auto"/>
          <w:sz w:val="24"/>
          <w:szCs w:val="24"/>
          <w:highlight w:val="none"/>
          <w:u w:val="single"/>
          <w:lang w:val="en-US" w:eastAsia="zh-CN"/>
        </w:rPr>
        <w:t>y</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textAlignment w:val="auto"/>
        <w:outlineLvl w:val="9"/>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lang w:eastAsia="zh-CN"/>
        </w:rPr>
        <w:t>gov.cn/finance/loan?utm=a0017.b0048.c758920.4.44e18200bf5f11eb926cf1464ce95a5d。</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right="0" w:rightChars="0"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）其他相关注意事项：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1）本项目按照《浙江省财政厅关于印发浙江省政府采购项电子交易管理暂行办法的通知》实行电子交易。</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2）供应商注册</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A.注册网址：浙江政府采购网（https://zfcg.czt.zj.gov.cn/）</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B.供应商按照《浙江省政府采购供应商注册和诚信管理暂行办法》要求执行。</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3）获取招标文件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获取方式：采购公告发布后，在政采云平台已完成注册的供应商登陆系统，申请获取招标文件，待审核通过后，可下载招标文件。如果“已申请”标签页显示状态为“审核通过”即为招标文件获取成功。路径：用户中心——项目采购——获取招标文件管理。在“已获取”的状态下，供应商可下载查看招标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26"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B.获取网址：浙江政府采购网（https://zfcg.czt.zj.gov.cn/）    </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26"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C.采购公告附件里的采购文件仅供阅览使用, 潜在供应商应当按照上述规定方式获取采购文件，未按照规定方式获取采购文件的，不得对采购文件提起质疑投诉；未按上述规定获取招标文件的投标将被拒绝。</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4）投标文件制作注意事项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A.供应商将政采云电子交易客户端下载、安装完成后，可通过账号密码或CA登录客户端进行投标文件制作。</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B.电子交易操作指南：“政府采购云平台—服务中心—帮助文档—项目采购”（</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"https://service.zcygov.cn/#/knowledges/tree?tag=AG1DtGwBFdiHxlNdhY0r"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//service.zcygov.cn/#/knowledges/tree?tag=AG1DtGwBFdiHxlNdhY0r</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），登录查看电子招投标相关文档。浙江省“项目采购电子交易系统/不见面开评审”学习专题：https://edu.</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zcygov.cn/luban/e-biding。</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CA驱动和申领流程：</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"https://zfcg.czt.zj.gov.cn/bidClientTemplate/2019-05-27/12945.html"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https://zfcg.czt.zj.gov.cn/bidClientTemplate/2019-05-27/12945.html</w:t>
      </w:r>
      <w:r>
        <w:rPr>
          <w:rFonts w:hint="eastAsia" w:ascii="宋体" w:hAnsi="宋体" w:eastAsia="宋体" w:cs="宋体"/>
          <w:color w:val="auto"/>
          <w:sz w:val="21"/>
          <w:szCs w:val="21"/>
          <w:highlight w:val="none"/>
          <w:lang w:val="en-US" w:eastAsia="zh-CN"/>
        </w:rPr>
        <w:fldChar w:fldCharType="end"/>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注：CA证书遗失补办、延期、解锁、质保等业务可以在联连客户端上进行操作；使用政采云投标客户端时，建议使用WIN7及以上操作系统。</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5）投标保证金：免。</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6）投标注意事项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A.投标文件提交注意事项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a.供应商进行电子投标应安装客户端软件，并按照招标文件和电子交易平台的要求编制并加密投标文件。供应商未按规定加密的投标文件，集中采购机构应当拒收。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B.在线投标响应（电子投标）说明</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“政采云电子交易客户端”请自行前往“浙江政府采购网-下载专区-政采云电子交易客户端”进行下载；电子投标具体操作流程详见《政府采购项目电子交易管理操作指南-供应商》。</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b.为确保网上操作合法、有效和安全，投标供应商应当在投标截止时间前完成在“政府采购云平台”的身份认证，确保在电子投标过程中能够对相关数据电文进行加密和使用电子签章。</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c.投标供应商应当在投标截止时间前，将生成的“电子加密投标文件”上传递交至“政府采购云平台”。投标截止时间以后上传递交的投标文件将被“政府采购云平台”拒收。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7）投标说明：</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A.本次招标将于</w:t>
      </w:r>
      <w:r>
        <w:rPr>
          <w:rFonts w:hint="eastAsia" w:ascii="宋体" w:hAnsi="宋体" w:eastAsia="宋体" w:cs="宋体"/>
          <w:color w:val="auto"/>
          <w:sz w:val="24"/>
          <w:szCs w:val="24"/>
          <w:highlight w:val="none"/>
          <w:u w:val="single"/>
          <w:lang w:val="en-US" w:eastAsia="zh-CN"/>
        </w:rPr>
        <w:t xml:space="preserve"> 2021 年 10 月 14 日09:00（北京时间）</w:t>
      </w:r>
      <w:r>
        <w:rPr>
          <w:rFonts w:hint="eastAsia" w:ascii="宋体" w:hAnsi="宋体" w:eastAsia="宋体" w:cs="宋体"/>
          <w:color w:val="auto"/>
          <w:sz w:val="24"/>
          <w:szCs w:val="24"/>
          <w:highlight w:val="none"/>
          <w:lang w:val="en-US" w:eastAsia="zh-CN"/>
        </w:rPr>
        <w:t>在海盐县公共资源交易中心开标室1（海盐县武原街道海政路333号海盐县政务服务中心南楼三楼322室）</w:t>
      </w:r>
      <w:r>
        <w:rPr>
          <w:rFonts w:hint="eastAsia" w:ascii="宋体" w:hAnsi="宋体" w:eastAsia="宋体" w:cs="宋体"/>
          <w:color w:val="auto"/>
          <w:sz w:val="24"/>
          <w:szCs w:val="24"/>
          <w:highlight w:val="none"/>
          <w:lang w:eastAsia="zh-CN"/>
        </w:rPr>
        <w:t>。</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供应商无需到开标现场，但须准时在线参加，直至评审结束。</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开标时间后半小时内供应商可以登录“政采云”平台，用“项目采购-开标评标”功能进行解密投标文件。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B.本项目实行电子投标，应按照本项目招标文件和政采云平台的要求编制、加密并递交响应文件。</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为确保网上操作合法、有效和安全，供应商应当在响应截止时间前完成在“政府采购云平台”的身份认证，确保在电子响应过程中能够对相关数据电文进行加密和使用电子签章，使用“政采云电子交易客户端”需要提前申领CA数字证书。（办理流程详见https://</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zfcg.czt.zj.gov.cn/bidClientTemplate/2019-05-27/12945.html）。完成CA数字证书办理预计一周左右，建议各供应商抓紧时间办理。</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0"/>
        <w:jc w:val="left"/>
        <w:textAlignment w:val="auto"/>
        <w:outlineLvl w:val="9"/>
        <w:rPr>
          <w:rStyle w:val="57"/>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D.供应商通过政采云平台电子投标工具制作响应文件，电子投标工具请供应商自行前往浙江政府采购网下载并安装（下载网址：</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"https://zfcg.czt.zj.gov.cn/bidClientTemplate/2021-01-07/12975.html" </w:instrText>
      </w:r>
      <w:r>
        <w:rPr>
          <w:rFonts w:hint="eastAsia" w:ascii="宋体" w:hAnsi="宋体" w:eastAsia="宋体" w:cs="宋体"/>
          <w:color w:val="auto"/>
          <w:sz w:val="24"/>
          <w:szCs w:val="24"/>
          <w:highlight w:val="none"/>
          <w:lang w:val="en-US" w:eastAsia="zh-CN"/>
        </w:rPr>
        <w:fldChar w:fldCharType="separate"/>
      </w:r>
      <w:r>
        <w:rPr>
          <w:rStyle w:val="57"/>
          <w:rFonts w:hint="eastAsia" w:ascii="宋体" w:hAnsi="宋体" w:eastAsia="宋体" w:cs="宋体"/>
          <w:color w:val="auto"/>
          <w:sz w:val="24"/>
          <w:szCs w:val="24"/>
          <w:highlight w:val="none"/>
          <w:lang w:val="en-US" w:eastAsia="zh-CN"/>
        </w:rPr>
        <w:t>https://zfcg.czt.zj.gov.cn/bidClientTemp</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auto"/>
          <w:sz w:val="24"/>
          <w:szCs w:val="24"/>
          <w:highlight w:val="none"/>
          <w:lang w:val="en-US" w:eastAsia="zh-CN"/>
        </w:rPr>
      </w:pPr>
      <w:r>
        <w:rPr>
          <w:rStyle w:val="57"/>
          <w:rFonts w:hint="eastAsia" w:ascii="宋体" w:hAnsi="宋体" w:eastAsia="宋体" w:cs="宋体"/>
          <w:color w:val="auto"/>
          <w:sz w:val="24"/>
          <w:szCs w:val="24"/>
          <w:highlight w:val="none"/>
          <w:lang w:val="en-US" w:eastAsia="zh-CN"/>
        </w:rPr>
        <w:t>late/2021-01-07/12975.html</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8）其他事项</w:t>
      </w:r>
    </w:p>
    <w:p>
      <w:pPr>
        <w:pStyle w:val="44"/>
        <w:keepNext w:val="0"/>
        <w:keepLines w:val="0"/>
        <w:pageBreakBefore w:val="0"/>
        <w:widowControl w:val="0"/>
        <w:suppressLineNumbers w:val="0"/>
        <w:shd w:val="clear" w:color="auto" w:fill="auto"/>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A.为贯彻落实新型冠状病毒感染的肺炎疫情防控工作要求，按照《财政部办公厅关于疫情防控采购便利化的通知》（财办库〔2020〕23号）、《浙江省财政厅关于新冠肺炎疫情防控期间开展政府采购活动补充事项的通知》（浙财采监[2020]4号），按照“不见面、少接触”的原则进行采购活动。</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做好现场防疫措施，加强采购活动场所防护：一是建立登记问询制度。采购人会同代理机构按照疫情防控三级响应的有关要求，做好开评标活动现场人员信息登记、体温检测、口罩佩戴手部卫生消毒等各项工作。二是加强个人防护及开评标场所消毒工作。进入开评标现场人员都应当自行戴好口罩，做好手部卫生消毒。严格执行开标场所每日（次）消毒制度。开评标场配备消毒器具，每日或每次使用前后，进行清理消毒工作。尽可能减少现场人数、加大座位间隔、缩短工作时间。参加政府采购活动的评审专家及采购人、采购代理机构工作人员应当做好个人防护，严格执行疫情报告、人员隔离等要求。</w:t>
      </w:r>
    </w:p>
    <w:p>
      <w:pPr>
        <w:pStyle w:val="44"/>
        <w:keepNext w:val="0"/>
        <w:keepLines w:val="0"/>
        <w:pageBreakBefore w:val="0"/>
        <w:widowControl w:val="0"/>
        <w:kinsoku/>
        <w:wordWrap w:val="0"/>
        <w:overflowPunct w:val="0"/>
        <w:topLinePunct w:val="0"/>
        <w:autoSpaceDE w:val="0"/>
        <w:autoSpaceDN w:val="0"/>
        <w:bidi w:val="0"/>
        <w:adjustRightInd/>
        <w:snapToGrid/>
        <w:spacing w:before="313" w:beforeLines="100" w:beforeAutospacing="0" w:after="0" w:afterAutospacing="0" w:line="400" w:lineRule="exact"/>
        <w:ind w:left="0" w:leftChars="0" w:right="0" w:rightChars="0" w:firstLine="562" w:firstLineChars="200"/>
        <w:jc w:val="left"/>
        <w:textAlignment w:val="auto"/>
        <w:outlineLvl w:val="9"/>
        <w:rPr>
          <w:rStyle w:val="52"/>
          <w:rFonts w:hint="eastAsia" w:ascii="宋体" w:hAnsi="宋体" w:eastAsia="宋体" w:cs="宋体"/>
          <w:color w:val="auto"/>
          <w:sz w:val="28"/>
          <w:szCs w:val="28"/>
          <w:highlight w:val="none"/>
        </w:rPr>
      </w:pPr>
      <w:r>
        <w:rPr>
          <w:rStyle w:val="52"/>
          <w:rFonts w:hint="eastAsia" w:ascii="宋体" w:hAnsi="宋体" w:eastAsia="宋体" w:cs="宋体"/>
          <w:color w:val="auto"/>
          <w:sz w:val="28"/>
          <w:szCs w:val="28"/>
          <w:highlight w:val="none"/>
        </w:rPr>
        <w:t>七、对本次招标提出询问、质疑、投诉，请按以下方式联系。</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海盐</w:t>
      </w:r>
      <w:r>
        <w:rPr>
          <w:rFonts w:hint="eastAsia" w:ascii="宋体" w:hAnsi="宋体" w:eastAsia="宋体" w:cs="宋体"/>
          <w:color w:val="auto"/>
          <w:u w:val="single"/>
        </w:rPr>
        <w:t>县</w:t>
      </w:r>
      <w:r>
        <w:rPr>
          <w:rFonts w:hint="eastAsia" w:eastAsia="宋体" w:cs="宋体"/>
          <w:color w:val="auto"/>
          <w:u w:val="single"/>
          <w:lang w:eastAsia="zh-CN"/>
        </w:rPr>
        <w:t>公安局交通警察大队</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Cs w:val="24"/>
          <w:highlight w:val="none"/>
          <w:u w:val="single"/>
        </w:rPr>
        <w:t>海盐县武原街道新桥北路229号</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u w:val="single"/>
          <w:lang w:val="en-US" w:eastAsia="zh-CN"/>
        </w:rPr>
      </w:pPr>
      <w:r>
        <w:rPr>
          <w:rFonts w:hint="eastAsia" w:ascii="宋体" w:hAnsi="宋体" w:eastAsia="宋体" w:cs="宋体"/>
          <w:color w:val="auto"/>
          <w:u w:val="none"/>
          <w:lang w:val="en-US" w:eastAsia="zh-CN"/>
        </w:rPr>
        <w:t>传真：</w:t>
      </w:r>
      <w:r>
        <w:rPr>
          <w:rFonts w:hint="eastAsia" w:ascii="宋体" w:hAnsi="宋体" w:eastAsia="宋体" w:cs="宋体"/>
          <w:color w:val="auto"/>
          <w:u w:val="single"/>
          <w:lang w:val="en-US" w:eastAsia="zh-CN"/>
        </w:rPr>
        <w:t xml:space="preserve">  /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Cs w:val="24"/>
          <w:highlight w:val="none"/>
          <w:u w:val="single"/>
        </w:rPr>
        <w:t>周丹妮</w:t>
      </w:r>
      <w:r>
        <w:rPr>
          <w:rFonts w:hint="eastAsia" w:ascii="宋体" w:hAnsi="宋体" w:eastAsia="宋体" w:cs="宋体"/>
          <w:color w:val="auto"/>
          <w:sz w:val="24"/>
          <w:szCs w:val="24"/>
          <w:highlight w:val="none"/>
          <w:u w:val="none"/>
          <w:lang w:val="en-US" w:eastAsia="zh-CN"/>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Cs w:val="24"/>
          <w:highlight w:val="none"/>
          <w:u w:val="single"/>
        </w:rPr>
        <w:t>0573-86153150</w:t>
      </w:r>
    </w:p>
    <w:p>
      <w:pPr>
        <w:pStyle w:val="44"/>
        <w:keepNext w:val="0"/>
        <w:keepLines w:val="0"/>
        <w:pageBreakBefore w:val="0"/>
        <w:widowControl w:val="0"/>
        <w:kinsoku/>
        <w:wordWrap w:val="0"/>
        <w:overflowPunct w:val="0"/>
        <w:topLinePunct w:val="0"/>
        <w:autoSpaceDE w:val="0"/>
        <w:autoSpaceDN w:val="0"/>
        <w:bidi w:val="0"/>
        <w:spacing w:before="0" w:beforeAutospacing="0" w:after="0" w:afterAutospacing="0" w:line="400" w:lineRule="exact"/>
        <w:ind w:firstLine="480" w:firstLineChars="200"/>
        <w:rPr>
          <w:rFonts w:hint="eastAsia" w:ascii="宋体" w:hAnsi="宋体" w:eastAsia="宋体" w:cs="宋体"/>
          <w:color w:val="auto"/>
        </w:rPr>
      </w:pPr>
      <w:r>
        <w:rPr>
          <w:rFonts w:hint="eastAsia" w:ascii="宋体" w:hAnsi="宋体" w:eastAsia="宋体" w:cs="宋体"/>
          <w:color w:val="auto"/>
        </w:rPr>
        <w:t>质疑联系人：</w:t>
      </w:r>
      <w:r>
        <w:rPr>
          <w:rFonts w:hint="eastAsia" w:ascii="宋体" w:hAnsi="宋体" w:eastAsia="宋体" w:cs="宋体"/>
          <w:color w:val="auto"/>
          <w:szCs w:val="24"/>
          <w:highlight w:val="none"/>
          <w:u w:val="single"/>
        </w:rPr>
        <w:t>蒋龙飞</w:t>
      </w:r>
      <w:r>
        <w:rPr>
          <w:rFonts w:hint="eastAsia" w:ascii="宋体" w:hAnsi="宋体" w:eastAsia="宋体" w:cs="宋体"/>
          <w:color w:val="auto"/>
          <w:u w:val="singl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rPr>
        <w:t>质疑联系方式：</w:t>
      </w:r>
      <w:r>
        <w:rPr>
          <w:rFonts w:hint="eastAsia" w:ascii="宋体" w:hAnsi="宋体" w:eastAsia="宋体" w:cs="宋体"/>
          <w:color w:val="auto"/>
          <w:szCs w:val="24"/>
          <w:highlight w:val="none"/>
          <w:u w:val="single"/>
        </w:rPr>
        <w:t>0573-86153150</w:t>
      </w:r>
      <w:r>
        <w:rPr>
          <w:rFonts w:hint="eastAsia" w:ascii="宋体" w:hAnsi="宋体" w:eastAsia="宋体" w:cs="宋体"/>
          <w:color w:val="auto"/>
          <w:sz w:val="24"/>
          <w:szCs w:val="24"/>
          <w:highlight w:val="none"/>
          <w:u w:val="single"/>
        </w:rPr>
        <w:br w:type="textWrapping"/>
      </w:r>
      <w:r>
        <w:rPr>
          <w:rFonts w:hint="eastAsia" w:ascii="宋体" w:hAnsi="宋体" w:eastAsia="宋体" w:cs="宋体"/>
          <w:color w:val="auto"/>
          <w:sz w:val="24"/>
          <w:szCs w:val="24"/>
          <w:highlight w:val="none"/>
        </w:rPr>
        <w:t>   2.采购代理机构信息</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海盐县公共资源交易中心</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bookmarkStart w:id="0" w:name="OLE_LINK6"/>
      <w:r>
        <w:rPr>
          <w:rFonts w:hint="eastAsia" w:ascii="宋体" w:hAnsi="宋体" w:eastAsia="宋体" w:cs="宋体"/>
          <w:color w:val="auto"/>
          <w:sz w:val="24"/>
          <w:szCs w:val="24"/>
          <w:highlight w:val="none"/>
          <w:u w:val="single"/>
        </w:rPr>
        <w:t>海盐县武原街道海政路333号海盐县政务服务中心南楼</w:t>
      </w:r>
      <w:bookmarkEnd w:id="0"/>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bookmarkStart w:id="1" w:name="OLE_LINK5"/>
      <w:r>
        <w:rPr>
          <w:rFonts w:hint="eastAsia" w:ascii="宋体" w:hAnsi="宋体" w:eastAsia="宋体" w:cs="宋体"/>
          <w:color w:val="auto"/>
          <w:sz w:val="24"/>
          <w:szCs w:val="24"/>
          <w:highlight w:val="none"/>
          <w:u w:val="single"/>
        </w:rPr>
        <w:t>0573-8611785</w:t>
      </w:r>
      <w:r>
        <w:rPr>
          <w:rFonts w:hint="eastAsia" w:ascii="宋体" w:hAnsi="宋体" w:eastAsia="宋体" w:cs="宋体"/>
          <w:color w:val="auto"/>
          <w:sz w:val="24"/>
          <w:szCs w:val="24"/>
          <w:highlight w:val="none"/>
          <w:u w:val="single"/>
          <w:lang w:val="en-US" w:eastAsia="zh-CN"/>
        </w:rPr>
        <w:t>7</w:t>
      </w:r>
    </w:p>
    <w:bookmarkEnd w:id="1"/>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eastAsia="宋体" w:cs="宋体"/>
          <w:color w:val="auto"/>
          <w:sz w:val="24"/>
          <w:szCs w:val="24"/>
          <w:highlight w:val="none"/>
          <w:u w:val="single"/>
          <w:lang w:eastAsia="zh-CN"/>
        </w:rPr>
        <w:t>崔梁琦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u w:val="single"/>
        </w:rPr>
        <w:t>0573-8611785</w:t>
      </w:r>
      <w:r>
        <w:rPr>
          <w:rFonts w:hint="eastAsia" w:eastAsia="宋体" w:cs="宋体"/>
          <w:color w:val="auto"/>
          <w:sz w:val="24"/>
          <w:szCs w:val="24"/>
          <w:highlight w:val="none"/>
          <w:u w:val="single"/>
          <w:lang w:val="en-US" w:eastAsia="zh-CN"/>
        </w:rPr>
        <w:t>7</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u w:val="single"/>
          <w:lang w:eastAsia="zh-CN"/>
        </w:rPr>
        <w:t>汤中一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u w:val="single"/>
        </w:rPr>
        <w:t>0573-86113178</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3.同级政府采购监督管理部门</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海盐县财政局政府采购监管科</w:t>
      </w:r>
    </w:p>
    <w:p>
      <w:pPr>
        <w:pStyle w:val="44"/>
        <w:keepNext w:val="0"/>
        <w:keepLines w:val="0"/>
        <w:pageBreakBefore w:val="0"/>
        <w:widowControl w:val="0"/>
        <w:kinsoku/>
        <w:wordWrap w:val="0"/>
        <w:overflowPunct w:val="0"/>
        <w:topLinePunct w:val="0"/>
        <w:autoSpaceDE w:val="0"/>
        <w:autoSpaceDN w:val="0"/>
        <w:bidi w:val="0"/>
        <w:spacing w:before="0" w:beforeAutospacing="0" w:after="0" w:afterAutospacing="0"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rPr>
        <w:t>传真：</w:t>
      </w:r>
      <w:r>
        <w:rPr>
          <w:rFonts w:hint="eastAsia" w:ascii="宋体" w:hAnsi="宋体" w:eastAsia="宋体" w:cs="宋体"/>
          <w:color w:val="auto"/>
          <w:u w:val="single"/>
        </w:rPr>
        <w:t xml:space="preserve">  /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海盐县武原街道新桥北路168号</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张英  </w:t>
      </w:r>
      <w:r>
        <w:rPr>
          <w:rFonts w:hint="eastAsia" w:ascii="宋体" w:hAnsi="宋体" w:eastAsia="宋体" w:cs="宋体"/>
          <w:color w:val="auto"/>
          <w:sz w:val="24"/>
          <w:szCs w:val="24"/>
          <w:highlight w:val="none"/>
        </w:rPr>
        <w:t xml:space="preserve">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u w:val="single"/>
        </w:rPr>
        <w:t>0573-86122512</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若对项目采购电子交易系统操作有疑问，可登录政采云（https://www.zcygov.cn/），点击右侧咨询小采，获取采小蜜智能服务管家帮助，或拨打政采云服务热线400-881-7190获取热线服务帮助。</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 xml:space="preserve">    CA问题联系电话（人工）：汇信CA 400-888-4636；天谷CA 400-087-8198。</w:t>
      </w:r>
    </w:p>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321" w:firstLineChars="100"/>
        <w:jc w:val="center"/>
        <w:textAlignment w:val="auto"/>
        <w:outlineLvl w:val="9"/>
        <w:rPr>
          <w:rFonts w:hint="eastAsia" w:ascii="宋体" w:hAnsi="宋体" w:eastAsia="宋体" w:cs="宋体"/>
          <w:b/>
          <w:color w:val="auto"/>
          <w:sz w:val="32"/>
          <w:szCs w:val="32"/>
          <w:highlight w:val="none"/>
          <w:lang w:eastAsia="zh-CN"/>
        </w:rPr>
      </w:pPr>
    </w:p>
    <w:p>
      <w:pPr>
        <w:rPr>
          <w:rFonts w:hint="eastAsia" w:ascii="宋体" w:hAnsi="宋体" w:eastAsia="宋体" w:cs="宋体"/>
          <w:b/>
          <w:color w:val="auto"/>
          <w:sz w:val="32"/>
          <w:szCs w:val="32"/>
          <w:highlight w:val="none"/>
          <w:lang w:eastAsia="zh-CN"/>
        </w:rPr>
      </w:pPr>
    </w:p>
    <w:p>
      <w:pPr>
        <w:pStyle w:val="2"/>
        <w:rPr>
          <w:rFonts w:hint="eastAsia" w:ascii="宋体" w:hAnsi="宋体" w:eastAsia="宋体" w:cs="宋体"/>
          <w:b/>
          <w:color w:val="auto"/>
          <w:sz w:val="32"/>
          <w:szCs w:val="32"/>
          <w:highlight w:val="none"/>
          <w:lang w:eastAsia="zh-CN"/>
        </w:rPr>
      </w:pPr>
    </w:p>
    <w:p>
      <w:pPr>
        <w:pStyle w:val="2"/>
        <w:rPr>
          <w:rFonts w:hint="eastAsia" w:ascii="宋体" w:hAnsi="宋体" w:eastAsia="宋体" w:cs="宋体"/>
          <w:b/>
          <w:color w:val="auto"/>
          <w:sz w:val="32"/>
          <w:szCs w:val="32"/>
          <w:highlight w:val="none"/>
          <w:lang w:eastAsia="zh-CN"/>
        </w:rPr>
      </w:pPr>
    </w:p>
    <w:p>
      <w:pPr>
        <w:pStyle w:val="2"/>
        <w:rPr>
          <w:rFonts w:hint="eastAsia" w:ascii="宋体" w:hAnsi="宋体" w:eastAsia="宋体" w:cs="宋体"/>
          <w:b/>
          <w:color w:val="auto"/>
          <w:sz w:val="32"/>
          <w:szCs w:val="32"/>
          <w:highlight w:val="none"/>
          <w:lang w:eastAsia="zh-CN"/>
        </w:rPr>
      </w:pPr>
    </w:p>
    <w:p>
      <w:pPr>
        <w:pStyle w:val="2"/>
        <w:rPr>
          <w:rFonts w:hint="eastAsia" w:ascii="宋体" w:hAnsi="宋体" w:eastAsia="宋体" w:cs="宋体"/>
          <w:b/>
          <w:color w:val="auto"/>
          <w:sz w:val="32"/>
          <w:szCs w:val="32"/>
          <w:highlight w:val="none"/>
          <w:lang w:eastAsia="zh-CN"/>
        </w:rPr>
      </w:pPr>
    </w:p>
    <w:p>
      <w:pPr>
        <w:pStyle w:val="2"/>
        <w:rPr>
          <w:rFonts w:hint="eastAsia" w:ascii="宋体" w:hAnsi="宋体" w:eastAsia="宋体" w:cs="宋体"/>
          <w:b/>
          <w:color w:val="auto"/>
          <w:sz w:val="32"/>
          <w:szCs w:val="32"/>
          <w:highlight w:val="none"/>
          <w:lang w:eastAsia="zh-CN"/>
        </w:rPr>
      </w:pPr>
    </w:p>
    <w:p>
      <w:pPr>
        <w:pStyle w:val="2"/>
        <w:rPr>
          <w:rFonts w:hint="eastAsia" w:ascii="宋体" w:hAnsi="宋体" w:eastAsia="宋体" w:cs="宋体"/>
          <w:b/>
          <w:color w:val="auto"/>
          <w:sz w:val="32"/>
          <w:szCs w:val="32"/>
          <w:highlight w:val="none"/>
          <w:lang w:eastAsia="zh-CN"/>
        </w:rPr>
      </w:pPr>
    </w:p>
    <w:p>
      <w:pPr>
        <w:pStyle w:val="2"/>
        <w:rPr>
          <w:rFonts w:hint="eastAsia" w:ascii="宋体" w:hAnsi="宋体" w:eastAsia="宋体" w:cs="宋体"/>
          <w:b/>
          <w:color w:val="auto"/>
          <w:sz w:val="32"/>
          <w:szCs w:val="32"/>
          <w:highlight w:val="none"/>
          <w:lang w:eastAsia="zh-CN"/>
        </w:rPr>
        <w:sectPr>
          <w:pgSz w:w="11906" w:h="16838"/>
          <w:pgMar w:top="1020" w:right="1020" w:bottom="1020" w:left="1020" w:header="851" w:footer="850" w:gutter="0"/>
          <w:paperSrc/>
          <w:pgNumType w:fmt="decimal"/>
          <w:cols w:space="720" w:num="1"/>
          <w:rtlGutter w:val="0"/>
          <w:docGrid w:linePitch="312" w:charSpace="0"/>
        </w:sectPr>
      </w:pPr>
    </w:p>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321" w:firstLineChars="100"/>
        <w:jc w:val="center"/>
        <w:textAlignment w:val="auto"/>
        <w:outlineLvl w:val="9"/>
        <w:rPr>
          <w:rFonts w:hint="eastAsia" w:ascii="宋体" w:hAnsi="宋体" w:eastAsia="宋体" w:cs="宋体"/>
          <w:b/>
          <w:color w:val="auto"/>
          <w:sz w:val="32"/>
          <w:szCs w:val="32"/>
          <w:highlight w:val="none"/>
          <w:lang w:eastAsia="zh-CN"/>
        </w:rPr>
      </w:pPr>
    </w:p>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321" w:firstLineChars="100"/>
        <w:jc w:val="center"/>
        <w:textAlignment w:val="auto"/>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eastAsia="zh-CN"/>
        </w:rPr>
        <w:t>第二章</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招标需求</w:t>
      </w:r>
    </w:p>
    <w:p>
      <w:pPr>
        <w:pStyle w:val="44"/>
        <w:keepNext w:val="0"/>
        <w:keepLines w:val="0"/>
        <w:pageBreakBefore w:val="0"/>
        <w:widowControl w:val="0"/>
        <w:numPr>
          <w:ilvl w:val="0"/>
          <w:numId w:val="0"/>
        </w:numPr>
        <w:kinsoku/>
        <w:wordWrap w:val="0"/>
        <w:overflowPunct w:val="0"/>
        <w:topLinePunct w:val="0"/>
        <w:autoSpaceDE w:val="0"/>
        <w:autoSpaceDN w:val="0"/>
        <w:bidi w:val="0"/>
        <w:adjustRightInd/>
        <w:snapToGrid/>
        <w:spacing w:before="157" w:beforeLines="50" w:beforeAutospacing="0" w:after="0" w:afterAutospacing="0" w:line="400" w:lineRule="exact"/>
        <w:ind w:leftChars="0" w:right="0" w:rightChars="0"/>
        <w:jc w:val="left"/>
        <w:textAlignment w:val="auto"/>
        <w:outlineLvl w:val="9"/>
        <w:rPr>
          <w:rFonts w:ascii="宋体" w:hAnsi="宋体" w:eastAsia="宋体" w:cs="宋体"/>
          <w:b/>
          <w:color w:val="auto"/>
          <w:sz w:val="24"/>
          <w:szCs w:val="24"/>
        </w:rPr>
      </w:pPr>
    </w:p>
    <w:p>
      <w:pPr>
        <w:spacing w:before="120" w:beforeLines="50" w:line="400" w:lineRule="exact"/>
        <w:ind w:firstLine="562"/>
        <w:rPr>
          <w:rFonts w:hint="eastAsia" w:ascii="宋体" w:hAnsi="宋体" w:cs="宋体"/>
          <w:b/>
          <w:color w:val="auto"/>
          <w:sz w:val="28"/>
        </w:rPr>
      </w:pPr>
      <w:r>
        <w:rPr>
          <w:rFonts w:hint="eastAsia" w:ascii="宋体" w:hAnsi="宋体" w:cs="宋体"/>
          <w:b/>
          <w:color w:val="auto"/>
          <w:sz w:val="28"/>
        </w:rPr>
        <w:t>一、项目背景</w:t>
      </w:r>
    </w:p>
    <w:p>
      <w:pPr>
        <w:spacing w:line="400" w:lineRule="exact"/>
        <w:ind w:firstLine="480"/>
        <w:rPr>
          <w:rFonts w:hint="eastAsia" w:ascii="宋体" w:hAnsi="宋体" w:cs="宋体"/>
          <w:b/>
          <w:color w:val="auto"/>
          <w:sz w:val="24"/>
        </w:rPr>
      </w:pPr>
      <w:r>
        <w:rPr>
          <w:rFonts w:hint="eastAsia" w:ascii="宋体" w:hAnsi="宋体" w:cs="宋体"/>
          <w:iCs/>
          <w:color w:val="auto"/>
          <w:sz w:val="24"/>
        </w:rPr>
        <w:t>为进一步推进公安公路防控体系建设、城市智慧交通系统建设与应用，以及配合城市文明创建等工作，按照建设公安公路防控体系、智慧交通系统、“平安海盐”、民生工程及深化社会治安防控体系的总体要求，根据省、市两级有关文件精神和县委县政府要求，我县开展新一轮的智慧交通系统建设。</w:t>
      </w:r>
    </w:p>
    <w:p>
      <w:pPr>
        <w:spacing w:before="240" w:beforeLines="100" w:line="400" w:lineRule="exact"/>
        <w:ind w:firstLine="562"/>
        <w:rPr>
          <w:rFonts w:hint="eastAsia" w:ascii="宋体" w:hAnsi="宋体" w:cs="宋体"/>
          <w:b/>
          <w:color w:val="auto"/>
          <w:sz w:val="28"/>
        </w:rPr>
      </w:pPr>
      <w:r>
        <w:rPr>
          <w:rFonts w:hint="eastAsia" w:ascii="宋体" w:hAnsi="宋体" w:cs="宋体"/>
          <w:b/>
          <w:color w:val="auto"/>
          <w:sz w:val="28"/>
        </w:rPr>
        <w:t>二、项目要求</w:t>
      </w:r>
    </w:p>
    <w:p>
      <w:pPr>
        <w:spacing w:line="400" w:lineRule="exact"/>
        <w:ind w:firstLine="240" w:firstLineChars="100"/>
        <w:rPr>
          <w:rFonts w:hint="eastAsia" w:ascii="宋体" w:hAnsi="宋体" w:cs="宋体"/>
          <w:color w:val="auto"/>
          <w:sz w:val="24"/>
        </w:rPr>
      </w:pPr>
      <w:r>
        <w:rPr>
          <w:rFonts w:hint="eastAsia" w:ascii="宋体" w:hAnsi="宋体" w:cs="宋体"/>
          <w:color w:val="auto"/>
          <w:sz w:val="24"/>
          <w:lang w:eastAsia="zh-TW"/>
        </w:rPr>
        <w:t>▲</w:t>
      </w:r>
      <w:r>
        <w:rPr>
          <w:rFonts w:hint="eastAsia" w:ascii="宋体" w:hAnsi="宋体" w:cs="宋体"/>
          <w:color w:val="auto"/>
          <w:sz w:val="24"/>
        </w:rPr>
        <w:t>1、本项目为</w:t>
      </w:r>
      <w:r>
        <w:rPr>
          <w:rFonts w:hint="eastAsia" w:ascii="宋体" w:hAnsi="宋体" w:cs="宋体"/>
          <w:bCs/>
          <w:color w:val="auto"/>
          <w:sz w:val="24"/>
        </w:rPr>
        <w:t>电子监控系统、信号控制协调系统租赁</w:t>
      </w:r>
      <w:r>
        <w:rPr>
          <w:rFonts w:hint="eastAsia" w:ascii="宋体" w:hAnsi="宋体" w:cs="宋体"/>
          <w:color w:val="auto"/>
          <w:sz w:val="24"/>
        </w:rPr>
        <w:t>项目。即由投标方投资建设该系统所需的前端设备、基础设施、传输设备、网络、电费、电力建设费、平台接入、数据级联费用、保证视频监控流畅运行所需要增加的网络设备等的建设以满足使用需求，中心设备、存储、数据库、平台对接、安装调试、系统集成、技术培训、人工及相关手续等所有外部及机房设施必须符合相关的国标要求和规范技术要求并由投标方自行解决，招标方通过支付租金方式来达到使用</w:t>
      </w:r>
      <w:r>
        <w:rPr>
          <w:rFonts w:hint="eastAsia" w:ascii="宋体" w:hAnsi="宋体" w:cs="宋体"/>
          <w:bCs/>
          <w:color w:val="auto"/>
          <w:sz w:val="24"/>
        </w:rPr>
        <w:t>电子监控系统、信号控制协调系统</w:t>
      </w:r>
      <w:r>
        <w:rPr>
          <w:rFonts w:hint="eastAsia" w:ascii="宋体" w:hAnsi="宋体" w:cs="宋体"/>
          <w:color w:val="auto"/>
          <w:sz w:val="24"/>
        </w:rPr>
        <w:t>的目的，租费形式按月考核，每季度支付，租期为五年，除租金外，招标方不承担其他任何费用。本项目中所涉及的所有软硬件设备由投标方建设、调试到位。</w:t>
      </w:r>
    </w:p>
    <w:p>
      <w:pPr>
        <w:spacing w:line="400" w:lineRule="exact"/>
        <w:ind w:firstLine="480"/>
        <w:rPr>
          <w:rFonts w:hint="eastAsia" w:ascii="宋体" w:hAnsi="宋体" w:cs="宋体"/>
          <w:color w:val="auto"/>
          <w:sz w:val="24"/>
        </w:rPr>
      </w:pPr>
      <w:r>
        <w:rPr>
          <w:rFonts w:hint="eastAsia" w:ascii="宋体" w:hAnsi="宋体" w:cs="宋体"/>
          <w:color w:val="auto"/>
          <w:sz w:val="24"/>
        </w:rPr>
        <w:t>项目建设主要是全县范围内建设和改建17个路口的信号协调控制系统、30个路口的电子警察、7处斑马线不礼让行人抓拍系统、15处违停抓拍系统、2处高速出口测速卡口系统、配套中心机房设备，包括：</w:t>
      </w:r>
    </w:p>
    <w:p>
      <w:pPr>
        <w:spacing w:line="400" w:lineRule="exact"/>
        <w:ind w:firstLine="240" w:firstLineChars="100"/>
        <w:rPr>
          <w:rFonts w:hint="eastAsia" w:ascii="宋体" w:hAnsi="宋体" w:cs="宋体"/>
          <w:color w:val="auto"/>
          <w:sz w:val="24"/>
        </w:rPr>
      </w:pPr>
      <w:r>
        <w:rPr>
          <w:rFonts w:hint="eastAsia" w:ascii="宋体" w:hAnsi="宋体" w:cs="宋体"/>
          <w:color w:val="auto"/>
          <w:sz w:val="24"/>
        </w:rPr>
        <w:t>（1）前端系统建设：包括前端高清网络摄像机、立杆、防雷接地、控制箱、供电线路、电力建设费以及相关土建基础工作；</w:t>
      </w:r>
    </w:p>
    <w:p>
      <w:pPr>
        <w:spacing w:line="400" w:lineRule="exact"/>
        <w:ind w:firstLine="240" w:firstLineChars="100"/>
        <w:rPr>
          <w:rFonts w:hint="eastAsia" w:ascii="宋体" w:hAnsi="宋体" w:cs="宋体"/>
          <w:color w:val="auto"/>
          <w:sz w:val="24"/>
        </w:rPr>
      </w:pPr>
      <w:r>
        <w:rPr>
          <w:rFonts w:hint="eastAsia" w:ascii="宋体" w:hAnsi="宋体" w:cs="宋体"/>
          <w:color w:val="auto"/>
          <w:sz w:val="24"/>
        </w:rPr>
        <w:t>（2）传输系统建设：前端至存储中心的视频传输线路，及存储中心至就近视频专网接入点的传输线路，前端和后端的网络传输设备；</w:t>
      </w:r>
    </w:p>
    <w:p>
      <w:pPr>
        <w:spacing w:line="400" w:lineRule="exact"/>
        <w:ind w:firstLine="240" w:firstLineChars="100"/>
        <w:rPr>
          <w:rFonts w:hint="eastAsia" w:ascii="宋体" w:hAnsi="宋体" w:cs="宋体"/>
          <w:color w:val="auto"/>
          <w:sz w:val="24"/>
        </w:rPr>
      </w:pPr>
      <w:r>
        <w:rPr>
          <w:rFonts w:hint="eastAsia" w:ascii="宋体" w:hAnsi="宋体" w:cs="宋体"/>
          <w:color w:val="auto"/>
          <w:sz w:val="24"/>
        </w:rPr>
        <w:t>（3）后端系统建设：包括存储中心的存储设备及网络传输设备的安装和调试；所有新建及改造点位需全部接入海盐县公安局交通警察大队公安交通集成指挥平台；</w:t>
      </w:r>
    </w:p>
    <w:p>
      <w:pPr>
        <w:spacing w:line="400" w:lineRule="exact"/>
        <w:ind w:firstLine="240" w:firstLineChars="100"/>
        <w:rPr>
          <w:rFonts w:hint="eastAsia" w:ascii="宋体" w:hAnsi="宋体" w:cs="宋体"/>
          <w:color w:val="auto"/>
          <w:sz w:val="24"/>
        </w:rPr>
      </w:pPr>
      <w:r>
        <w:rPr>
          <w:rFonts w:hint="eastAsia" w:ascii="宋体" w:hAnsi="宋体" w:cs="宋体"/>
          <w:color w:val="auto"/>
          <w:sz w:val="24"/>
        </w:rPr>
        <w:t>（4）含租赁服务期内的质保和运维费用：前端设备电费、设备维护保养、维修费用；</w:t>
      </w:r>
    </w:p>
    <w:p>
      <w:pPr>
        <w:spacing w:line="400" w:lineRule="exact"/>
        <w:ind w:firstLine="480"/>
        <w:rPr>
          <w:rFonts w:hint="eastAsia" w:ascii="宋体" w:hAnsi="宋体" w:cs="宋体"/>
          <w:color w:val="auto"/>
          <w:sz w:val="24"/>
        </w:rPr>
      </w:pPr>
      <w:r>
        <w:rPr>
          <w:rFonts w:hint="eastAsia" w:ascii="宋体" w:hAnsi="宋体" w:cs="宋体"/>
          <w:color w:val="auto"/>
          <w:sz w:val="24"/>
        </w:rPr>
        <w:t>项目分为建设期和租赁服务期。在建设期内，要求投标人为采购人提供方案深化设计、工程设计、隐蔽工程施工、设备采购、设备安装、系统集成、联调测试和试运行等全套工程服务；在租赁服务期内，投标人为采购人（用户）提供系统质保服务、运维服务、系统管理、系统运行和培训等专业化服务。采购人以租赁服务费的形式支付本招标项目所有服务的费用。</w:t>
      </w:r>
    </w:p>
    <w:p>
      <w:pPr>
        <w:spacing w:line="400" w:lineRule="exact"/>
        <w:ind w:firstLine="480"/>
        <w:rPr>
          <w:rFonts w:hint="eastAsia" w:ascii="宋体" w:hAnsi="宋体" w:cs="宋体"/>
          <w:color w:val="auto"/>
          <w:sz w:val="24"/>
        </w:rPr>
      </w:pPr>
      <w:r>
        <w:rPr>
          <w:rFonts w:hint="eastAsia" w:ascii="宋体" w:hAnsi="宋体" w:cs="宋体"/>
          <w:color w:val="auto"/>
          <w:sz w:val="24"/>
        </w:rPr>
        <w:t>系统验收后租赁服务期为5年，5年内系统工程的租用和使用以合同为准。</w:t>
      </w:r>
    </w:p>
    <w:p>
      <w:pPr>
        <w:snapToGrid w:val="0"/>
        <w:spacing w:line="400" w:lineRule="exact"/>
        <w:ind w:firstLine="480"/>
        <w:rPr>
          <w:rFonts w:hint="eastAsia" w:ascii="宋体" w:hAnsi="宋体" w:cs="宋体"/>
          <w:iCs/>
          <w:color w:val="auto"/>
          <w:sz w:val="24"/>
        </w:rPr>
      </w:pPr>
      <w:r>
        <w:rPr>
          <w:rFonts w:hint="eastAsia" w:ascii="宋体" w:hAnsi="宋体" w:cs="宋体"/>
          <w:iCs/>
          <w:color w:val="auto"/>
          <w:sz w:val="24"/>
        </w:rPr>
        <w:t>2、依据招标方提出的全部技术要求，投标方必须提供符合使用方所有技术要求的一切必要的软硬件设备、其他相关设施以及日常管理维护等服务，并承担相应的安全保密责任。</w:t>
      </w:r>
    </w:p>
    <w:p>
      <w:pPr>
        <w:snapToGrid w:val="0"/>
        <w:spacing w:line="400" w:lineRule="exact"/>
        <w:ind w:firstLine="480"/>
        <w:rPr>
          <w:rFonts w:hint="eastAsia" w:ascii="宋体" w:hAnsi="宋体" w:cs="宋体"/>
          <w:iCs/>
          <w:color w:val="auto"/>
          <w:sz w:val="24"/>
        </w:rPr>
      </w:pPr>
      <w:r>
        <w:rPr>
          <w:rFonts w:hint="eastAsia" w:ascii="宋体" w:hAnsi="宋体" w:cs="宋体"/>
          <w:iCs/>
          <w:color w:val="auto"/>
          <w:sz w:val="24"/>
        </w:rPr>
        <w:t>3、投标方拥有与本项目规模相称的一定数量的技术和施工人员及施工维护设备，自行承担建设、维护过程中的所有安全管理责任。</w:t>
      </w:r>
    </w:p>
    <w:p>
      <w:pPr>
        <w:snapToGrid w:val="0"/>
        <w:spacing w:line="400" w:lineRule="exact"/>
        <w:ind w:firstLine="480"/>
        <w:rPr>
          <w:rFonts w:hint="eastAsia" w:ascii="宋体" w:hAnsi="宋体" w:cs="宋体"/>
          <w:iCs/>
          <w:color w:val="auto"/>
          <w:sz w:val="24"/>
        </w:rPr>
      </w:pPr>
      <w:r>
        <w:rPr>
          <w:rFonts w:hint="eastAsia" w:ascii="宋体" w:hAnsi="宋体" w:cs="宋体"/>
          <w:iCs/>
          <w:color w:val="auto"/>
          <w:sz w:val="24"/>
        </w:rPr>
        <w:t>4、</w:t>
      </w:r>
      <w:r>
        <w:rPr>
          <w:rFonts w:hint="eastAsia" w:ascii="宋体" w:hAnsi="宋体" w:cs="宋体"/>
          <w:iCs/>
          <w:color w:val="auto"/>
          <w:sz w:val="24"/>
          <w:lang w:val="en-US" w:eastAsia="zh-CN"/>
        </w:rPr>
        <w:t>签订合同前</w:t>
      </w:r>
      <w:r>
        <w:rPr>
          <w:rFonts w:hint="eastAsia" w:ascii="宋体" w:hAnsi="宋体" w:cs="宋体"/>
          <w:iCs/>
          <w:color w:val="auto"/>
          <w:sz w:val="24"/>
        </w:rPr>
        <w:t>投标方必须提供前端摄像机、终端服务器、信号机等主要设备必须具有省级以上权威部门的有效检测报告。</w:t>
      </w:r>
    </w:p>
    <w:p>
      <w:pPr>
        <w:snapToGrid w:val="0"/>
        <w:spacing w:line="400" w:lineRule="exact"/>
        <w:ind w:firstLine="480"/>
        <w:rPr>
          <w:rFonts w:hint="default" w:ascii="宋体" w:hAnsi="宋体" w:eastAsia="宋体" w:cs="宋体"/>
          <w:iCs/>
          <w:color w:val="auto"/>
          <w:sz w:val="24"/>
          <w:lang w:val="en-US" w:eastAsia="zh-CN"/>
        </w:rPr>
      </w:pPr>
      <w:r>
        <w:rPr>
          <w:rFonts w:hint="eastAsia" w:ascii="宋体" w:hAnsi="宋体" w:cs="宋体"/>
          <w:iCs/>
          <w:color w:val="auto"/>
          <w:sz w:val="24"/>
          <w:lang w:val="en-US" w:eastAsia="zh-CN"/>
        </w:rPr>
        <w:t>5</w:t>
      </w:r>
      <w:r>
        <w:rPr>
          <w:rFonts w:hint="eastAsia" w:ascii="宋体" w:hAnsi="宋体" w:cs="宋体"/>
          <w:iCs/>
          <w:color w:val="auto"/>
          <w:sz w:val="24"/>
        </w:rPr>
        <w:t>、投标方必须提供全新的严格按照招标文件要求并符合国家质量检测标准的现货产品。配置的产品型号如缺货，应在征得招标方同意的情况下，无条件提供</w:t>
      </w:r>
      <w:r>
        <w:rPr>
          <w:rFonts w:hint="eastAsia" w:ascii="宋体" w:hAnsi="宋体" w:cs="宋体"/>
          <w:iCs/>
          <w:color w:val="auto"/>
          <w:sz w:val="24"/>
          <w:lang w:val="en-US" w:eastAsia="zh-CN"/>
        </w:rPr>
        <w:t>不低于</w:t>
      </w:r>
      <w:r>
        <w:rPr>
          <w:rFonts w:hint="eastAsia" w:ascii="宋体" w:hAnsi="宋体" w:cs="宋体"/>
          <w:iCs/>
          <w:color w:val="auto"/>
          <w:sz w:val="24"/>
        </w:rPr>
        <w:t>其原标准配置的</w:t>
      </w:r>
      <w:r>
        <w:rPr>
          <w:rFonts w:hint="eastAsia" w:ascii="宋体" w:hAnsi="宋体" w:cs="宋体"/>
          <w:iCs/>
          <w:color w:val="auto"/>
          <w:sz w:val="24"/>
          <w:lang w:val="en-US" w:eastAsia="zh-CN"/>
        </w:rPr>
        <w:t>同类</w:t>
      </w:r>
      <w:r>
        <w:rPr>
          <w:rFonts w:hint="eastAsia" w:ascii="宋体" w:hAnsi="宋体" w:cs="宋体"/>
          <w:iCs/>
          <w:color w:val="auto"/>
          <w:sz w:val="24"/>
        </w:rPr>
        <w:t>产品。</w:t>
      </w:r>
      <w:r>
        <w:rPr>
          <w:rFonts w:hint="eastAsia" w:ascii="宋体" w:hAnsi="宋体" w:cs="宋体"/>
          <w:iCs/>
          <w:color w:val="auto"/>
          <w:sz w:val="24"/>
          <w:lang w:val="en-US" w:eastAsia="zh-CN"/>
        </w:rPr>
        <w:t>如停产，</w:t>
      </w:r>
      <w:r>
        <w:rPr>
          <w:rFonts w:hint="eastAsia" w:ascii="宋体" w:hAnsi="宋体" w:cs="宋体"/>
          <w:iCs/>
          <w:color w:val="auto"/>
          <w:sz w:val="24"/>
        </w:rPr>
        <w:t>应在征得招标方同意的情况下，</w:t>
      </w:r>
      <w:r>
        <w:rPr>
          <w:rFonts w:hint="eastAsia" w:ascii="宋体" w:hAnsi="宋体" w:cs="宋体"/>
          <w:iCs/>
          <w:color w:val="auto"/>
          <w:sz w:val="24"/>
          <w:lang w:val="en-US" w:eastAsia="zh-CN"/>
        </w:rPr>
        <w:t>出具原厂商停产证明后，提供不低于</w:t>
      </w:r>
      <w:r>
        <w:rPr>
          <w:rFonts w:hint="eastAsia" w:ascii="宋体" w:hAnsi="宋体" w:cs="宋体"/>
          <w:iCs/>
          <w:color w:val="auto"/>
          <w:sz w:val="24"/>
        </w:rPr>
        <w:t>其原标准配置的</w:t>
      </w:r>
      <w:r>
        <w:rPr>
          <w:rFonts w:hint="eastAsia" w:ascii="宋体" w:hAnsi="宋体" w:cs="宋体"/>
          <w:iCs/>
          <w:color w:val="auto"/>
          <w:sz w:val="24"/>
          <w:lang w:val="en-US" w:eastAsia="zh-CN"/>
        </w:rPr>
        <w:t>同类</w:t>
      </w:r>
      <w:r>
        <w:rPr>
          <w:rFonts w:hint="eastAsia" w:ascii="宋体" w:hAnsi="宋体" w:cs="宋体"/>
          <w:iCs/>
          <w:color w:val="auto"/>
          <w:sz w:val="24"/>
        </w:rPr>
        <w:t>产品</w:t>
      </w:r>
      <w:r>
        <w:rPr>
          <w:rFonts w:hint="eastAsia" w:ascii="宋体" w:hAnsi="宋体" w:cs="宋体"/>
          <w:iCs/>
          <w:color w:val="auto"/>
          <w:sz w:val="24"/>
          <w:lang w:val="en-US" w:eastAsia="zh-CN"/>
        </w:rPr>
        <w:t>。</w:t>
      </w:r>
    </w:p>
    <w:p>
      <w:pPr>
        <w:snapToGrid w:val="0"/>
        <w:spacing w:line="400" w:lineRule="exact"/>
        <w:ind w:left="29" w:leftChars="14" w:firstLine="508" w:firstLineChars="212"/>
        <w:rPr>
          <w:rFonts w:hint="eastAsia" w:ascii="宋体" w:hAnsi="宋体" w:cs="宋体"/>
          <w:iCs/>
          <w:color w:val="auto"/>
          <w:sz w:val="24"/>
        </w:rPr>
      </w:pPr>
      <w:r>
        <w:rPr>
          <w:rFonts w:hint="eastAsia" w:ascii="宋体" w:hAnsi="宋体" w:cs="宋体"/>
          <w:iCs/>
          <w:color w:val="auto"/>
          <w:sz w:val="24"/>
          <w:lang w:val="en-US" w:eastAsia="zh-CN"/>
        </w:rPr>
        <w:t>6</w:t>
      </w:r>
      <w:r>
        <w:rPr>
          <w:rFonts w:hint="eastAsia" w:ascii="宋体" w:hAnsi="宋体" w:cs="宋体"/>
          <w:iCs/>
          <w:color w:val="auto"/>
          <w:sz w:val="24"/>
        </w:rPr>
        <w:t>、投标方必须提供详细完整的售后服务计划、售后服务协议</w:t>
      </w:r>
      <w:r>
        <w:rPr>
          <w:rFonts w:hint="eastAsia" w:ascii="宋体" w:hAnsi="宋体" w:cs="宋体"/>
          <w:iCs/>
          <w:color w:val="auto"/>
          <w:sz w:val="24"/>
          <w:lang w:eastAsia="zh-CN"/>
        </w:rPr>
        <w:t>，</w:t>
      </w:r>
      <w:r>
        <w:rPr>
          <w:rFonts w:hint="eastAsia" w:ascii="宋体" w:hAnsi="宋体" w:cs="宋体"/>
          <w:iCs/>
          <w:color w:val="auto"/>
          <w:sz w:val="24"/>
        </w:rPr>
        <w:t>针对本项目将采取的安全保密措施等。在签订本项目合同之前，必须先签署与本项目配套的安全保密协议。中标方拒签安全保密协议的，视作自动放弃合同签署权。</w:t>
      </w:r>
    </w:p>
    <w:p>
      <w:pPr>
        <w:snapToGrid w:val="0"/>
        <w:spacing w:line="400" w:lineRule="exact"/>
        <w:ind w:left="29" w:leftChars="14" w:firstLine="508" w:firstLineChars="212"/>
        <w:rPr>
          <w:rFonts w:hint="eastAsia" w:ascii="宋体" w:hAnsi="宋体" w:cs="宋体"/>
          <w:iCs/>
          <w:color w:val="auto"/>
          <w:sz w:val="24"/>
        </w:rPr>
      </w:pPr>
      <w:r>
        <w:rPr>
          <w:rFonts w:hint="eastAsia" w:ascii="宋体" w:hAnsi="宋体" w:cs="宋体"/>
          <w:iCs/>
          <w:color w:val="auto"/>
          <w:sz w:val="24"/>
          <w:lang w:val="en-US" w:eastAsia="zh-CN"/>
        </w:rPr>
        <w:t>7</w:t>
      </w:r>
      <w:r>
        <w:rPr>
          <w:rFonts w:hint="eastAsia" w:ascii="宋体" w:hAnsi="宋体" w:cs="宋体"/>
          <w:iCs/>
          <w:color w:val="auto"/>
          <w:sz w:val="24"/>
        </w:rPr>
        <w:t>、投标方的商务报价为对应不同抓拍系统的每个建设点位每月租</w:t>
      </w:r>
      <w:r>
        <w:rPr>
          <w:rFonts w:hint="eastAsia" w:ascii="宋体" w:hAnsi="宋体" w:cs="宋体"/>
          <w:iCs/>
          <w:color w:val="auto"/>
          <w:sz w:val="24"/>
          <w:lang w:val="en-US" w:eastAsia="zh-CN"/>
        </w:rPr>
        <w:t>金</w:t>
      </w:r>
      <w:r>
        <w:rPr>
          <w:rFonts w:hint="eastAsia" w:ascii="宋体" w:hAnsi="宋体" w:cs="宋体"/>
          <w:iCs/>
          <w:color w:val="auto"/>
          <w:sz w:val="24"/>
        </w:rPr>
        <w:t>。本项目设定5个系统，每个系统均有多处点位。因此，各投标方根据各系统建设点位清单进行报价。建设中系统设置点位如有变动，按月租费单价和实际建设数量结算。如点位在五年维护期内需要变更位置，不涉及土建施工中标方应免费移位，涉及土建施工的每年不超过总点位数的5%中标方应免费移位。</w:t>
      </w:r>
    </w:p>
    <w:p>
      <w:pPr>
        <w:snapToGrid w:val="0"/>
        <w:spacing w:line="400" w:lineRule="exact"/>
        <w:ind w:left="29" w:leftChars="14" w:firstLine="506" w:firstLineChars="211"/>
        <w:rPr>
          <w:rFonts w:hint="eastAsia" w:ascii="宋体" w:hAnsi="宋体" w:cs="宋体"/>
          <w:bCs/>
          <w:iCs/>
          <w:color w:val="auto"/>
          <w:sz w:val="24"/>
        </w:rPr>
      </w:pPr>
      <w:r>
        <w:rPr>
          <w:rFonts w:hint="eastAsia" w:ascii="宋体" w:hAnsi="宋体" w:cs="宋体"/>
          <w:bCs/>
          <w:iCs/>
          <w:color w:val="auto"/>
          <w:sz w:val="24"/>
          <w:lang w:val="en-US" w:eastAsia="zh-CN"/>
        </w:rPr>
        <w:t>8</w:t>
      </w:r>
      <w:r>
        <w:rPr>
          <w:rFonts w:hint="eastAsia" w:ascii="宋体" w:hAnsi="宋体" w:cs="宋体"/>
          <w:bCs/>
          <w:iCs/>
          <w:color w:val="auto"/>
          <w:sz w:val="24"/>
        </w:rPr>
        <w:t>、合同签订后90个日历天内完成整个系统建设并进入试运行。</w:t>
      </w:r>
    </w:p>
    <w:p>
      <w:pPr>
        <w:snapToGrid w:val="0"/>
        <w:spacing w:line="400" w:lineRule="exact"/>
        <w:ind w:left="29" w:leftChars="14" w:firstLine="508" w:firstLineChars="212"/>
        <w:rPr>
          <w:rFonts w:hint="eastAsia" w:ascii="宋体" w:hAnsi="宋体" w:cs="宋体"/>
          <w:iCs/>
          <w:color w:val="auto"/>
          <w:sz w:val="24"/>
        </w:rPr>
      </w:pPr>
      <w:r>
        <w:rPr>
          <w:rFonts w:hint="eastAsia" w:ascii="宋体" w:hAnsi="宋体" w:cs="宋体"/>
          <w:iCs/>
          <w:color w:val="auto"/>
          <w:sz w:val="24"/>
          <w:lang w:val="en-US" w:eastAsia="zh-CN"/>
        </w:rPr>
        <w:t>9</w:t>
      </w:r>
      <w:r>
        <w:rPr>
          <w:rFonts w:hint="eastAsia" w:ascii="宋体" w:hAnsi="宋体" w:cs="宋体"/>
          <w:iCs/>
          <w:color w:val="auto"/>
          <w:sz w:val="24"/>
        </w:rPr>
        <w:t>、租金支付：工程完工且投标方自验完成后提交竣工验收申请，由招标方组织专家验收，全部验收合格后出具专家组验收意见。自验收合格之日起的下月按季度支付租金。</w:t>
      </w:r>
    </w:p>
    <w:p>
      <w:pPr>
        <w:snapToGrid w:val="0"/>
        <w:spacing w:line="400" w:lineRule="exact"/>
        <w:ind w:left="29" w:leftChars="14" w:firstLine="508" w:firstLineChars="212"/>
        <w:rPr>
          <w:rFonts w:hint="eastAsia" w:ascii="宋体" w:hAnsi="宋体" w:cs="宋体"/>
          <w:iCs/>
          <w:color w:val="auto"/>
          <w:sz w:val="24"/>
        </w:rPr>
      </w:pPr>
      <w:r>
        <w:rPr>
          <w:rFonts w:hint="eastAsia" w:ascii="宋体" w:hAnsi="宋体" w:cs="宋体"/>
          <w:iCs/>
          <w:color w:val="auto"/>
          <w:sz w:val="24"/>
        </w:rPr>
        <w:t>1</w:t>
      </w:r>
      <w:r>
        <w:rPr>
          <w:rFonts w:hint="eastAsia" w:ascii="宋体" w:hAnsi="宋体" w:cs="宋体"/>
          <w:iCs/>
          <w:color w:val="auto"/>
          <w:sz w:val="24"/>
          <w:lang w:val="en-US" w:eastAsia="zh-CN"/>
        </w:rPr>
        <w:t>0</w:t>
      </w:r>
      <w:r>
        <w:rPr>
          <w:rFonts w:hint="eastAsia" w:ascii="宋体" w:hAnsi="宋体" w:cs="宋体"/>
          <w:iCs/>
          <w:color w:val="auto"/>
          <w:sz w:val="24"/>
        </w:rPr>
        <w:t>、货物验收、交货安装地点：浙江省海盐县内。</w:t>
      </w:r>
    </w:p>
    <w:p>
      <w:pPr>
        <w:snapToGrid w:val="0"/>
        <w:spacing w:line="400" w:lineRule="exact"/>
        <w:ind w:left="29" w:leftChars="14" w:firstLine="508" w:firstLineChars="212"/>
        <w:rPr>
          <w:rFonts w:hint="eastAsia" w:ascii="宋体" w:hAnsi="宋体" w:cs="宋体"/>
          <w:iCs/>
          <w:color w:val="auto"/>
          <w:sz w:val="24"/>
        </w:rPr>
      </w:pPr>
      <w:r>
        <w:rPr>
          <w:rFonts w:hint="eastAsia" w:ascii="宋体" w:hAnsi="宋体" w:cs="宋体"/>
          <w:iCs/>
          <w:color w:val="auto"/>
          <w:sz w:val="24"/>
        </w:rPr>
        <w:t>1</w:t>
      </w:r>
      <w:r>
        <w:rPr>
          <w:rFonts w:hint="eastAsia" w:ascii="宋体" w:hAnsi="宋体" w:cs="宋体"/>
          <w:iCs/>
          <w:color w:val="auto"/>
          <w:sz w:val="24"/>
          <w:lang w:val="en-US" w:eastAsia="zh-CN"/>
        </w:rPr>
        <w:t>1</w:t>
      </w:r>
      <w:r>
        <w:rPr>
          <w:rFonts w:hint="eastAsia" w:ascii="宋体" w:hAnsi="宋体" w:cs="宋体"/>
          <w:iCs/>
          <w:color w:val="auto"/>
          <w:sz w:val="24"/>
        </w:rPr>
        <w:t>、新建点位需按辖区分别配置在配在各个乡镇、街道，接入交警大队现有中心平台。</w:t>
      </w:r>
    </w:p>
    <w:p>
      <w:pPr>
        <w:snapToGrid w:val="0"/>
        <w:spacing w:line="400" w:lineRule="exact"/>
        <w:ind w:left="29" w:leftChars="14" w:firstLine="508" w:firstLineChars="212"/>
        <w:rPr>
          <w:rFonts w:hint="eastAsia" w:ascii="宋体" w:hAnsi="宋体" w:cs="宋体"/>
          <w:iCs/>
          <w:color w:val="auto"/>
          <w:sz w:val="24"/>
        </w:rPr>
      </w:pPr>
      <w:r>
        <w:rPr>
          <w:rFonts w:hint="eastAsia" w:ascii="宋体" w:hAnsi="宋体" w:cs="宋体"/>
          <w:iCs/>
          <w:color w:val="auto"/>
          <w:sz w:val="24"/>
        </w:rPr>
        <w:t>1</w:t>
      </w:r>
      <w:r>
        <w:rPr>
          <w:rFonts w:hint="eastAsia" w:ascii="宋体" w:hAnsi="宋体" w:cs="宋体"/>
          <w:iCs/>
          <w:color w:val="auto"/>
          <w:sz w:val="24"/>
          <w:lang w:val="en-US" w:eastAsia="zh-CN"/>
        </w:rPr>
        <w:t>2</w:t>
      </w:r>
      <w:r>
        <w:rPr>
          <w:rFonts w:hint="eastAsia" w:ascii="宋体" w:hAnsi="宋体" w:cs="宋体"/>
          <w:iCs/>
          <w:color w:val="auto"/>
          <w:sz w:val="24"/>
        </w:rPr>
        <w:t>、投标人在本地备有备品备件库，前端摄像机、信号机等重要设备备品备件不低于总数的3%并且存放于大队。</w:t>
      </w:r>
    </w:p>
    <w:p>
      <w:pPr>
        <w:snapToGrid w:val="0"/>
        <w:spacing w:line="400" w:lineRule="exact"/>
        <w:ind w:left="29" w:leftChars="14" w:firstLine="508" w:firstLineChars="212"/>
        <w:rPr>
          <w:rFonts w:hint="eastAsia" w:ascii="宋体" w:hAnsi="宋体" w:cs="宋体"/>
          <w:iCs/>
          <w:color w:val="auto"/>
          <w:sz w:val="24"/>
        </w:rPr>
      </w:pPr>
      <w:r>
        <w:rPr>
          <w:rFonts w:hint="eastAsia" w:ascii="宋体" w:hAnsi="宋体" w:cs="宋体"/>
          <w:iCs/>
          <w:color w:val="auto"/>
          <w:sz w:val="24"/>
        </w:rPr>
        <w:t>1</w:t>
      </w:r>
      <w:r>
        <w:rPr>
          <w:rFonts w:hint="eastAsia" w:ascii="宋体" w:hAnsi="宋体" w:cs="宋体"/>
          <w:iCs/>
          <w:color w:val="auto"/>
          <w:sz w:val="24"/>
          <w:lang w:val="en-US" w:eastAsia="zh-CN"/>
        </w:rPr>
        <w:t>3</w:t>
      </w:r>
      <w:r>
        <w:rPr>
          <w:rFonts w:hint="eastAsia" w:ascii="宋体" w:hAnsi="宋体" w:cs="宋体"/>
          <w:iCs/>
          <w:color w:val="auto"/>
          <w:sz w:val="24"/>
        </w:rPr>
        <w:t>、若投标人将本项目的维护交由第三方公司进行，则需提供第三方维护公司的营业执照、双方维护合同、人员名单及社保等证明。</w:t>
      </w:r>
    </w:p>
    <w:p>
      <w:pPr>
        <w:snapToGrid w:val="0"/>
        <w:spacing w:line="400" w:lineRule="exact"/>
        <w:ind w:left="29" w:leftChars="14" w:firstLine="508" w:firstLineChars="212"/>
        <w:rPr>
          <w:rFonts w:hint="eastAsia" w:ascii="宋体" w:hAnsi="宋体" w:cs="宋体"/>
          <w:iCs/>
          <w:color w:val="auto"/>
          <w:sz w:val="24"/>
        </w:rPr>
      </w:pPr>
      <w:r>
        <w:rPr>
          <w:rFonts w:hint="eastAsia" w:ascii="宋体" w:hAnsi="宋体" w:cs="宋体"/>
          <w:iCs/>
          <w:color w:val="auto"/>
          <w:sz w:val="24"/>
        </w:rPr>
        <w:t>1</w:t>
      </w:r>
      <w:r>
        <w:rPr>
          <w:rFonts w:hint="eastAsia" w:ascii="宋体" w:hAnsi="宋体" w:cs="宋体"/>
          <w:iCs/>
          <w:color w:val="auto"/>
          <w:sz w:val="24"/>
          <w:lang w:val="en-US" w:eastAsia="zh-CN"/>
        </w:rPr>
        <w:t>4</w:t>
      </w:r>
      <w:r>
        <w:rPr>
          <w:rFonts w:hint="eastAsia" w:ascii="宋体" w:hAnsi="宋体" w:cs="宋体"/>
          <w:iCs/>
          <w:color w:val="auto"/>
          <w:sz w:val="24"/>
        </w:rPr>
        <w:t>、现场踏勘：本项目招标人不</w:t>
      </w:r>
      <w:r>
        <w:rPr>
          <w:rFonts w:hint="eastAsia" w:ascii="宋体" w:hAnsi="宋体" w:cs="宋体"/>
          <w:iCs/>
          <w:color w:val="auto"/>
          <w:sz w:val="24"/>
          <w:lang w:val="en-US" w:eastAsia="zh-CN"/>
        </w:rPr>
        <w:t>集中</w:t>
      </w:r>
      <w:r>
        <w:rPr>
          <w:rFonts w:hint="eastAsia" w:ascii="宋体" w:hAnsi="宋体" w:cs="宋体"/>
          <w:iCs/>
          <w:color w:val="auto"/>
          <w:sz w:val="24"/>
        </w:rPr>
        <w:t>组织现场踏勘，投标人如有需要现场踏勘请联系业主（联系人：周丹妮；联系电话：0573-86153150）进行现场勘查并在投标时提供由业主确认的现场踏勘证明。</w:t>
      </w:r>
    </w:p>
    <w:p>
      <w:pPr>
        <w:snapToGrid w:val="0"/>
        <w:spacing w:line="400" w:lineRule="exact"/>
        <w:ind w:left="29" w:leftChars="14" w:firstLine="508" w:firstLineChars="212"/>
        <w:rPr>
          <w:rFonts w:hint="eastAsia" w:ascii="宋体" w:hAnsi="宋体" w:cs="宋体"/>
          <w:iCs/>
          <w:color w:val="auto"/>
          <w:sz w:val="24"/>
        </w:rPr>
      </w:pPr>
      <w:r>
        <w:rPr>
          <w:rFonts w:hint="eastAsia" w:ascii="宋体" w:hAnsi="宋体" w:cs="宋体"/>
          <w:iCs/>
          <w:color w:val="auto"/>
          <w:sz w:val="24"/>
        </w:rPr>
        <w:t>注：投标人在项目投标前应做好充分的踏勘工作，在项目施工过程中的不可预测成本由投标人自行解决，招标人不再支付任何费用。</w:t>
      </w:r>
    </w:p>
    <w:p>
      <w:pPr>
        <w:snapToGrid w:val="0"/>
        <w:spacing w:line="400" w:lineRule="exact"/>
        <w:ind w:left="29" w:leftChars="14" w:firstLine="508" w:firstLineChars="212"/>
        <w:rPr>
          <w:rFonts w:hint="eastAsia" w:ascii="宋体" w:hAnsi="宋体" w:cs="宋体"/>
          <w:iCs/>
          <w:color w:val="auto"/>
          <w:sz w:val="24"/>
        </w:rPr>
      </w:pPr>
      <w:r>
        <w:rPr>
          <w:rFonts w:hint="eastAsia" w:ascii="宋体" w:hAnsi="宋体" w:cs="宋体"/>
          <w:iCs/>
          <w:color w:val="auto"/>
          <w:sz w:val="24"/>
        </w:rPr>
        <w:t>▲1</w:t>
      </w:r>
      <w:r>
        <w:rPr>
          <w:rFonts w:hint="eastAsia" w:ascii="宋体" w:hAnsi="宋体" w:cs="宋体"/>
          <w:iCs/>
          <w:color w:val="auto"/>
          <w:sz w:val="24"/>
          <w:lang w:val="en-US" w:eastAsia="zh-CN"/>
        </w:rPr>
        <w:t>5</w:t>
      </w:r>
      <w:r>
        <w:rPr>
          <w:rFonts w:hint="eastAsia" w:ascii="宋体" w:hAnsi="宋体" w:cs="宋体"/>
          <w:iCs/>
          <w:color w:val="auto"/>
          <w:sz w:val="24"/>
        </w:rPr>
        <w:t>、投标方对本项目的网络带宽设计应综合考虑各项因素，必须满足前端设备能接入中心平台、中心云存储的带宽，网络设计和架构中必须有充足的冗余性。要求在像机云台操作、图片抓拍传输时保证图像、图片质量。本项目中，三合一电子警察系统、不礼让行人抓拍系统、反向卡口系统网络到路口要求配套千兆交换机独享1000M带宽，违停抓拍系统要求每处独享100M带宽，各点位不得私自串联。如</w:t>
      </w:r>
      <w:r>
        <w:rPr>
          <w:rFonts w:hint="eastAsia" w:ascii="宋体" w:hAnsi="宋体" w:cs="宋体"/>
          <w:iCs/>
          <w:color w:val="auto"/>
          <w:sz w:val="24"/>
          <w:lang w:val="en-US" w:eastAsia="zh-CN"/>
        </w:rPr>
        <w:t>中标人</w:t>
      </w:r>
      <w:r>
        <w:rPr>
          <w:rFonts w:hint="eastAsia" w:ascii="宋体" w:hAnsi="宋体" w:cs="宋体"/>
          <w:iCs/>
          <w:color w:val="auto"/>
          <w:sz w:val="24"/>
        </w:rPr>
        <w:t>的各级网络架构不能满足新建需要的网络需求，由中标人承诺对现有设备进行更新（投标时出具承诺函，加盖单位公章）。</w:t>
      </w:r>
    </w:p>
    <w:p>
      <w:pPr>
        <w:spacing w:before="240" w:beforeLines="100" w:line="400" w:lineRule="exact"/>
        <w:ind w:firstLine="562"/>
        <w:rPr>
          <w:rFonts w:hint="eastAsia" w:ascii="宋体" w:hAnsi="宋体" w:cs="宋体"/>
          <w:b/>
          <w:color w:val="auto"/>
          <w:sz w:val="28"/>
        </w:rPr>
      </w:pPr>
      <w:r>
        <w:rPr>
          <w:rFonts w:hint="eastAsia" w:ascii="宋体" w:hAnsi="宋体" w:cs="宋体"/>
          <w:b/>
          <w:color w:val="auto"/>
          <w:sz w:val="28"/>
        </w:rPr>
        <w:t>三、</w:t>
      </w:r>
      <w:bookmarkStart w:id="2" w:name="_Toc363731430"/>
      <w:bookmarkStart w:id="3" w:name="_Toc375067647"/>
      <w:r>
        <w:rPr>
          <w:rFonts w:hint="eastAsia" w:ascii="宋体" w:hAnsi="宋体" w:cs="宋体"/>
          <w:b/>
          <w:color w:val="auto"/>
          <w:sz w:val="28"/>
        </w:rPr>
        <w:t>项目</w:t>
      </w:r>
      <w:bookmarkEnd w:id="2"/>
      <w:bookmarkEnd w:id="3"/>
      <w:bookmarkStart w:id="4" w:name="_Toc118476063"/>
      <w:bookmarkStart w:id="5" w:name="_Toc124304038"/>
      <w:bookmarkStart w:id="6" w:name="_Toc137629890"/>
      <w:r>
        <w:rPr>
          <w:rFonts w:hint="eastAsia" w:ascii="宋体" w:hAnsi="宋体" w:cs="宋体"/>
          <w:b/>
          <w:color w:val="auto"/>
          <w:sz w:val="28"/>
        </w:rPr>
        <w:t>建设原则</w:t>
      </w:r>
    </w:p>
    <w:p>
      <w:pPr>
        <w:spacing w:line="400" w:lineRule="exact"/>
        <w:ind w:firstLine="480"/>
        <w:rPr>
          <w:rFonts w:hint="eastAsia" w:ascii="宋体" w:hAnsi="宋体" w:cs="宋体"/>
          <w:color w:val="auto"/>
          <w:sz w:val="24"/>
        </w:rPr>
      </w:pPr>
      <w:r>
        <w:rPr>
          <w:rFonts w:hint="eastAsia" w:ascii="宋体" w:hAnsi="宋体" w:cs="宋体"/>
          <w:color w:val="auto"/>
          <w:sz w:val="24"/>
        </w:rPr>
        <w:t>1、根据国家智慧交通系统相关前沿设计理念、交通部《智慧交通让出行更便捷行动方案（2017—2021年）》、公安部、浙江省以及一切与智慧交通、视频监控相关的国家、省、市的标准、规范或文件，建立一套海盐县智慧交通系统体系，完善我县现有的智能交通系统。</w:t>
      </w:r>
    </w:p>
    <w:p>
      <w:pPr>
        <w:spacing w:line="400" w:lineRule="exact"/>
        <w:ind w:firstLine="480"/>
        <w:rPr>
          <w:rFonts w:hint="eastAsia" w:ascii="宋体" w:hAnsi="宋体" w:cs="宋体"/>
          <w:color w:val="auto"/>
          <w:sz w:val="24"/>
        </w:rPr>
      </w:pPr>
      <w:r>
        <w:rPr>
          <w:rFonts w:hint="eastAsia" w:ascii="宋体" w:hAnsi="宋体" w:cs="宋体"/>
          <w:color w:val="auto"/>
          <w:sz w:val="24"/>
        </w:rPr>
        <w:t>本次建设的</w:t>
      </w:r>
      <w:r>
        <w:rPr>
          <w:rFonts w:hint="eastAsia" w:ascii="宋体" w:hAnsi="宋体" w:cs="宋体"/>
          <w:bCs/>
          <w:color w:val="auto"/>
          <w:sz w:val="24"/>
        </w:rPr>
        <w:t>海盐县公安局交通警察大队2021年电子监控系统、信号协调控制系统</w:t>
      </w:r>
      <w:r>
        <w:rPr>
          <w:rFonts w:hint="eastAsia" w:ascii="宋体" w:hAnsi="宋体" w:cs="宋体"/>
          <w:color w:val="auto"/>
          <w:sz w:val="24"/>
        </w:rPr>
        <w:t>是充分利用光纤通信网线路和视频专网的网络资源，采用高清视频抓拍、智能控制协调信号等设备，建成信号协调控制系统、三合一电子警察系统、闯禁卡口系统、不礼让行人抓拍系统、违停抓拍系统等。涵盖视频录像功能、车流量统计、违法抓拍功能、信号灯协调控制功能等满足交通**活动和辅助决策。</w:t>
      </w:r>
    </w:p>
    <w:p>
      <w:pPr>
        <w:spacing w:line="400" w:lineRule="exact"/>
        <w:ind w:firstLine="480"/>
        <w:rPr>
          <w:rFonts w:hint="eastAsia" w:ascii="宋体" w:hAnsi="宋体" w:cs="宋体"/>
          <w:color w:val="auto"/>
          <w:sz w:val="24"/>
        </w:rPr>
      </w:pPr>
      <w:r>
        <w:rPr>
          <w:rFonts w:hint="eastAsia" w:ascii="宋体" w:hAnsi="宋体" w:cs="宋体"/>
          <w:color w:val="auto"/>
          <w:sz w:val="24"/>
        </w:rPr>
        <w:t>系统建成投入使用后，根据主动防范，管理前置的要求，要实现以下主要应用目标：</w:t>
      </w:r>
    </w:p>
    <w:p>
      <w:pPr>
        <w:spacing w:line="400" w:lineRule="exact"/>
        <w:ind w:firstLine="480"/>
        <w:rPr>
          <w:rFonts w:hint="eastAsia" w:ascii="宋体" w:hAnsi="宋体" w:cs="宋体"/>
          <w:color w:val="auto"/>
          <w:sz w:val="24"/>
        </w:rPr>
      </w:pPr>
      <w:r>
        <w:rPr>
          <w:rFonts w:hint="eastAsia" w:ascii="宋体" w:hAnsi="宋体" w:cs="宋体"/>
          <w:color w:val="auto"/>
          <w:sz w:val="24"/>
        </w:rPr>
        <w:t>1.1实现视频信息共享和互联互控，建成 “统一编解码标准、统一联网协议、统一控制协议、统一编号规则、统一图像标注、统一位置标识”的视频管理系统，整合各类不同来源、不同格式的视频图像资源，实现视频管理信息系统的数字化、网络化和统一化。监控系统应按照公安部提出的《安全防范视频监控联网系统信息传输、交换、控制技术要求》（GB/T 28181-2016）的视音频传输要求、联网接口技术要求和设备用户地址编码要求进行系统建设，采用统一通信协议，与嘉兴市交通警察支队和县公安局实现互联互通。</w:t>
      </w:r>
    </w:p>
    <w:p>
      <w:pPr>
        <w:spacing w:line="400" w:lineRule="exact"/>
        <w:ind w:firstLine="480"/>
        <w:rPr>
          <w:rFonts w:hint="eastAsia" w:ascii="宋体" w:hAnsi="宋体" w:cs="宋体"/>
          <w:color w:val="auto"/>
          <w:sz w:val="24"/>
        </w:rPr>
      </w:pPr>
      <w:r>
        <w:rPr>
          <w:rFonts w:hint="eastAsia" w:ascii="宋体" w:hAnsi="宋体" w:cs="宋体"/>
          <w:color w:val="auto"/>
          <w:sz w:val="24"/>
        </w:rPr>
        <w:t>1.2继续增强我县智慧交通建设，实现交通违法抓拍和交通信号协调控制网，提高我县公安机关交通态势的分析能力，对交通事件的时效处置能力。实现对公共交通的管理，增强对公民人身安全及财物的保护能力，提高人民群众的出行效率和出行安全。</w:t>
      </w:r>
    </w:p>
    <w:p>
      <w:pPr>
        <w:spacing w:before="120" w:beforeLines="50" w:line="400" w:lineRule="exact"/>
        <w:ind w:firstLine="482"/>
        <w:rPr>
          <w:rFonts w:hint="eastAsia" w:ascii="宋体" w:hAnsi="宋体" w:cs="宋体"/>
          <w:b/>
          <w:bCs/>
          <w:color w:val="auto"/>
          <w:sz w:val="24"/>
        </w:rPr>
      </w:pPr>
      <w:bookmarkStart w:id="7" w:name="_Toc375067648"/>
      <w:bookmarkStart w:id="8" w:name="_Toc205300595"/>
      <w:bookmarkStart w:id="9" w:name="_Toc363731432"/>
      <w:bookmarkStart w:id="10" w:name="_Toc362961211"/>
      <w:bookmarkStart w:id="11" w:name="_Toc219082866"/>
      <w:bookmarkStart w:id="12" w:name="_Toc206789353"/>
      <w:bookmarkStart w:id="13" w:name="_Toc146099365"/>
      <w:r>
        <w:rPr>
          <w:rFonts w:hint="eastAsia" w:ascii="宋体" w:hAnsi="宋体" w:cs="宋体"/>
          <w:b/>
          <w:bCs/>
          <w:color w:val="auto"/>
          <w:sz w:val="24"/>
        </w:rPr>
        <w:t>2、项目建设原则</w:t>
      </w:r>
      <w:bookmarkEnd w:id="4"/>
      <w:bookmarkEnd w:id="5"/>
      <w:bookmarkEnd w:id="6"/>
      <w:bookmarkEnd w:id="7"/>
      <w:bookmarkEnd w:id="8"/>
      <w:bookmarkEnd w:id="9"/>
      <w:bookmarkEnd w:id="10"/>
      <w:bookmarkEnd w:id="11"/>
      <w:bookmarkEnd w:id="12"/>
      <w:bookmarkEnd w:id="13"/>
    </w:p>
    <w:p>
      <w:pPr>
        <w:spacing w:line="400" w:lineRule="exact"/>
        <w:ind w:firstLine="482"/>
        <w:rPr>
          <w:rStyle w:val="129"/>
          <w:rFonts w:hint="eastAsia" w:cs="宋体"/>
          <w:color w:val="auto"/>
          <w:kern w:val="24"/>
        </w:rPr>
      </w:pPr>
      <w:bookmarkStart w:id="14" w:name="_Toc146099366"/>
      <w:bookmarkStart w:id="15" w:name="_Toc137629891"/>
      <w:bookmarkStart w:id="16" w:name="_Toc362961218"/>
      <w:bookmarkStart w:id="17" w:name="_Toc363731439"/>
      <w:bookmarkStart w:id="18" w:name="_Toc205300596"/>
      <w:bookmarkStart w:id="19" w:name="_Toc219082867"/>
      <w:bookmarkStart w:id="20" w:name="_Toc206789354"/>
      <w:bookmarkStart w:id="21" w:name="_Toc124304039"/>
      <w:r>
        <w:rPr>
          <w:rStyle w:val="129"/>
          <w:rFonts w:hint="eastAsia" w:cs="宋体"/>
          <w:color w:val="auto"/>
          <w:kern w:val="24"/>
        </w:rPr>
        <w:t>2.1可靠性原则</w:t>
      </w:r>
    </w:p>
    <w:p>
      <w:pPr>
        <w:spacing w:line="400" w:lineRule="exact"/>
        <w:ind w:firstLine="480"/>
        <w:rPr>
          <w:rFonts w:hint="eastAsia" w:ascii="宋体" w:hAnsi="宋体" w:cs="宋体"/>
          <w:color w:val="auto"/>
          <w:sz w:val="24"/>
        </w:rPr>
      </w:pPr>
      <w:r>
        <w:rPr>
          <w:rFonts w:hint="eastAsia" w:ascii="宋体" w:hAnsi="宋体" w:cs="宋体"/>
          <w:color w:val="auto"/>
          <w:sz w:val="24"/>
        </w:rPr>
        <w:t>整体可靠性是本系统必须解决的首要问题。系统采用自动检测、自动报警、自动监控和容错等技术来保证可靠性；具有防病毒，防误操作特性，有较强的抗干扰、抗静电能力，同时提供数据备份、恢复措施。从系统的结构、技术措施、设备性能、系统管理、厂商技术支持及维修能力等方面着手，确保系统正常、稳定、可靠地连续运行，将系统发生故障的可能性降到最低。系统还将提供用户等级权限保护，有效排除人为因素的干扰。根据现场环境参数及公安图像监控实际要求，所选用的设备在满足环境条件下完全可以长期可靠地正常运行。</w:t>
      </w:r>
    </w:p>
    <w:p>
      <w:pPr>
        <w:spacing w:line="400" w:lineRule="exact"/>
        <w:ind w:firstLine="482"/>
        <w:rPr>
          <w:rStyle w:val="129"/>
          <w:rFonts w:hint="eastAsia" w:cs="宋体"/>
          <w:color w:val="auto"/>
          <w:kern w:val="24"/>
        </w:rPr>
      </w:pPr>
      <w:bookmarkStart w:id="22" w:name="_Toc205696676"/>
      <w:r>
        <w:rPr>
          <w:rStyle w:val="129"/>
          <w:rFonts w:hint="eastAsia" w:cs="宋体"/>
          <w:color w:val="auto"/>
          <w:kern w:val="24"/>
        </w:rPr>
        <w:t>2.2安全性原则</w:t>
      </w:r>
      <w:bookmarkEnd w:id="22"/>
    </w:p>
    <w:p>
      <w:pPr>
        <w:spacing w:line="400" w:lineRule="exact"/>
        <w:ind w:firstLine="480"/>
        <w:rPr>
          <w:rFonts w:hint="eastAsia" w:ascii="宋体" w:hAnsi="宋体" w:cs="宋体"/>
          <w:color w:val="auto"/>
          <w:sz w:val="24"/>
        </w:rPr>
      </w:pPr>
      <w:r>
        <w:rPr>
          <w:rFonts w:hint="eastAsia" w:ascii="宋体" w:hAnsi="宋体" w:cs="宋体"/>
          <w:color w:val="auto"/>
          <w:sz w:val="24"/>
        </w:rPr>
        <w:t>网络安全：要求公安网与视频专网以及其他互联网络物理隔离。若要建立连接必须采取符合公安部要求的技术手段；</w:t>
      </w:r>
    </w:p>
    <w:p>
      <w:pPr>
        <w:spacing w:line="400" w:lineRule="exact"/>
        <w:ind w:firstLine="480"/>
        <w:rPr>
          <w:rFonts w:hint="eastAsia" w:ascii="宋体" w:hAnsi="宋体" w:cs="宋体"/>
          <w:color w:val="auto"/>
          <w:sz w:val="24"/>
        </w:rPr>
      </w:pPr>
      <w:r>
        <w:rPr>
          <w:rFonts w:hint="eastAsia" w:ascii="宋体" w:hAnsi="宋体" w:cs="宋体"/>
          <w:color w:val="auto"/>
          <w:sz w:val="24"/>
        </w:rPr>
        <w:t>信息安全：要严格设置用户使用权限及审批方式，各级用户只能调看本权限范围内的视频信息；</w:t>
      </w:r>
    </w:p>
    <w:p>
      <w:pPr>
        <w:spacing w:line="400" w:lineRule="exact"/>
        <w:ind w:firstLine="480"/>
        <w:rPr>
          <w:rFonts w:hint="eastAsia" w:ascii="宋体" w:hAnsi="宋体" w:cs="宋体"/>
          <w:color w:val="auto"/>
          <w:sz w:val="24"/>
        </w:rPr>
      </w:pPr>
      <w:r>
        <w:rPr>
          <w:rFonts w:hint="eastAsia" w:ascii="宋体" w:hAnsi="宋体" w:cs="宋体"/>
          <w:color w:val="auto"/>
          <w:sz w:val="24"/>
        </w:rPr>
        <w:t>传输安全：视频信息的传输要注意防止各种非法提取或篡改；</w:t>
      </w:r>
    </w:p>
    <w:p>
      <w:pPr>
        <w:spacing w:line="400" w:lineRule="exact"/>
        <w:ind w:firstLine="480"/>
        <w:rPr>
          <w:rFonts w:hint="eastAsia" w:ascii="宋体" w:hAnsi="宋体" w:cs="宋体"/>
          <w:color w:val="auto"/>
          <w:sz w:val="24"/>
        </w:rPr>
      </w:pPr>
      <w:r>
        <w:rPr>
          <w:rFonts w:hint="eastAsia" w:ascii="宋体" w:hAnsi="宋体" w:cs="宋体"/>
          <w:color w:val="auto"/>
          <w:sz w:val="24"/>
        </w:rPr>
        <w:t>存储安全：要注意重要数据的备份，基本信息在后端存储中心存储，重要信息要在存储中心进行备份。</w:t>
      </w:r>
    </w:p>
    <w:p>
      <w:pPr>
        <w:spacing w:line="400" w:lineRule="exact"/>
        <w:ind w:firstLine="480"/>
        <w:rPr>
          <w:rFonts w:hint="eastAsia" w:ascii="宋体" w:hAnsi="宋体" w:cs="宋体"/>
          <w:color w:val="auto"/>
          <w:sz w:val="24"/>
        </w:rPr>
      </w:pPr>
      <w:r>
        <w:rPr>
          <w:rFonts w:hint="eastAsia" w:ascii="宋体" w:hAnsi="宋体" w:cs="宋体"/>
          <w:color w:val="auto"/>
          <w:sz w:val="24"/>
        </w:rPr>
        <w:t>设备安全：电子监控系统、信号协调控制系统的设备必须满足可靠性和安全性的要求，设备选型要选先进成熟的市场主流产品，要求安全可靠，保证系统不间断运行。对关键的设备、数据和接口应该采用冗余设计，要具有故障检测、系统恢复等功能。</w:t>
      </w:r>
      <w:bookmarkStart w:id="23" w:name="_Toc171396240"/>
    </w:p>
    <w:p>
      <w:pPr>
        <w:spacing w:line="400" w:lineRule="exact"/>
        <w:ind w:firstLine="482"/>
        <w:rPr>
          <w:rStyle w:val="129"/>
          <w:rFonts w:hint="eastAsia" w:cs="宋体"/>
          <w:color w:val="auto"/>
          <w:kern w:val="24"/>
        </w:rPr>
      </w:pPr>
      <w:bookmarkStart w:id="24" w:name="_Toc205696677"/>
      <w:r>
        <w:rPr>
          <w:rStyle w:val="129"/>
          <w:rFonts w:hint="eastAsia" w:cs="宋体"/>
          <w:color w:val="auto"/>
          <w:kern w:val="24"/>
        </w:rPr>
        <w:t>2.3先进性原则</w:t>
      </w:r>
      <w:bookmarkEnd w:id="23"/>
      <w:bookmarkEnd w:id="24"/>
    </w:p>
    <w:p>
      <w:pPr>
        <w:spacing w:line="400" w:lineRule="exact"/>
        <w:ind w:firstLine="480"/>
        <w:rPr>
          <w:rFonts w:hint="eastAsia" w:ascii="宋体" w:hAnsi="宋体" w:cs="宋体"/>
          <w:color w:val="auto"/>
          <w:sz w:val="24"/>
        </w:rPr>
      </w:pPr>
      <w:r>
        <w:rPr>
          <w:rFonts w:hint="eastAsia" w:ascii="宋体" w:hAnsi="宋体" w:cs="宋体"/>
          <w:color w:val="auto"/>
          <w:sz w:val="24"/>
        </w:rPr>
        <w:t>系统应充分考虑科学技术的迅猛发展趋势，应用国内外业界较先进和标准的主流技术来保证系统各项功能的实现；按功能做成模块化的子系统，提供强大灵活的联动平台，并保证系统可以方便灵活地在处理能力、系统容量、系统功能等方面进行扩充和升级换代，从而确保系统在未来一段时间内满足形势和业务发展的需要。</w:t>
      </w:r>
      <w:bookmarkStart w:id="25" w:name="_Toc171396241"/>
    </w:p>
    <w:p>
      <w:pPr>
        <w:spacing w:line="400" w:lineRule="exact"/>
        <w:ind w:firstLine="482"/>
        <w:rPr>
          <w:rStyle w:val="129"/>
          <w:rFonts w:hint="eastAsia" w:cs="宋体"/>
          <w:color w:val="auto"/>
          <w:kern w:val="24"/>
        </w:rPr>
      </w:pPr>
      <w:bookmarkStart w:id="26" w:name="_Toc205696678"/>
      <w:r>
        <w:rPr>
          <w:rStyle w:val="129"/>
          <w:rFonts w:hint="eastAsia" w:cs="宋体"/>
          <w:color w:val="auto"/>
          <w:kern w:val="24"/>
        </w:rPr>
        <w:t>2.4适用性原则</w:t>
      </w:r>
      <w:bookmarkEnd w:id="25"/>
      <w:bookmarkEnd w:id="26"/>
    </w:p>
    <w:p>
      <w:pPr>
        <w:spacing w:line="400" w:lineRule="exact"/>
        <w:ind w:firstLine="480"/>
        <w:rPr>
          <w:rFonts w:hint="eastAsia" w:ascii="宋体" w:hAnsi="宋体" w:cs="宋体"/>
          <w:color w:val="auto"/>
          <w:sz w:val="24"/>
        </w:rPr>
      </w:pPr>
      <w:r>
        <w:rPr>
          <w:rFonts w:hint="eastAsia" w:ascii="宋体" w:hAnsi="宋体" w:cs="宋体"/>
          <w:color w:val="auto"/>
          <w:sz w:val="24"/>
        </w:rPr>
        <w:t>系统应能够最大限度地满足各个路口交通管理、缉查布控等各项业务需求。以监控系统作为指挥的主要手段，为其它的各项业务职能提供所需的信息。系统的输入设备和系统软件还应具有良好的操作性，保证一般文化水平的操作员，在略懂电脑操作的情况下通过基本的培训就能掌握系统的操作要领，达到能胜任值班和监控任务的水平。</w:t>
      </w:r>
      <w:bookmarkStart w:id="27" w:name="_Toc171396242"/>
    </w:p>
    <w:p>
      <w:pPr>
        <w:spacing w:line="400" w:lineRule="exact"/>
        <w:ind w:firstLine="482"/>
        <w:rPr>
          <w:rStyle w:val="129"/>
          <w:rFonts w:hint="eastAsia" w:cs="宋体"/>
          <w:color w:val="auto"/>
          <w:kern w:val="24"/>
        </w:rPr>
      </w:pPr>
      <w:bookmarkStart w:id="28" w:name="_Toc205696679"/>
      <w:r>
        <w:rPr>
          <w:rStyle w:val="129"/>
          <w:rFonts w:hint="eastAsia" w:cs="宋体"/>
          <w:color w:val="auto"/>
          <w:kern w:val="24"/>
        </w:rPr>
        <w:t>2.5管理性原则</w:t>
      </w:r>
      <w:bookmarkEnd w:id="27"/>
      <w:bookmarkEnd w:id="28"/>
    </w:p>
    <w:p>
      <w:pPr>
        <w:spacing w:line="400" w:lineRule="exact"/>
        <w:ind w:firstLine="480"/>
        <w:rPr>
          <w:rFonts w:hint="eastAsia" w:ascii="宋体" w:hAnsi="宋体" w:cs="宋体"/>
          <w:color w:val="auto"/>
          <w:sz w:val="24"/>
        </w:rPr>
      </w:pPr>
      <w:r>
        <w:rPr>
          <w:rFonts w:hint="eastAsia" w:ascii="宋体" w:hAnsi="宋体" w:cs="宋体"/>
          <w:color w:val="auto"/>
          <w:sz w:val="24"/>
        </w:rPr>
        <w:t>易管理性：系统设计时要充分考虑系统的可管理性，对用户权限管理、网络管理、设备管理提出要求并给出实现方式；</w:t>
      </w:r>
    </w:p>
    <w:p>
      <w:pPr>
        <w:spacing w:line="400" w:lineRule="exact"/>
        <w:ind w:firstLine="480"/>
        <w:rPr>
          <w:rFonts w:hint="eastAsia" w:ascii="宋体" w:hAnsi="宋体" w:cs="宋体"/>
          <w:color w:val="auto"/>
          <w:sz w:val="24"/>
        </w:rPr>
      </w:pPr>
      <w:r>
        <w:rPr>
          <w:rFonts w:hint="eastAsia" w:ascii="宋体" w:hAnsi="宋体" w:cs="宋体"/>
          <w:color w:val="auto"/>
          <w:sz w:val="24"/>
        </w:rPr>
        <w:t>易维护性：系统应具备自检、故障诊断及故障弱化功能，在出现故障时，应能得到及时、快速的维护及故障管理等。</w:t>
      </w:r>
      <w:bookmarkStart w:id="29" w:name="_Toc171396243"/>
    </w:p>
    <w:p>
      <w:pPr>
        <w:spacing w:line="400" w:lineRule="exact"/>
        <w:ind w:firstLine="482"/>
        <w:rPr>
          <w:rStyle w:val="129"/>
          <w:rFonts w:hint="eastAsia" w:cs="宋体"/>
          <w:color w:val="auto"/>
          <w:kern w:val="24"/>
        </w:rPr>
      </w:pPr>
      <w:bookmarkStart w:id="30" w:name="_Toc205696680"/>
      <w:r>
        <w:rPr>
          <w:rStyle w:val="129"/>
          <w:rFonts w:hint="eastAsia" w:cs="宋体"/>
          <w:color w:val="auto"/>
          <w:kern w:val="24"/>
        </w:rPr>
        <w:t>2.6扩展性原则</w:t>
      </w:r>
      <w:bookmarkEnd w:id="29"/>
      <w:bookmarkEnd w:id="30"/>
    </w:p>
    <w:p>
      <w:pPr>
        <w:spacing w:line="400" w:lineRule="exact"/>
        <w:ind w:firstLine="480"/>
        <w:rPr>
          <w:rFonts w:hint="eastAsia" w:ascii="宋体" w:hAnsi="宋体" w:cs="宋体"/>
          <w:color w:val="auto"/>
          <w:sz w:val="24"/>
        </w:rPr>
      </w:pPr>
      <w:r>
        <w:rPr>
          <w:rFonts w:hint="eastAsia" w:ascii="宋体" w:hAnsi="宋体" w:cs="宋体"/>
          <w:color w:val="auto"/>
          <w:sz w:val="24"/>
        </w:rPr>
        <w:t>系统中采用的硬件设备及软件产品应支持国内外相关的工业标准及行业相关标准，以便能与不同厂家的开放型产品在同一系统中共存、兼容。在系统设计中，应选择具有可扩展性的系统结构产品，特别是通过模块化设计的设备和可升级的系统软件，使系统能灵活增减或更新各个子系统的功能来满足业务发展的需要，以保护用户的投资。对网络带宽、接口数量、数据库容量都作一定的预留，并且可以通过设备在线升级、扩容等方式实现系统的扩展。</w:t>
      </w:r>
    </w:p>
    <w:p>
      <w:pPr>
        <w:spacing w:line="400" w:lineRule="exact"/>
        <w:ind w:firstLine="482"/>
        <w:rPr>
          <w:rStyle w:val="129"/>
          <w:rFonts w:hint="eastAsia" w:cs="宋体"/>
          <w:color w:val="auto"/>
          <w:kern w:val="24"/>
        </w:rPr>
      </w:pPr>
      <w:r>
        <w:rPr>
          <w:rStyle w:val="129"/>
          <w:rFonts w:hint="eastAsia" w:cs="宋体"/>
          <w:color w:val="auto"/>
          <w:kern w:val="24"/>
        </w:rPr>
        <w:t>2.7兼容性原则</w:t>
      </w:r>
    </w:p>
    <w:p>
      <w:pPr>
        <w:spacing w:line="400" w:lineRule="exact"/>
        <w:ind w:firstLine="480"/>
        <w:rPr>
          <w:rFonts w:hint="eastAsia" w:ascii="宋体" w:hAnsi="宋体" w:cs="宋体"/>
          <w:color w:val="auto"/>
          <w:sz w:val="24"/>
        </w:rPr>
      </w:pPr>
      <w:r>
        <w:rPr>
          <w:rFonts w:hint="eastAsia" w:ascii="宋体" w:hAnsi="宋体" w:cs="宋体"/>
          <w:color w:val="auto"/>
          <w:sz w:val="24"/>
        </w:rPr>
        <w:t>系统应能兼容目前已建监控系统中的摄像机、视频编码器、监视墙等主要设备。系统也应能兼容大部分主流设备厂商的硬件产品。</w:t>
      </w:r>
    </w:p>
    <w:p>
      <w:pPr>
        <w:spacing w:line="400" w:lineRule="exact"/>
        <w:ind w:firstLine="482"/>
        <w:rPr>
          <w:rStyle w:val="129"/>
          <w:rFonts w:hint="eastAsia" w:cs="宋体"/>
          <w:color w:val="auto"/>
          <w:kern w:val="24"/>
        </w:rPr>
      </w:pPr>
      <w:r>
        <w:rPr>
          <w:rStyle w:val="129"/>
          <w:rFonts w:hint="eastAsia" w:cs="宋体"/>
          <w:color w:val="auto"/>
          <w:kern w:val="24"/>
        </w:rPr>
        <w:t>2.8经济性原则</w:t>
      </w:r>
    </w:p>
    <w:p>
      <w:pPr>
        <w:spacing w:line="400" w:lineRule="exact"/>
        <w:ind w:firstLine="480"/>
        <w:rPr>
          <w:rFonts w:hint="eastAsia" w:ascii="宋体" w:hAnsi="宋体" w:cs="宋体"/>
          <w:color w:val="auto"/>
          <w:sz w:val="24"/>
        </w:rPr>
      </w:pPr>
      <w:r>
        <w:rPr>
          <w:rFonts w:hint="eastAsia" w:ascii="宋体" w:hAnsi="宋体" w:cs="宋体"/>
          <w:color w:val="auto"/>
          <w:sz w:val="24"/>
        </w:rPr>
        <w:t>在满足以上各个原则的基础之上，同时应考虑系统建设的经济成本，力争提高系统的性价比。</w:t>
      </w:r>
    </w:p>
    <w:bookmarkEnd w:id="14"/>
    <w:bookmarkEnd w:id="15"/>
    <w:bookmarkEnd w:id="16"/>
    <w:bookmarkEnd w:id="17"/>
    <w:bookmarkEnd w:id="18"/>
    <w:bookmarkEnd w:id="19"/>
    <w:bookmarkEnd w:id="20"/>
    <w:bookmarkEnd w:id="21"/>
    <w:p>
      <w:pPr>
        <w:numPr>
          <w:ilvl w:val="0"/>
          <w:numId w:val="7"/>
        </w:numPr>
        <w:spacing w:before="240" w:beforeLines="100" w:line="400" w:lineRule="exact"/>
        <w:ind w:firstLine="562"/>
        <w:rPr>
          <w:rFonts w:hint="eastAsia" w:ascii="宋体" w:hAnsi="宋体" w:cs="宋体"/>
          <w:b/>
          <w:color w:val="auto"/>
          <w:sz w:val="28"/>
        </w:rPr>
      </w:pPr>
      <w:bookmarkStart w:id="31" w:name="_Toc8448"/>
      <w:r>
        <w:rPr>
          <w:rFonts w:hint="eastAsia" w:ascii="宋体" w:hAnsi="宋体" w:cs="宋体"/>
          <w:b/>
          <w:color w:val="auto"/>
          <w:sz w:val="28"/>
        </w:rPr>
        <w:t>系统技术需求</w:t>
      </w:r>
    </w:p>
    <w:p>
      <w:pPr>
        <w:pStyle w:val="21"/>
        <w:ind w:firstLine="0" w:firstLineChars="0"/>
        <w:rPr>
          <w:rFonts w:hint="eastAsia" w:ascii="宋体" w:hAnsi="宋体" w:cs="宋体"/>
          <w:color w:val="auto"/>
        </w:rPr>
      </w:pPr>
    </w:p>
    <w:p>
      <w:pPr>
        <w:pStyle w:val="5"/>
        <w:tabs>
          <w:tab w:val="left" w:pos="720"/>
        </w:tabs>
        <w:spacing w:before="0" w:after="0"/>
        <w:ind w:firstLine="0" w:firstLineChars="0"/>
        <w:jc w:val="left"/>
        <w:rPr>
          <w:rFonts w:hint="eastAsia" w:ascii="宋体" w:eastAsia="宋体" w:cs="宋体"/>
          <w:b/>
          <w:bCs/>
          <w:color w:val="auto"/>
          <w:sz w:val="24"/>
          <w:szCs w:val="24"/>
        </w:rPr>
      </w:pPr>
      <w:bookmarkStart w:id="32" w:name="_Toc14652"/>
      <w:r>
        <w:rPr>
          <w:rFonts w:hint="eastAsia" w:ascii="宋体" w:eastAsia="宋体" w:cs="宋体"/>
          <w:b/>
          <w:bCs/>
          <w:color w:val="auto"/>
          <w:sz w:val="24"/>
          <w:szCs w:val="24"/>
        </w:rPr>
        <w:t>（一）智能信号灯自动控制系统</w:t>
      </w:r>
      <w:bookmarkEnd w:id="32"/>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信号灯自动控制系统设计依据</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1.《道路交通信号控制机》(GB/25280-2016)</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2.《道路交通信号控制机安装规范》（GA/T489-2016）</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3.《道路交通信号倒计时显示器》（GA/T508－2014）</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4.《城市道路交通信号控制方式适用规范》（GA/T527.1-2015）</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5.《人行横道信号灯控制设置规范》(GA/T851—2009)</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6.《交通信号控制机与上位机间的数据通信协议》（GB/T20999-2007）</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7.《道路交通信号灯设置与安装规范》（GB/14886-20</w:t>
      </w:r>
      <w:r>
        <w:rPr>
          <w:rFonts w:hint="eastAsia" w:ascii="宋体" w:hAnsi="宋体" w:cs="宋体"/>
          <w:color w:val="auto"/>
          <w:sz w:val="24"/>
        </w:rPr>
        <w:t>16</w:t>
      </w:r>
      <w:r>
        <w:rPr>
          <w:rFonts w:hint="eastAsia" w:ascii="宋体" w:hAnsi="宋体" w:cs="宋体"/>
          <w:color w:val="auto"/>
          <w:sz w:val="24"/>
          <w:lang w:val="zh-CN"/>
        </w:rPr>
        <w:t>）</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8.上述技术标准规范如与国家、行业最新标准相抵触或未能罗列完全时，应以国家、行业最新标准为依据。</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信号机技术规格及要求</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针对海盐县实际交通需求现状，并考虑城市未来交通发展，实现信号灯路口＂单点优化、路网整体协调＂的控制效果</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投标人所选用的信号机通过网络上传至指挥中心平台，实现中心信号灯服务器对下位机的统一协调管理。</w:t>
      </w:r>
    </w:p>
    <w:p>
      <w:pPr>
        <w:pStyle w:val="7"/>
        <w:spacing w:before="0" w:after="0"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1.信号机电气结构要求</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1.1为保证系统的稳定性和可靠性，控制机必须采用32位嵌入式处理器和嵌入式实时操作系统。</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1.2信号机采用通用机架，系统电路板应采用插卡式安装，插槽采用欧标插卡式接口设计。</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1.3信号机采用模块化设计，方便对信号控制机进行日常维护和更新升级。</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1.4信号机具有多种形式的联网通讯接口，包括RS232、RS422串行通信接口、RJ45网络通信接口等。</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1.5信号机输出采用可控硅方式控制，保持长期、可靠运行，信号机整机电源: AC160V-250V50-60HZ整机功率(空载) &lt;60W。</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1.6信号机至少支持16组主相位输出，另加16组跟随相位，每路信号输出可以相互独立，每路信号都可以支持迟起、早闭，相位间灯组持续功能。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1.7每通道单独保险丝保护。</w:t>
      </w:r>
    </w:p>
    <w:p>
      <w:pPr>
        <w:pStyle w:val="7"/>
        <w:spacing w:before="0" w:after="0"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2.信号机一般功能要求</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2.1信号机必须具有时钟校准功能及数据采集工程</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交通信号控制机可以连接多种检测器，如视频检测器等交通流检测设备，信号机能够检测并采集所控制路口各个车道和方向机动车流量数据，并可以保存最近3天流量数据。</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交通信号控制机能够能驱动32路检测器，可设定为战略、感应检测器。信号机采集的交通数据包括:流量、速度、占有率数据，并根据各种交通控制需求，预处理成相应的交通数据格式。</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2.2故障检测功能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通过故障监测模块实现完备的故障检测和自诊断功能，具备对内、外设备完备的故障监测、自诊断和记录功能J自动检测信号灯、检测器及内部板卡的运行情况，发现故障后可给中央和现场终端发出故障警示信号。</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交通信号控制机将故障记录在本地Flash，并及时上传控制中心。</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交通信号控制机的故障监测包括信号机的工作状态、车辆检测器的状态、信号灯的状态，如有故障发生，通过秒级监控实时向中心系统或现场终端发送故障信息。</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当发生以下严重故障，交通信号机立即进入黄闪状态：</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绿冲突故障：当预先设定的冲突相位(不同时点亮绿灯的相位)在实际运行中发生同时点亮绿灯的情况时，会导致严重的撞车，信号机能够检测到这类故障，将马上报告系统，并立即转入黄闪控制。</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影响道路交通安全的其他严重故障:当四面信号灯的绿灯均发生故障时，路口的车辆将缺乏行车信号，在中国发生这种情况将导致路口车辆抢行，严重时就会发生交通事故。信号机可检测此故障，进入黄闪状态。</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当信号机无法正常工作时，应能通过独立的黄闪控制装置将信号输出切换为黄闪状态</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故障降级机制，系统运行安全可靠，系统在出现绿冲突、某信号组所有红灯均熄灭或信号灯组红灯、绿灯同时点亮时，信号机应能立即自动切断信号输出通道，转入黄闪或关灯状态(提供公安全权威机构检测报告证明)。</w:t>
      </w:r>
    </w:p>
    <w:p>
      <w:pPr>
        <w:pStyle w:val="7"/>
        <w:spacing w:before="0" w:after="0"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3.信号机的控制功能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系统取得中华人民共和国国家版权局颁发的交通信号干线协调控制系统软件《计算机软件著作权登记证书》。</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信号机从自动控制方式转入手动控制方式时，留有绿闪、黄灯、全红等安全事件:从手动控制方式转入自动控制方式时，信号状态未突变，留有绿闪、黄灯、全红等安全事件。</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3.1基本控制功能</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(1)信号机提供多种控制功能:包括单点多时段控制、单点感应控制，单点自适应，干线双向(和单向)绿波带协调控制，路段行人过街控制以及手动控制功能，支持路网自适应协调控制，具有信号控制自动降级功能，在控制方式转换、配时方案变化时，信号机能实现平滑过渡:</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(2)信号机至少提供4种日期类型，星期一和星期五，星期二、三、四、六、日以及节假日。</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3.2区域协调控制功能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系统的信号机能够接受中心控制计算机下传的控制指令以及协调优化参数实现多个相关路口交通信号的协调控制，实现多台信号机区域协调控制功能。</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3.3无电缆线控功能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交通信号控制机具有准确的时钟，在不接系统的情况下，可以在预设的干道上实现协调运行，实现滤波带控制。</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3.4单点优化感应控制功能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交通信号控制机作为系统的路口控制单元，其单点自适应控制功能是最强大的，信号机能根据检测的交通流信息，适时调整相应的交通参数:周期时长和绿信比，实现路口的最佳配时，保证交叉口的通行顺畅。</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3.5多时段控制功能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交通信号控制机能够根据交叉口的交通状况，将每天划分多个不同的时段，每个时段配置不同的控制方案。信号机能够根据内置时钟选择各个时段的控制方案，实现交叉口的合理控制，以减少不必要的绿灯损失。</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3.6手动控制功能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在某些特殊情况下，交警可以通过手动按钮或相应的遥控装置完成手动强制功能，交通信号控制机能能够响应来自管控中心操作系统终端或现场笔记本计算机的手动强制干预控制指令。</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交通信号控制机预留有遥控的接口，用户能手持遥控器对信号机进行远程遥控。</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3.7黄闪控制功能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交通信号控制机有软件黄闪和硬件黄闪两种配置，使得黄闪控制更为可靠和节能，进入黄闪控制的途径主要包括；</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硬件故障黄闪：当信号机的硬件发生故障时，可以进入硬件故障黄闪；</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时段黄闪：通过参数设定，在制定时段进入黄闪控制方式；</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手动黄闪：通过中心的控制终端或现场笔记本计算机，可以使信号机进入黄闪控制方式。</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3.8全红控制功能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交通信号控制机能够根据时间表调用信号机的全红控制方案，实现对交叉口的全红控制方案，实现对交叉口的全红控制功能。</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3.9关灯控制功能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交通信号控制机能够根据时间表调用信号机的关灯控制方案，实现对交叉口的全红控制方案，实现对交叉口的关灯控制功能。</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3.10行人过街按钮功能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交通信号控制机支持行人按钮信号输入，可在路口和路段响应来自行人按钮的行人过街请求，有自动跳步控制功能。</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3.11公交优先功能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系统具有多种科学合理、灵活使用的公交优先控制算法并能执行相应的优先控制，以满足一般公交优先、双向高频度公交优先或多方向公交优先的需求。通过在公交车辆安装特殊发射装置或在公交专用车道上设置普通车辆检测器采集公交车辆的交通需求，通过专门的公交优先算法，给公交车辆以适当的提前放行或绿灯时间延长。</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3.12紧急车辆优先控制功能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交通信号控制机能接收来自紧急车辆的请求通行信号，调整信号配时，让其优先通过。</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3.13快速路入口控制功能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交通信号控制机具有能够控制快速路的出入口，实现对出入口的合理控制，保证快速路的畅通。</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3.14可变标志控制功能</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交通信号控制机能够控制交叉口的可变标志。</w:t>
      </w:r>
    </w:p>
    <w:p>
      <w:pPr>
        <w:pStyle w:val="7"/>
        <w:spacing w:before="0" w:after="0"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4.信号机的通信功能</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4.1通信协议</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信号机符合NTCIP标准通讯协议，符合度&gt;95%；符合</w:t>
      </w:r>
      <w:r>
        <w:rPr>
          <w:rFonts w:hint="eastAsia" w:ascii="宋体" w:hAnsi="宋体" w:cs="宋体"/>
          <w:color w:val="auto"/>
        </w:rPr>
        <w:fldChar w:fldCharType="begin"/>
      </w:r>
      <w:r>
        <w:rPr>
          <w:rFonts w:hint="eastAsia" w:ascii="宋体" w:hAnsi="宋体" w:cs="宋体"/>
          <w:color w:val="auto"/>
        </w:rPr>
        <w:instrText xml:space="preserve"> HYPERLINK "https://www.baidu.com/link?url=vfowp8D49OheiptwfKY2Yvz8sN-L9gckyC_UqbRAIcnQrE-WiC2a0JRrnJS_I5oGPlEGuc5X8y_oa-hCItDRza&amp;wd=&amp;eqid=f175c6a100002e2f000000045907eeed" \t "_blank"</w:instrText>
      </w:r>
      <w:r>
        <w:rPr>
          <w:rFonts w:hint="eastAsia" w:ascii="宋体" w:hAnsi="宋体" w:cs="宋体"/>
          <w:color w:val="auto"/>
        </w:rPr>
        <w:fldChar w:fldCharType="separate"/>
      </w:r>
      <w:r>
        <w:rPr>
          <w:rFonts w:hint="eastAsia" w:ascii="宋体" w:hAnsi="宋体" w:cs="宋体"/>
          <w:color w:val="auto"/>
          <w:sz w:val="24"/>
          <w:lang w:val="zh-CN"/>
        </w:rPr>
        <w:t>GB/T20999-2007 《交通信号控制机与上位机间的数据通信协议》</w:t>
      </w:r>
      <w:r>
        <w:rPr>
          <w:rFonts w:hint="eastAsia" w:ascii="宋体" w:hAnsi="宋体" w:cs="宋体"/>
          <w:color w:val="auto"/>
          <w:sz w:val="24"/>
          <w:lang w:val="zh-CN"/>
        </w:rPr>
        <w:fldChar w:fldCharType="end"/>
      </w:r>
      <w:r>
        <w:rPr>
          <w:rFonts w:hint="eastAsia" w:ascii="宋体" w:hAnsi="宋体" w:cs="宋体"/>
          <w:color w:val="auto"/>
          <w:sz w:val="24"/>
          <w:lang w:val="zh-CN"/>
        </w:rPr>
        <w:t>，符合度100%。以及满足交通信号控制通信相关信息的要求和系统的扩展性、兼容性要求。</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4.2通信接口</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交通信号控制机具有多种形式的联网通讯接口。</w:t>
      </w:r>
    </w:p>
    <w:p>
      <w:pPr>
        <w:autoSpaceDE w:val="0"/>
        <w:autoSpaceDN w:val="0"/>
        <w:adjustRightInd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4.3通讯内容</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交通信号控制机上传的信息包含以下信息：</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检测器信息:包含视频检测器检测到的机动车辆检测信息，如车辆排队、流量、车速、占有率等信息。</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故障信息：包括信号机的工作状态、车辆检测器的状态、信号灯的状态，如有故障发生，实时向系统计算机发送故障信息及故障发生变化后的信息。故障信息内容包括:以代码或文本形式记录下来的故障类型、故障发生的时间与日期、故障清除的时间与日期。</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信号灯灯色信息：包括当前控制点信号灯的灯色状态和每一次的灯色变化的信息。</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交通信号机特征参数:包括信号周期、绿信比、相位、相位差、配时等主要参数。时间信息:交通信号机当前的时间信息，包括＂年、月、周、日、时、分、秒＂。</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工作模式信息:交通信号机当前控制模式。</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交通信号控制机接收系统下传的信息包含以下信息；</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时间信息，用于校准交通信号机时间，包括＂年、月、周、日、时、分、秒＂。</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状态查询信息:用于及时、改变更新交通信号机的信号周期绿信比、相位差、方案等主要工作信息。</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工作方式:用于设定、改变交通信号机的工作方式，如感应、定时、黄闪等工作方式。</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上端手动:用于调节设定信号灯的开启、转换及持续时间。</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其他人工指定命令:在某些特殊的交通条件下，需要对某些道路实现强制控制，这不属于预置的配时方案的范畴，需要控制中心根据具体情况发出各种人工指令。需求交通信号机能够及时、准确地接收并行控制中心发出的指令。</w:t>
      </w:r>
    </w:p>
    <w:p>
      <w:pPr>
        <w:pStyle w:val="7"/>
        <w:spacing w:before="0" w:after="0"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5.机柜结构</w:t>
      </w:r>
    </w:p>
    <w:p>
      <w:pPr>
        <w:autoSpaceDE w:val="0"/>
        <w:autoSpaceDN w:val="0"/>
        <w:adjustRightInd w:val="0"/>
        <w:spacing w:line="360" w:lineRule="auto"/>
        <w:ind w:firstLine="480"/>
        <w:rPr>
          <w:rFonts w:hint="eastAsia" w:ascii="宋体" w:hAnsi="宋体" w:cs="宋体"/>
          <w:color w:val="auto"/>
          <w:sz w:val="24"/>
        </w:rPr>
      </w:pPr>
      <w:r>
        <w:rPr>
          <w:rFonts w:hint="eastAsia" w:ascii="宋体" w:hAnsi="宋体" w:cs="宋体"/>
          <w:color w:val="auto"/>
          <w:sz w:val="24"/>
          <w:lang w:val="zh-CN"/>
        </w:rPr>
        <w:t>交通信号控制器机柜高度不低于1.4米，交通信号控制器机柜内部空间应至少留有一个19英寸，高3U的机架空间可用于安装其他设备(如交换机、光纤收发器等)，并有利于交通信号控制器的散热和安装、使用、维修，柜体粘或喷“公安交警”字样（警蓝色）。</w:t>
      </w:r>
    </w:p>
    <w:p>
      <w:pPr>
        <w:pStyle w:val="7"/>
        <w:spacing w:before="0" w:after="0"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6.其他相关说明</w:t>
      </w:r>
    </w:p>
    <w:p>
      <w:pPr>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信号机网络通讯异常时能自动进行防护，提供公安部交通安全产品质量监督检测中心出具的测试报告。</w:t>
      </w:r>
    </w:p>
    <w:p>
      <w:pPr>
        <w:pStyle w:val="21"/>
        <w:ind w:firstLine="210"/>
        <w:rPr>
          <w:rFonts w:hint="eastAsia" w:ascii="宋体" w:hAnsi="宋体" w:cs="宋体"/>
          <w:color w:val="auto"/>
          <w:lang w:val="zh-CN"/>
        </w:rPr>
      </w:pPr>
    </w:p>
    <w:p>
      <w:pPr>
        <w:pStyle w:val="5"/>
        <w:tabs>
          <w:tab w:val="left" w:pos="720"/>
        </w:tabs>
        <w:spacing w:before="0" w:after="0"/>
        <w:ind w:firstLine="0" w:firstLineChars="0"/>
        <w:jc w:val="left"/>
        <w:rPr>
          <w:rFonts w:hint="eastAsia" w:ascii="宋体" w:eastAsia="宋体" w:cs="宋体"/>
          <w:b/>
          <w:bCs/>
          <w:color w:val="auto"/>
          <w:sz w:val="24"/>
          <w:szCs w:val="24"/>
        </w:rPr>
      </w:pPr>
      <w:bookmarkStart w:id="33" w:name="_Toc30261"/>
      <w:r>
        <w:rPr>
          <w:rFonts w:hint="eastAsia" w:ascii="宋体" w:eastAsia="宋体" w:cs="宋体"/>
          <w:b/>
          <w:bCs/>
          <w:color w:val="auto"/>
          <w:sz w:val="24"/>
          <w:szCs w:val="24"/>
        </w:rPr>
        <w:t>（二）三合一高清电子警察抓拍系统技术要求</w:t>
      </w:r>
      <w:bookmarkEnd w:id="33"/>
    </w:p>
    <w:p>
      <w:pPr>
        <w:spacing w:line="360" w:lineRule="auto"/>
        <w:ind w:firstLine="480"/>
        <w:rPr>
          <w:rFonts w:hint="eastAsia" w:ascii="宋体" w:hAnsi="宋体" w:cs="宋体"/>
          <w:color w:val="auto"/>
          <w:sz w:val="24"/>
        </w:rPr>
      </w:pPr>
      <w:r>
        <w:rPr>
          <w:rFonts w:hint="eastAsia" w:ascii="宋体" w:hAnsi="宋体" w:cs="宋体"/>
          <w:color w:val="auto"/>
          <w:sz w:val="24"/>
        </w:rPr>
        <w:t>高清电子警察系统设计依据</w:t>
      </w:r>
    </w:p>
    <w:p>
      <w:pPr>
        <w:spacing w:line="360" w:lineRule="auto"/>
        <w:ind w:firstLine="480"/>
        <w:rPr>
          <w:rFonts w:hint="eastAsia" w:ascii="宋体" w:hAnsi="宋体" w:cs="宋体"/>
          <w:color w:val="auto"/>
          <w:sz w:val="24"/>
        </w:rPr>
      </w:pPr>
      <w:r>
        <w:rPr>
          <w:rFonts w:hint="eastAsia" w:ascii="宋体" w:hAnsi="宋体" w:cs="宋体"/>
          <w:color w:val="auto"/>
          <w:sz w:val="24"/>
        </w:rPr>
        <w:t>1.《中华人民共和国道路交通安全法》</w:t>
      </w:r>
    </w:p>
    <w:p>
      <w:pPr>
        <w:spacing w:line="360" w:lineRule="auto"/>
        <w:ind w:firstLine="480"/>
        <w:rPr>
          <w:rFonts w:hint="eastAsia" w:ascii="宋体" w:hAnsi="宋体" w:cs="宋体"/>
          <w:color w:val="auto"/>
          <w:sz w:val="24"/>
        </w:rPr>
      </w:pPr>
      <w:r>
        <w:rPr>
          <w:rFonts w:hint="eastAsia" w:ascii="宋体" w:hAnsi="宋体" w:cs="宋体"/>
          <w:color w:val="auto"/>
          <w:sz w:val="24"/>
        </w:rPr>
        <w:t>2.GA/T496-2014《闯红灯自动记录系统通用技术条件》</w:t>
      </w:r>
    </w:p>
    <w:p>
      <w:pPr>
        <w:spacing w:line="360" w:lineRule="auto"/>
        <w:ind w:firstLine="480"/>
        <w:rPr>
          <w:rFonts w:hint="eastAsia" w:ascii="宋体" w:hAnsi="宋体" w:cs="宋体"/>
          <w:color w:val="auto"/>
          <w:sz w:val="24"/>
        </w:rPr>
      </w:pPr>
      <w:r>
        <w:rPr>
          <w:rFonts w:hint="eastAsia" w:ascii="宋体" w:hAnsi="宋体" w:cs="宋体"/>
          <w:color w:val="auto"/>
          <w:sz w:val="24"/>
        </w:rPr>
        <w:t>3.GA/T497-2016《公路车辆智能监测记录系统通用技术条件》</w:t>
      </w:r>
    </w:p>
    <w:p>
      <w:pPr>
        <w:spacing w:line="360" w:lineRule="auto"/>
        <w:ind w:firstLine="480"/>
        <w:rPr>
          <w:rFonts w:hint="eastAsia" w:ascii="宋体" w:hAnsi="宋体" w:cs="宋体"/>
          <w:color w:val="auto"/>
          <w:sz w:val="24"/>
        </w:rPr>
      </w:pPr>
      <w:r>
        <w:rPr>
          <w:rFonts w:hint="eastAsia" w:ascii="宋体" w:hAnsi="宋体" w:cs="宋体"/>
          <w:color w:val="auto"/>
          <w:sz w:val="24"/>
        </w:rPr>
        <w:t>4.GA/T832-2014《道路交通安全违法行为图像取证技术规范》</w:t>
      </w:r>
    </w:p>
    <w:p>
      <w:pPr>
        <w:spacing w:line="360" w:lineRule="auto"/>
        <w:ind w:firstLine="480"/>
        <w:rPr>
          <w:rFonts w:hint="eastAsia" w:ascii="宋体" w:hAnsi="宋体" w:cs="宋体"/>
          <w:color w:val="auto"/>
          <w:sz w:val="24"/>
        </w:rPr>
      </w:pPr>
      <w:r>
        <w:rPr>
          <w:rFonts w:hint="eastAsia" w:ascii="宋体" w:hAnsi="宋体" w:cs="宋体"/>
          <w:color w:val="auto"/>
          <w:sz w:val="24"/>
        </w:rPr>
        <w:t>5.GA/T870-2010《闯红灯自动记录系统验收技术规范》</w:t>
      </w:r>
    </w:p>
    <w:p>
      <w:pPr>
        <w:spacing w:line="360" w:lineRule="auto"/>
        <w:ind w:firstLine="480"/>
        <w:rPr>
          <w:rFonts w:hint="eastAsia" w:ascii="宋体" w:hAnsi="宋体" w:cs="宋体"/>
          <w:color w:val="auto"/>
          <w:sz w:val="24"/>
        </w:rPr>
      </w:pPr>
      <w:r>
        <w:rPr>
          <w:rFonts w:hint="eastAsia" w:ascii="宋体" w:hAnsi="宋体" w:cs="宋体"/>
          <w:color w:val="auto"/>
          <w:sz w:val="24"/>
        </w:rPr>
        <w:t>6.GA/T833-2016《机动车号牌图像自动识别技术规范》</w:t>
      </w:r>
    </w:p>
    <w:p>
      <w:pPr>
        <w:spacing w:line="360" w:lineRule="auto"/>
        <w:ind w:firstLine="480"/>
        <w:rPr>
          <w:rFonts w:hint="eastAsia" w:ascii="宋体" w:hAnsi="宋体" w:cs="宋体"/>
          <w:color w:val="auto"/>
          <w:sz w:val="24"/>
        </w:rPr>
      </w:pPr>
      <w:r>
        <w:rPr>
          <w:rFonts w:hint="eastAsia" w:ascii="宋体" w:hAnsi="宋体" w:cs="宋体"/>
          <w:color w:val="auto"/>
          <w:sz w:val="24"/>
        </w:rPr>
        <w:t>7.GB 50254～50259-96《电气装置安装工程施工及验收规范》</w:t>
      </w:r>
    </w:p>
    <w:p>
      <w:pPr>
        <w:spacing w:line="360" w:lineRule="auto"/>
        <w:ind w:firstLine="480"/>
        <w:rPr>
          <w:rFonts w:hint="eastAsia" w:ascii="宋体" w:hAnsi="宋体" w:cs="宋体"/>
          <w:color w:val="auto"/>
          <w:sz w:val="24"/>
        </w:rPr>
      </w:pPr>
      <w:r>
        <w:rPr>
          <w:rFonts w:hint="eastAsia" w:ascii="宋体" w:hAnsi="宋体" w:cs="宋体"/>
          <w:color w:val="auto"/>
          <w:sz w:val="24"/>
        </w:rPr>
        <w:t>8.JTG F90-2015《公路工程施工安全技术规范》</w:t>
      </w:r>
    </w:p>
    <w:p>
      <w:pPr>
        <w:spacing w:line="360" w:lineRule="auto"/>
        <w:ind w:firstLine="480"/>
        <w:rPr>
          <w:rFonts w:hint="eastAsia" w:ascii="宋体" w:hAnsi="宋体" w:cs="宋体"/>
          <w:color w:val="auto"/>
          <w:sz w:val="24"/>
        </w:rPr>
      </w:pPr>
      <w:r>
        <w:rPr>
          <w:rFonts w:hint="eastAsia" w:ascii="宋体" w:hAnsi="宋体" w:cs="宋体"/>
          <w:color w:val="auto"/>
          <w:sz w:val="24"/>
        </w:rPr>
        <w:t>9.GB50057-2016《建筑物防雷设计规范》</w:t>
      </w:r>
    </w:p>
    <w:p>
      <w:pPr>
        <w:spacing w:line="360" w:lineRule="auto"/>
        <w:ind w:firstLine="480"/>
        <w:rPr>
          <w:rFonts w:hint="eastAsia" w:ascii="宋体" w:hAnsi="宋体" w:cs="宋体"/>
          <w:color w:val="auto"/>
          <w:sz w:val="24"/>
        </w:rPr>
      </w:pPr>
      <w:r>
        <w:rPr>
          <w:rFonts w:hint="eastAsia" w:ascii="宋体" w:hAnsi="宋体" w:cs="宋体"/>
          <w:color w:val="auto"/>
          <w:sz w:val="24"/>
        </w:rPr>
        <w:t>10.上述技术标准规范如与国家、行业最新标准相抵触或未能罗列完全时，应以国家、行业最新标准为依据。</w:t>
      </w:r>
    </w:p>
    <w:p>
      <w:pPr>
        <w:pStyle w:val="7"/>
        <w:spacing w:before="240" w:after="0" w:line="360" w:lineRule="auto"/>
        <w:jc w:val="left"/>
        <w:rPr>
          <w:rFonts w:hint="eastAsia" w:ascii="宋体" w:hAnsi="宋体" w:cs="宋体"/>
          <w:color w:val="auto"/>
          <w:sz w:val="24"/>
          <w:szCs w:val="24"/>
        </w:rPr>
      </w:pPr>
      <w:r>
        <w:rPr>
          <w:rFonts w:hint="eastAsia" w:ascii="宋体" w:hAnsi="宋体" w:cs="宋体"/>
          <w:color w:val="auto"/>
          <w:sz w:val="24"/>
          <w:szCs w:val="24"/>
        </w:rPr>
        <w:t xml:space="preserve">    1.系统描述</w:t>
      </w:r>
    </w:p>
    <w:p>
      <w:pPr>
        <w:spacing w:line="360" w:lineRule="auto"/>
        <w:ind w:firstLine="480"/>
        <w:rPr>
          <w:rFonts w:hint="eastAsia" w:ascii="宋体" w:hAnsi="宋体" w:cs="宋体"/>
          <w:color w:val="auto"/>
          <w:sz w:val="24"/>
        </w:rPr>
      </w:pPr>
      <w:r>
        <w:rPr>
          <w:rFonts w:hint="eastAsia" w:ascii="宋体" w:hAnsi="宋体" w:cs="宋体"/>
          <w:color w:val="auto"/>
          <w:sz w:val="24"/>
        </w:rPr>
        <w:t>依据GA/T 496-2014《闯红灯自动记录系统通用技术条件》规范规定，本工程采用高清拍照摄像一体机视频检测方式，实现对机动车闯红灯行为进行违法记录，记录机动车闯红灯过程中两至三个位置的信息，以反映机动车闯红灯交通违法过程。第一个位置的信息应能清晰辨别闯红灯时间、车辆类型、红灯信号和机动车压在或越过停止线的情况；第二和第三个位置的信息应能清晰辨别闯红灯时间、车辆类型、红灯信号和整个机动车车身已经越过停止线并且在相应红灯相位继续行驶的情况；并且至少有一个位置的信息能够清晰辨别号牌号码。同时要求三张违法照片组合成一张违法证据照片，添加相应的水印信息，上传至交警指挥中心系统集成平台违法数据库。</w:t>
      </w:r>
    </w:p>
    <w:p>
      <w:pPr>
        <w:spacing w:line="360" w:lineRule="auto"/>
        <w:ind w:firstLine="480"/>
        <w:rPr>
          <w:rFonts w:hint="eastAsia" w:ascii="宋体" w:hAnsi="宋体" w:cs="宋体"/>
          <w:color w:val="auto"/>
          <w:sz w:val="24"/>
        </w:rPr>
      </w:pPr>
      <w:r>
        <w:rPr>
          <w:rFonts w:hint="eastAsia" w:ascii="宋体" w:hAnsi="宋体" w:cs="宋体"/>
          <w:color w:val="auto"/>
          <w:sz w:val="24"/>
        </w:rPr>
        <w:t>在绿灯期间，系统自动记录一张通过车辆的高清特写信息，并对车牌进行实时识别。系统自动将记录的数据信息上传至交警指挥中心平台。</w:t>
      </w:r>
    </w:p>
    <w:p>
      <w:pPr>
        <w:spacing w:line="360" w:lineRule="auto"/>
        <w:ind w:firstLine="480"/>
        <w:rPr>
          <w:rFonts w:hint="eastAsia" w:ascii="宋体" w:hAnsi="宋体" w:cs="宋体"/>
          <w:color w:val="auto"/>
          <w:sz w:val="24"/>
        </w:rPr>
      </w:pPr>
      <w:r>
        <w:rPr>
          <w:rFonts w:hint="eastAsia" w:ascii="宋体" w:hAnsi="宋体" w:cs="宋体"/>
          <w:color w:val="auto"/>
          <w:sz w:val="24"/>
        </w:rPr>
        <w:t>高清三合一闯红灯自动抓拍系统前端主要由图像采集单元、数据处理单元、网络通讯单元、室外机柜及相关辅助设备单元组成。系统可完成违法事件检测，如闯红灯、实线变道、不按规定车道行驶、逆行等的检测并抓拍三张图片和一张特写图片合并为一张图片作为违法依据。且有自动识别车辆号牌号码、号牌颜色、车牌类型等，并对违法过程录像，还具有绿灯卡口功能、交通流量统计功能。</w:t>
      </w:r>
    </w:p>
    <w:p>
      <w:pPr>
        <w:pStyle w:val="7"/>
        <w:spacing w:before="240" w:after="0" w:line="360" w:lineRule="auto"/>
        <w:jc w:val="left"/>
        <w:rPr>
          <w:rFonts w:hint="eastAsia" w:ascii="宋体" w:hAnsi="宋体" w:cs="宋体"/>
          <w:color w:val="auto"/>
          <w:sz w:val="24"/>
          <w:szCs w:val="24"/>
        </w:rPr>
      </w:pPr>
      <w:r>
        <w:rPr>
          <w:rFonts w:hint="eastAsia" w:ascii="宋体" w:hAnsi="宋体" w:cs="宋体"/>
          <w:color w:val="auto"/>
          <w:sz w:val="24"/>
          <w:szCs w:val="24"/>
        </w:rPr>
        <w:t xml:space="preserve">    2.系统主要功能</w:t>
      </w:r>
    </w:p>
    <w:p>
      <w:pPr>
        <w:spacing w:line="360" w:lineRule="auto"/>
        <w:ind w:firstLine="480"/>
        <w:rPr>
          <w:rFonts w:hint="eastAsia" w:ascii="宋体" w:hAnsi="宋体" w:cs="宋体"/>
          <w:color w:val="auto"/>
          <w:sz w:val="24"/>
        </w:rPr>
      </w:pPr>
      <w:r>
        <w:rPr>
          <w:rFonts w:hint="eastAsia" w:ascii="宋体" w:hAnsi="宋体" w:cs="宋体"/>
          <w:color w:val="auto"/>
          <w:sz w:val="24"/>
        </w:rPr>
        <w:t>高清三合一闯红灯抓拍系统具备闯红灯违法检测及抓拍功能、违法事件检测及抓拍功能、绿灯时卡口功能、交通流量检测功能、车牌识别功能、图片拼接及信息叠加功能、图片防篡改功能、录像功能、数据管理功能、历史数据查询和管理功能、故障检测功能、校时功能、通讯功能。</w:t>
      </w:r>
    </w:p>
    <w:p>
      <w:pPr>
        <w:spacing w:line="360" w:lineRule="auto"/>
        <w:ind w:firstLine="480"/>
        <w:rPr>
          <w:rFonts w:hint="eastAsia" w:ascii="宋体" w:hAnsi="宋体" w:cs="宋体"/>
          <w:color w:val="auto"/>
          <w:sz w:val="24"/>
        </w:rPr>
      </w:pPr>
      <w:r>
        <w:rPr>
          <w:rFonts w:hint="eastAsia" w:ascii="宋体" w:hAnsi="宋体" w:cs="宋体"/>
          <w:color w:val="auto"/>
          <w:sz w:val="24"/>
        </w:rPr>
        <w:t>2.1 闯红灯违法检测及抓拍功能：具有闯红灯判断（闯红灯）或车辆判断（卡口），并抓拍的功能，闯红灯（红灯信号下）抓拍三张全景图片，分别为停止线前，越过停止线，以反映机动车闯红灯违法过程。</w:t>
      </w:r>
    </w:p>
    <w:p>
      <w:pPr>
        <w:spacing w:line="360" w:lineRule="auto"/>
        <w:ind w:firstLine="480"/>
        <w:rPr>
          <w:rFonts w:hint="eastAsia" w:ascii="宋体" w:hAnsi="宋体" w:cs="宋体"/>
          <w:color w:val="auto"/>
          <w:sz w:val="24"/>
        </w:rPr>
      </w:pPr>
      <w:r>
        <w:rPr>
          <w:rFonts w:hint="eastAsia" w:ascii="宋体" w:hAnsi="宋体" w:cs="宋体"/>
          <w:color w:val="auto"/>
          <w:sz w:val="24"/>
        </w:rPr>
        <w:t>所拍相片可清晰辨认违法车辆的车牌号码、车牌颜色、车型、违法地点与方向信息、停车线、信号灯色、闯红灯时间（年、月、日、时、分、秒）。所拍摄的闯红灯图像，其图像中的信号灯红色突出、明显、无法律异议。</w:t>
      </w:r>
    </w:p>
    <w:p>
      <w:pPr>
        <w:spacing w:line="360" w:lineRule="auto"/>
        <w:ind w:firstLine="480"/>
        <w:rPr>
          <w:rFonts w:hint="eastAsia" w:ascii="宋体" w:hAnsi="宋体" w:cs="宋体"/>
          <w:color w:val="auto"/>
          <w:sz w:val="24"/>
        </w:rPr>
      </w:pPr>
      <w:r>
        <w:rPr>
          <w:rFonts w:hint="eastAsia" w:ascii="宋体" w:hAnsi="宋体" w:cs="宋体"/>
          <w:color w:val="auto"/>
          <w:sz w:val="24"/>
        </w:rPr>
        <w:t>2.2 其它违法行为检测功能：可以完成违法越线、不按车道行驶、实线变道、逆行等违法事件的检测，以及三张过程图片的抓拍，信息的记录。</w:t>
      </w:r>
    </w:p>
    <w:p>
      <w:pPr>
        <w:spacing w:line="360" w:lineRule="auto"/>
        <w:ind w:firstLine="480"/>
        <w:rPr>
          <w:rFonts w:hint="eastAsia" w:ascii="宋体" w:hAnsi="宋体" w:cs="宋体"/>
          <w:color w:val="auto"/>
          <w:sz w:val="24"/>
        </w:rPr>
      </w:pPr>
      <w:r>
        <w:rPr>
          <w:rFonts w:hint="eastAsia" w:ascii="宋体" w:hAnsi="宋体" w:cs="宋体"/>
          <w:color w:val="auto"/>
          <w:sz w:val="24"/>
        </w:rPr>
        <w:t>2.3 绿灯时卡口功能：可以捕获绿灯时经过的车辆，并抓拍一张图片。</w:t>
      </w:r>
    </w:p>
    <w:p>
      <w:pPr>
        <w:spacing w:line="360" w:lineRule="auto"/>
        <w:ind w:firstLine="480"/>
        <w:rPr>
          <w:rFonts w:hint="eastAsia" w:ascii="宋体" w:hAnsi="宋体" w:cs="宋体"/>
          <w:color w:val="auto"/>
          <w:sz w:val="24"/>
        </w:rPr>
      </w:pPr>
      <w:r>
        <w:rPr>
          <w:rFonts w:hint="eastAsia" w:ascii="宋体" w:hAnsi="宋体" w:cs="宋体"/>
          <w:color w:val="auto"/>
          <w:sz w:val="24"/>
        </w:rPr>
        <w:t>2.4 交通流量检测功能：可完成计数、测速、车道占有率等功能。</w:t>
      </w:r>
    </w:p>
    <w:p>
      <w:pPr>
        <w:spacing w:line="360" w:lineRule="auto"/>
        <w:ind w:firstLine="480"/>
        <w:rPr>
          <w:rFonts w:hint="eastAsia" w:ascii="宋体" w:hAnsi="宋体" w:cs="宋体"/>
          <w:color w:val="auto"/>
          <w:sz w:val="24"/>
        </w:rPr>
      </w:pPr>
      <w:r>
        <w:rPr>
          <w:rFonts w:hint="eastAsia" w:ascii="宋体" w:hAnsi="宋体" w:cs="宋体"/>
          <w:color w:val="auto"/>
          <w:sz w:val="24"/>
        </w:rPr>
        <w:t>2.5 车牌识别功能：</w:t>
      </w:r>
      <w:bookmarkStart w:id="34" w:name="_Toc230146429"/>
      <w:r>
        <w:rPr>
          <w:rFonts w:hint="eastAsia" w:ascii="宋体" w:hAnsi="宋体" w:cs="宋体"/>
          <w:color w:val="auto"/>
          <w:sz w:val="24"/>
        </w:rPr>
        <w:t>具备车辆号牌自动识别功能，其用于号牌识别的字符库应齐全，即应能识别在我国道路上行驶等机动车牌号，至少包括GA36规定的号牌（除摩托车号牌、低速车号牌、临时号牌、拖拉机号牌外）、武警汽车号牌和军队汽车号牌等。</w:t>
      </w:r>
    </w:p>
    <w:p>
      <w:pPr>
        <w:spacing w:line="360" w:lineRule="auto"/>
        <w:ind w:firstLine="480"/>
        <w:rPr>
          <w:rFonts w:hint="eastAsia" w:ascii="宋体" w:hAnsi="宋体" w:cs="宋体"/>
          <w:color w:val="auto"/>
          <w:sz w:val="24"/>
        </w:rPr>
      </w:pPr>
      <w:r>
        <w:rPr>
          <w:rFonts w:hint="eastAsia" w:ascii="宋体" w:hAnsi="宋体" w:cs="宋体"/>
          <w:color w:val="auto"/>
          <w:sz w:val="24"/>
        </w:rPr>
        <w:t>具备对高清图片中包含两个或以上车道中的多辆车进行车牌自动定位并识别功能。并利用基于视频流的识别技术提高识别率。</w:t>
      </w:r>
    </w:p>
    <w:bookmarkEnd w:id="34"/>
    <w:p>
      <w:pPr>
        <w:spacing w:line="360" w:lineRule="auto"/>
        <w:ind w:firstLine="480"/>
        <w:rPr>
          <w:rFonts w:hint="eastAsia" w:ascii="宋体" w:hAnsi="宋体" w:cs="宋体"/>
          <w:color w:val="auto"/>
          <w:sz w:val="24"/>
        </w:rPr>
      </w:pPr>
      <w:r>
        <w:rPr>
          <w:rFonts w:hint="eastAsia" w:ascii="宋体" w:hAnsi="宋体" w:cs="宋体"/>
          <w:color w:val="auto"/>
          <w:sz w:val="24"/>
        </w:rPr>
        <w:t>2.6 信息叠加功能：将抓拍信息、事件检测信息、交通流量信息、车牌识别结果等信息叠加到对应的抓拍图片中；在闯红灯中还要将四张图片整合到一起。合成的图片清晰度应能满足人工对车辆号牌号码认定的要求，且不应出现因红灯信号泛白、光晕等颜色失真而影响人工对红灯信号的判断。</w:t>
      </w:r>
    </w:p>
    <w:p>
      <w:pPr>
        <w:spacing w:line="360" w:lineRule="auto"/>
        <w:ind w:firstLine="480"/>
        <w:rPr>
          <w:rFonts w:hint="eastAsia" w:ascii="宋体" w:hAnsi="宋体" w:cs="宋体"/>
          <w:color w:val="auto"/>
          <w:sz w:val="24"/>
        </w:rPr>
      </w:pPr>
      <w:r>
        <w:rPr>
          <w:rFonts w:hint="eastAsia" w:ascii="宋体" w:hAnsi="宋体" w:cs="宋体"/>
          <w:color w:val="auto"/>
          <w:sz w:val="24"/>
        </w:rPr>
        <w:t>2.7 防篡改功能：将信息叠加后的图片进行防篡改处理。</w:t>
      </w:r>
    </w:p>
    <w:p>
      <w:pPr>
        <w:spacing w:line="360" w:lineRule="auto"/>
        <w:ind w:firstLine="480"/>
        <w:rPr>
          <w:rFonts w:hint="eastAsia" w:ascii="宋体" w:hAnsi="宋体" w:cs="宋体"/>
          <w:color w:val="auto"/>
          <w:sz w:val="24"/>
        </w:rPr>
      </w:pPr>
      <w:r>
        <w:rPr>
          <w:rFonts w:hint="eastAsia" w:ascii="宋体" w:hAnsi="宋体" w:cs="宋体"/>
          <w:color w:val="auto"/>
          <w:sz w:val="24"/>
        </w:rPr>
        <w:t>2.8 图片压缩功能：将防篡改处理后的图片以JPEG格式压缩。</w:t>
      </w:r>
    </w:p>
    <w:p>
      <w:pPr>
        <w:spacing w:line="360" w:lineRule="auto"/>
        <w:ind w:firstLine="480"/>
        <w:rPr>
          <w:rFonts w:hint="eastAsia" w:ascii="宋体" w:hAnsi="宋体" w:cs="宋体"/>
          <w:color w:val="auto"/>
          <w:sz w:val="24"/>
        </w:rPr>
      </w:pPr>
      <w:r>
        <w:rPr>
          <w:rFonts w:hint="eastAsia" w:ascii="宋体" w:hAnsi="宋体" w:cs="宋体"/>
          <w:color w:val="auto"/>
          <w:sz w:val="24"/>
        </w:rPr>
        <w:t>2.9 录像功能：具有违法录像和实时录像功能，对违法过程进行5秒钟录像，记录违法过程，并可记录至少每秒25帧的高清实时录像。</w:t>
      </w:r>
    </w:p>
    <w:p>
      <w:pPr>
        <w:spacing w:line="360" w:lineRule="auto"/>
        <w:ind w:firstLine="480"/>
        <w:rPr>
          <w:rFonts w:hint="eastAsia" w:ascii="宋体" w:hAnsi="宋体" w:cs="宋体"/>
          <w:color w:val="auto"/>
          <w:sz w:val="24"/>
        </w:rPr>
      </w:pPr>
      <w:r>
        <w:rPr>
          <w:rFonts w:hint="eastAsia" w:ascii="宋体" w:hAnsi="宋体" w:cs="宋体"/>
          <w:color w:val="auto"/>
          <w:sz w:val="24"/>
        </w:rPr>
        <w:t>2.10 记录及图像存储功能</w:t>
      </w:r>
    </w:p>
    <w:p>
      <w:pPr>
        <w:spacing w:line="360" w:lineRule="auto"/>
        <w:ind w:firstLine="480"/>
        <w:rPr>
          <w:rFonts w:hint="eastAsia" w:ascii="宋体" w:hAnsi="宋体" w:cs="宋体"/>
          <w:color w:val="auto"/>
          <w:sz w:val="24"/>
        </w:rPr>
      </w:pPr>
      <w:r>
        <w:rPr>
          <w:rFonts w:hint="eastAsia" w:ascii="宋体" w:hAnsi="宋体" w:cs="宋体"/>
          <w:color w:val="auto"/>
          <w:sz w:val="24"/>
        </w:rPr>
        <w:t>系统自动抓拍车辆图像，并记录车辆通过的信息，包括时间、地点、号牌、车型等，图片以JPEG格式,动态图像以MPEG-4格式实时存储在抓拍控制器中。</w:t>
      </w:r>
    </w:p>
    <w:p>
      <w:pPr>
        <w:spacing w:line="360" w:lineRule="auto"/>
        <w:ind w:firstLine="480"/>
        <w:rPr>
          <w:rFonts w:hint="eastAsia" w:ascii="宋体" w:hAnsi="宋体" w:cs="宋体"/>
          <w:color w:val="auto"/>
          <w:sz w:val="24"/>
        </w:rPr>
      </w:pPr>
      <w:r>
        <w:rPr>
          <w:rFonts w:hint="eastAsia" w:ascii="宋体" w:hAnsi="宋体" w:cs="宋体"/>
          <w:color w:val="auto"/>
          <w:sz w:val="24"/>
        </w:rPr>
        <w:t>2.11 数据管理功能：具有数据管理功能，能够存储记录在本地存储器，并可以把记录通过网络上传给中心，也可支持记录本地下载。</w:t>
      </w:r>
    </w:p>
    <w:p>
      <w:pPr>
        <w:spacing w:line="360" w:lineRule="auto"/>
        <w:ind w:firstLine="480"/>
        <w:rPr>
          <w:rFonts w:hint="eastAsia" w:ascii="宋体" w:hAnsi="宋体" w:cs="宋体"/>
          <w:color w:val="auto"/>
          <w:sz w:val="24"/>
        </w:rPr>
      </w:pPr>
      <w:r>
        <w:rPr>
          <w:rFonts w:hint="eastAsia" w:ascii="宋体" w:hAnsi="宋体" w:cs="宋体"/>
          <w:color w:val="auto"/>
          <w:sz w:val="24"/>
        </w:rPr>
        <w:t>2.12 历史数据查询和管理功能：可通过配置工具软件实现对历史数据的查询和相应管理功能。</w:t>
      </w:r>
    </w:p>
    <w:p>
      <w:pPr>
        <w:spacing w:line="360" w:lineRule="auto"/>
        <w:ind w:firstLine="480"/>
        <w:rPr>
          <w:rFonts w:hint="eastAsia" w:ascii="宋体" w:hAnsi="宋体" w:cs="宋体"/>
          <w:color w:val="auto"/>
          <w:sz w:val="24"/>
        </w:rPr>
      </w:pPr>
      <w:r>
        <w:rPr>
          <w:rFonts w:hint="eastAsia" w:ascii="宋体" w:hAnsi="宋体" w:cs="宋体"/>
          <w:color w:val="auto"/>
          <w:sz w:val="24"/>
        </w:rPr>
        <w:t>2.13 故障检测及自动重启功能：具备设备故障的检测，可通过通讯接口实时上传故障信息。故障检测包括：图像的对比度、时钟同步、通讯网络故障、日志的更改或清除、视频信号的丢失或损坏、错误的视频格式等。</w:t>
      </w:r>
    </w:p>
    <w:p>
      <w:pPr>
        <w:spacing w:line="360" w:lineRule="auto"/>
        <w:ind w:firstLine="480"/>
        <w:rPr>
          <w:rFonts w:hint="eastAsia" w:ascii="宋体" w:hAnsi="宋体" w:cs="宋体"/>
          <w:color w:val="auto"/>
          <w:sz w:val="24"/>
        </w:rPr>
      </w:pPr>
      <w:r>
        <w:rPr>
          <w:rFonts w:hint="eastAsia" w:ascii="宋体" w:hAnsi="宋体" w:cs="宋体"/>
          <w:color w:val="auto"/>
          <w:sz w:val="24"/>
        </w:rPr>
        <w:t>可定期检测系统各模块运行情况，采用看门狗，死机时具有自动复位功能，同时具有定时重启功能，定时重启间隔时间可自行设定。</w:t>
      </w:r>
    </w:p>
    <w:p>
      <w:pPr>
        <w:spacing w:line="360" w:lineRule="auto"/>
        <w:ind w:firstLine="480"/>
        <w:rPr>
          <w:rFonts w:hint="eastAsia" w:ascii="宋体" w:hAnsi="宋体" w:cs="宋体"/>
          <w:color w:val="auto"/>
          <w:sz w:val="24"/>
        </w:rPr>
      </w:pPr>
      <w:r>
        <w:rPr>
          <w:rFonts w:hint="eastAsia" w:ascii="宋体" w:hAnsi="宋体" w:cs="宋体"/>
          <w:color w:val="auto"/>
          <w:sz w:val="24"/>
        </w:rPr>
        <w:t>2.14 校正时钟功能：具有自动校正时钟功能，利用NTP时钟服务器，采用NTP协议实现了自动对时功能，并相应设置RTC时钟，设置系统时间，与大队时钟服务器相对照，误差≤0.5秒。</w:t>
      </w:r>
    </w:p>
    <w:p>
      <w:pPr>
        <w:spacing w:line="360" w:lineRule="auto"/>
        <w:ind w:firstLine="480"/>
        <w:rPr>
          <w:rFonts w:hint="eastAsia" w:ascii="宋体" w:hAnsi="宋体" w:cs="宋体"/>
          <w:color w:val="auto"/>
          <w:sz w:val="24"/>
        </w:rPr>
      </w:pPr>
      <w:r>
        <w:rPr>
          <w:rFonts w:hint="eastAsia" w:ascii="宋体" w:hAnsi="宋体" w:cs="宋体"/>
          <w:color w:val="auto"/>
          <w:sz w:val="24"/>
        </w:rPr>
        <w:t>2.15 通讯功能：具有本地存储，断点续传功能，本地下载功能。正常情况下，能实时把违法信息及图片，或卡口信息及图片传至控制中心。当遇到网络故障导致传输失败，具备断点续传功能，即网络故障时，可存储在电子警察处理器的硬盘或U盘中，可用手动下载方式提取照片，待网络恢复后继续传至中心。</w:t>
      </w:r>
    </w:p>
    <w:p>
      <w:pPr>
        <w:spacing w:line="360" w:lineRule="auto"/>
        <w:ind w:firstLine="480"/>
        <w:rPr>
          <w:rFonts w:hint="eastAsia" w:ascii="宋体" w:hAnsi="宋体" w:cs="宋体"/>
          <w:color w:val="auto"/>
          <w:sz w:val="24"/>
        </w:rPr>
      </w:pPr>
      <w:r>
        <w:rPr>
          <w:rFonts w:hint="eastAsia" w:ascii="宋体" w:hAnsi="宋体" w:cs="宋体"/>
          <w:color w:val="auto"/>
          <w:sz w:val="24"/>
        </w:rPr>
        <w:t>2.16 自动检测环境照度，自动打开或关闭环境照明。</w:t>
      </w:r>
    </w:p>
    <w:p>
      <w:pPr>
        <w:pStyle w:val="7"/>
        <w:spacing w:before="240" w:after="0" w:line="360" w:lineRule="auto"/>
        <w:jc w:val="left"/>
        <w:rPr>
          <w:rFonts w:hint="eastAsia" w:ascii="宋体" w:hAnsi="宋体" w:cs="宋体"/>
          <w:color w:val="auto"/>
          <w:sz w:val="24"/>
          <w:szCs w:val="24"/>
        </w:rPr>
      </w:pPr>
      <w:r>
        <w:rPr>
          <w:rFonts w:hint="eastAsia" w:ascii="宋体" w:hAnsi="宋体" w:cs="宋体"/>
          <w:color w:val="auto"/>
          <w:sz w:val="24"/>
          <w:szCs w:val="24"/>
        </w:rPr>
        <w:t xml:space="preserve">    3.系统性能要求</w:t>
      </w:r>
    </w:p>
    <w:p>
      <w:pPr>
        <w:spacing w:line="360" w:lineRule="auto"/>
        <w:ind w:firstLine="480"/>
        <w:rPr>
          <w:rFonts w:hint="eastAsia" w:ascii="宋体" w:hAnsi="宋体" w:cs="宋体"/>
          <w:color w:val="auto"/>
          <w:sz w:val="24"/>
        </w:rPr>
      </w:pPr>
      <w:r>
        <w:rPr>
          <w:rFonts w:hint="eastAsia" w:ascii="宋体" w:hAnsi="宋体" w:cs="宋体"/>
          <w:color w:val="auto"/>
          <w:sz w:val="24"/>
        </w:rPr>
        <w:t>3.1技术指标</w:t>
      </w:r>
    </w:p>
    <w:p>
      <w:pPr>
        <w:spacing w:line="360" w:lineRule="auto"/>
        <w:ind w:firstLine="480"/>
        <w:rPr>
          <w:rFonts w:hint="eastAsia" w:ascii="宋体" w:hAnsi="宋体" w:cs="宋体"/>
          <w:color w:val="auto"/>
          <w:sz w:val="24"/>
        </w:rPr>
      </w:pPr>
      <w:r>
        <w:rPr>
          <w:rFonts w:hint="eastAsia" w:ascii="宋体" w:hAnsi="宋体" w:cs="宋体"/>
          <w:color w:val="auto"/>
          <w:sz w:val="24"/>
        </w:rPr>
        <w:t>视频触发捕获率：，全天平均车辆捕获率≥95%；</w:t>
      </w:r>
    </w:p>
    <w:p>
      <w:pPr>
        <w:spacing w:line="360" w:lineRule="auto"/>
        <w:ind w:firstLine="480"/>
        <w:rPr>
          <w:rFonts w:hint="eastAsia" w:ascii="宋体" w:hAnsi="宋体" w:cs="宋体"/>
          <w:color w:val="auto"/>
          <w:sz w:val="24"/>
        </w:rPr>
      </w:pPr>
      <w:r>
        <w:rPr>
          <w:rFonts w:hint="eastAsia" w:ascii="宋体" w:hAnsi="宋体" w:cs="宋体"/>
          <w:color w:val="auto"/>
          <w:sz w:val="24"/>
        </w:rPr>
        <w:t>车牌识别率：全天平均车牌识别准确率≥90%</w:t>
      </w:r>
    </w:p>
    <w:p>
      <w:pPr>
        <w:spacing w:line="360" w:lineRule="auto"/>
        <w:ind w:firstLine="480"/>
        <w:rPr>
          <w:rFonts w:hint="eastAsia" w:ascii="宋体" w:hAnsi="宋体" w:cs="宋体"/>
          <w:color w:val="auto"/>
          <w:sz w:val="24"/>
        </w:rPr>
      </w:pPr>
      <w:r>
        <w:rPr>
          <w:rFonts w:hint="eastAsia" w:ascii="宋体" w:hAnsi="宋体" w:cs="宋体"/>
          <w:color w:val="auto"/>
          <w:sz w:val="24"/>
        </w:rPr>
        <w:t>系统前端可存储不小于7天*24小时辆车的记录及图像信息。</w:t>
      </w:r>
    </w:p>
    <w:p>
      <w:pPr>
        <w:spacing w:line="360" w:lineRule="auto"/>
        <w:ind w:firstLine="480"/>
        <w:rPr>
          <w:rFonts w:hint="eastAsia" w:ascii="宋体" w:hAnsi="宋体" w:cs="宋体"/>
          <w:color w:val="auto"/>
          <w:sz w:val="24"/>
        </w:rPr>
      </w:pPr>
      <w:r>
        <w:rPr>
          <w:rFonts w:hint="eastAsia" w:ascii="宋体" w:hAnsi="宋体" w:cs="宋体"/>
          <w:color w:val="auto"/>
          <w:sz w:val="24"/>
        </w:rPr>
        <w:t>3.2电气指标</w:t>
      </w:r>
    </w:p>
    <w:p>
      <w:pPr>
        <w:spacing w:line="360" w:lineRule="auto"/>
        <w:ind w:firstLine="480"/>
        <w:rPr>
          <w:rFonts w:hint="eastAsia" w:ascii="宋体" w:hAnsi="宋体" w:cs="宋体"/>
          <w:color w:val="auto"/>
          <w:sz w:val="24"/>
        </w:rPr>
      </w:pPr>
      <w:r>
        <w:rPr>
          <w:rFonts w:hint="eastAsia" w:ascii="宋体" w:hAnsi="宋体" w:cs="宋体"/>
          <w:color w:val="auto"/>
          <w:sz w:val="24"/>
        </w:rPr>
        <w:t>电源适应性： AC220V±20%, 50Hz；</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路口抓拍主机功耗：&lt;20W </w:t>
      </w:r>
    </w:p>
    <w:p>
      <w:pPr>
        <w:spacing w:line="360" w:lineRule="auto"/>
        <w:ind w:firstLine="480"/>
        <w:rPr>
          <w:rFonts w:hint="eastAsia" w:ascii="宋体" w:hAnsi="宋体" w:cs="宋体"/>
          <w:color w:val="auto"/>
          <w:sz w:val="24"/>
        </w:rPr>
      </w:pPr>
      <w:r>
        <w:rPr>
          <w:rFonts w:hint="eastAsia" w:ascii="宋体" w:hAnsi="宋体" w:cs="宋体"/>
          <w:color w:val="auto"/>
          <w:sz w:val="24"/>
        </w:rPr>
        <w:t>路口机柜防护等级：IP66</w:t>
      </w:r>
    </w:p>
    <w:p>
      <w:pPr>
        <w:spacing w:line="360" w:lineRule="auto"/>
        <w:ind w:firstLine="480"/>
        <w:rPr>
          <w:rFonts w:hint="eastAsia" w:ascii="宋体" w:hAnsi="宋体" w:cs="宋体"/>
          <w:color w:val="auto"/>
          <w:sz w:val="24"/>
        </w:rPr>
      </w:pPr>
      <w:r>
        <w:rPr>
          <w:rFonts w:hint="eastAsia" w:ascii="宋体" w:hAnsi="宋体" w:cs="宋体"/>
          <w:color w:val="auto"/>
          <w:sz w:val="24"/>
        </w:rPr>
        <w:t>3.3环境适应性</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工作温度：-40°C～+70°C </w:t>
      </w:r>
    </w:p>
    <w:p>
      <w:pPr>
        <w:spacing w:line="360" w:lineRule="auto"/>
        <w:ind w:firstLine="480"/>
        <w:rPr>
          <w:rFonts w:hint="eastAsia" w:ascii="宋体" w:hAnsi="宋体" w:cs="宋体"/>
          <w:color w:val="auto"/>
          <w:sz w:val="24"/>
        </w:rPr>
      </w:pPr>
      <w:r>
        <w:rPr>
          <w:rFonts w:hint="eastAsia" w:ascii="宋体" w:hAnsi="宋体" w:cs="宋体"/>
          <w:color w:val="auto"/>
          <w:sz w:val="24"/>
        </w:rPr>
        <w:t>环境相对湿度：10%-90％</w:t>
      </w:r>
    </w:p>
    <w:p>
      <w:pPr>
        <w:spacing w:line="360" w:lineRule="auto"/>
        <w:ind w:firstLine="480"/>
        <w:rPr>
          <w:rFonts w:hint="eastAsia" w:ascii="宋体" w:hAnsi="宋体" w:cs="宋体"/>
          <w:color w:val="auto"/>
          <w:sz w:val="24"/>
        </w:rPr>
      </w:pPr>
      <w:r>
        <w:rPr>
          <w:rFonts w:hint="eastAsia" w:ascii="宋体" w:hAnsi="宋体" w:cs="宋体"/>
          <w:color w:val="auto"/>
          <w:sz w:val="24"/>
        </w:rPr>
        <w:t>3.4检测手段</w:t>
      </w:r>
    </w:p>
    <w:p>
      <w:pPr>
        <w:spacing w:line="360" w:lineRule="auto"/>
        <w:ind w:firstLine="480"/>
        <w:rPr>
          <w:rFonts w:hint="eastAsia" w:ascii="宋体" w:hAnsi="宋体" w:cs="宋体"/>
          <w:color w:val="auto"/>
          <w:sz w:val="24"/>
        </w:rPr>
      </w:pPr>
      <w:r>
        <w:rPr>
          <w:rFonts w:hint="eastAsia" w:ascii="宋体" w:hAnsi="宋体" w:cs="宋体"/>
          <w:color w:val="auto"/>
          <w:sz w:val="24"/>
        </w:rPr>
        <w:t>视频检测模式</w:t>
      </w:r>
    </w:p>
    <w:p>
      <w:pPr>
        <w:spacing w:line="360" w:lineRule="auto"/>
        <w:ind w:firstLine="480"/>
        <w:rPr>
          <w:rFonts w:hint="eastAsia" w:ascii="宋体" w:hAnsi="宋体" w:cs="宋体"/>
          <w:color w:val="auto"/>
          <w:sz w:val="24"/>
        </w:rPr>
      </w:pPr>
      <w:r>
        <w:rPr>
          <w:rFonts w:hint="eastAsia" w:ascii="宋体" w:hAnsi="宋体" w:cs="宋体"/>
          <w:color w:val="auto"/>
          <w:sz w:val="24"/>
        </w:rPr>
        <w:t>3.5硬件形态</w:t>
      </w:r>
    </w:p>
    <w:p>
      <w:pPr>
        <w:spacing w:line="360" w:lineRule="auto"/>
        <w:ind w:firstLine="480"/>
        <w:rPr>
          <w:rFonts w:hint="eastAsia" w:ascii="宋体" w:hAnsi="宋体" w:cs="宋体"/>
          <w:color w:val="auto"/>
          <w:sz w:val="24"/>
        </w:rPr>
      </w:pPr>
      <w:r>
        <w:rPr>
          <w:rFonts w:hint="eastAsia" w:ascii="宋体" w:hAnsi="宋体" w:cs="宋体"/>
          <w:color w:val="auto"/>
          <w:sz w:val="24"/>
        </w:rPr>
        <w:t>纯嵌入式设备</w:t>
      </w:r>
    </w:p>
    <w:p>
      <w:pPr>
        <w:spacing w:line="360" w:lineRule="auto"/>
        <w:ind w:firstLine="480"/>
        <w:rPr>
          <w:rFonts w:hint="eastAsia" w:ascii="宋体" w:hAnsi="宋体" w:cs="宋体"/>
          <w:color w:val="auto"/>
          <w:sz w:val="24"/>
        </w:rPr>
      </w:pPr>
      <w:r>
        <w:rPr>
          <w:rFonts w:hint="eastAsia" w:ascii="宋体" w:hAnsi="宋体" w:cs="宋体"/>
          <w:color w:val="auto"/>
          <w:sz w:val="24"/>
        </w:rPr>
        <w:t>系统必须满足GA/T496-2014《闯红灯自动记录系统通用技术条件》和DB33/T334-2011《安全技术防范（系统）工程检验规范》。</w:t>
      </w:r>
    </w:p>
    <w:p>
      <w:pPr>
        <w:spacing w:line="360" w:lineRule="auto"/>
        <w:ind w:firstLine="480"/>
        <w:rPr>
          <w:rFonts w:hint="eastAsia" w:ascii="宋体" w:hAnsi="宋体" w:cs="宋体"/>
          <w:color w:val="auto"/>
          <w:sz w:val="24"/>
        </w:rPr>
      </w:pPr>
      <w:r>
        <w:rPr>
          <w:rFonts w:hint="eastAsia" w:ascii="宋体" w:hAnsi="宋体" w:cs="宋体"/>
          <w:color w:val="auto"/>
          <w:sz w:val="24"/>
        </w:rPr>
        <w:t>建成的系统必须按照海盐县公安局交警大队已建智能交通综合管控平台、信号协调控制平台的接口要求，统一接入。</w:t>
      </w:r>
    </w:p>
    <w:p>
      <w:pPr>
        <w:pStyle w:val="5"/>
        <w:tabs>
          <w:tab w:val="left" w:pos="720"/>
        </w:tabs>
        <w:spacing w:after="0"/>
        <w:ind w:firstLine="241" w:firstLineChars="100"/>
        <w:jc w:val="left"/>
        <w:rPr>
          <w:rFonts w:hint="eastAsia" w:ascii="宋体" w:eastAsia="宋体" w:cs="宋体"/>
          <w:b/>
          <w:bCs/>
          <w:color w:val="auto"/>
          <w:sz w:val="24"/>
          <w:szCs w:val="24"/>
        </w:rPr>
      </w:pPr>
      <w:r>
        <w:rPr>
          <w:rFonts w:hint="eastAsia" w:ascii="宋体" w:eastAsia="宋体" w:cs="宋体"/>
          <w:b/>
          <w:bCs/>
          <w:color w:val="auto"/>
          <w:sz w:val="24"/>
          <w:szCs w:val="24"/>
        </w:rPr>
        <w:t>（三）违法停车取证系统</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设计依据：</w:t>
      </w:r>
    </w:p>
    <w:p>
      <w:pPr>
        <w:pStyle w:val="208"/>
        <w:numPr>
          <w:ilvl w:val="0"/>
          <w:numId w:val="8"/>
        </w:numPr>
        <w:ind w:firstLineChars="0"/>
        <w:rPr>
          <w:rFonts w:hint="eastAsia" w:ascii="宋体" w:hAnsi="宋体"/>
          <w:color w:val="auto"/>
        </w:rPr>
      </w:pPr>
      <w:r>
        <w:rPr>
          <w:rFonts w:hint="eastAsia" w:ascii="宋体" w:hAnsi="宋体"/>
          <w:color w:val="auto"/>
        </w:rPr>
        <w:t>《中华人民共和国道路交通安全法》(2011.5.1</w:t>
      </w:r>
      <w:bookmarkStart w:id="35" w:name="_Toc317789967"/>
      <w:bookmarkEnd w:id="35"/>
      <w:bookmarkStart w:id="36" w:name="_Toc317789816"/>
      <w:bookmarkEnd w:id="36"/>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《公安部中华人民共和国公共安全行业标准》（GA163-1997）</w:t>
      </w:r>
      <w:bookmarkStart w:id="37" w:name="_Toc317789817"/>
      <w:bookmarkEnd w:id="37"/>
      <w:bookmarkStart w:id="38" w:name="_Toc317789968"/>
      <w:bookmarkEnd w:id="38"/>
    </w:p>
    <w:p>
      <w:pPr>
        <w:pStyle w:val="208"/>
        <w:numPr>
          <w:ilvl w:val="0"/>
          <w:numId w:val="8"/>
        </w:numPr>
        <w:ind w:firstLineChars="0"/>
        <w:rPr>
          <w:rFonts w:hint="eastAsia" w:ascii="宋体" w:hAnsi="宋体"/>
          <w:color w:val="auto"/>
        </w:rPr>
      </w:pPr>
      <w:r>
        <w:rPr>
          <w:rFonts w:hint="eastAsia" w:ascii="宋体" w:hAnsi="宋体"/>
          <w:color w:val="auto"/>
        </w:rPr>
        <w:t>《道路交通安全违法行为图像取证技术规范》（GA/T832-2014）</w:t>
      </w:r>
      <w:bookmarkStart w:id="39" w:name="_Toc317789971"/>
      <w:bookmarkEnd w:id="39"/>
      <w:bookmarkStart w:id="40" w:name="_Toc317789820"/>
      <w:bookmarkEnd w:id="40"/>
    </w:p>
    <w:p>
      <w:pPr>
        <w:pStyle w:val="208"/>
        <w:numPr>
          <w:ilvl w:val="0"/>
          <w:numId w:val="8"/>
        </w:numPr>
        <w:ind w:firstLineChars="0"/>
        <w:rPr>
          <w:rFonts w:hint="eastAsia" w:ascii="宋体" w:hAnsi="宋体"/>
          <w:color w:val="auto"/>
        </w:rPr>
      </w:pPr>
      <w:r>
        <w:rPr>
          <w:rFonts w:hint="eastAsia" w:ascii="宋体" w:hAnsi="宋体"/>
          <w:color w:val="auto"/>
        </w:rPr>
        <w:t>《道路交通安全违法行为视频取证设备技术规范》（GA/T995-2012）</w:t>
      </w:r>
    </w:p>
    <w:p>
      <w:pPr>
        <w:pStyle w:val="208"/>
        <w:numPr>
          <w:ilvl w:val="0"/>
          <w:numId w:val="8"/>
        </w:numPr>
        <w:ind w:firstLineChars="0"/>
        <w:rPr>
          <w:rFonts w:hint="eastAsia" w:ascii="宋体" w:hAnsi="宋体"/>
          <w:color w:val="auto"/>
        </w:rPr>
      </w:pPr>
      <w:r>
        <w:rPr>
          <w:rFonts w:hint="eastAsia" w:ascii="宋体" w:hAnsi="宋体"/>
          <w:color w:val="auto"/>
        </w:rPr>
        <w:t>《中华人民共和国机动车号牌》（GA36-2014）</w:t>
      </w:r>
    </w:p>
    <w:p>
      <w:pPr>
        <w:pStyle w:val="208"/>
        <w:numPr>
          <w:ilvl w:val="0"/>
          <w:numId w:val="8"/>
        </w:numPr>
        <w:ind w:firstLineChars="0"/>
        <w:rPr>
          <w:rFonts w:hint="eastAsia" w:ascii="宋体" w:hAnsi="宋体"/>
          <w:color w:val="auto"/>
        </w:rPr>
      </w:pPr>
      <w:r>
        <w:rPr>
          <w:rFonts w:hint="eastAsia" w:ascii="宋体" w:hAnsi="宋体"/>
          <w:color w:val="auto"/>
        </w:rPr>
        <w:t>《道路交通技术监控设备运行维护规范》（GA/T1043-2013）</w:t>
      </w:r>
    </w:p>
    <w:p>
      <w:pPr>
        <w:pStyle w:val="208"/>
        <w:numPr>
          <w:ilvl w:val="0"/>
          <w:numId w:val="8"/>
        </w:numPr>
        <w:ind w:firstLineChars="0"/>
        <w:rPr>
          <w:rFonts w:hint="eastAsia" w:ascii="宋体" w:hAnsi="宋体"/>
          <w:color w:val="auto"/>
        </w:rPr>
      </w:pPr>
      <w:r>
        <w:rPr>
          <w:rFonts w:hint="eastAsia" w:ascii="宋体" w:hAnsi="宋体"/>
          <w:color w:val="auto"/>
        </w:rPr>
        <w:t>《道路交通管理信息代码》（GA/T 16.31-2012）</w:t>
      </w:r>
    </w:p>
    <w:p>
      <w:pPr>
        <w:pStyle w:val="208"/>
        <w:numPr>
          <w:ilvl w:val="0"/>
          <w:numId w:val="8"/>
        </w:numPr>
        <w:ind w:firstLineChars="0"/>
        <w:rPr>
          <w:rFonts w:hint="eastAsia" w:ascii="宋体" w:hAnsi="宋体"/>
          <w:color w:val="auto"/>
        </w:rPr>
      </w:pPr>
      <w:r>
        <w:rPr>
          <w:rFonts w:hint="eastAsia" w:ascii="宋体" w:hAnsi="宋体"/>
          <w:color w:val="auto"/>
        </w:rPr>
        <w:t>《全国道路交通管理信息数据库规范》（GA 329.3-2006）</w:t>
      </w:r>
    </w:p>
    <w:p>
      <w:pPr>
        <w:pStyle w:val="208"/>
        <w:numPr>
          <w:ilvl w:val="0"/>
          <w:numId w:val="8"/>
        </w:numPr>
        <w:ind w:firstLineChars="0"/>
        <w:rPr>
          <w:rFonts w:hint="eastAsia" w:ascii="宋体" w:hAnsi="宋体"/>
          <w:color w:val="auto"/>
        </w:rPr>
      </w:pPr>
      <w:r>
        <w:rPr>
          <w:rFonts w:hint="eastAsia" w:ascii="宋体" w:hAnsi="宋体"/>
          <w:color w:val="auto"/>
        </w:rPr>
        <w:t>《交通技术监控信息数据规范》（GA 648-2006）</w:t>
      </w:r>
    </w:p>
    <w:p>
      <w:pPr>
        <w:pStyle w:val="208"/>
        <w:numPr>
          <w:ilvl w:val="0"/>
          <w:numId w:val="8"/>
        </w:numPr>
        <w:ind w:firstLineChars="0"/>
        <w:rPr>
          <w:rFonts w:hint="eastAsia" w:ascii="宋体" w:hAnsi="宋体"/>
          <w:color w:val="auto"/>
        </w:rPr>
      </w:pPr>
      <w:r>
        <w:rPr>
          <w:rFonts w:hint="eastAsia" w:ascii="宋体" w:hAnsi="宋体"/>
          <w:color w:val="auto"/>
        </w:rPr>
        <w:t>《视频安防系统技术要求》（GA/T367-2001）</w:t>
      </w:r>
      <w:bookmarkStart w:id="41" w:name="_Toc317789821"/>
      <w:bookmarkEnd w:id="41"/>
      <w:bookmarkStart w:id="42" w:name="_Toc317789972"/>
      <w:bookmarkEnd w:id="42"/>
    </w:p>
    <w:p>
      <w:pPr>
        <w:pStyle w:val="208"/>
        <w:numPr>
          <w:ilvl w:val="0"/>
          <w:numId w:val="8"/>
        </w:numPr>
        <w:ind w:firstLineChars="0"/>
        <w:rPr>
          <w:rFonts w:hint="eastAsia" w:ascii="宋体" w:hAnsi="宋体"/>
          <w:color w:val="auto"/>
        </w:rPr>
      </w:pPr>
      <w:r>
        <w:rPr>
          <w:rFonts w:hint="eastAsia" w:ascii="宋体" w:hAnsi="宋体"/>
          <w:color w:val="auto"/>
        </w:rPr>
        <w:t>《安全防范视频监控联网系统信息传输、交换、控制技术要求》（GB/T28181-2016）</w:t>
      </w:r>
    </w:p>
    <w:p>
      <w:pPr>
        <w:pStyle w:val="208"/>
        <w:numPr>
          <w:ilvl w:val="0"/>
          <w:numId w:val="8"/>
        </w:numPr>
        <w:ind w:firstLineChars="0"/>
        <w:rPr>
          <w:rFonts w:hint="eastAsia" w:ascii="宋体" w:hAnsi="宋体"/>
          <w:color w:val="auto"/>
        </w:rPr>
      </w:pPr>
      <w:r>
        <w:rPr>
          <w:rFonts w:hint="eastAsia" w:ascii="宋体" w:hAnsi="宋体"/>
          <w:color w:val="auto"/>
        </w:rPr>
        <w:t>《民用闭路监视电视系统工程技术规范》(GB50198-94)</w:t>
      </w:r>
      <w:bookmarkStart w:id="43" w:name="_Toc317789973"/>
      <w:bookmarkEnd w:id="43"/>
      <w:bookmarkStart w:id="44" w:name="_Toc317789822"/>
      <w:bookmarkEnd w:id="44"/>
    </w:p>
    <w:p>
      <w:pPr>
        <w:pStyle w:val="208"/>
        <w:numPr>
          <w:ilvl w:val="0"/>
          <w:numId w:val="8"/>
        </w:numPr>
        <w:ind w:firstLineChars="0"/>
        <w:rPr>
          <w:rFonts w:hint="eastAsia" w:ascii="宋体" w:hAnsi="宋体"/>
          <w:color w:val="auto"/>
        </w:rPr>
      </w:pPr>
      <w:r>
        <w:rPr>
          <w:rFonts w:hint="eastAsia" w:ascii="宋体" w:hAnsi="宋体"/>
          <w:color w:val="auto"/>
        </w:rPr>
        <w:t>《安全防范工程程序与要求》(GA/T75-94)</w:t>
      </w:r>
      <w:bookmarkStart w:id="45" w:name="_Toc317789823"/>
      <w:bookmarkEnd w:id="45"/>
      <w:bookmarkStart w:id="46" w:name="_Toc317789974"/>
      <w:bookmarkEnd w:id="46"/>
    </w:p>
    <w:p>
      <w:pPr>
        <w:pStyle w:val="208"/>
        <w:numPr>
          <w:ilvl w:val="0"/>
          <w:numId w:val="8"/>
        </w:numPr>
        <w:ind w:firstLineChars="0"/>
        <w:rPr>
          <w:rFonts w:hint="eastAsia" w:ascii="宋体" w:hAnsi="宋体"/>
          <w:color w:val="auto"/>
        </w:rPr>
      </w:pPr>
      <w:r>
        <w:rPr>
          <w:rFonts w:hint="eastAsia" w:ascii="宋体" w:hAnsi="宋体"/>
          <w:color w:val="auto"/>
        </w:rPr>
        <w:t>《建筑物防雷设计规范》(GB50057-94)</w:t>
      </w:r>
      <w:bookmarkStart w:id="47" w:name="_Toc317789975"/>
      <w:bookmarkEnd w:id="47"/>
      <w:bookmarkStart w:id="48" w:name="_Toc317789824"/>
      <w:bookmarkEnd w:id="48"/>
    </w:p>
    <w:p>
      <w:pPr>
        <w:pStyle w:val="208"/>
        <w:numPr>
          <w:ilvl w:val="0"/>
          <w:numId w:val="8"/>
        </w:numPr>
        <w:ind w:firstLineChars="0"/>
        <w:rPr>
          <w:rFonts w:hint="eastAsia" w:ascii="宋体" w:hAnsi="宋体"/>
          <w:color w:val="auto"/>
        </w:rPr>
      </w:pPr>
      <w:r>
        <w:rPr>
          <w:rFonts w:hint="eastAsia" w:ascii="宋体" w:hAnsi="宋体"/>
          <w:color w:val="auto"/>
        </w:rPr>
        <w:t>《建筑物电子信息系统防雷技术规范》(GB50343-2004)</w:t>
      </w:r>
      <w:bookmarkStart w:id="49" w:name="_Toc317789976"/>
      <w:bookmarkEnd w:id="49"/>
      <w:bookmarkStart w:id="50" w:name="_Toc317789825"/>
      <w:bookmarkEnd w:id="50"/>
    </w:p>
    <w:p>
      <w:pPr>
        <w:pStyle w:val="208"/>
        <w:numPr>
          <w:ilvl w:val="0"/>
          <w:numId w:val="8"/>
        </w:numPr>
        <w:ind w:firstLineChars="0"/>
        <w:rPr>
          <w:rFonts w:hint="eastAsia" w:ascii="宋体" w:hAnsi="宋体"/>
          <w:color w:val="auto"/>
        </w:rPr>
      </w:pPr>
      <w:r>
        <w:rPr>
          <w:rFonts w:hint="eastAsia" w:ascii="宋体" w:hAnsi="宋体"/>
          <w:color w:val="auto"/>
        </w:rPr>
        <w:t>《民用建筑电气设计规范》(JGJ/T16-92)</w:t>
      </w:r>
      <w:bookmarkStart w:id="51" w:name="_Toc317789977"/>
      <w:bookmarkEnd w:id="51"/>
      <w:bookmarkStart w:id="52" w:name="_Toc317789826"/>
      <w:bookmarkEnd w:id="52"/>
    </w:p>
    <w:p>
      <w:pPr>
        <w:pStyle w:val="208"/>
        <w:numPr>
          <w:ilvl w:val="0"/>
          <w:numId w:val="8"/>
        </w:numPr>
        <w:ind w:firstLineChars="0"/>
        <w:rPr>
          <w:rFonts w:hint="eastAsia" w:ascii="宋体" w:hAnsi="宋体"/>
          <w:color w:val="auto"/>
        </w:rPr>
      </w:pPr>
      <w:r>
        <w:rPr>
          <w:rFonts w:hint="eastAsia" w:ascii="宋体" w:hAnsi="宋体"/>
          <w:color w:val="auto"/>
        </w:rPr>
        <w:t>《公安交通电视监视系统验收规范》(GA/T509</w:t>
      </w:r>
      <w:bookmarkStart w:id="53" w:name="_Toc317789827"/>
      <w:bookmarkEnd w:id="53"/>
      <w:bookmarkStart w:id="54" w:name="_Toc317789978"/>
      <w:bookmarkEnd w:id="54"/>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《视频安防监控系统技术要求》(GA/T367</w:t>
      </w:r>
      <w:bookmarkStart w:id="55" w:name="_Toc317789979"/>
      <w:bookmarkEnd w:id="55"/>
      <w:bookmarkStart w:id="56" w:name="_Toc317789828"/>
      <w:bookmarkEnd w:id="56"/>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《光缆通信系统传输性能测试方法》(GB/T14760-1993</w:t>
      </w:r>
      <w:bookmarkStart w:id="57" w:name="_Toc317789980"/>
      <w:bookmarkEnd w:id="57"/>
      <w:bookmarkStart w:id="58" w:name="_Toc317789829"/>
      <w:bookmarkEnd w:id="58"/>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《光纤通信系统通用规范》（SJ 20552-95</w:t>
      </w:r>
      <w:bookmarkStart w:id="59" w:name="_Toc317789830"/>
      <w:bookmarkEnd w:id="59"/>
      <w:bookmarkStart w:id="60" w:name="_Toc317789981"/>
      <w:bookmarkEnd w:id="60"/>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《波分复用光纤通信系统通用规范》（SJ 20855-2002</w:t>
      </w:r>
      <w:bookmarkStart w:id="61" w:name="_Toc317789831"/>
      <w:bookmarkEnd w:id="61"/>
      <w:bookmarkStart w:id="62" w:name="_Toc317789982"/>
      <w:bookmarkEnd w:id="62"/>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《粗波分复用光收发合一模块技术要求和测试方法》（YD/T 1351-2005</w:t>
      </w:r>
      <w:bookmarkStart w:id="63" w:name="_Toc317789832"/>
      <w:bookmarkEnd w:id="63"/>
      <w:bookmarkStart w:id="64" w:name="_Toc317789983"/>
      <w:bookmarkEnd w:id="64"/>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《电信网光纤数字传输系统工程施工及验收暂行技术规定》（YDJ44-89</w:t>
      </w:r>
      <w:bookmarkStart w:id="65" w:name="_Toc317789833"/>
      <w:bookmarkEnd w:id="65"/>
      <w:bookmarkStart w:id="66" w:name="_Toc317789984"/>
      <w:bookmarkEnd w:id="66"/>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《电视视频通道测试方法》（GB3659-83</w:t>
      </w:r>
      <w:bookmarkStart w:id="67" w:name="_Toc317789834"/>
      <w:bookmarkEnd w:id="67"/>
      <w:bookmarkStart w:id="68" w:name="_Toc317789985"/>
      <w:bookmarkEnd w:id="68"/>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《彩色电视图像质量主观评价方法》（GB7401-1987</w:t>
      </w:r>
      <w:bookmarkStart w:id="69" w:name="_Toc317789986"/>
      <w:bookmarkEnd w:id="69"/>
      <w:bookmarkStart w:id="70" w:name="_Toc317789835"/>
      <w:bookmarkEnd w:id="70"/>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《工业电视系统工程设计规范》（GBJ115-87</w:t>
      </w:r>
      <w:bookmarkStart w:id="71" w:name="_Toc317789836"/>
      <w:bookmarkEnd w:id="71"/>
      <w:bookmarkStart w:id="72" w:name="_Toc317789987"/>
      <w:bookmarkEnd w:id="72"/>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《安全防范工程程序与要求》（GA/T75-94</w:t>
      </w:r>
      <w:bookmarkStart w:id="73" w:name="_Toc317789988"/>
      <w:bookmarkEnd w:id="73"/>
      <w:bookmarkStart w:id="74" w:name="_Toc317789837"/>
      <w:bookmarkEnd w:id="74"/>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《中国电气装置安装工程施工及验收规范》（GBJ232-90.92</w:t>
      </w:r>
      <w:bookmarkStart w:id="75" w:name="_Toc317789838"/>
      <w:bookmarkEnd w:id="75"/>
      <w:bookmarkStart w:id="76" w:name="_Toc317789989"/>
      <w:bookmarkEnd w:id="76"/>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《计算机软件开发规范》（GB8566-88</w:t>
      </w:r>
      <w:bookmarkStart w:id="77" w:name="_Toc317789990"/>
      <w:bookmarkEnd w:id="77"/>
      <w:bookmarkStart w:id="78" w:name="_Toc317789839"/>
      <w:bookmarkEnd w:id="78"/>
      <w:r>
        <w:rPr>
          <w:rFonts w:hint="eastAsia" w:ascii="宋体" w:hAnsi="宋体"/>
          <w:color w:val="auto"/>
        </w:rPr>
        <w:t>）</w:t>
      </w:r>
    </w:p>
    <w:p>
      <w:pPr>
        <w:pStyle w:val="208"/>
        <w:numPr>
          <w:ilvl w:val="0"/>
          <w:numId w:val="8"/>
        </w:numPr>
        <w:ind w:firstLineChars="0"/>
        <w:rPr>
          <w:rFonts w:hint="eastAsia" w:ascii="宋体" w:hAnsi="宋体"/>
          <w:color w:val="auto"/>
        </w:rPr>
      </w:pPr>
      <w:r>
        <w:rPr>
          <w:rFonts w:hint="eastAsia" w:ascii="宋体" w:hAnsi="宋体"/>
          <w:color w:val="auto"/>
        </w:rPr>
        <w:t>《信息技术开放系统互连网络层安全协议》（GB/T 17963）</w:t>
      </w:r>
      <w:bookmarkStart w:id="79" w:name="_Toc317789840"/>
      <w:bookmarkEnd w:id="79"/>
      <w:bookmarkStart w:id="80" w:name="_Toc317789991"/>
      <w:bookmarkEnd w:id="80"/>
    </w:p>
    <w:p>
      <w:pPr>
        <w:pStyle w:val="208"/>
        <w:numPr>
          <w:ilvl w:val="0"/>
          <w:numId w:val="8"/>
        </w:numPr>
        <w:ind w:firstLineChars="0"/>
        <w:rPr>
          <w:rFonts w:hint="eastAsia" w:ascii="宋体" w:hAnsi="宋体"/>
          <w:color w:val="auto"/>
        </w:rPr>
      </w:pPr>
      <w:r>
        <w:rPr>
          <w:rFonts w:hint="eastAsia" w:ascii="宋体" w:hAnsi="宋体"/>
          <w:color w:val="auto"/>
        </w:rPr>
        <w:t>其他国家相关的政策法令、法规文件</w:t>
      </w:r>
    </w:p>
    <w:p>
      <w:pPr>
        <w:spacing w:line="360" w:lineRule="auto"/>
        <w:rPr>
          <w:rFonts w:hint="eastAsia" w:ascii="宋体" w:hAnsi="宋体" w:cs="宋体"/>
          <w:color w:val="auto"/>
        </w:rPr>
      </w:pPr>
    </w:p>
    <w:p>
      <w:pPr>
        <w:pStyle w:val="7"/>
        <w:spacing w:after="0" w:line="360" w:lineRule="auto"/>
        <w:jc w:val="left"/>
        <w:rPr>
          <w:rFonts w:hint="eastAsia" w:ascii="宋体" w:hAnsi="宋体" w:cs="宋体"/>
          <w:color w:val="auto"/>
          <w:sz w:val="24"/>
          <w:szCs w:val="24"/>
        </w:rPr>
      </w:pPr>
      <w:r>
        <w:rPr>
          <w:rFonts w:hint="eastAsia" w:ascii="宋体" w:hAnsi="宋体" w:cs="宋体"/>
          <w:color w:val="auto"/>
          <w:sz w:val="24"/>
          <w:szCs w:val="24"/>
        </w:rPr>
        <w:t xml:space="preserve">   1、系统组成</w:t>
      </w:r>
    </w:p>
    <w:p>
      <w:pPr>
        <w:spacing w:line="360" w:lineRule="auto"/>
        <w:ind w:firstLine="420" w:firstLineChars="200"/>
        <w:rPr>
          <w:rFonts w:hint="eastAsia" w:ascii="宋体" w:hAnsi="宋体" w:cs="宋体"/>
          <w:color w:val="auto"/>
          <w:sz w:val="24"/>
        </w:rPr>
      </w:pPr>
      <w:r>
        <w:rPr>
          <w:rFonts w:hint="eastAsia" w:ascii="宋体" w:hAnsi="宋体" w:cs="宋体"/>
          <w:color w:val="auto"/>
        </w:rPr>
        <w:t>1.1</w:t>
      </w:r>
      <w:r>
        <w:rPr>
          <w:rFonts w:hint="eastAsia" w:ascii="宋体" w:hAnsi="宋体" w:cs="宋体"/>
          <w:color w:val="auto"/>
          <w:sz w:val="24"/>
        </w:rPr>
        <w:t>前端子系统</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违章检测球机采集高清视频，内嵌停车检测模块、车辆定位模块、车牌识别模块、违法数据生成模块，自动跟踪车辆、进行车辆放大，主要包括如下部分：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视频采集，提供高清视频；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停车检测模块，检测违停车辆；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车辆定位模块，定位违停车辆位置，控制球机进行跟踪放大；</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车辆跟踪模块，对违停车辆进行跟踪放大；</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车牌识别模块，对违停车辆的车牌号码进行自动识别；</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违章数据生成模块，负责生成和存储违章数据，并传输到中心管理系统。</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使用枪球联动系统时，筒机做固定场景的全景监控，同时可以扩展进行道路事件初步检测，球机进行违停事件确认，全景与细节兼顾，确保检测准确性。</w:t>
      </w:r>
    </w:p>
    <w:p>
      <w:pPr>
        <w:pStyle w:val="7"/>
        <w:spacing w:after="0" w:line="360" w:lineRule="auto"/>
        <w:jc w:val="left"/>
        <w:rPr>
          <w:rFonts w:hint="eastAsia" w:ascii="宋体" w:hAnsi="宋体" w:cs="宋体"/>
          <w:b w:val="0"/>
          <w:bCs w:val="0"/>
          <w:color w:val="auto"/>
          <w:sz w:val="24"/>
          <w:szCs w:val="24"/>
        </w:rPr>
      </w:pPr>
      <w:r>
        <w:rPr>
          <w:rFonts w:hint="eastAsia" w:ascii="宋体" w:hAnsi="宋体" w:cs="宋体"/>
          <w:b w:val="0"/>
          <w:bCs w:val="0"/>
          <w:color w:val="auto"/>
          <w:sz w:val="24"/>
          <w:szCs w:val="24"/>
        </w:rPr>
        <w:t>2、系统功能</w:t>
      </w:r>
    </w:p>
    <w:p>
      <w:pPr>
        <w:spacing w:line="360" w:lineRule="auto"/>
        <w:ind w:left="420" w:leftChars="200"/>
        <w:jc w:val="left"/>
        <w:rPr>
          <w:rFonts w:hint="eastAsia" w:ascii="宋体" w:hAnsi="宋体" w:cs="宋体"/>
          <w:bCs/>
          <w:color w:val="auto"/>
          <w:sz w:val="24"/>
          <w:lang w:val="zh-CN"/>
        </w:rPr>
      </w:pPr>
      <w:bookmarkStart w:id="81" w:name="_Toc433812662"/>
      <w:bookmarkStart w:id="82" w:name="_Toc382495927"/>
      <w:bookmarkStart w:id="83" w:name="_Toc515266718"/>
      <w:bookmarkStart w:id="84" w:name="_Toc345508653"/>
      <w:bookmarkStart w:id="85" w:name="_Toc340665347"/>
      <w:r>
        <w:rPr>
          <w:rFonts w:hint="eastAsia" w:ascii="宋体" w:hAnsi="宋体" w:cs="宋体"/>
          <w:bCs/>
          <w:color w:val="auto"/>
          <w:sz w:val="24"/>
        </w:rPr>
        <w:t>1）</w:t>
      </w:r>
      <w:r>
        <w:rPr>
          <w:rFonts w:hint="eastAsia" w:ascii="宋体" w:hAnsi="宋体" w:cs="宋体"/>
          <w:bCs/>
          <w:color w:val="auto"/>
          <w:sz w:val="24"/>
          <w:lang w:val="zh-CN"/>
        </w:rPr>
        <w:t>违法停车自动取证功能</w:t>
      </w:r>
      <w:bookmarkEnd w:id="81"/>
      <w:bookmarkEnd w:id="82"/>
      <w:bookmarkEnd w:id="83"/>
      <w:bookmarkEnd w:id="84"/>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能对道路两旁禁停区域违停车辆进行检测和取证。可以根据实际需求调整最大停车时限，当车辆在禁止停车区域停车在限定时间以上的，进行违章抓拍取证。一组取证信息包括不同时间段的三张全景图片、一张能够看清车牌的特写图片、以及一段违章过程录像，图片中叠加时间、地点、车牌号码等信息。</w:t>
      </w:r>
      <w:bookmarkStart w:id="86" w:name="_Toc340665349"/>
      <w:bookmarkStart w:id="87" w:name="_Toc382495928"/>
      <w:bookmarkStart w:id="88" w:name="_Toc345508656"/>
      <w:bookmarkStart w:id="89" w:name="_Toc345508654"/>
    </w:p>
    <w:p>
      <w:pPr>
        <w:spacing w:line="360" w:lineRule="auto"/>
        <w:ind w:left="420" w:leftChars="200"/>
        <w:rPr>
          <w:rFonts w:hint="eastAsia" w:ascii="宋体" w:hAnsi="宋体" w:cs="宋体"/>
          <w:bCs/>
          <w:color w:val="auto"/>
          <w:sz w:val="24"/>
          <w:lang w:val="zh-CN"/>
        </w:rPr>
      </w:pPr>
      <w:bookmarkStart w:id="90" w:name="_Toc515266719"/>
      <w:bookmarkStart w:id="91" w:name="_Toc433812663"/>
      <w:r>
        <w:rPr>
          <w:rFonts w:hint="eastAsia" w:ascii="宋体" w:hAnsi="宋体" w:cs="宋体"/>
          <w:bCs/>
          <w:color w:val="auto"/>
          <w:sz w:val="24"/>
        </w:rPr>
        <w:t>2）</w:t>
      </w:r>
      <w:r>
        <w:rPr>
          <w:rFonts w:hint="eastAsia" w:ascii="宋体" w:hAnsi="宋体" w:cs="宋体"/>
          <w:bCs/>
          <w:color w:val="auto"/>
          <w:sz w:val="24"/>
          <w:lang w:val="zh-CN"/>
        </w:rPr>
        <w:t>车牌自动识别功能</w:t>
      </w:r>
      <w:bookmarkEnd w:id="86"/>
      <w:bookmarkEnd w:id="87"/>
      <w:bookmarkEnd w:id="88"/>
      <w:bookmarkEnd w:id="90"/>
      <w:bookmarkEnd w:id="91"/>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能够自动对违停车辆进行跟踪放大，自动识别车牌号码，减少人工识别输入车牌的工作。车牌自动识别功能包括车牌号码和车牌颜色的识别。</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3）系统具备对符合“GA36-2014”标准的民用车牌、警用车牌、使领馆车牌、新能源车牌的号牌自动识别能力，并且具备对2012式军车号牌、2012式武警部队号牌的自动识别能力</w:t>
      </w:r>
      <w:bookmarkStart w:id="92" w:name="_Toc433812664"/>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4）系统能识别黑、白、蓝、黄、绿五种车牌颜色。</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5）系统能够识别新能源车牌</w:t>
      </w:r>
    </w:p>
    <w:p>
      <w:pPr>
        <w:spacing w:line="360" w:lineRule="auto"/>
        <w:rPr>
          <w:rFonts w:hint="eastAsia" w:ascii="宋体" w:hAnsi="宋体" w:cs="宋体"/>
          <w:bCs/>
          <w:color w:val="auto"/>
          <w:sz w:val="24"/>
          <w:lang w:val="zh-CN"/>
        </w:rPr>
      </w:pPr>
      <w:bookmarkStart w:id="93" w:name="_Toc515266720"/>
      <w:r>
        <w:rPr>
          <w:rFonts w:hint="eastAsia" w:ascii="宋体" w:hAnsi="宋体" w:cs="宋体"/>
          <w:bCs/>
          <w:color w:val="auto"/>
          <w:sz w:val="24"/>
          <w:lang w:val="zh-CN"/>
        </w:rPr>
        <w:t xml:space="preserve">    6)其它违法行为自动取证功能</w:t>
      </w:r>
      <w:bookmarkEnd w:id="92"/>
      <w:bookmarkEnd w:id="93"/>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在有效检测范围内，除了能对违停进行自动取证外，还可以对逆行、压线、变道、机占非、违法掉头等其它违法行为进行自动取证，取证信息与违停取证类似，同时也具备车牌自动识别功能。</w:t>
      </w:r>
      <w:bookmarkStart w:id="94" w:name="_Toc515266721"/>
      <w:bookmarkStart w:id="95" w:name="_Toc433812665"/>
      <w:bookmarkStart w:id="96" w:name="_Toc433364232"/>
      <w:bookmarkStart w:id="97" w:name="_Toc303185592"/>
      <w:bookmarkStart w:id="98" w:name="_Toc408516958"/>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w:t>
      </w:r>
      <w:r>
        <w:rPr>
          <w:rFonts w:hint="eastAsia" w:ascii="宋体" w:hAnsi="宋体" w:cs="宋体"/>
          <w:bCs/>
          <w:color w:val="auto"/>
          <w:sz w:val="24"/>
          <w:lang w:val="zh-CN"/>
        </w:rPr>
        <w:t>违法片段录像功能</w:t>
      </w:r>
      <w:bookmarkEnd w:id="94"/>
      <w:bookmarkEnd w:id="95"/>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在进行违法图像记录的同时，可记录一段违法过程的片段录像，录像时间不少于5秒，作为违法处罚的辅助证据。</w:t>
      </w:r>
      <w:bookmarkStart w:id="99" w:name="_Toc433812666"/>
      <w:bookmarkStart w:id="100" w:name="_Toc515266722"/>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w:t>
      </w:r>
      <w:r>
        <w:rPr>
          <w:rFonts w:hint="eastAsia" w:ascii="宋体" w:hAnsi="宋体" w:cs="宋体"/>
          <w:bCs/>
          <w:color w:val="auto"/>
          <w:sz w:val="24"/>
          <w:lang w:val="zh-CN"/>
        </w:rPr>
        <w:t>手动取证功能</w:t>
      </w:r>
      <w:bookmarkEnd w:id="99"/>
      <w:bookmarkEnd w:id="100"/>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支持手动取证功能，包括手动跟踪取证和自动跟踪取证。开启手动抓拍取证后，系统能对</w:t>
      </w:r>
      <w:r>
        <w:rPr>
          <w:rFonts w:hint="eastAsia" w:ascii="宋体" w:hAnsi="宋体" w:cs="宋体"/>
          <w:b/>
          <w:color w:val="auto"/>
          <w:sz w:val="24"/>
        </w:rPr>
        <w:t>违法停车、违法压线、违法变道、违法逆行、违法掉头、闯禁左、闯禁右、闯禁行区、机动车非法占用非机动车道等</w:t>
      </w:r>
      <w:r>
        <w:rPr>
          <w:rFonts w:hint="eastAsia" w:ascii="宋体" w:hAnsi="宋体" w:cs="宋体"/>
          <w:color w:val="auto"/>
          <w:sz w:val="24"/>
        </w:rPr>
        <w:t>车辆违法行为进行抓拍取证。</w:t>
      </w:r>
    </w:p>
    <w:p>
      <w:pPr>
        <w:spacing w:line="360" w:lineRule="auto"/>
        <w:ind w:firstLine="480" w:firstLineChars="200"/>
        <w:rPr>
          <w:rFonts w:hint="eastAsia" w:ascii="宋体" w:hAnsi="宋体" w:cs="宋体"/>
          <w:b/>
          <w:color w:val="auto"/>
          <w:sz w:val="24"/>
        </w:rPr>
      </w:pPr>
      <w:bookmarkStart w:id="101" w:name="_Toc515266723"/>
      <w:bookmarkStart w:id="102" w:name="_Toc433812667"/>
      <w:r>
        <w:rPr>
          <w:rFonts w:hint="eastAsia" w:ascii="宋体" w:hAnsi="宋体" w:cs="宋体"/>
          <w:b w:val="0"/>
          <w:bCs/>
          <w:color w:val="auto"/>
          <w:sz w:val="24"/>
        </w:rPr>
        <w:t>9)</w:t>
      </w:r>
      <w:r>
        <w:rPr>
          <w:rFonts w:hint="eastAsia" w:ascii="宋体" w:hAnsi="宋体" w:cs="宋体"/>
          <w:bCs/>
          <w:color w:val="auto"/>
          <w:sz w:val="24"/>
          <w:lang w:val="zh-CN"/>
        </w:rPr>
        <w:t>多目标处理功能</w:t>
      </w:r>
      <w:bookmarkEnd w:id="101"/>
      <w:bookmarkEnd w:id="102"/>
    </w:p>
    <w:p>
      <w:pPr>
        <w:spacing w:line="360" w:lineRule="auto"/>
        <w:ind w:firstLine="480" w:firstLineChars="200"/>
        <w:rPr>
          <w:rFonts w:hint="eastAsia" w:ascii="宋体" w:hAnsi="宋体" w:cs="宋体"/>
          <w:b/>
          <w:color w:val="auto"/>
          <w:sz w:val="24"/>
        </w:rPr>
      </w:pPr>
      <w:r>
        <w:rPr>
          <w:rFonts w:hint="eastAsia" w:ascii="宋体" w:hAnsi="宋体" w:cs="宋体"/>
          <w:color w:val="auto"/>
          <w:sz w:val="24"/>
        </w:rPr>
        <w:t>可对检测区域内多个违法车辆进行检测取证，最多支持同时处理20个目标。对于同一场景下多目标同时进入检测区域的情况，首先对检测到的第一个目标采集第一组全景和特写图片，在球机回归预置位后再对检测区域内其它未进入抓拍队列的违法车辆进行第一组全景和特写图片的采集，然后按照设定的取证时限依次对抓拍队列中的车辆进行第二组全景和特写图片的采集及违法记录生成。</w:t>
      </w:r>
    </w:p>
    <w:p>
      <w:pPr>
        <w:spacing w:line="360" w:lineRule="auto"/>
        <w:ind w:firstLine="480" w:firstLineChars="200"/>
        <w:rPr>
          <w:rFonts w:hint="eastAsia" w:ascii="宋体" w:hAnsi="宋体" w:cs="宋体"/>
          <w:b/>
          <w:color w:val="auto"/>
          <w:sz w:val="24"/>
        </w:rPr>
      </w:pPr>
      <w:bookmarkStart w:id="103" w:name="_Toc433812668"/>
      <w:bookmarkStart w:id="104" w:name="_Toc515266724"/>
      <w:r>
        <w:rPr>
          <w:rFonts w:hint="eastAsia" w:ascii="宋体" w:hAnsi="宋体" w:cs="宋体"/>
          <w:color w:val="auto"/>
          <w:sz w:val="24"/>
        </w:rPr>
        <w:t>10）</w:t>
      </w:r>
      <w:r>
        <w:rPr>
          <w:rFonts w:hint="eastAsia" w:ascii="宋体" w:hAnsi="宋体" w:cs="宋体"/>
          <w:bCs/>
          <w:color w:val="auto"/>
          <w:sz w:val="24"/>
          <w:lang w:val="zh-CN"/>
        </w:rPr>
        <w:t>多场景快速轮询取证功能</w:t>
      </w:r>
      <w:bookmarkEnd w:id="103"/>
      <w:bookmarkEnd w:id="104"/>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针对球机同一个时间只能监控一个场景，而前端监控点可能有多个场景需要监控，各个场景发生违法停车的时间段不同的情况，系统支持多场景巡航取证，可根据实际情况设置巡航计划，最多支持16个预置违法检测场景，能有效提高取证效率。</w:t>
      </w:r>
      <w:bookmarkStart w:id="105" w:name="_Toc433812669"/>
      <w:bookmarkStart w:id="106" w:name="_Toc515266725"/>
    </w:p>
    <w:p>
      <w:pPr>
        <w:spacing w:line="360" w:lineRule="auto"/>
        <w:ind w:firstLine="480" w:firstLineChars="200"/>
        <w:rPr>
          <w:rFonts w:hint="eastAsia" w:ascii="宋体" w:hAnsi="宋体" w:cs="宋体"/>
          <w:b/>
          <w:color w:val="auto"/>
          <w:sz w:val="24"/>
        </w:rPr>
      </w:pPr>
      <w:r>
        <w:rPr>
          <w:rFonts w:hint="eastAsia" w:ascii="宋体" w:hAnsi="宋体" w:cs="宋体"/>
          <w:color w:val="auto"/>
          <w:sz w:val="24"/>
        </w:rPr>
        <w:t>多于多场景巡航取证时，系统除可以对新进入检测场景的违法车辆进行检测取证，也可以对场景内已停放的车辆进行检测取证。</w:t>
      </w:r>
    </w:p>
    <w:bookmarkEnd w:id="105"/>
    <w:bookmarkEnd w:id="106"/>
    <w:p>
      <w:pPr>
        <w:spacing w:line="360" w:lineRule="auto"/>
        <w:ind w:firstLine="480" w:firstLineChars="200"/>
        <w:rPr>
          <w:rFonts w:hint="eastAsia" w:ascii="宋体" w:hAnsi="宋体" w:cs="宋体"/>
          <w:b/>
          <w:color w:val="auto"/>
          <w:sz w:val="24"/>
        </w:rPr>
      </w:pPr>
      <w:bookmarkStart w:id="107" w:name="_Toc433812670"/>
      <w:bookmarkStart w:id="108" w:name="_Toc515266726"/>
      <w:r>
        <w:rPr>
          <w:rFonts w:hint="eastAsia" w:ascii="宋体" w:hAnsi="宋体" w:cs="宋体"/>
          <w:bCs/>
          <w:color w:val="auto"/>
          <w:sz w:val="24"/>
          <w:lang w:val="zh-CN"/>
        </w:rPr>
        <w:t>11)图像防篡改功能</w:t>
      </w:r>
      <w:bookmarkEnd w:id="96"/>
      <w:bookmarkEnd w:id="97"/>
      <w:bookmarkEnd w:id="98"/>
      <w:bookmarkEnd w:id="107"/>
      <w:bookmarkEnd w:id="108"/>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原始图像信息具备防篡改功能，对记录的每条违法记录图片叠加水印等防伪信息，防止在传输、存储、处理等过程中被人为篡改。</w:t>
      </w:r>
      <w:bookmarkStart w:id="109" w:name="_Toc408516956"/>
      <w:bookmarkStart w:id="110" w:name="_Toc433364230"/>
      <w:bookmarkStart w:id="111" w:name="_Toc433812671"/>
      <w:bookmarkStart w:id="112" w:name="_Toc303185590"/>
      <w:bookmarkStart w:id="113" w:name="_Toc515266727"/>
    </w:p>
    <w:p>
      <w:pPr>
        <w:spacing w:line="360" w:lineRule="auto"/>
        <w:ind w:firstLine="480" w:firstLineChars="200"/>
        <w:rPr>
          <w:rFonts w:hint="eastAsia" w:ascii="宋体" w:hAnsi="宋体" w:cs="宋体"/>
          <w:color w:val="auto"/>
          <w:sz w:val="24"/>
        </w:rPr>
      </w:pPr>
      <w:r>
        <w:rPr>
          <w:rFonts w:hint="eastAsia" w:ascii="宋体" w:hAnsi="宋体" w:cs="宋体"/>
          <w:bCs/>
          <w:color w:val="auto"/>
          <w:sz w:val="24"/>
          <w:lang w:val="zh-CN"/>
        </w:rPr>
        <w:t>12)数据断点续传功能</w:t>
      </w:r>
      <w:bookmarkEnd w:id="109"/>
      <w:bookmarkEnd w:id="110"/>
      <w:bookmarkEnd w:id="111"/>
      <w:bookmarkEnd w:id="112"/>
      <w:bookmarkEnd w:id="113"/>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当遇到网络中断或其他故障时，车辆信息存储在前端设备中，待故障排除后自动续传。</w:t>
      </w:r>
      <w:bookmarkStart w:id="114" w:name="_Toc515266728"/>
      <w:bookmarkStart w:id="115" w:name="_Toc433812672"/>
      <w:bookmarkStart w:id="116" w:name="_Toc382495929"/>
    </w:p>
    <w:bookmarkEnd w:id="85"/>
    <w:bookmarkEnd w:id="89"/>
    <w:bookmarkEnd w:id="114"/>
    <w:bookmarkEnd w:id="115"/>
    <w:bookmarkEnd w:id="116"/>
    <w:p>
      <w:pPr>
        <w:spacing w:line="360" w:lineRule="auto"/>
        <w:ind w:firstLine="480" w:firstLineChars="200"/>
        <w:rPr>
          <w:rFonts w:hint="eastAsia" w:ascii="宋体" w:hAnsi="宋体" w:cs="宋体"/>
          <w:color w:val="auto"/>
          <w:sz w:val="24"/>
        </w:rPr>
      </w:pPr>
      <w:bookmarkStart w:id="117" w:name="_Toc433812673"/>
      <w:bookmarkStart w:id="118" w:name="_Toc345508657"/>
      <w:bookmarkStart w:id="119" w:name="_Toc382495930"/>
      <w:bookmarkStart w:id="120" w:name="_Toc340665350"/>
      <w:bookmarkStart w:id="121" w:name="_Toc515266729"/>
      <w:bookmarkStart w:id="122" w:name="_Toc345508655"/>
      <w:bookmarkStart w:id="123" w:name="_Toc340665348"/>
      <w:r>
        <w:rPr>
          <w:rFonts w:hint="eastAsia" w:ascii="宋体" w:hAnsi="宋体" w:cs="宋体"/>
          <w:bCs/>
          <w:color w:val="auto"/>
          <w:sz w:val="24"/>
          <w:lang w:val="zh-CN"/>
        </w:rPr>
        <w:t>13)自动校时功能</w:t>
      </w:r>
      <w:bookmarkEnd w:id="117"/>
      <w:bookmarkEnd w:id="118"/>
      <w:bookmarkEnd w:id="119"/>
      <w:bookmarkEnd w:id="120"/>
      <w:bookmarkEnd w:id="121"/>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系统设计24h内的计时误差不超过1.0s，所有前端设备点位每日至少与监控中心系统时钟同步一次。</w:t>
      </w:r>
      <w:bookmarkStart w:id="124" w:name="_Toc303185593"/>
      <w:bookmarkStart w:id="125" w:name="_Toc515266730"/>
      <w:bookmarkStart w:id="126" w:name="_Toc331770092"/>
      <w:bookmarkStart w:id="127" w:name="_Toc433812674"/>
      <w:bookmarkStart w:id="128" w:name="_Toc382495931"/>
    </w:p>
    <w:bookmarkEnd w:id="122"/>
    <w:bookmarkEnd w:id="123"/>
    <w:bookmarkEnd w:id="124"/>
    <w:bookmarkEnd w:id="125"/>
    <w:bookmarkEnd w:id="126"/>
    <w:bookmarkEnd w:id="127"/>
    <w:bookmarkEnd w:id="128"/>
    <w:p>
      <w:pPr>
        <w:pStyle w:val="5"/>
        <w:tabs>
          <w:tab w:val="left" w:pos="720"/>
        </w:tabs>
        <w:spacing w:after="0"/>
        <w:ind w:firstLine="0" w:firstLineChars="0"/>
        <w:jc w:val="left"/>
        <w:rPr>
          <w:rFonts w:hint="eastAsia" w:ascii="宋体" w:eastAsia="宋体" w:cs="宋体"/>
          <w:b/>
          <w:bCs/>
          <w:color w:val="auto"/>
          <w:sz w:val="24"/>
          <w:szCs w:val="24"/>
        </w:rPr>
      </w:pPr>
      <w:r>
        <w:rPr>
          <w:rFonts w:hint="eastAsia" w:ascii="宋体" w:eastAsia="宋体" w:cs="宋体"/>
          <w:b/>
          <w:bCs/>
          <w:color w:val="auto"/>
          <w:sz w:val="24"/>
          <w:szCs w:val="24"/>
        </w:rPr>
        <w:t>（四）非灯控路口机动车人行横道不避让行人检测系统</w:t>
      </w:r>
    </w:p>
    <w:p>
      <w:pPr>
        <w:pStyle w:val="7"/>
        <w:tabs>
          <w:tab w:val="left" w:pos="425"/>
        </w:tabs>
        <w:spacing w:before="0" w:after="0"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1.系统描述</w:t>
      </w:r>
    </w:p>
    <w:p>
      <w:pPr>
        <w:pStyle w:val="208"/>
        <w:ind w:firstLine="480"/>
        <w:rPr>
          <w:rFonts w:hint="eastAsia" w:ascii="宋体" w:hAnsi="宋体"/>
          <w:color w:val="auto"/>
          <w:szCs w:val="24"/>
        </w:rPr>
      </w:pPr>
      <w:r>
        <w:rPr>
          <w:rFonts w:hint="eastAsia" w:ascii="宋体" w:hAnsi="宋体"/>
          <w:color w:val="auto"/>
          <w:szCs w:val="24"/>
        </w:rPr>
        <w:t>非灯控路口机动车人行横道不避让行人检测系统，根据行人检测区域检测行人个数，系统跟踪行人运动轨迹，给出行人横向的运动方向；对每个区域内不同运动方向的行人数量进行统计，并将该检测结果匹配到对应的车道上。系统默认的规则是：当行人运动轨迹与机动车行驶轨迹存在交叉且行人所在检测区域与机动车行驶车道相邻时进行检测有效人数。第一个位置能清晰辨别环境信息、机动车尾部信息和机动车未压到人行横道上的情况；第二个位置能清晰辨别环境信息、机动车尾部信息和机动车处于人行横道区域对行人通行造成干扰的情况；第三个位置能清晰辨别机动车尾部离开人行横道区域的情况；每张图片中车辆的位移不小于2米；并且至少有一个位置的信息能够清晰辨别号牌号码。</w:t>
      </w:r>
    </w:p>
    <w:p>
      <w:pPr>
        <w:pStyle w:val="208"/>
        <w:ind w:firstLine="480"/>
        <w:rPr>
          <w:rFonts w:hint="eastAsia" w:ascii="宋体" w:hAnsi="宋体"/>
          <w:color w:val="auto"/>
        </w:rPr>
      </w:pPr>
      <w:r>
        <w:rPr>
          <w:rFonts w:hint="eastAsia" w:ascii="宋体" w:hAnsi="宋体"/>
          <w:color w:val="auto"/>
        </w:rPr>
        <w:t>系统前端主要由图像采集单元、数据处理单元、网络通讯单元、LED补光、室外机柜及相关辅助设备单元组成。图像采集前端包括：900万像素高清摄像机、百万像素镜头、室外防护罩。-40℃~+70℃。</w:t>
      </w:r>
    </w:p>
    <w:p>
      <w:pPr>
        <w:pStyle w:val="7"/>
        <w:tabs>
          <w:tab w:val="left" w:pos="425"/>
        </w:tabs>
        <w:spacing w:before="0" w:after="0"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2.系统功能</w:t>
      </w:r>
    </w:p>
    <w:p>
      <w:pPr>
        <w:spacing w:line="360" w:lineRule="auto"/>
        <w:ind w:firstLine="480"/>
        <w:rPr>
          <w:rFonts w:hint="eastAsia" w:ascii="宋体" w:hAnsi="宋体" w:cs="宋体"/>
          <w:color w:val="auto"/>
          <w:sz w:val="24"/>
        </w:rPr>
      </w:pPr>
      <w:bookmarkStart w:id="129" w:name="_Toc372122542"/>
      <w:bookmarkStart w:id="130" w:name="_Toc485634570"/>
      <w:bookmarkStart w:id="131" w:name="_Toc376504932"/>
      <w:r>
        <w:rPr>
          <w:rFonts w:hint="eastAsia" w:ascii="宋体" w:hAnsi="宋体" w:cs="宋体"/>
          <w:color w:val="auto"/>
          <w:sz w:val="24"/>
        </w:rPr>
        <w:t>2.1不按规定避让行人违法行为记录功能</w:t>
      </w:r>
      <w:bookmarkEnd w:id="129"/>
      <w:bookmarkEnd w:id="130"/>
      <w:bookmarkEnd w:id="131"/>
    </w:p>
    <w:p>
      <w:pPr>
        <w:pStyle w:val="208"/>
        <w:ind w:firstLine="480"/>
        <w:rPr>
          <w:rFonts w:hint="eastAsia" w:ascii="宋体" w:hAnsi="宋体"/>
          <w:color w:val="auto"/>
          <w:szCs w:val="24"/>
        </w:rPr>
      </w:pPr>
      <w:r>
        <w:rPr>
          <w:rFonts w:hint="eastAsia" w:ascii="宋体" w:hAnsi="宋体"/>
          <w:color w:val="auto"/>
          <w:szCs w:val="24"/>
        </w:rPr>
        <w:t>在信号灯路口，当行人信号灯为绿灯时，右转车道上的机动车在行人检测区域内的人数大于或等于X（X可以设置，默认为1）人时越过人行横道，系统可自动记录机动车在此过程中的三个位置的图像信息，以反映机动车不按规定避让行人的行为。其中第一个位置能清晰辨别环境信息、机动车尾部信息和机动车未压到人行横道上的情况；第二个位置能清晰辨别环境信息、机动车尾部信息和机动车处于人行横道区域对行人通行造成干扰的情况；第三个位置能清晰辨别机动车尾部离开人行横道区域的情况；每张图片中车辆的位移不小于2米；并且至少有一个位置的信息能够清晰辨别号牌号码。</w:t>
      </w:r>
    </w:p>
    <w:p>
      <w:pPr>
        <w:pStyle w:val="208"/>
        <w:ind w:firstLine="480"/>
        <w:rPr>
          <w:rFonts w:hint="eastAsia" w:ascii="宋体" w:hAnsi="宋体"/>
          <w:color w:val="auto"/>
          <w:szCs w:val="24"/>
        </w:rPr>
      </w:pPr>
      <w:r>
        <w:rPr>
          <w:rFonts w:hint="eastAsia" w:ascii="宋体" w:hAnsi="宋体"/>
          <w:color w:val="auto"/>
          <w:szCs w:val="24"/>
        </w:rPr>
        <w:t>在输出不礼让行人违法的同时，截取2张信号灯摄像机的画面，用于佐证违法过程中行人信号灯为绿灯的情况。</w:t>
      </w:r>
    </w:p>
    <w:p>
      <w:pPr>
        <w:spacing w:line="360" w:lineRule="auto"/>
        <w:ind w:firstLine="480"/>
        <w:rPr>
          <w:rFonts w:hint="eastAsia" w:ascii="宋体" w:hAnsi="宋体" w:cs="宋体"/>
          <w:color w:val="auto"/>
          <w:sz w:val="24"/>
        </w:rPr>
      </w:pPr>
      <w:bookmarkStart w:id="132" w:name="_Toc376504933"/>
      <w:bookmarkStart w:id="133" w:name="_Toc485634571"/>
      <w:bookmarkStart w:id="134" w:name="_Toc372122543"/>
      <w:r>
        <w:rPr>
          <w:rFonts w:hint="eastAsia" w:ascii="宋体" w:hAnsi="宋体" w:cs="宋体"/>
          <w:color w:val="auto"/>
          <w:sz w:val="24"/>
        </w:rPr>
        <w:t>2.2车辆牌照自动识别功能</w:t>
      </w:r>
      <w:bookmarkEnd w:id="132"/>
      <w:bookmarkEnd w:id="133"/>
      <w:bookmarkEnd w:id="134"/>
    </w:p>
    <w:p>
      <w:pPr>
        <w:spacing w:line="360" w:lineRule="auto"/>
        <w:ind w:firstLine="480"/>
        <w:rPr>
          <w:rFonts w:hint="eastAsia" w:ascii="宋体" w:hAnsi="宋体" w:cs="宋体"/>
          <w:color w:val="auto"/>
          <w:sz w:val="24"/>
        </w:rPr>
      </w:pPr>
      <w:r>
        <w:rPr>
          <w:rFonts w:hint="eastAsia" w:ascii="宋体" w:hAnsi="宋体" w:cs="宋体"/>
          <w:color w:val="auto"/>
          <w:sz w:val="24"/>
        </w:rPr>
        <w:t>系统可自动对车辆牌照进行识别，包括车牌号码、车牌颜色的识别。</w:t>
      </w:r>
    </w:p>
    <w:p>
      <w:pPr>
        <w:spacing w:line="360" w:lineRule="auto"/>
        <w:ind w:firstLine="480"/>
        <w:rPr>
          <w:rFonts w:hint="eastAsia" w:ascii="宋体" w:hAnsi="宋体" w:cs="宋体"/>
          <w:color w:val="auto"/>
          <w:sz w:val="24"/>
        </w:rPr>
      </w:pPr>
      <w:bookmarkStart w:id="135" w:name="_Toc485634572"/>
      <w:bookmarkStart w:id="136" w:name="_Toc372122544"/>
      <w:bookmarkStart w:id="137" w:name="_Toc376504934"/>
      <w:r>
        <w:rPr>
          <w:rFonts w:hint="eastAsia" w:ascii="宋体" w:hAnsi="宋体" w:cs="宋体"/>
          <w:color w:val="auto"/>
          <w:sz w:val="24"/>
        </w:rPr>
        <w:t>2.3视频监测及录像功能</w:t>
      </w:r>
      <w:bookmarkEnd w:id="135"/>
      <w:bookmarkEnd w:id="136"/>
      <w:bookmarkEnd w:id="137"/>
    </w:p>
    <w:p>
      <w:pPr>
        <w:pStyle w:val="208"/>
        <w:ind w:firstLine="480"/>
        <w:rPr>
          <w:rFonts w:hint="eastAsia" w:ascii="宋体" w:hAnsi="宋体"/>
          <w:color w:val="auto"/>
          <w:szCs w:val="24"/>
        </w:rPr>
      </w:pPr>
      <w:r>
        <w:rPr>
          <w:rFonts w:hint="eastAsia" w:ascii="宋体" w:hAnsi="宋体"/>
          <w:color w:val="auto"/>
          <w:szCs w:val="24"/>
        </w:rPr>
        <w:t>高清摄像机在进行视频检测、图像采集的同时还能够提供1路高清视频流，在不影响识别的前提下，对道路通行状况进行实时视频监测和录像。</w:t>
      </w:r>
    </w:p>
    <w:p>
      <w:pPr>
        <w:spacing w:line="360" w:lineRule="auto"/>
        <w:ind w:firstLine="480"/>
        <w:rPr>
          <w:rFonts w:hint="eastAsia" w:ascii="宋体" w:hAnsi="宋体" w:cs="宋体"/>
          <w:color w:val="auto"/>
          <w:sz w:val="24"/>
        </w:rPr>
      </w:pPr>
      <w:bookmarkStart w:id="138" w:name="_Toc376504935"/>
      <w:bookmarkStart w:id="139" w:name="_Toc372122545"/>
      <w:bookmarkStart w:id="140" w:name="_Toc485634573"/>
      <w:r>
        <w:rPr>
          <w:rFonts w:hint="eastAsia" w:ascii="宋体" w:hAnsi="宋体" w:cs="宋体"/>
          <w:color w:val="auto"/>
          <w:sz w:val="24"/>
        </w:rPr>
        <w:t>2.4数据自动上传及补录功能</w:t>
      </w:r>
      <w:bookmarkEnd w:id="138"/>
      <w:bookmarkEnd w:id="139"/>
      <w:bookmarkEnd w:id="140"/>
    </w:p>
    <w:p>
      <w:pPr>
        <w:pStyle w:val="208"/>
        <w:ind w:firstLine="480"/>
        <w:rPr>
          <w:rFonts w:hint="eastAsia" w:ascii="宋体" w:hAnsi="宋体"/>
          <w:color w:val="auto"/>
          <w:lang w:val="zh-CN"/>
        </w:rPr>
      </w:pPr>
      <w:r>
        <w:rPr>
          <w:rFonts w:hint="eastAsia" w:ascii="宋体" w:hAnsi="宋体"/>
          <w:color w:val="auto"/>
          <w:szCs w:val="24"/>
        </w:rPr>
        <w:t>应具有数据自动上传及补录功能，终端服务器内置硬盘，并采用自动循环覆盖的数据存储机制，当存储达到最大储存容量时，自动进行循环覆盖。当前端监测点至后端中心管理平台之间的专线网络故障导致数据传输中断后，系统将继续在存储介质中临时存储数据，并在网络恢复后自动断点续传回后端管理平台。</w:t>
      </w:r>
    </w:p>
    <w:p>
      <w:pPr>
        <w:pStyle w:val="5"/>
        <w:tabs>
          <w:tab w:val="left" w:pos="720"/>
        </w:tabs>
        <w:spacing w:after="0"/>
        <w:ind w:firstLine="0" w:firstLineChars="0"/>
        <w:jc w:val="left"/>
        <w:rPr>
          <w:rFonts w:hint="eastAsia" w:ascii="宋体" w:eastAsia="宋体" w:cs="宋体"/>
          <w:b/>
          <w:bCs/>
          <w:color w:val="auto"/>
          <w:sz w:val="24"/>
          <w:szCs w:val="24"/>
        </w:rPr>
      </w:pPr>
      <w:r>
        <w:rPr>
          <w:rFonts w:hint="eastAsia" w:ascii="宋体" w:eastAsia="宋体" w:cs="宋体"/>
          <w:b/>
          <w:bCs/>
          <w:color w:val="auto"/>
          <w:sz w:val="24"/>
          <w:szCs w:val="24"/>
        </w:rPr>
        <w:t>（五）非机动车违法抓拍系统</w:t>
      </w:r>
    </w:p>
    <w:p>
      <w:pPr>
        <w:spacing w:line="360" w:lineRule="auto"/>
        <w:ind w:firstLine="480"/>
        <w:rPr>
          <w:rFonts w:hint="eastAsia" w:ascii="宋体" w:hAnsi="宋体" w:cs="宋体"/>
          <w:color w:val="auto"/>
          <w:sz w:val="24"/>
        </w:rPr>
      </w:pPr>
      <w:r>
        <w:rPr>
          <w:rFonts w:hint="eastAsia" w:ascii="宋体" w:hAnsi="宋体" w:cs="宋体"/>
          <w:color w:val="auto"/>
          <w:sz w:val="24"/>
        </w:rPr>
        <w:t>非机动车违法抓拍系统设计依据</w:t>
      </w:r>
    </w:p>
    <w:p>
      <w:pPr>
        <w:spacing w:line="360" w:lineRule="auto"/>
        <w:ind w:firstLine="480"/>
        <w:rPr>
          <w:rFonts w:hint="eastAsia" w:ascii="宋体" w:hAnsi="宋体" w:cs="宋体"/>
          <w:color w:val="auto"/>
          <w:sz w:val="24"/>
        </w:rPr>
      </w:pPr>
      <w:r>
        <w:rPr>
          <w:rFonts w:hint="eastAsia" w:ascii="宋体" w:hAnsi="宋体" w:cs="宋体"/>
          <w:color w:val="auto"/>
          <w:sz w:val="24"/>
        </w:rPr>
        <w:t>1.《中华人民共和国道路交通安全法》</w:t>
      </w:r>
    </w:p>
    <w:p>
      <w:pPr>
        <w:spacing w:line="360" w:lineRule="auto"/>
        <w:ind w:firstLine="480"/>
        <w:rPr>
          <w:rFonts w:hint="eastAsia" w:ascii="宋体" w:hAnsi="宋体" w:cs="宋体"/>
          <w:color w:val="auto"/>
          <w:sz w:val="24"/>
        </w:rPr>
      </w:pPr>
      <w:r>
        <w:rPr>
          <w:rFonts w:hint="eastAsia" w:ascii="宋体" w:hAnsi="宋体" w:cs="宋体"/>
          <w:color w:val="auto"/>
          <w:sz w:val="24"/>
        </w:rPr>
        <w:t>2.GA/T496-2014《闯红灯自动记录系统通用技术条件》</w:t>
      </w:r>
    </w:p>
    <w:p>
      <w:pPr>
        <w:spacing w:line="360" w:lineRule="auto"/>
        <w:ind w:firstLine="480"/>
        <w:rPr>
          <w:rFonts w:hint="eastAsia" w:ascii="宋体" w:hAnsi="宋体" w:cs="宋体"/>
          <w:color w:val="auto"/>
          <w:sz w:val="24"/>
        </w:rPr>
      </w:pPr>
      <w:r>
        <w:rPr>
          <w:rFonts w:hint="eastAsia" w:ascii="宋体" w:hAnsi="宋体" w:cs="宋体"/>
          <w:color w:val="auto"/>
          <w:sz w:val="24"/>
        </w:rPr>
        <w:t>3.GA/T497-2016《公路车辆智能监测记录系统通用技术条件》</w:t>
      </w:r>
    </w:p>
    <w:p>
      <w:pPr>
        <w:spacing w:line="360" w:lineRule="auto"/>
        <w:ind w:firstLine="480"/>
        <w:rPr>
          <w:rFonts w:hint="eastAsia" w:ascii="宋体" w:hAnsi="宋体" w:cs="宋体"/>
          <w:color w:val="auto"/>
          <w:sz w:val="24"/>
        </w:rPr>
      </w:pPr>
      <w:r>
        <w:rPr>
          <w:rFonts w:hint="eastAsia" w:ascii="宋体" w:hAnsi="宋体" w:cs="宋体"/>
          <w:color w:val="auto"/>
          <w:sz w:val="24"/>
        </w:rPr>
        <w:t>4.GA/T832-2014《道路交通安全违法行为图像取证技术规范》</w:t>
      </w:r>
    </w:p>
    <w:p>
      <w:pPr>
        <w:spacing w:line="360" w:lineRule="auto"/>
        <w:ind w:firstLine="480"/>
        <w:rPr>
          <w:rFonts w:hint="eastAsia" w:ascii="宋体" w:hAnsi="宋体" w:cs="宋体"/>
          <w:color w:val="auto"/>
          <w:sz w:val="24"/>
        </w:rPr>
      </w:pPr>
      <w:r>
        <w:rPr>
          <w:rFonts w:hint="eastAsia" w:ascii="宋体" w:hAnsi="宋体" w:cs="宋体"/>
          <w:color w:val="auto"/>
          <w:sz w:val="24"/>
        </w:rPr>
        <w:t>5.GA/T870-2010《闯红灯自动记录系统验收技术规范》</w:t>
      </w:r>
    </w:p>
    <w:p>
      <w:pPr>
        <w:spacing w:line="360" w:lineRule="auto"/>
        <w:ind w:firstLine="480"/>
        <w:rPr>
          <w:rFonts w:hint="eastAsia" w:ascii="宋体" w:hAnsi="宋体" w:cs="宋体"/>
          <w:color w:val="auto"/>
          <w:sz w:val="24"/>
        </w:rPr>
      </w:pPr>
      <w:r>
        <w:rPr>
          <w:rFonts w:hint="eastAsia" w:ascii="宋体" w:hAnsi="宋体" w:cs="宋体"/>
          <w:color w:val="auto"/>
          <w:sz w:val="24"/>
        </w:rPr>
        <w:t>6.GA/T833-2016《机动车号牌图像自动识别技术规范》</w:t>
      </w:r>
    </w:p>
    <w:p>
      <w:pPr>
        <w:spacing w:line="360" w:lineRule="auto"/>
        <w:ind w:firstLine="480"/>
        <w:rPr>
          <w:rFonts w:hint="eastAsia" w:ascii="宋体" w:hAnsi="宋体" w:cs="宋体"/>
          <w:color w:val="auto"/>
          <w:sz w:val="24"/>
        </w:rPr>
      </w:pPr>
      <w:r>
        <w:rPr>
          <w:rFonts w:hint="eastAsia" w:ascii="宋体" w:hAnsi="宋体" w:cs="宋体"/>
          <w:color w:val="auto"/>
          <w:sz w:val="24"/>
        </w:rPr>
        <w:t>7.GB 50254～50259-96《电气装置安装工程施工及验收规范》</w:t>
      </w:r>
    </w:p>
    <w:p>
      <w:pPr>
        <w:spacing w:line="360" w:lineRule="auto"/>
        <w:ind w:firstLine="480"/>
        <w:rPr>
          <w:rFonts w:hint="eastAsia" w:ascii="宋体" w:hAnsi="宋体" w:cs="宋体"/>
          <w:color w:val="auto"/>
          <w:sz w:val="24"/>
        </w:rPr>
      </w:pPr>
      <w:r>
        <w:rPr>
          <w:rFonts w:hint="eastAsia" w:ascii="宋体" w:hAnsi="宋体" w:cs="宋体"/>
          <w:color w:val="auto"/>
          <w:sz w:val="24"/>
        </w:rPr>
        <w:t>8.JTG F90-2015《公路工程施工安全技术规范》</w:t>
      </w:r>
    </w:p>
    <w:p>
      <w:pPr>
        <w:spacing w:line="360" w:lineRule="auto"/>
        <w:ind w:firstLine="480"/>
        <w:rPr>
          <w:rFonts w:hint="eastAsia" w:ascii="宋体" w:hAnsi="宋体" w:cs="宋体"/>
          <w:color w:val="auto"/>
          <w:sz w:val="24"/>
        </w:rPr>
      </w:pPr>
      <w:r>
        <w:rPr>
          <w:rFonts w:hint="eastAsia" w:ascii="宋体" w:hAnsi="宋体" w:cs="宋体"/>
          <w:color w:val="auto"/>
          <w:sz w:val="24"/>
        </w:rPr>
        <w:t>9.GB50057-2016《建筑物防雷设计规范》</w:t>
      </w:r>
    </w:p>
    <w:p>
      <w:pPr>
        <w:spacing w:line="360" w:lineRule="auto"/>
        <w:ind w:firstLine="480"/>
        <w:rPr>
          <w:rFonts w:hint="eastAsia" w:ascii="宋体" w:hAnsi="宋体" w:cs="宋体"/>
          <w:color w:val="auto"/>
          <w:sz w:val="24"/>
        </w:rPr>
      </w:pPr>
      <w:r>
        <w:rPr>
          <w:rFonts w:hint="eastAsia" w:ascii="宋体" w:hAnsi="宋体" w:cs="宋体"/>
          <w:color w:val="auto"/>
          <w:sz w:val="24"/>
        </w:rPr>
        <w:t>10.上述技术标准规范如与国家、行业最新标准相抵触或未能罗列完全时，应以国家、行业最新标准为依据。</w:t>
      </w:r>
    </w:p>
    <w:p>
      <w:pPr>
        <w:pStyle w:val="7"/>
        <w:spacing w:before="240" w:after="0" w:line="360" w:lineRule="auto"/>
        <w:jc w:val="left"/>
        <w:rPr>
          <w:rFonts w:hint="eastAsia" w:ascii="宋体" w:hAnsi="宋体" w:cs="宋体"/>
          <w:color w:val="auto"/>
          <w:sz w:val="24"/>
          <w:szCs w:val="24"/>
        </w:rPr>
      </w:pPr>
      <w:r>
        <w:rPr>
          <w:rFonts w:hint="eastAsia" w:ascii="宋体" w:hAnsi="宋体" w:cs="宋体"/>
          <w:color w:val="auto"/>
          <w:sz w:val="24"/>
          <w:szCs w:val="24"/>
        </w:rPr>
        <w:t xml:space="preserve">    1.系统描述</w:t>
      </w:r>
    </w:p>
    <w:p>
      <w:pPr>
        <w:spacing w:line="360" w:lineRule="auto"/>
        <w:ind w:firstLine="480"/>
        <w:rPr>
          <w:rFonts w:hint="eastAsia" w:ascii="宋体" w:hAnsi="宋体" w:cs="宋体"/>
          <w:color w:val="auto"/>
          <w:sz w:val="24"/>
        </w:rPr>
      </w:pPr>
      <w:r>
        <w:rPr>
          <w:rFonts w:hint="eastAsia" w:ascii="宋体" w:hAnsi="宋体" w:cs="宋体"/>
          <w:color w:val="auto"/>
          <w:sz w:val="24"/>
        </w:rPr>
        <w:t>非机动车违法抓拍系统前端主要由图像采集单元、数据处理单元、网络通讯单元、室外机柜及相关辅助设备单元组成。系统可完成违法事件检测，如闯红灯、实线变道、不按规定车道行驶、逆行等的检测并抓拍三张图片和一张特写图片合并为一张图片作为违法依据。且有自动识别车辆号牌号码、号牌颜色、车牌类型等，并对违法过程录像，还具有绿灯卡口功能、交通流量统计功能。</w:t>
      </w:r>
    </w:p>
    <w:p>
      <w:pPr>
        <w:spacing w:line="360" w:lineRule="auto"/>
        <w:ind w:firstLine="480"/>
        <w:rPr>
          <w:rFonts w:ascii="宋体" w:hAnsi="宋体" w:cs="宋体"/>
          <w:color w:val="auto"/>
          <w:sz w:val="24"/>
        </w:rPr>
      </w:pPr>
      <w:r>
        <w:rPr>
          <w:rFonts w:hint="eastAsia" w:ascii="宋体" w:hAnsi="宋体" w:cs="宋体"/>
          <w:color w:val="auto"/>
          <w:sz w:val="24"/>
        </w:rPr>
        <w:t>本项目采用高清拍照摄像一体机视频检测方式，实现对非机动车闯红灯、逆向、违法载人等行为进行违法记录，记录非机动车违法过程中两至三个位置的信息，以反映非机动车交通违法过程。并且至少有一个位置的信息能够清晰辨别号牌号码。同时要求三张违法照片组合成一张违法证据照片，添加相应的水印信息，上传至交警指挥中心系统集成平台违法数据库。配合后台中心平台分析，实时取流，通过视频结构化分析分析非机动车违法，并生成非机动车在违法过程中两至三个位置的信息，以反映非机动车交通违法过程并且至少有一个位置的信息能够清晰辨别号牌号码。同时要求三张违法照片组合成一张违法证据照片，添加相应的水印信息，上传至交警指挥中心系统集成平台违法数据库。</w:t>
      </w:r>
    </w:p>
    <w:p>
      <w:pPr>
        <w:pStyle w:val="7"/>
        <w:spacing w:before="240" w:after="0" w:line="360" w:lineRule="auto"/>
        <w:jc w:val="left"/>
        <w:rPr>
          <w:rFonts w:hint="eastAsia" w:ascii="宋体" w:hAnsi="宋体" w:cs="宋体"/>
          <w:color w:val="auto"/>
          <w:sz w:val="24"/>
          <w:szCs w:val="24"/>
        </w:rPr>
      </w:pPr>
      <w:r>
        <w:rPr>
          <w:rFonts w:hint="eastAsia" w:ascii="宋体" w:hAnsi="宋体" w:cs="宋体"/>
          <w:color w:val="auto"/>
          <w:sz w:val="24"/>
          <w:szCs w:val="24"/>
        </w:rPr>
        <w:t xml:space="preserve">    2.系统主要功能</w:t>
      </w:r>
    </w:p>
    <w:p>
      <w:pPr>
        <w:spacing w:line="360" w:lineRule="auto"/>
        <w:ind w:firstLine="480"/>
        <w:rPr>
          <w:rFonts w:hint="eastAsia" w:ascii="宋体" w:hAnsi="宋体" w:cs="宋体"/>
          <w:color w:val="auto"/>
          <w:sz w:val="24"/>
        </w:rPr>
      </w:pPr>
      <w:r>
        <w:rPr>
          <w:rFonts w:hint="eastAsia" w:ascii="宋体" w:hAnsi="宋体" w:cs="宋体"/>
          <w:color w:val="auto"/>
          <w:sz w:val="24"/>
        </w:rPr>
        <w:t>非机动车违法抓拍系统具备闯红灯违法检测及抓拍功能、违法事件检测及抓拍功能、绿灯时卡口功能、交通流量检测功能、车牌识别功能、图片拼接及信息叠加功能、图片防篡改功能、录像功能、数据管理功能、历史数据查询和管理功能、故障检测功能、校时功能、通讯功能。</w:t>
      </w:r>
    </w:p>
    <w:p>
      <w:pPr>
        <w:spacing w:line="360" w:lineRule="auto"/>
        <w:ind w:firstLine="480"/>
        <w:rPr>
          <w:rFonts w:hint="eastAsia" w:ascii="宋体" w:hAnsi="宋体" w:cs="宋体"/>
          <w:color w:val="auto"/>
          <w:sz w:val="24"/>
        </w:rPr>
      </w:pPr>
      <w:r>
        <w:rPr>
          <w:rFonts w:hint="eastAsia" w:ascii="宋体" w:hAnsi="宋体" w:cs="宋体"/>
          <w:color w:val="auto"/>
          <w:sz w:val="24"/>
        </w:rPr>
        <w:t>2.1 闯红灯违法检测及抓拍功能：具有闯红灯判断（闯红灯）或车辆判断（卡口），并抓拍的功能，闯红灯（红灯信号下）抓拍三张全景图片，分别为停止线前，越过停止线，以反映机动车闯红灯违法过程。</w:t>
      </w:r>
    </w:p>
    <w:p>
      <w:pPr>
        <w:spacing w:line="360" w:lineRule="auto"/>
        <w:ind w:firstLine="480"/>
        <w:rPr>
          <w:rFonts w:hint="eastAsia" w:ascii="宋体" w:hAnsi="宋体" w:cs="宋体"/>
          <w:color w:val="auto"/>
          <w:sz w:val="24"/>
        </w:rPr>
      </w:pPr>
      <w:r>
        <w:rPr>
          <w:rFonts w:hint="eastAsia" w:ascii="宋体" w:hAnsi="宋体" w:cs="宋体"/>
          <w:color w:val="auto"/>
          <w:sz w:val="24"/>
        </w:rPr>
        <w:t>所拍相片可清晰辨认违法车辆的车牌号码、车牌颜色、车型、违法地点与方向信息、停车线、信号灯色、闯红灯时间（年、月、日、时、分、秒）。所拍摄的闯红灯图像，其图像中的信号灯红色突出、明显、无法律异议。</w:t>
      </w:r>
    </w:p>
    <w:p>
      <w:pPr>
        <w:spacing w:line="360" w:lineRule="auto"/>
        <w:ind w:firstLine="480"/>
        <w:rPr>
          <w:rFonts w:hint="eastAsia" w:ascii="宋体" w:hAnsi="宋体" w:cs="宋体"/>
          <w:color w:val="auto"/>
          <w:sz w:val="24"/>
        </w:rPr>
      </w:pPr>
      <w:r>
        <w:rPr>
          <w:rFonts w:hint="eastAsia" w:ascii="宋体" w:hAnsi="宋体" w:cs="宋体"/>
          <w:color w:val="auto"/>
          <w:sz w:val="24"/>
        </w:rPr>
        <w:t>2.2 其它违法行为检测功能：可以完成违法越线、不按车道行驶、实线变道、逆行等违法事件的检测，以及三张过程图片的抓拍，信息的记录。</w:t>
      </w:r>
    </w:p>
    <w:p>
      <w:pPr>
        <w:spacing w:line="360" w:lineRule="auto"/>
        <w:ind w:firstLine="480"/>
        <w:rPr>
          <w:rFonts w:hint="eastAsia" w:ascii="宋体" w:hAnsi="宋体" w:cs="宋体"/>
          <w:color w:val="auto"/>
          <w:sz w:val="24"/>
        </w:rPr>
      </w:pPr>
      <w:r>
        <w:rPr>
          <w:rFonts w:hint="eastAsia" w:ascii="宋体" w:hAnsi="宋体" w:cs="宋体"/>
          <w:color w:val="auto"/>
          <w:sz w:val="24"/>
        </w:rPr>
        <w:t>2.3 绿灯时卡口功能：可以捕获绿灯时经过的车辆，并抓拍一张图片。</w:t>
      </w:r>
    </w:p>
    <w:p>
      <w:pPr>
        <w:spacing w:line="360" w:lineRule="auto"/>
        <w:ind w:firstLine="480"/>
        <w:rPr>
          <w:rFonts w:hint="eastAsia" w:ascii="宋体" w:hAnsi="宋体" w:cs="宋体"/>
          <w:color w:val="auto"/>
          <w:sz w:val="24"/>
        </w:rPr>
      </w:pPr>
      <w:r>
        <w:rPr>
          <w:rFonts w:hint="eastAsia" w:ascii="宋体" w:hAnsi="宋体" w:cs="宋体"/>
          <w:color w:val="auto"/>
          <w:sz w:val="24"/>
        </w:rPr>
        <w:t>2.4 交通流量检测功能：可完成计数、测速、车道占有率等功能。</w:t>
      </w:r>
    </w:p>
    <w:p>
      <w:pPr>
        <w:spacing w:line="360" w:lineRule="auto"/>
        <w:ind w:firstLine="480"/>
        <w:rPr>
          <w:rFonts w:hint="eastAsia" w:ascii="宋体" w:hAnsi="宋体" w:cs="宋体"/>
          <w:color w:val="auto"/>
          <w:sz w:val="24"/>
        </w:rPr>
      </w:pPr>
      <w:r>
        <w:rPr>
          <w:rFonts w:hint="eastAsia" w:ascii="宋体" w:hAnsi="宋体" w:cs="宋体"/>
          <w:color w:val="auto"/>
          <w:sz w:val="24"/>
        </w:rPr>
        <w:t>2.5 车牌识别功能：具备车辆号牌自动识别功能，其用于号牌识别的字符库应齐全，即应能识别在我国道路上行驶等机动车牌号，至少包括GA36规定的号牌（除摩托车号牌、低速车号牌、临时号牌、拖拉机号牌外）、武警汽车号牌和军队汽车号牌等。</w:t>
      </w:r>
    </w:p>
    <w:p>
      <w:pPr>
        <w:spacing w:line="360" w:lineRule="auto"/>
        <w:ind w:firstLine="480"/>
        <w:rPr>
          <w:rFonts w:hint="eastAsia" w:ascii="宋体" w:hAnsi="宋体" w:cs="宋体"/>
          <w:color w:val="auto"/>
          <w:sz w:val="24"/>
        </w:rPr>
      </w:pPr>
      <w:r>
        <w:rPr>
          <w:rFonts w:hint="eastAsia" w:ascii="宋体" w:hAnsi="宋体" w:cs="宋体"/>
          <w:color w:val="auto"/>
          <w:sz w:val="24"/>
        </w:rPr>
        <w:t>具备对高清图片中包含两个或以上车道中的多辆车进行车牌自动定位并识别功能。并利用基于视频流的识别技术提高识别率。</w:t>
      </w:r>
    </w:p>
    <w:p>
      <w:pPr>
        <w:spacing w:line="360" w:lineRule="auto"/>
        <w:ind w:firstLine="480"/>
        <w:rPr>
          <w:rFonts w:hint="eastAsia" w:ascii="宋体" w:hAnsi="宋体" w:cs="宋体"/>
          <w:color w:val="auto"/>
          <w:sz w:val="24"/>
        </w:rPr>
      </w:pPr>
      <w:r>
        <w:rPr>
          <w:rFonts w:hint="eastAsia" w:ascii="宋体" w:hAnsi="宋体" w:cs="宋体"/>
          <w:color w:val="auto"/>
          <w:sz w:val="24"/>
        </w:rPr>
        <w:t>2.6 信息叠加功能：将抓拍信息、事件检测信息、交通流量信息、车牌识别结果等信息叠加到对应的抓拍图片中；在闯红灯中还要将四张图片整合到一起。合成的图片清晰度应能满足人工对车辆号牌号码认定的要求，且不应出现因红灯信号泛白、光晕等颜色失真而影响人工对红灯信号的判断。</w:t>
      </w:r>
    </w:p>
    <w:p>
      <w:pPr>
        <w:spacing w:line="360" w:lineRule="auto"/>
        <w:ind w:firstLine="480"/>
        <w:rPr>
          <w:rFonts w:hint="eastAsia" w:ascii="宋体" w:hAnsi="宋体" w:cs="宋体"/>
          <w:color w:val="auto"/>
          <w:sz w:val="24"/>
        </w:rPr>
      </w:pPr>
      <w:r>
        <w:rPr>
          <w:rFonts w:hint="eastAsia" w:ascii="宋体" w:hAnsi="宋体" w:cs="宋体"/>
          <w:color w:val="auto"/>
          <w:sz w:val="24"/>
        </w:rPr>
        <w:t>2.7 防篡改功能：将信息叠加后的图片进行防篡改处理。</w:t>
      </w:r>
    </w:p>
    <w:p>
      <w:pPr>
        <w:spacing w:line="360" w:lineRule="auto"/>
        <w:ind w:firstLine="480"/>
        <w:rPr>
          <w:rFonts w:hint="eastAsia" w:ascii="宋体" w:hAnsi="宋体" w:cs="宋体"/>
          <w:color w:val="auto"/>
          <w:sz w:val="24"/>
        </w:rPr>
      </w:pPr>
      <w:r>
        <w:rPr>
          <w:rFonts w:hint="eastAsia" w:ascii="宋体" w:hAnsi="宋体" w:cs="宋体"/>
          <w:color w:val="auto"/>
          <w:sz w:val="24"/>
        </w:rPr>
        <w:t>2.8 图片压缩功能：将防篡改处理后的图片以JPEG格式压缩。</w:t>
      </w:r>
    </w:p>
    <w:p>
      <w:pPr>
        <w:spacing w:line="360" w:lineRule="auto"/>
        <w:ind w:firstLine="480"/>
        <w:rPr>
          <w:rFonts w:hint="eastAsia" w:ascii="宋体" w:hAnsi="宋体" w:cs="宋体"/>
          <w:color w:val="auto"/>
          <w:sz w:val="24"/>
        </w:rPr>
      </w:pPr>
      <w:r>
        <w:rPr>
          <w:rFonts w:hint="eastAsia" w:ascii="宋体" w:hAnsi="宋体" w:cs="宋体"/>
          <w:color w:val="auto"/>
          <w:sz w:val="24"/>
        </w:rPr>
        <w:t>2.9 录像功能：具有违法录像和实时录像功能，对违法过程进行5秒钟录像，记录违法过程，并可记录至少每秒25帧的高清实时录像。</w:t>
      </w:r>
    </w:p>
    <w:p>
      <w:pPr>
        <w:spacing w:line="360" w:lineRule="auto"/>
        <w:ind w:firstLine="480"/>
        <w:rPr>
          <w:rFonts w:hint="eastAsia" w:ascii="宋体" w:hAnsi="宋体" w:cs="宋体"/>
          <w:color w:val="auto"/>
          <w:sz w:val="24"/>
        </w:rPr>
      </w:pPr>
      <w:r>
        <w:rPr>
          <w:rFonts w:hint="eastAsia" w:ascii="宋体" w:hAnsi="宋体" w:cs="宋体"/>
          <w:color w:val="auto"/>
          <w:sz w:val="24"/>
        </w:rPr>
        <w:t>2.10 记录及图像存储功能</w:t>
      </w:r>
    </w:p>
    <w:p>
      <w:pPr>
        <w:spacing w:line="360" w:lineRule="auto"/>
        <w:ind w:firstLine="480"/>
        <w:rPr>
          <w:rFonts w:hint="eastAsia" w:ascii="宋体" w:hAnsi="宋体" w:cs="宋体"/>
          <w:color w:val="auto"/>
          <w:sz w:val="24"/>
        </w:rPr>
      </w:pPr>
      <w:r>
        <w:rPr>
          <w:rFonts w:hint="eastAsia" w:ascii="宋体" w:hAnsi="宋体" w:cs="宋体"/>
          <w:color w:val="auto"/>
          <w:sz w:val="24"/>
        </w:rPr>
        <w:t>系统自动抓拍车辆图像，并记录车辆通过的信息，包括时间、地点、号牌、车型等，图片以JPEG格式,动态图像以MPEG-4格式实时存储在抓拍控制器中。</w:t>
      </w:r>
    </w:p>
    <w:p>
      <w:pPr>
        <w:spacing w:line="360" w:lineRule="auto"/>
        <w:ind w:firstLine="480"/>
        <w:rPr>
          <w:rFonts w:hint="eastAsia" w:ascii="宋体" w:hAnsi="宋体" w:cs="宋体"/>
          <w:color w:val="auto"/>
          <w:sz w:val="24"/>
        </w:rPr>
      </w:pPr>
      <w:r>
        <w:rPr>
          <w:rFonts w:hint="eastAsia" w:ascii="宋体" w:hAnsi="宋体" w:cs="宋体"/>
          <w:color w:val="auto"/>
          <w:sz w:val="24"/>
        </w:rPr>
        <w:t>2.11 数据管理功能：具有数据管理功能，能够存储记录在本地存储器，并可以把记录通过网络上传给中心，也可支持记录本地下载。</w:t>
      </w:r>
    </w:p>
    <w:p>
      <w:pPr>
        <w:spacing w:line="360" w:lineRule="auto"/>
        <w:ind w:firstLine="480"/>
        <w:rPr>
          <w:rFonts w:hint="eastAsia" w:ascii="宋体" w:hAnsi="宋体" w:cs="宋体"/>
          <w:color w:val="auto"/>
          <w:sz w:val="24"/>
        </w:rPr>
      </w:pPr>
      <w:r>
        <w:rPr>
          <w:rFonts w:hint="eastAsia" w:ascii="宋体" w:hAnsi="宋体" w:cs="宋体"/>
          <w:color w:val="auto"/>
          <w:sz w:val="24"/>
        </w:rPr>
        <w:t>2.12 历史数据查询和管理功能：可通过配置工具软件实现对历史数据的查询和相应管理功能。</w:t>
      </w:r>
    </w:p>
    <w:p>
      <w:pPr>
        <w:spacing w:line="360" w:lineRule="auto"/>
        <w:ind w:firstLine="480"/>
        <w:rPr>
          <w:rFonts w:hint="eastAsia" w:ascii="宋体" w:hAnsi="宋体" w:cs="宋体"/>
          <w:color w:val="auto"/>
          <w:sz w:val="24"/>
        </w:rPr>
      </w:pPr>
      <w:r>
        <w:rPr>
          <w:rFonts w:hint="eastAsia" w:ascii="宋体" w:hAnsi="宋体" w:cs="宋体"/>
          <w:color w:val="auto"/>
          <w:sz w:val="24"/>
        </w:rPr>
        <w:t>2.13 故障检测及自动重启功能：具备设备故障的检测，可通过通讯接口实时上传故障信息。故障检测包括：图像的对比度、时钟同步、通讯网络故障、日志的更改或清除、视频信号的丢失或损坏、错误的视频格式等。</w:t>
      </w:r>
    </w:p>
    <w:p>
      <w:pPr>
        <w:spacing w:line="360" w:lineRule="auto"/>
        <w:ind w:firstLine="480"/>
        <w:rPr>
          <w:rFonts w:hint="eastAsia" w:ascii="宋体" w:hAnsi="宋体" w:cs="宋体"/>
          <w:color w:val="auto"/>
          <w:sz w:val="24"/>
        </w:rPr>
      </w:pPr>
      <w:r>
        <w:rPr>
          <w:rFonts w:hint="eastAsia" w:ascii="宋体" w:hAnsi="宋体" w:cs="宋体"/>
          <w:color w:val="auto"/>
          <w:sz w:val="24"/>
        </w:rPr>
        <w:t>可定期检测系统各模块运行情况，采用看门狗，死机时具有自动复位功能，同时具有定时重启功能，定时重启间隔时间可自行设定。</w:t>
      </w:r>
    </w:p>
    <w:p>
      <w:pPr>
        <w:spacing w:line="360" w:lineRule="auto"/>
        <w:ind w:firstLine="480"/>
        <w:rPr>
          <w:rFonts w:hint="eastAsia" w:ascii="宋体" w:hAnsi="宋体" w:cs="宋体"/>
          <w:color w:val="auto"/>
          <w:sz w:val="24"/>
        </w:rPr>
      </w:pPr>
      <w:r>
        <w:rPr>
          <w:rFonts w:hint="eastAsia" w:ascii="宋体" w:hAnsi="宋体" w:cs="宋体"/>
          <w:color w:val="auto"/>
          <w:sz w:val="24"/>
        </w:rPr>
        <w:t>2.14 校正时钟功能：具有自动校正时钟功能，利用NTP时钟服务器，采用NTP协议实现了自动对时功能，并相应设置RTC时钟，设置系统时间，与大队时钟服务器相对照，误差≤0.5秒。</w:t>
      </w:r>
    </w:p>
    <w:p>
      <w:pPr>
        <w:spacing w:line="360" w:lineRule="auto"/>
        <w:ind w:firstLine="480"/>
        <w:rPr>
          <w:rFonts w:hint="eastAsia" w:ascii="宋体" w:hAnsi="宋体" w:cs="宋体"/>
          <w:color w:val="auto"/>
          <w:sz w:val="24"/>
        </w:rPr>
      </w:pPr>
      <w:r>
        <w:rPr>
          <w:rFonts w:hint="eastAsia" w:ascii="宋体" w:hAnsi="宋体" w:cs="宋体"/>
          <w:color w:val="auto"/>
          <w:sz w:val="24"/>
        </w:rPr>
        <w:t>2.15 通讯功能：具有本地存储，断点续传功能，本地下载功能。正常情况下，能实时把违法信息及图片，或卡口信息及图片传至控制中心。当遇到网络故障导致传输失败，具备断点续传功能，即网络故障时，可存储在电子警察处理器的硬盘或U盘中，可用手动下载方式提取照片，待网络恢复后继续传至中心。</w:t>
      </w:r>
    </w:p>
    <w:p>
      <w:pPr>
        <w:spacing w:line="360" w:lineRule="auto"/>
        <w:ind w:firstLine="480"/>
        <w:rPr>
          <w:rFonts w:hint="eastAsia" w:ascii="宋体" w:hAnsi="宋体" w:cs="宋体"/>
          <w:color w:val="auto"/>
          <w:sz w:val="24"/>
        </w:rPr>
      </w:pPr>
      <w:r>
        <w:rPr>
          <w:rFonts w:hint="eastAsia" w:ascii="宋体" w:hAnsi="宋体" w:cs="宋体"/>
          <w:color w:val="auto"/>
          <w:sz w:val="24"/>
        </w:rPr>
        <w:t>2.16 自动检测环境照度，自动打开或关闭环境照明。</w:t>
      </w:r>
    </w:p>
    <w:p>
      <w:pPr>
        <w:pStyle w:val="7"/>
        <w:spacing w:before="240" w:after="0" w:line="360" w:lineRule="auto"/>
        <w:jc w:val="left"/>
        <w:rPr>
          <w:rFonts w:hint="eastAsia" w:ascii="宋体" w:hAnsi="宋体" w:cs="宋体"/>
          <w:color w:val="auto"/>
          <w:sz w:val="24"/>
          <w:szCs w:val="24"/>
        </w:rPr>
      </w:pPr>
      <w:r>
        <w:rPr>
          <w:rFonts w:hint="eastAsia" w:ascii="宋体" w:hAnsi="宋体" w:cs="宋体"/>
          <w:color w:val="auto"/>
          <w:sz w:val="24"/>
          <w:szCs w:val="24"/>
        </w:rPr>
        <w:t xml:space="preserve">    3.系统性能要求</w:t>
      </w:r>
    </w:p>
    <w:p>
      <w:pPr>
        <w:spacing w:line="360" w:lineRule="auto"/>
        <w:ind w:firstLine="480"/>
        <w:rPr>
          <w:rFonts w:hint="eastAsia" w:ascii="宋体" w:hAnsi="宋体" w:cs="宋体"/>
          <w:color w:val="auto"/>
          <w:sz w:val="24"/>
        </w:rPr>
      </w:pPr>
      <w:r>
        <w:rPr>
          <w:rFonts w:hint="eastAsia" w:ascii="宋体" w:hAnsi="宋体" w:cs="宋体"/>
          <w:color w:val="auto"/>
          <w:sz w:val="24"/>
        </w:rPr>
        <w:t>3.1技术指标</w:t>
      </w:r>
    </w:p>
    <w:p>
      <w:pPr>
        <w:spacing w:line="360" w:lineRule="auto"/>
        <w:ind w:firstLine="480"/>
        <w:rPr>
          <w:rFonts w:hint="eastAsia" w:ascii="宋体" w:hAnsi="宋体" w:cs="宋体"/>
          <w:color w:val="auto"/>
          <w:sz w:val="24"/>
        </w:rPr>
      </w:pPr>
      <w:r>
        <w:rPr>
          <w:rFonts w:hint="eastAsia" w:ascii="宋体" w:hAnsi="宋体" w:cs="宋体"/>
          <w:color w:val="auto"/>
          <w:sz w:val="24"/>
        </w:rPr>
        <w:t>视频触发捕获率：，全天平均车辆捕获率≥95%；</w:t>
      </w:r>
    </w:p>
    <w:p>
      <w:pPr>
        <w:spacing w:line="360" w:lineRule="auto"/>
        <w:ind w:firstLine="480"/>
        <w:rPr>
          <w:rFonts w:hint="eastAsia" w:ascii="宋体" w:hAnsi="宋体" w:cs="宋体"/>
          <w:color w:val="auto"/>
          <w:sz w:val="24"/>
        </w:rPr>
      </w:pPr>
      <w:r>
        <w:rPr>
          <w:rFonts w:hint="eastAsia" w:ascii="宋体" w:hAnsi="宋体" w:cs="宋体"/>
          <w:color w:val="auto"/>
          <w:sz w:val="24"/>
        </w:rPr>
        <w:t>车牌识别率：全天平均车牌识别准确率≥90%</w:t>
      </w:r>
    </w:p>
    <w:p>
      <w:pPr>
        <w:spacing w:line="360" w:lineRule="auto"/>
        <w:ind w:firstLine="480"/>
        <w:rPr>
          <w:rFonts w:hint="eastAsia" w:ascii="宋体" w:hAnsi="宋体" w:cs="宋体"/>
          <w:color w:val="auto"/>
          <w:sz w:val="24"/>
        </w:rPr>
      </w:pPr>
      <w:r>
        <w:rPr>
          <w:rFonts w:hint="eastAsia" w:ascii="宋体" w:hAnsi="宋体" w:cs="宋体"/>
          <w:color w:val="auto"/>
          <w:sz w:val="24"/>
        </w:rPr>
        <w:t>系统前端可存储不小于7天*24小时辆车的记录及图像信息。</w:t>
      </w:r>
    </w:p>
    <w:p>
      <w:pPr>
        <w:spacing w:line="360" w:lineRule="auto"/>
        <w:ind w:firstLine="480"/>
        <w:rPr>
          <w:rFonts w:hint="eastAsia" w:ascii="宋体" w:hAnsi="宋体" w:cs="宋体"/>
          <w:color w:val="auto"/>
          <w:sz w:val="24"/>
        </w:rPr>
      </w:pPr>
      <w:r>
        <w:rPr>
          <w:rFonts w:hint="eastAsia" w:ascii="宋体" w:hAnsi="宋体" w:cs="宋体"/>
          <w:color w:val="auto"/>
          <w:sz w:val="24"/>
        </w:rPr>
        <w:t>3.2电气指标</w:t>
      </w:r>
    </w:p>
    <w:p>
      <w:pPr>
        <w:spacing w:line="360" w:lineRule="auto"/>
        <w:ind w:firstLine="480"/>
        <w:rPr>
          <w:rFonts w:hint="eastAsia" w:ascii="宋体" w:hAnsi="宋体" w:cs="宋体"/>
          <w:color w:val="auto"/>
          <w:sz w:val="24"/>
        </w:rPr>
      </w:pPr>
      <w:r>
        <w:rPr>
          <w:rFonts w:hint="eastAsia" w:ascii="宋体" w:hAnsi="宋体" w:cs="宋体"/>
          <w:color w:val="auto"/>
          <w:sz w:val="24"/>
        </w:rPr>
        <w:t>电源适应性： AC220V±20%, 50Hz；</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路口抓拍主机功耗：&lt;20W </w:t>
      </w:r>
    </w:p>
    <w:p>
      <w:pPr>
        <w:spacing w:line="360" w:lineRule="auto"/>
        <w:ind w:firstLine="480"/>
        <w:rPr>
          <w:rFonts w:hint="eastAsia" w:ascii="宋体" w:hAnsi="宋体" w:cs="宋体"/>
          <w:color w:val="auto"/>
          <w:sz w:val="24"/>
        </w:rPr>
      </w:pPr>
      <w:r>
        <w:rPr>
          <w:rFonts w:hint="eastAsia" w:ascii="宋体" w:hAnsi="宋体" w:cs="宋体"/>
          <w:color w:val="auto"/>
          <w:sz w:val="24"/>
        </w:rPr>
        <w:t>路口机柜防护等级：IP66</w:t>
      </w:r>
    </w:p>
    <w:p>
      <w:pPr>
        <w:spacing w:line="360" w:lineRule="auto"/>
        <w:ind w:firstLine="480"/>
        <w:rPr>
          <w:rFonts w:hint="eastAsia" w:ascii="宋体" w:hAnsi="宋体" w:cs="宋体"/>
          <w:color w:val="auto"/>
          <w:sz w:val="24"/>
        </w:rPr>
      </w:pPr>
      <w:r>
        <w:rPr>
          <w:rFonts w:hint="eastAsia" w:ascii="宋体" w:hAnsi="宋体" w:cs="宋体"/>
          <w:color w:val="auto"/>
          <w:sz w:val="24"/>
        </w:rPr>
        <w:t>3.3环境适应性</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工作温度：-40°C～+70°C </w:t>
      </w:r>
    </w:p>
    <w:p>
      <w:pPr>
        <w:spacing w:line="360" w:lineRule="auto"/>
        <w:ind w:firstLine="480"/>
        <w:rPr>
          <w:rFonts w:hint="eastAsia" w:ascii="宋体" w:hAnsi="宋体" w:cs="宋体"/>
          <w:color w:val="auto"/>
          <w:sz w:val="24"/>
        </w:rPr>
      </w:pPr>
      <w:r>
        <w:rPr>
          <w:rFonts w:hint="eastAsia" w:ascii="宋体" w:hAnsi="宋体" w:cs="宋体"/>
          <w:color w:val="auto"/>
          <w:sz w:val="24"/>
        </w:rPr>
        <w:t>环境相对湿度：10%-90％</w:t>
      </w:r>
    </w:p>
    <w:p>
      <w:pPr>
        <w:spacing w:line="360" w:lineRule="auto"/>
        <w:ind w:firstLine="480"/>
        <w:rPr>
          <w:rFonts w:hint="eastAsia" w:ascii="宋体" w:hAnsi="宋体" w:cs="宋体"/>
          <w:color w:val="auto"/>
          <w:sz w:val="24"/>
        </w:rPr>
      </w:pPr>
      <w:r>
        <w:rPr>
          <w:rFonts w:hint="eastAsia" w:ascii="宋体" w:hAnsi="宋体" w:cs="宋体"/>
          <w:color w:val="auto"/>
          <w:sz w:val="24"/>
        </w:rPr>
        <w:t>3.4检测手段</w:t>
      </w:r>
    </w:p>
    <w:p>
      <w:pPr>
        <w:spacing w:line="360" w:lineRule="auto"/>
        <w:ind w:firstLine="480"/>
        <w:rPr>
          <w:rFonts w:hint="eastAsia" w:ascii="宋体" w:hAnsi="宋体" w:cs="宋体"/>
          <w:color w:val="auto"/>
          <w:sz w:val="24"/>
        </w:rPr>
      </w:pPr>
      <w:r>
        <w:rPr>
          <w:rFonts w:hint="eastAsia" w:ascii="宋体" w:hAnsi="宋体" w:cs="宋体"/>
          <w:color w:val="auto"/>
          <w:sz w:val="24"/>
        </w:rPr>
        <w:t>视频检测模式</w:t>
      </w:r>
    </w:p>
    <w:p>
      <w:pPr>
        <w:spacing w:line="360" w:lineRule="auto"/>
        <w:ind w:firstLine="480"/>
        <w:rPr>
          <w:rFonts w:hint="eastAsia" w:ascii="宋体" w:hAnsi="宋体" w:cs="宋体"/>
          <w:color w:val="auto"/>
          <w:sz w:val="24"/>
        </w:rPr>
      </w:pPr>
      <w:r>
        <w:rPr>
          <w:rFonts w:hint="eastAsia" w:ascii="宋体" w:hAnsi="宋体" w:cs="宋体"/>
          <w:color w:val="auto"/>
          <w:sz w:val="24"/>
        </w:rPr>
        <w:t>3.5硬件形态</w:t>
      </w:r>
    </w:p>
    <w:p>
      <w:pPr>
        <w:spacing w:line="360" w:lineRule="auto"/>
        <w:ind w:firstLine="480"/>
        <w:rPr>
          <w:rFonts w:hint="eastAsia" w:ascii="宋体" w:hAnsi="宋体" w:cs="宋体"/>
          <w:color w:val="auto"/>
          <w:sz w:val="24"/>
        </w:rPr>
      </w:pPr>
      <w:r>
        <w:rPr>
          <w:rFonts w:hint="eastAsia" w:ascii="宋体" w:hAnsi="宋体" w:cs="宋体"/>
          <w:color w:val="auto"/>
          <w:sz w:val="24"/>
        </w:rPr>
        <w:t>纯嵌入式设备</w:t>
      </w:r>
    </w:p>
    <w:p>
      <w:pPr>
        <w:spacing w:line="360" w:lineRule="auto"/>
        <w:ind w:firstLine="480"/>
        <w:rPr>
          <w:rFonts w:hint="eastAsia" w:ascii="宋体" w:hAnsi="宋体" w:cs="宋体"/>
          <w:color w:val="auto"/>
          <w:sz w:val="24"/>
        </w:rPr>
      </w:pPr>
      <w:r>
        <w:rPr>
          <w:rFonts w:hint="eastAsia" w:ascii="宋体" w:hAnsi="宋体" w:cs="宋体"/>
          <w:color w:val="auto"/>
          <w:sz w:val="24"/>
        </w:rPr>
        <w:t>系统必须满足GA/T496-2014《闯红灯自动记录系统通用技术条件》和DB33/T334-2011《安全技术防范（系统）工程检验规范》。</w:t>
      </w:r>
    </w:p>
    <w:p>
      <w:pPr>
        <w:pStyle w:val="267"/>
        <w:ind w:firstLine="0"/>
        <w:rPr>
          <w:rFonts w:hint="eastAsia" w:hAnsi="宋体" w:cs="宋体"/>
          <w:color w:val="auto"/>
          <w:sz w:val="24"/>
        </w:rPr>
      </w:pPr>
      <w:r>
        <w:rPr>
          <w:rFonts w:hint="eastAsia" w:hAnsi="宋体" w:cs="宋体"/>
          <w:color w:val="auto"/>
          <w:sz w:val="24"/>
        </w:rPr>
        <w:t>建成的系统必须按照海盐县公安局交警大队已建智能交通综合管控平台、信号协调控制平台的接口要求，统一接入。</w:t>
      </w:r>
    </w:p>
    <w:p>
      <w:pPr>
        <w:rPr>
          <w:rFonts w:hint="eastAsia"/>
          <w:color w:val="auto"/>
        </w:rPr>
      </w:pPr>
    </w:p>
    <w:p>
      <w:pPr>
        <w:pStyle w:val="5"/>
        <w:tabs>
          <w:tab w:val="left" w:pos="720"/>
        </w:tabs>
        <w:spacing w:after="0"/>
        <w:ind w:firstLine="0" w:firstLineChars="0"/>
        <w:jc w:val="left"/>
        <w:rPr>
          <w:rFonts w:hint="eastAsia" w:ascii="宋体" w:eastAsia="宋体" w:cs="宋体"/>
          <w:b/>
          <w:bCs/>
          <w:color w:val="auto"/>
          <w:sz w:val="24"/>
          <w:szCs w:val="24"/>
        </w:rPr>
      </w:pPr>
      <w:bookmarkStart w:id="141" w:name="_Toc21969"/>
      <w:r>
        <w:rPr>
          <w:rFonts w:hint="eastAsia" w:ascii="宋体" w:eastAsia="宋体" w:cs="宋体"/>
          <w:b/>
          <w:bCs/>
          <w:color w:val="auto"/>
          <w:sz w:val="24"/>
          <w:szCs w:val="24"/>
        </w:rPr>
        <w:t>（六）卡口抓拍系统</w:t>
      </w:r>
      <w:bookmarkEnd w:id="141"/>
    </w:p>
    <w:p>
      <w:pPr>
        <w:spacing w:line="360" w:lineRule="auto"/>
        <w:ind w:firstLine="480"/>
        <w:rPr>
          <w:rFonts w:hint="eastAsia" w:ascii="宋体" w:hAnsi="宋体" w:cs="宋体"/>
          <w:color w:val="auto"/>
          <w:sz w:val="24"/>
        </w:rPr>
      </w:pPr>
      <w:r>
        <w:rPr>
          <w:rFonts w:hint="eastAsia" w:ascii="宋体" w:hAnsi="宋体" w:cs="宋体"/>
          <w:color w:val="auto"/>
          <w:sz w:val="24"/>
        </w:rPr>
        <w:t>反向卡口系统设计依据</w:t>
      </w:r>
    </w:p>
    <w:p>
      <w:pPr>
        <w:pStyle w:val="241"/>
        <w:numPr>
          <w:ilvl w:val="0"/>
          <w:numId w:val="9"/>
        </w:numPr>
        <w:ind w:left="426" w:firstLine="480"/>
        <w:rPr>
          <w:rFonts w:hint="eastAsia" w:ascii="宋体" w:hAnsi="宋体"/>
          <w:color w:val="auto"/>
        </w:rPr>
      </w:pPr>
      <w:r>
        <w:rPr>
          <w:rFonts w:hint="eastAsia" w:ascii="宋体" w:hAnsi="宋体"/>
          <w:color w:val="auto"/>
        </w:rPr>
        <w:t>《公安交通指挥系统工程建设通用程序和要求》（GA/T651-2014）</w:t>
      </w:r>
    </w:p>
    <w:p>
      <w:pPr>
        <w:pStyle w:val="241"/>
        <w:ind w:left="426" w:firstLine="480"/>
        <w:rPr>
          <w:rFonts w:hint="eastAsia" w:ascii="宋体" w:hAnsi="宋体"/>
          <w:color w:val="auto"/>
        </w:rPr>
      </w:pPr>
      <w:r>
        <w:rPr>
          <w:rFonts w:hint="eastAsia" w:ascii="宋体" w:hAnsi="宋体"/>
          <w:color w:val="auto"/>
        </w:rPr>
        <w:t>《公安交通管理外场设备基础施工通用要求》（GA/T652-2006）</w:t>
      </w:r>
    </w:p>
    <w:p>
      <w:pPr>
        <w:pStyle w:val="241"/>
        <w:ind w:left="426" w:firstLine="480"/>
        <w:rPr>
          <w:rFonts w:hint="eastAsia" w:ascii="宋体" w:hAnsi="宋体"/>
          <w:color w:val="auto"/>
        </w:rPr>
      </w:pPr>
      <w:r>
        <w:rPr>
          <w:rFonts w:hint="eastAsia" w:ascii="宋体" w:hAnsi="宋体"/>
          <w:color w:val="auto"/>
        </w:rPr>
        <w:t>《道路车辆智能监测记录系统通用技术条件》（GA/T497-2016）</w:t>
      </w:r>
    </w:p>
    <w:p>
      <w:pPr>
        <w:pStyle w:val="241"/>
        <w:ind w:left="426" w:firstLine="480"/>
        <w:rPr>
          <w:rFonts w:hint="eastAsia" w:ascii="宋体" w:hAnsi="宋体"/>
          <w:color w:val="auto"/>
        </w:rPr>
      </w:pPr>
      <w:r>
        <w:rPr>
          <w:rFonts w:hint="eastAsia" w:ascii="宋体" w:hAnsi="宋体"/>
          <w:color w:val="auto"/>
        </w:rPr>
        <w:t>《道路交通安全违法行为图像取证技术规范》（GA/T 832-2014）</w:t>
      </w:r>
    </w:p>
    <w:p>
      <w:pPr>
        <w:pStyle w:val="241"/>
        <w:ind w:left="426" w:firstLine="480"/>
        <w:rPr>
          <w:rFonts w:hint="eastAsia" w:ascii="宋体" w:hAnsi="宋体"/>
          <w:color w:val="auto"/>
        </w:rPr>
      </w:pPr>
      <w:r>
        <w:rPr>
          <w:rFonts w:hint="eastAsia" w:ascii="宋体" w:hAnsi="宋体"/>
          <w:color w:val="auto"/>
        </w:rPr>
        <w:t>《机动车号牌图像自动识别技术规范》（GA/833-2016）</w:t>
      </w:r>
    </w:p>
    <w:p>
      <w:pPr>
        <w:pStyle w:val="241"/>
        <w:ind w:left="426" w:firstLine="480"/>
        <w:rPr>
          <w:rFonts w:hint="eastAsia" w:ascii="宋体" w:hAnsi="宋体"/>
          <w:color w:val="auto"/>
        </w:rPr>
      </w:pPr>
      <w:r>
        <w:rPr>
          <w:rFonts w:hint="eastAsia" w:ascii="宋体" w:hAnsi="宋体"/>
          <w:color w:val="auto"/>
        </w:rPr>
        <w:t>《中华人民共和国机动车号牌》（GA36-2014）</w:t>
      </w:r>
    </w:p>
    <w:p>
      <w:pPr>
        <w:pStyle w:val="241"/>
        <w:ind w:left="426" w:firstLine="480"/>
        <w:rPr>
          <w:rFonts w:hint="eastAsia" w:ascii="宋体" w:hAnsi="宋体"/>
          <w:color w:val="auto"/>
        </w:rPr>
      </w:pPr>
      <w:r>
        <w:rPr>
          <w:rFonts w:hint="eastAsia" w:ascii="宋体" w:hAnsi="宋体"/>
          <w:color w:val="auto"/>
        </w:rPr>
        <w:t>《交通电视监视系统工程验收规范》（GA/T 514-2004）</w:t>
      </w:r>
    </w:p>
    <w:p>
      <w:pPr>
        <w:pStyle w:val="241"/>
        <w:ind w:left="426" w:firstLine="480"/>
        <w:rPr>
          <w:rFonts w:hint="eastAsia" w:ascii="宋体" w:hAnsi="宋体"/>
          <w:color w:val="auto"/>
        </w:rPr>
      </w:pPr>
      <w:r>
        <w:rPr>
          <w:rFonts w:hint="eastAsia" w:ascii="宋体" w:hAnsi="宋体"/>
          <w:color w:val="auto"/>
        </w:rPr>
        <w:t>《公路交通安全设施设计技术规范》（JTJ 074-2003）</w:t>
      </w:r>
    </w:p>
    <w:p>
      <w:pPr>
        <w:pStyle w:val="241"/>
        <w:ind w:left="426" w:firstLine="480"/>
        <w:rPr>
          <w:rFonts w:hint="eastAsia" w:ascii="宋体" w:hAnsi="宋体"/>
          <w:color w:val="auto"/>
        </w:rPr>
      </w:pPr>
      <w:r>
        <w:rPr>
          <w:rFonts w:hint="eastAsia" w:ascii="宋体" w:hAnsi="宋体"/>
          <w:color w:val="auto"/>
        </w:rPr>
        <w:t>《中华人民共和国公共安全行业标准》GA38-92</w:t>
      </w:r>
    </w:p>
    <w:p>
      <w:pPr>
        <w:pStyle w:val="241"/>
        <w:ind w:left="426" w:firstLine="480"/>
        <w:rPr>
          <w:rFonts w:hint="eastAsia" w:ascii="宋体" w:hAnsi="宋体"/>
          <w:color w:val="auto"/>
        </w:rPr>
      </w:pPr>
      <w:r>
        <w:rPr>
          <w:rFonts w:hint="eastAsia" w:ascii="宋体" w:hAnsi="宋体"/>
          <w:color w:val="auto"/>
        </w:rPr>
        <w:t>《全国道路交通管理信息数据库规范》（GA329.3第3部分）</w:t>
      </w:r>
    </w:p>
    <w:p>
      <w:pPr>
        <w:pStyle w:val="7"/>
        <w:tabs>
          <w:tab w:val="left" w:pos="425"/>
        </w:tabs>
        <w:spacing w:before="240" w:after="0" w:line="360" w:lineRule="auto"/>
        <w:jc w:val="left"/>
        <w:rPr>
          <w:rFonts w:hint="eastAsia" w:ascii="宋体" w:hAnsi="宋体" w:cs="宋体"/>
          <w:color w:val="auto"/>
          <w:sz w:val="24"/>
          <w:szCs w:val="24"/>
        </w:rPr>
      </w:pPr>
      <w:r>
        <w:rPr>
          <w:rFonts w:hint="eastAsia" w:ascii="宋体" w:hAnsi="宋体" w:cs="宋体"/>
          <w:color w:val="auto"/>
          <w:sz w:val="24"/>
          <w:szCs w:val="24"/>
        </w:rPr>
        <w:t xml:space="preserve">    1、系统组成</w:t>
      </w:r>
    </w:p>
    <w:p>
      <w:pPr>
        <w:spacing w:line="360" w:lineRule="auto"/>
        <w:ind w:firstLine="480"/>
        <w:rPr>
          <w:rFonts w:hint="eastAsia" w:ascii="宋体" w:hAnsi="宋体" w:cs="宋体"/>
          <w:color w:val="auto"/>
          <w:sz w:val="24"/>
        </w:rPr>
      </w:pPr>
      <w:r>
        <w:rPr>
          <w:rFonts w:hint="eastAsia" w:ascii="宋体" w:hAnsi="宋体" w:cs="宋体"/>
          <w:color w:val="auto"/>
          <w:sz w:val="24"/>
        </w:rPr>
        <w:t>道路车辆智能监测记录系统由卡口前端子系统、网络传输子系统和后端管理子系统组成。实现对通行车辆信息的采集、传输、处理、分析与集中管理。</w:t>
      </w:r>
    </w:p>
    <w:p>
      <w:pPr>
        <w:spacing w:line="360" w:lineRule="auto"/>
        <w:ind w:firstLine="480"/>
        <w:rPr>
          <w:rFonts w:hint="eastAsia" w:ascii="宋体" w:hAnsi="宋体" w:cs="宋体"/>
          <w:color w:val="auto"/>
          <w:sz w:val="24"/>
        </w:rPr>
      </w:pPr>
      <w:r>
        <w:rPr>
          <w:rFonts w:hint="eastAsia" w:ascii="宋体" w:hAnsi="宋体" w:cs="宋体"/>
          <w:color w:val="auto"/>
          <w:sz w:val="24"/>
        </w:rPr>
        <w:t>1.1前端子系统</w:t>
      </w:r>
    </w:p>
    <w:p>
      <w:pPr>
        <w:spacing w:line="360" w:lineRule="auto"/>
        <w:ind w:firstLine="480"/>
        <w:rPr>
          <w:rFonts w:hint="eastAsia" w:ascii="宋体" w:hAnsi="宋体" w:cs="宋体"/>
          <w:color w:val="auto"/>
          <w:sz w:val="24"/>
        </w:rPr>
      </w:pPr>
      <w:r>
        <w:rPr>
          <w:rFonts w:hint="eastAsia" w:ascii="宋体" w:hAnsi="宋体" w:cs="宋体"/>
          <w:color w:val="auto"/>
          <w:sz w:val="24"/>
        </w:rPr>
        <w:t>负责完成车辆综合信息的采集，包括车辆特征照片、车牌号码与车牌颜色等。并完成图片信息识别、数据缓存以及压缩上传等功能，主要由卡口抓拍单元、补光灯、终端服务器、外场工业交换机、光纤收发器、开关电源、防雷器等设备组成。</w:t>
      </w:r>
    </w:p>
    <w:p>
      <w:pPr>
        <w:spacing w:line="360" w:lineRule="auto"/>
        <w:ind w:firstLine="480"/>
        <w:rPr>
          <w:rFonts w:hint="eastAsia" w:ascii="宋体" w:hAnsi="宋体" w:cs="宋体"/>
          <w:color w:val="auto"/>
          <w:sz w:val="24"/>
        </w:rPr>
      </w:pPr>
      <w:r>
        <w:rPr>
          <w:rFonts w:hint="eastAsia" w:ascii="宋体" w:hAnsi="宋体" w:cs="宋体"/>
          <w:color w:val="auto"/>
          <w:sz w:val="24"/>
        </w:rPr>
        <w:t>1.2传输部分：</w:t>
      </w:r>
    </w:p>
    <w:p>
      <w:pPr>
        <w:spacing w:line="360" w:lineRule="auto"/>
        <w:ind w:firstLine="480"/>
        <w:rPr>
          <w:rFonts w:hint="eastAsia" w:ascii="宋体" w:hAnsi="宋体" w:cs="宋体"/>
          <w:color w:val="auto"/>
          <w:sz w:val="24"/>
        </w:rPr>
      </w:pPr>
      <w:r>
        <w:rPr>
          <w:rFonts w:hint="eastAsia" w:ascii="宋体" w:hAnsi="宋体" w:cs="宋体"/>
          <w:color w:val="auto"/>
          <w:sz w:val="24"/>
        </w:rPr>
        <w:t>负责系统组网，完成数据、图片的传输与交换。</w:t>
      </w:r>
    </w:p>
    <w:p>
      <w:pPr>
        <w:spacing w:line="360" w:lineRule="auto"/>
        <w:ind w:firstLine="480"/>
        <w:rPr>
          <w:rFonts w:hint="eastAsia" w:ascii="宋体" w:hAnsi="宋体" w:cs="宋体"/>
          <w:color w:val="auto"/>
          <w:sz w:val="24"/>
        </w:rPr>
      </w:pPr>
      <w:r>
        <w:rPr>
          <w:rFonts w:hint="eastAsia" w:ascii="宋体" w:hAnsi="宋体" w:cs="宋体"/>
          <w:color w:val="auto"/>
          <w:sz w:val="24"/>
        </w:rPr>
        <w:t>因道路车辆智能监测记录系统的安全性需要，一般通过租用运营商光纤链路组建专网，每个前端点位到中心一条裸光纤。</w:t>
      </w:r>
    </w:p>
    <w:p>
      <w:pPr>
        <w:spacing w:line="360" w:lineRule="auto"/>
        <w:ind w:firstLine="480"/>
        <w:rPr>
          <w:rFonts w:hint="eastAsia" w:ascii="宋体" w:hAnsi="宋体" w:cs="宋体"/>
          <w:color w:val="auto"/>
          <w:sz w:val="24"/>
        </w:rPr>
      </w:pPr>
      <w:r>
        <w:rPr>
          <w:rFonts w:hint="eastAsia" w:ascii="宋体" w:hAnsi="宋体" w:cs="宋体"/>
          <w:color w:val="auto"/>
          <w:sz w:val="24"/>
        </w:rPr>
        <w:t>1.3后端管理部分：</w:t>
      </w:r>
    </w:p>
    <w:p>
      <w:pPr>
        <w:spacing w:line="360" w:lineRule="auto"/>
        <w:ind w:firstLine="480"/>
        <w:rPr>
          <w:rFonts w:hint="eastAsia" w:ascii="宋体" w:hAnsi="宋体" w:cs="宋体"/>
          <w:color w:val="auto"/>
          <w:sz w:val="24"/>
        </w:rPr>
      </w:pPr>
      <w:r>
        <w:rPr>
          <w:rFonts w:hint="eastAsia" w:ascii="宋体" w:hAnsi="宋体" w:cs="宋体"/>
          <w:color w:val="auto"/>
          <w:sz w:val="24"/>
        </w:rPr>
        <w:t>负责实现对辖区内相关数据的汇聚、处理、存储、应用、管理与共享，由中心管理平台和存储系统组成。中心管理平台由搭载平台软件模块的服务器组成，包括：管理服务器、应用服务器、Web服务器、图片服务器和数据库服务器等。</w:t>
      </w:r>
    </w:p>
    <w:p>
      <w:pPr>
        <w:pStyle w:val="7"/>
        <w:tabs>
          <w:tab w:val="left" w:pos="425"/>
        </w:tabs>
        <w:spacing w:before="240" w:after="0" w:line="360" w:lineRule="auto"/>
        <w:jc w:val="left"/>
        <w:rPr>
          <w:rFonts w:hint="eastAsia" w:ascii="宋体" w:hAnsi="宋体" w:cs="宋体"/>
          <w:color w:val="auto"/>
          <w:sz w:val="24"/>
          <w:szCs w:val="24"/>
        </w:rPr>
      </w:pPr>
      <w:r>
        <w:rPr>
          <w:rFonts w:hint="eastAsia" w:ascii="宋体" w:hAnsi="宋体" w:cs="宋体"/>
          <w:color w:val="auto"/>
          <w:sz w:val="24"/>
          <w:szCs w:val="24"/>
        </w:rPr>
        <w:t xml:space="preserve">    2、系统主要功能</w:t>
      </w:r>
    </w:p>
    <w:p>
      <w:pPr>
        <w:spacing w:line="360" w:lineRule="auto"/>
        <w:ind w:firstLine="480"/>
        <w:rPr>
          <w:rFonts w:hint="eastAsia" w:ascii="宋体" w:hAnsi="宋体" w:cs="宋体"/>
          <w:color w:val="auto"/>
          <w:sz w:val="24"/>
        </w:rPr>
      </w:pPr>
      <w:bookmarkStart w:id="142" w:name="_Toc493601379"/>
      <w:bookmarkStart w:id="143" w:name="_Toc417651870"/>
      <w:bookmarkStart w:id="144" w:name="_Toc493753689"/>
      <w:bookmarkStart w:id="145" w:name="_Toc438736975"/>
      <w:bookmarkStart w:id="146" w:name="_Toc438461884"/>
      <w:r>
        <w:rPr>
          <w:rFonts w:hint="eastAsia" w:ascii="宋体" w:hAnsi="宋体" w:cs="宋体"/>
          <w:color w:val="auto"/>
          <w:sz w:val="24"/>
        </w:rPr>
        <w:t>2.1车辆捕获功能</w:t>
      </w:r>
      <w:bookmarkEnd w:id="142"/>
      <w:bookmarkEnd w:id="143"/>
      <w:bookmarkEnd w:id="144"/>
      <w:bookmarkEnd w:id="145"/>
      <w:bookmarkEnd w:id="146"/>
    </w:p>
    <w:p>
      <w:pPr>
        <w:spacing w:line="360" w:lineRule="auto"/>
        <w:ind w:firstLine="480"/>
        <w:rPr>
          <w:rFonts w:hint="eastAsia" w:ascii="宋体" w:hAnsi="宋体" w:cs="宋体"/>
          <w:color w:val="auto"/>
          <w:sz w:val="24"/>
        </w:rPr>
      </w:pPr>
      <w:r>
        <w:rPr>
          <w:rFonts w:hint="eastAsia" w:ascii="宋体" w:hAnsi="宋体" w:cs="宋体"/>
          <w:color w:val="auto"/>
          <w:sz w:val="24"/>
        </w:rPr>
        <w:t>系统通过视频检测方式实现车辆捕获功能，能对所有经过车辆进行捕获，除了能够捕获在车道上正常行驶的车辆外，且具备捕获跨线行驶及逆向行驶车辆的功能。在正常车速（5km/h～200km/h）范围内的监控区域规范行驶的车辆图像捕获准确率达99%以上。</w:t>
      </w:r>
    </w:p>
    <w:p>
      <w:pPr>
        <w:spacing w:line="360" w:lineRule="auto"/>
        <w:ind w:firstLine="480"/>
        <w:rPr>
          <w:rFonts w:hint="eastAsia" w:ascii="宋体" w:hAnsi="宋体" w:cs="宋体"/>
          <w:color w:val="auto"/>
          <w:sz w:val="24"/>
        </w:rPr>
      </w:pPr>
      <w:bookmarkStart w:id="147" w:name="_Toc396307319"/>
      <w:bookmarkStart w:id="148" w:name="_Toc465945296"/>
      <w:bookmarkStart w:id="149" w:name="_Toc493753690"/>
      <w:bookmarkStart w:id="150" w:name="_Toc493601380"/>
      <w:r>
        <w:rPr>
          <w:rFonts w:hint="eastAsia" w:ascii="宋体" w:hAnsi="宋体" w:cs="宋体"/>
          <w:color w:val="auto"/>
          <w:sz w:val="24"/>
        </w:rPr>
        <w:t>2.2车辆速度检测功能</w:t>
      </w:r>
      <w:bookmarkEnd w:id="147"/>
      <w:bookmarkEnd w:id="148"/>
      <w:bookmarkEnd w:id="149"/>
      <w:bookmarkEnd w:id="150"/>
    </w:p>
    <w:p>
      <w:pPr>
        <w:spacing w:line="360" w:lineRule="auto"/>
        <w:ind w:firstLine="480"/>
        <w:rPr>
          <w:rFonts w:hint="eastAsia" w:ascii="宋体" w:hAnsi="宋体" w:cs="宋体"/>
          <w:color w:val="auto"/>
          <w:sz w:val="24"/>
        </w:rPr>
      </w:pPr>
      <w:r>
        <w:rPr>
          <w:rFonts w:hint="eastAsia" w:ascii="宋体" w:hAnsi="宋体" w:cs="宋体"/>
          <w:color w:val="auto"/>
          <w:sz w:val="24"/>
        </w:rPr>
        <w:t>可采用雷达测速方式对车辆速度进行检测。</w:t>
      </w:r>
    </w:p>
    <w:p>
      <w:pPr>
        <w:spacing w:line="360" w:lineRule="auto"/>
        <w:ind w:firstLine="480"/>
        <w:rPr>
          <w:rFonts w:hint="eastAsia" w:ascii="宋体" w:hAnsi="宋体" w:cs="宋体"/>
          <w:color w:val="auto"/>
          <w:sz w:val="24"/>
        </w:rPr>
      </w:pPr>
      <w:r>
        <w:rPr>
          <w:rFonts w:hint="eastAsia" w:ascii="宋体" w:hAnsi="宋体" w:cs="宋体"/>
          <w:color w:val="auto"/>
          <w:sz w:val="24"/>
        </w:rPr>
        <w:t>当机动车速度小于100km/h时，道路实测误差不超过-6km/h～0km/h；当机动车速度大于或等于100km/h时，道路实测误差不超过机动车速度的-6%～0%。</w:t>
      </w:r>
    </w:p>
    <w:p>
      <w:pPr>
        <w:spacing w:line="360" w:lineRule="auto"/>
        <w:ind w:firstLine="480"/>
        <w:rPr>
          <w:rFonts w:hint="eastAsia" w:ascii="宋体" w:hAnsi="宋体" w:cs="宋体"/>
          <w:color w:val="auto"/>
          <w:sz w:val="24"/>
        </w:rPr>
      </w:pPr>
      <w:r>
        <w:rPr>
          <w:rFonts w:hint="eastAsia" w:ascii="宋体" w:hAnsi="宋体" w:cs="宋体"/>
          <w:color w:val="auto"/>
          <w:sz w:val="24"/>
        </w:rPr>
        <w:t>系统具备分车型分别设置标志限速和执法限速值的功能。</w:t>
      </w:r>
    </w:p>
    <w:p>
      <w:pPr>
        <w:spacing w:line="360" w:lineRule="auto"/>
        <w:ind w:firstLine="480"/>
        <w:rPr>
          <w:rFonts w:hint="eastAsia" w:ascii="宋体" w:hAnsi="宋体" w:cs="宋体"/>
          <w:color w:val="auto"/>
          <w:sz w:val="24"/>
        </w:rPr>
      </w:pPr>
      <w:bookmarkStart w:id="151" w:name="_Toc354619171"/>
      <w:bookmarkEnd w:id="151"/>
      <w:bookmarkStart w:id="152" w:name="_Toc354619170"/>
      <w:bookmarkEnd w:id="152"/>
      <w:bookmarkStart w:id="153" w:name="_Toc354619172"/>
      <w:bookmarkEnd w:id="153"/>
      <w:bookmarkStart w:id="154" w:name="_Toc493601381"/>
      <w:bookmarkStart w:id="155" w:name="_Toc438736976"/>
      <w:bookmarkStart w:id="156" w:name="_Toc438461885"/>
      <w:bookmarkStart w:id="157" w:name="_Toc417651871"/>
      <w:bookmarkStart w:id="158" w:name="_Toc493753691"/>
      <w:r>
        <w:rPr>
          <w:rFonts w:hint="eastAsia" w:ascii="宋体" w:hAnsi="宋体" w:cs="宋体"/>
          <w:color w:val="auto"/>
          <w:sz w:val="24"/>
        </w:rPr>
        <w:t>2.3车辆图像记录功能</w:t>
      </w:r>
      <w:bookmarkEnd w:id="154"/>
      <w:bookmarkEnd w:id="155"/>
      <w:bookmarkEnd w:id="156"/>
      <w:bookmarkEnd w:id="157"/>
      <w:bookmarkEnd w:id="158"/>
    </w:p>
    <w:p>
      <w:pPr>
        <w:spacing w:line="360" w:lineRule="auto"/>
        <w:ind w:firstLine="480"/>
        <w:rPr>
          <w:rFonts w:hint="eastAsia" w:ascii="宋体" w:hAnsi="宋体" w:cs="宋体"/>
          <w:color w:val="auto"/>
          <w:sz w:val="24"/>
        </w:rPr>
      </w:pPr>
      <w:r>
        <w:rPr>
          <w:rFonts w:hint="eastAsia" w:ascii="宋体" w:hAnsi="宋体" w:cs="宋体"/>
          <w:color w:val="auto"/>
          <w:sz w:val="24"/>
        </w:rPr>
        <w:t>系统能够准确捕获、记录通行车辆信息。记录的车辆信息除包含图像信息外，还包括文本信息，如日期、时间（精确到毫秒）、地点、方向、号牌号码、号牌颜色、车身颜色等。车辆信息写入关联数据库，并将相关文本信息叠加到图片上。</w:t>
      </w:r>
    </w:p>
    <w:p>
      <w:pPr>
        <w:spacing w:line="360" w:lineRule="auto"/>
        <w:ind w:firstLine="480"/>
        <w:rPr>
          <w:rFonts w:hint="eastAsia" w:ascii="宋体" w:hAnsi="宋体" w:cs="宋体"/>
          <w:color w:val="auto"/>
          <w:sz w:val="24"/>
        </w:rPr>
      </w:pPr>
      <w:bookmarkStart w:id="159" w:name="_Toc493753692"/>
      <w:bookmarkStart w:id="160" w:name="_Toc493601382"/>
      <w:bookmarkStart w:id="161" w:name="_Toc396307321"/>
      <w:bookmarkStart w:id="162" w:name="_Toc465945298"/>
      <w:r>
        <w:rPr>
          <w:rFonts w:hint="eastAsia" w:ascii="宋体" w:hAnsi="宋体" w:cs="宋体"/>
          <w:color w:val="auto"/>
          <w:sz w:val="24"/>
        </w:rPr>
        <w:t>2.4超速抓拍功能</w:t>
      </w:r>
      <w:bookmarkEnd w:id="159"/>
      <w:bookmarkEnd w:id="160"/>
      <w:bookmarkEnd w:id="161"/>
      <w:bookmarkEnd w:id="162"/>
    </w:p>
    <w:p>
      <w:pPr>
        <w:spacing w:line="360" w:lineRule="auto"/>
        <w:ind w:firstLine="480"/>
        <w:rPr>
          <w:rFonts w:hint="eastAsia" w:ascii="宋体" w:hAnsi="宋体" w:cs="宋体"/>
          <w:color w:val="auto"/>
          <w:sz w:val="24"/>
        </w:rPr>
      </w:pPr>
      <w:r>
        <w:rPr>
          <w:rFonts w:hint="eastAsia" w:ascii="宋体" w:hAnsi="宋体" w:cs="宋体"/>
          <w:color w:val="auto"/>
          <w:sz w:val="24"/>
        </w:rPr>
        <w:t>系统能够准确捕获机动车超速行驶违法行为，每辆超速车辆采集2幅不同时间或者不同位置的特征图片，记录超速违法行为的完整过程，所记录的图片能清晰辨别机动车车型、车身颜色、号牌号码等基本特征。</w:t>
      </w:r>
    </w:p>
    <w:p>
      <w:pPr>
        <w:spacing w:line="360" w:lineRule="auto"/>
        <w:ind w:firstLine="480"/>
        <w:rPr>
          <w:rFonts w:hint="eastAsia" w:ascii="宋体" w:hAnsi="宋体" w:cs="宋体"/>
          <w:color w:val="auto"/>
          <w:sz w:val="24"/>
        </w:rPr>
      </w:pPr>
      <w:r>
        <w:rPr>
          <w:rFonts w:hint="eastAsia" w:ascii="宋体" w:hAnsi="宋体" w:cs="宋体"/>
          <w:color w:val="auto"/>
          <w:sz w:val="24"/>
        </w:rPr>
        <w:t>每幅图片上叠加有交通违法日期、时间、地点、方向、图像取证设备编号、限速值、行驶速度值和超速比例等信息。</w:t>
      </w:r>
    </w:p>
    <w:p>
      <w:pPr>
        <w:spacing w:line="360" w:lineRule="auto"/>
        <w:ind w:firstLine="480"/>
        <w:rPr>
          <w:rFonts w:hint="eastAsia" w:ascii="宋体" w:hAnsi="宋体" w:cs="宋体"/>
          <w:color w:val="auto"/>
          <w:sz w:val="24"/>
        </w:rPr>
      </w:pPr>
      <w:r>
        <w:rPr>
          <w:rFonts w:hint="eastAsia" w:ascii="宋体" w:hAnsi="宋体" w:cs="宋体"/>
          <w:color w:val="auto"/>
          <w:sz w:val="24"/>
        </w:rPr>
        <w:t>取证数据满足《道路交通安全违法行为图像取证技术规范》(GA/T832-2014）的相关要求。</w:t>
      </w:r>
    </w:p>
    <w:p>
      <w:pPr>
        <w:spacing w:line="360" w:lineRule="auto"/>
        <w:ind w:firstLine="480"/>
        <w:rPr>
          <w:rFonts w:hint="eastAsia" w:ascii="宋体" w:hAnsi="宋体" w:cs="宋体"/>
          <w:color w:val="auto"/>
          <w:sz w:val="24"/>
        </w:rPr>
      </w:pPr>
      <w:bookmarkStart w:id="163" w:name="_Toc354619175"/>
      <w:bookmarkEnd w:id="163"/>
      <w:bookmarkStart w:id="164" w:name="_Toc354619177"/>
      <w:bookmarkEnd w:id="164"/>
      <w:bookmarkStart w:id="165" w:name="_Toc354619176"/>
      <w:bookmarkEnd w:id="165"/>
      <w:bookmarkStart w:id="166" w:name="_Toc354619174"/>
      <w:bookmarkEnd w:id="166"/>
      <w:bookmarkStart w:id="167" w:name="_Toc438736977"/>
      <w:bookmarkStart w:id="168" w:name="_Toc493601383"/>
      <w:bookmarkStart w:id="169" w:name="_Toc438461886"/>
      <w:bookmarkStart w:id="170" w:name="_Toc493753693"/>
      <w:bookmarkStart w:id="171" w:name="_Toc417651872"/>
      <w:r>
        <w:rPr>
          <w:rFonts w:hint="eastAsia" w:ascii="宋体" w:hAnsi="宋体" w:cs="宋体"/>
          <w:color w:val="auto"/>
          <w:sz w:val="24"/>
        </w:rPr>
        <w:t>2.5智能补光功能</w:t>
      </w:r>
      <w:bookmarkEnd w:id="167"/>
      <w:bookmarkEnd w:id="168"/>
      <w:bookmarkEnd w:id="169"/>
      <w:bookmarkEnd w:id="170"/>
      <w:bookmarkEnd w:id="171"/>
    </w:p>
    <w:p>
      <w:pPr>
        <w:spacing w:line="360" w:lineRule="auto"/>
        <w:ind w:firstLine="480"/>
        <w:rPr>
          <w:rFonts w:hint="eastAsia" w:ascii="宋体" w:hAnsi="宋体" w:cs="宋体"/>
          <w:color w:val="auto"/>
          <w:sz w:val="24"/>
        </w:rPr>
      </w:pPr>
      <w:r>
        <w:rPr>
          <w:rFonts w:hint="eastAsia" w:ascii="宋体" w:hAnsi="宋体" w:cs="宋体"/>
          <w:color w:val="auto"/>
          <w:sz w:val="24"/>
        </w:rPr>
        <w:t>系针对车辆前挡风玻璃对光线的反射特性、贴膜情况、环境光线照射情况，进行成像控制策略和补光方式，同时全天候对各类车型都能有效解决前挡风玻璃反光和强光直射等问题，确保车身、车牌都清晰可辨。满足夜间强光状态下拍摄要求</w:t>
      </w:r>
    </w:p>
    <w:p>
      <w:pPr>
        <w:spacing w:line="360" w:lineRule="auto"/>
        <w:ind w:firstLine="480"/>
        <w:rPr>
          <w:rFonts w:hint="eastAsia" w:ascii="宋体" w:hAnsi="宋体" w:cs="宋体"/>
          <w:color w:val="auto"/>
          <w:sz w:val="24"/>
        </w:rPr>
      </w:pPr>
      <w:bookmarkStart w:id="172" w:name="_Toc438461887"/>
      <w:bookmarkStart w:id="173" w:name="_Toc438736978"/>
      <w:bookmarkStart w:id="174" w:name="_Toc493753694"/>
      <w:bookmarkStart w:id="175" w:name="_Toc417651873"/>
      <w:bookmarkStart w:id="176" w:name="_Toc493601384"/>
      <w:r>
        <w:rPr>
          <w:rFonts w:hint="eastAsia" w:ascii="宋体" w:hAnsi="宋体" w:cs="宋体"/>
          <w:color w:val="auto"/>
          <w:sz w:val="24"/>
        </w:rPr>
        <w:t>2.6车辆牌照自动识别功能</w:t>
      </w:r>
      <w:bookmarkEnd w:id="172"/>
      <w:bookmarkEnd w:id="173"/>
      <w:bookmarkEnd w:id="174"/>
      <w:bookmarkEnd w:id="175"/>
      <w:bookmarkEnd w:id="176"/>
    </w:p>
    <w:p>
      <w:pPr>
        <w:spacing w:line="360" w:lineRule="auto"/>
        <w:ind w:firstLine="480"/>
        <w:rPr>
          <w:rFonts w:hint="eastAsia" w:ascii="宋体" w:hAnsi="宋体" w:cs="宋体"/>
          <w:color w:val="auto"/>
          <w:sz w:val="24"/>
        </w:rPr>
      </w:pPr>
      <w:r>
        <w:rPr>
          <w:rFonts w:hint="eastAsia" w:ascii="宋体" w:hAnsi="宋体" w:cs="宋体"/>
          <w:color w:val="auto"/>
          <w:sz w:val="24"/>
        </w:rPr>
        <w:t>系统可自动对车辆牌照进行识别，包括常规多种车辆的子平牌、车牌号码、车牌颜色的识别。</w:t>
      </w:r>
    </w:p>
    <w:p>
      <w:pPr>
        <w:spacing w:line="360" w:lineRule="auto"/>
        <w:ind w:firstLine="480"/>
        <w:rPr>
          <w:rFonts w:hint="eastAsia" w:ascii="宋体" w:hAnsi="宋体" w:cs="宋体"/>
          <w:color w:val="auto"/>
          <w:sz w:val="24"/>
        </w:rPr>
      </w:pPr>
      <w:bookmarkStart w:id="177" w:name="_Toc438461892"/>
      <w:bookmarkStart w:id="178" w:name="_Toc493601389"/>
      <w:bookmarkStart w:id="179" w:name="_Toc438736983"/>
      <w:bookmarkStart w:id="180" w:name="_Toc417651878"/>
      <w:bookmarkStart w:id="181" w:name="_Toc493753699"/>
      <w:r>
        <w:rPr>
          <w:rFonts w:hint="eastAsia" w:ascii="宋体" w:hAnsi="宋体" w:cs="宋体"/>
          <w:color w:val="auto"/>
          <w:sz w:val="24"/>
        </w:rPr>
        <w:t>2.7未系安全带检测功能</w:t>
      </w:r>
      <w:bookmarkEnd w:id="177"/>
      <w:bookmarkEnd w:id="178"/>
      <w:bookmarkEnd w:id="179"/>
      <w:bookmarkEnd w:id="180"/>
      <w:bookmarkEnd w:id="181"/>
    </w:p>
    <w:p>
      <w:pPr>
        <w:spacing w:line="360" w:lineRule="auto"/>
        <w:ind w:firstLine="480"/>
        <w:rPr>
          <w:rFonts w:hint="eastAsia" w:ascii="宋体" w:hAnsi="宋体" w:cs="宋体"/>
          <w:color w:val="auto"/>
          <w:sz w:val="24"/>
        </w:rPr>
      </w:pPr>
      <w:r>
        <w:rPr>
          <w:rFonts w:hint="eastAsia" w:ascii="宋体" w:hAnsi="宋体" w:cs="宋体"/>
          <w:color w:val="auto"/>
          <w:sz w:val="24"/>
        </w:rPr>
        <w:t>对主驾驶人员和副驾驶人员的未系安全带行为进行检测，分别输出主副驾驶未系安全带行为的特征抠图。</w:t>
      </w:r>
    </w:p>
    <w:p>
      <w:pPr>
        <w:spacing w:line="360" w:lineRule="auto"/>
        <w:ind w:firstLine="480"/>
        <w:rPr>
          <w:rFonts w:hint="eastAsia" w:ascii="宋体" w:hAnsi="宋体" w:cs="宋体"/>
          <w:color w:val="auto"/>
          <w:sz w:val="24"/>
        </w:rPr>
      </w:pPr>
      <w:bookmarkStart w:id="182" w:name="_Toc493601393"/>
      <w:bookmarkStart w:id="183" w:name="_Toc493753703"/>
      <w:r>
        <w:rPr>
          <w:rFonts w:hint="eastAsia" w:ascii="宋体" w:hAnsi="宋体" w:cs="宋体"/>
          <w:color w:val="auto"/>
          <w:sz w:val="24"/>
        </w:rPr>
        <w:t>2.8危险品车检测功能</w:t>
      </w:r>
    </w:p>
    <w:p>
      <w:pPr>
        <w:spacing w:line="360" w:lineRule="auto"/>
        <w:ind w:firstLine="480"/>
        <w:rPr>
          <w:rFonts w:hint="eastAsia" w:ascii="宋体" w:hAnsi="宋体" w:cs="宋体"/>
          <w:color w:val="auto"/>
          <w:sz w:val="24"/>
        </w:rPr>
      </w:pPr>
      <w:r>
        <w:rPr>
          <w:rFonts w:hint="eastAsia" w:ascii="宋体" w:hAnsi="宋体" w:cs="宋体"/>
          <w:color w:val="auto"/>
          <w:sz w:val="24"/>
        </w:rPr>
        <w:t>实现车辆危险品标志的检测识别。</w:t>
      </w:r>
    </w:p>
    <w:p>
      <w:pPr>
        <w:spacing w:line="360" w:lineRule="auto"/>
        <w:ind w:firstLine="480"/>
        <w:rPr>
          <w:rFonts w:hint="eastAsia" w:ascii="宋体" w:hAnsi="宋体" w:cs="宋体"/>
          <w:color w:val="auto"/>
          <w:sz w:val="24"/>
        </w:rPr>
      </w:pPr>
      <w:r>
        <w:rPr>
          <w:rFonts w:hint="eastAsia" w:ascii="宋体" w:hAnsi="宋体" w:cs="宋体"/>
          <w:color w:val="auto"/>
          <w:sz w:val="24"/>
        </w:rPr>
        <w:t>2.9驾驶室内挂件检测功能</w:t>
      </w:r>
    </w:p>
    <w:p>
      <w:pPr>
        <w:spacing w:line="360" w:lineRule="auto"/>
        <w:ind w:firstLine="480"/>
        <w:rPr>
          <w:rFonts w:hint="eastAsia" w:ascii="宋体" w:hAnsi="宋体" w:cs="宋体"/>
          <w:color w:val="auto"/>
          <w:sz w:val="24"/>
        </w:rPr>
      </w:pPr>
      <w:r>
        <w:rPr>
          <w:rFonts w:hint="eastAsia" w:ascii="宋体" w:hAnsi="宋体" w:cs="宋体"/>
          <w:color w:val="auto"/>
          <w:sz w:val="24"/>
        </w:rPr>
        <w:t>实现车辆驾驶室内挂件的检测识别。</w:t>
      </w:r>
    </w:p>
    <w:p>
      <w:pPr>
        <w:spacing w:line="360" w:lineRule="auto"/>
        <w:ind w:firstLine="480"/>
        <w:rPr>
          <w:rFonts w:hint="eastAsia" w:ascii="宋体" w:hAnsi="宋体" w:cs="宋体"/>
          <w:color w:val="auto"/>
          <w:sz w:val="24"/>
        </w:rPr>
      </w:pPr>
      <w:r>
        <w:rPr>
          <w:rFonts w:hint="eastAsia" w:ascii="宋体" w:hAnsi="宋体" w:cs="宋体"/>
          <w:color w:val="auto"/>
          <w:sz w:val="24"/>
        </w:rPr>
        <w:t>2.10接打电话检测功能</w:t>
      </w:r>
      <w:bookmarkEnd w:id="182"/>
      <w:bookmarkEnd w:id="183"/>
    </w:p>
    <w:p>
      <w:pPr>
        <w:spacing w:line="360" w:lineRule="auto"/>
        <w:ind w:firstLine="480"/>
        <w:rPr>
          <w:rFonts w:hint="eastAsia" w:ascii="宋体" w:hAnsi="宋体" w:cs="宋体"/>
          <w:color w:val="auto"/>
          <w:sz w:val="24"/>
        </w:rPr>
      </w:pPr>
      <w:r>
        <w:rPr>
          <w:rFonts w:hint="eastAsia" w:ascii="宋体" w:hAnsi="宋体" w:cs="宋体"/>
          <w:color w:val="auto"/>
          <w:sz w:val="24"/>
        </w:rPr>
        <w:t>实现对前排驾驶人接打电话状态的检测。</w:t>
      </w:r>
    </w:p>
    <w:p>
      <w:pPr>
        <w:spacing w:line="360" w:lineRule="auto"/>
        <w:ind w:firstLine="480"/>
        <w:rPr>
          <w:rFonts w:hint="eastAsia" w:ascii="宋体" w:hAnsi="宋体" w:cs="宋体"/>
          <w:color w:val="auto"/>
          <w:sz w:val="24"/>
        </w:rPr>
      </w:pPr>
      <w:bookmarkStart w:id="184" w:name="_Toc417651880"/>
      <w:bookmarkStart w:id="185" w:name="_Toc438736985"/>
      <w:bookmarkStart w:id="186" w:name="_Toc438461894"/>
      <w:bookmarkStart w:id="187" w:name="_Toc493753704"/>
      <w:bookmarkStart w:id="188" w:name="_Toc493601394"/>
      <w:r>
        <w:rPr>
          <w:rFonts w:hint="eastAsia" w:ascii="宋体" w:hAnsi="宋体" w:cs="宋体"/>
          <w:color w:val="auto"/>
          <w:sz w:val="24"/>
        </w:rPr>
        <w:t>2.11人脸特征抠图</w:t>
      </w:r>
      <w:bookmarkEnd w:id="184"/>
      <w:bookmarkEnd w:id="185"/>
      <w:bookmarkEnd w:id="186"/>
      <w:bookmarkEnd w:id="187"/>
      <w:bookmarkEnd w:id="188"/>
    </w:p>
    <w:p>
      <w:pPr>
        <w:spacing w:line="360" w:lineRule="auto"/>
        <w:ind w:firstLine="480"/>
        <w:rPr>
          <w:rFonts w:hint="eastAsia" w:ascii="宋体" w:hAnsi="宋体" w:cs="宋体"/>
          <w:b/>
          <w:color w:val="auto"/>
          <w:sz w:val="24"/>
        </w:rPr>
      </w:pPr>
      <w:r>
        <w:rPr>
          <w:rFonts w:hint="eastAsia" w:ascii="宋体" w:hAnsi="宋体" w:cs="宋体"/>
          <w:color w:val="auto"/>
          <w:sz w:val="24"/>
        </w:rPr>
        <w:t>实现对驾驶室人脸特征进行检测，并将人脸特征抠出。</w:t>
      </w:r>
    </w:p>
    <w:p>
      <w:pPr>
        <w:spacing w:line="360" w:lineRule="auto"/>
        <w:ind w:firstLine="480"/>
        <w:rPr>
          <w:rFonts w:hint="eastAsia" w:ascii="宋体" w:hAnsi="宋体" w:cs="宋体"/>
          <w:color w:val="auto"/>
          <w:sz w:val="24"/>
        </w:rPr>
      </w:pPr>
      <w:bookmarkStart w:id="189" w:name="_Toc417651881"/>
      <w:bookmarkStart w:id="190" w:name="_Toc438461895"/>
      <w:bookmarkStart w:id="191" w:name="_Toc493753705"/>
      <w:bookmarkStart w:id="192" w:name="_Toc493601395"/>
      <w:bookmarkStart w:id="193" w:name="_Toc438736986"/>
      <w:r>
        <w:rPr>
          <w:rFonts w:hint="eastAsia" w:ascii="宋体" w:hAnsi="宋体" w:cs="宋体"/>
          <w:color w:val="auto"/>
          <w:sz w:val="24"/>
        </w:rPr>
        <w:t>2.12打开遮阳板检测</w:t>
      </w:r>
      <w:bookmarkEnd w:id="189"/>
      <w:bookmarkEnd w:id="190"/>
      <w:bookmarkEnd w:id="191"/>
      <w:bookmarkEnd w:id="192"/>
      <w:bookmarkEnd w:id="193"/>
    </w:p>
    <w:p>
      <w:pPr>
        <w:spacing w:line="360" w:lineRule="auto"/>
        <w:ind w:firstLine="480"/>
        <w:rPr>
          <w:rFonts w:hint="eastAsia" w:ascii="宋体" w:hAnsi="宋体" w:cs="宋体"/>
          <w:color w:val="auto"/>
          <w:sz w:val="24"/>
        </w:rPr>
      </w:pPr>
      <w:r>
        <w:rPr>
          <w:rFonts w:hint="eastAsia" w:ascii="宋体" w:hAnsi="宋体" w:cs="宋体"/>
          <w:color w:val="auto"/>
          <w:sz w:val="24"/>
        </w:rPr>
        <w:t>对打开遮阳板进行检测。</w:t>
      </w:r>
    </w:p>
    <w:p>
      <w:pPr>
        <w:spacing w:line="360" w:lineRule="auto"/>
        <w:ind w:firstLine="480"/>
        <w:rPr>
          <w:rFonts w:hint="eastAsia" w:ascii="宋体" w:hAnsi="宋体" w:cs="宋体"/>
          <w:color w:val="auto"/>
          <w:sz w:val="24"/>
        </w:rPr>
      </w:pPr>
      <w:bookmarkStart w:id="194" w:name="_Toc493753706"/>
      <w:bookmarkStart w:id="195" w:name="_Toc493601396"/>
      <w:r>
        <w:rPr>
          <w:rFonts w:hint="eastAsia" w:ascii="宋体" w:hAnsi="宋体" w:cs="宋体"/>
          <w:color w:val="auto"/>
          <w:sz w:val="24"/>
        </w:rPr>
        <w:t>2.13交通流量数据采集功能</w:t>
      </w:r>
      <w:bookmarkEnd w:id="194"/>
      <w:bookmarkEnd w:id="195"/>
    </w:p>
    <w:p>
      <w:pPr>
        <w:spacing w:line="360" w:lineRule="auto"/>
        <w:ind w:firstLine="480"/>
        <w:rPr>
          <w:rFonts w:hint="eastAsia" w:ascii="宋体" w:hAnsi="宋体" w:cs="宋体"/>
          <w:color w:val="auto"/>
          <w:sz w:val="24"/>
        </w:rPr>
      </w:pPr>
      <w:r>
        <w:rPr>
          <w:rFonts w:hint="eastAsia" w:ascii="宋体" w:hAnsi="宋体" w:cs="宋体"/>
          <w:color w:val="auto"/>
          <w:sz w:val="24"/>
        </w:rPr>
        <w:t>按车道和时段进行车辆流量、平均速度、车辆类型、占有率、平均车头时距、平均排队长度、饱和度等数据的统计。所有统计数据应支持以报表形式输出。</w:t>
      </w:r>
    </w:p>
    <w:p>
      <w:pPr>
        <w:spacing w:line="360" w:lineRule="auto"/>
        <w:ind w:firstLine="480"/>
        <w:rPr>
          <w:rFonts w:hint="eastAsia" w:ascii="宋体" w:hAnsi="宋体" w:cs="宋体"/>
          <w:color w:val="auto"/>
          <w:sz w:val="24"/>
        </w:rPr>
      </w:pPr>
      <w:bookmarkStart w:id="196" w:name="_Toc438461896"/>
      <w:bookmarkStart w:id="197" w:name="_Toc493753707"/>
      <w:bookmarkStart w:id="198" w:name="_Toc417651882"/>
      <w:bookmarkStart w:id="199" w:name="_Toc438736987"/>
      <w:bookmarkStart w:id="200" w:name="_Toc493601397"/>
      <w:r>
        <w:rPr>
          <w:rFonts w:hint="eastAsia" w:ascii="宋体" w:hAnsi="宋体" w:cs="宋体"/>
          <w:color w:val="auto"/>
          <w:sz w:val="24"/>
        </w:rPr>
        <w:t>2.14前端备份存储功能</w:t>
      </w:r>
      <w:bookmarkEnd w:id="196"/>
      <w:bookmarkEnd w:id="197"/>
      <w:bookmarkEnd w:id="198"/>
      <w:bookmarkEnd w:id="199"/>
      <w:bookmarkEnd w:id="200"/>
    </w:p>
    <w:p>
      <w:pPr>
        <w:spacing w:line="360" w:lineRule="auto"/>
        <w:ind w:firstLine="480"/>
        <w:rPr>
          <w:rFonts w:hint="eastAsia" w:ascii="宋体" w:hAnsi="宋体" w:cs="宋体"/>
          <w:color w:val="auto"/>
          <w:sz w:val="24"/>
        </w:rPr>
      </w:pPr>
      <w:r>
        <w:rPr>
          <w:rFonts w:hint="eastAsia" w:ascii="宋体" w:hAnsi="宋体" w:cs="宋体"/>
          <w:color w:val="auto"/>
          <w:sz w:val="24"/>
        </w:rPr>
        <w:t>系统前端采用大容量工业级硬盘作为存储介质，与电子警察合用，当超出最大存储容量时，自动对车辆信息和图片进行循环覆盖。</w:t>
      </w:r>
    </w:p>
    <w:p>
      <w:pPr>
        <w:spacing w:line="360" w:lineRule="auto"/>
        <w:ind w:firstLine="480"/>
        <w:rPr>
          <w:rFonts w:hint="eastAsia" w:ascii="宋体" w:hAnsi="宋体" w:cs="宋体"/>
          <w:color w:val="auto"/>
          <w:sz w:val="24"/>
        </w:rPr>
      </w:pPr>
      <w:bookmarkStart w:id="201" w:name="_Toc493753708"/>
      <w:bookmarkStart w:id="202" w:name="_Toc438461897"/>
      <w:bookmarkStart w:id="203" w:name="_Toc438736988"/>
      <w:bookmarkStart w:id="204" w:name="_Toc493601398"/>
      <w:bookmarkStart w:id="205" w:name="_Toc417651883"/>
      <w:r>
        <w:rPr>
          <w:rFonts w:hint="eastAsia" w:ascii="宋体" w:hAnsi="宋体" w:cs="宋体"/>
          <w:color w:val="auto"/>
          <w:sz w:val="24"/>
        </w:rPr>
        <w:t>2.15数据断点续传功能</w:t>
      </w:r>
      <w:bookmarkEnd w:id="201"/>
      <w:bookmarkEnd w:id="202"/>
      <w:bookmarkEnd w:id="203"/>
      <w:bookmarkEnd w:id="204"/>
      <w:bookmarkEnd w:id="205"/>
    </w:p>
    <w:p>
      <w:pPr>
        <w:spacing w:line="360" w:lineRule="auto"/>
        <w:ind w:firstLine="480"/>
        <w:rPr>
          <w:rFonts w:hint="eastAsia" w:ascii="宋体" w:hAnsi="宋体" w:cs="宋体"/>
          <w:color w:val="auto"/>
          <w:sz w:val="24"/>
        </w:rPr>
      </w:pPr>
      <w:r>
        <w:rPr>
          <w:rFonts w:hint="eastAsia" w:ascii="宋体" w:hAnsi="宋体" w:cs="宋体"/>
          <w:color w:val="auto"/>
          <w:sz w:val="24"/>
        </w:rPr>
        <w:t>网络传输通道故障时，终端服务器能在一定时间内临时缓存完整的数据信息，当通信恢复以后，临时存储的数据能自动续传，补录到中心管理平台集中存储。续传策略有两种：历史数据优先上传、最新数据优先上传。</w:t>
      </w:r>
    </w:p>
    <w:p>
      <w:pPr>
        <w:spacing w:line="360" w:lineRule="auto"/>
        <w:ind w:firstLine="480"/>
        <w:rPr>
          <w:rFonts w:hint="eastAsia" w:ascii="宋体" w:hAnsi="宋体" w:cs="宋体"/>
          <w:color w:val="auto"/>
          <w:sz w:val="24"/>
        </w:rPr>
      </w:pPr>
      <w:bookmarkStart w:id="206" w:name="_Toc438461898"/>
      <w:bookmarkStart w:id="207" w:name="_Toc438736989"/>
      <w:bookmarkStart w:id="208" w:name="_Toc493601399"/>
      <w:bookmarkStart w:id="209" w:name="_Toc417651884"/>
      <w:bookmarkStart w:id="210" w:name="_Toc493753709"/>
      <w:r>
        <w:rPr>
          <w:rFonts w:hint="eastAsia" w:ascii="宋体" w:hAnsi="宋体" w:cs="宋体"/>
          <w:color w:val="auto"/>
          <w:sz w:val="24"/>
        </w:rPr>
        <w:t>2.16图像防篡改功能</w:t>
      </w:r>
      <w:bookmarkEnd w:id="206"/>
      <w:bookmarkEnd w:id="207"/>
      <w:bookmarkEnd w:id="208"/>
      <w:bookmarkEnd w:id="209"/>
      <w:bookmarkEnd w:id="210"/>
    </w:p>
    <w:p>
      <w:pPr>
        <w:spacing w:line="360" w:lineRule="auto"/>
        <w:ind w:firstLine="480"/>
        <w:rPr>
          <w:rFonts w:hint="eastAsia" w:ascii="宋体" w:hAnsi="宋体" w:cs="宋体"/>
          <w:b/>
          <w:color w:val="auto"/>
          <w:sz w:val="28"/>
        </w:rPr>
      </w:pPr>
      <w:r>
        <w:rPr>
          <w:rFonts w:hint="eastAsia" w:ascii="宋体" w:hAnsi="宋体" w:cs="宋体"/>
          <w:color w:val="auto"/>
          <w:sz w:val="24"/>
        </w:rPr>
        <w:t>原始图像信息具备防篡改功能，避免在传输、存储、处理等过程中被人为篡改。</w:t>
      </w:r>
    </w:p>
    <w:bookmarkEnd w:id="31"/>
    <w:p>
      <w:pPr>
        <w:spacing w:before="240" w:beforeLines="100" w:line="360" w:lineRule="auto"/>
        <w:rPr>
          <w:rFonts w:hint="eastAsia" w:ascii="宋体" w:hAnsi="宋体" w:cs="宋体"/>
          <w:b/>
          <w:color w:val="auto"/>
          <w:sz w:val="28"/>
        </w:rPr>
      </w:pPr>
      <w:r>
        <w:rPr>
          <w:rFonts w:hint="eastAsia" w:ascii="宋体" w:hAnsi="宋体" w:cs="宋体"/>
          <w:b/>
          <w:color w:val="auto"/>
          <w:sz w:val="28"/>
        </w:rPr>
        <w:t>六、项目施工及设计要求</w:t>
      </w:r>
    </w:p>
    <w:p>
      <w:pPr>
        <w:spacing w:line="360" w:lineRule="auto"/>
        <w:rPr>
          <w:rFonts w:hint="eastAsia" w:ascii="宋体" w:hAnsi="宋体" w:cs="宋体"/>
          <w:color w:val="auto"/>
          <w:sz w:val="24"/>
        </w:rPr>
      </w:pPr>
      <w:r>
        <w:rPr>
          <w:rFonts w:hint="eastAsia" w:ascii="宋体" w:hAnsi="宋体" w:cs="宋体"/>
          <w:color w:val="auto"/>
          <w:sz w:val="24"/>
        </w:rPr>
        <w:t xml:space="preserve">    1、立杆要求：立杆高约6-9m；主杆壁厚8mm，横杆壁厚6mm；八棱型可抗14级台风；热镀锌喷塑（黑色）。横臂长度根据现场情况确定。</w:t>
      </w:r>
    </w:p>
    <w:p>
      <w:pPr>
        <w:spacing w:line="360" w:lineRule="auto"/>
        <w:ind w:firstLine="480"/>
        <w:rPr>
          <w:rFonts w:hint="eastAsia" w:ascii="宋体" w:hAnsi="宋体" w:cs="宋体"/>
          <w:color w:val="auto"/>
          <w:sz w:val="24"/>
        </w:rPr>
      </w:pPr>
      <w:r>
        <w:rPr>
          <w:rFonts w:hint="eastAsia" w:ascii="宋体" w:hAnsi="宋体" w:cs="宋体"/>
          <w:color w:val="auto"/>
          <w:sz w:val="24"/>
        </w:rPr>
        <w:t>2、立杆基础：立杆基础根据立杆高度、横臂长度根据下表进行确定，如开挖处土质疏松需适当加大基础。</w:t>
      </w:r>
    </w:p>
    <w:tbl>
      <w:tblPr>
        <w:tblStyle w:val="48"/>
        <w:tblW w:w="0" w:type="auto"/>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755"/>
        <w:gridCol w:w="240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pPr>
              <w:pStyle w:val="21"/>
              <w:ind w:firstLine="0" w:firstLineChars="0"/>
              <w:jc w:val="center"/>
              <w:rPr>
                <w:rFonts w:hint="eastAsia" w:ascii="宋体" w:hAnsi="宋体" w:cs="宋体"/>
                <w:color w:val="auto"/>
              </w:rPr>
            </w:pPr>
            <w:r>
              <w:rPr>
                <w:rFonts w:hint="eastAsia" w:ascii="宋体" w:hAnsi="宋体" w:cs="宋体"/>
                <w:color w:val="auto"/>
              </w:rPr>
              <w:t>序号</w:t>
            </w:r>
          </w:p>
        </w:tc>
        <w:tc>
          <w:tcPr>
            <w:tcW w:w="1755" w:type="dxa"/>
            <w:noWrap w:val="0"/>
            <w:vAlign w:val="center"/>
          </w:tcPr>
          <w:p>
            <w:pPr>
              <w:pStyle w:val="21"/>
              <w:ind w:firstLine="0" w:firstLineChars="0"/>
              <w:jc w:val="center"/>
              <w:rPr>
                <w:rFonts w:hint="eastAsia" w:ascii="宋体" w:hAnsi="宋体" w:cs="宋体"/>
                <w:color w:val="auto"/>
              </w:rPr>
            </w:pPr>
            <w:r>
              <w:rPr>
                <w:rFonts w:hint="eastAsia" w:ascii="宋体" w:hAnsi="宋体" w:cs="宋体"/>
                <w:color w:val="auto"/>
              </w:rPr>
              <w:t>立杆横臂</w:t>
            </w:r>
          </w:p>
        </w:tc>
        <w:tc>
          <w:tcPr>
            <w:tcW w:w="2400" w:type="dxa"/>
            <w:noWrap w:val="0"/>
            <w:vAlign w:val="center"/>
          </w:tcPr>
          <w:p>
            <w:pPr>
              <w:pStyle w:val="21"/>
              <w:ind w:firstLine="0" w:firstLineChars="0"/>
              <w:jc w:val="center"/>
              <w:rPr>
                <w:rFonts w:hint="eastAsia" w:ascii="宋体" w:hAnsi="宋体" w:cs="宋体"/>
                <w:color w:val="auto"/>
              </w:rPr>
            </w:pPr>
            <w:r>
              <w:rPr>
                <w:rFonts w:hint="eastAsia" w:ascii="宋体" w:hAnsi="宋体" w:cs="宋体"/>
                <w:color w:val="auto"/>
              </w:rPr>
              <w:t>基础尺寸（米）</w:t>
            </w:r>
          </w:p>
        </w:tc>
        <w:tc>
          <w:tcPr>
            <w:tcW w:w="2410" w:type="dxa"/>
            <w:noWrap w:val="0"/>
            <w:vAlign w:val="center"/>
          </w:tcPr>
          <w:p>
            <w:pPr>
              <w:pStyle w:val="21"/>
              <w:ind w:firstLine="0" w:firstLineChars="0"/>
              <w:jc w:val="center"/>
              <w:rPr>
                <w:rFonts w:hint="eastAsia" w:ascii="宋体" w:hAnsi="宋体" w:cs="宋体"/>
                <w:color w:val="auto"/>
              </w:rPr>
            </w:pPr>
            <w:r>
              <w:rPr>
                <w:rFonts w:hint="eastAsia" w:ascii="宋体" w:hAnsi="宋体" w:cs="宋体"/>
                <w:color w:val="auto"/>
              </w:rPr>
              <w:t>钢筋标号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45"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1</w:t>
            </w:r>
          </w:p>
        </w:tc>
        <w:tc>
          <w:tcPr>
            <w:tcW w:w="1755"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4米</w:t>
            </w:r>
          </w:p>
        </w:tc>
        <w:tc>
          <w:tcPr>
            <w:tcW w:w="2400"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1.2*1.2*1.5</w:t>
            </w:r>
          </w:p>
        </w:tc>
        <w:tc>
          <w:tcPr>
            <w:tcW w:w="2410"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不小于直径30mm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2</w:t>
            </w:r>
          </w:p>
        </w:tc>
        <w:tc>
          <w:tcPr>
            <w:tcW w:w="1755"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6米</w:t>
            </w:r>
          </w:p>
        </w:tc>
        <w:tc>
          <w:tcPr>
            <w:tcW w:w="2400"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1.2*1.2*1.8</w:t>
            </w:r>
          </w:p>
        </w:tc>
        <w:tc>
          <w:tcPr>
            <w:tcW w:w="2410"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不小于直径30mm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3</w:t>
            </w:r>
          </w:p>
        </w:tc>
        <w:tc>
          <w:tcPr>
            <w:tcW w:w="1755"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8米</w:t>
            </w:r>
          </w:p>
        </w:tc>
        <w:tc>
          <w:tcPr>
            <w:tcW w:w="2400"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1.6*1.6*1.8</w:t>
            </w:r>
          </w:p>
        </w:tc>
        <w:tc>
          <w:tcPr>
            <w:tcW w:w="2410"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不小于直径30mm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4</w:t>
            </w:r>
          </w:p>
        </w:tc>
        <w:tc>
          <w:tcPr>
            <w:tcW w:w="1755"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10米</w:t>
            </w:r>
          </w:p>
        </w:tc>
        <w:tc>
          <w:tcPr>
            <w:tcW w:w="2400"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1.8*1.8*2</w:t>
            </w:r>
          </w:p>
        </w:tc>
        <w:tc>
          <w:tcPr>
            <w:tcW w:w="2410"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不小于直径30mm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5</w:t>
            </w:r>
          </w:p>
        </w:tc>
        <w:tc>
          <w:tcPr>
            <w:tcW w:w="1755"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12米</w:t>
            </w:r>
          </w:p>
        </w:tc>
        <w:tc>
          <w:tcPr>
            <w:tcW w:w="2400"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2*2*2.5</w:t>
            </w:r>
          </w:p>
        </w:tc>
        <w:tc>
          <w:tcPr>
            <w:tcW w:w="2410" w:type="dxa"/>
            <w:noWrap w:val="0"/>
            <w:vAlign w:val="center"/>
          </w:tcPr>
          <w:p>
            <w:pPr>
              <w:pStyle w:val="21"/>
              <w:ind w:firstLine="210"/>
              <w:jc w:val="center"/>
              <w:rPr>
                <w:rFonts w:hint="eastAsia" w:ascii="宋体" w:hAnsi="宋体" w:cs="宋体"/>
                <w:color w:val="auto"/>
              </w:rPr>
            </w:pPr>
            <w:r>
              <w:rPr>
                <w:rFonts w:hint="eastAsia" w:ascii="宋体" w:hAnsi="宋体" w:cs="宋体"/>
                <w:color w:val="auto"/>
              </w:rPr>
              <w:t>不小于直径30mm</w:t>
            </w:r>
          </w:p>
        </w:tc>
      </w:tr>
    </w:tbl>
    <w:p>
      <w:pPr>
        <w:pStyle w:val="21"/>
        <w:ind w:firstLine="210"/>
        <w:rPr>
          <w:rFonts w:hint="eastAsia" w:ascii="宋体" w:hAnsi="宋体" w:cs="宋体"/>
          <w:color w:val="auto"/>
        </w:rPr>
      </w:pPr>
    </w:p>
    <w:p>
      <w:pPr>
        <w:spacing w:line="360" w:lineRule="auto"/>
        <w:ind w:firstLine="480"/>
        <w:rPr>
          <w:rFonts w:ascii="宋体" w:hAnsi="宋体" w:cs="宋体"/>
          <w:color w:val="auto"/>
          <w:sz w:val="24"/>
        </w:rPr>
      </w:pPr>
      <w:r>
        <w:rPr>
          <w:rFonts w:hint="eastAsia" w:ascii="宋体" w:hAnsi="宋体" w:cs="宋体"/>
          <w:color w:val="auto"/>
          <w:sz w:val="24"/>
        </w:rPr>
        <w:t>3、电源：中标方自行安装电表，如借助原有交警大队电表的变更给中标方。项目五年期满后统一移交给交警大队。</w:t>
      </w:r>
    </w:p>
    <w:p>
      <w:pPr>
        <w:spacing w:line="360" w:lineRule="auto"/>
        <w:ind w:firstLine="480"/>
        <w:rPr>
          <w:rFonts w:hint="eastAsia" w:ascii="宋体" w:hAnsi="宋体" w:cs="宋体"/>
          <w:color w:val="auto"/>
          <w:sz w:val="24"/>
        </w:rPr>
      </w:pPr>
      <w:bookmarkStart w:id="211" w:name="_Toc247904219"/>
      <w:r>
        <w:rPr>
          <w:rFonts w:hint="eastAsia" w:ascii="宋体" w:hAnsi="宋体" w:cs="宋体"/>
          <w:color w:val="auto"/>
          <w:sz w:val="24"/>
        </w:rPr>
        <w:t>4、地下管道埋设</w:t>
      </w:r>
      <w:bookmarkEnd w:id="211"/>
    </w:p>
    <w:p>
      <w:pPr>
        <w:spacing w:line="360" w:lineRule="auto"/>
        <w:ind w:firstLine="480"/>
        <w:rPr>
          <w:rFonts w:hint="eastAsia" w:ascii="宋体" w:hAnsi="宋体" w:cs="宋体"/>
          <w:color w:val="auto"/>
          <w:sz w:val="24"/>
        </w:rPr>
      </w:pPr>
      <w:r>
        <w:rPr>
          <w:rFonts w:hint="eastAsia" w:ascii="宋体" w:hAnsi="宋体" w:cs="宋体"/>
          <w:color w:val="auto"/>
          <w:sz w:val="24"/>
        </w:rPr>
        <w:t>1）挖掘管道沟</w:t>
      </w:r>
    </w:p>
    <w:p>
      <w:pPr>
        <w:spacing w:line="360" w:lineRule="auto"/>
        <w:ind w:firstLine="480"/>
        <w:rPr>
          <w:rFonts w:hint="eastAsia" w:ascii="宋体" w:hAnsi="宋体" w:cs="宋体"/>
          <w:color w:val="auto"/>
          <w:sz w:val="24"/>
        </w:rPr>
      </w:pPr>
      <w:r>
        <w:rPr>
          <w:rFonts w:hint="eastAsia" w:ascii="宋体" w:hAnsi="宋体" w:cs="宋体"/>
          <w:color w:val="auto"/>
          <w:sz w:val="24"/>
        </w:rPr>
        <w:t>根据施工设计方案确定管道走向后，使用白灰或其他用品标出明显标记，标记内容应表示出路线、宽度和起止点。</w:t>
      </w:r>
    </w:p>
    <w:p>
      <w:pPr>
        <w:spacing w:line="360" w:lineRule="auto"/>
        <w:ind w:firstLine="480"/>
        <w:rPr>
          <w:rFonts w:hint="eastAsia" w:ascii="宋体" w:hAnsi="宋体" w:cs="宋体"/>
          <w:color w:val="auto"/>
          <w:sz w:val="24"/>
        </w:rPr>
      </w:pPr>
      <w:r>
        <w:rPr>
          <w:rFonts w:hint="eastAsia" w:ascii="宋体" w:hAnsi="宋体" w:cs="宋体"/>
          <w:color w:val="auto"/>
          <w:sz w:val="24"/>
        </w:rPr>
        <w:t>挖掘管道沟施工要求沟壁、沟底平整，沟道平直，出土分类，碎石渣土置于沟一侧，回填细土置于沟的另一侧。</w:t>
      </w:r>
    </w:p>
    <w:p>
      <w:pPr>
        <w:spacing w:line="360" w:lineRule="auto"/>
        <w:ind w:firstLine="480"/>
        <w:rPr>
          <w:rFonts w:hint="eastAsia" w:ascii="宋体" w:hAnsi="宋体" w:cs="宋体"/>
          <w:color w:val="auto"/>
          <w:sz w:val="24"/>
        </w:rPr>
      </w:pPr>
      <w:r>
        <w:rPr>
          <w:rFonts w:hint="eastAsia" w:ascii="宋体" w:hAnsi="宋体" w:cs="宋体"/>
          <w:color w:val="auto"/>
          <w:sz w:val="24"/>
        </w:rPr>
        <w:t>过街管道采用顶管，人行道管道断面尺寸250mm×350mm。挖掘槽包括拆除预制板，拆除混凝土10cm，人工挖掘槽25cm，原土回填。</w:t>
      </w:r>
    </w:p>
    <w:p>
      <w:pPr>
        <w:spacing w:line="360" w:lineRule="auto"/>
        <w:ind w:firstLine="480"/>
        <w:rPr>
          <w:rFonts w:hint="eastAsia" w:ascii="宋体" w:hAnsi="宋体" w:cs="宋体"/>
          <w:color w:val="auto"/>
          <w:sz w:val="24"/>
        </w:rPr>
      </w:pPr>
      <w:r>
        <w:rPr>
          <w:rFonts w:hint="eastAsia" w:ascii="宋体" w:hAnsi="宋体" w:cs="宋体"/>
          <w:color w:val="auto"/>
          <w:sz w:val="24"/>
        </w:rPr>
        <w:t>2）敷设管道</w:t>
      </w:r>
    </w:p>
    <w:p>
      <w:pPr>
        <w:spacing w:line="360" w:lineRule="auto"/>
        <w:ind w:firstLine="480"/>
        <w:rPr>
          <w:rFonts w:hint="eastAsia" w:ascii="宋体" w:hAnsi="宋体" w:cs="宋体"/>
          <w:color w:val="auto"/>
          <w:sz w:val="24"/>
        </w:rPr>
      </w:pPr>
      <w:r>
        <w:rPr>
          <w:rFonts w:hint="eastAsia" w:ascii="宋体" w:hAnsi="宋体" w:cs="宋体"/>
          <w:color w:val="auto"/>
          <w:sz w:val="24"/>
        </w:rPr>
        <w:t>井与井之间、井与机柜基础之间敷设PE管或镀锌钢管、管道的数量和直径视具体工程设计而定。井与灯杆之间采用PVC波纹管，但要在管道外侧随敷10mm钢筋，用于金属管线与立杆地锚的接地连接。</w:t>
      </w:r>
    </w:p>
    <w:p>
      <w:pPr>
        <w:spacing w:line="360" w:lineRule="auto"/>
        <w:ind w:firstLine="480"/>
        <w:rPr>
          <w:rFonts w:hint="eastAsia" w:ascii="宋体" w:hAnsi="宋体" w:cs="宋体"/>
          <w:color w:val="auto"/>
          <w:sz w:val="24"/>
        </w:rPr>
      </w:pPr>
      <w:r>
        <w:rPr>
          <w:rFonts w:hint="eastAsia" w:ascii="宋体" w:hAnsi="宋体" w:cs="宋体"/>
          <w:color w:val="auto"/>
          <w:sz w:val="24"/>
        </w:rPr>
        <w:t>埋设金属管线时，首先在沟底敷设20—30毫米深的细沙，使沟底平软，安放金属管道于沟内，要求管口平滑无毛刺和锋口，两节管道之间接口处套接管接头焊接，并使用10mm钢筋焊接管接头两侧金属管道。</w:t>
      </w:r>
    </w:p>
    <w:p>
      <w:pPr>
        <w:spacing w:line="360" w:lineRule="auto"/>
        <w:ind w:firstLine="480"/>
        <w:rPr>
          <w:rFonts w:hint="eastAsia" w:ascii="宋体" w:hAnsi="宋体" w:cs="宋体"/>
          <w:color w:val="auto"/>
          <w:sz w:val="24"/>
        </w:rPr>
      </w:pPr>
      <w:r>
        <w:rPr>
          <w:rFonts w:hint="eastAsia" w:ascii="宋体" w:hAnsi="宋体" w:cs="宋体"/>
          <w:color w:val="auto"/>
          <w:sz w:val="24"/>
        </w:rPr>
        <w:t>埋设两根以上管道，当长度小于30米时，在距管道两头1米内横向焊接地线网钢筋一根，当管道长度大于30米时，除管道两头外应在管道中间适当位置加焊横向钢筋，使管道之间保持平直。</w:t>
      </w:r>
    </w:p>
    <w:p>
      <w:pPr>
        <w:spacing w:line="360" w:lineRule="auto"/>
        <w:ind w:firstLine="480"/>
        <w:rPr>
          <w:rFonts w:hint="eastAsia" w:ascii="宋体" w:hAnsi="宋体" w:cs="宋体"/>
          <w:color w:val="auto"/>
          <w:sz w:val="24"/>
        </w:rPr>
      </w:pPr>
      <w:r>
        <w:rPr>
          <w:rFonts w:hint="eastAsia" w:ascii="宋体" w:hAnsi="宋体" w:cs="宋体"/>
          <w:color w:val="auto"/>
          <w:sz w:val="24"/>
        </w:rPr>
        <w:t>管沟回填施工要求：使用细土填实管道四周和之间的缝隙，至管道上方50毫米，用夯捣实。路面部分要求使用无机料回填至略高于原路面，并夯实。待恢复路面时加铺路面结构层。便道、绿地部分直接回填原土，并适当清除石头等大块渣土，夯实后直接恢复原地面结构层。</w:t>
      </w:r>
    </w:p>
    <w:p>
      <w:pPr>
        <w:spacing w:line="360" w:lineRule="auto"/>
        <w:ind w:firstLine="480"/>
        <w:rPr>
          <w:rFonts w:hint="eastAsia" w:ascii="宋体" w:hAnsi="宋体" w:cs="宋体"/>
          <w:color w:val="auto"/>
          <w:sz w:val="24"/>
        </w:rPr>
      </w:pPr>
      <w:r>
        <w:rPr>
          <w:rFonts w:hint="eastAsia" w:ascii="宋体" w:hAnsi="宋体" w:cs="宋体"/>
          <w:color w:val="auto"/>
          <w:sz w:val="24"/>
        </w:rPr>
        <w:t>5、接线井砌筑</w:t>
      </w:r>
    </w:p>
    <w:p>
      <w:pPr>
        <w:spacing w:line="360" w:lineRule="auto"/>
        <w:ind w:firstLine="480"/>
        <w:rPr>
          <w:rFonts w:hint="eastAsia" w:ascii="宋体" w:hAnsi="宋体" w:cs="宋体"/>
          <w:color w:val="auto"/>
          <w:sz w:val="24"/>
        </w:rPr>
      </w:pPr>
      <w:r>
        <w:rPr>
          <w:rFonts w:hint="eastAsia" w:ascii="宋体" w:hAnsi="宋体" w:cs="宋体"/>
          <w:color w:val="auto"/>
          <w:sz w:val="24"/>
        </w:rPr>
        <w:t>1）接线井：</w:t>
      </w:r>
    </w:p>
    <w:p>
      <w:pPr>
        <w:spacing w:line="360" w:lineRule="auto"/>
        <w:ind w:firstLine="480"/>
        <w:rPr>
          <w:rFonts w:hint="eastAsia" w:ascii="宋体" w:hAnsi="宋体" w:cs="宋体"/>
          <w:color w:val="auto"/>
          <w:sz w:val="24"/>
        </w:rPr>
      </w:pPr>
      <w:r>
        <w:rPr>
          <w:rFonts w:hint="eastAsia" w:ascii="宋体" w:hAnsi="宋体" w:cs="宋体"/>
          <w:color w:val="auto"/>
          <w:sz w:val="24"/>
        </w:rPr>
        <w:t>用于项目各子系统前端设备和取电处，及取电和系统设备走线大窨井之间的连接，位置和数量的确定须符合国家相关规定要求。设计结构为方形，深度不低于600mm。窨井井盖为边长不小于400mm的正方形井盖。</w:t>
      </w:r>
    </w:p>
    <w:p>
      <w:pPr>
        <w:spacing w:line="360" w:lineRule="auto"/>
        <w:ind w:firstLine="480"/>
        <w:rPr>
          <w:rFonts w:hint="eastAsia" w:ascii="宋体" w:hAnsi="宋体" w:cs="宋体"/>
          <w:color w:val="auto"/>
          <w:sz w:val="24"/>
        </w:rPr>
      </w:pPr>
      <w:r>
        <w:rPr>
          <w:rFonts w:hint="eastAsia" w:ascii="宋体" w:hAnsi="宋体" w:cs="宋体"/>
          <w:color w:val="auto"/>
          <w:sz w:val="24"/>
        </w:rPr>
        <w:t>2）窨井用砖砌制作：</w:t>
      </w:r>
    </w:p>
    <w:p>
      <w:pPr>
        <w:spacing w:line="360" w:lineRule="auto"/>
        <w:ind w:firstLine="480"/>
        <w:rPr>
          <w:rFonts w:hint="eastAsia" w:ascii="宋体" w:hAnsi="宋体" w:cs="宋体"/>
          <w:color w:val="auto"/>
          <w:sz w:val="24"/>
        </w:rPr>
      </w:pPr>
      <w:r>
        <w:rPr>
          <w:rFonts w:hint="eastAsia" w:ascii="宋体" w:hAnsi="宋体" w:cs="宋体"/>
          <w:color w:val="auto"/>
          <w:sz w:val="24"/>
        </w:rPr>
        <w:t>窨井在车行道和行人道上应与路面做平，沙井的墙砌砖，内壁面抹水泥砂浆施工中不能有水泥或砂浆固结在井底，也不能有砖头和其他杂物。</w:t>
      </w:r>
    </w:p>
    <w:p>
      <w:pPr>
        <w:spacing w:line="360" w:lineRule="auto"/>
        <w:ind w:firstLine="480"/>
        <w:rPr>
          <w:rFonts w:hint="eastAsia" w:ascii="宋体" w:hAnsi="宋体" w:cs="宋体"/>
          <w:color w:val="auto"/>
          <w:sz w:val="24"/>
        </w:rPr>
      </w:pPr>
      <w:r>
        <w:rPr>
          <w:rFonts w:hint="eastAsia" w:ascii="宋体" w:hAnsi="宋体" w:cs="宋体"/>
          <w:color w:val="auto"/>
          <w:sz w:val="24"/>
        </w:rPr>
        <w:t>5.4  设备砼基础浇灌</w:t>
      </w:r>
    </w:p>
    <w:p>
      <w:pPr>
        <w:spacing w:line="360" w:lineRule="auto"/>
        <w:ind w:firstLine="480"/>
        <w:rPr>
          <w:rFonts w:hint="eastAsia" w:ascii="宋体" w:hAnsi="宋体" w:cs="宋体"/>
          <w:color w:val="auto"/>
          <w:sz w:val="24"/>
        </w:rPr>
      </w:pPr>
      <w:r>
        <w:rPr>
          <w:rFonts w:hint="eastAsia" w:ascii="宋体" w:hAnsi="宋体" w:cs="宋体"/>
          <w:color w:val="auto"/>
          <w:sz w:val="24"/>
        </w:rPr>
        <w:t>1）根据设计图纸要求制作钢筋笼、地脚螺栓、法兰盘以及其他预埋件等。</w:t>
      </w:r>
    </w:p>
    <w:p>
      <w:pPr>
        <w:spacing w:line="360" w:lineRule="auto"/>
        <w:ind w:firstLine="480"/>
        <w:rPr>
          <w:rFonts w:hint="eastAsia" w:ascii="宋体" w:hAnsi="宋体" w:cs="宋体"/>
          <w:color w:val="auto"/>
          <w:sz w:val="24"/>
        </w:rPr>
      </w:pPr>
      <w:r>
        <w:rPr>
          <w:rFonts w:hint="eastAsia" w:ascii="宋体" w:hAnsi="宋体" w:cs="宋体"/>
          <w:color w:val="auto"/>
          <w:sz w:val="24"/>
        </w:rPr>
        <w:t>2）开工前，先做好现场交通防护、疏导工作，按有关要求设置施工交通安全标志并指派专人负责。</w:t>
      </w:r>
    </w:p>
    <w:p>
      <w:pPr>
        <w:spacing w:line="360" w:lineRule="auto"/>
        <w:ind w:firstLine="480"/>
        <w:rPr>
          <w:rFonts w:hint="eastAsia" w:ascii="宋体" w:hAnsi="宋体" w:cs="宋体"/>
          <w:color w:val="auto"/>
          <w:sz w:val="24"/>
        </w:rPr>
      </w:pPr>
      <w:r>
        <w:rPr>
          <w:rFonts w:hint="eastAsia" w:ascii="宋体" w:hAnsi="宋体" w:cs="宋体"/>
          <w:color w:val="auto"/>
          <w:sz w:val="24"/>
        </w:rPr>
        <w:t>3）根据设置位置开挖基坑，基坑挖好后应请监理查验基坑尺寸、地基是否符合要求，如不符合要求应按监理意见处理好后，才能浇筑砼。</w:t>
      </w:r>
    </w:p>
    <w:p>
      <w:pPr>
        <w:spacing w:line="360" w:lineRule="auto"/>
        <w:ind w:firstLine="480"/>
        <w:rPr>
          <w:rFonts w:hint="eastAsia" w:ascii="宋体" w:hAnsi="宋体" w:cs="宋体"/>
          <w:color w:val="auto"/>
          <w:sz w:val="24"/>
        </w:rPr>
      </w:pPr>
      <w:r>
        <w:rPr>
          <w:rFonts w:hint="eastAsia" w:ascii="宋体" w:hAnsi="宋体" w:cs="宋体"/>
          <w:color w:val="auto"/>
          <w:sz w:val="24"/>
        </w:rPr>
        <w:t>4）基础砼施工。先打垫层，然后配筋，固定预埋件，经监理检查符合要求后，浇筑基础砼。砼用商品砼浇灌，机械振实。基础面应平整，以保证安装的杆、柱、机箱等不致倾斜。现场抽样制作砼抗压试块。</w:t>
      </w:r>
    </w:p>
    <w:p>
      <w:pPr>
        <w:spacing w:line="360" w:lineRule="auto"/>
        <w:ind w:firstLine="480"/>
        <w:rPr>
          <w:rFonts w:hint="eastAsia" w:ascii="宋体" w:hAnsi="宋体" w:cs="宋体"/>
          <w:color w:val="auto"/>
          <w:sz w:val="24"/>
        </w:rPr>
      </w:pPr>
      <w:r>
        <w:rPr>
          <w:rFonts w:hint="eastAsia" w:ascii="宋体" w:hAnsi="宋体" w:cs="宋体"/>
          <w:color w:val="auto"/>
          <w:sz w:val="24"/>
        </w:rPr>
        <w:t>5）当砼浇灌完成后，应按有关规范要求进行养护。</w:t>
      </w:r>
    </w:p>
    <w:p>
      <w:pPr>
        <w:spacing w:line="360" w:lineRule="auto"/>
        <w:ind w:firstLine="480"/>
        <w:rPr>
          <w:rFonts w:hint="eastAsia" w:ascii="宋体" w:hAnsi="宋体" w:cs="宋体"/>
          <w:color w:val="auto"/>
          <w:sz w:val="24"/>
        </w:rPr>
      </w:pPr>
      <w:r>
        <w:rPr>
          <w:rFonts w:hint="eastAsia" w:ascii="宋体" w:hAnsi="宋体" w:cs="宋体"/>
          <w:color w:val="auto"/>
          <w:sz w:val="24"/>
        </w:rPr>
        <w:t>6）基础制作工作完成后，恢复周围环境的美观、整洁，并将施工垃圾、余泥渣土装车带走另行处理。有破坏植被的，予以恢复。</w:t>
      </w:r>
    </w:p>
    <w:p>
      <w:pPr>
        <w:spacing w:line="360" w:lineRule="auto"/>
        <w:ind w:firstLine="480"/>
        <w:rPr>
          <w:rFonts w:hint="eastAsia" w:ascii="宋体" w:hAnsi="宋体" w:cs="宋体"/>
          <w:color w:val="auto"/>
          <w:sz w:val="24"/>
        </w:rPr>
      </w:pPr>
      <w:r>
        <w:rPr>
          <w:rFonts w:hint="eastAsia" w:ascii="宋体" w:hAnsi="宋体" w:cs="宋体"/>
          <w:color w:val="auto"/>
          <w:sz w:val="24"/>
        </w:rPr>
        <w:t>7）基础施工顺序按照：基坑挖土→垫层→绑筋→预埋件设置→支模板→混凝土浇筑→养护→拆模→回填土程序进行。</w:t>
      </w:r>
    </w:p>
    <w:p>
      <w:pPr>
        <w:spacing w:line="360" w:lineRule="auto"/>
        <w:ind w:firstLine="480"/>
        <w:rPr>
          <w:rFonts w:hint="eastAsia" w:ascii="宋体" w:hAnsi="宋体" w:cs="宋体"/>
          <w:color w:val="auto"/>
          <w:sz w:val="24"/>
        </w:rPr>
      </w:pPr>
      <w:r>
        <w:rPr>
          <w:rFonts w:hint="eastAsia" w:ascii="宋体" w:hAnsi="宋体" w:cs="宋体"/>
          <w:color w:val="auto"/>
          <w:sz w:val="24"/>
        </w:rPr>
        <w:t>6、立杆地锚</w:t>
      </w:r>
    </w:p>
    <w:p>
      <w:pPr>
        <w:spacing w:line="360" w:lineRule="auto"/>
        <w:ind w:firstLine="480"/>
        <w:rPr>
          <w:rFonts w:hint="eastAsia" w:ascii="宋体" w:hAnsi="宋体" w:cs="宋体"/>
          <w:color w:val="auto"/>
          <w:sz w:val="24"/>
        </w:rPr>
      </w:pPr>
      <w:r>
        <w:rPr>
          <w:rFonts w:hint="eastAsia" w:ascii="宋体" w:hAnsi="宋体" w:cs="宋体"/>
          <w:color w:val="auto"/>
          <w:sz w:val="24"/>
        </w:rPr>
        <w:t>基础坑施工首先应明确基础用途，根据要求尺寸施工，一般情况下，上坑口不得大于标注尺寸的10%；坑底不得小于标注尺寸。</w:t>
      </w:r>
    </w:p>
    <w:p>
      <w:pPr>
        <w:spacing w:line="360" w:lineRule="auto"/>
        <w:ind w:firstLine="480"/>
        <w:rPr>
          <w:rFonts w:hint="eastAsia" w:ascii="宋体" w:hAnsi="宋体" w:cs="宋体"/>
          <w:color w:val="auto"/>
          <w:sz w:val="24"/>
        </w:rPr>
      </w:pPr>
      <w:r>
        <w:rPr>
          <w:rFonts w:hint="eastAsia" w:ascii="宋体" w:hAnsi="宋体" w:cs="宋体"/>
          <w:color w:val="auto"/>
          <w:sz w:val="24"/>
        </w:rPr>
        <w:t>安放规定的地锚于基础坑内，用于弯臂杆时注意地锚方向，一般规定地锚法兰盘对应两锚脚平行于指示方向。焊接好接地网引线浇注C25（及以上）混凝土至引出管位置后安放弯管与管道顺接，浇注混凝土至原地平面。混凝土不少于4m3,比例1:10。</w:t>
      </w:r>
    </w:p>
    <w:p>
      <w:pPr>
        <w:spacing w:line="360" w:lineRule="auto"/>
        <w:ind w:firstLine="480"/>
        <w:rPr>
          <w:rFonts w:hint="eastAsia" w:ascii="宋体" w:hAnsi="宋体" w:cs="宋体"/>
          <w:color w:val="auto"/>
          <w:sz w:val="24"/>
        </w:rPr>
      </w:pPr>
      <w:r>
        <w:rPr>
          <w:rFonts w:hint="eastAsia" w:ascii="宋体" w:hAnsi="宋体" w:cs="宋体"/>
          <w:color w:val="auto"/>
          <w:sz w:val="24"/>
        </w:rPr>
        <w:t>使用水平尺检测调整地锚法兰盘至水平位置，保持法兰盘下平面与混凝土结合紧密。上平面高出地面10毫米，并固定。</w:t>
      </w:r>
    </w:p>
    <w:p>
      <w:pPr>
        <w:spacing w:line="360" w:lineRule="auto"/>
        <w:ind w:firstLine="480"/>
        <w:rPr>
          <w:rFonts w:hint="eastAsia" w:ascii="宋体" w:hAnsi="宋体" w:cs="宋体"/>
          <w:color w:val="auto"/>
          <w:sz w:val="24"/>
        </w:rPr>
      </w:pPr>
      <w:r>
        <w:rPr>
          <w:rFonts w:hint="eastAsia" w:ascii="宋体" w:hAnsi="宋体" w:cs="宋体"/>
          <w:color w:val="auto"/>
          <w:sz w:val="24"/>
        </w:rPr>
        <w:t>使用震捣器沿基础坑内地锚四周震捣，把混凝土捣实并出浆，必要时分步添加混凝土，使捣实后的基础平面与地平面持平。</w:t>
      </w:r>
    </w:p>
    <w:p>
      <w:pPr>
        <w:spacing w:line="360" w:lineRule="auto"/>
        <w:ind w:firstLine="480"/>
        <w:rPr>
          <w:rFonts w:hint="eastAsia" w:ascii="宋体" w:hAnsi="宋体" w:cs="宋体"/>
          <w:color w:val="auto"/>
          <w:sz w:val="24"/>
        </w:rPr>
      </w:pPr>
      <w:r>
        <w:rPr>
          <w:rFonts w:hint="eastAsia" w:ascii="宋体" w:hAnsi="宋体" w:cs="宋体"/>
          <w:color w:val="auto"/>
          <w:sz w:val="24"/>
        </w:rPr>
        <w:t>重复水平检测和震捣步骤和要求，达到规定标准，然后在基础坑周围设置围挡，严防践踏、碰撞基础结构件，直到混凝土基本固化。</w:t>
      </w:r>
    </w:p>
    <w:p>
      <w:pPr>
        <w:spacing w:line="360" w:lineRule="auto"/>
        <w:ind w:firstLine="480"/>
        <w:rPr>
          <w:rFonts w:hint="eastAsia" w:ascii="宋体" w:hAnsi="宋体" w:cs="宋体"/>
          <w:color w:val="auto"/>
          <w:sz w:val="24"/>
        </w:rPr>
      </w:pPr>
      <w:r>
        <w:rPr>
          <w:rFonts w:hint="eastAsia" w:ascii="宋体" w:hAnsi="宋体" w:cs="宋体"/>
          <w:color w:val="auto"/>
          <w:sz w:val="24"/>
        </w:rPr>
        <w:t>使用水泥、灰浆沿地锚基础四周，抹平滑成自然漫坡，修整基础四周与原地面顺接。</w:t>
      </w:r>
    </w:p>
    <w:p>
      <w:pPr>
        <w:spacing w:line="360" w:lineRule="auto"/>
        <w:ind w:firstLine="480"/>
        <w:rPr>
          <w:rFonts w:hint="eastAsia" w:ascii="宋体" w:hAnsi="宋体" w:cs="宋体"/>
          <w:color w:val="auto"/>
          <w:sz w:val="24"/>
        </w:rPr>
      </w:pPr>
      <w:r>
        <w:rPr>
          <w:rFonts w:hint="eastAsia" w:ascii="宋体" w:hAnsi="宋体" w:cs="宋体"/>
          <w:color w:val="auto"/>
          <w:sz w:val="24"/>
        </w:rPr>
        <w:t>地锚施工说明：</w:t>
      </w:r>
    </w:p>
    <w:p>
      <w:pPr>
        <w:spacing w:line="360" w:lineRule="auto"/>
        <w:ind w:firstLine="480"/>
        <w:rPr>
          <w:rFonts w:hint="eastAsia" w:ascii="宋体" w:hAnsi="宋体" w:cs="宋体"/>
          <w:color w:val="auto"/>
          <w:sz w:val="24"/>
        </w:rPr>
      </w:pPr>
      <w:r>
        <w:rPr>
          <w:rFonts w:hint="eastAsia" w:ascii="宋体" w:hAnsi="宋体" w:cs="宋体"/>
          <w:color w:val="auto"/>
          <w:sz w:val="24"/>
        </w:rPr>
        <w:t>混凝土等级：C25等级及以上；</w:t>
      </w:r>
    </w:p>
    <w:p>
      <w:pPr>
        <w:spacing w:line="360" w:lineRule="auto"/>
        <w:ind w:firstLine="480"/>
        <w:rPr>
          <w:rFonts w:hint="eastAsia" w:ascii="宋体" w:hAnsi="宋体" w:cs="宋体"/>
          <w:color w:val="auto"/>
          <w:sz w:val="24"/>
        </w:rPr>
      </w:pPr>
      <w:r>
        <w:rPr>
          <w:rFonts w:hint="eastAsia" w:ascii="宋体" w:hAnsi="宋体" w:cs="宋体"/>
          <w:color w:val="auto"/>
          <w:sz w:val="24"/>
        </w:rPr>
        <w:t>地脚螺栓与定位法兰焊接固定；</w:t>
      </w:r>
    </w:p>
    <w:p>
      <w:pPr>
        <w:spacing w:line="360" w:lineRule="auto"/>
        <w:ind w:firstLine="480"/>
        <w:rPr>
          <w:rFonts w:hint="eastAsia" w:ascii="宋体" w:hAnsi="宋体" w:cs="宋体"/>
          <w:color w:val="auto"/>
          <w:sz w:val="24"/>
        </w:rPr>
      </w:pPr>
      <w:r>
        <w:rPr>
          <w:rFonts w:hint="eastAsia" w:ascii="宋体" w:hAnsi="宋体" w:cs="宋体"/>
          <w:color w:val="auto"/>
          <w:sz w:val="24"/>
        </w:rPr>
        <w:t>杆体就位后，用C25及以上细石混凝土将螺栓、螺母浇注封死，以防锈蚀；</w:t>
      </w:r>
    </w:p>
    <w:p>
      <w:pPr>
        <w:spacing w:line="360" w:lineRule="auto"/>
        <w:ind w:firstLine="480"/>
        <w:rPr>
          <w:rFonts w:hint="eastAsia" w:ascii="宋体" w:hAnsi="宋体" w:cs="宋体"/>
          <w:color w:val="auto"/>
          <w:sz w:val="24"/>
        </w:rPr>
      </w:pPr>
      <w:r>
        <w:rPr>
          <w:rFonts w:hint="eastAsia" w:ascii="宋体" w:hAnsi="宋体" w:cs="宋体"/>
          <w:color w:val="auto"/>
          <w:sz w:val="24"/>
        </w:rPr>
        <w:t>基础按亚粘土设计，地基承载力标准值不低于150KPA，土容量16KN/M，无地下水，施工中发现与地质条件不符时，应通知设计人员修改方案；</w:t>
      </w:r>
    </w:p>
    <w:p>
      <w:pPr>
        <w:spacing w:line="360" w:lineRule="auto"/>
        <w:ind w:firstLine="480"/>
        <w:rPr>
          <w:rFonts w:hint="eastAsia" w:ascii="宋体" w:hAnsi="宋体" w:cs="宋体"/>
          <w:color w:val="auto"/>
          <w:sz w:val="24"/>
        </w:rPr>
      </w:pPr>
      <w:r>
        <w:rPr>
          <w:rFonts w:hint="eastAsia" w:ascii="宋体" w:hAnsi="宋体" w:cs="宋体"/>
          <w:color w:val="auto"/>
          <w:sz w:val="24"/>
        </w:rPr>
        <w:t>回填土不能用杂土，如挖出为杂土，应换土回填；</w:t>
      </w:r>
    </w:p>
    <w:p>
      <w:pPr>
        <w:spacing w:line="360" w:lineRule="auto"/>
        <w:ind w:firstLine="480"/>
        <w:rPr>
          <w:rFonts w:hint="eastAsia" w:ascii="宋体" w:hAnsi="宋体" w:cs="宋体"/>
          <w:color w:val="auto"/>
          <w:sz w:val="24"/>
        </w:rPr>
      </w:pPr>
      <w:r>
        <w:rPr>
          <w:rFonts w:hint="eastAsia" w:ascii="宋体" w:hAnsi="宋体" w:cs="宋体"/>
          <w:color w:val="auto"/>
          <w:sz w:val="24"/>
        </w:rPr>
        <w:t>回填土应分层夯实，每层厚度不超过300MM。</w:t>
      </w:r>
    </w:p>
    <w:p>
      <w:pPr>
        <w:spacing w:before="240" w:beforeLines="100" w:line="360" w:lineRule="auto"/>
        <w:ind w:firstLine="562"/>
        <w:rPr>
          <w:rFonts w:hint="eastAsia" w:ascii="宋体" w:hAnsi="宋体" w:cs="宋体"/>
          <w:b/>
          <w:color w:val="auto"/>
          <w:sz w:val="28"/>
        </w:rPr>
      </w:pPr>
      <w:bookmarkStart w:id="212" w:name="_Toc375067665"/>
      <w:r>
        <w:rPr>
          <w:rFonts w:hint="eastAsia" w:ascii="宋体" w:hAnsi="宋体" w:cs="宋体"/>
          <w:b/>
          <w:color w:val="auto"/>
          <w:sz w:val="28"/>
        </w:rPr>
        <w:t>七、项目建设期和租赁服务期有关要求</w:t>
      </w:r>
    </w:p>
    <w:p>
      <w:pPr>
        <w:spacing w:before="120" w:beforeLines="50" w:line="360" w:lineRule="auto"/>
        <w:ind w:firstLine="482"/>
        <w:rPr>
          <w:rFonts w:hint="eastAsia" w:ascii="宋体" w:hAnsi="宋体" w:cs="宋体"/>
          <w:b/>
          <w:color w:val="auto"/>
          <w:sz w:val="24"/>
        </w:rPr>
      </w:pPr>
      <w:bookmarkStart w:id="213" w:name="_Toc375067661"/>
      <w:bookmarkStart w:id="214" w:name="_Toc353887103"/>
      <w:bookmarkStart w:id="215" w:name="_Toc350504567"/>
      <w:bookmarkStart w:id="216" w:name="_Toc362338824"/>
      <w:r>
        <w:rPr>
          <w:rFonts w:hint="eastAsia" w:ascii="宋体" w:hAnsi="宋体" w:cs="宋体"/>
          <w:b/>
          <w:color w:val="auto"/>
          <w:sz w:val="24"/>
        </w:rPr>
        <w:t>项目建设期的管理需求</w:t>
      </w:r>
      <w:bookmarkEnd w:id="213"/>
      <w:bookmarkEnd w:id="214"/>
      <w:bookmarkEnd w:id="215"/>
      <w:bookmarkEnd w:id="216"/>
    </w:p>
    <w:p>
      <w:pPr>
        <w:spacing w:line="360" w:lineRule="auto"/>
        <w:ind w:firstLine="480"/>
        <w:rPr>
          <w:rFonts w:hint="eastAsia" w:ascii="宋体" w:hAnsi="宋体" w:cs="宋体"/>
          <w:color w:val="auto"/>
          <w:sz w:val="24"/>
        </w:rPr>
      </w:pPr>
      <w:r>
        <w:rPr>
          <w:rFonts w:hint="eastAsia" w:ascii="宋体" w:hAnsi="宋体" w:cs="宋体"/>
          <w:color w:val="auto"/>
          <w:sz w:val="24"/>
        </w:rPr>
        <w:t>投标人必须就采购人（用户）提出的全部要求做出回应，提供切合该项目的整体项目管理方案。</w:t>
      </w:r>
    </w:p>
    <w:p>
      <w:pPr>
        <w:spacing w:before="120" w:beforeLines="50" w:line="360" w:lineRule="auto"/>
        <w:ind w:firstLine="482"/>
        <w:rPr>
          <w:rFonts w:hint="eastAsia" w:ascii="宋体" w:hAnsi="宋体" w:cs="宋体"/>
          <w:b/>
          <w:color w:val="auto"/>
          <w:sz w:val="24"/>
        </w:rPr>
      </w:pPr>
      <w:bookmarkStart w:id="217" w:name="_Toc353887104"/>
      <w:bookmarkStart w:id="218" w:name="_Toc375067662"/>
      <w:bookmarkStart w:id="219" w:name="_Toc362338825"/>
      <w:bookmarkStart w:id="220" w:name="_Toc173646508"/>
      <w:bookmarkStart w:id="221" w:name="_Toc172391693"/>
      <w:bookmarkStart w:id="222" w:name="_Toc172392026"/>
      <w:bookmarkStart w:id="223" w:name="_Toc235872248"/>
      <w:r>
        <w:rPr>
          <w:rFonts w:hint="eastAsia" w:ascii="宋体" w:hAnsi="宋体" w:cs="宋体"/>
          <w:b/>
          <w:color w:val="auto"/>
          <w:sz w:val="24"/>
        </w:rPr>
        <w:t>1、项目建设管理要求</w:t>
      </w:r>
      <w:bookmarkEnd w:id="217"/>
      <w:bookmarkEnd w:id="218"/>
      <w:bookmarkEnd w:id="219"/>
      <w:bookmarkEnd w:id="220"/>
      <w:bookmarkEnd w:id="221"/>
      <w:bookmarkEnd w:id="222"/>
      <w:bookmarkEnd w:id="223"/>
    </w:p>
    <w:p>
      <w:pPr>
        <w:spacing w:line="360" w:lineRule="auto"/>
        <w:ind w:firstLine="482"/>
        <w:rPr>
          <w:rFonts w:hint="eastAsia" w:ascii="宋体" w:hAnsi="宋体" w:cs="宋体"/>
          <w:b/>
          <w:color w:val="auto"/>
          <w:sz w:val="24"/>
        </w:rPr>
      </w:pPr>
      <w:r>
        <w:rPr>
          <w:rFonts w:hint="eastAsia" w:ascii="宋体" w:hAnsi="宋体" w:cs="宋体"/>
          <w:b/>
          <w:color w:val="auto"/>
          <w:sz w:val="24"/>
        </w:rPr>
        <w:t>1.1调研要求</w:t>
      </w:r>
    </w:p>
    <w:p>
      <w:pPr>
        <w:spacing w:line="360" w:lineRule="auto"/>
        <w:ind w:firstLine="480"/>
        <w:rPr>
          <w:rFonts w:hint="eastAsia" w:ascii="宋体" w:hAnsi="宋体" w:cs="宋体"/>
          <w:color w:val="auto"/>
          <w:sz w:val="24"/>
        </w:rPr>
      </w:pPr>
      <w:r>
        <w:rPr>
          <w:rFonts w:hint="eastAsia" w:ascii="宋体" w:hAnsi="宋体" w:cs="宋体"/>
          <w:color w:val="auto"/>
          <w:sz w:val="24"/>
        </w:rPr>
        <w:t>中标人需对项目需求做深入调研，并向采购人（用户）提交调研报告，经采购人（用户）批准通过后，方可进入设计阶段。</w:t>
      </w:r>
    </w:p>
    <w:p>
      <w:pPr>
        <w:spacing w:line="360" w:lineRule="auto"/>
        <w:ind w:firstLine="482"/>
        <w:rPr>
          <w:rFonts w:hint="eastAsia" w:ascii="宋体" w:hAnsi="宋体" w:cs="宋体"/>
          <w:b/>
          <w:color w:val="auto"/>
          <w:sz w:val="24"/>
        </w:rPr>
      </w:pPr>
      <w:r>
        <w:rPr>
          <w:rFonts w:hint="eastAsia" w:ascii="宋体" w:hAnsi="宋体" w:cs="宋体"/>
          <w:b/>
          <w:color w:val="auto"/>
          <w:sz w:val="24"/>
        </w:rPr>
        <w:t>1.2设计要求</w:t>
      </w:r>
    </w:p>
    <w:p>
      <w:pPr>
        <w:spacing w:line="360" w:lineRule="auto"/>
        <w:ind w:firstLine="480"/>
        <w:rPr>
          <w:rFonts w:hint="eastAsia" w:ascii="宋体" w:hAnsi="宋体" w:cs="宋体"/>
          <w:color w:val="auto"/>
          <w:sz w:val="24"/>
        </w:rPr>
      </w:pPr>
      <w:r>
        <w:rPr>
          <w:rFonts w:hint="eastAsia" w:ascii="宋体" w:hAnsi="宋体" w:cs="宋体"/>
          <w:color w:val="auto"/>
          <w:sz w:val="24"/>
        </w:rPr>
        <w:t>中标人需结合自己的资源实际，根据需求调研报告编制深化设计。深化设计分为方案设计和施工图纸设计两个阶段。设计要求合理、设计格式规范，符合国家有关规定。</w:t>
      </w:r>
    </w:p>
    <w:p>
      <w:pPr>
        <w:spacing w:line="360" w:lineRule="auto"/>
        <w:ind w:firstLine="482"/>
        <w:rPr>
          <w:rFonts w:hint="eastAsia" w:ascii="宋体" w:hAnsi="宋体" w:cs="宋体"/>
          <w:b/>
          <w:color w:val="auto"/>
          <w:sz w:val="24"/>
        </w:rPr>
      </w:pPr>
      <w:r>
        <w:rPr>
          <w:rFonts w:hint="eastAsia" w:ascii="宋体" w:hAnsi="宋体" w:cs="宋体"/>
          <w:b/>
          <w:color w:val="auto"/>
          <w:sz w:val="24"/>
        </w:rPr>
        <w:t>1.3验收要求</w:t>
      </w:r>
    </w:p>
    <w:p>
      <w:pPr>
        <w:spacing w:line="360" w:lineRule="auto"/>
        <w:ind w:firstLine="480"/>
        <w:rPr>
          <w:rFonts w:hint="eastAsia" w:ascii="宋体" w:hAnsi="宋体" w:cs="宋体"/>
          <w:color w:val="auto"/>
          <w:sz w:val="24"/>
        </w:rPr>
      </w:pPr>
      <w:r>
        <w:rPr>
          <w:rFonts w:hint="eastAsia" w:ascii="宋体" w:hAnsi="宋体" w:cs="宋体"/>
          <w:color w:val="auto"/>
          <w:sz w:val="24"/>
        </w:rPr>
        <w:t>本项目的验收必须经过公安科技通信、交警相关部门的初步验收后进入试运行阶段。试运行30天后组织专业人员的第三方验收小组进行终验。所有验收费用由中标人承担。项目验收</w:t>
      </w:r>
      <w:r>
        <w:rPr>
          <w:rFonts w:hint="eastAsia" w:ascii="宋体" w:hAnsi="宋体" w:cs="宋体"/>
          <w:color w:val="auto"/>
          <w:sz w:val="24"/>
          <w:lang w:val="en-US" w:eastAsia="zh-CN"/>
        </w:rPr>
        <w:t>合格</w:t>
      </w:r>
      <w:r>
        <w:rPr>
          <w:rFonts w:hint="eastAsia" w:ascii="宋体" w:hAnsi="宋体" w:cs="宋体"/>
          <w:color w:val="auto"/>
          <w:sz w:val="24"/>
        </w:rPr>
        <w:t>之日起计算租赁服务期。</w:t>
      </w:r>
    </w:p>
    <w:p>
      <w:pPr>
        <w:spacing w:line="360" w:lineRule="auto"/>
        <w:ind w:firstLine="482"/>
        <w:rPr>
          <w:rFonts w:hint="eastAsia" w:ascii="宋体" w:hAnsi="宋体" w:cs="宋体"/>
          <w:b/>
          <w:color w:val="auto"/>
          <w:sz w:val="24"/>
        </w:rPr>
      </w:pPr>
      <w:r>
        <w:rPr>
          <w:rFonts w:hint="eastAsia" w:ascii="宋体" w:hAnsi="宋体" w:cs="宋体"/>
          <w:b/>
          <w:color w:val="auto"/>
          <w:sz w:val="24"/>
        </w:rPr>
        <w:t>1.4培训要求</w:t>
      </w:r>
    </w:p>
    <w:p>
      <w:pPr>
        <w:spacing w:line="360" w:lineRule="auto"/>
        <w:ind w:firstLine="480"/>
        <w:rPr>
          <w:rFonts w:hint="eastAsia" w:ascii="宋体" w:hAnsi="宋体" w:cs="宋体"/>
          <w:color w:val="auto"/>
          <w:sz w:val="24"/>
        </w:rPr>
      </w:pPr>
      <w:r>
        <w:rPr>
          <w:rFonts w:hint="eastAsia" w:ascii="宋体" w:hAnsi="宋体" w:cs="宋体"/>
          <w:color w:val="auto"/>
          <w:sz w:val="24"/>
        </w:rPr>
        <w:t>中标人必须在验收前提供现场专业技术培训服务。投标人应将所有培训费用及各项支出列入租赁服务费用中。中标人应在投标文件中详细描述培训的组织和实施办法及培训内容与时间。</w:t>
      </w:r>
    </w:p>
    <w:p>
      <w:pPr>
        <w:spacing w:line="360" w:lineRule="auto"/>
        <w:ind w:firstLine="482"/>
        <w:rPr>
          <w:rFonts w:hint="eastAsia" w:ascii="宋体" w:hAnsi="宋体" w:cs="宋体"/>
          <w:b/>
          <w:color w:val="auto"/>
          <w:sz w:val="24"/>
        </w:rPr>
      </w:pPr>
      <w:r>
        <w:rPr>
          <w:rFonts w:hint="eastAsia" w:ascii="宋体" w:hAnsi="宋体" w:cs="宋体"/>
          <w:b/>
          <w:color w:val="auto"/>
          <w:sz w:val="24"/>
        </w:rPr>
        <w:t>1.5文件交付要求</w:t>
      </w:r>
    </w:p>
    <w:p>
      <w:pPr>
        <w:spacing w:line="360" w:lineRule="auto"/>
        <w:ind w:firstLine="480"/>
        <w:rPr>
          <w:rFonts w:hint="eastAsia" w:ascii="宋体" w:hAnsi="宋体" w:cs="宋体"/>
          <w:color w:val="auto"/>
          <w:sz w:val="24"/>
        </w:rPr>
      </w:pPr>
      <w:r>
        <w:rPr>
          <w:rFonts w:hint="eastAsia" w:ascii="宋体" w:hAnsi="宋体" w:cs="宋体"/>
          <w:color w:val="auto"/>
          <w:sz w:val="24"/>
        </w:rPr>
        <w:t>项目建设应严格按照国家相关的工程规范进行，中标人必须根据项目进度及时提供有关文档。投标人应在投标文件中详细描述所交付文件的目录和内容大纲。</w:t>
      </w:r>
    </w:p>
    <w:p>
      <w:pPr>
        <w:spacing w:line="360" w:lineRule="auto"/>
        <w:ind w:firstLine="482"/>
        <w:rPr>
          <w:rFonts w:hint="eastAsia" w:ascii="宋体" w:hAnsi="宋体" w:cs="宋体"/>
          <w:b/>
          <w:bCs/>
          <w:color w:val="auto"/>
          <w:sz w:val="24"/>
        </w:rPr>
      </w:pPr>
      <w:r>
        <w:rPr>
          <w:rFonts w:hint="eastAsia" w:ascii="宋体" w:hAnsi="宋体" w:cs="宋体"/>
          <w:b/>
          <w:bCs/>
          <w:color w:val="auto"/>
          <w:sz w:val="24"/>
        </w:rPr>
        <w:t>1.6安全要求</w:t>
      </w:r>
    </w:p>
    <w:p>
      <w:pPr>
        <w:spacing w:line="360" w:lineRule="auto"/>
        <w:ind w:firstLine="480"/>
        <w:rPr>
          <w:rFonts w:hint="eastAsia" w:ascii="宋体" w:hAnsi="宋体" w:cs="宋体"/>
          <w:color w:val="auto"/>
          <w:sz w:val="24"/>
        </w:rPr>
      </w:pPr>
      <w:r>
        <w:rPr>
          <w:rFonts w:hint="eastAsia" w:ascii="宋体" w:hAnsi="宋体" w:cs="宋体"/>
          <w:color w:val="auto"/>
          <w:sz w:val="24"/>
        </w:rPr>
        <w:t>项目建设过程中及合同租赁维护期内，施工、日常维护中的安全问题由投标方全权负责，投标方应制定、完善施工及维护过程中的安全防护方案、预案并严格执行，如项目建设及租赁过程中发生安全隐患和安全事故的，所有法律责任由投标方承担，并在投标时提供书面承诺书。</w:t>
      </w:r>
    </w:p>
    <w:p>
      <w:pPr>
        <w:spacing w:before="120" w:beforeLines="50" w:line="360" w:lineRule="auto"/>
        <w:ind w:firstLine="482"/>
        <w:rPr>
          <w:rFonts w:hint="eastAsia" w:ascii="宋体" w:hAnsi="宋体" w:cs="宋体"/>
          <w:b/>
          <w:color w:val="auto"/>
          <w:sz w:val="24"/>
        </w:rPr>
      </w:pPr>
      <w:bookmarkStart w:id="224" w:name="_Toc235872249"/>
      <w:bookmarkStart w:id="225" w:name="_Toc172392027"/>
      <w:bookmarkStart w:id="226" w:name="_Toc172391694"/>
      <w:bookmarkStart w:id="227" w:name="_Toc362338826"/>
      <w:bookmarkStart w:id="228" w:name="_Toc173646509"/>
      <w:bookmarkStart w:id="229" w:name="_Toc353887105"/>
      <w:bookmarkStart w:id="230" w:name="_Toc375067663"/>
      <w:r>
        <w:rPr>
          <w:rFonts w:hint="eastAsia" w:ascii="宋体" w:hAnsi="宋体" w:cs="宋体"/>
          <w:b/>
          <w:color w:val="auto"/>
          <w:sz w:val="24"/>
        </w:rPr>
        <w:t>2、项目管理体系</w:t>
      </w:r>
      <w:bookmarkEnd w:id="224"/>
      <w:bookmarkEnd w:id="225"/>
      <w:bookmarkEnd w:id="226"/>
      <w:bookmarkEnd w:id="227"/>
      <w:bookmarkEnd w:id="228"/>
      <w:bookmarkEnd w:id="229"/>
      <w:bookmarkEnd w:id="230"/>
    </w:p>
    <w:p>
      <w:pPr>
        <w:spacing w:line="360" w:lineRule="auto"/>
        <w:ind w:firstLine="480"/>
        <w:rPr>
          <w:rFonts w:hint="eastAsia" w:ascii="宋体" w:hAnsi="宋体" w:cs="宋体"/>
          <w:color w:val="auto"/>
          <w:sz w:val="24"/>
        </w:rPr>
      </w:pPr>
      <w:r>
        <w:rPr>
          <w:rFonts w:hint="eastAsia" w:ascii="宋体" w:hAnsi="宋体" w:cs="宋体"/>
          <w:color w:val="auto"/>
          <w:sz w:val="24"/>
        </w:rPr>
        <w:t>投标人应根据上述管理要求，结合自身的项目管理体系情况，提出适合于本项目特点经过优化的项目管理体系，保障项目的顺利实施，达到项目服务质量要求。</w:t>
      </w:r>
    </w:p>
    <w:p>
      <w:pPr>
        <w:spacing w:line="360" w:lineRule="auto"/>
        <w:ind w:firstLine="480"/>
        <w:rPr>
          <w:rFonts w:hint="eastAsia" w:ascii="宋体" w:hAnsi="宋体" w:cs="宋体"/>
          <w:color w:val="auto"/>
          <w:sz w:val="24"/>
        </w:rPr>
      </w:pPr>
      <w:r>
        <w:rPr>
          <w:rFonts w:hint="eastAsia" w:ascii="宋体" w:hAnsi="宋体" w:cs="宋体"/>
          <w:color w:val="auto"/>
          <w:sz w:val="24"/>
        </w:rPr>
        <w:t>项目管理体系应至少包括如下内容：项目组织机构；项目管理机制，包括项目计划管理、质量控制、进度控制、成本变更控制、人员管理、风险管理、内部和外部沟通机制等。</w:t>
      </w:r>
    </w:p>
    <w:p>
      <w:pPr>
        <w:spacing w:before="120" w:beforeLines="50" w:line="360" w:lineRule="auto"/>
        <w:ind w:firstLine="482"/>
        <w:rPr>
          <w:rFonts w:hint="eastAsia" w:ascii="宋体" w:hAnsi="宋体" w:cs="宋体"/>
          <w:b/>
          <w:color w:val="auto"/>
          <w:sz w:val="24"/>
        </w:rPr>
      </w:pPr>
      <w:bookmarkStart w:id="231" w:name="_Toc362338827"/>
      <w:bookmarkStart w:id="232" w:name="_Toc353887106"/>
      <w:bookmarkStart w:id="233" w:name="_Toc172391695"/>
      <w:bookmarkStart w:id="234" w:name="_Toc172392028"/>
      <w:bookmarkStart w:id="235" w:name="_Toc173646510"/>
      <w:bookmarkStart w:id="236" w:name="_Toc375067664"/>
      <w:bookmarkStart w:id="237" w:name="_Toc235872250"/>
      <w:r>
        <w:rPr>
          <w:rFonts w:hint="eastAsia" w:ascii="宋体" w:hAnsi="宋体" w:cs="宋体"/>
          <w:b/>
          <w:color w:val="auto"/>
          <w:sz w:val="24"/>
        </w:rPr>
        <w:t>3、项目监督与管理要求</w:t>
      </w:r>
      <w:bookmarkEnd w:id="231"/>
      <w:bookmarkEnd w:id="232"/>
      <w:bookmarkEnd w:id="233"/>
      <w:bookmarkEnd w:id="234"/>
      <w:bookmarkEnd w:id="235"/>
      <w:bookmarkEnd w:id="236"/>
      <w:bookmarkEnd w:id="237"/>
    </w:p>
    <w:p>
      <w:pPr>
        <w:spacing w:line="360" w:lineRule="auto"/>
        <w:ind w:firstLine="480"/>
        <w:rPr>
          <w:rFonts w:hint="eastAsia" w:ascii="宋体" w:hAnsi="宋体" w:cs="宋体"/>
          <w:color w:val="auto"/>
          <w:sz w:val="24"/>
        </w:rPr>
      </w:pPr>
      <w:r>
        <w:rPr>
          <w:rFonts w:hint="eastAsia" w:ascii="宋体" w:hAnsi="宋体" w:cs="宋体"/>
          <w:color w:val="auto"/>
          <w:sz w:val="24"/>
        </w:rPr>
        <w:t>鉴于本项目的重要性，投标人必须承诺完全同意并严格遵守以下条款：</w:t>
      </w:r>
    </w:p>
    <w:p>
      <w:pPr>
        <w:spacing w:line="360" w:lineRule="auto"/>
        <w:ind w:firstLine="480"/>
        <w:rPr>
          <w:rFonts w:hint="eastAsia" w:ascii="宋体" w:hAnsi="宋体" w:cs="宋体"/>
          <w:color w:val="auto"/>
          <w:sz w:val="24"/>
        </w:rPr>
      </w:pPr>
      <w:r>
        <w:rPr>
          <w:rFonts w:hint="eastAsia" w:ascii="宋体" w:hAnsi="宋体" w:cs="宋体"/>
          <w:color w:val="auto"/>
          <w:sz w:val="24"/>
        </w:rPr>
        <w:t>3.1采购人（用户）对项目的质量、进度、计划、验收等进行全方位的监督和管理；</w:t>
      </w:r>
    </w:p>
    <w:p>
      <w:pPr>
        <w:spacing w:line="360" w:lineRule="auto"/>
        <w:ind w:firstLine="480"/>
        <w:rPr>
          <w:rFonts w:hint="eastAsia" w:ascii="宋体" w:hAnsi="宋体" w:cs="宋体"/>
          <w:b/>
          <w:iCs/>
          <w:color w:val="auto"/>
          <w:sz w:val="24"/>
        </w:rPr>
      </w:pPr>
      <w:r>
        <w:rPr>
          <w:rFonts w:hint="eastAsia" w:ascii="宋体" w:hAnsi="宋体" w:cs="宋体"/>
          <w:color w:val="auto"/>
          <w:sz w:val="24"/>
        </w:rPr>
        <w:t>3.2中标人必须接受采购人（用户）对于项目的管理和监督，及时向采购人（用户）提交各种设计方案、实施方案、计划、报告等项目文档。对于项目实施过程中指出的问题，应该积极给予答复并解决。对于提出的整改要求，必须服从并实施整改措施。</w:t>
      </w:r>
    </w:p>
    <w:p>
      <w:pPr>
        <w:spacing w:before="120" w:beforeLines="50" w:line="360" w:lineRule="auto"/>
        <w:ind w:firstLine="482"/>
        <w:rPr>
          <w:rFonts w:hint="eastAsia" w:ascii="宋体" w:hAnsi="宋体" w:cs="宋体"/>
          <w:b/>
          <w:color w:val="auto"/>
          <w:sz w:val="24"/>
        </w:rPr>
      </w:pPr>
      <w:r>
        <w:rPr>
          <w:rFonts w:hint="eastAsia" w:ascii="宋体" w:hAnsi="宋体" w:cs="宋体"/>
          <w:b/>
          <w:color w:val="auto"/>
          <w:sz w:val="24"/>
        </w:rPr>
        <w:t>4、项目运维服务需求及培训</w:t>
      </w:r>
      <w:bookmarkEnd w:id="212"/>
    </w:p>
    <w:p>
      <w:pPr>
        <w:spacing w:line="360" w:lineRule="auto"/>
        <w:ind w:firstLine="480"/>
        <w:rPr>
          <w:rFonts w:hint="eastAsia" w:ascii="宋体" w:hAnsi="宋体" w:cs="宋体"/>
          <w:color w:val="auto"/>
          <w:sz w:val="24"/>
        </w:rPr>
      </w:pPr>
      <w:r>
        <w:rPr>
          <w:rFonts w:hint="eastAsia" w:ascii="宋体" w:hAnsi="宋体" w:cs="宋体"/>
          <w:iCs/>
          <w:color w:val="auto"/>
          <w:sz w:val="24"/>
        </w:rPr>
        <w:t>▲</w:t>
      </w:r>
      <w:r>
        <w:rPr>
          <w:rFonts w:hint="eastAsia" w:ascii="宋体" w:hAnsi="宋体" w:cs="宋体"/>
          <w:color w:val="auto"/>
          <w:sz w:val="24"/>
        </w:rPr>
        <w:t>系统建成通过用户验收后，进入运行维护期。中标人必须提供完善、专业、高质量的运维服务，本项目设定安排驻点维护人员</w:t>
      </w:r>
      <w:r>
        <w:rPr>
          <w:rFonts w:hint="eastAsia" w:ascii="宋体" w:hAnsi="宋体" w:cs="宋体"/>
          <w:color w:val="auto"/>
          <w:sz w:val="24"/>
          <w:lang w:val="en-US" w:eastAsia="zh-CN"/>
        </w:rPr>
        <w:t>四</w:t>
      </w:r>
      <w:r>
        <w:rPr>
          <w:rFonts w:hint="eastAsia" w:ascii="宋体" w:hAnsi="宋体" w:cs="宋体"/>
          <w:color w:val="auto"/>
          <w:sz w:val="24"/>
        </w:rPr>
        <w:t>名，其中</w:t>
      </w:r>
      <w:r>
        <w:rPr>
          <w:rFonts w:hint="eastAsia" w:ascii="宋体" w:hAnsi="宋体" w:cs="宋体"/>
          <w:color w:val="auto"/>
          <w:sz w:val="24"/>
          <w:lang w:val="en-US" w:eastAsia="zh-CN"/>
        </w:rPr>
        <w:t>一名为软件平台原厂驻点工程师（提供社保证明），</w:t>
      </w:r>
      <w:r>
        <w:rPr>
          <w:rFonts w:hint="eastAsia" w:ascii="宋体" w:hAnsi="宋体" w:cs="宋体"/>
          <w:color w:val="auto"/>
          <w:sz w:val="24"/>
        </w:rPr>
        <w:t>一名为常驻大队维护</w:t>
      </w:r>
      <w:r>
        <w:rPr>
          <w:rFonts w:hint="eastAsia" w:ascii="宋体" w:hAnsi="宋体" w:cs="宋体"/>
          <w:color w:val="auto"/>
          <w:sz w:val="24"/>
          <w:lang w:val="en-US" w:eastAsia="zh-CN"/>
        </w:rPr>
        <w:t>人员</w:t>
      </w:r>
      <w:r>
        <w:rPr>
          <w:rFonts w:hint="eastAsia" w:ascii="宋体" w:hAnsi="宋体" w:cs="宋体"/>
          <w:color w:val="auto"/>
          <w:sz w:val="24"/>
        </w:rPr>
        <w:t>，两名外场维护人员，</w:t>
      </w:r>
      <w:r>
        <w:rPr>
          <w:rFonts w:hint="eastAsia" w:ascii="宋体" w:hAnsi="宋体" w:cs="宋体"/>
          <w:color w:val="auto"/>
          <w:sz w:val="24"/>
          <w:lang w:val="en-US" w:eastAsia="zh-CN"/>
        </w:rPr>
        <w:t>工作任务由大队指派，办公作息时间与大队一致</w:t>
      </w:r>
      <w:r>
        <w:rPr>
          <w:rFonts w:hint="eastAsia" w:ascii="宋体" w:hAnsi="宋体" w:cs="宋体"/>
          <w:color w:val="auto"/>
          <w:sz w:val="24"/>
        </w:rPr>
        <w:t>。</w:t>
      </w:r>
    </w:p>
    <w:p>
      <w:pPr>
        <w:spacing w:line="360" w:lineRule="auto"/>
        <w:ind w:firstLine="482"/>
        <w:rPr>
          <w:rFonts w:hint="eastAsia" w:ascii="宋体" w:hAnsi="宋体" w:cs="宋体"/>
          <w:b/>
          <w:color w:val="auto"/>
          <w:sz w:val="24"/>
        </w:rPr>
      </w:pPr>
      <w:bookmarkStart w:id="238" w:name="_Toc173646513"/>
      <w:bookmarkStart w:id="239" w:name="_Toc235872253"/>
      <w:bookmarkStart w:id="240" w:name="_Toc353887109"/>
      <w:bookmarkStart w:id="241" w:name="_Toc375067666"/>
      <w:bookmarkStart w:id="242" w:name="_Toc172391698"/>
      <w:bookmarkStart w:id="243" w:name="_Toc172392031"/>
      <w:r>
        <w:rPr>
          <w:rFonts w:hint="eastAsia" w:ascii="宋体" w:hAnsi="宋体" w:cs="宋体"/>
          <w:b/>
          <w:color w:val="auto"/>
          <w:sz w:val="24"/>
        </w:rPr>
        <w:t>4.1运维服务要求</w:t>
      </w:r>
      <w:bookmarkEnd w:id="238"/>
      <w:bookmarkEnd w:id="239"/>
      <w:bookmarkEnd w:id="240"/>
      <w:bookmarkEnd w:id="241"/>
      <w:bookmarkEnd w:id="242"/>
      <w:bookmarkEnd w:id="243"/>
    </w:p>
    <w:p>
      <w:pPr>
        <w:spacing w:line="360" w:lineRule="auto"/>
        <w:ind w:firstLine="482"/>
        <w:rPr>
          <w:rFonts w:hint="eastAsia" w:ascii="宋体" w:hAnsi="宋体" w:cs="宋体"/>
          <w:b/>
          <w:color w:val="auto"/>
          <w:sz w:val="24"/>
        </w:rPr>
      </w:pPr>
      <w:r>
        <w:rPr>
          <w:rFonts w:hint="eastAsia" w:ascii="宋体" w:hAnsi="宋体" w:cs="宋体"/>
          <w:b/>
          <w:color w:val="auto"/>
          <w:sz w:val="24"/>
        </w:rPr>
        <w:t>4.1.1服务范围</w:t>
      </w:r>
    </w:p>
    <w:p>
      <w:pPr>
        <w:spacing w:line="360" w:lineRule="auto"/>
        <w:ind w:firstLine="480"/>
        <w:rPr>
          <w:rFonts w:hint="eastAsia" w:ascii="宋体" w:hAnsi="宋体" w:cs="宋体"/>
          <w:color w:val="auto"/>
          <w:sz w:val="24"/>
        </w:rPr>
      </w:pPr>
      <w:r>
        <w:rPr>
          <w:rFonts w:hint="eastAsia" w:ascii="宋体" w:hAnsi="宋体" w:cs="宋体"/>
          <w:color w:val="auto"/>
          <w:sz w:val="24"/>
        </w:rPr>
        <w:t>本系统的运维服务范围包括：本次标段所涉及的所有内容；</w:t>
      </w:r>
    </w:p>
    <w:p>
      <w:pPr>
        <w:spacing w:line="360" w:lineRule="auto"/>
        <w:ind w:firstLine="480"/>
        <w:rPr>
          <w:rFonts w:hint="eastAsia" w:ascii="宋体" w:hAnsi="宋体" w:cs="宋体"/>
          <w:color w:val="auto"/>
          <w:sz w:val="24"/>
        </w:rPr>
      </w:pPr>
      <w:r>
        <w:rPr>
          <w:rFonts w:hint="eastAsia" w:ascii="宋体" w:hAnsi="宋体" w:cs="宋体"/>
          <w:color w:val="auto"/>
          <w:sz w:val="24"/>
        </w:rPr>
        <w:t>中标人对系统的运维服务包括对构成系统的所有建筑设施、硬件、网络、供电设施、防雷设施、第三方软件、应用软件等的维护、维修、更换故障设备和产品升级。</w:t>
      </w:r>
    </w:p>
    <w:p>
      <w:pPr>
        <w:spacing w:line="360" w:lineRule="auto"/>
        <w:ind w:firstLine="559" w:firstLineChars="232"/>
        <w:rPr>
          <w:rFonts w:hint="eastAsia" w:ascii="宋体" w:hAnsi="宋体" w:cs="宋体"/>
          <w:b/>
          <w:color w:val="auto"/>
          <w:sz w:val="24"/>
        </w:rPr>
      </w:pPr>
      <w:r>
        <w:rPr>
          <w:rFonts w:hint="eastAsia" w:ascii="宋体" w:hAnsi="宋体" w:cs="宋体"/>
          <w:b/>
          <w:color w:val="auto"/>
          <w:sz w:val="24"/>
        </w:rPr>
        <w:t>4.1.2服务内容</w:t>
      </w:r>
    </w:p>
    <w:p>
      <w:pPr>
        <w:spacing w:line="360" w:lineRule="auto"/>
        <w:ind w:firstLine="480"/>
        <w:rPr>
          <w:rFonts w:hint="eastAsia" w:ascii="宋体" w:hAnsi="宋体" w:cs="宋体"/>
          <w:color w:val="auto"/>
          <w:sz w:val="24"/>
        </w:rPr>
      </w:pPr>
      <w:r>
        <w:rPr>
          <w:rFonts w:hint="eastAsia" w:ascii="宋体" w:hAnsi="宋体" w:cs="宋体"/>
          <w:color w:val="auto"/>
          <w:sz w:val="24"/>
        </w:rPr>
        <w:t>中标人应提供的运维服务内容包括日常运作、服务咨询、巡检保养、主动监测、故障修复、特殊保障和升级优化，以确保提供符合采购人的图片、视频。</w:t>
      </w:r>
    </w:p>
    <w:p>
      <w:pPr>
        <w:spacing w:line="360" w:lineRule="auto"/>
        <w:ind w:firstLine="482"/>
        <w:rPr>
          <w:rFonts w:hint="eastAsia" w:ascii="宋体" w:hAnsi="宋体" w:cs="宋体"/>
          <w:color w:val="auto"/>
          <w:sz w:val="24"/>
        </w:rPr>
      </w:pPr>
      <w:r>
        <w:rPr>
          <w:rFonts w:hint="eastAsia" w:ascii="宋体" w:hAnsi="宋体" w:cs="宋体"/>
          <w:b/>
          <w:color w:val="auto"/>
          <w:sz w:val="24"/>
        </w:rPr>
        <w:t>4.1.2.1</w:t>
      </w:r>
      <w:r>
        <w:rPr>
          <w:rFonts w:hint="eastAsia" w:ascii="宋体" w:hAnsi="宋体" w:cs="宋体"/>
          <w:color w:val="auto"/>
          <w:sz w:val="24"/>
        </w:rPr>
        <w:t>日常运作</w:t>
      </w:r>
    </w:p>
    <w:p>
      <w:pPr>
        <w:spacing w:line="360" w:lineRule="auto"/>
        <w:ind w:firstLine="480"/>
        <w:rPr>
          <w:rFonts w:hint="eastAsia" w:ascii="宋体" w:hAnsi="宋体" w:cs="宋体"/>
          <w:color w:val="auto"/>
          <w:sz w:val="24"/>
        </w:rPr>
      </w:pPr>
      <w:r>
        <w:rPr>
          <w:rFonts w:hint="eastAsia" w:ascii="宋体" w:hAnsi="宋体" w:cs="宋体"/>
          <w:color w:val="auto"/>
          <w:sz w:val="24"/>
        </w:rPr>
        <w:t>中标人应按招标文件中的系统功能和性能要求，维护系统的日常运作。</w:t>
      </w:r>
    </w:p>
    <w:p>
      <w:pPr>
        <w:spacing w:line="360" w:lineRule="auto"/>
        <w:ind w:firstLine="482"/>
        <w:rPr>
          <w:rFonts w:hint="eastAsia" w:ascii="宋体" w:hAnsi="宋体" w:cs="宋体"/>
          <w:color w:val="auto"/>
          <w:sz w:val="24"/>
        </w:rPr>
      </w:pPr>
      <w:r>
        <w:rPr>
          <w:rFonts w:hint="eastAsia" w:ascii="宋体" w:hAnsi="宋体" w:cs="宋体"/>
          <w:b/>
          <w:color w:val="auto"/>
          <w:sz w:val="24"/>
        </w:rPr>
        <w:t>4.1.2.2</w:t>
      </w:r>
      <w:r>
        <w:rPr>
          <w:rFonts w:hint="eastAsia" w:ascii="宋体" w:hAnsi="宋体" w:cs="宋体"/>
          <w:color w:val="auto"/>
          <w:sz w:val="24"/>
        </w:rPr>
        <w:t>服务咨询</w:t>
      </w:r>
    </w:p>
    <w:p>
      <w:pPr>
        <w:spacing w:line="360" w:lineRule="auto"/>
        <w:ind w:firstLine="480"/>
        <w:rPr>
          <w:rFonts w:hint="eastAsia" w:ascii="宋体" w:hAnsi="宋体" w:cs="宋体"/>
          <w:color w:val="auto"/>
          <w:sz w:val="24"/>
        </w:rPr>
      </w:pPr>
      <w:r>
        <w:rPr>
          <w:rFonts w:hint="eastAsia" w:ascii="宋体" w:hAnsi="宋体" w:cs="宋体"/>
          <w:color w:val="auto"/>
          <w:sz w:val="24"/>
        </w:rPr>
        <w:t>中标人应设立专门的服务咨询中心，提供免费的服务热线电话，接受系统故障报修、使用帮助要求、业务和技术咨询、服务投诉等。该服务咨询中心应该7×24小时全天候运行，应配备足够的咨询人员或技术工程师，热线电话的拨通率应达到100%。在热线电话发生故障情况下，应提供其它备份的方便和迅速的联系方式。</w:t>
      </w:r>
    </w:p>
    <w:p>
      <w:pPr>
        <w:spacing w:line="360" w:lineRule="auto"/>
        <w:ind w:firstLine="482"/>
        <w:rPr>
          <w:rFonts w:hint="eastAsia" w:ascii="宋体" w:hAnsi="宋体" w:cs="宋体"/>
          <w:color w:val="auto"/>
          <w:sz w:val="24"/>
        </w:rPr>
      </w:pPr>
      <w:r>
        <w:rPr>
          <w:rFonts w:hint="eastAsia" w:ascii="宋体" w:hAnsi="宋体" w:cs="宋体"/>
          <w:b/>
          <w:color w:val="auto"/>
          <w:sz w:val="24"/>
        </w:rPr>
        <w:t>4.1.3</w:t>
      </w:r>
      <w:r>
        <w:rPr>
          <w:rFonts w:hint="eastAsia" w:ascii="宋体" w:hAnsi="宋体" w:cs="宋体"/>
          <w:color w:val="auto"/>
          <w:sz w:val="24"/>
        </w:rPr>
        <w:t>巡检保养</w:t>
      </w:r>
    </w:p>
    <w:p>
      <w:pPr>
        <w:spacing w:line="360" w:lineRule="auto"/>
        <w:ind w:firstLine="482"/>
        <w:rPr>
          <w:rFonts w:hint="eastAsia" w:ascii="宋体" w:hAnsi="宋体" w:cs="宋体"/>
          <w:color w:val="auto"/>
          <w:sz w:val="24"/>
        </w:rPr>
      </w:pPr>
      <w:r>
        <w:rPr>
          <w:rFonts w:hint="eastAsia" w:ascii="宋体" w:hAnsi="宋体" w:cs="宋体"/>
          <w:b/>
          <w:color w:val="auto"/>
          <w:sz w:val="24"/>
        </w:rPr>
        <w:t>4.1.3.1</w:t>
      </w:r>
      <w:r>
        <w:rPr>
          <w:rFonts w:hint="eastAsia" w:ascii="宋体" w:hAnsi="宋体" w:cs="宋体"/>
          <w:color w:val="auto"/>
          <w:sz w:val="24"/>
        </w:rPr>
        <w:t>定期巡检服务：a．每两周对工程敷设线路及前端安装点进行巡检，并填写巡检记录表，对可能影响线路及前端的情况要及时协调，防止因线路中断等情况造成系统中断；b．每月对工程范围内的设备箱、设备及其供电系统进行一次保养性维护，包括设备除尘、排除故障隐患等，并填写设备养护记录表；以确认所有设备及系统工作正常；c．每月对工程范围内的摄像机除尘清洁一次，并填写记录表；d．每半年对防雷系统进行一次检测，填写检测登记表，对不达标的防雷地极进行相应处理。</w:t>
      </w:r>
    </w:p>
    <w:p>
      <w:pPr>
        <w:spacing w:line="360" w:lineRule="auto"/>
        <w:ind w:firstLine="482"/>
        <w:rPr>
          <w:rFonts w:hint="eastAsia" w:ascii="宋体" w:hAnsi="宋体" w:cs="宋体"/>
          <w:color w:val="auto"/>
          <w:sz w:val="24"/>
        </w:rPr>
      </w:pPr>
      <w:r>
        <w:rPr>
          <w:rFonts w:hint="eastAsia" w:ascii="宋体" w:hAnsi="宋体" w:cs="宋体"/>
          <w:b/>
          <w:color w:val="auto"/>
          <w:sz w:val="24"/>
        </w:rPr>
        <w:t>4.1.3.2</w:t>
      </w:r>
      <w:r>
        <w:rPr>
          <w:rFonts w:hint="eastAsia" w:ascii="宋体" w:hAnsi="宋体" w:cs="宋体"/>
          <w:color w:val="auto"/>
          <w:sz w:val="24"/>
        </w:rPr>
        <w:t>定期抽检服务：每周进行随机抽查，对系统的运行情况进行检测，并填写记录表。</w:t>
      </w:r>
    </w:p>
    <w:p>
      <w:pPr>
        <w:spacing w:line="360" w:lineRule="auto"/>
        <w:ind w:firstLine="482"/>
        <w:rPr>
          <w:rFonts w:hint="eastAsia" w:ascii="宋体" w:hAnsi="宋体" w:cs="宋体"/>
          <w:color w:val="auto"/>
          <w:sz w:val="24"/>
        </w:rPr>
      </w:pPr>
      <w:r>
        <w:rPr>
          <w:rFonts w:hint="eastAsia" w:ascii="宋体" w:hAnsi="宋体" w:cs="宋体"/>
          <w:b/>
          <w:color w:val="auto"/>
          <w:sz w:val="24"/>
        </w:rPr>
        <w:t>4.1.3.3</w:t>
      </w:r>
      <w:r>
        <w:rPr>
          <w:rFonts w:hint="eastAsia" w:ascii="宋体" w:hAnsi="宋体" w:cs="宋体"/>
          <w:color w:val="auto"/>
          <w:sz w:val="24"/>
        </w:rPr>
        <w:t>视频巡检：安排专人每日对视频画面进行巡检，发现视频监控图像或卡口图片问题立即进行维修处理。</w:t>
      </w:r>
    </w:p>
    <w:p>
      <w:pPr>
        <w:spacing w:line="360" w:lineRule="auto"/>
        <w:ind w:firstLine="482"/>
        <w:rPr>
          <w:rFonts w:hint="eastAsia" w:ascii="宋体" w:hAnsi="宋体" w:cs="宋体"/>
          <w:color w:val="auto"/>
          <w:sz w:val="24"/>
        </w:rPr>
      </w:pPr>
      <w:r>
        <w:rPr>
          <w:rFonts w:hint="eastAsia" w:ascii="宋体" w:hAnsi="宋体" w:cs="宋体"/>
          <w:b/>
          <w:color w:val="auto"/>
          <w:sz w:val="24"/>
        </w:rPr>
        <w:t>4.1.3.</w:t>
      </w:r>
      <w:r>
        <w:rPr>
          <w:rFonts w:hint="eastAsia" w:ascii="宋体" w:hAnsi="宋体" w:cs="宋体"/>
          <w:b/>
          <w:bCs/>
          <w:color w:val="auto"/>
          <w:sz w:val="24"/>
        </w:rPr>
        <w:t>4</w:t>
      </w:r>
      <w:r>
        <w:rPr>
          <w:rFonts w:hint="eastAsia" w:ascii="宋体" w:hAnsi="宋体" w:cs="宋体"/>
          <w:color w:val="auto"/>
          <w:sz w:val="24"/>
        </w:rPr>
        <w:t>主动监测</w:t>
      </w:r>
    </w:p>
    <w:p>
      <w:pPr>
        <w:spacing w:line="360" w:lineRule="auto"/>
        <w:ind w:firstLine="480"/>
        <w:rPr>
          <w:rFonts w:hint="eastAsia" w:ascii="宋体" w:hAnsi="宋体" w:cs="宋体"/>
          <w:color w:val="auto"/>
          <w:sz w:val="24"/>
        </w:rPr>
      </w:pPr>
      <w:r>
        <w:rPr>
          <w:rFonts w:hint="eastAsia" w:ascii="宋体" w:hAnsi="宋体" w:cs="宋体"/>
          <w:color w:val="auto"/>
          <w:sz w:val="24"/>
        </w:rPr>
        <w:t>（1）设备监控：中标人应建立设备管理监控体系，有效地对系统的监控设备运作情况和传输线路的性能、通断情况进行实时监控，及早发现问题，排除故障。</w:t>
      </w:r>
    </w:p>
    <w:p>
      <w:pPr>
        <w:spacing w:line="360" w:lineRule="auto"/>
        <w:ind w:firstLine="480"/>
        <w:rPr>
          <w:rFonts w:hint="eastAsia" w:ascii="宋体" w:hAnsi="宋体" w:cs="宋体"/>
          <w:color w:val="auto"/>
          <w:sz w:val="24"/>
        </w:rPr>
      </w:pPr>
      <w:r>
        <w:rPr>
          <w:rFonts w:hint="eastAsia" w:ascii="宋体" w:hAnsi="宋体" w:cs="宋体"/>
          <w:color w:val="auto"/>
          <w:sz w:val="24"/>
        </w:rPr>
        <w:t>（2）图像监控：中标人应对每个高清视频图像采集点的图像显示是否正常进行主动监测，以减少故障时间。</w:t>
      </w:r>
    </w:p>
    <w:p>
      <w:pPr>
        <w:spacing w:line="360" w:lineRule="auto"/>
        <w:ind w:firstLine="482"/>
        <w:rPr>
          <w:rFonts w:hint="eastAsia" w:ascii="宋体" w:hAnsi="宋体" w:cs="宋体"/>
          <w:color w:val="auto"/>
          <w:sz w:val="24"/>
        </w:rPr>
      </w:pPr>
      <w:r>
        <w:rPr>
          <w:rFonts w:hint="eastAsia" w:ascii="宋体" w:hAnsi="宋体" w:cs="宋体"/>
          <w:b/>
          <w:bCs w:val="0"/>
          <w:color w:val="auto"/>
          <w:sz w:val="24"/>
        </w:rPr>
        <w:t>4.1.3.5</w:t>
      </w:r>
      <w:r>
        <w:rPr>
          <w:rFonts w:hint="eastAsia" w:ascii="宋体" w:hAnsi="宋体" w:cs="宋体"/>
          <w:color w:val="auto"/>
          <w:sz w:val="24"/>
        </w:rPr>
        <w:t>故障修复</w:t>
      </w:r>
    </w:p>
    <w:p>
      <w:pPr>
        <w:spacing w:line="360" w:lineRule="auto"/>
        <w:ind w:firstLine="480"/>
        <w:rPr>
          <w:rFonts w:hint="eastAsia" w:ascii="宋体" w:hAnsi="宋体" w:cs="宋体"/>
          <w:color w:val="auto"/>
          <w:sz w:val="24"/>
        </w:rPr>
      </w:pPr>
      <w:r>
        <w:rPr>
          <w:rFonts w:hint="eastAsia" w:ascii="宋体" w:hAnsi="宋体" w:cs="宋体"/>
          <w:color w:val="auto"/>
          <w:sz w:val="24"/>
        </w:rPr>
        <w:t>（1）紧急抢修：中标人应当承担合同期内系统发生任何故障的抢修任务。</w:t>
      </w:r>
    </w:p>
    <w:p>
      <w:pPr>
        <w:spacing w:line="360" w:lineRule="auto"/>
        <w:ind w:firstLine="480"/>
        <w:rPr>
          <w:rFonts w:hint="eastAsia" w:ascii="宋体" w:hAnsi="宋体" w:cs="宋体"/>
          <w:color w:val="auto"/>
          <w:sz w:val="24"/>
        </w:rPr>
      </w:pPr>
      <w:r>
        <w:rPr>
          <w:rFonts w:hint="eastAsia" w:ascii="宋体" w:hAnsi="宋体" w:cs="宋体"/>
          <w:color w:val="auto"/>
          <w:sz w:val="24"/>
        </w:rPr>
        <w:t>（2）备用方案：如特殊原因造成系统无法正常使用（如光纤切割），投标人应能提供备用方案和措施确保系统运行正常。</w:t>
      </w:r>
    </w:p>
    <w:p>
      <w:pPr>
        <w:spacing w:line="360" w:lineRule="auto"/>
        <w:ind w:firstLine="480"/>
        <w:rPr>
          <w:rFonts w:hint="eastAsia" w:ascii="宋体" w:hAnsi="宋体" w:cs="宋体"/>
          <w:color w:val="auto"/>
          <w:sz w:val="24"/>
        </w:rPr>
      </w:pPr>
      <w:r>
        <w:rPr>
          <w:rFonts w:hint="eastAsia" w:ascii="宋体" w:hAnsi="宋体" w:cs="宋体"/>
          <w:color w:val="auto"/>
          <w:sz w:val="24"/>
        </w:rPr>
        <w:t>（3）易损易耗件：中标人应建立备品仓库，储存足够的备用易损易耗件。备品仓库应合理分布。有条件且在用户同意的情况下，可在用户的使用现场（例如监控室）储存，保证能满足故障抢修的要求。备品仓库应定期进行检查。</w:t>
      </w:r>
    </w:p>
    <w:p>
      <w:pPr>
        <w:spacing w:line="360" w:lineRule="auto"/>
        <w:ind w:firstLine="480"/>
        <w:rPr>
          <w:rFonts w:hint="eastAsia" w:ascii="宋体" w:hAnsi="宋体" w:cs="宋体"/>
          <w:color w:val="auto"/>
          <w:sz w:val="24"/>
        </w:rPr>
      </w:pPr>
      <w:r>
        <w:rPr>
          <w:rFonts w:hint="eastAsia" w:ascii="宋体" w:hAnsi="宋体" w:cs="宋体"/>
          <w:color w:val="auto"/>
          <w:sz w:val="24"/>
        </w:rPr>
        <w:t>（4）更换设备：若某个设备在1个月内连续发生3次以上（含3次）故障，中标人应更换使用新的同型号或者性能不低于原型号的替代产品，以保障设备的连续正常使用能力。</w:t>
      </w:r>
    </w:p>
    <w:p>
      <w:pPr>
        <w:spacing w:line="360" w:lineRule="auto"/>
        <w:ind w:firstLine="482"/>
        <w:rPr>
          <w:rFonts w:hint="eastAsia" w:ascii="宋体" w:hAnsi="宋体" w:cs="宋体"/>
          <w:color w:val="auto"/>
          <w:sz w:val="24"/>
        </w:rPr>
      </w:pPr>
      <w:r>
        <w:rPr>
          <w:rFonts w:hint="eastAsia" w:ascii="宋体" w:hAnsi="宋体" w:cs="宋体"/>
          <w:b/>
          <w:bCs w:val="0"/>
          <w:color w:val="auto"/>
          <w:sz w:val="24"/>
        </w:rPr>
        <w:t>4.1.3.6</w:t>
      </w:r>
      <w:r>
        <w:rPr>
          <w:rFonts w:hint="eastAsia" w:ascii="宋体" w:hAnsi="宋体" w:cs="宋体"/>
          <w:color w:val="auto"/>
          <w:sz w:val="24"/>
        </w:rPr>
        <w:t>特殊保障</w:t>
      </w:r>
    </w:p>
    <w:p>
      <w:pPr>
        <w:spacing w:line="360" w:lineRule="auto"/>
        <w:ind w:firstLine="480"/>
        <w:rPr>
          <w:rFonts w:hint="eastAsia" w:ascii="宋体" w:hAnsi="宋体" w:cs="宋体"/>
          <w:color w:val="auto"/>
          <w:sz w:val="24"/>
        </w:rPr>
      </w:pPr>
      <w:r>
        <w:rPr>
          <w:rFonts w:hint="eastAsia" w:ascii="宋体" w:hAnsi="宋体" w:cs="宋体"/>
          <w:color w:val="auto"/>
          <w:sz w:val="24"/>
        </w:rPr>
        <w:t>（1）临时保障：采购人（或用户单位）如有重大事件、临时现场监控等较特殊的保障措施，中标人必须能按要求提供服务。</w:t>
      </w:r>
    </w:p>
    <w:p>
      <w:pPr>
        <w:spacing w:line="360" w:lineRule="auto"/>
        <w:ind w:firstLine="480"/>
        <w:rPr>
          <w:rFonts w:hint="eastAsia" w:ascii="宋体" w:hAnsi="宋体" w:cs="宋体"/>
          <w:color w:val="auto"/>
          <w:sz w:val="24"/>
        </w:rPr>
      </w:pPr>
      <w:r>
        <w:rPr>
          <w:rFonts w:hint="eastAsia" w:ascii="宋体" w:hAnsi="宋体" w:cs="宋体"/>
          <w:color w:val="auto"/>
          <w:sz w:val="24"/>
        </w:rPr>
        <w:t>（2）安全保障：采购人（或用户单位）如有安全保卫、系统接管等较特殊的要求，中标人必须能按照要求提供服务。</w:t>
      </w:r>
    </w:p>
    <w:p>
      <w:pPr>
        <w:spacing w:line="360" w:lineRule="auto"/>
        <w:ind w:firstLine="482"/>
        <w:rPr>
          <w:rFonts w:hint="eastAsia" w:ascii="宋体" w:hAnsi="宋体" w:cs="宋体"/>
          <w:color w:val="auto"/>
          <w:sz w:val="24"/>
        </w:rPr>
      </w:pPr>
      <w:r>
        <w:rPr>
          <w:rFonts w:hint="eastAsia" w:ascii="宋体" w:hAnsi="宋体" w:cs="宋体"/>
          <w:b/>
          <w:bCs w:val="0"/>
          <w:color w:val="auto"/>
          <w:sz w:val="24"/>
        </w:rPr>
        <w:t>4.1.3.7</w:t>
      </w:r>
      <w:r>
        <w:rPr>
          <w:rFonts w:hint="eastAsia" w:ascii="宋体" w:hAnsi="宋体" w:cs="宋体"/>
          <w:color w:val="auto"/>
          <w:sz w:val="24"/>
        </w:rPr>
        <w:t>更新升级</w:t>
      </w:r>
    </w:p>
    <w:p>
      <w:pPr>
        <w:spacing w:line="360" w:lineRule="auto"/>
        <w:ind w:firstLine="480"/>
        <w:rPr>
          <w:rFonts w:hint="eastAsia" w:ascii="宋体" w:hAnsi="宋体" w:cs="宋体"/>
          <w:color w:val="auto"/>
          <w:sz w:val="24"/>
        </w:rPr>
      </w:pPr>
      <w:bookmarkStart w:id="244" w:name="_Toc107741447"/>
      <w:bookmarkStart w:id="245" w:name="_Toc107702527"/>
      <w:bookmarkStart w:id="246" w:name="_Toc107719305"/>
      <w:bookmarkStart w:id="247" w:name="_Toc107717400"/>
      <w:bookmarkStart w:id="248" w:name="_Toc112638058"/>
      <w:bookmarkStart w:id="249" w:name="_Toc107587843"/>
      <w:bookmarkStart w:id="250" w:name="_Toc107721418"/>
      <w:r>
        <w:rPr>
          <w:rFonts w:hint="eastAsia" w:ascii="宋体" w:hAnsi="宋体" w:cs="宋体"/>
          <w:color w:val="auto"/>
          <w:sz w:val="24"/>
        </w:rPr>
        <w:t>（1）文档更新</w:t>
      </w:r>
      <w:bookmarkEnd w:id="244"/>
      <w:bookmarkEnd w:id="245"/>
      <w:bookmarkEnd w:id="246"/>
      <w:bookmarkEnd w:id="247"/>
      <w:bookmarkEnd w:id="248"/>
      <w:bookmarkEnd w:id="249"/>
      <w:bookmarkEnd w:id="250"/>
      <w:r>
        <w:rPr>
          <w:rFonts w:hint="eastAsia" w:ascii="宋体" w:hAnsi="宋体" w:cs="宋体"/>
          <w:color w:val="auto"/>
          <w:sz w:val="24"/>
        </w:rPr>
        <w:t>：中标人应建立完备的资料库，包括用户的电路资料、装机地址、备份情况、应用特性以及用户配置等，这些资料应作为成果提交给采购人（用户）。一旦资料进行了版本更新，应在3天内向采购人（用户）提供最新版本的资料。</w:t>
      </w:r>
    </w:p>
    <w:p>
      <w:pPr>
        <w:spacing w:line="360" w:lineRule="auto"/>
        <w:ind w:firstLine="480"/>
        <w:rPr>
          <w:rFonts w:hint="eastAsia" w:ascii="宋体" w:hAnsi="宋体" w:cs="宋体"/>
          <w:color w:val="auto"/>
          <w:sz w:val="24"/>
        </w:rPr>
      </w:pPr>
      <w:bookmarkStart w:id="251" w:name="_Toc148415523"/>
      <w:bookmarkStart w:id="252" w:name="_Toc148690113"/>
      <w:r>
        <w:rPr>
          <w:rFonts w:hint="eastAsia" w:ascii="宋体" w:hAnsi="宋体" w:cs="宋体"/>
          <w:color w:val="auto"/>
          <w:sz w:val="24"/>
        </w:rPr>
        <w:t>（2）升级服务：投标人应提供设备内嵌软件、产品操作系统、第三方采购软件和应用软件的免费升级服务。</w:t>
      </w:r>
    </w:p>
    <w:bookmarkEnd w:id="251"/>
    <w:bookmarkEnd w:id="252"/>
    <w:p>
      <w:pPr>
        <w:spacing w:line="360" w:lineRule="auto"/>
        <w:ind w:firstLine="480"/>
        <w:rPr>
          <w:rFonts w:hint="eastAsia" w:ascii="宋体" w:hAnsi="宋体" w:cs="宋体"/>
          <w:color w:val="auto"/>
          <w:sz w:val="24"/>
        </w:rPr>
      </w:pPr>
      <w:r>
        <w:rPr>
          <w:rFonts w:hint="eastAsia" w:ascii="宋体" w:hAnsi="宋体" w:cs="宋体"/>
          <w:color w:val="auto"/>
          <w:sz w:val="24"/>
        </w:rPr>
        <w:t>（3）系统优化：</w:t>
      </w:r>
      <w:bookmarkStart w:id="253" w:name="_Toc107717407"/>
      <w:bookmarkStart w:id="254" w:name="_Toc107587850"/>
      <w:bookmarkStart w:id="255" w:name="_Toc107702534"/>
      <w:bookmarkStart w:id="256" w:name="_Toc107719312"/>
      <w:bookmarkStart w:id="257" w:name="_Toc107721425"/>
      <w:bookmarkStart w:id="258" w:name="_Toc107741454"/>
      <w:bookmarkStart w:id="259" w:name="_Toc72318369"/>
      <w:bookmarkStart w:id="260" w:name="_Toc112638065"/>
      <w:r>
        <w:rPr>
          <w:rFonts w:hint="eastAsia" w:ascii="宋体" w:hAnsi="宋体" w:cs="宋体"/>
          <w:color w:val="auto"/>
          <w:sz w:val="24"/>
        </w:rPr>
        <w:t>投标人应根据运行情况定期向</w:t>
      </w:r>
      <w:bookmarkEnd w:id="253"/>
      <w:bookmarkEnd w:id="254"/>
      <w:bookmarkEnd w:id="255"/>
      <w:bookmarkEnd w:id="256"/>
      <w:bookmarkEnd w:id="257"/>
      <w:bookmarkEnd w:id="258"/>
      <w:bookmarkEnd w:id="259"/>
      <w:bookmarkEnd w:id="260"/>
      <w:r>
        <w:rPr>
          <w:rFonts w:hint="eastAsia" w:ascii="宋体" w:hAnsi="宋体" w:cs="宋体"/>
          <w:color w:val="auto"/>
          <w:sz w:val="24"/>
        </w:rPr>
        <w:t>采购人提供系统优化、使用优化和管理优化建议，确保系统以最优状态运行。</w:t>
      </w:r>
    </w:p>
    <w:p>
      <w:pPr>
        <w:spacing w:line="360" w:lineRule="auto"/>
        <w:ind w:firstLine="482"/>
        <w:rPr>
          <w:rFonts w:hint="eastAsia" w:ascii="宋体" w:hAnsi="宋体" w:cs="宋体"/>
          <w:b/>
          <w:color w:val="auto"/>
          <w:sz w:val="24"/>
        </w:rPr>
      </w:pPr>
      <w:r>
        <w:rPr>
          <w:rFonts w:hint="eastAsia" w:ascii="宋体" w:hAnsi="宋体" w:cs="宋体"/>
          <w:b/>
          <w:color w:val="auto"/>
          <w:sz w:val="24"/>
        </w:rPr>
        <w:t>4.2运维服务报告</w:t>
      </w:r>
    </w:p>
    <w:p>
      <w:pPr>
        <w:spacing w:line="360" w:lineRule="auto"/>
        <w:ind w:firstLine="480"/>
        <w:rPr>
          <w:rFonts w:hint="eastAsia" w:ascii="宋体" w:hAnsi="宋体" w:cs="宋体"/>
          <w:color w:val="auto"/>
          <w:sz w:val="24"/>
        </w:rPr>
      </w:pPr>
      <w:r>
        <w:rPr>
          <w:rFonts w:hint="eastAsia" w:ascii="宋体" w:hAnsi="宋体" w:cs="宋体"/>
          <w:color w:val="auto"/>
          <w:sz w:val="24"/>
        </w:rPr>
        <w:t>在整个运维服务周期内，中标人应与用户建立完善的沟通协调机制，投标人应及时提供运维服务的各种报告。包括每日运维服务日志、重大故障维修报告、每月故障总结报告、每季度的设备和系统管理报告、每季度的系统维护总结报告，有针对性的系统优化方案报告等。此外用户还可根据实际情况需要，要求投标人就特定事件提交说明报告。</w:t>
      </w:r>
    </w:p>
    <w:p>
      <w:pPr>
        <w:spacing w:line="360" w:lineRule="auto"/>
        <w:ind w:firstLine="480"/>
        <w:rPr>
          <w:rFonts w:hint="eastAsia" w:ascii="宋体" w:hAnsi="宋体" w:cs="宋体"/>
          <w:b/>
          <w:bCs/>
          <w:color w:val="auto"/>
          <w:sz w:val="24"/>
        </w:rPr>
      </w:pPr>
      <w:r>
        <w:rPr>
          <w:rFonts w:hint="eastAsia" w:ascii="宋体" w:hAnsi="宋体" w:cs="宋体"/>
          <w:color w:val="auto"/>
          <w:sz w:val="24"/>
        </w:rPr>
        <w:t>中标人应提供各种设备管理的原始数据（包括设备故障数据），接受用户单位的独立检查。中标人应建立了远程集中的设备管理系统，中标人需保证该系统的所有设备维护数据真实，没有被篡改或者删除，并向用户提供该系统的管理数据。用户可以随时检查、使用该系统获取设备管理信息。</w:t>
      </w:r>
    </w:p>
    <w:p>
      <w:pPr>
        <w:spacing w:line="360" w:lineRule="auto"/>
        <w:ind w:firstLine="482"/>
        <w:rPr>
          <w:rFonts w:hint="eastAsia" w:ascii="宋体" w:hAnsi="宋体" w:cs="宋体"/>
          <w:b/>
          <w:color w:val="auto"/>
          <w:sz w:val="24"/>
        </w:rPr>
      </w:pPr>
      <w:r>
        <w:rPr>
          <w:rFonts w:hint="eastAsia" w:ascii="宋体" w:hAnsi="宋体" w:cs="宋体"/>
          <w:b/>
          <w:color w:val="auto"/>
          <w:sz w:val="24"/>
        </w:rPr>
        <w:t>4.3服务时间</w:t>
      </w:r>
    </w:p>
    <w:p>
      <w:pPr>
        <w:spacing w:line="360" w:lineRule="auto"/>
        <w:ind w:firstLine="480"/>
        <w:rPr>
          <w:rFonts w:hint="eastAsia" w:ascii="宋体" w:hAnsi="宋体" w:cs="宋体"/>
          <w:color w:val="auto"/>
          <w:sz w:val="24"/>
        </w:rPr>
      </w:pPr>
      <w:r>
        <w:rPr>
          <w:rFonts w:hint="eastAsia" w:ascii="宋体" w:hAnsi="宋体" w:cs="宋体"/>
          <w:color w:val="auto"/>
          <w:sz w:val="24"/>
        </w:rPr>
        <w:t>（1）提供7×24小时服务承诺</w:t>
      </w:r>
    </w:p>
    <w:p>
      <w:pPr>
        <w:spacing w:line="360" w:lineRule="auto"/>
        <w:ind w:firstLine="480"/>
        <w:rPr>
          <w:rFonts w:hint="eastAsia" w:ascii="宋体" w:hAnsi="宋体" w:cs="宋体"/>
          <w:color w:val="auto"/>
          <w:sz w:val="24"/>
        </w:rPr>
      </w:pPr>
      <w:r>
        <w:rPr>
          <w:rFonts w:hint="eastAsia" w:ascii="宋体" w:hAnsi="宋体" w:cs="宋体"/>
          <w:color w:val="auto"/>
          <w:sz w:val="24"/>
        </w:rPr>
        <w:t>投标人需承诺提供5年全天候7×24小时的故障维护服务和技术业务咨询服务，并有专业的技术人员负责及时解决系统出现的任何故障。</w:t>
      </w:r>
    </w:p>
    <w:p>
      <w:pPr>
        <w:spacing w:line="360" w:lineRule="auto"/>
        <w:ind w:firstLine="480"/>
        <w:rPr>
          <w:rFonts w:hint="eastAsia" w:ascii="宋体" w:hAnsi="宋体" w:cs="宋体"/>
          <w:color w:val="auto"/>
          <w:sz w:val="24"/>
        </w:rPr>
      </w:pPr>
      <w:bookmarkStart w:id="261" w:name="_Toc107587840"/>
      <w:bookmarkStart w:id="262" w:name="_Toc107717397"/>
      <w:bookmarkStart w:id="263" w:name="_Toc107741444"/>
      <w:bookmarkStart w:id="264" w:name="_Toc107721415"/>
      <w:bookmarkStart w:id="265" w:name="_Toc107719302"/>
      <w:bookmarkStart w:id="266" w:name="_Toc107702524"/>
      <w:bookmarkStart w:id="267" w:name="_Toc112638055"/>
      <w:r>
        <w:rPr>
          <w:rFonts w:hint="eastAsia" w:ascii="宋体" w:hAnsi="宋体" w:cs="宋体"/>
          <w:color w:val="auto"/>
          <w:sz w:val="24"/>
        </w:rPr>
        <w:t>（2）故障修复时限承诺</w:t>
      </w:r>
      <w:bookmarkEnd w:id="261"/>
      <w:bookmarkEnd w:id="262"/>
      <w:bookmarkEnd w:id="263"/>
      <w:bookmarkEnd w:id="264"/>
      <w:bookmarkEnd w:id="265"/>
      <w:bookmarkEnd w:id="266"/>
      <w:bookmarkEnd w:id="267"/>
    </w:p>
    <w:p>
      <w:pPr>
        <w:spacing w:line="360" w:lineRule="auto"/>
        <w:ind w:firstLine="480"/>
        <w:rPr>
          <w:rFonts w:hint="eastAsia" w:ascii="宋体" w:hAnsi="宋体" w:cs="宋体"/>
          <w:color w:val="auto"/>
          <w:sz w:val="24"/>
        </w:rPr>
      </w:pPr>
      <w:r>
        <w:rPr>
          <w:rFonts w:hint="eastAsia" w:ascii="宋体" w:hAnsi="宋体" w:cs="宋体"/>
          <w:color w:val="auto"/>
          <w:sz w:val="24"/>
        </w:rPr>
        <w:t>在接到故障报修后，中标人须在30分钟内响应，技术工程师在每天8:00～18:00期间1小时到达现场，其余期间2小时内到达现场。到达现场后4小时内排除设备故障（遇到自然灾害等不可抗拒事故除外）。如无法按时排除故障，在有备用光纤资源的情况下，必须在12小时内替代解决，在无备用光纤资源的情况下，必须在24小时内用其它接入手段进行替代，由此产生的费用由中标人承担。</w:t>
      </w:r>
    </w:p>
    <w:p>
      <w:pPr>
        <w:spacing w:line="360" w:lineRule="auto"/>
        <w:ind w:firstLine="480"/>
        <w:rPr>
          <w:rFonts w:hint="eastAsia" w:ascii="宋体" w:hAnsi="宋体" w:cs="宋体"/>
          <w:bCs/>
          <w:iCs/>
          <w:color w:val="auto"/>
          <w:sz w:val="24"/>
        </w:rPr>
      </w:pPr>
      <w:r>
        <w:rPr>
          <w:rFonts w:hint="eastAsia" w:ascii="宋体" w:hAnsi="宋体" w:cs="宋体"/>
          <w:color w:val="auto"/>
          <w:sz w:val="24"/>
        </w:rPr>
        <w:t>▲</w:t>
      </w:r>
      <w:r>
        <w:rPr>
          <w:rFonts w:hint="eastAsia" w:ascii="宋体" w:hAnsi="宋体" w:cs="宋体"/>
          <w:bCs/>
          <w:color w:val="auto"/>
          <w:kern w:val="0"/>
          <w:sz w:val="24"/>
        </w:rPr>
        <w:t>发生故障一天内进行修复，确保系统正常运行率达90%，每下降一个百分点，扣除当月总租赁费的3%。本项目电子监控系统所含的每个摄像机记为1路，单路视频出现故障（平台无视频或无图片或图片不清晰等）在24小时内修复的，全额支付该点位当月租赁费，维修超过一天且小于五天的，按五天计算，扣除每路租赁费500元，维修超过五天的，每路视频扣除租赁费2000元；因不可抗拒及区域性停电等现场不具备安装修复条件的情形除外，但应当在当天说</w:t>
      </w:r>
      <w:r>
        <w:rPr>
          <w:rFonts w:hint="eastAsia" w:ascii="宋体" w:hAnsi="宋体" w:cs="宋体"/>
          <w:bCs/>
          <w:iCs/>
          <w:color w:val="auto"/>
          <w:sz w:val="24"/>
        </w:rPr>
        <w:t>明情况，并在现场情形消失之日起2天内修复。本项目中信号协调控制系统在遭遇</w:t>
      </w:r>
      <w:r>
        <w:rPr>
          <w:rFonts w:hint="eastAsia" w:ascii="宋体" w:hAnsi="宋体" w:cs="宋体"/>
          <w:bCs/>
          <w:color w:val="auto"/>
          <w:kern w:val="0"/>
          <w:sz w:val="24"/>
        </w:rPr>
        <w:t>因不可抗拒及区域性停电等现场不具备安装修复条件的，暂时不能修复的，必须在1小时内放置临时信号灯，超过1小时未放置临时信号灯的，扣除该路口当月租赁费；造成交通事故的，由中标方承担一切责任，招标方保留追责权利。项目运维过程中中标方应准备好备品备件，如临时信号灯等由中标方自行准备。</w:t>
      </w:r>
    </w:p>
    <w:p>
      <w:pPr>
        <w:spacing w:before="120" w:beforeLines="50" w:line="360" w:lineRule="auto"/>
        <w:ind w:firstLine="482"/>
        <w:rPr>
          <w:rFonts w:hint="eastAsia" w:ascii="宋体" w:hAnsi="宋体" w:cs="宋体"/>
          <w:b/>
          <w:color w:val="auto"/>
          <w:sz w:val="24"/>
        </w:rPr>
      </w:pPr>
      <w:bookmarkStart w:id="268" w:name="_Toc172391699"/>
      <w:bookmarkStart w:id="269" w:name="_Toc172392032"/>
      <w:bookmarkStart w:id="270" w:name="_Toc375067667"/>
      <w:bookmarkStart w:id="271" w:name="_Toc173646514"/>
      <w:bookmarkStart w:id="272" w:name="_Toc353887110"/>
      <w:bookmarkStart w:id="273" w:name="_Toc235872254"/>
      <w:r>
        <w:rPr>
          <w:rFonts w:hint="eastAsia" w:ascii="宋体" w:hAnsi="宋体" w:cs="宋体"/>
          <w:b/>
          <w:color w:val="auto"/>
          <w:sz w:val="24"/>
        </w:rPr>
        <w:t>5、运维服务期的管理要求</w:t>
      </w:r>
      <w:bookmarkEnd w:id="268"/>
      <w:bookmarkEnd w:id="269"/>
      <w:bookmarkEnd w:id="270"/>
      <w:bookmarkEnd w:id="271"/>
      <w:bookmarkEnd w:id="272"/>
      <w:bookmarkEnd w:id="273"/>
    </w:p>
    <w:p>
      <w:pPr>
        <w:spacing w:line="360" w:lineRule="auto"/>
        <w:ind w:firstLine="480"/>
        <w:rPr>
          <w:rFonts w:hint="eastAsia" w:ascii="宋体" w:hAnsi="宋体" w:cs="宋体"/>
          <w:color w:val="auto"/>
          <w:sz w:val="24"/>
        </w:rPr>
      </w:pPr>
      <w:r>
        <w:rPr>
          <w:rFonts w:hint="eastAsia" w:ascii="宋体" w:hAnsi="宋体" w:cs="宋体"/>
          <w:color w:val="auto"/>
          <w:sz w:val="24"/>
        </w:rPr>
        <w:t>投标人应根据运维服务要求，参照国际上有关通信和信息系统运行服务标准的要求建立完善的视频监控系统运维服务管理体系，保障承诺的运维服务内容的实施。</w:t>
      </w:r>
    </w:p>
    <w:p>
      <w:pPr>
        <w:spacing w:line="360" w:lineRule="auto"/>
        <w:ind w:firstLine="482"/>
        <w:rPr>
          <w:rFonts w:hint="eastAsia" w:ascii="宋体" w:hAnsi="宋体" w:cs="宋体"/>
          <w:b/>
          <w:color w:val="auto"/>
          <w:sz w:val="24"/>
        </w:rPr>
      </w:pPr>
      <w:r>
        <w:rPr>
          <w:rFonts w:hint="eastAsia" w:ascii="宋体" w:hAnsi="宋体" w:cs="宋体"/>
          <w:b/>
          <w:color w:val="auto"/>
          <w:sz w:val="24"/>
        </w:rPr>
        <w:t>5.1运维服务组织机构</w:t>
      </w:r>
    </w:p>
    <w:p>
      <w:pPr>
        <w:spacing w:line="360" w:lineRule="auto"/>
        <w:ind w:firstLine="480"/>
        <w:rPr>
          <w:rFonts w:hint="eastAsia" w:ascii="宋体" w:hAnsi="宋体" w:cs="宋体"/>
          <w:color w:val="auto"/>
          <w:sz w:val="24"/>
        </w:rPr>
      </w:pPr>
      <w:r>
        <w:rPr>
          <w:rFonts w:hint="eastAsia" w:ascii="宋体" w:hAnsi="宋体" w:cs="宋体"/>
          <w:color w:val="auto"/>
          <w:sz w:val="24"/>
        </w:rPr>
        <w:t>中标人应建立专门的运维服务管理机构，设立运维服务咨询中心，设立专门的技术服务队伍，配备包括视频监控、光纤管道、电气设备、电力和网络等各类维护工程师。</w:t>
      </w:r>
    </w:p>
    <w:p>
      <w:pPr>
        <w:spacing w:line="360" w:lineRule="auto"/>
        <w:ind w:firstLine="482"/>
        <w:rPr>
          <w:rFonts w:hint="eastAsia" w:ascii="宋体" w:hAnsi="宋体" w:cs="宋体"/>
          <w:b/>
          <w:color w:val="auto"/>
          <w:sz w:val="24"/>
        </w:rPr>
      </w:pPr>
      <w:r>
        <w:rPr>
          <w:rFonts w:hint="eastAsia" w:ascii="宋体" w:hAnsi="宋体" w:cs="宋体"/>
          <w:b/>
          <w:color w:val="auto"/>
          <w:sz w:val="24"/>
        </w:rPr>
        <w:t>5.2运维服务流程</w:t>
      </w:r>
    </w:p>
    <w:p>
      <w:pPr>
        <w:spacing w:line="360" w:lineRule="auto"/>
        <w:ind w:firstLine="480"/>
        <w:rPr>
          <w:rFonts w:hint="eastAsia" w:ascii="宋体" w:hAnsi="宋体" w:cs="宋体"/>
          <w:color w:val="auto"/>
          <w:sz w:val="24"/>
        </w:rPr>
      </w:pPr>
      <w:r>
        <w:rPr>
          <w:rFonts w:hint="eastAsia" w:ascii="宋体" w:hAnsi="宋体" w:cs="宋体"/>
          <w:color w:val="auto"/>
          <w:sz w:val="24"/>
        </w:rPr>
        <w:t>中标人应参照国际运维服务标准体系，建立各项运维服务标准流程，制定服务规章制度，应按照流程要求提供高质量、响应快的服务。</w:t>
      </w:r>
    </w:p>
    <w:p>
      <w:pPr>
        <w:spacing w:before="120" w:beforeLines="50" w:line="360" w:lineRule="auto"/>
        <w:ind w:firstLine="482"/>
        <w:rPr>
          <w:rFonts w:hint="eastAsia" w:ascii="宋体" w:hAnsi="宋体" w:cs="宋体"/>
          <w:b/>
          <w:color w:val="auto"/>
          <w:sz w:val="24"/>
        </w:rPr>
      </w:pPr>
      <w:bookmarkStart w:id="274" w:name="_Toc235872255"/>
      <w:bookmarkStart w:id="275" w:name="_Toc173646515"/>
      <w:bookmarkStart w:id="276" w:name="_Toc172391700"/>
      <w:bookmarkStart w:id="277" w:name="_Toc172392033"/>
      <w:bookmarkStart w:id="278" w:name="_Toc375067668"/>
      <w:bookmarkStart w:id="279" w:name="_Toc353887111"/>
      <w:r>
        <w:rPr>
          <w:rFonts w:hint="eastAsia" w:ascii="宋体" w:hAnsi="宋体" w:cs="宋体"/>
          <w:b/>
          <w:color w:val="auto"/>
          <w:sz w:val="24"/>
        </w:rPr>
        <w:t>6、培训要求</w:t>
      </w:r>
      <w:bookmarkEnd w:id="274"/>
      <w:bookmarkEnd w:id="275"/>
      <w:bookmarkEnd w:id="276"/>
      <w:bookmarkEnd w:id="277"/>
      <w:bookmarkEnd w:id="278"/>
      <w:bookmarkEnd w:id="279"/>
    </w:p>
    <w:p>
      <w:pPr>
        <w:spacing w:line="360" w:lineRule="auto"/>
        <w:ind w:firstLine="482"/>
        <w:rPr>
          <w:rFonts w:hint="eastAsia" w:ascii="宋体" w:hAnsi="宋体" w:cs="宋体"/>
          <w:b/>
          <w:color w:val="auto"/>
          <w:sz w:val="24"/>
        </w:rPr>
      </w:pPr>
      <w:r>
        <w:rPr>
          <w:rFonts w:hint="eastAsia" w:ascii="宋体" w:hAnsi="宋体" w:cs="宋体"/>
          <w:b/>
          <w:color w:val="auto"/>
          <w:sz w:val="24"/>
        </w:rPr>
        <w:t>6.1培训要求</w:t>
      </w:r>
    </w:p>
    <w:p>
      <w:pPr>
        <w:spacing w:line="360" w:lineRule="auto"/>
        <w:ind w:firstLine="480"/>
        <w:rPr>
          <w:rFonts w:hint="eastAsia" w:ascii="宋体" w:hAnsi="宋体" w:cs="宋体"/>
          <w:color w:val="auto"/>
          <w:sz w:val="24"/>
        </w:rPr>
      </w:pPr>
      <w:r>
        <w:rPr>
          <w:rFonts w:hint="eastAsia" w:ascii="宋体" w:hAnsi="宋体" w:cs="宋体"/>
          <w:color w:val="auto"/>
          <w:sz w:val="24"/>
        </w:rPr>
        <w:t>对业主的技术人员进行系统的使用、维护和保养培训，所有培训以中文进行。该培训将教会学员在日常和紧急情况下如何操作系统。</w:t>
      </w:r>
    </w:p>
    <w:p>
      <w:pPr>
        <w:spacing w:line="360" w:lineRule="auto"/>
        <w:ind w:firstLine="480"/>
        <w:rPr>
          <w:rFonts w:hint="eastAsia" w:ascii="宋体" w:hAnsi="宋体" w:cs="宋体"/>
          <w:color w:val="auto"/>
          <w:sz w:val="24"/>
        </w:rPr>
      </w:pPr>
      <w:r>
        <w:rPr>
          <w:rFonts w:hint="eastAsia" w:ascii="宋体" w:hAnsi="宋体" w:cs="宋体"/>
          <w:color w:val="auto"/>
          <w:sz w:val="24"/>
        </w:rPr>
        <w:t>培训教员对所提供的系统和产品具有5年以上的操作和维修经验。培训授课人员都是经过厂家认证的工程师、技术员等。培训教员的简历连同培训计划一并提交业主，业主认为培训教员不合格可要求更换。</w:t>
      </w:r>
    </w:p>
    <w:p>
      <w:pPr>
        <w:spacing w:line="360" w:lineRule="auto"/>
        <w:ind w:firstLine="480"/>
        <w:rPr>
          <w:rFonts w:hint="eastAsia" w:ascii="宋体" w:hAnsi="宋体" w:cs="宋体"/>
          <w:color w:val="auto"/>
          <w:sz w:val="24"/>
        </w:rPr>
      </w:pPr>
      <w:r>
        <w:rPr>
          <w:rFonts w:hint="eastAsia" w:ascii="宋体" w:hAnsi="宋体" w:cs="宋体"/>
          <w:color w:val="auto"/>
          <w:sz w:val="24"/>
        </w:rPr>
        <w:t>在系统完工测试之前为业主技术人员进行现场培训，该培训包括正常操作程序和怎样处理紧急情况。在培训工作开始前向业主免费提供所有中文培训资料，包括中文操作、维修手册，要求受训人员能够了解系统及设备的基本结构、工作原理及操作程序，能进行实际操作和日常维护、排除一般故障。</w:t>
      </w:r>
    </w:p>
    <w:p>
      <w:pPr>
        <w:spacing w:line="360" w:lineRule="auto"/>
        <w:ind w:firstLine="480"/>
        <w:rPr>
          <w:rFonts w:hint="eastAsia" w:ascii="宋体" w:hAnsi="宋体" w:cs="宋体"/>
          <w:b/>
          <w:color w:val="auto"/>
          <w:sz w:val="24"/>
        </w:rPr>
      </w:pPr>
      <w:r>
        <w:rPr>
          <w:rFonts w:hint="eastAsia" w:ascii="宋体" w:hAnsi="宋体" w:cs="宋体"/>
          <w:b/>
          <w:bCs/>
          <w:color w:val="auto"/>
          <w:sz w:val="24"/>
        </w:rPr>
        <w:t>6.2</w:t>
      </w:r>
      <w:r>
        <w:rPr>
          <w:rFonts w:hint="eastAsia" w:ascii="宋体" w:hAnsi="宋体" w:cs="宋体"/>
          <w:b/>
          <w:color w:val="auto"/>
          <w:sz w:val="24"/>
        </w:rPr>
        <w:t>培训事项</w:t>
      </w:r>
    </w:p>
    <w:p>
      <w:pPr>
        <w:spacing w:line="360" w:lineRule="auto"/>
        <w:ind w:firstLine="480"/>
        <w:rPr>
          <w:rFonts w:hint="eastAsia" w:ascii="宋体" w:hAnsi="宋体" w:cs="宋体"/>
          <w:color w:val="auto"/>
          <w:sz w:val="24"/>
        </w:rPr>
      </w:pPr>
      <w:r>
        <w:rPr>
          <w:rFonts w:hint="eastAsia" w:ascii="宋体" w:hAnsi="宋体" w:cs="宋体"/>
          <w:color w:val="auto"/>
          <w:sz w:val="24"/>
        </w:rPr>
        <w:t>投标人应根据合同清单提供详细的产品说明书，系统使用说明书和系统维护说明书开展运行维护人员的培训、工程技术人员的培训和管理人员的培训。培训文件和材料包括：系统原理图、设备操作手册、系统维护保养手册、其它本系统相关的技术资料。</w:t>
      </w:r>
    </w:p>
    <w:p>
      <w:pPr>
        <w:spacing w:before="120" w:beforeLines="50" w:line="360" w:lineRule="auto"/>
        <w:ind w:firstLine="482"/>
        <w:rPr>
          <w:rFonts w:hint="eastAsia" w:ascii="宋体" w:hAnsi="宋体" w:cs="宋体"/>
          <w:b/>
          <w:color w:val="auto"/>
          <w:sz w:val="24"/>
        </w:rPr>
      </w:pPr>
      <w:bookmarkStart w:id="280" w:name="_Toc375067669"/>
      <w:bookmarkStart w:id="281" w:name="_Toc173646516"/>
      <w:bookmarkStart w:id="282" w:name="_Toc235872256"/>
      <w:bookmarkStart w:id="283" w:name="_Toc238527031"/>
      <w:bookmarkStart w:id="284" w:name="_Toc163903312"/>
      <w:bookmarkStart w:id="285" w:name="_Toc172391701"/>
      <w:bookmarkStart w:id="286" w:name="_Toc353887112"/>
      <w:bookmarkStart w:id="287" w:name="_Toc172392034"/>
      <w:bookmarkStart w:id="288" w:name="_Toc350504569"/>
      <w:r>
        <w:rPr>
          <w:rFonts w:hint="eastAsia" w:ascii="宋体" w:hAnsi="宋体" w:cs="宋体"/>
          <w:b/>
          <w:color w:val="auto"/>
          <w:sz w:val="24"/>
        </w:rPr>
        <w:t>7、系统调试与验收需求</w:t>
      </w:r>
      <w:bookmarkEnd w:id="280"/>
      <w:bookmarkEnd w:id="281"/>
      <w:bookmarkEnd w:id="282"/>
      <w:bookmarkEnd w:id="283"/>
      <w:bookmarkEnd w:id="284"/>
      <w:bookmarkEnd w:id="285"/>
      <w:bookmarkEnd w:id="286"/>
      <w:bookmarkEnd w:id="287"/>
      <w:bookmarkEnd w:id="288"/>
    </w:p>
    <w:p>
      <w:pPr>
        <w:spacing w:line="360" w:lineRule="auto"/>
        <w:ind w:firstLine="482"/>
        <w:rPr>
          <w:rFonts w:hint="eastAsia" w:ascii="宋体" w:hAnsi="宋体" w:cs="宋体"/>
          <w:b/>
          <w:color w:val="auto"/>
          <w:sz w:val="24"/>
        </w:rPr>
      </w:pPr>
      <w:bookmarkStart w:id="289" w:name="_Toc235872257"/>
      <w:bookmarkStart w:id="290" w:name="_Toc353887113"/>
      <w:bookmarkStart w:id="291" w:name="_Toc375067670"/>
      <w:r>
        <w:rPr>
          <w:rFonts w:hint="eastAsia" w:ascii="宋体" w:hAnsi="宋体" w:cs="宋体"/>
          <w:b/>
          <w:color w:val="auto"/>
          <w:sz w:val="24"/>
        </w:rPr>
        <w:t>7.1系统调试</w:t>
      </w:r>
      <w:bookmarkEnd w:id="289"/>
      <w:bookmarkEnd w:id="290"/>
      <w:bookmarkEnd w:id="291"/>
    </w:p>
    <w:p>
      <w:pPr>
        <w:spacing w:line="360" w:lineRule="auto"/>
        <w:ind w:firstLine="480"/>
        <w:rPr>
          <w:rFonts w:hint="eastAsia" w:ascii="宋体" w:hAnsi="宋体" w:cs="宋体"/>
          <w:color w:val="auto"/>
          <w:sz w:val="24"/>
        </w:rPr>
      </w:pPr>
      <w:r>
        <w:rPr>
          <w:rFonts w:hint="eastAsia" w:ascii="宋体" w:hAnsi="宋体" w:cs="宋体"/>
          <w:color w:val="auto"/>
          <w:sz w:val="24"/>
        </w:rPr>
        <w:t>调试工作是整个系统完成的最后技术阶段，也是技术性强、环节复杂、易出现各种问题的阶段。</w:t>
      </w:r>
    </w:p>
    <w:p>
      <w:pPr>
        <w:spacing w:line="360" w:lineRule="auto"/>
        <w:ind w:firstLine="480"/>
        <w:rPr>
          <w:rFonts w:hint="eastAsia" w:ascii="宋体" w:hAnsi="宋体" w:cs="宋体"/>
          <w:color w:val="auto"/>
          <w:sz w:val="24"/>
        </w:rPr>
      </w:pPr>
      <w:r>
        <w:rPr>
          <w:rFonts w:hint="eastAsia" w:ascii="宋体" w:hAnsi="宋体" w:cs="宋体"/>
          <w:color w:val="auto"/>
          <w:sz w:val="24"/>
        </w:rPr>
        <w:t>要求中标人缜密的制定调试计划，编写试运行及调试方案，填报详细日志，包括以下内容：</w:t>
      </w:r>
    </w:p>
    <w:p>
      <w:pPr>
        <w:spacing w:line="360" w:lineRule="auto"/>
        <w:ind w:firstLine="480"/>
        <w:rPr>
          <w:rFonts w:hint="eastAsia" w:ascii="宋体" w:hAnsi="宋体" w:cs="宋体"/>
          <w:color w:val="auto"/>
          <w:sz w:val="24"/>
        </w:rPr>
      </w:pPr>
      <w:r>
        <w:rPr>
          <w:rFonts w:hint="eastAsia" w:ascii="宋体" w:hAnsi="宋体" w:cs="宋体"/>
          <w:color w:val="auto"/>
          <w:sz w:val="24"/>
        </w:rPr>
        <w:t>对单项设备进行调试，确保单项产品质量过关，拟写测试报告；</w:t>
      </w:r>
    </w:p>
    <w:p>
      <w:pPr>
        <w:spacing w:line="360" w:lineRule="auto"/>
        <w:ind w:firstLine="480"/>
        <w:rPr>
          <w:rFonts w:hint="eastAsia" w:ascii="宋体" w:hAnsi="宋体" w:cs="宋体"/>
          <w:color w:val="auto"/>
          <w:sz w:val="24"/>
        </w:rPr>
      </w:pPr>
      <w:r>
        <w:rPr>
          <w:rFonts w:hint="eastAsia" w:ascii="宋体" w:hAnsi="宋体" w:cs="宋体"/>
          <w:color w:val="auto"/>
          <w:sz w:val="24"/>
        </w:rPr>
        <w:t>对分系统进行调试，确保各分系统安全可靠运行，拟写测试报告；</w:t>
      </w:r>
    </w:p>
    <w:p>
      <w:pPr>
        <w:spacing w:line="360" w:lineRule="auto"/>
        <w:ind w:firstLine="480"/>
        <w:rPr>
          <w:rFonts w:hint="eastAsia" w:ascii="宋体" w:hAnsi="宋体" w:cs="宋体"/>
          <w:color w:val="auto"/>
          <w:sz w:val="24"/>
        </w:rPr>
      </w:pPr>
      <w:r>
        <w:rPr>
          <w:rFonts w:hint="eastAsia" w:ascii="宋体" w:hAnsi="宋体" w:cs="宋体"/>
          <w:color w:val="auto"/>
          <w:sz w:val="24"/>
        </w:rPr>
        <w:t>整个系统联调，确保工程顺利完工，在测试中出现问题及时查找问题之所在，迅速及时地解决，拟写测试报告。</w:t>
      </w:r>
    </w:p>
    <w:p>
      <w:pPr>
        <w:spacing w:before="120" w:beforeLines="50" w:line="360" w:lineRule="auto"/>
        <w:ind w:firstLine="482"/>
        <w:rPr>
          <w:rFonts w:hint="eastAsia" w:ascii="宋体" w:hAnsi="宋体" w:cs="宋体"/>
          <w:b/>
          <w:color w:val="auto"/>
          <w:sz w:val="24"/>
        </w:rPr>
      </w:pPr>
      <w:bookmarkStart w:id="292" w:name="_Toc235872258"/>
      <w:bookmarkStart w:id="293" w:name="_Toc353887114"/>
      <w:bookmarkStart w:id="294" w:name="_Toc375067671"/>
      <w:r>
        <w:rPr>
          <w:rFonts w:hint="eastAsia" w:ascii="宋体" w:hAnsi="宋体" w:cs="宋体"/>
          <w:b/>
          <w:color w:val="auto"/>
          <w:sz w:val="24"/>
        </w:rPr>
        <w:t>7.2系统试运行</w:t>
      </w:r>
      <w:bookmarkEnd w:id="292"/>
      <w:bookmarkEnd w:id="293"/>
      <w:bookmarkEnd w:id="294"/>
    </w:p>
    <w:p>
      <w:pPr>
        <w:spacing w:line="360" w:lineRule="auto"/>
        <w:ind w:firstLine="480"/>
        <w:rPr>
          <w:rFonts w:hint="eastAsia" w:ascii="宋体" w:hAnsi="宋体" w:cs="宋体"/>
          <w:color w:val="auto"/>
          <w:sz w:val="24"/>
        </w:rPr>
      </w:pPr>
      <w:r>
        <w:rPr>
          <w:rFonts w:hint="eastAsia" w:ascii="宋体" w:hAnsi="宋体" w:cs="宋体"/>
          <w:color w:val="auto"/>
          <w:sz w:val="24"/>
        </w:rPr>
        <w:t>系统出图像后进入试运行期，试运行时间为1个月（30个日历日）。</w:t>
      </w:r>
    </w:p>
    <w:p>
      <w:pPr>
        <w:spacing w:line="360" w:lineRule="auto"/>
        <w:ind w:firstLine="480"/>
        <w:rPr>
          <w:rFonts w:hint="eastAsia" w:ascii="宋体" w:hAnsi="宋体" w:cs="宋体"/>
          <w:color w:val="auto"/>
          <w:sz w:val="24"/>
        </w:rPr>
      </w:pPr>
      <w:r>
        <w:rPr>
          <w:rFonts w:hint="eastAsia" w:ascii="宋体" w:hAnsi="宋体" w:cs="宋体"/>
          <w:color w:val="auto"/>
          <w:sz w:val="24"/>
        </w:rPr>
        <w:t>在试运行开始日期之前，中标人应向采购人提供能证明系统联调成功、可正常运行的所有测量数据和资料。</w:t>
      </w:r>
    </w:p>
    <w:p>
      <w:pPr>
        <w:spacing w:line="360" w:lineRule="auto"/>
        <w:ind w:firstLine="480"/>
        <w:rPr>
          <w:rFonts w:hint="eastAsia" w:ascii="宋体" w:hAnsi="宋体" w:cs="宋体"/>
          <w:color w:val="auto"/>
          <w:sz w:val="24"/>
        </w:rPr>
      </w:pPr>
      <w:r>
        <w:rPr>
          <w:rFonts w:hint="eastAsia" w:ascii="宋体" w:hAnsi="宋体" w:cs="宋体"/>
          <w:color w:val="auto"/>
          <w:sz w:val="24"/>
        </w:rPr>
        <w:t>所有试运转期间设备的修改和软件变化都应在试运转结束后写入操作和维修手册中。</w:t>
      </w:r>
    </w:p>
    <w:p>
      <w:pPr>
        <w:spacing w:line="360" w:lineRule="auto"/>
        <w:ind w:firstLine="480"/>
        <w:rPr>
          <w:rFonts w:hint="eastAsia" w:ascii="宋体" w:hAnsi="宋体" w:cs="宋体"/>
          <w:color w:val="auto"/>
          <w:sz w:val="24"/>
        </w:rPr>
      </w:pPr>
      <w:r>
        <w:rPr>
          <w:rFonts w:hint="eastAsia" w:ascii="宋体" w:hAnsi="宋体" w:cs="宋体"/>
          <w:color w:val="auto"/>
          <w:sz w:val="24"/>
        </w:rPr>
        <w:t>中标人应给出任何缺陷或故障部件修复的全部细节。</w:t>
      </w:r>
    </w:p>
    <w:p>
      <w:pPr>
        <w:spacing w:before="120" w:beforeLines="50" w:line="360" w:lineRule="auto"/>
        <w:ind w:firstLine="482"/>
        <w:rPr>
          <w:rFonts w:hint="eastAsia" w:ascii="宋体" w:hAnsi="宋体" w:cs="宋体"/>
          <w:b/>
          <w:color w:val="auto"/>
          <w:sz w:val="24"/>
        </w:rPr>
      </w:pPr>
      <w:bookmarkStart w:id="295" w:name="_Toc353887115"/>
      <w:bookmarkStart w:id="296" w:name="_Toc235872259"/>
      <w:bookmarkStart w:id="297" w:name="_Toc375067672"/>
      <w:r>
        <w:rPr>
          <w:rFonts w:hint="eastAsia" w:ascii="宋体" w:hAnsi="宋体" w:cs="宋体"/>
          <w:b/>
          <w:color w:val="auto"/>
          <w:sz w:val="24"/>
        </w:rPr>
        <w:t>7.3系统验收</w:t>
      </w:r>
      <w:bookmarkEnd w:id="295"/>
      <w:bookmarkEnd w:id="296"/>
      <w:bookmarkEnd w:id="297"/>
    </w:p>
    <w:p>
      <w:pPr>
        <w:spacing w:line="360" w:lineRule="auto"/>
        <w:ind w:firstLine="480"/>
        <w:rPr>
          <w:rFonts w:hint="eastAsia" w:ascii="宋体" w:hAnsi="宋体" w:cs="宋体"/>
          <w:color w:val="auto"/>
          <w:sz w:val="24"/>
        </w:rPr>
      </w:pPr>
      <w:r>
        <w:rPr>
          <w:rFonts w:hint="eastAsia" w:ascii="宋体" w:hAnsi="宋体" w:cs="宋体"/>
          <w:color w:val="auto"/>
          <w:sz w:val="24"/>
        </w:rPr>
        <w:t>本项目安装调试完毕后可分子项目进行初验，试运行1个月（30个日历日）后方满足最终验收条件；</w:t>
      </w:r>
    </w:p>
    <w:p>
      <w:pPr>
        <w:spacing w:line="360" w:lineRule="auto"/>
        <w:ind w:firstLine="480"/>
        <w:rPr>
          <w:rFonts w:hint="eastAsia" w:ascii="宋体" w:hAnsi="宋体" w:cs="宋体"/>
          <w:color w:val="auto"/>
          <w:sz w:val="24"/>
        </w:rPr>
      </w:pPr>
      <w:r>
        <w:rPr>
          <w:rFonts w:hint="eastAsia" w:ascii="宋体" w:hAnsi="宋体" w:cs="宋体"/>
          <w:color w:val="auto"/>
          <w:sz w:val="24"/>
        </w:rPr>
        <w:t>项目的建设期验收必须经过公安技防管理部门和县视频监控系统建设领导小组的验收，验收必须按照公安技防部门、省市相关验收标准和规范组织验收。</w:t>
      </w:r>
    </w:p>
    <w:p>
      <w:pPr>
        <w:spacing w:before="120" w:beforeLines="50" w:line="360" w:lineRule="auto"/>
        <w:ind w:firstLine="482"/>
        <w:rPr>
          <w:rFonts w:hint="eastAsia" w:ascii="宋体" w:hAnsi="宋体" w:cs="宋体"/>
          <w:b/>
          <w:color w:val="auto"/>
          <w:sz w:val="24"/>
        </w:rPr>
      </w:pPr>
      <w:bookmarkStart w:id="298" w:name="_Toc353887119"/>
      <w:bookmarkStart w:id="299" w:name="_Toc235872263"/>
      <w:r>
        <w:rPr>
          <w:rFonts w:hint="eastAsia" w:ascii="宋体" w:hAnsi="宋体" w:cs="宋体"/>
          <w:b/>
          <w:color w:val="auto"/>
          <w:sz w:val="24"/>
        </w:rPr>
        <w:t>8、产权说明</w:t>
      </w:r>
      <w:bookmarkEnd w:id="298"/>
      <w:bookmarkEnd w:id="299"/>
    </w:p>
    <w:p>
      <w:pPr>
        <w:spacing w:line="360" w:lineRule="auto"/>
        <w:ind w:firstLine="480"/>
        <w:rPr>
          <w:rFonts w:hint="eastAsia" w:ascii="宋体" w:hAnsi="宋体" w:cs="宋体"/>
          <w:color w:val="auto"/>
          <w:sz w:val="24"/>
        </w:rPr>
      </w:pPr>
      <w:r>
        <w:rPr>
          <w:rFonts w:hint="eastAsia" w:ascii="宋体" w:hAnsi="宋体" w:cs="宋体"/>
          <w:iCs/>
          <w:color w:val="auto"/>
          <w:sz w:val="24"/>
        </w:rPr>
        <w:t>▲</w:t>
      </w:r>
      <w:r>
        <w:rPr>
          <w:rFonts w:hint="eastAsia" w:ascii="宋体" w:hAnsi="宋体" w:cs="宋体"/>
          <w:color w:val="auto"/>
          <w:sz w:val="24"/>
        </w:rPr>
        <w:t>本招标文件列出的所有系统都由投标人首先按采购人的要求建设，建设完成后采购人向中标人租用。建设期和租赁服务期内设备和设施的产权属中标人。合同期满后，中标人在投标文件中提供的摄像机、前端立杆机箱基础设备、中心平台软硬件设备、存储设备、网络主核心交换设备等所有资产无偿归采购人所有。</w:t>
      </w:r>
    </w:p>
    <w:p>
      <w:pPr>
        <w:spacing w:line="360" w:lineRule="auto"/>
        <w:ind w:firstLine="480"/>
        <w:rPr>
          <w:rFonts w:hint="eastAsia" w:ascii="宋体" w:hAnsi="宋体" w:cs="宋体"/>
          <w:color w:val="auto"/>
          <w:sz w:val="24"/>
        </w:rPr>
      </w:pPr>
      <w:r>
        <w:rPr>
          <w:rFonts w:hint="eastAsia" w:ascii="宋体" w:hAnsi="宋体" w:cs="宋体"/>
          <w:color w:val="auto"/>
          <w:sz w:val="24"/>
        </w:rPr>
        <w:t>在租赁服务期内，中标人负责设备及系统的所有维护、维修、设备更换和系统优化等工作，保证采购人（业主）能正常使用系统，获得高质量满意的服务。在租赁服务期内，由于雷击、被盗、被破坏和其他不可抗力等因素所造成的一切损失由中标人承担，其他由于采购人（业主）使用不当所造成的损失由采购人（业主）承担。</w:t>
      </w:r>
    </w:p>
    <w:p>
      <w:pPr>
        <w:spacing w:line="360" w:lineRule="auto"/>
        <w:ind w:firstLine="480"/>
        <w:rPr>
          <w:rFonts w:hint="eastAsia" w:ascii="宋体" w:hAnsi="宋体" w:cs="宋体"/>
          <w:color w:val="auto"/>
          <w:sz w:val="24"/>
        </w:rPr>
      </w:pPr>
      <w:r>
        <w:rPr>
          <w:rFonts w:hint="eastAsia" w:ascii="宋体" w:hAnsi="宋体" w:cs="宋体"/>
          <w:color w:val="auto"/>
          <w:sz w:val="24"/>
        </w:rPr>
        <w:t>系统中的声音、图像和数据信息的所有权和使用权都属采购人（业主）；未经采购人（业主）允许，中标人无权使用、转让或处理系统中的声音、图像和数据信息。中标人妥善保存和备份系统的声音、图像和数据信息，使之不被破坏、未经授权的删除。中标人应该提供合适的技术手段，使采购人（业主）能阅读、使用、传送、处理和备份系统中的图像和信息。</w:t>
      </w:r>
    </w:p>
    <w:p>
      <w:pPr>
        <w:spacing w:line="360" w:lineRule="auto"/>
        <w:ind w:firstLine="480"/>
        <w:rPr>
          <w:rFonts w:hint="eastAsia" w:ascii="宋体" w:hAnsi="宋体" w:cs="宋体"/>
          <w:color w:val="auto"/>
          <w:sz w:val="24"/>
        </w:rPr>
      </w:pPr>
      <w:r>
        <w:rPr>
          <w:rFonts w:hint="eastAsia" w:ascii="宋体" w:hAnsi="宋体" w:cs="宋体"/>
          <w:color w:val="auto"/>
          <w:sz w:val="24"/>
        </w:rPr>
        <w:t>在建设期和租赁服务期，所有的系统方案文档、设计文档、开发文档、测试文档、设备使用说明书、施工设计方案、施工图纸、竣工验收材料、软件说明书、系统维护手册、运维文档、项目管理文档等与本项目有关文档的知识产权属于采购人（业主）所有。</w:t>
      </w:r>
    </w:p>
    <w:p>
      <w:pPr>
        <w:spacing w:before="240" w:beforeLines="100" w:line="360" w:lineRule="auto"/>
        <w:ind w:firstLine="562"/>
        <w:rPr>
          <w:rFonts w:hint="eastAsia" w:ascii="宋体" w:hAnsi="宋体" w:cs="宋体"/>
          <w:b/>
          <w:color w:val="auto"/>
          <w:sz w:val="28"/>
        </w:rPr>
      </w:pPr>
      <w:r>
        <w:rPr>
          <w:rFonts w:hint="eastAsia" w:ascii="宋体" w:hAnsi="宋体" w:cs="宋体"/>
          <w:b/>
          <w:color w:val="auto"/>
          <w:sz w:val="28"/>
        </w:rPr>
        <w:t>八、</w:t>
      </w:r>
      <w:r>
        <w:rPr>
          <w:rFonts w:hint="eastAsia" w:ascii="宋体" w:hAnsi="宋体" w:cs="宋体"/>
          <w:b/>
          <w:color w:val="auto"/>
          <w:sz w:val="24"/>
        </w:rPr>
        <w:t>▲</w:t>
      </w:r>
      <w:r>
        <w:rPr>
          <w:rFonts w:hint="eastAsia" w:ascii="宋体" w:hAnsi="宋体" w:cs="宋体"/>
          <w:b/>
          <w:color w:val="auto"/>
          <w:sz w:val="28"/>
        </w:rPr>
        <w:t>其他要求</w:t>
      </w:r>
    </w:p>
    <w:p>
      <w:pPr>
        <w:spacing w:line="360" w:lineRule="auto"/>
        <w:ind w:firstLine="482"/>
        <w:rPr>
          <w:rFonts w:hint="eastAsia" w:ascii="宋体" w:hAnsi="宋体" w:cs="宋体"/>
          <w:color w:val="auto"/>
        </w:rPr>
      </w:pPr>
      <w:r>
        <w:rPr>
          <w:rFonts w:hint="eastAsia" w:ascii="宋体" w:hAnsi="宋体" w:cs="宋体"/>
          <w:b/>
          <w:color w:val="auto"/>
          <w:sz w:val="24"/>
        </w:rPr>
        <w:t>1、中标方在签订合同前须提供信号控制主机、摄像机、各系统控制主机、补光灯、交换机、中心机房所有设备的原厂商五年质保函原件。</w:t>
      </w:r>
    </w:p>
    <w:p>
      <w:pPr>
        <w:spacing w:line="360" w:lineRule="auto"/>
        <w:ind w:firstLine="482"/>
        <w:rPr>
          <w:rFonts w:hint="eastAsia" w:ascii="宋体" w:hAnsi="宋体" w:cs="宋体"/>
          <w:b/>
          <w:color w:val="auto"/>
          <w:sz w:val="24"/>
        </w:rPr>
      </w:pPr>
      <w:r>
        <w:rPr>
          <w:rFonts w:hint="eastAsia" w:ascii="宋体" w:hAnsi="宋体" w:cs="宋体"/>
          <w:b/>
          <w:color w:val="auto"/>
          <w:sz w:val="24"/>
        </w:rPr>
        <w:t>2、本项目所涉及的高清摄像机电子警察、闯禁卡口、不礼让行人抓拍、违停抓拍等各子系统的像机、信号机、终端等设备必须与海盐县公安局交通警察大队已建视频专网、已建公安交通集成指挥平台、已建信号联网控制平台无缝对接。</w:t>
      </w:r>
    </w:p>
    <w:p>
      <w:pPr>
        <w:spacing w:line="360" w:lineRule="auto"/>
        <w:ind w:firstLine="482"/>
        <w:rPr>
          <w:rFonts w:hint="eastAsia" w:ascii="宋体" w:hAnsi="宋体" w:cs="宋体"/>
          <w:b/>
          <w:color w:val="auto"/>
          <w:sz w:val="24"/>
        </w:rPr>
      </w:pPr>
      <w:r>
        <w:rPr>
          <w:rFonts w:hint="eastAsia" w:ascii="宋体" w:hAnsi="宋体" w:cs="宋体"/>
          <w:b/>
          <w:color w:val="auto"/>
          <w:sz w:val="24"/>
        </w:rPr>
        <w:t>3、本采购项目内所有的设备安装、工程施工应严格按照《道路信号灯设置与安装规范》（GB14886-2016）要求实施，如遇规范与采购需求不一致的则按照要求高的实施。</w:t>
      </w:r>
    </w:p>
    <w:p>
      <w:pPr>
        <w:spacing w:line="360" w:lineRule="auto"/>
        <w:ind w:firstLine="482"/>
        <w:rPr>
          <w:rFonts w:hint="eastAsia" w:ascii="宋体" w:hAnsi="宋体" w:cs="宋体"/>
          <w:b/>
          <w:color w:val="auto"/>
          <w:sz w:val="24"/>
        </w:rPr>
      </w:pPr>
      <w:r>
        <w:rPr>
          <w:rFonts w:hint="eastAsia" w:ascii="宋体" w:hAnsi="宋体" w:cs="宋体"/>
          <w:b/>
          <w:color w:val="auto"/>
          <w:sz w:val="24"/>
        </w:rPr>
        <w:t>4、投标报价中包含建设施工中所有的线缆管材、系统集成等所有材料费用及其他不可预见的费用，采购单位不再另行支付其他任何费用。</w:t>
      </w:r>
    </w:p>
    <w:p>
      <w:pPr>
        <w:spacing w:line="360" w:lineRule="auto"/>
        <w:ind w:firstLine="482"/>
        <w:rPr>
          <w:rFonts w:hint="default" w:ascii="宋体" w:hAnsi="宋体" w:eastAsia="宋体" w:cs="宋体"/>
          <w:b/>
          <w:bCs/>
          <w:color w:val="auto"/>
          <w:sz w:val="24"/>
          <w:lang w:val="en-US" w:eastAsia="zh-CN"/>
        </w:rPr>
      </w:pPr>
      <w:r>
        <w:rPr>
          <w:rFonts w:hint="eastAsia" w:ascii="宋体" w:hAnsi="宋体" w:cs="宋体"/>
          <w:b/>
          <w:color w:val="auto"/>
          <w:sz w:val="24"/>
        </w:rPr>
        <w:t>5、本项目系统所有线缆不得有接头。</w:t>
      </w:r>
      <w:r>
        <w:rPr>
          <w:rFonts w:hint="eastAsia" w:ascii="宋体" w:hAnsi="宋体" w:cs="宋体"/>
          <w:b/>
          <w:bCs/>
          <w:color w:val="auto"/>
          <w:kern w:val="0"/>
          <w:sz w:val="24"/>
          <w:lang w:eastAsia="zh-CN" w:bidi="ar"/>
        </w:rPr>
        <w:t>所有</w:t>
      </w:r>
      <w:r>
        <w:rPr>
          <w:rFonts w:hint="eastAsia" w:ascii="宋体" w:hAnsi="宋体" w:cs="宋体"/>
          <w:b/>
          <w:bCs/>
          <w:color w:val="auto"/>
          <w:kern w:val="0"/>
          <w:sz w:val="24"/>
          <w:lang w:bidi="ar"/>
        </w:rPr>
        <w:t>机柜整体304不锈钢材质。</w:t>
      </w:r>
      <w:r>
        <w:rPr>
          <w:rFonts w:hint="eastAsia" w:ascii="宋体" w:hAnsi="宋体" w:cs="宋体"/>
          <w:b/>
          <w:bCs/>
          <w:color w:val="auto"/>
          <w:kern w:val="0"/>
          <w:sz w:val="24"/>
          <w:lang w:val="en-US" w:eastAsia="zh-CN" w:bidi="ar"/>
        </w:rPr>
        <w:t>根据</w:t>
      </w:r>
      <w:r>
        <w:rPr>
          <w:rFonts w:hint="eastAsia" w:ascii="宋体" w:hAnsi="宋体" w:cs="宋体"/>
          <w:b/>
          <w:bCs/>
          <w:color w:val="auto"/>
          <w:kern w:val="0"/>
          <w:sz w:val="24"/>
          <w:lang w:bidi="ar"/>
        </w:rPr>
        <w:t>系统集成施工、辅材及维护</w:t>
      </w:r>
      <w:r>
        <w:rPr>
          <w:rFonts w:hint="eastAsia" w:ascii="宋体" w:hAnsi="宋体" w:cs="宋体"/>
          <w:b/>
          <w:bCs/>
          <w:color w:val="auto"/>
          <w:kern w:val="0"/>
          <w:sz w:val="24"/>
          <w:lang w:val="en-US" w:eastAsia="zh-CN" w:bidi="ar"/>
        </w:rPr>
        <w:t>要求更换原有线缆，含电线和光纤。</w:t>
      </w:r>
    </w:p>
    <w:p>
      <w:pPr>
        <w:spacing w:line="360" w:lineRule="auto"/>
        <w:ind w:firstLine="482"/>
        <w:rPr>
          <w:rFonts w:hint="eastAsia" w:ascii="宋体" w:hAnsi="宋体" w:cs="宋体"/>
          <w:b/>
          <w:color w:val="auto"/>
          <w:sz w:val="24"/>
        </w:rPr>
      </w:pPr>
      <w:r>
        <w:rPr>
          <w:rFonts w:hint="eastAsia" w:ascii="宋体" w:hAnsi="宋体" w:cs="宋体"/>
          <w:b/>
          <w:color w:val="auto"/>
          <w:sz w:val="24"/>
        </w:rPr>
        <w:t>6、中标人在施工过程中应严格按照海盐县城市施工管理相关规定，办理相关施工手续，积极配合园林、市政、综合执法局等相关部门。</w:t>
      </w:r>
    </w:p>
    <w:p>
      <w:pPr>
        <w:spacing w:line="360" w:lineRule="auto"/>
        <w:ind w:firstLine="482"/>
        <w:rPr>
          <w:rFonts w:hint="eastAsia" w:ascii="宋体" w:hAnsi="宋体" w:cs="宋体"/>
          <w:b/>
          <w:color w:val="auto"/>
          <w:sz w:val="24"/>
        </w:rPr>
      </w:pPr>
      <w:r>
        <w:rPr>
          <w:rFonts w:hint="eastAsia" w:ascii="宋体" w:hAnsi="宋体" w:cs="宋体"/>
          <w:b/>
          <w:color w:val="auto"/>
          <w:sz w:val="24"/>
        </w:rPr>
        <w:t>7、施工过程中，招标方有权对施工现场进行随工验收，中标方需无条件向采购人提供隐蔽工程施工、竣工照片验收相关材料。</w:t>
      </w:r>
    </w:p>
    <w:p>
      <w:pPr>
        <w:spacing w:line="360" w:lineRule="auto"/>
        <w:ind w:firstLine="482"/>
        <w:rPr>
          <w:rFonts w:hint="eastAsia" w:ascii="宋体" w:hAnsi="宋体" w:cs="宋体"/>
          <w:b/>
          <w:color w:val="auto"/>
          <w:sz w:val="24"/>
        </w:rPr>
      </w:pPr>
      <w:r>
        <w:rPr>
          <w:rFonts w:hint="eastAsia" w:ascii="宋体" w:hAnsi="宋体" w:cs="宋体"/>
          <w:b/>
          <w:color w:val="auto"/>
          <w:sz w:val="24"/>
        </w:rPr>
        <w:t>8、本项目包含部分改建点位的原有设备、杆件的拆除和吊装必须添加防水标签运送至招标方指定位置，登记造册呈交验收小组和大队财务进行备案管理。</w:t>
      </w:r>
    </w:p>
    <w:p>
      <w:pPr>
        <w:pStyle w:val="21"/>
        <w:ind w:firstLine="482" w:firstLineChars="200"/>
        <w:rPr>
          <w:rFonts w:hint="eastAsia" w:ascii="宋体" w:hAnsi="宋体" w:cs="宋体"/>
          <w:b/>
          <w:color w:val="auto"/>
          <w:sz w:val="24"/>
        </w:rPr>
      </w:pPr>
      <w:r>
        <w:rPr>
          <w:rFonts w:hint="eastAsia" w:ascii="宋体" w:hAnsi="宋体" w:cs="宋体"/>
          <w:b/>
          <w:color w:val="auto"/>
          <w:sz w:val="24"/>
        </w:rPr>
        <w:t>9、本项目所涉及网络由中标方设汇聚机房进行汇聚，汇聚上联至我大队端口为万兆，项目验收前提供证明。</w:t>
      </w:r>
    </w:p>
    <w:p>
      <w:pPr>
        <w:pStyle w:val="21"/>
        <w:ind w:firstLine="482" w:firstLineChars="200"/>
        <w:rPr>
          <w:rFonts w:hint="eastAsia" w:ascii="宋体" w:hAnsi="宋体" w:cs="宋体"/>
          <w:b/>
          <w:color w:val="auto"/>
          <w:sz w:val="24"/>
        </w:rPr>
      </w:pPr>
    </w:p>
    <w:p>
      <w:pPr>
        <w:pStyle w:val="21"/>
        <w:ind w:firstLine="482" w:firstLineChars="200"/>
        <w:rPr>
          <w:rFonts w:hint="eastAsia" w:ascii="宋体" w:hAnsi="宋体" w:cs="宋体"/>
          <w:b/>
          <w:color w:val="auto"/>
          <w:sz w:val="24"/>
        </w:rPr>
      </w:pPr>
    </w:p>
    <w:p>
      <w:pPr>
        <w:rPr>
          <w:rFonts w:hint="eastAsia" w:ascii="宋体" w:hAnsi="宋体" w:cs="宋体"/>
          <w:b/>
          <w:color w:val="auto"/>
          <w:sz w:val="24"/>
        </w:rPr>
      </w:pPr>
    </w:p>
    <w:p>
      <w:pPr>
        <w:pStyle w:val="2"/>
        <w:rPr>
          <w:rFonts w:hint="eastAsia" w:ascii="宋体" w:hAnsi="宋体" w:cs="宋体"/>
          <w:b/>
          <w:color w:val="auto"/>
          <w:sz w:val="24"/>
        </w:rPr>
      </w:pPr>
    </w:p>
    <w:p>
      <w:pPr>
        <w:pStyle w:val="2"/>
        <w:rPr>
          <w:rFonts w:hint="eastAsia" w:ascii="宋体" w:hAnsi="宋体" w:cs="宋体"/>
          <w:b/>
          <w:color w:val="auto"/>
          <w:sz w:val="24"/>
        </w:rPr>
      </w:pPr>
    </w:p>
    <w:p>
      <w:pPr>
        <w:pStyle w:val="2"/>
        <w:rPr>
          <w:rFonts w:hint="eastAsia" w:ascii="宋体" w:hAnsi="宋体" w:cs="宋体"/>
          <w:b/>
          <w:color w:val="auto"/>
          <w:sz w:val="24"/>
        </w:rPr>
      </w:pPr>
    </w:p>
    <w:p>
      <w:pPr>
        <w:pStyle w:val="21"/>
        <w:ind w:firstLine="482" w:firstLineChars="200"/>
        <w:rPr>
          <w:rFonts w:hint="eastAsia" w:ascii="宋体" w:hAnsi="宋体" w:cs="宋体"/>
          <w:b/>
          <w:color w:val="auto"/>
          <w:sz w:val="24"/>
        </w:rPr>
      </w:pPr>
    </w:p>
    <w:p>
      <w:pPr>
        <w:pStyle w:val="21"/>
        <w:ind w:firstLine="482" w:firstLineChars="200"/>
        <w:rPr>
          <w:rFonts w:hint="eastAsia" w:ascii="宋体" w:hAnsi="宋体" w:cs="宋体"/>
          <w:b/>
          <w:color w:val="auto"/>
          <w:sz w:val="24"/>
        </w:rPr>
      </w:pPr>
    </w:p>
    <w:p>
      <w:pPr>
        <w:numPr>
          <w:ilvl w:val="0"/>
          <w:numId w:val="10"/>
        </w:numPr>
        <w:spacing w:before="240" w:beforeLines="100" w:line="360" w:lineRule="auto"/>
        <w:ind w:firstLine="562"/>
        <w:rPr>
          <w:rFonts w:hint="eastAsia" w:ascii="宋体" w:hAnsi="宋体" w:cs="宋体"/>
          <w:b/>
          <w:color w:val="auto"/>
          <w:sz w:val="28"/>
        </w:rPr>
      </w:pPr>
      <w:r>
        <w:rPr>
          <w:rFonts w:hint="eastAsia" w:ascii="宋体" w:hAnsi="宋体" w:cs="宋体"/>
          <w:b/>
          <w:color w:val="auto"/>
          <w:sz w:val="28"/>
        </w:rPr>
        <w:t>项目建设点位清单</w:t>
      </w:r>
    </w:p>
    <w:p>
      <w:pPr>
        <w:pStyle w:val="21"/>
        <w:ind w:firstLine="210"/>
        <w:rPr>
          <w:rFonts w:hint="eastAsia" w:ascii="宋体" w:hAnsi="宋体" w:cs="宋体"/>
          <w:color w:val="auto"/>
        </w:rPr>
      </w:pPr>
    </w:p>
    <w:tbl>
      <w:tblPr>
        <w:tblStyle w:val="48"/>
        <w:tblW w:w="0" w:type="auto"/>
        <w:jc w:val="center"/>
        <w:tblLayout w:type="fixed"/>
        <w:tblCellMar>
          <w:top w:w="0" w:type="dxa"/>
          <w:left w:w="108" w:type="dxa"/>
          <w:bottom w:w="0" w:type="dxa"/>
          <w:right w:w="108" w:type="dxa"/>
        </w:tblCellMar>
      </w:tblPr>
      <w:tblGrid>
        <w:gridCol w:w="1080"/>
        <w:gridCol w:w="3105"/>
        <w:gridCol w:w="4"/>
        <w:gridCol w:w="1076"/>
      </w:tblGrid>
      <w:tr>
        <w:tblPrEx>
          <w:tblCellMar>
            <w:top w:w="0" w:type="dxa"/>
            <w:left w:w="108" w:type="dxa"/>
            <w:bottom w:w="0" w:type="dxa"/>
            <w:right w:w="108" w:type="dxa"/>
          </w:tblCellMar>
        </w:tblPrEx>
        <w:trPr>
          <w:trHeight w:val="405" w:hRule="atLeast"/>
          <w:jc w:val="center"/>
        </w:trPr>
        <w:tc>
          <w:tcPr>
            <w:tcW w:w="526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32"/>
                <w:szCs w:val="32"/>
              </w:rPr>
            </w:pPr>
            <w:r>
              <w:rPr>
                <w:rFonts w:hint="eastAsia" w:ascii="宋体" w:hAnsi="宋体" w:cs="宋体"/>
                <w:b/>
                <w:bCs/>
                <w:color w:val="auto"/>
                <w:kern w:val="0"/>
                <w:sz w:val="24"/>
                <w:lang w:bidi="ar"/>
              </w:rPr>
              <w:t>交通信号协调疏导系统</w:t>
            </w: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序号</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地点</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备注</w:t>
            </w: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G525国道湖盐线口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G525国道城红路口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3</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百禾路小木桥路口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4</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百禾路百左线路口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5</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环城南路勤俭路口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6</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环城南路秀水路口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7</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曲秀路环城南路口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8</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楞港路环城南路口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9</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联翔路环城南路口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10</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环城南路新桥路口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11</w:t>
            </w:r>
          </w:p>
        </w:tc>
        <w:tc>
          <w:tcPr>
            <w:tcW w:w="310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枣园路中兴路口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枣园路城西路口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13</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枣园路长安路口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14</w:t>
            </w:r>
          </w:p>
        </w:tc>
        <w:tc>
          <w:tcPr>
            <w:tcW w:w="310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枣园路谢家路口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15</w:t>
            </w:r>
          </w:p>
        </w:tc>
        <w:tc>
          <w:tcPr>
            <w:tcW w:w="310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枣园路城东路口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16</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枣园路盐平塘东路口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17</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盐于线振兴路口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405" w:hRule="atLeast"/>
          <w:jc w:val="center"/>
        </w:trPr>
        <w:tc>
          <w:tcPr>
            <w:tcW w:w="526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电子警察系统</w:t>
            </w: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序号</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地点</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备注</w:t>
            </w: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盐于线振兴路口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堰山路翠屏路口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嘉盐线核海线路口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嘉盐线凤凰大道路口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翁金线核海线路口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嘉盐线兴安路口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嘉盐线核电大道口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嘉南线东郊路口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G525国道红益村口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10</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G525国道城红路口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百禾路百左路口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12</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百禾路小木桥路口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13</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城东路海兴路</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14</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谢家路海兴路</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15</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滨海大道海兴路口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16</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新桥路环城南路口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17</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勤俭路秦山路口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18</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勤俭路海滨路口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19</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勤俭路城北路口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20</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出海路楞港路口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海丰路谢家路口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22</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环城南路楞港路口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23</w:t>
            </w:r>
          </w:p>
        </w:tc>
        <w:tc>
          <w:tcPr>
            <w:tcW w:w="310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滨海大道枣园路口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24</w:t>
            </w:r>
          </w:p>
        </w:tc>
        <w:tc>
          <w:tcPr>
            <w:tcW w:w="310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城东路枣园路口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25</w:t>
            </w:r>
          </w:p>
        </w:tc>
        <w:tc>
          <w:tcPr>
            <w:tcW w:w="310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盐平塘东路枣园路口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26</w:t>
            </w:r>
          </w:p>
        </w:tc>
        <w:tc>
          <w:tcPr>
            <w:tcW w:w="310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谢家路枣园路口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27</w:t>
            </w:r>
          </w:p>
        </w:tc>
        <w:tc>
          <w:tcPr>
            <w:tcW w:w="310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长安路枣园路口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28</w:t>
            </w:r>
          </w:p>
        </w:tc>
        <w:tc>
          <w:tcPr>
            <w:tcW w:w="310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城西路枣园路口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29</w:t>
            </w:r>
          </w:p>
        </w:tc>
        <w:tc>
          <w:tcPr>
            <w:tcW w:w="310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城东路海丰路口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30</w:t>
            </w:r>
          </w:p>
        </w:tc>
        <w:tc>
          <w:tcPr>
            <w:tcW w:w="3105"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长宁路庆丰路口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405" w:hRule="atLeast"/>
          <w:jc w:val="center"/>
        </w:trPr>
        <w:tc>
          <w:tcPr>
            <w:tcW w:w="526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违停抓拍系统</w:t>
            </w: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bottom"/>
              <w:rPr>
                <w:rFonts w:hint="eastAsia" w:ascii="宋体" w:hAnsi="宋体" w:eastAsia="宋体" w:cs="宋体"/>
                <w:b/>
                <w:bCs/>
                <w:color w:val="auto"/>
                <w:sz w:val="24"/>
                <w:lang w:eastAsia="zh-CN"/>
              </w:rPr>
            </w:pPr>
            <w:r>
              <w:rPr>
                <w:rFonts w:hint="eastAsia" w:ascii="宋体" w:hAnsi="宋体" w:cs="宋体"/>
                <w:b/>
                <w:bCs/>
                <w:color w:val="auto"/>
                <w:sz w:val="24"/>
                <w:lang w:eastAsia="zh-CN"/>
              </w:rPr>
              <w:t>序号</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eastAsia="宋体" w:cs="宋体"/>
                <w:b/>
                <w:bCs/>
                <w:color w:val="auto"/>
                <w:kern w:val="0"/>
                <w:sz w:val="24"/>
                <w:lang w:eastAsia="zh-CN" w:bidi="ar"/>
              </w:rPr>
            </w:pPr>
            <w:r>
              <w:rPr>
                <w:rFonts w:hint="eastAsia" w:ascii="宋体" w:hAnsi="宋体" w:cs="宋体"/>
                <w:b/>
                <w:bCs/>
                <w:color w:val="auto"/>
                <w:kern w:val="0"/>
                <w:sz w:val="24"/>
                <w:lang w:eastAsia="zh-CN" w:bidi="ar"/>
              </w:rPr>
              <w:t>地点</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eastAsia="宋体" w:cs="宋体"/>
                <w:b/>
                <w:bCs/>
                <w:color w:val="auto"/>
                <w:kern w:val="0"/>
                <w:sz w:val="24"/>
                <w:lang w:eastAsia="zh-CN" w:bidi="ar"/>
              </w:rPr>
            </w:pPr>
            <w:r>
              <w:rPr>
                <w:rFonts w:hint="eastAsia" w:ascii="宋体" w:hAnsi="宋体" w:cs="宋体"/>
                <w:b/>
                <w:bCs/>
                <w:color w:val="auto"/>
                <w:kern w:val="0"/>
                <w:sz w:val="24"/>
                <w:lang w:eastAsia="zh-CN" w:bidi="ar"/>
              </w:rPr>
              <w:t>备注</w:t>
            </w: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sz w:val="24"/>
              </w:rPr>
              <w:t>1</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sz w:val="24"/>
              </w:rPr>
              <w:t>城西路（华丰路至盐北路）附近路段</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2</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朝阳路（富水路至秀水路）附近路段</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3</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城北路（谢家路至盐平塘东路）</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4</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盐平塘东路闻琴路口附近路段</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5</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color w:val="auto"/>
              </w:rPr>
              <w:t>城东路闻琴路口</w:t>
            </w:r>
            <w:r>
              <w:rPr>
                <w:rFonts w:hint="eastAsia" w:ascii="宋体" w:hAnsi="宋体" w:cs="宋体"/>
                <w:color w:val="auto"/>
                <w:sz w:val="24"/>
              </w:rPr>
              <w:t>附近路段</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6</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滨海大道枣园路口附近路段</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7</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枣园路百尺路青少年宫附近路段</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8</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长宁路海兴路口附近路段</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9</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步行街绿城花苑东门口附近路段</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10</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百尺路（盐湖路至出海路）附近路段</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11</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曲秀路出海路口附近路段</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12</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color w:val="auto"/>
              </w:rPr>
              <w:t>海政路（盐北路至创业路）</w:t>
            </w:r>
            <w:r>
              <w:rPr>
                <w:rFonts w:hint="eastAsia" w:ascii="宋体" w:hAnsi="宋体" w:cs="宋体"/>
                <w:color w:val="auto"/>
                <w:sz w:val="24"/>
              </w:rPr>
              <w:t>附近路段</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13</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湖盐线（东西大道口）向西100米</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14</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湖盐线东海大道口附近路段</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15</w:t>
            </w:r>
          </w:p>
        </w:tc>
        <w:tc>
          <w:tcPr>
            <w:tcW w:w="3109" w:type="dxa"/>
            <w:gridSpan w:val="2"/>
            <w:tcBorders>
              <w:top w:val="single" w:color="000000" w:sz="4" w:space="0"/>
              <w:left w:val="single" w:color="auto" w:sz="4" w:space="0"/>
              <w:bottom w:val="single" w:color="000000" w:sz="4" w:space="0"/>
              <w:right w:val="single" w:color="auto" w:sz="4" w:space="0"/>
            </w:tcBorders>
            <w:noWrap w:val="0"/>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sz w:val="24"/>
              </w:rPr>
              <w:t>天宁寺路实验中学附近路段</w:t>
            </w:r>
          </w:p>
        </w:tc>
        <w:tc>
          <w:tcPr>
            <w:tcW w:w="1076" w:type="dxa"/>
            <w:tcBorders>
              <w:top w:val="single" w:color="000000" w:sz="4" w:space="0"/>
              <w:left w:val="single" w:color="auto"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color w:val="auto"/>
                <w:kern w:val="0"/>
                <w:sz w:val="24"/>
                <w:lang w:bidi="ar"/>
              </w:rPr>
            </w:pPr>
          </w:p>
        </w:tc>
      </w:tr>
      <w:tr>
        <w:tblPrEx>
          <w:tblCellMar>
            <w:top w:w="0" w:type="dxa"/>
            <w:left w:w="108" w:type="dxa"/>
            <w:bottom w:w="0" w:type="dxa"/>
            <w:right w:w="108" w:type="dxa"/>
          </w:tblCellMar>
        </w:tblPrEx>
        <w:trPr>
          <w:trHeight w:val="450" w:hRule="atLeast"/>
          <w:jc w:val="center"/>
        </w:trPr>
        <w:tc>
          <w:tcPr>
            <w:tcW w:w="526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不礼让行人抓拍系统</w:t>
            </w: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序号</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路段</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备注</w:t>
            </w: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新桥路体育馆门口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长安路华信花园西门口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长安路蓝天幼儿园</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长安路水云庄园东门北侧</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海丰路西官路口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滨海大道闻琴路口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310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海丰路海港智慧家居城南门</w:t>
            </w:r>
          </w:p>
        </w:tc>
        <w:tc>
          <w:tcPr>
            <w:tcW w:w="1080" w:type="dxa"/>
            <w:gridSpan w:val="2"/>
            <w:tcBorders>
              <w:top w:val="single" w:color="000000" w:sz="4" w:space="0"/>
              <w:left w:val="single" w:color="000000" w:sz="4" w:space="0"/>
              <w:bottom w:val="nil"/>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450" w:hRule="atLeast"/>
          <w:jc w:val="center"/>
        </w:trPr>
        <w:tc>
          <w:tcPr>
            <w:tcW w:w="526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非机动车违法抓拍系统</w:t>
            </w: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序号</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路段</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备注</w:t>
            </w: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新桥路海丰路口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新桥路城北路口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枣园路城东路口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3105" w:type="dxa"/>
            <w:tcBorders>
              <w:top w:val="single" w:color="000000" w:sz="4" w:space="0"/>
              <w:left w:val="single" w:color="000000" w:sz="4" w:space="0"/>
              <w:bottom w:val="nil"/>
              <w:right w:val="single" w:color="000000" w:sz="4" w:space="0"/>
            </w:tcBorders>
            <w:noWrap w:val="0"/>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后台分析系统</w:t>
            </w:r>
          </w:p>
        </w:tc>
        <w:tc>
          <w:tcPr>
            <w:tcW w:w="1080" w:type="dxa"/>
            <w:gridSpan w:val="2"/>
            <w:tcBorders>
              <w:top w:val="single" w:color="000000" w:sz="4" w:space="0"/>
              <w:left w:val="single" w:color="000000" w:sz="4" w:space="0"/>
              <w:bottom w:val="nil"/>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450" w:hRule="atLeast"/>
          <w:jc w:val="center"/>
        </w:trPr>
        <w:tc>
          <w:tcPr>
            <w:tcW w:w="526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危化品专项整治测速卡口</w:t>
            </w: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序号</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路段</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备注</w:t>
            </w: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港区高速出口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南北高速出口</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bl>
    <w:p>
      <w:pPr>
        <w:pStyle w:val="21"/>
        <w:ind w:firstLine="210"/>
        <w:rPr>
          <w:rFonts w:hint="eastAsia" w:ascii="宋体" w:hAnsi="宋体" w:cs="宋体"/>
          <w:color w:val="auto"/>
        </w:rPr>
        <w:sectPr>
          <w:headerReference r:id="rId8" w:type="default"/>
          <w:footerReference r:id="rId9" w:type="default"/>
          <w:footerReference r:id="rId10" w:type="even"/>
          <w:pgSz w:w="11906" w:h="16838"/>
          <w:pgMar w:top="1134" w:right="1134" w:bottom="1020" w:left="1134" w:header="851" w:footer="850" w:gutter="0"/>
          <w:pgNumType w:fmt="decimal"/>
          <w:cols w:space="720" w:num="1"/>
          <w:docGrid w:linePitch="312" w:charSpace="0"/>
        </w:sectPr>
      </w:pPr>
    </w:p>
    <w:p>
      <w:pPr>
        <w:numPr>
          <w:ilvl w:val="0"/>
          <w:numId w:val="10"/>
        </w:numPr>
        <w:spacing w:before="240" w:beforeLines="100" w:line="400" w:lineRule="exact"/>
        <w:ind w:firstLine="562"/>
        <w:rPr>
          <w:rFonts w:hint="eastAsia" w:ascii="宋体" w:hAnsi="宋体" w:cs="宋体"/>
          <w:b/>
          <w:color w:val="auto"/>
          <w:sz w:val="32"/>
          <w:szCs w:val="32"/>
        </w:rPr>
      </w:pPr>
      <w:r>
        <w:rPr>
          <w:rFonts w:hint="eastAsia" w:ascii="宋体" w:hAnsi="宋体" w:cs="宋体"/>
          <w:b/>
          <w:color w:val="auto"/>
          <w:sz w:val="28"/>
        </w:rPr>
        <w:t>详细点位设备数量清单及性能参数</w:t>
      </w:r>
    </w:p>
    <w:tbl>
      <w:tblPr>
        <w:tblStyle w:val="48"/>
        <w:tblW w:w="0" w:type="auto"/>
        <w:jc w:val="center"/>
        <w:tblLayout w:type="fixed"/>
        <w:tblCellMar>
          <w:top w:w="0" w:type="dxa"/>
          <w:left w:w="108" w:type="dxa"/>
          <w:bottom w:w="0" w:type="dxa"/>
          <w:right w:w="108" w:type="dxa"/>
        </w:tblCellMar>
      </w:tblPr>
      <w:tblGrid>
        <w:gridCol w:w="675"/>
        <w:gridCol w:w="1462"/>
        <w:gridCol w:w="9817"/>
        <w:gridCol w:w="835"/>
        <w:gridCol w:w="921"/>
        <w:gridCol w:w="820"/>
      </w:tblGrid>
      <w:tr>
        <w:tblPrEx>
          <w:tblCellMar>
            <w:top w:w="0" w:type="dxa"/>
            <w:left w:w="108" w:type="dxa"/>
            <w:bottom w:w="0" w:type="dxa"/>
            <w:right w:w="108" w:type="dxa"/>
          </w:tblCellMar>
        </w:tblPrEx>
        <w:trPr>
          <w:trHeight w:val="375" w:hRule="atLeast"/>
          <w:jc w:val="center"/>
        </w:trPr>
        <w:tc>
          <w:tcPr>
            <w:tcW w:w="14530" w:type="dxa"/>
            <w:gridSpan w:val="6"/>
            <w:tcBorders>
              <w:top w:val="nil"/>
              <w:left w:val="nil"/>
              <w:bottom w:val="nil"/>
              <w:right w:val="nil"/>
            </w:tcBorders>
            <w:noWrap w:val="0"/>
            <w:vAlign w:val="bottom"/>
          </w:tcPr>
          <w:p>
            <w:pPr>
              <w:widowControl/>
              <w:jc w:val="center"/>
              <w:textAlignment w:val="bottom"/>
              <w:rPr>
                <w:rFonts w:hint="eastAsia" w:ascii="宋体" w:hAnsi="宋体" w:cs="宋体"/>
                <w:b/>
                <w:bCs/>
                <w:color w:val="auto"/>
                <w:sz w:val="28"/>
                <w:szCs w:val="28"/>
              </w:rPr>
            </w:pPr>
            <w:r>
              <w:rPr>
                <w:rFonts w:hint="eastAsia" w:ascii="宋体" w:hAnsi="宋体" w:cs="宋体"/>
                <w:b/>
                <w:bCs/>
                <w:color w:val="auto"/>
                <w:kern w:val="0"/>
                <w:sz w:val="28"/>
                <w:szCs w:val="28"/>
                <w:lang w:bidi="ar"/>
              </w:rPr>
              <w:t>交通信号协调疏导系统</w:t>
            </w: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1、G525国道湖盐线口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12</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机动车辅助信号灯组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12</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2、G525国道城红路口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杆件及基础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3、百禾路小木桥路口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杆件及基础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4、百禾路百左线路口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7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杆件及基础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5、环城南路勤俭路口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杆件及基础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6、环城南路秀水路口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w:t>
            </w:r>
            <w:r>
              <w:rPr>
                <w:rFonts w:hint="eastAsia" w:ascii="宋体" w:hAnsi="宋体" w:cs="宋体"/>
                <w:color w:val="auto"/>
                <w:sz w:val="24"/>
              </w:rPr>
              <w:t>C25及以上</w:t>
            </w:r>
            <w:r>
              <w:rPr>
                <w:rFonts w:hint="eastAsia" w:ascii="宋体" w:hAnsi="宋体" w:cs="宋体"/>
                <w:color w:val="auto"/>
                <w:kern w:val="0"/>
                <w:sz w:val="24"/>
                <w:lang w:bidi="ar"/>
              </w:rPr>
              <w:t>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杆件及基础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7、环城南路曲秀路口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杆件及基础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8、楞港路环城南路口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杆件及基础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9、联翔路环城南路口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杆件及基础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10、环城南路新桥路口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杆件及基础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11、枣园路中兴路口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杆件及基础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12、枣园路城西路口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13、枣园路长安路口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14、枣园路谢家路口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15、枣园路城东路口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杆件及基础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16、枣园路盐平塘东路口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杆件及基础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17、盐于线振兴路口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相位：支持16主相位+16跟随相位。支持NTCI通讯协议P协议。绝缘强度：＞500 MΩ，防护等级：IP54，工作环境温度：-40℃～＋70℃。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w:t>
            </w:r>
          </w:p>
          <w:p>
            <w:pPr>
              <w:widowControl/>
              <w:textAlignment w:val="center"/>
              <w:rPr>
                <w:rFonts w:hint="eastAsia" w:ascii="宋体" w:hAnsi="宋体" w:cs="宋体"/>
                <w:color w:val="auto"/>
                <w:sz w:val="24"/>
              </w:rPr>
            </w:pPr>
            <w:r>
              <w:rPr>
                <w:rFonts w:hint="eastAsia" w:ascii="宋体" w:hAnsi="宋体" w:cs="宋体"/>
                <w:color w:val="auto"/>
                <w:kern w:val="0"/>
                <w:sz w:val="24"/>
                <w:lang w:bidi="ar"/>
              </w:rPr>
              <w:t>机柜整体304不锈钢材质,厚度不小于1.5mm，含安装隔板 ，喷塑并有“公安交警”字样及警徽丝印，含砼基础。</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杆件及基础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含路口信号灯及电警所有旧杆打磨、喷漆（黑色）、杆件不锈钢球形盖帽。含穿线管道敷设，不小于DN63 PE管，包含手井、线材。含安装支架、辅助电源、配线架、电源线接头、标签、扎带等。含设备安装、调试、接入大队综合管理平台及租赁期内维护费用。含租赁期内千兆租赁费用,1000M点对点裸光纤；租赁期内单个点位的电力费用。▲更换路口信号系统（含人行道灯）原有线材，必须使用KVV双铠甲线，含该路口人行道灯组五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375" w:hRule="atLeast"/>
          <w:jc w:val="center"/>
        </w:trPr>
        <w:tc>
          <w:tcPr>
            <w:tcW w:w="14530" w:type="dxa"/>
            <w:gridSpan w:val="6"/>
            <w:tcBorders>
              <w:top w:val="nil"/>
              <w:left w:val="nil"/>
              <w:bottom w:val="nil"/>
              <w:right w:val="nil"/>
            </w:tcBorders>
            <w:noWrap w:val="0"/>
            <w:vAlign w:val="center"/>
          </w:tcPr>
          <w:p>
            <w:pPr>
              <w:widowControl/>
              <w:jc w:val="center"/>
              <w:textAlignment w:val="bottom"/>
              <w:rPr>
                <w:rFonts w:hint="eastAsia" w:ascii="宋体" w:hAnsi="宋体" w:cs="宋体"/>
                <w:b/>
                <w:bCs/>
                <w:color w:val="auto"/>
                <w:sz w:val="28"/>
                <w:szCs w:val="28"/>
              </w:rPr>
            </w:pPr>
            <w:r>
              <w:rPr>
                <w:rFonts w:hint="eastAsia" w:ascii="宋体" w:hAnsi="宋体" w:cs="宋体"/>
                <w:b/>
                <w:bCs/>
                <w:color w:val="auto"/>
                <w:kern w:val="0"/>
                <w:sz w:val="28"/>
                <w:szCs w:val="28"/>
                <w:lang w:bidi="ar"/>
              </w:rPr>
              <w:t>三合一电子警察系统</w:t>
            </w: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1、盐于线振兴路口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车辆人脸卡口</w:t>
            </w:r>
          </w:p>
        </w:tc>
        <w:tc>
          <w:tcPr>
            <w:tcW w:w="9817" w:type="dxa"/>
            <w:tcBorders>
              <w:top w:val="nil"/>
              <w:left w:val="nil"/>
              <w:bottom w:val="nil"/>
              <w:right w:val="nil"/>
            </w:tcBorders>
            <w:shd w:val="clear" w:color="auto" w:fill="auto"/>
            <w:noWrap w:val="0"/>
            <w:vAlign w:val="bottom"/>
          </w:tcPr>
          <w:p>
            <w:pPr>
              <w:widowControl/>
              <w:jc w:val="left"/>
              <w:textAlignment w:val="bottom"/>
              <w:rPr>
                <w:rFonts w:hint="eastAsia" w:ascii="宋体" w:hAnsi="宋体" w:cs="宋体"/>
                <w:color w:val="auto"/>
                <w:szCs w:val="21"/>
              </w:rPr>
            </w:pPr>
            <w:r>
              <w:rPr>
                <w:rFonts w:hint="eastAsia" w:ascii="宋体" w:hAnsi="宋体" w:cs="宋体"/>
                <w:color w:val="auto"/>
                <w:kern w:val="0"/>
                <w:szCs w:val="21"/>
                <w:lang w:bidi="ar"/>
              </w:rPr>
              <w:t>包含摄像机、高清镜头、室外防护罩、内置补光灯、风扇、电源适配器、安装万向节等；像素：900W；帧率：≤</w:t>
            </w:r>
            <w:r>
              <w:rPr>
                <w:rStyle w:val="96"/>
                <w:color w:val="auto"/>
                <w:lang w:bidi="ar"/>
              </w:rPr>
              <w:t>25fps</w:t>
            </w:r>
            <w:r>
              <w:rPr>
                <w:rFonts w:hint="eastAsia" w:ascii="宋体" w:hAnsi="宋体" w:cs="宋体"/>
                <w:color w:val="auto"/>
                <w:kern w:val="0"/>
                <w:szCs w:val="21"/>
                <w:lang w:bidi="ar"/>
              </w:rPr>
              <w:t>；感光器件：</w:t>
            </w:r>
            <w:r>
              <w:rPr>
                <w:rStyle w:val="96"/>
                <w:color w:val="auto"/>
                <w:lang w:bidi="ar"/>
              </w:rPr>
              <w:t>CMOS</w:t>
            </w:r>
            <w:r>
              <w:rPr>
                <w:rFonts w:hint="eastAsia" w:ascii="宋体" w:hAnsi="宋体" w:cs="宋体"/>
                <w:color w:val="auto"/>
                <w:kern w:val="0"/>
                <w:szCs w:val="21"/>
                <w:lang w:bidi="ar"/>
              </w:rPr>
              <w:t>；视频压缩:H.265/H.264/MJPEG。工作环境温度：-30℃</w:t>
            </w:r>
            <w:r>
              <w:rPr>
                <w:rStyle w:val="96"/>
                <w:color w:val="auto"/>
                <w:lang w:bidi="ar"/>
              </w:rPr>
              <w:t>~+70</w:t>
            </w:r>
            <w:r>
              <w:rPr>
                <w:rFonts w:hint="eastAsia" w:ascii="宋体" w:hAnsi="宋体" w:cs="宋体"/>
                <w:color w:val="auto"/>
                <w:kern w:val="0"/>
                <w:szCs w:val="21"/>
                <w:lang w:bidi="ar"/>
              </w:rPr>
              <w:t>℃；防护等级：IP65。支持机动车违法抓拍、机动车驾驶员人脸抓拍。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环保气体爆闪灯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24颗大功率进口LED灯珠，支持LED频闪，白光气体爆闪，红外气体爆闪。IP65。</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路口立杆</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2、堰山路翠屏路口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车辆人脸卡口</w:t>
            </w:r>
          </w:p>
        </w:tc>
        <w:tc>
          <w:tcPr>
            <w:tcW w:w="9817" w:type="dxa"/>
            <w:tcBorders>
              <w:top w:val="nil"/>
              <w:left w:val="nil"/>
              <w:bottom w:val="nil"/>
              <w:right w:val="nil"/>
            </w:tcBorders>
            <w:shd w:val="clear" w:color="auto" w:fill="auto"/>
            <w:noWrap w:val="0"/>
            <w:vAlign w:val="bottom"/>
          </w:tcPr>
          <w:p>
            <w:pPr>
              <w:widowControl/>
              <w:jc w:val="left"/>
              <w:textAlignment w:val="bottom"/>
              <w:rPr>
                <w:rFonts w:hint="eastAsia" w:ascii="宋体" w:hAnsi="宋体" w:cs="宋体"/>
                <w:color w:val="auto"/>
                <w:szCs w:val="21"/>
              </w:rPr>
            </w:pPr>
            <w:r>
              <w:rPr>
                <w:rFonts w:hint="eastAsia" w:ascii="宋体" w:hAnsi="宋体" w:cs="宋体"/>
                <w:color w:val="auto"/>
                <w:kern w:val="0"/>
                <w:szCs w:val="21"/>
                <w:lang w:bidi="ar"/>
              </w:rPr>
              <w:t>包含摄像机、高清镜头、室外防护罩、内置补光灯、风扇、电源适配器、安装万向节等；像素：900W；帧率：≤</w:t>
            </w:r>
            <w:r>
              <w:rPr>
                <w:rStyle w:val="96"/>
                <w:color w:val="auto"/>
                <w:lang w:bidi="ar"/>
              </w:rPr>
              <w:t>25fps</w:t>
            </w:r>
            <w:r>
              <w:rPr>
                <w:rFonts w:hint="eastAsia" w:ascii="宋体" w:hAnsi="宋体" w:cs="宋体"/>
                <w:color w:val="auto"/>
                <w:kern w:val="0"/>
                <w:szCs w:val="21"/>
                <w:lang w:bidi="ar"/>
              </w:rPr>
              <w:t>；感光器件：</w:t>
            </w:r>
            <w:r>
              <w:rPr>
                <w:rStyle w:val="96"/>
                <w:color w:val="auto"/>
                <w:lang w:bidi="ar"/>
              </w:rPr>
              <w:t>CMOS</w:t>
            </w:r>
            <w:r>
              <w:rPr>
                <w:rFonts w:hint="eastAsia" w:ascii="宋体" w:hAnsi="宋体" w:cs="宋体"/>
                <w:color w:val="auto"/>
                <w:kern w:val="0"/>
                <w:szCs w:val="21"/>
                <w:lang w:bidi="ar"/>
              </w:rPr>
              <w:t>；视频压缩:H.265/H.264/MJPEG。工作环境温度：-30℃</w:t>
            </w:r>
            <w:r>
              <w:rPr>
                <w:rStyle w:val="96"/>
                <w:color w:val="auto"/>
                <w:lang w:bidi="ar"/>
              </w:rPr>
              <w:t>~+70</w:t>
            </w:r>
            <w:r>
              <w:rPr>
                <w:rFonts w:hint="eastAsia" w:ascii="宋体" w:hAnsi="宋体" w:cs="宋体"/>
                <w:color w:val="auto"/>
                <w:kern w:val="0"/>
                <w:szCs w:val="21"/>
                <w:lang w:bidi="ar"/>
              </w:rPr>
              <w:t>℃；防护等级：IP65。支持机动车违法抓拍、机动车驾驶员人脸抓拍。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环保气体爆闪灯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24颗大功率进口LED灯珠，支持LED频闪，白光气体爆闪，红外气体爆闪。IP65。</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3、嘉盐线核海线路口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车辆人脸卡口</w:t>
            </w:r>
          </w:p>
        </w:tc>
        <w:tc>
          <w:tcPr>
            <w:tcW w:w="9817" w:type="dxa"/>
            <w:tcBorders>
              <w:top w:val="nil"/>
              <w:left w:val="nil"/>
              <w:bottom w:val="nil"/>
              <w:right w:val="nil"/>
            </w:tcBorders>
            <w:shd w:val="clear" w:color="auto" w:fill="auto"/>
            <w:noWrap w:val="0"/>
            <w:vAlign w:val="bottom"/>
          </w:tcPr>
          <w:p>
            <w:pPr>
              <w:widowControl/>
              <w:jc w:val="left"/>
              <w:textAlignment w:val="bottom"/>
              <w:rPr>
                <w:rFonts w:hint="eastAsia" w:ascii="宋体" w:hAnsi="宋体" w:cs="宋体"/>
                <w:color w:val="auto"/>
                <w:szCs w:val="21"/>
              </w:rPr>
            </w:pPr>
            <w:r>
              <w:rPr>
                <w:rFonts w:hint="eastAsia" w:ascii="宋体" w:hAnsi="宋体" w:cs="宋体"/>
                <w:color w:val="auto"/>
                <w:kern w:val="0"/>
                <w:szCs w:val="21"/>
                <w:lang w:bidi="ar"/>
              </w:rPr>
              <w:t>包含摄像机、高清镜头、室外防护罩、内置补光灯、风扇、电源适配器、安装万向节等；像素：900W；帧率：≤</w:t>
            </w:r>
            <w:r>
              <w:rPr>
                <w:rStyle w:val="96"/>
                <w:color w:val="auto"/>
                <w:lang w:bidi="ar"/>
              </w:rPr>
              <w:t>25fps</w:t>
            </w:r>
            <w:r>
              <w:rPr>
                <w:rFonts w:hint="eastAsia" w:ascii="宋体" w:hAnsi="宋体" w:cs="宋体"/>
                <w:color w:val="auto"/>
                <w:kern w:val="0"/>
                <w:szCs w:val="21"/>
                <w:lang w:bidi="ar"/>
              </w:rPr>
              <w:t>；感光器件：</w:t>
            </w:r>
            <w:r>
              <w:rPr>
                <w:rStyle w:val="96"/>
                <w:color w:val="auto"/>
                <w:lang w:bidi="ar"/>
              </w:rPr>
              <w:t>CMOS</w:t>
            </w:r>
            <w:r>
              <w:rPr>
                <w:rFonts w:hint="eastAsia" w:ascii="宋体" w:hAnsi="宋体" w:cs="宋体"/>
                <w:color w:val="auto"/>
                <w:kern w:val="0"/>
                <w:szCs w:val="21"/>
                <w:lang w:bidi="ar"/>
              </w:rPr>
              <w:t>；视频压缩:H.265/H.264/MJPEG。工作环境温度：-30℃</w:t>
            </w:r>
            <w:r>
              <w:rPr>
                <w:rStyle w:val="96"/>
                <w:color w:val="auto"/>
                <w:lang w:bidi="ar"/>
              </w:rPr>
              <w:t>~+70</w:t>
            </w:r>
            <w:r>
              <w:rPr>
                <w:rFonts w:hint="eastAsia" w:ascii="宋体" w:hAnsi="宋体" w:cs="宋体"/>
                <w:color w:val="auto"/>
                <w:kern w:val="0"/>
                <w:szCs w:val="21"/>
                <w:lang w:bidi="ar"/>
              </w:rPr>
              <w:t>℃；防护等级：IP65。支持机动车违法抓拍、机动车驾驶员人脸抓拍。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环保气体爆闪灯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24颗大功率进口LED灯珠，支持LED频闪，白光气体爆闪，红外气体爆闪。IP65。</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4、嘉盐线凤凰大道路口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5、翁金线核海线路口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车辆人脸卡口</w:t>
            </w:r>
          </w:p>
        </w:tc>
        <w:tc>
          <w:tcPr>
            <w:tcW w:w="9817" w:type="dxa"/>
            <w:tcBorders>
              <w:top w:val="nil"/>
              <w:left w:val="nil"/>
              <w:bottom w:val="nil"/>
              <w:right w:val="nil"/>
            </w:tcBorders>
            <w:shd w:val="clear" w:color="auto" w:fill="auto"/>
            <w:noWrap w:val="0"/>
            <w:vAlign w:val="bottom"/>
          </w:tcPr>
          <w:p>
            <w:pPr>
              <w:widowControl/>
              <w:jc w:val="left"/>
              <w:textAlignment w:val="bottom"/>
              <w:rPr>
                <w:rFonts w:hint="eastAsia" w:ascii="宋体" w:hAnsi="宋体" w:cs="宋体"/>
                <w:color w:val="auto"/>
                <w:szCs w:val="21"/>
              </w:rPr>
            </w:pPr>
            <w:r>
              <w:rPr>
                <w:rFonts w:hint="eastAsia" w:ascii="宋体" w:hAnsi="宋体" w:cs="宋体"/>
                <w:color w:val="auto"/>
                <w:kern w:val="0"/>
                <w:szCs w:val="21"/>
                <w:lang w:bidi="ar"/>
              </w:rPr>
              <w:t>包含摄像机、高清镜头、室外防护罩、内置补光灯、风扇、电源适配器、安装万向节等；像素：900W；帧率：≤</w:t>
            </w:r>
            <w:r>
              <w:rPr>
                <w:rStyle w:val="96"/>
                <w:color w:val="auto"/>
                <w:lang w:bidi="ar"/>
              </w:rPr>
              <w:t>25fps</w:t>
            </w:r>
            <w:r>
              <w:rPr>
                <w:rFonts w:hint="eastAsia" w:ascii="宋体" w:hAnsi="宋体" w:cs="宋体"/>
                <w:color w:val="auto"/>
                <w:kern w:val="0"/>
                <w:szCs w:val="21"/>
                <w:lang w:bidi="ar"/>
              </w:rPr>
              <w:t>；感光器件：</w:t>
            </w:r>
            <w:r>
              <w:rPr>
                <w:rStyle w:val="96"/>
                <w:color w:val="auto"/>
                <w:lang w:bidi="ar"/>
              </w:rPr>
              <w:t>CMOS</w:t>
            </w:r>
            <w:r>
              <w:rPr>
                <w:rFonts w:hint="eastAsia" w:ascii="宋体" w:hAnsi="宋体" w:cs="宋体"/>
                <w:color w:val="auto"/>
                <w:kern w:val="0"/>
                <w:szCs w:val="21"/>
                <w:lang w:bidi="ar"/>
              </w:rPr>
              <w:t>；视频压缩:H.265/H.264/MJPEG。工作环境温度：-30℃</w:t>
            </w:r>
            <w:r>
              <w:rPr>
                <w:rStyle w:val="96"/>
                <w:color w:val="auto"/>
                <w:lang w:bidi="ar"/>
              </w:rPr>
              <w:t>~+70</w:t>
            </w:r>
            <w:r>
              <w:rPr>
                <w:rFonts w:hint="eastAsia" w:ascii="宋体" w:hAnsi="宋体" w:cs="宋体"/>
                <w:color w:val="auto"/>
                <w:kern w:val="0"/>
                <w:szCs w:val="21"/>
                <w:lang w:bidi="ar"/>
              </w:rPr>
              <w:t>℃；防护等级：IP65。支持机动车违法抓拍、机动车驾驶员人脸抓拍。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环保气体爆闪灯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24颗大功率进口LED灯珠，支持LED频闪，白光气体爆闪，红外气体爆闪。IP65。</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6、嘉盐线兴安路口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7、嘉盐线核电大道口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8、嘉南线东郊路口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9、G525国道红益村口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10、G525国道城红路口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11、百禾路百左路口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12、百禾路小木桥路口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13、城东路海兴路</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14、谢家路海兴路</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15、滨海大道海兴路口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16、新桥路环城南路口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17、勤俭路秦山路口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18、勤俭路海滨路口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19、勤俭路城北路口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20、出海路楞港路口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21、海丰路谢家路口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22、环城南路楞港路口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23、滨海大道枣园路口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24、城东路枣园路口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25、盐平塘东路枣园路口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26、谢家路枣园路口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27、长安路枣园路口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28、城西路枣园路口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29、城东路海丰路口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30、长宁路庆丰路口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r>
              <w:rPr>
                <w:rFonts w:hint="eastAsia" w:ascii="宋体" w:hAnsi="宋体" w:cs="宋体"/>
                <w:color w:val="auto"/>
                <w:kern w:val="0"/>
                <w:sz w:val="24"/>
                <w:lang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系统集成施工、辅材及维护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违停抓拍系统（15处均参照此清单）</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eastAsia="zh-CN"/>
              </w:rPr>
              <w:t>备注</w:t>
            </w: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星光级违停检测一体机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400W像素星光级红外违章检测一体球。摄像机内置镜头，支持37倍光学变倍。支持采用H.264、MJPEG、H.265视频编码标准。具备较好的环境适应性，工作温度范围可达-45℃到70℃。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立杆及基础</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Γ杆Φ260*Φ240*8*6000+Φ220-110*6*6000，热镀锌喷塑（黑色），横挑杆根据现场实际情况挑至满足抓拍要求，含砼基，基础大小：1.5m(W)×1.5m(D)×1.8(H)。接地电阻≤10Ω。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7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抱杆机箱</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标识牌</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路口违停抓拍专用、符合抱杆安装。</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含穿线管敷设、取电。配套线材：RVV2×1.5电源线、RVVP2×1.0信号线、PE六类防水网线。</w:t>
            </w:r>
            <w:r>
              <w:rPr>
                <w:rStyle w:val="111"/>
                <w:rFonts w:hint="default"/>
                <w:color w:val="auto"/>
                <w:lang w:bidi="ar"/>
              </w:rPr>
              <w:t>含安装支架、辅助电源、配线架、电源线接头、标签、扎带等。</w:t>
            </w:r>
            <w:r>
              <w:rPr>
                <w:rFonts w:hint="eastAsia" w:ascii="宋体" w:hAnsi="宋体" w:cs="宋体"/>
                <w:color w:val="auto"/>
                <w:kern w:val="0"/>
                <w:sz w:val="24"/>
                <w:lang w:bidi="ar"/>
              </w:rPr>
              <w:t>含设备安装、调试、接入大队综合管理平台及租赁期维护费。含租赁期内光纤租赁费用，</w:t>
            </w:r>
            <w:r>
              <w:rPr>
                <w:rStyle w:val="111"/>
                <w:rFonts w:hint="default"/>
                <w:color w:val="auto"/>
                <w:lang w:bidi="ar"/>
              </w:rPr>
              <w:t>100M点对点裸光纤；</w:t>
            </w:r>
            <w:r>
              <w:rPr>
                <w:rFonts w:hint="eastAsia" w:ascii="宋体" w:hAnsi="宋体" w:cs="宋体"/>
                <w:color w:val="auto"/>
                <w:kern w:val="0"/>
                <w:sz w:val="24"/>
                <w:lang w:bidi="ar"/>
              </w:rPr>
              <w:t>含租赁期内单个点位的电力费用。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不礼让行人抓拍系统（7处均参照此清单）</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0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widowControl/>
              <w:textAlignment w:val="bottom"/>
              <w:rPr>
                <w:rFonts w:hint="eastAsia" w:ascii="宋体" w:hAnsi="宋体" w:cs="宋体"/>
                <w:color w:val="auto"/>
                <w:szCs w:val="21"/>
              </w:rPr>
            </w:pPr>
            <w:r>
              <w:rPr>
                <w:rStyle w:val="111"/>
                <w:rFonts w:hint="eastAsia"/>
                <w:color w:val="auto"/>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内置2块3.5寸4T硬盘；支持12路IPC接入。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路口立杆</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抱杆箱</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更换路口主机柜。</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411"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非机动车违法抓拍系统前端点位设备清单（3个路口均参照此清单）</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抓拍单元</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摄像机、高清镜头、室外防护罩、内置补光灯、风扇、电源适配器、安装万向节等；像素：900W；避免光污染的环保、生态抓拍单元；帧率：≤25fps；感光器件：两个1英寸全局曝光CMOS，视频压缩:H.265/H.264/MJPEG。工作环境温度：-30℃~+70℃；防护等级：IP65。支持机动车违法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交通灯信号检测器，支持16路AC220V信号接入。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路口立杆</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Γ杆Φ300*Φ270*8*6300+Φ270-110*6*7000，热镀锌喷塑（黑色），含砼；基础尺寸：1.5m(W)×1.5m(D)×1.8m(H)、配套预埋件。横挑壁长度根据现场实际情况覆盖所有抓拍车道。含商品砼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抱杆机柜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材质：304不锈钢板,厚度不小于1.2mm，含安装隔板 ，喷塑并有“公安交警”字样及警徽丝印，含安装支架。无凝结；防护等级：IP66。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非机动车违法抓拍系统分析中心设备及软件</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4286"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机动车违法中心分析一体机</w:t>
            </w:r>
          </w:p>
        </w:tc>
        <w:tc>
          <w:tcPr>
            <w:tcW w:w="9817"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eastAsia="宋体" w:cs="宋体"/>
                <w:color w:val="auto"/>
                <w:sz w:val="24"/>
                <w:szCs w:val="24"/>
              </w:rPr>
            </w:pPr>
            <w:r>
              <w:rPr>
                <w:rFonts w:hint="eastAsia" w:ascii="宋体" w:hAnsi="宋体" w:cs="宋体"/>
                <w:color w:val="auto"/>
                <w:kern w:val="0"/>
                <w:sz w:val="24"/>
                <w:lang w:bidi="ar"/>
              </w:rPr>
              <w:t>功能描述：</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支持25种机动车违法算法检测：机动车右转不礼让、违章停车检测、机动车违法禁止标线（实线变道）检测、机动车占用非机动车道检测、逆向行驶检测、机动车危险路段掉头检测、不礼让行人检测、机动车大弯小转检测、连续变道检测、路口滞留检测、违法占用公交车道检测、网格线停车检测、禁止大货车检测、越线停车检测、人行横道停车检测、变更车道影响其他车检测、违反客货分道检测、闯禁令检测、占用中运量专用车道检测、大型车占用小型车道行驶检测、车辆限时/车辆限行检测、不按导向线行驶检测、闯红灯检测；支持非机动车违法算法分析检测：电动车不带头盔、非机动车闯红灯、非机动车违法载人（二轮电动车、三轮可分类）、非机动车占用机动车车道等。按交警考核要求，新增算法免费制作升级。</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硬件参数：硬件架构：4U机架式服务器；分析能力：单台支持40路200万高清视频分析；CPU：双路Purely 高性能CPU；内存：≥128G；硬盘：≥2TB 3.5寸 SATA*3；GPU：≥高性能推理卡4张；网卡：≥千兆网口*2；电源：≥AC220V；功率：≥2200W；工作温度：5°C--+35°C；工作湿度：10%--90%，无凝露。</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台</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96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cs="宋体"/>
                <w:color w:val="auto"/>
                <w:kern w:val="0"/>
                <w:sz w:val="24"/>
                <w:lang w:bidi="ar"/>
              </w:rPr>
              <w:t>后台分析系统</w:t>
            </w:r>
          </w:p>
        </w:tc>
        <w:tc>
          <w:tcPr>
            <w:tcW w:w="9817"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eastAsia="宋体" w:cs="宋体"/>
                <w:color w:val="auto"/>
                <w:sz w:val="24"/>
                <w:szCs w:val="24"/>
              </w:rPr>
            </w:pPr>
            <w:r>
              <w:rPr>
                <w:rFonts w:hint="eastAsia" w:ascii="宋体" w:hAnsi="宋体" w:cs="宋体"/>
                <w:color w:val="auto"/>
                <w:kern w:val="0"/>
                <w:sz w:val="24"/>
                <w:lang w:bidi="ar"/>
              </w:rPr>
              <w:t>支持接入第三方厂家的前端摄像机、NVR、视频平台的视频流，进行实时道路交通安全违法行为识别；支持对需要识别道路交通违法的视频流创建分析任务，并支持自定义布控配置，以及参数调整；支持对目标车辆、追踪、违法判定的全过程标记与识别；支持取证图片抓拍，即自动抓拍违法机动车的1张车辆特写图和违法全过程前、中、后的3张全景图；支持自动保存机动车违法全程的全景图和特写图，以及违法全过程的视频录像，并可一键导出。支持通过时间、点位、违法类型等字段检索违法预警数据；支持自动汇集各摄像机点位的道路交通违法事件，对道路交通违法的点位分布、类型占比、时间趋势、以及历史发生规律进行分析统计与展示。支持对实时道路交通违法事件进行提示及分析。支持对识别的道路交通违法事件进行人工二次认或修改，可进行标记违法、作废以及删除。支持大倾斜角度下（水平方向）的道路交通违法行为识别；支持支持车头及车尾场景下的道路交通违法行为识别；支持白天及夜晚的道路交通违法行为识别；支持雨天天气下的道路交通违法行为识别；支持对机动车通过有灯控路口时，不按导向车道行驶（左转车道直行、直行车道右转）的违法行为进行识别。系统支持将分析数据结果推送第三方平台。含货车通行证升级开发。</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项</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危化品专项整治测速卡口设备清单</w:t>
            </w: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1、南北高速出口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角定式雷达</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24"/>
              </w:rPr>
            </w:pPr>
            <w:r>
              <w:rPr>
                <w:rFonts w:hint="eastAsia" w:ascii="宋体" w:hAnsi="宋体" w:cs="宋体"/>
                <w:color w:val="auto"/>
                <w:sz w:val="24"/>
              </w:rPr>
              <w:t>采用波雷达技术，测速精度高；模拟测速误差小，符合国家电子质量检定、标定标准。频率24G，测速距离：单车道18～38m(可调整)。支持短距离目标跟踪检测，抓拍位置精准；高防护、低干扰、低功耗、长寿命、稳定可靠；进行高精度定点抓拍，抓拍位置误差在±1米之内。高增益、低副瓣微带天线设计技术，有效避免邻近车道回波干扰。极速反应时间，保证目标捕获率和实时性。工作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车辆人脸卡口</w:t>
            </w:r>
          </w:p>
        </w:tc>
        <w:tc>
          <w:tcPr>
            <w:tcW w:w="9817" w:type="dxa"/>
            <w:tcBorders>
              <w:top w:val="nil"/>
              <w:left w:val="nil"/>
              <w:bottom w:val="nil"/>
              <w:right w:val="nil"/>
            </w:tcBorders>
            <w:shd w:val="clear" w:color="auto" w:fill="auto"/>
            <w:noWrap w:val="0"/>
            <w:vAlign w:val="bottom"/>
          </w:tcPr>
          <w:p>
            <w:pPr>
              <w:widowControl/>
              <w:jc w:val="lef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包含摄像机、高清镜头、室外防护罩、内置补光灯、风扇、电源适配器、安装万向节等；像素：900W；帧率：≤25fps；感光器件：CMOS；视频压缩:H.265/H.264/MJPEG。工作环境温度：-30℃~+70℃；防护等级：IP65。支持机动车违法抓拍、机动车驾驶员人脸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环保气体爆闪灯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24颗大功率进口LED灯珠，支持LED频闪，白光气体爆闪，红外气体爆闪。IP65。</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路口立杆</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T杆Φ300*Φ270*8*6300+Φ270-110*6*7000，热镀锌喷塑（黑色），含砼；基础尺寸：1.8m(W)×1.8m(D)×2.0m(H)、配套预埋件。横挑壁长度根据现场实际情况覆盖所有抓拍车道。含商品砼</w:t>
            </w:r>
            <w:r>
              <w:rPr>
                <w:rFonts w:hint="eastAsia" w:ascii="宋体" w:hAnsi="宋体" w:cs="宋体"/>
                <w:color w:val="auto"/>
                <w:sz w:val="24"/>
              </w:rPr>
              <w:t>C25及以上</w:t>
            </w:r>
            <w:r>
              <w:rPr>
                <w:rFonts w:hint="eastAsia" w:ascii="宋体" w:hAnsi="宋体" w:cs="宋体"/>
                <w:color w:val="auto"/>
                <w:kern w:val="0"/>
                <w:sz w:val="24"/>
                <w:lang w:bidi="ar"/>
              </w:rPr>
              <w:t>。严格按照国标14886-2016标准，接地电阻要求不得低于国标需求施工，接地电阻≤10Ω。</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含五年设备标定检定工作。</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2、港区高速出口</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角定式雷达</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r>
              <w:rPr>
                <w:rFonts w:hint="eastAsia" w:ascii="宋体" w:hAnsi="宋体" w:cs="宋体"/>
                <w:color w:val="auto"/>
                <w:sz w:val="24"/>
              </w:rPr>
              <w:t>采用波雷达技术，测速精度高；模拟测速误差小，符合国家电子质量检定、标定标准。频率24G，测速距离：单车道18～38m(可调整)。支持短距离目标跟踪检测，抓拍位置精准；高防护、低干扰、低功耗、长寿命、稳定可靠；进行高精度定点抓拍，抓拍位置误差在±1米之内。高增益、低副瓣微带天线设计技术，有效避免邻近车道回波干扰。极速反应时间，保证</w:t>
            </w:r>
          </w:p>
          <w:p>
            <w:pPr>
              <w:jc w:val="both"/>
              <w:rPr>
                <w:rFonts w:hint="eastAsia" w:ascii="宋体" w:hAnsi="宋体" w:cs="宋体"/>
                <w:color w:val="auto"/>
                <w:sz w:val="24"/>
              </w:rPr>
            </w:pPr>
            <w:r>
              <w:rPr>
                <w:rFonts w:hint="eastAsia" w:ascii="宋体" w:hAnsi="宋体" w:cs="宋体"/>
                <w:color w:val="auto"/>
                <w:sz w:val="24"/>
              </w:rPr>
              <w:t>目标捕获率和实时性。工作温度-40℃～70℃。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功率LED，三车道车牌补光灯，LED灯珠数量：16颗，发光角度：40°；最佳补光距离：16米-25米。触发方式：电平量触发(可选配开关量触发)响应时间：小于20us日夜功能：支持环境亮度监测,低照度下自动开启(可选配)触发信号电平：4V-6V。防护等级：IP66</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内置4块3.5寸4T硬盘；支持16路IPC接入。</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400万高清网络球形摄像机，视频压缩:H.265/H.264/MJPEG；红外照射距离:200米，焦距:5.9-147.5mm，25倍光学变倍。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车辆人脸卡口</w:t>
            </w:r>
          </w:p>
        </w:tc>
        <w:tc>
          <w:tcPr>
            <w:tcW w:w="9817" w:type="dxa"/>
            <w:tcBorders>
              <w:top w:val="nil"/>
              <w:left w:val="nil"/>
              <w:bottom w:val="nil"/>
              <w:right w:val="nil"/>
            </w:tcBorders>
            <w:shd w:val="clear" w:color="auto" w:fill="auto"/>
            <w:noWrap w:val="0"/>
            <w:vAlign w:val="bottom"/>
          </w:tcPr>
          <w:p>
            <w:pPr>
              <w:widowControl/>
              <w:jc w:val="left"/>
              <w:textAlignment w:val="bottom"/>
              <w:rPr>
                <w:rFonts w:hint="eastAsia" w:ascii="宋体" w:hAnsi="宋体" w:cs="宋体"/>
                <w:color w:val="auto"/>
                <w:szCs w:val="21"/>
              </w:rPr>
            </w:pPr>
            <w:r>
              <w:rPr>
                <w:rFonts w:hint="eastAsia" w:ascii="宋体" w:hAnsi="宋体" w:cs="宋体"/>
                <w:color w:val="auto"/>
                <w:kern w:val="0"/>
                <w:sz w:val="24"/>
                <w:szCs w:val="24"/>
                <w:lang w:bidi="ar"/>
              </w:rPr>
              <w:t>包含摄像机、高清镜头、室外防护罩、内置补光灯、风扇、电源适配器、安装万向节等；像素：900W；帧率：≤</w:t>
            </w:r>
            <w:r>
              <w:rPr>
                <w:rFonts w:hint="eastAsia" w:ascii="宋体" w:hAnsi="宋体" w:cs="宋体"/>
                <w:color w:val="auto"/>
                <w:kern w:val="0"/>
                <w:sz w:val="24"/>
                <w:lang w:bidi="ar"/>
              </w:rPr>
              <w:t>25fps</w:t>
            </w:r>
            <w:r>
              <w:rPr>
                <w:rFonts w:hint="eastAsia" w:ascii="宋体" w:hAnsi="宋体" w:cs="宋体"/>
                <w:color w:val="auto"/>
                <w:kern w:val="0"/>
                <w:sz w:val="24"/>
                <w:szCs w:val="24"/>
                <w:lang w:bidi="ar"/>
              </w:rPr>
              <w:t>；感光器件：</w:t>
            </w:r>
            <w:r>
              <w:rPr>
                <w:rFonts w:hint="eastAsia" w:ascii="宋体" w:hAnsi="宋体" w:cs="宋体"/>
                <w:color w:val="auto"/>
                <w:kern w:val="0"/>
                <w:sz w:val="24"/>
                <w:lang w:bidi="ar"/>
              </w:rPr>
              <w:t>CMOS</w:t>
            </w:r>
            <w:r>
              <w:rPr>
                <w:rFonts w:hint="eastAsia" w:ascii="宋体" w:hAnsi="宋体" w:cs="宋体"/>
                <w:color w:val="auto"/>
                <w:kern w:val="0"/>
                <w:sz w:val="24"/>
                <w:szCs w:val="24"/>
                <w:lang w:bidi="ar"/>
              </w:rPr>
              <w:t>；视频压缩:H.265/H.264/MJPEG。工作环境温度：-30℃</w:t>
            </w:r>
            <w:r>
              <w:rPr>
                <w:rFonts w:hint="eastAsia" w:ascii="宋体" w:hAnsi="宋体" w:cs="宋体"/>
                <w:color w:val="auto"/>
                <w:kern w:val="0"/>
                <w:sz w:val="24"/>
                <w:lang w:bidi="ar"/>
              </w:rPr>
              <w:t>~+70</w:t>
            </w:r>
            <w:r>
              <w:rPr>
                <w:rFonts w:hint="eastAsia" w:ascii="宋体" w:hAnsi="宋体" w:cs="宋体"/>
                <w:color w:val="auto"/>
                <w:kern w:val="0"/>
                <w:sz w:val="24"/>
                <w:szCs w:val="24"/>
                <w:lang w:bidi="ar"/>
              </w:rPr>
              <w:t>℃；防护等级：IP65。支持机动车违法抓拍、机动车驾驶员人脸抓拍。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环保气体爆闪灯</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24颗大功率进口LED灯珠，支持LED频闪，白光气体爆闪，红外气体爆闪。IP65。</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光纤交换机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工业级24口千兆光纤交换机，可网管，含光模块。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路口机柜</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材质：整体304不锈钢板,厚度不小于1.5mm，含安装隔板 ，喷塑并有“公安交警”字样及警徽丝印，含砼基础，结构：整体结构采用拼焊结构，牢固、钢性好、牢固可靠；在侧面开散热百叶窗，百叶窗处设计防尘网；具备电源防雷和网络防雷功能；无凝结；防护等级：IP66。</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系统集成施工及维护</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含所有旧杆打磨、喷漆（黑色）、杆件不锈钢球形盖帽。含穿线管道敷设，不小于DN63 PE管，包含手井、线材。含4方向光纤收发器、安装支架、辅助电源、配线架、电源线接头、标签、扎带等。含设备安装、调试、接入大队综合管理平台及租赁期内维护费用。含租赁期内千兆租赁费用,1000M点对点裸光纤；租赁期内单个点位的电力费用。含五年设备标定检定工作。</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53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配套中心机房设备</w:t>
            </w:r>
          </w:p>
        </w:tc>
      </w:tr>
      <w:tr>
        <w:tblPrEx>
          <w:tblCellMar>
            <w:top w:w="0" w:type="dxa"/>
            <w:left w:w="108" w:type="dxa"/>
            <w:bottom w:w="0" w:type="dxa"/>
            <w:right w:w="108" w:type="dxa"/>
          </w:tblCellMar>
        </w:tblPrEx>
        <w:trPr>
          <w:trHeight w:val="2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单位</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数量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1140" w:hRule="atLeast"/>
          <w:jc w:val="center"/>
        </w:trPr>
        <w:tc>
          <w:tcPr>
            <w:tcW w:w="67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云存储节点</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机架式、4U36盘位、2*kunpeng 920 单CPU 48核 主频 2.6GHZ、2块600G SAS盘+36块14T企业级SATA数据盘、1块3.2TB SSD NVMe缓存盘、4个10GE万兆光口（带万兆光模块）、冗余电源、存储支持CIFS,NFS,FTP,NDMP负载均衡,性能加速和防病毒，配额管理功能。5年维保及介质保留服务。</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存储万兆交换机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48*万兆SFP+,6*100G QSFP28,2*交流电源,端口侧进风，配置34个万兆多模光模块，一根QSFP+-40G-堆叠线缆-3m，5年维保。</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核心交换机扩容</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H3C S10508 48</w:t>
            </w:r>
            <w:r>
              <w:rPr>
                <w:rStyle w:val="111"/>
                <w:rFonts w:hint="default"/>
                <w:color w:val="auto"/>
                <w:lang w:bidi="ar"/>
              </w:rPr>
              <w:t>端口万兆以太网光接口模块(SFP+,LC)(SH）。与现有视频专网核心交换机无缝适配。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万兆多模</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SFP+ 万兆模块(850nm,300m,LC)</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30</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万兆单模</w:t>
            </w:r>
            <w:r>
              <w:rPr>
                <w:rStyle w:val="114"/>
                <w:rFonts w:ascii="宋体" w:hAnsi="宋体" w:cs="宋体"/>
                <w:color w:val="auto"/>
                <w:sz w:val="24"/>
                <w:szCs w:val="24"/>
                <w:lang w:bidi="ar"/>
              </w:rPr>
              <w:t>10KM</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SFP+ 万兆模块(1310nm,10km,LC)</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11</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万兆单模40KM</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SFP+ 万兆模块(1550nm,40km,LC)</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13</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24</w:t>
            </w:r>
            <w:r>
              <w:rPr>
                <w:rStyle w:val="111"/>
                <w:rFonts w:hint="default"/>
                <w:color w:val="auto"/>
                <w:lang w:bidi="ar"/>
              </w:rPr>
              <w:t>口接入交换机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H3C S5130S-28S-EI L2</w:t>
            </w:r>
            <w:r>
              <w:rPr>
                <w:rStyle w:val="111"/>
                <w:rFonts w:hint="default"/>
                <w:color w:val="auto"/>
                <w:lang w:bidi="ar"/>
              </w:rPr>
              <w:t>以太网交换机主机,支持24个10/100/1000BASE-T电口,支持4个1G/10G BASE-X SFP+端口,支持AC。与现有视频专网核心交换机无缝适配</w:t>
            </w:r>
            <w:r>
              <w:rPr>
                <w:rStyle w:val="196"/>
                <w:rFonts w:hint="default"/>
                <w:color w:val="auto"/>
                <w:lang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14</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数据中心万兆电口交换机</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 xml:space="preserve"> L3</w:t>
            </w:r>
            <w:r>
              <w:rPr>
                <w:rStyle w:val="111"/>
                <w:rFonts w:hint="default"/>
                <w:color w:val="auto"/>
                <w:lang w:bidi="ar"/>
              </w:rPr>
              <w:t>以太网交换机主机,支持48个10GBASE-T端口,6个QSFP Plus或2个QSFP28端口。与现有上联公安局公安网核心交换机无缝适配。</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22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15</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视频网闸</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视频传输能力</w:t>
            </w:r>
            <w:r>
              <w:rPr>
                <w:rStyle w:val="111"/>
                <w:rFonts w:hint="default"/>
                <w:color w:val="auto"/>
                <w:lang w:bidi="ar"/>
              </w:rPr>
              <w:t>≥400路并发（每路D1画质，2Mbps），数据吞吐量≥800Mbps，并发用户数≥400，编码格式支持支持M-JEPG，MPEG4、H.264，视频分辨率：支持D4、D1、VGA、2/3D1、1/2D1、SIF、3/4D1、CIF、QCIF；视音频：支持同时传输视音频、控制码流；控制协议：支持视频共享平台SIP控制协议；适用码流：20Kbps~8Mbps高清；数据包丢失率&lt;0.1‰；客户端身份识别：采用SNMP V3方式；支持视频源认证;必须已经实现与省厅、市局已建边界接入平台实现无缝对接，支持已有接入平台集控系统的统一监管，上传相关数据至上级公安部管理平台；含三年硬件和软件维保服务</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199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16</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数据交换平台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 xml:space="preserve">标准机架式机箱，双服务器主机架构。专用安全加固Linux操作系统。服务器专用冗余电源。稳定性运行时间(MTBF)&gt;50000小时。交换能力≥8000Mbps；并发会话30000个；数据库到数据库交换记录数（&gt;100Kb/记录）≥20000条/秒；数据文件处理文件数（&gt;100Kb/记录）≥20000个/秒；数据文件处理吞吐量≥8000Mbps；应用层数据交换速度（FTP）≥8000Mbps；最大数据文件≥30G；最大支持服务≥80；任务调度粒度秒级；目录监控触发时间&lt;1秒；最大传输延时&lt;10ms 。                                        </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套</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17</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万兆网闸</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接口：12个10/100/1000M电口，8个SFP插槽，8个SFP+插槽</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性能：9G bps包含全功能模块；并发60万，延时小于1ms</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其它：冗余电源，2U机架，4个USB</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18</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防火墙</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万兆防火墙，网络层吞吐量12G，并发连接≥320万，每秒新建请求数30万，标准2U机箱，冗余电源含三年硬件维保服务，3年IPS特征库升级服务，3年病毒防护特征库升级服务</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19</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服务器</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2颗英特尔至强银牌4214处理器；128G内存；2*480G SSD做RAID 1 系统盘+1600GB-NVMe 固态盘作为高速读写数据盘；2G缓存RAID卡带电池保护；2*1GE+2*10GE光网卡(含模块）。</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台</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20</w:t>
            </w: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项目平台</w:t>
            </w:r>
          </w:p>
        </w:tc>
        <w:tc>
          <w:tcPr>
            <w:tcW w:w="9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平台实现视频专网与公安网双网平台搭建，图片数据同步至公安网，视频实现从公网从视频专网调取。提供非现场违法数据管理能力，包含特殊规则违法去重、违法数据自动筛选、自定义违法代码与标准违法代码映射的违法预处理能力；限行规则管理，通行证申请、审核打印管理，以及根据限行证与限行规则实现限行限证管理的能力；违法数据查询、录入、驳回、废弃、审核通过上传的违法检录能力。提供图片、数据汇聚管理能力，实现电警、卡口、违停、事件、流量等前端过车与违法数据的接入、存储，提供数据查询导出能力，并支持所汇聚数据的实时转发共享；车辆实战分析（技战法应用），根据车牌号、车辆颜色等条件查询车辆通行记录，基于GIS地图分析车辆轨迹，描绘车辆动态行驶路线与行驶时间；根据地点、时间等组合条件进行轨迹反查，获取路口、路段以及区域内过车信息；一图资源展示，地图形式呈现设施设备、违法、过车、事件统计数据、热力分析等实时信息。提供运维管理能力，包含统一的日志收集管理、资产台账管理、路口信息管理及路口信息与设备关联应用；提供视频接入和存储管理功能，视频实时浏览，向客户端及电视墙提供实时音视频流媒体转发服务，PTZ控制，电子地图，用户/权限管理，站点/布局管理，录像计划管理，录像检索、回放及导出等。含原厂驻点一年，投标时提供证明材料加盖原厂公章。</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项</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p>
        </w:tc>
      </w:tr>
    </w:tbl>
    <w:p>
      <w:pPr>
        <w:spacing w:before="240" w:beforeLines="100" w:line="400" w:lineRule="exact"/>
        <w:jc w:val="left"/>
        <w:rPr>
          <w:rFonts w:hint="eastAsia" w:ascii="宋体" w:hAnsi="宋体" w:cs="宋体"/>
          <w:b/>
          <w:color w:val="auto"/>
          <w:sz w:val="32"/>
          <w:szCs w:val="32"/>
        </w:rPr>
      </w:pPr>
    </w:p>
    <w:p>
      <w:pPr>
        <w:pStyle w:val="267"/>
        <w:rPr>
          <w:rFonts w:hint="eastAsia" w:hAnsi="宋体" w:cs="宋体"/>
          <w:b/>
          <w:color w:val="auto"/>
          <w:sz w:val="32"/>
          <w:szCs w:val="32"/>
        </w:rPr>
      </w:pPr>
    </w:p>
    <w:p>
      <w:pPr>
        <w:rPr>
          <w:rFonts w:hint="eastAsia" w:ascii="宋体" w:hAnsi="宋体" w:cs="宋体"/>
          <w:b/>
          <w:color w:val="auto"/>
          <w:sz w:val="32"/>
          <w:szCs w:val="32"/>
        </w:rPr>
      </w:pPr>
    </w:p>
    <w:p>
      <w:pPr>
        <w:pStyle w:val="267"/>
        <w:rPr>
          <w:rFonts w:hint="eastAsia" w:hAnsi="宋体" w:cs="宋体"/>
          <w:b/>
          <w:color w:val="auto"/>
          <w:sz w:val="32"/>
          <w:szCs w:val="32"/>
        </w:rPr>
      </w:pPr>
      <w:r>
        <w:rPr>
          <w:rFonts w:hint="eastAsia" w:hAnsi="宋体" w:cs="宋体"/>
          <w:b/>
          <w:color w:val="auto"/>
          <w:sz w:val="32"/>
          <w:szCs w:val="32"/>
        </w:rPr>
        <w:br w:type="page"/>
      </w:r>
    </w:p>
    <w:p>
      <w:pPr>
        <w:numPr>
          <w:ilvl w:val="0"/>
          <w:numId w:val="10"/>
        </w:numPr>
        <w:spacing w:before="240" w:beforeLines="100" w:line="400" w:lineRule="exact"/>
        <w:ind w:firstLine="562"/>
        <w:rPr>
          <w:rFonts w:hint="eastAsia" w:ascii="宋体" w:hAnsi="宋体" w:cs="宋体"/>
          <w:b/>
          <w:color w:val="auto"/>
          <w:sz w:val="28"/>
        </w:rPr>
      </w:pPr>
      <w:r>
        <w:rPr>
          <w:rFonts w:hint="eastAsia" w:ascii="宋体" w:hAnsi="宋体" w:cs="宋体"/>
          <w:b/>
          <w:color w:val="auto"/>
          <w:sz w:val="28"/>
        </w:rPr>
        <w:t>参考品牌参数清单：</w:t>
      </w:r>
    </w:p>
    <w:p>
      <w:pPr>
        <w:pStyle w:val="267"/>
        <w:rPr>
          <w:rFonts w:hint="eastAsia" w:hAnsi="宋体" w:cs="宋体"/>
          <w:color w:val="auto"/>
        </w:rPr>
      </w:pPr>
    </w:p>
    <w:tbl>
      <w:tblPr>
        <w:tblStyle w:val="48"/>
        <w:tblW w:w="0" w:type="auto"/>
        <w:jc w:val="center"/>
        <w:tblLayout w:type="fixed"/>
        <w:tblCellMar>
          <w:top w:w="0" w:type="dxa"/>
          <w:left w:w="108" w:type="dxa"/>
          <w:bottom w:w="0" w:type="dxa"/>
          <w:right w:w="108" w:type="dxa"/>
        </w:tblCellMar>
      </w:tblPr>
      <w:tblGrid>
        <w:gridCol w:w="809"/>
        <w:gridCol w:w="1042"/>
        <w:gridCol w:w="10075"/>
        <w:gridCol w:w="15"/>
        <w:gridCol w:w="45"/>
        <w:gridCol w:w="1664"/>
        <w:gridCol w:w="771"/>
      </w:tblGrid>
      <w:tr>
        <w:tblPrEx>
          <w:tblCellMar>
            <w:top w:w="0" w:type="dxa"/>
            <w:left w:w="108" w:type="dxa"/>
            <w:bottom w:w="0" w:type="dxa"/>
            <w:right w:w="108" w:type="dxa"/>
          </w:tblCellMar>
        </w:tblPrEx>
        <w:trPr>
          <w:trHeight w:val="285" w:hRule="atLeast"/>
          <w:jc w:val="center"/>
        </w:trPr>
        <w:tc>
          <w:tcPr>
            <w:tcW w:w="14421" w:type="dxa"/>
            <w:gridSpan w:val="7"/>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信号系统控制系统</w:t>
            </w:r>
          </w:p>
        </w:tc>
      </w:tr>
      <w:tr>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参考品牌型号</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342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路口信号灯控制主机及机柜</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包含：控制主机、配电单元、机柜、无线遥控器、GPS。相位：支持16主相位+16跟随相位；灯控输出：36路输出，单通道负载800W；最大可扩展至108路；灯控板：2块，每块支持18路；车检板：无，可选配；网络接口：2个RJ45接口，其中一个可光电复用；其他接口：2个RS232接口，2个RS485接口，2个RS422接口，1个USB接口；外部输入：支持32路IO输入，其中16路用于行人按钮输入；外部输出：支持20路IO输出：4路继电器输出、16路光耦输出；无线遥控：支持；无线接入：可选配4G/WIFI模块；工作电压： AC220V±44V，50Hz±2Hz；温度：-40℃～+70℃；功耗：＜60W；绝缘强度：＞500 MΩ；防护等级：IP54；结构尺寸（含机柜）：650mm(宽)×1500mm(高)×450mm(深)柜体粘贴或喷“公安交警”字样及警微。信号机需提供产品标准符合性测试报告(提供中国软件评测中心出具的检测报告)。信号机要求无缝接入现有海盐县交警大队指挥中心现有交通信号协调控制系统平台，可以实现信号控制平台所有功能。机柜不锈钢304材质。</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海康威视/XHJ-CW-GA-HK502等</w:t>
            </w:r>
          </w:p>
        </w:tc>
        <w:tc>
          <w:tcPr>
            <w:tcW w:w="771"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机动车箭头信号组</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海康威视/JD400-3-301SL等</w:t>
            </w:r>
          </w:p>
        </w:tc>
        <w:tc>
          <w:tcPr>
            <w:tcW w:w="771"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机动车满屏信号组</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尺φ400LED满屏灯组，寸400*400MM，LED，红色、黄色、绿色，电源：220VAC；额定电压：220V±10%，50HZ；额定功率：≤10W；发光体波长：红色620~626nm、黄色590~595nm光源使用寿命：≥100000小时；工作环境温度：-40℃～＋70℃。</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海康威视/FX400-3-3021SL等</w:t>
            </w:r>
          </w:p>
        </w:tc>
        <w:tc>
          <w:tcPr>
            <w:tcW w:w="771"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独立倒计时</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9秒倒计时，尺寸：400mm*400mm；铝压铸外壳；额定电压：220V±10%，50HZ；额定功率：≤15W；发光体波长：红色620~626nm、黄色590~595nm、绿色：504~508nm；光源使用寿命：≥100000小时；工作环境温度：-40℃～＋70℃；IP53。</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海康威视/DX-3-T-1-80607L11等</w:t>
            </w:r>
          </w:p>
        </w:tc>
        <w:tc>
          <w:tcPr>
            <w:tcW w:w="771"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auto"/>
                <w:sz w:val="24"/>
              </w:rPr>
            </w:pPr>
          </w:p>
        </w:tc>
      </w:tr>
      <w:tr>
        <w:tblPrEx>
          <w:tblCellMar>
            <w:top w:w="0" w:type="dxa"/>
            <w:left w:w="108" w:type="dxa"/>
            <w:bottom w:w="0" w:type="dxa"/>
            <w:right w:w="108" w:type="dxa"/>
          </w:tblCellMar>
        </w:tblPrEx>
        <w:trPr>
          <w:trHeight w:val="375" w:hRule="atLeast"/>
          <w:jc w:val="center"/>
        </w:trPr>
        <w:tc>
          <w:tcPr>
            <w:tcW w:w="14421" w:type="dxa"/>
            <w:gridSpan w:val="7"/>
            <w:tcBorders>
              <w:top w:val="nil"/>
              <w:left w:val="nil"/>
              <w:bottom w:val="nil"/>
              <w:right w:val="nil"/>
            </w:tcBorders>
            <w:noWrap w:val="0"/>
            <w:vAlign w:val="bottom"/>
          </w:tcPr>
          <w:p>
            <w:pPr>
              <w:widowControl/>
              <w:jc w:val="center"/>
              <w:textAlignment w:val="bottom"/>
              <w:rPr>
                <w:rFonts w:hint="eastAsia" w:ascii="宋体" w:hAnsi="宋体" w:cs="宋体"/>
                <w:b/>
                <w:bCs/>
                <w:color w:val="auto"/>
                <w:sz w:val="28"/>
                <w:szCs w:val="28"/>
              </w:rPr>
            </w:pPr>
            <w:r>
              <w:rPr>
                <w:rFonts w:hint="eastAsia" w:ascii="宋体" w:hAnsi="宋体" w:cs="宋体"/>
                <w:b/>
                <w:bCs/>
                <w:color w:val="auto"/>
                <w:kern w:val="0"/>
                <w:sz w:val="28"/>
                <w:szCs w:val="28"/>
                <w:lang w:bidi="ar"/>
              </w:rPr>
              <w:t>三合一电子警察系统</w:t>
            </w:r>
          </w:p>
        </w:tc>
      </w:tr>
      <w:tr>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参考品牌型号</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285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电警抓拍单元</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光环保摄像机无光污染：采用先进的图像融合技术，夜间正常环境光路口，仅采用下挂灯即可输出高质量全彩图像，有效解决夜间光污染。包含摄像机、高清镜头、室外防护罩、风扇、内置补光灯、电源适配器、安装万向节等。像素：900W。分辨率：4096(H)×2160(V)。帧率大于等于25fps传感器类型：CMOS。防护等级：IP65。工作温度：温度-40℃~70℃。电源：100VAC～240VAC；。频率：48Hz～52Hz。工作湿度：湿度5%~95%@40℃,无凝结摄像机参数配置功能：曝光速度、AGC控制、白平衡方式控制等。违章检测：压线、逆行、闯红灯、不按导向行驶、违法变道、路口停止、绿灯停止、机占非、闯禁令（禁左、禁右、禁止大车、公交专用道）、闯绿灯；车辆特征检测：车牌识别、车型识别、车身颜色识别、车辆品牌、车辆子品牌。视频压缩标准：H.264、H.265、MJPEG</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海康威视/iDS-TCE900-CMHYDJ；大华/DH-CP902-EU3F-L-C1等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光源类型：LED暖光，环境补光。LED灯珠数量：16颗。最佳补光距离：16米-25米。触发方式：电平量触发。响应时间：小于20us。日夜功能：支持环境亮度监测,低照度下自动开启，日夜切换支持，灵敏度可设置触发信号电平：4V-6V。防护等级：IP66。功耗40W。</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海康威视/CXBG-1-PS-DS-TL2000A-LC-HYDJ；大华/DH-ITALE-060AA-PW3525等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交通灯信号检测器，支持大于等于16路信号灯信号接入，与电子警察系统无缝对接，实时监测信号灯信号。</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海康威视/TLD-2016-6 ；大华DH-ITASD-020RA等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支持图片六合一，支持RTSP/ONVIF/GB28181协议，兼容多种摄像机接入；内置4块3.5寸4T硬盘；支持12路IPC接入；网络接口：设备具有16个1000M以太网接口，1个内部和1个外部10/100/1000M自适应以太网接口，1个内部和1个外部千兆可光电切换光纤接口；可配置多种字符叠加、图片合成模式；支持区间测速功能。</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海康威视/DS-TP50-12E(16T)；大华/DH-ITSE0804-GN5B-D等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99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400W像素。图像传感器:CMOS。最低照度彩色：0.001Lux@F1.4 黑白：0.0001Lux@F1.4 0Lux（红外灯开启）。焦距: 6-192mm可更大，光学变倍。水平范围: 360°；垂直范围: -20°-90°(自动翻转)分辨率及帧率:主码50Hz:25fps(2560×1440);60Hz:30fps(2560×1440)；视频压缩:H.265/H.264/MJPEG。GPS: 支持GPS、北斗卫星定位模块；电子罗盘: 支持；红外照射距离: 250m；防补光过曝: 支持；电源接口类型: AC24V±25%；工作温湿度: -40℃-70℃；湿度小于95%防护: IP67。</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海康威视/iDS-2DF84BFFIX-AHYDJ/SP/JM/T3(B)；大华DH-SD-8A1440XA-HNT-E等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0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车辆人脸卡口</w:t>
            </w:r>
          </w:p>
        </w:tc>
        <w:tc>
          <w:tcPr>
            <w:tcW w:w="10135" w:type="dxa"/>
            <w:gridSpan w:val="3"/>
            <w:tcBorders>
              <w:top w:val="nil"/>
              <w:left w:val="nil"/>
              <w:bottom w:val="nil"/>
              <w:right w:val="nil"/>
            </w:tcBorders>
            <w:shd w:val="clear" w:color="auto" w:fill="auto"/>
            <w:noWrap w:val="0"/>
            <w:vAlign w:val="bottom"/>
          </w:tcPr>
          <w:p>
            <w:pPr>
              <w:widowControl/>
              <w:textAlignment w:val="bottom"/>
              <w:rPr>
                <w:rFonts w:hint="eastAsia" w:ascii="宋体" w:hAnsi="宋体" w:cs="宋体"/>
                <w:color w:val="auto"/>
                <w:szCs w:val="21"/>
              </w:rPr>
            </w:pPr>
            <w:r>
              <w:rPr>
                <w:rFonts w:hint="eastAsia" w:ascii="宋体" w:hAnsi="宋体" w:cs="宋体"/>
                <w:color w:val="auto"/>
                <w:kern w:val="0"/>
                <w:sz w:val="24"/>
                <w:szCs w:val="24"/>
                <w:lang w:bidi="ar"/>
              </w:rPr>
              <w:t>光环保摄像机无光污染：采用先进的图像融合技术，夜间正常环境光路口，仅采用下挂灯即可输出高质量全彩图像，有效解决夜间光污染。采用CMOS/GMOS。智能高清摄像机，最大分辨率可达4096*2160，帧率大于等于25帧；输出图片格式：JPEG；支持白天用白光爆闪，晚上用内置灯加红外爆闪同步补光；抓拍图片可看清前排司乘人员人脸，并可用于后端人脸比对；支持视频触发模式；支持车牌、车型、车身颜色、车辆主品牌及子品牌、挂坠、安全带、遮阳板等信息识别；支持多种车牌种类识别：民用车牌，警用车牌，2012式新军用车牌，2012式武警车牌，新能源车牌；支持多种常见颜色（白、灰、黄、红、紫、绿、蓝、棕、黑）识别；支持多种车型识别：大客车、中型客车、大货车、小货车、面包车、小轿车及SUV；支持车辆检测处理器（RS-485协议）、雷达、补光灯的接入；支持远程数据上传，可将抓拍的图片上传给终端服务器、FTP服务器或者后端平台等；防护等级：IP65工作温度：温度-40℃~70℃。电源：100VAC～240VAC；频率：48Hz～52Hz工作湿度：湿度5%~95%@40℃，无凝结。</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海康威视/iDS-TCV900-CEFMHYDJ/50；大华DH-CP902-AU3F-C1等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环保气体爆闪灯</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灯型多功能一体型：支持暖光LED频闪、暖光LED爆闪、白光氙气爆闪、红外氙气爆闪四种模式。采用24颗高亮度LED芯片，寿命长，稳定性好，发光效率高。LED频闪支持PWM跟随触发，具有频率及占空比保护功能，发光角度10°；气体爆闪具有防误触发功能，提高产品寿命。可覆盖1个车道。频闪功率≤48W，爆闪功率≤90W；供电方式AC220V±10％。IP65设计，增加透气孔，保持内外压强均衡，可靠防水、防尘。</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海康威视/CXBG-2-MC-DS-TL3000B-I；大华DH-ITALF-300AG等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421"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违停抓拍系统</w:t>
            </w:r>
          </w:p>
        </w:tc>
      </w:tr>
      <w:tr>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参考品牌型号</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513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星光级违停检测一体机</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包含球机及支架，一枪一球设计（可选），400W像素，CMOS芯片，分辨率2560×1440。最低照度彩色：0.001Lux@F1.4 黑白：0.0001Lux@F1.4 0Lux（红外灯开启）；250m（红外）；雨刷；人脸最大可识别距离143.6m；车牌最大可识别距离404m；镜头焦距5.5mm～220mm；40倍；可视域功能支持；违法停车抓拍距离半径：165m（多场景）、70m（单场景）支持可自适应的多场景巡航检测；支持车辆类型、车身颜色、车标、车系、车牌、车牌颜色等多种机动车属性识别；卡口抓拍支持覆盖2车道范围。支持以下多种行为检测抓拍：车卡口、压白线、压黄线、逆行、违法变道、车辆加塞、有车占道、黄牌占道、不按车道行驶、超速、欠速、不系安全带、交通拥堵；。支持以下车辆特征识别：车牌、车牌颜色、车身颜色、车辆类型、车标、车系、车速、年检标志、纸巾盒、香水盒、挂件、安全带状态、遮阳板状态、人脸抠图、主驾驶抽烟状态、主驾驶打电话状态；电子警察支持覆盖2车道范围。支持以下多种行为检测抓拍：车卡口、压白线、压黄线、逆行、违法变道、车辆加塞、有车占道、黄牌占道、不按车道行驶、超速、违法掉头、违法倒车、未礼让行人、不按导向箭头行驶。支持以下车辆特征识别：车牌、车牌颜色、车身颜色、车辆类型、车标、车系；电子防抖；光学透雾；音频输入1路（LINE IN；裸线）；音频输出1路（LINE OUT；裸线）；报警接口7进2出；语音对讲支持；报警输入7 路开关量输入(0～5V DC)；供电方式AC24V/5A±25%（标配） HI-POE（选配）；帧率动态控制功能检验:帧率可自动进行调节;当触发报警时，视频录像倾率应自动调整至设定值，设定范围1~60帧/秒。</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海康威视/iDS-2VT44B-D8CGHYDJ/T2；大华DH-SD-8A1440XA-HNT-E等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421"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不礼让行人抓拍设备清单</w:t>
            </w:r>
          </w:p>
        </w:tc>
      </w:tr>
      <w:tr>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参考品牌型号</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229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抓拍单元</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widowControl/>
              <w:textAlignment w:val="bottom"/>
              <w:rPr>
                <w:rFonts w:hint="eastAsia" w:ascii="宋体" w:hAnsi="宋体" w:cs="宋体"/>
                <w:color w:val="auto"/>
                <w:szCs w:val="21"/>
              </w:rPr>
            </w:pPr>
            <w:r>
              <w:rPr>
                <w:rFonts w:hint="eastAsia" w:ascii="宋体" w:hAnsi="宋体" w:cs="宋体"/>
                <w:color w:val="auto"/>
                <w:kern w:val="0"/>
                <w:sz w:val="24"/>
                <w:szCs w:val="24"/>
                <w:lang w:bidi="ar"/>
              </w:rPr>
              <w:t>光环保摄像机无光污染：采用先进的图像融合技术，夜间正常环境光路口，仅采用下挂灯即可输出高质量全彩图像，有效解决夜间光污染。包含摄像机、高清镜头、室外防护罩、风扇、内置补光灯、电源适配器、安装万向节等。像素：900W。分辨率：4096(H)×2160(V)。帧率大于等于25fps传感器类型：CMOS。防护等级：IP65。工作温度：温度-40℃~70℃。电源：100VAC～240VAC；。频率：48Hz～52Hz。工作湿度：湿度5%~95%@40℃,无凝结摄像机参数配置功能：曝光速度、AGC控制、白平衡方式控制等。违章检测：不礼让行人、压线、逆行、闯红灯、不按导向行驶、违法变道、路口停止、绿灯停止、机占非、闯禁令（禁左、禁右、禁止大车、公交专用道）、闯绿灯；车辆特征检测：车牌识别、车型识别、车身颜色识别、车辆品牌、车辆子品牌。视频压缩标准：H.264、H.265、MJPEG</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海康威视/iDS-TCE900-CMHYDJ；大华/DH-CP902-AU3F-C1等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光源类型：LED暖光，环境补光。LED灯珠数量：16颗。最佳补光距离：16米-25米。触发方式：电平量触发。响应时间：小于20us。日夜功能：支持环境亮度监测,低照度下自动开启，日夜切换支持，灵敏度可设置触发信号电平：4V-6V。防护等级：IP66。功耗40W。</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海康威视/CXBG-1-PS-DS-TL2000A-LC-HYDJ；大华/DH-ITALE-060AA-PW3525等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支持图片六合一，支持RTSP/ONVIF/GB28181协议，兼容多种摄像机接入；内置4块3.5寸4T硬盘；支持12路IPC接入；网络接口：设备具有16个1000M以太网接口，1个内部和1个外部10/100/1000M自适应以太网接口，1个内部和1个外部千兆可光电切换光纤接口；可配置多种字符叠加、图片合成模式；支持区间测速功能。</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海康威视/DS-TP50-12E(16T)；大华/DH-ITSE0804-GN5B-D等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99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400W像素。图像传感器:CMOS。最低照度彩色：0.001Lux@F1.4 黑白：0.0001Lux@F1.4 0Lux（红外灯开启）。焦距: 6-192mm可更大，光学变倍。水平范围: 360°；垂直范围: -20°-90°(自动翻转)分辨率及帧率:主码50Hz:25fps(2560×1440);60Hz:30fps(2560×1440)；视频压缩:H.265/H.264/MJPEG。GPS: 支持GPS、北斗卫星定位模块；电子罗盘: 支持；红外照射距离: 250m；防补光过曝: 支持；电源接口类型: AC24V±25%；工作温湿度: -40℃-70℃；湿度小于95%防护: IP67。</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海康威视/iDS-2DF84BFFIX-AHYDJ/SP/JM/T3(B)；大华DH-SD-8A1440XA-HNT-E等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421" w:type="dxa"/>
            <w:gridSpan w:val="7"/>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非机动车违法抓拍系统</w:t>
            </w:r>
          </w:p>
        </w:tc>
      </w:tr>
      <w:tr>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参考品牌型号</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456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抓拍单元</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900万像素高帧率，CMOS/GMOS高清智能摄像机，最大分辨率可达4096×2160，帧率25帧；输出图片格式：JPEG；支持LED频闪灯同步补光，防护罩内置LED车牌补光灯；红绿灯信号检测方式支持：红绿灯检测器，视频检测；支持机动车和非机动车违法检测。支持非机动车车牌定制识别；支持非机动车违章：非占机、载人、未戴头盔、逆行、闯红灯；目标检测支持非机动车、行人；车辆类型识别支持：三轮车、二轮车、自行车、行人；非机动车违法抓拍卡口模式：非机动车逆行、非机动车占道、非机动车装载伞具、未戴安全头盔、非机动车超载电警模式：非机动车闯红灯、非机动车越线停车、非机动车逆行、非机动车占道、非机动车装载伞具、未戴安全头盔、非机动车超载；镜头接口C；外置灯接口7个，光耦信号输出（可配置为闪光灯或者LED频闪灯同步输出接口，频率可设置）；网络接口2个RJ-45以太网口，支持10/100/1000M网络数据传输；USB接口2个，USB2.0接口；RS-485接口2个，可用于连接红绿灯信号检测器、车检器、补光灯等；RS-232接口4个，其中RTG用于串口调试；R1T1G、R2T2G、R3T3G连接雷达；I/O接口4个，用于I/O触发抓拍信号输入，与报警输入复用；供电方式DC12V±10%；功耗≤21W（其中相机15W，下挂灯6W）；工作温度-40℃~+65℃；工作湿度10%~90%；防护等级IP66；产品尺寸540.0mm×204.2mm×204.1mm（长×宽×高）；净重6.2kg；镜头标配16-40mm电动变焦镜头</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海康威视/iDS-TCE900-C/FJDC/HYJJ；大华DH-CP1202-RU2F-LZF1640-C1等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262"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光源类型：LED暖光，环境补光。LED灯珠数量：16颗。最佳补光距离：16米-25米。触发方式：电平量触发。响应时间：小于20us。日夜功能：支持环境亮度监测,低照度下自动开启，日夜切换支持，灵敏度可设置触发信号电平：4V-6V。防护等级：IP66。功耗40W。</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海康威视/CXBG-1-PS-DS-TL2000A-LC-HYDJ；大华/DH-ITALE-060AA-PW3525等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红绿灯检测器</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交通灯信号检测器，支持大于等于16路AC220V信号接入，与电子警察像机无缝对接，实时监测信号灯信号。</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海康威视/TLD-2016-6 ；大华DH-ITASD-020RA等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支持图片六合一，支持RTSP/ONVIF/GB28181协议，兼容多种摄像机接入；内置4块3.5寸4T硬盘；支持12路IPC接入；网络接口：设备具有16个1000M以太网接口，1个内部和1个外部10/100/1000M自适应以太网接口，1个内部和1个外部千兆可光电切换光纤接口；可配置多种字符叠加、图片合成模式；支持区间测速功能。</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海康威视/DS-TP50-12E(16T)；大华/DH-ITSE0804-GN5B-D等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421" w:type="dxa"/>
            <w:gridSpan w:val="7"/>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非机动车违法抓拍系统分析中心设备及软件</w:t>
            </w:r>
          </w:p>
        </w:tc>
      </w:tr>
      <w:tr>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101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16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参考品牌型号</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3705"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机动车违法中心分析一体机</w:t>
            </w:r>
          </w:p>
        </w:tc>
        <w:tc>
          <w:tcPr>
            <w:tcW w:w="10135"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24"/>
              </w:rPr>
            </w:pPr>
            <w:r>
              <w:rPr>
                <w:rFonts w:hint="eastAsia" w:ascii="宋体" w:hAnsi="宋体" w:cs="宋体"/>
                <w:color w:val="auto"/>
                <w:kern w:val="0"/>
                <w:sz w:val="24"/>
                <w:lang w:bidi="ar"/>
              </w:rPr>
              <w:t>支持25种机动车违法算法检测：机动车右转不礼让、违章停车检测、机动车违法禁止标线（实线变道）检测、机动车占用非机动车道检测、逆向行驶检测、机动车危险路段掉头检测、不礼让行人检测、机动车大弯小转检测、连续变道检测、路口滞留检测、违法占用公交车道检测、网格线停车检测、禁止大货车检测、越线停车检测、人行横道停车检测、变更车道影响其他车检测、违反客货分道检测、闯禁令检测、占用中运量专用车道检测、大型车占用小型车道行驶检测、车辆限时/车辆限行检测、不按导向线行驶检测、闯红灯检测。硬件参数：硬件架构：4U机架式服务器。分析能力：单台支持40路200万高清视频分析。CPU：双路Purely 高性能CPU。内存：128G。硬盘：2TB 3.5寸 SATA*3。GPU：高性能推理卡4张。网卡：千兆网口*2。电源：AC220V</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功率：≥2200W。工作温度：5°C--+35°C。工作湿度：10%--90%，无凝露。质保五年，新增算法免费升级。</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闪马/TAP11-S1040等</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4275"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中心管理平台</w:t>
            </w:r>
          </w:p>
        </w:tc>
        <w:tc>
          <w:tcPr>
            <w:tcW w:w="10135"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24"/>
              </w:rPr>
            </w:pPr>
            <w:r>
              <w:rPr>
                <w:rFonts w:hint="eastAsia" w:ascii="宋体" w:hAnsi="宋体" w:cs="宋体"/>
                <w:color w:val="auto"/>
                <w:kern w:val="0"/>
                <w:sz w:val="24"/>
                <w:lang w:bidi="ar"/>
              </w:rPr>
              <w:t>支持接入第三方厂家的前端摄像机、NVR、视频平台的视频流，进行实时道路交通安全违法行为识别；支持对需要识别道路交通违法的视频流创建分析任务，并支持自定义布控配置，以及参数调整；支持对目标车辆、追踪、违法判定的全过程标记与识别；支持取证图片抓拍，即自动抓拍违法机动车的1张车辆特写图和违法全过程前、中、后的3张全景图；支持自动保存机动车违法全程的全景图和特写图，以及违法全过程的视频录像，并可一键导出。支持通过时间、点位、违法类型等字段检索违法预警数据；支持自动汇集各摄像机点位的道路交通违法事件，对道路交通违法的点位分布、类型占比、时间趋势、以及历史发生规律进行分析统计与展示。支持对实时道路交通违法事件进行提示及分析。支持对识别的道路交通违法事件进行人工二次认或修改，可进行标记违法、作废以及删除。支持大倾斜角度下（水平方向）的道路交通违法行为识别；支持支持车头及车尾场景下的道路交通违法行为识别；支持白天及夜晚的道路交通违法行为识别；支持雨天天气下的道路交通违法行为识别；支持对机动车通过有灯控路口时，不按导向车道行驶（左转车道直行、直行车道右转）的违法行为进行识别；需提供公安部检测报告证明并加盖原厂公章。系统支持将分析数据结果推送第三方平台。含货车通行证升级开发。</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闪马/SPM-02010xA -V2等</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auto"/>
                <w:sz w:val="18"/>
                <w:szCs w:val="18"/>
              </w:rPr>
            </w:pPr>
          </w:p>
        </w:tc>
      </w:tr>
      <w:tr>
        <w:tblPrEx>
          <w:tblCellMar>
            <w:top w:w="0" w:type="dxa"/>
            <w:left w:w="108" w:type="dxa"/>
            <w:bottom w:w="0" w:type="dxa"/>
            <w:right w:w="108" w:type="dxa"/>
          </w:tblCellMar>
        </w:tblPrEx>
        <w:trPr>
          <w:trHeight w:val="285" w:hRule="atLeast"/>
          <w:jc w:val="center"/>
        </w:trPr>
        <w:tc>
          <w:tcPr>
            <w:tcW w:w="14421" w:type="dxa"/>
            <w:gridSpan w:val="7"/>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bCs/>
                <w:color w:val="auto"/>
                <w:sz w:val="24"/>
              </w:rPr>
            </w:pPr>
            <w:r>
              <w:rPr>
                <w:rFonts w:hint="eastAsia" w:ascii="宋体" w:hAnsi="宋体" w:cs="宋体"/>
                <w:b/>
                <w:bCs/>
                <w:color w:val="auto"/>
                <w:kern w:val="0"/>
                <w:sz w:val="24"/>
                <w:lang w:bidi="ar"/>
              </w:rPr>
              <w:t>危化品专项整治测速卡口</w:t>
            </w:r>
          </w:p>
        </w:tc>
      </w:tr>
      <w:tr>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10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参考品牌型号</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5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角定式雷达</w:t>
            </w:r>
          </w:p>
        </w:tc>
        <w:tc>
          <w:tcPr>
            <w:tcW w:w="10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r>
              <w:rPr>
                <w:rFonts w:hint="eastAsia" w:ascii="宋体" w:hAnsi="宋体" w:cs="宋体"/>
                <w:color w:val="auto"/>
                <w:sz w:val="24"/>
              </w:rPr>
              <w:t>采用波雷达技术，测速精度高；模拟测速误差小，符合国家电子质量检定、标定标准。频率24G，测速距离：单车道18～38m(可调整)。支持短距离目标跟踪检测，抓拍位置精准；高防护、低干扰、低功耗、长寿命、稳定可靠；进行高精度定点抓拍，抓拍位置误差在±1米之内。高增益、低副瓣微带天线设计技术，有效避免邻近车道回波干扰。极速反应时间，保证目标捕获率和实时性。工作温度-40℃～70℃。</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abs>
                <w:tab w:val="left" w:pos="517"/>
              </w:tabs>
              <w:jc w:val="left"/>
              <w:rPr>
                <w:rFonts w:hint="eastAsia" w:ascii="宋体" w:hAnsi="宋体" w:cs="宋体"/>
                <w:color w:val="auto"/>
                <w:sz w:val="24"/>
              </w:rPr>
            </w:pPr>
            <w:r>
              <w:rPr>
                <w:rFonts w:hint="eastAsia" w:ascii="宋体" w:hAnsi="宋体" w:cs="宋体"/>
                <w:color w:val="auto"/>
                <w:sz w:val="24"/>
              </w:rPr>
              <w:t>海康威视/STJ1-12； 大华/DH-ITARD-024SA-ST</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71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LED补光灯</w:t>
            </w:r>
          </w:p>
        </w:tc>
        <w:tc>
          <w:tcPr>
            <w:tcW w:w="10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光源类型：LED暖光，环境补光。LED灯珠数量：16颗。最佳补光距离：16米-25米。触发方式：电平量触发。响应时间：小于20us。日夜功能：支持环境亮度监测,低照度下自动开启，日夜切换支持，灵敏度可设置触发信号电平：4V-6V。防护等级：IP66。功耗40W。</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海康威视/CXBG-1-PS-DS-TL2000A-LC-HYDJ；  大华/DH-ITALE-060AA-PW3525等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终端服务器</w:t>
            </w:r>
          </w:p>
        </w:tc>
        <w:tc>
          <w:tcPr>
            <w:tcW w:w="10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终端服务器，嵌入式操作系统，支持图片六合一，支持RTSP/ONVIF/GB28181协议，兼容多种摄像机接入；内置4块3.5寸4T硬盘；支持12路IPC接入；网络接口：设备具有16个1000M以太网接口，1个内部和1个外部10/100/1000M自适应以太网接口，1个内部和1个外部千兆可光电切换光纤接口；可配置多种字符叠加、图片合成模式；支持区间测速功能。</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海康威视/DS-TP50-12E(16T)；大华/DH-ITSE0804-GN5B-D等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99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高清网络球机</w:t>
            </w:r>
          </w:p>
        </w:tc>
        <w:tc>
          <w:tcPr>
            <w:tcW w:w="10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400W像素。图像传感器:CMOS。最低照度彩色：0.001Lux@F1.4 黑白：0.0001Lux@F1.4 0Lux（红外灯开启）。焦距: 6-192mm可更大，光学变倍。水平范围: 360°；垂直范围: -20°-90°(自动翻转)分辨率及帧率:主码50Hz:25fps(2560×1440);60Hz:30fps(2560×1440)；视频压缩:H.265/H.264/MJPEG。GPS: 支持GPS、北斗卫星定位模块；电子罗盘: 支持；红外照射距离: 250m；防补光过曝: 支持；电源接口类型: AC24V±25%；工作温湿度: -40℃-70℃；湿度小于95%防护: IP67。</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海康威视/iDS-2DF84BFFIX-AHYDJ/SP/JM/T3(B)；大华DH-SD-8A1440XA-HNT-E等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0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车辆人脸卡口</w:t>
            </w:r>
          </w:p>
        </w:tc>
        <w:tc>
          <w:tcPr>
            <w:tcW w:w="10075" w:type="dxa"/>
            <w:tcBorders>
              <w:top w:val="nil"/>
              <w:left w:val="nil"/>
              <w:bottom w:val="nil"/>
              <w:right w:val="nil"/>
            </w:tcBorders>
            <w:shd w:val="clear" w:color="auto" w:fill="auto"/>
            <w:noWrap w:val="0"/>
            <w:vAlign w:val="bottom"/>
          </w:tcPr>
          <w:p>
            <w:pPr>
              <w:widowControl/>
              <w:textAlignment w:val="bottom"/>
              <w:rPr>
                <w:rFonts w:hint="eastAsia" w:ascii="宋体" w:hAnsi="宋体" w:cs="宋体"/>
                <w:color w:val="auto"/>
                <w:szCs w:val="21"/>
              </w:rPr>
            </w:pPr>
            <w:r>
              <w:rPr>
                <w:rFonts w:hint="eastAsia" w:ascii="宋体" w:hAnsi="宋体" w:cs="宋体"/>
                <w:color w:val="auto"/>
                <w:kern w:val="0"/>
                <w:sz w:val="24"/>
                <w:szCs w:val="24"/>
                <w:lang w:bidi="ar"/>
              </w:rPr>
              <w:t>光环保摄像机无光污染：采用先进的图像融合技术，夜间正常环境光路口，仅采用下挂灯即可输出高质量全彩图像，有效解决夜间光污染。采用CMOS/GMOS。智能高清摄像机，最大分辨率可达4096*2160，帧率大于等于25帧；输出图片格式：JPEG；支持白天用白光爆闪，晚上用内置灯加红外爆闪同步补光；抓拍图片可看清前排司乘人员人脸，并可用于后端人脸比对；支持视频触发模式；支持车牌、车型、车身颜色、车辆主品牌及子品牌、挂坠、安全带、遮阳板等信息识别；支持多种车牌种类识别：民用车牌，警用车牌，2012式新军用车牌，2012式武警车牌，新能源车牌；支持多种常见颜色（白、灰、黄、红、紫、绿、蓝、棕、黑）识别；支持多种车型识别：大客车、中型客车、大货车、小货车、面包车、小轿车及SUV；支持车辆检测处理器（RS-485协议）、雷达、补光灯的接入；支持远程数据上传，可将抓拍的图片上传给终端服务器、FTP服务器或者后端平台等；防护等级：IP65工作温度：温度-40℃~70℃。电源：100VAC～240VAC；频率：48Hz～52Hz工作湿度：湿度5%~95%@40℃，无凝结。</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海康威视/iDS-TCV900-CEFMHYDJ/50；大华DH-CP902-AU3F-C1等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161"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环保气体爆闪灯</w:t>
            </w:r>
          </w:p>
        </w:tc>
        <w:tc>
          <w:tcPr>
            <w:tcW w:w="10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灯型多功能一体型：支持暖光LED频闪、暖光LED爆闪、白光氙气爆闪、红外氙气爆闪四种模式。采用24颗高亮度LED芯片，寿命长，稳定性好，发光效率高。LED频闪支持PWM跟随触发，具有频率及占空比保护功能，发光角度10°；气体爆闪具有防误触发功能，提高产品寿命。可覆盖1个车道。频闪功率≤48W，爆闪功率≤90W；供电方式AC220V±10％。IP65设计，增加透气孔，保持内外压强均衡，可靠防水、防尘。</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海康威视/CXBG-2-MC-DS-TL3000B-I；大华DH-ITALF-300AG等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285" w:hRule="atLeast"/>
          <w:jc w:val="center"/>
        </w:trPr>
        <w:tc>
          <w:tcPr>
            <w:tcW w:w="14421"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rPr>
            </w:pPr>
            <w:r>
              <w:rPr>
                <w:rFonts w:hint="eastAsia" w:ascii="宋体" w:hAnsi="宋体" w:cs="宋体"/>
                <w:b/>
                <w:bCs/>
                <w:color w:val="auto"/>
                <w:kern w:val="0"/>
                <w:sz w:val="24"/>
                <w:lang w:bidi="ar"/>
              </w:rPr>
              <w:t>配套中心机房设备</w:t>
            </w:r>
          </w:p>
        </w:tc>
      </w:tr>
      <w:tr>
        <w:tblPrEx>
          <w:tblCellMar>
            <w:top w:w="0" w:type="dxa"/>
            <w:left w:w="108" w:type="dxa"/>
            <w:bottom w:w="0" w:type="dxa"/>
            <w:right w:w="108" w:type="dxa"/>
          </w:tblCellMar>
        </w:tblPrEx>
        <w:trPr>
          <w:trHeight w:val="2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设备名称</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性能参数</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参考品牌型号</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0" w:type="dxa"/>
            <w:left w:w="108" w:type="dxa"/>
            <w:bottom w:w="0" w:type="dxa"/>
            <w:right w:w="108" w:type="dxa"/>
          </w:tblCellMar>
        </w:tblPrEx>
        <w:trPr>
          <w:trHeight w:val="4560" w:hRule="atLeast"/>
          <w:jc w:val="center"/>
        </w:trPr>
        <w:tc>
          <w:tcPr>
            <w:tcW w:w="809"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云存储节点</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s="宋体"/>
                <w:color w:val="auto"/>
                <w:sz w:val="24"/>
              </w:rPr>
            </w:pPr>
            <w:r>
              <w:rPr>
                <w:rFonts w:hint="eastAsia" w:ascii="宋体" w:hAnsi="宋体" w:cs="宋体"/>
                <w:color w:val="auto"/>
                <w:kern w:val="0"/>
                <w:sz w:val="24"/>
                <w:lang w:bidi="ar"/>
              </w:rPr>
              <w:t>存储软件必须具有完全的软件自主知识产权，非开源软件开发，例如不能使用开源Lustre和Ceph软件等，保障后续产品的连续性，提供国家版权局颁发的《计算机软件著作权登记证书》复印件证明。存储国内市场收入（或市场发货量）排名前三，并出具IDC官方证明。分布式架构：全对称分布式架构，无独立元数据节点，性能、容量随节点数增加而线性增加。提供证明文档和官网链接。支持ONVIF、HWSDK、GB/T28181接入协议。数据保护：支持N+M冗余模式，最多可接受4个节点同时失效而不丢失数据。本次配置至少容忍2个节点/控制器失效业务不中断，数据不丢失。可基于目录的冗余配比策略，为不同数据提供不同的保护级别。前端主机网络连接：前端网卡可支持25GE/10GE 100Gbps Infiniband ，后端网卡可支持 10GE/25GE/100Gbps Infiniband。提供具有CNAS认证的权威第三方机构出具的证明材料。后端交换机统一管理：支持对后端交换机进行管理，支持查询交换机的端口状态。硬件配置：本次配置6个节点，单节点配置如下：单节点配置2颗高性能处理器，核数不低于20核；内存配置128G，可扩展至256G；节点配置4个10GE接口；节点配置2块600G SAS HDD盘用作操作系统盘，36块14TB 7.2K rpm SATA硬盘，1块3.2TB NVME SSD缓存盘；配置冗余电源风扇；存储支持性能加速、防病毒、配额管理功能。提供五年原厂技术支持与售后服务；提供五年介质不返还服务；设备生产商需在国内设有400技术服务热线；</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华为/Oceanstor9000 V5等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130" w:hRule="atLeast"/>
          <w:jc w:val="center"/>
        </w:trPr>
        <w:tc>
          <w:tcPr>
            <w:tcW w:w="809" w:type="dxa"/>
            <w:tcBorders>
              <w:top w:val="single" w:color="000000" w:sz="4" w:space="0"/>
              <w:left w:val="single" w:color="000000" w:sz="4" w:space="0"/>
              <w:bottom w:val="single" w:color="000000" w:sz="4" w:space="0"/>
              <w:right w:val="nil"/>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存储万兆交换机</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性能参数：交换容量≥4.8Tbps，包转发率≥2000Mpps，提供官网截图，以官网最小值为准。端口配置要求 ：40/100 GE 光接口≥6个，10GE/25GE光端口数量≥48个。支持Access、Trunk和Hybrid三种模式，支持QinQ，支持M-LAG或vPC等类似技术（跨框链路聚合，要求配对设备有独立的控制平面，不能用堆叠等多虚一技术实现），提供第三方测试报告；支持DLDP；支持动态MAC、静态MAC和黑洞MAC表项。三层功能：支持RIP、OSPF、ISIS、BGP等IPv4动态路由协议；支持RIPng、OSPFv3、ISISv6、BGP4+等IPv6动态路由协议；支持IP报文分片重组，提供第三方测试报告；支持BFD for OSPF，BGP，IS-IS，Static Route；支持IPv6 ND、PMTU发现；支持PQ, DWRR, PQ+DWRR调度方式；支持L2协议头、L3协议和L4协议等的组合流分类；支持双向端口限速。可靠性：支持VRRP、VRRP负载分担、BFD for VRRP ，支持硬件BFD（Bidirectional Forwarding Detection）3.3ms检测间隔，提供第三方测试报告；支持集群或堆叠多虚一技术，实现单一界面管理多台设备。安全性：支持NSH（IPv4和IPv6），提供第三方测试报告；支持IP、MAC、端口和VLAN的组合绑定；支持端口隔离。配置和维护：支持Telemetry，支持ERSPAN增强，支持VxLAN OAM: VxLAN ping, VxLAN tracert，提供第三方测试报告，支持IPCA，提供第三方测试报告，支持SNMP V1/V2/V3、Telnet、RMON、SSH。流量分析：支持Netstream，提供第三方测试报告，支持sflow。实配：交流电源冗余, 18个万兆多模光模块，一根QSFP+-40G-堆叠线缆-3m。原厂服务：五年原厂服务，设备生产商需在国内设有400技术服务热线</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华为/CE6863等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核心交换机扩容</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H3C S10508 48端口万兆以太网光接口模块(SFP+,LC)(SH）。与现有视频专网核心交换机无缝适配。</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H3C/LSUM1TGS48RSH0等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9</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万兆多模</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SFP+ 万兆模块(850nm,300m,LC)</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H3C/SFP-XG-SX-MM850-D等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8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万兆单模10KM</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SFP+ 万兆模块(1310nm,10km,LC)</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H3C/SFP-XG-LX-SM1310-D等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万兆单模40KM</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SFP+ 万兆模块(1550nm,40km,LC)</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H3C/SFP-XG-LH40-SM1550-D等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57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24口接入交换机</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H3C S5130S-28S-EI L2以太网交换机主机,支持24个10/100/1000BASE-T电口,支持4个1G/10G BASE-X SFP+端口,支持AC。与现有视频专网核心交换机无缝适配</w:t>
            </w:r>
            <w:r>
              <w:rPr>
                <w:rStyle w:val="188"/>
                <w:rFonts w:hint="default" w:ascii="宋体" w:hAnsi="宋体" w:eastAsia="宋体" w:cs="宋体"/>
                <w:color w:val="auto"/>
                <w:sz w:val="24"/>
                <w:szCs w:val="24"/>
                <w:lang w:bidi="ar"/>
              </w:rPr>
              <w:t>。</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H3C/S5130S-28S-EI等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85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14</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数据中心万兆电口交换机</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 xml:space="preserve"> L3以太网交换机主机,支持48个10GBASE-T端口,6个QSFP Plus或2个QSFP28端口。与现有上联公安局公安网核心交换机无缝适配。</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H3C/S6860-54HT等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399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视频网闸</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视频传输能力≥400路并发（每路D1画质，2Mbps），数据吞吐量≥800Mbps，并发用户数≥400，编码格式支持支持M-JEPG，MPEG4、H.264，视频分辨率：支持D4、D1、VGA、2/3D1、1/2D1、SIF、3/4D1、CIF、QCIF；视音频：支持同时传输视音频、控制码流；支持最大16台设备堆叠。控制协议：支持视频共享平台SIP控制协议；适用码流：20Kbps~8Mbps高清；数据包丢失率&lt;0.1‰；客户端身份识别：采用SNMP V3方式；支持视频源认证。1.要求支持海康、大华、宇视、立元、信产、科达 、互信互通、华为、先进视讯、天视、博康、博路、贝尔等40多种视频控制协议，可对常见视频协议的命令和参数进行分析和过滤，并可观看视频的实况、回放和云台的控制；能够直接识别各种主流的视频格式，仅允许合法的视频数据通过；要求可以直接认证内网用户使用的数字证书，支持基于公安U-key的身份认证,实现只有通过U-key认证的用户才能调取视频图像资源；要求对用户行为进行审计，包括正常登录，非法登录，非法请求，退出等；必须已经实现与省厅、市局已建边界接入平台实现无缝对接，支持已有接入平台集控系统的统一监管，上传相关数据至上级公安部管理平台；入围通过公安部组织测试的接入平台安全产品名单（并提供截图 ）。</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合众/VG-390-B等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99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16</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数据交换平台</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 xml:space="preserve">标准机架式机箱，双服务器主机架构。专用安全加固Linux操作系统。服务器专用冗余电源。稳定性运行时间(MTBF)&gt;50000小时。交换能力≥8000Mbps；并发会话30000个；数据库到数据库交换记录数（&gt;100Kb/记录）≥20000条/秒；数据文件处理文件数（&gt;100Kb/记录）≥20000个/秒；数据文件处理吞吐量≥8000Mbps；应用层数据交换速度（FTP）≥8000Mbps；最大数据文件≥30G；最大支持服务≥80；任务调度粒度秒级；目录监控触发时间&lt;1秒；最大传输延时&lt;10ms 。入围通过公安部组织测试的接入平台安全产品名单（并提供截图 ）                                 </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合众/VG-310--B-HD等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17</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万兆网闸</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接口：12个10/100/1000M电口，8个SFP插槽，8个SFP+插槽</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性能：9G bps包含全功能模块；并发60万，延时小于1ms</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其它：冗余电源，2U机架，4个USB入围通过公安部组织测试的接入平台安全产品名单（并提供截图 ）</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合众/VG-310--B-HD等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741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18</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防火墙</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采用基于DPDK驱动的第三代多核并行化架构，网络层吞吐量12G，并发连接≥320万，每秒新建连接数25万， 标准2U设备，双电源；标配16个10/100/1000M自适应千兆电接口及2个combo接口[每个Combo口为一对互斥的千兆口，即1个千兆SFP插槽（不含SFP模块）和1个千兆电口]；标配60GSSD硬盘；默认支持下一代防火墙访问控制、入侵防御、网络防病毒、上网行为及URL分类管理、流控和IPSecVPN模块；支持基于硬件Hypervisor技术的底层虚拟化，各个虚拟防火墙之间完全隔离，可运行不同的防火墙版本，拥有完全独立的CPU、内存、接口等资源。支持并开通网络入侵检测及防御功能，支持基于接口/安全域、地址、用户、服务、应用和时间的入侵防御策略设定，每个入侵防御策略均可配置检测事件及响应方式。支持IPv6环境下的入侵防御功能，支持在线、旁路及混合部署。提供SQL注入攻击、XSS攻击的检测和防御功能，对Web服务系统提供保护。支持基于威胁情报云的动态防护功能，防火墙支持将用户对互联网的访问信息发送至威胁情报云进行实时情报查询及防护。提供防火墙配置界面及威胁情报云端界面截图；支持IPv4和IPv6环境下威胁情报查询和实时防护支持并开通对HTTP、FTP、SMTP、POP3、IMAP协议的病毒检测和过滤功能；支持基于接口/安全域、地址、用户、服务、应用和时间的防病毒策略设定，提供相关界面截图。支持对文件感染型病毒、蠕虫病毒、脚本病毒、宏病毒、木马、恶意软件等过滤，病毒库数量不少于1000万。对SD-WAN隧道的时延、抖动、带宽占用率、丢包率等提供可视化展示；提供相关界面截图支持多链路智能选路，根据业务对抖动、时延和带宽的要求，在多条不同链路上智能动态选路，通过自动重传技术，实现链路切换时无丢包，业务不掉线；提供相关界面截图。支持并开通IPSec VPN和L2TP VPN，投标产品实配IPSec VPN隧道数量不少于10000条。支持并开通SSL VPN功能，投标产品实配SSL VPN并发用户数不少于3000个。提供防火墙日志云端存储与分析服务，提供无限量云端日志存储空间可将防火墙、NAT、系统和安全等日志一键上报至云端，提供相关界面截图支持微信告警推送，微信报表推送，任意时间地点的日志查询服务。对SD-WAN隧道的时延、抖动、带宽占用率、丢包率等提供可视化展示；提供相关界面截图。产品原厂商具备安全服务二级资质和应急响应一级资质。</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启明星辰/USG-FW-4000-T-NF3120</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42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19</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服务器</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2颗英特尔至强银牌4214处理器；128G内存；2*480G SSD做RAID 1 系统盘+1600GB-NVMe 固态盘作为高速读写数据盘；2G缓存RAID卡带电池保护；2*1GE+2*10GE光网卡(含模块）。长期工作环境温度支持  5-40，提供官网材料证明。支持中文BIOS界面，提供官网链接和截图证明提供五年原厂维保及介质保留服务；设备生产商需在国内设有400技术服务热线。</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华为/2288H V5等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11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数据库服务器</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2颗英特尔至强银牌4214处理器；128G内存；2*480G SSD做RAID 1 系统盘+7*1200G SAS盘；2G缓存RAID卡带电池保护；2*1GE+2*10GE光网卡(含模块）。长期工作环境温度支持  5-40，提供官网材料证明。支持中文BIOS界面，提供官网链接和截图证明提供五年原厂维保及介质保留服务；设备生产商需在国内设有400技术服务热线。</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华为/2288H V5等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r>
        <w:tblPrEx>
          <w:tblCellMar>
            <w:top w:w="0" w:type="dxa"/>
            <w:left w:w="108" w:type="dxa"/>
            <w:bottom w:w="0" w:type="dxa"/>
            <w:right w:w="108" w:type="dxa"/>
          </w:tblCellMar>
        </w:tblPrEx>
        <w:trPr>
          <w:trHeight w:val="427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项目平台</w:t>
            </w:r>
          </w:p>
        </w:tc>
        <w:tc>
          <w:tcPr>
            <w:tcW w:w="100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平台实现视频专网与公安网双网平台搭建，图片数据同步至公安网，视频实现从公网从视频专网调取。提供非现场违法数据管理能力，包含特殊规则违法去重、违法数据自动筛选、自定义违法代码与标准违法代码映射的违法预处理能力；限行规则管理，通行证申请、审核打印管理，以及根据限行证与限行规则实现限行限证管理的能力；违法数据查询、录入、驳回、废弃、审核通过上传的违法检录能力。提供图片、数据汇聚管理能力，实现电警、卡口、违停、事件、流量等前端过车与违法数据的接入、存储，提供数据查询导出能力，并支持所汇聚数据的实时转发共享；车辆实战分析（技战法应用），根据车牌号、车辆颜色等条件查询车辆通行记录，基于GIS地图分析车辆轨迹，描绘车辆动态行驶路线与行驶时间；根据地点、时间等组合条件进行轨迹反查，获取路口、路段以及区域内过车信息；一图资源展示，地图形式呈现设施设备、违法、过车、事件统计数据、热力分析等实时信息。提供运维管理能力，包含统一的日志收集管理、资产台账管理、路口信息管理及路口信息与设备关联应用；提供视频接入和存储管理功能，视频实时浏览，向客户端及电视墙提供实时音视频流媒体转发服务，PTZ控制，电子地图，用户/权限管理，站点/布局管理，录像计划管理，录像检索、回放及导出等。含原厂驻点一年，投标时提供证明材料加盖原厂公章。</w:t>
            </w:r>
          </w:p>
        </w:tc>
        <w:tc>
          <w:tcPr>
            <w:tcW w:w="17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华为等</w:t>
            </w:r>
          </w:p>
        </w:tc>
        <w:tc>
          <w:tcPr>
            <w:tcW w:w="7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4"/>
              </w:rPr>
            </w:pPr>
          </w:p>
        </w:tc>
      </w:tr>
    </w:tbl>
    <w:p>
      <w:pPr>
        <w:rPr>
          <w:rFonts w:hint="eastAsia"/>
          <w:color w:val="auto"/>
        </w:rPr>
        <w:sectPr>
          <w:pgSz w:w="16838" w:h="11906" w:orient="landscape"/>
          <w:pgMar w:top="1134" w:right="1134" w:bottom="1134" w:left="1020" w:header="851" w:footer="850" w:gutter="0"/>
          <w:pgNumType w:fmt="decimal"/>
          <w:cols w:space="720" w:num="1"/>
          <w:docGrid w:linePitch="312" w:charSpace="0"/>
        </w:sectPr>
      </w:pP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第三章 投标人须知</w:t>
      </w:r>
    </w:p>
    <w:p>
      <w:pPr>
        <w:keepNext w:val="0"/>
        <w:keepLines w:val="0"/>
        <w:pageBreakBefore w:val="0"/>
        <w:widowControl w:val="0"/>
        <w:kinsoku/>
        <w:wordWrap w:val="0"/>
        <w:overflowPunct w:val="0"/>
        <w:topLinePunct w:val="0"/>
        <w:autoSpaceDE w:val="0"/>
        <w:autoSpaceDN w:val="0"/>
        <w:bidi w:val="0"/>
        <w:adjustRightInd/>
        <w:snapToGrid/>
        <w:spacing w:before="313" w:beforeLines="100" w:after="313" w:afterLines="100" w:line="360" w:lineRule="atLeast"/>
        <w:ind w:left="0" w:leftChars="0" w:right="0" w:rightChars="0" w:firstLine="0" w:firstLineChars="0"/>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电子交易注意事项</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政府采购项目电子交易活动适用《浙江省政府采购项目电子交易管理暂行办法》，现将相关注意事项告知如下：</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240" w:firstLineChars="1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1.集中采购机构按照招标文件规定的时间通过电子交易平台组织开标、开启投标文件，所有供应商均应当准时在线参加，直至评审结束。</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240" w:firstLineChars="1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.采购过程中出现以下情形，导致电子交易平台无法正常运行，或者无法保证电子交易的公平、公正和安全时，集中采购机构可中止电子交易活动：</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（一）电子交易平台发生故障而无法登录访问的；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（二）电子交易平台应用或数据库出现错误，不能进行正常操作的；</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（三）电子交易平台发现严重安全漏洞，有潜在泄密危险的；</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（四）病毒发作导致不能进行正常操作的； </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64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（五）其他无法保证电子交易的公平、公正和安全的情况。</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44"/>
        <w:keepNext w:val="0"/>
        <w:keepLines w:val="0"/>
        <w:pageBreakBefore w:val="0"/>
        <w:widowControl w:val="0"/>
        <w:kinsoku/>
        <w:wordWrap w:val="0"/>
        <w:overflowPunct w:val="0"/>
        <w:topLinePunct w:val="0"/>
        <w:autoSpaceDE w:val="0"/>
        <w:autoSpaceDN w:val="0"/>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1"/>
        <w:keepNext w:val="0"/>
        <w:keepLines w:val="0"/>
        <w:pageBreakBefore w:val="0"/>
        <w:widowControl w:val="0"/>
        <w:kinsoku/>
        <w:wordWrap w:val="0"/>
        <w:overflowPunct w:val="0"/>
        <w:topLinePunct w:val="0"/>
        <w:autoSpaceDE w:val="0"/>
        <w:autoSpaceDN w:val="0"/>
        <w:bidi w:val="0"/>
        <w:adjustRightInd/>
        <w:snapToGrid/>
        <w:spacing w:after="0" w:line="400" w:lineRule="exact"/>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rPr>
        <w:t>.供应商须在集中采购代理机构宣布评审结束、产生中标候选人</w:t>
      </w:r>
      <w:r>
        <w:rPr>
          <w:rFonts w:hint="eastAsia" w:ascii="宋体" w:hAnsi="宋体" w:eastAsia="宋体" w:cs="宋体"/>
          <w:color w:val="auto"/>
          <w:kern w:val="0"/>
          <w:sz w:val="24"/>
          <w:szCs w:val="24"/>
          <w:highlight w:val="none"/>
          <w:shd w:val="clear" w:color="auto" w:fill="FFFFFF"/>
          <w:lang w:eastAsia="zh-CN"/>
        </w:rPr>
        <w:t>前</w:t>
      </w:r>
      <w:r>
        <w:rPr>
          <w:rFonts w:hint="eastAsia" w:ascii="宋体" w:hAnsi="宋体" w:eastAsia="宋体" w:cs="宋体"/>
          <w:color w:val="auto"/>
          <w:kern w:val="0"/>
          <w:sz w:val="24"/>
          <w:szCs w:val="24"/>
          <w:highlight w:val="none"/>
          <w:shd w:val="clear" w:color="auto" w:fill="FFFFFF"/>
        </w:rPr>
        <w:t>时刻关注，配合专家组工作，如有询标（澄清、质疑），在约定时间内（具体时间以询标函上规定的时间为准备）通过ＣＡ进行回复。未按要求回复的，视为放弃澄清。</w:t>
      </w:r>
      <w:r>
        <w:rPr>
          <w:rFonts w:hint="eastAsia" w:ascii="宋体" w:hAnsi="宋体" w:eastAsia="宋体" w:cs="宋体"/>
          <w:color w:val="auto"/>
          <w:kern w:val="0"/>
          <w:sz w:val="24"/>
          <w:highlight w:val="none"/>
          <w:shd w:val="clear" w:color="auto" w:fill="FFFFFF"/>
        </w:rPr>
        <w:br w:type="textWrapping"/>
      </w: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pStyle w:val="21"/>
        <w:keepNext w:val="0"/>
        <w:keepLines w:val="0"/>
        <w:pageBreakBefore w:val="0"/>
        <w:widowControl w:val="0"/>
        <w:kinsoku/>
        <w:wordWrap w:val="0"/>
        <w:overflowPunct w:val="0"/>
        <w:topLinePunct w:val="0"/>
        <w:autoSpaceDE w:val="0"/>
        <w:autoSpaceDN w:val="0"/>
        <w:bidi w:val="0"/>
        <w:adjustRightInd/>
        <w:spacing w:before="24" w:beforeLines="10" w:after="0" w:line="360" w:lineRule="auto"/>
        <w:ind w:left="0" w:leftChars="0" w:right="0" w:rightChars="0" w:firstLine="487" w:firstLineChars="0"/>
        <w:textAlignment w:val="auto"/>
        <w:outlineLvl w:val="9"/>
        <w:rPr>
          <w:rFonts w:hint="eastAsia" w:ascii="宋体" w:hAnsi="宋体" w:eastAsia="宋体" w:cs="宋体"/>
          <w:color w:val="auto"/>
          <w:kern w:val="0"/>
          <w:sz w:val="24"/>
          <w:highlight w:val="none"/>
          <w:shd w:val="clear" w:color="auto" w:fill="FFFFFF"/>
        </w:rPr>
      </w:pPr>
    </w:p>
    <w:p>
      <w:pPr>
        <w:keepNext w:val="0"/>
        <w:keepLines w:val="0"/>
        <w:pageBreakBefore w:val="0"/>
        <w:widowControl w:val="0"/>
        <w:kinsoku/>
        <w:wordWrap w:val="0"/>
        <w:overflowPunct w:val="0"/>
        <w:topLinePunct w:val="0"/>
        <w:autoSpaceDE w:val="0"/>
        <w:autoSpaceDN w:val="0"/>
        <w:bidi w:val="0"/>
        <w:snapToGrid w:val="0"/>
        <w:spacing w:before="120" w:beforeLines="50" w:line="360" w:lineRule="auto"/>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前附表</w:t>
      </w:r>
    </w:p>
    <w:tbl>
      <w:tblPr>
        <w:tblStyle w:val="48"/>
        <w:tblW w:w="0" w:type="auto"/>
        <w:tblInd w:w="142" w:type="dxa"/>
        <w:tblLayout w:type="fixed"/>
        <w:tblCellMar>
          <w:top w:w="0" w:type="dxa"/>
          <w:left w:w="108" w:type="dxa"/>
          <w:bottom w:w="0" w:type="dxa"/>
          <w:right w:w="108" w:type="dxa"/>
        </w:tblCellMar>
      </w:tblPr>
      <w:tblGrid>
        <w:gridCol w:w="730"/>
        <w:gridCol w:w="9041"/>
      </w:tblGrid>
      <w:tr>
        <w:tblPrEx>
          <w:tblCellMar>
            <w:top w:w="0" w:type="dxa"/>
            <w:left w:w="108" w:type="dxa"/>
            <w:bottom w:w="0" w:type="dxa"/>
            <w:right w:w="108" w:type="dxa"/>
          </w:tblCellMar>
        </w:tblPrEx>
        <w:trPr>
          <w:wBefore w:w="0" w:type="dxa"/>
          <w:wAfter w:w="0" w:type="dxa"/>
          <w:trHeight w:val="628" w:hRule="atLeast"/>
        </w:trPr>
        <w:tc>
          <w:tcPr>
            <w:tcW w:w="73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9041" w:type="dxa"/>
            <w:tcBorders>
              <w:top w:val="single" w:color="auto" w:sz="4" w:space="0"/>
              <w:left w:val="nil"/>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内容、要求</w:t>
            </w:r>
          </w:p>
        </w:tc>
      </w:tr>
      <w:tr>
        <w:tblPrEx>
          <w:tblCellMar>
            <w:top w:w="0" w:type="dxa"/>
            <w:left w:w="108" w:type="dxa"/>
            <w:bottom w:w="0" w:type="dxa"/>
            <w:right w:w="108" w:type="dxa"/>
          </w:tblCellMar>
        </w:tblPrEx>
        <w:trPr>
          <w:wBefore w:w="0" w:type="dxa"/>
          <w:wAfter w:w="0" w:type="dxa"/>
          <w:trHeight w:val="585"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041" w:type="dxa"/>
            <w:tcBorders>
              <w:top w:val="single" w:color="auto" w:sz="4" w:space="0"/>
              <w:left w:val="nil"/>
              <w:bottom w:val="single" w:color="auto" w:sz="4" w:space="0"/>
              <w:right w:val="single" w:color="auto" w:sz="4" w:space="0"/>
            </w:tcBorders>
            <w:noWrap w:val="0"/>
            <w:vAlign w:val="center"/>
          </w:tcPr>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none"/>
                <w:lang w:val="en-US" w:eastAsia="zh-CN"/>
              </w:rPr>
              <w:t>海盐县公安局交通警察大队2021年电子监控系统、信号协调控制系统租赁采购项目</w:t>
            </w:r>
          </w:p>
        </w:tc>
      </w:tr>
      <w:tr>
        <w:tblPrEx>
          <w:tblCellMar>
            <w:top w:w="0" w:type="dxa"/>
            <w:left w:w="108" w:type="dxa"/>
            <w:bottom w:w="0" w:type="dxa"/>
            <w:right w:w="108" w:type="dxa"/>
          </w:tblCellMar>
        </w:tblPrEx>
        <w:trPr>
          <w:wBefore w:w="0" w:type="dxa"/>
          <w:wAfter w:w="0" w:type="dxa"/>
          <w:trHeight w:val="277"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2021年</w:t>
            </w:r>
            <w:r>
              <w:rPr>
                <w:rFonts w:hint="eastAsia" w:ascii="宋体" w:hAnsi="宋体" w:eastAsia="宋体" w:cs="宋体"/>
                <w:color w:val="auto"/>
                <w:sz w:val="24"/>
                <w:highlight w:val="none"/>
              </w:rPr>
              <w:t>电子监控系统、信号协调控制系统租赁服务</w:t>
            </w:r>
            <w:r>
              <w:rPr>
                <w:rFonts w:hint="eastAsia" w:ascii="宋体" w:hAnsi="宋体" w:eastAsia="宋体" w:cs="宋体"/>
                <w:color w:val="auto"/>
                <w:sz w:val="24"/>
                <w:highlight w:val="none"/>
                <w:lang w:eastAsia="zh-CN"/>
              </w:rPr>
              <w:t>一项。</w:t>
            </w:r>
          </w:p>
        </w:tc>
      </w:tr>
      <w:tr>
        <w:tblPrEx>
          <w:tblCellMar>
            <w:top w:w="0" w:type="dxa"/>
            <w:left w:w="108" w:type="dxa"/>
            <w:bottom w:w="0" w:type="dxa"/>
            <w:right w:w="108" w:type="dxa"/>
          </w:tblCellMar>
        </w:tblPrEx>
        <w:trPr>
          <w:wBefore w:w="0" w:type="dxa"/>
          <w:wAfter w:w="0" w:type="dxa"/>
          <w:trHeight w:val="277"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踏勘：投标人可对本次采购项目实施现场进行现场踏勘，应携带企业法人营业执照复印件（加盖单位公章）、法定代表人身份证或法定代表人委托书、委托代理人身份证。联系人：周丹妮，联系电话：0573-86153150。</w:t>
            </w:r>
          </w:p>
        </w:tc>
      </w:tr>
      <w:tr>
        <w:tblPrEx>
          <w:tblCellMar>
            <w:top w:w="0" w:type="dxa"/>
            <w:left w:w="108" w:type="dxa"/>
            <w:bottom w:w="0" w:type="dxa"/>
            <w:right w:w="108" w:type="dxa"/>
          </w:tblCellMar>
        </w:tblPrEx>
        <w:trPr>
          <w:wBefore w:w="0" w:type="dxa"/>
          <w:wAfter w:w="0" w:type="dxa"/>
          <w:trHeight w:val="413"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9041" w:type="dxa"/>
            <w:tcBorders>
              <w:top w:val="single" w:color="auto" w:sz="4" w:space="0"/>
              <w:left w:val="nil"/>
              <w:bottom w:val="single" w:color="auto" w:sz="4" w:space="0"/>
              <w:right w:val="single" w:color="auto" w:sz="4" w:space="0"/>
            </w:tcBorders>
            <w:noWrap w:val="0"/>
            <w:vAlign w:val="center"/>
          </w:tcPr>
          <w:p>
            <w:pPr>
              <w:pStyle w:val="44"/>
              <w:keepNext w:val="0"/>
              <w:keepLines w:val="0"/>
              <w:pageBreakBefore w:val="0"/>
              <w:widowControl w:val="0"/>
              <w:kinsoku/>
              <w:overflowPunct w:val="0"/>
              <w:topLinePunct/>
              <w:autoSpaceDE w:val="0"/>
              <w:autoSpaceDN w:val="0"/>
              <w:bidi w:val="0"/>
              <w:spacing w:before="32" w:beforeLines="10" w:beforeAutospacing="0" w:after="32" w:afterLines="10" w:afterAutospacing="0" w:line="400" w:lineRule="exact"/>
              <w:ind w:right="0" w:rightChars="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▲项目预算（最高限价）：</w:t>
            </w:r>
            <w:r>
              <w:rPr>
                <w:rFonts w:hint="eastAsia" w:ascii="宋体" w:hAnsi="宋体" w:eastAsia="宋体" w:cs="宋体"/>
                <w:color w:val="auto"/>
                <w:sz w:val="24"/>
                <w:szCs w:val="24"/>
                <w:highlight w:val="none"/>
                <w:u w:val="single"/>
                <w:lang w:val="en-US" w:eastAsia="zh-CN"/>
              </w:rPr>
              <w:t>1</w:t>
            </w:r>
            <w:r>
              <w:rPr>
                <w:rFonts w:hint="eastAsia" w:eastAsia="宋体" w:cs="宋体"/>
                <w:color w:val="auto"/>
                <w:sz w:val="24"/>
                <w:szCs w:val="24"/>
                <w:highlight w:val="none"/>
                <w:u w:val="single"/>
                <w:lang w:val="en-US" w:eastAsia="zh-CN"/>
              </w:rPr>
              <w:t>8000000</w:t>
            </w:r>
            <w:r>
              <w:rPr>
                <w:rFonts w:hint="eastAsia" w:ascii="宋体" w:hAnsi="宋体" w:eastAsia="宋体" w:cs="宋体"/>
                <w:color w:val="auto"/>
                <w:sz w:val="24"/>
                <w:szCs w:val="24"/>
                <w:highlight w:val="none"/>
                <w:lang w:val="en-US" w:eastAsia="zh-CN"/>
              </w:rPr>
              <w:t>元人民币。</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最高限价为预算价，超预算价的投标文件无效。</w:t>
            </w:r>
          </w:p>
        </w:tc>
      </w:tr>
      <w:tr>
        <w:tblPrEx>
          <w:tblCellMar>
            <w:top w:w="0" w:type="dxa"/>
            <w:left w:w="108" w:type="dxa"/>
            <w:bottom w:w="0" w:type="dxa"/>
            <w:right w:w="108" w:type="dxa"/>
          </w:tblCellMar>
        </w:tblPrEx>
        <w:trPr>
          <w:wBefore w:w="0" w:type="dxa"/>
          <w:wAfter w:w="0" w:type="dxa"/>
          <w:trHeight w:val="609"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5</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投标报价及费用：</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1.本项目投标应以人民币报价；</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2.不论投标结果如何，投标人均应自行承担所有与投标有关的全部费用。</w:t>
            </w:r>
          </w:p>
        </w:tc>
      </w:tr>
      <w:tr>
        <w:tblPrEx>
          <w:tblCellMar>
            <w:top w:w="0" w:type="dxa"/>
            <w:left w:w="108" w:type="dxa"/>
            <w:bottom w:w="0" w:type="dxa"/>
            <w:right w:w="108" w:type="dxa"/>
          </w:tblCellMar>
        </w:tblPrEx>
        <w:trPr>
          <w:wBefore w:w="0" w:type="dxa"/>
          <w:wAfter w:w="0" w:type="dxa"/>
          <w:trHeight w:val="9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投标保证金：无。</w:t>
            </w:r>
          </w:p>
        </w:tc>
      </w:tr>
      <w:tr>
        <w:tblPrEx>
          <w:tblCellMar>
            <w:top w:w="0" w:type="dxa"/>
            <w:left w:w="108" w:type="dxa"/>
            <w:bottom w:w="0" w:type="dxa"/>
            <w:right w:w="108" w:type="dxa"/>
          </w:tblCellMar>
        </w:tblPrEx>
        <w:trPr>
          <w:wBefore w:w="0" w:type="dxa"/>
          <w:wAfter w:w="0" w:type="dxa"/>
          <w:trHeight w:val="828"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eastAsia="宋体" w:cs="宋体"/>
                <w:color w:val="auto"/>
                <w:sz w:val="24"/>
                <w:szCs w:val="24"/>
                <w:highlight w:val="none"/>
                <w:lang w:eastAsia="zh-CN"/>
              </w:rPr>
              <w:t>https://zfcg.czt.zj.gov.cn/</w:t>
            </w:r>
            <w:r>
              <w:rPr>
                <w:rFonts w:hint="eastAsia" w:ascii="宋体" w:hAnsi="宋体" w:eastAsia="宋体" w:cs="宋体"/>
                <w:color w:val="auto"/>
                <w:sz w:val="24"/>
                <w:szCs w:val="24"/>
                <w:highlight w:val="none"/>
              </w:rPr>
              <w:t>)上发布更正公告，请投标人在投标截止前及时关注。招标文件的要澄清、答复、修改或补充，一经在上述媒体发布，即视所有投标人都已经收到相关文件。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wBefore w:w="0" w:type="dxa"/>
          <w:wAfter w:w="0" w:type="dxa"/>
          <w:trHeight w:val="586"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采购公告发布后，在政采云平台已完成注册的供应商登陆系统，申请获取采购文件，待审核通过后，可下载采购文件。如果“已申请”标签页显示状态为“审核通过”即为报名成功。</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路径：用户中心——项目采购——获取采购文件管理。</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在“已获取”的状态下，供应商可下载查看招标文件。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获取采购文件网址：浙江政府采购网</w:t>
            </w:r>
            <w:r>
              <w:rPr>
                <w:rFonts w:hint="eastAsia" w:ascii="宋体" w:hAnsi="宋体" w:eastAsia="宋体" w:cs="宋体"/>
                <w:bCs/>
                <w:color w:val="auto"/>
                <w:sz w:val="24"/>
                <w:szCs w:val="24"/>
                <w:highlight w:val="none"/>
                <w:lang w:eastAsia="zh-CN"/>
              </w:rPr>
              <w:t>（https://zfcg.czt.zj.gov.cn/）</w:t>
            </w:r>
          </w:p>
        </w:tc>
      </w:tr>
      <w:tr>
        <w:tblPrEx>
          <w:tblCellMar>
            <w:top w:w="0" w:type="dxa"/>
            <w:left w:w="108" w:type="dxa"/>
            <w:bottom w:w="0" w:type="dxa"/>
            <w:right w:w="108" w:type="dxa"/>
          </w:tblCellMar>
        </w:tblPrEx>
        <w:trPr>
          <w:wBefore w:w="0" w:type="dxa"/>
          <w:wAfter w:w="0" w:type="dxa"/>
          <w:trHeight w:val="204"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投标文件形式、制作及组成：</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投标人应准备电子加密投标文件，按政采云平台供应商项目采购-电子招投标操作指南（网址：https://service.zcygov.cn/#/knowledges/CW1EtGwBFdiHxlNd6I3m/6IMVAG0BFdiHxlNdQ8Na?keyword）及本招标文件要求递交。</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投标文件均由资格文件、商务技术文件、报价文件组成。</w:t>
            </w:r>
          </w:p>
        </w:tc>
      </w:tr>
      <w:tr>
        <w:tblPrEx>
          <w:tblCellMar>
            <w:top w:w="0" w:type="dxa"/>
            <w:left w:w="108" w:type="dxa"/>
            <w:bottom w:w="0" w:type="dxa"/>
            <w:right w:w="108" w:type="dxa"/>
          </w:tblCellMar>
        </w:tblPrEx>
        <w:trPr>
          <w:wBefore w:w="0" w:type="dxa"/>
          <w:wAfter w:w="0" w:type="dxa"/>
          <w:trHeight w:val="346"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r>
              <w:rPr>
                <w:rFonts w:hint="eastAsia" w:ascii="宋体" w:hAnsi="宋体" w:eastAsia="宋体" w:cs="宋体"/>
                <w:color w:val="auto"/>
                <w:sz w:val="24"/>
                <w:szCs w:val="24"/>
                <w:highlight w:val="none"/>
                <w:u w:val="single"/>
                <w:lang w:val="en-US" w:eastAsia="zh-CN"/>
              </w:rPr>
              <w:t>2021 年 10 月 14 日</w:t>
            </w:r>
            <w:r>
              <w:rPr>
                <w:rFonts w:hint="eastAsia" w:ascii="宋体" w:hAnsi="宋体" w:eastAsia="宋体" w:cs="宋体"/>
                <w:color w:val="auto"/>
                <w:sz w:val="24"/>
                <w:szCs w:val="24"/>
                <w:highlight w:val="none"/>
                <w:u w:val="single"/>
              </w:rPr>
              <w:t xml:space="preserve"> 09:00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w:t>
            </w:r>
            <w:r>
              <w:rPr>
                <w:rFonts w:hint="eastAsia" w:ascii="宋体" w:hAnsi="宋体" w:eastAsia="宋体" w:cs="宋体"/>
                <w:color w:val="auto"/>
                <w:sz w:val="24"/>
                <w:szCs w:val="24"/>
                <w:highlight w:val="none"/>
                <w:u w:val="none"/>
              </w:rPr>
              <w:t>浙江政府采购网（http://zfcg.czt.zj.gov.cn/）在线投标响应</w:t>
            </w:r>
          </w:p>
        </w:tc>
      </w:tr>
      <w:tr>
        <w:tblPrEx>
          <w:tblCellMar>
            <w:top w:w="0" w:type="dxa"/>
            <w:left w:w="108" w:type="dxa"/>
            <w:bottom w:w="0" w:type="dxa"/>
            <w:right w:w="108" w:type="dxa"/>
          </w:tblCellMar>
        </w:tblPrEx>
        <w:trPr>
          <w:wBefore w:w="0" w:type="dxa"/>
          <w:wAfter w:w="0" w:type="dxa"/>
          <w:trHeight w:val="346"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电子加密投标文件的传输递交：</w:t>
            </w:r>
            <w:r>
              <w:rPr>
                <w:rFonts w:hint="eastAsia" w:ascii="宋体" w:hAnsi="宋体" w:eastAsia="宋体" w:cs="宋体"/>
                <w:color w:val="auto"/>
                <w:kern w:val="0"/>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wBefore w:w="0" w:type="dxa"/>
          <w:wAfter w:w="0" w:type="dxa"/>
          <w:trHeight w:val="598"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lang w:val="en-US" w:eastAsia="zh-CN"/>
              </w:rPr>
              <w:t>2021 年 10 月 14 日</w:t>
            </w:r>
            <w:r>
              <w:rPr>
                <w:rFonts w:hint="eastAsia" w:ascii="宋体" w:hAnsi="宋体" w:eastAsia="宋体" w:cs="宋体"/>
                <w:color w:val="auto"/>
                <w:sz w:val="24"/>
                <w:szCs w:val="24"/>
                <w:highlight w:val="none"/>
                <w:u w:val="single"/>
              </w:rPr>
              <w:t xml:space="preserve"> 09:00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登录政采云平台</w:t>
            </w:r>
            <w:r>
              <w:rPr>
                <w:rFonts w:hint="eastAsia" w:ascii="宋体" w:hAnsi="宋体" w:eastAsia="宋体" w:cs="宋体"/>
                <w:color w:val="auto"/>
                <w:sz w:val="24"/>
                <w:szCs w:val="24"/>
                <w:highlight w:val="none"/>
              </w:rPr>
              <w:t>https://login.zcygov.cn/</w:t>
            </w:r>
            <w:r>
              <w:rPr>
                <w:rFonts w:hint="eastAsia" w:ascii="宋体" w:hAnsi="宋体" w:eastAsia="宋体" w:cs="宋体"/>
                <w:color w:val="auto"/>
                <w:sz w:val="24"/>
                <w:szCs w:val="24"/>
                <w:highlight w:val="none"/>
                <w:shd w:val="clear" w:color="auto" w:fill="FFFFFF"/>
                <w:lang w:eastAsia="zh-CN"/>
              </w:rPr>
              <w:t>，进入本项目开标大厅。</w:t>
            </w:r>
          </w:p>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shd w:val="clear" w:color="auto" w:fill="FFFFFF"/>
                <w:lang w:eastAsia="zh-CN"/>
              </w:rPr>
              <w:t>供应商无需到</w:t>
            </w:r>
            <w:r>
              <w:rPr>
                <w:rFonts w:hint="eastAsia" w:ascii="宋体" w:hAnsi="宋体" w:eastAsia="宋体" w:cs="宋体"/>
                <w:b/>
                <w:bCs/>
                <w:color w:val="auto"/>
                <w:sz w:val="24"/>
                <w:szCs w:val="24"/>
                <w:highlight w:val="none"/>
                <w:shd w:val="clear" w:color="auto" w:fill="FFFFFF"/>
              </w:rPr>
              <w:t>开标现场，</w:t>
            </w:r>
            <w:r>
              <w:rPr>
                <w:rFonts w:hint="eastAsia" w:ascii="宋体" w:hAnsi="宋体" w:eastAsia="宋体" w:cs="宋体"/>
                <w:b/>
                <w:bCs/>
                <w:color w:val="auto"/>
                <w:sz w:val="24"/>
                <w:szCs w:val="24"/>
                <w:highlight w:val="none"/>
                <w:shd w:val="clear" w:color="auto" w:fill="FFFFFF"/>
                <w:lang w:eastAsia="zh-CN"/>
              </w:rPr>
              <w:t>但</w:t>
            </w:r>
            <w:r>
              <w:rPr>
                <w:rFonts w:hint="eastAsia" w:ascii="宋体" w:hAnsi="宋体" w:eastAsia="宋体" w:cs="宋体"/>
                <w:b/>
                <w:bCs/>
                <w:color w:val="auto"/>
                <w:sz w:val="24"/>
                <w:szCs w:val="24"/>
                <w:highlight w:val="none"/>
                <w:shd w:val="clear" w:color="auto" w:fill="FFFFFF"/>
              </w:rPr>
              <w:t>须准时在线参加，直至评审结束。</w:t>
            </w:r>
            <w:r>
              <w:rPr>
                <w:rFonts w:hint="eastAsia" w:ascii="宋体" w:hAnsi="宋体" w:eastAsia="宋体" w:cs="宋体"/>
                <w:b/>
                <w:bCs/>
                <w:color w:val="auto"/>
                <w:sz w:val="24"/>
                <w:szCs w:val="24"/>
                <w:highlight w:val="none"/>
                <w:shd w:val="clear" w:color="auto" w:fill="FFFFFF"/>
                <w:lang w:eastAsia="zh-CN"/>
              </w:rPr>
              <w:t>本项目涉及演示，请安排相关人员进行现场演示。</w:t>
            </w:r>
          </w:p>
        </w:tc>
      </w:tr>
      <w:tr>
        <w:tblPrEx>
          <w:tblCellMar>
            <w:top w:w="0" w:type="dxa"/>
            <w:left w:w="108" w:type="dxa"/>
            <w:bottom w:w="0" w:type="dxa"/>
            <w:right w:w="108" w:type="dxa"/>
          </w:tblCellMar>
        </w:tblPrEx>
        <w:trPr>
          <w:wBefore w:w="0" w:type="dxa"/>
          <w:wAfter w:w="0" w:type="dxa"/>
          <w:trHeight w:val="35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评标办法及评分标准：详见第四章。</w:t>
            </w:r>
          </w:p>
        </w:tc>
      </w:tr>
      <w:tr>
        <w:tblPrEx>
          <w:tblCellMar>
            <w:top w:w="0" w:type="dxa"/>
            <w:left w:w="108" w:type="dxa"/>
            <w:bottom w:w="0" w:type="dxa"/>
            <w:right w:w="108" w:type="dxa"/>
          </w:tblCellMar>
        </w:tblPrEx>
        <w:trPr>
          <w:wBefore w:w="0" w:type="dxa"/>
          <w:wAfter w:w="0" w:type="dxa"/>
          <w:trHeight w:val="9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中标公告及中标通知书：中标、成交供应商确定之日起2个工作日内，中标公告发布于浙江省政府采购网(</w:t>
            </w:r>
            <w:r>
              <w:rPr>
                <w:rFonts w:hint="eastAsia" w:ascii="宋体" w:hAnsi="宋体" w:eastAsia="宋体" w:cs="宋体"/>
                <w:color w:val="auto"/>
                <w:sz w:val="24"/>
                <w:szCs w:val="24"/>
                <w:highlight w:val="none"/>
                <w:lang w:eastAsia="zh-CN"/>
              </w:rPr>
              <w:t>http://zfcg.czt.zj.gov.cn/</w:t>
            </w:r>
            <w:r>
              <w:rPr>
                <w:rFonts w:hint="eastAsia" w:ascii="宋体" w:hAnsi="宋体" w:eastAsia="宋体" w:cs="宋体"/>
                <w:color w:val="auto"/>
                <w:sz w:val="24"/>
                <w:szCs w:val="24"/>
                <w:highlight w:val="none"/>
              </w:rPr>
              <w:t>)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wBefore w:w="0" w:type="dxa"/>
          <w:wAfter w:w="0" w:type="dxa"/>
          <w:trHeight w:val="209"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9041" w:type="dxa"/>
            <w:tcBorders>
              <w:top w:val="single" w:color="auto" w:sz="4" w:space="0"/>
              <w:left w:val="nil"/>
              <w:bottom w:val="single" w:color="auto" w:sz="4" w:space="0"/>
              <w:right w:val="single" w:color="auto" w:sz="4" w:space="0"/>
            </w:tcBorders>
            <w:noWrap w:val="0"/>
            <w:vAlign w:val="center"/>
          </w:tcPr>
          <w:p>
            <w:pPr>
              <w:wordWrap w:val="0"/>
              <w:autoSpaceDE w:val="0"/>
              <w:autoSpaceDN w:val="0"/>
              <w:snapToGrid w:val="0"/>
              <w:spacing w:before="48" w:beforeLines="20" w:after="24" w:afterLines="10" w:line="440" w:lineRule="exac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▲项目完工期：合同签订后90个日历天内完成整个系统建设并进入试运行。</w:t>
            </w:r>
          </w:p>
          <w:p>
            <w:pPr>
              <w:keepNext w:val="0"/>
              <w:keepLines w:val="0"/>
              <w:pageBreakBefore w:val="0"/>
              <w:widowControl w:val="0"/>
              <w:kinsoku/>
              <w:wordWrap w:val="0"/>
              <w:overflowPunct w:val="0"/>
              <w:topLinePunct w:val="0"/>
              <w:autoSpaceDE w:val="0"/>
              <w:autoSpaceDN w:val="0"/>
              <w:bidi w:val="0"/>
              <w:adjustRightInd w:val="0"/>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▲租赁服务期限</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统验收</w:t>
            </w:r>
            <w:r>
              <w:rPr>
                <w:rFonts w:hint="eastAsia" w:ascii="宋体" w:hAnsi="宋体" w:eastAsia="宋体" w:cs="宋体"/>
                <w:color w:val="auto"/>
                <w:sz w:val="24"/>
                <w:highlight w:val="none"/>
                <w:lang w:val="en-US" w:eastAsia="zh-CN"/>
              </w:rPr>
              <w:t>合格</w:t>
            </w:r>
            <w:r>
              <w:rPr>
                <w:rFonts w:hint="eastAsia" w:ascii="宋体" w:hAnsi="宋体" w:eastAsia="宋体" w:cs="宋体"/>
                <w:color w:val="auto"/>
                <w:sz w:val="24"/>
                <w:highlight w:val="none"/>
              </w:rPr>
              <w:t>后租赁服务期为5年，5年内系统工程的租用和使用以合同为准。</w:t>
            </w:r>
          </w:p>
        </w:tc>
      </w:tr>
      <w:tr>
        <w:tblPrEx>
          <w:tblCellMar>
            <w:top w:w="0" w:type="dxa"/>
            <w:left w:w="108" w:type="dxa"/>
            <w:bottom w:w="0" w:type="dxa"/>
            <w:right w:w="108" w:type="dxa"/>
          </w:tblCellMar>
        </w:tblPrEx>
        <w:trPr>
          <w:wBefore w:w="0" w:type="dxa"/>
          <w:wAfter w:w="0" w:type="dxa"/>
          <w:trHeight w:val="7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wBefore w:w="0" w:type="dxa"/>
          <w:wAfter w:w="0" w:type="dxa"/>
          <w:trHeight w:val="285"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履约保证金的收取及退还:本项目不设置履约保证金。</w:t>
            </w:r>
          </w:p>
        </w:tc>
      </w:tr>
      <w:tr>
        <w:tblPrEx>
          <w:tblCellMar>
            <w:top w:w="0" w:type="dxa"/>
            <w:left w:w="108" w:type="dxa"/>
            <w:bottom w:w="0" w:type="dxa"/>
            <w:right w:w="108" w:type="dxa"/>
          </w:tblCellMar>
        </w:tblPrEx>
        <w:trPr>
          <w:wBefore w:w="0" w:type="dxa"/>
          <w:wAfter w:w="0" w:type="dxa"/>
          <w:trHeight w:val="239"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采购资金来源：预算资金。</w:t>
            </w:r>
          </w:p>
        </w:tc>
      </w:tr>
      <w:tr>
        <w:tblPrEx>
          <w:tblCellMar>
            <w:top w:w="0" w:type="dxa"/>
            <w:left w:w="108" w:type="dxa"/>
            <w:bottom w:w="0" w:type="dxa"/>
            <w:right w:w="108" w:type="dxa"/>
          </w:tblCellMar>
        </w:tblPrEx>
        <w:trPr>
          <w:wBefore w:w="0" w:type="dxa"/>
          <w:wAfter w:w="0" w:type="dxa"/>
          <w:trHeight w:val="9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r>
              <w:rPr>
                <w:rFonts w:hint="eastAsia" w:ascii="宋体" w:hAnsi="宋体" w:cs="宋体"/>
                <w:color w:val="auto"/>
                <w:sz w:val="24"/>
                <w:highlight w:val="none"/>
              </w:rPr>
              <w:t>采购资金系甲方自行支付，</w:t>
            </w:r>
            <w:r>
              <w:rPr>
                <w:rFonts w:hint="eastAsia" w:ascii="宋体" w:hAnsi="宋体" w:cs="宋体"/>
                <w:iCs/>
                <w:color w:val="auto"/>
                <w:sz w:val="24"/>
                <w:highlight w:val="none"/>
              </w:rPr>
              <w:t>自验收合格之日起的下月按季度支付租金。</w:t>
            </w:r>
          </w:p>
        </w:tc>
      </w:tr>
      <w:tr>
        <w:tblPrEx>
          <w:tblCellMar>
            <w:top w:w="0" w:type="dxa"/>
            <w:left w:w="108" w:type="dxa"/>
            <w:bottom w:w="0" w:type="dxa"/>
            <w:right w:w="108" w:type="dxa"/>
          </w:tblCellMar>
        </w:tblPrEx>
        <w:trPr>
          <w:wBefore w:w="0" w:type="dxa"/>
          <w:wAfter w:w="0" w:type="dxa"/>
          <w:trHeight w:val="26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投标文件有效期：</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w:t>
            </w:r>
          </w:p>
        </w:tc>
      </w:tr>
      <w:tr>
        <w:tblPrEx>
          <w:tblCellMar>
            <w:top w:w="0" w:type="dxa"/>
            <w:left w:w="108" w:type="dxa"/>
            <w:bottom w:w="0" w:type="dxa"/>
            <w:right w:w="108" w:type="dxa"/>
          </w:tblCellMar>
        </w:tblPrEx>
        <w:trPr>
          <w:wBefore w:w="0" w:type="dxa"/>
          <w:wAfter w:w="0" w:type="dxa"/>
          <w:trHeight w:val="26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p>
        </w:tc>
        <w:tc>
          <w:tcPr>
            <w:tcW w:w="9041" w:type="dxa"/>
            <w:tcBorders>
              <w:top w:val="single" w:color="auto" w:sz="4" w:space="0"/>
              <w:left w:val="nil"/>
              <w:bottom w:val="single" w:color="auto" w:sz="4" w:space="0"/>
              <w:right w:val="single" w:color="auto" w:sz="4" w:space="0"/>
            </w:tcBorders>
            <w:noWrap w:val="0"/>
            <w:vAlign w:val="center"/>
          </w:tcPr>
          <w:p>
            <w:pPr>
              <w:pStyle w:val="27"/>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wBefore w:w="0" w:type="dxa"/>
          <w:wAfter w:w="0" w:type="dxa"/>
          <w:trHeight w:val="26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snapToGrid w:val="0"/>
              <w:spacing w:before="32" w:beforeLines="10" w:after="32" w:afterLines="10" w:line="400" w:lineRule="exact"/>
              <w:ind w:left="0" w:leftChars="0" w:right="0" w:rightChars="0" w:firstLine="0" w:firstLineChars="0"/>
              <w:jc w:val="both"/>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政府采购节能环保产品：投标产品符合财库〔2019〕9号《关于调整优化节能产品、环境标志产品政府采购执行机制的通知》条件。</w:t>
            </w:r>
          </w:p>
        </w:tc>
      </w:tr>
      <w:tr>
        <w:tblPrEx>
          <w:tblCellMar>
            <w:top w:w="0" w:type="dxa"/>
            <w:left w:w="108" w:type="dxa"/>
            <w:bottom w:w="0" w:type="dxa"/>
            <w:right w:w="108" w:type="dxa"/>
          </w:tblCellMar>
        </w:tblPrEx>
        <w:trPr>
          <w:wBefore w:w="0" w:type="dxa"/>
          <w:wAfter w:w="0" w:type="dxa"/>
          <w:trHeight w:val="279"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90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before="32" w:beforeLines="10" w:after="32" w:afterLines="10" w:line="40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解释：本招标文件的解释权属于招标采购单位。</w:t>
            </w:r>
          </w:p>
        </w:tc>
      </w:tr>
    </w:tbl>
    <w:p>
      <w:pPr>
        <w:pStyle w:val="27"/>
        <w:keepNext w:val="0"/>
        <w:keepLines w:val="0"/>
        <w:pageBreakBefore w:val="0"/>
        <w:widowControl w:val="0"/>
        <w:numPr>
          <w:ilvl w:val="0"/>
          <w:numId w:val="0"/>
        </w:numPr>
        <w:kinsoku/>
        <w:wordWrap w:val="0"/>
        <w:overflowPunct w:val="0"/>
        <w:topLinePunct w:val="0"/>
        <w:autoSpaceDE w:val="0"/>
        <w:autoSpaceDN w:val="0"/>
        <w:bidi w:val="0"/>
        <w:snapToGrid w:val="0"/>
        <w:spacing w:before="0" w:beforeLines="0" w:after="0" w:afterLines="0" w:line="400" w:lineRule="exact"/>
        <w:ind w:right="0" w:rightChars="0"/>
        <w:textAlignment w:val="auto"/>
        <w:outlineLvl w:val="0"/>
        <w:rPr>
          <w:rFonts w:hint="eastAsia" w:ascii="宋体" w:hAnsi="宋体" w:eastAsia="宋体" w:cs="宋体"/>
          <w:b/>
          <w:color w:val="auto"/>
          <w:sz w:val="28"/>
          <w:szCs w:val="28"/>
          <w:highlight w:val="none"/>
        </w:rPr>
      </w:pPr>
    </w:p>
    <w:p>
      <w:pPr>
        <w:pStyle w:val="21"/>
        <w:rPr>
          <w:rFonts w:hint="eastAsia"/>
          <w:color w:val="auto"/>
        </w:rPr>
      </w:pPr>
    </w:p>
    <w:p>
      <w:pPr>
        <w:pStyle w:val="27"/>
        <w:keepNext w:val="0"/>
        <w:keepLines w:val="0"/>
        <w:pageBreakBefore w:val="0"/>
        <w:widowControl w:val="0"/>
        <w:numPr>
          <w:ilvl w:val="0"/>
          <w:numId w:val="11"/>
        </w:numPr>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总  则</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本招标文件适用于本项目的招标、投标、评标、定标、验收、合同履约、付款等行为（法律、法规另有规定的，从其规定）。</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1.招标采购单位系指组织本次招标的代理机构（“招标人”）和采购单位。</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2.“投标人”系指向招标方提交投标文件的单位或个人。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3.“产品”系指供方按招标文件规定，须向采购人提供的一切设备、保险、税金、备品备件、工具、手册及其它有关技术资料和材料。</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4.“服务”系指招标文件规定投标人须承担的设计、安装、调试、技术协助、校准、培训、技术指导以及其他类似的义务。</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5.“项目”系指投标人按招标文件规定向采购人提供的产品和服务。</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6.“书面形式”包括信函、传真、电报等。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7.“▲”系指实质性要求条款。</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8.“★”系指核心产品。</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（三）招标方式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本次招标采用公开招标方式进行。</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（四）投标委托</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供应商无需到开标现场，但须准时在线参加，直至评审结束。</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（五）投标费用</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不论投标结果如何，投标人均应自行承担所有与投标有关的全部费用（招标文件有相反规定除外）。</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（六）联合体投标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）是否允许采购进口产品</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b w:val="0"/>
          <w:bCs w:val="0"/>
          <w:color w:val="auto"/>
          <w:kern w:val="2"/>
          <w:sz w:val="24"/>
          <w:szCs w:val="24"/>
          <w:highlight w:val="none"/>
        </w:rPr>
        <w:t>不允</w:t>
      </w:r>
      <w:r>
        <w:rPr>
          <w:rFonts w:hint="eastAsia" w:ascii="宋体" w:hAnsi="宋体" w:eastAsia="宋体" w:cs="宋体"/>
          <w:b w:val="0"/>
          <w:bCs w:val="0"/>
          <w:color w:val="auto"/>
          <w:kern w:val="2"/>
          <w:sz w:val="24"/>
          <w:szCs w:val="24"/>
          <w:highlight w:val="none"/>
          <w:lang w:eastAsia="zh-CN"/>
        </w:rPr>
        <w:t>许</w:t>
      </w:r>
      <w:r>
        <w:rPr>
          <w:rFonts w:hint="eastAsia" w:ascii="宋体" w:hAnsi="宋体" w:eastAsia="宋体" w:cs="宋体"/>
          <w:b w:val="0"/>
          <w:bCs w:val="0"/>
          <w:color w:val="auto"/>
          <w:kern w:val="2"/>
          <w:sz w:val="24"/>
          <w:szCs w:val="24"/>
          <w:highlight w:val="none"/>
        </w:rPr>
        <w:t>采购进口产品。</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）特别说明：</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1.采用最低评标价法的采购项目，提供相同品牌产品的不同投标人参加同一合同项下投标的，以其中通过资格审查、符合性审查且报价最低的参加评标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报价相同的，由采购人或者采购人委托评标委员会按照招标文件规定的方式确定一个参加评标的投标人，招标文件未规定的采取随机抽取方式确定，其他投标无效。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2.投标人投标所使用的资格、信誉、荣誉、业绩与企业认证必须为本投标人所拥有。</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3.投标人应仔细阅读招标文件的所有内容，按照招标文件的要求提交投标文件，并对所提供的全部资料的真实性承担法律责任。</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7"/>
        <w:keepNext w:val="0"/>
        <w:keepLines w:val="0"/>
        <w:pageBreakBefore w:val="0"/>
        <w:widowControl w:val="0"/>
        <w:numPr>
          <w:ilvl w:val="0"/>
          <w:numId w:val="0"/>
        </w:numPr>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）质疑和投诉</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3.供应商须在法定质疑期内一次性提出针对同一采购程序环节的质疑。</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4.供应商认为集中采购机构在质疑答复程序中启用的调查和复评等程序，在该程序操作过程未明显违反法律禁止性规定时，不得提出疑义。</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.质疑函须采用财政部发布的政府采购供应商质疑函范本（参考样式可从浙江政府采购网下载专区下载），否则采购代理机构有权要求质疑供应商改正后重新提出。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疫情防控期间，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.在线或者邮寄政府采购投诉材料当日下班时间点后收到的视为下一个工作日收到。</w:t>
      </w:r>
    </w:p>
    <w:p>
      <w:pPr>
        <w:pStyle w:val="21"/>
        <w:rPr>
          <w:rFonts w:hint="eastAsia"/>
          <w:color w:val="auto"/>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（一）招标文件的构成。本招标文件由以下部份组成：</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2.招标需求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4.评标办法及标准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5.合同主要条款</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7.本项目招标文件的澄清、答复、修改、补充的内容</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（二）投标人的风险</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投标人没有按照招标文件要求提供全部资料，或者投标人没有对招标文件在各方面作出实质性响应是投标人的风险，并可能导致其投标为无效标。</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2.采购代理机构以公告形式答复投标人要求澄清的问题，但不包含问题来源；除上述媒体发布的答复以外的其他澄清方式及澄清内容均无效。</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3.招标文件澄清、答复、修改、补充的内容为招标文件的组成部分。当招标文件与招标文件的答复、澄清、修改、补充通知就同一内容的表述不一致时，以最后发出的文件为准。</w:t>
      </w:r>
    </w:p>
    <w:p>
      <w:pPr>
        <w:pStyle w:val="39"/>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4.招标文件的澄清、答复、修改或补充都应该通过本代理机构以法定形式发布，采购人非通过本机构，不得擅自澄清、答复、修改或补充招标文件。</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三、投标文件的编制</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(一)总体要求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2.投标文件及投标人与采购有关的来往通知，函件和文件均应使用中文。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3.投标文件的形式：投标文件为电子加密投标文件，按“政府采购项目电子交易管理操作指南-供应商”及本招标文件要求制作、加密并递交。</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（二）投标文件的组成</w:t>
      </w:r>
    </w:p>
    <w:p>
      <w:pPr>
        <w:pStyle w:val="27"/>
        <w:keepNext w:val="0"/>
        <w:keepLines w:val="0"/>
        <w:pageBreakBefore w:val="0"/>
        <w:widowControl w:val="0"/>
        <w:shd w:val="clear" w:color="auto" w:fill="auto"/>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本项目所涉投标文件格式请详见第六章，未给出的格式请自拟。资格文件及商务技术文件中不得出现报价，否则投标文件将被视为无效。</w:t>
      </w: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文件中所须加盖公章部分均采用CA签章。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投标文件由资格文件、商务技术文件、报价文件三部分组成。</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资格文件：</w:t>
      </w:r>
    </w:p>
    <w:p>
      <w:pPr>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Lines="0" w:beforeAutospacing="0" w:afterLines="0" w:afterAutospacing="0"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资格声明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声明书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诚信承诺书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法定代表人资格证明书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法定代表人授权委托书（格式见第六章）</w:t>
      </w:r>
      <w:r>
        <w:rPr>
          <w:rFonts w:hint="eastAsia" w:ascii="宋体" w:hAnsi="宋体" w:eastAsia="宋体" w:cs="宋体"/>
          <w:color w:val="auto"/>
          <w:sz w:val="24"/>
          <w:szCs w:val="24"/>
          <w:highlight w:val="none"/>
          <w:lang w:eastAsia="zh-CN"/>
        </w:rPr>
        <w:t>。</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textAlignment w:val="auto"/>
        <w:rPr>
          <w:rFonts w:hint="eastAsia" w:ascii="宋体" w:hAnsi="宋体"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 xml:space="preserve">    （2）</w:t>
      </w:r>
      <w:r>
        <w:rPr>
          <w:rFonts w:hint="eastAsia" w:ascii="宋体" w:hAnsi="宋体" w:eastAsia="宋体" w:cs="宋体"/>
          <w:b w:val="0"/>
          <w:bCs w:val="0"/>
          <w:color w:val="auto"/>
          <w:sz w:val="24"/>
          <w:szCs w:val="24"/>
          <w:highlight w:val="none"/>
          <w:lang w:val="en-US" w:eastAsia="zh-CN"/>
        </w:rPr>
        <w:t>具有独立承担民事责任的能力证明：营业(经营)执照正本或副本复印件（盖单位公章）</w:t>
      </w:r>
      <w:r>
        <w:rPr>
          <w:rFonts w:hint="eastAsia" w:eastAsia="宋体" w:cs="宋体"/>
          <w:b w:val="0"/>
          <w:bCs w:val="0"/>
          <w:color w:val="auto"/>
          <w:sz w:val="24"/>
          <w:szCs w:val="24"/>
          <w:highlight w:val="none"/>
          <w:lang w:val="en-US" w:eastAsia="zh-CN"/>
        </w:rPr>
        <w:t>。</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textAlignment w:val="auto"/>
        <w:rPr>
          <w:rFonts w:hint="eastAsia" w:ascii="宋体" w:hAnsi="宋体"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 xml:space="preserve">    （3）</w:t>
      </w:r>
      <w:r>
        <w:rPr>
          <w:rFonts w:hint="eastAsia" w:ascii="宋体" w:hAnsi="宋体" w:eastAsia="宋体" w:cs="宋体"/>
          <w:b w:val="0"/>
          <w:bCs w:val="0"/>
          <w:color w:val="auto"/>
          <w:sz w:val="24"/>
          <w:szCs w:val="24"/>
          <w:highlight w:val="none"/>
          <w:lang w:val="en-US" w:eastAsia="zh-CN"/>
        </w:rPr>
        <w:t>具有良好的商业信誉和健全的财务会计制度：最近一年度财务报告。</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textAlignment w:val="auto"/>
        <w:rPr>
          <w:rFonts w:hint="eastAsia" w:ascii="宋体" w:hAnsi="宋体"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 xml:space="preserve">    （4）</w:t>
      </w:r>
      <w:r>
        <w:rPr>
          <w:rFonts w:hint="eastAsia" w:ascii="宋体" w:hAnsi="宋体" w:eastAsia="宋体" w:cs="宋体"/>
          <w:b w:val="0"/>
          <w:bCs w:val="0"/>
          <w:color w:val="auto"/>
          <w:sz w:val="24"/>
          <w:szCs w:val="24"/>
          <w:highlight w:val="none"/>
          <w:lang w:val="en-US" w:eastAsia="zh-CN"/>
        </w:rPr>
        <w:t>具有履行合同所必需的设备和专业技术能力：按采购文件要求自行提供相关材料。</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textAlignment w:val="auto"/>
        <w:rPr>
          <w:rFonts w:hint="eastAsia" w:ascii="宋体" w:hAnsi="宋体"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 xml:space="preserve">    （5）</w:t>
      </w:r>
      <w:r>
        <w:rPr>
          <w:rFonts w:hint="eastAsia" w:ascii="宋体" w:hAnsi="宋体" w:eastAsia="宋体" w:cs="宋体"/>
          <w:b w:val="0"/>
          <w:bCs w:val="0"/>
          <w:color w:val="auto"/>
          <w:sz w:val="24"/>
          <w:szCs w:val="24"/>
          <w:highlight w:val="none"/>
          <w:lang w:val="en-US" w:eastAsia="zh-CN"/>
        </w:rPr>
        <w:t>有依法缴纳税收和社会保障资金的良好记录：提供最近一个季度内依法缴纳税收的证明（税费凭证复印件或依法免缴税费的证明复印件）；提供最近一个季度内依法缴纳社会保障资金证明（缴纳凭证或人社部门出具的证明）。</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i w:val="0"/>
          <w:caps w:val="0"/>
          <w:color w:val="auto"/>
          <w:spacing w:val="0"/>
          <w:sz w:val="24"/>
          <w:szCs w:val="24"/>
          <w:highlight w:val="none"/>
          <w:shd w:val="clear" w:color="auto" w:fill="FFFFFF"/>
        </w:rPr>
        <w:t>参加政府采购活动前三年，在经营活动中没有重大违法记录</w:t>
      </w:r>
      <w:r>
        <w:rPr>
          <w:rFonts w:hint="eastAsia" w:ascii="宋体" w:hAnsi="宋体" w:eastAsia="宋体" w:cs="宋体"/>
          <w:i w:val="0"/>
          <w:caps w:val="0"/>
          <w:color w:val="auto"/>
          <w:spacing w:val="0"/>
          <w:sz w:val="24"/>
          <w:szCs w:val="24"/>
          <w:highlight w:val="none"/>
          <w:shd w:val="clear" w:color="auto" w:fill="FFFFFF"/>
          <w:lang w:eastAsia="zh-CN"/>
        </w:rPr>
        <w:t>：无重大违法记录声明函（格式见第六章）。</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481"/>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i w:val="0"/>
          <w:caps w:val="0"/>
          <w:color w:val="auto"/>
          <w:spacing w:val="0"/>
          <w:sz w:val="24"/>
          <w:szCs w:val="24"/>
          <w:highlight w:val="none"/>
          <w:shd w:val="clear" w:color="auto" w:fill="FFFFFF"/>
          <w:lang w:val="en-US" w:eastAsia="zh-CN"/>
        </w:rPr>
        <w:t>7</w:t>
      </w:r>
      <w:r>
        <w:rPr>
          <w:rFonts w:hint="eastAsia" w:ascii="宋体" w:hAnsi="宋体" w:eastAsia="宋体" w:cs="宋体"/>
          <w:i w:val="0"/>
          <w:caps w:val="0"/>
          <w:color w:val="auto"/>
          <w:spacing w:val="0"/>
          <w:sz w:val="24"/>
          <w:szCs w:val="24"/>
          <w:highlight w:val="none"/>
          <w:shd w:val="clear" w:color="auto" w:fill="FFFFFF"/>
          <w:lang w:eastAsia="zh-CN"/>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p>
      <w:pPr>
        <w:pStyle w:val="44"/>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before="0" w:beforeLines="0" w:beforeAutospacing="0" w:after="0" w:afterLines="0" w:afterAutospacing="0" w:line="400" w:lineRule="exact"/>
        <w:ind w:right="0" w:rightChars="0" w:firstLine="0"/>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eastAsia="宋体" w:cs="宋体"/>
          <w:i w:val="0"/>
          <w:caps w:val="0"/>
          <w:color w:val="auto"/>
          <w:spacing w:val="0"/>
          <w:sz w:val="24"/>
          <w:szCs w:val="24"/>
          <w:highlight w:val="none"/>
          <w:shd w:val="clear" w:color="auto" w:fill="FFFFFF"/>
          <w:lang w:val="en-US" w:eastAsia="zh-CN"/>
        </w:rPr>
        <w:t xml:space="preserve">    </w:t>
      </w:r>
      <w:r>
        <w:rPr>
          <w:rFonts w:hint="eastAsia" w:eastAsia="宋体" w:cs="宋体"/>
          <w:i w:val="0"/>
          <w:caps w:val="0"/>
          <w:color w:val="auto"/>
          <w:spacing w:val="0"/>
          <w:sz w:val="24"/>
          <w:szCs w:val="24"/>
          <w:highlight w:val="none"/>
          <w:shd w:val="clear" w:color="auto" w:fill="FFFFFF"/>
          <w:lang w:eastAsia="zh-CN"/>
        </w:rPr>
        <w:t>（</w:t>
      </w:r>
      <w:r>
        <w:rPr>
          <w:rFonts w:hint="eastAsia" w:eastAsia="宋体" w:cs="宋体"/>
          <w:i w:val="0"/>
          <w:caps w:val="0"/>
          <w:color w:val="auto"/>
          <w:spacing w:val="0"/>
          <w:sz w:val="24"/>
          <w:szCs w:val="24"/>
          <w:highlight w:val="none"/>
          <w:shd w:val="clear" w:color="auto" w:fill="FFFFFF"/>
          <w:lang w:val="en-US" w:eastAsia="zh-CN"/>
        </w:rPr>
        <w:t>8</w:t>
      </w:r>
      <w:r>
        <w:rPr>
          <w:rFonts w:hint="eastAsia" w:eastAsia="宋体" w:cs="宋体"/>
          <w:i w:val="0"/>
          <w:caps w:val="0"/>
          <w:color w:val="auto"/>
          <w:spacing w:val="0"/>
          <w:sz w:val="24"/>
          <w:szCs w:val="24"/>
          <w:highlight w:val="none"/>
          <w:shd w:val="clear" w:color="auto" w:fill="FFFFFF"/>
          <w:lang w:eastAsia="zh-CN"/>
        </w:rPr>
        <w:t>）“本项目的特定资格要求”的相关证明材料。</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hAnsi="宋体" w:eastAsia="宋体" w:cs="宋体"/>
          <w:i w:val="0"/>
          <w:caps w:val="0"/>
          <w:color w:val="auto"/>
          <w:spacing w:val="0"/>
          <w:sz w:val="24"/>
          <w:szCs w:val="24"/>
          <w:highlight w:val="none"/>
          <w:shd w:val="clear" w:color="auto" w:fill="FFFFFF"/>
          <w:lang w:val="en-US" w:eastAsia="zh-CN"/>
        </w:rPr>
        <w:t>9</w:t>
      </w:r>
      <w:r>
        <w:rPr>
          <w:rFonts w:hint="eastAsia" w:ascii="宋体" w:hAnsi="宋体" w:eastAsia="宋体" w:cs="宋体"/>
          <w:i w:val="0"/>
          <w:caps w:val="0"/>
          <w:color w:val="auto"/>
          <w:spacing w:val="0"/>
          <w:sz w:val="24"/>
          <w:szCs w:val="24"/>
          <w:highlight w:val="none"/>
          <w:shd w:val="clear" w:color="auto" w:fill="FFFFFF"/>
          <w:lang w:eastAsia="zh-CN"/>
        </w:rPr>
        <w:t>）投标人需要说明的其他文件和说明（格式略）。</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2.商务技术文件</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（1）投标人基本情况表（格式见第六章）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（2）投标单位截止投标时间前三年内的奖惩情况说明（格式自拟）</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（3）各类资质证书、认证证书、许可证等（如质量管理和质量保证体系等方面的认证证书、信誉荣誉、节能环保、本地化服务等，提供复印件加盖公章）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（4）投标人的同类成功案例的业绩证明文件：项目实施情况一览表、合同、验收证明</w:t>
      </w:r>
      <w:r>
        <w:rPr>
          <w:rFonts w:hint="eastAsia"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（格式见第六章）</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（5）商</w:t>
      </w:r>
      <w:r>
        <w:rPr>
          <w:rFonts w:hint="eastAsia" w:ascii="宋体" w:hAnsi="宋体" w:eastAsia="宋体" w:cs="宋体"/>
          <w:color w:val="auto"/>
          <w:sz w:val="24"/>
          <w:szCs w:val="24"/>
          <w:highlight w:val="none"/>
          <w:lang w:val="en-US" w:eastAsia="zh-CN"/>
        </w:rPr>
        <w:t>务响应表（格式见第六章）</w:t>
      </w:r>
    </w:p>
    <w:p>
      <w:pPr>
        <w:pStyle w:val="27"/>
        <w:wordWrap w:val="0"/>
        <w:overflowPunct w:val="0"/>
        <w:autoSpaceDE w:val="0"/>
        <w:autoSpaceDN w:val="0"/>
        <w:snapToGrid w:val="0"/>
        <w:spacing w:before="0" w:beforeLines="0" w:after="0" w:after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）投标产品详细清单（不含报价）及技术响应表，详细列明所投项目设备清单，完整配置方案及技术指标。任何含糊不清的表述对评标结果的影响将是投标人的责任。</w:t>
      </w:r>
    </w:p>
    <w:p>
      <w:pPr>
        <w:pStyle w:val="27"/>
        <w:widowControl w:val="0"/>
        <w:snapToGrid w:val="0"/>
        <w:spacing w:before="0" w:beforeLines="0" w:after="0" w:afterLines="0"/>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（7）项目实施人员一览表</w:t>
      </w:r>
    </w:p>
    <w:p>
      <w:pPr>
        <w:pStyle w:val="27"/>
        <w:snapToGrid w:val="0"/>
        <w:spacing w:before="0" w:beforeLines="0" w:after="0" w:afterLines="0"/>
        <w:ind w:firstLine="480"/>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bidi="ar-SA"/>
        </w:rPr>
        <w:t>（8）投入本项目的设备一览表</w:t>
      </w:r>
    </w:p>
    <w:p>
      <w:pPr>
        <w:spacing w:beforeLines="0" w:afterLines="0"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（9）对本项目系统总体要求的理解</w:t>
      </w:r>
    </w:p>
    <w:p>
      <w:pPr>
        <w:pStyle w:val="21"/>
        <w:spacing w:beforeLines="0" w:after="0" w:afterLines="0"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（10）前端施工和技术方案</w:t>
      </w:r>
    </w:p>
    <w:p>
      <w:pPr>
        <w:spacing w:beforeLines="0" w:afterLines="0"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（11）后端技术和保障方案</w:t>
      </w:r>
    </w:p>
    <w:p>
      <w:pPr>
        <w:pStyle w:val="21"/>
        <w:spacing w:beforeLines="0" w:after="0" w:afterLines="0" w:line="400" w:lineRule="exact"/>
        <w:ind w:firstLine="0" w:firstLineChars="0"/>
        <w:rPr>
          <w:rFonts w:hint="eastAsia" w:ascii="宋体" w:hAnsi="宋体" w:eastAsia="宋体" w:cs="宋体"/>
          <w:color w:val="auto"/>
          <w:sz w:val="24"/>
          <w:lang w:val="en-US" w:eastAsia="zh-CN"/>
        </w:rPr>
      </w:pPr>
      <w:r>
        <w:rPr>
          <w:rFonts w:hint="eastAsia" w:ascii="宋体" w:hAnsi="宋体" w:eastAsia="宋体" w:cs="宋体"/>
          <w:bCs/>
          <w:color w:val="auto"/>
          <w:spacing w:val="-4"/>
          <w:sz w:val="24"/>
          <w:szCs w:val="24"/>
          <w:highlight w:val="none"/>
          <w:lang w:val="en-US" w:eastAsia="zh-CN"/>
        </w:rPr>
        <w:t xml:space="preserve">    （12）</w:t>
      </w:r>
      <w:r>
        <w:rPr>
          <w:rFonts w:hint="eastAsia" w:ascii="宋体" w:hAnsi="宋体" w:eastAsia="宋体" w:cs="宋体"/>
          <w:bCs/>
          <w:color w:val="auto"/>
          <w:spacing w:val="-4"/>
          <w:sz w:val="24"/>
          <w:szCs w:val="24"/>
          <w:highlight w:val="none"/>
        </w:rPr>
        <w:t>服务方案</w:t>
      </w:r>
    </w:p>
    <w:p>
      <w:pPr>
        <w:pageBreakBefore w:val="0"/>
        <w:widowControl w:val="0"/>
        <w:kinsoku/>
        <w:overflowPunct/>
        <w:topLinePunct w:val="0"/>
        <w:bidi w:val="0"/>
        <w:spacing w:beforeLines="0" w:afterLines="0" w:line="400" w:lineRule="exact"/>
        <w:ind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（13）技术服务、技术培训、售后服务的内容和措施</w:t>
      </w:r>
    </w:p>
    <w:p>
      <w:pPr>
        <w:pageBreakBefore w:val="0"/>
        <w:widowControl w:val="0"/>
        <w:topLinePunct w:val="0"/>
        <w:bidi w:val="0"/>
        <w:spacing w:beforeLines="0" w:afterLines="0" w:line="400" w:lineRule="exact"/>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（14）工期进度表</w:t>
      </w:r>
    </w:p>
    <w:p>
      <w:pPr>
        <w:pStyle w:val="27"/>
        <w:widowControl w:val="0"/>
        <w:snapToGrid w:val="0"/>
        <w:spacing w:before="0" w:beforeLines="0" w:after="0" w:afterLines="0"/>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）优惠条件：投标人承诺给予采购人的各种优惠条件，包括备品备件、供选择的配套零部件和售后服务优惠承诺</w:t>
      </w:r>
    </w:p>
    <w:p>
      <w:pPr>
        <w:pStyle w:val="27"/>
        <w:widowControl w:val="0"/>
        <w:snapToGrid w:val="0"/>
        <w:spacing w:before="0" w:beforeLines="0" w:after="0" w:afterLines="0"/>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）距招标人最近的服务网点的详细介绍，包括资质资格、技术力量、服务内容及承诺</w:t>
      </w:r>
    </w:p>
    <w:p>
      <w:pPr>
        <w:pStyle w:val="27"/>
        <w:widowControl w:val="0"/>
        <w:snapToGrid w:val="0"/>
        <w:spacing w:before="0" w:beforeLines="0" w:after="0" w:afterLines="0"/>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hAnsi="宋体" w:eastAsia="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）投标人对本项目的合理化建议和改进措施</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投标人需要说明的其他内容（未尽事宜可按评分细则部分制作）。</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3.报价文件：</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（1）投标函（格式见第六章）</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（2）▲开标一览表（格式见第六章）</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）▲投标报价明细表（格式见第六章）</w:t>
      </w:r>
    </w:p>
    <w:p>
      <w:pPr>
        <w:keepNext w:val="0"/>
        <w:keepLines w:val="0"/>
        <w:pageBreakBefore w:val="0"/>
        <w:widowControl w:val="0"/>
        <w:kinsoku/>
        <w:topLinePunct w:val="0"/>
        <w:bidi w:val="0"/>
        <w:adjustRightInd/>
        <w:spacing w:line="400" w:lineRule="exact"/>
        <w:ind w:left="0" w:leftChars="0"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4"/>
          <w:highlight w:val="none"/>
          <w:lang w:val="en-US" w:eastAsia="zh-CN" w:bidi="ar-SA"/>
        </w:rPr>
        <w:t>（4）小微企业声明函、监狱和戒毒企业或残疾人福利性单位声明函（格式见第六章）</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（5）投标人针对报价需要说明的其他文件和说明（格式自拟）</w:t>
      </w:r>
    </w:p>
    <w:p>
      <w:pPr>
        <w:pStyle w:val="27"/>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（注：法定代表人授权委托书、投标声明书、投标函、开标一览表必须有法定代表人或被授权人签字（或签章）并加盖单位公章。）</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4.投标文件内容填写说明 </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eastAsia="宋体" w:cs="宋体"/>
          <w:bCs/>
          <w:color w:val="auto"/>
          <w:sz w:val="24"/>
          <w:szCs w:val="24"/>
          <w:highlight w:val="none"/>
        </w:rPr>
        <w:t>电子投标文件按政采云平台供应商项目采购-电子招投标操作指南（网址：https://service.zcygov.cn/#/knowledges/CW1EtGwBFdiHxlNd6I3m/6IMVAG0BFdiHxlNdQ8Na?keyword）及本招标文件要求制作、加密。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（2）招标文件对投标文件格式有要求的应按格式逐项填写内容，不准有空项；无相应内容可填的项应填写“无”、“未测试”、“没有相应指标”等明确的回答文字。</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（3）投标人必须保证投标文件所提供的全部资料真实可靠，并接受招标人对其中任何资料进一步审查的要求。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（4）《开标一览表》为在开标仪式上唱标的内容，要求按格式填写、统一规范，不得自行增减内容。</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（7）投标响应文件不得涂改和增删，如有错漏必须修改。</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 xml:space="preserve">    （8）由于字迹模糊或表达不清引起的后果由供应商负责。</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（三）投标文件的语言及计量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投标计量单位，招标文件已有明确规定的，使用招标文件规定的计量单位；招标文件没有规定的，应采用中华人民共和国法定计量单位（货币单位：人民币元），否则视同未响应。</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（四）投标报价</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1.投标报价应按招标文件中相关附表格式填写。</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是履行合同的价格，为含税价，且已包括项目实施所需的人工费、服务费、运输费、安装调试费、所有辅助材料、项目集成、实施及线路改造等项目所需的所有费用、制作标书费、税费及其他一切费用。</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▲3.投标文件只允许有一个报价，有选择的或有条件的报价将不予接受。</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（五）投标文件的有效期</w:t>
      </w:r>
    </w:p>
    <w:p>
      <w:pPr>
        <w:pStyle w:val="14"/>
        <w:keepNext w:val="0"/>
        <w:keepLines w:val="0"/>
        <w:pageBreakBefore w:val="0"/>
        <w:widowControl w:val="0"/>
        <w:kinsoku/>
        <w:wordWrap w:val="0"/>
        <w:overflowPunct w:val="0"/>
        <w:topLinePunct w:val="0"/>
        <w:autoSpaceDE w:val="0"/>
        <w:autoSpaceDN w:val="0"/>
        <w:bidi w:val="0"/>
        <w:snapToGrid w:val="0"/>
        <w:spacing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90</w:t>
      </w:r>
      <w:r>
        <w:rPr>
          <w:rFonts w:hint="eastAsia" w:ascii="宋体" w:hAnsi="宋体" w:eastAsia="宋体" w:cs="宋体"/>
          <w:color w:val="auto"/>
          <w:sz w:val="24"/>
          <w:szCs w:val="24"/>
          <w:highlight w:val="none"/>
        </w:rPr>
        <w:t>天投标文件应保持有效。有效期不足的投标文件将被拒绝。</w:t>
      </w:r>
    </w:p>
    <w:p>
      <w:pPr>
        <w:pStyle w:val="14"/>
        <w:keepNext w:val="0"/>
        <w:keepLines w:val="0"/>
        <w:pageBreakBefore w:val="0"/>
        <w:widowControl w:val="0"/>
        <w:kinsoku/>
        <w:wordWrap w:val="0"/>
        <w:overflowPunct w:val="0"/>
        <w:topLinePunct w:val="0"/>
        <w:autoSpaceDE w:val="0"/>
        <w:autoSpaceDN w:val="0"/>
        <w:bidi w:val="0"/>
        <w:snapToGrid w:val="0"/>
        <w:spacing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3.中标人的投标文件自开标之日起至合同履行完毕止均应保持有效。</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（六）投标保证金：免</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bookmarkStart w:id="300" w:name="_Toc359856802"/>
      <w:r>
        <w:rPr>
          <w:rFonts w:hint="eastAsia" w:ascii="宋体" w:hAnsi="宋体" w:eastAsia="宋体" w:cs="宋体"/>
          <w:b/>
          <w:color w:val="auto"/>
          <w:sz w:val="24"/>
          <w:szCs w:val="24"/>
          <w:highlight w:val="none"/>
        </w:rPr>
        <w:t>（七）投标文件的签署及规定</w:t>
      </w:r>
      <w:bookmarkEnd w:id="300"/>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电子投标文件按政采云平台供应商项目采购-电子招投标操作指南（网址：</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https://service.zcygov.cn/#/knowledges/CW1EtGwBFdiHxlNd6I3m/6IMVAG0BFdiHxlNdQ8Na?keyword</w:t>
      </w:r>
      <w:r>
        <w:rPr>
          <w:rStyle w:val="57"/>
          <w:rFonts w:hint="eastAsia" w:ascii="宋体" w:hAnsi="宋体" w:eastAsia="宋体" w:cs="宋体"/>
          <w:bCs/>
          <w:color w:val="auto"/>
          <w:sz w:val="24"/>
          <w:szCs w:val="24"/>
          <w:highlight w:val="none"/>
        </w:rPr>
        <w:t>）及本招标文件规定的格式和顺序编制电子投标文件并进行关联定位。</w:t>
      </w:r>
      <w:r>
        <w:rPr>
          <w:rFonts w:hint="eastAsia" w:ascii="宋体" w:hAnsi="宋体" w:eastAsia="宋体" w:cs="宋体"/>
          <w:bCs/>
          <w:color w:val="auto"/>
          <w:sz w:val="24"/>
          <w:szCs w:val="24"/>
          <w:highlight w:val="none"/>
        </w:rPr>
        <w:fldChar w:fldCharType="end"/>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bookmarkStart w:id="301" w:name="_Toc356371437"/>
      <w:bookmarkStart w:id="302" w:name="_Toc359856803"/>
      <w:r>
        <w:rPr>
          <w:rFonts w:hint="eastAsia" w:ascii="宋体" w:hAnsi="宋体" w:eastAsia="宋体" w:cs="宋体"/>
          <w:b/>
          <w:color w:val="auto"/>
          <w:sz w:val="24"/>
          <w:szCs w:val="24"/>
          <w:highlight w:val="none"/>
        </w:rPr>
        <w:t>（八）投标文件的递交</w:t>
      </w:r>
      <w:bookmarkEnd w:id="301"/>
      <w:bookmarkEnd w:id="302"/>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1.递交投标文件截止期</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2.投标文件的修改和撤销</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（1）投标人在递交投标文件后，可以修改或撤回其投标文件：递交投标文件截止时间之前补充或者修改电子投标文件的，应当先行撤回原文件，补充、修改后重新传输递交。</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（2）投标人修改后的投标文件应按原来的规定编制、密封、标记和递交。</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（3）在递交投标文件截止期之后，投标人不得对其投标文件做任何修改。</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（4）递交投标文件截止期后，投标人不得撤回其投标文件。</w:t>
      </w:r>
    </w:p>
    <w:p>
      <w:pPr>
        <w:keepNext w:val="0"/>
        <w:keepLines w:val="0"/>
        <w:pageBreakBefore w:val="0"/>
        <w:widowControl w:val="0"/>
        <w:kinsoku/>
        <w:wordWrap w:val="0"/>
        <w:overflowPunct w:val="0"/>
        <w:topLinePunct w:val="0"/>
        <w:autoSpaceDE w:val="0"/>
        <w:autoSpaceDN w:val="0"/>
        <w:bidi w:val="0"/>
        <w:adjustRightInd w:val="0"/>
        <w:snapToGrid w:val="0"/>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（5）实质上没有响应本文件要求的投标文件将被拒绝。投标人不得通过修正或撤销不合要求的偏离或保留从而使其投标文件成为实质上响应的文件。</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（九）投标无效的情形</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根据《政府采购货物和服务招标投标管理办法》有下列情形之一的，视为投标人串通投标，其投标无效：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(一)不同投标人的投标文件由同一单位或者个人编制；</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(二)不同投标人委托同一单位或者个人办理投标事宜；</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(三)不同投标人的投标文件载明的项目管理成员或者联系人员为同一人；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(四)不同投标人的投标文件异常一致或者投标报价呈规律性差异；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(五)不同投标人的投标文件相互混装；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(六)不同投标人的投标保证金从同一单位或者个人的账户转出。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numPr>
          <w:ilvl w:val="0"/>
          <w:numId w:val="12"/>
        </w:numPr>
        <w:kinsoku/>
        <w:wordWrap w:val="0"/>
        <w:overflowPunct w:val="0"/>
        <w:topLinePunct w:val="0"/>
        <w:autoSpaceDE w:val="0"/>
        <w:autoSpaceDN w:val="0"/>
        <w:bidi w:val="0"/>
        <w:snapToGrid w:val="0"/>
        <w:spacing w:line="400" w:lineRule="exact"/>
        <w:ind w:left="0" w:leftChars="0" w:right="0" w:rightChars="0" w:firstLine="466"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电</w:t>
      </w:r>
      <w:r>
        <w:rPr>
          <w:rFonts w:hint="eastAsia" w:ascii="宋体" w:hAnsi="宋体" w:eastAsia="宋体" w:cs="宋体"/>
          <w:b/>
          <w:bCs/>
          <w:color w:val="auto"/>
          <w:sz w:val="24"/>
          <w:szCs w:val="24"/>
          <w:highlight w:val="none"/>
        </w:rPr>
        <w:t xml:space="preserve">子加密投标文件解密失败的；   </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2.没有通过资格审查的，投标文件将被视为无效。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3.在符合性审查和资信商务评审时，如发现下列情形之一的，投标文件将被视为无效：</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（1）电子投标文件未按规定要求提供电子签章的。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（2）在资格文件或商务技术文件中出现报价的；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（3）资格证明文件不全的，或者不符合招标文件标明的资格要求的；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（4）投标文件无法定代表人签字（或盖章）,或未</w:t>
      </w:r>
      <w:r>
        <w:rPr>
          <w:rFonts w:hint="eastAsia" w:ascii="宋体" w:hAnsi="宋体" w:eastAsia="宋体" w:cs="宋体"/>
          <w:bCs/>
          <w:color w:val="auto"/>
          <w:kern w:val="0"/>
          <w:sz w:val="24"/>
          <w:szCs w:val="24"/>
          <w:highlight w:val="none"/>
        </w:rPr>
        <w:t>提供法定代表人授权委托书、投标声明书或者填写项目不齐全的；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（5）投标代表人未能出具身份证明或与法定代表人授权委托人身份不符的；</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（6）投标文件项目不齐全或者内容虚假的；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7）</w:t>
      </w:r>
      <w:r>
        <w:rPr>
          <w:rFonts w:hint="eastAsia" w:ascii="宋体" w:hAnsi="宋体" w:eastAsia="宋体" w:cs="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snapToGrid w:val="0"/>
          <w:color w:val="auto"/>
          <w:sz w:val="24"/>
          <w:szCs w:val="24"/>
          <w:highlight w:val="none"/>
        </w:rPr>
        <w:t>投标有效期、交货时间、质保期等商务条款不能满足招标文件要求的；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9）</w:t>
      </w:r>
      <w:r>
        <w:rPr>
          <w:rFonts w:hint="eastAsia" w:ascii="宋体" w:hAnsi="宋体" w:eastAsia="宋体" w:cs="宋体"/>
          <w:color w:val="auto"/>
          <w:sz w:val="24"/>
          <w:szCs w:val="24"/>
          <w:highlight w:val="none"/>
        </w:rPr>
        <w:t>未实质性响应招标文件要求或者投标文件有招标方不能接受的附加条件的</w:t>
      </w:r>
      <w:r>
        <w:rPr>
          <w:rFonts w:hint="eastAsia" w:ascii="宋体" w:hAnsi="宋体" w:eastAsia="宋体" w:cs="宋体"/>
          <w:snapToGrid w:val="0"/>
          <w:color w:val="auto"/>
          <w:sz w:val="24"/>
          <w:szCs w:val="24"/>
          <w:highlight w:val="none"/>
        </w:rPr>
        <w:t>；</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4.在技术评审时，如发现下列情形之一的，投标文件将被视为无效：</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（1）未提供或未如实提供投标货物的技术参数，或者投标文件标明的响应或偏离与事实不符或虚假投标的；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napToGrid w:val="0"/>
          <w:color w:val="auto"/>
          <w:sz w:val="24"/>
          <w:szCs w:val="24"/>
          <w:highlight w:val="none"/>
        </w:rPr>
        <w:t>明显不符合招标文件要求的规格型号、质量标准，或者与</w:t>
      </w:r>
      <w:r>
        <w:rPr>
          <w:rFonts w:hint="eastAsia" w:ascii="宋体" w:hAnsi="宋体" w:eastAsia="宋体" w:cs="宋体"/>
          <w:color w:val="auto"/>
          <w:sz w:val="24"/>
          <w:szCs w:val="24"/>
          <w:highlight w:val="none"/>
        </w:rPr>
        <w:t>招标文件中标“▲”的技术指标、主要功能项目发生实质性偏离的；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（3）投标技术方案不明确，存在一个或一个以上备选（替代）投标方案的；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（4）与其他参加本次投标供应商的投标文件（技术文件）的文字表述内容相同连续20行以上或者差错相同2处以上的；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5.在报价评审时，如发现下列情形之一的，投标文件将被视为无效：</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（1）未采用人民币报价或者未按照招标文件标明的币种报价的；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（2）报价超出最高限价，或者超出采购预算金额(自主创新产品除外)，采购人不能支付的；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（3）投标报价具有选择性，或者开标价格与投标文件承诺的优惠（折扣）价格不一致的；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（4）投标报价明细表总额与开标一览表总价不一致，且高于总价5％的；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6.被拒绝的投标文件为无效；</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7.存在带“▲”条款的负偏离的；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8.本招标文件其他部分已规定为无效标的情形；</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6"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9.评标专家认定的其他必须按无效标处理的。</w:t>
      </w:r>
    </w:p>
    <w:p>
      <w:pPr>
        <w:pStyle w:val="27"/>
        <w:keepNext w:val="0"/>
        <w:keepLines w:val="0"/>
        <w:pageBreakBefore w:val="0"/>
        <w:widowControl w:val="0"/>
        <w:kinsoku/>
        <w:wordWrap w:val="0"/>
        <w:overflowPunct w:val="0"/>
        <w:topLinePunct w:val="0"/>
        <w:autoSpaceDE w:val="0"/>
        <w:autoSpaceDN w:val="0"/>
        <w:bidi w:val="0"/>
        <w:adjustRightInd/>
        <w:snapToGrid w:val="0"/>
        <w:spacing w:before="32" w:beforeLines="10" w:after="0" w:afterLines="0" w:line="400" w:lineRule="exact"/>
        <w:ind w:left="0" w:leftChars="0" w:right="0" w:rightChars="0" w:firstLine="0" w:firstLineChars="0"/>
        <w:jc w:val="both"/>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rPr>
        <w:t>出现以下情形，导致电子交易平台无法正常运行，或者无法保证电子交易的公平、公正和安全时，中止电子交易活动：</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1.电子交易平台发生</w:t>
      </w:r>
      <w:r>
        <w:rPr>
          <w:rFonts w:hint="eastAsia" w:ascii="宋体" w:hAnsi="宋体" w:eastAsia="宋体" w:cs="宋体"/>
          <w:color w:val="auto"/>
          <w:sz w:val="24"/>
          <w:szCs w:val="24"/>
          <w:highlight w:val="none"/>
        </w:rPr>
        <w:t>故障而无法登录访问的；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4.病毒发作导致不能进行正常操作的；</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pPr>
        <w:pStyle w:val="22"/>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（一）开标准备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采购组织机构原则上采用电子评标，按照招标文件规定的时间通过“政府采购云平台”组织开标、开启投标文件，所有供应商可以派授权代表参加或准时在线参加。</w:t>
      </w:r>
      <w:r>
        <w:rPr>
          <w:rFonts w:hint="eastAsia" w:ascii="宋体" w:hAnsi="宋体" w:eastAsia="宋体" w:cs="宋体"/>
          <w:b/>
          <w:color w:val="auto"/>
          <w:kern w:val="0"/>
          <w:sz w:val="24"/>
          <w:szCs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 采购人或者集中采购机构职责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采购人或者集中采购机构负责组织评标工作，并履行下列职责：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1.核对评审专家身份和采购人代表授权函，对评审专家在政府采购活动中的职责履行情况予以记录，并及时将有关违法违规行为向财政部门报告；</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2.宣布评标纪律；</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3.公布投标人名单，告知评审专家应当回避的情形；</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4.组织评标委员会推选评标组长，采购人代表不得担任组长；</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5.在评标期间采取必要的通讯管理措施，保证评标活动不受外界干扰；</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6.根据评标委员会的要求介绍政府采购相关政策法规、招标文件；</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7.维护评标秩序，监督评标委员会依照招标文件规定的评标程序、方法和标准进行独立评审，及时制止和纠正采购人代表、评审专家的倾向性言论或者违法违规行为；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8.核对评标结果，有本办法第六十四条规定情形的，要求评标委员会复核或者书面说明理由，评标委员会拒绝的，应予记录并向本级财政部门报告；</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9.评审工作完成后，按照规定向评审专家支付劳务报酬和异地评审差旅费，不得向评审专家以外的其他人员支付评审劳务报酬；</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10.处理与评标有关的其他事项。</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（三）开标程序</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本项目原则上采用政采云电子招投标开标及评审程序，但有下情形之一的，按以下情况处理：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1.开标会由采购代理机构主持，主持人宣布开标会议开始；</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2.主持人介绍参加开标会的人员名单； </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3.主持人宣布评标期间的有关事项；告知应当回避的情形,提请有关人员回避；</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4.电子投标文件开标: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（2）由采购人代表对资格审查文件进行评审，评标委员会对技术商务文件进行评审。</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（3）在系统上公开资格审查和技术商务评审结果；</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（4）在系统上公开报价开标情况；</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（5）评标委员会对报价情况进行评审；</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（6）在系统上公布评审结果。</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特别说明：政采云公司如对电子化开标及评审程序有调整的，按调整后的程序操作。</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1"/>
        <w:rPr>
          <w:rFonts w:hint="eastAsia" w:ascii="宋体" w:hAnsi="宋体" w:eastAsia="宋体" w:cs="宋体"/>
          <w:b/>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kern w:val="2"/>
          <w:sz w:val="24"/>
          <w:szCs w:val="24"/>
          <w:highlight w:val="none"/>
          <w:lang w:val="en-US" w:eastAsia="zh-CN" w:bidi="ar-SA"/>
        </w:rPr>
        <w:t>组建评标委员会</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本项目评标委员会由采购人代表和有关技术、经济等方面的专家组成，成员人数为</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人以上单数。其中，技术、经济等方面的专家不得少于成员总数的三分之二。</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评标委员会负责具体评标事务，并独立履行下列职责：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1.审查、评价投标文件是否符合招标文件的商务、技术等实质性要求；</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2.要求投标人对投标文件有关事项作出澄清或者说明；</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3.对投标文件进行比较和评价；</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4.确定中标候选人名单，以及根据采购人委托直接确定中标人；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5.向采购人、集中采购机构或者有关部门报告评标中发现的违法行为。</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除采购人代表、评标现场组织人员外，采购人的其他工作人员以及与评标工作无关的人员不得进入评标现场。</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（二）</w:t>
      </w:r>
      <w:r>
        <w:rPr>
          <w:rFonts w:hint="eastAsia" w:ascii="宋体" w:hAnsi="宋体" w:eastAsia="宋体" w:cs="宋体"/>
          <w:b/>
          <w:bCs/>
          <w:color w:val="auto"/>
          <w:kern w:val="2"/>
          <w:sz w:val="24"/>
          <w:szCs w:val="24"/>
          <w:highlight w:val="none"/>
          <w:lang w:val="en-US" w:eastAsia="zh-CN" w:bidi="ar-SA"/>
        </w:rPr>
        <w:t>评标的方式</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lang w:val="en-US" w:eastAsia="zh-CN" w:bidi="ar-SA"/>
        </w:rPr>
        <w:t>本项目采用不公开方式评标，评标的依据为招标文件和投标文件</w:t>
      </w:r>
      <w:r>
        <w:rPr>
          <w:rFonts w:hint="eastAsia" w:ascii="宋体" w:hAnsi="宋体" w:eastAsia="宋体" w:cs="宋体"/>
          <w:color w:val="auto"/>
          <w:sz w:val="24"/>
          <w:szCs w:val="24"/>
          <w:highlight w:val="none"/>
        </w:rPr>
        <w:t>。</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1.形式审查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采购人代表和代理机构工作人员协助评标委员会对投标人的资格和投标文件的完整性、合法性等进行审查。</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2.实质审查与比较</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（1）评标委员会审查投标文件的实质性内容是否符合招标文件的实质性要求。</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（2）评标委员会将根据投标人的投标文件进行审查、核对,如有疑问,将对投标人进行询标,投标人要向评标委员会澄清有关问题,并最终以书面形式进行答复。</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投标人代表未到场、未在线或者拒绝澄清或者澄清的内容改变了投标文件的实质性内容的，评标委员会有权对该投标文件作出不利于投标人的评判。</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（3）各投标人的技术得分为所有评委的有效评分的算术平均数，由指定专人进行计算复核。</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（4）海盐县公共资源交易中心工作人员协助评标委员会根据本项目的评分标准计算各投标人的商务报价得分。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（5）评标委员会完成评标后,评委对各部分得分汇总,计算出本项目最终得分、性价比、评标价等。评标委员会按评标原则推荐中标候选人同时起草评标报告。</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（四）澄清问题的形式</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对投标文件中含义不明确、同类问题表述不一致或者有明显文字和计算错误的内容，评标委员会可要求供应商作出必要的澄清、说明或者纠正。</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2.如果供应商代表拒绝或未按评标委员会要求在“政采云”平台作出在线回复且无其他有效回复方式的，评标委员会可以对其作出无效标处理。</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bCs/>
          <w:color w:val="auto"/>
          <w:kern w:val="2"/>
          <w:sz w:val="24"/>
          <w:szCs w:val="24"/>
          <w:highlight w:val="none"/>
          <w:lang w:val="en-US" w:eastAsia="zh-CN" w:bidi="ar-SA"/>
        </w:rPr>
        <w:t>错误修正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投标文件报价出现前后不一致的，除招标文件另有规定外按照下列规定修正：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4.总价金额与按单价汇总金额不一致的，以单价金额计算结果为准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5.电子投标流程中，客户端填写的报价与以pdf格式上传文件中的报价不一致的，应以Pdf格式上传文件中的报价为准</w:t>
      </w:r>
      <w:r>
        <w:rPr>
          <w:rFonts w:hint="eastAsia" w:ascii="宋体" w:hAnsi="宋体" w:eastAsia="宋体" w:cs="宋体"/>
          <w:color w:val="auto"/>
          <w:sz w:val="24"/>
          <w:szCs w:val="24"/>
          <w:highlight w:val="none"/>
        </w:rPr>
        <w:t>。</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r>
        <w:rPr>
          <w:rFonts w:hint="eastAsia" w:ascii="宋体" w:hAnsi="宋体" w:eastAsia="宋体" w:cs="宋体"/>
          <w:b/>
          <w:bCs/>
          <w:color w:val="auto"/>
          <w:kern w:val="2"/>
          <w:sz w:val="24"/>
          <w:szCs w:val="24"/>
          <w:highlight w:val="none"/>
          <w:lang w:val="en-US" w:eastAsia="zh-CN" w:bidi="ar-SA"/>
        </w:rPr>
        <w:t>评标原则和评标办法</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2.评标办法。本项目评标办法是</w:t>
      </w:r>
      <w:r>
        <w:rPr>
          <w:rFonts w:hint="eastAsia" w:ascii="宋体" w:hAnsi="宋体" w:eastAsia="宋体" w:cs="宋体"/>
          <w:color w:val="auto"/>
          <w:sz w:val="24"/>
          <w:szCs w:val="24"/>
          <w:highlight w:val="none"/>
          <w:u w:val="single"/>
        </w:rPr>
        <w:t xml:space="preserve"> 综合评分法 </w:t>
      </w:r>
      <w:r>
        <w:rPr>
          <w:rFonts w:hint="eastAsia" w:ascii="宋体" w:hAnsi="宋体" w:eastAsia="宋体" w:cs="宋体"/>
          <w:color w:val="auto"/>
          <w:sz w:val="24"/>
          <w:szCs w:val="24"/>
          <w:highlight w:val="none"/>
        </w:rPr>
        <w:t>，具体评标内容及评分标准等详见《第四章：评标办法及评分标准》。</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bCs/>
          <w:color w:val="auto"/>
          <w:kern w:val="2"/>
          <w:sz w:val="24"/>
          <w:szCs w:val="24"/>
          <w:highlight w:val="none"/>
          <w:lang w:val="en-US" w:eastAsia="zh-CN" w:bidi="ar-SA"/>
        </w:rPr>
        <w:t>评标过程的监控</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本项目评标过程实行全程录音、录像监控，且有</w:t>
      </w:r>
      <w:r>
        <w:rPr>
          <w:rFonts w:hint="eastAsia" w:ascii="宋体" w:hAnsi="宋体" w:eastAsia="宋体" w:cs="宋体"/>
          <w:color w:val="auto"/>
          <w:sz w:val="24"/>
          <w:szCs w:val="24"/>
          <w:highlight w:val="none"/>
          <w:u w:val="single"/>
        </w:rPr>
        <w:t xml:space="preserve"> 海盐县政府采购监督员 </w:t>
      </w:r>
      <w:r>
        <w:rPr>
          <w:rFonts w:hint="eastAsia" w:ascii="宋体" w:hAnsi="宋体" w:eastAsia="宋体" w:cs="宋体"/>
          <w:color w:val="auto"/>
          <w:sz w:val="24"/>
          <w:szCs w:val="24"/>
          <w:highlight w:val="none"/>
        </w:rPr>
        <w:t>进行现场监督，投标人在评标过程中所进行的试图影响评标结果的不公正活动，可能导致其投标被拒绝。</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textAlignment w:val="auto"/>
        <w:rPr>
          <w:rFonts w:hint="eastAsia" w:ascii="宋体" w:hAnsi="宋体" w:eastAsia="宋体" w:cs="宋体"/>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六、定标</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1.采购代理机构在评标结束后2个工作日内将评标报告交采购人确认，同时在发布招标公告的网站上对评标结果进行公示。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如有投标人对评标结果提出质疑的，采购人可在质疑处理完毕后确定中标人。</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3.采购人依法确定中标人后2个工作日内，采购代理机构以书面形式发出《中标通知书》,并同时在相关网站上发布中标公告。</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七、合同授予</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（一）签订合同</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1.采购人与中标人应当在《中标通知书》发出之日起30日内签订政府采购合同。同时，集中采购机构对合同内容进行审查，如发现与采购结果和投标承诺内容不一致的，将予以纠正。</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2.中标人拖延、拒签合同的,将被列入不良行为记录或黑名单，由此产生的一切不利后果由中标人自行承担。</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40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（二）履约保证金及质量保证金</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keepNext w:val="0"/>
        <w:keepLines w:val="0"/>
        <w:pageBreakBefore w:val="0"/>
        <w:widowControl w:val="0"/>
        <w:kinsoku/>
        <w:wordWrap w:val="0"/>
        <w:overflowPunct w:val="0"/>
        <w:topLinePunct w:val="0"/>
        <w:autoSpaceDE w:val="0"/>
        <w:autoSpaceDN w:val="0"/>
        <w:bidi w:val="0"/>
        <w:snapToGrid w:val="0"/>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2.签订合同后，如中标人不按双方合同约定履约，则没收其全部履约保证金，履约保证金不足以赔偿损失的，按实际损失赔偿。</w:t>
      </w:r>
    </w:p>
    <w:p>
      <w:pPr>
        <w:keepNext w:val="0"/>
        <w:keepLines w:val="0"/>
        <w:pageBreakBefore w:val="0"/>
        <w:widowControl w:val="0"/>
        <w:kinsoku/>
        <w:wordWrap w:val="0"/>
        <w:overflowPunct w:val="0"/>
        <w:topLinePunct w:val="0"/>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评标办法及评分标准</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为公正、公平、科学地选择中标人，根据《中华人民共和国政府采购法》等有关法律法规的规定，并结合本项目的实际，制定本办法。</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本办法适用于</w:t>
      </w:r>
      <w:r>
        <w:rPr>
          <w:rFonts w:hint="eastAsia" w:ascii="宋体" w:hAnsi="宋体" w:eastAsia="宋体" w:cs="宋体"/>
          <w:color w:val="auto"/>
          <w:sz w:val="24"/>
          <w:highlight w:val="none"/>
          <w:u w:val="single"/>
        </w:rPr>
        <w:t>本项目</w:t>
      </w:r>
      <w:r>
        <w:rPr>
          <w:rFonts w:hint="eastAsia" w:ascii="宋体" w:hAnsi="宋体" w:eastAsia="宋体" w:cs="宋体"/>
          <w:color w:val="auto"/>
          <w:sz w:val="24"/>
          <w:highlight w:val="none"/>
        </w:rPr>
        <w:t>的评标。</w:t>
      </w:r>
    </w:p>
    <w:p>
      <w:pPr>
        <w:pStyle w:val="5"/>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left"/>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一、总则</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本次评标采用综合评分法。总分为100分，其中技术商务资信得分为</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分，报价得分为</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分。合格投标人的评标综合得分为各项目汇总得分，中标候选资格按评标得分由高到低顺序排列，得分相同的，按投标报价由低到高顺序排列；得分且投标报价相同的，按技术得分中的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none"/>
          <w:lang w:val="en-US" w:eastAsia="zh-CN"/>
        </w:rPr>
        <w:t>技术</w:t>
      </w:r>
      <w:r>
        <w:rPr>
          <w:rFonts w:hint="eastAsia" w:ascii="宋体" w:hAnsi="宋体" w:eastAsia="宋体" w:cs="宋体"/>
          <w:color w:val="auto"/>
          <w:sz w:val="24"/>
          <w:highlight w:val="none"/>
          <w:u w:val="none"/>
          <w:lang w:eastAsia="zh-CN"/>
        </w:rPr>
        <w:t>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none"/>
        </w:rPr>
        <w:t>得分</w:t>
      </w:r>
      <w:r>
        <w:rPr>
          <w:rFonts w:hint="eastAsia" w:ascii="宋体" w:hAnsi="宋体" w:eastAsia="宋体" w:cs="宋体"/>
          <w:color w:val="auto"/>
          <w:sz w:val="24"/>
          <w:highlight w:val="none"/>
        </w:rPr>
        <w:t>由高到低顺序排列，仍不能分出前后的，由评委抽签确定。评分过程中采用四舍五入法，并保留小数2位。</w:t>
      </w:r>
    </w:p>
    <w:p>
      <w:pPr>
        <w:keepNext w:val="0"/>
        <w:keepLines w:val="0"/>
        <w:pageBreakBefore w:val="0"/>
        <w:widowControl w:val="0"/>
        <w:kinsoku/>
        <w:wordWrap w:val="0"/>
        <w:overflowPunct w:val="0"/>
        <w:topLinePunct w:val="0"/>
        <w:autoSpaceDE w:val="0"/>
        <w:autoSpaceDN w:val="0"/>
        <w:bidi w:val="0"/>
        <w:adjustRightInd/>
        <w:snapToGrid/>
        <w:spacing w:before="63" w:beforeLines="20" w:after="63" w:afterLines="20" w:line="400" w:lineRule="exact"/>
        <w:ind w:left="0" w:leftChars="0" w:right="0" w:rightChars="0" w:firstLine="482" w:firstLineChars="0"/>
        <w:jc w:val="both"/>
        <w:textAlignment w:val="auto"/>
        <w:outlineLvl w:val="9"/>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投标人评标综合得分=报价得分+技术商务资信得分</w:t>
      </w:r>
    </w:p>
    <w:p>
      <w:pPr>
        <w:pStyle w:val="5"/>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left"/>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rPr>
        <w:t xml:space="preserve">  二、评标内容及标准</w:t>
      </w:r>
    </w:p>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0"/>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z w:val="24"/>
          <w:szCs w:val="24"/>
          <w:highlight w:val="none"/>
        </w:rPr>
        <w:t xml:space="preserve">    （一</w:t>
      </w:r>
      <w:r>
        <w:rPr>
          <w:rFonts w:hint="eastAsia" w:ascii="宋体" w:hAnsi="宋体" w:eastAsia="宋体" w:cs="宋体"/>
          <w:b/>
          <w:color w:val="auto"/>
          <w:spacing w:val="0"/>
          <w:sz w:val="24"/>
          <w:szCs w:val="24"/>
          <w:highlight w:val="none"/>
        </w:rPr>
        <w:t>）报价得分（</w:t>
      </w:r>
      <w:r>
        <w:rPr>
          <w:rFonts w:hint="eastAsia" w:ascii="宋体" w:hAnsi="宋体" w:eastAsia="宋体" w:cs="宋体"/>
          <w:b/>
          <w:color w:val="auto"/>
          <w:spacing w:val="0"/>
          <w:sz w:val="24"/>
          <w:szCs w:val="24"/>
          <w:highlight w:val="none"/>
          <w:lang w:val="en-US" w:eastAsia="zh-CN"/>
        </w:rPr>
        <w:t>20</w:t>
      </w:r>
      <w:r>
        <w:rPr>
          <w:rFonts w:hint="eastAsia" w:ascii="宋体" w:hAnsi="宋体" w:eastAsia="宋体" w:cs="宋体"/>
          <w:b/>
          <w:color w:val="auto"/>
          <w:spacing w:val="0"/>
          <w:sz w:val="24"/>
          <w:szCs w:val="24"/>
          <w:highlight w:val="none"/>
        </w:rPr>
        <w:t>分）</w:t>
      </w:r>
    </w:p>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64"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1.报价分采用低价优先法计算，即满足招标文件要求且投标价格最低的投标报价为评标基准价，其他投标人的价格分按照下列公式计算：</w:t>
      </w:r>
    </w:p>
    <w:p>
      <w:pPr>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2"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报价得分=（评标基准价/投标报价）×</w:t>
      </w:r>
      <w:r>
        <w:rPr>
          <w:rFonts w:hint="eastAsia" w:ascii="宋体" w:hAnsi="宋体" w:eastAsia="宋体" w:cs="宋体"/>
          <w:b/>
          <w:bCs/>
          <w:color w:val="auto"/>
          <w:sz w:val="24"/>
          <w:highlight w:val="none"/>
          <w:u w:val="single"/>
          <w:lang w:val="en-US" w:eastAsia="zh-CN"/>
        </w:rPr>
        <w:t>20</w:t>
      </w:r>
      <w:r>
        <w:rPr>
          <w:rFonts w:hint="eastAsia" w:ascii="宋体" w:hAnsi="宋体" w:eastAsia="宋体" w:cs="宋体"/>
          <w:b/>
          <w:bCs/>
          <w:color w:val="auto"/>
          <w:sz w:val="24"/>
          <w:highlight w:val="none"/>
          <w:u w:val="single"/>
        </w:rPr>
        <w:t>%×100</w:t>
      </w:r>
    </w:p>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 xml:space="preserve">  特别说明：</w:t>
      </w:r>
    </w:p>
    <w:p>
      <w:pPr>
        <w:pStyle w:val="22"/>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A、根据财库〔20</w:t>
      </w:r>
      <w:r>
        <w:rPr>
          <w:rFonts w:hint="eastAsia" w:ascii="宋体" w:hAnsi="宋体" w:eastAsia="宋体" w:cs="宋体"/>
          <w:color w:val="auto"/>
          <w:spacing w:val="0"/>
          <w:sz w:val="24"/>
          <w:szCs w:val="24"/>
          <w:highlight w:val="none"/>
          <w:lang w:val="en-US" w:eastAsia="zh-CN"/>
        </w:rPr>
        <w:t>20</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46</w:t>
      </w:r>
      <w:r>
        <w:rPr>
          <w:rFonts w:hint="eastAsia" w:ascii="宋体" w:hAnsi="宋体" w:eastAsia="宋体" w:cs="宋体"/>
          <w:color w:val="auto"/>
          <w:spacing w:val="0"/>
          <w:sz w:val="24"/>
          <w:szCs w:val="24"/>
          <w:highlight w:val="none"/>
        </w:rPr>
        <w:t>号的相关规定，在评审时对小型和微型企业的投标报价给予6%的扣除，</w:t>
      </w:r>
      <w:r>
        <w:rPr>
          <w:rFonts w:hint="eastAsia" w:hAnsi="宋体" w:eastAsia="宋体" w:cs="宋体"/>
          <w:color w:val="auto"/>
          <w:spacing w:val="0"/>
          <w:sz w:val="24"/>
          <w:szCs w:val="24"/>
          <w:highlight w:val="none"/>
          <w:lang w:eastAsia="zh-CN"/>
        </w:rPr>
        <w:t>用</w:t>
      </w:r>
      <w:r>
        <w:rPr>
          <w:rFonts w:hint="eastAsia" w:ascii="宋体" w:hAnsi="宋体" w:eastAsia="宋体" w:cs="宋体"/>
          <w:color w:val="auto"/>
          <w:spacing w:val="0"/>
          <w:sz w:val="24"/>
          <w:szCs w:val="24"/>
          <w:highlight w:val="none"/>
        </w:rPr>
        <w:t>扣除后的价格作为最终投标报价（此最终投标报价仅作为价格分计算）。属于小微企业的，投标文件中必须提供《中小企业声明函》</w:t>
      </w:r>
      <w:r>
        <w:rPr>
          <w:rFonts w:hint="eastAsia" w:ascii="宋体" w:hAnsi="宋体" w:eastAsia="宋体" w:cs="宋体"/>
          <w:color w:val="auto"/>
          <w:sz w:val="24"/>
          <w:highlight w:val="none"/>
          <w:lang w:eastAsia="zh-CN"/>
        </w:rPr>
        <w:t>（格式见第六章）</w:t>
      </w:r>
      <w:r>
        <w:rPr>
          <w:rFonts w:hint="eastAsia" w:ascii="宋体" w:hAnsi="宋体" w:eastAsia="宋体" w:cs="宋体"/>
          <w:color w:val="auto"/>
          <w:spacing w:val="0"/>
          <w:sz w:val="24"/>
          <w:szCs w:val="24"/>
          <w:highlight w:val="none"/>
        </w:rPr>
        <w:t>；</w:t>
      </w:r>
    </w:p>
    <w:p>
      <w:pPr>
        <w:pStyle w:val="22"/>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8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B、根据财库[2014]68号和财库[2017]141号的相关规定，在政府采购活动中，投标人属于监狱和戒毒企业或残疾人福利性单位，且投标文件中提供相应证明材料的视同小型、微型企业，享受评审中价格扣除政策。</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jc w:val="both"/>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注：未提供以上材料的，均不给予价格扣除</w:t>
      </w:r>
      <w:r>
        <w:rPr>
          <w:rFonts w:hint="eastAsia" w:ascii="宋体" w:hAnsi="宋体" w:eastAsia="宋体" w:cs="宋体"/>
          <w:b/>
          <w:bCs/>
          <w:color w:val="auto"/>
          <w:spacing w:val="0"/>
          <w:sz w:val="24"/>
          <w:szCs w:val="24"/>
          <w:highlight w:val="none"/>
          <w:lang w:eastAsia="zh-CN"/>
        </w:rPr>
        <w:t>。</w:t>
      </w:r>
    </w:p>
    <w:p>
      <w:pPr>
        <w:pStyle w:val="22"/>
        <w:numPr>
          <w:ilvl w:val="0"/>
          <w:numId w:val="0"/>
        </w:numPr>
        <w:wordWrap w:val="0"/>
        <w:overflowPunct w:val="0"/>
        <w:autoSpaceDE w:val="0"/>
        <w:autoSpaceDN w:val="0"/>
        <w:spacing w:line="400" w:lineRule="exact"/>
        <w:ind w:leftChars="200" w:firstLine="0" w:firstLineChars="0"/>
        <w:rPr>
          <w:rFonts w:hint="eastAsia"/>
          <w:color w:val="auto"/>
        </w:rPr>
      </w:pPr>
      <w:r>
        <w:rPr>
          <w:rFonts w:hint="eastAsia"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供应商的报价超过采购人设定的最高限价，将作为无效标处理。</w:t>
      </w:r>
    </w:p>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481"/>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（二）技术商务资信得分（</w:t>
      </w:r>
      <w:r>
        <w:rPr>
          <w:rFonts w:hint="eastAsia" w:ascii="宋体" w:hAnsi="宋体" w:eastAsia="宋体" w:cs="宋体"/>
          <w:b/>
          <w:color w:val="auto"/>
          <w:spacing w:val="0"/>
          <w:sz w:val="24"/>
          <w:szCs w:val="24"/>
          <w:highlight w:val="none"/>
          <w:lang w:val="en-US" w:eastAsia="zh-CN"/>
        </w:rPr>
        <w:t>80</w:t>
      </w:r>
      <w:r>
        <w:rPr>
          <w:rFonts w:hint="eastAsia" w:ascii="宋体" w:hAnsi="宋体" w:eastAsia="宋体" w:cs="宋体"/>
          <w:b/>
          <w:color w:val="auto"/>
          <w:spacing w:val="0"/>
          <w:sz w:val="24"/>
          <w:szCs w:val="24"/>
          <w:highlight w:val="none"/>
        </w:rPr>
        <w:t>分）</w:t>
      </w:r>
    </w:p>
    <w:tbl>
      <w:tblPr>
        <w:tblStyle w:val="4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49"/>
        <w:gridCol w:w="6818"/>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3" w:hRule="atLeast"/>
        </w:trPr>
        <w:tc>
          <w:tcPr>
            <w:tcW w:w="750" w:type="dxa"/>
            <w:shd w:val="clear" w:color="auto" w:fill="EEECE1"/>
            <w:noWrap w:val="0"/>
            <w:vAlign w:val="center"/>
          </w:tcPr>
          <w:p>
            <w:pPr>
              <w:widowControl w:val="0"/>
              <w:spacing w:line="500" w:lineRule="exact"/>
              <w:ind w:firstLine="0" w:firstLineChars="0"/>
              <w:jc w:val="center"/>
              <w:rPr>
                <w:rFonts w:hint="eastAsia" w:eastAsia="宋体"/>
                <w:b/>
                <w:color w:val="auto"/>
                <w:sz w:val="24"/>
                <w:highlight w:val="none"/>
                <w:lang w:eastAsia="zh-CN"/>
              </w:rPr>
            </w:pPr>
            <w:r>
              <w:rPr>
                <w:rFonts w:hint="eastAsia"/>
                <w:b/>
                <w:color w:val="auto"/>
                <w:sz w:val="24"/>
                <w:highlight w:val="none"/>
                <w:lang w:eastAsia="zh-CN"/>
              </w:rPr>
              <w:t>序号</w:t>
            </w:r>
          </w:p>
        </w:tc>
        <w:tc>
          <w:tcPr>
            <w:tcW w:w="1449" w:type="dxa"/>
            <w:shd w:val="clear" w:color="auto" w:fill="EEECE1"/>
            <w:noWrap w:val="0"/>
            <w:vAlign w:val="center"/>
          </w:tcPr>
          <w:p>
            <w:pPr>
              <w:widowControl w:val="0"/>
              <w:spacing w:line="500" w:lineRule="exact"/>
              <w:ind w:firstLine="0" w:firstLineChars="0"/>
              <w:jc w:val="center"/>
              <w:rPr>
                <w:rFonts w:hint="eastAsia"/>
                <w:b/>
                <w:color w:val="auto"/>
                <w:sz w:val="24"/>
                <w:highlight w:val="none"/>
              </w:rPr>
            </w:pPr>
            <w:r>
              <w:rPr>
                <w:rFonts w:hint="eastAsia"/>
                <w:b/>
                <w:color w:val="auto"/>
                <w:sz w:val="24"/>
                <w:highlight w:val="none"/>
              </w:rPr>
              <w:t>项目</w:t>
            </w:r>
          </w:p>
        </w:tc>
        <w:tc>
          <w:tcPr>
            <w:tcW w:w="6818" w:type="dxa"/>
            <w:shd w:val="clear" w:color="auto" w:fill="EEECE1"/>
            <w:noWrap w:val="0"/>
            <w:vAlign w:val="center"/>
          </w:tcPr>
          <w:p>
            <w:pPr>
              <w:widowControl w:val="0"/>
              <w:spacing w:line="500" w:lineRule="exact"/>
              <w:ind w:firstLine="0" w:firstLineChars="0"/>
              <w:jc w:val="center"/>
              <w:rPr>
                <w:rFonts w:hint="eastAsia"/>
                <w:b/>
                <w:color w:val="auto"/>
                <w:sz w:val="24"/>
                <w:highlight w:val="none"/>
              </w:rPr>
            </w:pPr>
            <w:r>
              <w:rPr>
                <w:rFonts w:hint="eastAsia"/>
                <w:b/>
                <w:color w:val="auto"/>
                <w:sz w:val="24"/>
                <w:highlight w:val="none"/>
              </w:rPr>
              <w:t>评分标准</w:t>
            </w:r>
          </w:p>
        </w:tc>
        <w:tc>
          <w:tcPr>
            <w:tcW w:w="914" w:type="dxa"/>
            <w:shd w:val="clear" w:color="auto" w:fill="EEECE1"/>
            <w:noWrap w:val="0"/>
            <w:vAlign w:val="center"/>
          </w:tcPr>
          <w:p>
            <w:pPr>
              <w:widowControl w:val="0"/>
              <w:spacing w:line="500" w:lineRule="exact"/>
              <w:ind w:firstLine="0" w:firstLineChars="0"/>
              <w:jc w:val="center"/>
              <w:rPr>
                <w:b/>
                <w:color w:val="auto"/>
                <w:sz w:val="24"/>
                <w:highlight w:val="none"/>
              </w:rPr>
            </w:pPr>
            <w:r>
              <w:rPr>
                <w:rFonts w:hint="eastAsia"/>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3" w:hRule="atLeast"/>
        </w:trPr>
        <w:tc>
          <w:tcPr>
            <w:tcW w:w="750" w:type="dxa"/>
            <w:shd w:val="clear" w:color="auto" w:fill="FFFFFF"/>
            <w:noWrap w:val="0"/>
            <w:vAlign w:val="center"/>
          </w:tcPr>
          <w:p>
            <w:pPr>
              <w:widowControl w:val="0"/>
              <w:spacing w:line="500" w:lineRule="exact"/>
              <w:ind w:firstLine="0" w:firstLineChars="0"/>
              <w:jc w:val="center"/>
              <w:rPr>
                <w:rFonts w:hint="eastAsia" w:eastAsia="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p>
        </w:tc>
        <w:tc>
          <w:tcPr>
            <w:tcW w:w="1449" w:type="dxa"/>
            <w:shd w:val="clear" w:color="auto" w:fill="FFFFFF"/>
            <w:noWrap w:val="0"/>
            <w:vAlign w:val="center"/>
          </w:tcPr>
          <w:p>
            <w:pPr>
              <w:widowControl w:val="0"/>
              <w:spacing w:line="500" w:lineRule="exact"/>
              <w:ind w:firstLine="0" w:firstLineChars="0"/>
              <w:jc w:val="center"/>
              <w:rPr>
                <w:rFonts w:hint="eastAsia"/>
                <w:b/>
                <w:color w:val="auto"/>
                <w:sz w:val="24"/>
                <w:highlight w:val="none"/>
              </w:rPr>
            </w:pPr>
            <w:r>
              <w:rPr>
                <w:rFonts w:ascii="宋体" w:hAnsi="宋体"/>
                <w:bCs/>
                <w:color w:val="auto"/>
                <w:spacing w:val="-4"/>
                <w:sz w:val="24"/>
                <w:szCs w:val="24"/>
                <w:highlight w:val="none"/>
              </w:rPr>
              <w:t>诚信分</w:t>
            </w:r>
          </w:p>
        </w:tc>
        <w:tc>
          <w:tcPr>
            <w:tcW w:w="6818" w:type="dxa"/>
            <w:shd w:val="clear" w:color="auto" w:fill="FFFFFF"/>
            <w:noWrap w:val="0"/>
            <w:vAlign w:val="center"/>
          </w:tcPr>
          <w:p>
            <w:pPr>
              <w:widowControl w:val="0"/>
              <w:spacing w:before="24" w:beforeLines="10" w:after="24" w:afterLines="10" w:line="440" w:lineRule="exact"/>
              <w:rPr>
                <w:rFonts w:hint="eastAsia"/>
                <w:b/>
                <w:color w:val="auto"/>
                <w:sz w:val="24"/>
                <w:highlight w:val="none"/>
              </w:rPr>
            </w:pPr>
            <w:r>
              <w:rPr>
                <w:rFonts w:hint="eastAsia" w:ascii="宋体" w:hAnsi="宋体"/>
                <w:color w:val="auto"/>
                <w:sz w:val="24"/>
                <w:highlight w:val="none"/>
              </w:rPr>
              <w:t>凡在投标截止时间前三年受到行政处罚、行政处理（含通报）或记入不良行为的，此项得分为0，若无处罚、行政处理（含通报）或记入不良行为的得</w:t>
            </w:r>
            <w:r>
              <w:rPr>
                <w:rFonts w:hint="eastAsia" w:ascii="宋体" w:hAnsi="宋体"/>
                <w:color w:val="auto"/>
                <w:sz w:val="24"/>
                <w:highlight w:val="none"/>
                <w:lang w:val="en-US" w:eastAsia="zh-CN"/>
              </w:rPr>
              <w:t>2</w:t>
            </w:r>
            <w:r>
              <w:rPr>
                <w:rFonts w:hint="eastAsia" w:ascii="宋体" w:hAnsi="宋体"/>
                <w:color w:val="auto"/>
                <w:sz w:val="24"/>
                <w:highlight w:val="none"/>
              </w:rPr>
              <w:t>分（投标人请自行提供，如有不良记录又虚假隐瞒的，一经发现将取消投标资格）。</w:t>
            </w:r>
          </w:p>
        </w:tc>
        <w:tc>
          <w:tcPr>
            <w:tcW w:w="914" w:type="dxa"/>
            <w:shd w:val="clear" w:color="auto" w:fill="FFFFFF"/>
            <w:noWrap w:val="0"/>
            <w:vAlign w:val="center"/>
          </w:tcPr>
          <w:p>
            <w:pPr>
              <w:widowControl w:val="0"/>
              <w:spacing w:line="500" w:lineRule="exact"/>
              <w:ind w:firstLine="0" w:firstLineChars="0"/>
              <w:jc w:val="center"/>
              <w:rPr>
                <w:rFonts w:hint="eastAsia" w:eastAsia="宋体"/>
                <w:b/>
                <w:color w:val="auto"/>
                <w:sz w:val="24"/>
                <w:highlight w:val="none"/>
                <w:lang w:val="en-US" w:eastAsia="zh-CN"/>
              </w:rPr>
            </w:pPr>
            <w:r>
              <w:rPr>
                <w:rFonts w:hint="eastAsia" w:ascii="宋体" w:hAnsi="宋体"/>
                <w:color w:val="auto"/>
                <w:sz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7" w:hRule="atLeast"/>
        </w:trPr>
        <w:tc>
          <w:tcPr>
            <w:tcW w:w="750" w:type="dxa"/>
            <w:noWrap w:val="0"/>
            <w:vAlign w:val="center"/>
          </w:tcPr>
          <w:p>
            <w:pPr>
              <w:widowControl w:val="0"/>
              <w:spacing w:before="24" w:beforeLines="10" w:after="24" w:afterLines="10" w:line="440" w:lineRule="exact"/>
              <w:ind w:firstLine="0" w:firstLineChars="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1449" w:type="dxa"/>
            <w:noWrap w:val="0"/>
            <w:vAlign w:val="center"/>
          </w:tcPr>
          <w:p>
            <w:pPr>
              <w:widowControl w:val="0"/>
              <w:spacing w:before="24" w:beforeLines="10" w:after="24" w:afterLines="10" w:line="440" w:lineRule="exact"/>
              <w:ind w:firstLine="0" w:firstLineChars="0"/>
              <w:jc w:val="center"/>
              <w:rPr>
                <w:rFonts w:hint="eastAsia" w:ascii="宋体" w:hAnsi="宋体"/>
                <w:color w:val="auto"/>
                <w:sz w:val="24"/>
                <w:highlight w:val="none"/>
              </w:rPr>
            </w:pPr>
            <w:r>
              <w:rPr>
                <w:rFonts w:hint="eastAsia" w:ascii="宋体" w:hAnsi="宋体"/>
                <w:color w:val="auto"/>
                <w:sz w:val="24"/>
                <w:highlight w:val="none"/>
              </w:rPr>
              <w:t>案例</w:t>
            </w:r>
          </w:p>
        </w:tc>
        <w:tc>
          <w:tcPr>
            <w:tcW w:w="6818" w:type="dxa"/>
            <w:noWrap w:val="0"/>
            <w:vAlign w:val="center"/>
          </w:tcPr>
          <w:p>
            <w:pPr>
              <w:widowControl w:val="0"/>
              <w:spacing w:before="24" w:beforeLines="10" w:after="24" w:afterLines="10" w:line="440" w:lineRule="exact"/>
              <w:rPr>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2018年1月1日以来</w:t>
            </w:r>
            <w:r>
              <w:rPr>
                <w:rFonts w:hint="eastAsia" w:ascii="宋体" w:hAnsi="宋体" w:eastAsia="宋体" w:cs="宋体"/>
                <w:color w:val="auto"/>
                <w:sz w:val="24"/>
                <w:szCs w:val="24"/>
                <w:highlight w:val="none"/>
              </w:rPr>
              <w:t>（时间节点以</w:t>
            </w:r>
            <w:r>
              <w:rPr>
                <w:rFonts w:hint="eastAsia" w:ascii="宋体" w:hAnsi="宋体" w:eastAsia="宋体" w:cs="宋体"/>
                <w:color w:val="auto"/>
                <w:sz w:val="24"/>
                <w:szCs w:val="24"/>
                <w:highlight w:val="none"/>
                <w:lang w:val="en-US" w:eastAsia="zh-CN"/>
              </w:rPr>
              <w:t>合同签订时间</w:t>
            </w:r>
            <w:r>
              <w:rPr>
                <w:rFonts w:hint="eastAsia" w:ascii="宋体" w:hAnsi="宋体" w:eastAsia="宋体" w:cs="宋体"/>
                <w:color w:val="auto"/>
                <w:sz w:val="24"/>
                <w:szCs w:val="24"/>
                <w:highlight w:val="none"/>
              </w:rPr>
              <w:t>为准）实施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同类项目</w:t>
            </w:r>
            <w:r>
              <w:rPr>
                <w:rFonts w:hint="eastAsia" w:ascii="宋体" w:hAnsi="宋体"/>
                <w:color w:val="auto"/>
                <w:sz w:val="24"/>
                <w:highlight w:val="none"/>
              </w:rPr>
              <w:t>,</w:t>
            </w:r>
            <w:r>
              <w:rPr>
                <w:rFonts w:hint="eastAsia" w:ascii="宋体" w:hAnsi="宋体"/>
                <w:color w:val="auto"/>
                <w:sz w:val="24"/>
                <w:highlight w:val="none"/>
                <w:lang w:eastAsia="zh-CN"/>
              </w:rPr>
              <w:t>每提供一个得</w:t>
            </w:r>
            <w:r>
              <w:rPr>
                <w:rFonts w:hint="eastAsia" w:ascii="宋体" w:hAnsi="宋体"/>
                <w:color w:val="auto"/>
                <w:sz w:val="24"/>
                <w:highlight w:val="none"/>
                <w:lang w:val="en-US" w:eastAsia="zh-CN"/>
              </w:rPr>
              <w:t>1分，最多得5分。</w:t>
            </w:r>
            <w:r>
              <w:rPr>
                <w:rFonts w:hint="eastAsia" w:ascii="宋体" w:hAnsi="宋体"/>
                <w:color w:val="auto"/>
                <w:sz w:val="24"/>
                <w:highlight w:val="none"/>
              </w:rPr>
              <w:t>须同时提供</w:t>
            </w:r>
            <w:r>
              <w:rPr>
                <w:rFonts w:hint="eastAsia" w:ascii="宋体" w:hAnsi="宋体"/>
                <w:color w:val="auto"/>
                <w:sz w:val="24"/>
                <w:highlight w:val="none"/>
                <w:lang w:eastAsia="zh-CN"/>
              </w:rPr>
              <w:t>中标通知书、</w:t>
            </w:r>
            <w:r>
              <w:rPr>
                <w:rFonts w:hint="eastAsia" w:ascii="宋体" w:hAnsi="宋体"/>
                <w:color w:val="auto"/>
                <w:sz w:val="24"/>
                <w:highlight w:val="none"/>
              </w:rPr>
              <w:t>合同</w:t>
            </w:r>
            <w:r>
              <w:rPr>
                <w:rFonts w:hint="eastAsia" w:ascii="宋体" w:hAnsi="宋体"/>
                <w:color w:val="auto"/>
                <w:sz w:val="24"/>
                <w:highlight w:val="none"/>
                <w:lang w:eastAsia="zh-CN"/>
              </w:rPr>
              <w:t>、验收证明</w:t>
            </w:r>
            <w:r>
              <w:rPr>
                <w:rFonts w:hint="eastAsia" w:ascii="宋体" w:hAnsi="宋体"/>
                <w:color w:val="auto"/>
                <w:sz w:val="24"/>
                <w:highlight w:val="none"/>
              </w:rPr>
              <w:t>复印件。</w:t>
            </w:r>
          </w:p>
        </w:tc>
        <w:tc>
          <w:tcPr>
            <w:tcW w:w="914" w:type="dxa"/>
            <w:noWrap w:val="0"/>
            <w:vAlign w:val="center"/>
          </w:tcPr>
          <w:p>
            <w:pPr>
              <w:widowControl w:val="0"/>
              <w:spacing w:line="440" w:lineRule="exact"/>
              <w:ind w:firstLine="0" w:firstLineChars="0"/>
              <w:jc w:val="center"/>
              <w:rPr>
                <w:rFonts w:ascii="宋体" w:hAnsi="宋体"/>
                <w:color w:val="auto"/>
                <w:sz w:val="24"/>
                <w:highlight w:val="none"/>
              </w:rPr>
            </w:pPr>
            <w:r>
              <w:rPr>
                <w:rFonts w:hint="eastAsia" w:ascii="宋体" w:hAnsi="宋体"/>
                <w:color w:val="auto"/>
                <w:sz w:val="24"/>
                <w:highlight w:val="none"/>
              </w:rPr>
              <w:t>0-</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7" w:hRule="atLeast"/>
        </w:trPr>
        <w:tc>
          <w:tcPr>
            <w:tcW w:w="750" w:type="dxa"/>
            <w:noWrap w:val="0"/>
            <w:vAlign w:val="center"/>
          </w:tcPr>
          <w:p>
            <w:pPr>
              <w:widowControl w:val="0"/>
              <w:spacing w:before="24" w:beforeLines="10" w:after="24" w:afterLines="10" w:line="440" w:lineRule="exact"/>
              <w:ind w:firstLine="0" w:firstLineChars="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w:t>
            </w:r>
          </w:p>
        </w:tc>
        <w:tc>
          <w:tcPr>
            <w:tcW w:w="1449" w:type="dxa"/>
            <w:noWrap w:val="0"/>
            <w:vAlign w:val="center"/>
          </w:tcPr>
          <w:p>
            <w:pPr>
              <w:spacing w:line="360" w:lineRule="exact"/>
              <w:ind w:firstLine="0" w:firstLineChars="0"/>
              <w:jc w:val="center"/>
              <w:rPr>
                <w:rFonts w:hint="eastAsia" w:ascii="宋体" w:hAnsi="宋体"/>
                <w:color w:val="auto"/>
                <w:sz w:val="24"/>
                <w:highlight w:val="none"/>
              </w:rPr>
            </w:pPr>
            <w:r>
              <w:rPr>
                <w:rFonts w:hint="eastAsia" w:ascii="宋体" w:hAnsi="宋体"/>
                <w:color w:val="auto"/>
                <w:sz w:val="24"/>
                <w:highlight w:val="none"/>
              </w:rPr>
              <w:t>运营实力</w:t>
            </w:r>
          </w:p>
        </w:tc>
        <w:tc>
          <w:tcPr>
            <w:tcW w:w="6818" w:type="dxa"/>
            <w:noWrap w:val="0"/>
            <w:vAlign w:val="center"/>
          </w:tcPr>
          <w:p>
            <w:pPr>
              <w:spacing w:line="400" w:lineRule="exact"/>
              <w:rPr>
                <w:rFonts w:hint="eastAsia" w:ascii="宋体" w:hAnsi="宋体"/>
                <w:color w:val="auto"/>
                <w:sz w:val="24"/>
                <w:highlight w:val="none"/>
              </w:rPr>
            </w:pPr>
            <w:r>
              <w:rPr>
                <w:rFonts w:hint="eastAsia" w:ascii="宋体" w:hAnsi="宋体"/>
                <w:color w:val="auto"/>
                <w:sz w:val="24"/>
                <w:highlight w:val="none"/>
              </w:rPr>
              <w:t>海盐本地有线光缆覆盖能力，根据投标人在海盐县范围内现有光缆覆盖情况</w:t>
            </w:r>
            <w:r>
              <w:rPr>
                <w:rFonts w:hint="eastAsia" w:ascii="宋体" w:hAnsi="宋体"/>
                <w:color w:val="auto"/>
                <w:sz w:val="24"/>
                <w:highlight w:val="none"/>
                <w:lang w:eastAsia="zh-CN"/>
              </w:rPr>
              <w:t>进行</w:t>
            </w:r>
            <w:r>
              <w:rPr>
                <w:rFonts w:hint="eastAsia" w:ascii="宋体" w:hAnsi="宋体"/>
                <w:color w:val="auto"/>
                <w:sz w:val="24"/>
                <w:highlight w:val="none"/>
              </w:rPr>
              <w:t>打分,以提供全县光缆布局图、光缆数量为准。</w:t>
            </w:r>
          </w:p>
        </w:tc>
        <w:tc>
          <w:tcPr>
            <w:tcW w:w="914" w:type="dxa"/>
            <w:noWrap w:val="0"/>
            <w:vAlign w:val="center"/>
          </w:tcPr>
          <w:p>
            <w:pPr>
              <w:spacing w:line="360" w:lineRule="exact"/>
              <w:ind w:firstLine="0" w:firstLineChars="0"/>
              <w:jc w:val="center"/>
              <w:rPr>
                <w:rFonts w:hint="eastAsia" w:ascii="宋体" w:hAnsi="宋体"/>
                <w:color w:val="auto"/>
                <w:sz w:val="24"/>
                <w:highlight w:val="none"/>
              </w:rPr>
            </w:pPr>
            <w:r>
              <w:rPr>
                <w:rFonts w:hint="eastAsia" w:ascii="宋体" w:hAnsi="宋体"/>
                <w:color w:val="auto"/>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750" w:type="dxa"/>
            <w:noWrap w:val="0"/>
            <w:vAlign w:val="center"/>
          </w:tcPr>
          <w:p>
            <w:pPr>
              <w:widowControl w:val="0"/>
              <w:spacing w:line="440" w:lineRule="exact"/>
              <w:ind w:firstLine="0" w:firstLineChars="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1449" w:type="dxa"/>
            <w:noWrap w:val="0"/>
            <w:vAlign w:val="center"/>
          </w:tcPr>
          <w:p>
            <w:pPr>
              <w:spacing w:line="400" w:lineRule="exact"/>
              <w:jc w:val="center"/>
              <w:rPr>
                <w:rFonts w:hint="eastAsia" w:ascii="宋体" w:hAnsi="宋体"/>
                <w:color w:val="auto"/>
                <w:sz w:val="24"/>
                <w:highlight w:val="none"/>
              </w:rPr>
            </w:pPr>
            <w:r>
              <w:rPr>
                <w:rFonts w:hint="eastAsia" w:ascii="宋体" w:hAnsi="宋体"/>
                <w:color w:val="auto"/>
                <w:sz w:val="24"/>
                <w:highlight w:val="none"/>
              </w:rPr>
              <w:t>政策支持</w:t>
            </w:r>
          </w:p>
        </w:tc>
        <w:tc>
          <w:tcPr>
            <w:tcW w:w="6818" w:type="dxa"/>
            <w:noWrap w:val="0"/>
            <w:vAlign w:val="center"/>
          </w:tcPr>
          <w:p>
            <w:pPr>
              <w:spacing w:line="400" w:lineRule="exact"/>
              <w:rPr>
                <w:rFonts w:hint="eastAsia" w:ascii="宋体" w:hAnsi="宋体"/>
                <w:color w:val="auto"/>
                <w:sz w:val="24"/>
                <w:highlight w:val="none"/>
              </w:rPr>
            </w:pPr>
            <w:r>
              <w:rPr>
                <w:rFonts w:hint="eastAsia" w:ascii="宋体" w:hAnsi="宋体"/>
                <w:color w:val="auto"/>
                <w:sz w:val="24"/>
                <w:highlight w:val="none"/>
              </w:rPr>
              <w:t>投标产品符合财库〔2019〕9号《关于调整优化节能产品、环境标志产品政府采购执行机制的通知》条件，不属于强制采购的产品鼓励使用节能产品，</w:t>
            </w:r>
            <w:r>
              <w:rPr>
                <w:rFonts w:hint="eastAsia" w:ascii="宋体" w:hAnsi="宋体"/>
                <w:color w:val="auto"/>
                <w:sz w:val="24"/>
                <w:highlight w:val="none"/>
                <w:lang w:val="en-US" w:eastAsia="zh-CN"/>
              </w:rPr>
              <w:t>一个产品得0.5分，</w:t>
            </w:r>
            <w:r>
              <w:rPr>
                <w:rFonts w:hint="eastAsia" w:ascii="宋体" w:hAnsi="宋体"/>
                <w:color w:val="auto"/>
                <w:sz w:val="24"/>
                <w:highlight w:val="none"/>
              </w:rPr>
              <w:t>最高得</w:t>
            </w:r>
            <w:r>
              <w:rPr>
                <w:rFonts w:hint="eastAsia" w:ascii="宋体" w:hAnsi="宋体"/>
                <w:color w:val="auto"/>
                <w:sz w:val="24"/>
                <w:highlight w:val="none"/>
                <w:lang w:val="en-US" w:eastAsia="zh-CN"/>
              </w:rPr>
              <w:t>2</w:t>
            </w:r>
            <w:r>
              <w:rPr>
                <w:rFonts w:hint="eastAsia" w:ascii="宋体" w:hAnsi="宋体"/>
                <w:color w:val="auto"/>
                <w:sz w:val="24"/>
                <w:highlight w:val="none"/>
              </w:rPr>
              <w:t>分（提供证明材料复印件</w:t>
            </w:r>
            <w:r>
              <w:rPr>
                <w:rFonts w:hint="eastAsia" w:ascii="宋体" w:hAnsi="宋体"/>
                <w:color w:val="auto"/>
                <w:sz w:val="24"/>
                <w:highlight w:val="none"/>
                <w:lang w:eastAsia="zh-CN"/>
              </w:rPr>
              <w:t>并加盖公章</w:t>
            </w:r>
            <w:r>
              <w:rPr>
                <w:rFonts w:hint="eastAsia" w:ascii="宋体" w:hAnsi="宋体"/>
                <w:color w:val="auto"/>
                <w:sz w:val="24"/>
                <w:highlight w:val="none"/>
              </w:rPr>
              <w:t>）</w:t>
            </w:r>
          </w:p>
        </w:tc>
        <w:tc>
          <w:tcPr>
            <w:tcW w:w="914" w:type="dxa"/>
            <w:noWrap w:val="0"/>
            <w:vAlign w:val="center"/>
          </w:tcPr>
          <w:p>
            <w:pPr>
              <w:spacing w:line="400" w:lineRule="exact"/>
              <w:rPr>
                <w:rFonts w:hint="eastAsia" w:ascii="宋体" w:hAnsi="宋体"/>
                <w:color w:val="auto"/>
                <w:sz w:val="24"/>
                <w:highlight w:val="none"/>
              </w:rPr>
            </w:pPr>
            <w:r>
              <w:rPr>
                <w:rFonts w:hint="eastAsia" w:ascii="宋体" w:hAnsi="宋体"/>
                <w:color w:val="auto"/>
                <w:sz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0" w:type="dxa"/>
            <w:noWrap w:val="0"/>
            <w:vAlign w:val="center"/>
          </w:tcPr>
          <w:p>
            <w:pPr>
              <w:widowControl w:val="0"/>
              <w:spacing w:line="440" w:lineRule="exact"/>
              <w:ind w:firstLine="0" w:firstLineChars="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w:t>
            </w:r>
          </w:p>
        </w:tc>
        <w:tc>
          <w:tcPr>
            <w:tcW w:w="1449" w:type="dxa"/>
            <w:noWrap w:val="0"/>
            <w:vAlign w:val="center"/>
          </w:tcPr>
          <w:p>
            <w:pPr>
              <w:spacing w:line="360" w:lineRule="exact"/>
              <w:ind w:firstLine="0" w:firstLineChars="0"/>
              <w:jc w:val="center"/>
              <w:rPr>
                <w:rFonts w:hint="eastAsia" w:ascii="宋体" w:hAnsi="宋体"/>
                <w:color w:val="auto"/>
                <w:sz w:val="24"/>
                <w:highlight w:val="none"/>
              </w:rPr>
            </w:pPr>
            <w:r>
              <w:rPr>
                <w:rFonts w:hint="eastAsia" w:ascii="宋体" w:hAnsi="宋体"/>
                <w:color w:val="auto"/>
                <w:sz w:val="24"/>
                <w:highlight w:val="none"/>
              </w:rPr>
              <w:t>方案讲解</w:t>
            </w:r>
          </w:p>
        </w:tc>
        <w:tc>
          <w:tcPr>
            <w:tcW w:w="6818" w:type="dxa"/>
            <w:noWrap w:val="0"/>
            <w:vAlign w:val="center"/>
          </w:tcPr>
          <w:p>
            <w:pPr>
              <w:spacing w:line="400" w:lineRule="exact"/>
              <w:rPr>
                <w:rFonts w:hint="eastAsia" w:ascii="宋体" w:hAnsi="宋体"/>
                <w:color w:val="auto"/>
                <w:sz w:val="24"/>
                <w:highlight w:val="none"/>
              </w:rPr>
            </w:pPr>
            <w:r>
              <w:rPr>
                <w:rFonts w:hint="eastAsia" w:ascii="宋体" w:hAnsi="宋体"/>
                <w:color w:val="auto"/>
                <w:sz w:val="24"/>
                <w:highlight w:val="none"/>
              </w:rPr>
              <w:t>投标人根据所需设备参数及配置情况，结合实地踏勘情况制定针对本项目的方案。方案中须体现前端建设、平台接入、网络拓扑、网络优化等内容。投标人依据方案制作PPT进行现场讲解，讲解时间不超过15分钟</w:t>
            </w:r>
            <w:r>
              <w:rPr>
                <w:rFonts w:hint="eastAsia" w:ascii="宋体" w:hAnsi="宋体"/>
                <w:color w:val="auto"/>
                <w:sz w:val="24"/>
                <w:highlight w:val="none"/>
                <w:lang w:eastAsia="zh-CN"/>
              </w:rPr>
              <w:t>（不含专家提问时间）</w:t>
            </w:r>
            <w:r>
              <w:rPr>
                <w:rFonts w:hint="eastAsia" w:ascii="宋体" w:hAnsi="宋体"/>
                <w:color w:val="auto"/>
                <w:sz w:val="24"/>
                <w:highlight w:val="none"/>
              </w:rPr>
              <w:t>。</w:t>
            </w:r>
          </w:p>
        </w:tc>
        <w:tc>
          <w:tcPr>
            <w:tcW w:w="914" w:type="dxa"/>
            <w:noWrap w:val="0"/>
            <w:vAlign w:val="center"/>
          </w:tcPr>
          <w:p>
            <w:pPr>
              <w:spacing w:line="360" w:lineRule="exact"/>
              <w:ind w:firstLine="0" w:firstLineChars="0"/>
              <w:rPr>
                <w:rFonts w:hint="eastAsia" w:ascii="宋体" w:hAnsi="宋体"/>
                <w:color w:val="auto"/>
                <w:sz w:val="24"/>
                <w:highlight w:val="none"/>
              </w:rPr>
            </w:pPr>
            <w:r>
              <w:rPr>
                <w:rFonts w:hint="eastAsia" w:ascii="宋体" w:hAnsi="宋体"/>
                <w:color w:val="auto"/>
                <w:sz w:val="24"/>
                <w:highlight w:val="none"/>
              </w:rPr>
              <w:t>0-</w:t>
            </w:r>
            <w:r>
              <w:rPr>
                <w:rFonts w:hint="eastAsia" w:ascii="宋体" w:hAnsi="宋体"/>
                <w:color w:val="auto"/>
                <w:sz w:val="24"/>
                <w:highlight w:val="none"/>
                <w:lang w:val="en-US" w:eastAsia="zh-CN"/>
              </w:rPr>
              <w:t>6</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0" w:type="dxa"/>
            <w:vMerge w:val="restart"/>
            <w:noWrap w:val="0"/>
            <w:vAlign w:val="center"/>
          </w:tcPr>
          <w:p>
            <w:pPr>
              <w:adjustRightInd w:val="0"/>
              <w:snapToGrid w:val="0"/>
              <w:spacing w:before="24" w:beforeLines="10" w:after="24" w:afterLines="1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c>
          <w:tcPr>
            <w:tcW w:w="1449" w:type="dxa"/>
            <w:vMerge w:val="restart"/>
            <w:noWrap w:val="0"/>
            <w:vAlign w:val="center"/>
          </w:tcPr>
          <w:p>
            <w:pPr>
              <w:adjustRightInd w:val="0"/>
              <w:snapToGrid w:val="0"/>
              <w:spacing w:before="24" w:beforeLines="10" w:after="24" w:afterLines="10"/>
              <w:jc w:val="center"/>
              <w:rPr>
                <w:rFonts w:hint="eastAsia" w:ascii="宋体" w:hAnsi="宋体"/>
                <w:color w:val="auto"/>
                <w:sz w:val="24"/>
                <w:highlight w:val="none"/>
              </w:rPr>
            </w:pPr>
            <w:r>
              <w:rPr>
                <w:rFonts w:hint="eastAsia" w:ascii="宋体" w:hAnsi="宋体"/>
                <w:color w:val="auto"/>
                <w:sz w:val="24"/>
                <w:highlight w:val="none"/>
              </w:rPr>
              <w:t>技术方案</w:t>
            </w:r>
          </w:p>
        </w:tc>
        <w:tc>
          <w:tcPr>
            <w:tcW w:w="6818" w:type="dxa"/>
            <w:noWrap w:val="0"/>
            <w:vAlign w:val="center"/>
          </w:tcPr>
          <w:p>
            <w:pPr>
              <w:spacing w:line="400" w:lineRule="exact"/>
              <w:rPr>
                <w:rFonts w:hint="eastAsia" w:ascii="宋体" w:hAnsi="宋体"/>
                <w:color w:val="auto"/>
                <w:sz w:val="24"/>
                <w:highlight w:val="none"/>
              </w:rPr>
            </w:pPr>
            <w:r>
              <w:rPr>
                <w:rFonts w:hint="eastAsia" w:ascii="宋体" w:hAnsi="宋体"/>
                <w:color w:val="auto"/>
                <w:sz w:val="24"/>
                <w:highlight w:val="none"/>
              </w:rPr>
              <w:t>按</w:t>
            </w:r>
            <w:r>
              <w:rPr>
                <w:rFonts w:hint="eastAsia" w:ascii="宋体" w:hAnsi="宋体"/>
                <w:color w:val="auto"/>
                <w:sz w:val="24"/>
                <w:highlight w:val="none"/>
                <w:lang w:eastAsia="zh-CN"/>
              </w:rPr>
              <w:t>各个建设子</w:t>
            </w:r>
            <w:r>
              <w:rPr>
                <w:rFonts w:hint="eastAsia" w:ascii="宋体" w:hAnsi="宋体"/>
                <w:color w:val="auto"/>
                <w:sz w:val="24"/>
                <w:highlight w:val="none"/>
              </w:rPr>
              <w:t>系统设计方案，体现整个</w:t>
            </w:r>
            <w:r>
              <w:rPr>
                <w:rFonts w:hint="eastAsia" w:ascii="宋体" w:hAnsi="宋体"/>
                <w:color w:val="auto"/>
                <w:sz w:val="24"/>
                <w:highlight w:val="none"/>
                <w:lang w:eastAsia="zh-CN"/>
              </w:rPr>
              <w:t>交通智能化</w:t>
            </w:r>
            <w:r>
              <w:rPr>
                <w:rFonts w:hint="eastAsia" w:ascii="宋体" w:hAnsi="宋体"/>
                <w:color w:val="auto"/>
                <w:sz w:val="24"/>
                <w:highlight w:val="none"/>
              </w:rPr>
              <w:t>系统架构，前端、中心设备、配套设施设计方案合理，考虑接电、LED补光灯设置、光缆线路、杆件设置、存储分配、应急预案方案设计等因素，网络系统架构组成、功能及性能符合项目设计需求，方案设计先进、合理、经济；其中网络链路设计考虑关键设备及线路的冗余；系统整体设计完整合理、功能完备。</w:t>
            </w:r>
          </w:p>
        </w:tc>
        <w:tc>
          <w:tcPr>
            <w:tcW w:w="914" w:type="dxa"/>
            <w:noWrap w:val="0"/>
            <w:vAlign w:val="center"/>
          </w:tcPr>
          <w:p>
            <w:pPr>
              <w:spacing w:line="360" w:lineRule="exact"/>
              <w:ind w:firstLine="0" w:firstLineChars="0"/>
              <w:rPr>
                <w:rFonts w:hint="eastAsia" w:ascii="宋体" w:hAnsi="宋体"/>
                <w:color w:val="auto"/>
                <w:sz w:val="24"/>
                <w:highlight w:val="none"/>
              </w:rPr>
            </w:pPr>
            <w:r>
              <w:rPr>
                <w:rFonts w:hint="eastAsia" w:ascii="宋体" w:hAnsi="宋体"/>
                <w:color w:val="auto"/>
                <w:sz w:val="24"/>
                <w:highlight w:val="none"/>
              </w:rPr>
              <w:t>0-</w:t>
            </w:r>
            <w:r>
              <w:rPr>
                <w:rFonts w:hint="eastAsia" w:ascii="宋体" w:hAnsi="宋体"/>
                <w:color w:val="auto"/>
                <w:sz w:val="24"/>
                <w:highlight w:val="none"/>
                <w:lang w:val="en-US" w:eastAsia="zh-CN"/>
              </w:rPr>
              <w:t>6</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0" w:type="dxa"/>
            <w:vMerge w:val="continue"/>
            <w:noWrap w:val="0"/>
            <w:vAlign w:val="center"/>
          </w:tcPr>
          <w:p>
            <w:pPr>
              <w:adjustRightInd w:val="0"/>
              <w:snapToGrid w:val="0"/>
              <w:spacing w:before="24" w:beforeLines="10" w:after="24" w:afterLines="10"/>
              <w:jc w:val="center"/>
              <w:rPr>
                <w:rFonts w:hint="eastAsia" w:ascii="宋体" w:hAnsi="宋体" w:eastAsia="宋体"/>
                <w:color w:val="auto"/>
                <w:sz w:val="24"/>
                <w:highlight w:val="none"/>
                <w:lang w:val="en-US" w:eastAsia="zh-CN"/>
              </w:rPr>
            </w:pPr>
          </w:p>
        </w:tc>
        <w:tc>
          <w:tcPr>
            <w:tcW w:w="1449" w:type="dxa"/>
            <w:vMerge w:val="continue"/>
            <w:noWrap w:val="0"/>
            <w:vAlign w:val="center"/>
          </w:tcPr>
          <w:p>
            <w:pPr>
              <w:adjustRightInd w:val="0"/>
              <w:snapToGrid w:val="0"/>
              <w:spacing w:before="24" w:beforeLines="10" w:after="24" w:afterLines="10"/>
              <w:jc w:val="both"/>
              <w:rPr>
                <w:rFonts w:hint="eastAsia" w:ascii="宋体" w:hAnsi="宋体"/>
                <w:color w:val="auto"/>
                <w:sz w:val="24"/>
                <w:highlight w:val="none"/>
              </w:rPr>
            </w:pPr>
          </w:p>
        </w:tc>
        <w:tc>
          <w:tcPr>
            <w:tcW w:w="6818" w:type="dxa"/>
            <w:noWrap w:val="0"/>
            <w:vAlign w:val="center"/>
          </w:tcPr>
          <w:p>
            <w:pPr>
              <w:spacing w:line="400" w:lineRule="exact"/>
              <w:rPr>
                <w:rFonts w:hint="eastAsia" w:ascii="宋体" w:hAnsi="宋体"/>
                <w:color w:val="auto"/>
                <w:sz w:val="24"/>
                <w:highlight w:val="none"/>
              </w:rPr>
            </w:pPr>
            <w:r>
              <w:rPr>
                <w:rFonts w:hint="eastAsia" w:ascii="宋体" w:hAnsi="宋体"/>
                <w:color w:val="auto"/>
                <w:sz w:val="24"/>
                <w:highlight w:val="none"/>
              </w:rPr>
              <w:t>技术方案内单独说明投标人现有网络情况，并规划出中标后针对现有视频专网主干网络的优化或扩容方案，系统整体设计完整合理、功能完备。</w:t>
            </w:r>
          </w:p>
        </w:tc>
        <w:tc>
          <w:tcPr>
            <w:tcW w:w="914" w:type="dxa"/>
            <w:noWrap w:val="0"/>
            <w:vAlign w:val="center"/>
          </w:tcPr>
          <w:p>
            <w:pPr>
              <w:spacing w:line="360" w:lineRule="exact"/>
              <w:ind w:firstLine="0" w:firstLineChars="0"/>
              <w:rPr>
                <w:rFonts w:hint="eastAsia" w:ascii="宋体" w:hAnsi="宋体"/>
                <w:color w:val="auto"/>
                <w:sz w:val="24"/>
                <w:highlight w:val="none"/>
              </w:rPr>
            </w:pPr>
            <w:r>
              <w:rPr>
                <w:rFonts w:hint="eastAsia" w:ascii="宋体" w:hAnsi="宋体"/>
                <w:color w:val="auto"/>
                <w:sz w:val="24"/>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0" w:type="dxa"/>
            <w:vMerge w:val="continue"/>
            <w:noWrap w:val="0"/>
            <w:vAlign w:val="center"/>
          </w:tcPr>
          <w:p>
            <w:pPr>
              <w:adjustRightInd w:val="0"/>
              <w:snapToGrid w:val="0"/>
              <w:spacing w:before="24" w:beforeLines="10" w:after="24" w:afterLines="10"/>
              <w:jc w:val="center"/>
              <w:rPr>
                <w:rFonts w:hint="eastAsia" w:ascii="宋体" w:hAnsi="宋体"/>
                <w:color w:val="auto"/>
                <w:sz w:val="24"/>
                <w:highlight w:val="none"/>
                <w:lang w:val="en-US" w:eastAsia="zh-CN"/>
              </w:rPr>
            </w:pPr>
          </w:p>
        </w:tc>
        <w:tc>
          <w:tcPr>
            <w:tcW w:w="1449" w:type="dxa"/>
            <w:vMerge w:val="continue"/>
            <w:noWrap w:val="0"/>
            <w:vAlign w:val="center"/>
          </w:tcPr>
          <w:p>
            <w:pPr>
              <w:adjustRightInd w:val="0"/>
              <w:snapToGrid w:val="0"/>
              <w:spacing w:before="24" w:beforeLines="10" w:after="24" w:afterLines="10"/>
              <w:jc w:val="both"/>
              <w:rPr>
                <w:rFonts w:hint="eastAsia" w:ascii="宋体" w:hAnsi="宋体"/>
                <w:color w:val="auto"/>
                <w:sz w:val="24"/>
                <w:highlight w:val="none"/>
              </w:rPr>
            </w:pPr>
          </w:p>
        </w:tc>
        <w:tc>
          <w:tcPr>
            <w:tcW w:w="6818" w:type="dxa"/>
            <w:noWrap w:val="0"/>
            <w:vAlign w:val="center"/>
          </w:tcPr>
          <w:p>
            <w:pPr>
              <w:spacing w:line="400" w:lineRule="exact"/>
              <w:rPr>
                <w:rFonts w:hint="eastAsia" w:ascii="宋体" w:hAnsi="宋体"/>
                <w:color w:val="auto"/>
                <w:sz w:val="24"/>
                <w:highlight w:val="none"/>
                <w:lang w:eastAsia="zh-CN"/>
              </w:rPr>
            </w:pPr>
            <w:r>
              <w:rPr>
                <w:rFonts w:hint="eastAsia" w:ascii="宋体" w:hAnsi="宋体"/>
                <w:color w:val="auto"/>
                <w:sz w:val="24"/>
                <w:highlight w:val="none"/>
              </w:rPr>
              <w:t>设备选型：根据投标人所投货物的功能、性能及配置参数等情况</w:t>
            </w:r>
            <w:r>
              <w:rPr>
                <w:rFonts w:hint="eastAsia" w:ascii="宋体" w:hAnsi="宋体"/>
                <w:color w:val="auto"/>
                <w:sz w:val="24"/>
                <w:highlight w:val="none"/>
                <w:lang w:eastAsia="zh-CN"/>
              </w:rPr>
              <w:t>进行</w:t>
            </w:r>
            <w:r>
              <w:rPr>
                <w:rFonts w:hint="eastAsia" w:ascii="宋体" w:hAnsi="宋体"/>
                <w:color w:val="auto"/>
                <w:sz w:val="24"/>
                <w:highlight w:val="none"/>
              </w:rPr>
              <w:t>打分。满足招标货物所有功能、性能及技术指标要求的得</w:t>
            </w:r>
            <w:r>
              <w:rPr>
                <w:rFonts w:hint="eastAsia" w:ascii="宋体" w:hAnsi="宋体"/>
                <w:color w:val="auto"/>
                <w:sz w:val="24"/>
                <w:highlight w:val="none"/>
                <w:lang w:val="en-US" w:eastAsia="zh-CN"/>
              </w:rPr>
              <w:t>6</w:t>
            </w:r>
            <w:r>
              <w:rPr>
                <w:rFonts w:hint="eastAsia" w:ascii="宋体" w:hAnsi="宋体"/>
                <w:color w:val="auto"/>
                <w:sz w:val="24"/>
                <w:highlight w:val="none"/>
              </w:rPr>
              <w:t>分</w:t>
            </w:r>
            <w:r>
              <w:rPr>
                <w:rFonts w:hint="eastAsia" w:ascii="宋体" w:hAnsi="宋体"/>
                <w:color w:val="auto"/>
                <w:sz w:val="24"/>
                <w:highlight w:val="none"/>
                <w:lang w:eastAsia="zh-CN"/>
              </w:rPr>
              <w:t>。</w:t>
            </w:r>
          </w:p>
          <w:p>
            <w:pPr>
              <w:spacing w:line="400" w:lineRule="exact"/>
              <w:rPr>
                <w:rFonts w:hint="eastAsia" w:ascii="宋体" w:hAnsi="宋体"/>
                <w:color w:val="auto"/>
                <w:sz w:val="24"/>
                <w:highlight w:val="none"/>
              </w:rPr>
            </w:pPr>
            <w:r>
              <w:rPr>
                <w:rFonts w:hint="eastAsia" w:ascii="宋体" w:hAnsi="宋体"/>
                <w:color w:val="auto"/>
                <w:sz w:val="24"/>
                <w:highlight w:val="none"/>
              </w:rPr>
              <w:t>非实质性技术参数指标有一项不符合的，扣</w:t>
            </w:r>
            <w:r>
              <w:rPr>
                <w:rFonts w:hint="eastAsia" w:ascii="宋体" w:hAnsi="宋体"/>
                <w:color w:val="auto"/>
                <w:sz w:val="24"/>
                <w:highlight w:val="none"/>
                <w:lang w:val="en-US" w:eastAsia="zh-CN"/>
              </w:rPr>
              <w:t>0.5</w:t>
            </w:r>
            <w:r>
              <w:rPr>
                <w:rFonts w:hint="eastAsia" w:ascii="宋体" w:hAnsi="宋体"/>
                <w:color w:val="auto"/>
                <w:sz w:val="24"/>
                <w:highlight w:val="none"/>
              </w:rPr>
              <w:t>分，扣完为止。（0-</w:t>
            </w:r>
            <w:r>
              <w:rPr>
                <w:rFonts w:hint="eastAsia" w:ascii="宋体" w:hAnsi="宋体"/>
                <w:color w:val="auto"/>
                <w:sz w:val="24"/>
                <w:highlight w:val="none"/>
                <w:lang w:val="en-US" w:eastAsia="zh-CN"/>
              </w:rPr>
              <w:t>6</w:t>
            </w:r>
            <w:r>
              <w:rPr>
                <w:rFonts w:hint="eastAsia" w:ascii="宋体" w:hAnsi="宋体"/>
                <w:color w:val="auto"/>
                <w:sz w:val="24"/>
                <w:highlight w:val="none"/>
              </w:rPr>
              <w:t>分）</w:t>
            </w:r>
          </w:p>
          <w:p>
            <w:pPr>
              <w:spacing w:line="400" w:lineRule="exact"/>
              <w:rPr>
                <w:rFonts w:hint="eastAsia" w:ascii="宋体" w:hAnsi="宋体" w:eastAsia="宋体"/>
                <w:color w:val="auto"/>
                <w:sz w:val="24"/>
                <w:highlight w:val="none"/>
                <w:lang w:eastAsia="zh-CN"/>
              </w:rPr>
            </w:pPr>
            <w:r>
              <w:rPr>
                <w:rFonts w:hint="eastAsia" w:ascii="宋体" w:hAnsi="宋体"/>
                <w:color w:val="auto"/>
                <w:sz w:val="24"/>
                <w:highlight w:val="none"/>
              </w:rPr>
              <w:t>对实质性技术指标参数有正偏离的，根据偏离情况，有效正偏</w:t>
            </w:r>
            <w:r>
              <w:rPr>
                <w:rFonts w:hint="eastAsia" w:ascii="宋体" w:hAnsi="宋体"/>
                <w:color w:val="auto"/>
                <w:sz w:val="24"/>
                <w:highlight w:val="none"/>
                <w:lang w:eastAsia="zh-CN"/>
              </w:rPr>
              <w:t>离的</w:t>
            </w:r>
            <w:r>
              <w:rPr>
                <w:rFonts w:hint="eastAsia" w:ascii="宋体" w:hAnsi="宋体"/>
                <w:color w:val="auto"/>
                <w:sz w:val="24"/>
                <w:highlight w:val="none"/>
              </w:rPr>
              <w:t>每项加0.5分，加分最高得2分。（0-2分）</w:t>
            </w:r>
          </w:p>
        </w:tc>
        <w:tc>
          <w:tcPr>
            <w:tcW w:w="914" w:type="dxa"/>
            <w:noWrap w:val="0"/>
            <w:vAlign w:val="center"/>
          </w:tcPr>
          <w:p>
            <w:pPr>
              <w:spacing w:before="120" w:beforeLines="50" w:after="120" w:afterLines="50" w:line="360" w:lineRule="exact"/>
              <w:ind w:firstLine="0" w:firstLineChars="0"/>
              <w:jc w:val="center"/>
              <w:rPr>
                <w:rFonts w:hint="eastAsia" w:ascii="宋体" w:hAnsi="宋体" w:eastAsia="宋体"/>
                <w:color w:val="auto"/>
                <w:sz w:val="24"/>
                <w:highlight w:val="none"/>
                <w:lang w:val="en-US" w:eastAsia="zh-CN"/>
              </w:rPr>
            </w:pPr>
            <w:r>
              <w:rPr>
                <w:rFonts w:hint="eastAsia" w:ascii="宋体" w:hAnsi="宋体"/>
                <w:color w:val="auto"/>
                <w:sz w:val="24"/>
                <w:highlight w:val="none"/>
              </w:rPr>
              <w:t>0-</w:t>
            </w:r>
            <w:r>
              <w:rPr>
                <w:rFonts w:hint="eastAsia" w:ascii="宋体" w:hAnsi="宋体"/>
                <w:color w:val="auto"/>
                <w:sz w:val="24"/>
                <w:highlight w:val="none"/>
                <w:lang w:val="en-US" w:eastAsia="zh-CN"/>
              </w:rPr>
              <w:t>8</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0" w:type="dxa"/>
            <w:noWrap w:val="0"/>
            <w:vAlign w:val="center"/>
          </w:tcPr>
          <w:p>
            <w:pPr>
              <w:adjustRightInd w:val="0"/>
              <w:snapToGrid w:val="0"/>
              <w:spacing w:before="24" w:beforeLines="10" w:after="24" w:afterLines="1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w:t>
            </w:r>
          </w:p>
        </w:tc>
        <w:tc>
          <w:tcPr>
            <w:tcW w:w="1449" w:type="dxa"/>
            <w:noWrap w:val="0"/>
            <w:vAlign w:val="center"/>
          </w:tcPr>
          <w:p>
            <w:pPr>
              <w:adjustRightInd w:val="0"/>
              <w:snapToGrid w:val="0"/>
              <w:spacing w:before="24" w:beforeLines="10" w:after="24" w:afterLines="10"/>
              <w:jc w:val="center"/>
              <w:rPr>
                <w:rFonts w:hint="eastAsia" w:ascii="宋体" w:hAnsi="宋体"/>
                <w:color w:val="auto"/>
                <w:sz w:val="24"/>
                <w:highlight w:val="none"/>
              </w:rPr>
            </w:pPr>
            <w:r>
              <w:rPr>
                <w:rFonts w:hint="eastAsia" w:ascii="宋体" w:hAnsi="宋体"/>
                <w:color w:val="auto"/>
                <w:sz w:val="24"/>
                <w:highlight w:val="none"/>
              </w:rPr>
              <w:t>实施方案</w:t>
            </w:r>
          </w:p>
        </w:tc>
        <w:tc>
          <w:tcPr>
            <w:tcW w:w="6818" w:type="dxa"/>
            <w:noWrap w:val="0"/>
            <w:vAlign w:val="center"/>
          </w:tcPr>
          <w:p>
            <w:pPr>
              <w:spacing w:line="400" w:lineRule="exact"/>
              <w:rPr>
                <w:rFonts w:hint="eastAsia" w:ascii="宋体" w:hAnsi="宋体" w:eastAsia="宋体"/>
                <w:color w:val="auto"/>
                <w:sz w:val="24"/>
                <w:highlight w:val="none"/>
                <w:lang w:eastAsia="zh-CN"/>
              </w:rPr>
            </w:pPr>
            <w:r>
              <w:rPr>
                <w:rFonts w:hint="eastAsia" w:ascii="宋体" w:hAnsi="宋体"/>
                <w:color w:val="auto"/>
                <w:sz w:val="24"/>
                <w:highlight w:val="none"/>
                <w:lang w:eastAsia="zh-CN"/>
              </w:rPr>
              <w:t>根据</w:t>
            </w:r>
            <w:r>
              <w:rPr>
                <w:rFonts w:hint="eastAsia" w:ascii="宋体" w:hAnsi="宋体"/>
                <w:color w:val="auto"/>
                <w:sz w:val="24"/>
                <w:highlight w:val="none"/>
              </w:rPr>
              <w:t>实施方案中施工计划组织合理科学，质量保证措施严格，工程进度及保证措施合理，安全管理措施保障</w:t>
            </w:r>
            <w:r>
              <w:rPr>
                <w:rFonts w:hint="eastAsia" w:ascii="宋体" w:hAnsi="宋体"/>
                <w:color w:val="auto"/>
                <w:sz w:val="24"/>
                <w:highlight w:val="none"/>
                <w:lang w:eastAsia="zh-CN"/>
              </w:rPr>
              <w:t>等情况进行</w:t>
            </w:r>
            <w:r>
              <w:rPr>
                <w:rFonts w:hint="eastAsia" w:ascii="宋体" w:hAnsi="宋体"/>
                <w:color w:val="auto"/>
                <w:sz w:val="24"/>
                <w:highlight w:val="none"/>
              </w:rPr>
              <w:t>打分。</w:t>
            </w:r>
          </w:p>
        </w:tc>
        <w:tc>
          <w:tcPr>
            <w:tcW w:w="914" w:type="dxa"/>
            <w:noWrap w:val="0"/>
            <w:vAlign w:val="center"/>
          </w:tcPr>
          <w:p>
            <w:pPr>
              <w:spacing w:line="360" w:lineRule="exact"/>
              <w:ind w:firstLine="0" w:firstLineChars="0"/>
              <w:rPr>
                <w:rFonts w:hint="eastAsia" w:ascii="宋体" w:hAnsi="宋体" w:eastAsia="宋体"/>
                <w:color w:val="auto"/>
                <w:sz w:val="24"/>
                <w:highlight w:val="none"/>
                <w:lang w:val="en-US" w:eastAsia="zh-CN"/>
              </w:rPr>
            </w:pPr>
            <w:r>
              <w:rPr>
                <w:rFonts w:hint="eastAsia" w:ascii="宋体" w:hAnsi="宋体"/>
                <w:color w:val="auto"/>
                <w:sz w:val="24"/>
                <w:highlight w:val="none"/>
              </w:rPr>
              <w:t>0-</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2" w:hRule="atLeast"/>
        </w:trPr>
        <w:tc>
          <w:tcPr>
            <w:tcW w:w="750" w:type="dxa"/>
            <w:vMerge w:val="restart"/>
            <w:noWrap w:val="0"/>
            <w:vAlign w:val="center"/>
          </w:tcPr>
          <w:p>
            <w:pPr>
              <w:pStyle w:val="2"/>
              <w:jc w:val="center"/>
              <w:rPr>
                <w:rFonts w:hint="eastAsia"/>
                <w:color w:val="auto"/>
                <w:lang w:val="en-US" w:eastAsia="zh-CN"/>
              </w:rPr>
            </w:pPr>
            <w:r>
              <w:rPr>
                <w:rFonts w:hint="eastAsia"/>
                <w:color w:val="auto"/>
                <w:lang w:val="en-US" w:eastAsia="zh-CN"/>
              </w:rPr>
              <w:t>8</w:t>
            </w:r>
          </w:p>
        </w:tc>
        <w:tc>
          <w:tcPr>
            <w:tcW w:w="1449" w:type="dxa"/>
            <w:vMerge w:val="restart"/>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项目人员</w:t>
            </w:r>
          </w:p>
          <w:p>
            <w:pPr>
              <w:adjustRightInd w:val="0"/>
              <w:snapToGrid w:val="0"/>
              <w:spacing w:before="24" w:beforeLines="10" w:after="24" w:afterLines="10"/>
              <w:jc w:val="center"/>
              <w:rPr>
                <w:rFonts w:hint="eastAsia" w:ascii="宋体" w:hAnsi="宋体"/>
                <w:color w:val="auto"/>
                <w:sz w:val="24"/>
                <w:highlight w:val="none"/>
              </w:rPr>
            </w:pPr>
            <w:r>
              <w:rPr>
                <w:rFonts w:hint="eastAsia" w:ascii="宋体" w:hAnsi="宋体" w:eastAsia="宋体" w:cs="宋体"/>
                <w:color w:val="auto"/>
                <w:sz w:val="24"/>
                <w:szCs w:val="24"/>
                <w:highlight w:val="none"/>
                <w:lang w:eastAsia="zh-CN"/>
              </w:rPr>
              <w:t>配置情况</w:t>
            </w:r>
          </w:p>
        </w:tc>
        <w:tc>
          <w:tcPr>
            <w:tcW w:w="6818"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项目经理：</w:t>
            </w: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根据其具有高级工程师（通信、计算机、机电类专业）及以上技术职称的得1分。</w:t>
            </w:r>
          </w:p>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textAlignment w:val="auto"/>
              <w:rPr>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根据其</w:t>
            </w:r>
            <w:r>
              <w:rPr>
                <w:rFonts w:hint="eastAsia" w:ascii="宋体" w:hAnsi="宋体" w:eastAsia="宋体" w:cs="宋体"/>
                <w:color w:val="auto"/>
                <w:sz w:val="24"/>
                <w:szCs w:val="24"/>
                <w:highlight w:val="none"/>
              </w:rPr>
              <w:t>所获证书、同类项目的建设经验</w:t>
            </w:r>
            <w:r>
              <w:rPr>
                <w:rFonts w:hint="eastAsia" w:ascii="宋体" w:hAnsi="宋体" w:eastAsia="宋体" w:cs="宋体"/>
                <w:color w:val="auto"/>
                <w:sz w:val="24"/>
                <w:szCs w:val="24"/>
                <w:highlight w:val="none"/>
                <w:lang w:val="en-US" w:eastAsia="zh-CN"/>
              </w:rPr>
              <w:t>等情况打分，最高得1分（须提供在投标人单位交纳的社保缴费证明与资质证书等相关证明材料。）</w:t>
            </w:r>
          </w:p>
        </w:tc>
        <w:tc>
          <w:tcPr>
            <w:tcW w:w="914"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0" w:hRule="atLeast"/>
        </w:trPr>
        <w:tc>
          <w:tcPr>
            <w:tcW w:w="750" w:type="dxa"/>
            <w:vMerge w:val="continue"/>
            <w:noWrap w:val="0"/>
            <w:vAlign w:val="center"/>
          </w:tcPr>
          <w:p>
            <w:pPr>
              <w:adjustRightInd w:val="0"/>
              <w:snapToGrid w:val="0"/>
              <w:spacing w:before="24" w:beforeLines="10" w:after="24" w:afterLines="10"/>
              <w:jc w:val="center"/>
              <w:rPr>
                <w:rFonts w:hint="eastAsia" w:ascii="宋体" w:hAnsi="宋体"/>
                <w:color w:val="auto"/>
                <w:sz w:val="24"/>
                <w:highlight w:val="none"/>
                <w:lang w:val="en-US" w:eastAsia="zh-CN"/>
              </w:rPr>
            </w:pPr>
          </w:p>
        </w:tc>
        <w:tc>
          <w:tcPr>
            <w:tcW w:w="1449" w:type="dxa"/>
            <w:vMerge w:val="continue"/>
            <w:noWrap w:val="0"/>
            <w:vAlign w:val="center"/>
          </w:tcPr>
          <w:p>
            <w:pPr>
              <w:adjustRightInd w:val="0"/>
              <w:snapToGrid w:val="0"/>
              <w:spacing w:before="24" w:beforeLines="10" w:after="24" w:afterLines="10"/>
              <w:jc w:val="both"/>
              <w:rPr>
                <w:rFonts w:hint="eastAsia" w:ascii="宋体" w:hAnsi="宋体" w:eastAsia="宋体" w:cs="宋体"/>
                <w:color w:val="auto"/>
                <w:sz w:val="24"/>
                <w:szCs w:val="24"/>
                <w:highlight w:val="none"/>
                <w:lang w:eastAsia="zh-CN"/>
              </w:rPr>
            </w:pPr>
          </w:p>
        </w:tc>
        <w:tc>
          <w:tcPr>
            <w:tcW w:w="6818"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color w:val="auto"/>
                <w:sz w:val="24"/>
                <w:highlight w:val="none"/>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建设</w:t>
            </w:r>
            <w:r>
              <w:rPr>
                <w:rFonts w:hint="eastAsia" w:ascii="宋体" w:hAnsi="宋体" w:eastAsia="宋体" w:cs="宋体"/>
                <w:color w:val="auto"/>
                <w:sz w:val="24"/>
                <w:szCs w:val="24"/>
                <w:highlight w:val="none"/>
                <w:lang w:eastAsia="zh-CN"/>
              </w:rPr>
              <w:t>人员：</w:t>
            </w:r>
            <w:r>
              <w:rPr>
                <w:rFonts w:hint="eastAsia" w:ascii="宋体" w:hAnsi="宋体" w:eastAsia="宋体" w:cs="宋体"/>
                <w:color w:val="auto"/>
                <w:sz w:val="24"/>
                <w:szCs w:val="24"/>
                <w:highlight w:val="none"/>
                <w:lang w:val="en-US" w:eastAsia="zh-CN"/>
              </w:rPr>
              <w:t>根据人员</w:t>
            </w:r>
            <w:r>
              <w:rPr>
                <w:rFonts w:hint="eastAsia" w:ascii="宋体" w:hAnsi="宋体" w:eastAsia="宋体" w:cs="宋体"/>
                <w:color w:val="auto"/>
                <w:sz w:val="24"/>
                <w:szCs w:val="24"/>
                <w:highlight w:val="none"/>
              </w:rPr>
              <w:t>相关项目管理资格职称、所获证书、同类项目的建设经验和投入本项目本单位人员数量、资格等级、职称、参与同类项目经验等</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以上人员必须提供在本单位交纳的社保证明与资质证书等相关证明材料</w:t>
            </w:r>
            <w:r>
              <w:rPr>
                <w:rFonts w:hint="eastAsia" w:ascii="宋体" w:hAnsi="宋体" w:eastAsia="宋体" w:cs="宋体"/>
                <w:color w:val="auto"/>
                <w:sz w:val="24"/>
                <w:szCs w:val="24"/>
                <w:highlight w:val="none"/>
                <w:lang w:eastAsia="zh-CN"/>
              </w:rPr>
              <w:t>。）</w:t>
            </w:r>
          </w:p>
        </w:tc>
        <w:tc>
          <w:tcPr>
            <w:tcW w:w="914"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0" w:hRule="atLeast"/>
        </w:trPr>
        <w:tc>
          <w:tcPr>
            <w:tcW w:w="750" w:type="dxa"/>
            <w:vMerge w:val="continue"/>
            <w:noWrap w:val="0"/>
            <w:vAlign w:val="center"/>
          </w:tcPr>
          <w:p>
            <w:pPr>
              <w:pStyle w:val="2"/>
              <w:rPr>
                <w:rFonts w:hint="eastAsia"/>
                <w:color w:val="auto"/>
                <w:lang w:val="en-US" w:eastAsia="zh-CN"/>
              </w:rPr>
            </w:pPr>
          </w:p>
        </w:tc>
        <w:tc>
          <w:tcPr>
            <w:tcW w:w="1449" w:type="dxa"/>
            <w:vMerge w:val="continue"/>
            <w:noWrap w:val="0"/>
            <w:vAlign w:val="center"/>
          </w:tcPr>
          <w:p>
            <w:pPr>
              <w:adjustRightInd w:val="0"/>
              <w:snapToGrid w:val="0"/>
              <w:spacing w:before="24" w:beforeLines="10" w:after="24" w:afterLines="10"/>
              <w:jc w:val="both"/>
              <w:rPr>
                <w:rFonts w:hint="eastAsia" w:ascii="宋体" w:hAnsi="宋体" w:eastAsia="宋体" w:cs="宋体"/>
                <w:color w:val="auto"/>
                <w:sz w:val="24"/>
                <w:szCs w:val="24"/>
                <w:highlight w:val="none"/>
                <w:lang w:eastAsia="zh-CN"/>
              </w:rPr>
            </w:pPr>
          </w:p>
        </w:tc>
        <w:tc>
          <w:tcPr>
            <w:tcW w:w="6818"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right="0" w:rightChars="0"/>
              <w:textAlignment w:val="auto"/>
              <w:rPr>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维护人员：</w:t>
            </w:r>
            <w:r>
              <w:rPr>
                <w:rFonts w:hint="eastAsia" w:ascii="宋体" w:hAnsi="宋体" w:eastAsia="宋体" w:cs="宋体"/>
                <w:color w:val="auto"/>
                <w:sz w:val="24"/>
                <w:highlight w:val="none"/>
              </w:rPr>
              <w:t>根据本项目驻点服务团队人员情况综合打分（提供缴纳的社保证明）。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人员可以为投标人本单位人员或与投标人签订项目维护合同的单位人员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所涉及人员需提供在投标人单位或与投标人签订项目维护合同单位的社保缴费证明。）</w:t>
            </w:r>
          </w:p>
        </w:tc>
        <w:tc>
          <w:tcPr>
            <w:tcW w:w="914" w:type="dxa"/>
            <w:noWrap w:val="0"/>
            <w:vAlign w:val="center"/>
          </w:tcPr>
          <w:p>
            <w:pPr>
              <w:keepNext w:val="0"/>
              <w:keepLines w:val="0"/>
              <w:pageBreakBefore w:val="0"/>
              <w:widowControl w:val="0"/>
              <w:kinsoku/>
              <w:wordWrap w:val="0"/>
              <w:overflowPunct w:val="0"/>
              <w:topLinePunct w:val="0"/>
              <w:autoSpaceDE w:val="0"/>
              <w:autoSpaceDN w:val="0"/>
              <w:bidi w:val="0"/>
              <w:spacing w:before="32" w:beforeLines="10" w:after="32" w:afterLines="10" w:line="400" w:lineRule="exact"/>
              <w:ind w:left="0" w:leftChars="0" w:right="0" w:rightChars="0"/>
              <w:jc w:val="center"/>
              <w:textAlignment w:val="auto"/>
              <w:rPr>
                <w:rFonts w:hint="eastAsia" w:ascii="宋体" w:hAnsi="宋体"/>
                <w:color w:val="auto"/>
                <w:sz w:val="24"/>
                <w:highlight w:val="none"/>
              </w:rPr>
            </w:pPr>
            <w:r>
              <w:rPr>
                <w:rFonts w:hint="eastAsia" w:ascii="宋体" w:hAnsi="宋体" w:eastAsia="宋体" w:cs="宋体"/>
                <w:color w:val="auto"/>
                <w:sz w:val="24"/>
                <w:szCs w:val="24"/>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0" w:hRule="atLeast"/>
        </w:trPr>
        <w:tc>
          <w:tcPr>
            <w:tcW w:w="750" w:type="dxa"/>
            <w:vMerge w:val="restart"/>
            <w:noWrap w:val="0"/>
            <w:vAlign w:val="center"/>
          </w:tcPr>
          <w:p>
            <w:pPr>
              <w:adjustRightInd w:val="0"/>
              <w:snapToGrid w:val="0"/>
              <w:spacing w:before="24" w:beforeLines="10" w:after="24" w:afterLines="10"/>
              <w:ind w:firstLine="0" w:firstLineChars="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1449" w:type="dxa"/>
            <w:vMerge w:val="restart"/>
            <w:noWrap w:val="0"/>
            <w:vAlign w:val="center"/>
          </w:tcPr>
          <w:p>
            <w:pPr>
              <w:adjustRightInd w:val="0"/>
              <w:snapToGrid w:val="0"/>
              <w:spacing w:before="24" w:beforeLines="10" w:after="24" w:afterLines="10"/>
              <w:ind w:firstLine="0" w:firstLineChars="0"/>
              <w:jc w:val="center"/>
              <w:rPr>
                <w:rFonts w:hint="eastAsia" w:ascii="宋体" w:hAnsi="宋体"/>
                <w:color w:val="auto"/>
                <w:sz w:val="24"/>
                <w:highlight w:val="none"/>
              </w:rPr>
            </w:pPr>
            <w:r>
              <w:rPr>
                <w:rFonts w:hint="eastAsia" w:ascii="宋体" w:hAnsi="宋体"/>
                <w:color w:val="auto"/>
                <w:sz w:val="24"/>
                <w:highlight w:val="none"/>
              </w:rPr>
              <w:t>服务方案</w:t>
            </w:r>
          </w:p>
        </w:tc>
        <w:tc>
          <w:tcPr>
            <w:tcW w:w="6818" w:type="dxa"/>
            <w:noWrap w:val="0"/>
            <w:vAlign w:val="center"/>
          </w:tcPr>
          <w:p>
            <w:pPr>
              <w:spacing w:before="120" w:beforeLines="50" w:after="120" w:afterLines="50" w:line="360" w:lineRule="exact"/>
              <w:ind w:firstLine="0" w:firstLineChars="0"/>
              <w:jc w:val="both"/>
              <w:rPr>
                <w:rFonts w:hint="eastAsia" w:ascii="宋体" w:hAnsi="宋体"/>
                <w:color w:val="auto"/>
                <w:sz w:val="24"/>
                <w:highlight w:val="none"/>
              </w:rPr>
            </w:pPr>
            <w:r>
              <w:rPr>
                <w:rFonts w:hint="eastAsia" w:ascii="宋体" w:hAnsi="宋体"/>
                <w:color w:val="auto"/>
                <w:sz w:val="24"/>
                <w:highlight w:val="none"/>
                <w:lang w:eastAsia="zh-CN"/>
              </w:rPr>
              <w:t>根据提供的</w:t>
            </w:r>
            <w:r>
              <w:rPr>
                <w:rFonts w:hint="eastAsia" w:ascii="宋体" w:hAnsi="宋体"/>
                <w:color w:val="auto"/>
                <w:sz w:val="24"/>
                <w:highlight w:val="none"/>
              </w:rPr>
              <w:t>详细</w:t>
            </w:r>
            <w:r>
              <w:rPr>
                <w:rFonts w:hint="eastAsia" w:ascii="宋体" w:hAnsi="宋体"/>
                <w:color w:val="auto"/>
                <w:sz w:val="24"/>
                <w:highlight w:val="none"/>
                <w:lang w:eastAsia="zh-CN"/>
              </w:rPr>
              <w:t>的</w:t>
            </w:r>
            <w:r>
              <w:rPr>
                <w:rFonts w:hint="eastAsia" w:ascii="宋体" w:hAnsi="宋体"/>
                <w:color w:val="auto"/>
                <w:sz w:val="24"/>
                <w:highlight w:val="none"/>
              </w:rPr>
              <w:t>服务方案，包括应急预案，方案合理、可行</w:t>
            </w:r>
            <w:r>
              <w:rPr>
                <w:rFonts w:hint="eastAsia" w:ascii="宋体" w:hAnsi="宋体"/>
                <w:color w:val="auto"/>
                <w:sz w:val="24"/>
                <w:highlight w:val="none"/>
                <w:lang w:eastAsia="zh-CN"/>
              </w:rPr>
              <w:t>性等内容进行打分</w:t>
            </w:r>
            <w:r>
              <w:rPr>
                <w:rFonts w:hint="eastAsia" w:ascii="宋体" w:hAnsi="宋体"/>
                <w:color w:val="auto"/>
                <w:sz w:val="24"/>
                <w:highlight w:val="none"/>
              </w:rPr>
              <w:t>。</w:t>
            </w:r>
          </w:p>
        </w:tc>
        <w:tc>
          <w:tcPr>
            <w:tcW w:w="914" w:type="dxa"/>
            <w:noWrap w:val="0"/>
            <w:vAlign w:val="center"/>
          </w:tcPr>
          <w:p>
            <w:pPr>
              <w:spacing w:before="120" w:beforeLines="50" w:after="120" w:afterLines="50" w:line="360" w:lineRule="exact"/>
              <w:ind w:firstLine="0" w:firstLineChars="0"/>
              <w:jc w:val="center"/>
              <w:rPr>
                <w:rFonts w:hint="eastAsia" w:ascii="宋体" w:hAnsi="宋体"/>
                <w:color w:val="auto"/>
                <w:sz w:val="24"/>
                <w:highlight w:val="none"/>
              </w:rPr>
            </w:pPr>
            <w:r>
              <w:rPr>
                <w:rFonts w:hint="eastAsia" w:ascii="宋体" w:hAnsi="宋体"/>
                <w:color w:val="auto"/>
                <w:sz w:val="24"/>
                <w:highlight w:val="none"/>
              </w:rPr>
              <w:t>0-</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0" w:type="dxa"/>
            <w:vMerge w:val="continue"/>
            <w:noWrap w:val="0"/>
            <w:vAlign w:val="center"/>
          </w:tcPr>
          <w:p>
            <w:pPr>
              <w:adjustRightInd w:val="0"/>
              <w:snapToGrid w:val="0"/>
              <w:spacing w:before="24" w:beforeLines="10" w:after="24" w:afterLines="10"/>
              <w:ind w:firstLine="0" w:firstLineChars="0"/>
              <w:jc w:val="center"/>
              <w:rPr>
                <w:rFonts w:hint="eastAsia" w:ascii="宋体" w:hAnsi="宋体"/>
                <w:color w:val="auto"/>
                <w:sz w:val="24"/>
                <w:highlight w:val="none"/>
                <w:lang w:val="en-US" w:eastAsia="zh-CN"/>
              </w:rPr>
            </w:pPr>
          </w:p>
        </w:tc>
        <w:tc>
          <w:tcPr>
            <w:tcW w:w="1449" w:type="dxa"/>
            <w:vMerge w:val="continue"/>
            <w:noWrap w:val="0"/>
            <w:vAlign w:val="center"/>
          </w:tcPr>
          <w:p>
            <w:pPr>
              <w:adjustRightInd w:val="0"/>
              <w:snapToGrid w:val="0"/>
              <w:spacing w:before="24" w:beforeLines="10" w:after="24" w:afterLines="10"/>
              <w:ind w:firstLine="0" w:firstLineChars="0"/>
              <w:jc w:val="center"/>
              <w:rPr>
                <w:rFonts w:hint="eastAsia" w:ascii="宋体" w:hAnsi="宋体"/>
                <w:color w:val="auto"/>
                <w:sz w:val="24"/>
                <w:highlight w:val="none"/>
              </w:rPr>
            </w:pPr>
          </w:p>
        </w:tc>
        <w:tc>
          <w:tcPr>
            <w:tcW w:w="6818" w:type="dxa"/>
            <w:noWrap w:val="0"/>
            <w:vAlign w:val="center"/>
          </w:tcPr>
          <w:p>
            <w:pPr>
              <w:spacing w:line="400" w:lineRule="exact"/>
              <w:rPr>
                <w:rFonts w:hint="eastAsia" w:ascii="宋体" w:hAnsi="宋体"/>
                <w:color w:val="auto"/>
                <w:sz w:val="24"/>
                <w:highlight w:val="none"/>
              </w:rPr>
            </w:pPr>
            <w:r>
              <w:rPr>
                <w:rFonts w:hint="eastAsia" w:ascii="宋体" w:hAnsi="宋体"/>
                <w:color w:val="auto"/>
                <w:sz w:val="24"/>
                <w:highlight w:val="none"/>
                <w:lang w:eastAsia="zh-CN"/>
              </w:rPr>
              <w:t>根据交警电子监控系统、信号控制系统维护特点，日常维护维修方案办法全面、合理；维护保障人员技术水平、培训计划、经验素质、数量合理情况等情况进行打分。</w:t>
            </w:r>
          </w:p>
        </w:tc>
        <w:tc>
          <w:tcPr>
            <w:tcW w:w="914" w:type="dxa"/>
            <w:noWrap w:val="0"/>
            <w:vAlign w:val="center"/>
          </w:tcPr>
          <w:p>
            <w:pPr>
              <w:spacing w:line="360" w:lineRule="exact"/>
              <w:ind w:firstLine="0" w:firstLineChars="0"/>
              <w:rPr>
                <w:rFonts w:hint="eastAsia" w:ascii="宋体" w:hAnsi="宋体"/>
                <w:color w:val="auto"/>
                <w:sz w:val="24"/>
                <w:highlight w:val="none"/>
              </w:rPr>
            </w:pPr>
            <w:r>
              <w:rPr>
                <w:rFonts w:hint="eastAsia" w:ascii="宋体" w:hAnsi="宋体"/>
                <w:color w:val="auto"/>
                <w:sz w:val="24"/>
                <w:highlight w:val="none"/>
              </w:rPr>
              <w:t>0-</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0" w:hRule="atLeast"/>
        </w:trPr>
        <w:tc>
          <w:tcPr>
            <w:tcW w:w="750" w:type="dxa"/>
            <w:vMerge w:val="continue"/>
            <w:noWrap w:val="0"/>
            <w:vAlign w:val="center"/>
          </w:tcPr>
          <w:p>
            <w:pPr>
              <w:pStyle w:val="21"/>
              <w:ind w:left="0" w:leftChars="0" w:firstLine="0" w:firstLineChars="0"/>
              <w:rPr>
                <w:rFonts w:hint="eastAsia"/>
                <w:color w:val="auto"/>
                <w:highlight w:val="none"/>
                <w:lang w:val="en-US" w:eastAsia="zh-CN"/>
              </w:rPr>
            </w:pPr>
          </w:p>
        </w:tc>
        <w:tc>
          <w:tcPr>
            <w:tcW w:w="1449" w:type="dxa"/>
            <w:vMerge w:val="continue"/>
            <w:noWrap w:val="0"/>
            <w:vAlign w:val="center"/>
          </w:tcPr>
          <w:p>
            <w:pPr>
              <w:adjustRightInd w:val="0"/>
              <w:snapToGrid w:val="0"/>
              <w:spacing w:before="24" w:beforeLines="10" w:after="24" w:afterLines="10"/>
              <w:ind w:firstLine="0" w:firstLineChars="0"/>
              <w:jc w:val="center"/>
              <w:rPr>
                <w:rFonts w:hint="eastAsia" w:ascii="宋体" w:hAnsi="宋体"/>
                <w:color w:val="auto"/>
                <w:sz w:val="24"/>
                <w:highlight w:val="none"/>
              </w:rPr>
            </w:pPr>
          </w:p>
        </w:tc>
        <w:tc>
          <w:tcPr>
            <w:tcW w:w="6818" w:type="dxa"/>
            <w:noWrap w:val="0"/>
            <w:vAlign w:val="center"/>
          </w:tcPr>
          <w:p>
            <w:pPr>
              <w:spacing w:line="400" w:lineRule="exact"/>
              <w:rPr>
                <w:rFonts w:hint="eastAsia" w:ascii="宋体" w:hAnsi="宋体"/>
                <w:color w:val="auto"/>
                <w:sz w:val="24"/>
                <w:highlight w:val="none"/>
              </w:rPr>
            </w:pPr>
            <w:r>
              <w:rPr>
                <w:rFonts w:hint="eastAsia" w:ascii="宋体" w:hAnsi="宋体"/>
                <w:color w:val="auto"/>
                <w:sz w:val="24"/>
                <w:highlight w:val="none"/>
              </w:rPr>
              <w:t>服务方案中投标单位对维护期内不同故障种类的现场响应、维护完毕时间及保障措施。</w:t>
            </w:r>
          </w:p>
        </w:tc>
        <w:tc>
          <w:tcPr>
            <w:tcW w:w="914" w:type="dxa"/>
            <w:noWrap w:val="0"/>
            <w:vAlign w:val="center"/>
          </w:tcPr>
          <w:p>
            <w:pPr>
              <w:spacing w:line="360" w:lineRule="exact"/>
              <w:ind w:firstLine="0" w:firstLineChars="0"/>
              <w:rPr>
                <w:rFonts w:hint="eastAsia" w:ascii="宋体" w:hAnsi="宋体"/>
                <w:color w:val="auto"/>
                <w:sz w:val="24"/>
                <w:highlight w:val="none"/>
              </w:rPr>
            </w:pPr>
            <w:r>
              <w:rPr>
                <w:rFonts w:hint="eastAsia" w:ascii="宋体" w:hAnsi="宋体"/>
                <w:color w:val="auto"/>
                <w:sz w:val="24"/>
                <w:highlight w:val="none"/>
              </w:rPr>
              <w:t>0-</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0" w:hRule="atLeast"/>
        </w:trPr>
        <w:tc>
          <w:tcPr>
            <w:tcW w:w="750" w:type="dxa"/>
            <w:vMerge w:val="continue"/>
            <w:noWrap w:val="0"/>
            <w:vAlign w:val="center"/>
          </w:tcPr>
          <w:p>
            <w:pPr>
              <w:pStyle w:val="21"/>
              <w:ind w:left="0" w:leftChars="0" w:firstLine="0" w:firstLineChars="0"/>
              <w:rPr>
                <w:rFonts w:hint="eastAsia"/>
                <w:color w:val="auto"/>
                <w:highlight w:val="none"/>
                <w:lang w:val="en-US" w:eastAsia="zh-CN"/>
              </w:rPr>
            </w:pPr>
          </w:p>
        </w:tc>
        <w:tc>
          <w:tcPr>
            <w:tcW w:w="1449" w:type="dxa"/>
            <w:vMerge w:val="continue"/>
            <w:noWrap w:val="0"/>
            <w:vAlign w:val="center"/>
          </w:tcPr>
          <w:p>
            <w:pPr>
              <w:adjustRightInd w:val="0"/>
              <w:snapToGrid w:val="0"/>
              <w:spacing w:before="24" w:beforeLines="10" w:after="24" w:afterLines="10"/>
              <w:ind w:firstLine="0" w:firstLineChars="0"/>
              <w:jc w:val="center"/>
              <w:rPr>
                <w:rFonts w:hint="eastAsia" w:ascii="宋体" w:hAnsi="宋体"/>
                <w:color w:val="auto"/>
                <w:sz w:val="24"/>
                <w:highlight w:val="none"/>
              </w:rPr>
            </w:pPr>
          </w:p>
        </w:tc>
        <w:tc>
          <w:tcPr>
            <w:tcW w:w="6818" w:type="dxa"/>
            <w:noWrap w:val="0"/>
            <w:vAlign w:val="center"/>
          </w:tcPr>
          <w:p>
            <w:pPr>
              <w:spacing w:line="400" w:lineRule="exact"/>
              <w:rPr>
                <w:rFonts w:hint="eastAsia" w:ascii="宋体" w:hAnsi="宋体"/>
                <w:color w:val="auto"/>
                <w:sz w:val="24"/>
                <w:highlight w:val="none"/>
              </w:rPr>
            </w:pPr>
            <w:r>
              <w:rPr>
                <w:rFonts w:hint="eastAsia" w:ascii="宋体" w:hAnsi="宋体" w:eastAsia="宋体" w:cs="宋体"/>
                <w:color w:val="auto"/>
                <w:sz w:val="24"/>
                <w:szCs w:val="24"/>
              </w:rPr>
              <w:t>建立备品仓库，储存足够的备用易损易耗件</w:t>
            </w:r>
            <w:r>
              <w:rPr>
                <w:rFonts w:hint="eastAsia" w:ascii="宋体" w:hAnsi="宋体" w:eastAsia="宋体" w:cs="宋体"/>
                <w:color w:val="auto"/>
                <w:sz w:val="24"/>
                <w:szCs w:val="24"/>
                <w:lang w:val="en-US" w:eastAsia="zh-CN"/>
              </w:rPr>
              <w:t>和前端摄像机等重要设备备品备件，</w:t>
            </w:r>
            <w:r>
              <w:rPr>
                <w:rFonts w:hint="eastAsia" w:ascii="宋体" w:hAnsi="宋体" w:eastAsia="宋体" w:cs="宋体"/>
                <w:color w:val="auto"/>
                <w:sz w:val="24"/>
                <w:szCs w:val="24"/>
              </w:rPr>
              <w:t>保证能满足故障抢修的要求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提供备品备件清单</w:t>
            </w:r>
            <w:r>
              <w:rPr>
                <w:rFonts w:hint="eastAsia" w:ascii="宋体" w:hAnsi="宋体" w:eastAsia="宋体" w:cs="宋体"/>
                <w:color w:val="auto"/>
                <w:sz w:val="24"/>
                <w:szCs w:val="24"/>
                <w:lang w:eastAsia="zh-CN"/>
              </w:rPr>
              <w:t>。</w:t>
            </w:r>
          </w:p>
        </w:tc>
        <w:tc>
          <w:tcPr>
            <w:tcW w:w="914" w:type="dxa"/>
            <w:noWrap w:val="0"/>
            <w:vAlign w:val="center"/>
          </w:tcPr>
          <w:p>
            <w:pPr>
              <w:spacing w:line="360" w:lineRule="exact"/>
              <w:ind w:firstLine="0" w:firstLineChars="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0" w:type="dxa"/>
            <w:vMerge w:val="restart"/>
            <w:noWrap w:val="0"/>
            <w:vAlign w:val="center"/>
          </w:tcPr>
          <w:p>
            <w:pPr>
              <w:adjustRightInd w:val="0"/>
              <w:snapToGrid w:val="0"/>
              <w:spacing w:before="24" w:beforeLines="10" w:after="24" w:afterLines="10"/>
              <w:ind w:firstLine="199" w:firstLineChars="83"/>
              <w:jc w:val="both"/>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1449" w:type="dxa"/>
            <w:vMerge w:val="restart"/>
            <w:noWrap w:val="0"/>
            <w:vAlign w:val="center"/>
          </w:tcPr>
          <w:p>
            <w:pPr>
              <w:adjustRightInd w:val="0"/>
              <w:snapToGrid w:val="0"/>
              <w:spacing w:before="24" w:beforeLines="10" w:after="24" w:afterLines="10"/>
              <w:ind w:firstLine="0" w:firstLineChars="0"/>
              <w:jc w:val="center"/>
              <w:rPr>
                <w:rFonts w:hint="eastAsia" w:ascii="宋体" w:hAnsi="宋体"/>
                <w:color w:val="auto"/>
                <w:sz w:val="24"/>
                <w:highlight w:val="none"/>
              </w:rPr>
            </w:pPr>
            <w:r>
              <w:rPr>
                <w:rFonts w:hint="eastAsia" w:ascii="宋体" w:hAnsi="宋体"/>
                <w:color w:val="auto"/>
                <w:sz w:val="24"/>
                <w:highlight w:val="none"/>
              </w:rPr>
              <w:t>服务硬件</w:t>
            </w:r>
          </w:p>
        </w:tc>
        <w:tc>
          <w:tcPr>
            <w:tcW w:w="6818" w:type="dxa"/>
            <w:noWrap w:val="0"/>
            <w:vAlign w:val="center"/>
          </w:tcPr>
          <w:p>
            <w:pPr>
              <w:spacing w:line="400" w:lineRule="exact"/>
              <w:rPr>
                <w:rFonts w:hint="eastAsia" w:ascii="宋体" w:hAnsi="宋体"/>
                <w:color w:val="auto"/>
                <w:sz w:val="24"/>
                <w:highlight w:val="none"/>
              </w:rPr>
            </w:pPr>
            <w:r>
              <w:rPr>
                <w:rFonts w:hint="eastAsia" w:ascii="宋体" w:hAnsi="宋体"/>
                <w:color w:val="auto"/>
                <w:sz w:val="24"/>
                <w:highlight w:val="none"/>
              </w:rPr>
              <w:t>根据维护车辆（工程车、登高车等车辆）配置情况</w:t>
            </w:r>
            <w:r>
              <w:rPr>
                <w:rFonts w:hint="eastAsia" w:ascii="宋体" w:hAnsi="宋体"/>
                <w:color w:val="auto"/>
                <w:sz w:val="24"/>
                <w:highlight w:val="none"/>
                <w:lang w:eastAsia="zh-CN"/>
              </w:rPr>
              <w:t>进行</w:t>
            </w:r>
            <w:r>
              <w:rPr>
                <w:rFonts w:hint="eastAsia" w:ascii="宋体" w:hAnsi="宋体"/>
                <w:color w:val="auto"/>
                <w:sz w:val="24"/>
                <w:highlight w:val="none"/>
              </w:rPr>
              <w:t>打分（提供车辆行驶证复印件，可以为投标人名下车辆或与投标人签订海盐县监控类项目合作协议的维护单位名下车辆）。</w:t>
            </w:r>
          </w:p>
        </w:tc>
        <w:tc>
          <w:tcPr>
            <w:tcW w:w="914" w:type="dxa"/>
            <w:noWrap w:val="0"/>
            <w:vAlign w:val="center"/>
          </w:tcPr>
          <w:p>
            <w:pPr>
              <w:spacing w:line="360" w:lineRule="exact"/>
              <w:ind w:firstLine="0" w:firstLineChars="0"/>
              <w:rPr>
                <w:rFonts w:hint="eastAsia" w:ascii="宋体" w:hAnsi="宋体"/>
                <w:color w:val="auto"/>
                <w:sz w:val="24"/>
                <w:highlight w:val="none"/>
              </w:rPr>
            </w:pPr>
            <w:r>
              <w:rPr>
                <w:rFonts w:hint="eastAsia" w:ascii="宋体" w:hAnsi="宋体"/>
                <w:color w:val="auto"/>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0" w:type="dxa"/>
            <w:vMerge w:val="continue"/>
            <w:noWrap w:val="0"/>
            <w:vAlign w:val="center"/>
          </w:tcPr>
          <w:p>
            <w:pPr>
              <w:adjustRightInd w:val="0"/>
              <w:snapToGrid w:val="0"/>
              <w:spacing w:before="24" w:beforeLines="10" w:after="24" w:afterLines="10"/>
              <w:ind w:firstLine="199" w:firstLineChars="83"/>
              <w:jc w:val="both"/>
              <w:rPr>
                <w:rFonts w:hint="eastAsia" w:ascii="宋体" w:hAnsi="宋体"/>
                <w:color w:val="auto"/>
                <w:sz w:val="24"/>
                <w:highlight w:val="none"/>
                <w:lang w:val="en-US" w:eastAsia="zh-CN"/>
              </w:rPr>
            </w:pPr>
          </w:p>
        </w:tc>
        <w:tc>
          <w:tcPr>
            <w:tcW w:w="1449" w:type="dxa"/>
            <w:vMerge w:val="continue"/>
            <w:noWrap w:val="0"/>
            <w:vAlign w:val="center"/>
          </w:tcPr>
          <w:p>
            <w:pPr>
              <w:adjustRightInd w:val="0"/>
              <w:snapToGrid w:val="0"/>
              <w:spacing w:before="24" w:beforeLines="10" w:after="24" w:afterLines="10"/>
              <w:ind w:firstLine="0" w:firstLineChars="0"/>
              <w:jc w:val="center"/>
              <w:rPr>
                <w:rFonts w:hint="eastAsia" w:ascii="宋体" w:hAnsi="宋体"/>
                <w:color w:val="auto"/>
                <w:sz w:val="24"/>
                <w:highlight w:val="none"/>
              </w:rPr>
            </w:pPr>
          </w:p>
        </w:tc>
        <w:tc>
          <w:tcPr>
            <w:tcW w:w="6818" w:type="dxa"/>
            <w:noWrap w:val="0"/>
            <w:vAlign w:val="center"/>
          </w:tcPr>
          <w:p>
            <w:pPr>
              <w:spacing w:line="400" w:lineRule="exact"/>
              <w:rPr>
                <w:rFonts w:hint="eastAsia" w:ascii="宋体" w:hAnsi="宋体"/>
                <w:color w:val="auto"/>
                <w:sz w:val="24"/>
                <w:highlight w:val="none"/>
              </w:rPr>
            </w:pPr>
            <w:r>
              <w:rPr>
                <w:rFonts w:hint="eastAsia" w:ascii="宋体" w:hAnsi="宋体"/>
                <w:color w:val="auto"/>
                <w:sz w:val="24"/>
                <w:highlight w:val="none"/>
              </w:rPr>
              <w:t>其他硬件保障：根据开展本项目所必须的机房、施工机械等硬件条件情况</w:t>
            </w:r>
            <w:r>
              <w:rPr>
                <w:rFonts w:hint="eastAsia" w:ascii="宋体" w:hAnsi="宋体"/>
                <w:color w:val="auto"/>
                <w:sz w:val="24"/>
                <w:highlight w:val="none"/>
                <w:lang w:eastAsia="zh-CN"/>
              </w:rPr>
              <w:t>进行</w:t>
            </w:r>
            <w:r>
              <w:rPr>
                <w:rFonts w:hint="eastAsia" w:ascii="宋体" w:hAnsi="宋体"/>
                <w:color w:val="auto"/>
                <w:sz w:val="24"/>
                <w:highlight w:val="none"/>
              </w:rPr>
              <w:t>打分。</w:t>
            </w:r>
          </w:p>
        </w:tc>
        <w:tc>
          <w:tcPr>
            <w:tcW w:w="914" w:type="dxa"/>
            <w:noWrap w:val="0"/>
            <w:vAlign w:val="center"/>
          </w:tcPr>
          <w:p>
            <w:pPr>
              <w:spacing w:line="360" w:lineRule="exact"/>
              <w:ind w:firstLine="0" w:firstLineChars="0"/>
              <w:rPr>
                <w:rFonts w:hint="eastAsia" w:ascii="宋体" w:hAnsi="宋体"/>
                <w:color w:val="auto"/>
                <w:sz w:val="24"/>
                <w:highlight w:val="none"/>
              </w:rPr>
            </w:pPr>
            <w:r>
              <w:rPr>
                <w:rFonts w:hint="eastAsia" w:ascii="宋体" w:hAnsi="宋体"/>
                <w:color w:val="auto"/>
                <w:sz w:val="24"/>
                <w:highlight w:val="none"/>
              </w:rPr>
              <w:t>0-</w:t>
            </w:r>
            <w:r>
              <w:rPr>
                <w:rFonts w:hint="eastAsia" w:ascii="宋体" w:hAnsi="宋体"/>
                <w:color w:val="auto"/>
                <w:sz w:val="24"/>
                <w:highlight w:val="none"/>
                <w:lang w:val="en-US" w:eastAsia="zh-CN"/>
              </w:rPr>
              <w:t>3</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0" w:type="dxa"/>
            <w:noWrap w:val="0"/>
            <w:vAlign w:val="center"/>
          </w:tcPr>
          <w:p>
            <w:pPr>
              <w:adjustRightInd w:val="0"/>
              <w:snapToGrid w:val="0"/>
              <w:spacing w:before="24" w:beforeLines="10" w:after="24" w:afterLines="10"/>
              <w:ind w:firstLine="0" w:firstLineChars="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449" w:type="dxa"/>
            <w:noWrap w:val="0"/>
            <w:vAlign w:val="center"/>
          </w:tcPr>
          <w:p>
            <w:pPr>
              <w:adjustRightInd w:val="0"/>
              <w:snapToGrid w:val="0"/>
              <w:spacing w:before="24" w:beforeLines="10" w:after="24" w:afterLines="10"/>
              <w:ind w:firstLine="0" w:firstLineChars="0"/>
              <w:jc w:val="center"/>
              <w:rPr>
                <w:rFonts w:hint="eastAsia" w:ascii="宋体" w:hAnsi="宋体"/>
                <w:color w:val="auto"/>
                <w:sz w:val="24"/>
                <w:highlight w:val="none"/>
              </w:rPr>
            </w:pPr>
            <w:r>
              <w:rPr>
                <w:rFonts w:hint="eastAsia" w:ascii="宋体" w:hAnsi="宋体"/>
                <w:color w:val="auto"/>
                <w:sz w:val="24"/>
                <w:highlight w:val="none"/>
              </w:rPr>
              <w:t>售后服务</w:t>
            </w:r>
            <w:r>
              <w:rPr>
                <w:rFonts w:hint="eastAsia" w:ascii="宋体" w:hAnsi="宋体"/>
                <w:color w:val="auto"/>
                <w:sz w:val="24"/>
                <w:highlight w:val="none"/>
                <w:lang w:eastAsia="zh-CN"/>
              </w:rPr>
              <w:t>网点</w:t>
            </w:r>
          </w:p>
        </w:tc>
        <w:tc>
          <w:tcPr>
            <w:tcW w:w="6818" w:type="dxa"/>
            <w:noWrap w:val="0"/>
            <w:vAlign w:val="center"/>
          </w:tcPr>
          <w:p>
            <w:pPr>
              <w:spacing w:before="24" w:beforeLines="10" w:after="24" w:afterLines="10" w:line="400" w:lineRule="exact"/>
              <w:rPr>
                <w:rFonts w:hint="eastAsia" w:ascii="宋体" w:hAnsi="宋体"/>
                <w:color w:val="auto"/>
                <w:sz w:val="24"/>
                <w:highlight w:val="none"/>
              </w:rPr>
            </w:pPr>
            <w:r>
              <w:rPr>
                <w:rFonts w:hint="eastAsia" w:ascii="等线" w:hAnsi="等线" w:eastAsia="等线" w:cs="宋体"/>
                <w:color w:val="auto"/>
                <w:kern w:val="0"/>
                <w:sz w:val="24"/>
                <w:szCs w:val="24"/>
                <w:highlight w:val="none"/>
              </w:rPr>
              <w:t>根据投标人的售后服务网点</w:t>
            </w:r>
            <w:r>
              <w:rPr>
                <w:rFonts w:hint="eastAsia" w:ascii="等线" w:hAnsi="等线" w:eastAsia="等线" w:cs="宋体"/>
                <w:color w:val="auto"/>
                <w:kern w:val="0"/>
                <w:sz w:val="24"/>
                <w:szCs w:val="24"/>
                <w:highlight w:val="none"/>
                <w:lang w:eastAsia="zh-CN"/>
              </w:rPr>
              <w:t>进行</w:t>
            </w:r>
            <w:r>
              <w:rPr>
                <w:rFonts w:hint="eastAsia" w:ascii="等线" w:hAnsi="等线" w:eastAsia="等线" w:cs="宋体"/>
                <w:color w:val="auto"/>
                <w:kern w:val="0"/>
                <w:sz w:val="24"/>
                <w:szCs w:val="24"/>
                <w:highlight w:val="none"/>
              </w:rPr>
              <w:t>打分。（提供有效证明材料，如房产证、租房协议等。售后服务网点须提供有效的营业执照副本复印件及授权书。）</w:t>
            </w:r>
          </w:p>
        </w:tc>
        <w:tc>
          <w:tcPr>
            <w:tcW w:w="914" w:type="dxa"/>
            <w:noWrap w:val="0"/>
            <w:vAlign w:val="center"/>
          </w:tcPr>
          <w:p>
            <w:pPr>
              <w:spacing w:before="24" w:beforeLines="10" w:after="24" w:afterLines="10"/>
              <w:ind w:firstLine="0" w:firstLineChars="0"/>
              <w:rPr>
                <w:rFonts w:hint="eastAsia" w:ascii="宋体" w:hAnsi="宋体"/>
                <w:color w:val="auto"/>
                <w:sz w:val="24"/>
                <w:highlight w:val="none"/>
              </w:rPr>
            </w:pPr>
            <w:r>
              <w:rPr>
                <w:rFonts w:hint="eastAsia" w:ascii="宋体" w:hAnsi="宋体"/>
                <w:color w:val="auto"/>
                <w:sz w:val="24"/>
                <w:highlight w:val="none"/>
              </w:rPr>
              <w:t>0-</w:t>
            </w:r>
            <w:r>
              <w:rPr>
                <w:rFonts w:hint="eastAsia" w:ascii="宋体" w:hAnsi="宋体"/>
                <w:color w:val="auto"/>
                <w:sz w:val="24"/>
                <w:highlight w:val="none"/>
                <w:lang w:val="en-US" w:eastAsia="zh-CN"/>
              </w:rPr>
              <w:t>1</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0" w:type="dxa"/>
            <w:noWrap w:val="0"/>
            <w:vAlign w:val="center"/>
          </w:tcPr>
          <w:p>
            <w:pPr>
              <w:spacing w:before="24" w:beforeLines="10" w:after="24" w:afterLines="1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1449" w:type="dxa"/>
            <w:noWrap w:val="0"/>
            <w:vAlign w:val="center"/>
          </w:tcPr>
          <w:p>
            <w:pPr>
              <w:spacing w:line="360" w:lineRule="exact"/>
              <w:ind w:firstLine="0" w:firstLineChars="0"/>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合理化建议</w:t>
            </w:r>
            <w:r>
              <w:rPr>
                <w:rFonts w:hint="eastAsia" w:ascii="宋体" w:hAnsi="宋体"/>
                <w:color w:val="auto"/>
                <w:sz w:val="24"/>
                <w:highlight w:val="none"/>
                <w:lang w:val="en-US" w:eastAsia="zh-CN"/>
              </w:rPr>
              <w:t>或其他增值服务</w:t>
            </w:r>
          </w:p>
        </w:tc>
        <w:tc>
          <w:tcPr>
            <w:tcW w:w="6818" w:type="dxa"/>
            <w:noWrap w:val="0"/>
            <w:vAlign w:val="center"/>
          </w:tcPr>
          <w:p>
            <w:pPr>
              <w:spacing w:line="400" w:lineRule="exact"/>
              <w:rPr>
                <w:rFonts w:ascii="宋体" w:hAnsi="宋体"/>
                <w:color w:val="auto"/>
                <w:sz w:val="24"/>
                <w:highlight w:val="none"/>
              </w:rPr>
            </w:pPr>
            <w:r>
              <w:rPr>
                <w:rFonts w:hint="eastAsia" w:ascii="宋体" w:hAnsi="宋体"/>
                <w:color w:val="auto"/>
                <w:sz w:val="24"/>
                <w:highlight w:val="none"/>
              </w:rPr>
              <w:t>合理化建议的科学性、合理性，为采购人考虑的周到性、全面性，有利于采购人投资建设，有效提升系统平台建设效能</w:t>
            </w:r>
            <w:r>
              <w:rPr>
                <w:rFonts w:hint="eastAsia" w:ascii="宋体" w:hAnsi="宋体"/>
                <w:color w:val="auto"/>
                <w:sz w:val="24"/>
                <w:highlight w:val="none"/>
                <w:lang w:val="en-US" w:eastAsia="zh-CN"/>
              </w:rPr>
              <w:t>或其他增值服务等进行</w:t>
            </w:r>
            <w:r>
              <w:rPr>
                <w:rFonts w:hint="eastAsia" w:ascii="宋体" w:hAnsi="宋体"/>
                <w:color w:val="auto"/>
                <w:sz w:val="24"/>
                <w:highlight w:val="none"/>
              </w:rPr>
              <w:t>打分。</w:t>
            </w:r>
          </w:p>
        </w:tc>
        <w:tc>
          <w:tcPr>
            <w:tcW w:w="914" w:type="dxa"/>
            <w:noWrap w:val="0"/>
            <w:vAlign w:val="center"/>
          </w:tcPr>
          <w:p>
            <w:pPr>
              <w:spacing w:line="360" w:lineRule="exact"/>
              <w:ind w:firstLine="0" w:firstLineChars="0"/>
              <w:rPr>
                <w:rFonts w:ascii="宋体" w:hAnsi="宋体"/>
                <w:color w:val="auto"/>
                <w:sz w:val="24"/>
                <w:highlight w:val="none"/>
              </w:rPr>
            </w:pPr>
            <w:r>
              <w:rPr>
                <w:rFonts w:hint="eastAsia" w:ascii="宋体" w:hAnsi="宋体"/>
                <w:color w:val="auto"/>
                <w:sz w:val="24"/>
                <w:highlight w:val="none"/>
              </w:rPr>
              <w:t>0-</w:t>
            </w:r>
            <w:r>
              <w:rPr>
                <w:rFonts w:hint="eastAsia" w:ascii="宋体" w:hAnsi="宋体"/>
                <w:color w:val="auto"/>
                <w:sz w:val="24"/>
                <w:highlight w:val="none"/>
                <w:lang w:val="en-US" w:eastAsia="zh-CN"/>
              </w:rPr>
              <w:t>2</w:t>
            </w:r>
            <w:r>
              <w:rPr>
                <w:rFonts w:hint="eastAsia" w:ascii="宋体" w:hAnsi="宋体"/>
                <w:color w:val="auto"/>
                <w:sz w:val="24"/>
                <w:highlight w:val="none"/>
              </w:rPr>
              <w:t>分</w:t>
            </w:r>
          </w:p>
        </w:tc>
      </w:tr>
    </w:tbl>
    <w:p>
      <w:pPr>
        <w:rPr>
          <w:rFonts w:hint="eastAsia"/>
          <w:color w:val="auto"/>
        </w:rPr>
      </w:pPr>
    </w:p>
    <w:p>
      <w:pPr>
        <w:pStyle w:val="22"/>
        <w:keepNext w:val="0"/>
        <w:keepLines w:val="0"/>
        <w:pageBreakBefore w:val="0"/>
        <w:widowControl w:val="0"/>
        <w:kinsoku/>
        <w:wordWrap w:val="0"/>
        <w:overflowPunct w:val="0"/>
        <w:topLinePunct w:val="0"/>
        <w:autoSpaceDE w:val="0"/>
        <w:autoSpaceDN w:val="0"/>
        <w:bidi w:val="0"/>
        <w:spacing w:line="400" w:lineRule="exact"/>
        <w:ind w:left="0" w:leftChars="0" w:right="0" w:righ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注：以上所涉及项目，若附件格式未提供，请自行</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w:t>
      </w:r>
    </w:p>
    <w:p>
      <w:pPr>
        <w:keepNext w:val="0"/>
        <w:keepLines w:val="0"/>
        <w:pageBreakBefore w:val="0"/>
        <w:widowControl w:val="0"/>
        <w:kinsoku/>
        <w:wordWrap w:val="0"/>
        <w:overflowPunct w:val="0"/>
        <w:topLinePunct w:val="0"/>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lang w:eastAsia="zh-CN"/>
        </w:rPr>
        <w:t>第五章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 xml:space="preserve"> 海盐县政府采购合同（指引）</w:t>
      </w:r>
    </w:p>
    <w:p>
      <w:pPr>
        <w:pageBreakBefore w:val="0"/>
        <w:kinsoku/>
        <w:bidi w:val="0"/>
        <w:spacing w:line="360" w:lineRule="auto"/>
        <w:jc w:val="center"/>
        <w:rPr>
          <w:rFonts w:hint="eastAsia"/>
          <w:color w:val="auto"/>
          <w:highlight w:val="none"/>
        </w:rPr>
      </w:pP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以正式合同为</w:t>
      </w:r>
      <w:r>
        <w:rPr>
          <w:rFonts w:hint="eastAsia" w:ascii="宋体" w:hAnsi="宋体" w:eastAsia="宋体" w:cs="宋体"/>
          <w:color w:val="auto"/>
          <w:sz w:val="28"/>
          <w:szCs w:val="36"/>
          <w:highlight w:val="none"/>
          <w:lang w:eastAsia="zh-CN"/>
        </w:rPr>
        <w:t>准）</w:t>
      </w:r>
    </w:p>
    <w:p>
      <w:pPr>
        <w:pStyle w:val="27"/>
        <w:keepNext w:val="0"/>
        <w:keepLines w:val="0"/>
        <w:pageBreakBefore w:val="0"/>
        <w:widowControl w:val="0"/>
        <w:kinsoku/>
        <w:wordWrap w:val="0"/>
        <w:overflowPunct/>
        <w:topLinePunct w:val="0"/>
        <w:autoSpaceDE/>
        <w:autoSpaceDN/>
        <w:bidi w:val="0"/>
        <w:adjustRightInd/>
        <w:snapToGrid w:val="0"/>
        <w:spacing w:before="0" w:beforeLines="0" w:after="0" w:afterLines="0" w:line="400" w:lineRule="exact"/>
        <w:ind w:right="0" w:rightChars="0"/>
        <w:textAlignment w:val="auto"/>
        <w:outlineLvl w:val="9"/>
        <w:rPr>
          <w:rFonts w:hint="eastAsia" w:ascii="宋体" w:hAnsi="宋体" w:eastAsia="宋体" w:cs="宋体"/>
          <w:color w:val="auto"/>
          <w:sz w:val="24"/>
          <w:szCs w:val="24"/>
          <w:highlight w:val="none"/>
        </w:rPr>
      </w:pPr>
    </w:p>
    <w:p>
      <w:pPr>
        <w:pStyle w:val="27"/>
        <w:keepNext w:val="0"/>
        <w:keepLines w:val="0"/>
        <w:pageBreakBefore w:val="0"/>
        <w:widowControl w:val="0"/>
        <w:kinsoku/>
        <w:wordWrap w:val="0"/>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wordWrap w:val="0"/>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政府采购计划（预算）确认号：</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采购人（以下称甲方）：</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wordWrap w:val="0"/>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供应商（以下称乙方）： </w:t>
      </w:r>
      <w:r>
        <w:rPr>
          <w:rFonts w:hint="eastAsia" w:ascii="宋体" w:hAnsi="宋体" w:eastAsia="宋体" w:cs="宋体"/>
          <w:color w:val="auto"/>
          <w:sz w:val="24"/>
          <w:szCs w:val="24"/>
          <w:highlight w:val="none"/>
          <w:u w:val="single"/>
        </w:rPr>
        <w:t xml:space="preserve">                        </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集中采购机构：海盐县公共资源交易中心</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根据《中华人民共和国政府采购法》、《中华人民共和国合同法》等法律法规的规定，甲乙双方按照</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项目采购结果签订本合同。</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合同组成</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本次政府采购活动的相关文件为本合同的组成部分，这些文件包括但不限于：</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（1）本合同文本；</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（2）采购文件与采购响应文件；</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（3）中标或成交通知书；</w:t>
      </w:r>
    </w:p>
    <w:p>
      <w:pPr>
        <w:pStyle w:val="27"/>
        <w:keepNext w:val="0"/>
        <w:keepLines w:val="0"/>
        <w:pageBreakBefore w:val="0"/>
        <w:widowControl w:val="0"/>
        <w:kinsoku/>
        <w:wordWrap w:val="0"/>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项目安全保密协议（见附件）。</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组成本合同的所有文件必须为书面形式。政府采购合同备案时，须提供以上（1）、（3）两项，如由采购代理机构代理，须提供代理协议，合同如有变更的，须提供变更协议。</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合同标的与相关属性</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本次采购的是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合同价款</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1、本合同项下总价款为（大写）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人民币，分项价款见“中标的报价文件价格清单”。</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总价款投标报价是履行合同的最终价格，应包括货款、标准附件、备品备件、专用工具、包装、运输、装卸、保险、税金、财务费用、技术服务费、货到就位以及安装、调试、培训、保修、五年内的技术服务、维护和招标代理费用（由中标单位在领取中标通知书前全额支付）等一切费用。</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3、本合同付款方式为以下第 (1) 项：</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（1）本合同项下的采购资金系甲方自行支付，付款程序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（2）本合同项下的采购资金须财政直接支付，付款程序为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Style w:val="27"/>
        <w:keepNext w:val="0"/>
        <w:keepLines w:val="0"/>
        <w:pageBreakBefore w:val="0"/>
        <w:widowControl w:val="0"/>
        <w:kinsoku/>
        <w:wordWrap w:val="0"/>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（3）其他方式：</w:t>
      </w:r>
      <w:r>
        <w:rPr>
          <w:rFonts w:hint="eastAsia" w:ascii="宋体" w:hAnsi="宋体" w:eastAsia="宋体" w:cs="宋体"/>
          <w:color w:val="auto"/>
          <w:sz w:val="24"/>
          <w:szCs w:val="24"/>
          <w:highlight w:val="none"/>
          <w:u w:val="single"/>
        </w:rPr>
        <w:t xml:space="preserve">    /     </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4、本合同项下的采购资金付款进度按招投标文件规定，未规定时按以下第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项支付：</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（1）一次性付款：乙方合同履行达到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（条件）时，一次性付款；</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（2）分期付款：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第四条 履约保证金</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项处理：</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1、本项目设置履约保证金，乙方应于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（时间）向甲方提交履约保证金</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元。履约保证金在质保期满后（无产品质量及服务质量问题）30日内无息退还。</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2、本项目不设置履约保证金</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合同的变更和终止</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除《政府采购法》第49条、第50条第二款规定的情形外，本合同一经签订，甲乙双方不得擅自终止合同或对合同实质性条款进行变更。确有特殊情况的，须经同级财政部门备案同意。</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合同的转让与分包</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乙方不得擅自部分或全部转让其应履行的合同义务。乙方分包的，应经过甲方书面同意。</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争议的解决</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种方式解决争议：</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（1）向甲方所在地有管辖权的人民法院提起诉讼；</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仲裁委员申请仲裁。</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合同备案及其他</w:t>
      </w:r>
    </w:p>
    <w:p>
      <w:pPr>
        <w:pStyle w:val="27"/>
        <w:keepNext w:val="0"/>
        <w:keepLines w:val="0"/>
        <w:pageBreakBefore w:val="0"/>
        <w:widowControl w:val="0"/>
        <w:kinsoku/>
        <w:wordWrap w:val="0"/>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肆份</w:t>
      </w:r>
      <w:r>
        <w:rPr>
          <w:rFonts w:hint="eastAsia" w:ascii="宋体" w:hAnsi="宋体" w:eastAsia="宋体" w:cs="宋体"/>
          <w:color w:val="auto"/>
          <w:sz w:val="24"/>
          <w:szCs w:val="24"/>
          <w:highlight w:val="none"/>
        </w:rPr>
        <w:t>，甲乙双方各执</w:t>
      </w:r>
      <w:r>
        <w:rPr>
          <w:rFonts w:hint="eastAsia" w:ascii="宋体" w:hAnsi="宋体" w:eastAsia="宋体" w:cs="宋体"/>
          <w:color w:val="auto"/>
          <w:sz w:val="24"/>
          <w:szCs w:val="24"/>
          <w:highlight w:val="none"/>
          <w:u w:val="single"/>
        </w:rPr>
        <w:t xml:space="preserve"> 壹份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壹份</w:t>
      </w:r>
      <w:r>
        <w:rPr>
          <w:rFonts w:hint="eastAsia" w:ascii="宋体" w:hAnsi="宋体" w:eastAsia="宋体" w:cs="宋体"/>
          <w:color w:val="auto"/>
          <w:sz w:val="24"/>
          <w:szCs w:val="24"/>
          <w:highlight w:val="none"/>
        </w:rPr>
        <w:t>报送政府采购监督管理部门备案，</w:t>
      </w:r>
      <w:r>
        <w:rPr>
          <w:rFonts w:hint="eastAsia" w:ascii="宋体" w:hAnsi="宋体" w:eastAsia="宋体" w:cs="宋体"/>
          <w:color w:val="auto"/>
          <w:sz w:val="24"/>
          <w:szCs w:val="24"/>
          <w:highlight w:val="none"/>
          <w:u w:val="single"/>
        </w:rPr>
        <w:t>壹份</w:t>
      </w:r>
      <w:r>
        <w:rPr>
          <w:rFonts w:hint="eastAsia" w:ascii="宋体" w:hAnsi="宋体" w:eastAsia="宋体" w:cs="宋体"/>
          <w:color w:val="auto"/>
          <w:sz w:val="24"/>
          <w:szCs w:val="24"/>
          <w:highlight w:val="none"/>
        </w:rPr>
        <w:t>送集采机构备案。</w:t>
      </w:r>
    </w:p>
    <w:p>
      <w:pPr>
        <w:pStyle w:val="27"/>
        <w:keepNext w:val="0"/>
        <w:keepLines w:val="0"/>
        <w:pageBreakBefore w:val="0"/>
        <w:widowControl w:val="0"/>
        <w:kinsoku/>
        <w:overflowPunct/>
        <w:topLinePunct w:val="0"/>
        <w:autoSpaceDE/>
        <w:autoSpaceDN/>
        <w:bidi w:val="0"/>
        <w:adjustRightInd/>
        <w:snapToGrid w:val="0"/>
        <w:spacing w:before="240" w:beforeLines="100" w:after="0" w:afterLines="0" w:line="400" w:lineRule="exact"/>
        <w:ind w:left="0" w:leftChars="0" w:right="0" w:rightChars="0" w:firstLine="482" w:firstLineChars="20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二、特殊专用条款部分</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第一条、技术资料</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1.1乙方应按招标文件规定的时间向甲方提供使用货物的有关技术资料。</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第二条、知识产权</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2.1乙方应保证所提供的货物或其任何一部分均不会侵犯任何第三方的知识产权。</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第三条、产权担保</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3.1乙方保证所交付的货物的所有权完全属于乙方且无任何抵押、查封等产权瑕疵。</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第四条、转包或分包</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4.1本合同范围的货物，应由供方直接供应，不得转让他人供应</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4.2除非得到需方的书面同意，供方不得部分分包给他人供应。需方有绝对权力阻止分包。</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4.3如有转让和未经需方同意的分包行为，需方有权给予终止合同。</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第五条、质保期和质保金</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年。（自项目验收合格之日起计）</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5.2质保金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第六条、交货期、交货方式及交货地点</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6.1设备实施建设工期：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6.2租赁服务期限：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6.3交货及安装地点：</w:t>
      </w:r>
      <w:r>
        <w:rPr>
          <w:rFonts w:hint="eastAsia" w:ascii="宋体" w:hAnsi="宋体" w:eastAsia="宋体" w:cs="宋体"/>
          <w:color w:val="auto"/>
          <w:sz w:val="24"/>
          <w:szCs w:val="24"/>
          <w:highlight w:val="none"/>
          <w:u w:val="single"/>
        </w:rPr>
        <w:t xml:space="preserve"> 采购单位指定地点 </w:t>
      </w:r>
      <w:r>
        <w:rPr>
          <w:rFonts w:hint="eastAsia" w:ascii="宋体" w:hAnsi="宋体" w:eastAsia="宋体" w:cs="宋体"/>
          <w:color w:val="auto"/>
          <w:sz w:val="24"/>
          <w:szCs w:val="24"/>
          <w:highlight w:val="none"/>
        </w:rPr>
        <w:t>。</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第七条、质量保证及售后服务</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7.1乙方应按招标文件规定的货物性能、技术要求、质量标准向甲方提供未经使用的全新产品。</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7.2乙方提供的货物在质量期内因货物本身的质量问题发生故障，乙方应负责免费更换。对达不到技术要求者，根据实际情况，经双方协商，可按以下办法处理：</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（1）更换：由乙方承担所发生的全部费用。</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（2）贬值处理：由甲乙双方合议定价。</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（3）退货处理：乙方应退还甲方支付的合同款，同时应承担该货物的直接费用（运输、保险、检验、货款利息及银行手续费等）。</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7.3采购清单中某些货物发生断货或停产的，乙方可提供同等质量型号的另外产品代替，前提必须征得甲方（采购人）同意后方可实施。</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7.4如在使用过程中发生质量问题，乙方在接到甲方通知后在3小时内到达甲方现场。</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7.5在质保期内，乙方应对货物出现的质量及安全问题负责处理解决并承担一切费用。</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7.6上述的货物质保期为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年，除人为因素出现的故障，乙方将对出现质量问题产品货物进行免费的更换。</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第八条、调试和验收</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8.2乙方交货前应对产品作出全面检查和对验收文件进行整理，并列出清单，作为甲方收货验收和使用的技术条件依据，检验的结果应随货物交甲方。</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8.3甲方对乙方提供的货物在使用前进行调试时，乙方需负责安装并培训甲方的使用操作人员，并协助甲方一起调试，直到符合技术要求，甲方才做最终验收。</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8.4验收时乙方必须在现场，验收完毕后作出验收结果报告，验收费用由乙方负责。</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第九条、货物包装、发运及运输</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9.1乙方应在货物发运前对其进行满足运输距离、防潮、防震、防锈和防破损装卸等要求包装，以保证货物安全运达甲方指定地点。</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9.2使用说明书、质量检验证明书、随配附件和工具以及清单一并附于货物内。</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9.3乙方在货物发运手续办理完毕后24小时内或货到甲方48小时前通知甲方，以准备接货。</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9.4货物在交付甲方前发生的风险均由乙方负责。</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9.5货物在规定的交付期限内由乙方送达甲方指定的地点视为交付，乙方同时需通知甲方货物已送达。</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第十条、违约责任</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10.1甲方无正当理由拒收货物的，甲方向乙方偿付拒收货款总值的百分之五违约金。</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10.2甲方无故逾期验收和办理货款支付手续的,甲方应按逾期付款总额每日万分之五向乙方支付违约金。</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第十一条、不可抗力事件处理</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11.1在合同有效期内，任何一方因不可抗力事件导致不能履行合同，则合同履行期可延长，其延长期与不可抗力影响期相同。</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11.2不可抗力事件发生后，应立即通知对方，并寄送有关权威机构出具的证明。</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11.3不可抗力事件延续120天以上，双方应通过友好协商，确定是否继续履行合同。</w:t>
      </w:r>
    </w:p>
    <w:p>
      <w:pPr>
        <w:pStyle w:val="27"/>
        <w:keepNext w:val="0"/>
        <w:keepLines w:val="0"/>
        <w:pageBreakBefore w:val="0"/>
        <w:widowControl w:val="0"/>
        <w:kinsoku/>
        <w:overflowPunct/>
        <w:topLinePunct w:val="0"/>
        <w:autoSpaceDE/>
        <w:autoSpaceDN/>
        <w:bidi w:val="0"/>
        <w:adjustRightInd/>
        <w:snapToGrid w:val="0"/>
        <w:spacing w:before="120" w:after="0" w:afterLines="0" w:line="400" w:lineRule="exact"/>
        <w:ind w:left="0" w:leftChars="0" w:right="0" w:rightChars="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第十二条、合同生效及其它</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12.1合同经双方法定代表人或授权委托代理人签字并加盖单位公章后生效。</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12.2合同执行中涉及采购资金和采购内容修改或补充的，须经海盐县财政部门审批，并签书面补充协议报海盐县政府采购监督管理部门备案，方可作为主合同不可分割的一部分。</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12.3本合同未尽事宜，遵照《合同法》有关条文执行。</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12.4本合同正本一式肆份，具有同等法律效力，甲乙双方各执壹份，壹份交县财政局备案，壹份交集采机构存档。</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12.3其他</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在接到供应商以书面形式提出验收申请后，在5个工作日内及时组织相关专业技术人员，必要时邀请质检等部门共同参与验收，采购方有权采用破坏性测试进行检测，并出具验收报告，作为支付货款的依据。</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如验收不合格，同时采购方有权终止合同，拒收未供产品，已供产品（除未通过检测外，其他方面均能满足招标文件中的要求）按已供货款的50%进行结算。 </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12.3.2、供货量调整及结算方式</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如因采购方实际需求，调整供货数量，中标单位须无条件满足采购方需求，确保供货质量并及时供货；结算时按实际供货量进行结算，单价不变。</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12.3.4、售后服务</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（1）按合同定期到货和安装、调试，免费质保期限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时间自产品最终验收合格并交付使用之日起计算。在产品保修期内，一旦产品发生质量问题，投标人保证在接到通知2小时内响应，24小时内赶到现场进行修理、更换或退货，费用由投标人负责。投标人应按其投标文件中的承诺，进行其他售后服务工作。</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（2）中标人必须负责所采购控制台的运输，并派有经验的技术人员到现场进行卸货、安装，经调试、检测合格后交付使用，其费用由中标人承担，包含在报价中。</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要求(规格)只是对产品的一些原则性要求，并不是详尽的要求，投标人有责任依据相关设计技术规范和有关行业国家标准执行。中标人应对投标内容所涉及的专利承担一切后果，由此引起的纠纷与采购单位无关。</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pStyle w:val="27"/>
        <w:keepNext w:val="0"/>
        <w:keepLines w:val="0"/>
        <w:pageBreakBefore w:val="0"/>
        <w:widowControl w:val="0"/>
        <w:kinsoku/>
        <w:overflowPunct/>
        <w:topLinePunct w:val="0"/>
        <w:autoSpaceDE/>
        <w:autoSpaceDN/>
        <w:bidi w:val="0"/>
        <w:adjustRightInd/>
        <w:snapToGrid w:val="0"/>
        <w:spacing w:before="0" w:beforeLines="0" w:after="0" w:afterLines="0"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签订地点：海盐县                      签订日期：      年   月  日</w:t>
      </w:r>
    </w:p>
    <w:p>
      <w:pPr>
        <w:rPr>
          <w:rFonts w:hint="eastAsia" w:ascii="宋体" w:hAnsi="宋体" w:eastAsia="宋体" w:cs="宋体"/>
          <w:color w:val="auto"/>
          <w:highlight w:val="none"/>
        </w:rPr>
      </w:pPr>
    </w:p>
    <w:p>
      <w:pPr>
        <w:pStyle w:val="26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6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6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color w:val="auto"/>
        </w:rPr>
      </w:pPr>
    </w:p>
    <w:p>
      <w:pPr>
        <w:pStyle w:val="267"/>
        <w:rPr>
          <w:rFonts w:hint="eastAsia" w:ascii="宋体" w:hAnsi="宋体" w:eastAsia="宋体" w:cs="宋体"/>
          <w:color w:val="auto"/>
          <w:highlight w:val="none"/>
        </w:rPr>
      </w:pPr>
    </w:p>
    <w:p>
      <w:pPr>
        <w:pStyle w:val="27"/>
        <w:snapToGrid w:val="0"/>
        <w:spacing w:before="120" w:after="120"/>
        <w:ind w:firstLine="267" w:firstLineChars="83"/>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合同附件：</w:t>
      </w:r>
    </w:p>
    <w:p>
      <w:pPr>
        <w:pStyle w:val="242"/>
        <w:spacing w:line="400" w:lineRule="atLeast"/>
        <w:ind w:firstLine="643"/>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u w:val="single"/>
        </w:rPr>
        <w:t xml:space="preserve">                （项目名称）              </w:t>
      </w:r>
      <w:r>
        <w:rPr>
          <w:rFonts w:hint="eastAsia" w:ascii="宋体" w:hAnsi="宋体" w:eastAsia="宋体" w:cs="宋体"/>
          <w:b/>
          <w:color w:val="auto"/>
          <w:sz w:val="32"/>
          <w:highlight w:val="none"/>
        </w:rPr>
        <w:t>安全保密协议</w:t>
      </w:r>
      <w:r>
        <w:rPr>
          <w:rFonts w:hint="eastAsia" w:ascii="宋体" w:hAnsi="宋体" w:eastAsia="宋体" w:cs="宋体"/>
          <w:b/>
          <w:color w:val="auto"/>
          <w:sz w:val="24"/>
          <w:highlight w:val="none"/>
        </w:rPr>
        <w:br w:type="textWrapping"/>
      </w:r>
    </w:p>
    <w:p>
      <w:pPr>
        <w:pStyle w:val="242"/>
        <w:wordWrap w:val="0"/>
        <w:spacing w:line="400" w:lineRule="atLeast"/>
        <w:ind w:firstLine="0" w:firstLine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   方：</w:t>
      </w:r>
      <w:r>
        <w:rPr>
          <w:rFonts w:hint="eastAsia" w:ascii="宋体" w:hAnsi="宋体" w:eastAsia="宋体" w:cs="宋体"/>
          <w:color w:val="auto"/>
          <w:sz w:val="24"/>
          <w:highlight w:val="none"/>
          <w:u w:val="single"/>
          <w:lang w:val="en-US" w:eastAsia="zh-CN"/>
        </w:rPr>
        <w:t xml:space="preserve">                            </w:t>
      </w:r>
    </w:p>
    <w:p>
      <w:pPr>
        <w:pStyle w:val="242"/>
        <w:wordWrap w:val="0"/>
        <w:spacing w:line="400" w:lineRule="atLeast"/>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乙   方：</w:t>
      </w:r>
      <w:r>
        <w:rPr>
          <w:rFonts w:hint="eastAsia" w:ascii="宋体" w:hAnsi="宋体" w:eastAsia="宋体" w:cs="宋体"/>
          <w:color w:val="auto"/>
          <w:sz w:val="24"/>
          <w:highlight w:val="none"/>
          <w:u w:val="single"/>
        </w:rPr>
        <w:t xml:space="preserve">                            </w:t>
      </w:r>
    </w:p>
    <w:p>
      <w:pPr>
        <w:pStyle w:val="242"/>
        <w:spacing w:line="400" w:lineRule="atLeast"/>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甲乙双方因合作建设关于</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项目，已经(或将要)知悉关于该系统建设项目的秘密。为了明确甲乙双方的保密义务,甲、乙双方本着平等自愿、公平诚信的原则，依据《中华人民共和国保密法》、《中华人民共和国合同法》、《中华人民共和国劳动法》及《中华人民共和国反不正当竞争法》等相关法规制订本保密协议。</w:t>
      </w:r>
      <w:r>
        <w:rPr>
          <w:rFonts w:hint="eastAsia" w:ascii="宋体" w:hAnsi="宋体" w:eastAsia="宋体" w:cs="宋体"/>
          <w:color w:val="auto"/>
          <w:sz w:val="24"/>
          <w:highlight w:val="none"/>
        </w:rPr>
        <w:br w:type="textWrapping"/>
      </w:r>
      <w:r>
        <w:rPr>
          <w:rFonts w:hint="eastAsia" w:ascii="宋体" w:hAnsi="宋体" w:eastAsia="宋体" w:cs="宋体"/>
          <w:b/>
          <w:color w:val="auto"/>
          <w:sz w:val="24"/>
          <w:highlight w:val="none"/>
        </w:rPr>
        <w:t xml:space="preserve">    第一条   安全保密的内容和范围</w:t>
      </w:r>
      <w:r>
        <w:rPr>
          <w:rFonts w:hint="eastAsia" w:ascii="宋体" w:hAnsi="宋体" w:eastAsia="宋体" w:cs="宋体"/>
          <w:b/>
          <w:color w:val="auto"/>
          <w:sz w:val="24"/>
          <w:highlight w:val="none"/>
        </w:rPr>
        <w:br w:type="textWrapping"/>
      </w:r>
      <w:r>
        <w:rPr>
          <w:rFonts w:hint="eastAsia" w:ascii="宋体" w:hAnsi="宋体" w:eastAsia="宋体" w:cs="宋体"/>
          <w:color w:val="auto"/>
          <w:sz w:val="24"/>
          <w:highlight w:val="none"/>
        </w:rPr>
        <w:t xml:space="preserve">    甲、乙双方确认，关于该系统建设项目的秘密范围包括:</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1、技术信息：</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包括技术方案、设计要求、服务内容、实现方法、运作流程、技术指标、软件系统、数据库、运行环境、作业平台、测试结果、图纸、样本、模型，使用手册、技术文档、涉及技术秘密的业务函电等与该系统建设相关的内容。</w:t>
      </w:r>
    </w:p>
    <w:p>
      <w:pPr>
        <w:pStyle w:val="242"/>
        <w:spacing w:line="400" w:lineRule="atLeast"/>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2、视频及图片信息：</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包括系统录像视濒数据以及人工抓拍、录像获取的系统相关视频及图片信息等。</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3、其它软硬件设备和设施：</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rPr>
        <w:t>有关的其它一切软硬件设备和设施, 除公安机关监控中心或监控室的设备和设施外。</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4、其它事项：</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依照法律规定(如通过与项目对方当事人缔约)和有关协议(如技术合同等）的约定要求双方承担安全保密义务的其他事项。</w:t>
      </w:r>
      <w:r>
        <w:rPr>
          <w:rFonts w:hint="eastAsia" w:ascii="宋体" w:hAnsi="宋体" w:eastAsia="宋体" w:cs="宋体"/>
          <w:color w:val="auto"/>
          <w:sz w:val="24"/>
          <w:highlight w:val="none"/>
        </w:rPr>
        <w:br w:type="textWrapping"/>
      </w:r>
      <w:r>
        <w:rPr>
          <w:rFonts w:hint="eastAsia" w:ascii="宋体" w:hAnsi="宋体" w:eastAsia="宋体" w:cs="宋体"/>
          <w:b/>
          <w:color w:val="auto"/>
          <w:sz w:val="24"/>
          <w:highlight w:val="none"/>
        </w:rPr>
        <w:t xml:space="preserve">    第二条   双方的安全保密义务 </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对第一条所称的该项目秘密，双方承担以下安全保密义务：</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1、主动采取加密措施对上述所列及之秘密进行保护，防止不承担同等保密义务的任何第三者知悉及使用；</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2、不得刺探或者以其它不正当手段（包括利用计算机进行检索、浏览、复制等）获取与本职工作或本身业务无关的关于该项目的秘密；</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3、不得向不承担同等保密义务的任何第三人披露关于该项目的秘密；</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4、不得允许（包括出借、赠与、出租、转让等行为）或协助不承担同等保密义务的任何第三人使用关于该项目的秘密；</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5、不论因何种原因终止该项目的工作后，都不得利用该项目之秘密为其他与双方有关系的单位服务；</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6、该项目的“视频及图片信息”秘密所有权始终归属甲方，乙方不得利用自身对项目不同程度的了解申请对于该项目的“视频及图片信息”秘密所有权。</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7、如发现一方关于该项目的秘密被泄露或者一方过失泄露秘密，应当采取有效措施防止泄密进一步扩大，并及时向对方报告。</w:t>
      </w:r>
    </w:p>
    <w:p>
      <w:pPr>
        <w:pStyle w:val="242"/>
        <w:spacing w:line="400" w:lineRule="atLeas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第三条   双方应采取的安全保密措施</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1、与参与此项目建设管理的所有工作人员签订与本协议配套的安全保密责任书；</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2、制定涉及本项目的安全保密方面的规章制度；</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3、采取其他一切必要的、切实可靠的安全保密措施，并加以落实。</w:t>
      </w:r>
    </w:p>
    <w:p>
      <w:pPr>
        <w:pStyle w:val="242"/>
        <w:spacing w:line="400" w:lineRule="atLeas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第四条   安全保密期约定</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甲、乙双方确认，双方的保密义务自本协议签订时开始，到关于该项目的秘密公开时止。乙方是否继续参与甲方关于该项目的工作，不影响保密义务的承担。</w:t>
      </w:r>
    </w:p>
    <w:p>
      <w:pPr>
        <w:pStyle w:val="242"/>
        <w:spacing w:line="400" w:lineRule="atLeas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第五条   违约责任</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1、如果一方未履行本协议第二条所规定的安全保密义务，给对方造成损失或后果的，应当承担违约责任，赔偿对方损失；</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2、由于因一方未能完全履行本协议所规定的安全保密义务和安全保密措施而侵犯了任何第三方权益的，则由泄密方完全承担由此造成的一切责任，对方不承担责任。</w:t>
      </w:r>
    </w:p>
    <w:p>
      <w:pPr>
        <w:pStyle w:val="242"/>
        <w:spacing w:line="400" w:lineRule="atLeas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第六条   争议的解决办法</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因执行本协议而发生纠纷，可以由双方协商解决或者共同委托双方信任的第三方调解。协商、调解不成或者一方不愿意协商、调解的，任何一方都有提起诉讼的权利。</w:t>
      </w:r>
    </w:p>
    <w:p>
      <w:pPr>
        <w:pStyle w:val="242"/>
        <w:spacing w:line="400" w:lineRule="atLeas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第七条   本协议的效力、期限、变更及其他</w:t>
      </w:r>
    </w:p>
    <w:p>
      <w:pPr>
        <w:pStyle w:val="242"/>
        <w:spacing w:line="400" w:lineRule="atLeast"/>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本协议经双方签字盖章后且于项目合同签订之日即生效。</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本协议有效期限到项目合同中止之日起满伍年止。</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本协议的任何修改必须经过双方的书面同意。协议未尽事宜由双方协商解决，协商不成，可向仲裁机关申请仲裁或诉诸法律解决。</w:t>
      </w:r>
    </w:p>
    <w:p>
      <w:pPr>
        <w:pStyle w:val="242"/>
        <w:spacing w:line="400" w:lineRule="atLeas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本项目的协议文件及其它书面承诺为本协议的组成部分。</w:t>
      </w:r>
    </w:p>
    <w:p>
      <w:pPr>
        <w:pStyle w:val="27"/>
        <w:wordWrap w:val="0"/>
        <w:snapToGrid w:val="0"/>
        <w:spacing w:before="0" w:beforeLines="0" w:after="0" w:afterLines="0"/>
        <w:ind w:firstLine="480"/>
        <w:rPr>
          <w:rFonts w:hint="eastAsia" w:ascii="宋体" w:hAnsi="宋体" w:eastAsia="宋体" w:cs="宋体"/>
          <w:color w:val="auto"/>
          <w:highlight w:val="none"/>
        </w:rPr>
      </w:pPr>
      <w:r>
        <w:rPr>
          <w:rFonts w:hint="eastAsia" w:ascii="宋体" w:hAnsi="宋体" w:eastAsia="宋体" w:cs="宋体"/>
          <w:color w:val="auto"/>
          <w:highlight w:val="none"/>
        </w:rPr>
        <w:t>本协议一式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肆</w:t>
      </w:r>
      <w:r>
        <w:rPr>
          <w:rFonts w:hint="eastAsia" w:ascii="宋体" w:hAnsi="宋体" w:eastAsia="宋体" w:cs="宋体"/>
          <w:color w:val="auto"/>
          <w:highlight w:val="none"/>
          <w:u w:val="single"/>
        </w:rPr>
        <w:t xml:space="preserve">份 </w:t>
      </w:r>
      <w:r>
        <w:rPr>
          <w:rFonts w:hint="eastAsia" w:ascii="宋体" w:hAnsi="宋体" w:eastAsia="宋体" w:cs="宋体"/>
          <w:color w:val="auto"/>
          <w:highlight w:val="none"/>
        </w:rPr>
        <w:t>，甲乙双方各执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壹</w:t>
      </w:r>
      <w:r>
        <w:rPr>
          <w:rFonts w:hint="eastAsia" w:ascii="宋体" w:hAnsi="宋体" w:eastAsia="宋体" w:cs="宋体"/>
          <w:color w:val="auto"/>
          <w:highlight w:val="none"/>
          <w:u w:val="single"/>
        </w:rPr>
        <w:t xml:space="preserve">份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壹份 </w:t>
      </w:r>
      <w:r>
        <w:rPr>
          <w:rFonts w:hint="eastAsia" w:ascii="宋体" w:hAnsi="宋体" w:eastAsia="宋体" w:cs="宋体"/>
          <w:color w:val="auto"/>
          <w:highlight w:val="none"/>
        </w:rPr>
        <w:t>报送政府采购监督管理部门备案，</w:t>
      </w:r>
      <w:r>
        <w:rPr>
          <w:rFonts w:hint="eastAsia" w:ascii="宋体" w:hAnsi="宋体" w:eastAsia="宋体" w:cs="宋体"/>
          <w:color w:val="auto"/>
          <w:highlight w:val="none"/>
          <w:u w:val="single"/>
        </w:rPr>
        <w:t xml:space="preserve"> 壹份 </w:t>
      </w:r>
      <w:r>
        <w:rPr>
          <w:rFonts w:hint="eastAsia" w:ascii="宋体" w:hAnsi="宋体" w:eastAsia="宋体" w:cs="宋体"/>
          <w:color w:val="auto"/>
          <w:highlight w:val="none"/>
        </w:rPr>
        <w:t>送集采机构备案。</w:t>
      </w:r>
    </w:p>
    <w:p>
      <w:pPr>
        <w:pStyle w:val="242"/>
        <w:spacing w:line="400" w:lineRule="atLeast"/>
        <w:ind w:firstLine="480"/>
        <w:rPr>
          <w:rFonts w:hint="eastAsia" w:ascii="宋体" w:hAnsi="宋体" w:eastAsia="宋体" w:cs="宋体"/>
          <w:color w:val="auto"/>
          <w:sz w:val="24"/>
          <w:highlight w:val="none"/>
        </w:rPr>
      </w:pPr>
    </w:p>
    <w:p>
      <w:pPr>
        <w:pStyle w:val="242"/>
        <w:spacing w:line="400" w:lineRule="atLeast"/>
        <w:ind w:firstLine="480"/>
        <w:rPr>
          <w:rFonts w:hint="eastAsia" w:ascii="宋体" w:hAnsi="宋体" w:eastAsia="宋体" w:cs="宋体"/>
          <w:color w:val="auto"/>
          <w:sz w:val="24"/>
          <w:highlight w:val="none"/>
        </w:rPr>
      </w:pPr>
    </w:p>
    <w:p>
      <w:pPr>
        <w:pStyle w:val="242"/>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甲方：（签章）                        甲方：（签章）</w:t>
      </w:r>
    </w:p>
    <w:p>
      <w:pPr>
        <w:pStyle w:val="242"/>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法人代表：                            法人代表 ：</w:t>
      </w:r>
    </w:p>
    <w:p>
      <w:pPr>
        <w:pStyle w:val="242"/>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或授权代表（签字）：                  或授权代表（签字）：</w:t>
      </w:r>
    </w:p>
    <w:p>
      <w:pPr>
        <w:pStyle w:val="242"/>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                         年    月    日</w:t>
      </w:r>
    </w:p>
    <w:p>
      <w:pPr>
        <w:pStyle w:val="21"/>
        <w:ind w:firstLine="0" w:firstLineChars="0"/>
        <w:rPr>
          <w:rFonts w:hint="eastAsia"/>
          <w:color w:val="auto"/>
          <w:lang w:val="en-US" w:eastAsia="zh-CN"/>
        </w:rPr>
      </w:pPr>
    </w:p>
    <w:p>
      <w:pPr>
        <w:rPr>
          <w:rFonts w:hint="eastAsia"/>
          <w:color w:val="auto"/>
          <w:lang w:val="en-US" w:eastAsia="zh-CN"/>
        </w:rPr>
      </w:pPr>
    </w:p>
    <w:p>
      <w:pPr>
        <w:pStyle w:val="21"/>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21"/>
        <w:rPr>
          <w:rFonts w:hint="eastAsia"/>
          <w:color w:val="auto"/>
          <w:lang w:val="en-US" w:eastAsia="zh-CN"/>
        </w:rPr>
      </w:pPr>
    </w:p>
    <w:p>
      <w:pPr>
        <w:rPr>
          <w:rFonts w:hint="eastAsia"/>
          <w:color w:val="auto"/>
          <w:lang w:val="en-US" w:eastAsia="zh-CN"/>
        </w:rPr>
      </w:pPr>
    </w:p>
    <w:p>
      <w:pPr>
        <w:keepNext w:val="0"/>
        <w:keepLines w:val="0"/>
        <w:pageBreakBefore w:val="0"/>
        <w:widowControl w:val="0"/>
        <w:numPr>
          <w:ilvl w:val="0"/>
          <w:numId w:val="13"/>
        </w:numPr>
        <w:kinsoku/>
        <w:wordWrap w:val="0"/>
        <w:overflowPunct w:val="0"/>
        <w:topLinePunct w:val="0"/>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投标文件格式</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jc w:val="left"/>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jc w:val="left"/>
        <w:outlineLvl w:val="1"/>
        <w:rPr>
          <w:rFonts w:hint="eastAsia" w:ascii="宋体" w:hAnsi="宋体" w:eastAsia="宋体" w:cs="宋体"/>
          <w:color w:val="auto"/>
          <w:highlight w:val="none"/>
        </w:rPr>
      </w:pP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资格文件格式：</w:t>
      </w:r>
    </w:p>
    <w:p>
      <w:pPr>
        <w:pStyle w:val="21"/>
        <w:keepNext w:val="0"/>
        <w:keepLines w:val="0"/>
        <w:pageBreakBefore w:val="0"/>
        <w:widowControl w:val="0"/>
        <w:kinsoku/>
        <w:wordWrap w:val="0"/>
        <w:overflowPunct w:val="0"/>
        <w:topLinePunct w:val="0"/>
        <w:autoSpaceDE w:val="0"/>
        <w:autoSpaceDN w:val="0"/>
        <w:bidi w:val="0"/>
        <w:spacing w:line="360" w:lineRule="auto"/>
        <w:ind w:firstLine="21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color w:val="auto"/>
          <w:sz w:val="32"/>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资格声明</w:t>
      </w:r>
      <w:r>
        <w:rPr>
          <w:rFonts w:hint="eastAsia" w:ascii="宋体" w:hAnsi="宋体" w:eastAsia="宋体" w:cs="宋体"/>
          <w:b/>
          <w:bCs/>
          <w:color w:val="auto"/>
          <w:sz w:val="24"/>
          <w:highlight w:val="none"/>
          <w:lang w:eastAsia="zh-CN"/>
        </w:rPr>
        <w:t>格式</w:t>
      </w:r>
      <w:r>
        <w:rPr>
          <w:rFonts w:hint="eastAsia" w:ascii="宋体" w:hAnsi="宋体" w:eastAsia="宋体" w:cs="宋体"/>
          <w:b/>
          <w:bCs/>
          <w:color w:val="auto"/>
          <w:sz w:val="24"/>
          <w:highlight w:val="none"/>
        </w:rPr>
        <w:t>：</w:t>
      </w:r>
    </w:p>
    <w:p>
      <w:pPr>
        <w:pageBreakBefore w:val="0"/>
        <w:widowControl w:val="0"/>
        <w:wordWrap w:val="0"/>
        <w:topLinePunct w:val="0"/>
        <w:bidi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资格声明</w:t>
      </w:r>
    </w:p>
    <w:p>
      <w:pPr>
        <w:pageBreakBefore w:val="0"/>
        <w:widowControl w:val="0"/>
        <w:wordWrap w:val="0"/>
        <w:topLinePunct w:val="0"/>
        <w:bidi w:val="0"/>
        <w:spacing w:line="400" w:lineRule="exact"/>
        <w:jc w:val="center"/>
        <w:rPr>
          <w:rFonts w:hint="eastAsia" w:ascii="宋体" w:hAnsi="宋体" w:eastAsia="宋体" w:cs="宋体"/>
          <w:b/>
          <w:color w:val="auto"/>
          <w:sz w:val="32"/>
          <w:highlight w:val="none"/>
        </w:rPr>
      </w:pPr>
    </w:p>
    <w:tbl>
      <w:tblPr>
        <w:tblStyle w:val="48"/>
        <w:tblpPr w:leftFromText="180" w:rightFromText="180" w:vertAnchor="text" w:horzAnchor="page" w:tblpX="1510" w:tblpY="393"/>
        <w:tblOverlap w:val="never"/>
        <w:tblW w:w="0" w:type="auto"/>
        <w:tblInd w:w="0" w:type="dxa"/>
        <w:tblLayout w:type="fixed"/>
        <w:tblCellMar>
          <w:top w:w="0" w:type="dxa"/>
          <w:left w:w="0" w:type="dxa"/>
          <w:bottom w:w="0" w:type="dxa"/>
          <w:right w:w="0" w:type="dxa"/>
        </w:tblCellMar>
      </w:tblPr>
      <w:tblGrid>
        <w:gridCol w:w="9300"/>
      </w:tblGrid>
      <w:tr>
        <w:tblPrEx>
          <w:tblCellMar>
            <w:top w:w="0" w:type="dxa"/>
            <w:left w:w="0" w:type="dxa"/>
            <w:bottom w:w="0" w:type="dxa"/>
            <w:right w:w="0" w:type="dxa"/>
          </w:tblCellMar>
        </w:tblPrEx>
        <w:trPr>
          <w:wBefore w:w="0" w:type="dxa"/>
          <w:wAfter w:w="0" w:type="dxa"/>
          <w:trHeight w:val="623" w:hRule="atLeast"/>
        </w:trPr>
        <w:tc>
          <w:tcPr>
            <w:tcW w:w="9300" w:type="dxa"/>
            <w:noWrap w:val="0"/>
            <w:vAlign w:val="center"/>
          </w:tcPr>
          <w:p>
            <w:pPr>
              <w:pageBreakBefore w:val="0"/>
              <w:widowControl w:val="0"/>
              <w:wordWrap w:val="0"/>
              <w:topLinePunct w:val="0"/>
              <w:bidi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（采购人全称）</w:t>
            </w:r>
            <w:r>
              <w:rPr>
                <w:rFonts w:hint="eastAsia" w:ascii="宋体" w:hAnsi="宋体" w:eastAsia="宋体" w:cs="宋体"/>
                <w:color w:val="auto"/>
                <w:sz w:val="24"/>
                <w:highlight w:val="none"/>
              </w:rPr>
              <w:t>：</w:t>
            </w:r>
          </w:p>
        </w:tc>
      </w:tr>
      <w:tr>
        <w:trPr>
          <w:wBefore w:w="0" w:type="dxa"/>
          <w:wAfter w:w="0" w:type="dxa"/>
          <w:trHeight w:val="4370" w:hRule="atLeast"/>
        </w:trPr>
        <w:tc>
          <w:tcPr>
            <w:tcW w:w="9300" w:type="dxa"/>
            <w:noWrap w:val="0"/>
            <w:vAlign w:val="top"/>
          </w:tcPr>
          <w:p>
            <w:pPr>
              <w:pageBreakBefore w:val="0"/>
              <w:widowControl w:val="0"/>
              <w:wordWrap w:val="0"/>
              <w:topLinePunct w:val="0"/>
              <w:bidi w:val="0"/>
              <w:spacing w:line="480" w:lineRule="auto"/>
              <w:ind w:left="-3"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1、我方对提交的资格条件资料的真实性负责，如有任何不实，愿按采购文件和相关法律法规的有关规定接受处理。</w:t>
            </w:r>
          </w:p>
          <w:p>
            <w:pPr>
              <w:pageBreakBefore w:val="0"/>
              <w:widowControl w:val="0"/>
              <w:wordWrap w:val="0"/>
              <w:topLinePunct w:val="0"/>
              <w:bidi w:val="0"/>
              <w:spacing w:line="480" w:lineRule="auto"/>
              <w:ind w:left="-3"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2、我方提交的资格条件资料是响应文件的组成部分，愿承担采购文件规定的全部责任和义务。</w:t>
            </w:r>
          </w:p>
          <w:p>
            <w:pPr>
              <w:pageBreakBefore w:val="0"/>
              <w:widowControl w:val="0"/>
              <w:tabs>
                <w:tab w:val="left" w:pos="5760"/>
              </w:tabs>
              <w:wordWrap w:val="0"/>
              <w:topLinePunct w:val="0"/>
              <w:bidi w:val="0"/>
              <w:spacing w:line="480" w:lineRule="auto"/>
              <w:ind w:right="482"/>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供应商（盖章）：</w:t>
            </w:r>
            <w:r>
              <w:rPr>
                <w:rFonts w:hint="eastAsia" w:ascii="宋体" w:hAnsi="宋体" w:eastAsia="宋体" w:cs="宋体"/>
                <w:color w:val="auto"/>
                <w:sz w:val="24"/>
                <w:highlight w:val="none"/>
                <w:u w:val="single"/>
              </w:rPr>
              <w:t xml:space="preserve">                       </w:t>
            </w:r>
          </w:p>
          <w:p>
            <w:pPr>
              <w:pageBreakBefore w:val="0"/>
              <w:widowControl w:val="0"/>
              <w:tabs>
                <w:tab w:val="left" w:pos="5760"/>
              </w:tabs>
              <w:wordWrap w:val="0"/>
              <w:topLinePunct w:val="0"/>
              <w:bidi w:val="0"/>
              <w:spacing w:line="480" w:lineRule="auto"/>
              <w:ind w:firstLine="7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法定代表人或授权代表人签字（或盖章）: </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pacing w:line="480" w:lineRule="auto"/>
              <w:ind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tc>
      </w:tr>
    </w:tbl>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rPr>
          <w:rFonts w:hint="eastAsia"/>
          <w:color w:val="auto"/>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投标声明书格式：</w:t>
      </w:r>
    </w:p>
    <w:p>
      <w:pPr>
        <w:keepNext w:val="0"/>
        <w:keepLines w:val="0"/>
        <w:pageBreakBefore w:val="0"/>
        <w:widowControl w:val="0"/>
        <w:kinsoku/>
        <w:wordWrap w:val="0"/>
        <w:overflowPunct w:val="0"/>
        <w:topLinePunct w:val="0"/>
        <w:autoSpaceDE w:val="0"/>
        <w:autoSpaceDN w:val="0"/>
        <w:bidi w:val="0"/>
        <w:spacing w:line="360" w:lineRule="auto"/>
        <w:ind w:firstLine="667"/>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投标声明书</w:t>
      </w:r>
    </w:p>
    <w:p>
      <w:pPr>
        <w:keepNext w:val="0"/>
        <w:keepLines w:val="0"/>
        <w:pageBreakBefore w:val="0"/>
        <w:widowControl w:val="0"/>
        <w:kinsoku/>
        <w:wordWrap w:val="0"/>
        <w:overflowPunct w:val="0"/>
        <w:topLinePunct w:val="0"/>
        <w:autoSpaceDE w:val="0"/>
        <w:autoSpaceDN w:val="0"/>
        <w:bidi w:val="0"/>
        <w:spacing w:line="360" w:lineRule="auto"/>
        <w:ind w:firstLine="667"/>
        <w:jc w:val="center"/>
        <w:rPr>
          <w:rFonts w:hint="eastAsia" w:ascii="宋体" w:hAnsi="宋体" w:eastAsia="宋体" w:cs="宋体"/>
          <w:b/>
          <w:color w:val="auto"/>
          <w:spacing w:val="6"/>
          <w:sz w:val="32"/>
          <w:highlight w:val="none"/>
        </w:rPr>
      </w:pP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（采购单位名称）：</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720" w:firstLineChars="30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名称）系中华人民共和国合法企业，经营地址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名称）的法定代表人，我方愿意参加贵方组织的</w:t>
      </w:r>
      <w:r>
        <w:rPr>
          <w:rFonts w:hint="eastAsia" w:ascii="宋体" w:hAnsi="宋体" w:eastAsia="宋体" w:cs="宋体"/>
          <w:color w:val="auto"/>
          <w:sz w:val="24"/>
          <w:highlight w:val="none"/>
          <w:u w:val="single"/>
        </w:rPr>
        <w:t xml:space="preserve">                 （项目名称、编号）                 </w:t>
      </w:r>
      <w:r>
        <w:rPr>
          <w:rFonts w:hint="eastAsia" w:ascii="宋体" w:hAnsi="宋体" w:eastAsia="宋体" w:cs="宋体"/>
          <w:color w:val="auto"/>
          <w:sz w:val="24"/>
          <w:highlight w:val="none"/>
        </w:rPr>
        <w:t>项目的投标，为便于贵方公正、择优地确定</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及其</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产品和服务，我方就本次</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有关事项郑重声明如下：</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1.我方向贵方提交的所有</w:t>
      </w:r>
      <w:r>
        <w:rPr>
          <w:rFonts w:hint="eastAsia" w:ascii="宋体" w:hAnsi="宋体" w:eastAsia="宋体" w:cs="宋体"/>
          <w:color w:val="auto"/>
          <w:sz w:val="24"/>
          <w:highlight w:val="none"/>
          <w:lang w:eastAsia="zh-CN"/>
        </w:rPr>
        <w:t>投标响应</w:t>
      </w:r>
      <w:r>
        <w:rPr>
          <w:rFonts w:hint="eastAsia" w:ascii="宋体" w:hAnsi="宋体" w:eastAsia="宋体" w:cs="宋体"/>
          <w:color w:val="auto"/>
          <w:sz w:val="24"/>
          <w:highlight w:val="none"/>
        </w:rPr>
        <w:t>文件、资料都是准确的和真实的。</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szCs w:val="24"/>
          <w:highlight w:val="none"/>
        </w:rPr>
        <w:t>若中标，我方将按磋商文件规定履行合同责任和义务。</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lang w:val="zh-CN"/>
        </w:rPr>
        <w:t>我方</w:t>
      </w:r>
      <w:r>
        <w:rPr>
          <w:rFonts w:hint="eastAsia" w:ascii="宋体" w:hAnsi="宋体" w:eastAsia="宋体" w:cs="宋体"/>
          <w:color w:val="auto"/>
          <w:sz w:val="24"/>
          <w:highlight w:val="none"/>
        </w:rPr>
        <w:t>声明投标截止时间前三年，</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rPr>
        <w:t>经营活动中没有重大违法记录；</w:t>
      </w:r>
    </w:p>
    <w:p>
      <w:pPr>
        <w:pStyle w:val="22"/>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64"/>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w:t>
      </w:r>
      <w:r>
        <w:rPr>
          <w:rFonts w:hint="eastAsia" w:ascii="宋体" w:hAnsi="宋体" w:eastAsia="宋体" w:cs="宋体"/>
          <w:color w:val="auto"/>
          <w:sz w:val="24"/>
          <w:highlight w:val="none"/>
          <w:lang w:eastAsia="zh-CN"/>
        </w:rPr>
        <w:t>参与本项目前</w:t>
      </w:r>
      <w:r>
        <w:rPr>
          <w:rFonts w:hint="eastAsia" w:ascii="宋体" w:hAnsi="宋体" w:eastAsia="宋体" w:cs="宋体"/>
          <w:color w:val="auto"/>
          <w:sz w:val="24"/>
          <w:highlight w:val="none"/>
        </w:rPr>
        <w:t>三年内被通报、被处罚、被处理的违法行为：</w:t>
      </w:r>
    </w:p>
    <w:p>
      <w:pPr>
        <w:pStyle w:val="22"/>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64"/>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若有，请如实填写：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jc w:val="both"/>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6.以上事项如有虚假或隐瞒，我方愿意承担一切后果，并不再寻求任何旨在减轻或免除法律责任的辩解。</w:t>
      </w:r>
    </w:p>
    <w:p>
      <w:pPr>
        <w:pStyle w:val="24"/>
        <w:keepNext w:val="0"/>
        <w:keepLines w:val="0"/>
        <w:pageBreakBefore w:val="0"/>
        <w:widowControl w:val="0"/>
        <w:tabs>
          <w:tab w:val="left" w:pos="939"/>
        </w:tabs>
        <w:kinsoku/>
        <w:wordWrap w:val="0"/>
        <w:overflowPunct w:val="0"/>
        <w:topLinePunct w:val="0"/>
        <w:autoSpaceDE w:val="0"/>
        <w:autoSpaceDN w:val="0"/>
        <w:bidi w:val="0"/>
        <w:adjustRightInd/>
        <w:snapToGrid w:val="0"/>
        <w:spacing w:line="360" w:lineRule="auto"/>
        <w:ind w:left="773" w:leftChars="150" w:right="0" w:rightChars="0" w:hanging="458" w:hangingChars="191"/>
        <w:jc w:val="both"/>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p>
    <w:p>
      <w:pPr>
        <w:pStyle w:val="287"/>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textAlignment w:val="auto"/>
        <w:rPr>
          <w:rFonts w:hint="eastAsia" w:ascii="宋体" w:hAnsi="宋体" w:eastAsia="宋体" w:cs="宋体"/>
          <w:color w:val="auto"/>
          <w:highlight w:val="none"/>
        </w:rPr>
      </w:pPr>
    </w:p>
    <w:p>
      <w:pPr>
        <w:pStyle w:val="287"/>
        <w:keepNext w:val="0"/>
        <w:keepLines w:val="0"/>
        <w:pageBreakBefore w:val="0"/>
        <w:widowControl w:val="0"/>
        <w:kinsoku/>
        <w:wordWrap w:val="0"/>
        <w:overflowPunct w:val="0"/>
        <w:topLinePunct w:val="0"/>
        <w:autoSpaceDE w:val="0"/>
        <w:autoSpaceDN w:val="0"/>
        <w:bidi w:val="0"/>
        <w:adjustRightInd/>
        <w:snapToGrid w:val="0"/>
        <w:spacing w:line="360" w:lineRule="auto"/>
        <w:ind w:right="0" w:rightChars="0" w:firstLine="480"/>
        <w:textAlignment w:val="auto"/>
        <w:rPr>
          <w:rFonts w:hint="eastAsia" w:ascii="宋体" w:hAnsi="宋体" w:eastAsia="宋体" w:cs="宋体"/>
          <w:color w:val="auto"/>
          <w:highlight w:val="none"/>
        </w:rPr>
      </w:pPr>
    </w:p>
    <w:p>
      <w:pPr>
        <w:keepNext w:val="0"/>
        <w:keepLines w:val="0"/>
        <w:pageBreakBefore w:val="0"/>
        <w:widowControl w:val="0"/>
        <w:shd w:val="clear" w:color="auto" w:fill="auto"/>
        <w:tabs>
          <w:tab w:val="left" w:pos="5760"/>
        </w:tabs>
        <w:kinsoku/>
        <w:wordWrap/>
        <w:overflowPunct w:val="0"/>
        <w:topLinePunct/>
        <w:autoSpaceDE w:val="0"/>
        <w:autoSpaceDN w:val="0"/>
        <w:bidi w:val="0"/>
        <w:spacing w:line="480" w:lineRule="auto"/>
        <w:ind w:right="482"/>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供应商（盖章）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keepNext w:val="0"/>
        <w:keepLines w:val="0"/>
        <w:pageBreakBefore w:val="0"/>
        <w:widowControl w:val="0"/>
        <w:shd w:val="clear" w:color="auto" w:fill="auto"/>
        <w:tabs>
          <w:tab w:val="left" w:pos="5760"/>
        </w:tabs>
        <w:kinsoku/>
        <w:wordWrap/>
        <w:overflowPunct w:val="0"/>
        <w:topLinePunct/>
        <w:autoSpaceDE w:val="0"/>
        <w:autoSpaceDN w:val="0"/>
        <w:bidi w:val="0"/>
        <w:spacing w:line="48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法定代表人或授权代表人签字（或盖章）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pPr>
        <w:keepNext w:val="0"/>
        <w:keepLines w:val="0"/>
        <w:pageBreakBefore w:val="0"/>
        <w:widowControl w:val="0"/>
        <w:shd w:val="clear" w:color="auto" w:fill="auto"/>
        <w:kinsoku/>
        <w:wordWrap/>
        <w:overflowPunct w:val="0"/>
        <w:topLinePunct/>
        <w:autoSpaceDE w:val="0"/>
        <w:autoSpaceDN w:val="0"/>
        <w:bidi w:val="0"/>
        <w:adjustRightInd w:val="0"/>
        <w:snapToGrid w:val="0"/>
        <w:spacing w:line="500" w:lineRule="exact"/>
        <w:jc w:val="righ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none"/>
          <w:lang w:eastAsia="zh-CN"/>
        </w:rPr>
        <w:t>日期：</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lang w:val="en-US" w:eastAsia="zh-CN"/>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诚信承诺书格式：</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诚信承诺书</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海盐县公共资源交易中心  </w:t>
      </w:r>
      <w:r>
        <w:rPr>
          <w:rFonts w:hint="eastAsia" w:ascii="宋体" w:hAnsi="宋体" w:eastAsia="宋体" w:cs="宋体"/>
          <w:color w:val="auto"/>
          <w:sz w:val="24"/>
          <w:highlight w:val="none"/>
        </w:rPr>
        <w:t>：</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我方在参加贵单位的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政府采购项目的招投标活动中，郑重承诺如下：</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1、我方申报的所有资料都是真实、准确、完整的；</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2、我方无资质挂靠情形，保证不参与串标、围标及抬标；</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3、我方没有被各级行政主管部门做出停止市场行为的处罚；</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4、若我方中标，将严格按照规定及时与采购人签订合同；</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5、若我方中标，将严格按照招标文件及投标文件所承诺的报价、质量、工期、投标方案、项目负责人等内容组织实施；</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若违反上述承诺，隐瞒、提供虚假资料或不按招标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（加盖公章）</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无重大违法记录声明函</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无重大违法记录声明函</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致：海盐县公共资源交易中心</w:t>
      </w: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针对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投标，本公司作出如下承诺：</w:t>
      </w:r>
    </w:p>
    <w:p>
      <w:pPr>
        <w:keepNext w:val="0"/>
        <w:keepLines w:val="0"/>
        <w:pageBreakBefore w:val="0"/>
        <w:widowControl w:val="0"/>
        <w:kinsoku/>
        <w:wordWrap w:val="0"/>
        <w:overflowPunct w:val="0"/>
        <w:topLinePunct w:val="0"/>
        <w:autoSpaceDE w:val="0"/>
        <w:autoSpaceDN w:val="0"/>
        <w:bidi w:val="0"/>
        <w:adjustRightInd/>
        <w:snapToGrid/>
        <w:spacing w:line="6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本公司参加政府采购活动前三年内，没有因违法经营受到刑事处罚或者停产停业、吊销许可证或者执照、较大数额罚款等行政处罚。</w:t>
      </w:r>
    </w:p>
    <w:p>
      <w:pPr>
        <w:pStyle w:val="290"/>
        <w:rPr>
          <w:rFonts w:hint="eastAsia"/>
          <w:color w:val="auto"/>
        </w:rPr>
      </w:pPr>
    </w:p>
    <w:p>
      <w:pPr>
        <w:keepNext w:val="0"/>
        <w:keepLines w:val="0"/>
        <w:pageBreakBefore w:val="0"/>
        <w:widowControl w:val="0"/>
        <w:tabs>
          <w:tab w:val="left" w:pos="5760"/>
        </w:tabs>
        <w:kinsoku/>
        <w:wordWrap w:val="0"/>
        <w:overflowPunct/>
        <w:topLinePunct w:val="0"/>
        <w:autoSpaceDE/>
        <w:autoSpaceDN/>
        <w:bidi w:val="0"/>
        <w:adjustRightInd/>
        <w:snapToGrid/>
        <w:spacing w:line="480" w:lineRule="exact"/>
        <w:ind w:left="0" w:leftChars="0" w:right="0" w:rightChars="0" w:firstLine="72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r>
        <w:rPr>
          <w:rFonts w:hint="eastAsia" w:ascii="宋体" w:hAnsi="宋体" w:eastAsia="宋体" w:cs="宋体"/>
          <w:color w:val="auto"/>
          <w:sz w:val="24"/>
          <w:highlight w:val="none"/>
          <w:u w:val="single"/>
        </w:rPr>
        <w:t xml:space="preserve">                       </w:t>
      </w:r>
    </w:p>
    <w:p>
      <w:pPr>
        <w:keepNext w:val="0"/>
        <w:keepLines w:val="0"/>
        <w:pageBreakBefore w:val="0"/>
        <w:widowControl w:val="0"/>
        <w:tabs>
          <w:tab w:val="left" w:pos="5760"/>
        </w:tabs>
        <w:kinsoku/>
        <w:wordWrap w:val="0"/>
        <w:overflowPunct/>
        <w:topLinePunct w:val="0"/>
        <w:autoSpaceDE/>
        <w:autoSpaceDN/>
        <w:bidi w:val="0"/>
        <w:adjustRightInd/>
        <w:snapToGrid/>
        <w:spacing w:line="480" w:lineRule="exact"/>
        <w:ind w:left="0" w:leftChars="0" w:right="0" w:rightChars="0" w:firstLine="72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法定代表人或授权代表人签字（或盖章）: </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480"/>
        <w:jc w:val="righ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val="0"/>
        <w:topLinePunct w:val="0"/>
        <w:autoSpaceDE w:val="0"/>
        <w:autoSpaceDN w:val="0"/>
        <w:bidi w:val="0"/>
        <w:spacing w:line="360" w:lineRule="auto"/>
        <w:ind w:firstLine="480"/>
        <w:jc w:val="right"/>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8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color w:val="auto"/>
          <w:sz w:val="24"/>
          <w:highlight w:val="none"/>
        </w:rPr>
        <w:t>法定代表人资格证明书格式</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法定代表人资格证明书</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（投标人名称）                   </w:t>
      </w:r>
      <w:r>
        <w:rPr>
          <w:rFonts w:hint="eastAsia" w:ascii="宋体" w:hAnsi="宋体" w:eastAsia="宋体" w:cs="宋体"/>
          <w:color w:val="auto"/>
          <w:highlight w:val="none"/>
        </w:rPr>
        <w:t>的法定代表人。</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firstLine="5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Style w:val="27"/>
        <w:pageBreakBefore w:val="0"/>
        <w:widowControl w:val="0"/>
        <w:wordWrap w:val="0"/>
        <w:topLinePunct w:val="0"/>
        <w:bidi w:val="0"/>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法定代表人身份证复印件（正反面）： </w:t>
      </w:r>
    </w:p>
    <w:p>
      <w:pPr>
        <w:pageBreakBefore w:val="0"/>
        <w:widowControl w:val="0"/>
        <w:topLinePunct w:val="0"/>
        <w:bidi w:val="0"/>
        <w:rPr>
          <w:rFonts w:hint="eastAsia" w:ascii="宋体" w:hAnsi="宋体" w:eastAsia="宋体" w:cs="宋体"/>
          <w:color w:val="auto"/>
          <w:highlight w:val="none"/>
        </w:rPr>
      </w:pPr>
    </w:p>
    <w:tbl>
      <w:tblPr>
        <w:tblStyle w:val="49"/>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365" w:type="dxa"/>
            <w:noWrap w:val="0"/>
            <w:vAlign w:val="top"/>
          </w:tcPr>
          <w:p>
            <w:pPr>
              <w:pStyle w:val="4"/>
              <w:pageBreakBefore w:val="0"/>
              <w:widowControl w:val="0"/>
              <w:topLinePunct w:val="0"/>
              <w:bidi w:val="0"/>
              <w:rPr>
                <w:rFonts w:hint="eastAsia" w:ascii="宋体" w:hAnsi="宋体" w:eastAsia="宋体" w:cs="宋体"/>
                <w:color w:val="auto"/>
                <w:highlight w:val="none"/>
                <w:vertAlign w:val="baseline"/>
              </w:rPr>
            </w:pPr>
          </w:p>
        </w:tc>
        <w:tc>
          <w:tcPr>
            <w:tcW w:w="4305" w:type="dxa"/>
            <w:noWrap w:val="0"/>
            <w:vAlign w:val="top"/>
          </w:tcPr>
          <w:p>
            <w:pPr>
              <w:pStyle w:val="4"/>
              <w:pageBreakBefore w:val="0"/>
              <w:widowControl w:val="0"/>
              <w:topLinePunct w:val="0"/>
              <w:bidi w:val="0"/>
              <w:rPr>
                <w:rFonts w:hint="eastAsia" w:ascii="宋体" w:hAnsi="宋体" w:eastAsia="宋体" w:cs="宋体"/>
                <w:color w:val="auto"/>
                <w:highlight w:val="none"/>
                <w:vertAlign w:val="baseline"/>
              </w:rPr>
            </w:pPr>
          </w:p>
        </w:tc>
      </w:tr>
    </w:tbl>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rPr>
          <w:rFonts w:hint="eastAsia" w:ascii="宋体" w:hAnsi="宋体" w:eastAsia="宋体" w:cs="宋体"/>
          <w:color w:val="auto"/>
          <w:highlight w:val="none"/>
        </w:rPr>
      </w:pP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right="482"/>
        <w:jc w:val="right"/>
        <w:rPr>
          <w:rFonts w:hint="eastAsia" w:ascii="宋体" w:hAnsi="宋体" w:eastAsia="宋体" w:cs="宋体"/>
          <w:color w:val="auto"/>
          <w:highlight w:val="none"/>
          <w:u w:val="single"/>
        </w:rPr>
      </w:pPr>
      <w:r>
        <w:rPr>
          <w:rFonts w:hint="eastAsia" w:hAnsi="宋体" w:eastAsia="宋体" w:cs="宋体"/>
          <w:color w:val="auto"/>
          <w:highlight w:val="none"/>
          <w:lang w:val="en-US" w:eastAsia="zh-CN"/>
        </w:rPr>
        <w:t xml:space="preserve">         </w:t>
      </w:r>
      <w:r>
        <w:rPr>
          <w:rFonts w:hint="eastAsia" w:hAnsi="宋体" w:eastAsia="宋体" w:cs="宋体"/>
          <w:color w:val="auto"/>
          <w:highlight w:val="none"/>
          <w:lang w:eastAsia="zh-CN"/>
        </w:rPr>
        <w:t>供应商</w:t>
      </w:r>
      <w:r>
        <w:rPr>
          <w:rFonts w:hint="eastAsia" w:ascii="宋体" w:hAnsi="宋体" w:eastAsia="宋体" w:cs="宋体"/>
          <w:color w:val="auto"/>
          <w:highlight w:val="none"/>
        </w:rPr>
        <w:t>（盖章）：</w:t>
      </w:r>
      <w:r>
        <w:rPr>
          <w:rFonts w:hint="eastAsia" w:ascii="宋体" w:hAnsi="宋体" w:eastAsia="宋体" w:cs="宋体"/>
          <w:color w:val="auto"/>
          <w:highlight w:val="none"/>
          <w:u w:val="single"/>
        </w:rPr>
        <w:t xml:space="preserve">                         </w:t>
      </w:r>
    </w:p>
    <w:p>
      <w:pPr>
        <w:pStyle w:val="27"/>
        <w:keepNext w:val="0"/>
        <w:keepLines w:val="0"/>
        <w:pageBreakBefore w:val="0"/>
        <w:widowControl w:val="0"/>
        <w:kinsoku/>
        <w:wordWrap w:val="0"/>
        <w:overflowPunct w:val="0"/>
        <w:topLinePunct w:val="0"/>
        <w:autoSpaceDE w:val="0"/>
        <w:autoSpaceDN w:val="0"/>
        <w:bidi w:val="0"/>
        <w:spacing w:before="0" w:beforeLines="0" w:after="0" w:afterLines="0" w:line="360" w:lineRule="auto"/>
        <w:ind w:left="132" w:leftChars="63" w:firstLine="2145" w:firstLineChars="825"/>
        <w:jc w:val="righ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pStyle w:val="2"/>
        <w:rPr>
          <w:rFonts w:hint="eastAsia"/>
          <w:color w:val="auto"/>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pStyle w:val="2"/>
        <w:rPr>
          <w:rFonts w:hint="eastAsia"/>
          <w:color w:val="auto"/>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法定代表人授权委托书格式：</w:t>
      </w:r>
    </w:p>
    <w:p>
      <w:pPr>
        <w:keepNext w:val="0"/>
        <w:keepLines w:val="0"/>
        <w:pageBreakBefore w:val="0"/>
        <w:widowControl w:val="0"/>
        <w:kinsoku/>
        <w:wordWrap w:val="0"/>
        <w:overflowPunct w:val="0"/>
        <w:topLinePunct w:val="0"/>
        <w:autoSpaceDE w:val="0"/>
        <w:autoSpaceDN w:val="0"/>
        <w:bidi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法定代表人授权委托书</w:t>
      </w:r>
    </w:p>
    <w:p>
      <w:pPr>
        <w:keepNext w:val="0"/>
        <w:keepLines w:val="0"/>
        <w:pageBreakBefore w:val="0"/>
        <w:widowControl w:val="0"/>
        <w:kinsoku/>
        <w:wordWrap w:val="0"/>
        <w:overflowPunct w:val="0"/>
        <w:topLinePunct w:val="0"/>
        <w:autoSpaceDE w:val="0"/>
        <w:autoSpaceDN w:val="0"/>
        <w:bidi w:val="0"/>
        <w:adjustRightInd/>
        <w:snapToGrid w:val="0"/>
        <w:spacing w:before="157" w:beforeLines="50" w:line="360" w:lineRule="auto"/>
        <w:ind w:left="0" w:leftChars="0" w:right="0" w:rightChars="0" w:firstLine="0" w:firstLineChars="0"/>
        <w:jc w:val="both"/>
        <w:textAlignment w:val="auto"/>
        <w:outlineLvl w:val="9"/>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 xml:space="preserve">的法定代表人，现授权委托本单位在职职工 </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项目的投标活动，并代表我方全权办理针对上述项目的投标、开标、评标、签约等具体事务和签署相关文件。</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我方对被授权人的签名事项负全部责任。</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在撤销授权的书面通知以前，本授权书一直有效。</w:t>
      </w:r>
      <w:r>
        <w:rPr>
          <w:rFonts w:hint="eastAsia" w:ascii="宋体" w:hAnsi="宋体" w:eastAsia="宋体" w:cs="宋体"/>
          <w:color w:val="auto"/>
          <w:sz w:val="24"/>
          <w:highlight w:val="none"/>
        </w:rPr>
        <w:t>被授权人在授权书有效期内签署的所有文件不因授权的撤销而失效。</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被授权人无转委托权，特此委托。</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法定代表人签字（或盖章）：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napToGrid w:val="0"/>
        <w:spacing w:line="360" w:lineRule="auto"/>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供应商公章：</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napToGrid w:val="0"/>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topLinePunct w:val="0"/>
        <w:autoSpaceDE/>
        <w:autoSpaceDN/>
        <w:bidi w:val="0"/>
        <w:adjustRightInd/>
        <w:snapToGrid w:val="0"/>
        <w:spacing w:before="157" w:beforeLines="50" w:line="360" w:lineRule="auto"/>
        <w:ind w:left="0" w:leftChars="0" w:right="0" w:rightChars="0" w:firstLine="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法定代表人身份证复印件（正反面）：            授权代表身份证复印件（正反面）：</w:t>
      </w: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15875</wp:posOffset>
                </wp:positionV>
                <wp:extent cx="2790825" cy="3827145"/>
                <wp:effectExtent l="4445" t="4445" r="5080" b="16510"/>
                <wp:wrapNone/>
                <wp:docPr id="1" name="矩形 35"/>
                <wp:cNvGraphicFramePr/>
                <a:graphic xmlns:a="http://schemas.openxmlformats.org/drawingml/2006/main">
                  <a:graphicData uri="http://schemas.microsoft.com/office/word/2010/wordprocessingShape">
                    <wps:wsp>
                      <wps:cNvSpPr/>
                      <wps:spPr>
                        <a:xfrm>
                          <a:off x="0" y="0"/>
                          <a:ext cx="2790825" cy="382714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rect id="矩形 35" o:spid="_x0000_s1026" o:spt="1" style="position:absolute;left:0pt;margin-left:-0.9pt;margin-top:1.25pt;height:301.35pt;width:219.75pt;z-index:251659264;mso-width-relative:page;mso-height-relative:page;" fillcolor="#FFFFFF" filled="t" stroked="t" coordsize="21600,21600" o:gfxdata="UEsDBAoAAAAAAIdO4kAAAAAAAAAAAAAAAAAEAAAAZHJzL1BLAwQUAAAACACHTuJAzEmp2dcAAAAI AQAADwAAAGRycy9kb3ducmV2LnhtbE2PMU/DMBSEdyT+g/WQ2Fo7KW0h5KUDqEiMbbqwvcSPJBDb Uey0gV+PmWA83enuu3w3m16cefSdswjJUoFgWzvd2QbhVO4X9yB8IKupd5YRvtjDrri+yinT7mIP fD6GRsQS6zNCaEMYMil93bIhv3QD2+i9u9FQiHJspB7pEstNL1OlNtJQZ+NCSwM/tVx/HieDUHXp ib4P5YsyD/tVeJ3Lj+ntGfH2JlGPIALP4S8Mv/gRHYrIVLnJai96hEUSyQNCugYR7bvVdguiQtio dQqyyOX/A8UPUEsDBBQAAAAIAIdO4kDEGEldIwIAAF4EAAAOAAAAZHJzL2Uyb0RvYy54bWytVM2O 0zAQviPxDpbvNGmXst2o6R62lAuClRYeYGo7iSX/YbtNyssgceMheBy0r8HYKd0fOPRADsnYHn8z 3zczWV4PWpG98EFaU9PppKREGGa5NG1NP3/avFpQEiIYDsoaUdODCPR69fLFsneVmNnOKi48QRAT qt7VtIvRVUURWCc0hIl1wuBhY72GiEvfFtxDj+haFbOyfFP01nPnLRMh4O56PKRHRH8OoG0aycTa sp0WJo6oXiiISCl00gW6ytk2jWDxY9MEEYmqKTKN+Y1B0N6md7FaQtV6cJ1kxxTgnBSecdIgDQY9 Qa0hAtl5+ReUlszbYJs4YVYXI5GsCLKYls+0uevAicwFpQ7uJHr4f7Dsw/7WE8mxEygxoLHg999+ /Pr5nVzMkzi9CxX63Llbf1wFNBPTofE6fZEDGbKgh5OgYoiE4ebs8qpczOaUMDy7WMwup68zavFw 3fkQ3wmrSTJq6rFiWUjYvw8RQ6LrH5cULVgl+UYqlRe+3d4oT/aA1d3kJ+WMV564KUP6ml7NcyKA Ldtgq2BO2iHtYNoc78mN8Bi4zM+/gFNiawjdmEBGSG5QaRlF0guqTgB/aziJB4fSGpwompLRglOi BA5gsrJnBKnO8UR2yiDJVJmxFsmKw3ZAmGRuLT9gTXHEUc/O+q8YERscqX7Zgcf4YBhu1xQ1GM2b OE7EznnZdnhrmtkmMGy7LOhxRFJfP17nPB5+C6vf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kwQAAFtDb250ZW50X1R5cGVzXS54bWxQSwECFAAK AAAAAACHTuJAAAAAAAAAAAAAAAAABgAAAAAAAAAAABAAAAB1AwAAX3JlbHMvUEsBAhQAFAAAAAgA h07iQIoUZjzRAAAAlAEAAAsAAAAAAAAAAQAgAAAAmQMAAF9yZWxzLy5yZWxzUEsBAhQACgAAAAAA h07iQAAAAAAAAAAAAAAAAAQAAAAAAAAAAAAQAAAAAAAAAGRycy9QSwECFAAUAAAACACHTuJAzEmp 2dcAAAAIAQAADwAAAAAAAAABACAAAAAiAAAAZHJzL2Rvd25yZXYueG1sUEsBAhQAFAAAAAgAh07i QMQYSV0jAgAAXgQAAA4AAAAAAAAAAQAgAAAAJgEAAGRycy9lMm9Eb2MueG1sUEsFBgAAAAAGAAYA WQEAALsFAAAAAA== ">
                <v:fill on="t" focussize="0,0"/>
                <v:stroke color="#000000" joinstyle="miter"/>
                <v:imagedata o:title=""/>
                <o:lock v:ext="edit" aspectratio="f"/>
                <v:textbox>
                  <w:txbxContent>
                    <w:p/>
                  </w:txbxContent>
                </v:textbox>
              </v:rect>
            </w:pict>
          </mc:Fallback>
        </mc:AlternateContent>
      </w:r>
      <w:r>
        <w:rPr>
          <w:rFonts w:hint="eastAsia" w:ascii="宋体" w:hAnsi="宋体" w:eastAsia="宋体" w:cs="宋体"/>
          <w:b/>
          <w:bCs/>
          <w:color w:val="auto"/>
          <w:sz w:val="24"/>
          <w:highlight w:val="none"/>
          <w:lang w:val="zh-CN"/>
        </w:rPr>
        <mc:AlternateContent>
          <mc:Choice Requires="wps">
            <w:drawing>
              <wp:anchor distT="0" distB="0" distL="114300" distR="114300" simplePos="0" relativeHeight="251660288" behindDoc="0" locked="0" layoutInCell="1" allowOverlap="1">
                <wp:simplePos x="0" y="0"/>
                <wp:positionH relativeFrom="column">
                  <wp:posOffset>3301365</wp:posOffset>
                </wp:positionH>
                <wp:positionV relativeFrom="paragraph">
                  <wp:posOffset>20320</wp:posOffset>
                </wp:positionV>
                <wp:extent cx="2838450" cy="3801110"/>
                <wp:effectExtent l="4445" t="5080" r="14605" b="22860"/>
                <wp:wrapNone/>
                <wp:docPr id="2" name="矩形 36"/>
                <wp:cNvGraphicFramePr/>
                <a:graphic xmlns:a="http://schemas.openxmlformats.org/drawingml/2006/main">
                  <a:graphicData uri="http://schemas.microsoft.com/office/word/2010/wordprocessingShape">
                    <wps:wsp>
                      <wps:cNvSpPr/>
                      <wps:spPr>
                        <a:xfrm>
                          <a:off x="0" y="0"/>
                          <a:ext cx="2838450" cy="380111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rect id="矩形 36" o:spid="_x0000_s1026" o:spt="1" style="position:absolute;left:0pt;margin-left:259.95pt;margin-top:1.6pt;height:299.3pt;width:223.5pt;z-index:251660288;mso-width-relative:page;mso-height-relative:page;" fillcolor="#FFFFFF" filled="t" stroked="t" coordsize="21600,21600" o:gfxdata="UEsDBAoAAAAAAIdO4kAAAAAAAAAAAAAAAAAEAAAAZHJzL1BLAwQUAAAACACHTuJAylS1PNcAAAAJ AQAADwAAAGRycy9kb3ducmV2LnhtbE2PQU+DQBSE7yb+h80z6c3uQiMpyNKDpk08tvTS2wNWQNm3 hF1a9Nf7POlxMpOZb/LdYgdxNZPvHWmI1gqEodo1PbUazuX+cQvCB6QGB0dGw5fxsCvu73LMGnej o7meQiu4hHyGGroQxkxKX3fGol+70RB7726yGFhOrWwmvHG5HWSsVCIt9sQLHY7mpTP152m2Gqo+ PuP3sTwom+434W0pP+bLq9arh0g9gwhmCX9h+MVndCiYqXIzNV4MGp6iNOWohk0Mgv00SVhXGhIV bUEWufz/oPgBUEsDBBQAAAAIAIdO4kCDd8efJAIAAF4EAAAOAAAAZHJzL2Uyb0RvYy54bWytVM2O 0zAQviPxDpbvND+lqxI13cOWckGw0sIDTB0nseQ/bLdJeRkkbjwEj4N4jR07pfsDhx7IIRnb42/m +2Ymq+tRSXLgzguja1rMckq4ZqYRuqvp50/bV0tKfADdgDSa1/TIPb1ev3yxGmzFS9Mb2XBHEET7 arA17UOwVZZ51nMFfmYs13jYGqcg4NJ1WeNgQHQlszLPr7LBuMY6w7j3uLuZDukJ0V0CaNpWML4x bK+4DhOq4xICUvK9sJ6uU7Zty1n42LaeByJrikxDemMQtHfxna1XUHUObC/YKQW4JIVnnBQIjUHP UBsIQPZO/AWlBHPGmzbMmFHZRCQpgiyK/Jk2dz1Ynrig1N6eRff/D5Z9ONw6IpqalpRoUFjw399+ /Pr5ncyvojiD9RX63Nlbd1p5NCPTsXUqfpEDGZOgx7OgfAyE4Wa5nC9fL1BrhmfzZV4URZI8e7hu nQ/vuFEkGjV1WLEkJBze+4Ah0fWPS4zmjRTNVkiZFq7b3UhHDoDV3aYn5oxXnrhJTYaavlmUC0wE sGVbbBU0lUXaXncp3pMb/jFwnp5/AcfENuD7KYGEEN2gUiLwqBdUPYfmrW5IOFqUVuNE0ZiM4g0l kuMARit5BhDyEk9kJzWSjJWZahGtMO5GhInmzjRHrCmOOOrZG/cVI2KDI9Uve3AYHzTD7ZqiBpN5 E6aJ2Fsnuh5vFYltBMO2S4KeRiT29eN1yuPht7C+B1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JQEAABbQ29udGVudF9UeXBlc10ueG1sUEsBAhQA CgAAAAAAh07iQAAAAAAAAAAAAAAAAAYAAAAAAAAAAAAQAAAAdgMAAF9yZWxzL1BLAQIUABQAAAAI AIdO4kCKFGY80QAAAJQBAAALAAAAAAAAAAEAIAAAAJoDAABfcmVscy8ucmVsc1BLAQIUAAoAAAAA AIdO4kAAAAAAAAAAAAAAAAAEAAAAAAAAAAAAEAAAAAAAAABkcnMvUEsBAhQAFAAAAAgAh07iQMpU tTzXAAAACQEAAA8AAAAAAAAAAQAgAAAAIgAAAGRycy9kb3ducmV2LnhtbFBLAQIUABQAAAAIAIdO 4kCDd8efJAIAAF4EAAAOAAAAAAAAAAEAIAAAACYBAABkcnMvZTJvRG9jLnhtbFBLBQYAAAAABgAG AFkBAAC8BQAAAAA= ">
                <v:fill on="t" focussize="0,0"/>
                <v:stroke color="#000000" joinstyle="miter"/>
                <v:imagedata o:title=""/>
                <o:lock v:ext="edit" aspectratio="f"/>
                <v:textbox>
                  <w:txbxContent>
                    <w:p/>
                  </w:txbxContent>
                </v:textbox>
              </v:rect>
            </w:pict>
          </mc:Fallback>
        </mc:AlternateContent>
      </w: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3309620</wp:posOffset>
                </wp:positionH>
                <wp:positionV relativeFrom="paragraph">
                  <wp:posOffset>245110</wp:posOffset>
                </wp:positionV>
                <wp:extent cx="2838450" cy="635"/>
                <wp:effectExtent l="0" t="0" r="0" b="0"/>
                <wp:wrapNone/>
                <wp:docPr id="4" name="直线 10"/>
                <wp:cNvGraphicFramePr/>
                <a:graphic xmlns:a="http://schemas.openxmlformats.org/drawingml/2006/main">
                  <a:graphicData uri="http://schemas.microsoft.com/office/word/2010/wordprocessingShape">
                    <wps:wsp>
                      <wps:cNvSpPr/>
                      <wps:spPr>
                        <a:xfrm>
                          <a:off x="0" y="0"/>
                          <a:ext cx="2838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60.6pt;margin-top:19.3pt;height:0.05pt;width:223.5pt;z-index:251662336;mso-width-relative:page;mso-height-relative:page;" filled="f" stroked="t" coordsize="21600,21600" o:gfxdata="UEsDBAoAAAAAAIdO4kAAAAAAAAAAAAAAAAAEAAAAZHJzL1BLAwQUAAAACACHTuJAaK8j5NcAAAAJ AQAADwAAAGRycy9kb3ducmV2LnhtbE2PTU/DMAyG70j8h8hIXKYtaSe6UpruAPTGhQHi6jWmrWiS rsk+4NfjncbRrx+9flyuT3YQB5pC752GZKFAkGu86V2r4f2tnucgQkRncPCONPxQgHV1fVViYfzR vdJhE1vBJS4UqKGLcSykDE1HFsPCj+R49+Uni5HHqZVmwiOX20GmSmXSYu/4QocjPXbUfG/2VkOo P2hX/86amfpctp7S3dPLM2p9e5OoBxCRTvECw1mf1aFip63fOxPEoOEuTVJGNSzzDAQD91nOwfYc rEBWpfz/QfUHUEsDBBQAAAAIAIdO4kBNUGsu6AEAAN4DAAAOAAAAZHJzL2Uyb0RvYy54bWytU0uO EzEQ3SNxB8t70klmMgqtdGZBGDYIRho4QMV2d1vyTy4nnZyFa7Biw3HmGpTdIYFhkwW9cJdd5ed6 r6pW9wdr2F5F1N41fDaZcqac8FK7ruFfvzy8WXKGCZwE451q+FEhv1+/frUaQq3mvvdGqsgIxGE9 hIb3KYW6qlD0ygJOfFCOnK2PFhJtY1fJCAOhW1PNp9O7avBRhuiFQqTTzejkJ8R4DaBvWy3Uxoud VS6NqFEZSEQJex2Qr0u2batE+ty2qBIzDSemqaz0CNnbvFbrFdRdhNBrcUoBrknhBScL2tGjZ6gN JGC7qP+BslpEj75NE+FtNRIpihCL2fSFNk89BFW4kNQYzqLj/4MVn/aPkWnZ8FvOHFgq+PO3788/ frJZEWcIWFPMU3iMJFXeIZmZ6aGNNv+JAzsUQY9nQdUhMUGH8+XN8nZBWgvy3d0sstzV5WqImD4o b1k2Gm60y2yhhv1HTGPo75B8bBwbGv52MV8QIFDrtVRyMm2g9NF15S56o+WDNibfwNht35nI9pDL X75TCn+F5Uc2gP0YV1xjY/QK5HsnWToGEsbRPPCcglWSM6NofLJVWiiBNtdEEnvjSISLktnaenmk MuxC1F1PSsxKltlDZS+SnVo099Wf+4J0Gcv1L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AAAAABkcnMvUEsBAhQAFAAAAAgAh07iQGivI+TX AAAACQEAAA8AAAAAAAAAAQAgAAAAIgAAAGRycy9kb3ducmV2LnhtbFBLAQIUABQAAAAIAIdO4kBN UGsu6AEAAN4DAAAOAAAAAAAAAAEAIAAAACYBAABkcnMvZTJvRG9jLnhtbFBLBQYAAAAABgAGAFkB AACABQAAAAA= ">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273685</wp:posOffset>
                </wp:positionV>
                <wp:extent cx="2790825" cy="635"/>
                <wp:effectExtent l="0" t="0" r="0" b="0"/>
                <wp:wrapNone/>
                <wp:docPr id="3" name="直线 11"/>
                <wp:cNvGraphicFramePr/>
                <a:graphic xmlns:a="http://schemas.openxmlformats.org/drawingml/2006/main">
                  <a:graphicData uri="http://schemas.microsoft.com/office/word/2010/wordprocessingShape">
                    <wps:wsp>
                      <wps:cNvSpPr/>
                      <wps:spPr>
                        <a:xfrm>
                          <a:off x="0" y="0"/>
                          <a:ext cx="2790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4pt;margin-top:21.55pt;height:0.05pt;width:219.75pt;z-index:251661312;mso-width-relative:page;mso-height-relative:page;" filled="f" stroked="t" coordsize="21600,21600" o:gfxdata="UEsDBAoAAAAAAIdO4kAAAAAAAAAAAAAAAAAEAAAAZHJzL1BLAwQUAAAACACHTuJAgtVrltUAAAAH AQAADwAAAGRycy9kb3ducmV2LnhtbE3OTU/DMAwG4DvS/kPkSVwmlrSdYCpNd9jojQsDxNVrTFvR OF2TfcCvJz3BzdZrvX6KzdX24kyj7xxrSJYKBHHtTMeNhrfX6m4Nwgdkg71j0vBNHjbl7KbA3LgL v9B5HxoRS9jnqKENYcil9HVLFv3SDcQx+3SjxRDXsZFmxEsst71MlbqXFjuOH1ocaNtS/bU/WQ2+ eqdj9bOoF+ojaxylx93zE2p9O0/UI4hA1/B3DBM/0qGMpoM7sfGi1zDBg4ZVloCI8SpbP4A4TEMK sizkf3/5C1BLAwQUAAAACACHTuJAMV8hj+cBAADeAwAADgAAAGRycy9lMm9Eb2MueG1srVNLbtsw EN0X6B0I7mvZDpwmguUs6qabog2Q9gBjkpII8AcObdln6TW66qbHyTU6pFSnTTdeVAtqyHl8nPeG XN8drWEHFVF71/DFbM6ZcsJL7bqGf/1y/+aGM0zgJBjvVMNPCvnd5vWr9RBqtfS9N1JFRiQO6yE0 vE8p1FWFolcWcOaDcpRsfbSQaBq7SkYYiN2aajmfX1eDjzJELxQirW7HJJ8Y4yWEvm21UFsv9la5 NLJGZSCRJOx1QL4p1batEulz26JKzDSclKYy0iEU7/JYbdZQdxFCr8VUAlxSwgtNFrSjQ89UW0jA 9lH/Q2W1iB59m2bC22oUUhwhFYv5C28eewiqaCGrMZxNx/9HKz4dHiLTsuFXnDmw1PCnb9+ffvxk i0U2ZwhYE+YxPMRphhRmpcc22vwnDexYDD2dDVXHxAQtLt/ezm+WK84E5a6vVpmxet4aIqYPyluW g4Yb7bJaqOHwEdMI/Q3Jy8axoeG3q0IIdPVaajlx20Dlo+vKXvRGy3ttTN6Bsdu9M5EdILe/fFMJ f8HyIVvAfsSVVIZB3SuQ751k6RTIGEfvgecSrJKcGUXPJ0cFmUCbS5Ck3jgyIfs6OpmjnZcnasM+ RN315ESxvmCo7cWy6Yrme/XnvDA9P8vNL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ILVa5bVAAAA BwEAAA8AAAAAAAAAAQAgAAAAIgAAAGRycy9kb3ducmV2LnhtbFBLAQIUABQAAAAIAIdO4kAxXyGP 5wEAAN4DAAAOAAAAAAAAAAEAIAAAACQBAABkcnMvZTJvRG9jLnhtbFBLBQYAAAAABgAGAFkBAAB9 BQAAAAA= ">
                <v:fill on="f" focussize="0,0"/>
                <v:stroke color="#000000" joinstyle="round"/>
                <v:imagedata o:title=""/>
                <o:lock v:ext="edit" aspectratio="f"/>
              </v:line>
            </w:pict>
          </mc:Fallback>
        </mc:AlternateContent>
      </w: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ind w:firstLine="198" w:firstLineChars="82"/>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pageBreakBefore w:val="0"/>
        <w:widowControl w:val="0"/>
        <w:wordWrap w:val="0"/>
        <w:topLinePunct w:val="0"/>
        <w:bidi w:val="0"/>
        <w:snapToGrid w:val="0"/>
        <w:spacing w:before="120" w:beforeLines="50" w:after="50"/>
        <w:outlineLvl w:val="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lang w:eastAsia="zh-CN"/>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、商务技术文件格式：</w:t>
      </w:r>
    </w:p>
    <w:p>
      <w:pPr>
        <w:pStyle w:val="21"/>
        <w:keepNext w:val="0"/>
        <w:keepLines w:val="0"/>
        <w:pageBreakBefore w:val="0"/>
        <w:widowControl w:val="0"/>
        <w:kinsoku/>
        <w:wordWrap w:val="0"/>
        <w:overflowPunct w:val="0"/>
        <w:topLinePunct w:val="0"/>
        <w:autoSpaceDE w:val="0"/>
        <w:autoSpaceDN w:val="0"/>
        <w:bidi w:val="0"/>
        <w:spacing w:line="360" w:lineRule="auto"/>
        <w:ind w:firstLine="0" w:firstLineChars="0"/>
        <w:rPr>
          <w:rFonts w:hint="eastAsia" w:ascii="宋体" w:hAnsi="宋体" w:eastAsia="宋体" w:cs="宋体"/>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0" w:firstLineChars="0"/>
        <w:rPr>
          <w:rFonts w:hint="eastAsia" w:ascii="宋体" w:hAnsi="宋体" w:eastAsia="宋体" w:cs="宋体"/>
          <w:color w:val="auto"/>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198" w:firstLineChars="82"/>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rPr>
        <w:t xml:space="preserve">文件封面格式： </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480"/>
        <w:outlineLvl w:val="1"/>
        <w:rPr>
          <w:rFonts w:hint="eastAsia" w:ascii="宋体" w:hAnsi="宋体" w:eastAsia="宋体" w:cs="宋体"/>
          <w:b/>
          <w:bCs/>
          <w:color w:val="auto"/>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商务技术文件</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投标标项：</w:t>
      </w:r>
    </w:p>
    <w:p>
      <w:pPr>
        <w:pStyle w:val="6"/>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pPr>
        <w:pStyle w:val="6"/>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pPr>
        <w:keepNext w:val="0"/>
        <w:keepLines w:val="0"/>
        <w:pageBreakBefore w:val="0"/>
        <w:widowControl w:val="0"/>
        <w:kinsoku/>
        <w:wordWrap w:val="0"/>
        <w:overflowPunct w:val="0"/>
        <w:topLinePunct w:val="0"/>
        <w:autoSpaceDE w:val="0"/>
        <w:autoSpaceDN w:val="0"/>
        <w:bidi w:val="0"/>
        <w:snapToGrid w:val="0"/>
        <w:spacing w:line="360" w:lineRule="auto"/>
        <w:ind w:firstLine="4080" w:firstLineChars="170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0" w:firstLineChars="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rPr>
        <w:t>文件目录</w:t>
      </w:r>
    </w:p>
    <w:p>
      <w:pPr>
        <w:keepNext w:val="0"/>
        <w:keepLines w:val="0"/>
        <w:pageBreakBefore w:val="0"/>
        <w:widowControl w:val="0"/>
        <w:kinsoku/>
        <w:wordWrap w:val="0"/>
        <w:overflowPunct w:val="0"/>
        <w:topLinePunct w:val="0"/>
        <w:autoSpaceDE w:val="0"/>
        <w:autoSpaceDN w:val="0"/>
        <w:bidi w:val="0"/>
        <w:snapToGrid w:val="0"/>
        <w:spacing w:before="120"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（请按照“第三章投标人须知，三、投标文件的编制”的顺序，结合评标办法自行编制目录）</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color w:val="auto"/>
          <w:highlight w:val="none"/>
        </w:rPr>
      </w:pPr>
      <w:r>
        <w:rPr>
          <w:rFonts w:hint="eastAsia" w:ascii="宋体" w:hAnsi="宋体" w:eastAsia="宋体" w:cs="宋体"/>
          <w:b/>
          <w:color w:val="auto"/>
          <w:sz w:val="24"/>
          <w:highlight w:val="none"/>
        </w:rPr>
        <w:t>例如：</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（1）投标人基本情况表———————————————————————（页码）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hAnsi="宋体" w:eastAsia="宋体" w:cs="宋体"/>
          <w:color w:val="auto"/>
          <w:sz w:val="24"/>
          <w:szCs w:val="18"/>
          <w:highlight w:val="none"/>
          <w:lang w:eastAsia="zh-CN"/>
        </w:rPr>
        <w:t>（</w:t>
      </w:r>
      <w:r>
        <w:rPr>
          <w:rFonts w:hint="eastAsia" w:hAnsi="宋体" w:eastAsia="宋体" w:cs="宋体"/>
          <w:color w:val="auto"/>
          <w:sz w:val="24"/>
          <w:szCs w:val="18"/>
          <w:highlight w:val="none"/>
          <w:lang w:val="en-US" w:eastAsia="zh-CN"/>
        </w:rPr>
        <w:t>2</w:t>
      </w:r>
      <w:r>
        <w:rPr>
          <w:rFonts w:hint="eastAsia" w:hAnsi="宋体" w:eastAsia="宋体" w:cs="宋体"/>
          <w:color w:val="auto"/>
          <w:sz w:val="24"/>
          <w:szCs w:val="18"/>
          <w:highlight w:val="none"/>
          <w:lang w:eastAsia="zh-CN"/>
        </w:rPr>
        <w:t>）</w:t>
      </w:r>
      <w:r>
        <w:rPr>
          <w:rFonts w:hint="eastAsia" w:ascii="宋体" w:hAnsi="宋体" w:eastAsia="宋体" w:cs="宋体"/>
          <w:color w:val="auto"/>
          <w:sz w:val="24"/>
          <w:szCs w:val="18"/>
          <w:highlight w:val="none"/>
        </w:rPr>
        <w:t>投标单位截止投标时间前三年内的奖惩情况说明，格式自拟—————（页码）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（3）投标人的同类成功案例的业绩—————————————————— （页码）</w:t>
      </w:r>
    </w:p>
    <w:p>
      <w:pPr>
        <w:pStyle w:val="27"/>
        <w:keepNext w:val="0"/>
        <w:keepLines w:val="0"/>
        <w:pageBreakBefore w:val="0"/>
        <w:widowControl w:val="0"/>
        <w:kinsoku/>
        <w:wordWrap w:val="0"/>
        <w:overflowPunct w:val="0"/>
        <w:topLinePunct w:val="0"/>
        <w:autoSpaceDE w:val="0"/>
        <w:autoSpaceDN w:val="0"/>
        <w:bidi w:val="0"/>
        <w:snapToGrid w:val="0"/>
        <w:spacing w:before="0" w:beforeLines="0" w:after="0" w:afterLines="0" w:line="360" w:lineRule="auto"/>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 xml:space="preserve">  </w:t>
      </w:r>
      <w:r>
        <w:rPr>
          <w:rFonts w:hint="eastAsia" w:hAnsi="宋体" w:eastAsia="宋体" w:cs="宋体"/>
          <w:b/>
          <w:bCs/>
          <w:color w:val="auto"/>
          <w:sz w:val="24"/>
          <w:szCs w:val="18"/>
          <w:highlight w:val="none"/>
          <w:lang w:val="en-US" w:eastAsia="zh-CN"/>
        </w:rPr>
        <w:t xml:space="preserve">    </w:t>
      </w:r>
      <w:r>
        <w:rPr>
          <w:rFonts w:hint="eastAsia" w:ascii="宋体" w:hAnsi="宋体" w:eastAsia="宋体" w:cs="宋体"/>
          <w:b/>
          <w:bCs/>
          <w:color w:val="auto"/>
          <w:sz w:val="24"/>
          <w:szCs w:val="18"/>
          <w:highlight w:val="none"/>
        </w:rPr>
        <w:t>………………</w:t>
      </w:r>
    </w:p>
    <w:p>
      <w:pPr>
        <w:keepNext w:val="0"/>
        <w:keepLines w:val="0"/>
        <w:pageBreakBefore w:val="0"/>
        <w:widowControl w:val="0"/>
        <w:kinsoku/>
        <w:wordWrap w:val="0"/>
        <w:overflowPunct w:val="0"/>
        <w:topLinePunct w:val="0"/>
        <w:autoSpaceDE w:val="0"/>
        <w:autoSpaceDN w:val="0"/>
        <w:bidi w:val="0"/>
        <w:spacing w:line="360" w:lineRule="auto"/>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11"/>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highlight w:val="none"/>
        </w:rPr>
      </w:pPr>
    </w:p>
    <w:p>
      <w:pPr>
        <w:rPr>
          <w:rFonts w:hint="eastAsia" w:ascii="宋体" w:hAnsi="宋体" w:eastAsia="宋体" w:cs="宋体"/>
          <w:b/>
          <w:bCs/>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highlight w:val="none"/>
        </w:rPr>
      </w:pPr>
    </w:p>
    <w:p>
      <w:pPr>
        <w:keepNext w:val="0"/>
        <w:keepLines w:val="0"/>
        <w:pageBreakBefore w:val="0"/>
        <w:widowControl w:val="0"/>
        <w:kinsoku/>
        <w:wordWrap w:val="0"/>
        <w:overflowPunct w:val="0"/>
        <w:topLinePunct w:val="0"/>
        <w:autoSpaceDE w:val="0"/>
        <w:autoSpaceDN w:val="0"/>
        <w:bidi w:val="0"/>
        <w:adjustRightInd w:val="0"/>
        <w:snapToGrid w:val="0"/>
        <w:spacing w:line="360" w:lineRule="auto"/>
        <w:rPr>
          <w:rFonts w:hint="eastAsia" w:ascii="宋体" w:hAnsi="宋体" w:eastAsia="宋体" w:cs="宋体"/>
          <w:b/>
          <w:color w:val="auto"/>
          <w:sz w:val="32"/>
          <w:szCs w:val="36"/>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投标人基本情况表格式</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562"/>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投标人基本情况表</w:t>
      </w:r>
    </w:p>
    <w:tbl>
      <w:tblPr>
        <w:tblStyle w:val="48"/>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2"/>
        <w:gridCol w:w="1434"/>
        <w:gridCol w:w="1423"/>
        <w:gridCol w:w="1431"/>
        <w:gridCol w:w="2075"/>
        <w:gridCol w:w="200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投标人名称</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营业(经营)执照号码</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right="-89"/>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ind w:left="-107" w:leftChars="-51"/>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注册资金</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地   址</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所获资质</w:t>
            </w:r>
          </w:p>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颁发时间</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颁发部门</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颁发时间</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经营范围</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pStyle w:val="44"/>
              <w:keepNext w:val="0"/>
              <w:keepLines w:val="0"/>
              <w:pageBreakBefore w:val="0"/>
              <w:widowControl w:val="0"/>
              <w:tabs>
                <w:tab w:val="left" w:pos="1800"/>
                <w:tab w:val="left" w:pos="1980"/>
              </w:tabs>
              <w:kinsoku/>
              <w:wordWrap w:val="0"/>
              <w:overflowPunct w:val="0"/>
              <w:topLinePunct w:val="0"/>
              <w:autoSpaceDE w:val="0"/>
              <w:autoSpaceDN w:val="0"/>
              <w:bidi w:val="0"/>
              <w:adjustRightInd/>
              <w:snapToGrid/>
              <w:spacing w:before="0" w:beforeAutospacing="0" w:after="0" w:afterAutospacing="0" w:line="400" w:lineRule="exact"/>
              <w:jc w:val="center"/>
              <w:textAlignment w:val="auto"/>
              <w:outlineLvl w:val="9"/>
              <w:rPr>
                <w:rFonts w:hint="eastAsia" w:ascii="宋体" w:hAnsi="宋体" w:eastAsia="宋体" w:cs="宋体"/>
                <w:bCs/>
                <w:color w:val="auto"/>
                <w:kern w:val="2"/>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9"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其他</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spacing w:line="400" w:lineRule="exact"/>
              <w:jc w:val="center"/>
              <w:textAlignment w:val="auto"/>
              <w:outlineLvl w:val="9"/>
              <w:rPr>
                <w:rFonts w:hint="eastAsia" w:ascii="宋体" w:hAnsi="宋体" w:eastAsia="宋体" w:cs="宋体"/>
                <w:bCs/>
                <w:color w:val="auto"/>
                <w:sz w:val="24"/>
                <w:szCs w:val="24"/>
                <w:highlight w:val="none"/>
                <w:lang w:bidi="ar"/>
              </w:rPr>
            </w:pPr>
          </w:p>
        </w:tc>
      </w:tr>
    </w:tbl>
    <w:p>
      <w:pPr>
        <w:keepNext w:val="0"/>
        <w:keepLines w:val="0"/>
        <w:pageBreakBefore w:val="0"/>
        <w:widowControl w:val="0"/>
        <w:kinsoku/>
        <w:wordWrap w:val="0"/>
        <w:overflowPunct w:val="0"/>
        <w:topLinePunct w:val="0"/>
        <w:autoSpaceDE w:val="0"/>
        <w:autoSpaceDN w:val="0"/>
        <w:bidi w:val="0"/>
        <w:spacing w:before="120" w:before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注：1、表格内容不够，可另附页。</w:t>
      </w:r>
    </w:p>
    <w:p>
      <w:pPr>
        <w:keepNext w:val="0"/>
        <w:keepLines w:val="0"/>
        <w:pageBreakBefore w:val="0"/>
        <w:widowControl w:val="0"/>
        <w:numPr>
          <w:ilvl w:val="0"/>
          <w:numId w:val="14"/>
        </w:numPr>
        <w:kinsoku/>
        <w:wordWrap w:val="0"/>
        <w:overflowPunct w:val="0"/>
        <w:topLinePunct w:val="0"/>
        <w:autoSpaceDE w:val="0"/>
        <w:autoSpaceDN w:val="0"/>
        <w:bidi w:val="0"/>
        <w:spacing w:before="120" w:beforeLines="50" w:line="360" w:lineRule="auto"/>
        <w:ind w:firstLine="48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所获认证证书、荣誉资料的复印件附后。</w:t>
      </w:r>
    </w:p>
    <w:p>
      <w:pPr>
        <w:keepNext w:val="0"/>
        <w:keepLines w:val="0"/>
        <w:pageBreakBefore w:val="0"/>
        <w:widowControl w:val="0"/>
        <w:kinsoku/>
        <w:wordWrap w:val="0"/>
        <w:overflowPunct w:val="0"/>
        <w:topLinePunct w:val="0"/>
        <w:autoSpaceDE w:val="0"/>
        <w:autoSpaceDN w:val="0"/>
        <w:bidi w:val="0"/>
        <w:spacing w:before="120" w:beforeLines="50" w:line="360" w:lineRule="auto"/>
        <w:ind w:firstLine="480"/>
        <w:rPr>
          <w:rFonts w:hint="eastAsia" w:ascii="宋体" w:hAnsi="宋体" w:eastAsia="宋体" w:cs="宋体"/>
          <w:color w:val="auto"/>
          <w:sz w:val="24"/>
          <w:highlight w:val="none"/>
          <w:lang w:bidi="ar"/>
        </w:rPr>
      </w:pP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80" w:firstLineChars="0"/>
        <w:jc w:val="righ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投标人（公章）：</w:t>
      </w:r>
      <w:r>
        <w:rPr>
          <w:rFonts w:hint="eastAsia" w:ascii="宋体" w:hAnsi="宋体" w:eastAsia="宋体" w:cs="宋体"/>
          <w:color w:val="auto"/>
          <w:sz w:val="24"/>
          <w:highlight w:val="none"/>
          <w:u w:val="single"/>
          <w:lang w:bidi="ar"/>
        </w:rPr>
        <w:t xml:space="preserve">                  </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firstLine="480"/>
        <w:jc w:val="right"/>
        <w:textAlignment w:val="auto"/>
        <w:outlineLvl w:val="9"/>
        <w:rPr>
          <w:rFonts w:hint="eastAsia" w:ascii="宋体" w:hAnsi="宋体" w:eastAsia="宋体" w:cs="宋体"/>
          <w:color w:val="auto"/>
          <w:sz w:val="24"/>
          <w:highlight w:val="none"/>
          <w:u w:val="single"/>
          <w:lang w:bidi="ar"/>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bidi="ar"/>
        </w:rPr>
        <w:t xml:space="preserve"> </w:t>
      </w:r>
    </w:p>
    <w:p>
      <w:pPr>
        <w:keepNext w:val="0"/>
        <w:keepLines w:val="0"/>
        <w:pageBreakBefore w:val="0"/>
        <w:widowControl w:val="0"/>
        <w:kinsoku/>
        <w:wordWrap w:val="0"/>
        <w:overflowPunct w:val="0"/>
        <w:topLinePunct w:val="0"/>
        <w:autoSpaceDE w:val="0"/>
        <w:autoSpaceDN w:val="0"/>
        <w:bidi w:val="0"/>
        <w:adjustRightInd/>
        <w:snapToGrid/>
        <w:spacing w:line="400" w:lineRule="exact"/>
        <w:ind w:left="0" w:leftChars="0" w:right="0" w:right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bidi="ar"/>
        </w:rPr>
        <w:t>日期：</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日</w:t>
      </w: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ind w:firstLine="420"/>
        <w:rPr>
          <w:rFonts w:hint="eastAsia" w:ascii="宋体" w:hAnsi="宋体" w:eastAsia="宋体" w:cs="宋体"/>
          <w:color w:val="auto"/>
          <w:highlight w:val="none"/>
        </w:rPr>
        <w:sectPr>
          <w:pgSz w:w="11906" w:h="16838"/>
          <w:pgMar w:top="1020" w:right="1077" w:bottom="1020" w:left="1077" w:header="851" w:footer="850" w:gutter="0"/>
          <w:paperSrc/>
          <w:pgNumType w:fmt="decimal"/>
          <w:cols w:space="720" w:num="1"/>
          <w:rtlGutter w:val="0"/>
          <w:docGrid w:linePitch="312" w:charSpace="0"/>
        </w:sectPr>
      </w:pPr>
    </w:p>
    <w:p>
      <w:pPr>
        <w:keepNext w:val="0"/>
        <w:keepLines w:val="0"/>
        <w:pageBreakBefore w:val="0"/>
        <w:widowControl w:val="0"/>
        <w:kinsoku/>
        <w:wordWrap w:val="0"/>
        <w:overflowPunct w:val="0"/>
        <w:topLinePunct w:val="0"/>
        <w:autoSpaceDE w:val="0"/>
        <w:autoSpaceDN w:val="0"/>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投标人的同类成功案例的业绩证明文件：</w:t>
      </w:r>
    </w:p>
    <w:p>
      <w:pPr>
        <w:pStyle w:val="36"/>
        <w:keepNext w:val="0"/>
        <w:keepLines w:val="0"/>
        <w:pageBreakBefore w:val="0"/>
        <w:widowControl w:val="0"/>
        <w:kinsoku/>
        <w:wordWrap w:val="0"/>
        <w:overflowPunct w:val="0"/>
        <w:topLinePunct w:val="0"/>
        <w:autoSpaceDE w:val="0"/>
        <w:autoSpaceDN w:val="0"/>
        <w:bidi w:val="0"/>
        <w:adjustRightInd/>
        <w:snapToGrid w:val="0"/>
        <w:spacing w:line="400" w:lineRule="exact"/>
        <w:ind w:left="480" w:leftChars="0" w:right="0" w:rightChars="0" w:hanging="480" w:hanging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投标人同类项目实施情况一览表格式：（投标人同类项目</w:t>
      </w:r>
      <w:r>
        <w:rPr>
          <w:rFonts w:hint="eastAsia" w:ascii="宋体" w:hAnsi="宋体" w:eastAsia="宋体" w:cs="宋体"/>
          <w:color w:val="auto"/>
          <w:sz w:val="24"/>
          <w:highlight w:val="none"/>
          <w:lang w:eastAsia="zh-CN"/>
        </w:rPr>
        <w:t>中标通知书、</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val="en-US" w:eastAsia="zh-CN"/>
        </w:rPr>
        <w:t>验收证明材料等</w:t>
      </w:r>
      <w:r>
        <w:rPr>
          <w:rFonts w:hint="eastAsia" w:ascii="宋体" w:hAnsi="宋体" w:eastAsia="宋体" w:cs="宋体"/>
          <w:color w:val="auto"/>
          <w:sz w:val="24"/>
          <w:highlight w:val="none"/>
        </w:rPr>
        <w:t>）</w:t>
      </w:r>
    </w:p>
    <w:tbl>
      <w:tblPr>
        <w:tblStyle w:val="48"/>
        <w:tblW w:w="0" w:type="auto"/>
        <w:tblInd w:w="1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831"/>
        <w:gridCol w:w="3682"/>
        <w:gridCol w:w="1432"/>
        <w:gridCol w:w="1514"/>
        <w:gridCol w:w="1038"/>
        <w:gridCol w:w="1230"/>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25" w:hRule="atLeast"/>
        </w:trPr>
        <w:tc>
          <w:tcPr>
            <w:tcW w:w="8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序号</w:t>
            </w:r>
          </w:p>
        </w:tc>
        <w:tc>
          <w:tcPr>
            <w:tcW w:w="28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采购单位名称</w:t>
            </w:r>
          </w:p>
        </w:tc>
        <w:tc>
          <w:tcPr>
            <w:tcW w:w="36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199" w:firstLineChars="83"/>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4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合同金额（万元）</w:t>
            </w:r>
          </w:p>
        </w:tc>
        <w:tc>
          <w:tcPr>
            <w:tcW w:w="3782" w:type="dxa"/>
            <w:gridSpan w:val="3"/>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199" w:firstLineChars="83"/>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附件页码</w:t>
            </w: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48" w:hRule="atLeast"/>
        </w:trPr>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283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36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中标通知书</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18"/>
                <w:highlight w:val="none"/>
                <w:lang w:val="en-US" w:eastAsia="zh-CN"/>
              </w:rPr>
              <w:t>验收证明</w:t>
            </w: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pacing w:line="400" w:lineRule="exact"/>
              <w:ind w:left="0" w:leftChars="0" w:right="0" w:rightChars="0" w:firstLine="48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9"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3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val="0"/>
              <w:topLinePunct w:val="0"/>
              <w:autoSpaceDE w:val="0"/>
              <w:autoSpaceDN w:val="0"/>
              <w:bidi w:val="0"/>
              <w:adjustRightInd/>
              <w:snapToGrid w:val="0"/>
              <w:spacing w:line="700" w:lineRule="exact"/>
              <w:ind w:left="0" w:leftChars="0" w:right="0" w:rightChars="0" w:firstLine="480" w:firstLineChars="0"/>
              <w:jc w:val="center"/>
              <w:textAlignment w:val="auto"/>
              <w:outlineLvl w:val="9"/>
              <w:rPr>
                <w:rFonts w:hint="eastAsia" w:ascii="宋体" w:hAnsi="宋体" w:eastAsia="宋体" w:cs="宋体"/>
                <w:color w:val="auto"/>
                <w:sz w:val="24"/>
                <w:highlight w:val="none"/>
              </w:rPr>
            </w:pPr>
          </w:p>
        </w:tc>
      </w:tr>
    </w:tbl>
    <w:p>
      <w:pPr>
        <w:keepNext w:val="0"/>
        <w:keepLines w:val="0"/>
        <w:pageBreakBefore w:val="0"/>
        <w:widowControl w:val="0"/>
        <w:kinsoku/>
        <w:wordWrap/>
        <w:overflowPunct w:val="0"/>
        <w:topLinePunct w:val="0"/>
        <w:autoSpaceDE w:val="0"/>
        <w:autoSpaceDN w:val="0"/>
        <w:bidi w:val="0"/>
        <w:adjustRightInd/>
        <w:snapToGrid/>
        <w:spacing w:before="157" w:beforeLines="50" w:line="480" w:lineRule="exact"/>
        <w:ind w:left="0" w:leftChars="0" w:right="0" w:rightChars="0" w:firstLine="480" w:firstLineChars="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bidi="ar"/>
        </w:rPr>
        <w:t xml:space="preserve">                                                                             </w:t>
      </w:r>
      <w:r>
        <w:rPr>
          <w:rFonts w:hint="eastAsia" w:ascii="宋体" w:hAnsi="宋体" w:eastAsia="宋体" w:cs="宋体"/>
          <w:color w:val="auto"/>
          <w:sz w:val="24"/>
          <w:highlight w:val="none"/>
          <w:lang w:eastAsia="zh-CN" w:bidi="ar"/>
        </w:rPr>
        <w:t>供应商</w:t>
      </w:r>
      <w:r>
        <w:rPr>
          <w:rFonts w:hint="eastAsia" w:ascii="宋体" w:hAnsi="宋体" w:eastAsia="宋体" w:cs="宋体"/>
          <w:color w:val="auto"/>
          <w:sz w:val="24"/>
          <w:highlight w:val="none"/>
          <w:lang w:bidi="ar"/>
        </w:rPr>
        <w:t>（公章）：</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 xml:space="preserve">       </w:t>
      </w:r>
    </w:p>
    <w:p>
      <w:pPr>
        <w:keepNext w:val="0"/>
        <w:keepLines w:val="0"/>
        <w:pageBreakBefore w:val="0"/>
        <w:widowControl w:val="0"/>
        <w:kinsoku/>
        <w:wordWrap w:val="0"/>
        <w:overflowPunct w:val="0"/>
        <w:topLinePunct w:val="0"/>
        <w:autoSpaceDE w:val="0"/>
        <w:autoSpaceDN w:val="0"/>
        <w:bidi w:val="0"/>
        <w:adjustRightInd/>
        <w:snapToGrid/>
        <w:spacing w:line="480" w:lineRule="exact"/>
        <w:ind w:left="0" w:leftChars="0" w:right="0" w:right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lang w:bidi="ar"/>
        </w:rPr>
        <w:t>日期：</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日</w:t>
      </w:r>
    </w:p>
    <w:p>
      <w:pPr>
        <w:keepNext w:val="0"/>
        <w:keepLines w:val="0"/>
        <w:pageBreakBefore w:val="0"/>
        <w:widowControl w:val="0"/>
        <w:kinsoku/>
        <w:wordWrap w:val="0"/>
        <w:overflowPunct w:val="0"/>
        <w:topLinePunct w:val="0"/>
        <w:autoSpaceDE w:val="0"/>
        <w:autoSpaceDN w:val="0"/>
        <w:bidi w:val="0"/>
        <w:snapToGrid w:val="0"/>
        <w:spacing w:before="50" w:line="360" w:lineRule="auto"/>
        <w:ind w:firstLine="480"/>
        <w:rPr>
          <w:rFonts w:hint="eastAsia" w:ascii="宋体" w:hAnsi="宋体" w:eastAsia="宋体" w:cs="宋体"/>
          <w:color w:val="auto"/>
          <w:sz w:val="24"/>
          <w:highlight w:val="none"/>
        </w:rPr>
        <w:sectPr>
          <w:headerReference r:id="rId11" w:type="default"/>
          <w:footerReference r:id="rId12" w:type="default"/>
          <w:pgSz w:w="16838" w:h="11906" w:orient="landscape"/>
          <w:pgMar w:top="1134" w:right="1134" w:bottom="1134" w:left="1134" w:header="851" w:footer="992" w:gutter="0"/>
          <w:paperSrc/>
          <w:pgNumType w:fmt="decimal"/>
          <w:cols w:space="720" w:num="1"/>
          <w:rtlGutter w:val="0"/>
          <w:docGrid w:type="lines" w:linePitch="312" w:charSpace="0"/>
        </w:sectPr>
      </w:pPr>
    </w:p>
    <w:p>
      <w:pPr>
        <w:keepNext w:val="0"/>
        <w:keepLines w:val="0"/>
        <w:pageBreakBefore w:val="0"/>
        <w:widowControl w:val="0"/>
        <w:kinsoku/>
        <w:wordWrap w:val="0"/>
        <w:overflowPunct w:val="0"/>
        <w:topLinePunct w:val="0"/>
        <w:autoSpaceDE w:val="0"/>
        <w:autoSpaceDN w:val="0"/>
        <w:bidi w:val="0"/>
        <w:snapToGrid w:val="0"/>
        <w:spacing w:before="50" w:after="120"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商务响应表格式：</w:t>
      </w:r>
    </w:p>
    <w:p>
      <w:pPr>
        <w:pStyle w:val="230"/>
        <w:pageBreakBefore w:val="0"/>
        <w:widowControl w:val="0"/>
        <w:topLinePunct w:val="0"/>
        <w:bidi w:val="0"/>
        <w:spacing w:line="276"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商务响应表</w:t>
      </w:r>
    </w:p>
    <w:tbl>
      <w:tblPr>
        <w:tblStyle w:val="48"/>
        <w:tblW w:w="0" w:type="auto"/>
        <w:tblInd w:w="2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8"/>
        <w:gridCol w:w="2468"/>
        <w:gridCol w:w="2468"/>
        <w:gridCol w:w="2468"/>
        <w:gridCol w:w="1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96" w:hRule="atLeast"/>
        </w:trPr>
        <w:tc>
          <w:tcPr>
            <w:tcW w:w="72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46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内容</w:t>
            </w:r>
          </w:p>
        </w:tc>
        <w:tc>
          <w:tcPr>
            <w:tcW w:w="246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采购文件的规定</w:t>
            </w:r>
          </w:p>
        </w:tc>
        <w:tc>
          <w:tcPr>
            <w:tcW w:w="2468"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文件的响应</w:t>
            </w:r>
          </w:p>
        </w:tc>
        <w:tc>
          <w:tcPr>
            <w:tcW w:w="1317" w:type="dxa"/>
            <w:tcBorders>
              <w:tl2br w:val="nil"/>
              <w:tr2bl w:val="nil"/>
            </w:tcBorders>
            <w:noWrap w:val="0"/>
            <w:vAlign w:val="top"/>
          </w:tcPr>
          <w:p>
            <w:pPr>
              <w:pageBreakBefore w:val="0"/>
              <w:widowControl w:val="0"/>
              <w:topLinePunct w:val="0"/>
              <w:bidi w:val="0"/>
              <w:spacing w:before="240" w:after="24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80"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6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lang w:eastAsia="zh-CN"/>
              </w:rPr>
            </w:pPr>
          </w:p>
        </w:tc>
        <w:tc>
          <w:tcPr>
            <w:tcW w:w="2468" w:type="dxa"/>
            <w:tcBorders>
              <w:tl2br w:val="nil"/>
              <w:tr2bl w:val="nil"/>
            </w:tcBorders>
            <w:noWrap w:val="0"/>
            <w:vAlign w:val="center"/>
          </w:tcPr>
          <w:p>
            <w:pPr>
              <w:pageBreakBefore w:val="0"/>
              <w:widowControl w:val="0"/>
              <w:topLinePunct w:val="0"/>
              <w:bidi w:val="0"/>
              <w:spacing w:before="156" w:beforeLines="50" w:after="156" w:afterLines="50" w:line="300" w:lineRule="auto"/>
              <w:jc w:val="center"/>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0"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6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lang w:eastAsia="zh-CN"/>
              </w:rPr>
            </w:pPr>
          </w:p>
        </w:tc>
        <w:tc>
          <w:tcPr>
            <w:tcW w:w="2468" w:type="dxa"/>
            <w:tcBorders>
              <w:tl2br w:val="nil"/>
              <w:tr2bl w:val="nil"/>
            </w:tcBorders>
            <w:noWrap w:val="0"/>
            <w:vAlign w:val="center"/>
          </w:tcPr>
          <w:p>
            <w:pPr>
              <w:pageBreakBefore w:val="0"/>
              <w:widowControl w:val="0"/>
              <w:topLinePunct w:val="0"/>
              <w:bidi w:val="0"/>
              <w:spacing w:before="156" w:beforeLines="50" w:after="156" w:afterLines="50" w:line="300" w:lineRule="auto"/>
              <w:jc w:val="center"/>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2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2468"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c>
          <w:tcPr>
            <w:tcW w:w="1317" w:type="dxa"/>
            <w:tcBorders>
              <w:tl2br w:val="nil"/>
              <w:tr2bl w:val="nil"/>
            </w:tcBorders>
            <w:noWrap w:val="0"/>
            <w:vAlign w:val="top"/>
          </w:tcPr>
          <w:p>
            <w:pPr>
              <w:pageBreakBefore w:val="0"/>
              <w:widowControl w:val="0"/>
              <w:topLinePunct w:val="0"/>
              <w:bidi w:val="0"/>
              <w:spacing w:before="156" w:beforeLines="50" w:after="156" w:afterLines="50" w:line="276" w:lineRule="auto"/>
              <w:ind w:firstLine="48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2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468" w:type="dxa"/>
            <w:tcBorders>
              <w:tl2br w:val="nil"/>
              <w:tr2bl w:val="nil"/>
            </w:tcBorders>
            <w:noWrap w:val="0"/>
            <w:vAlign w:val="center"/>
          </w:tcPr>
          <w:p>
            <w:pPr>
              <w:pageBreakBefore w:val="0"/>
              <w:widowControl w:val="0"/>
              <w:topLinePunct w:val="0"/>
              <w:bidi w:val="0"/>
              <w:spacing w:before="156" w:beforeLines="50" w:after="156" w:afterLines="50" w:line="276" w:lineRule="auto"/>
              <w:jc w:val="center"/>
              <w:rPr>
                <w:rFonts w:hint="eastAsia" w:ascii="宋体" w:hAnsi="宋体" w:eastAsia="宋体" w:cs="宋体"/>
                <w:color w:val="auto"/>
                <w:sz w:val="24"/>
                <w:highlight w:val="none"/>
              </w:rPr>
            </w:pPr>
          </w:p>
        </w:tc>
        <w:tc>
          <w:tcPr>
            <w:tcW w:w="2468"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2468"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c>
          <w:tcPr>
            <w:tcW w:w="1317" w:type="dxa"/>
            <w:tcBorders>
              <w:tl2br w:val="nil"/>
              <w:tr2bl w:val="nil"/>
            </w:tcBorders>
            <w:noWrap w:val="0"/>
            <w:vAlign w:val="center"/>
          </w:tcPr>
          <w:p>
            <w:pPr>
              <w:pageBreakBefore w:val="0"/>
              <w:widowControl w:val="0"/>
              <w:topLinePunct w:val="0"/>
              <w:bidi w:val="0"/>
              <w:spacing w:before="156" w:beforeLines="50" w:after="156" w:afterLines="5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p>
        </w:tc>
      </w:tr>
    </w:tbl>
    <w:p>
      <w:pPr>
        <w:pageBreakBefore w:val="0"/>
        <w:widowControl w:val="0"/>
        <w:topLinePunct w:val="0"/>
        <w:bidi w:val="0"/>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注：供应商的响应文件（除技术规格部分）与采购文件之规定存在偏离的，应在此表中如实说明。未在上表中说明的，将被认为完全响应采购文件的规定。</w:t>
      </w:r>
    </w:p>
    <w:p>
      <w:pPr>
        <w:pageBreakBefore w:val="0"/>
        <w:widowControl w:val="0"/>
        <w:topLinePunct w:val="0"/>
        <w:bidi w:val="0"/>
        <w:spacing w:line="360" w:lineRule="auto"/>
        <w:ind w:firstLine="482"/>
        <w:rPr>
          <w:rFonts w:hint="eastAsia" w:ascii="宋体" w:hAnsi="宋体" w:eastAsia="宋体" w:cs="宋体"/>
          <w:b/>
          <w:color w:val="auto"/>
          <w:sz w:val="24"/>
          <w:highlight w:val="none"/>
        </w:rPr>
      </w:pPr>
    </w:p>
    <w:p>
      <w:pPr>
        <w:pStyle w:val="15"/>
        <w:pageBreakBefore w:val="0"/>
        <w:widowControl w:val="0"/>
        <w:wordWrap w:val="0"/>
        <w:topLinePunct w:val="0"/>
        <w:bidi w:val="0"/>
        <w:snapToGrid w:val="0"/>
        <w:spacing w:before="157" w:beforeLines="50" w:afterLines="0"/>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w:t>
      </w:r>
    </w:p>
    <w:p>
      <w:pPr>
        <w:pageBreakBefore w:val="0"/>
        <w:widowControl w:val="0"/>
        <w:wordWrap w:val="0"/>
        <w:topLinePunct w:val="0"/>
        <w:bidi w:val="0"/>
        <w:snapToGrid w:val="0"/>
        <w:spacing w:before="157" w:beforeLines="50" w:afterLines="0"/>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napToGrid w:val="0"/>
        <w:spacing w:before="157" w:beforeLines="50" w:afterLines="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lang w:eastAsia="zh-CN"/>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widowControl w:val="0"/>
        <w:wordWrap w:val="0"/>
        <w:topLinePunct w:val="0"/>
        <w:bidi w:val="0"/>
        <w:snapToGrid w:val="0"/>
        <w:spacing w:before="50" w:after="156" w:afterLines="50"/>
        <w:rPr>
          <w:rFonts w:hint="eastAsia" w:ascii="宋体" w:hAnsi="宋体" w:eastAsia="宋体" w:cs="宋体"/>
          <w:b/>
          <w:color w:val="auto"/>
          <w:sz w:val="24"/>
          <w:highlight w:val="none"/>
        </w:rPr>
      </w:pPr>
    </w:p>
    <w:p>
      <w:pPr>
        <w:pStyle w:val="290"/>
        <w:rPr>
          <w:rFonts w:hint="eastAsia"/>
          <w:color w:val="auto"/>
        </w:rPr>
      </w:pPr>
    </w:p>
    <w:p>
      <w:pPr>
        <w:keepNext w:val="0"/>
        <w:keepLines w:val="0"/>
        <w:pageBreakBefore w:val="0"/>
        <w:widowControl w:val="0"/>
        <w:kinsoku/>
        <w:wordWrap w:val="0"/>
        <w:overflowPunct w:val="0"/>
        <w:topLinePunct w:val="0"/>
        <w:autoSpaceDE w:val="0"/>
        <w:autoSpaceDN w:val="0"/>
        <w:bidi w:val="0"/>
        <w:snapToGrid w:val="0"/>
        <w:spacing w:after="50" w:line="360" w:lineRule="auto"/>
        <w:ind w:firstLine="482"/>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after="50" w:line="360" w:lineRule="auto"/>
        <w:ind w:firstLine="482"/>
        <w:rPr>
          <w:rFonts w:hint="eastAsia" w:ascii="宋体" w:hAnsi="宋体" w:eastAsia="宋体" w:cs="宋体"/>
          <w:color w:val="auto"/>
          <w:sz w:val="24"/>
          <w:highlight w:val="none"/>
        </w:rPr>
        <w:sectPr>
          <w:pgSz w:w="11906" w:h="16838"/>
          <w:pgMar w:top="1134" w:right="1134" w:bottom="1134" w:left="1134" w:header="851" w:footer="992" w:gutter="0"/>
          <w:paperSrc/>
          <w:pgNumType w:fmt="decimal"/>
          <w:cols w:space="72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4"/>
          <w:highlight w:val="none"/>
          <w:lang w:val="en-US" w:eastAsia="zh-CN"/>
        </w:rPr>
        <w:t>7.投标</w:t>
      </w:r>
      <w:r>
        <w:rPr>
          <w:rFonts w:hint="eastAsia" w:ascii="宋体" w:hAnsi="宋体" w:eastAsia="宋体" w:cs="宋体"/>
          <w:b/>
          <w:color w:val="auto"/>
          <w:sz w:val="24"/>
          <w:highlight w:val="none"/>
        </w:rPr>
        <w:t>产品详细清单（不含报价）格式：</w:t>
      </w:r>
      <w:r>
        <w:rPr>
          <w:rFonts w:hint="eastAsia" w:ascii="宋体" w:hAnsi="宋体" w:eastAsia="宋体" w:cs="宋体"/>
          <w:b/>
          <w:color w:val="auto"/>
          <w:sz w:val="28"/>
          <w:szCs w:val="28"/>
          <w:highlight w:val="none"/>
        </w:rPr>
        <w:t xml:space="preserve"> </w:t>
      </w:r>
    </w:p>
    <w:p>
      <w:pPr>
        <w:pStyle w:val="230"/>
        <w:pageBreakBefore w:val="0"/>
        <w:widowControl w:val="0"/>
        <w:wordWrap w:val="0"/>
        <w:topLinePunct w:val="0"/>
        <w:bidi w:val="0"/>
        <w:spacing w:line="360" w:lineRule="auto"/>
        <w:ind w:firstLine="562"/>
        <w:jc w:val="center"/>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val="en-US" w:eastAsia="zh-CN"/>
        </w:rPr>
        <w:t>投标</w:t>
      </w:r>
      <w:r>
        <w:rPr>
          <w:rFonts w:hint="eastAsia" w:ascii="宋体" w:hAnsi="宋体" w:eastAsia="宋体" w:cs="宋体"/>
          <w:b/>
          <w:color w:val="auto"/>
          <w:sz w:val="28"/>
          <w:szCs w:val="28"/>
          <w:highlight w:val="none"/>
        </w:rPr>
        <w:t>产品详细清单</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填表说明：详细列明所投项目主要</w:t>
      </w:r>
      <w:r>
        <w:rPr>
          <w:rFonts w:hint="eastAsia" w:ascii="宋体" w:hAnsi="宋体" w:eastAsia="宋体" w:cs="宋体"/>
          <w:color w:val="auto"/>
          <w:sz w:val="24"/>
          <w:highlight w:val="none"/>
          <w:lang w:eastAsia="zh-CN"/>
        </w:rPr>
        <w:t>产品</w:t>
      </w:r>
      <w:r>
        <w:rPr>
          <w:rFonts w:hint="eastAsia" w:ascii="宋体" w:hAnsi="宋体" w:eastAsia="宋体" w:cs="宋体"/>
          <w:color w:val="auto"/>
          <w:sz w:val="24"/>
          <w:highlight w:val="none"/>
        </w:rPr>
        <w:t>清单，完整配置方案及技术指标，项目的核心产品必须明确所投品牌、规格型号及具体技术指标。任何含糊不清的表述对</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结果的影响将是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的责任，可附具体的介绍图文资料。</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550"/>
        <w:gridCol w:w="1530"/>
        <w:gridCol w:w="5370"/>
        <w:gridCol w:w="1305"/>
        <w:gridCol w:w="1148"/>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1" w:hRule="atLeast"/>
          <w:jc w:val="center"/>
        </w:trPr>
        <w:tc>
          <w:tcPr>
            <w:tcW w:w="1045"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550"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名称</w:t>
            </w:r>
          </w:p>
        </w:tc>
        <w:tc>
          <w:tcPr>
            <w:tcW w:w="1530"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品牌及厂家</w:t>
            </w:r>
          </w:p>
        </w:tc>
        <w:tc>
          <w:tcPr>
            <w:tcW w:w="5370"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型号及规格</w:t>
            </w:r>
          </w:p>
        </w:tc>
        <w:tc>
          <w:tcPr>
            <w:tcW w:w="1305"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1148"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312" w:type="dxa"/>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5370"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148"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rPr>
            </w:pPr>
          </w:p>
        </w:tc>
      </w:tr>
    </w:tbl>
    <w:p>
      <w:pPr>
        <w:pageBreakBefore w:val="0"/>
        <w:widowControl w:val="0"/>
        <w:wordWrap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中必须明确主要设备的品牌、规格型号、性能指标等内容。</w:t>
      </w:r>
    </w:p>
    <w:p>
      <w:pPr>
        <w:pageBreakBefore w:val="0"/>
        <w:widowControl w:val="0"/>
        <w:wordWrap w:val="0"/>
        <w:topLinePunct w:val="0"/>
        <w:bidi w:val="0"/>
        <w:snapToGrid w:val="0"/>
        <w:spacing w:before="120" w:beforeLines="50" w:line="40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1"/>
        <w:pageBreakBefore w:val="0"/>
        <w:widowControl w:val="0"/>
        <w:topLinePunct w:val="0"/>
        <w:bidi w:val="0"/>
        <w:rPr>
          <w:rFonts w:hint="eastAsia" w:ascii="宋体" w:hAnsi="宋体" w:eastAsia="宋体" w:cs="宋体"/>
          <w:color w:val="auto"/>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snapToGrid w:val="0"/>
        <w:spacing w:line="240" w:lineRule="auto"/>
        <w:ind w:left="0" w:leftChars="0" w:right="0" w:rightChars="0"/>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eastAsia="zh-CN"/>
        </w:rPr>
        <w:t>技术响应表格式：</w:t>
      </w:r>
    </w:p>
    <w:p>
      <w:pPr>
        <w:pStyle w:val="230"/>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562" w:firstLineChars="0"/>
        <w:jc w:val="center"/>
        <w:textAlignment w:val="baseline"/>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技术响应表</w:t>
      </w:r>
    </w:p>
    <w:tbl>
      <w:tblPr>
        <w:tblStyle w:val="48"/>
        <w:tblW w:w="0" w:type="auto"/>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484"/>
        <w:gridCol w:w="3570"/>
        <w:gridCol w:w="1050"/>
        <w:gridCol w:w="1725"/>
        <w:gridCol w:w="1545"/>
        <w:gridCol w:w="2760"/>
        <w:gridCol w:w="841"/>
        <w:gridCol w:w="8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17" w:hRule="atLeast"/>
        </w:trPr>
        <w:tc>
          <w:tcPr>
            <w:tcW w:w="780"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2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104" w:type="dxa"/>
            <w:gridSpan w:val="3"/>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20" w:lineRule="exact"/>
              <w:ind w:left="0" w:leftChars="0" w:right="0" w:rightChars="0" w:firstLine="52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采购文件需求</w:t>
            </w:r>
          </w:p>
        </w:tc>
        <w:tc>
          <w:tcPr>
            <w:tcW w:w="6871" w:type="dxa"/>
            <w:gridSpan w:val="4"/>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firstLine="48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文件规格及技术参数</w:t>
            </w:r>
          </w:p>
        </w:tc>
        <w:tc>
          <w:tcPr>
            <w:tcW w:w="832"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53" w:hRule="atLeast"/>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eastAsia="zh-CN"/>
              </w:rPr>
              <w:t>名称</w:t>
            </w:r>
          </w:p>
        </w:tc>
        <w:tc>
          <w:tcPr>
            <w:tcW w:w="357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主要</w:t>
            </w:r>
            <w:r>
              <w:rPr>
                <w:rFonts w:hint="eastAsia" w:ascii="宋体" w:hAnsi="宋体" w:eastAsia="宋体" w:cs="宋体"/>
                <w:b/>
                <w:bCs/>
                <w:color w:val="auto"/>
                <w:sz w:val="24"/>
                <w:szCs w:val="24"/>
                <w:highlight w:val="none"/>
              </w:rPr>
              <w:t>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20" w:lineRule="exact"/>
              <w:ind w:left="0" w:leftChars="0" w:right="0" w:right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72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eastAsia="zh-CN"/>
              </w:rPr>
              <w:t>名称</w:t>
            </w:r>
          </w:p>
        </w:tc>
        <w:tc>
          <w:tcPr>
            <w:tcW w:w="154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厂家、型号规格</w:t>
            </w:r>
          </w:p>
        </w:tc>
        <w:tc>
          <w:tcPr>
            <w:tcW w:w="276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主要</w:t>
            </w:r>
            <w:r>
              <w:rPr>
                <w:rFonts w:hint="eastAsia" w:ascii="宋体" w:hAnsi="宋体" w:eastAsia="宋体" w:cs="宋体"/>
                <w:b/>
                <w:bCs/>
                <w:color w:val="auto"/>
                <w:sz w:val="24"/>
                <w:szCs w:val="24"/>
                <w:highlight w:val="none"/>
              </w:rPr>
              <w:t>技术参数</w:t>
            </w:r>
          </w:p>
        </w:tc>
        <w:tc>
          <w:tcPr>
            <w:tcW w:w="84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数量</w:t>
            </w: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2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widowControl w:val="0"/>
              <w:kinsoku/>
              <w:overflowPunct/>
              <w:topLinePunct w:val="0"/>
              <w:autoSpaceDE/>
              <w:autoSpaceDN/>
              <w:bidi w:val="0"/>
              <w:adjustRightInd/>
              <w:snapToGrid/>
              <w:spacing w:after="0" w:line="460" w:lineRule="exact"/>
              <w:ind w:left="0" w:leftChars="0" w:right="0" w:rightChars="0"/>
              <w:textAlignment w:val="auto"/>
              <w:outlineLvl w:val="9"/>
              <w:rPr>
                <w:rFonts w:hint="eastAsia" w:ascii="宋体" w:hAnsi="宋体" w:eastAsia="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widowControl w:val="0"/>
              <w:kinsoku/>
              <w:wordWrap w:val="0"/>
              <w:overflowPunct/>
              <w:topLinePunct w:val="0"/>
              <w:autoSpaceDE/>
              <w:autoSpaceDN/>
              <w:bidi w:val="0"/>
              <w:adjustRightInd/>
              <w:snapToGrid/>
              <w:spacing w:before="0" w:beforeLines="0" w:after="0" w:afterLines="0" w:line="460" w:lineRule="exact"/>
              <w:ind w:left="0" w:leftChars="0" w:right="0" w:rightChars="0" w:firstLine="520"/>
              <w:jc w:val="center"/>
              <w:textAlignment w:val="auto"/>
              <w:outlineLvl w:val="9"/>
              <w:rPr>
                <w:rFonts w:hint="eastAsia" w:ascii="宋体" w:hAnsi="宋体" w:eastAsia="宋体" w:cs="宋体"/>
                <w:color w:val="auto"/>
                <w:sz w:val="24"/>
                <w:szCs w:val="24"/>
                <w:highlight w:val="none"/>
              </w:rPr>
            </w:pPr>
          </w:p>
        </w:tc>
      </w:tr>
    </w:tbl>
    <w:p>
      <w:pPr>
        <w:keepNext w:val="0"/>
        <w:keepLines w:val="0"/>
        <w:pageBreakBefore w:val="0"/>
        <w:widowControl w:val="0"/>
        <w:kinsoku/>
        <w:wordWrap w:val="0"/>
        <w:overflowPunct/>
        <w:topLinePunct w:val="0"/>
        <w:autoSpaceDE/>
        <w:autoSpaceDN/>
        <w:bidi w:val="0"/>
        <w:snapToGrid w:val="0"/>
        <w:spacing w:line="400" w:lineRule="exact"/>
        <w:ind w:left="0" w:leftChars="0"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设备的性能指标、对照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文件要求在“偏离情况”栏注明“正偏离”、“负偏离”或“无偏离”。</w:t>
      </w:r>
    </w:p>
    <w:p>
      <w:pPr>
        <w:keepNext w:val="0"/>
        <w:keepLines w:val="0"/>
        <w:pageBreakBefore w:val="0"/>
        <w:widowControl w:val="0"/>
        <w:kinsoku/>
        <w:wordWrap w:val="0"/>
        <w:overflowPunct/>
        <w:topLinePunct w:val="0"/>
        <w:autoSpaceDE/>
        <w:autoSpaceDN/>
        <w:bidi w:val="0"/>
        <w:adjustRightInd/>
        <w:snapToGrid w:val="0"/>
        <w:spacing w:before="157" w:beforeLines="50" w:line="400" w:lineRule="exact"/>
        <w:ind w:left="0" w:leftChars="0" w:right="0" w:rightChars="0" w:firstLine="480" w:firstLineChars="0"/>
        <w:jc w:val="both"/>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b/>
          <w:color w:val="auto"/>
          <w:sz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9.投入本项目人员</w:t>
      </w:r>
      <w:r>
        <w:rPr>
          <w:rFonts w:hint="eastAsia" w:ascii="宋体" w:hAnsi="宋体" w:eastAsia="宋体" w:cs="宋体"/>
          <w:b/>
          <w:color w:val="auto"/>
          <w:sz w:val="24"/>
          <w:highlight w:val="none"/>
        </w:rPr>
        <w:t>一览表格式：</w:t>
      </w:r>
    </w:p>
    <w:p>
      <w:pPr>
        <w:pStyle w:val="230"/>
        <w:pageBreakBefore w:val="0"/>
        <w:widowControl w:val="0"/>
        <w:topLinePunct w:val="0"/>
        <w:bidi w:val="0"/>
        <w:spacing w:line="360" w:lineRule="auto"/>
        <w:ind w:firstLine="562"/>
        <w:jc w:val="center"/>
        <w:rPr>
          <w:rFonts w:hint="eastAsia" w:ascii="宋体" w:hAnsi="宋体" w:eastAsia="宋体" w:cs="宋体"/>
          <w:b/>
          <w:color w:val="auto"/>
          <w:sz w:val="28"/>
          <w:szCs w:val="28"/>
          <w:highlight w:val="none"/>
        </w:rPr>
      </w:pPr>
      <w:r>
        <w:rPr>
          <w:rFonts w:hint="eastAsia" w:hAnsi="宋体" w:eastAsia="宋体" w:cs="宋体"/>
          <w:b/>
          <w:color w:val="auto"/>
          <w:sz w:val="28"/>
          <w:szCs w:val="28"/>
          <w:highlight w:val="none"/>
          <w:lang w:val="en-US" w:eastAsia="zh-CN"/>
        </w:rPr>
        <w:t>投入本项目</w:t>
      </w:r>
      <w:r>
        <w:rPr>
          <w:rFonts w:hint="eastAsia" w:ascii="宋体" w:hAnsi="宋体" w:eastAsia="宋体" w:cs="宋体"/>
          <w:b/>
          <w:color w:val="auto"/>
          <w:sz w:val="28"/>
          <w:szCs w:val="28"/>
          <w:highlight w:val="none"/>
        </w:rPr>
        <w:t>人员一览表</w:t>
      </w:r>
    </w:p>
    <w:tbl>
      <w:tblPr>
        <w:tblStyle w:val="48"/>
        <w:tblW w:w="0" w:type="auto"/>
        <w:tblInd w:w="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2451"/>
        <w:gridCol w:w="1560"/>
        <w:gridCol w:w="1845"/>
        <w:gridCol w:w="2010"/>
        <w:gridCol w:w="3515"/>
        <w:gridCol w:w="2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3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5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项目组所任职务</w:t>
            </w:r>
          </w:p>
        </w:tc>
        <w:tc>
          <w:tcPr>
            <w:tcW w:w="156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184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职称</w:t>
            </w:r>
          </w:p>
        </w:tc>
        <w:tc>
          <w:tcPr>
            <w:tcW w:w="2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w:t>
            </w:r>
          </w:p>
        </w:tc>
        <w:tc>
          <w:tcPr>
            <w:tcW w:w="351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专业技术资格证书编号</w:t>
            </w:r>
          </w:p>
        </w:tc>
        <w:tc>
          <w:tcPr>
            <w:tcW w:w="275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注：1、“投入本项目</w:t>
      </w:r>
      <w:r>
        <w:rPr>
          <w:rFonts w:hint="eastAsia" w:ascii="宋体" w:hAnsi="宋体" w:eastAsia="宋体" w:cs="宋体"/>
          <w:b/>
          <w:color w:val="auto"/>
          <w:sz w:val="24"/>
          <w:highlight w:val="none"/>
          <w:lang w:val="en-US" w:eastAsia="zh-CN"/>
        </w:rPr>
        <w:t>人员</w:t>
      </w:r>
      <w:r>
        <w:rPr>
          <w:rFonts w:hint="eastAsia" w:ascii="宋体" w:hAnsi="宋体" w:eastAsia="宋体" w:cs="宋体"/>
          <w:b/>
          <w:color w:val="auto"/>
          <w:sz w:val="24"/>
          <w:highlight w:val="none"/>
        </w:rPr>
        <w:t>”指投标单位针对该项目的</w:t>
      </w:r>
      <w:r>
        <w:rPr>
          <w:rFonts w:hint="eastAsia" w:ascii="宋体" w:hAnsi="宋体" w:eastAsia="宋体" w:cs="宋体"/>
          <w:b/>
          <w:color w:val="auto"/>
          <w:sz w:val="24"/>
          <w:highlight w:val="none"/>
          <w:lang w:val="en-US" w:eastAsia="zh-CN"/>
        </w:rPr>
        <w:t>项目经理、项目建设人员、维护人员等</w:t>
      </w:r>
      <w:r>
        <w:rPr>
          <w:rFonts w:hint="eastAsia" w:ascii="宋体" w:hAnsi="宋体" w:eastAsia="宋体" w:cs="宋体"/>
          <w:b/>
          <w:color w:val="auto"/>
          <w:sz w:val="24"/>
          <w:highlight w:val="none"/>
        </w:rPr>
        <w:t>完成本项目所配备的人员。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64" w:firstLineChars="40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2、附各专业人员简历及相关证明材料复印件；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64" w:firstLineChars="400"/>
        <w:jc w:val="both"/>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3、表格不够填写可添加。</w:t>
      </w:r>
    </w:p>
    <w:p>
      <w:pPr>
        <w:pageBreakBefore w:val="0"/>
        <w:widowControl w:val="0"/>
        <w:wordWrap w:val="0"/>
        <w:topLinePunct w:val="0"/>
        <w:bidi w:val="0"/>
        <w:snapToGrid w:val="0"/>
        <w:spacing w:before="120" w:beforeLines="50" w:line="40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pacing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p>
      <w:pPr>
        <w:pageBreakBefore w:val="0"/>
        <w:widowControl w:val="0"/>
        <w:wordWrap w:val="0"/>
        <w:topLinePunct w:val="0"/>
        <w:bidi w:val="0"/>
        <w:snapToGrid w:val="0"/>
        <w:spacing w:before="50" w:after="156" w:afterLines="50"/>
        <w:rPr>
          <w:rFonts w:hint="eastAsia" w:ascii="宋体" w:hAnsi="宋体" w:eastAsia="宋体" w:cs="宋体"/>
          <w:color w:val="auto"/>
          <w:spacing w:val="20"/>
          <w:sz w:val="24"/>
          <w:szCs w:val="20"/>
          <w:highlight w:val="none"/>
          <w:u w:val="single"/>
        </w:rPr>
        <w:sectPr>
          <w:pgSz w:w="16838" w:h="11906" w:orient="landscape"/>
          <w:pgMar w:top="850" w:right="850" w:bottom="850" w:left="113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ageBreakBefore w:val="0"/>
        <w:widowControl w:val="0"/>
        <w:wordWrap w:val="0"/>
        <w:topLinePunct w:val="0"/>
        <w:bidi w:val="0"/>
        <w:snapToGrid w:val="0"/>
        <w:spacing w:before="50" w:after="120" w:afterLines="50"/>
        <w:ind w:firstLine="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投入设备一览表格式：</w:t>
      </w:r>
    </w:p>
    <w:p>
      <w:pPr>
        <w:pStyle w:val="6"/>
        <w:pageBreakBefore w:val="0"/>
        <w:widowControl w:val="0"/>
        <w:overflowPunct w:val="0"/>
        <w:topLinePunct w:val="0"/>
        <w:bidi w:val="0"/>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投入设备一览表</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4"/>
        <w:gridCol w:w="2681"/>
        <w:gridCol w:w="1108"/>
        <w:gridCol w:w="1710"/>
        <w:gridCol w:w="1110"/>
        <w:gridCol w:w="8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shd w:val="clear" w:color="auto" w:fill="EEECE1"/>
            <w:noWrap w:val="0"/>
            <w:vAlign w:val="center"/>
          </w:tcPr>
          <w:p>
            <w:pPr>
              <w:pStyle w:val="230"/>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81" w:type="dxa"/>
            <w:shd w:val="clear" w:color="auto" w:fill="EEECE1"/>
            <w:noWrap w:val="0"/>
            <w:vAlign w:val="center"/>
          </w:tcPr>
          <w:p>
            <w:pPr>
              <w:pStyle w:val="230"/>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108" w:type="dxa"/>
            <w:shd w:val="clear" w:color="auto" w:fill="EEECE1"/>
            <w:noWrap w:val="0"/>
            <w:vAlign w:val="center"/>
          </w:tcPr>
          <w:p>
            <w:pPr>
              <w:pStyle w:val="230"/>
              <w:pageBreakBefore w:val="0"/>
              <w:widowControl w:val="0"/>
              <w:topLinePunct w:val="0"/>
              <w:bidi w:val="0"/>
              <w:ind w:firstLine="200" w:firstLineChars="8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710" w:type="dxa"/>
            <w:tcBorders>
              <w:bottom w:val="single" w:color="auto" w:sz="4" w:space="0"/>
            </w:tcBorders>
            <w:shd w:val="clear" w:color="auto" w:fill="EEECE1"/>
            <w:noWrap w:val="0"/>
            <w:vAlign w:val="center"/>
          </w:tcPr>
          <w:p>
            <w:pPr>
              <w:pStyle w:val="230"/>
              <w:pageBreakBefore w:val="0"/>
              <w:widowControl w:val="0"/>
              <w:topLinePunct w:val="0"/>
              <w:bidi w:val="0"/>
              <w:ind w:firstLine="200" w:firstLineChars="8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1110" w:type="dxa"/>
            <w:tcBorders>
              <w:right w:val="single" w:color="auto" w:sz="4" w:space="0"/>
            </w:tcBorders>
            <w:shd w:val="clear" w:color="auto" w:fill="EEECE1"/>
            <w:noWrap w:val="0"/>
            <w:vAlign w:val="center"/>
          </w:tcPr>
          <w:p>
            <w:pPr>
              <w:pStyle w:val="230"/>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855" w:type="dxa"/>
            <w:tcBorders>
              <w:left w:val="single" w:color="auto" w:sz="4" w:space="0"/>
            </w:tcBorders>
            <w:shd w:val="clear" w:color="auto" w:fill="EEECE1"/>
            <w:noWrap w:val="0"/>
            <w:vAlign w:val="center"/>
          </w:tcPr>
          <w:p>
            <w:pPr>
              <w:pStyle w:val="230"/>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tcBorders>
              <w:top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1284"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2681"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08" w:type="dxa"/>
            <w:noWrap w:val="0"/>
            <w:vAlign w:val="top"/>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710" w:type="dxa"/>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10" w:type="dxa"/>
            <w:tcBorders>
              <w:righ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855" w:type="dxa"/>
            <w:tcBorders>
              <w:left w:val="single" w:color="auto" w:sz="4" w:space="0"/>
            </w:tcBorders>
            <w:noWrap w:val="0"/>
            <w:vAlign w:val="center"/>
          </w:tcPr>
          <w:p>
            <w:pPr>
              <w:pStyle w:val="230"/>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bl>
    <w:p>
      <w:pPr>
        <w:pageBreakBefore w:val="0"/>
        <w:widowControl w:val="0"/>
        <w:wordWrap w:val="0"/>
        <w:topLinePunct w:val="0"/>
        <w:bidi w:val="0"/>
        <w:snapToGrid w:val="0"/>
        <w:spacing w:before="120" w:beforeLines="50" w:line="400" w:lineRule="exact"/>
        <w:ind w:firstLine="480"/>
        <w:rPr>
          <w:rFonts w:hint="eastAsia" w:ascii="宋体" w:hAnsi="宋体" w:eastAsia="宋体" w:cs="宋体"/>
          <w:color w:val="auto"/>
          <w:sz w:val="24"/>
          <w:highlight w:val="none"/>
        </w:rPr>
      </w:pPr>
    </w:p>
    <w:p>
      <w:pPr>
        <w:pageBreakBefore w:val="0"/>
        <w:widowControl w:val="0"/>
        <w:wordWrap w:val="0"/>
        <w:topLinePunct w:val="0"/>
        <w:bidi w:val="0"/>
        <w:snapToGrid w:val="0"/>
        <w:spacing w:before="120" w:beforeLines="50" w:line="40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p>
    <w:p>
      <w:pPr>
        <w:pageBreakBefore w:val="0"/>
        <w:widowControl w:val="0"/>
        <w:wordWrap w:val="0"/>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公章：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val="0"/>
        <w:wordWrap w:val="0"/>
        <w:topLinePunct w:val="0"/>
        <w:bidi w:val="0"/>
        <w:spacing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p>
      <w:pPr>
        <w:pageBreakBefore w:val="0"/>
        <w:widowControl w:val="0"/>
        <w:wordWrap w:val="0"/>
        <w:topLinePunct w:val="0"/>
        <w:bidi w:val="0"/>
        <w:snapToGrid w:val="0"/>
        <w:spacing w:before="156" w:beforeLines="50" w:after="50"/>
        <w:outlineLvl w:val="1"/>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21"/>
        <w:rPr>
          <w:rFonts w:hint="eastAsia" w:ascii="宋体" w:hAnsi="宋体" w:eastAsia="宋体" w:cs="宋体"/>
          <w:b/>
          <w:bCs/>
          <w:color w:val="auto"/>
          <w:sz w:val="24"/>
          <w:highlight w:val="none"/>
        </w:rPr>
      </w:pPr>
    </w:p>
    <w:p>
      <w:pPr>
        <w:rPr>
          <w:rFonts w:hint="eastAsia"/>
          <w:color w:val="auto"/>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、报价文件格式：</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 报价文件封面格式： </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480"/>
        <w:outlineLvl w:val="1"/>
        <w:rPr>
          <w:rFonts w:hint="eastAsia" w:ascii="宋体" w:hAnsi="宋体" w:eastAsia="宋体" w:cs="宋体"/>
          <w:b/>
          <w:bCs/>
          <w:color w:val="auto"/>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投标标项：</w:t>
      </w:r>
    </w:p>
    <w:p>
      <w:pPr>
        <w:pStyle w:val="6"/>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pPr>
        <w:pStyle w:val="6"/>
        <w:keepNext w:val="0"/>
        <w:keepLines w:val="0"/>
        <w:pageBreakBefore w:val="0"/>
        <w:widowControl w:val="0"/>
        <w:kinsoku/>
        <w:wordWrap w:val="0"/>
        <w:overflowPunct w:val="0"/>
        <w:topLinePunct w:val="0"/>
        <w:autoSpaceDE w:val="0"/>
        <w:autoSpaceDN w:val="0"/>
        <w:bidi w:val="0"/>
        <w:snapToGrid w:val="0"/>
        <w:spacing w:line="360" w:lineRule="auto"/>
        <w:ind w:firstLine="1200" w:firstLineChars="5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pPr>
        <w:keepNext w:val="0"/>
        <w:keepLines w:val="0"/>
        <w:pageBreakBefore w:val="0"/>
        <w:widowControl w:val="0"/>
        <w:kinsoku/>
        <w:wordWrap w:val="0"/>
        <w:overflowPunct w:val="0"/>
        <w:topLinePunct w:val="0"/>
        <w:autoSpaceDE w:val="0"/>
        <w:autoSpaceDN w:val="0"/>
        <w:bidi w:val="0"/>
        <w:snapToGrid w:val="0"/>
        <w:spacing w:line="360" w:lineRule="auto"/>
        <w:ind w:firstLine="4080" w:firstLineChars="170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0"/>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480"/>
        <w:jc w:val="center"/>
        <w:rPr>
          <w:rFonts w:hint="eastAsia" w:ascii="宋体" w:hAnsi="宋体" w:eastAsia="宋体" w:cs="宋体"/>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2.报价文件目录</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（请按照“第三章投标人须知，三、投标文件的编制”的顺序，结合评标办法自行编制目录）</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例如：</w:t>
      </w:r>
      <w:r>
        <w:rPr>
          <w:rFonts w:hint="eastAsia" w:ascii="宋体" w:hAnsi="宋体" w:eastAsia="宋体" w:cs="宋体"/>
          <w:bCs/>
          <w:color w:val="auto"/>
          <w:sz w:val="24"/>
          <w:highlight w:val="none"/>
        </w:rPr>
        <w:t>（1）投标函————————————————————————（页码）</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jc w:val="both"/>
        <w:textAlignment w:val="auto"/>
        <w:outlineLvl w:val="1"/>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）开标一览表</w:t>
      </w:r>
      <w:r>
        <w:rPr>
          <w:rFonts w:hint="eastAsia" w:ascii="宋体" w:hAnsi="宋体" w:eastAsia="宋体" w:cs="宋体"/>
          <w:bCs/>
          <w:color w:val="auto"/>
          <w:sz w:val="24"/>
          <w:highlight w:val="none"/>
        </w:rPr>
        <w:t>——————————————————————（页码）</w:t>
      </w:r>
    </w:p>
    <w:p>
      <w:pPr>
        <w:pStyle w:val="6"/>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Chars="175"/>
        <w:jc w:val="both"/>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）投标报价明细表————————————————————（页码）</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left="0" w:leftChars="0" w:right="0" w:rightChars="0" w:firstLine="482"/>
        <w:jc w:val="both"/>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482"/>
        <w:outlineLvl w:val="1"/>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left="0" w:leftChars="0" w:firstLine="0" w:firstLineChars="0"/>
        <w:rPr>
          <w:rFonts w:hint="eastAsia" w:ascii="宋体" w:hAnsi="宋体" w:eastAsia="宋体" w:cs="宋体"/>
          <w:b/>
          <w:bCs/>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color w:val="auto"/>
          <w:sz w:val="24"/>
          <w:highlight w:val="none"/>
        </w:rPr>
        <w:t>投标函格式：</w:t>
      </w:r>
    </w:p>
    <w:p>
      <w:pPr>
        <w:keepNext w:val="0"/>
        <w:keepLines w:val="0"/>
        <w:pageBreakBefore w:val="0"/>
        <w:widowControl w:val="0"/>
        <w:kinsoku/>
        <w:wordWrap w:val="0"/>
        <w:overflowPunct w:val="0"/>
        <w:topLinePunct w:val="0"/>
        <w:autoSpaceDE w:val="0"/>
        <w:autoSpaceDN w:val="0"/>
        <w:bidi w:val="0"/>
        <w:snapToGrid w:val="0"/>
        <w:spacing w:before="156" w:beforeLines="50" w:after="50" w:line="360" w:lineRule="auto"/>
        <w:ind w:firstLine="562"/>
        <w:jc w:val="cente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投 标 函</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（投标人名称）提交资信商务及技术文件、报价文件正本各一份。</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3.本投标有效期自开标日起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4.如中标，本投标文件至本项目合同履行完毕止均保持有效，本投标人将按“招标文件”及政府采购法律、法规的规定履行合同责任和义务。</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5.投标人同意按照贵方要求提供与投标有关的一切数据或资料。</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6.与本投标有关的一切正式往来信函请寄：</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电话：</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投标人代表姓名：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银行帐号：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授权代表签字:</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color w:val="auto"/>
          <w:highlight w:val="none"/>
        </w:rPr>
      </w:pPr>
      <w:r>
        <w:rPr>
          <w:rFonts w:hint="eastAsia" w:ascii="宋体" w:hAnsi="宋体" w:eastAsia="宋体" w:cs="宋体"/>
          <w:color w:val="auto"/>
          <w:sz w:val="24"/>
          <w:highlight w:val="none"/>
        </w:rPr>
        <w:t xml:space="preserve">                                           日期:_____年___月___日</w:t>
      </w:r>
    </w:p>
    <w:p>
      <w:pPr>
        <w:pStyle w:val="27"/>
        <w:keepNext w:val="0"/>
        <w:keepLines w:val="0"/>
        <w:pageBreakBefore w:val="0"/>
        <w:widowControl w:val="0"/>
        <w:kinsoku/>
        <w:wordWrap w:val="0"/>
        <w:overflowPunct w:val="0"/>
        <w:topLinePunct w:val="0"/>
        <w:autoSpaceDE w:val="0"/>
        <w:autoSpaceDN w:val="0"/>
        <w:bidi w:val="0"/>
        <w:snapToGrid w:val="0"/>
        <w:spacing w:before="295" w:beforeLines="0" w:after="295" w:afterLines="0" w:line="360" w:lineRule="auto"/>
        <w:rPr>
          <w:rFonts w:hint="eastAsia" w:ascii="宋体" w:hAnsi="宋体" w:eastAsia="宋体" w:cs="宋体"/>
          <w:b/>
          <w:color w:val="auto"/>
          <w:highlight w:val="none"/>
        </w:rPr>
      </w:pPr>
    </w:p>
    <w:p>
      <w:pPr>
        <w:pStyle w:val="21"/>
        <w:keepNext w:val="0"/>
        <w:keepLines w:val="0"/>
        <w:pageBreakBefore w:val="0"/>
        <w:widowControl w:val="0"/>
        <w:kinsoku/>
        <w:wordWrap w:val="0"/>
        <w:overflowPunct w:val="0"/>
        <w:topLinePunct w:val="0"/>
        <w:autoSpaceDE w:val="0"/>
        <w:autoSpaceDN w:val="0"/>
        <w:bidi w:val="0"/>
        <w:spacing w:line="360" w:lineRule="auto"/>
        <w:ind w:firstLine="241"/>
        <w:rPr>
          <w:rFonts w:hint="eastAsia" w:ascii="宋体" w:hAnsi="宋体" w:eastAsia="宋体" w:cs="宋体"/>
          <w:b/>
          <w:color w:val="auto"/>
          <w:sz w:val="24"/>
          <w:highlight w:val="none"/>
        </w:rPr>
        <w:sectPr>
          <w:pgSz w:w="11906" w:h="16838"/>
          <w:pgMar w:top="1134" w:right="1134" w:bottom="1020" w:left="1134" w:header="851" w:footer="992" w:gutter="0"/>
          <w:pgNumType w:fmt="decimal"/>
          <w:cols w:space="720" w:num="1"/>
          <w:docGrid w:type="lines" w:linePitch="312" w:charSpace="0"/>
        </w:sectPr>
      </w:pPr>
    </w:p>
    <w:p>
      <w:pPr>
        <w:widowControl w:val="0"/>
        <w:numPr>
          <w:ilvl w:val="0"/>
          <w:numId w:val="15"/>
        </w:numPr>
        <w:wordWrap w:val="0"/>
        <w:snapToGrid w:val="0"/>
        <w:spacing w:before="0" w:beforeLines="0" w:after="10" w:afterLines="0" w:line="24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开标一览表</w:t>
      </w:r>
    </w:p>
    <w:p>
      <w:pPr>
        <w:pageBreakBefore w:val="0"/>
        <w:widowControl w:val="0"/>
        <w:numPr>
          <w:ilvl w:val="0"/>
          <w:numId w:val="0"/>
        </w:numPr>
        <w:wordWrap w:val="0"/>
        <w:topLinePunct w:val="0"/>
        <w:bidi w:val="0"/>
        <w:snapToGrid w:val="0"/>
        <w:spacing w:before="10" w:after="10"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开标一览表</w:t>
      </w:r>
    </w:p>
    <w:p>
      <w:pPr>
        <w:pStyle w:val="2"/>
        <w:numPr>
          <w:ilvl w:val="0"/>
          <w:numId w:val="0"/>
        </w:numPr>
        <w:rPr>
          <w:rFonts w:hint="eastAsia"/>
          <w:color w:val="auto"/>
        </w:rPr>
      </w:pPr>
    </w:p>
    <w:p>
      <w:pPr>
        <w:wordWrap w:val="0"/>
        <w:snapToGrid w:val="0"/>
        <w:spacing w:before="50" w:after="50" w:line="360" w:lineRule="auto"/>
        <w:ind w:firstLine="480"/>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项目编号：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 xml:space="preserve"> </w:t>
      </w:r>
    </w:p>
    <w:p>
      <w:pPr>
        <w:wordWrap w:val="0"/>
        <w:snapToGrid w:val="0"/>
        <w:spacing w:before="50" w:after="50" w:line="360" w:lineRule="auto"/>
        <w:rPr>
          <w:rFonts w:ascii="宋体" w:hAnsi="宋体"/>
          <w:color w:val="auto"/>
          <w:sz w:val="24"/>
          <w:highlight w:val="none"/>
        </w:rPr>
      </w:pPr>
      <w:r>
        <w:rPr>
          <w:rFonts w:hint="eastAsia" w:ascii="宋体" w:hAnsi="宋体"/>
          <w:color w:val="auto"/>
          <w:sz w:val="24"/>
          <w:highlight w:val="none"/>
        </w:rPr>
        <w:t xml:space="preserve">    投标人名称：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金额单位：人民币（元）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5535"/>
        <w:gridCol w:w="915"/>
        <w:gridCol w:w="1725"/>
        <w:gridCol w:w="1695"/>
        <w:gridCol w:w="1890"/>
        <w:gridCol w:w="1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71"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napToGrid w:val="0"/>
              <w:spacing w:before="50" w:after="50"/>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535" w:type="dxa"/>
            <w:tcBorders>
              <w:top w:val="single" w:color="auto" w:sz="4" w:space="0"/>
              <w:left w:val="single" w:color="auto" w:sz="4" w:space="0"/>
              <w:bottom w:val="single" w:color="auto" w:sz="4" w:space="0"/>
            </w:tcBorders>
            <w:shd w:val="clear" w:color="auto" w:fill="EEECE1"/>
            <w:noWrap w:val="0"/>
            <w:vAlign w:val="center"/>
          </w:tcPr>
          <w:p>
            <w:pPr>
              <w:snapToGrid w:val="0"/>
              <w:spacing w:before="50" w:after="50"/>
              <w:ind w:firstLine="0" w:firstLineChars="0"/>
              <w:jc w:val="center"/>
              <w:rPr>
                <w:rFonts w:hint="eastAsia" w:ascii="宋体" w:hAnsi="宋体" w:eastAsia="宋体" w:cs="宋体"/>
                <w:b/>
                <w:color w:val="auto"/>
                <w:sz w:val="24"/>
                <w:highlight w:val="none"/>
              </w:rPr>
            </w:pPr>
            <w:r>
              <w:rPr>
                <w:rFonts w:hint="eastAsia" w:ascii="宋体" w:hAnsi="宋体" w:cs="宋体"/>
                <w:b/>
                <w:color w:val="auto"/>
                <w:kern w:val="0"/>
                <w:sz w:val="24"/>
                <w:highlight w:val="none"/>
              </w:rPr>
              <w:t>采购内容</w:t>
            </w:r>
          </w:p>
        </w:tc>
        <w:tc>
          <w:tcPr>
            <w:tcW w:w="915" w:type="dxa"/>
            <w:tcBorders>
              <w:top w:val="single" w:color="auto" w:sz="4" w:space="0"/>
              <w:left w:val="single" w:color="auto" w:sz="4" w:space="0"/>
              <w:bottom w:val="single" w:color="auto" w:sz="4" w:space="0"/>
            </w:tcBorders>
            <w:shd w:val="clear" w:color="auto" w:fill="EEECE1"/>
            <w:noWrap w:val="0"/>
            <w:vAlign w:val="center"/>
          </w:tcPr>
          <w:p>
            <w:pPr>
              <w:snapToGrid w:val="0"/>
              <w:spacing w:before="50" w:after="50"/>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72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napToGrid w:val="0"/>
              <w:spacing w:before="50" w:after="50"/>
              <w:ind w:firstLine="0" w:firstLineChars="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租赁服务期限</w:t>
            </w:r>
          </w:p>
        </w:tc>
        <w:tc>
          <w:tcPr>
            <w:tcW w:w="169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napToGrid w:val="0"/>
              <w:spacing w:before="50" w:after="50"/>
              <w:ind w:firstLine="0" w:firstLineChars="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投标报价</w:t>
            </w:r>
          </w:p>
        </w:tc>
        <w:tc>
          <w:tcPr>
            <w:tcW w:w="189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napToGrid w:val="0"/>
              <w:spacing w:before="50" w:after="50"/>
              <w:ind w:firstLine="0" w:firstLineChars="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项目负责人</w:t>
            </w:r>
          </w:p>
        </w:tc>
        <w:tc>
          <w:tcPr>
            <w:tcW w:w="132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napToGrid w:val="0"/>
              <w:spacing w:before="50" w:after="50"/>
              <w:ind w:firstLine="0" w:firstLineChars="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完工期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02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5535" w:type="dxa"/>
            <w:tcBorders>
              <w:top w:val="single" w:color="auto" w:sz="4" w:space="0"/>
              <w:left w:val="single" w:color="auto" w:sz="4" w:space="0"/>
              <w:bottom w:val="single" w:color="auto" w:sz="4" w:space="0"/>
            </w:tcBorders>
            <w:noWrap w:val="0"/>
            <w:vAlign w:val="center"/>
          </w:tcPr>
          <w:p>
            <w:pPr>
              <w:shd w:val="clear" w:color="auto" w:fill="FFFFFF"/>
              <w:spacing w:line="400" w:lineRule="exac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年电子监控系统、信号协调控制系统租赁服务</w:t>
            </w:r>
          </w:p>
        </w:tc>
        <w:tc>
          <w:tcPr>
            <w:tcW w:w="915" w:type="dxa"/>
            <w:tcBorders>
              <w:top w:val="single" w:color="auto" w:sz="4" w:space="0"/>
              <w:left w:val="single" w:color="auto" w:sz="4" w:space="0"/>
              <w:bottom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一项</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五年</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480"/>
              <w:rPr>
                <w:rFonts w:hint="eastAsia" w:ascii="宋体" w:hAnsi="宋体" w:eastAsia="宋体" w:cs="宋体"/>
                <w:color w:val="auto"/>
                <w:sz w:val="24"/>
                <w:highlight w:val="none"/>
              </w:rPr>
            </w:pPr>
          </w:p>
        </w:tc>
        <w:tc>
          <w:tcPr>
            <w:tcW w:w="1890" w:type="dxa"/>
            <w:tcBorders>
              <w:top w:val="single" w:color="auto" w:sz="4" w:space="0"/>
              <w:left w:val="single" w:color="auto" w:sz="4" w:space="0"/>
              <w:right w:val="single" w:color="auto" w:sz="4" w:space="0"/>
            </w:tcBorders>
            <w:noWrap w:val="0"/>
            <w:vAlign w:val="center"/>
          </w:tcPr>
          <w:p>
            <w:pPr>
              <w:snapToGrid w:val="0"/>
              <w:spacing w:before="50" w:after="50"/>
              <w:ind w:firstLine="480"/>
              <w:rPr>
                <w:rFonts w:hint="eastAsia" w:ascii="宋体" w:hAnsi="宋体" w:eastAsia="宋体" w:cs="宋体"/>
                <w:color w:val="auto"/>
                <w:sz w:val="24"/>
                <w:highlight w:val="none"/>
              </w:rPr>
            </w:pPr>
          </w:p>
        </w:tc>
        <w:tc>
          <w:tcPr>
            <w:tcW w:w="1325" w:type="dxa"/>
            <w:tcBorders>
              <w:top w:val="single" w:color="auto" w:sz="4" w:space="0"/>
              <w:left w:val="single" w:color="auto" w:sz="4" w:space="0"/>
              <w:right w:val="single" w:color="auto" w:sz="4" w:space="0"/>
            </w:tcBorders>
            <w:noWrap w:val="0"/>
            <w:vAlign w:val="center"/>
          </w:tcPr>
          <w:p>
            <w:pPr>
              <w:snapToGrid w:val="0"/>
              <w:spacing w:before="50" w:after="50"/>
              <w:ind w:firstLine="48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74" w:hRule="atLeast"/>
          <w:jc w:val="center"/>
        </w:trPr>
        <w:tc>
          <w:tcPr>
            <w:tcW w:w="13790" w:type="dxa"/>
            <w:gridSpan w:val="7"/>
            <w:tcBorders>
              <w:top w:val="single" w:color="auto" w:sz="4" w:space="0"/>
              <w:left w:val="single" w:color="auto" w:sz="4" w:space="0"/>
              <w:bottom w:val="single" w:color="auto" w:sz="4" w:space="0"/>
            </w:tcBorders>
            <w:noWrap w:val="0"/>
            <w:vAlign w:val="center"/>
          </w:tcPr>
          <w:p>
            <w:pPr>
              <w:wordWrap w:val="0"/>
              <w:snapToGrid w:val="0"/>
              <w:spacing w:before="50" w:after="5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合计金额大写：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eastAsia="zh-CN"/>
              </w:rPr>
              <w:t>元整</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小写：</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eastAsia="zh-CN"/>
              </w:rPr>
              <w:t>元</w:t>
            </w:r>
          </w:p>
        </w:tc>
      </w:tr>
    </w:tbl>
    <w:p>
      <w:pPr>
        <w:snapToGrid w:val="0"/>
        <w:spacing w:before="50" w:after="50" w:line="360" w:lineRule="auto"/>
        <w:ind w:firstLine="480"/>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注</w:t>
      </w:r>
      <w:r>
        <w:rPr>
          <w:rFonts w:ascii="宋体" w:hAnsi="宋体"/>
          <w:color w:val="auto"/>
          <w:sz w:val="24"/>
          <w:highlight w:val="none"/>
        </w:rPr>
        <w:t xml:space="preserve">: </w:t>
      </w:r>
    </w:p>
    <w:p>
      <w:pPr>
        <w:snapToGrid w:val="0"/>
        <w:spacing w:line="400" w:lineRule="exact"/>
        <w:ind w:firstLine="480"/>
        <w:rPr>
          <w:rFonts w:hint="eastAsia" w:ascii="宋体" w:hAnsi="宋体"/>
          <w:color w:val="auto"/>
          <w:sz w:val="24"/>
          <w:highlight w:val="none"/>
        </w:rPr>
      </w:pPr>
      <w:r>
        <w:rPr>
          <w:rFonts w:hint="eastAsia" w:ascii="宋体" w:hAnsi="宋体"/>
          <w:color w:val="auto"/>
          <w:sz w:val="24"/>
          <w:highlight w:val="none"/>
        </w:rPr>
        <w:t xml:space="preserve">   1、报价一经涂改，应在涂改处加盖单位公章或者由法定代表人或授权委托人签字或盖章，否则其投标作无效标处理。</w:t>
      </w:r>
    </w:p>
    <w:p>
      <w:pPr>
        <w:snapToGrid w:val="0"/>
        <w:spacing w:line="400" w:lineRule="exact"/>
        <w:ind w:firstLine="480"/>
        <w:rPr>
          <w:rFonts w:hint="eastAsia" w:ascii="宋体" w:hAnsi="宋体" w:eastAsia="宋体" w:cs="宋体"/>
          <w:color w:val="auto"/>
          <w:sz w:val="24"/>
          <w:highlight w:val="none"/>
        </w:rPr>
      </w:pPr>
      <w:r>
        <w:rPr>
          <w:rFonts w:hint="eastAsia" w:ascii="宋体" w:hAnsi="宋体"/>
          <w:color w:val="auto"/>
          <w:sz w:val="24"/>
          <w:highlight w:val="none"/>
        </w:rPr>
        <w:t xml:space="preserve">   </w:t>
      </w:r>
      <w:r>
        <w:rPr>
          <w:rFonts w:hint="eastAsia" w:ascii="宋体" w:hAnsi="宋体" w:eastAsia="宋体" w:cs="宋体"/>
          <w:color w:val="auto"/>
          <w:sz w:val="24"/>
          <w:highlight w:val="none"/>
        </w:rPr>
        <w:t>2、投标报价包括提供相关服务的管理、设备、人员、耗材、利润、税金等全部费用。在合同服务期间内不得违反国家相关政策规定。</w:t>
      </w:r>
    </w:p>
    <w:p>
      <w:pPr>
        <w:snapToGrid w:val="0"/>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3</w:t>
      </w:r>
      <w:r>
        <w:rPr>
          <w:rFonts w:hint="eastAsia" w:ascii="宋体" w:hAnsi="宋体" w:eastAsia="宋体" w:cs="宋体"/>
          <w:color w:val="auto"/>
          <w:sz w:val="24"/>
          <w:highlight w:val="none"/>
        </w:rPr>
        <w:t>、投标费用包括项目实施所需的人工费、服务费、运输费、安装调试费、制作标书费、税费及其他一切费用。</w:t>
      </w:r>
    </w:p>
    <w:p>
      <w:pPr>
        <w:snapToGrid w:val="0"/>
        <w:spacing w:line="400" w:lineRule="exact"/>
        <w:rPr>
          <w:rFonts w:hint="eastAsia" w:ascii="宋体" w:hAnsi="宋体"/>
          <w:color w:val="auto"/>
          <w:sz w:val="24"/>
          <w:highlight w:val="none"/>
        </w:rPr>
      </w:pPr>
    </w:p>
    <w:p>
      <w:pPr>
        <w:snapToGrid w:val="0"/>
        <w:spacing w:before="50" w:after="50" w:line="400" w:lineRule="exact"/>
        <w:ind w:left="-3" w:leftChars="-72" w:right="-817" w:rightChars="-389" w:hanging="148" w:hangingChars="62"/>
        <w:rPr>
          <w:rFonts w:ascii="宋体" w:hAnsi="宋体"/>
          <w:color w:val="auto"/>
          <w:sz w:val="24"/>
          <w:szCs w:val="20"/>
          <w:highlight w:val="none"/>
          <w:u w:val="single"/>
        </w:rPr>
      </w:pPr>
      <w:r>
        <w:rPr>
          <w:rFonts w:hint="eastAsia" w:ascii="宋体" w:hAnsi="宋体"/>
          <w:color w:val="auto"/>
          <w:sz w:val="24"/>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2964180</wp:posOffset>
                </wp:positionH>
                <wp:positionV relativeFrom="paragraph">
                  <wp:posOffset>215900</wp:posOffset>
                </wp:positionV>
                <wp:extent cx="2553335" cy="0"/>
                <wp:effectExtent l="0" t="4445" r="0" b="5080"/>
                <wp:wrapNone/>
                <wp:docPr id="5" name="自选图形 2"/>
                <wp:cNvGraphicFramePr/>
                <a:graphic xmlns:a="http://schemas.openxmlformats.org/drawingml/2006/main">
                  <a:graphicData uri="http://schemas.microsoft.com/office/word/2010/wordprocessingShape">
                    <wps:wsp>
                      <wps:cNvCnPr/>
                      <wps:spPr>
                        <a:xfrm>
                          <a:off x="0" y="0"/>
                          <a:ext cx="25533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233.4pt;margin-top:17pt;height:0pt;width:201.05pt;z-index:251663360;mso-width-relative:page;mso-height-relative:page;" filled="f" stroked="t" coordsize="21600,21600" o:gfxdata="UEsDBAoAAAAAAIdO4kAAAAAAAAAAAAAAAAAEAAAAZHJzL1BLAwQUAAAACACHTuJAmHHHb9cAAAAJ AQAADwAAAGRycy9kb3ducmV2LnhtbE2PwU7DMBBE70j8g7VIXBC1U0qUhjhVVYkDR9pKXN14SQLx OoqdpvTrWdRDOc7OaPZNsTq5ThxxCK0nDclMgUCqvG2p1rDfvT5mIEI0ZE3nCTX8YIBVeXtTmNz6 id7xuI214BIKudHQxNjnUoaqQWfCzPdI7H36wZnIcqilHczE5a6Tc6VS6UxL/KExPW4arL63o9OA YXxO1Hrp6v3beXr4mJ+/pn6n9f1dol5ARDzFaxj+8BkdSmY6+JFsEJ2GRZoyetTwtOBNHMjSbAni cDnIspD/F5S/UEsDBBQAAAAIAIdO4kC4COis8wEAAOMDAAAOAAAAZHJzL2Uyb0RvYy54bWytU82O 0zAQviPxDpbvNG2qIoia7qFluSCoBDzA1HESS/6Tx9u0N26IZ+DGkXeAt1lpeQvGTrcLy6UHcnDG nplv5vs8Xl4djGZ7GVA5W/PZZMqZtMI1ynY1//jh+tkLzjCCbUA7K2t+lMivVk+fLAdfydL1Tjcy MAKxWA2+5n2MvioKFL00gBPnpSVn64KBSNvQFU2AgdCNLsrp9HkxuND44IREpNPN6OQnxHAJoGtb JeTGiRsjbRxRg9QQiRL2yiNf5W7bVor4rm1RRqZrTkxjXqkI2bu0FqslVF0A3ytxagEuaeERJwPK UtEz1AYisJug/oEySgSHro0T4UwxEsmKEIvZ9JE273vwMnMhqdGfRcf/Byve7reBqabmC84sGLrw u8/ff336cvv15+2Pb6xMCg0eKwpc22047dBvQ6J7aINJfyLCDlnV41lVeYhM0GG5WMznc4IX977i IdEHjK+lMywZNccYQHV9XDtr6e5cmGVVYf8GI5WmxPuEVFVbNtT85aJM4ECz2NIMkGk88UHb5Vx0 WjXXSuuUgaHbrXVge0jzkL9EkHD/CktFNoD9GJdd46T0EppXtmHx6EkpSw+EpxaMbDjTkt5TsggQ qghKXxJJpbWlDpLGo6rJ2rnmmMXO53T3ucfTnKbh+nOfsx/e5uo3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mHHHb9cAAAAJAQAADwAAAAAAAAABACAAAAAiAAAAZHJzL2Rvd25yZXYueG1sUEsBAhQA FAAAAAgAh07iQLgI6KzzAQAA4wMAAA4AAAAAAAAAAQAgAAAAJgEAAGRycy9lMm9Eb2MueG1sUEsF BgAAAAAGAAYAWQEAAIsFAAAAAA== ">
                <v:fill on="f" focussize="0,0"/>
                <v:stroke color="#000000" joinstyle="round"/>
                <v:imagedata o:title=""/>
                <o:lock v:ext="edit" aspectratio="f"/>
              </v:shape>
            </w:pict>
          </mc:Fallback>
        </mc:AlternateConten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法定代表人或被授权人签字（或盖章）：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napToGrid w:val="0"/>
        <w:spacing w:before="50" w:after="50" w:line="400" w:lineRule="exact"/>
        <w:ind w:left="-3" w:leftChars="-72" w:right="-817" w:rightChars="-389" w:hanging="148" w:hangingChars="62"/>
        <w:rPr>
          <w:rFonts w:hint="eastAsia" w:ascii="宋体" w:hAnsi="宋体"/>
          <w:color w:val="auto"/>
          <w:sz w:val="24"/>
          <w:highlight w:val="none"/>
        </w:rPr>
      </w:pPr>
      <w:r>
        <w:rPr>
          <w:rFonts w:hint="eastAsia" w:ascii="宋体" w:hAnsi="宋体"/>
          <w:color w:val="auto"/>
          <w:sz w:val="24"/>
          <w:highlight w:val="none"/>
          <w:lang w:val="zh-CN"/>
        </w:rPr>
        <mc:AlternateContent>
          <mc:Choice Requires="wps">
            <w:drawing>
              <wp:anchor distT="0" distB="0" distL="114300" distR="114300" simplePos="0" relativeHeight="251664384" behindDoc="0" locked="0" layoutInCell="1" allowOverlap="1">
                <wp:simplePos x="0" y="0"/>
                <wp:positionH relativeFrom="column">
                  <wp:posOffset>1678305</wp:posOffset>
                </wp:positionH>
                <wp:positionV relativeFrom="paragraph">
                  <wp:posOffset>225425</wp:posOffset>
                </wp:positionV>
                <wp:extent cx="2553335" cy="0"/>
                <wp:effectExtent l="0" t="4445" r="0" b="5080"/>
                <wp:wrapNone/>
                <wp:docPr id="6" name="自选图形 3"/>
                <wp:cNvGraphicFramePr/>
                <a:graphic xmlns:a="http://schemas.openxmlformats.org/drawingml/2006/main">
                  <a:graphicData uri="http://schemas.microsoft.com/office/word/2010/wordprocessingShape">
                    <wps:wsp>
                      <wps:cNvCnPr/>
                      <wps:spPr>
                        <a:xfrm>
                          <a:off x="0" y="0"/>
                          <a:ext cx="25533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32.15pt;margin-top:17.75pt;height:0pt;width:201.05pt;z-index:251664384;mso-width-relative:page;mso-height-relative:page;" filled="f" stroked="t" coordsize="21600,21600" o:gfxdata="UEsDBAoAAAAAAIdO4kAAAAAAAAAAAAAAAAAEAAAAZHJzL1BLAwQUAAAACACHTuJAUa7gqdgAAAAJ AQAADwAAAGRycy9kb3ducmV2LnhtbE2Py07DMBBF90j9B2sqsUHUTtpYbYhTISQWLPuQ2LrxkATi cRQ7TenX14gFLGfm6M65xfZiO3bGwbeOFCQLAQypcqalWsHx8Pq4BuaDJqM7R6jgGz1sy9ldoXPj JtrheR9qFkPI51pBE0Kfc+6rBq32C9cjxduHG6wOcRxqbgY9xXDb8VQIya1uKX5odI8vDVZf+9Eq QD9miXje2Pr4dp0e3tPr59QflLqfJ+IJWMBL+IPhRz+qQxmdTm4k41mnIJWrZUQVLLMMWASklCtg p98FLwv+v0F5A1BLAwQUAAAACACHTuJA8BDsRPQBAADjAwAADgAAAGRycy9lMm9Eb2MueG1srVNL jhMxEN0jcQfLe9L5KCNopTOLhGGDIBJwgIrtTlvyTy5POtmxQ5yBHUvuALcZCW5B2Z3JwLDJgl64 y66qV/Wey4vrgzVsryJq7xo+GY05U054qd2u4R/e3zx7zhkmcBKMd6rhR4X8evn0yaIPtZr6zhup IiMQh3UfGt6lFOqqQtEpCzjyQTlytj5aSLSNu0pG6Andmmo6Hl9VvY8yRC8UIp2uByc/IcZLAH3b aqHWXtxa5dKAGpWBRJSw0wH5snTbtkqkt22LKjHTcGKaykpFyN7mtVouoN5FCJ0WpxbgkhYecbKg HRU9Q60hAbuN+h8oq0X06Ns0Et5WA5GiCLGYjB9p866DoAoXkhrDWXT8f7DizX4TmZYNv+LMgaUL //np26+Pn+++/Lj7/pXNskJ9wJoCV24TTzsMm5jpHtpo85+IsENR9XhWVR0SE3Q4nc9ns9mcM3Hv qx4SQ8T0SnnLstFwTBH0rksr7xzdnY+ToirsX2Oi0pR4n5CrGsf6hr+YTzM40Cy2NANk2kB80O1K Lnqj5Y02Jmdg3G1XJrI95HkoXyZIuH+F5SJrwG6IK65hUjoF8qWTLB0DKeXogfDcglWSM6PoPWWL AKFOoM0lkVTaOOogazyomq2tl8cidjmnuy89nuY0D9ef+5L98DaXvwF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BlBAAAW0NvbnRlbnRfVHlwZXNd LnhtbFBLAQIUAAoAAAAAAIdO4kAAAAAAAAAAAAAAAAAGAAAAAAAAAAAAEAAAAEcDAABfcmVscy9Q SwECFAAUAAAACACHTuJAihRmPNEAAACUAQAACwAAAAAAAAABACAAAABrAwAAX3JlbHMvLnJlbHNQ SwECFAAKAAAAAACHTuJAAAAAAAAAAAAAAAAABAAAAAAAAAAAABAAAAAAAAAAZHJzL1BLAQIUABQA AAAIAIdO4kBRruCp2AAAAAkBAAAPAAAAAAAAAAEAIAAAACIAAABkcnMvZG93bnJldi54bWxQSwEC FAAUAAAACACHTuJA8BDsRPQBAADjAwAADgAAAAAAAAABACAAAAAnAQAAZHJzL2Uyb0RvYy54bWxQ SwUGAAAAAAYABgBZAQAAjQUAAAAA ">
                <v:fill on="f" focussize="0,0"/>
                <v:stroke color="#000000" joinstyle="round"/>
                <v:imagedata o:title=""/>
                <o:lock v:ext="edit" aspectratio="f"/>
              </v:shape>
            </w:pict>
          </mc:Fallback>
        </mc:AlternateConten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投标人名称（盖章）</w:t>
      </w:r>
      <w:r>
        <w:rPr>
          <w:rFonts w:hint="eastAsia" w:ascii="宋体" w:hAnsi="宋体"/>
          <w:color w:val="auto"/>
          <w:sz w:val="24"/>
          <w:highlight w:val="none"/>
          <w:u w:val="none"/>
        </w:rPr>
        <w:t>：</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日期：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21"/>
        <w:ind w:firstLine="0" w:firstLineChars="0"/>
        <w:rPr>
          <w:rFonts w:hint="eastAsia" w:ascii="宋体" w:hAnsi="宋体" w:eastAsia="宋体" w:cs="宋体"/>
          <w:b/>
          <w:color w:val="auto"/>
          <w:sz w:val="24"/>
          <w:highlight w:val="none"/>
        </w:rPr>
        <w:sectPr>
          <w:pgSz w:w="16838" w:h="11906" w:orient="landscape"/>
          <w:pgMar w:top="1134" w:right="1134" w:bottom="1134" w:left="1020" w:header="851" w:footer="992" w:gutter="0"/>
          <w:pgNumType w:fmt="decimal"/>
          <w:cols w:space="720" w:num="1"/>
          <w:docGrid w:type="lines" w:linePitch="312" w:charSpace="0"/>
        </w:sectPr>
      </w:pPr>
    </w:p>
    <w:p>
      <w:pPr>
        <w:keepNext w:val="0"/>
        <w:keepLines w:val="0"/>
        <w:pageBreakBefore w:val="0"/>
        <w:widowControl w:val="0"/>
        <w:kinsoku/>
        <w:wordWrap w:val="0"/>
        <w:overflowPunct w:val="0"/>
        <w:topLinePunct w:val="0"/>
        <w:autoSpaceDE w:val="0"/>
        <w:autoSpaceDN w:val="0"/>
        <w:bidi w:val="0"/>
        <w:snapToGrid w:val="0"/>
        <w:spacing w:before="50" w:after="50" w:line="360" w:lineRule="auto"/>
        <w:rPr>
          <w:rFonts w:hint="eastAsia" w:ascii="宋体" w:hAnsi="宋体" w:eastAsia="宋体" w:cs="宋体"/>
          <w:color w:val="auto"/>
          <w:spacing w:val="20"/>
          <w:sz w:val="24"/>
          <w:highlight w:val="none"/>
        </w:rPr>
      </w:pPr>
      <w:r>
        <w:rPr>
          <w:rFonts w:hint="eastAsia" w:ascii="宋体" w:hAnsi="宋体" w:eastAsia="宋体" w:cs="宋体"/>
          <w:b/>
          <w:color w:val="auto"/>
          <w:kern w:val="2"/>
          <w:sz w:val="24"/>
          <w:szCs w:val="24"/>
          <w:highlight w:val="none"/>
          <w:lang w:val="en-US" w:eastAsia="zh-CN" w:bidi="ar-SA"/>
        </w:rPr>
        <w:t xml:space="preserve">5.投标报价明细表格式：     </w:t>
      </w:r>
      <w:r>
        <w:rPr>
          <w:rFonts w:hint="eastAsia" w:ascii="宋体" w:hAnsi="宋体" w:eastAsia="宋体" w:cs="宋体"/>
          <w:b/>
          <w:color w:val="auto"/>
          <w:highlight w:val="none"/>
        </w:rPr>
        <w:t xml:space="preserve"> </w:t>
      </w:r>
    </w:p>
    <w:p>
      <w:pPr>
        <w:pageBreakBefore w:val="0"/>
        <w:widowControl w:val="0"/>
        <w:numPr>
          <w:ilvl w:val="0"/>
          <w:numId w:val="0"/>
        </w:numPr>
        <w:wordWrap w:val="0"/>
        <w:topLinePunct w:val="0"/>
        <w:bidi w:val="0"/>
        <w:snapToGrid w:val="0"/>
        <w:spacing w:before="10" w:after="10"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投标报价明细表</w:t>
      </w:r>
    </w:p>
    <w:p>
      <w:pPr>
        <w:pStyle w:val="27"/>
        <w:pageBreakBefore w:val="0"/>
        <w:widowControl w:val="0"/>
        <w:wordWrap w:val="0"/>
        <w:topLinePunct w:val="0"/>
        <w:bidi w:val="0"/>
        <w:snapToGrid w:val="0"/>
        <w:spacing w:before="0" w:beforeLines="0" w:after="124" w:afterLines="0" w:line="24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eastAsia="zh-CN"/>
        </w:rPr>
        <w:t>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Style w:val="27"/>
        <w:pageBreakBefore w:val="0"/>
        <w:widowControl w:val="0"/>
        <w:wordWrap w:val="0"/>
        <w:topLinePunct w:val="0"/>
        <w:bidi w:val="0"/>
        <w:snapToGrid w:val="0"/>
        <w:spacing w:before="0" w:beforeLines="0" w:after="124" w:afterLines="0" w:line="240" w:lineRule="auto"/>
        <w:rPr>
          <w:rFonts w:hint="eastAsia" w:ascii="宋体" w:hAnsi="宋体" w:eastAsia="宋体" w:cs="宋体"/>
          <w:color w:val="auto"/>
          <w:sz w:val="30"/>
          <w:highlight w:val="none"/>
        </w:rPr>
      </w:pPr>
      <w:r>
        <w:rPr>
          <w:rFonts w:hint="eastAsia"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金额单位：人民币（元）</w:t>
      </w:r>
    </w:p>
    <w:tbl>
      <w:tblPr>
        <w:tblStyle w:val="48"/>
        <w:tblW w:w="0" w:type="auto"/>
        <w:jc w:val="center"/>
        <w:tblLayout w:type="fixed"/>
        <w:tblCellMar>
          <w:top w:w="0" w:type="dxa"/>
          <w:left w:w="0" w:type="dxa"/>
          <w:bottom w:w="0" w:type="dxa"/>
          <w:right w:w="0" w:type="dxa"/>
        </w:tblCellMar>
      </w:tblPr>
      <w:tblGrid>
        <w:gridCol w:w="828"/>
        <w:gridCol w:w="13"/>
        <w:gridCol w:w="3636"/>
        <w:gridCol w:w="61"/>
        <w:gridCol w:w="2291"/>
        <w:gridCol w:w="19"/>
        <w:gridCol w:w="2434"/>
      </w:tblGrid>
      <w:tr>
        <w:tblPrEx>
          <w:tblCellMar>
            <w:top w:w="0" w:type="dxa"/>
            <w:left w:w="0" w:type="dxa"/>
            <w:bottom w:w="0" w:type="dxa"/>
            <w:right w:w="0" w:type="dxa"/>
          </w:tblCellMar>
        </w:tblPrEx>
        <w:trPr>
          <w:wBefore w:w="0" w:type="dxa"/>
          <w:wAfter w:w="0" w:type="dxa"/>
          <w:trHeight w:val="452" w:hRule="atLeast"/>
          <w:jc w:val="center"/>
        </w:trPr>
        <w:tc>
          <w:tcPr>
            <w:tcW w:w="928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32"/>
                <w:szCs w:val="32"/>
              </w:rPr>
            </w:pPr>
            <w:r>
              <w:rPr>
                <w:rFonts w:hint="eastAsia" w:ascii="宋体" w:hAnsi="宋体" w:cs="宋体"/>
                <w:b/>
                <w:color w:val="auto"/>
                <w:kern w:val="0"/>
                <w:sz w:val="32"/>
                <w:szCs w:val="32"/>
                <w:lang w:bidi="ar"/>
              </w:rPr>
              <w:t>（一）交通信号协调疏导系统</w:t>
            </w:r>
          </w:p>
        </w:tc>
      </w:tr>
      <w:tr>
        <w:tblPrEx>
          <w:tblCellMar>
            <w:top w:w="0" w:type="dxa"/>
            <w:left w:w="0" w:type="dxa"/>
            <w:bottom w:w="0" w:type="dxa"/>
            <w:right w:w="0" w:type="dxa"/>
          </w:tblCellMar>
        </w:tblPrEx>
        <w:trPr>
          <w:wBefore w:w="0" w:type="dxa"/>
          <w:wAfter w:w="0" w:type="dxa"/>
          <w:trHeight w:val="6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地点</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单点单月租赁服务费</w:t>
            </w: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单点五年总租赁服务费</w:t>
            </w: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G525国道湖盐线口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2</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G525国道城红路口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3</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百禾路小木桥路口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4</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百禾路百左线路口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5</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环城南路勤俭路口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6</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环城南路秀水路口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7</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曲秀路环城南路口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8</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楞港路环城南路口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9</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联翔路环城南路口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10</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环城南路新桥路口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11</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枣园路中兴路口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12</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枣园路城西路口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13</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枣园路长安路口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14</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枣园路谢家路口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15</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枣园路城东路口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16</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sz w:val="24"/>
              </w:rPr>
            </w:pPr>
            <w:r>
              <w:rPr>
                <w:rFonts w:hint="eastAsia" w:ascii="宋体" w:hAnsi="宋体" w:cs="宋体"/>
                <w:color w:val="auto"/>
                <w:kern w:val="0"/>
                <w:sz w:val="24"/>
                <w:lang w:bidi="ar"/>
              </w:rPr>
              <w:t>枣园路盐平塘东路口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kern w:val="0"/>
                <w:sz w:val="24"/>
                <w:lang w:bidi="ar"/>
              </w:rPr>
              <w:t>17</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color w:val="auto"/>
                <w:kern w:val="0"/>
                <w:sz w:val="24"/>
                <w:lang w:bidi="ar"/>
              </w:rPr>
            </w:pPr>
            <w:r>
              <w:rPr>
                <w:rFonts w:hint="eastAsia" w:ascii="宋体" w:hAnsi="宋体" w:cs="宋体"/>
                <w:color w:val="auto"/>
                <w:kern w:val="0"/>
                <w:sz w:val="24"/>
                <w:lang w:bidi="ar"/>
              </w:rPr>
              <w:t>盐于线振兴路口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533" w:hRule="atLeast"/>
          <w:jc w:val="center"/>
        </w:trPr>
        <w:tc>
          <w:tcPr>
            <w:tcW w:w="928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32"/>
                <w:szCs w:val="32"/>
              </w:rPr>
            </w:pPr>
            <w:r>
              <w:rPr>
                <w:rFonts w:hint="eastAsia" w:ascii="宋体" w:hAnsi="宋体" w:cs="宋体"/>
                <w:b/>
                <w:color w:val="auto"/>
                <w:kern w:val="0"/>
                <w:sz w:val="32"/>
                <w:szCs w:val="32"/>
                <w:lang w:bidi="ar"/>
              </w:rPr>
              <w:t>（二）电子警察系统</w:t>
            </w:r>
          </w:p>
        </w:tc>
      </w:tr>
      <w:tr>
        <w:tblPrEx>
          <w:tblCellMar>
            <w:top w:w="0" w:type="dxa"/>
            <w:left w:w="0" w:type="dxa"/>
            <w:bottom w:w="0" w:type="dxa"/>
            <w:right w:w="0" w:type="dxa"/>
          </w:tblCellMar>
        </w:tblPrEx>
        <w:trPr>
          <w:wBefore w:w="0" w:type="dxa"/>
          <w:wAfter w:w="0" w:type="dxa"/>
          <w:trHeight w:val="6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地点</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单点单月租赁服务费</w:t>
            </w: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单点五年总租赁服务费</w:t>
            </w: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盐于线振兴路口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堰山路翠屏路口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嘉盐线核海线路口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4</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嘉盐线凤凰大道路口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5</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翁金线核海线路口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6</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嘉盐线兴安路口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7</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嘉盐线核电大道口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8</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嘉南线东郊路口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9</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G525国道红益村口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10</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G525国道城红路口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11</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百禾路百左路口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12</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百禾路小木桥路口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13</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城东路海兴路</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14</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谢家路海兴路</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15</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滨海大道海兴路口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16</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新桥路环城南路口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17</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勤俭路秦山路口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18</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勤俭路海滨路口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19</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勤俭路城北路口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20</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出海路楞港路口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21</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海丰路谢家路口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22</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环城南路楞港路口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23</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滨海大道枣园路口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24</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城东路枣园路口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25</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盐平塘东路枣园路口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26</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谢家路枣园路口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27</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长安路枣园路口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28</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城西路枣园路口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29</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城东路海丰路口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30</w:t>
            </w:r>
          </w:p>
        </w:tc>
        <w:tc>
          <w:tcPr>
            <w:tcW w:w="3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长宁路庆丰路口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928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32"/>
                <w:szCs w:val="32"/>
              </w:rPr>
            </w:pPr>
            <w:r>
              <w:rPr>
                <w:rFonts w:hint="eastAsia" w:ascii="宋体" w:hAnsi="宋体" w:cs="宋体"/>
                <w:b/>
                <w:color w:val="auto"/>
                <w:kern w:val="0"/>
                <w:sz w:val="32"/>
                <w:szCs w:val="32"/>
                <w:lang w:bidi="ar"/>
              </w:rPr>
              <w:t>（三）不礼让行人抓拍</w:t>
            </w:r>
          </w:p>
        </w:tc>
      </w:tr>
      <w:tr>
        <w:tblPrEx>
          <w:tblCellMar>
            <w:top w:w="0" w:type="dxa"/>
            <w:left w:w="0" w:type="dxa"/>
            <w:bottom w:w="0" w:type="dxa"/>
            <w:right w:w="0" w:type="dxa"/>
          </w:tblCellMar>
        </w:tblPrEx>
        <w:trPr>
          <w:wBefore w:w="0" w:type="dxa"/>
          <w:wAfter w:w="0" w:type="dxa"/>
          <w:trHeight w:val="6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3636"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地点</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单点单月租赁服务费</w:t>
            </w: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单点五年总租赁服务费</w:t>
            </w: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3636"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新桥路体育馆门口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3636"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长安路华信花园西门口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3636"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长安路蓝天幼儿园</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4</w:t>
            </w:r>
          </w:p>
        </w:tc>
        <w:tc>
          <w:tcPr>
            <w:tcW w:w="3636"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长安路水云庄园东门北侧</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5</w:t>
            </w:r>
          </w:p>
        </w:tc>
        <w:tc>
          <w:tcPr>
            <w:tcW w:w="3636"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海丰路西官路口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6</w:t>
            </w:r>
          </w:p>
        </w:tc>
        <w:tc>
          <w:tcPr>
            <w:tcW w:w="3636"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滨海大道闻琴路口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jc w:val="center"/>
              <w:rPr>
                <w:rFonts w:hint="eastAsia"/>
                <w:color w:val="auto"/>
              </w:rPr>
            </w:pPr>
            <w:r>
              <w:rPr>
                <w:rFonts w:hint="eastAsia"/>
                <w:color w:val="auto"/>
              </w:rPr>
              <w:t>7</w:t>
            </w:r>
          </w:p>
        </w:tc>
        <w:tc>
          <w:tcPr>
            <w:tcW w:w="3636"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海丰路海港智慧家居城南门</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928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32"/>
                <w:szCs w:val="32"/>
              </w:rPr>
            </w:pPr>
            <w:r>
              <w:rPr>
                <w:rFonts w:hint="eastAsia" w:ascii="宋体" w:hAnsi="宋体" w:cs="宋体"/>
                <w:b/>
                <w:color w:val="auto"/>
                <w:kern w:val="0"/>
                <w:sz w:val="32"/>
                <w:szCs w:val="32"/>
                <w:lang w:bidi="ar"/>
              </w:rPr>
              <w:t>（四）非机动车违法抓拍系统</w:t>
            </w:r>
          </w:p>
        </w:tc>
      </w:tr>
      <w:tr>
        <w:tblPrEx>
          <w:tblCellMar>
            <w:top w:w="0" w:type="dxa"/>
            <w:left w:w="0" w:type="dxa"/>
            <w:bottom w:w="0" w:type="dxa"/>
            <w:right w:w="0" w:type="dxa"/>
          </w:tblCellMar>
        </w:tblPrEx>
        <w:trPr>
          <w:wBefore w:w="0" w:type="dxa"/>
          <w:wAfter w:w="0" w:type="dxa"/>
          <w:trHeight w:val="600" w:hRule="atLeast"/>
          <w:jc w:val="center"/>
        </w:trPr>
        <w:tc>
          <w:tcPr>
            <w:tcW w:w="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36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地点</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单点单月租赁服务费</w:t>
            </w: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单点五年总租赁服务费</w:t>
            </w:r>
          </w:p>
        </w:tc>
      </w:tr>
      <w:tr>
        <w:tblPrEx>
          <w:tblCellMar>
            <w:top w:w="0" w:type="dxa"/>
            <w:left w:w="0" w:type="dxa"/>
            <w:bottom w:w="0" w:type="dxa"/>
            <w:right w:w="0" w:type="dxa"/>
          </w:tblCellMar>
        </w:tblPrEx>
        <w:trPr>
          <w:wBefore w:w="0" w:type="dxa"/>
          <w:wAfter w:w="0" w:type="dxa"/>
          <w:trHeight w:val="400" w:hRule="atLeast"/>
          <w:jc w:val="center"/>
        </w:trPr>
        <w:tc>
          <w:tcPr>
            <w:tcW w:w="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36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kern w:val="0"/>
                <w:sz w:val="24"/>
                <w:lang w:bidi="ar"/>
              </w:rPr>
              <w:t>新桥路海丰路口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36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kern w:val="0"/>
                <w:sz w:val="24"/>
                <w:lang w:bidi="ar"/>
              </w:rPr>
              <w:t>新桥路城北路口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36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kern w:val="0"/>
                <w:sz w:val="24"/>
                <w:lang w:bidi="ar"/>
              </w:rPr>
              <w:t>枣园路城东路口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36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kern w:val="0"/>
                <w:sz w:val="24"/>
                <w:lang w:bidi="ar"/>
              </w:rPr>
              <w:t>后台分析系统</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569" w:hRule="atLeast"/>
          <w:jc w:val="center"/>
        </w:trPr>
        <w:tc>
          <w:tcPr>
            <w:tcW w:w="928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32"/>
                <w:szCs w:val="32"/>
              </w:rPr>
            </w:pPr>
            <w:r>
              <w:rPr>
                <w:rFonts w:hint="eastAsia" w:ascii="宋体" w:hAnsi="宋体" w:cs="宋体"/>
                <w:b/>
                <w:color w:val="auto"/>
                <w:kern w:val="0"/>
                <w:sz w:val="32"/>
                <w:szCs w:val="32"/>
                <w:lang w:bidi="ar"/>
              </w:rPr>
              <w:t>（五）危化品专项整治测速卡口</w:t>
            </w:r>
          </w:p>
        </w:tc>
      </w:tr>
      <w:tr>
        <w:tblPrEx>
          <w:tblCellMar>
            <w:top w:w="0" w:type="dxa"/>
            <w:left w:w="0" w:type="dxa"/>
            <w:bottom w:w="0" w:type="dxa"/>
            <w:right w:w="0" w:type="dxa"/>
          </w:tblCellMar>
        </w:tblPrEx>
        <w:trPr>
          <w:wBefore w:w="0" w:type="dxa"/>
          <w:wAfter w:w="0" w:type="dxa"/>
          <w:trHeight w:val="600" w:hRule="atLeast"/>
          <w:jc w:val="center"/>
        </w:trPr>
        <w:tc>
          <w:tcPr>
            <w:tcW w:w="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序号</w:t>
            </w:r>
          </w:p>
        </w:tc>
        <w:tc>
          <w:tcPr>
            <w:tcW w:w="36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地点</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单点单月租赁服务费</w:t>
            </w: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单点五年总租赁服务费</w:t>
            </w:r>
          </w:p>
        </w:tc>
      </w:tr>
      <w:tr>
        <w:tblPrEx>
          <w:tblCellMar>
            <w:top w:w="0" w:type="dxa"/>
            <w:left w:w="0" w:type="dxa"/>
            <w:bottom w:w="0" w:type="dxa"/>
            <w:right w:w="0" w:type="dxa"/>
          </w:tblCellMar>
        </w:tblPrEx>
        <w:trPr>
          <w:wBefore w:w="0" w:type="dxa"/>
          <w:wAfter w:w="0" w:type="dxa"/>
          <w:trHeight w:val="400" w:hRule="atLeast"/>
          <w:jc w:val="center"/>
        </w:trPr>
        <w:tc>
          <w:tcPr>
            <w:tcW w:w="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36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港区高速出口</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600" w:hRule="atLeast"/>
          <w:jc w:val="center"/>
        </w:trPr>
        <w:tc>
          <w:tcPr>
            <w:tcW w:w="8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3649"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lang w:bidi="ar"/>
              </w:rPr>
              <w:t>南北高速出口</w:t>
            </w:r>
          </w:p>
        </w:tc>
        <w:tc>
          <w:tcPr>
            <w:tcW w:w="235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c>
          <w:tcPr>
            <w:tcW w:w="2453"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600" w:hRule="atLeast"/>
          <w:jc w:val="center"/>
        </w:trPr>
        <w:tc>
          <w:tcPr>
            <w:tcW w:w="9282" w:type="dxa"/>
            <w:gridSpan w:val="7"/>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b/>
                <w:color w:val="auto"/>
                <w:kern w:val="0"/>
                <w:sz w:val="32"/>
                <w:szCs w:val="32"/>
                <w:lang w:bidi="ar"/>
              </w:rPr>
              <w:t>（六）违停抓拍系统</w:t>
            </w:r>
          </w:p>
        </w:tc>
      </w:tr>
      <w:tr>
        <w:tblPrEx>
          <w:tblCellMar>
            <w:top w:w="0" w:type="dxa"/>
            <w:left w:w="0" w:type="dxa"/>
            <w:bottom w:w="0" w:type="dxa"/>
            <w:right w:w="0" w:type="dxa"/>
          </w:tblCellMar>
        </w:tblPrEx>
        <w:trPr>
          <w:wBefore w:w="0" w:type="dxa"/>
          <w:wAfter w:w="0" w:type="dxa"/>
          <w:trHeight w:val="43"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kern w:val="0"/>
                <w:sz w:val="24"/>
                <w:lang w:bidi="ar"/>
              </w:rPr>
              <w:t>序号</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r>
              <w:rPr>
                <w:rFonts w:hint="eastAsia" w:ascii="宋体" w:hAnsi="宋体" w:cs="宋体"/>
                <w:color w:val="auto"/>
                <w:kern w:val="0"/>
                <w:sz w:val="24"/>
                <w:lang w:bidi="ar"/>
              </w:rPr>
              <w:t>地点</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r>
              <w:rPr>
                <w:rFonts w:hint="eastAsia" w:ascii="宋体" w:hAnsi="宋体" w:cs="宋体"/>
                <w:color w:val="auto"/>
                <w:kern w:val="0"/>
                <w:sz w:val="24"/>
                <w:lang w:bidi="ar"/>
              </w:rPr>
              <w:t>单点单月租赁服务费</w:t>
            </w: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r>
              <w:rPr>
                <w:rFonts w:hint="eastAsia" w:ascii="宋体" w:hAnsi="宋体" w:cs="宋体"/>
                <w:color w:val="auto"/>
                <w:kern w:val="0"/>
                <w:sz w:val="24"/>
                <w:lang w:bidi="ar"/>
              </w:rPr>
              <w:t>单点五年总租赁服务费</w:t>
            </w: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1</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ascii="宋体" w:hAnsi="宋体" w:cs="宋体"/>
                <w:color w:val="auto"/>
                <w:sz w:val="24"/>
              </w:rPr>
              <w:t>城西路（华丰路至盐北路）附近路段</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2</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ascii="宋体" w:hAnsi="宋体" w:cs="宋体"/>
                <w:color w:val="auto"/>
                <w:sz w:val="24"/>
              </w:rPr>
              <w:t>朝阳路（富水路至秀水路）附近路段</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3</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ascii="宋体" w:hAnsi="宋体" w:cs="宋体"/>
                <w:color w:val="auto"/>
                <w:sz w:val="24"/>
              </w:rPr>
              <w:t>城北路（谢家路至盐平塘东路）</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4</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ascii="宋体" w:hAnsi="宋体" w:cs="宋体"/>
                <w:color w:val="auto"/>
                <w:sz w:val="24"/>
              </w:rPr>
              <w:t>盐平塘东路闻琴路口附近路段</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5</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color w:val="auto"/>
              </w:rPr>
              <w:t>城东路闻琴路口</w:t>
            </w:r>
            <w:r>
              <w:rPr>
                <w:rFonts w:hint="eastAsia" w:ascii="宋体" w:hAnsi="宋体" w:cs="宋体"/>
                <w:color w:val="auto"/>
                <w:sz w:val="24"/>
              </w:rPr>
              <w:t>附近路段</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6</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ascii="宋体" w:hAnsi="宋体" w:cs="宋体"/>
                <w:color w:val="auto"/>
                <w:sz w:val="24"/>
              </w:rPr>
              <w:t>滨海大道枣园路口附近路段</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7</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ascii="宋体" w:hAnsi="宋体" w:cs="宋体"/>
                <w:color w:val="auto"/>
                <w:sz w:val="24"/>
              </w:rPr>
              <w:t>枣园路百尺路青少年宫附近路段</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8</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ascii="宋体" w:hAnsi="宋体" w:cs="宋体"/>
                <w:color w:val="auto"/>
                <w:sz w:val="24"/>
              </w:rPr>
              <w:t>长宁路海兴路口附近路段</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9</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ascii="宋体" w:hAnsi="宋体" w:cs="宋体"/>
                <w:color w:val="auto"/>
                <w:sz w:val="24"/>
              </w:rPr>
              <w:t>步行街绿城花苑东门口附近路段</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10</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ascii="宋体" w:hAnsi="宋体" w:cs="宋体"/>
                <w:color w:val="auto"/>
                <w:sz w:val="24"/>
              </w:rPr>
              <w:t>百尺路（盐湖路至出海路）附近路段</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11</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ascii="宋体" w:hAnsi="宋体" w:cs="宋体"/>
                <w:color w:val="auto"/>
                <w:sz w:val="24"/>
              </w:rPr>
              <w:t>曲秀路出海路口附近路段</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12</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color w:val="auto"/>
              </w:rPr>
              <w:t>海政路（盐北路至创业路）</w:t>
            </w:r>
            <w:r>
              <w:rPr>
                <w:rFonts w:hint="eastAsia" w:ascii="宋体" w:hAnsi="宋体" w:cs="宋体"/>
                <w:color w:val="auto"/>
                <w:sz w:val="24"/>
              </w:rPr>
              <w:t>附近路段</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13</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ascii="宋体" w:hAnsi="宋体" w:cs="宋体"/>
                <w:color w:val="auto"/>
                <w:sz w:val="24"/>
              </w:rPr>
              <w:t>湖盐线（东西大道口）向西100米</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14</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ascii="宋体" w:hAnsi="宋体" w:cs="宋体"/>
                <w:color w:val="auto"/>
                <w:sz w:val="24"/>
              </w:rPr>
              <w:t>湖盐线东海大道口附近路段</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37" w:hRule="atLeast"/>
          <w:jc w:val="center"/>
        </w:trPr>
        <w:tc>
          <w:tcPr>
            <w:tcW w:w="8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 w:val="24"/>
              </w:rPr>
            </w:pPr>
            <w:r>
              <w:rPr>
                <w:rFonts w:hint="eastAsia" w:ascii="宋体" w:hAnsi="宋体" w:cs="宋体"/>
                <w:color w:val="auto"/>
                <w:sz w:val="24"/>
              </w:rPr>
              <w:t>15</w:t>
            </w:r>
          </w:p>
        </w:tc>
        <w:tc>
          <w:tcPr>
            <w:tcW w:w="3710" w:type="dxa"/>
            <w:gridSpan w:val="3"/>
            <w:tcBorders>
              <w:top w:val="single" w:color="auto" w:sz="4" w:space="0"/>
              <w:left w:val="single" w:color="000000" w:sz="4" w:space="0"/>
              <w:bottom w:val="single" w:color="000000" w:sz="4" w:space="0"/>
              <w:right w:val="single" w:color="000000" w:sz="4" w:space="0"/>
            </w:tcBorders>
            <w:noWrap w:val="0"/>
            <w:vAlign w:val="bottom"/>
          </w:tcPr>
          <w:p>
            <w:pPr>
              <w:jc w:val="center"/>
              <w:rPr>
                <w:rFonts w:hint="eastAsia" w:ascii="宋体" w:hAnsi="宋体" w:cs="宋体"/>
                <w:color w:val="auto"/>
                <w:sz w:val="24"/>
              </w:rPr>
            </w:pPr>
            <w:r>
              <w:rPr>
                <w:rFonts w:hint="eastAsia" w:ascii="宋体" w:hAnsi="宋体" w:cs="宋体"/>
                <w:color w:val="auto"/>
                <w:sz w:val="24"/>
              </w:rPr>
              <w:t>天宁寺路实验中学附近路段</w:t>
            </w:r>
          </w:p>
        </w:tc>
        <w:tc>
          <w:tcPr>
            <w:tcW w:w="231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c>
          <w:tcPr>
            <w:tcW w:w="24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rPr>
            </w:pPr>
          </w:p>
        </w:tc>
      </w:tr>
      <w:tr>
        <w:tblPrEx>
          <w:tblCellMar>
            <w:top w:w="0" w:type="dxa"/>
            <w:left w:w="0" w:type="dxa"/>
            <w:bottom w:w="0" w:type="dxa"/>
            <w:right w:w="0" w:type="dxa"/>
          </w:tblCellMar>
        </w:tblPrEx>
        <w:trPr>
          <w:wBefore w:w="0" w:type="dxa"/>
          <w:wAfter w:w="0" w:type="dxa"/>
          <w:trHeight w:val="400" w:hRule="atLeast"/>
          <w:jc w:val="center"/>
        </w:trPr>
        <w:tc>
          <w:tcPr>
            <w:tcW w:w="928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val="0"/>
              <w:spacing w:line="500" w:lineRule="exact"/>
              <w:rPr>
                <w:rFonts w:hint="eastAsia" w:ascii="宋体" w:hAnsi="宋体" w:cs="宋体"/>
                <w:b/>
                <w:iCs/>
                <w:color w:val="auto"/>
                <w:sz w:val="24"/>
              </w:rPr>
            </w:pPr>
            <w:r>
              <w:rPr>
                <w:rFonts w:hint="eastAsia" w:ascii="宋体" w:hAnsi="宋体" w:cs="宋体"/>
                <w:b/>
                <w:iCs/>
                <w:color w:val="auto"/>
                <w:sz w:val="24"/>
              </w:rPr>
              <w:t xml:space="preserve">项目合计人民币（大写）: </w:t>
            </w:r>
            <w:r>
              <w:rPr>
                <w:rFonts w:hint="eastAsia" w:ascii="宋体" w:hAnsi="宋体" w:cs="宋体"/>
                <w:b/>
                <w:iCs/>
                <w:color w:val="auto"/>
                <w:sz w:val="24"/>
                <w:u w:val="single"/>
              </w:rPr>
              <w:t xml:space="preserve">                             </w:t>
            </w:r>
            <w:r>
              <w:rPr>
                <w:rFonts w:hint="eastAsia" w:ascii="宋体" w:hAnsi="宋体" w:cs="宋体"/>
                <w:b/>
                <w:iCs/>
                <w:color w:val="auto"/>
                <w:sz w:val="24"/>
              </w:rPr>
              <w:t>元整</w:t>
            </w:r>
          </w:p>
          <w:p>
            <w:pPr>
              <w:rPr>
                <w:rFonts w:hint="eastAsia" w:ascii="宋体" w:hAnsi="宋体" w:cs="宋体"/>
                <w:color w:val="auto"/>
                <w:sz w:val="24"/>
              </w:rPr>
            </w:pPr>
            <w:r>
              <w:rPr>
                <w:rFonts w:hint="eastAsia" w:ascii="宋体" w:hAnsi="宋体" w:cs="宋体"/>
                <w:b/>
                <w:iCs/>
                <w:color w:val="auto"/>
                <w:sz w:val="24"/>
              </w:rPr>
              <w:t xml:space="preserve">              （小写）：</w:t>
            </w:r>
            <w:r>
              <w:rPr>
                <w:rFonts w:hint="eastAsia" w:ascii="宋体" w:hAnsi="宋体" w:cs="宋体"/>
                <w:b/>
                <w:iCs/>
                <w:color w:val="auto"/>
                <w:sz w:val="24"/>
                <w:u w:val="single"/>
              </w:rPr>
              <w:t xml:space="preserve">                              </w:t>
            </w:r>
            <w:r>
              <w:rPr>
                <w:rFonts w:hint="eastAsia" w:ascii="宋体" w:hAnsi="宋体" w:cs="宋体"/>
                <w:b/>
                <w:iCs/>
                <w:color w:val="auto"/>
                <w:sz w:val="24"/>
              </w:rPr>
              <w:t>元</w:t>
            </w:r>
          </w:p>
        </w:tc>
      </w:tr>
    </w:tbl>
    <w:p>
      <w:pPr>
        <w:pageBreakBefore w:val="0"/>
        <w:widowControl w:val="0"/>
        <w:topLinePunct w:val="0"/>
        <w:bidi w:val="0"/>
        <w:snapToGrid w:val="0"/>
        <w:spacing w:afterLines="0" w:line="400" w:lineRule="exact"/>
        <w:ind w:right="-817" w:rightChars="-38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法定代表人或被授权人签字（或盖章）：</w:t>
      </w:r>
      <w:r>
        <w:rPr>
          <w:rFonts w:hint="eastAsia" w:ascii="宋体" w:hAnsi="宋体" w:eastAsia="宋体" w:cs="宋体"/>
          <w:color w:val="auto"/>
          <w:sz w:val="24"/>
          <w:szCs w:val="24"/>
          <w:highlight w:val="none"/>
          <w:u w:val="single"/>
        </w:rPr>
        <w:t xml:space="preserve">                </w:t>
      </w:r>
    </w:p>
    <w:p>
      <w:pPr>
        <w:pageBreakBefore w:val="0"/>
        <w:widowControl w:val="0"/>
        <w:topLinePunct w:val="0"/>
        <w:bidi w:val="0"/>
        <w:snapToGrid w:val="0"/>
        <w:spacing w:afterLines="0" w:line="400" w:lineRule="exact"/>
        <w:ind w:left="-3" w:leftChars="-72" w:right="-817" w:rightChars="-389" w:hanging="148" w:hangingChars="6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widowControl w:val="0"/>
        <w:topLinePunct w:val="0"/>
        <w:bidi w:val="0"/>
        <w:snapToGrid w:val="0"/>
        <w:spacing w:afterLines="0" w:line="400" w:lineRule="exact"/>
        <w:ind w:left="-3" w:leftChars="-72" w:right="-817" w:rightChars="-389" w:hanging="148" w:hangingChars="6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
        <w:rPr>
          <w:rFonts w:hint="eastAsia" w:ascii="宋体" w:hAnsi="宋体" w:eastAsia="宋体" w:cs="宋体"/>
          <w:b/>
          <w:color w:val="auto"/>
          <w:sz w:val="24"/>
          <w:highlight w:val="none"/>
          <w:lang w:val="en-US" w:eastAsia="zh-CN"/>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中小企业证明格式：</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1中小企业声明函格式：</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81" w:firstLineChars="100"/>
        <w:jc w:val="center"/>
        <w:rPr>
          <w:rFonts w:hint="eastAsia" w:ascii="宋体" w:hAnsi="宋体" w:eastAsia="宋体" w:cs="宋体"/>
          <w:b/>
          <w:color w:val="auto"/>
          <w:sz w:val="24"/>
          <w:highlight w:val="none"/>
        </w:rPr>
      </w:pPr>
      <w:r>
        <w:rPr>
          <w:rFonts w:hint="eastAsia" w:ascii="宋体" w:hAnsi="宋体" w:eastAsia="宋体" w:cs="宋体"/>
          <w:b/>
          <w:bCs/>
          <w:color w:val="auto"/>
          <w:sz w:val="28"/>
          <w:szCs w:val="28"/>
          <w:highlight w:val="none"/>
        </w:rPr>
        <w:t>中小企业声明函</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本公司（联合体）郑重声明，根据《政府采购促进中小 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信息传输业     </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信息传输业      </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本企业对上述声明内容的真实性负责。如有虚假，将依法承担相应责任。</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firstLine="48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pPr>
        <w:keepNext w:val="0"/>
        <w:keepLines w:val="0"/>
        <w:pageBreakBefore w:val="0"/>
        <w:widowControl w:val="0"/>
        <w:kinsoku/>
        <w:wordWrap w:val="0"/>
        <w:overflowPunct w:val="0"/>
        <w:topLinePunct w:val="0"/>
        <w:autoSpaceDE w:val="0"/>
        <w:autoSpaceDN w:val="0"/>
        <w:bidi w:val="0"/>
        <w:adjustRightInd/>
        <w:snapToGrid/>
        <w:spacing w:before="63" w:beforeLines="20" w:line="400" w:lineRule="exact"/>
        <w:ind w:left="0" w:leftChars="0"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bCs w:val="0"/>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注：</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1、</w:t>
      </w:r>
      <w:r>
        <w:rPr>
          <w:rFonts w:hint="eastAsia" w:ascii="宋体" w:hAnsi="宋体" w:eastAsia="宋体" w:cs="宋体"/>
          <w:b/>
          <w:bCs w:val="0"/>
          <w:color w:val="auto"/>
          <w:sz w:val="24"/>
          <w:highlight w:val="none"/>
        </w:rPr>
        <w:t>从业人员、营业收入、资产总额填报上一年度数据，无上一年度数据的新成立企业可不填报。</w:t>
      </w:r>
    </w:p>
    <w:p>
      <w:pPr>
        <w:keepNext w:val="0"/>
        <w:keepLines w:val="0"/>
        <w:pageBreakBefore w:val="0"/>
        <w:widowControl w:val="0"/>
        <w:kinsoku/>
        <w:wordWrap w:val="0"/>
        <w:overflowPunct w:val="0"/>
        <w:topLinePunct w:val="0"/>
        <w:autoSpaceDE w:val="0"/>
        <w:autoSpaceDN w:val="0"/>
        <w:bidi w:val="0"/>
        <w:snapToGrid w:val="0"/>
        <w:spacing w:line="360" w:lineRule="auto"/>
        <w:ind w:firstLine="480"/>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2、</w:t>
      </w:r>
      <w:r>
        <w:rPr>
          <w:rFonts w:hint="eastAsia" w:ascii="宋体" w:hAnsi="宋体" w:eastAsia="宋体" w:cs="宋体"/>
          <w:b/>
          <w:bCs w:val="0"/>
          <w:color w:val="auto"/>
          <w:sz w:val="24"/>
          <w:highlight w:val="none"/>
          <w:lang w:eastAsia="zh-CN"/>
        </w:rPr>
        <w:t>根据财库﹝2020﹞46号文件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21"/>
        <w:rPr>
          <w:rFonts w:hint="eastAsia"/>
          <w:color w:val="auto"/>
          <w:lang w:eastAsia="zh-CN"/>
        </w:rPr>
      </w:pPr>
    </w:p>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20" w:lineRule="atLeast"/>
        <w:ind w:left="0" w:leftChars="0" w:right="0" w:rightChars="0" w:firstLine="420" w:firstLineChars="0"/>
        <w:jc w:val="left"/>
        <w:textAlignment w:val="auto"/>
        <w:outlineLvl w:val="9"/>
        <w:rPr>
          <w:color w:val="auto"/>
        </w:rPr>
      </w:pPr>
      <w:r>
        <w:rPr>
          <w:rFonts w:hint="eastAsia" w:ascii="宋体" w:hAnsi="宋体" w:eastAsia="宋体" w:cs="宋体"/>
          <w:b/>
          <w:bCs w:val="0"/>
          <w:color w:val="auto"/>
          <w:sz w:val="24"/>
          <w:highlight w:val="none"/>
          <w:lang w:val="en-US" w:eastAsia="zh-CN"/>
        </w:rPr>
        <w:t>3、</w:t>
      </w:r>
      <w:r>
        <w:rPr>
          <w:rFonts w:hint="eastAsia" w:eastAsia="宋体" w:cs="宋体"/>
          <w:b/>
          <w:bCs w:val="0"/>
          <w:color w:val="auto"/>
          <w:sz w:val="24"/>
          <w:highlight w:val="none"/>
          <w:lang w:val="en-US" w:eastAsia="zh-CN"/>
        </w:rPr>
        <w:t>各行业</w:t>
      </w:r>
      <w:r>
        <w:rPr>
          <w:rFonts w:hint="eastAsia" w:ascii="宋体" w:hAnsi="宋体" w:eastAsia="宋体" w:cs="宋体"/>
          <w:b/>
          <w:bCs w:val="0"/>
          <w:color w:val="auto"/>
          <w:sz w:val="24"/>
          <w:highlight w:val="none"/>
          <w:lang w:val="en-US" w:eastAsia="zh-CN"/>
        </w:rPr>
        <w:t>中小企业划型标准</w:t>
      </w:r>
      <w:r>
        <w:rPr>
          <w:rFonts w:hint="eastAsia" w:eastAsia="宋体" w:cs="宋体"/>
          <w:b/>
          <w:bCs w:val="0"/>
          <w:color w:val="auto"/>
          <w:sz w:val="24"/>
          <w:highlight w:val="none"/>
          <w:lang w:val="en-US" w:eastAsia="zh-CN"/>
        </w:rPr>
        <w:t>见（工信部联企业[2011]300号），具体</w:t>
      </w:r>
      <w:r>
        <w:rPr>
          <w:rFonts w:hint="eastAsia" w:ascii="宋体" w:hAnsi="宋体" w:eastAsia="宋体" w:cs="宋体"/>
          <w:b/>
          <w:bCs w:val="0"/>
          <w:color w:val="auto"/>
          <w:sz w:val="24"/>
          <w:highlight w:val="none"/>
          <w:lang w:val="en-US" w:eastAsia="zh-CN"/>
        </w:rPr>
        <w:t>见下表（</w:t>
      </w:r>
      <w:r>
        <w:rPr>
          <w:rFonts w:hint="eastAsia" w:ascii="宋体" w:hAnsi="宋体" w:eastAsia="宋体" w:cs="宋体"/>
          <w:b/>
          <w:bCs w:val="0"/>
          <w:color w:val="auto"/>
          <w:sz w:val="24"/>
          <w:highlight w:val="none"/>
          <w:u w:val="single"/>
          <w:lang w:val="en-US" w:eastAsia="zh-CN"/>
        </w:rPr>
        <w:t>大型、中型和小型企业须同时满足所列指标的下限，否则下划一档</w:t>
      </w:r>
      <w:r>
        <w:rPr>
          <w:rFonts w:hint="eastAsia" w:eastAsia="宋体" w:cs="宋体"/>
          <w:b/>
          <w:bCs w:val="0"/>
          <w:color w:val="auto"/>
          <w:sz w:val="24"/>
          <w:highlight w:val="none"/>
          <w:u w:val="single"/>
          <w:lang w:val="en-US" w:eastAsia="zh-CN"/>
        </w:rPr>
        <w:t>；</w:t>
      </w:r>
      <w:r>
        <w:rPr>
          <w:rFonts w:hint="eastAsia" w:ascii="宋体" w:hAnsi="宋体" w:eastAsia="宋体" w:cs="宋体"/>
          <w:b/>
          <w:bCs w:val="0"/>
          <w:color w:val="auto"/>
          <w:sz w:val="24"/>
          <w:highlight w:val="none"/>
          <w:u w:val="single"/>
          <w:lang w:val="en-US" w:eastAsia="zh-CN"/>
        </w:rPr>
        <w:t>微型企业只须满足所列指标中的一项即可</w:t>
      </w:r>
      <w:r>
        <w:rPr>
          <w:rFonts w:hint="eastAsia" w:ascii="宋体" w:hAnsi="宋体" w:eastAsia="宋体" w:cs="宋体"/>
          <w:b/>
          <w:bCs w:val="0"/>
          <w:color w:val="auto"/>
          <w:sz w:val="24"/>
          <w:highlight w:val="none"/>
          <w:lang w:val="en-US" w:eastAsia="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93"/>
        <w:gridCol w:w="1637"/>
        <w:gridCol w:w="1063"/>
        <w:gridCol w:w="1255"/>
        <w:gridCol w:w="1704"/>
        <w:gridCol w:w="1459"/>
        <w:gridCol w:w="941"/>
      </w:tblGrid>
      <w:tr>
        <w:tblPrEx>
          <w:tblCellMar>
            <w:top w:w="15" w:type="dxa"/>
            <w:left w:w="15" w:type="dxa"/>
            <w:bottom w:w="15" w:type="dxa"/>
            <w:right w:w="15" w:type="dxa"/>
          </w:tblCellMar>
        </w:tblPrEx>
        <w:tc>
          <w:tcPr>
            <w:tcW w:w="189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rStyle w:val="52"/>
                <w:b/>
                <w:color w:val="auto"/>
                <w:sz w:val="21"/>
                <w:szCs w:val="21"/>
              </w:rPr>
              <w:t>行业名称</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rStyle w:val="52"/>
                <w:b/>
                <w:color w:val="auto"/>
                <w:sz w:val="21"/>
                <w:szCs w:val="21"/>
              </w:rPr>
              <w:t>指标名称</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rStyle w:val="52"/>
                <w:b/>
                <w:color w:val="auto"/>
                <w:sz w:val="21"/>
                <w:szCs w:val="21"/>
              </w:rPr>
              <w:t>计量单位</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rStyle w:val="52"/>
                <w:b/>
                <w:color w:val="auto"/>
                <w:sz w:val="21"/>
                <w:szCs w:val="21"/>
              </w:rPr>
              <w:t>大型</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rStyle w:val="52"/>
                <w:b/>
                <w:color w:val="auto"/>
                <w:sz w:val="21"/>
                <w:szCs w:val="21"/>
              </w:rPr>
              <w:t>中型</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rStyle w:val="52"/>
                <w:b/>
                <w:color w:val="auto"/>
                <w:sz w:val="21"/>
                <w:szCs w:val="21"/>
              </w:rPr>
              <w:t>小型</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rStyle w:val="52"/>
                <w:b/>
                <w:color w:val="auto"/>
                <w:sz w:val="21"/>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农、林、牧、渔业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Y≥20000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500≤Y&lt;20000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50≤Y&lt;500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工业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从业人员(X)</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人</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X≥1000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300≤X&lt;1000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20≤X&lt;300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X&lt;20</w:t>
            </w:r>
          </w:p>
        </w:tc>
      </w:tr>
      <w:tr>
        <w:tblPrEx>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Y≥40000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2000≤Y&lt;40000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300≤Y&lt;2000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建筑业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Y≥80000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6000≤Y&lt;80000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300≤Y&lt;6000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资产总额(Z)</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Z≥80000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5000≤Z&lt;80000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300≤Z&lt;5000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批发业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从业人员(X)</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人</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X≥200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20≤X&lt;200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5≤X&lt;20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Y≥40000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5000≤Y&lt;40000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1000≤Y&lt;5000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零售业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从业人员(X)</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人</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X≥300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50≤X&lt;300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10≤X&lt;50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Y≥20000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500≤Y&lt;20000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100≤Y&lt;500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交通运输业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从业人员(X)</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人</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X≥1000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300≤X&lt;1000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20≤X&lt;300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Y≥30000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3000≤Y&lt;30000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200≤Y&lt;3000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仓储业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从业人员(X)</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人</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X≥200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100≤X&lt;200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20≤X&lt;100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Y≥30000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1000≤Y&lt;30000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100≤Y&lt;1000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邮政业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从业人员(X)</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人</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X≥1000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300≤X&lt;1000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20≤X&lt;300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Y≥30000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2000≤Y&lt;30000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100≤Y&lt;2000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住宿业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从业人员(X)</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人</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X≥300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100≤X&lt;300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10≤X&lt;100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Y≥10000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2000≤Y&lt;10000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100≤Y&lt;2000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餐饮业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从业人员(X)</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人</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X≥300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100≤X&lt;300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10≤X&lt;100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Y≥10000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2000≤Y&lt;10000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100≤Y&lt;2000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信息传输业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从业人员(X)</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人</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X≥2000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100≤X&lt;2000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10≤X&lt;100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Y≥100000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1000≤Y&lt;100000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100≤Y&lt;1000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软件和信息技术服务业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从业人员(X)</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人</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X≥300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100≤X&lt;300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10≤X&lt;100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Y≥10000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1000≤Y&lt;10000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50≤Y&lt;1000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房地产开发经营</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Y≥200000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1000≤Y&lt;200000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100≤Y&lt;1000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资产总额(Z)</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Z≥10000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5000≤Z&lt;10000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2000≤Z&lt;5000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物业管理</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从业人员(X)</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人</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X≥1000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300≤X&lt;1000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100≤X&lt;300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营业收入(Y)</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Y≥5000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1000≤Y&lt;5000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500≤Y&lt;1000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restart"/>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租赁和商务服务业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从业人员(X)</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人</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X≥300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100≤X&lt;300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10≤X&lt;100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vMerge w:val="continue"/>
            <w:noWrap w:val="0"/>
            <w:tcMar>
              <w:top w:w="30" w:type="dxa"/>
              <w:left w:w="90" w:type="dxa"/>
              <w:bottom w:w="30" w:type="dxa"/>
              <w:right w:w="90"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color w:val="auto"/>
                <w:sz w:val="21"/>
                <w:szCs w:val="21"/>
              </w:rPr>
            </w:pP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资产总额(Z)</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万元</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Z≥120000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8000≤Z&lt;120000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100≤Z&lt;8000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9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其他未列明行业</w:t>
            </w:r>
          </w:p>
        </w:tc>
        <w:tc>
          <w:tcPr>
            <w:tcW w:w="1637"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从业人员(X)</w:t>
            </w:r>
          </w:p>
        </w:tc>
        <w:tc>
          <w:tcPr>
            <w:tcW w:w="1063"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21"/>
                <w:szCs w:val="21"/>
              </w:rPr>
            </w:pPr>
            <w:r>
              <w:rPr>
                <w:color w:val="auto"/>
                <w:sz w:val="21"/>
                <w:szCs w:val="21"/>
              </w:rPr>
              <w:t>人</w:t>
            </w:r>
          </w:p>
        </w:tc>
        <w:tc>
          <w:tcPr>
            <w:tcW w:w="1255"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X≥300</w:t>
            </w:r>
          </w:p>
        </w:tc>
        <w:tc>
          <w:tcPr>
            <w:tcW w:w="1704"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100≤X&lt;300</w:t>
            </w:r>
          </w:p>
        </w:tc>
        <w:tc>
          <w:tcPr>
            <w:tcW w:w="1459"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10≤X&lt;100</w:t>
            </w:r>
          </w:p>
        </w:tc>
        <w:tc>
          <w:tcPr>
            <w:tcW w:w="941" w:type="dxa"/>
            <w:noWrap w:val="0"/>
            <w:tcMar>
              <w:top w:w="30" w:type="dxa"/>
              <w:left w:w="90" w:type="dxa"/>
              <w:bottom w:w="30" w:type="dxa"/>
              <w:right w:w="90" w:type="dxa"/>
            </w:tcMar>
            <w:vAlign w:val="center"/>
          </w:tcPr>
          <w:p>
            <w:pPr>
              <w:pStyle w:val="4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color w:val="auto"/>
                <w:sz w:val="21"/>
                <w:szCs w:val="21"/>
              </w:rPr>
            </w:pPr>
            <w:r>
              <w:rPr>
                <w:color w:val="auto"/>
                <w:sz w:val="21"/>
                <w:szCs w:val="21"/>
              </w:rPr>
              <w:t>X&lt;10</w:t>
            </w:r>
          </w:p>
        </w:tc>
      </w:tr>
    </w:tbl>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2残疾人福利性单位声明函</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pacing w:before="156" w:beforeLines="50" w:line="360" w:lineRule="auto"/>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pPr>
        <w:keepNext w:val="0"/>
        <w:keepLines w:val="0"/>
        <w:pageBreakBefore w:val="0"/>
        <w:widowControl w:val="0"/>
        <w:kinsoku/>
        <w:wordWrap w:val="0"/>
        <w:overflowPunct w:val="0"/>
        <w:topLinePunct w:val="0"/>
        <w:autoSpaceDE w:val="0"/>
        <w:autoSpaceDN w:val="0"/>
        <w:bidi w:val="0"/>
        <w:spacing w:line="360" w:lineRule="auto"/>
        <w:jc w:val="center"/>
        <w:textAlignment w:val="top"/>
        <w:rPr>
          <w:rStyle w:val="52"/>
          <w:rFonts w:hint="eastAsia" w:ascii="宋体" w:hAnsi="宋体" w:eastAsia="宋体" w:cs="宋体"/>
          <w:color w:val="auto"/>
          <w:kern w:val="0"/>
          <w:sz w:val="36"/>
          <w:highlight w:val="none"/>
          <w:lang w:bidi="ar"/>
        </w:rPr>
      </w:pPr>
    </w:p>
    <w:p>
      <w:pPr>
        <w:keepNext w:val="0"/>
        <w:keepLines w:val="0"/>
        <w:pageBreakBefore w:val="0"/>
        <w:widowControl w:val="0"/>
        <w:kinsoku/>
        <w:wordWrap w:val="0"/>
        <w:overflowPunct w:val="0"/>
        <w:topLinePunct w:val="0"/>
        <w:autoSpaceDE w:val="0"/>
        <w:autoSpaceDN w:val="0"/>
        <w:bidi w:val="0"/>
        <w:snapToGrid w:val="0"/>
        <w:spacing w:line="360" w:lineRule="auto"/>
        <w:ind w:firstLine="600" w:firstLineChars="25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单位的</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项目采购活动提供本单位制造的货物（由本单位承担工程/提供服务），或者提供其他残疾人福利性单位制造的货物（不包括使用非残疾人福利性单位注册商标的货物）。</w:t>
      </w:r>
      <w:r>
        <w:rPr>
          <w:rFonts w:hint="eastAsia" w:ascii="宋体" w:hAnsi="宋体" w:eastAsia="宋体" w:cs="宋体"/>
          <w:color w:val="auto"/>
          <w:sz w:val="24"/>
          <w:highlight w:val="none"/>
          <w:lang w:bidi="ar"/>
        </w:rPr>
        <w:br w:type="textWrapping"/>
      </w:r>
      <w:r>
        <w:rPr>
          <w:rFonts w:hint="eastAsia" w:ascii="宋体" w:hAnsi="宋体" w:eastAsia="宋体" w:cs="宋体"/>
          <w:color w:val="auto"/>
          <w:sz w:val="24"/>
          <w:highlight w:val="none"/>
          <w:lang w:bidi="ar"/>
        </w:rPr>
        <w:t xml:space="preserve">    </w:t>
      </w:r>
      <w:r>
        <w:rPr>
          <w:rFonts w:hint="eastAsia" w:ascii="宋体" w:hAnsi="宋体" w:eastAsia="宋体" w:cs="宋体"/>
          <w:b/>
          <w:bCs/>
          <w:color w:val="auto"/>
          <w:sz w:val="24"/>
          <w:highlight w:val="none"/>
          <w:lang w:bidi="ar"/>
        </w:rPr>
        <w:t>本单位对上述声明的真实性负责。如有虚假，将依法承担相应责任。</w:t>
      </w: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before="50" w:after="156" w:afterLines="50" w:line="360" w:lineRule="auto"/>
        <w:ind w:firstLine="241" w:firstLineChars="100"/>
        <w:rPr>
          <w:rFonts w:hint="eastAsia" w:ascii="宋体" w:hAnsi="宋体" w:eastAsia="宋体" w:cs="宋体"/>
          <w:b/>
          <w:color w:val="auto"/>
          <w:sz w:val="24"/>
          <w:highlight w:val="none"/>
        </w:rPr>
      </w:pPr>
    </w:p>
    <w:p>
      <w:pPr>
        <w:keepNext w:val="0"/>
        <w:keepLines w:val="0"/>
        <w:pageBreakBefore w:val="0"/>
        <w:widowControl w:val="0"/>
        <w:kinsoku/>
        <w:wordWrap w:val="0"/>
        <w:overflowPunct w:val="0"/>
        <w:topLinePunct w:val="0"/>
        <w:autoSpaceDE w:val="0"/>
        <w:autoSpaceDN w:val="0"/>
        <w:bidi w:val="0"/>
        <w:snapToGrid w:val="0"/>
        <w:spacing w:line="360" w:lineRule="auto"/>
        <w:ind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p>
    <w:p>
      <w:pPr>
        <w:keepNext w:val="0"/>
        <w:keepLines w:val="0"/>
        <w:pageBreakBefore w:val="0"/>
        <w:widowControl w:val="0"/>
        <w:kinsoku/>
        <w:wordWrap w:val="0"/>
        <w:overflowPunct w:val="0"/>
        <w:topLinePunct w:val="0"/>
        <w:autoSpaceDE w:val="0"/>
        <w:autoSpaceDN w:val="0"/>
        <w:bidi w:val="0"/>
        <w:snapToGrid w:val="0"/>
        <w:spacing w:line="360" w:lineRule="auto"/>
        <w:ind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keepNext w:val="0"/>
        <w:keepLines w:val="0"/>
        <w:pageBreakBefore w:val="0"/>
        <w:widowControl w:val="0"/>
        <w:kinsoku/>
        <w:wordWrap w:val="0"/>
        <w:overflowPunct w:val="0"/>
        <w:topLinePunct w:val="0"/>
        <w:autoSpaceDE w:val="0"/>
        <w:autoSpaceDN w:val="0"/>
        <w:bidi w:val="0"/>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u w:val="none"/>
        </w:rPr>
        <w:t xml:space="preserve">         </w:t>
      </w:r>
    </w:p>
    <w:sectPr>
      <w:pgSz w:w="11906" w:h="16838"/>
      <w:pgMar w:top="1020" w:right="1020" w:bottom="907" w:left="1020" w:header="851" w:footer="992"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decorative"/>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Univers 57 Condensed">
    <w:altName w:val="Segoe Print"/>
    <w:panose1 w:val="00000000000000000000"/>
    <w:charset w:val="00"/>
    <w:family w:val="swiss"/>
    <w:pitch w:val="default"/>
    <w:sig w:usb0="00000003" w:usb1="00000000" w:usb2="00000000" w:usb3="00000000" w:csb0="00000001" w:csb1="00000000"/>
  </w:font>
  <w:font w:name="Helvetica">
    <w:altName w:val="Arial"/>
    <w:panose1 w:val="020B0604020202020204"/>
    <w:charset w:val="00"/>
    <w:family w:val="swiss"/>
    <w:pitch w:val="default"/>
    <w:sig w:usb0="E0002AFF" w:usb1="C0007843" w:usb2="00000009" w:usb3="00000000" w:csb0="000001FF" w:csb1="00000000"/>
  </w:font>
  <w:font w:name="Sim Sun">
    <w:altName w:val="宋体"/>
    <w:panose1 w:val="00000000000000000000"/>
    <w:charset w:val="86"/>
    <w:family w:val="swiss"/>
    <w:pitch w:val="default"/>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clear" w:pos="4153"/>
      </w:tabs>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ZGeit4BAAC+AwAADgAAAGRycy9lMm9Eb2MueG1srVPBjtMwEL0j8Q+W 7zTZSkAVNV0B1SIkBEgLH+A6TmPJ9lget0n5APgDTly48139jh07SReWyx64JOOZ8Zt5b8br68Ea dlQBNbiaXy1KzpST0Gi3r/mXzzfPVpxhFK4RBpyq+Ukhv948fbLufaWW0IFpVGAE4rDqfc27GH1V FCg7ZQUuwCtHwRaCFZGOYV80QfSEbk2xLMsXRQ+h8QGkQiTvdgzyCTE8BhDaVku1BXmwysURNSgj IlHCTnvkm9xt2yoZP7YtqshMzYlpzF8qQvYufYvNWlT7IHyn5dSCeEwLDzhZoR0VvUBtRRTsEPQ/ UFbLAAhtXEiwxUgkK0IsrsoH2tx2wqvMhaRGfxEd/x+s/HD8FJhuav6SMycsDfz84/v55+/zr2/s eZKn91hR1q2nvDi8hoGWZvYjORProQ02/YkPoziJe7qIq4bIZLq0Wq5WJYUkxeYD4Rf3133A+FaB ZcmoeaDpZVHF8T3GMXVOSdUc3Ghj8gSN+8tBmMlTpN7HHpMVh90wEdpBcyI+9AyoTgfhK2c9LUHN He08Z+adI43TvsxGmI3dbAgn6WLNI2ej+SaOe3XwQe+7vGmpKfSvDpE6zQRSG2PtqTsaa5ZgWsG0 N3+ec9b9s9vcA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hkZ6K3gEAAL4DAAAOAAAAAAAA AAEAIAAAAB4BAABkcnMvZTJvRG9jLnhtbFBLBQYAAAAABgAGAFkBAABuBQ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1"/>
      <w:rPr>
        <w:rStyle w:val="53"/>
      </w:rPr>
    </w:pPr>
    <w:r>
      <w:fldChar w:fldCharType="begin"/>
    </w:r>
    <w:r>
      <w:rPr>
        <w:rStyle w:val="53"/>
      </w:rPr>
      <w:instrText xml:space="preserve">PAGE  </w:instrText>
    </w:r>
    <w:r>
      <w:fldChar w:fldCharType="end"/>
    </w:r>
  </w:p>
  <w:p>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IZV+d0BAAC+AwAADgAAAGRycy9lMm9Eb2MueG1srVPBjtMwEL0j8Q+W 7zTZHlZV1HQFW+0KCQHSwge4jtNYsj2Wx21SPgD+gBMX7nxXv4Oxk3RhueyBSzKeGb+Z92a8vhms YUcVUIOr+dWi5Ew5CY12+5p//nT3asUZRuEaYcCpmp8U8pvNyxfr3ldqCR2YRgVGIA6r3te8i9FX RYGyU1bgArxyFGwhWBHpGPZFE0RP6NYUy7K8LnoIjQ8gFSJ5t2OQT4jhOYDQtlqqLciDVS6OqEEZ EYkSdtoj3+Ru21bJ+KFtUUVmak5MY/5SEbJ36Vts1qLaB+E7LacWxHNaeMLJCu2o6AVqK6Jgh6D/ gbJaBkBo40KCLUYiWRFicVU+0eahE15lLiQ1+ovo+P9g5fvjx8B0U3MauxOWBn7+/u3849f551d2 neTpPVaU9eApLw5vYKClmf1IzsR6aINNf+LDKE7ini7iqiEymS6tlqtVSSFJsflA+MXjdR8w3iuw LBk1DzS9LKo4vsM4ps4pqZqDO21MnqBxfzkIM3mK1PvYY7LisBsmQjtoTsSHngHV6SB84aynJai5 o53nzLx1pHHal9kIs7GbDeEkXax55Gw0b+O4Vwcf9L7Lm5aaQv/6EKnTTCC1MdaeuqOxZgmmFUx7 8+c5Zz0+u81v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KCGVfndAQAAvgMAAA4AAAAAAAAA AQAgAAAAHgEAAGRycy9lMm9Eb2MueG1sUEsFBgAAAAAGAAYAWQEAAG0FA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VoWGN0BAAC+AwAADgAAAGRycy9lMm9Eb2MueG1srVPBjtMwEL0j8Q+W 7zTZHqBETVdAtQgJAdLCB7iO01iyPdbYbVI+AP6AExfufFe/Y8dO0oXlsgcuyXhm/Gbem/H6erCG HRUGDa7mV4uSM+UkNNrta/7l882zFWchCtcIA07V/KQCv948fbLufaWW0IFpFDICcaHqfc27GH1V FEF2yoqwAK8cBVtAKyIdcV80KHpCt6ZYluXzogdsPIJUIZB3Owb5hIiPAYS21VJtQR6scnFERWVE JEqh0z7wTe62bZWMH9s2qMhMzYlpzF8qQvYufYvNWlR7FL7TcmpBPKaFB5ys0I6KXqC2Igp2QP0P lNUSIUAbFxJsMRLJihCLq/KBNred8CpzIamDv4ge/h+s/HD8hEw3NX/JmROWBn7+8f388/f51zf2 IsnT+1BR1q2nvDi8hoGWZvYHcibWQ4s2/YkPoziJe7qIq4bIZLq0Wq5WJYUkxeYD4Rf31z2G+FaB ZcmoOdL0sqji+D7EMXVOSdUc3Ghj8gSN+8tBmMlTpN7HHpMVh90wEdpBcyI+9AyoTgf4lbOelqDm jnaeM/POkcZpX2YDZ2M3G8JJuljzyNlovonjXh086n2XNy01FfyrQ6ROM4HUxlh76o7GmiWYVjDt zZ/nnHX/7DZ3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NVaFhjdAQAAvgMAAA4AAAAAAAAA AQAgAAAAHgEAAGRycy9lMm9Eb2MueG1sUEsFBgAAAAAGAAYAWQEAAG0FA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1"/>
      <w:rPr>
        <w:rStyle w:val="53"/>
      </w:rPr>
    </w:pPr>
    <w:r>
      <w:fldChar w:fldCharType="begin"/>
    </w:r>
    <w:r>
      <w:rPr>
        <w:rStyle w:val="53"/>
      </w:rPr>
      <w:instrText xml:space="preserve">PAGE  </w:instrText>
    </w:r>
    <w:r>
      <w:fldChar w:fldCharType="end"/>
    </w:r>
  </w:p>
  <w:p>
    <w:pPr>
      <w:pStyle w:val="3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75</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lB8Zt0BAAC/AwAADgAAAGRycy9lMm9Eb2MueG1srVPNjtMwEL4j8Q6W 7zTZHlBUNV0tVIuQECAtPIDrOI0l/2k8bVIeAN6AExfuPFefg7GTdJflsoe9JOPx+Jvv+zxeXw/W sKOCqL2r+dWi5Ew56Rvt9jX/+uX2VcVZROEaYbxTNT+pyK83L1+s+7BSS9950yhgBOLiqg817xDD qiii7JQVceGDcrTZerACaQn7ogHRE7o1xbIsXxe9hyaAlypGym7HTT4hwlMAfdtqqbZeHqxyOKKC MgJJUux0iHyT2batkvipbaNCZmpOSjF/qQnFu/QtNmux2oMInZYTBfEUCo80WaEdNb1AbQUKdgD9 H5TVEnz0LS6kt8UoJDtCKq7KR97cdSKorIWsjuFienw+WPnx+BmYbmgSyBInLN34+eeP868/59/f WZX86UNcUdldoEIc3viBaud8pGSSPbRg058EMdonqNPFXTUgk+lQtayqkrYk7c0Lwi/ujweI+E55 y1JQc6Dry66K44eIY+lckro5f6uNyVdo3D8JwkyZInEfOaYIh90wCdr55kR66B1Qn87DN856moKa Oxp6zsx7RyYTV5wDmIPdHAgn6WDNkbMxfIvjYB0C6H2XRy2RiuHmgMQ0C0g0xt4TO7rXbME0g2lw Hq5z1f272/w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B5QfGbdAQAAvwMAAA4AAAAAAAAA AQAgAAAAHgEAAGRycy9lMm9Eb2MueG1sUEsFBgAAAAAGAAYAWQEAAG0FAAAAAA== ">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75</w:t>
                    </w:r>
                    <w:r>
                      <w:rPr>
                        <w:rFonts w:hint="eastAsia"/>
                        <w:sz w:val="18"/>
                        <w:lang w:eastAsia="zh-CN"/>
                      </w:rP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CD6EE"/>
    <w:multiLevelType w:val="singleLevel"/>
    <w:tmpl w:val="E12CD6EE"/>
    <w:lvl w:ilvl="0" w:tentative="0">
      <w:start w:val="9"/>
      <w:numFmt w:val="chineseCounting"/>
      <w:suff w:val="nothing"/>
      <w:lvlText w:val="%1、"/>
      <w:lvlJc w:val="left"/>
      <w:rPr>
        <w:rFonts w:hint="eastAsia"/>
      </w:rPr>
    </w:lvl>
  </w:abstractNum>
  <w:abstractNum w:abstractNumId="1">
    <w:nsid w:val="4CA75A52"/>
    <w:multiLevelType w:val="multilevel"/>
    <w:tmpl w:val="4CA75A52"/>
    <w:lvl w:ilvl="0" w:tentative="0">
      <w:start w:val="1"/>
      <w:numFmt w:val="decimal"/>
      <w:pStyle w:val="241"/>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
    <w:nsid w:val="57995F48"/>
    <w:multiLevelType w:val="singleLevel"/>
    <w:tmpl w:val="57995F48"/>
    <w:lvl w:ilvl="0" w:tentative="0">
      <w:start w:val="2"/>
      <w:numFmt w:val="chineseCounting"/>
      <w:pStyle w:val="220"/>
      <w:suff w:val="space"/>
      <w:lvlText w:val="第%1章"/>
      <w:lvlJc w:val="left"/>
    </w:lvl>
  </w:abstractNum>
  <w:abstractNum w:abstractNumId="3">
    <w:nsid w:val="58563B8C"/>
    <w:multiLevelType w:val="singleLevel"/>
    <w:tmpl w:val="58563B8C"/>
    <w:lvl w:ilvl="0" w:tentative="0">
      <w:start w:val="1"/>
      <w:numFmt w:val="decimal"/>
      <w:pStyle w:val="283"/>
      <w:suff w:val="nothing"/>
      <w:lvlText w:val="%1、"/>
      <w:lvlJc w:val="left"/>
    </w:lvl>
  </w:abstractNum>
  <w:abstractNum w:abstractNumId="4">
    <w:nsid w:val="5C789704"/>
    <w:multiLevelType w:val="singleLevel"/>
    <w:tmpl w:val="5C789704"/>
    <w:lvl w:ilvl="0" w:tentative="0">
      <w:start w:val="2"/>
      <w:numFmt w:val="decimal"/>
      <w:suff w:val="nothing"/>
      <w:lvlText w:val="%1、"/>
      <w:lvlJc w:val="left"/>
    </w:lvl>
  </w:abstractNum>
  <w:abstractNum w:abstractNumId="5">
    <w:nsid w:val="5D804704"/>
    <w:multiLevelType w:val="singleLevel"/>
    <w:tmpl w:val="5D804704"/>
    <w:lvl w:ilvl="0" w:tentative="0">
      <w:start w:val="1"/>
      <w:numFmt w:val="chineseCounting"/>
      <w:suff w:val="nothing"/>
      <w:lvlText w:val="%1、"/>
      <w:lvlJc w:val="left"/>
    </w:lvl>
  </w:abstractNum>
  <w:abstractNum w:abstractNumId="6">
    <w:nsid w:val="5D804826"/>
    <w:multiLevelType w:val="singleLevel"/>
    <w:tmpl w:val="5D804826"/>
    <w:lvl w:ilvl="0" w:tentative="0">
      <w:start w:val="1"/>
      <w:numFmt w:val="decimal"/>
      <w:suff w:val="nothing"/>
      <w:lvlText w:val="%1."/>
      <w:lvlJc w:val="left"/>
    </w:lvl>
  </w:abstractNum>
  <w:abstractNum w:abstractNumId="7">
    <w:nsid w:val="5EF97004"/>
    <w:multiLevelType w:val="singleLevel"/>
    <w:tmpl w:val="5EF97004"/>
    <w:lvl w:ilvl="0" w:tentative="0">
      <w:start w:val="6"/>
      <w:numFmt w:val="chineseCounting"/>
      <w:suff w:val="space"/>
      <w:lvlText w:val="第%1章"/>
      <w:lvlJc w:val="left"/>
    </w:lvl>
  </w:abstractNum>
  <w:abstractNum w:abstractNumId="8">
    <w:nsid w:val="60D15A9A"/>
    <w:multiLevelType w:val="singleLevel"/>
    <w:tmpl w:val="60D15A9A"/>
    <w:lvl w:ilvl="0" w:tentative="0">
      <w:start w:val="1"/>
      <w:numFmt w:val="chineseCounting"/>
      <w:suff w:val="space"/>
      <w:lvlText w:val="第%1章"/>
      <w:lvlJc w:val="left"/>
    </w:lvl>
  </w:abstractNum>
  <w:abstractNum w:abstractNumId="9">
    <w:nsid w:val="61285516"/>
    <w:multiLevelType w:val="singleLevel"/>
    <w:tmpl w:val="61285516"/>
    <w:lvl w:ilvl="0" w:tentative="0">
      <w:start w:val="4"/>
      <w:numFmt w:val="decimal"/>
      <w:suff w:val="nothing"/>
      <w:lvlText w:val="%1."/>
      <w:lvlJc w:val="left"/>
    </w:lvl>
  </w:abstractNum>
  <w:abstractNum w:abstractNumId="10">
    <w:nsid w:val="6BA253E1"/>
    <w:multiLevelType w:val="singleLevel"/>
    <w:tmpl w:val="6BA253E1"/>
    <w:lvl w:ilvl="0" w:tentative="0">
      <w:start w:val="4"/>
      <w:numFmt w:val="chineseCounting"/>
      <w:suff w:val="nothing"/>
      <w:lvlText w:val="%1、"/>
      <w:lvlJc w:val="left"/>
      <w:rPr>
        <w:rFonts w:hint="eastAsia"/>
      </w:rPr>
    </w:lvl>
  </w:abstractNum>
  <w:abstractNum w:abstractNumId="11">
    <w:nsid w:val="763060DB"/>
    <w:multiLevelType w:val="multilevel"/>
    <w:tmpl w:val="763060DB"/>
    <w:lvl w:ilvl="0" w:tentative="0">
      <w:start w:val="1"/>
      <w:numFmt w:val="japaneseCounting"/>
      <w:pStyle w:val="240"/>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2">
    <w:nsid w:val="77B94E3E"/>
    <w:multiLevelType w:val="multilevel"/>
    <w:tmpl w:val="77B94E3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11"/>
  </w:num>
  <w:num w:numId="3">
    <w:abstractNumId w:val="1"/>
  </w:num>
  <w:num w:numId="4">
    <w:abstractNumId w:val="3"/>
  </w:num>
  <w:num w:numId="5">
    <w:abstractNumId w:val="11"/>
    <w:lvlOverride w:ilvl="0">
      <w:startOverride w:val="1"/>
    </w:lvlOverride>
  </w:num>
  <w:num w:numId="6">
    <w:abstractNumId w:val="8"/>
  </w:num>
  <w:num w:numId="7">
    <w:abstractNumId w:val="10"/>
  </w:num>
  <w:num w:numId="8">
    <w:abstractNumId w:val="12"/>
  </w:num>
  <w:num w:numId="9">
    <w:abstractNumId w:val="1"/>
    <w:lvlOverride w:ilvl="0">
      <w:startOverride w:val="1"/>
    </w:lvlOverride>
  </w:num>
  <w:num w:numId="10">
    <w:abstractNumId w:val="0"/>
  </w:num>
  <w:num w:numId="11">
    <w:abstractNumId w:val="5"/>
  </w:num>
  <w:num w:numId="12">
    <w:abstractNumId w:val="6"/>
  </w:num>
  <w:num w:numId="13">
    <w:abstractNumId w:val="7"/>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7B"/>
    <w:rsid w:val="00001B1F"/>
    <w:rsid w:val="00003071"/>
    <w:rsid w:val="00004202"/>
    <w:rsid w:val="00004B8F"/>
    <w:rsid w:val="00005B54"/>
    <w:rsid w:val="000064E6"/>
    <w:rsid w:val="00007195"/>
    <w:rsid w:val="00007442"/>
    <w:rsid w:val="00007522"/>
    <w:rsid w:val="00007ACC"/>
    <w:rsid w:val="00010578"/>
    <w:rsid w:val="000111FE"/>
    <w:rsid w:val="0001240B"/>
    <w:rsid w:val="00012728"/>
    <w:rsid w:val="0001523E"/>
    <w:rsid w:val="000158BC"/>
    <w:rsid w:val="00016864"/>
    <w:rsid w:val="00020B53"/>
    <w:rsid w:val="00020DCC"/>
    <w:rsid w:val="00021138"/>
    <w:rsid w:val="0002119E"/>
    <w:rsid w:val="000213FD"/>
    <w:rsid w:val="000215EC"/>
    <w:rsid w:val="000224CC"/>
    <w:rsid w:val="000225F4"/>
    <w:rsid w:val="0002351C"/>
    <w:rsid w:val="00023B79"/>
    <w:rsid w:val="00023BB2"/>
    <w:rsid w:val="000240B0"/>
    <w:rsid w:val="00024344"/>
    <w:rsid w:val="000249DC"/>
    <w:rsid w:val="000262DB"/>
    <w:rsid w:val="00027230"/>
    <w:rsid w:val="00032714"/>
    <w:rsid w:val="000347EE"/>
    <w:rsid w:val="00034C9A"/>
    <w:rsid w:val="00034DE9"/>
    <w:rsid w:val="00035091"/>
    <w:rsid w:val="00035B14"/>
    <w:rsid w:val="00036E8E"/>
    <w:rsid w:val="000403AD"/>
    <w:rsid w:val="0004093F"/>
    <w:rsid w:val="00040BDB"/>
    <w:rsid w:val="00040CF6"/>
    <w:rsid w:val="00041094"/>
    <w:rsid w:val="000418F4"/>
    <w:rsid w:val="00042778"/>
    <w:rsid w:val="00042ACE"/>
    <w:rsid w:val="0004656B"/>
    <w:rsid w:val="00046610"/>
    <w:rsid w:val="00046A8B"/>
    <w:rsid w:val="00046CF5"/>
    <w:rsid w:val="00046EC0"/>
    <w:rsid w:val="000472E7"/>
    <w:rsid w:val="00047899"/>
    <w:rsid w:val="00050454"/>
    <w:rsid w:val="000510F7"/>
    <w:rsid w:val="0005144B"/>
    <w:rsid w:val="000519AD"/>
    <w:rsid w:val="00052629"/>
    <w:rsid w:val="00054C10"/>
    <w:rsid w:val="00054CC1"/>
    <w:rsid w:val="00055C99"/>
    <w:rsid w:val="000567CD"/>
    <w:rsid w:val="000600BE"/>
    <w:rsid w:val="00061863"/>
    <w:rsid w:val="00062044"/>
    <w:rsid w:val="00062C8B"/>
    <w:rsid w:val="00063EF9"/>
    <w:rsid w:val="000643B5"/>
    <w:rsid w:val="000648F2"/>
    <w:rsid w:val="00065881"/>
    <w:rsid w:val="00065C88"/>
    <w:rsid w:val="00066273"/>
    <w:rsid w:val="00070838"/>
    <w:rsid w:val="00070D14"/>
    <w:rsid w:val="00071A93"/>
    <w:rsid w:val="00072900"/>
    <w:rsid w:val="00073C18"/>
    <w:rsid w:val="00074A63"/>
    <w:rsid w:val="00075424"/>
    <w:rsid w:val="000761AD"/>
    <w:rsid w:val="00077199"/>
    <w:rsid w:val="00080FFE"/>
    <w:rsid w:val="000828C2"/>
    <w:rsid w:val="00083A0E"/>
    <w:rsid w:val="0008431A"/>
    <w:rsid w:val="0008489C"/>
    <w:rsid w:val="00084AD7"/>
    <w:rsid w:val="00085742"/>
    <w:rsid w:val="00085ED4"/>
    <w:rsid w:val="000867E7"/>
    <w:rsid w:val="00086A4B"/>
    <w:rsid w:val="000872E4"/>
    <w:rsid w:val="00087467"/>
    <w:rsid w:val="00090218"/>
    <w:rsid w:val="00090290"/>
    <w:rsid w:val="0009133F"/>
    <w:rsid w:val="00091BE8"/>
    <w:rsid w:val="00091DA2"/>
    <w:rsid w:val="00092C49"/>
    <w:rsid w:val="00092D2D"/>
    <w:rsid w:val="00095532"/>
    <w:rsid w:val="00095586"/>
    <w:rsid w:val="00095BF7"/>
    <w:rsid w:val="00097196"/>
    <w:rsid w:val="00097258"/>
    <w:rsid w:val="000978A1"/>
    <w:rsid w:val="00097E0D"/>
    <w:rsid w:val="000A09AA"/>
    <w:rsid w:val="000A0CCD"/>
    <w:rsid w:val="000A13B6"/>
    <w:rsid w:val="000A1B42"/>
    <w:rsid w:val="000A2E86"/>
    <w:rsid w:val="000A36A3"/>
    <w:rsid w:val="000A459E"/>
    <w:rsid w:val="000A4F96"/>
    <w:rsid w:val="000A593E"/>
    <w:rsid w:val="000A5AFF"/>
    <w:rsid w:val="000A6E37"/>
    <w:rsid w:val="000B0BB4"/>
    <w:rsid w:val="000B24D5"/>
    <w:rsid w:val="000B2E3B"/>
    <w:rsid w:val="000B34DD"/>
    <w:rsid w:val="000B44A5"/>
    <w:rsid w:val="000B48DB"/>
    <w:rsid w:val="000B5579"/>
    <w:rsid w:val="000B63E7"/>
    <w:rsid w:val="000B6A1A"/>
    <w:rsid w:val="000B6C6B"/>
    <w:rsid w:val="000B70A0"/>
    <w:rsid w:val="000C0517"/>
    <w:rsid w:val="000C064D"/>
    <w:rsid w:val="000C5C3C"/>
    <w:rsid w:val="000C5D28"/>
    <w:rsid w:val="000C745F"/>
    <w:rsid w:val="000C7562"/>
    <w:rsid w:val="000C7773"/>
    <w:rsid w:val="000D119F"/>
    <w:rsid w:val="000D15A7"/>
    <w:rsid w:val="000D2081"/>
    <w:rsid w:val="000D263F"/>
    <w:rsid w:val="000D3123"/>
    <w:rsid w:val="000D333C"/>
    <w:rsid w:val="000D3841"/>
    <w:rsid w:val="000D4B18"/>
    <w:rsid w:val="000D5FD7"/>
    <w:rsid w:val="000D6137"/>
    <w:rsid w:val="000D721C"/>
    <w:rsid w:val="000D7A08"/>
    <w:rsid w:val="000D7DE6"/>
    <w:rsid w:val="000E0B14"/>
    <w:rsid w:val="000E2EB2"/>
    <w:rsid w:val="000E510E"/>
    <w:rsid w:val="000E5B86"/>
    <w:rsid w:val="000E6103"/>
    <w:rsid w:val="000E64E8"/>
    <w:rsid w:val="000E6FFE"/>
    <w:rsid w:val="000E7994"/>
    <w:rsid w:val="000E7A10"/>
    <w:rsid w:val="000E7F56"/>
    <w:rsid w:val="000F0C48"/>
    <w:rsid w:val="000F1A1D"/>
    <w:rsid w:val="000F2248"/>
    <w:rsid w:val="000F2955"/>
    <w:rsid w:val="000F3669"/>
    <w:rsid w:val="000F3823"/>
    <w:rsid w:val="000F3D1B"/>
    <w:rsid w:val="000F426A"/>
    <w:rsid w:val="000F5BD5"/>
    <w:rsid w:val="000F6878"/>
    <w:rsid w:val="000F6E76"/>
    <w:rsid w:val="000F78B9"/>
    <w:rsid w:val="00101355"/>
    <w:rsid w:val="00102614"/>
    <w:rsid w:val="001027BA"/>
    <w:rsid w:val="0010337A"/>
    <w:rsid w:val="00103721"/>
    <w:rsid w:val="00104346"/>
    <w:rsid w:val="0010481A"/>
    <w:rsid w:val="001048B1"/>
    <w:rsid w:val="0010496C"/>
    <w:rsid w:val="001056B0"/>
    <w:rsid w:val="00105A17"/>
    <w:rsid w:val="00105D23"/>
    <w:rsid w:val="00105FED"/>
    <w:rsid w:val="001072FC"/>
    <w:rsid w:val="00107371"/>
    <w:rsid w:val="001073A8"/>
    <w:rsid w:val="00107749"/>
    <w:rsid w:val="0010783A"/>
    <w:rsid w:val="00107DD6"/>
    <w:rsid w:val="00110D40"/>
    <w:rsid w:val="001123E6"/>
    <w:rsid w:val="001125A0"/>
    <w:rsid w:val="00112D45"/>
    <w:rsid w:val="00112E08"/>
    <w:rsid w:val="00113A21"/>
    <w:rsid w:val="00113C97"/>
    <w:rsid w:val="00114921"/>
    <w:rsid w:val="00116BF4"/>
    <w:rsid w:val="001200F5"/>
    <w:rsid w:val="00120507"/>
    <w:rsid w:val="001209F4"/>
    <w:rsid w:val="00121776"/>
    <w:rsid w:val="00122BE9"/>
    <w:rsid w:val="001244B1"/>
    <w:rsid w:val="00124A4B"/>
    <w:rsid w:val="00125D06"/>
    <w:rsid w:val="001305C8"/>
    <w:rsid w:val="00130B11"/>
    <w:rsid w:val="00131A4F"/>
    <w:rsid w:val="00131EB0"/>
    <w:rsid w:val="001323AF"/>
    <w:rsid w:val="001323C0"/>
    <w:rsid w:val="001329BF"/>
    <w:rsid w:val="00132F5F"/>
    <w:rsid w:val="00132F95"/>
    <w:rsid w:val="001331DC"/>
    <w:rsid w:val="0013392D"/>
    <w:rsid w:val="00134CE7"/>
    <w:rsid w:val="001353AC"/>
    <w:rsid w:val="001353EB"/>
    <w:rsid w:val="00141584"/>
    <w:rsid w:val="001417DD"/>
    <w:rsid w:val="00141C12"/>
    <w:rsid w:val="0014216A"/>
    <w:rsid w:val="00142DF6"/>
    <w:rsid w:val="00143616"/>
    <w:rsid w:val="00144791"/>
    <w:rsid w:val="00145139"/>
    <w:rsid w:val="00145EA8"/>
    <w:rsid w:val="001469AD"/>
    <w:rsid w:val="0015089B"/>
    <w:rsid w:val="001514E4"/>
    <w:rsid w:val="00151850"/>
    <w:rsid w:val="00151D61"/>
    <w:rsid w:val="00151F89"/>
    <w:rsid w:val="00151F9B"/>
    <w:rsid w:val="00152136"/>
    <w:rsid w:val="0015229A"/>
    <w:rsid w:val="001536F2"/>
    <w:rsid w:val="00153C87"/>
    <w:rsid w:val="00155630"/>
    <w:rsid w:val="0015661A"/>
    <w:rsid w:val="001566CD"/>
    <w:rsid w:val="001571BF"/>
    <w:rsid w:val="00157FCC"/>
    <w:rsid w:val="001612B1"/>
    <w:rsid w:val="00161AC5"/>
    <w:rsid w:val="00161BCF"/>
    <w:rsid w:val="0016248F"/>
    <w:rsid w:val="00162609"/>
    <w:rsid w:val="0016264C"/>
    <w:rsid w:val="00162678"/>
    <w:rsid w:val="00162766"/>
    <w:rsid w:val="001630AA"/>
    <w:rsid w:val="001632DF"/>
    <w:rsid w:val="00163A43"/>
    <w:rsid w:val="00163C17"/>
    <w:rsid w:val="0016501B"/>
    <w:rsid w:val="001673FB"/>
    <w:rsid w:val="001677B0"/>
    <w:rsid w:val="001677B2"/>
    <w:rsid w:val="00167A37"/>
    <w:rsid w:val="001703BB"/>
    <w:rsid w:val="001710F5"/>
    <w:rsid w:val="001754DC"/>
    <w:rsid w:val="00175658"/>
    <w:rsid w:val="00176E14"/>
    <w:rsid w:val="0018234F"/>
    <w:rsid w:val="00182A2B"/>
    <w:rsid w:val="00183D96"/>
    <w:rsid w:val="0018590D"/>
    <w:rsid w:val="00187B82"/>
    <w:rsid w:val="001906CD"/>
    <w:rsid w:val="00190730"/>
    <w:rsid w:val="00190AA0"/>
    <w:rsid w:val="00190D8C"/>
    <w:rsid w:val="00190FB8"/>
    <w:rsid w:val="00191635"/>
    <w:rsid w:val="001917B3"/>
    <w:rsid w:val="0019181D"/>
    <w:rsid w:val="00192AC7"/>
    <w:rsid w:val="00192DE6"/>
    <w:rsid w:val="00193A91"/>
    <w:rsid w:val="00194880"/>
    <w:rsid w:val="00195833"/>
    <w:rsid w:val="00196B2B"/>
    <w:rsid w:val="00196FB3"/>
    <w:rsid w:val="001978C2"/>
    <w:rsid w:val="001A0330"/>
    <w:rsid w:val="001A0F82"/>
    <w:rsid w:val="001A1890"/>
    <w:rsid w:val="001A2441"/>
    <w:rsid w:val="001A2AAC"/>
    <w:rsid w:val="001A3562"/>
    <w:rsid w:val="001A3AB6"/>
    <w:rsid w:val="001A41A9"/>
    <w:rsid w:val="001A6AAD"/>
    <w:rsid w:val="001A7369"/>
    <w:rsid w:val="001B0034"/>
    <w:rsid w:val="001B03EC"/>
    <w:rsid w:val="001B178E"/>
    <w:rsid w:val="001B1845"/>
    <w:rsid w:val="001B1BCC"/>
    <w:rsid w:val="001B24D4"/>
    <w:rsid w:val="001B2E25"/>
    <w:rsid w:val="001B2EEE"/>
    <w:rsid w:val="001B30C3"/>
    <w:rsid w:val="001B3A38"/>
    <w:rsid w:val="001B431B"/>
    <w:rsid w:val="001B506B"/>
    <w:rsid w:val="001B5215"/>
    <w:rsid w:val="001B6E66"/>
    <w:rsid w:val="001B773D"/>
    <w:rsid w:val="001C0E59"/>
    <w:rsid w:val="001C2852"/>
    <w:rsid w:val="001C433F"/>
    <w:rsid w:val="001C4A8C"/>
    <w:rsid w:val="001C5E17"/>
    <w:rsid w:val="001C66B4"/>
    <w:rsid w:val="001C6DC9"/>
    <w:rsid w:val="001C71F6"/>
    <w:rsid w:val="001C7415"/>
    <w:rsid w:val="001C7EF3"/>
    <w:rsid w:val="001D0764"/>
    <w:rsid w:val="001D1CD6"/>
    <w:rsid w:val="001D1DA2"/>
    <w:rsid w:val="001D1F53"/>
    <w:rsid w:val="001D2064"/>
    <w:rsid w:val="001D3192"/>
    <w:rsid w:val="001D4750"/>
    <w:rsid w:val="001D5FBD"/>
    <w:rsid w:val="001D641D"/>
    <w:rsid w:val="001E2871"/>
    <w:rsid w:val="001E6F4B"/>
    <w:rsid w:val="001E74EB"/>
    <w:rsid w:val="001F05FF"/>
    <w:rsid w:val="001F0816"/>
    <w:rsid w:val="001F3D16"/>
    <w:rsid w:val="001F42D6"/>
    <w:rsid w:val="0020037A"/>
    <w:rsid w:val="00200518"/>
    <w:rsid w:val="00201F61"/>
    <w:rsid w:val="0020270A"/>
    <w:rsid w:val="00202851"/>
    <w:rsid w:val="00202EC6"/>
    <w:rsid w:val="00203CFD"/>
    <w:rsid w:val="00205982"/>
    <w:rsid w:val="002059B9"/>
    <w:rsid w:val="00205B76"/>
    <w:rsid w:val="00205CBD"/>
    <w:rsid w:val="0020742D"/>
    <w:rsid w:val="00211CED"/>
    <w:rsid w:val="00212193"/>
    <w:rsid w:val="00212307"/>
    <w:rsid w:val="002123D8"/>
    <w:rsid w:val="00213F7D"/>
    <w:rsid w:val="00213FD3"/>
    <w:rsid w:val="0021552F"/>
    <w:rsid w:val="00215554"/>
    <w:rsid w:val="00215835"/>
    <w:rsid w:val="00215B0A"/>
    <w:rsid w:val="0021672B"/>
    <w:rsid w:val="00221031"/>
    <w:rsid w:val="00221900"/>
    <w:rsid w:val="00222C05"/>
    <w:rsid w:val="00223361"/>
    <w:rsid w:val="002240DB"/>
    <w:rsid w:val="002263C3"/>
    <w:rsid w:val="00226524"/>
    <w:rsid w:val="0022661F"/>
    <w:rsid w:val="00226E39"/>
    <w:rsid w:val="0022788D"/>
    <w:rsid w:val="00227BE3"/>
    <w:rsid w:val="002317A1"/>
    <w:rsid w:val="00231B40"/>
    <w:rsid w:val="00231C3D"/>
    <w:rsid w:val="00232154"/>
    <w:rsid w:val="00232A83"/>
    <w:rsid w:val="00232B6B"/>
    <w:rsid w:val="002335F2"/>
    <w:rsid w:val="00234955"/>
    <w:rsid w:val="00234CC5"/>
    <w:rsid w:val="00235961"/>
    <w:rsid w:val="00236D57"/>
    <w:rsid w:val="00237920"/>
    <w:rsid w:val="002401F0"/>
    <w:rsid w:val="002408C2"/>
    <w:rsid w:val="00241525"/>
    <w:rsid w:val="00241C30"/>
    <w:rsid w:val="00242B98"/>
    <w:rsid w:val="00244DA9"/>
    <w:rsid w:val="002464AE"/>
    <w:rsid w:val="00247D8B"/>
    <w:rsid w:val="00250CA6"/>
    <w:rsid w:val="00251154"/>
    <w:rsid w:val="002522A2"/>
    <w:rsid w:val="00252397"/>
    <w:rsid w:val="00252405"/>
    <w:rsid w:val="00252406"/>
    <w:rsid w:val="00252874"/>
    <w:rsid w:val="00254BA3"/>
    <w:rsid w:val="002556CB"/>
    <w:rsid w:val="00256904"/>
    <w:rsid w:val="00257787"/>
    <w:rsid w:val="00257BE2"/>
    <w:rsid w:val="0026083E"/>
    <w:rsid w:val="00262315"/>
    <w:rsid w:val="002623B5"/>
    <w:rsid w:val="00262B84"/>
    <w:rsid w:val="002630BF"/>
    <w:rsid w:val="00263BE9"/>
    <w:rsid w:val="00263DDF"/>
    <w:rsid w:val="00263E44"/>
    <w:rsid w:val="002653E3"/>
    <w:rsid w:val="00265496"/>
    <w:rsid w:val="0027080E"/>
    <w:rsid w:val="00270A1C"/>
    <w:rsid w:val="002715F8"/>
    <w:rsid w:val="00271B57"/>
    <w:rsid w:val="00272AB6"/>
    <w:rsid w:val="00272C20"/>
    <w:rsid w:val="00272DD4"/>
    <w:rsid w:val="0027374D"/>
    <w:rsid w:val="00274C11"/>
    <w:rsid w:val="002750AA"/>
    <w:rsid w:val="00276189"/>
    <w:rsid w:val="002763E9"/>
    <w:rsid w:val="00276B8B"/>
    <w:rsid w:val="002770C2"/>
    <w:rsid w:val="002805B5"/>
    <w:rsid w:val="00280E85"/>
    <w:rsid w:val="0028167B"/>
    <w:rsid w:val="00281A4E"/>
    <w:rsid w:val="00281C04"/>
    <w:rsid w:val="00282218"/>
    <w:rsid w:val="002823BC"/>
    <w:rsid w:val="002829B6"/>
    <w:rsid w:val="002838C5"/>
    <w:rsid w:val="00284F45"/>
    <w:rsid w:val="00285087"/>
    <w:rsid w:val="00285A38"/>
    <w:rsid w:val="00290DCC"/>
    <w:rsid w:val="00291068"/>
    <w:rsid w:val="00291380"/>
    <w:rsid w:val="0029481E"/>
    <w:rsid w:val="00295154"/>
    <w:rsid w:val="002951BB"/>
    <w:rsid w:val="0029632A"/>
    <w:rsid w:val="002A0872"/>
    <w:rsid w:val="002A0D6C"/>
    <w:rsid w:val="002A1AC7"/>
    <w:rsid w:val="002A29BA"/>
    <w:rsid w:val="002A3F18"/>
    <w:rsid w:val="002A468F"/>
    <w:rsid w:val="002A4CBC"/>
    <w:rsid w:val="002A6918"/>
    <w:rsid w:val="002A6B20"/>
    <w:rsid w:val="002A6DC6"/>
    <w:rsid w:val="002B0675"/>
    <w:rsid w:val="002B0901"/>
    <w:rsid w:val="002B19C2"/>
    <w:rsid w:val="002B2017"/>
    <w:rsid w:val="002B20D7"/>
    <w:rsid w:val="002B2784"/>
    <w:rsid w:val="002B2D24"/>
    <w:rsid w:val="002B463F"/>
    <w:rsid w:val="002B4E48"/>
    <w:rsid w:val="002B5A55"/>
    <w:rsid w:val="002B67AF"/>
    <w:rsid w:val="002B7DEA"/>
    <w:rsid w:val="002C005B"/>
    <w:rsid w:val="002C0599"/>
    <w:rsid w:val="002C0EB5"/>
    <w:rsid w:val="002C2AE2"/>
    <w:rsid w:val="002C33E9"/>
    <w:rsid w:val="002C6343"/>
    <w:rsid w:val="002C6738"/>
    <w:rsid w:val="002C6806"/>
    <w:rsid w:val="002C6F18"/>
    <w:rsid w:val="002D1C40"/>
    <w:rsid w:val="002D2121"/>
    <w:rsid w:val="002D2BC2"/>
    <w:rsid w:val="002D408B"/>
    <w:rsid w:val="002D5263"/>
    <w:rsid w:val="002D6998"/>
    <w:rsid w:val="002D6CF5"/>
    <w:rsid w:val="002E07FB"/>
    <w:rsid w:val="002E0CB4"/>
    <w:rsid w:val="002E17C5"/>
    <w:rsid w:val="002E1C43"/>
    <w:rsid w:val="002E21E3"/>
    <w:rsid w:val="002E43DA"/>
    <w:rsid w:val="002E4593"/>
    <w:rsid w:val="002E47A2"/>
    <w:rsid w:val="002E5E5B"/>
    <w:rsid w:val="002E7594"/>
    <w:rsid w:val="002F0417"/>
    <w:rsid w:val="002F087B"/>
    <w:rsid w:val="002F2064"/>
    <w:rsid w:val="002F28AF"/>
    <w:rsid w:val="002F2CFB"/>
    <w:rsid w:val="002F33C2"/>
    <w:rsid w:val="002F3592"/>
    <w:rsid w:val="002F3C3B"/>
    <w:rsid w:val="002F3E17"/>
    <w:rsid w:val="002F3F2D"/>
    <w:rsid w:val="002F40F6"/>
    <w:rsid w:val="002F4C8C"/>
    <w:rsid w:val="002F564E"/>
    <w:rsid w:val="002F5756"/>
    <w:rsid w:val="002F5AA7"/>
    <w:rsid w:val="002F5C7A"/>
    <w:rsid w:val="002F61D1"/>
    <w:rsid w:val="002F7638"/>
    <w:rsid w:val="003004C5"/>
    <w:rsid w:val="00301607"/>
    <w:rsid w:val="003022D6"/>
    <w:rsid w:val="00303513"/>
    <w:rsid w:val="00304055"/>
    <w:rsid w:val="00304697"/>
    <w:rsid w:val="00304EEC"/>
    <w:rsid w:val="003064F6"/>
    <w:rsid w:val="00306EC2"/>
    <w:rsid w:val="003070DE"/>
    <w:rsid w:val="0031000A"/>
    <w:rsid w:val="00310C33"/>
    <w:rsid w:val="00312038"/>
    <w:rsid w:val="003145F4"/>
    <w:rsid w:val="0031492B"/>
    <w:rsid w:val="00315644"/>
    <w:rsid w:val="00317149"/>
    <w:rsid w:val="00317B33"/>
    <w:rsid w:val="00317F1B"/>
    <w:rsid w:val="00320F80"/>
    <w:rsid w:val="003213C1"/>
    <w:rsid w:val="0032152D"/>
    <w:rsid w:val="00323273"/>
    <w:rsid w:val="0032335D"/>
    <w:rsid w:val="003240E3"/>
    <w:rsid w:val="003244FA"/>
    <w:rsid w:val="00324CD9"/>
    <w:rsid w:val="0032514D"/>
    <w:rsid w:val="00326719"/>
    <w:rsid w:val="00326BB5"/>
    <w:rsid w:val="00326C65"/>
    <w:rsid w:val="00327B58"/>
    <w:rsid w:val="00332460"/>
    <w:rsid w:val="00334C4A"/>
    <w:rsid w:val="00335067"/>
    <w:rsid w:val="00335B95"/>
    <w:rsid w:val="0033623D"/>
    <w:rsid w:val="00336CA6"/>
    <w:rsid w:val="00336E17"/>
    <w:rsid w:val="00337630"/>
    <w:rsid w:val="0033789E"/>
    <w:rsid w:val="00342F47"/>
    <w:rsid w:val="00343667"/>
    <w:rsid w:val="00344399"/>
    <w:rsid w:val="0034485C"/>
    <w:rsid w:val="003451E8"/>
    <w:rsid w:val="0034777F"/>
    <w:rsid w:val="0035049F"/>
    <w:rsid w:val="003504CD"/>
    <w:rsid w:val="00351453"/>
    <w:rsid w:val="003516B0"/>
    <w:rsid w:val="0035183D"/>
    <w:rsid w:val="0035227C"/>
    <w:rsid w:val="003527B3"/>
    <w:rsid w:val="00352CC5"/>
    <w:rsid w:val="00353C58"/>
    <w:rsid w:val="00354289"/>
    <w:rsid w:val="0035460A"/>
    <w:rsid w:val="0035471E"/>
    <w:rsid w:val="0035484D"/>
    <w:rsid w:val="00354B13"/>
    <w:rsid w:val="003550DA"/>
    <w:rsid w:val="003555E6"/>
    <w:rsid w:val="003563DF"/>
    <w:rsid w:val="00356FCA"/>
    <w:rsid w:val="003575EE"/>
    <w:rsid w:val="00357B60"/>
    <w:rsid w:val="00360108"/>
    <w:rsid w:val="003611D9"/>
    <w:rsid w:val="00362D64"/>
    <w:rsid w:val="00363BEA"/>
    <w:rsid w:val="00365954"/>
    <w:rsid w:val="003670F8"/>
    <w:rsid w:val="00370D81"/>
    <w:rsid w:val="00371DB1"/>
    <w:rsid w:val="00371F4C"/>
    <w:rsid w:val="0037268C"/>
    <w:rsid w:val="00372AEB"/>
    <w:rsid w:val="00373134"/>
    <w:rsid w:val="003750FA"/>
    <w:rsid w:val="003754A7"/>
    <w:rsid w:val="0037777D"/>
    <w:rsid w:val="00382209"/>
    <w:rsid w:val="0038512C"/>
    <w:rsid w:val="0038680D"/>
    <w:rsid w:val="003871BE"/>
    <w:rsid w:val="00387940"/>
    <w:rsid w:val="003906FD"/>
    <w:rsid w:val="00390A4A"/>
    <w:rsid w:val="0039108F"/>
    <w:rsid w:val="003918FE"/>
    <w:rsid w:val="00391CAB"/>
    <w:rsid w:val="00391CD5"/>
    <w:rsid w:val="00393F52"/>
    <w:rsid w:val="00393F5F"/>
    <w:rsid w:val="003940CA"/>
    <w:rsid w:val="00396EA8"/>
    <w:rsid w:val="003972B2"/>
    <w:rsid w:val="003A057C"/>
    <w:rsid w:val="003A09EC"/>
    <w:rsid w:val="003A0E79"/>
    <w:rsid w:val="003A10A1"/>
    <w:rsid w:val="003A307F"/>
    <w:rsid w:val="003A3DEE"/>
    <w:rsid w:val="003A4DEE"/>
    <w:rsid w:val="003A5729"/>
    <w:rsid w:val="003A6305"/>
    <w:rsid w:val="003A6C07"/>
    <w:rsid w:val="003A7469"/>
    <w:rsid w:val="003B0B08"/>
    <w:rsid w:val="003B1F04"/>
    <w:rsid w:val="003B3916"/>
    <w:rsid w:val="003B3EF8"/>
    <w:rsid w:val="003B4573"/>
    <w:rsid w:val="003B5FA9"/>
    <w:rsid w:val="003B604A"/>
    <w:rsid w:val="003B6AE4"/>
    <w:rsid w:val="003B73B8"/>
    <w:rsid w:val="003B7803"/>
    <w:rsid w:val="003C0608"/>
    <w:rsid w:val="003C0864"/>
    <w:rsid w:val="003C0AFF"/>
    <w:rsid w:val="003C15C1"/>
    <w:rsid w:val="003C19E0"/>
    <w:rsid w:val="003C1B92"/>
    <w:rsid w:val="003C1BFF"/>
    <w:rsid w:val="003C1F6D"/>
    <w:rsid w:val="003C1F9A"/>
    <w:rsid w:val="003C271C"/>
    <w:rsid w:val="003C2A2D"/>
    <w:rsid w:val="003C2B71"/>
    <w:rsid w:val="003C2FB8"/>
    <w:rsid w:val="003C34F5"/>
    <w:rsid w:val="003C5F67"/>
    <w:rsid w:val="003D1FC8"/>
    <w:rsid w:val="003D22CF"/>
    <w:rsid w:val="003D2731"/>
    <w:rsid w:val="003D2A76"/>
    <w:rsid w:val="003D3790"/>
    <w:rsid w:val="003D39DA"/>
    <w:rsid w:val="003D45B6"/>
    <w:rsid w:val="003D4896"/>
    <w:rsid w:val="003D523E"/>
    <w:rsid w:val="003D5638"/>
    <w:rsid w:val="003D5653"/>
    <w:rsid w:val="003D56E3"/>
    <w:rsid w:val="003E08D8"/>
    <w:rsid w:val="003E0E3A"/>
    <w:rsid w:val="003E20D8"/>
    <w:rsid w:val="003E2292"/>
    <w:rsid w:val="003E24AF"/>
    <w:rsid w:val="003E33C8"/>
    <w:rsid w:val="003E3D70"/>
    <w:rsid w:val="003E6893"/>
    <w:rsid w:val="003E71A6"/>
    <w:rsid w:val="003F0420"/>
    <w:rsid w:val="003F1192"/>
    <w:rsid w:val="003F27E7"/>
    <w:rsid w:val="003F347E"/>
    <w:rsid w:val="003F3698"/>
    <w:rsid w:val="003F406A"/>
    <w:rsid w:val="003F477F"/>
    <w:rsid w:val="003F6470"/>
    <w:rsid w:val="003F6B25"/>
    <w:rsid w:val="0040002F"/>
    <w:rsid w:val="004018AA"/>
    <w:rsid w:val="004024BC"/>
    <w:rsid w:val="00402840"/>
    <w:rsid w:val="0040321A"/>
    <w:rsid w:val="00403731"/>
    <w:rsid w:val="004043AE"/>
    <w:rsid w:val="00405287"/>
    <w:rsid w:val="00405C5F"/>
    <w:rsid w:val="004074ED"/>
    <w:rsid w:val="00407BF3"/>
    <w:rsid w:val="0041253E"/>
    <w:rsid w:val="00412AC4"/>
    <w:rsid w:val="004138B3"/>
    <w:rsid w:val="0041464D"/>
    <w:rsid w:val="00414E9E"/>
    <w:rsid w:val="004158F6"/>
    <w:rsid w:val="00415EF9"/>
    <w:rsid w:val="004164A1"/>
    <w:rsid w:val="00416F72"/>
    <w:rsid w:val="0041705E"/>
    <w:rsid w:val="00417536"/>
    <w:rsid w:val="00417B2C"/>
    <w:rsid w:val="0042166B"/>
    <w:rsid w:val="00423951"/>
    <w:rsid w:val="00424D3E"/>
    <w:rsid w:val="004254B5"/>
    <w:rsid w:val="0042623E"/>
    <w:rsid w:val="0042649B"/>
    <w:rsid w:val="00427120"/>
    <w:rsid w:val="004273B0"/>
    <w:rsid w:val="00427950"/>
    <w:rsid w:val="004279CE"/>
    <w:rsid w:val="0043039A"/>
    <w:rsid w:val="0043204A"/>
    <w:rsid w:val="00432B70"/>
    <w:rsid w:val="00433A67"/>
    <w:rsid w:val="004341DA"/>
    <w:rsid w:val="00434A1A"/>
    <w:rsid w:val="004361C5"/>
    <w:rsid w:val="00436FE0"/>
    <w:rsid w:val="004372FF"/>
    <w:rsid w:val="00440E13"/>
    <w:rsid w:val="00441724"/>
    <w:rsid w:val="0044223A"/>
    <w:rsid w:val="0044437F"/>
    <w:rsid w:val="004451C5"/>
    <w:rsid w:val="00445229"/>
    <w:rsid w:val="00450617"/>
    <w:rsid w:val="00452810"/>
    <w:rsid w:val="004529B6"/>
    <w:rsid w:val="00453487"/>
    <w:rsid w:val="004553FE"/>
    <w:rsid w:val="004572A0"/>
    <w:rsid w:val="00460191"/>
    <w:rsid w:val="004620D6"/>
    <w:rsid w:val="0046329F"/>
    <w:rsid w:val="004639F9"/>
    <w:rsid w:val="00464A0A"/>
    <w:rsid w:val="00465DE5"/>
    <w:rsid w:val="00466F47"/>
    <w:rsid w:val="004674B6"/>
    <w:rsid w:val="0047166C"/>
    <w:rsid w:val="004721C5"/>
    <w:rsid w:val="00473745"/>
    <w:rsid w:val="00473A8A"/>
    <w:rsid w:val="00473CA3"/>
    <w:rsid w:val="004746C6"/>
    <w:rsid w:val="0047545C"/>
    <w:rsid w:val="00475C47"/>
    <w:rsid w:val="00476256"/>
    <w:rsid w:val="00477BDC"/>
    <w:rsid w:val="00477F4D"/>
    <w:rsid w:val="00480648"/>
    <w:rsid w:val="00481FA5"/>
    <w:rsid w:val="00482068"/>
    <w:rsid w:val="004824AD"/>
    <w:rsid w:val="004826D5"/>
    <w:rsid w:val="00484452"/>
    <w:rsid w:val="00484823"/>
    <w:rsid w:val="00486439"/>
    <w:rsid w:val="00486579"/>
    <w:rsid w:val="00486A2B"/>
    <w:rsid w:val="00487921"/>
    <w:rsid w:val="0049066D"/>
    <w:rsid w:val="00490D35"/>
    <w:rsid w:val="00491021"/>
    <w:rsid w:val="00491950"/>
    <w:rsid w:val="00492534"/>
    <w:rsid w:val="00495409"/>
    <w:rsid w:val="00495729"/>
    <w:rsid w:val="00496F8A"/>
    <w:rsid w:val="004978E7"/>
    <w:rsid w:val="004A1BB4"/>
    <w:rsid w:val="004A1E42"/>
    <w:rsid w:val="004A2153"/>
    <w:rsid w:val="004A25EA"/>
    <w:rsid w:val="004A3590"/>
    <w:rsid w:val="004A35ED"/>
    <w:rsid w:val="004A3E46"/>
    <w:rsid w:val="004A431B"/>
    <w:rsid w:val="004A456A"/>
    <w:rsid w:val="004A525C"/>
    <w:rsid w:val="004A55C6"/>
    <w:rsid w:val="004A5784"/>
    <w:rsid w:val="004A5987"/>
    <w:rsid w:val="004A5EE5"/>
    <w:rsid w:val="004A6457"/>
    <w:rsid w:val="004A6A91"/>
    <w:rsid w:val="004A6AF8"/>
    <w:rsid w:val="004A767C"/>
    <w:rsid w:val="004B23C1"/>
    <w:rsid w:val="004B2DF0"/>
    <w:rsid w:val="004B30EB"/>
    <w:rsid w:val="004B32AB"/>
    <w:rsid w:val="004B3909"/>
    <w:rsid w:val="004B4311"/>
    <w:rsid w:val="004B5652"/>
    <w:rsid w:val="004B5795"/>
    <w:rsid w:val="004B5C4F"/>
    <w:rsid w:val="004B734F"/>
    <w:rsid w:val="004C03C8"/>
    <w:rsid w:val="004C0ED9"/>
    <w:rsid w:val="004C1523"/>
    <w:rsid w:val="004C2EF3"/>
    <w:rsid w:val="004C3149"/>
    <w:rsid w:val="004C35BA"/>
    <w:rsid w:val="004C398A"/>
    <w:rsid w:val="004C4183"/>
    <w:rsid w:val="004C4588"/>
    <w:rsid w:val="004C4F6A"/>
    <w:rsid w:val="004C5127"/>
    <w:rsid w:val="004C63E5"/>
    <w:rsid w:val="004C6853"/>
    <w:rsid w:val="004C7662"/>
    <w:rsid w:val="004D015E"/>
    <w:rsid w:val="004D0742"/>
    <w:rsid w:val="004D0CAE"/>
    <w:rsid w:val="004D3CA2"/>
    <w:rsid w:val="004D3E08"/>
    <w:rsid w:val="004D3E45"/>
    <w:rsid w:val="004D3F4B"/>
    <w:rsid w:val="004D3F5A"/>
    <w:rsid w:val="004D5515"/>
    <w:rsid w:val="004D559E"/>
    <w:rsid w:val="004D5D2A"/>
    <w:rsid w:val="004D60A2"/>
    <w:rsid w:val="004D612A"/>
    <w:rsid w:val="004D6993"/>
    <w:rsid w:val="004D6FD6"/>
    <w:rsid w:val="004D7C75"/>
    <w:rsid w:val="004E0C6C"/>
    <w:rsid w:val="004E1174"/>
    <w:rsid w:val="004E1B24"/>
    <w:rsid w:val="004E2B39"/>
    <w:rsid w:val="004E37C6"/>
    <w:rsid w:val="004E66B8"/>
    <w:rsid w:val="004E6D9A"/>
    <w:rsid w:val="004E750E"/>
    <w:rsid w:val="004E77E3"/>
    <w:rsid w:val="004E7A69"/>
    <w:rsid w:val="004F0587"/>
    <w:rsid w:val="004F136D"/>
    <w:rsid w:val="004F1766"/>
    <w:rsid w:val="004F1932"/>
    <w:rsid w:val="004F31B7"/>
    <w:rsid w:val="004F5542"/>
    <w:rsid w:val="004F5760"/>
    <w:rsid w:val="004F58AC"/>
    <w:rsid w:val="004F712D"/>
    <w:rsid w:val="005000B9"/>
    <w:rsid w:val="00500DCF"/>
    <w:rsid w:val="00501099"/>
    <w:rsid w:val="0050130A"/>
    <w:rsid w:val="00501E84"/>
    <w:rsid w:val="005023C6"/>
    <w:rsid w:val="005037ED"/>
    <w:rsid w:val="00503D54"/>
    <w:rsid w:val="00504AA0"/>
    <w:rsid w:val="005078FC"/>
    <w:rsid w:val="00507B58"/>
    <w:rsid w:val="0051033A"/>
    <w:rsid w:val="0051285F"/>
    <w:rsid w:val="00512B24"/>
    <w:rsid w:val="00515E84"/>
    <w:rsid w:val="0051663F"/>
    <w:rsid w:val="005172C5"/>
    <w:rsid w:val="005178EB"/>
    <w:rsid w:val="00517E00"/>
    <w:rsid w:val="0052008E"/>
    <w:rsid w:val="00520EA6"/>
    <w:rsid w:val="0052136A"/>
    <w:rsid w:val="0052196E"/>
    <w:rsid w:val="00522044"/>
    <w:rsid w:val="0052305F"/>
    <w:rsid w:val="005233E7"/>
    <w:rsid w:val="005243AC"/>
    <w:rsid w:val="005246D9"/>
    <w:rsid w:val="00525E24"/>
    <w:rsid w:val="00526ACA"/>
    <w:rsid w:val="00526ACB"/>
    <w:rsid w:val="005273E6"/>
    <w:rsid w:val="005302A6"/>
    <w:rsid w:val="00530412"/>
    <w:rsid w:val="00530D4B"/>
    <w:rsid w:val="00531A86"/>
    <w:rsid w:val="00532A0E"/>
    <w:rsid w:val="00532EC0"/>
    <w:rsid w:val="0053324C"/>
    <w:rsid w:val="00534A60"/>
    <w:rsid w:val="00534CDE"/>
    <w:rsid w:val="00534E1D"/>
    <w:rsid w:val="00535542"/>
    <w:rsid w:val="005365A4"/>
    <w:rsid w:val="005401F4"/>
    <w:rsid w:val="005412D2"/>
    <w:rsid w:val="00543D82"/>
    <w:rsid w:val="00544857"/>
    <w:rsid w:val="00544FC9"/>
    <w:rsid w:val="005452BE"/>
    <w:rsid w:val="0055086D"/>
    <w:rsid w:val="00550FE5"/>
    <w:rsid w:val="0055236B"/>
    <w:rsid w:val="00553BEB"/>
    <w:rsid w:val="00553CEC"/>
    <w:rsid w:val="00554B6F"/>
    <w:rsid w:val="00554FFE"/>
    <w:rsid w:val="00555002"/>
    <w:rsid w:val="00555B5A"/>
    <w:rsid w:val="00557AB2"/>
    <w:rsid w:val="005600A9"/>
    <w:rsid w:val="00560804"/>
    <w:rsid w:val="0056098D"/>
    <w:rsid w:val="00560FF7"/>
    <w:rsid w:val="0056186A"/>
    <w:rsid w:val="0056239D"/>
    <w:rsid w:val="005635B6"/>
    <w:rsid w:val="00563F53"/>
    <w:rsid w:val="005642DD"/>
    <w:rsid w:val="00565013"/>
    <w:rsid w:val="0056547C"/>
    <w:rsid w:val="0056598B"/>
    <w:rsid w:val="00565F31"/>
    <w:rsid w:val="00566D9E"/>
    <w:rsid w:val="0056734D"/>
    <w:rsid w:val="005702F3"/>
    <w:rsid w:val="00570B3F"/>
    <w:rsid w:val="00570D87"/>
    <w:rsid w:val="00570F1F"/>
    <w:rsid w:val="005712AB"/>
    <w:rsid w:val="005713C8"/>
    <w:rsid w:val="00571AAF"/>
    <w:rsid w:val="00572BE5"/>
    <w:rsid w:val="005744E8"/>
    <w:rsid w:val="005752FB"/>
    <w:rsid w:val="00575A22"/>
    <w:rsid w:val="00575D2E"/>
    <w:rsid w:val="00576C1B"/>
    <w:rsid w:val="005778C1"/>
    <w:rsid w:val="005778F4"/>
    <w:rsid w:val="00580B28"/>
    <w:rsid w:val="00580CEE"/>
    <w:rsid w:val="005810A0"/>
    <w:rsid w:val="0058131A"/>
    <w:rsid w:val="00583D10"/>
    <w:rsid w:val="005842E4"/>
    <w:rsid w:val="0058435A"/>
    <w:rsid w:val="00585404"/>
    <w:rsid w:val="0058542E"/>
    <w:rsid w:val="005856BE"/>
    <w:rsid w:val="00585ABF"/>
    <w:rsid w:val="00587D89"/>
    <w:rsid w:val="00590104"/>
    <w:rsid w:val="0059044E"/>
    <w:rsid w:val="00590ED3"/>
    <w:rsid w:val="00592F93"/>
    <w:rsid w:val="00596CE6"/>
    <w:rsid w:val="00596EB5"/>
    <w:rsid w:val="005973BA"/>
    <w:rsid w:val="00597E0E"/>
    <w:rsid w:val="005A0F9E"/>
    <w:rsid w:val="005A1B34"/>
    <w:rsid w:val="005A1B8D"/>
    <w:rsid w:val="005A242E"/>
    <w:rsid w:val="005A2C3A"/>
    <w:rsid w:val="005A34E6"/>
    <w:rsid w:val="005A52F1"/>
    <w:rsid w:val="005A6CCA"/>
    <w:rsid w:val="005A6E30"/>
    <w:rsid w:val="005A7CD6"/>
    <w:rsid w:val="005A7E0E"/>
    <w:rsid w:val="005B5995"/>
    <w:rsid w:val="005B7928"/>
    <w:rsid w:val="005C1978"/>
    <w:rsid w:val="005C217E"/>
    <w:rsid w:val="005C2C36"/>
    <w:rsid w:val="005C361C"/>
    <w:rsid w:val="005C453E"/>
    <w:rsid w:val="005C4BC9"/>
    <w:rsid w:val="005C4C7F"/>
    <w:rsid w:val="005C5437"/>
    <w:rsid w:val="005C6881"/>
    <w:rsid w:val="005C7105"/>
    <w:rsid w:val="005C7518"/>
    <w:rsid w:val="005D0C8A"/>
    <w:rsid w:val="005D0FDB"/>
    <w:rsid w:val="005D2BDB"/>
    <w:rsid w:val="005D331E"/>
    <w:rsid w:val="005D4085"/>
    <w:rsid w:val="005D463B"/>
    <w:rsid w:val="005D58AA"/>
    <w:rsid w:val="005D7254"/>
    <w:rsid w:val="005E17A9"/>
    <w:rsid w:val="005E2A1B"/>
    <w:rsid w:val="005E4446"/>
    <w:rsid w:val="005E4F29"/>
    <w:rsid w:val="005E5384"/>
    <w:rsid w:val="005E60CB"/>
    <w:rsid w:val="005F0795"/>
    <w:rsid w:val="005F0AA6"/>
    <w:rsid w:val="005F128B"/>
    <w:rsid w:val="005F2337"/>
    <w:rsid w:val="005F2E77"/>
    <w:rsid w:val="005F364F"/>
    <w:rsid w:val="005F3BD7"/>
    <w:rsid w:val="005F4207"/>
    <w:rsid w:val="005F4BA9"/>
    <w:rsid w:val="005F63B0"/>
    <w:rsid w:val="005F671A"/>
    <w:rsid w:val="005F7392"/>
    <w:rsid w:val="005F771D"/>
    <w:rsid w:val="006004FA"/>
    <w:rsid w:val="0060135C"/>
    <w:rsid w:val="00601FD0"/>
    <w:rsid w:val="0060204E"/>
    <w:rsid w:val="006021F4"/>
    <w:rsid w:val="00604384"/>
    <w:rsid w:val="00604831"/>
    <w:rsid w:val="00605E19"/>
    <w:rsid w:val="00606794"/>
    <w:rsid w:val="00606991"/>
    <w:rsid w:val="00606AB3"/>
    <w:rsid w:val="00606E8B"/>
    <w:rsid w:val="00607F4F"/>
    <w:rsid w:val="00607F6C"/>
    <w:rsid w:val="00610046"/>
    <w:rsid w:val="006100AC"/>
    <w:rsid w:val="006122B9"/>
    <w:rsid w:val="006123AF"/>
    <w:rsid w:val="00612BA1"/>
    <w:rsid w:val="00612BAB"/>
    <w:rsid w:val="00614C8B"/>
    <w:rsid w:val="00615730"/>
    <w:rsid w:val="00616B06"/>
    <w:rsid w:val="00617256"/>
    <w:rsid w:val="00621204"/>
    <w:rsid w:val="00622007"/>
    <w:rsid w:val="00622962"/>
    <w:rsid w:val="00623613"/>
    <w:rsid w:val="0062389D"/>
    <w:rsid w:val="006238D4"/>
    <w:rsid w:val="006241DC"/>
    <w:rsid w:val="0062483E"/>
    <w:rsid w:val="00625C7B"/>
    <w:rsid w:val="00627942"/>
    <w:rsid w:val="006302E4"/>
    <w:rsid w:val="006313B1"/>
    <w:rsid w:val="006314F1"/>
    <w:rsid w:val="00631669"/>
    <w:rsid w:val="00631C79"/>
    <w:rsid w:val="00632075"/>
    <w:rsid w:val="00632513"/>
    <w:rsid w:val="0063258D"/>
    <w:rsid w:val="00632600"/>
    <w:rsid w:val="00632DA6"/>
    <w:rsid w:val="006335AF"/>
    <w:rsid w:val="00634771"/>
    <w:rsid w:val="00634A93"/>
    <w:rsid w:val="00636B3A"/>
    <w:rsid w:val="00636B80"/>
    <w:rsid w:val="0063722E"/>
    <w:rsid w:val="00637695"/>
    <w:rsid w:val="006404FE"/>
    <w:rsid w:val="00640D5E"/>
    <w:rsid w:val="00640F13"/>
    <w:rsid w:val="00641030"/>
    <w:rsid w:val="00641D13"/>
    <w:rsid w:val="00642533"/>
    <w:rsid w:val="00642A46"/>
    <w:rsid w:val="0064364C"/>
    <w:rsid w:val="00644071"/>
    <w:rsid w:val="00644C08"/>
    <w:rsid w:val="006454B7"/>
    <w:rsid w:val="00647990"/>
    <w:rsid w:val="00647B0F"/>
    <w:rsid w:val="00647D69"/>
    <w:rsid w:val="00650A5C"/>
    <w:rsid w:val="00650A8A"/>
    <w:rsid w:val="00650B88"/>
    <w:rsid w:val="00651426"/>
    <w:rsid w:val="00651DFD"/>
    <w:rsid w:val="006530BC"/>
    <w:rsid w:val="0065316E"/>
    <w:rsid w:val="00655665"/>
    <w:rsid w:val="0065570E"/>
    <w:rsid w:val="00656856"/>
    <w:rsid w:val="006605B7"/>
    <w:rsid w:val="006613F2"/>
    <w:rsid w:val="00662404"/>
    <w:rsid w:val="006624F4"/>
    <w:rsid w:val="00662FCE"/>
    <w:rsid w:val="0066329F"/>
    <w:rsid w:val="00664BDE"/>
    <w:rsid w:val="00665F62"/>
    <w:rsid w:val="00666311"/>
    <w:rsid w:val="00670568"/>
    <w:rsid w:val="006705EA"/>
    <w:rsid w:val="00670C0E"/>
    <w:rsid w:val="00671FB5"/>
    <w:rsid w:val="00672A5F"/>
    <w:rsid w:val="00673C55"/>
    <w:rsid w:val="00675402"/>
    <w:rsid w:val="006759ED"/>
    <w:rsid w:val="00675D84"/>
    <w:rsid w:val="006766EC"/>
    <w:rsid w:val="00676D27"/>
    <w:rsid w:val="00677950"/>
    <w:rsid w:val="006813D1"/>
    <w:rsid w:val="00681706"/>
    <w:rsid w:val="0068380C"/>
    <w:rsid w:val="00683DD2"/>
    <w:rsid w:val="0068487E"/>
    <w:rsid w:val="00684B55"/>
    <w:rsid w:val="00685079"/>
    <w:rsid w:val="006867B9"/>
    <w:rsid w:val="00686CBD"/>
    <w:rsid w:val="00691040"/>
    <w:rsid w:val="00691120"/>
    <w:rsid w:val="00691FE9"/>
    <w:rsid w:val="00692946"/>
    <w:rsid w:val="0069333D"/>
    <w:rsid w:val="006936C2"/>
    <w:rsid w:val="00693CE1"/>
    <w:rsid w:val="006954B8"/>
    <w:rsid w:val="006963E6"/>
    <w:rsid w:val="0069765D"/>
    <w:rsid w:val="00697CA0"/>
    <w:rsid w:val="00697DBC"/>
    <w:rsid w:val="006A0869"/>
    <w:rsid w:val="006A0CDE"/>
    <w:rsid w:val="006A0E8F"/>
    <w:rsid w:val="006A192B"/>
    <w:rsid w:val="006A1C8D"/>
    <w:rsid w:val="006A2532"/>
    <w:rsid w:val="006A34DE"/>
    <w:rsid w:val="006A3F9C"/>
    <w:rsid w:val="006A4200"/>
    <w:rsid w:val="006A4E8A"/>
    <w:rsid w:val="006A5329"/>
    <w:rsid w:val="006A5601"/>
    <w:rsid w:val="006A65DA"/>
    <w:rsid w:val="006A7369"/>
    <w:rsid w:val="006B002E"/>
    <w:rsid w:val="006B01EF"/>
    <w:rsid w:val="006B14BB"/>
    <w:rsid w:val="006B306C"/>
    <w:rsid w:val="006B53B6"/>
    <w:rsid w:val="006B5F38"/>
    <w:rsid w:val="006B6E9F"/>
    <w:rsid w:val="006B7A91"/>
    <w:rsid w:val="006C08C2"/>
    <w:rsid w:val="006C2777"/>
    <w:rsid w:val="006C2ED5"/>
    <w:rsid w:val="006C3662"/>
    <w:rsid w:val="006C55C6"/>
    <w:rsid w:val="006C6BBB"/>
    <w:rsid w:val="006C7B02"/>
    <w:rsid w:val="006C7E1A"/>
    <w:rsid w:val="006D0155"/>
    <w:rsid w:val="006D23B9"/>
    <w:rsid w:val="006D2FD4"/>
    <w:rsid w:val="006D3DFE"/>
    <w:rsid w:val="006D548E"/>
    <w:rsid w:val="006D6472"/>
    <w:rsid w:val="006D66E4"/>
    <w:rsid w:val="006D6D93"/>
    <w:rsid w:val="006D7F0D"/>
    <w:rsid w:val="006E0741"/>
    <w:rsid w:val="006E091D"/>
    <w:rsid w:val="006E13E2"/>
    <w:rsid w:val="006E1C66"/>
    <w:rsid w:val="006E2C19"/>
    <w:rsid w:val="006E2DFB"/>
    <w:rsid w:val="006E34A6"/>
    <w:rsid w:val="006E4A86"/>
    <w:rsid w:val="006E4F19"/>
    <w:rsid w:val="006E6418"/>
    <w:rsid w:val="006F0630"/>
    <w:rsid w:val="006F0B28"/>
    <w:rsid w:val="006F1617"/>
    <w:rsid w:val="006F1628"/>
    <w:rsid w:val="006F2689"/>
    <w:rsid w:val="006F2716"/>
    <w:rsid w:val="006F29C2"/>
    <w:rsid w:val="006F2ADF"/>
    <w:rsid w:val="006F40AC"/>
    <w:rsid w:val="006F5969"/>
    <w:rsid w:val="006F5B16"/>
    <w:rsid w:val="006F5EE3"/>
    <w:rsid w:val="006F6A67"/>
    <w:rsid w:val="006F75CA"/>
    <w:rsid w:val="00701601"/>
    <w:rsid w:val="00701CCF"/>
    <w:rsid w:val="00702221"/>
    <w:rsid w:val="00702653"/>
    <w:rsid w:val="00703E1C"/>
    <w:rsid w:val="007068CE"/>
    <w:rsid w:val="007075E6"/>
    <w:rsid w:val="00712184"/>
    <w:rsid w:val="00714922"/>
    <w:rsid w:val="0071535E"/>
    <w:rsid w:val="007158B7"/>
    <w:rsid w:val="00716179"/>
    <w:rsid w:val="00716937"/>
    <w:rsid w:val="00721458"/>
    <w:rsid w:val="00721783"/>
    <w:rsid w:val="00721E6D"/>
    <w:rsid w:val="007220A0"/>
    <w:rsid w:val="007233D5"/>
    <w:rsid w:val="00723EB6"/>
    <w:rsid w:val="007244F7"/>
    <w:rsid w:val="00724DE7"/>
    <w:rsid w:val="007258D4"/>
    <w:rsid w:val="00727170"/>
    <w:rsid w:val="00727938"/>
    <w:rsid w:val="00730F53"/>
    <w:rsid w:val="00731960"/>
    <w:rsid w:val="00731ACA"/>
    <w:rsid w:val="0073257D"/>
    <w:rsid w:val="00732C92"/>
    <w:rsid w:val="00732D83"/>
    <w:rsid w:val="00733275"/>
    <w:rsid w:val="007348CC"/>
    <w:rsid w:val="0073532A"/>
    <w:rsid w:val="00735F9D"/>
    <w:rsid w:val="00736339"/>
    <w:rsid w:val="00736B6F"/>
    <w:rsid w:val="00736C65"/>
    <w:rsid w:val="00736F8A"/>
    <w:rsid w:val="00737841"/>
    <w:rsid w:val="007405AE"/>
    <w:rsid w:val="00740CFB"/>
    <w:rsid w:val="007414AF"/>
    <w:rsid w:val="00741D10"/>
    <w:rsid w:val="00742251"/>
    <w:rsid w:val="007425D1"/>
    <w:rsid w:val="00743E6E"/>
    <w:rsid w:val="007468A5"/>
    <w:rsid w:val="00747BE4"/>
    <w:rsid w:val="00750A48"/>
    <w:rsid w:val="00751135"/>
    <w:rsid w:val="00751691"/>
    <w:rsid w:val="00752A61"/>
    <w:rsid w:val="00753624"/>
    <w:rsid w:val="0075381F"/>
    <w:rsid w:val="00753B0B"/>
    <w:rsid w:val="00753D52"/>
    <w:rsid w:val="00754A7F"/>
    <w:rsid w:val="00754CBF"/>
    <w:rsid w:val="00755660"/>
    <w:rsid w:val="007556E4"/>
    <w:rsid w:val="00755A0B"/>
    <w:rsid w:val="00755BBA"/>
    <w:rsid w:val="00755BDA"/>
    <w:rsid w:val="0075669D"/>
    <w:rsid w:val="0075682D"/>
    <w:rsid w:val="00756CAD"/>
    <w:rsid w:val="00757CDB"/>
    <w:rsid w:val="00757EB2"/>
    <w:rsid w:val="0076089E"/>
    <w:rsid w:val="0076221E"/>
    <w:rsid w:val="00762EFE"/>
    <w:rsid w:val="0076367F"/>
    <w:rsid w:val="00763DA1"/>
    <w:rsid w:val="00763F88"/>
    <w:rsid w:val="007646C4"/>
    <w:rsid w:val="007648DA"/>
    <w:rsid w:val="00764E89"/>
    <w:rsid w:val="007679C3"/>
    <w:rsid w:val="00770374"/>
    <w:rsid w:val="007704E6"/>
    <w:rsid w:val="007707A1"/>
    <w:rsid w:val="00770FEE"/>
    <w:rsid w:val="007730CC"/>
    <w:rsid w:val="00773461"/>
    <w:rsid w:val="00773E56"/>
    <w:rsid w:val="00774EF7"/>
    <w:rsid w:val="0077755B"/>
    <w:rsid w:val="00777E29"/>
    <w:rsid w:val="00782242"/>
    <w:rsid w:val="007824E5"/>
    <w:rsid w:val="00782C19"/>
    <w:rsid w:val="00782C7F"/>
    <w:rsid w:val="007842DF"/>
    <w:rsid w:val="0078595E"/>
    <w:rsid w:val="00787BC3"/>
    <w:rsid w:val="007922C7"/>
    <w:rsid w:val="00793904"/>
    <w:rsid w:val="00794C07"/>
    <w:rsid w:val="0079555A"/>
    <w:rsid w:val="007960ED"/>
    <w:rsid w:val="0079746E"/>
    <w:rsid w:val="007A0E3F"/>
    <w:rsid w:val="007A1118"/>
    <w:rsid w:val="007A62C2"/>
    <w:rsid w:val="007B0E09"/>
    <w:rsid w:val="007B1E11"/>
    <w:rsid w:val="007B2DCF"/>
    <w:rsid w:val="007B3489"/>
    <w:rsid w:val="007B433F"/>
    <w:rsid w:val="007B4B3A"/>
    <w:rsid w:val="007B4BFD"/>
    <w:rsid w:val="007B5621"/>
    <w:rsid w:val="007B5D6F"/>
    <w:rsid w:val="007B6302"/>
    <w:rsid w:val="007B73AC"/>
    <w:rsid w:val="007B7AA4"/>
    <w:rsid w:val="007C1542"/>
    <w:rsid w:val="007C19A7"/>
    <w:rsid w:val="007C1AFE"/>
    <w:rsid w:val="007C2E26"/>
    <w:rsid w:val="007C33D0"/>
    <w:rsid w:val="007C37CA"/>
    <w:rsid w:val="007C38C5"/>
    <w:rsid w:val="007D0EF3"/>
    <w:rsid w:val="007D1AA8"/>
    <w:rsid w:val="007D26BF"/>
    <w:rsid w:val="007D2879"/>
    <w:rsid w:val="007D2B35"/>
    <w:rsid w:val="007D2D95"/>
    <w:rsid w:val="007D32DE"/>
    <w:rsid w:val="007D3445"/>
    <w:rsid w:val="007D4865"/>
    <w:rsid w:val="007D4E27"/>
    <w:rsid w:val="007D4F1C"/>
    <w:rsid w:val="007D537A"/>
    <w:rsid w:val="007D53F4"/>
    <w:rsid w:val="007D5561"/>
    <w:rsid w:val="007D6A4B"/>
    <w:rsid w:val="007E5717"/>
    <w:rsid w:val="007E5CE1"/>
    <w:rsid w:val="007E6B5E"/>
    <w:rsid w:val="007E6E95"/>
    <w:rsid w:val="007E71B4"/>
    <w:rsid w:val="007E7B85"/>
    <w:rsid w:val="007E7D4A"/>
    <w:rsid w:val="007F04B0"/>
    <w:rsid w:val="007F1AAB"/>
    <w:rsid w:val="007F320E"/>
    <w:rsid w:val="007F44A0"/>
    <w:rsid w:val="007F44C9"/>
    <w:rsid w:val="007F4DAA"/>
    <w:rsid w:val="007F65BC"/>
    <w:rsid w:val="007F6622"/>
    <w:rsid w:val="007F775E"/>
    <w:rsid w:val="0080000A"/>
    <w:rsid w:val="0080155F"/>
    <w:rsid w:val="00802C9F"/>
    <w:rsid w:val="00803725"/>
    <w:rsid w:val="008039E2"/>
    <w:rsid w:val="00803B62"/>
    <w:rsid w:val="008042F0"/>
    <w:rsid w:val="00804309"/>
    <w:rsid w:val="00804D90"/>
    <w:rsid w:val="00805A8E"/>
    <w:rsid w:val="008060E1"/>
    <w:rsid w:val="00810311"/>
    <w:rsid w:val="00810787"/>
    <w:rsid w:val="0081104D"/>
    <w:rsid w:val="008119E5"/>
    <w:rsid w:val="00812CF0"/>
    <w:rsid w:val="00813087"/>
    <w:rsid w:val="00814311"/>
    <w:rsid w:val="00815291"/>
    <w:rsid w:val="008178FC"/>
    <w:rsid w:val="00817A67"/>
    <w:rsid w:val="0082021F"/>
    <w:rsid w:val="008211E0"/>
    <w:rsid w:val="00821346"/>
    <w:rsid w:val="00821536"/>
    <w:rsid w:val="00821769"/>
    <w:rsid w:val="00821879"/>
    <w:rsid w:val="00821E25"/>
    <w:rsid w:val="00822687"/>
    <w:rsid w:val="0082301E"/>
    <w:rsid w:val="00824487"/>
    <w:rsid w:val="00824721"/>
    <w:rsid w:val="00825D0E"/>
    <w:rsid w:val="00826915"/>
    <w:rsid w:val="00826C71"/>
    <w:rsid w:val="00830E5C"/>
    <w:rsid w:val="008338EA"/>
    <w:rsid w:val="00834D62"/>
    <w:rsid w:val="008363CE"/>
    <w:rsid w:val="0084048A"/>
    <w:rsid w:val="00841165"/>
    <w:rsid w:val="00841B0B"/>
    <w:rsid w:val="00842871"/>
    <w:rsid w:val="00842E2F"/>
    <w:rsid w:val="00843107"/>
    <w:rsid w:val="00843A02"/>
    <w:rsid w:val="00843A3C"/>
    <w:rsid w:val="00844D78"/>
    <w:rsid w:val="00845EE9"/>
    <w:rsid w:val="00846144"/>
    <w:rsid w:val="00846451"/>
    <w:rsid w:val="00846713"/>
    <w:rsid w:val="0084678B"/>
    <w:rsid w:val="00846A0E"/>
    <w:rsid w:val="00847C0E"/>
    <w:rsid w:val="008511B5"/>
    <w:rsid w:val="00851B48"/>
    <w:rsid w:val="0085234F"/>
    <w:rsid w:val="00852353"/>
    <w:rsid w:val="00853950"/>
    <w:rsid w:val="00853EE3"/>
    <w:rsid w:val="008541CE"/>
    <w:rsid w:val="00854BA5"/>
    <w:rsid w:val="00855072"/>
    <w:rsid w:val="00855741"/>
    <w:rsid w:val="00860432"/>
    <w:rsid w:val="0086096B"/>
    <w:rsid w:val="00860F13"/>
    <w:rsid w:val="00861047"/>
    <w:rsid w:val="0086128C"/>
    <w:rsid w:val="008612BE"/>
    <w:rsid w:val="008631D0"/>
    <w:rsid w:val="008634FB"/>
    <w:rsid w:val="0086584D"/>
    <w:rsid w:val="008668B2"/>
    <w:rsid w:val="008702EB"/>
    <w:rsid w:val="008703B6"/>
    <w:rsid w:val="00870E08"/>
    <w:rsid w:val="00871C60"/>
    <w:rsid w:val="00871CED"/>
    <w:rsid w:val="00871DD8"/>
    <w:rsid w:val="00872441"/>
    <w:rsid w:val="00874C56"/>
    <w:rsid w:val="008756E4"/>
    <w:rsid w:val="008776AB"/>
    <w:rsid w:val="00880757"/>
    <w:rsid w:val="0088079A"/>
    <w:rsid w:val="00880B7C"/>
    <w:rsid w:val="00883122"/>
    <w:rsid w:val="00883860"/>
    <w:rsid w:val="008838D7"/>
    <w:rsid w:val="008841CC"/>
    <w:rsid w:val="00884768"/>
    <w:rsid w:val="008848A5"/>
    <w:rsid w:val="00885D6E"/>
    <w:rsid w:val="00886C71"/>
    <w:rsid w:val="00886E03"/>
    <w:rsid w:val="0088752D"/>
    <w:rsid w:val="00890304"/>
    <w:rsid w:val="00890679"/>
    <w:rsid w:val="00891281"/>
    <w:rsid w:val="008935FA"/>
    <w:rsid w:val="008947E3"/>
    <w:rsid w:val="0089537A"/>
    <w:rsid w:val="00895DEB"/>
    <w:rsid w:val="00895F39"/>
    <w:rsid w:val="0089635A"/>
    <w:rsid w:val="00897493"/>
    <w:rsid w:val="008A0154"/>
    <w:rsid w:val="008A1056"/>
    <w:rsid w:val="008A15ED"/>
    <w:rsid w:val="008A1C41"/>
    <w:rsid w:val="008A2D0A"/>
    <w:rsid w:val="008A2F09"/>
    <w:rsid w:val="008A30A3"/>
    <w:rsid w:val="008A4081"/>
    <w:rsid w:val="008A4E79"/>
    <w:rsid w:val="008A60E7"/>
    <w:rsid w:val="008A635A"/>
    <w:rsid w:val="008A6750"/>
    <w:rsid w:val="008A7639"/>
    <w:rsid w:val="008B1020"/>
    <w:rsid w:val="008B154B"/>
    <w:rsid w:val="008B50ED"/>
    <w:rsid w:val="008B553B"/>
    <w:rsid w:val="008B5A4B"/>
    <w:rsid w:val="008B5CB9"/>
    <w:rsid w:val="008B6A8A"/>
    <w:rsid w:val="008C0317"/>
    <w:rsid w:val="008C1693"/>
    <w:rsid w:val="008C3D4C"/>
    <w:rsid w:val="008C43D3"/>
    <w:rsid w:val="008C550A"/>
    <w:rsid w:val="008C5662"/>
    <w:rsid w:val="008C66EE"/>
    <w:rsid w:val="008C6B87"/>
    <w:rsid w:val="008C716F"/>
    <w:rsid w:val="008C7ADD"/>
    <w:rsid w:val="008D0D85"/>
    <w:rsid w:val="008D1F06"/>
    <w:rsid w:val="008D2872"/>
    <w:rsid w:val="008D30C3"/>
    <w:rsid w:val="008D4EE0"/>
    <w:rsid w:val="008D7B9C"/>
    <w:rsid w:val="008E170F"/>
    <w:rsid w:val="008E213D"/>
    <w:rsid w:val="008E2CEC"/>
    <w:rsid w:val="008E2EF9"/>
    <w:rsid w:val="008E3428"/>
    <w:rsid w:val="008E4256"/>
    <w:rsid w:val="008E4568"/>
    <w:rsid w:val="008E4C59"/>
    <w:rsid w:val="008E5532"/>
    <w:rsid w:val="008E731D"/>
    <w:rsid w:val="008E7DD6"/>
    <w:rsid w:val="008F05CF"/>
    <w:rsid w:val="008F0BBB"/>
    <w:rsid w:val="008F3A31"/>
    <w:rsid w:val="008F4BB0"/>
    <w:rsid w:val="008F4CB6"/>
    <w:rsid w:val="008F56F8"/>
    <w:rsid w:val="008F6C3A"/>
    <w:rsid w:val="008F715D"/>
    <w:rsid w:val="008F7705"/>
    <w:rsid w:val="008F7DAA"/>
    <w:rsid w:val="00900ED0"/>
    <w:rsid w:val="00901192"/>
    <w:rsid w:val="009018F2"/>
    <w:rsid w:val="00902627"/>
    <w:rsid w:val="009029FB"/>
    <w:rsid w:val="00903788"/>
    <w:rsid w:val="00904A6B"/>
    <w:rsid w:val="0090535B"/>
    <w:rsid w:val="00905425"/>
    <w:rsid w:val="00906583"/>
    <w:rsid w:val="0090796D"/>
    <w:rsid w:val="00907AC7"/>
    <w:rsid w:val="00907F3C"/>
    <w:rsid w:val="00910262"/>
    <w:rsid w:val="00910D60"/>
    <w:rsid w:val="00910E32"/>
    <w:rsid w:val="009136DE"/>
    <w:rsid w:val="009143E9"/>
    <w:rsid w:val="00914610"/>
    <w:rsid w:val="00914909"/>
    <w:rsid w:val="00914F6B"/>
    <w:rsid w:val="0091543F"/>
    <w:rsid w:val="00915BFA"/>
    <w:rsid w:val="00916B3F"/>
    <w:rsid w:val="009171F4"/>
    <w:rsid w:val="0091733E"/>
    <w:rsid w:val="0091765C"/>
    <w:rsid w:val="00917EBB"/>
    <w:rsid w:val="00920060"/>
    <w:rsid w:val="00920EF1"/>
    <w:rsid w:val="00921AAC"/>
    <w:rsid w:val="00923177"/>
    <w:rsid w:val="00923807"/>
    <w:rsid w:val="0092388A"/>
    <w:rsid w:val="00925CC6"/>
    <w:rsid w:val="00925DFE"/>
    <w:rsid w:val="009264C6"/>
    <w:rsid w:val="009269D0"/>
    <w:rsid w:val="00930ADA"/>
    <w:rsid w:val="00930CD2"/>
    <w:rsid w:val="00930D13"/>
    <w:rsid w:val="0093108D"/>
    <w:rsid w:val="00931A5F"/>
    <w:rsid w:val="00931EAC"/>
    <w:rsid w:val="0093202A"/>
    <w:rsid w:val="00934D5F"/>
    <w:rsid w:val="00935515"/>
    <w:rsid w:val="0093641B"/>
    <w:rsid w:val="00936511"/>
    <w:rsid w:val="00936D10"/>
    <w:rsid w:val="0094029A"/>
    <w:rsid w:val="0094048B"/>
    <w:rsid w:val="00942E40"/>
    <w:rsid w:val="00943ECD"/>
    <w:rsid w:val="00944FCD"/>
    <w:rsid w:val="00945435"/>
    <w:rsid w:val="00945747"/>
    <w:rsid w:val="009461D7"/>
    <w:rsid w:val="0094630F"/>
    <w:rsid w:val="00946AC2"/>
    <w:rsid w:val="00947673"/>
    <w:rsid w:val="00950D9F"/>
    <w:rsid w:val="00951BCF"/>
    <w:rsid w:val="00952E84"/>
    <w:rsid w:val="00953217"/>
    <w:rsid w:val="009534D7"/>
    <w:rsid w:val="009535DB"/>
    <w:rsid w:val="00953C9C"/>
    <w:rsid w:val="00953DB5"/>
    <w:rsid w:val="00956F03"/>
    <w:rsid w:val="009577D6"/>
    <w:rsid w:val="009577E9"/>
    <w:rsid w:val="0095792D"/>
    <w:rsid w:val="00960A30"/>
    <w:rsid w:val="009612FB"/>
    <w:rsid w:val="00962617"/>
    <w:rsid w:val="00963E50"/>
    <w:rsid w:val="009656F5"/>
    <w:rsid w:val="009701C1"/>
    <w:rsid w:val="00970437"/>
    <w:rsid w:val="00970CE3"/>
    <w:rsid w:val="00970F8A"/>
    <w:rsid w:val="0097293F"/>
    <w:rsid w:val="00972A1A"/>
    <w:rsid w:val="00972B71"/>
    <w:rsid w:val="00974A9D"/>
    <w:rsid w:val="00975F90"/>
    <w:rsid w:val="00977210"/>
    <w:rsid w:val="00977505"/>
    <w:rsid w:val="009842E1"/>
    <w:rsid w:val="0098495C"/>
    <w:rsid w:val="0098611E"/>
    <w:rsid w:val="009861CE"/>
    <w:rsid w:val="009862C3"/>
    <w:rsid w:val="00986416"/>
    <w:rsid w:val="0098672C"/>
    <w:rsid w:val="00986985"/>
    <w:rsid w:val="00986AE2"/>
    <w:rsid w:val="009906C2"/>
    <w:rsid w:val="00990E1B"/>
    <w:rsid w:val="0099106F"/>
    <w:rsid w:val="00991277"/>
    <w:rsid w:val="00991680"/>
    <w:rsid w:val="009918F1"/>
    <w:rsid w:val="00991BDC"/>
    <w:rsid w:val="009922B7"/>
    <w:rsid w:val="00992FD0"/>
    <w:rsid w:val="009939F2"/>
    <w:rsid w:val="0099450D"/>
    <w:rsid w:val="00994715"/>
    <w:rsid w:val="00996067"/>
    <w:rsid w:val="009968AD"/>
    <w:rsid w:val="00997C72"/>
    <w:rsid w:val="009A0B69"/>
    <w:rsid w:val="009A15F4"/>
    <w:rsid w:val="009A2B9F"/>
    <w:rsid w:val="009A2C4B"/>
    <w:rsid w:val="009A38A1"/>
    <w:rsid w:val="009A38B1"/>
    <w:rsid w:val="009A3932"/>
    <w:rsid w:val="009A4C0F"/>
    <w:rsid w:val="009A5228"/>
    <w:rsid w:val="009A568C"/>
    <w:rsid w:val="009A5F92"/>
    <w:rsid w:val="009A658E"/>
    <w:rsid w:val="009A698B"/>
    <w:rsid w:val="009A76C7"/>
    <w:rsid w:val="009B0C15"/>
    <w:rsid w:val="009B0C1D"/>
    <w:rsid w:val="009B0EF2"/>
    <w:rsid w:val="009B107C"/>
    <w:rsid w:val="009B1FBA"/>
    <w:rsid w:val="009B4EC1"/>
    <w:rsid w:val="009B5BF4"/>
    <w:rsid w:val="009B6AA2"/>
    <w:rsid w:val="009B6E4F"/>
    <w:rsid w:val="009B74CD"/>
    <w:rsid w:val="009C0236"/>
    <w:rsid w:val="009C072A"/>
    <w:rsid w:val="009C0965"/>
    <w:rsid w:val="009C0F1D"/>
    <w:rsid w:val="009C0FDE"/>
    <w:rsid w:val="009C2145"/>
    <w:rsid w:val="009C3A48"/>
    <w:rsid w:val="009C3B18"/>
    <w:rsid w:val="009C3D48"/>
    <w:rsid w:val="009C484C"/>
    <w:rsid w:val="009C59BD"/>
    <w:rsid w:val="009C5A63"/>
    <w:rsid w:val="009C5E15"/>
    <w:rsid w:val="009C686B"/>
    <w:rsid w:val="009D0044"/>
    <w:rsid w:val="009D0583"/>
    <w:rsid w:val="009D072C"/>
    <w:rsid w:val="009D0A1E"/>
    <w:rsid w:val="009D3760"/>
    <w:rsid w:val="009D37FE"/>
    <w:rsid w:val="009D3BBD"/>
    <w:rsid w:val="009D4334"/>
    <w:rsid w:val="009D47B3"/>
    <w:rsid w:val="009D521C"/>
    <w:rsid w:val="009D5331"/>
    <w:rsid w:val="009D549D"/>
    <w:rsid w:val="009D5C02"/>
    <w:rsid w:val="009D770D"/>
    <w:rsid w:val="009D778C"/>
    <w:rsid w:val="009E167B"/>
    <w:rsid w:val="009E3CF0"/>
    <w:rsid w:val="009E413F"/>
    <w:rsid w:val="009E475F"/>
    <w:rsid w:val="009E5412"/>
    <w:rsid w:val="009E78C3"/>
    <w:rsid w:val="009E7CDC"/>
    <w:rsid w:val="009E7DBD"/>
    <w:rsid w:val="009F1A1E"/>
    <w:rsid w:val="009F2B9C"/>
    <w:rsid w:val="009F3A0A"/>
    <w:rsid w:val="009F3D16"/>
    <w:rsid w:val="009F54C6"/>
    <w:rsid w:val="009F575F"/>
    <w:rsid w:val="009F6238"/>
    <w:rsid w:val="009F773F"/>
    <w:rsid w:val="00A00BC5"/>
    <w:rsid w:val="00A01271"/>
    <w:rsid w:val="00A01D83"/>
    <w:rsid w:val="00A01F5C"/>
    <w:rsid w:val="00A030A1"/>
    <w:rsid w:val="00A030C1"/>
    <w:rsid w:val="00A03414"/>
    <w:rsid w:val="00A03BB8"/>
    <w:rsid w:val="00A04299"/>
    <w:rsid w:val="00A0432E"/>
    <w:rsid w:val="00A0584F"/>
    <w:rsid w:val="00A06820"/>
    <w:rsid w:val="00A06CA8"/>
    <w:rsid w:val="00A06EDF"/>
    <w:rsid w:val="00A106FC"/>
    <w:rsid w:val="00A112CA"/>
    <w:rsid w:val="00A11487"/>
    <w:rsid w:val="00A12099"/>
    <w:rsid w:val="00A121C1"/>
    <w:rsid w:val="00A12AF6"/>
    <w:rsid w:val="00A12D25"/>
    <w:rsid w:val="00A12DD1"/>
    <w:rsid w:val="00A13AB2"/>
    <w:rsid w:val="00A14E6E"/>
    <w:rsid w:val="00A155DD"/>
    <w:rsid w:val="00A162A6"/>
    <w:rsid w:val="00A16D0A"/>
    <w:rsid w:val="00A16D9D"/>
    <w:rsid w:val="00A20AE0"/>
    <w:rsid w:val="00A21AE7"/>
    <w:rsid w:val="00A23B02"/>
    <w:rsid w:val="00A23E13"/>
    <w:rsid w:val="00A255BD"/>
    <w:rsid w:val="00A26083"/>
    <w:rsid w:val="00A26E5E"/>
    <w:rsid w:val="00A278B9"/>
    <w:rsid w:val="00A3155B"/>
    <w:rsid w:val="00A31927"/>
    <w:rsid w:val="00A31AB1"/>
    <w:rsid w:val="00A31E65"/>
    <w:rsid w:val="00A32DE0"/>
    <w:rsid w:val="00A33FB6"/>
    <w:rsid w:val="00A33FD2"/>
    <w:rsid w:val="00A355F7"/>
    <w:rsid w:val="00A37039"/>
    <w:rsid w:val="00A3718B"/>
    <w:rsid w:val="00A377F9"/>
    <w:rsid w:val="00A414FF"/>
    <w:rsid w:val="00A4357D"/>
    <w:rsid w:val="00A43838"/>
    <w:rsid w:val="00A44304"/>
    <w:rsid w:val="00A44F69"/>
    <w:rsid w:val="00A464BD"/>
    <w:rsid w:val="00A506E9"/>
    <w:rsid w:val="00A50D77"/>
    <w:rsid w:val="00A51AEA"/>
    <w:rsid w:val="00A51B8C"/>
    <w:rsid w:val="00A52364"/>
    <w:rsid w:val="00A526AE"/>
    <w:rsid w:val="00A52D29"/>
    <w:rsid w:val="00A54C94"/>
    <w:rsid w:val="00A5656C"/>
    <w:rsid w:val="00A56C76"/>
    <w:rsid w:val="00A56D3D"/>
    <w:rsid w:val="00A579C1"/>
    <w:rsid w:val="00A61D41"/>
    <w:rsid w:val="00A627C7"/>
    <w:rsid w:val="00A62DA4"/>
    <w:rsid w:val="00A63D4B"/>
    <w:rsid w:val="00A6493D"/>
    <w:rsid w:val="00A64D4B"/>
    <w:rsid w:val="00A65F85"/>
    <w:rsid w:val="00A66198"/>
    <w:rsid w:val="00A66467"/>
    <w:rsid w:val="00A66634"/>
    <w:rsid w:val="00A66E9C"/>
    <w:rsid w:val="00A67982"/>
    <w:rsid w:val="00A703FC"/>
    <w:rsid w:val="00A70933"/>
    <w:rsid w:val="00A71A9B"/>
    <w:rsid w:val="00A71B4C"/>
    <w:rsid w:val="00A71B85"/>
    <w:rsid w:val="00A724E1"/>
    <w:rsid w:val="00A72BED"/>
    <w:rsid w:val="00A72C77"/>
    <w:rsid w:val="00A73B38"/>
    <w:rsid w:val="00A73F0A"/>
    <w:rsid w:val="00A74509"/>
    <w:rsid w:val="00A745F7"/>
    <w:rsid w:val="00A74B41"/>
    <w:rsid w:val="00A74F28"/>
    <w:rsid w:val="00A7590D"/>
    <w:rsid w:val="00A76D9B"/>
    <w:rsid w:val="00A778DC"/>
    <w:rsid w:val="00A81504"/>
    <w:rsid w:val="00A83048"/>
    <w:rsid w:val="00A83731"/>
    <w:rsid w:val="00A86870"/>
    <w:rsid w:val="00A91D53"/>
    <w:rsid w:val="00A935AE"/>
    <w:rsid w:val="00A9364D"/>
    <w:rsid w:val="00A94D88"/>
    <w:rsid w:val="00A95F91"/>
    <w:rsid w:val="00A9719F"/>
    <w:rsid w:val="00AA0BC1"/>
    <w:rsid w:val="00AA1FA3"/>
    <w:rsid w:val="00AA28D1"/>
    <w:rsid w:val="00AA31D3"/>
    <w:rsid w:val="00AA4832"/>
    <w:rsid w:val="00AA6F88"/>
    <w:rsid w:val="00AA7135"/>
    <w:rsid w:val="00AA7464"/>
    <w:rsid w:val="00AA75A7"/>
    <w:rsid w:val="00AB08E8"/>
    <w:rsid w:val="00AB0A11"/>
    <w:rsid w:val="00AB13D0"/>
    <w:rsid w:val="00AB15DC"/>
    <w:rsid w:val="00AB1E0C"/>
    <w:rsid w:val="00AB1EDA"/>
    <w:rsid w:val="00AB28AE"/>
    <w:rsid w:val="00AB2AD4"/>
    <w:rsid w:val="00AB2C30"/>
    <w:rsid w:val="00AB3DBC"/>
    <w:rsid w:val="00AB541C"/>
    <w:rsid w:val="00AB5472"/>
    <w:rsid w:val="00AB5A3E"/>
    <w:rsid w:val="00AB6B7E"/>
    <w:rsid w:val="00AB6CC1"/>
    <w:rsid w:val="00AB6F11"/>
    <w:rsid w:val="00AC0626"/>
    <w:rsid w:val="00AC1359"/>
    <w:rsid w:val="00AC18DD"/>
    <w:rsid w:val="00AC1AD0"/>
    <w:rsid w:val="00AC1DA1"/>
    <w:rsid w:val="00AC1E80"/>
    <w:rsid w:val="00AC2FDE"/>
    <w:rsid w:val="00AC3209"/>
    <w:rsid w:val="00AC359B"/>
    <w:rsid w:val="00AC3ED1"/>
    <w:rsid w:val="00AC60A8"/>
    <w:rsid w:val="00AC6574"/>
    <w:rsid w:val="00AC658E"/>
    <w:rsid w:val="00AC7F29"/>
    <w:rsid w:val="00AD018A"/>
    <w:rsid w:val="00AD052B"/>
    <w:rsid w:val="00AD16D0"/>
    <w:rsid w:val="00AD17C7"/>
    <w:rsid w:val="00AD18ED"/>
    <w:rsid w:val="00AD2763"/>
    <w:rsid w:val="00AD461C"/>
    <w:rsid w:val="00AD5B5E"/>
    <w:rsid w:val="00AD64A0"/>
    <w:rsid w:val="00AD6800"/>
    <w:rsid w:val="00AD7249"/>
    <w:rsid w:val="00AD7565"/>
    <w:rsid w:val="00AD7AA1"/>
    <w:rsid w:val="00AE0082"/>
    <w:rsid w:val="00AE0F7D"/>
    <w:rsid w:val="00AE1755"/>
    <w:rsid w:val="00AE185E"/>
    <w:rsid w:val="00AE1BF1"/>
    <w:rsid w:val="00AE2165"/>
    <w:rsid w:val="00AE35FA"/>
    <w:rsid w:val="00AE3929"/>
    <w:rsid w:val="00AE40DC"/>
    <w:rsid w:val="00AE4575"/>
    <w:rsid w:val="00AE502C"/>
    <w:rsid w:val="00AE59DB"/>
    <w:rsid w:val="00AF27D3"/>
    <w:rsid w:val="00AF2B38"/>
    <w:rsid w:val="00AF3281"/>
    <w:rsid w:val="00AF3A2E"/>
    <w:rsid w:val="00AF5690"/>
    <w:rsid w:val="00AF6DFB"/>
    <w:rsid w:val="00B00662"/>
    <w:rsid w:val="00B00A57"/>
    <w:rsid w:val="00B00A8D"/>
    <w:rsid w:val="00B01C04"/>
    <w:rsid w:val="00B0267D"/>
    <w:rsid w:val="00B05295"/>
    <w:rsid w:val="00B0582F"/>
    <w:rsid w:val="00B05B14"/>
    <w:rsid w:val="00B1022C"/>
    <w:rsid w:val="00B1087B"/>
    <w:rsid w:val="00B10B9E"/>
    <w:rsid w:val="00B11188"/>
    <w:rsid w:val="00B12DC5"/>
    <w:rsid w:val="00B15B18"/>
    <w:rsid w:val="00B15B29"/>
    <w:rsid w:val="00B1638B"/>
    <w:rsid w:val="00B16559"/>
    <w:rsid w:val="00B1666D"/>
    <w:rsid w:val="00B17DE5"/>
    <w:rsid w:val="00B17E6F"/>
    <w:rsid w:val="00B20AD2"/>
    <w:rsid w:val="00B20EFA"/>
    <w:rsid w:val="00B2187D"/>
    <w:rsid w:val="00B22774"/>
    <w:rsid w:val="00B2282C"/>
    <w:rsid w:val="00B23019"/>
    <w:rsid w:val="00B230D0"/>
    <w:rsid w:val="00B245BB"/>
    <w:rsid w:val="00B25309"/>
    <w:rsid w:val="00B25576"/>
    <w:rsid w:val="00B25E6A"/>
    <w:rsid w:val="00B30AD5"/>
    <w:rsid w:val="00B323C5"/>
    <w:rsid w:val="00B32541"/>
    <w:rsid w:val="00B32BFF"/>
    <w:rsid w:val="00B34251"/>
    <w:rsid w:val="00B3564F"/>
    <w:rsid w:val="00B35A6A"/>
    <w:rsid w:val="00B364B7"/>
    <w:rsid w:val="00B3660F"/>
    <w:rsid w:val="00B366CF"/>
    <w:rsid w:val="00B36DA2"/>
    <w:rsid w:val="00B40A67"/>
    <w:rsid w:val="00B41188"/>
    <w:rsid w:val="00B420B4"/>
    <w:rsid w:val="00B43201"/>
    <w:rsid w:val="00B4462A"/>
    <w:rsid w:val="00B4521B"/>
    <w:rsid w:val="00B46D84"/>
    <w:rsid w:val="00B475AE"/>
    <w:rsid w:val="00B47798"/>
    <w:rsid w:val="00B50B8A"/>
    <w:rsid w:val="00B50CBE"/>
    <w:rsid w:val="00B51A28"/>
    <w:rsid w:val="00B54EEB"/>
    <w:rsid w:val="00B55417"/>
    <w:rsid w:val="00B56F13"/>
    <w:rsid w:val="00B57D50"/>
    <w:rsid w:val="00B64424"/>
    <w:rsid w:val="00B649CD"/>
    <w:rsid w:val="00B65C1F"/>
    <w:rsid w:val="00B66D02"/>
    <w:rsid w:val="00B66EE1"/>
    <w:rsid w:val="00B67C66"/>
    <w:rsid w:val="00B704D4"/>
    <w:rsid w:val="00B70C36"/>
    <w:rsid w:val="00B72345"/>
    <w:rsid w:val="00B728C7"/>
    <w:rsid w:val="00B72CDF"/>
    <w:rsid w:val="00B7328E"/>
    <w:rsid w:val="00B752D3"/>
    <w:rsid w:val="00B7586D"/>
    <w:rsid w:val="00B75F06"/>
    <w:rsid w:val="00B811AA"/>
    <w:rsid w:val="00B811E0"/>
    <w:rsid w:val="00B8132E"/>
    <w:rsid w:val="00B81865"/>
    <w:rsid w:val="00B81E69"/>
    <w:rsid w:val="00B8274B"/>
    <w:rsid w:val="00B83FE8"/>
    <w:rsid w:val="00B8559A"/>
    <w:rsid w:val="00B866C0"/>
    <w:rsid w:val="00B90D91"/>
    <w:rsid w:val="00B915D0"/>
    <w:rsid w:val="00B921E1"/>
    <w:rsid w:val="00B92E8A"/>
    <w:rsid w:val="00B937B1"/>
    <w:rsid w:val="00B937E6"/>
    <w:rsid w:val="00B93895"/>
    <w:rsid w:val="00B9397B"/>
    <w:rsid w:val="00B939FC"/>
    <w:rsid w:val="00B942AA"/>
    <w:rsid w:val="00B9485A"/>
    <w:rsid w:val="00B94ECC"/>
    <w:rsid w:val="00B95811"/>
    <w:rsid w:val="00B95B63"/>
    <w:rsid w:val="00B96FE0"/>
    <w:rsid w:val="00B97476"/>
    <w:rsid w:val="00BA050F"/>
    <w:rsid w:val="00BA1D54"/>
    <w:rsid w:val="00BA1FB4"/>
    <w:rsid w:val="00BA32C7"/>
    <w:rsid w:val="00BA3AED"/>
    <w:rsid w:val="00BA3E51"/>
    <w:rsid w:val="00BA4240"/>
    <w:rsid w:val="00BA5984"/>
    <w:rsid w:val="00BA5BCE"/>
    <w:rsid w:val="00BA5E32"/>
    <w:rsid w:val="00BA6212"/>
    <w:rsid w:val="00BA63EE"/>
    <w:rsid w:val="00BA654B"/>
    <w:rsid w:val="00BA6A06"/>
    <w:rsid w:val="00BA6A51"/>
    <w:rsid w:val="00BA6CE8"/>
    <w:rsid w:val="00BA6FD0"/>
    <w:rsid w:val="00BA7841"/>
    <w:rsid w:val="00BA7B24"/>
    <w:rsid w:val="00BB001D"/>
    <w:rsid w:val="00BB080C"/>
    <w:rsid w:val="00BB11E6"/>
    <w:rsid w:val="00BB15F6"/>
    <w:rsid w:val="00BB207A"/>
    <w:rsid w:val="00BB20A0"/>
    <w:rsid w:val="00BB22E8"/>
    <w:rsid w:val="00BB2CAD"/>
    <w:rsid w:val="00BB38D1"/>
    <w:rsid w:val="00BB3976"/>
    <w:rsid w:val="00BB3D94"/>
    <w:rsid w:val="00BB4072"/>
    <w:rsid w:val="00BB4E7B"/>
    <w:rsid w:val="00BB6EBD"/>
    <w:rsid w:val="00BB7AF0"/>
    <w:rsid w:val="00BC012E"/>
    <w:rsid w:val="00BC21BC"/>
    <w:rsid w:val="00BC2F73"/>
    <w:rsid w:val="00BC3B95"/>
    <w:rsid w:val="00BC4917"/>
    <w:rsid w:val="00BC4AD1"/>
    <w:rsid w:val="00BC4D07"/>
    <w:rsid w:val="00BC5AB3"/>
    <w:rsid w:val="00BC5CF3"/>
    <w:rsid w:val="00BC65D6"/>
    <w:rsid w:val="00BC6737"/>
    <w:rsid w:val="00BC6EAD"/>
    <w:rsid w:val="00BD0120"/>
    <w:rsid w:val="00BD1C57"/>
    <w:rsid w:val="00BD260C"/>
    <w:rsid w:val="00BD2759"/>
    <w:rsid w:val="00BD42E8"/>
    <w:rsid w:val="00BD5788"/>
    <w:rsid w:val="00BD6F1E"/>
    <w:rsid w:val="00BD74B6"/>
    <w:rsid w:val="00BE045E"/>
    <w:rsid w:val="00BE18B1"/>
    <w:rsid w:val="00BE1FFF"/>
    <w:rsid w:val="00BE288B"/>
    <w:rsid w:val="00BE6021"/>
    <w:rsid w:val="00BE654C"/>
    <w:rsid w:val="00BE6FA8"/>
    <w:rsid w:val="00BE799D"/>
    <w:rsid w:val="00BF000F"/>
    <w:rsid w:val="00BF062C"/>
    <w:rsid w:val="00BF0786"/>
    <w:rsid w:val="00BF08E6"/>
    <w:rsid w:val="00BF3533"/>
    <w:rsid w:val="00BF3F94"/>
    <w:rsid w:val="00BF45A4"/>
    <w:rsid w:val="00BF54C6"/>
    <w:rsid w:val="00BF6A0B"/>
    <w:rsid w:val="00C00927"/>
    <w:rsid w:val="00C0189B"/>
    <w:rsid w:val="00C01984"/>
    <w:rsid w:val="00C038B3"/>
    <w:rsid w:val="00C04028"/>
    <w:rsid w:val="00C04C7E"/>
    <w:rsid w:val="00C0535C"/>
    <w:rsid w:val="00C06B0C"/>
    <w:rsid w:val="00C06E72"/>
    <w:rsid w:val="00C07205"/>
    <w:rsid w:val="00C10A3E"/>
    <w:rsid w:val="00C110FE"/>
    <w:rsid w:val="00C12375"/>
    <w:rsid w:val="00C126B4"/>
    <w:rsid w:val="00C13521"/>
    <w:rsid w:val="00C16F78"/>
    <w:rsid w:val="00C17432"/>
    <w:rsid w:val="00C205F3"/>
    <w:rsid w:val="00C22614"/>
    <w:rsid w:val="00C2331E"/>
    <w:rsid w:val="00C23B64"/>
    <w:rsid w:val="00C243B3"/>
    <w:rsid w:val="00C248E7"/>
    <w:rsid w:val="00C24940"/>
    <w:rsid w:val="00C24FDA"/>
    <w:rsid w:val="00C25B9C"/>
    <w:rsid w:val="00C26EA3"/>
    <w:rsid w:val="00C3110E"/>
    <w:rsid w:val="00C3130A"/>
    <w:rsid w:val="00C31E04"/>
    <w:rsid w:val="00C326CF"/>
    <w:rsid w:val="00C32ECC"/>
    <w:rsid w:val="00C3350A"/>
    <w:rsid w:val="00C33D76"/>
    <w:rsid w:val="00C346C0"/>
    <w:rsid w:val="00C34D24"/>
    <w:rsid w:val="00C354D0"/>
    <w:rsid w:val="00C364A5"/>
    <w:rsid w:val="00C40798"/>
    <w:rsid w:val="00C443BE"/>
    <w:rsid w:val="00C445CE"/>
    <w:rsid w:val="00C448CD"/>
    <w:rsid w:val="00C47C16"/>
    <w:rsid w:val="00C5061A"/>
    <w:rsid w:val="00C516F9"/>
    <w:rsid w:val="00C51CF5"/>
    <w:rsid w:val="00C51E2C"/>
    <w:rsid w:val="00C53764"/>
    <w:rsid w:val="00C53B3D"/>
    <w:rsid w:val="00C549CE"/>
    <w:rsid w:val="00C5557C"/>
    <w:rsid w:val="00C559DA"/>
    <w:rsid w:val="00C561F5"/>
    <w:rsid w:val="00C562B2"/>
    <w:rsid w:val="00C57C48"/>
    <w:rsid w:val="00C61BF8"/>
    <w:rsid w:val="00C6305D"/>
    <w:rsid w:val="00C6327A"/>
    <w:rsid w:val="00C63A6E"/>
    <w:rsid w:val="00C6499E"/>
    <w:rsid w:val="00C64E6E"/>
    <w:rsid w:val="00C661BE"/>
    <w:rsid w:val="00C7065B"/>
    <w:rsid w:val="00C707A9"/>
    <w:rsid w:val="00C74853"/>
    <w:rsid w:val="00C74EA2"/>
    <w:rsid w:val="00C7575C"/>
    <w:rsid w:val="00C75E9D"/>
    <w:rsid w:val="00C76A10"/>
    <w:rsid w:val="00C76A91"/>
    <w:rsid w:val="00C7745B"/>
    <w:rsid w:val="00C801B7"/>
    <w:rsid w:val="00C812AF"/>
    <w:rsid w:val="00C81AC3"/>
    <w:rsid w:val="00C81E90"/>
    <w:rsid w:val="00C83614"/>
    <w:rsid w:val="00C83DF4"/>
    <w:rsid w:val="00C8403D"/>
    <w:rsid w:val="00C85930"/>
    <w:rsid w:val="00C874DC"/>
    <w:rsid w:val="00C9069E"/>
    <w:rsid w:val="00C921CC"/>
    <w:rsid w:val="00C92BD2"/>
    <w:rsid w:val="00C9373E"/>
    <w:rsid w:val="00C9400C"/>
    <w:rsid w:val="00C94164"/>
    <w:rsid w:val="00C94D30"/>
    <w:rsid w:val="00C94E75"/>
    <w:rsid w:val="00C94F58"/>
    <w:rsid w:val="00C964FA"/>
    <w:rsid w:val="00C9656B"/>
    <w:rsid w:val="00C96825"/>
    <w:rsid w:val="00C97BCC"/>
    <w:rsid w:val="00CA0278"/>
    <w:rsid w:val="00CA0BEC"/>
    <w:rsid w:val="00CA1F24"/>
    <w:rsid w:val="00CA2559"/>
    <w:rsid w:val="00CA2CFB"/>
    <w:rsid w:val="00CA3854"/>
    <w:rsid w:val="00CA4258"/>
    <w:rsid w:val="00CA49BA"/>
    <w:rsid w:val="00CA4D57"/>
    <w:rsid w:val="00CA58CA"/>
    <w:rsid w:val="00CA6239"/>
    <w:rsid w:val="00CB0596"/>
    <w:rsid w:val="00CB09E8"/>
    <w:rsid w:val="00CB1A0E"/>
    <w:rsid w:val="00CB3809"/>
    <w:rsid w:val="00CB66FB"/>
    <w:rsid w:val="00CB7717"/>
    <w:rsid w:val="00CB77E6"/>
    <w:rsid w:val="00CC05FD"/>
    <w:rsid w:val="00CC0E1E"/>
    <w:rsid w:val="00CC4240"/>
    <w:rsid w:val="00CC4292"/>
    <w:rsid w:val="00CC4B98"/>
    <w:rsid w:val="00CC4CC1"/>
    <w:rsid w:val="00CC4DDE"/>
    <w:rsid w:val="00CC4E64"/>
    <w:rsid w:val="00CC52EF"/>
    <w:rsid w:val="00CC5F38"/>
    <w:rsid w:val="00CC654E"/>
    <w:rsid w:val="00CD0027"/>
    <w:rsid w:val="00CD0727"/>
    <w:rsid w:val="00CD1267"/>
    <w:rsid w:val="00CD172F"/>
    <w:rsid w:val="00CD2682"/>
    <w:rsid w:val="00CD360F"/>
    <w:rsid w:val="00CD381A"/>
    <w:rsid w:val="00CD41CE"/>
    <w:rsid w:val="00CD4278"/>
    <w:rsid w:val="00CD428A"/>
    <w:rsid w:val="00CD5059"/>
    <w:rsid w:val="00CD5D8A"/>
    <w:rsid w:val="00CD6D6A"/>
    <w:rsid w:val="00CD798D"/>
    <w:rsid w:val="00CD7A5C"/>
    <w:rsid w:val="00CE0FE2"/>
    <w:rsid w:val="00CE269C"/>
    <w:rsid w:val="00CE2E97"/>
    <w:rsid w:val="00CE388A"/>
    <w:rsid w:val="00CE4846"/>
    <w:rsid w:val="00CE7E04"/>
    <w:rsid w:val="00CE7E44"/>
    <w:rsid w:val="00CF00F7"/>
    <w:rsid w:val="00CF0B04"/>
    <w:rsid w:val="00CF0B63"/>
    <w:rsid w:val="00CF0F37"/>
    <w:rsid w:val="00CF3107"/>
    <w:rsid w:val="00CF3BF3"/>
    <w:rsid w:val="00CF46D9"/>
    <w:rsid w:val="00CF4B69"/>
    <w:rsid w:val="00CF5272"/>
    <w:rsid w:val="00CF7C88"/>
    <w:rsid w:val="00D00B1B"/>
    <w:rsid w:val="00D00CE1"/>
    <w:rsid w:val="00D01265"/>
    <w:rsid w:val="00D012A2"/>
    <w:rsid w:val="00D01F70"/>
    <w:rsid w:val="00D03D95"/>
    <w:rsid w:val="00D052F6"/>
    <w:rsid w:val="00D053DA"/>
    <w:rsid w:val="00D06136"/>
    <w:rsid w:val="00D061E5"/>
    <w:rsid w:val="00D07284"/>
    <w:rsid w:val="00D07572"/>
    <w:rsid w:val="00D07CE6"/>
    <w:rsid w:val="00D07DF2"/>
    <w:rsid w:val="00D12768"/>
    <w:rsid w:val="00D12BC8"/>
    <w:rsid w:val="00D143E9"/>
    <w:rsid w:val="00D146CB"/>
    <w:rsid w:val="00D154D4"/>
    <w:rsid w:val="00D16691"/>
    <w:rsid w:val="00D22951"/>
    <w:rsid w:val="00D242E5"/>
    <w:rsid w:val="00D24762"/>
    <w:rsid w:val="00D2634B"/>
    <w:rsid w:val="00D26847"/>
    <w:rsid w:val="00D26E34"/>
    <w:rsid w:val="00D27730"/>
    <w:rsid w:val="00D312F0"/>
    <w:rsid w:val="00D31BD9"/>
    <w:rsid w:val="00D346CE"/>
    <w:rsid w:val="00D351F5"/>
    <w:rsid w:val="00D36E70"/>
    <w:rsid w:val="00D37FA7"/>
    <w:rsid w:val="00D40062"/>
    <w:rsid w:val="00D400C3"/>
    <w:rsid w:val="00D4264D"/>
    <w:rsid w:val="00D427EC"/>
    <w:rsid w:val="00D43298"/>
    <w:rsid w:val="00D4386A"/>
    <w:rsid w:val="00D4544D"/>
    <w:rsid w:val="00D45788"/>
    <w:rsid w:val="00D4659D"/>
    <w:rsid w:val="00D501FA"/>
    <w:rsid w:val="00D50EAC"/>
    <w:rsid w:val="00D510A3"/>
    <w:rsid w:val="00D52190"/>
    <w:rsid w:val="00D52E1D"/>
    <w:rsid w:val="00D55028"/>
    <w:rsid w:val="00D550B0"/>
    <w:rsid w:val="00D55CBA"/>
    <w:rsid w:val="00D56910"/>
    <w:rsid w:val="00D56C0D"/>
    <w:rsid w:val="00D56EE3"/>
    <w:rsid w:val="00D571C4"/>
    <w:rsid w:val="00D60997"/>
    <w:rsid w:val="00D6108B"/>
    <w:rsid w:val="00D61825"/>
    <w:rsid w:val="00D61A68"/>
    <w:rsid w:val="00D61FB6"/>
    <w:rsid w:val="00D62490"/>
    <w:rsid w:val="00D62A39"/>
    <w:rsid w:val="00D63DBF"/>
    <w:rsid w:val="00D64188"/>
    <w:rsid w:val="00D64962"/>
    <w:rsid w:val="00D64DF2"/>
    <w:rsid w:val="00D65784"/>
    <w:rsid w:val="00D65E25"/>
    <w:rsid w:val="00D668FC"/>
    <w:rsid w:val="00D66B14"/>
    <w:rsid w:val="00D66D08"/>
    <w:rsid w:val="00D70264"/>
    <w:rsid w:val="00D707E5"/>
    <w:rsid w:val="00D721E7"/>
    <w:rsid w:val="00D7223E"/>
    <w:rsid w:val="00D7299C"/>
    <w:rsid w:val="00D73253"/>
    <w:rsid w:val="00D7407F"/>
    <w:rsid w:val="00D76780"/>
    <w:rsid w:val="00D77016"/>
    <w:rsid w:val="00D77AB4"/>
    <w:rsid w:val="00D81BB8"/>
    <w:rsid w:val="00D82A13"/>
    <w:rsid w:val="00D8316E"/>
    <w:rsid w:val="00D84FE0"/>
    <w:rsid w:val="00D85780"/>
    <w:rsid w:val="00D858BE"/>
    <w:rsid w:val="00D86830"/>
    <w:rsid w:val="00D86915"/>
    <w:rsid w:val="00D86E4C"/>
    <w:rsid w:val="00D90755"/>
    <w:rsid w:val="00D92B74"/>
    <w:rsid w:val="00D92F9D"/>
    <w:rsid w:val="00D93592"/>
    <w:rsid w:val="00D963FF"/>
    <w:rsid w:val="00D96AA0"/>
    <w:rsid w:val="00DA05DC"/>
    <w:rsid w:val="00DA0EFB"/>
    <w:rsid w:val="00DA10F2"/>
    <w:rsid w:val="00DA18D7"/>
    <w:rsid w:val="00DA2AF7"/>
    <w:rsid w:val="00DA2D5C"/>
    <w:rsid w:val="00DA345A"/>
    <w:rsid w:val="00DA550E"/>
    <w:rsid w:val="00DA5A18"/>
    <w:rsid w:val="00DA5E9F"/>
    <w:rsid w:val="00DA661A"/>
    <w:rsid w:val="00DA7329"/>
    <w:rsid w:val="00DA7F28"/>
    <w:rsid w:val="00DB0414"/>
    <w:rsid w:val="00DB1D7C"/>
    <w:rsid w:val="00DB23FA"/>
    <w:rsid w:val="00DB28CA"/>
    <w:rsid w:val="00DB3199"/>
    <w:rsid w:val="00DB338C"/>
    <w:rsid w:val="00DB3875"/>
    <w:rsid w:val="00DB3A5B"/>
    <w:rsid w:val="00DB3FC6"/>
    <w:rsid w:val="00DB4891"/>
    <w:rsid w:val="00DB49C7"/>
    <w:rsid w:val="00DB5094"/>
    <w:rsid w:val="00DB7E01"/>
    <w:rsid w:val="00DB7FF4"/>
    <w:rsid w:val="00DC1042"/>
    <w:rsid w:val="00DC122A"/>
    <w:rsid w:val="00DC1528"/>
    <w:rsid w:val="00DC1986"/>
    <w:rsid w:val="00DC2BFF"/>
    <w:rsid w:val="00DC3028"/>
    <w:rsid w:val="00DC3981"/>
    <w:rsid w:val="00DC3DBA"/>
    <w:rsid w:val="00DC6946"/>
    <w:rsid w:val="00DC6C6D"/>
    <w:rsid w:val="00DD0B12"/>
    <w:rsid w:val="00DD0D24"/>
    <w:rsid w:val="00DD1103"/>
    <w:rsid w:val="00DD1234"/>
    <w:rsid w:val="00DD1ABC"/>
    <w:rsid w:val="00DD2872"/>
    <w:rsid w:val="00DD28CD"/>
    <w:rsid w:val="00DD3786"/>
    <w:rsid w:val="00DD37D8"/>
    <w:rsid w:val="00DD3DC1"/>
    <w:rsid w:val="00DD5269"/>
    <w:rsid w:val="00DD539B"/>
    <w:rsid w:val="00DD5C6B"/>
    <w:rsid w:val="00DD6408"/>
    <w:rsid w:val="00DD6D61"/>
    <w:rsid w:val="00DD7049"/>
    <w:rsid w:val="00DE017F"/>
    <w:rsid w:val="00DE0577"/>
    <w:rsid w:val="00DE0CFA"/>
    <w:rsid w:val="00DE13BF"/>
    <w:rsid w:val="00DE232A"/>
    <w:rsid w:val="00DE285C"/>
    <w:rsid w:val="00DE2D73"/>
    <w:rsid w:val="00DE398D"/>
    <w:rsid w:val="00DE4221"/>
    <w:rsid w:val="00DE50C4"/>
    <w:rsid w:val="00DE52C1"/>
    <w:rsid w:val="00DE68DF"/>
    <w:rsid w:val="00DF1025"/>
    <w:rsid w:val="00DF150F"/>
    <w:rsid w:val="00DF21A9"/>
    <w:rsid w:val="00DF2883"/>
    <w:rsid w:val="00DF340D"/>
    <w:rsid w:val="00DF58B0"/>
    <w:rsid w:val="00DF5E90"/>
    <w:rsid w:val="00DF677C"/>
    <w:rsid w:val="00DF686F"/>
    <w:rsid w:val="00DF7140"/>
    <w:rsid w:val="00DF7F12"/>
    <w:rsid w:val="00E002A2"/>
    <w:rsid w:val="00E008E1"/>
    <w:rsid w:val="00E01DC5"/>
    <w:rsid w:val="00E02C4D"/>
    <w:rsid w:val="00E02DAA"/>
    <w:rsid w:val="00E039FA"/>
    <w:rsid w:val="00E03BD2"/>
    <w:rsid w:val="00E0420B"/>
    <w:rsid w:val="00E04858"/>
    <w:rsid w:val="00E059C0"/>
    <w:rsid w:val="00E064D6"/>
    <w:rsid w:val="00E068E1"/>
    <w:rsid w:val="00E06A27"/>
    <w:rsid w:val="00E07411"/>
    <w:rsid w:val="00E1213F"/>
    <w:rsid w:val="00E12B29"/>
    <w:rsid w:val="00E135A9"/>
    <w:rsid w:val="00E1366A"/>
    <w:rsid w:val="00E136A6"/>
    <w:rsid w:val="00E13A25"/>
    <w:rsid w:val="00E15B46"/>
    <w:rsid w:val="00E1610F"/>
    <w:rsid w:val="00E232A3"/>
    <w:rsid w:val="00E24CFA"/>
    <w:rsid w:val="00E26525"/>
    <w:rsid w:val="00E26E25"/>
    <w:rsid w:val="00E271DB"/>
    <w:rsid w:val="00E274AA"/>
    <w:rsid w:val="00E3053E"/>
    <w:rsid w:val="00E30BB7"/>
    <w:rsid w:val="00E31206"/>
    <w:rsid w:val="00E31B9F"/>
    <w:rsid w:val="00E330AD"/>
    <w:rsid w:val="00E3340A"/>
    <w:rsid w:val="00E3368D"/>
    <w:rsid w:val="00E336FF"/>
    <w:rsid w:val="00E33906"/>
    <w:rsid w:val="00E33DA6"/>
    <w:rsid w:val="00E34917"/>
    <w:rsid w:val="00E34B7B"/>
    <w:rsid w:val="00E3637A"/>
    <w:rsid w:val="00E412F6"/>
    <w:rsid w:val="00E413A2"/>
    <w:rsid w:val="00E4227E"/>
    <w:rsid w:val="00E4287C"/>
    <w:rsid w:val="00E428D7"/>
    <w:rsid w:val="00E43A70"/>
    <w:rsid w:val="00E43E64"/>
    <w:rsid w:val="00E4508A"/>
    <w:rsid w:val="00E46EA8"/>
    <w:rsid w:val="00E47102"/>
    <w:rsid w:val="00E478C7"/>
    <w:rsid w:val="00E502F6"/>
    <w:rsid w:val="00E508B9"/>
    <w:rsid w:val="00E50CB9"/>
    <w:rsid w:val="00E520CB"/>
    <w:rsid w:val="00E536FA"/>
    <w:rsid w:val="00E53F7E"/>
    <w:rsid w:val="00E55E8C"/>
    <w:rsid w:val="00E61467"/>
    <w:rsid w:val="00E614AC"/>
    <w:rsid w:val="00E62641"/>
    <w:rsid w:val="00E62674"/>
    <w:rsid w:val="00E63C02"/>
    <w:rsid w:val="00E643A4"/>
    <w:rsid w:val="00E65FEF"/>
    <w:rsid w:val="00E667B8"/>
    <w:rsid w:val="00E671F1"/>
    <w:rsid w:val="00E70C52"/>
    <w:rsid w:val="00E7132E"/>
    <w:rsid w:val="00E71512"/>
    <w:rsid w:val="00E71AB8"/>
    <w:rsid w:val="00E72C81"/>
    <w:rsid w:val="00E72E3B"/>
    <w:rsid w:val="00E73B88"/>
    <w:rsid w:val="00E749EC"/>
    <w:rsid w:val="00E74E2C"/>
    <w:rsid w:val="00E74FCB"/>
    <w:rsid w:val="00E75197"/>
    <w:rsid w:val="00E769A7"/>
    <w:rsid w:val="00E76B58"/>
    <w:rsid w:val="00E76F82"/>
    <w:rsid w:val="00E77832"/>
    <w:rsid w:val="00E80AA3"/>
    <w:rsid w:val="00E8160A"/>
    <w:rsid w:val="00E81725"/>
    <w:rsid w:val="00E83CE4"/>
    <w:rsid w:val="00E842D8"/>
    <w:rsid w:val="00E85672"/>
    <w:rsid w:val="00E85EE5"/>
    <w:rsid w:val="00E85F78"/>
    <w:rsid w:val="00E86498"/>
    <w:rsid w:val="00E878BE"/>
    <w:rsid w:val="00E90593"/>
    <w:rsid w:val="00E93F61"/>
    <w:rsid w:val="00E94002"/>
    <w:rsid w:val="00E944D3"/>
    <w:rsid w:val="00E9454E"/>
    <w:rsid w:val="00E958C2"/>
    <w:rsid w:val="00E95F05"/>
    <w:rsid w:val="00E962DE"/>
    <w:rsid w:val="00E96AD5"/>
    <w:rsid w:val="00E972E7"/>
    <w:rsid w:val="00E9781D"/>
    <w:rsid w:val="00EA068A"/>
    <w:rsid w:val="00EA1860"/>
    <w:rsid w:val="00EA3FB4"/>
    <w:rsid w:val="00EA48EE"/>
    <w:rsid w:val="00EA51EE"/>
    <w:rsid w:val="00EA5412"/>
    <w:rsid w:val="00EA5855"/>
    <w:rsid w:val="00EA5A61"/>
    <w:rsid w:val="00EA5DAA"/>
    <w:rsid w:val="00EA7D8D"/>
    <w:rsid w:val="00EB0269"/>
    <w:rsid w:val="00EB0F7C"/>
    <w:rsid w:val="00EB1666"/>
    <w:rsid w:val="00EB1B24"/>
    <w:rsid w:val="00EB2475"/>
    <w:rsid w:val="00EB4183"/>
    <w:rsid w:val="00EB4489"/>
    <w:rsid w:val="00EB4720"/>
    <w:rsid w:val="00EB6276"/>
    <w:rsid w:val="00EB6316"/>
    <w:rsid w:val="00EB65A6"/>
    <w:rsid w:val="00EB68F6"/>
    <w:rsid w:val="00EB6BD2"/>
    <w:rsid w:val="00EB74F3"/>
    <w:rsid w:val="00EB7FC4"/>
    <w:rsid w:val="00EC0932"/>
    <w:rsid w:val="00EC0B65"/>
    <w:rsid w:val="00EC1B80"/>
    <w:rsid w:val="00EC2A4A"/>
    <w:rsid w:val="00EC3A3C"/>
    <w:rsid w:val="00EC47B8"/>
    <w:rsid w:val="00EC514A"/>
    <w:rsid w:val="00EC64B5"/>
    <w:rsid w:val="00EC64BC"/>
    <w:rsid w:val="00EC66BD"/>
    <w:rsid w:val="00EC6842"/>
    <w:rsid w:val="00EC722A"/>
    <w:rsid w:val="00ED1BE7"/>
    <w:rsid w:val="00ED1D34"/>
    <w:rsid w:val="00ED2A56"/>
    <w:rsid w:val="00ED30CD"/>
    <w:rsid w:val="00ED3BE2"/>
    <w:rsid w:val="00ED3DE3"/>
    <w:rsid w:val="00ED6037"/>
    <w:rsid w:val="00ED6E36"/>
    <w:rsid w:val="00ED6F10"/>
    <w:rsid w:val="00ED7055"/>
    <w:rsid w:val="00EE0547"/>
    <w:rsid w:val="00EE0955"/>
    <w:rsid w:val="00EE0C26"/>
    <w:rsid w:val="00EE1640"/>
    <w:rsid w:val="00EE263D"/>
    <w:rsid w:val="00EE3810"/>
    <w:rsid w:val="00EE3D9B"/>
    <w:rsid w:val="00EE454B"/>
    <w:rsid w:val="00EE4D80"/>
    <w:rsid w:val="00EE5054"/>
    <w:rsid w:val="00EE5467"/>
    <w:rsid w:val="00EE6114"/>
    <w:rsid w:val="00EE6288"/>
    <w:rsid w:val="00EE72A0"/>
    <w:rsid w:val="00EE75A1"/>
    <w:rsid w:val="00EE79D8"/>
    <w:rsid w:val="00EF0132"/>
    <w:rsid w:val="00EF0AE5"/>
    <w:rsid w:val="00EF212B"/>
    <w:rsid w:val="00EF2325"/>
    <w:rsid w:val="00EF28B4"/>
    <w:rsid w:val="00EF350E"/>
    <w:rsid w:val="00EF4817"/>
    <w:rsid w:val="00EF496D"/>
    <w:rsid w:val="00EF4CCF"/>
    <w:rsid w:val="00EF5804"/>
    <w:rsid w:val="00EF62ED"/>
    <w:rsid w:val="00EF681D"/>
    <w:rsid w:val="00EF6A7F"/>
    <w:rsid w:val="00EF76ED"/>
    <w:rsid w:val="00F00131"/>
    <w:rsid w:val="00F00A73"/>
    <w:rsid w:val="00F00BD1"/>
    <w:rsid w:val="00F00DD0"/>
    <w:rsid w:val="00F02BAE"/>
    <w:rsid w:val="00F03144"/>
    <w:rsid w:val="00F03EF0"/>
    <w:rsid w:val="00F0432A"/>
    <w:rsid w:val="00F05CCF"/>
    <w:rsid w:val="00F05CDB"/>
    <w:rsid w:val="00F06427"/>
    <w:rsid w:val="00F06CFB"/>
    <w:rsid w:val="00F07866"/>
    <w:rsid w:val="00F07D79"/>
    <w:rsid w:val="00F10316"/>
    <w:rsid w:val="00F10C07"/>
    <w:rsid w:val="00F12B42"/>
    <w:rsid w:val="00F1503F"/>
    <w:rsid w:val="00F15685"/>
    <w:rsid w:val="00F1591A"/>
    <w:rsid w:val="00F15C3C"/>
    <w:rsid w:val="00F1694E"/>
    <w:rsid w:val="00F176D9"/>
    <w:rsid w:val="00F1785B"/>
    <w:rsid w:val="00F21770"/>
    <w:rsid w:val="00F22D87"/>
    <w:rsid w:val="00F23136"/>
    <w:rsid w:val="00F2321E"/>
    <w:rsid w:val="00F23B36"/>
    <w:rsid w:val="00F23CED"/>
    <w:rsid w:val="00F2436C"/>
    <w:rsid w:val="00F25862"/>
    <w:rsid w:val="00F30382"/>
    <w:rsid w:val="00F30B9A"/>
    <w:rsid w:val="00F31268"/>
    <w:rsid w:val="00F33455"/>
    <w:rsid w:val="00F36C3B"/>
    <w:rsid w:val="00F3778E"/>
    <w:rsid w:val="00F37ECB"/>
    <w:rsid w:val="00F402D8"/>
    <w:rsid w:val="00F403A1"/>
    <w:rsid w:val="00F40BA5"/>
    <w:rsid w:val="00F422C3"/>
    <w:rsid w:val="00F42755"/>
    <w:rsid w:val="00F42E29"/>
    <w:rsid w:val="00F43194"/>
    <w:rsid w:val="00F437AF"/>
    <w:rsid w:val="00F4426F"/>
    <w:rsid w:val="00F44D3A"/>
    <w:rsid w:val="00F45F88"/>
    <w:rsid w:val="00F462EF"/>
    <w:rsid w:val="00F46C8C"/>
    <w:rsid w:val="00F47817"/>
    <w:rsid w:val="00F50B93"/>
    <w:rsid w:val="00F5137A"/>
    <w:rsid w:val="00F51743"/>
    <w:rsid w:val="00F51777"/>
    <w:rsid w:val="00F52B04"/>
    <w:rsid w:val="00F537AA"/>
    <w:rsid w:val="00F54176"/>
    <w:rsid w:val="00F543C2"/>
    <w:rsid w:val="00F56FBF"/>
    <w:rsid w:val="00F57056"/>
    <w:rsid w:val="00F571A5"/>
    <w:rsid w:val="00F626C8"/>
    <w:rsid w:val="00F62C6B"/>
    <w:rsid w:val="00F62D07"/>
    <w:rsid w:val="00F63877"/>
    <w:rsid w:val="00F63956"/>
    <w:rsid w:val="00F64762"/>
    <w:rsid w:val="00F64A2F"/>
    <w:rsid w:val="00F651CB"/>
    <w:rsid w:val="00F65B21"/>
    <w:rsid w:val="00F6638B"/>
    <w:rsid w:val="00F663A1"/>
    <w:rsid w:val="00F67043"/>
    <w:rsid w:val="00F675C4"/>
    <w:rsid w:val="00F712C9"/>
    <w:rsid w:val="00F71759"/>
    <w:rsid w:val="00F740A8"/>
    <w:rsid w:val="00F747AD"/>
    <w:rsid w:val="00F74952"/>
    <w:rsid w:val="00F74FEC"/>
    <w:rsid w:val="00F754A3"/>
    <w:rsid w:val="00F765E1"/>
    <w:rsid w:val="00F76A8D"/>
    <w:rsid w:val="00F80A5B"/>
    <w:rsid w:val="00F82258"/>
    <w:rsid w:val="00F829F9"/>
    <w:rsid w:val="00F83163"/>
    <w:rsid w:val="00F83A49"/>
    <w:rsid w:val="00F84162"/>
    <w:rsid w:val="00F84EF3"/>
    <w:rsid w:val="00F85F4F"/>
    <w:rsid w:val="00F8661D"/>
    <w:rsid w:val="00F86EBB"/>
    <w:rsid w:val="00F87C4C"/>
    <w:rsid w:val="00F87C9F"/>
    <w:rsid w:val="00F90401"/>
    <w:rsid w:val="00F90CA0"/>
    <w:rsid w:val="00F9132B"/>
    <w:rsid w:val="00F9212E"/>
    <w:rsid w:val="00F9242D"/>
    <w:rsid w:val="00F92894"/>
    <w:rsid w:val="00F92BA9"/>
    <w:rsid w:val="00F92D9F"/>
    <w:rsid w:val="00F9407C"/>
    <w:rsid w:val="00F941FA"/>
    <w:rsid w:val="00F944FD"/>
    <w:rsid w:val="00F95A6E"/>
    <w:rsid w:val="00F95CF1"/>
    <w:rsid w:val="00F97DD7"/>
    <w:rsid w:val="00FA00F8"/>
    <w:rsid w:val="00FA1B07"/>
    <w:rsid w:val="00FA1F5D"/>
    <w:rsid w:val="00FA2781"/>
    <w:rsid w:val="00FA5714"/>
    <w:rsid w:val="00FA5B4C"/>
    <w:rsid w:val="00FA615C"/>
    <w:rsid w:val="00FA6589"/>
    <w:rsid w:val="00FB0211"/>
    <w:rsid w:val="00FB2D17"/>
    <w:rsid w:val="00FB338B"/>
    <w:rsid w:val="00FB3414"/>
    <w:rsid w:val="00FB516F"/>
    <w:rsid w:val="00FB58FC"/>
    <w:rsid w:val="00FB5924"/>
    <w:rsid w:val="00FB6A8F"/>
    <w:rsid w:val="00FB6E59"/>
    <w:rsid w:val="00FB6F29"/>
    <w:rsid w:val="00FB706C"/>
    <w:rsid w:val="00FC18BB"/>
    <w:rsid w:val="00FC1D76"/>
    <w:rsid w:val="00FC1DC4"/>
    <w:rsid w:val="00FC225F"/>
    <w:rsid w:val="00FC3EF1"/>
    <w:rsid w:val="00FC4C43"/>
    <w:rsid w:val="00FC5868"/>
    <w:rsid w:val="00FC58AA"/>
    <w:rsid w:val="00FC594B"/>
    <w:rsid w:val="00FC6109"/>
    <w:rsid w:val="00FC7635"/>
    <w:rsid w:val="00FC7C69"/>
    <w:rsid w:val="00FD024A"/>
    <w:rsid w:val="00FD1D4A"/>
    <w:rsid w:val="00FD35E1"/>
    <w:rsid w:val="00FD49CB"/>
    <w:rsid w:val="00FD58E8"/>
    <w:rsid w:val="00FE0855"/>
    <w:rsid w:val="00FE1989"/>
    <w:rsid w:val="00FE2082"/>
    <w:rsid w:val="00FE219D"/>
    <w:rsid w:val="00FE2EAB"/>
    <w:rsid w:val="00FE37AD"/>
    <w:rsid w:val="00FE3BA6"/>
    <w:rsid w:val="00FE3D46"/>
    <w:rsid w:val="00FE5F46"/>
    <w:rsid w:val="00FE674F"/>
    <w:rsid w:val="00FE6D43"/>
    <w:rsid w:val="00FE7655"/>
    <w:rsid w:val="00FF15B6"/>
    <w:rsid w:val="00FF1CCD"/>
    <w:rsid w:val="00FF1E82"/>
    <w:rsid w:val="00FF26CC"/>
    <w:rsid w:val="00FF38A4"/>
    <w:rsid w:val="00FF40C2"/>
    <w:rsid w:val="00FF5F73"/>
    <w:rsid w:val="00FF70BD"/>
    <w:rsid w:val="01081B3E"/>
    <w:rsid w:val="010E3A48"/>
    <w:rsid w:val="011A52DC"/>
    <w:rsid w:val="01257602"/>
    <w:rsid w:val="01287E75"/>
    <w:rsid w:val="012A7AF5"/>
    <w:rsid w:val="01314F01"/>
    <w:rsid w:val="0153436C"/>
    <w:rsid w:val="01575141"/>
    <w:rsid w:val="015C4E4C"/>
    <w:rsid w:val="015D28CD"/>
    <w:rsid w:val="015E034F"/>
    <w:rsid w:val="016853DB"/>
    <w:rsid w:val="017A43FC"/>
    <w:rsid w:val="019C45B0"/>
    <w:rsid w:val="01AC7D42"/>
    <w:rsid w:val="01AF35D1"/>
    <w:rsid w:val="01B24556"/>
    <w:rsid w:val="01B45EC4"/>
    <w:rsid w:val="01BE3BEC"/>
    <w:rsid w:val="01C35AF5"/>
    <w:rsid w:val="01C47CF3"/>
    <w:rsid w:val="01D50B33"/>
    <w:rsid w:val="01DB319C"/>
    <w:rsid w:val="01E22B26"/>
    <w:rsid w:val="01EA46B0"/>
    <w:rsid w:val="01EF43BB"/>
    <w:rsid w:val="01F0403A"/>
    <w:rsid w:val="01F42A41"/>
    <w:rsid w:val="020020D6"/>
    <w:rsid w:val="02102371"/>
    <w:rsid w:val="021567F9"/>
    <w:rsid w:val="02254895"/>
    <w:rsid w:val="02264514"/>
    <w:rsid w:val="022B099C"/>
    <w:rsid w:val="02320327"/>
    <w:rsid w:val="02323BAA"/>
    <w:rsid w:val="023F763D"/>
    <w:rsid w:val="024205C1"/>
    <w:rsid w:val="024318C6"/>
    <w:rsid w:val="02433E45"/>
    <w:rsid w:val="02436043"/>
    <w:rsid w:val="02474A49"/>
    <w:rsid w:val="02497C09"/>
    <w:rsid w:val="024C4754"/>
    <w:rsid w:val="024C5E48"/>
    <w:rsid w:val="024D21D6"/>
    <w:rsid w:val="0250315A"/>
    <w:rsid w:val="025A3A6A"/>
    <w:rsid w:val="025B14EB"/>
    <w:rsid w:val="025C49EE"/>
    <w:rsid w:val="02625D4B"/>
    <w:rsid w:val="02634379"/>
    <w:rsid w:val="02646578"/>
    <w:rsid w:val="02653FF9"/>
    <w:rsid w:val="02734614"/>
    <w:rsid w:val="027A3F9F"/>
    <w:rsid w:val="02934EC9"/>
    <w:rsid w:val="029638CF"/>
    <w:rsid w:val="029A6A52"/>
    <w:rsid w:val="029F2ED9"/>
    <w:rsid w:val="02A318E0"/>
    <w:rsid w:val="02A47361"/>
    <w:rsid w:val="02AC21EF"/>
    <w:rsid w:val="02AC7FF1"/>
    <w:rsid w:val="02AD34F4"/>
    <w:rsid w:val="02B353FD"/>
    <w:rsid w:val="02BE378E"/>
    <w:rsid w:val="02BE6051"/>
    <w:rsid w:val="02C16911"/>
    <w:rsid w:val="02C22194"/>
    <w:rsid w:val="02C62D99"/>
    <w:rsid w:val="02CB7221"/>
    <w:rsid w:val="02CC4CA2"/>
    <w:rsid w:val="02D533B3"/>
    <w:rsid w:val="02E3014B"/>
    <w:rsid w:val="02F922EE"/>
    <w:rsid w:val="02FE1FF9"/>
    <w:rsid w:val="030054FC"/>
    <w:rsid w:val="030E4812"/>
    <w:rsid w:val="03115797"/>
    <w:rsid w:val="03117995"/>
    <w:rsid w:val="03256636"/>
    <w:rsid w:val="03271B39"/>
    <w:rsid w:val="032F6F45"/>
    <w:rsid w:val="033D1ADE"/>
    <w:rsid w:val="03477E6F"/>
    <w:rsid w:val="034B6875"/>
    <w:rsid w:val="03502CFD"/>
    <w:rsid w:val="03541703"/>
    <w:rsid w:val="035B108E"/>
    <w:rsid w:val="035D7E14"/>
    <w:rsid w:val="035E676F"/>
    <w:rsid w:val="035F2FC9"/>
    <w:rsid w:val="0365741F"/>
    <w:rsid w:val="036921A4"/>
    <w:rsid w:val="036F35B2"/>
    <w:rsid w:val="03716AB5"/>
    <w:rsid w:val="037709BE"/>
    <w:rsid w:val="037E5DCB"/>
    <w:rsid w:val="03832252"/>
    <w:rsid w:val="03882E57"/>
    <w:rsid w:val="03903AE7"/>
    <w:rsid w:val="03952E1A"/>
    <w:rsid w:val="03A27284"/>
    <w:rsid w:val="03A34D06"/>
    <w:rsid w:val="03AE265E"/>
    <w:rsid w:val="03B25BDA"/>
    <w:rsid w:val="03B63D26"/>
    <w:rsid w:val="03BD1133"/>
    <w:rsid w:val="03C52CBC"/>
    <w:rsid w:val="03C71A42"/>
    <w:rsid w:val="03C97144"/>
    <w:rsid w:val="03CA29C7"/>
    <w:rsid w:val="03CD5B4A"/>
    <w:rsid w:val="03D34296"/>
    <w:rsid w:val="03D83EDB"/>
    <w:rsid w:val="03E06D69"/>
    <w:rsid w:val="03E531F1"/>
    <w:rsid w:val="03E66A74"/>
    <w:rsid w:val="03E84175"/>
    <w:rsid w:val="03EC63FF"/>
    <w:rsid w:val="03F01582"/>
    <w:rsid w:val="040A59AF"/>
    <w:rsid w:val="041D6BCE"/>
    <w:rsid w:val="04253FDA"/>
    <w:rsid w:val="042F236B"/>
    <w:rsid w:val="04313670"/>
    <w:rsid w:val="043210F1"/>
    <w:rsid w:val="04354274"/>
    <w:rsid w:val="043964FE"/>
    <w:rsid w:val="04467D92"/>
    <w:rsid w:val="04477A12"/>
    <w:rsid w:val="04553127"/>
    <w:rsid w:val="04556D28"/>
    <w:rsid w:val="045C1F36"/>
    <w:rsid w:val="046163BD"/>
    <w:rsid w:val="04664A43"/>
    <w:rsid w:val="046C5A66"/>
    <w:rsid w:val="046E4D5C"/>
    <w:rsid w:val="047E0C0B"/>
    <w:rsid w:val="048765FD"/>
    <w:rsid w:val="0488627D"/>
    <w:rsid w:val="04900898"/>
    <w:rsid w:val="0493460E"/>
    <w:rsid w:val="04973014"/>
    <w:rsid w:val="049D07A1"/>
    <w:rsid w:val="04AE64BD"/>
    <w:rsid w:val="04B32944"/>
    <w:rsid w:val="04B96A4C"/>
    <w:rsid w:val="04C40660"/>
    <w:rsid w:val="04D17976"/>
    <w:rsid w:val="04D63DFE"/>
    <w:rsid w:val="04E74098"/>
    <w:rsid w:val="04EF4D28"/>
    <w:rsid w:val="04F0022B"/>
    <w:rsid w:val="050C42D8"/>
    <w:rsid w:val="050D64D6"/>
    <w:rsid w:val="050F19D9"/>
    <w:rsid w:val="051303DF"/>
    <w:rsid w:val="051922E9"/>
    <w:rsid w:val="051E1FF4"/>
    <w:rsid w:val="051F1C74"/>
    <w:rsid w:val="05272903"/>
    <w:rsid w:val="05336716"/>
    <w:rsid w:val="05375B04"/>
    <w:rsid w:val="053A3B22"/>
    <w:rsid w:val="055446CC"/>
    <w:rsid w:val="0555214E"/>
    <w:rsid w:val="055F2A5D"/>
    <w:rsid w:val="056004DF"/>
    <w:rsid w:val="05603D62"/>
    <w:rsid w:val="05742A02"/>
    <w:rsid w:val="05762BEE"/>
    <w:rsid w:val="057A490C"/>
    <w:rsid w:val="05826495"/>
    <w:rsid w:val="059960BA"/>
    <w:rsid w:val="059C28C2"/>
    <w:rsid w:val="05AA7659"/>
    <w:rsid w:val="05B5126E"/>
    <w:rsid w:val="05B544D4"/>
    <w:rsid w:val="05B6346C"/>
    <w:rsid w:val="05B66CEF"/>
    <w:rsid w:val="05BC25E7"/>
    <w:rsid w:val="05BD667A"/>
    <w:rsid w:val="05C075FF"/>
    <w:rsid w:val="05CA210C"/>
    <w:rsid w:val="05D11A97"/>
    <w:rsid w:val="05D6094B"/>
    <w:rsid w:val="05D617A2"/>
    <w:rsid w:val="05D84CA5"/>
    <w:rsid w:val="05DD6BAF"/>
    <w:rsid w:val="05E84F40"/>
    <w:rsid w:val="05E9713E"/>
    <w:rsid w:val="05ED35C6"/>
    <w:rsid w:val="05F66454"/>
    <w:rsid w:val="05F77758"/>
    <w:rsid w:val="05FA06DD"/>
    <w:rsid w:val="05FA2855"/>
    <w:rsid w:val="05FF4B65"/>
    <w:rsid w:val="06025AE9"/>
    <w:rsid w:val="06040FED"/>
    <w:rsid w:val="06071F71"/>
    <w:rsid w:val="06133805"/>
    <w:rsid w:val="061A6A13"/>
    <w:rsid w:val="062318A1"/>
    <w:rsid w:val="06264A24"/>
    <w:rsid w:val="06272089"/>
    <w:rsid w:val="062937AB"/>
    <w:rsid w:val="063A14C7"/>
    <w:rsid w:val="063B36C5"/>
    <w:rsid w:val="064055CE"/>
    <w:rsid w:val="06542070"/>
    <w:rsid w:val="06611386"/>
    <w:rsid w:val="06680D11"/>
    <w:rsid w:val="068C21CA"/>
    <w:rsid w:val="06930B0B"/>
    <w:rsid w:val="069353D8"/>
    <w:rsid w:val="06983A5E"/>
    <w:rsid w:val="069872E2"/>
    <w:rsid w:val="06A00E6B"/>
    <w:rsid w:val="06B1240A"/>
    <w:rsid w:val="06B24608"/>
    <w:rsid w:val="06B5558D"/>
    <w:rsid w:val="06C071A1"/>
    <w:rsid w:val="06C510AB"/>
    <w:rsid w:val="06DA7EF0"/>
    <w:rsid w:val="06E15158"/>
    <w:rsid w:val="06E615DF"/>
    <w:rsid w:val="06EB5A67"/>
    <w:rsid w:val="06EE69EC"/>
    <w:rsid w:val="06F51BFA"/>
    <w:rsid w:val="06FC3783"/>
    <w:rsid w:val="06FE2509"/>
    <w:rsid w:val="07040B8F"/>
    <w:rsid w:val="07082E19"/>
    <w:rsid w:val="07187830"/>
    <w:rsid w:val="071A65B6"/>
    <w:rsid w:val="072004C0"/>
    <w:rsid w:val="07277E4A"/>
    <w:rsid w:val="07287ACA"/>
    <w:rsid w:val="072C11CC"/>
    <w:rsid w:val="074109F4"/>
    <w:rsid w:val="07426476"/>
    <w:rsid w:val="074A1304"/>
    <w:rsid w:val="074D2288"/>
    <w:rsid w:val="07552F18"/>
    <w:rsid w:val="0757641B"/>
    <w:rsid w:val="075A3B1D"/>
    <w:rsid w:val="075D4AA1"/>
    <w:rsid w:val="075E2523"/>
    <w:rsid w:val="075F3828"/>
    <w:rsid w:val="076269AA"/>
    <w:rsid w:val="07647CAF"/>
    <w:rsid w:val="076653B1"/>
    <w:rsid w:val="076766B5"/>
    <w:rsid w:val="076A3DB7"/>
    <w:rsid w:val="07713742"/>
    <w:rsid w:val="077324C8"/>
    <w:rsid w:val="0776344D"/>
    <w:rsid w:val="077B1AD3"/>
    <w:rsid w:val="077C7554"/>
    <w:rsid w:val="07836EDF"/>
    <w:rsid w:val="078A686A"/>
    <w:rsid w:val="07903FF7"/>
    <w:rsid w:val="07937AA3"/>
    <w:rsid w:val="079F680F"/>
    <w:rsid w:val="07BB28BC"/>
    <w:rsid w:val="07BB6140"/>
    <w:rsid w:val="07CB0958"/>
    <w:rsid w:val="07CB2B57"/>
    <w:rsid w:val="07CC05D8"/>
    <w:rsid w:val="07CE3ADB"/>
    <w:rsid w:val="07CF4DE0"/>
    <w:rsid w:val="07D459E5"/>
    <w:rsid w:val="07D76969"/>
    <w:rsid w:val="07DD0873"/>
    <w:rsid w:val="07E2057E"/>
    <w:rsid w:val="07E72487"/>
    <w:rsid w:val="07E76C04"/>
    <w:rsid w:val="07F01A92"/>
    <w:rsid w:val="07F76E9E"/>
    <w:rsid w:val="07F82721"/>
    <w:rsid w:val="07FF20AC"/>
    <w:rsid w:val="080E48C5"/>
    <w:rsid w:val="08177753"/>
    <w:rsid w:val="082C76F8"/>
    <w:rsid w:val="082F067D"/>
    <w:rsid w:val="083F0917"/>
    <w:rsid w:val="08420AFA"/>
    <w:rsid w:val="08426019"/>
    <w:rsid w:val="085914C1"/>
    <w:rsid w:val="0867144C"/>
    <w:rsid w:val="08683CDA"/>
    <w:rsid w:val="087864F3"/>
    <w:rsid w:val="08824884"/>
    <w:rsid w:val="088C0A16"/>
    <w:rsid w:val="088C6F74"/>
    <w:rsid w:val="089F63B2"/>
    <w:rsid w:val="08AA4743"/>
    <w:rsid w:val="08AE69CD"/>
    <w:rsid w:val="08B140CE"/>
    <w:rsid w:val="08B2315A"/>
    <w:rsid w:val="08B96F5C"/>
    <w:rsid w:val="08BB245F"/>
    <w:rsid w:val="08C330EF"/>
    <w:rsid w:val="08C72CB3"/>
    <w:rsid w:val="08C76272"/>
    <w:rsid w:val="08F23C3E"/>
    <w:rsid w:val="08FA104A"/>
    <w:rsid w:val="08FD6432"/>
    <w:rsid w:val="09033FEC"/>
    <w:rsid w:val="09082084"/>
    <w:rsid w:val="090C31E8"/>
    <w:rsid w:val="090F576C"/>
    <w:rsid w:val="0919607C"/>
    <w:rsid w:val="0924660B"/>
    <w:rsid w:val="092C3238"/>
    <w:rsid w:val="092E279E"/>
    <w:rsid w:val="094A496D"/>
    <w:rsid w:val="09500754"/>
    <w:rsid w:val="09523C57"/>
    <w:rsid w:val="09575B61"/>
    <w:rsid w:val="095E0D6F"/>
    <w:rsid w:val="095F2F6D"/>
    <w:rsid w:val="096506FA"/>
    <w:rsid w:val="0966617B"/>
    <w:rsid w:val="096674B8"/>
    <w:rsid w:val="09721F8E"/>
    <w:rsid w:val="097E7F9F"/>
    <w:rsid w:val="098108CA"/>
    <w:rsid w:val="09822228"/>
    <w:rsid w:val="0984572B"/>
    <w:rsid w:val="09A2275D"/>
    <w:rsid w:val="09BA5C05"/>
    <w:rsid w:val="09BB3CA4"/>
    <w:rsid w:val="09BB5885"/>
    <w:rsid w:val="09BF208D"/>
    <w:rsid w:val="09C32C91"/>
    <w:rsid w:val="09C36515"/>
    <w:rsid w:val="09C67499"/>
    <w:rsid w:val="09D05AAE"/>
    <w:rsid w:val="09D32F2C"/>
    <w:rsid w:val="09D71932"/>
    <w:rsid w:val="09E61F4C"/>
    <w:rsid w:val="09E7414B"/>
    <w:rsid w:val="09F122E1"/>
    <w:rsid w:val="09F9316B"/>
    <w:rsid w:val="09FB2DEB"/>
    <w:rsid w:val="09FF5075"/>
    <w:rsid w:val="0A0C438A"/>
    <w:rsid w:val="0A21302B"/>
    <w:rsid w:val="0A2168AE"/>
    <w:rsid w:val="0A247833"/>
    <w:rsid w:val="0A293CBB"/>
    <w:rsid w:val="0A295EB9"/>
    <w:rsid w:val="0A3010C7"/>
    <w:rsid w:val="0A34424A"/>
    <w:rsid w:val="0A3F5E5E"/>
    <w:rsid w:val="0A4A63EE"/>
    <w:rsid w:val="0A4B76F2"/>
    <w:rsid w:val="0A515D78"/>
    <w:rsid w:val="0A7140AF"/>
    <w:rsid w:val="0A773A3A"/>
    <w:rsid w:val="0A840594"/>
    <w:rsid w:val="0A8C26DA"/>
    <w:rsid w:val="0A927E7D"/>
    <w:rsid w:val="0A971D70"/>
    <w:rsid w:val="0A9919F0"/>
    <w:rsid w:val="0A9D03F6"/>
    <w:rsid w:val="0AA80179"/>
    <w:rsid w:val="0AA84209"/>
    <w:rsid w:val="0AAA550E"/>
    <w:rsid w:val="0AAB2F8F"/>
    <w:rsid w:val="0AB4389F"/>
    <w:rsid w:val="0AB6351E"/>
    <w:rsid w:val="0ACA55D0"/>
    <w:rsid w:val="0ADE46E3"/>
    <w:rsid w:val="0AE77571"/>
    <w:rsid w:val="0AF13704"/>
    <w:rsid w:val="0B0C64AC"/>
    <w:rsid w:val="0B102933"/>
    <w:rsid w:val="0B156DBB"/>
    <w:rsid w:val="0B1957C1"/>
    <w:rsid w:val="0B1F76CB"/>
    <w:rsid w:val="0B231954"/>
    <w:rsid w:val="0B243B52"/>
    <w:rsid w:val="0B264AD7"/>
    <w:rsid w:val="0B2B6D61"/>
    <w:rsid w:val="0B2E7CE5"/>
    <w:rsid w:val="0B347670"/>
    <w:rsid w:val="0B386076"/>
    <w:rsid w:val="0B514A22"/>
    <w:rsid w:val="0B580B29"/>
    <w:rsid w:val="0B6636C2"/>
    <w:rsid w:val="0B6E6550"/>
    <w:rsid w:val="0B726EAA"/>
    <w:rsid w:val="0B7D32E8"/>
    <w:rsid w:val="0B8251F1"/>
    <w:rsid w:val="0B8B47FB"/>
    <w:rsid w:val="0B8E1003"/>
    <w:rsid w:val="0B8F3202"/>
    <w:rsid w:val="0BA7412C"/>
    <w:rsid w:val="0BAD6035"/>
    <w:rsid w:val="0BB124BD"/>
    <w:rsid w:val="0BB77C49"/>
    <w:rsid w:val="0BBA534B"/>
    <w:rsid w:val="0BBB2DCC"/>
    <w:rsid w:val="0BC649E1"/>
    <w:rsid w:val="0BC72462"/>
    <w:rsid w:val="0BCF0AA7"/>
    <w:rsid w:val="0BE038DE"/>
    <w:rsid w:val="0BE30E05"/>
    <w:rsid w:val="0BE3650F"/>
    <w:rsid w:val="0BE61692"/>
    <w:rsid w:val="0BE77114"/>
    <w:rsid w:val="0BEE4152"/>
    <w:rsid w:val="0BF05825"/>
    <w:rsid w:val="0C020FC2"/>
    <w:rsid w:val="0C13125D"/>
    <w:rsid w:val="0C154760"/>
    <w:rsid w:val="0C165A64"/>
    <w:rsid w:val="0C1A6669"/>
    <w:rsid w:val="0C211877"/>
    <w:rsid w:val="0C223A75"/>
    <w:rsid w:val="0C277EFD"/>
    <w:rsid w:val="0C2D2D0D"/>
    <w:rsid w:val="0C2F5309"/>
    <w:rsid w:val="0C347213"/>
    <w:rsid w:val="0C352A96"/>
    <w:rsid w:val="0C354C94"/>
    <w:rsid w:val="0C375F99"/>
    <w:rsid w:val="0C3C7EA2"/>
    <w:rsid w:val="0C3D20A1"/>
    <w:rsid w:val="0C433405"/>
    <w:rsid w:val="0C441A2C"/>
    <w:rsid w:val="0C493935"/>
    <w:rsid w:val="0C506B43"/>
    <w:rsid w:val="0C5B1651"/>
    <w:rsid w:val="0C5B4ED4"/>
    <w:rsid w:val="0C610FDC"/>
    <w:rsid w:val="0C62485F"/>
    <w:rsid w:val="0C664935"/>
    <w:rsid w:val="0C6D0671"/>
    <w:rsid w:val="0C770F81"/>
    <w:rsid w:val="0C786A02"/>
    <w:rsid w:val="0C7A1F06"/>
    <w:rsid w:val="0C832815"/>
    <w:rsid w:val="0C846098"/>
    <w:rsid w:val="0C87701D"/>
    <w:rsid w:val="0C911B2B"/>
    <w:rsid w:val="0C931F23"/>
    <w:rsid w:val="0C9814B6"/>
    <w:rsid w:val="0C9B5CBE"/>
    <w:rsid w:val="0CA465CD"/>
    <w:rsid w:val="0CA971D2"/>
    <w:rsid w:val="0CAD5BD8"/>
    <w:rsid w:val="0CCC648D"/>
    <w:rsid w:val="0CCE4812"/>
    <w:rsid w:val="0CD56D9C"/>
    <w:rsid w:val="0CE12BAF"/>
    <w:rsid w:val="0CE67036"/>
    <w:rsid w:val="0CE97FBB"/>
    <w:rsid w:val="0CF550D2"/>
    <w:rsid w:val="0CFD6C5C"/>
    <w:rsid w:val="0D19658C"/>
    <w:rsid w:val="0D200115"/>
    <w:rsid w:val="0D277AA0"/>
    <w:rsid w:val="0D4B0060"/>
    <w:rsid w:val="0D514263"/>
    <w:rsid w:val="0D521BE9"/>
    <w:rsid w:val="0D524167"/>
    <w:rsid w:val="0D5A6FF5"/>
    <w:rsid w:val="0D643188"/>
    <w:rsid w:val="0D6D0214"/>
    <w:rsid w:val="0D706F9B"/>
    <w:rsid w:val="0D72249E"/>
    <w:rsid w:val="0D7F5F30"/>
    <w:rsid w:val="0D822738"/>
    <w:rsid w:val="0D86113E"/>
    <w:rsid w:val="0D8C0AC9"/>
    <w:rsid w:val="0D8E0749"/>
    <w:rsid w:val="0D903C4C"/>
    <w:rsid w:val="0D92714F"/>
    <w:rsid w:val="0D9F4266"/>
    <w:rsid w:val="0DAE5F61"/>
    <w:rsid w:val="0DB7190D"/>
    <w:rsid w:val="0DB90694"/>
    <w:rsid w:val="0DBA6115"/>
    <w:rsid w:val="0DBB0313"/>
    <w:rsid w:val="0DBC3817"/>
    <w:rsid w:val="0DBD1298"/>
    <w:rsid w:val="0DBE4B1B"/>
    <w:rsid w:val="0DC82EAC"/>
    <w:rsid w:val="0DC950AB"/>
    <w:rsid w:val="0DCF2837"/>
    <w:rsid w:val="0DD40EBD"/>
    <w:rsid w:val="0DD80335"/>
    <w:rsid w:val="0DDD3D4B"/>
    <w:rsid w:val="0DDF2AD2"/>
    <w:rsid w:val="0DE00553"/>
    <w:rsid w:val="0DF471F4"/>
    <w:rsid w:val="0DF70178"/>
    <w:rsid w:val="0DF97DF8"/>
    <w:rsid w:val="0DFE7B03"/>
    <w:rsid w:val="0E0A3916"/>
    <w:rsid w:val="0E0E7D9E"/>
    <w:rsid w:val="0E1919B2"/>
    <w:rsid w:val="0E1D4B35"/>
    <w:rsid w:val="0E240A18"/>
    <w:rsid w:val="0E2B18CC"/>
    <w:rsid w:val="0E2E2851"/>
    <w:rsid w:val="0E3521DC"/>
    <w:rsid w:val="0E3F636E"/>
    <w:rsid w:val="0E4214F1"/>
    <w:rsid w:val="0E4946FF"/>
    <w:rsid w:val="0E4E0B87"/>
    <w:rsid w:val="0E4F2D85"/>
    <w:rsid w:val="0E554C8F"/>
    <w:rsid w:val="0E575C13"/>
    <w:rsid w:val="0E5A499A"/>
    <w:rsid w:val="0E681731"/>
    <w:rsid w:val="0E750A47"/>
    <w:rsid w:val="0E7B2950"/>
    <w:rsid w:val="0E80265B"/>
    <w:rsid w:val="0E8C646E"/>
    <w:rsid w:val="0E937FF7"/>
    <w:rsid w:val="0E956D7D"/>
    <w:rsid w:val="0E98447E"/>
    <w:rsid w:val="0E995783"/>
    <w:rsid w:val="0EA36093"/>
    <w:rsid w:val="0EA40291"/>
    <w:rsid w:val="0EAC0F21"/>
    <w:rsid w:val="0EAF42D5"/>
    <w:rsid w:val="0EB714B0"/>
    <w:rsid w:val="0EC82A4F"/>
    <w:rsid w:val="0EE213FB"/>
    <w:rsid w:val="0EE36E7C"/>
    <w:rsid w:val="0EE65882"/>
    <w:rsid w:val="0EE67E01"/>
    <w:rsid w:val="0EEC58D9"/>
    <w:rsid w:val="0EEE740C"/>
    <w:rsid w:val="0EF91020"/>
    <w:rsid w:val="0EF91869"/>
    <w:rsid w:val="0F033B2E"/>
    <w:rsid w:val="0F044E32"/>
    <w:rsid w:val="0F060336"/>
    <w:rsid w:val="0F064AB2"/>
    <w:rsid w:val="0F0C223F"/>
    <w:rsid w:val="0F164D4D"/>
    <w:rsid w:val="0F1D7F5B"/>
    <w:rsid w:val="0F20565C"/>
    <w:rsid w:val="0F2365E1"/>
    <w:rsid w:val="0F2862EC"/>
    <w:rsid w:val="0F355602"/>
    <w:rsid w:val="0F363083"/>
    <w:rsid w:val="0F452DD6"/>
    <w:rsid w:val="0F5848BD"/>
    <w:rsid w:val="0F59233E"/>
    <w:rsid w:val="0F603EC7"/>
    <w:rsid w:val="0F664DE6"/>
    <w:rsid w:val="0F673852"/>
    <w:rsid w:val="0F6A47D7"/>
    <w:rsid w:val="0F796FF0"/>
    <w:rsid w:val="0F8378FF"/>
    <w:rsid w:val="0F914696"/>
    <w:rsid w:val="0F9D3D2C"/>
    <w:rsid w:val="0F9F722F"/>
    <w:rsid w:val="0FA66BBA"/>
    <w:rsid w:val="0FAF1A48"/>
    <w:rsid w:val="0FB82358"/>
    <w:rsid w:val="0FB85BDB"/>
    <w:rsid w:val="0FBA10DE"/>
    <w:rsid w:val="0FBC45E1"/>
    <w:rsid w:val="0FC10A69"/>
    <w:rsid w:val="0FCF7D7E"/>
    <w:rsid w:val="0FD03282"/>
    <w:rsid w:val="0FD10D03"/>
    <w:rsid w:val="0FD22F01"/>
    <w:rsid w:val="0FE1351C"/>
    <w:rsid w:val="0FE77623"/>
    <w:rsid w:val="0FE850A5"/>
    <w:rsid w:val="0FFB7896"/>
    <w:rsid w:val="10181477"/>
    <w:rsid w:val="10196EF9"/>
    <w:rsid w:val="10227809"/>
    <w:rsid w:val="10254F0A"/>
    <w:rsid w:val="102B2696"/>
    <w:rsid w:val="103145A0"/>
    <w:rsid w:val="10410FB7"/>
    <w:rsid w:val="10466A53"/>
    <w:rsid w:val="10472EC0"/>
    <w:rsid w:val="10514AD4"/>
    <w:rsid w:val="10537FD8"/>
    <w:rsid w:val="105A7962"/>
    <w:rsid w:val="10786F12"/>
    <w:rsid w:val="107B7E97"/>
    <w:rsid w:val="10811DA0"/>
    <w:rsid w:val="108407A7"/>
    <w:rsid w:val="108F23BB"/>
    <w:rsid w:val="10A04854"/>
    <w:rsid w:val="10A235DA"/>
    <w:rsid w:val="10A50CDB"/>
    <w:rsid w:val="10A77A62"/>
    <w:rsid w:val="10AB148B"/>
    <w:rsid w:val="10AB2BE5"/>
    <w:rsid w:val="10AC3EE9"/>
    <w:rsid w:val="10B56D77"/>
    <w:rsid w:val="10BA31FF"/>
    <w:rsid w:val="10C33B0F"/>
    <w:rsid w:val="10D26327"/>
    <w:rsid w:val="10ED2754"/>
    <w:rsid w:val="10F93FE9"/>
    <w:rsid w:val="10FD716C"/>
    <w:rsid w:val="10FF3562"/>
    <w:rsid w:val="11015B72"/>
    <w:rsid w:val="11051FFA"/>
    <w:rsid w:val="11082F7E"/>
    <w:rsid w:val="11173599"/>
    <w:rsid w:val="111A451D"/>
    <w:rsid w:val="111D54A2"/>
    <w:rsid w:val="112160A6"/>
    <w:rsid w:val="112D573C"/>
    <w:rsid w:val="112E31BE"/>
    <w:rsid w:val="112F0C3F"/>
    <w:rsid w:val="11483D68"/>
    <w:rsid w:val="114F6F76"/>
    <w:rsid w:val="115433FE"/>
    <w:rsid w:val="11576580"/>
    <w:rsid w:val="115C2A08"/>
    <w:rsid w:val="115F7210"/>
    <w:rsid w:val="11670D99"/>
    <w:rsid w:val="11853BCD"/>
    <w:rsid w:val="118F1F5E"/>
    <w:rsid w:val="11B36C9A"/>
    <w:rsid w:val="11C0272D"/>
    <w:rsid w:val="11C13EEE"/>
    <w:rsid w:val="11C23A31"/>
    <w:rsid w:val="11D129C7"/>
    <w:rsid w:val="11D3174D"/>
    <w:rsid w:val="11D471CF"/>
    <w:rsid w:val="11DE247C"/>
    <w:rsid w:val="11E164E5"/>
    <w:rsid w:val="11E825EC"/>
    <w:rsid w:val="11EB3571"/>
    <w:rsid w:val="11EB6DF4"/>
    <w:rsid w:val="11ED5EAE"/>
    <w:rsid w:val="11F0547A"/>
    <w:rsid w:val="11F363FF"/>
    <w:rsid w:val="11F64A0A"/>
    <w:rsid w:val="120963A4"/>
    <w:rsid w:val="12134735"/>
    <w:rsid w:val="12184440"/>
    <w:rsid w:val="12205FC9"/>
    <w:rsid w:val="123404ED"/>
    <w:rsid w:val="124F3295"/>
    <w:rsid w:val="12542FA0"/>
    <w:rsid w:val="1254771D"/>
    <w:rsid w:val="12583BA5"/>
    <w:rsid w:val="125D38B0"/>
    <w:rsid w:val="126357B9"/>
    <w:rsid w:val="126F15CC"/>
    <w:rsid w:val="127647DA"/>
    <w:rsid w:val="127E3DE4"/>
    <w:rsid w:val="127F50E9"/>
    <w:rsid w:val="128B0EFC"/>
    <w:rsid w:val="128D0B7C"/>
    <w:rsid w:val="12905384"/>
    <w:rsid w:val="12915003"/>
    <w:rsid w:val="1298498E"/>
    <w:rsid w:val="12A2529E"/>
    <w:rsid w:val="12A63CA4"/>
    <w:rsid w:val="12AC1431"/>
    <w:rsid w:val="12B32FBA"/>
    <w:rsid w:val="12BD714C"/>
    <w:rsid w:val="12C022CF"/>
    <w:rsid w:val="12C31056"/>
    <w:rsid w:val="12D46D72"/>
    <w:rsid w:val="12E2190B"/>
    <w:rsid w:val="12E65D92"/>
    <w:rsid w:val="12E96D17"/>
    <w:rsid w:val="12F41825"/>
    <w:rsid w:val="12FC24B4"/>
    <w:rsid w:val="12FF0EBB"/>
    <w:rsid w:val="13103353"/>
    <w:rsid w:val="13147B5B"/>
    <w:rsid w:val="13170AE0"/>
    <w:rsid w:val="131A74E6"/>
    <w:rsid w:val="131F396E"/>
    <w:rsid w:val="1333260E"/>
    <w:rsid w:val="13340090"/>
    <w:rsid w:val="13453BAE"/>
    <w:rsid w:val="13611E59"/>
    <w:rsid w:val="1363315E"/>
    <w:rsid w:val="136817E4"/>
    <w:rsid w:val="136A056A"/>
    <w:rsid w:val="137F1409"/>
    <w:rsid w:val="1381018F"/>
    <w:rsid w:val="13833F28"/>
    <w:rsid w:val="13853312"/>
    <w:rsid w:val="13872098"/>
    <w:rsid w:val="13A53978"/>
    <w:rsid w:val="13B12EDD"/>
    <w:rsid w:val="13B41C63"/>
    <w:rsid w:val="13B65166"/>
    <w:rsid w:val="13BD2572"/>
    <w:rsid w:val="13C10F79"/>
    <w:rsid w:val="13C85080"/>
    <w:rsid w:val="13C90583"/>
    <w:rsid w:val="13D07F0E"/>
    <w:rsid w:val="13DF4CA5"/>
    <w:rsid w:val="13E236AC"/>
    <w:rsid w:val="13E54630"/>
    <w:rsid w:val="13F029C1"/>
    <w:rsid w:val="13F2756D"/>
    <w:rsid w:val="13F44C4B"/>
    <w:rsid w:val="13F56E49"/>
    <w:rsid w:val="14116779"/>
    <w:rsid w:val="14197409"/>
    <w:rsid w:val="141C038E"/>
    <w:rsid w:val="14206D94"/>
    <w:rsid w:val="14227D18"/>
    <w:rsid w:val="1426671F"/>
    <w:rsid w:val="143212D7"/>
    <w:rsid w:val="14325D70"/>
    <w:rsid w:val="143B2E41"/>
    <w:rsid w:val="143C08C2"/>
    <w:rsid w:val="143D1571"/>
    <w:rsid w:val="14403A45"/>
    <w:rsid w:val="14414D4A"/>
    <w:rsid w:val="144349CA"/>
    <w:rsid w:val="14514FE4"/>
    <w:rsid w:val="146C3610"/>
    <w:rsid w:val="147072F3"/>
    <w:rsid w:val="147F6DAD"/>
    <w:rsid w:val="14856738"/>
    <w:rsid w:val="148C1946"/>
    <w:rsid w:val="148C60C3"/>
    <w:rsid w:val="14914544"/>
    <w:rsid w:val="14985759"/>
    <w:rsid w:val="149C7544"/>
    <w:rsid w:val="14A127E5"/>
    <w:rsid w:val="14A26068"/>
    <w:rsid w:val="14A624F0"/>
    <w:rsid w:val="14B7278A"/>
    <w:rsid w:val="14BB338F"/>
    <w:rsid w:val="14BD6892"/>
    <w:rsid w:val="14C804A6"/>
    <w:rsid w:val="14D26837"/>
    <w:rsid w:val="14DB60FF"/>
    <w:rsid w:val="14E47DD6"/>
    <w:rsid w:val="14E754D8"/>
    <w:rsid w:val="14EA3EDE"/>
    <w:rsid w:val="14F270EC"/>
    <w:rsid w:val="14F55AF2"/>
    <w:rsid w:val="14FF6402"/>
    <w:rsid w:val="15000600"/>
    <w:rsid w:val="1505030B"/>
    <w:rsid w:val="150C1E94"/>
    <w:rsid w:val="151D7BB0"/>
    <w:rsid w:val="15213954"/>
    <w:rsid w:val="15306BD1"/>
    <w:rsid w:val="15456B76"/>
    <w:rsid w:val="154D3F83"/>
    <w:rsid w:val="154E1A04"/>
    <w:rsid w:val="1552040A"/>
    <w:rsid w:val="1555358D"/>
    <w:rsid w:val="155B0D1A"/>
    <w:rsid w:val="1560191E"/>
    <w:rsid w:val="15663828"/>
    <w:rsid w:val="156806FB"/>
    <w:rsid w:val="1571543C"/>
    <w:rsid w:val="15756040"/>
    <w:rsid w:val="15794A47"/>
    <w:rsid w:val="157A24C8"/>
    <w:rsid w:val="157C124F"/>
    <w:rsid w:val="157C59CB"/>
    <w:rsid w:val="157F6950"/>
    <w:rsid w:val="15842DD8"/>
    <w:rsid w:val="1584665B"/>
    <w:rsid w:val="158562DB"/>
    <w:rsid w:val="158A2763"/>
    <w:rsid w:val="159A07FF"/>
    <w:rsid w:val="15A25C0B"/>
    <w:rsid w:val="15AC3F9C"/>
    <w:rsid w:val="15B648AC"/>
    <w:rsid w:val="15BE553B"/>
    <w:rsid w:val="15BF51BB"/>
    <w:rsid w:val="15C02C3D"/>
    <w:rsid w:val="15CB0FCE"/>
    <w:rsid w:val="15CC6A4F"/>
    <w:rsid w:val="15D31C5D"/>
    <w:rsid w:val="15DD476B"/>
    <w:rsid w:val="15E82AFC"/>
    <w:rsid w:val="15FC5020"/>
    <w:rsid w:val="15FE0523"/>
    <w:rsid w:val="16003A26"/>
    <w:rsid w:val="16080E33"/>
    <w:rsid w:val="16117544"/>
    <w:rsid w:val="16176ECF"/>
    <w:rsid w:val="161E6859"/>
    <w:rsid w:val="162219DC"/>
    <w:rsid w:val="16237C62"/>
    <w:rsid w:val="16240763"/>
    <w:rsid w:val="16252961"/>
    <w:rsid w:val="16265E64"/>
    <w:rsid w:val="16296DE9"/>
    <w:rsid w:val="163376F8"/>
    <w:rsid w:val="1636067D"/>
    <w:rsid w:val="16387403"/>
    <w:rsid w:val="163E130D"/>
    <w:rsid w:val="163F0F8C"/>
    <w:rsid w:val="16412291"/>
    <w:rsid w:val="16460917"/>
    <w:rsid w:val="1652472A"/>
    <w:rsid w:val="165C08BD"/>
    <w:rsid w:val="166D207D"/>
    <w:rsid w:val="16714FDF"/>
    <w:rsid w:val="167B589F"/>
    <w:rsid w:val="1683077C"/>
    <w:rsid w:val="16833FFF"/>
    <w:rsid w:val="16905894"/>
    <w:rsid w:val="16A3322F"/>
    <w:rsid w:val="16A61C36"/>
    <w:rsid w:val="16A641B4"/>
    <w:rsid w:val="16A67A37"/>
    <w:rsid w:val="16A754B9"/>
    <w:rsid w:val="16B36D4D"/>
    <w:rsid w:val="16B52250"/>
    <w:rsid w:val="16B87951"/>
    <w:rsid w:val="16BC74EB"/>
    <w:rsid w:val="16D162FD"/>
    <w:rsid w:val="16D62785"/>
    <w:rsid w:val="16DE7B91"/>
    <w:rsid w:val="16DF3094"/>
    <w:rsid w:val="16E24019"/>
    <w:rsid w:val="16E62A1F"/>
    <w:rsid w:val="16F26832"/>
    <w:rsid w:val="16F4745F"/>
    <w:rsid w:val="170C2C5F"/>
    <w:rsid w:val="170E6162"/>
    <w:rsid w:val="171112E5"/>
    <w:rsid w:val="1716576D"/>
    <w:rsid w:val="171B5478"/>
    <w:rsid w:val="172F6697"/>
    <w:rsid w:val="17435337"/>
    <w:rsid w:val="17527B50"/>
    <w:rsid w:val="17530E55"/>
    <w:rsid w:val="175B6261"/>
    <w:rsid w:val="17656B71"/>
    <w:rsid w:val="17685577"/>
    <w:rsid w:val="176A51F7"/>
    <w:rsid w:val="176B2C78"/>
    <w:rsid w:val="17710405"/>
    <w:rsid w:val="17781F8E"/>
    <w:rsid w:val="17787D90"/>
    <w:rsid w:val="177B2F13"/>
    <w:rsid w:val="177E3E97"/>
    <w:rsid w:val="17802C1E"/>
    <w:rsid w:val="17833BA2"/>
    <w:rsid w:val="178E1F33"/>
    <w:rsid w:val="17912EB8"/>
    <w:rsid w:val="17943E3D"/>
    <w:rsid w:val="17A056D1"/>
    <w:rsid w:val="17A66D4F"/>
    <w:rsid w:val="17A86360"/>
    <w:rsid w:val="17B46632"/>
    <w:rsid w:val="17B865FB"/>
    <w:rsid w:val="17CD749A"/>
    <w:rsid w:val="17D65BAB"/>
    <w:rsid w:val="17D8582B"/>
    <w:rsid w:val="17D96B2F"/>
    <w:rsid w:val="17DB67AF"/>
    <w:rsid w:val="17E23BBC"/>
    <w:rsid w:val="17E91348"/>
    <w:rsid w:val="17EB22CD"/>
    <w:rsid w:val="17FE5A6A"/>
    <w:rsid w:val="18101208"/>
    <w:rsid w:val="18147C0E"/>
    <w:rsid w:val="181E3DA1"/>
    <w:rsid w:val="181F1822"/>
    <w:rsid w:val="182127A7"/>
    <w:rsid w:val="182F6239"/>
    <w:rsid w:val="1831173C"/>
    <w:rsid w:val="18322A41"/>
    <w:rsid w:val="183326C1"/>
    <w:rsid w:val="183923CC"/>
    <w:rsid w:val="18584E7F"/>
    <w:rsid w:val="18592901"/>
    <w:rsid w:val="185A0382"/>
    <w:rsid w:val="185E6D88"/>
    <w:rsid w:val="18640C92"/>
    <w:rsid w:val="186A061D"/>
    <w:rsid w:val="186B609E"/>
    <w:rsid w:val="186D15A1"/>
    <w:rsid w:val="186F7AE7"/>
    <w:rsid w:val="18767CB3"/>
    <w:rsid w:val="18816044"/>
    <w:rsid w:val="18935F5E"/>
    <w:rsid w:val="189B6BED"/>
    <w:rsid w:val="18A05273"/>
    <w:rsid w:val="18A54F7E"/>
    <w:rsid w:val="18B07A8C"/>
    <w:rsid w:val="18B41D16"/>
    <w:rsid w:val="18BB7122"/>
    <w:rsid w:val="18BF5B28"/>
    <w:rsid w:val="18C1102B"/>
    <w:rsid w:val="18DD095C"/>
    <w:rsid w:val="18DD50D8"/>
    <w:rsid w:val="18E637EA"/>
    <w:rsid w:val="18FC598D"/>
    <w:rsid w:val="19073D1E"/>
    <w:rsid w:val="190C5C28"/>
    <w:rsid w:val="190D36A9"/>
    <w:rsid w:val="191861B7"/>
    <w:rsid w:val="191B29BF"/>
    <w:rsid w:val="191C263F"/>
    <w:rsid w:val="19250D50"/>
    <w:rsid w:val="192E3BDE"/>
    <w:rsid w:val="193225E4"/>
    <w:rsid w:val="193425AF"/>
    <w:rsid w:val="19414DFD"/>
    <w:rsid w:val="194A350E"/>
    <w:rsid w:val="194F4112"/>
    <w:rsid w:val="19532B19"/>
    <w:rsid w:val="19543E1D"/>
    <w:rsid w:val="196440B8"/>
    <w:rsid w:val="19690540"/>
    <w:rsid w:val="197D71E0"/>
    <w:rsid w:val="198F297E"/>
    <w:rsid w:val="199C4212"/>
    <w:rsid w:val="199E7715"/>
    <w:rsid w:val="19A570A0"/>
    <w:rsid w:val="19AF5431"/>
    <w:rsid w:val="19B263B5"/>
    <w:rsid w:val="19BB1243"/>
    <w:rsid w:val="19BD4746"/>
    <w:rsid w:val="19C41B53"/>
    <w:rsid w:val="19C47954"/>
    <w:rsid w:val="19CB14DE"/>
    <w:rsid w:val="19D16C6A"/>
    <w:rsid w:val="19D55670"/>
    <w:rsid w:val="19E94311"/>
    <w:rsid w:val="19EB76AA"/>
    <w:rsid w:val="19EE2997"/>
    <w:rsid w:val="19F36657"/>
    <w:rsid w:val="19F86B2A"/>
    <w:rsid w:val="19FD2FB1"/>
    <w:rsid w:val="19FF64B5"/>
    <w:rsid w:val="1A027F67"/>
    <w:rsid w:val="1A0D5D0E"/>
    <w:rsid w:val="1A1254D5"/>
    <w:rsid w:val="1A132F57"/>
    <w:rsid w:val="1A150658"/>
    <w:rsid w:val="1A1F47EB"/>
    <w:rsid w:val="1A2331F1"/>
    <w:rsid w:val="1A306C84"/>
    <w:rsid w:val="1A35698F"/>
    <w:rsid w:val="1A382A67"/>
    <w:rsid w:val="1A387913"/>
    <w:rsid w:val="1A3B5015"/>
    <w:rsid w:val="1A3F729E"/>
    <w:rsid w:val="1A422421"/>
    <w:rsid w:val="1A445924"/>
    <w:rsid w:val="1A487BAE"/>
    <w:rsid w:val="1A4C2D31"/>
    <w:rsid w:val="1A512A3C"/>
    <w:rsid w:val="1A524C3A"/>
    <w:rsid w:val="1A5823C6"/>
    <w:rsid w:val="1A597E48"/>
    <w:rsid w:val="1A5E42D0"/>
    <w:rsid w:val="1A753EF5"/>
    <w:rsid w:val="1A7A5DFE"/>
    <w:rsid w:val="1A7B1681"/>
    <w:rsid w:val="1A7C1301"/>
    <w:rsid w:val="1A7E4804"/>
    <w:rsid w:val="1A84670E"/>
    <w:rsid w:val="1A880997"/>
    <w:rsid w:val="1A9B1BB6"/>
    <w:rsid w:val="1AA930CA"/>
    <w:rsid w:val="1AAA0B4C"/>
    <w:rsid w:val="1AB02A55"/>
    <w:rsid w:val="1AB13D5A"/>
    <w:rsid w:val="1AB217DB"/>
    <w:rsid w:val="1AB4145B"/>
    <w:rsid w:val="1AB44CDE"/>
    <w:rsid w:val="1ABF306F"/>
    <w:rsid w:val="1AC56AB4"/>
    <w:rsid w:val="1ADC0421"/>
    <w:rsid w:val="1ADF13A6"/>
    <w:rsid w:val="1AED28BA"/>
    <w:rsid w:val="1AF070C2"/>
    <w:rsid w:val="1AF112C0"/>
    <w:rsid w:val="1B034A5E"/>
    <w:rsid w:val="1B057F61"/>
    <w:rsid w:val="1B0B56ED"/>
    <w:rsid w:val="1B1175F6"/>
    <w:rsid w:val="1B127276"/>
    <w:rsid w:val="1B1F0B0A"/>
    <w:rsid w:val="1B232D94"/>
    <w:rsid w:val="1B294C9D"/>
    <w:rsid w:val="1B2C1BDA"/>
    <w:rsid w:val="1B427DC5"/>
    <w:rsid w:val="1B4E165A"/>
    <w:rsid w:val="1B5A546C"/>
    <w:rsid w:val="1B5F6221"/>
    <w:rsid w:val="1B6260FC"/>
    <w:rsid w:val="1B6415FF"/>
    <w:rsid w:val="1B795D21"/>
    <w:rsid w:val="1B865037"/>
    <w:rsid w:val="1BA13662"/>
    <w:rsid w:val="1BA70DEF"/>
    <w:rsid w:val="1BAF2978"/>
    <w:rsid w:val="1BBD770F"/>
    <w:rsid w:val="1BBE5191"/>
    <w:rsid w:val="1BC00694"/>
    <w:rsid w:val="1BD318B3"/>
    <w:rsid w:val="1BD46DDD"/>
    <w:rsid w:val="1BD937BC"/>
    <w:rsid w:val="1BDA123E"/>
    <w:rsid w:val="1BDD21C2"/>
    <w:rsid w:val="1BDE34C7"/>
    <w:rsid w:val="1BE1664A"/>
    <w:rsid w:val="1BE55050"/>
    <w:rsid w:val="1BE62AD2"/>
    <w:rsid w:val="1BEC025E"/>
    <w:rsid w:val="1BF37BE9"/>
    <w:rsid w:val="1BF530EC"/>
    <w:rsid w:val="1C0C6595"/>
    <w:rsid w:val="1C0D0793"/>
    <w:rsid w:val="1C186B24"/>
    <w:rsid w:val="1C1C0DAE"/>
    <w:rsid w:val="1C1C2FAC"/>
    <w:rsid w:val="1C282642"/>
    <w:rsid w:val="1C3309D3"/>
    <w:rsid w:val="1C3C5A5F"/>
    <w:rsid w:val="1C3D6D64"/>
    <w:rsid w:val="1C3E47E5"/>
    <w:rsid w:val="1C407CE8"/>
    <w:rsid w:val="1C442E6B"/>
    <w:rsid w:val="1C4E11FC"/>
    <w:rsid w:val="1C523486"/>
    <w:rsid w:val="1C6646A5"/>
    <w:rsid w:val="1C6F2DB6"/>
    <w:rsid w:val="1C723D3B"/>
    <w:rsid w:val="1C776FFB"/>
    <w:rsid w:val="1C7B464A"/>
    <w:rsid w:val="1C7C20CC"/>
    <w:rsid w:val="1C7C6848"/>
    <w:rsid w:val="1C7F3050"/>
    <w:rsid w:val="1C8361D3"/>
    <w:rsid w:val="1C8800DD"/>
    <w:rsid w:val="1C8B6E63"/>
    <w:rsid w:val="1C9167EE"/>
    <w:rsid w:val="1C9209EC"/>
    <w:rsid w:val="1C951971"/>
    <w:rsid w:val="1C962C76"/>
    <w:rsid w:val="1CA7598E"/>
    <w:rsid w:val="1CAB7398"/>
    <w:rsid w:val="1CB347A4"/>
    <w:rsid w:val="1CB45052"/>
    <w:rsid w:val="1CBD2B35"/>
    <w:rsid w:val="1CC96948"/>
    <w:rsid w:val="1CCD534E"/>
    <w:rsid w:val="1CD13D54"/>
    <w:rsid w:val="1CD4055C"/>
    <w:rsid w:val="1CDC33EA"/>
    <w:rsid w:val="1CDC7B67"/>
    <w:rsid w:val="1CDD55E8"/>
    <w:rsid w:val="1CDF436F"/>
    <w:rsid w:val="1CE21A70"/>
    <w:rsid w:val="1CE83979"/>
    <w:rsid w:val="1CFA7A77"/>
    <w:rsid w:val="1D0454A8"/>
    <w:rsid w:val="1D0C06B6"/>
    <w:rsid w:val="1D0D0336"/>
    <w:rsid w:val="1D104B3E"/>
    <w:rsid w:val="1D170C45"/>
    <w:rsid w:val="1D345FF7"/>
    <w:rsid w:val="1D3E218A"/>
    <w:rsid w:val="1D3F7C0B"/>
    <w:rsid w:val="1D41530D"/>
    <w:rsid w:val="1D4E54BC"/>
    <w:rsid w:val="1D5406A8"/>
    <w:rsid w:val="1D5B5EB7"/>
    <w:rsid w:val="1D5C173A"/>
    <w:rsid w:val="1D5E26BE"/>
    <w:rsid w:val="1D6E4ED7"/>
    <w:rsid w:val="1D73355D"/>
    <w:rsid w:val="1D7C1C6E"/>
    <w:rsid w:val="1D835D76"/>
    <w:rsid w:val="1D84707B"/>
    <w:rsid w:val="1D937AC6"/>
    <w:rsid w:val="1D985D1B"/>
    <w:rsid w:val="1D9A4E1B"/>
    <w:rsid w:val="1DA37930"/>
    <w:rsid w:val="1DB033C2"/>
    <w:rsid w:val="1DB4564C"/>
    <w:rsid w:val="1DB72D4D"/>
    <w:rsid w:val="1DBB1753"/>
    <w:rsid w:val="1DC110DE"/>
    <w:rsid w:val="1DC60DE9"/>
    <w:rsid w:val="1DD36DFA"/>
    <w:rsid w:val="1DD55B80"/>
    <w:rsid w:val="1DD8789A"/>
    <w:rsid w:val="1DEC1F22"/>
    <w:rsid w:val="1DF35130"/>
    <w:rsid w:val="1DF50633"/>
    <w:rsid w:val="1DF715B8"/>
    <w:rsid w:val="1DFD28B9"/>
    <w:rsid w:val="1E0E11DD"/>
    <w:rsid w:val="1E0E375C"/>
    <w:rsid w:val="1E15696A"/>
    <w:rsid w:val="1E1D17F8"/>
    <w:rsid w:val="1E21497B"/>
    <w:rsid w:val="1E266884"/>
    <w:rsid w:val="1E40742E"/>
    <w:rsid w:val="1E445E34"/>
    <w:rsid w:val="1E4538B6"/>
    <w:rsid w:val="1E4C6AC4"/>
    <w:rsid w:val="1E514CCB"/>
    <w:rsid w:val="1E52514A"/>
    <w:rsid w:val="1E574E55"/>
    <w:rsid w:val="1E6E02FD"/>
    <w:rsid w:val="1E707F7D"/>
    <w:rsid w:val="1E826F9E"/>
    <w:rsid w:val="1E827A99"/>
    <w:rsid w:val="1E834A1F"/>
    <w:rsid w:val="1E9239B5"/>
    <w:rsid w:val="1E9736C0"/>
    <w:rsid w:val="1E9D55C9"/>
    <w:rsid w:val="1EB067E8"/>
    <w:rsid w:val="1EB80371"/>
    <w:rsid w:val="1EC55489"/>
    <w:rsid w:val="1EC62F0A"/>
    <w:rsid w:val="1ED66A28"/>
    <w:rsid w:val="1EDC0931"/>
    <w:rsid w:val="1EDD63B3"/>
    <w:rsid w:val="1EE16FB7"/>
    <w:rsid w:val="1EE302BC"/>
    <w:rsid w:val="1EE47F3C"/>
    <w:rsid w:val="1EE6612E"/>
    <w:rsid w:val="1EEB314A"/>
    <w:rsid w:val="1EED2DCA"/>
    <w:rsid w:val="1EF22AD5"/>
    <w:rsid w:val="1EF736D9"/>
    <w:rsid w:val="1EFA20E0"/>
    <w:rsid w:val="1EFD3064"/>
    <w:rsid w:val="1EFE2F32"/>
    <w:rsid w:val="1F0771F7"/>
    <w:rsid w:val="1F0D1100"/>
    <w:rsid w:val="1F102085"/>
    <w:rsid w:val="1F106802"/>
    <w:rsid w:val="1F142C89"/>
    <w:rsid w:val="1F16618C"/>
    <w:rsid w:val="1F1E1239"/>
    <w:rsid w:val="1F20231F"/>
    <w:rsid w:val="1F271CAA"/>
    <w:rsid w:val="1F31003B"/>
    <w:rsid w:val="1F364345"/>
    <w:rsid w:val="1F3879C6"/>
    <w:rsid w:val="1F3B094B"/>
    <w:rsid w:val="1F4158DC"/>
    <w:rsid w:val="1F466CDC"/>
    <w:rsid w:val="1F4821DF"/>
    <w:rsid w:val="1F4A0F65"/>
    <w:rsid w:val="1F516372"/>
    <w:rsid w:val="1F641B0F"/>
    <w:rsid w:val="1F65178F"/>
    <w:rsid w:val="1F682713"/>
    <w:rsid w:val="1F6B6F1B"/>
    <w:rsid w:val="1F6D241E"/>
    <w:rsid w:val="1F6D6B9B"/>
    <w:rsid w:val="1F6F5922"/>
    <w:rsid w:val="1F707B20"/>
    <w:rsid w:val="1F734328"/>
    <w:rsid w:val="1F74219C"/>
    <w:rsid w:val="1F746526"/>
    <w:rsid w:val="1F7652AC"/>
    <w:rsid w:val="1F7929AE"/>
    <w:rsid w:val="1F7C71B6"/>
    <w:rsid w:val="1F8136D0"/>
    <w:rsid w:val="1F854242"/>
    <w:rsid w:val="1F857AC5"/>
    <w:rsid w:val="1F8D4ED2"/>
    <w:rsid w:val="1F905E56"/>
    <w:rsid w:val="1F921359"/>
    <w:rsid w:val="1F9C76EA"/>
    <w:rsid w:val="1FA44AF7"/>
    <w:rsid w:val="1FB0418D"/>
    <w:rsid w:val="1FC445F8"/>
    <w:rsid w:val="1FCD7EB9"/>
    <w:rsid w:val="1FCF11BE"/>
    <w:rsid w:val="1FD93CCC"/>
    <w:rsid w:val="1FDF5BD5"/>
    <w:rsid w:val="1FF07174"/>
    <w:rsid w:val="1FF45B7B"/>
    <w:rsid w:val="1FF535FC"/>
    <w:rsid w:val="1FFB5506"/>
    <w:rsid w:val="1FFF3F0C"/>
    <w:rsid w:val="200B57A0"/>
    <w:rsid w:val="20163B31"/>
    <w:rsid w:val="20182967"/>
    <w:rsid w:val="20203CD6"/>
    <w:rsid w:val="202366CA"/>
    <w:rsid w:val="2026764F"/>
    <w:rsid w:val="2027184D"/>
    <w:rsid w:val="203D7274"/>
    <w:rsid w:val="203E1472"/>
    <w:rsid w:val="20415C7A"/>
    <w:rsid w:val="20454680"/>
    <w:rsid w:val="20493086"/>
    <w:rsid w:val="206E7A43"/>
    <w:rsid w:val="20700D48"/>
    <w:rsid w:val="20705CE6"/>
    <w:rsid w:val="20795DD4"/>
    <w:rsid w:val="20831F67"/>
    <w:rsid w:val="208863EE"/>
    <w:rsid w:val="208D4A74"/>
    <w:rsid w:val="20986689"/>
    <w:rsid w:val="209C508F"/>
    <w:rsid w:val="20A26F98"/>
    <w:rsid w:val="20A830A0"/>
    <w:rsid w:val="20BF6548"/>
    <w:rsid w:val="20C11A4B"/>
    <w:rsid w:val="20CC7DDC"/>
    <w:rsid w:val="20D40A6C"/>
    <w:rsid w:val="20D41D09"/>
    <w:rsid w:val="20D506EC"/>
    <w:rsid w:val="20E71C8B"/>
    <w:rsid w:val="20EF7097"/>
    <w:rsid w:val="20F56A22"/>
    <w:rsid w:val="21016FB2"/>
    <w:rsid w:val="210459B8"/>
    <w:rsid w:val="21093B95"/>
    <w:rsid w:val="210D0018"/>
    <w:rsid w:val="21384F0D"/>
    <w:rsid w:val="213C7197"/>
    <w:rsid w:val="213D1395"/>
    <w:rsid w:val="213E269A"/>
    <w:rsid w:val="21405B9D"/>
    <w:rsid w:val="2142329E"/>
    <w:rsid w:val="214445A3"/>
    <w:rsid w:val="21463A55"/>
    <w:rsid w:val="214B2F5F"/>
    <w:rsid w:val="214E2934"/>
    <w:rsid w:val="21585442"/>
    <w:rsid w:val="215C3E48"/>
    <w:rsid w:val="215D246D"/>
    <w:rsid w:val="21652559"/>
    <w:rsid w:val="21667FDB"/>
    <w:rsid w:val="216721D9"/>
    <w:rsid w:val="21690F5F"/>
    <w:rsid w:val="216E53E7"/>
    <w:rsid w:val="21702AE9"/>
    <w:rsid w:val="2173186F"/>
    <w:rsid w:val="217D437D"/>
    <w:rsid w:val="21824088"/>
    <w:rsid w:val="218312D4"/>
    <w:rsid w:val="2184758B"/>
    <w:rsid w:val="2187050F"/>
    <w:rsid w:val="21885F91"/>
    <w:rsid w:val="218C4997"/>
    <w:rsid w:val="219D0E9F"/>
    <w:rsid w:val="21AB744A"/>
    <w:rsid w:val="21AE3C52"/>
    <w:rsid w:val="21B57D5A"/>
    <w:rsid w:val="21B7325D"/>
    <w:rsid w:val="21BB54E6"/>
    <w:rsid w:val="21C24E71"/>
    <w:rsid w:val="21C80515"/>
    <w:rsid w:val="21C80F79"/>
    <w:rsid w:val="21CB1EFE"/>
    <w:rsid w:val="21CB5781"/>
    <w:rsid w:val="21D1768A"/>
    <w:rsid w:val="21D77211"/>
    <w:rsid w:val="21E125B5"/>
    <w:rsid w:val="21E7182E"/>
    <w:rsid w:val="21E872AF"/>
    <w:rsid w:val="21EB0234"/>
    <w:rsid w:val="21EB0B02"/>
    <w:rsid w:val="21EC5CB5"/>
    <w:rsid w:val="22110474"/>
    <w:rsid w:val="22193302"/>
    <w:rsid w:val="22280099"/>
    <w:rsid w:val="222A76B0"/>
    <w:rsid w:val="2233240B"/>
    <w:rsid w:val="223615AD"/>
    <w:rsid w:val="223D0F38"/>
    <w:rsid w:val="22405740"/>
    <w:rsid w:val="224366C4"/>
    <w:rsid w:val="22453DC6"/>
    <w:rsid w:val="224D11D2"/>
    <w:rsid w:val="2251345B"/>
    <w:rsid w:val="22551E62"/>
    <w:rsid w:val="22582DE6"/>
    <w:rsid w:val="22711792"/>
    <w:rsid w:val="22734C95"/>
    <w:rsid w:val="2277369B"/>
    <w:rsid w:val="227F75CC"/>
    <w:rsid w:val="228F54BF"/>
    <w:rsid w:val="22902F40"/>
    <w:rsid w:val="22973BD0"/>
    <w:rsid w:val="22981651"/>
    <w:rsid w:val="229F0FDC"/>
    <w:rsid w:val="22A06A5E"/>
    <w:rsid w:val="22A45464"/>
    <w:rsid w:val="22A650E4"/>
    <w:rsid w:val="22AF27BA"/>
    <w:rsid w:val="22B456FE"/>
    <w:rsid w:val="22B91B86"/>
    <w:rsid w:val="22C01511"/>
    <w:rsid w:val="22CC2DA5"/>
    <w:rsid w:val="22D20532"/>
    <w:rsid w:val="22DD303F"/>
    <w:rsid w:val="22DE4344"/>
    <w:rsid w:val="22DF1DC6"/>
    <w:rsid w:val="22EB7DD7"/>
    <w:rsid w:val="22ED6B5D"/>
    <w:rsid w:val="22EE0D5B"/>
    <w:rsid w:val="22F73BE9"/>
    <w:rsid w:val="22F94B6E"/>
    <w:rsid w:val="22FC5AF3"/>
    <w:rsid w:val="22FD1376"/>
    <w:rsid w:val="230044F9"/>
    <w:rsid w:val="23054204"/>
    <w:rsid w:val="230A4E08"/>
    <w:rsid w:val="23126BF9"/>
    <w:rsid w:val="2317411E"/>
    <w:rsid w:val="23264738"/>
    <w:rsid w:val="233627D5"/>
    <w:rsid w:val="233911DB"/>
    <w:rsid w:val="23443CE8"/>
    <w:rsid w:val="23495BF2"/>
    <w:rsid w:val="234D45F8"/>
    <w:rsid w:val="234F58FD"/>
    <w:rsid w:val="2350557D"/>
    <w:rsid w:val="23555288"/>
    <w:rsid w:val="236E03B0"/>
    <w:rsid w:val="237779BB"/>
    <w:rsid w:val="23792EBE"/>
    <w:rsid w:val="23813B4D"/>
    <w:rsid w:val="238D53E2"/>
    <w:rsid w:val="23983773"/>
    <w:rsid w:val="239E30FD"/>
    <w:rsid w:val="23A75F8B"/>
    <w:rsid w:val="23AA6F10"/>
    <w:rsid w:val="23AF3398"/>
    <w:rsid w:val="23B1211E"/>
    <w:rsid w:val="23BB04AF"/>
    <w:rsid w:val="23CA2FF6"/>
    <w:rsid w:val="23CA5246"/>
    <w:rsid w:val="23CB4EC6"/>
    <w:rsid w:val="23D66ADB"/>
    <w:rsid w:val="23D7455C"/>
    <w:rsid w:val="23D94210"/>
    <w:rsid w:val="23DC09E4"/>
    <w:rsid w:val="23DD2BE2"/>
    <w:rsid w:val="23DE0664"/>
    <w:rsid w:val="23E3256D"/>
    <w:rsid w:val="23E76D75"/>
    <w:rsid w:val="23E80E96"/>
    <w:rsid w:val="23ED5747"/>
    <w:rsid w:val="23F84A91"/>
    <w:rsid w:val="23FC3497"/>
    <w:rsid w:val="240E6C34"/>
    <w:rsid w:val="241C39CC"/>
    <w:rsid w:val="241E4CD1"/>
    <w:rsid w:val="241F4950"/>
    <w:rsid w:val="243335F1"/>
    <w:rsid w:val="243548F6"/>
    <w:rsid w:val="2438587A"/>
    <w:rsid w:val="24466D8E"/>
    <w:rsid w:val="244E7A1E"/>
    <w:rsid w:val="2451019F"/>
    <w:rsid w:val="245A2C8D"/>
    <w:rsid w:val="2472475B"/>
    <w:rsid w:val="247321DC"/>
    <w:rsid w:val="24772DE1"/>
    <w:rsid w:val="247F3A70"/>
    <w:rsid w:val="248249F5"/>
    <w:rsid w:val="2487307B"/>
    <w:rsid w:val="248C2D86"/>
    <w:rsid w:val="2492140C"/>
    <w:rsid w:val="24975894"/>
    <w:rsid w:val="2499461A"/>
    <w:rsid w:val="249C779D"/>
    <w:rsid w:val="249F6523"/>
    <w:rsid w:val="24A03FA5"/>
    <w:rsid w:val="24A5262B"/>
    <w:rsid w:val="24A91031"/>
    <w:rsid w:val="24B506C7"/>
    <w:rsid w:val="24B8164C"/>
    <w:rsid w:val="24C97368"/>
    <w:rsid w:val="24CD15F1"/>
    <w:rsid w:val="24D50BFC"/>
    <w:rsid w:val="24DA2E85"/>
    <w:rsid w:val="24DE3A8A"/>
    <w:rsid w:val="24E56C98"/>
    <w:rsid w:val="24E64719"/>
    <w:rsid w:val="24E70284"/>
    <w:rsid w:val="24E83EC4"/>
    <w:rsid w:val="24E84399"/>
    <w:rsid w:val="24ED40A4"/>
    <w:rsid w:val="24F07227"/>
    <w:rsid w:val="24F2052C"/>
    <w:rsid w:val="24F536AF"/>
    <w:rsid w:val="24FB55B8"/>
    <w:rsid w:val="25042E73"/>
    <w:rsid w:val="251A5E6D"/>
    <w:rsid w:val="25230CFB"/>
    <w:rsid w:val="2524677D"/>
    <w:rsid w:val="2534533D"/>
    <w:rsid w:val="253B63A2"/>
    <w:rsid w:val="253C3E23"/>
    <w:rsid w:val="25431230"/>
    <w:rsid w:val="25602D5E"/>
    <w:rsid w:val="25764F02"/>
    <w:rsid w:val="25795E86"/>
    <w:rsid w:val="257F3FCC"/>
    <w:rsid w:val="25847A9B"/>
    <w:rsid w:val="258A19A4"/>
    <w:rsid w:val="25924832"/>
    <w:rsid w:val="259E3EC8"/>
    <w:rsid w:val="25A634D3"/>
    <w:rsid w:val="25AB7194"/>
    <w:rsid w:val="25B22B68"/>
    <w:rsid w:val="25B34D67"/>
    <w:rsid w:val="25B76FF0"/>
    <w:rsid w:val="25BB59F6"/>
    <w:rsid w:val="25BE0B79"/>
    <w:rsid w:val="25CD1194"/>
    <w:rsid w:val="25CE3392"/>
    <w:rsid w:val="25D76220"/>
    <w:rsid w:val="25E06B30"/>
    <w:rsid w:val="25E40DB9"/>
    <w:rsid w:val="25F1264D"/>
    <w:rsid w:val="25F51053"/>
    <w:rsid w:val="26097CF4"/>
    <w:rsid w:val="260B6A7A"/>
    <w:rsid w:val="261D2218"/>
    <w:rsid w:val="262C11AD"/>
    <w:rsid w:val="26307BB3"/>
    <w:rsid w:val="26327CD9"/>
    <w:rsid w:val="26330B38"/>
    <w:rsid w:val="26444656"/>
    <w:rsid w:val="264755DA"/>
    <w:rsid w:val="264D4F65"/>
    <w:rsid w:val="2651396B"/>
    <w:rsid w:val="26536E6E"/>
    <w:rsid w:val="266235BB"/>
    <w:rsid w:val="26637B69"/>
    <w:rsid w:val="26691012"/>
    <w:rsid w:val="266A6A94"/>
    <w:rsid w:val="266B7D98"/>
    <w:rsid w:val="266E549A"/>
    <w:rsid w:val="266F679F"/>
    <w:rsid w:val="2670099D"/>
    <w:rsid w:val="26704220"/>
    <w:rsid w:val="267C0033"/>
    <w:rsid w:val="26806A39"/>
    <w:rsid w:val="268279BE"/>
    <w:rsid w:val="268D24CB"/>
    <w:rsid w:val="268E2415"/>
    <w:rsid w:val="26931E56"/>
    <w:rsid w:val="26993D60"/>
    <w:rsid w:val="269B2AE6"/>
    <w:rsid w:val="269E01E7"/>
    <w:rsid w:val="26A420F1"/>
    <w:rsid w:val="26A57B72"/>
    <w:rsid w:val="26B731D6"/>
    <w:rsid w:val="26C24F24"/>
    <w:rsid w:val="26C55EA9"/>
    <w:rsid w:val="26CE45BA"/>
    <w:rsid w:val="26D32C40"/>
    <w:rsid w:val="26E044D4"/>
    <w:rsid w:val="26E07D57"/>
    <w:rsid w:val="26E11F56"/>
    <w:rsid w:val="26E4675D"/>
    <w:rsid w:val="26E90667"/>
    <w:rsid w:val="26ED706D"/>
    <w:rsid w:val="26EE126B"/>
    <w:rsid w:val="26F27C71"/>
    <w:rsid w:val="26F853FE"/>
    <w:rsid w:val="26F975FC"/>
    <w:rsid w:val="26FE7307"/>
    <w:rsid w:val="2700280A"/>
    <w:rsid w:val="2702378F"/>
    <w:rsid w:val="27081E15"/>
    <w:rsid w:val="270F17A0"/>
    <w:rsid w:val="270F5023"/>
    <w:rsid w:val="27125FA8"/>
    <w:rsid w:val="27166BAC"/>
    <w:rsid w:val="2717462E"/>
    <w:rsid w:val="27233CC4"/>
    <w:rsid w:val="27241745"/>
    <w:rsid w:val="272A364F"/>
    <w:rsid w:val="27331D60"/>
    <w:rsid w:val="27362CE4"/>
    <w:rsid w:val="273861E8"/>
    <w:rsid w:val="27395E67"/>
    <w:rsid w:val="273C266F"/>
    <w:rsid w:val="27413274"/>
    <w:rsid w:val="27416AF7"/>
    <w:rsid w:val="274676FC"/>
    <w:rsid w:val="27482BFF"/>
    <w:rsid w:val="274C4E88"/>
    <w:rsid w:val="274D62CF"/>
    <w:rsid w:val="274F5E0D"/>
    <w:rsid w:val="27563219"/>
    <w:rsid w:val="27680F35"/>
    <w:rsid w:val="276969B7"/>
    <w:rsid w:val="276C1B3A"/>
    <w:rsid w:val="276F2ABE"/>
    <w:rsid w:val="27715FC1"/>
    <w:rsid w:val="277933CE"/>
    <w:rsid w:val="277C7BD6"/>
    <w:rsid w:val="277D5657"/>
    <w:rsid w:val="278F0DF5"/>
    <w:rsid w:val="27983C83"/>
    <w:rsid w:val="27A7649B"/>
    <w:rsid w:val="27B74537"/>
    <w:rsid w:val="27B81FB9"/>
    <w:rsid w:val="27C01B55"/>
    <w:rsid w:val="27C2034A"/>
    <w:rsid w:val="27CF3DDC"/>
    <w:rsid w:val="27D172E0"/>
    <w:rsid w:val="27D74A6C"/>
    <w:rsid w:val="27DB7BEF"/>
    <w:rsid w:val="27DD30F2"/>
    <w:rsid w:val="27DE0B74"/>
    <w:rsid w:val="27E92788"/>
    <w:rsid w:val="27F822DD"/>
    <w:rsid w:val="280520B8"/>
    <w:rsid w:val="2811394C"/>
    <w:rsid w:val="28171FD2"/>
    <w:rsid w:val="28190D59"/>
    <w:rsid w:val="282647EB"/>
    <w:rsid w:val="2827226D"/>
    <w:rsid w:val="282F7679"/>
    <w:rsid w:val="28331903"/>
    <w:rsid w:val="28343B01"/>
    <w:rsid w:val="28493AA6"/>
    <w:rsid w:val="28562A97"/>
    <w:rsid w:val="285F5C4A"/>
    <w:rsid w:val="286036CB"/>
    <w:rsid w:val="287171E9"/>
    <w:rsid w:val="28757DED"/>
    <w:rsid w:val="287953DF"/>
    <w:rsid w:val="287B557A"/>
    <w:rsid w:val="287E64FF"/>
    <w:rsid w:val="28842606"/>
    <w:rsid w:val="28A718C1"/>
    <w:rsid w:val="28A83AC0"/>
    <w:rsid w:val="28A91541"/>
    <w:rsid w:val="28AF344A"/>
    <w:rsid w:val="28B50BD7"/>
    <w:rsid w:val="28BF6F68"/>
    <w:rsid w:val="28D07202"/>
    <w:rsid w:val="28D10507"/>
    <w:rsid w:val="28D66B8D"/>
    <w:rsid w:val="28DF1AB7"/>
    <w:rsid w:val="28E33CA5"/>
    <w:rsid w:val="28E45EA3"/>
    <w:rsid w:val="28EE2036"/>
    <w:rsid w:val="28F364BD"/>
    <w:rsid w:val="290C15E6"/>
    <w:rsid w:val="29117C6C"/>
    <w:rsid w:val="291369F2"/>
    <w:rsid w:val="291753F8"/>
    <w:rsid w:val="29252190"/>
    <w:rsid w:val="292C1B1A"/>
    <w:rsid w:val="293272A7"/>
    <w:rsid w:val="2936242A"/>
    <w:rsid w:val="293E52B8"/>
    <w:rsid w:val="29583C63"/>
    <w:rsid w:val="295B4BE8"/>
    <w:rsid w:val="29652F79"/>
    <w:rsid w:val="29716D8C"/>
    <w:rsid w:val="29870F2F"/>
    <w:rsid w:val="298F3DBD"/>
    <w:rsid w:val="29AA01EA"/>
    <w:rsid w:val="29AD116F"/>
    <w:rsid w:val="29AD788C"/>
    <w:rsid w:val="29AE0DEF"/>
    <w:rsid w:val="29B02542"/>
    <w:rsid w:val="29B816FE"/>
    <w:rsid w:val="29C35511"/>
    <w:rsid w:val="29C8521C"/>
    <w:rsid w:val="29D222A8"/>
    <w:rsid w:val="29D60CAE"/>
    <w:rsid w:val="29DB2BB8"/>
    <w:rsid w:val="29DE3B3C"/>
    <w:rsid w:val="29F205DF"/>
    <w:rsid w:val="29F724E8"/>
    <w:rsid w:val="2A0B3707"/>
    <w:rsid w:val="2A124A62"/>
    <w:rsid w:val="2A193D21"/>
    <w:rsid w:val="2A21112E"/>
    <w:rsid w:val="2A22332C"/>
    <w:rsid w:val="2A2542B1"/>
    <w:rsid w:val="2A333E41"/>
    <w:rsid w:val="2A3348CB"/>
    <w:rsid w:val="2A392F51"/>
    <w:rsid w:val="2A3E73D9"/>
    <w:rsid w:val="2A444B66"/>
    <w:rsid w:val="2A637619"/>
    <w:rsid w:val="2A6B366E"/>
    <w:rsid w:val="2A6C24A7"/>
    <w:rsid w:val="2A6E122D"/>
    <w:rsid w:val="2A6F342B"/>
    <w:rsid w:val="2A7F1DB3"/>
    <w:rsid w:val="2A897858"/>
    <w:rsid w:val="2A8D625F"/>
    <w:rsid w:val="2A903960"/>
    <w:rsid w:val="2A947DE8"/>
    <w:rsid w:val="2A994270"/>
    <w:rsid w:val="2A9E13F0"/>
    <w:rsid w:val="2AA1167C"/>
    <w:rsid w:val="2AA45E84"/>
    <w:rsid w:val="2AA9230C"/>
    <w:rsid w:val="2AAA1F8B"/>
    <w:rsid w:val="2AAB7A0D"/>
    <w:rsid w:val="2AAE0992"/>
    <w:rsid w:val="2ABA0028"/>
    <w:rsid w:val="2AD33150"/>
    <w:rsid w:val="2AD56653"/>
    <w:rsid w:val="2AE311EC"/>
    <w:rsid w:val="2AEA2D75"/>
    <w:rsid w:val="2AED38D4"/>
    <w:rsid w:val="2AF43684"/>
    <w:rsid w:val="2AF66B88"/>
    <w:rsid w:val="2B01299A"/>
    <w:rsid w:val="2B0748A3"/>
    <w:rsid w:val="2B110A36"/>
    <w:rsid w:val="2B1419BB"/>
    <w:rsid w:val="2B241C55"/>
    <w:rsid w:val="2B2E2CA4"/>
    <w:rsid w:val="2B3247EE"/>
    <w:rsid w:val="2B3808F6"/>
    <w:rsid w:val="2B394179"/>
    <w:rsid w:val="2B46348F"/>
    <w:rsid w:val="2B511820"/>
    <w:rsid w:val="2B5449A3"/>
    <w:rsid w:val="2B563729"/>
    <w:rsid w:val="2B577AF8"/>
    <w:rsid w:val="2B5D30B4"/>
    <w:rsid w:val="2B6504C0"/>
    <w:rsid w:val="2B675BC2"/>
    <w:rsid w:val="2B6A6B46"/>
    <w:rsid w:val="2B827A70"/>
    <w:rsid w:val="2B842F73"/>
    <w:rsid w:val="2B8509F5"/>
    <w:rsid w:val="2B906D86"/>
    <w:rsid w:val="2B956A91"/>
    <w:rsid w:val="2B9B099A"/>
    <w:rsid w:val="2B9E191F"/>
    <w:rsid w:val="2B9F159F"/>
    <w:rsid w:val="2B9F73A1"/>
    <w:rsid w:val="2BA07020"/>
    <w:rsid w:val="2BA8442D"/>
    <w:rsid w:val="2BAC2E33"/>
    <w:rsid w:val="2BB97F4A"/>
    <w:rsid w:val="2BBA59CC"/>
    <w:rsid w:val="2BBE1E54"/>
    <w:rsid w:val="2BBE65D0"/>
    <w:rsid w:val="2BC43D5D"/>
    <w:rsid w:val="2BC517DF"/>
    <w:rsid w:val="2BCB7E65"/>
    <w:rsid w:val="2BCE466D"/>
    <w:rsid w:val="2BD01808"/>
    <w:rsid w:val="2BD01D6E"/>
    <w:rsid w:val="2BD155F1"/>
    <w:rsid w:val="2BD25271"/>
    <w:rsid w:val="2BE77795"/>
    <w:rsid w:val="2BEA0719"/>
    <w:rsid w:val="2BF21948"/>
    <w:rsid w:val="2BF854B1"/>
    <w:rsid w:val="2BF868DA"/>
    <w:rsid w:val="2BFE73BA"/>
    <w:rsid w:val="2C06004A"/>
    <w:rsid w:val="2C075ACB"/>
    <w:rsid w:val="2C102B57"/>
    <w:rsid w:val="2C13735F"/>
    <w:rsid w:val="2C264CFB"/>
    <w:rsid w:val="2C295C80"/>
    <w:rsid w:val="2C2E598B"/>
    <w:rsid w:val="2C2F340C"/>
    <w:rsid w:val="2C320B0E"/>
    <w:rsid w:val="2C3E23A2"/>
    <w:rsid w:val="2C416BAA"/>
    <w:rsid w:val="2C42462B"/>
    <w:rsid w:val="2C451D2D"/>
    <w:rsid w:val="2C4677AE"/>
    <w:rsid w:val="2C4C4F3B"/>
    <w:rsid w:val="2C542347"/>
    <w:rsid w:val="2C547DC9"/>
    <w:rsid w:val="2C637E09"/>
    <w:rsid w:val="2C68486B"/>
    <w:rsid w:val="2C6C3271"/>
    <w:rsid w:val="2C6D0CF3"/>
    <w:rsid w:val="2C7502FD"/>
    <w:rsid w:val="2C8252CD"/>
    <w:rsid w:val="2C8C7F23"/>
    <w:rsid w:val="2C8D677B"/>
    <w:rsid w:val="2C9021AC"/>
    <w:rsid w:val="2CA134E9"/>
    <w:rsid w:val="2CAA74D3"/>
    <w:rsid w:val="2CB97AED"/>
    <w:rsid w:val="2CC71EC0"/>
    <w:rsid w:val="2CD4199C"/>
    <w:rsid w:val="2CD64E9F"/>
    <w:rsid w:val="2CE66931"/>
    <w:rsid w:val="2CEB15C1"/>
    <w:rsid w:val="2CEE4744"/>
    <w:rsid w:val="2CF05A49"/>
    <w:rsid w:val="2CF20F4C"/>
    <w:rsid w:val="2CFF49DE"/>
    <w:rsid w:val="2D01287E"/>
    <w:rsid w:val="2D2233D4"/>
    <w:rsid w:val="2D3277B7"/>
    <w:rsid w:val="2D3703BB"/>
    <w:rsid w:val="2D431C50"/>
    <w:rsid w:val="2D4C0361"/>
    <w:rsid w:val="2D585548"/>
    <w:rsid w:val="2D586372"/>
    <w:rsid w:val="2D643EE1"/>
    <w:rsid w:val="2D673109"/>
    <w:rsid w:val="2D691E8F"/>
    <w:rsid w:val="2D7E65B1"/>
    <w:rsid w:val="2D855F3C"/>
    <w:rsid w:val="2D886EC1"/>
    <w:rsid w:val="2D904A46"/>
    <w:rsid w:val="2DA04568"/>
    <w:rsid w:val="2DA42F6E"/>
    <w:rsid w:val="2DA92C79"/>
    <w:rsid w:val="2DAE7101"/>
    <w:rsid w:val="2DB5450D"/>
    <w:rsid w:val="2DB94EAA"/>
    <w:rsid w:val="2DBF4E1C"/>
    <w:rsid w:val="2DC1342B"/>
    <w:rsid w:val="2DD0379D"/>
    <w:rsid w:val="2DD82143"/>
    <w:rsid w:val="2DFB13FE"/>
    <w:rsid w:val="2DFD4901"/>
    <w:rsid w:val="2DFE2383"/>
    <w:rsid w:val="2E03208E"/>
    <w:rsid w:val="2E070A94"/>
    <w:rsid w:val="2E0E041F"/>
    <w:rsid w:val="2E142328"/>
    <w:rsid w:val="2E1C1933"/>
    <w:rsid w:val="2E1E4E36"/>
    <w:rsid w:val="2E22383C"/>
    <w:rsid w:val="2E2B1F4D"/>
    <w:rsid w:val="2E2C1BCD"/>
    <w:rsid w:val="2E2E2ED2"/>
    <w:rsid w:val="2E303E57"/>
    <w:rsid w:val="2E3859E0"/>
    <w:rsid w:val="2E3B21E8"/>
    <w:rsid w:val="2E3E78E9"/>
    <w:rsid w:val="2E40666F"/>
    <w:rsid w:val="2E452AF7"/>
    <w:rsid w:val="2E454CF5"/>
    <w:rsid w:val="2E4814FD"/>
    <w:rsid w:val="2E5A7219"/>
    <w:rsid w:val="2E6455AA"/>
    <w:rsid w:val="2E660AAD"/>
    <w:rsid w:val="2E681DB2"/>
    <w:rsid w:val="2E68377B"/>
    <w:rsid w:val="2E683FB0"/>
    <w:rsid w:val="2E6B10C0"/>
    <w:rsid w:val="2E704C40"/>
    <w:rsid w:val="2E732342"/>
    <w:rsid w:val="2E7510C8"/>
    <w:rsid w:val="2E7B2FD1"/>
    <w:rsid w:val="2E7D06D3"/>
    <w:rsid w:val="2E81295C"/>
    <w:rsid w:val="2E835E5F"/>
    <w:rsid w:val="2E8822E7"/>
    <w:rsid w:val="2E8C546A"/>
    <w:rsid w:val="2E917AD1"/>
    <w:rsid w:val="2E9460F9"/>
    <w:rsid w:val="2E953B7B"/>
    <w:rsid w:val="2EA1540F"/>
    <w:rsid w:val="2EA53E15"/>
    <w:rsid w:val="2EA77318"/>
    <w:rsid w:val="2EA94A1A"/>
    <w:rsid w:val="2EAC37A0"/>
    <w:rsid w:val="2EB156AA"/>
    <w:rsid w:val="2ECD1756"/>
    <w:rsid w:val="2ECE71D8"/>
    <w:rsid w:val="2EE4717D"/>
    <w:rsid w:val="2EE828F2"/>
    <w:rsid w:val="2EFE7D27"/>
    <w:rsid w:val="2F012EAA"/>
    <w:rsid w:val="2F0860B8"/>
    <w:rsid w:val="2F0902B7"/>
    <w:rsid w:val="2F0A5D38"/>
    <w:rsid w:val="2F120BC6"/>
    <w:rsid w:val="2F242165"/>
    <w:rsid w:val="2F2F04F6"/>
    <w:rsid w:val="2F31727D"/>
    <w:rsid w:val="2F386C07"/>
    <w:rsid w:val="2F394689"/>
    <w:rsid w:val="2F471420"/>
    <w:rsid w:val="2F4A6B22"/>
    <w:rsid w:val="2F4E0DAB"/>
    <w:rsid w:val="2F4F0A2B"/>
    <w:rsid w:val="2F5A263F"/>
    <w:rsid w:val="2F642F4F"/>
    <w:rsid w:val="2F683B53"/>
    <w:rsid w:val="2F6915D5"/>
    <w:rsid w:val="2F735768"/>
    <w:rsid w:val="2F7B4DDE"/>
    <w:rsid w:val="2F814A7D"/>
    <w:rsid w:val="2F933A9E"/>
    <w:rsid w:val="2F96119F"/>
    <w:rsid w:val="2F9B30A9"/>
    <w:rsid w:val="2FA64CBD"/>
    <w:rsid w:val="2FA801C0"/>
    <w:rsid w:val="2FAF220B"/>
    <w:rsid w:val="2FAF7B4B"/>
    <w:rsid w:val="2FB1304E"/>
    <w:rsid w:val="2FB20AD0"/>
    <w:rsid w:val="2FB2642B"/>
    <w:rsid w:val="2FBD105F"/>
    <w:rsid w:val="2FC20D6A"/>
    <w:rsid w:val="2FC367EB"/>
    <w:rsid w:val="2FC751F2"/>
    <w:rsid w:val="2FD15B01"/>
    <w:rsid w:val="2FD307C2"/>
    <w:rsid w:val="2FD31004"/>
    <w:rsid w:val="2FE547A2"/>
    <w:rsid w:val="2FEF2B33"/>
    <w:rsid w:val="2FF23AB7"/>
    <w:rsid w:val="300140D2"/>
    <w:rsid w:val="300262D0"/>
    <w:rsid w:val="30047255"/>
    <w:rsid w:val="30085C5B"/>
    <w:rsid w:val="300C4661"/>
    <w:rsid w:val="301607F4"/>
    <w:rsid w:val="30191779"/>
    <w:rsid w:val="3024558B"/>
    <w:rsid w:val="30296190"/>
    <w:rsid w:val="302B4F16"/>
    <w:rsid w:val="30305B1B"/>
    <w:rsid w:val="30370D29"/>
    <w:rsid w:val="303867AA"/>
    <w:rsid w:val="303B192D"/>
    <w:rsid w:val="304170BA"/>
    <w:rsid w:val="304B79C9"/>
    <w:rsid w:val="304C544B"/>
    <w:rsid w:val="30527354"/>
    <w:rsid w:val="3057125D"/>
    <w:rsid w:val="30650573"/>
    <w:rsid w:val="306F6904"/>
    <w:rsid w:val="30797214"/>
    <w:rsid w:val="307E6F1F"/>
    <w:rsid w:val="307F49A0"/>
    <w:rsid w:val="30814620"/>
    <w:rsid w:val="308455A5"/>
    <w:rsid w:val="308B29B1"/>
    <w:rsid w:val="30933641"/>
    <w:rsid w:val="3099554A"/>
    <w:rsid w:val="30A14B55"/>
    <w:rsid w:val="30B360F4"/>
    <w:rsid w:val="30BA5A7F"/>
    <w:rsid w:val="30C0540A"/>
    <w:rsid w:val="30C12E8B"/>
    <w:rsid w:val="30C4251E"/>
    <w:rsid w:val="30CC3081"/>
    <w:rsid w:val="30DD4D3A"/>
    <w:rsid w:val="30EC3CCF"/>
    <w:rsid w:val="30F77AE2"/>
    <w:rsid w:val="31002970"/>
    <w:rsid w:val="310622FB"/>
    <w:rsid w:val="31231C2B"/>
    <w:rsid w:val="312D7FBC"/>
    <w:rsid w:val="312F6D42"/>
    <w:rsid w:val="313E3AD9"/>
    <w:rsid w:val="31476967"/>
    <w:rsid w:val="31592105"/>
    <w:rsid w:val="31607511"/>
    <w:rsid w:val="31653999"/>
    <w:rsid w:val="316C3324"/>
    <w:rsid w:val="316F0A25"/>
    <w:rsid w:val="316F42A9"/>
    <w:rsid w:val="3172742B"/>
    <w:rsid w:val="317F4543"/>
    <w:rsid w:val="31982EEE"/>
    <w:rsid w:val="319A2B6E"/>
    <w:rsid w:val="319A63F2"/>
    <w:rsid w:val="319B3E73"/>
    <w:rsid w:val="319E1574"/>
    <w:rsid w:val="31A1198D"/>
    <w:rsid w:val="31A15D7C"/>
    <w:rsid w:val="31AC1C27"/>
    <w:rsid w:val="31AC630C"/>
    <w:rsid w:val="31AF5092"/>
    <w:rsid w:val="31B35C97"/>
    <w:rsid w:val="31B5119A"/>
    <w:rsid w:val="31B859A2"/>
    <w:rsid w:val="31B93423"/>
    <w:rsid w:val="31BF1AA9"/>
    <w:rsid w:val="31C85C3C"/>
    <w:rsid w:val="31CB333D"/>
    <w:rsid w:val="31CB6BC1"/>
    <w:rsid w:val="31CF55C7"/>
    <w:rsid w:val="31DD48DC"/>
    <w:rsid w:val="31DF16F4"/>
    <w:rsid w:val="31DF7DE0"/>
    <w:rsid w:val="31E05861"/>
    <w:rsid w:val="31E34267"/>
    <w:rsid w:val="31F75486"/>
    <w:rsid w:val="31FF0314"/>
    <w:rsid w:val="32001619"/>
    <w:rsid w:val="32011116"/>
    <w:rsid w:val="32106030"/>
    <w:rsid w:val="32121533"/>
    <w:rsid w:val="32127335"/>
    <w:rsid w:val="321502BA"/>
    <w:rsid w:val="3224724F"/>
    <w:rsid w:val="32285C55"/>
    <w:rsid w:val="322A6BDA"/>
    <w:rsid w:val="322D5960"/>
    <w:rsid w:val="322E55E0"/>
    <w:rsid w:val="32300AE3"/>
    <w:rsid w:val="32323FE6"/>
    <w:rsid w:val="323474E9"/>
    <w:rsid w:val="323629ED"/>
    <w:rsid w:val="323C48F6"/>
    <w:rsid w:val="324167FF"/>
    <w:rsid w:val="32424281"/>
    <w:rsid w:val="32556C13"/>
    <w:rsid w:val="327360D5"/>
    <w:rsid w:val="327776E7"/>
    <w:rsid w:val="327C0F63"/>
    <w:rsid w:val="328426CB"/>
    <w:rsid w:val="328827F7"/>
    <w:rsid w:val="32992A91"/>
    <w:rsid w:val="32A0461A"/>
    <w:rsid w:val="32A233A1"/>
    <w:rsid w:val="32A43020"/>
    <w:rsid w:val="32A54325"/>
    <w:rsid w:val="32A852AA"/>
    <w:rsid w:val="32AF07F2"/>
    <w:rsid w:val="32C103D2"/>
    <w:rsid w:val="32C600DD"/>
    <w:rsid w:val="32CB6763"/>
    <w:rsid w:val="32D260EE"/>
    <w:rsid w:val="32D64AF4"/>
    <w:rsid w:val="32DE3403"/>
    <w:rsid w:val="32E12E85"/>
    <w:rsid w:val="32F62E2B"/>
    <w:rsid w:val="32F75029"/>
    <w:rsid w:val="32F8632E"/>
    <w:rsid w:val="32FE2435"/>
    <w:rsid w:val="33020E3C"/>
    <w:rsid w:val="3304433F"/>
    <w:rsid w:val="33055644"/>
    <w:rsid w:val="3309404A"/>
    <w:rsid w:val="330E4C4E"/>
    <w:rsid w:val="33157E5C"/>
    <w:rsid w:val="331C5269"/>
    <w:rsid w:val="331F61ED"/>
    <w:rsid w:val="33296AFD"/>
    <w:rsid w:val="332C3305"/>
    <w:rsid w:val="33313F09"/>
    <w:rsid w:val="3334290F"/>
    <w:rsid w:val="33363C14"/>
    <w:rsid w:val="33365E13"/>
    <w:rsid w:val="333A4819"/>
    <w:rsid w:val="334141A4"/>
    <w:rsid w:val="33417A27"/>
    <w:rsid w:val="334376A7"/>
    <w:rsid w:val="3345642D"/>
    <w:rsid w:val="33463EAF"/>
    <w:rsid w:val="334760AD"/>
    <w:rsid w:val="33494E33"/>
    <w:rsid w:val="334C5DB8"/>
    <w:rsid w:val="334E12BB"/>
    <w:rsid w:val="335069BC"/>
    <w:rsid w:val="33535743"/>
    <w:rsid w:val="33541DC5"/>
    <w:rsid w:val="335D0251"/>
    <w:rsid w:val="3363215A"/>
    <w:rsid w:val="336C62ED"/>
    <w:rsid w:val="336E17F0"/>
    <w:rsid w:val="336E5F6C"/>
    <w:rsid w:val="3380750C"/>
    <w:rsid w:val="338C0B52"/>
    <w:rsid w:val="338F55A8"/>
    <w:rsid w:val="3392652C"/>
    <w:rsid w:val="339616AF"/>
    <w:rsid w:val="33984BB2"/>
    <w:rsid w:val="33A22F43"/>
    <w:rsid w:val="33A651CD"/>
    <w:rsid w:val="33A773CB"/>
    <w:rsid w:val="33A84E4D"/>
    <w:rsid w:val="33B444E3"/>
    <w:rsid w:val="33B75467"/>
    <w:rsid w:val="33B9096A"/>
    <w:rsid w:val="33C83183"/>
    <w:rsid w:val="33CA6686"/>
    <w:rsid w:val="33CB1BCD"/>
    <w:rsid w:val="33CC0396"/>
    <w:rsid w:val="33CF4D0C"/>
    <w:rsid w:val="33D33712"/>
    <w:rsid w:val="33DE3C64"/>
    <w:rsid w:val="33E23D2D"/>
    <w:rsid w:val="33F474CA"/>
    <w:rsid w:val="33F66251"/>
    <w:rsid w:val="33FF585B"/>
    <w:rsid w:val="340B4EF1"/>
    <w:rsid w:val="34160D04"/>
    <w:rsid w:val="341F3B92"/>
    <w:rsid w:val="3425351D"/>
    <w:rsid w:val="342C7624"/>
    <w:rsid w:val="342D0929"/>
    <w:rsid w:val="34332832"/>
    <w:rsid w:val="34355D35"/>
    <w:rsid w:val="34371239"/>
    <w:rsid w:val="34386CBA"/>
    <w:rsid w:val="344A2458"/>
    <w:rsid w:val="345D1478"/>
    <w:rsid w:val="345F23FD"/>
    <w:rsid w:val="34607876"/>
    <w:rsid w:val="34673F86"/>
    <w:rsid w:val="346B298C"/>
    <w:rsid w:val="346F6E14"/>
    <w:rsid w:val="349B0F5D"/>
    <w:rsid w:val="349D4460"/>
    <w:rsid w:val="34AB1AC5"/>
    <w:rsid w:val="34B0567F"/>
    <w:rsid w:val="34BA5F8F"/>
    <w:rsid w:val="34CD2A31"/>
    <w:rsid w:val="34CE04B2"/>
    <w:rsid w:val="34D73340"/>
    <w:rsid w:val="34DE2CCB"/>
    <w:rsid w:val="34E003CD"/>
    <w:rsid w:val="34E03C50"/>
    <w:rsid w:val="34E500D8"/>
    <w:rsid w:val="34EA0CDC"/>
    <w:rsid w:val="34EA455F"/>
    <w:rsid w:val="34EE7BB1"/>
    <w:rsid w:val="34EF2BE5"/>
    <w:rsid w:val="35041886"/>
    <w:rsid w:val="35064D89"/>
    <w:rsid w:val="35083B0F"/>
    <w:rsid w:val="3509378F"/>
    <w:rsid w:val="35152E25"/>
    <w:rsid w:val="35183DAA"/>
    <w:rsid w:val="352A5349"/>
    <w:rsid w:val="35453974"/>
    <w:rsid w:val="354A1FFA"/>
    <w:rsid w:val="35527407"/>
    <w:rsid w:val="35565E0D"/>
    <w:rsid w:val="355F451E"/>
    <w:rsid w:val="356276A1"/>
    <w:rsid w:val="35631A49"/>
    <w:rsid w:val="356F6516"/>
    <w:rsid w:val="35787646"/>
    <w:rsid w:val="3585695C"/>
    <w:rsid w:val="358B0865"/>
    <w:rsid w:val="35946F77"/>
    <w:rsid w:val="359955FD"/>
    <w:rsid w:val="359C1E05"/>
    <w:rsid w:val="359E5308"/>
    <w:rsid w:val="35A1628C"/>
    <w:rsid w:val="35A23D0E"/>
    <w:rsid w:val="35A35F0C"/>
    <w:rsid w:val="35C8614C"/>
    <w:rsid w:val="35D344DD"/>
    <w:rsid w:val="35D5415D"/>
    <w:rsid w:val="35D72EE3"/>
    <w:rsid w:val="35E26CF6"/>
    <w:rsid w:val="35E80BFF"/>
    <w:rsid w:val="35E96681"/>
    <w:rsid w:val="35F90E99"/>
    <w:rsid w:val="360040A7"/>
    <w:rsid w:val="36032AAE"/>
    <w:rsid w:val="360601AF"/>
    <w:rsid w:val="36160449"/>
    <w:rsid w:val="36194C51"/>
    <w:rsid w:val="361C2353"/>
    <w:rsid w:val="362167DA"/>
    <w:rsid w:val="3629746A"/>
    <w:rsid w:val="362B4B6B"/>
    <w:rsid w:val="362E38F2"/>
    <w:rsid w:val="362F1373"/>
    <w:rsid w:val="36366780"/>
    <w:rsid w:val="363B2C08"/>
    <w:rsid w:val="363F4D18"/>
    <w:rsid w:val="364D63A5"/>
    <w:rsid w:val="36643DCC"/>
    <w:rsid w:val="366635E1"/>
    <w:rsid w:val="366A5CD5"/>
    <w:rsid w:val="366D46DB"/>
    <w:rsid w:val="367407E3"/>
    <w:rsid w:val="36851D82"/>
    <w:rsid w:val="36875285"/>
    <w:rsid w:val="368A620A"/>
    <w:rsid w:val="3695459B"/>
    <w:rsid w:val="36A35AAF"/>
    <w:rsid w:val="36B934D6"/>
    <w:rsid w:val="36BF53DF"/>
    <w:rsid w:val="36C21BE7"/>
    <w:rsid w:val="36CD2176"/>
    <w:rsid w:val="36CE59FA"/>
    <w:rsid w:val="36D23A01"/>
    <w:rsid w:val="36D34080"/>
    <w:rsid w:val="36D41B01"/>
    <w:rsid w:val="36D8085D"/>
    <w:rsid w:val="36D83D8B"/>
    <w:rsid w:val="36DA728E"/>
    <w:rsid w:val="36E3431A"/>
    <w:rsid w:val="36E36898"/>
    <w:rsid w:val="36E72D20"/>
    <w:rsid w:val="36F24934"/>
    <w:rsid w:val="36F6333B"/>
    <w:rsid w:val="36F8683E"/>
    <w:rsid w:val="36F87C76"/>
    <w:rsid w:val="36FE0747"/>
    <w:rsid w:val="36FE3EA5"/>
    <w:rsid w:val="3702134C"/>
    <w:rsid w:val="370B41DA"/>
    <w:rsid w:val="371C0D36"/>
    <w:rsid w:val="371C5779"/>
    <w:rsid w:val="37321E9B"/>
    <w:rsid w:val="37371BA6"/>
    <w:rsid w:val="373B27AA"/>
    <w:rsid w:val="373E6FB2"/>
    <w:rsid w:val="37495343"/>
    <w:rsid w:val="375223CF"/>
    <w:rsid w:val="375D3FE4"/>
    <w:rsid w:val="375E1A65"/>
    <w:rsid w:val="37604F68"/>
    <w:rsid w:val="37661070"/>
    <w:rsid w:val="37724E83"/>
    <w:rsid w:val="37736187"/>
    <w:rsid w:val="3780410B"/>
    <w:rsid w:val="378309A0"/>
    <w:rsid w:val="37843EA3"/>
    <w:rsid w:val="378C4B33"/>
    <w:rsid w:val="378F5AB8"/>
    <w:rsid w:val="379344BE"/>
    <w:rsid w:val="379F0C59"/>
    <w:rsid w:val="37A543D8"/>
    <w:rsid w:val="37A7315E"/>
    <w:rsid w:val="37AE2AE9"/>
    <w:rsid w:val="37B336EE"/>
    <w:rsid w:val="37B54672"/>
    <w:rsid w:val="37B67EF6"/>
    <w:rsid w:val="37BA68FC"/>
    <w:rsid w:val="37C2178A"/>
    <w:rsid w:val="37C5270E"/>
    <w:rsid w:val="37CA3313"/>
    <w:rsid w:val="37CD4298"/>
    <w:rsid w:val="37CE559C"/>
    <w:rsid w:val="37CE779B"/>
    <w:rsid w:val="37CF521C"/>
    <w:rsid w:val="37D6042A"/>
    <w:rsid w:val="37DA6E30"/>
    <w:rsid w:val="37E62C43"/>
    <w:rsid w:val="37ED004F"/>
    <w:rsid w:val="37F5325E"/>
    <w:rsid w:val="37FD60EC"/>
    <w:rsid w:val="380D2B03"/>
    <w:rsid w:val="380F1889"/>
    <w:rsid w:val="3812280E"/>
    <w:rsid w:val="38170675"/>
    <w:rsid w:val="38196915"/>
    <w:rsid w:val="381E6620"/>
    <w:rsid w:val="381F40A2"/>
    <w:rsid w:val="382614AE"/>
    <w:rsid w:val="382A4631"/>
    <w:rsid w:val="38301DBE"/>
    <w:rsid w:val="383252C1"/>
    <w:rsid w:val="38373947"/>
    <w:rsid w:val="384A2968"/>
    <w:rsid w:val="384D38EC"/>
    <w:rsid w:val="385641FC"/>
    <w:rsid w:val="385E740A"/>
    <w:rsid w:val="38666A14"/>
    <w:rsid w:val="38674496"/>
    <w:rsid w:val="386F7324"/>
    <w:rsid w:val="387260AA"/>
    <w:rsid w:val="387821B2"/>
    <w:rsid w:val="387F1B3D"/>
    <w:rsid w:val="388075BE"/>
    <w:rsid w:val="3888244C"/>
    <w:rsid w:val="38934061"/>
    <w:rsid w:val="38984C65"/>
    <w:rsid w:val="389E23F2"/>
    <w:rsid w:val="38A36879"/>
    <w:rsid w:val="38AC7189"/>
    <w:rsid w:val="38B9599D"/>
    <w:rsid w:val="38C2132C"/>
    <w:rsid w:val="38C65B34"/>
    <w:rsid w:val="38CE09C2"/>
    <w:rsid w:val="38D00642"/>
    <w:rsid w:val="38D273C9"/>
    <w:rsid w:val="38D315C7"/>
    <w:rsid w:val="38DF66DE"/>
    <w:rsid w:val="38E85CE9"/>
    <w:rsid w:val="38EB24F1"/>
    <w:rsid w:val="38EF30F5"/>
    <w:rsid w:val="38F54FFF"/>
    <w:rsid w:val="39037B98"/>
    <w:rsid w:val="390D04A7"/>
    <w:rsid w:val="391F3C45"/>
    <w:rsid w:val="3923264B"/>
    <w:rsid w:val="392A7A57"/>
    <w:rsid w:val="393B3575"/>
    <w:rsid w:val="393C0FF6"/>
    <w:rsid w:val="39422F00"/>
    <w:rsid w:val="39440BD0"/>
    <w:rsid w:val="3948288A"/>
    <w:rsid w:val="394D348F"/>
    <w:rsid w:val="3955089B"/>
    <w:rsid w:val="3955411F"/>
    <w:rsid w:val="39573D9E"/>
    <w:rsid w:val="395A05A6"/>
    <w:rsid w:val="39623434"/>
    <w:rsid w:val="396F1445"/>
    <w:rsid w:val="397C3FDE"/>
    <w:rsid w:val="39895872"/>
    <w:rsid w:val="3997260A"/>
    <w:rsid w:val="399B1010"/>
    <w:rsid w:val="399D7D96"/>
    <w:rsid w:val="39A93BA9"/>
    <w:rsid w:val="39AB12AA"/>
    <w:rsid w:val="39AF5AB2"/>
    <w:rsid w:val="39AF7CB0"/>
    <w:rsid w:val="39B16A37"/>
    <w:rsid w:val="39B6763B"/>
    <w:rsid w:val="39BB7E3A"/>
    <w:rsid w:val="39BE4A47"/>
    <w:rsid w:val="39CA1B5F"/>
    <w:rsid w:val="39CC17DF"/>
    <w:rsid w:val="39D236E8"/>
    <w:rsid w:val="39D733F3"/>
    <w:rsid w:val="39E34C87"/>
    <w:rsid w:val="39F56226"/>
    <w:rsid w:val="39F71729"/>
    <w:rsid w:val="3A0067B6"/>
    <w:rsid w:val="3A127D55"/>
    <w:rsid w:val="3A143258"/>
    <w:rsid w:val="3A160959"/>
    <w:rsid w:val="3A1E073A"/>
    <w:rsid w:val="3A235A71"/>
    <w:rsid w:val="3A270BF4"/>
    <w:rsid w:val="3A2D6380"/>
    <w:rsid w:val="3A3B3117"/>
    <w:rsid w:val="3A400003"/>
    <w:rsid w:val="3A4F1DB8"/>
    <w:rsid w:val="3A5152BB"/>
    <w:rsid w:val="3A572A48"/>
    <w:rsid w:val="3A625555"/>
    <w:rsid w:val="3A630A59"/>
    <w:rsid w:val="3A653F5C"/>
    <w:rsid w:val="3A6D1368"/>
    <w:rsid w:val="3A6F486B"/>
    <w:rsid w:val="3A784C8D"/>
    <w:rsid w:val="3A7876F9"/>
    <w:rsid w:val="3A7909FE"/>
    <w:rsid w:val="3A7A647F"/>
    <w:rsid w:val="3A7E72AC"/>
    <w:rsid w:val="3A7F4B06"/>
    <w:rsid w:val="3A844811"/>
    <w:rsid w:val="3A864490"/>
    <w:rsid w:val="3A883217"/>
    <w:rsid w:val="3A8A2E97"/>
    <w:rsid w:val="3A8C639A"/>
    <w:rsid w:val="3A8E189D"/>
    <w:rsid w:val="3A9D7939"/>
    <w:rsid w:val="3AA1633F"/>
    <w:rsid w:val="3AA31842"/>
    <w:rsid w:val="3AB10B58"/>
    <w:rsid w:val="3AB265D9"/>
    <w:rsid w:val="3AB31ADC"/>
    <w:rsid w:val="3AB54FE0"/>
    <w:rsid w:val="3AB85F64"/>
    <w:rsid w:val="3ABD5C6F"/>
    <w:rsid w:val="3ABE36F1"/>
    <w:rsid w:val="3ACA7503"/>
    <w:rsid w:val="3ACB7183"/>
    <w:rsid w:val="3ACE5F0A"/>
    <w:rsid w:val="3AD24910"/>
    <w:rsid w:val="3AD26B0E"/>
    <w:rsid w:val="3AD65514"/>
    <w:rsid w:val="3ADB521F"/>
    <w:rsid w:val="3AE422AB"/>
    <w:rsid w:val="3AF75A49"/>
    <w:rsid w:val="3AFE2E55"/>
    <w:rsid w:val="3B013DDA"/>
    <w:rsid w:val="3B032B60"/>
    <w:rsid w:val="3B0C59EE"/>
    <w:rsid w:val="3B173D7F"/>
    <w:rsid w:val="3B2E7228"/>
    <w:rsid w:val="3B30272B"/>
    <w:rsid w:val="3B3720B6"/>
    <w:rsid w:val="3B41592B"/>
    <w:rsid w:val="3B5228DF"/>
    <w:rsid w:val="3B595AEE"/>
    <w:rsid w:val="3B5F4174"/>
    <w:rsid w:val="3B632B7A"/>
    <w:rsid w:val="3B64607D"/>
    <w:rsid w:val="3B692505"/>
    <w:rsid w:val="3B801BCA"/>
    <w:rsid w:val="3B807F2C"/>
    <w:rsid w:val="3B893FFA"/>
    <w:rsid w:val="3B95464E"/>
    <w:rsid w:val="3B957ED1"/>
    <w:rsid w:val="3BB70085"/>
    <w:rsid w:val="3BBC230F"/>
    <w:rsid w:val="3BBC450D"/>
    <w:rsid w:val="3BBD5812"/>
    <w:rsid w:val="3BC57EFE"/>
    <w:rsid w:val="3BC76121"/>
    <w:rsid w:val="3BC929B6"/>
    <w:rsid w:val="3BCA70A6"/>
    <w:rsid w:val="3BD763BC"/>
    <w:rsid w:val="3BEE5FE1"/>
    <w:rsid w:val="3BF70E6F"/>
    <w:rsid w:val="3C00035A"/>
    <w:rsid w:val="3C003CFD"/>
    <w:rsid w:val="3C12749A"/>
    <w:rsid w:val="3C1771A5"/>
    <w:rsid w:val="3C1F2841"/>
    <w:rsid w:val="3C2506B9"/>
    <w:rsid w:val="3C28163E"/>
    <w:rsid w:val="3C30580E"/>
    <w:rsid w:val="3C386F6D"/>
    <w:rsid w:val="3C3876DA"/>
    <w:rsid w:val="3C3E15E3"/>
    <w:rsid w:val="3C3E7065"/>
    <w:rsid w:val="3C4A780B"/>
    <w:rsid w:val="3C512802"/>
    <w:rsid w:val="3C582ADE"/>
    <w:rsid w:val="3C585A10"/>
    <w:rsid w:val="3C5C4417"/>
    <w:rsid w:val="3C60089E"/>
    <w:rsid w:val="3C616320"/>
    <w:rsid w:val="3C6B6C2F"/>
    <w:rsid w:val="3C815550"/>
    <w:rsid w:val="3C8C1362"/>
    <w:rsid w:val="3C8F22E7"/>
    <w:rsid w:val="3C957A74"/>
    <w:rsid w:val="3C9654F5"/>
    <w:rsid w:val="3C9D4E80"/>
    <w:rsid w:val="3CB13B21"/>
    <w:rsid w:val="3CB75A2A"/>
    <w:rsid w:val="3CC06339"/>
    <w:rsid w:val="3CC11BBD"/>
    <w:rsid w:val="3CC13DBB"/>
    <w:rsid w:val="3CC911C7"/>
    <w:rsid w:val="3CCC59CF"/>
    <w:rsid w:val="3CD31AD7"/>
    <w:rsid w:val="3CFC4E99"/>
    <w:rsid w:val="3D026DA3"/>
    <w:rsid w:val="3D19224B"/>
    <w:rsid w:val="3D1A7CCD"/>
    <w:rsid w:val="3D263ADF"/>
    <w:rsid w:val="3D284A64"/>
    <w:rsid w:val="3D363D7A"/>
    <w:rsid w:val="3D446913"/>
    <w:rsid w:val="3D464014"/>
    <w:rsid w:val="3D471A96"/>
    <w:rsid w:val="3D484B79"/>
    <w:rsid w:val="3D4D7222"/>
    <w:rsid w:val="3D4F2725"/>
    <w:rsid w:val="3D515C28"/>
    <w:rsid w:val="3D527E27"/>
    <w:rsid w:val="3D54332A"/>
    <w:rsid w:val="3D5D3C39"/>
    <w:rsid w:val="3D600441"/>
    <w:rsid w:val="3D604BBE"/>
    <w:rsid w:val="3D615EC3"/>
    <w:rsid w:val="3D6435C4"/>
    <w:rsid w:val="3D651046"/>
    <w:rsid w:val="3D6C4254"/>
    <w:rsid w:val="3D7570E2"/>
    <w:rsid w:val="3D793569"/>
    <w:rsid w:val="3D795AE8"/>
    <w:rsid w:val="3D972B19"/>
    <w:rsid w:val="3DA059A7"/>
    <w:rsid w:val="3DA120A4"/>
    <w:rsid w:val="3DA20EAA"/>
    <w:rsid w:val="3DA3692C"/>
    <w:rsid w:val="3DAD2ABF"/>
    <w:rsid w:val="3DB249C8"/>
    <w:rsid w:val="3DBC1A54"/>
    <w:rsid w:val="3DBE07DB"/>
    <w:rsid w:val="3DC0045B"/>
    <w:rsid w:val="3DC03CDE"/>
    <w:rsid w:val="3DCC1CEF"/>
    <w:rsid w:val="3DD006F5"/>
    <w:rsid w:val="3DD16176"/>
    <w:rsid w:val="3DDF5976"/>
    <w:rsid w:val="3DE06791"/>
    <w:rsid w:val="3DF641B8"/>
    <w:rsid w:val="3E0A2E58"/>
    <w:rsid w:val="3E0C2AD8"/>
    <w:rsid w:val="3E1E6276"/>
    <w:rsid w:val="3E212A7E"/>
    <w:rsid w:val="3E320799"/>
    <w:rsid w:val="3E4619B8"/>
    <w:rsid w:val="3E5809D9"/>
    <w:rsid w:val="3E582375"/>
    <w:rsid w:val="3E5E705F"/>
    <w:rsid w:val="3E6212E9"/>
    <w:rsid w:val="3E6A66F5"/>
    <w:rsid w:val="3E6B6375"/>
    <w:rsid w:val="3E730D7F"/>
    <w:rsid w:val="3E756C84"/>
    <w:rsid w:val="3E8A33A6"/>
    <w:rsid w:val="3E9165B5"/>
    <w:rsid w:val="3E98013E"/>
    <w:rsid w:val="3E9B6EC4"/>
    <w:rsid w:val="3EA00DCD"/>
    <w:rsid w:val="3EA31D52"/>
    <w:rsid w:val="3EA55255"/>
    <w:rsid w:val="3EA93C5B"/>
    <w:rsid w:val="3EBA1977"/>
    <w:rsid w:val="3EBB73F9"/>
    <w:rsid w:val="3EC42287"/>
    <w:rsid w:val="3ED2701E"/>
    <w:rsid w:val="3EDE66B4"/>
    <w:rsid w:val="3EE13DB5"/>
    <w:rsid w:val="3EE811C2"/>
    <w:rsid w:val="3EEC40BD"/>
    <w:rsid w:val="3EED0ECD"/>
    <w:rsid w:val="3EF40857"/>
    <w:rsid w:val="3EF52A56"/>
    <w:rsid w:val="3EF562D9"/>
    <w:rsid w:val="3F043070"/>
    <w:rsid w:val="3F063FF5"/>
    <w:rsid w:val="3F233925"/>
    <w:rsid w:val="3F235B23"/>
    <w:rsid w:val="3F26232B"/>
    <w:rsid w:val="3F2B67B3"/>
    <w:rsid w:val="3F34383F"/>
    <w:rsid w:val="3F3512C1"/>
    <w:rsid w:val="3F395AC9"/>
    <w:rsid w:val="3F3A5749"/>
    <w:rsid w:val="3F3D1F51"/>
    <w:rsid w:val="3F4D6968"/>
    <w:rsid w:val="3F59277A"/>
    <w:rsid w:val="3F5A01FC"/>
    <w:rsid w:val="3F610607"/>
    <w:rsid w:val="3F6F01A1"/>
    <w:rsid w:val="3F7755AE"/>
    <w:rsid w:val="3F7B3FB4"/>
    <w:rsid w:val="3F846E42"/>
    <w:rsid w:val="3F8B2050"/>
    <w:rsid w:val="3F94295F"/>
    <w:rsid w:val="3F9470DC"/>
    <w:rsid w:val="3F981365"/>
    <w:rsid w:val="3F996DE7"/>
    <w:rsid w:val="3F9A0FE5"/>
    <w:rsid w:val="3F9C44E8"/>
    <w:rsid w:val="3F9E326F"/>
    <w:rsid w:val="3FA110CA"/>
    <w:rsid w:val="3FA85D7D"/>
    <w:rsid w:val="3FA937FE"/>
    <w:rsid w:val="3FAA4B03"/>
    <w:rsid w:val="3FAF0F8B"/>
    <w:rsid w:val="3FB60916"/>
    <w:rsid w:val="3FBA151A"/>
    <w:rsid w:val="3FBA731C"/>
    <w:rsid w:val="3FE710E5"/>
    <w:rsid w:val="3FEB7AEB"/>
    <w:rsid w:val="3FFD6B0B"/>
    <w:rsid w:val="4007584D"/>
    <w:rsid w:val="400F6A26"/>
    <w:rsid w:val="40111F29"/>
    <w:rsid w:val="401279AA"/>
    <w:rsid w:val="401541B2"/>
    <w:rsid w:val="40185137"/>
    <w:rsid w:val="40192BB8"/>
    <w:rsid w:val="401D5D3B"/>
    <w:rsid w:val="402121C3"/>
    <w:rsid w:val="40217FC5"/>
    <w:rsid w:val="40277950"/>
    <w:rsid w:val="402A5051"/>
    <w:rsid w:val="40326D83"/>
    <w:rsid w:val="403E1AF3"/>
    <w:rsid w:val="404D430C"/>
    <w:rsid w:val="40543C97"/>
    <w:rsid w:val="40547646"/>
    <w:rsid w:val="405E2028"/>
    <w:rsid w:val="4060552B"/>
    <w:rsid w:val="406477B5"/>
    <w:rsid w:val="406519B3"/>
    <w:rsid w:val="40704FDC"/>
    <w:rsid w:val="40857CE9"/>
    <w:rsid w:val="40946C7F"/>
    <w:rsid w:val="40985685"/>
    <w:rsid w:val="409F0893"/>
    <w:rsid w:val="40B9143D"/>
    <w:rsid w:val="40BA2742"/>
    <w:rsid w:val="40BB4940"/>
    <w:rsid w:val="40C355D0"/>
    <w:rsid w:val="40C50AD3"/>
    <w:rsid w:val="40C761D4"/>
    <w:rsid w:val="40C916D7"/>
    <w:rsid w:val="40CA29DC"/>
    <w:rsid w:val="40DA73F3"/>
    <w:rsid w:val="40DE3BFB"/>
    <w:rsid w:val="40E12601"/>
    <w:rsid w:val="40E35B04"/>
    <w:rsid w:val="410150B4"/>
    <w:rsid w:val="41034D34"/>
    <w:rsid w:val="410427B6"/>
    <w:rsid w:val="411701D9"/>
    <w:rsid w:val="41177258"/>
    <w:rsid w:val="4119275B"/>
    <w:rsid w:val="411C36E0"/>
    <w:rsid w:val="4124436F"/>
    <w:rsid w:val="412907F7"/>
    <w:rsid w:val="412D13FC"/>
    <w:rsid w:val="41333305"/>
    <w:rsid w:val="413E4F19"/>
    <w:rsid w:val="413F299B"/>
    <w:rsid w:val="4142391F"/>
    <w:rsid w:val="414C1CB1"/>
    <w:rsid w:val="41554B3E"/>
    <w:rsid w:val="415C66C8"/>
    <w:rsid w:val="41643AD4"/>
    <w:rsid w:val="4166285A"/>
    <w:rsid w:val="417E62D1"/>
    <w:rsid w:val="41876612"/>
    <w:rsid w:val="4191369F"/>
    <w:rsid w:val="41932425"/>
    <w:rsid w:val="41957B26"/>
    <w:rsid w:val="4199432E"/>
    <w:rsid w:val="419B52B3"/>
    <w:rsid w:val="419C2D34"/>
    <w:rsid w:val="41BB7D66"/>
    <w:rsid w:val="41C9127A"/>
    <w:rsid w:val="41C9707C"/>
    <w:rsid w:val="41CA257F"/>
    <w:rsid w:val="41CB0000"/>
    <w:rsid w:val="41CD0732"/>
    <w:rsid w:val="41CF6A07"/>
    <w:rsid w:val="41D04488"/>
    <w:rsid w:val="41D50910"/>
    <w:rsid w:val="41D81894"/>
    <w:rsid w:val="42020949"/>
    <w:rsid w:val="420E64EB"/>
    <w:rsid w:val="42105272"/>
    <w:rsid w:val="42124EF1"/>
    <w:rsid w:val="42161379"/>
    <w:rsid w:val="421C3283"/>
    <w:rsid w:val="42220A0F"/>
    <w:rsid w:val="42236491"/>
    <w:rsid w:val="42332EA8"/>
    <w:rsid w:val="42521DD1"/>
    <w:rsid w:val="425E756F"/>
    <w:rsid w:val="425F4FF1"/>
    <w:rsid w:val="4263727A"/>
    <w:rsid w:val="42646EFA"/>
    <w:rsid w:val="426B4687"/>
    <w:rsid w:val="42702D0D"/>
    <w:rsid w:val="42800DA9"/>
    <w:rsid w:val="42802FA7"/>
    <w:rsid w:val="42810A28"/>
    <w:rsid w:val="428264AA"/>
    <w:rsid w:val="428419AD"/>
    <w:rsid w:val="42846080"/>
    <w:rsid w:val="428B1338"/>
    <w:rsid w:val="428D483B"/>
    <w:rsid w:val="428E22BD"/>
    <w:rsid w:val="429057C0"/>
    <w:rsid w:val="42924546"/>
    <w:rsid w:val="42B26FF9"/>
    <w:rsid w:val="42BA7C89"/>
    <w:rsid w:val="42BB570A"/>
    <w:rsid w:val="42BE4111"/>
    <w:rsid w:val="42BF630F"/>
    <w:rsid w:val="42C8119D"/>
    <w:rsid w:val="42D0402B"/>
    <w:rsid w:val="42D17381"/>
    <w:rsid w:val="42D32DB1"/>
    <w:rsid w:val="42D40833"/>
    <w:rsid w:val="42DA722D"/>
    <w:rsid w:val="42DB23BC"/>
    <w:rsid w:val="42ED5B59"/>
    <w:rsid w:val="42EE4A4E"/>
    <w:rsid w:val="42EF48E0"/>
    <w:rsid w:val="42F37AEE"/>
    <w:rsid w:val="42FA2C71"/>
    <w:rsid w:val="42FB06F2"/>
    <w:rsid w:val="430125FC"/>
    <w:rsid w:val="430B098D"/>
    <w:rsid w:val="43112896"/>
    <w:rsid w:val="43212B30"/>
    <w:rsid w:val="432205B2"/>
    <w:rsid w:val="432824BB"/>
    <w:rsid w:val="432D323D"/>
    <w:rsid w:val="43316037"/>
    <w:rsid w:val="433B14DC"/>
    <w:rsid w:val="433C115C"/>
    <w:rsid w:val="433D6BDD"/>
    <w:rsid w:val="434268E8"/>
    <w:rsid w:val="4343436A"/>
    <w:rsid w:val="434A0471"/>
    <w:rsid w:val="434B5EF3"/>
    <w:rsid w:val="434D13F6"/>
    <w:rsid w:val="434E26FB"/>
    <w:rsid w:val="43505BFE"/>
    <w:rsid w:val="43544604"/>
    <w:rsid w:val="43561D06"/>
    <w:rsid w:val="435E7112"/>
    <w:rsid w:val="437A6A42"/>
    <w:rsid w:val="4389125B"/>
    <w:rsid w:val="438B2560"/>
    <w:rsid w:val="438F69E7"/>
    <w:rsid w:val="439D0636"/>
    <w:rsid w:val="439D247A"/>
    <w:rsid w:val="43A825C9"/>
    <w:rsid w:val="43B655A2"/>
    <w:rsid w:val="43BB52AD"/>
    <w:rsid w:val="43C03933"/>
    <w:rsid w:val="43C57DBB"/>
    <w:rsid w:val="43C6583D"/>
    <w:rsid w:val="43D55E57"/>
    <w:rsid w:val="43D8485D"/>
    <w:rsid w:val="43D922DF"/>
    <w:rsid w:val="43F15787"/>
    <w:rsid w:val="43F22D5E"/>
    <w:rsid w:val="44043123"/>
    <w:rsid w:val="44092E2E"/>
    <w:rsid w:val="4409502C"/>
    <w:rsid w:val="441930C8"/>
    <w:rsid w:val="4431076F"/>
    <w:rsid w:val="44314EEC"/>
    <w:rsid w:val="4432296D"/>
    <w:rsid w:val="443800FA"/>
    <w:rsid w:val="44464E91"/>
    <w:rsid w:val="445A3B32"/>
    <w:rsid w:val="445E2538"/>
    <w:rsid w:val="446134BD"/>
    <w:rsid w:val="446E4D51"/>
    <w:rsid w:val="44757F5F"/>
    <w:rsid w:val="44767BDF"/>
    <w:rsid w:val="44786965"/>
    <w:rsid w:val="447C1AE8"/>
    <w:rsid w:val="448004EE"/>
    <w:rsid w:val="44815F70"/>
    <w:rsid w:val="448239F1"/>
    <w:rsid w:val="448736FC"/>
    <w:rsid w:val="4490658A"/>
    <w:rsid w:val="44A6072E"/>
    <w:rsid w:val="44B40D48"/>
    <w:rsid w:val="44BB4E50"/>
    <w:rsid w:val="44BD0353"/>
    <w:rsid w:val="44BE2F32"/>
    <w:rsid w:val="44C02FE9"/>
    <w:rsid w:val="44C766E4"/>
    <w:rsid w:val="44C84166"/>
    <w:rsid w:val="44D6347B"/>
    <w:rsid w:val="44D74780"/>
    <w:rsid w:val="44D91E82"/>
    <w:rsid w:val="44DB5385"/>
    <w:rsid w:val="44DD0888"/>
    <w:rsid w:val="44DF1B8D"/>
    <w:rsid w:val="44DF3D8B"/>
    <w:rsid w:val="44E32791"/>
    <w:rsid w:val="44EB3421"/>
    <w:rsid w:val="44EE43A5"/>
    <w:rsid w:val="44F84CB5"/>
    <w:rsid w:val="44FA5C39"/>
    <w:rsid w:val="45011D41"/>
    <w:rsid w:val="450774CE"/>
    <w:rsid w:val="450A65CB"/>
    <w:rsid w:val="45130D62"/>
    <w:rsid w:val="45177768"/>
    <w:rsid w:val="45210077"/>
    <w:rsid w:val="452F6CEB"/>
    <w:rsid w:val="45302890"/>
    <w:rsid w:val="453F2EAB"/>
    <w:rsid w:val="45412B2B"/>
    <w:rsid w:val="454E1E40"/>
    <w:rsid w:val="4556724D"/>
    <w:rsid w:val="455901D1"/>
    <w:rsid w:val="455D245B"/>
    <w:rsid w:val="45610E61"/>
    <w:rsid w:val="4568626D"/>
    <w:rsid w:val="456F157F"/>
    <w:rsid w:val="457110FB"/>
    <w:rsid w:val="45742080"/>
    <w:rsid w:val="457A1A0B"/>
    <w:rsid w:val="457B748C"/>
    <w:rsid w:val="457D2990"/>
    <w:rsid w:val="457E0411"/>
    <w:rsid w:val="459A22C0"/>
    <w:rsid w:val="45A91255"/>
    <w:rsid w:val="45AD34DF"/>
    <w:rsid w:val="45B71870"/>
    <w:rsid w:val="45B75FEC"/>
    <w:rsid w:val="45B83A6E"/>
    <w:rsid w:val="45C168FC"/>
    <w:rsid w:val="45C9178A"/>
    <w:rsid w:val="45CA2A8F"/>
    <w:rsid w:val="45DE3CAE"/>
    <w:rsid w:val="45E510BA"/>
    <w:rsid w:val="45E745BD"/>
    <w:rsid w:val="45EC42C8"/>
    <w:rsid w:val="45EE3F48"/>
    <w:rsid w:val="45EF19CA"/>
    <w:rsid w:val="45F57156"/>
    <w:rsid w:val="460460EC"/>
    <w:rsid w:val="460E227E"/>
    <w:rsid w:val="46101EFE"/>
    <w:rsid w:val="46113203"/>
    <w:rsid w:val="4623311D"/>
    <w:rsid w:val="462C3A2D"/>
    <w:rsid w:val="462D14AE"/>
    <w:rsid w:val="46300235"/>
    <w:rsid w:val="46343D8A"/>
    <w:rsid w:val="463B4047"/>
    <w:rsid w:val="4649335D"/>
    <w:rsid w:val="46494FE1"/>
    <w:rsid w:val="464F2CE8"/>
    <w:rsid w:val="46694EAD"/>
    <w:rsid w:val="466B4B97"/>
    <w:rsid w:val="466F101E"/>
    <w:rsid w:val="46737A24"/>
    <w:rsid w:val="467960AA"/>
    <w:rsid w:val="468B1848"/>
    <w:rsid w:val="468D05CE"/>
    <w:rsid w:val="469E62EA"/>
    <w:rsid w:val="469F0C46"/>
    <w:rsid w:val="46AA20FD"/>
    <w:rsid w:val="46AE701E"/>
    <w:rsid w:val="46B53D11"/>
    <w:rsid w:val="46B57B05"/>
    <w:rsid w:val="46B71412"/>
    <w:rsid w:val="46B92717"/>
    <w:rsid w:val="46BE4621"/>
    <w:rsid w:val="46CE1038"/>
    <w:rsid w:val="46CE7F1B"/>
    <w:rsid w:val="46D25840"/>
    <w:rsid w:val="46D973C9"/>
    <w:rsid w:val="46DB614F"/>
    <w:rsid w:val="46E22257"/>
    <w:rsid w:val="46E37CD8"/>
    <w:rsid w:val="46F25D74"/>
    <w:rsid w:val="46F459F4"/>
    <w:rsid w:val="46F56CF9"/>
    <w:rsid w:val="46FA78FD"/>
    <w:rsid w:val="46FB537F"/>
    <w:rsid w:val="46FC2E01"/>
    <w:rsid w:val="46FD6304"/>
    <w:rsid w:val="46FE1B87"/>
    <w:rsid w:val="4702058D"/>
    <w:rsid w:val="471362A9"/>
    <w:rsid w:val="471A14B7"/>
    <w:rsid w:val="472E5B48"/>
    <w:rsid w:val="472F5549"/>
    <w:rsid w:val="473C166C"/>
    <w:rsid w:val="47473280"/>
    <w:rsid w:val="4748547E"/>
    <w:rsid w:val="474E4E09"/>
    <w:rsid w:val="4757351A"/>
    <w:rsid w:val="475B1F20"/>
    <w:rsid w:val="475E7622"/>
    <w:rsid w:val="475F50A3"/>
    <w:rsid w:val="476218AB"/>
    <w:rsid w:val="476A6CB8"/>
    <w:rsid w:val="476D7C3C"/>
    <w:rsid w:val="47745049"/>
    <w:rsid w:val="47775FCD"/>
    <w:rsid w:val="47847862"/>
    <w:rsid w:val="478E1476"/>
    <w:rsid w:val="478F6EF7"/>
    <w:rsid w:val="4793207A"/>
    <w:rsid w:val="47A30116"/>
    <w:rsid w:val="47AE3F29"/>
    <w:rsid w:val="47AF6127"/>
    <w:rsid w:val="47BA7D3C"/>
    <w:rsid w:val="47BB79BB"/>
    <w:rsid w:val="47BD2EBF"/>
    <w:rsid w:val="47CD0F5B"/>
    <w:rsid w:val="47CF445E"/>
    <w:rsid w:val="47D01EDF"/>
    <w:rsid w:val="47D60202"/>
    <w:rsid w:val="47D927EF"/>
    <w:rsid w:val="47DA0270"/>
    <w:rsid w:val="47E2567D"/>
    <w:rsid w:val="47E56601"/>
    <w:rsid w:val="47E82E09"/>
    <w:rsid w:val="47FC6227"/>
    <w:rsid w:val="48015F32"/>
    <w:rsid w:val="4809553C"/>
    <w:rsid w:val="480C42C3"/>
    <w:rsid w:val="481C0CDA"/>
    <w:rsid w:val="481D1FDE"/>
    <w:rsid w:val="481F1C5E"/>
    <w:rsid w:val="48285DF1"/>
    <w:rsid w:val="482D0EBE"/>
    <w:rsid w:val="48350A03"/>
    <w:rsid w:val="48365107"/>
    <w:rsid w:val="483D7354"/>
    <w:rsid w:val="484D05AF"/>
    <w:rsid w:val="484E27AE"/>
    <w:rsid w:val="485324B9"/>
    <w:rsid w:val="485830BD"/>
    <w:rsid w:val="485B78C5"/>
    <w:rsid w:val="48632753"/>
    <w:rsid w:val="48686BDB"/>
    <w:rsid w:val="486D77DF"/>
    <w:rsid w:val="487859F2"/>
    <w:rsid w:val="48786E75"/>
    <w:rsid w:val="487D32FD"/>
    <w:rsid w:val="48942F22"/>
    <w:rsid w:val="48AB2B47"/>
    <w:rsid w:val="48B25D55"/>
    <w:rsid w:val="48B53457"/>
    <w:rsid w:val="48BD0863"/>
    <w:rsid w:val="48BF3D66"/>
    <w:rsid w:val="48BF75E9"/>
    <w:rsid w:val="48C17269"/>
    <w:rsid w:val="48C301EE"/>
    <w:rsid w:val="48C536F1"/>
    <w:rsid w:val="48D44F6D"/>
    <w:rsid w:val="48DD28EF"/>
    <w:rsid w:val="48DD6B99"/>
    <w:rsid w:val="48E2521F"/>
    <w:rsid w:val="48E716A7"/>
    <w:rsid w:val="48E73F1E"/>
    <w:rsid w:val="48EC13B2"/>
    <w:rsid w:val="48F1583A"/>
    <w:rsid w:val="48F54240"/>
    <w:rsid w:val="48FA7BF0"/>
    <w:rsid w:val="48FD70CE"/>
    <w:rsid w:val="48FE3445"/>
    <w:rsid w:val="48FE4B50"/>
    <w:rsid w:val="490F4DEA"/>
    <w:rsid w:val="491B1F01"/>
    <w:rsid w:val="4922188C"/>
    <w:rsid w:val="49244D8F"/>
    <w:rsid w:val="492A0E97"/>
    <w:rsid w:val="492A3415"/>
    <w:rsid w:val="493078C5"/>
    <w:rsid w:val="493375A8"/>
    <w:rsid w:val="493A6F33"/>
    <w:rsid w:val="493C6BB3"/>
    <w:rsid w:val="494B0EDE"/>
    <w:rsid w:val="494D0152"/>
    <w:rsid w:val="495F5E6E"/>
    <w:rsid w:val="4961356F"/>
    <w:rsid w:val="496557F9"/>
    <w:rsid w:val="497C541E"/>
    <w:rsid w:val="49824086"/>
    <w:rsid w:val="499C7ED1"/>
    <w:rsid w:val="499D11D6"/>
    <w:rsid w:val="49A068D7"/>
    <w:rsid w:val="49C2488D"/>
    <w:rsid w:val="49C35B92"/>
    <w:rsid w:val="49C74598"/>
    <w:rsid w:val="49C76797"/>
    <w:rsid w:val="49CE19A5"/>
    <w:rsid w:val="49D1292A"/>
    <w:rsid w:val="49F84D68"/>
    <w:rsid w:val="49F927E9"/>
    <w:rsid w:val="49FD6C71"/>
    <w:rsid w:val="4A0B2C59"/>
    <w:rsid w:val="4A0E278E"/>
    <w:rsid w:val="4A10240E"/>
    <w:rsid w:val="4A152119"/>
    <w:rsid w:val="4A161D99"/>
    <w:rsid w:val="4A17781B"/>
    <w:rsid w:val="4A1B62D4"/>
    <w:rsid w:val="4A2758B7"/>
    <w:rsid w:val="4A2C1D3E"/>
    <w:rsid w:val="4A2E7440"/>
    <w:rsid w:val="4A3161C6"/>
    <w:rsid w:val="4A3E54DC"/>
    <w:rsid w:val="4A3F2F5D"/>
    <w:rsid w:val="4A4C0075"/>
    <w:rsid w:val="4A4E3578"/>
    <w:rsid w:val="4A4F0FFA"/>
    <w:rsid w:val="4A5E3812"/>
    <w:rsid w:val="4A637C9A"/>
    <w:rsid w:val="4A6F5CAB"/>
    <w:rsid w:val="4A7459B6"/>
    <w:rsid w:val="4A8C77D9"/>
    <w:rsid w:val="4A8D525B"/>
    <w:rsid w:val="4A8E6560"/>
    <w:rsid w:val="4A924F66"/>
    <w:rsid w:val="4A944BE6"/>
    <w:rsid w:val="4A9D32F7"/>
    <w:rsid w:val="4AAE1013"/>
    <w:rsid w:val="4AB2329C"/>
    <w:rsid w:val="4AB5641F"/>
    <w:rsid w:val="4AB63EA1"/>
    <w:rsid w:val="4AD04A4B"/>
    <w:rsid w:val="4AD81E57"/>
    <w:rsid w:val="4AE72472"/>
    <w:rsid w:val="4AF074FE"/>
    <w:rsid w:val="4AFD4615"/>
    <w:rsid w:val="4B01301B"/>
    <w:rsid w:val="4B020A9D"/>
    <w:rsid w:val="4B051A22"/>
    <w:rsid w:val="4B1132B6"/>
    <w:rsid w:val="4B120D37"/>
    <w:rsid w:val="4B1B7449"/>
    <w:rsid w:val="4B1D7754"/>
    <w:rsid w:val="4B357FF2"/>
    <w:rsid w:val="4B3621F1"/>
    <w:rsid w:val="4B3734F6"/>
    <w:rsid w:val="4B390BF7"/>
    <w:rsid w:val="4B3B6F46"/>
    <w:rsid w:val="4B3E0902"/>
    <w:rsid w:val="4B3F2B00"/>
    <w:rsid w:val="4B410D6E"/>
    <w:rsid w:val="4B465D0E"/>
    <w:rsid w:val="4B4A6425"/>
    <w:rsid w:val="4B521B21"/>
    <w:rsid w:val="4B545024"/>
    <w:rsid w:val="4B554CA4"/>
    <w:rsid w:val="4B573A2A"/>
    <w:rsid w:val="4B596F2D"/>
    <w:rsid w:val="4B5E33B5"/>
    <w:rsid w:val="4B61433A"/>
    <w:rsid w:val="4B722A08"/>
    <w:rsid w:val="4B7E16EB"/>
    <w:rsid w:val="4B7E5E68"/>
    <w:rsid w:val="4B8435F5"/>
    <w:rsid w:val="4B8E6103"/>
    <w:rsid w:val="4B9F639D"/>
    <w:rsid w:val="4BA24DA3"/>
    <w:rsid w:val="4BA86CAC"/>
    <w:rsid w:val="4BAA5A33"/>
    <w:rsid w:val="4BAE0BB6"/>
    <w:rsid w:val="4BB275BC"/>
    <w:rsid w:val="4BB348A2"/>
    <w:rsid w:val="4BB42ABF"/>
    <w:rsid w:val="4BB73A44"/>
    <w:rsid w:val="4BC42D59"/>
    <w:rsid w:val="4BCE6EEC"/>
    <w:rsid w:val="4BD71D7A"/>
    <w:rsid w:val="4BDA0780"/>
    <w:rsid w:val="4BE1398E"/>
    <w:rsid w:val="4BE41090"/>
    <w:rsid w:val="4BE95517"/>
    <w:rsid w:val="4BF23C29"/>
    <w:rsid w:val="4BF957B2"/>
    <w:rsid w:val="4BFD41B8"/>
    <w:rsid w:val="4BFE1C3A"/>
    <w:rsid w:val="4C020640"/>
    <w:rsid w:val="4C07034B"/>
    <w:rsid w:val="4C0C47D3"/>
    <w:rsid w:val="4C0D2254"/>
    <w:rsid w:val="4C13635C"/>
    <w:rsid w:val="4C193AE8"/>
    <w:rsid w:val="4C1A5CE7"/>
    <w:rsid w:val="4C1B3768"/>
    <w:rsid w:val="4C1E46ED"/>
    <w:rsid w:val="4C226976"/>
    <w:rsid w:val="4C244078"/>
    <w:rsid w:val="4C2D6F06"/>
    <w:rsid w:val="4C30370D"/>
    <w:rsid w:val="4C323572"/>
    <w:rsid w:val="4C333199"/>
    <w:rsid w:val="4C380B1A"/>
    <w:rsid w:val="4C3D33C5"/>
    <w:rsid w:val="4C3D4FA2"/>
    <w:rsid w:val="4C4B55BC"/>
    <w:rsid w:val="4C524F47"/>
    <w:rsid w:val="4C56394D"/>
    <w:rsid w:val="4C5E2F58"/>
    <w:rsid w:val="4C617760"/>
    <w:rsid w:val="4C6251E1"/>
    <w:rsid w:val="4C644E61"/>
    <w:rsid w:val="4C6A25EE"/>
    <w:rsid w:val="4C6A6D6A"/>
    <w:rsid w:val="4C7044F7"/>
    <w:rsid w:val="4C713C89"/>
    <w:rsid w:val="4C791583"/>
    <w:rsid w:val="4C7E128E"/>
    <w:rsid w:val="4C855396"/>
    <w:rsid w:val="4C862E17"/>
    <w:rsid w:val="4C89761F"/>
    <w:rsid w:val="4C8A50A1"/>
    <w:rsid w:val="4C966935"/>
    <w:rsid w:val="4C9A7CC7"/>
    <w:rsid w:val="4CAF785F"/>
    <w:rsid w:val="4CB052E1"/>
    <w:rsid w:val="4CB14F60"/>
    <w:rsid w:val="4CD90263"/>
    <w:rsid w:val="4CF15D4A"/>
    <w:rsid w:val="4CF237CB"/>
    <w:rsid w:val="4CF3124D"/>
    <w:rsid w:val="4CF93156"/>
    <w:rsid w:val="4CFE5060"/>
    <w:rsid w:val="4D123D00"/>
    <w:rsid w:val="4D131782"/>
    <w:rsid w:val="4D147203"/>
    <w:rsid w:val="4D1C4610"/>
    <w:rsid w:val="4D1D5914"/>
    <w:rsid w:val="4D295EA4"/>
    <w:rsid w:val="4D3C70C3"/>
    <w:rsid w:val="4D4344CF"/>
    <w:rsid w:val="4D444A85"/>
    <w:rsid w:val="4D465454"/>
    <w:rsid w:val="4D492199"/>
    <w:rsid w:val="4D4941DA"/>
    <w:rsid w:val="4D505D63"/>
    <w:rsid w:val="4D5137E5"/>
    <w:rsid w:val="4D5F637E"/>
    <w:rsid w:val="4D605FFE"/>
    <w:rsid w:val="4D6E0B97"/>
    <w:rsid w:val="4D7E6C33"/>
    <w:rsid w:val="4D802136"/>
    <w:rsid w:val="4D804334"/>
    <w:rsid w:val="4D8E364A"/>
    <w:rsid w:val="4D9103F5"/>
    <w:rsid w:val="4D940DD6"/>
    <w:rsid w:val="4D9D5E63"/>
    <w:rsid w:val="4DA64574"/>
    <w:rsid w:val="4DA87A77"/>
    <w:rsid w:val="4DAD60FD"/>
    <w:rsid w:val="4DB33889"/>
    <w:rsid w:val="4DB60F8B"/>
    <w:rsid w:val="4DB72290"/>
    <w:rsid w:val="4DB87D11"/>
    <w:rsid w:val="4DC61225"/>
    <w:rsid w:val="4DCF5FFB"/>
    <w:rsid w:val="4DD10FB2"/>
    <w:rsid w:val="4DD208BB"/>
    <w:rsid w:val="4DD51840"/>
    <w:rsid w:val="4DD90246"/>
    <w:rsid w:val="4DE74FDD"/>
    <w:rsid w:val="4DF777F6"/>
    <w:rsid w:val="4DFA3FFE"/>
    <w:rsid w:val="4DFC7501"/>
    <w:rsid w:val="4DFD7181"/>
    <w:rsid w:val="4DFF0486"/>
    <w:rsid w:val="4DFF1C65"/>
    <w:rsid w:val="4E04398E"/>
    <w:rsid w:val="4E080D95"/>
    <w:rsid w:val="4E087FAC"/>
    <w:rsid w:val="4E0A0A15"/>
    <w:rsid w:val="4E141324"/>
    <w:rsid w:val="4E1C1FB4"/>
    <w:rsid w:val="4E1C41B2"/>
    <w:rsid w:val="4E20643C"/>
    <w:rsid w:val="4E2528C4"/>
    <w:rsid w:val="4E287FC5"/>
    <w:rsid w:val="4E2912CA"/>
    <w:rsid w:val="4E2A6D4B"/>
    <w:rsid w:val="4E2B0F4A"/>
    <w:rsid w:val="4E3450DC"/>
    <w:rsid w:val="4E352B5E"/>
    <w:rsid w:val="4E481B7F"/>
    <w:rsid w:val="4E4862FB"/>
    <w:rsid w:val="4E4A5082"/>
    <w:rsid w:val="4E4B7280"/>
    <w:rsid w:val="4E5D62A1"/>
    <w:rsid w:val="4E5E3D22"/>
    <w:rsid w:val="4E645C2C"/>
    <w:rsid w:val="4E676BB0"/>
    <w:rsid w:val="4E6920B3"/>
    <w:rsid w:val="4E745EC6"/>
    <w:rsid w:val="4E7E09D4"/>
    <w:rsid w:val="4E8925E8"/>
    <w:rsid w:val="4E901F73"/>
    <w:rsid w:val="4E921BF3"/>
    <w:rsid w:val="4E963E7C"/>
    <w:rsid w:val="4EA0220D"/>
    <w:rsid w:val="4EA64116"/>
    <w:rsid w:val="4EB643B1"/>
    <w:rsid w:val="4EB95335"/>
    <w:rsid w:val="4EBA0BB9"/>
    <w:rsid w:val="4EBD3D3C"/>
    <w:rsid w:val="4ECD1DD8"/>
    <w:rsid w:val="4ECF74D9"/>
    <w:rsid w:val="4ED41763"/>
    <w:rsid w:val="4ED66E64"/>
    <w:rsid w:val="4EE264FA"/>
    <w:rsid w:val="4EEA6837"/>
    <w:rsid w:val="4EEC6E09"/>
    <w:rsid w:val="4EF241A3"/>
    <w:rsid w:val="4EF6519A"/>
    <w:rsid w:val="4EF9289C"/>
    <w:rsid w:val="4EF9611F"/>
    <w:rsid w:val="4EFD4B25"/>
    <w:rsid w:val="4EFE25A7"/>
    <w:rsid w:val="4F020FAD"/>
    <w:rsid w:val="4F0267AB"/>
    <w:rsid w:val="4F0444B0"/>
    <w:rsid w:val="4F0F2043"/>
    <w:rsid w:val="4F1A6654"/>
    <w:rsid w:val="4F1F055D"/>
    <w:rsid w:val="4F205FDF"/>
    <w:rsid w:val="4F211862"/>
    <w:rsid w:val="4F375C04"/>
    <w:rsid w:val="4F3A6B88"/>
    <w:rsid w:val="4F400A92"/>
    <w:rsid w:val="4F481721"/>
    <w:rsid w:val="4F4B6E23"/>
    <w:rsid w:val="4F4C48A4"/>
    <w:rsid w:val="4F4F5F86"/>
    <w:rsid w:val="4F5706B7"/>
    <w:rsid w:val="4F593BBA"/>
    <w:rsid w:val="4F5C03C2"/>
    <w:rsid w:val="4F5F1347"/>
    <w:rsid w:val="4F691C56"/>
    <w:rsid w:val="4F7769ED"/>
    <w:rsid w:val="4F787CF2"/>
    <w:rsid w:val="4F836083"/>
    <w:rsid w:val="4F874A89"/>
    <w:rsid w:val="4F8F4094"/>
    <w:rsid w:val="4F92089C"/>
    <w:rsid w:val="4F9827A5"/>
    <w:rsid w:val="4F9A2425"/>
    <w:rsid w:val="4FA7173B"/>
    <w:rsid w:val="4FB30DD1"/>
    <w:rsid w:val="4FB46852"/>
    <w:rsid w:val="4FB664D2"/>
    <w:rsid w:val="4FCC3EF9"/>
    <w:rsid w:val="4FCF4E7E"/>
    <w:rsid w:val="4FD7228A"/>
    <w:rsid w:val="4FD87D0C"/>
    <w:rsid w:val="4FDE7696"/>
    <w:rsid w:val="4FE83829"/>
    <w:rsid w:val="4FE87FA6"/>
    <w:rsid w:val="4FF53084"/>
    <w:rsid w:val="4FF86042"/>
    <w:rsid w:val="4FFA6FC7"/>
    <w:rsid w:val="4FFE214A"/>
    <w:rsid w:val="4FFE59CD"/>
    <w:rsid w:val="500130CE"/>
    <w:rsid w:val="500478D6"/>
    <w:rsid w:val="50082A59"/>
    <w:rsid w:val="500862DC"/>
    <w:rsid w:val="50093D5E"/>
    <w:rsid w:val="50120DEA"/>
    <w:rsid w:val="50182CF3"/>
    <w:rsid w:val="502245E9"/>
    <w:rsid w:val="50242389"/>
    <w:rsid w:val="503C7A30"/>
    <w:rsid w:val="503C7C9C"/>
    <w:rsid w:val="50465DC1"/>
    <w:rsid w:val="504B2249"/>
    <w:rsid w:val="504E2942"/>
    <w:rsid w:val="505179D5"/>
    <w:rsid w:val="505A4A62"/>
    <w:rsid w:val="50656676"/>
    <w:rsid w:val="50701184"/>
    <w:rsid w:val="507A2D98"/>
    <w:rsid w:val="508D664E"/>
    <w:rsid w:val="508F3C37"/>
    <w:rsid w:val="5091713A"/>
    <w:rsid w:val="50982348"/>
    <w:rsid w:val="50A151D6"/>
    <w:rsid w:val="50A22C57"/>
    <w:rsid w:val="50A925E2"/>
    <w:rsid w:val="50AA5AE5"/>
    <w:rsid w:val="50B15470"/>
    <w:rsid w:val="50B4752B"/>
    <w:rsid w:val="50B618F8"/>
    <w:rsid w:val="50B6517B"/>
    <w:rsid w:val="50C44491"/>
    <w:rsid w:val="50C54111"/>
    <w:rsid w:val="50CA639A"/>
    <w:rsid w:val="50CC731F"/>
    <w:rsid w:val="50DD75B9"/>
    <w:rsid w:val="50DF4CBB"/>
    <w:rsid w:val="50E7594A"/>
    <w:rsid w:val="50EC1DD2"/>
    <w:rsid w:val="50EE1A52"/>
    <w:rsid w:val="50F413DD"/>
    <w:rsid w:val="51122012"/>
    <w:rsid w:val="51186119"/>
    <w:rsid w:val="511F1327"/>
    <w:rsid w:val="51203526"/>
    <w:rsid w:val="51210FA7"/>
    <w:rsid w:val="512344AA"/>
    <w:rsid w:val="513534CB"/>
    <w:rsid w:val="514A436A"/>
    <w:rsid w:val="514E2D70"/>
    <w:rsid w:val="51517578"/>
    <w:rsid w:val="51594984"/>
    <w:rsid w:val="51640797"/>
    <w:rsid w:val="516B0122"/>
    <w:rsid w:val="5171202B"/>
    <w:rsid w:val="517B293B"/>
    <w:rsid w:val="517C5E3E"/>
    <w:rsid w:val="517E7143"/>
    <w:rsid w:val="519B0C71"/>
    <w:rsid w:val="51AF1B10"/>
    <w:rsid w:val="51B80221"/>
    <w:rsid w:val="51C407B0"/>
    <w:rsid w:val="51C904BB"/>
    <w:rsid w:val="51CF7E46"/>
    <w:rsid w:val="51E26E67"/>
    <w:rsid w:val="51E46AE7"/>
    <w:rsid w:val="51E6586D"/>
    <w:rsid w:val="51EA3CB4"/>
    <w:rsid w:val="51F27101"/>
    <w:rsid w:val="51F96A8C"/>
    <w:rsid w:val="52000615"/>
    <w:rsid w:val="52006417"/>
    <w:rsid w:val="52013E99"/>
    <w:rsid w:val="52030A07"/>
    <w:rsid w:val="52073823"/>
    <w:rsid w:val="52112A74"/>
    <w:rsid w:val="521572B6"/>
    <w:rsid w:val="52185CBC"/>
    <w:rsid w:val="521D2144"/>
    <w:rsid w:val="522143CD"/>
    <w:rsid w:val="52214DE4"/>
    <w:rsid w:val="522265CC"/>
    <w:rsid w:val="52295F56"/>
    <w:rsid w:val="522B3084"/>
    <w:rsid w:val="522F36E3"/>
    <w:rsid w:val="523A74F6"/>
    <w:rsid w:val="523E5EFC"/>
    <w:rsid w:val="525A1FA9"/>
    <w:rsid w:val="525B7A2A"/>
    <w:rsid w:val="526273B5"/>
    <w:rsid w:val="526306BA"/>
    <w:rsid w:val="5264613C"/>
    <w:rsid w:val="5265033A"/>
    <w:rsid w:val="526D6A4B"/>
    <w:rsid w:val="526E44CD"/>
    <w:rsid w:val="526F1F4E"/>
    <w:rsid w:val="526F66CB"/>
    <w:rsid w:val="528F1E83"/>
    <w:rsid w:val="52925986"/>
    <w:rsid w:val="529536A7"/>
    <w:rsid w:val="5296438C"/>
    <w:rsid w:val="52A25C20"/>
    <w:rsid w:val="52AB0AAE"/>
    <w:rsid w:val="52B648C1"/>
    <w:rsid w:val="52C206D3"/>
    <w:rsid w:val="52C319D8"/>
    <w:rsid w:val="52CA1363"/>
    <w:rsid w:val="52D902F9"/>
    <w:rsid w:val="52D93B7C"/>
    <w:rsid w:val="52DC127D"/>
    <w:rsid w:val="52E15705"/>
    <w:rsid w:val="52EB3A96"/>
    <w:rsid w:val="52EF5D1F"/>
    <w:rsid w:val="52F30EA2"/>
    <w:rsid w:val="52FA40B1"/>
    <w:rsid w:val="530214BD"/>
    <w:rsid w:val="53052442"/>
    <w:rsid w:val="53117559"/>
    <w:rsid w:val="531404DE"/>
    <w:rsid w:val="531639E1"/>
    <w:rsid w:val="531B7E68"/>
    <w:rsid w:val="531D273D"/>
    <w:rsid w:val="5328717E"/>
    <w:rsid w:val="533A7098"/>
    <w:rsid w:val="533E5A9F"/>
    <w:rsid w:val="534122A6"/>
    <w:rsid w:val="53427D28"/>
    <w:rsid w:val="534976B3"/>
    <w:rsid w:val="534B7333"/>
    <w:rsid w:val="535321C1"/>
    <w:rsid w:val="535C091A"/>
    <w:rsid w:val="535D6353"/>
    <w:rsid w:val="53614D5A"/>
    <w:rsid w:val="537517FC"/>
    <w:rsid w:val="53863C94"/>
    <w:rsid w:val="538A5F1E"/>
    <w:rsid w:val="538C361F"/>
    <w:rsid w:val="538F7E27"/>
    <w:rsid w:val="5391332A"/>
    <w:rsid w:val="53917AA7"/>
    <w:rsid w:val="53932FAA"/>
    <w:rsid w:val="53A15B43"/>
    <w:rsid w:val="53A54549"/>
    <w:rsid w:val="53AA2BCF"/>
    <w:rsid w:val="53BB08EB"/>
    <w:rsid w:val="53BD388D"/>
    <w:rsid w:val="53C16078"/>
    <w:rsid w:val="53C46FFC"/>
    <w:rsid w:val="53CA0C54"/>
    <w:rsid w:val="53CA0F06"/>
    <w:rsid w:val="53CD1E8A"/>
    <w:rsid w:val="53DB4A23"/>
    <w:rsid w:val="53EA39B9"/>
    <w:rsid w:val="53EF7E41"/>
    <w:rsid w:val="53F10DC5"/>
    <w:rsid w:val="53F6304F"/>
    <w:rsid w:val="53F83FD3"/>
    <w:rsid w:val="54055868"/>
    <w:rsid w:val="540C73F1"/>
    <w:rsid w:val="54163583"/>
    <w:rsid w:val="541E510D"/>
    <w:rsid w:val="54203E93"/>
    <w:rsid w:val="542579E2"/>
    <w:rsid w:val="5427381E"/>
    <w:rsid w:val="542D31A9"/>
    <w:rsid w:val="54492AD9"/>
    <w:rsid w:val="544B6DD6"/>
    <w:rsid w:val="544D14DF"/>
    <w:rsid w:val="544E6F61"/>
    <w:rsid w:val="54537B65"/>
    <w:rsid w:val="546126FE"/>
    <w:rsid w:val="546148FC"/>
    <w:rsid w:val="546A778A"/>
    <w:rsid w:val="54704F17"/>
    <w:rsid w:val="54717BEB"/>
    <w:rsid w:val="547D422D"/>
    <w:rsid w:val="548670BA"/>
    <w:rsid w:val="548947BC"/>
    <w:rsid w:val="548A223D"/>
    <w:rsid w:val="549E4761"/>
    <w:rsid w:val="54A775EF"/>
    <w:rsid w:val="54AA5FF5"/>
    <w:rsid w:val="54AC52B9"/>
    <w:rsid w:val="54B30E83"/>
    <w:rsid w:val="54BD1793"/>
    <w:rsid w:val="54BE7214"/>
    <w:rsid w:val="54C2149E"/>
    <w:rsid w:val="54CC782F"/>
    <w:rsid w:val="54CD3070"/>
    <w:rsid w:val="54D25EB5"/>
    <w:rsid w:val="54D6013E"/>
    <w:rsid w:val="54D87DBE"/>
    <w:rsid w:val="54DA0D43"/>
    <w:rsid w:val="54DD1CC8"/>
    <w:rsid w:val="54EA3DDB"/>
    <w:rsid w:val="54EB4860"/>
    <w:rsid w:val="54EF79E3"/>
    <w:rsid w:val="54F04490"/>
    <w:rsid w:val="54F363EA"/>
    <w:rsid w:val="54F93B76"/>
    <w:rsid w:val="54FC0BD0"/>
    <w:rsid w:val="5510701F"/>
    <w:rsid w:val="551556A5"/>
    <w:rsid w:val="551D2AB1"/>
    <w:rsid w:val="55203A36"/>
    <w:rsid w:val="552611C2"/>
    <w:rsid w:val="552D2D4B"/>
    <w:rsid w:val="5537365B"/>
    <w:rsid w:val="55376EDE"/>
    <w:rsid w:val="553E2FE6"/>
    <w:rsid w:val="55496DF8"/>
    <w:rsid w:val="554B22FB"/>
    <w:rsid w:val="55514205"/>
    <w:rsid w:val="555D389B"/>
    <w:rsid w:val="55704ABA"/>
    <w:rsid w:val="55727FBD"/>
    <w:rsid w:val="557547C5"/>
    <w:rsid w:val="557F6C2D"/>
    <w:rsid w:val="558105D7"/>
    <w:rsid w:val="5584375A"/>
    <w:rsid w:val="55854A5F"/>
    <w:rsid w:val="5586381E"/>
    <w:rsid w:val="558B30E5"/>
    <w:rsid w:val="558F1AEB"/>
    <w:rsid w:val="559801FC"/>
    <w:rsid w:val="559E7B87"/>
    <w:rsid w:val="559F5609"/>
    <w:rsid w:val="55A4620D"/>
    <w:rsid w:val="55A61710"/>
    <w:rsid w:val="55A72A15"/>
    <w:rsid w:val="55A84C13"/>
    <w:rsid w:val="55AC361A"/>
    <w:rsid w:val="55B36828"/>
    <w:rsid w:val="55B41D2B"/>
    <w:rsid w:val="55B72CB0"/>
    <w:rsid w:val="55BB16B6"/>
    <w:rsid w:val="55D36D5C"/>
    <w:rsid w:val="55DD766C"/>
    <w:rsid w:val="55E005F1"/>
    <w:rsid w:val="55F11B90"/>
    <w:rsid w:val="55F8151B"/>
    <w:rsid w:val="55F85C97"/>
    <w:rsid w:val="55F93719"/>
    <w:rsid w:val="55FA119A"/>
    <w:rsid w:val="55FD7BA1"/>
    <w:rsid w:val="56021E2A"/>
    <w:rsid w:val="560C4938"/>
    <w:rsid w:val="560E1EAD"/>
    <w:rsid w:val="560E36BE"/>
    <w:rsid w:val="5610333E"/>
    <w:rsid w:val="56114643"/>
    <w:rsid w:val="561220C4"/>
    <w:rsid w:val="5617074A"/>
    <w:rsid w:val="561B7151"/>
    <w:rsid w:val="561D0456"/>
    <w:rsid w:val="562A776B"/>
    <w:rsid w:val="56463818"/>
    <w:rsid w:val="564A221E"/>
    <w:rsid w:val="564B7CA0"/>
    <w:rsid w:val="56571534"/>
    <w:rsid w:val="56594A37"/>
    <w:rsid w:val="56596943"/>
    <w:rsid w:val="565A24B9"/>
    <w:rsid w:val="565A5D3C"/>
    <w:rsid w:val="56611E44"/>
    <w:rsid w:val="566D14D9"/>
    <w:rsid w:val="566D36D8"/>
    <w:rsid w:val="56761DE9"/>
    <w:rsid w:val="567F4C77"/>
    <w:rsid w:val="56862083"/>
    <w:rsid w:val="56925E96"/>
    <w:rsid w:val="569C67A5"/>
    <w:rsid w:val="569F51AC"/>
    <w:rsid w:val="56AE57C6"/>
    <w:rsid w:val="56B518CE"/>
    <w:rsid w:val="56B6734F"/>
    <w:rsid w:val="56C24467"/>
    <w:rsid w:val="56D368FF"/>
    <w:rsid w:val="56DE4C90"/>
    <w:rsid w:val="56E00193"/>
    <w:rsid w:val="56E26F1A"/>
    <w:rsid w:val="56E37B8F"/>
    <w:rsid w:val="56E60E60"/>
    <w:rsid w:val="56E7781E"/>
    <w:rsid w:val="56EA6524"/>
    <w:rsid w:val="56EC2EAE"/>
    <w:rsid w:val="56EF622F"/>
    <w:rsid w:val="56F426B7"/>
    <w:rsid w:val="57044ED0"/>
    <w:rsid w:val="57052952"/>
    <w:rsid w:val="570B22DC"/>
    <w:rsid w:val="571376E9"/>
    <w:rsid w:val="571A7074"/>
    <w:rsid w:val="571F34FB"/>
    <w:rsid w:val="57276389"/>
    <w:rsid w:val="57301217"/>
    <w:rsid w:val="573434A1"/>
    <w:rsid w:val="57381EA7"/>
    <w:rsid w:val="573D052D"/>
    <w:rsid w:val="574249B5"/>
    <w:rsid w:val="574808E2"/>
    <w:rsid w:val="57524C4F"/>
    <w:rsid w:val="575326D1"/>
    <w:rsid w:val="576D3988"/>
    <w:rsid w:val="577A3C15"/>
    <w:rsid w:val="577C0891"/>
    <w:rsid w:val="577F481A"/>
    <w:rsid w:val="57817D1D"/>
    <w:rsid w:val="57871C26"/>
    <w:rsid w:val="5792501F"/>
    <w:rsid w:val="579A2E45"/>
    <w:rsid w:val="579C1021"/>
    <w:rsid w:val="579C1BCB"/>
    <w:rsid w:val="579F72CD"/>
    <w:rsid w:val="57A25CD3"/>
    <w:rsid w:val="57A9565E"/>
    <w:rsid w:val="57B74973"/>
    <w:rsid w:val="57C045B1"/>
    <w:rsid w:val="57C16588"/>
    <w:rsid w:val="57C86219"/>
    <w:rsid w:val="57CF2661"/>
    <w:rsid w:val="57CF589D"/>
    <w:rsid w:val="57D72CAA"/>
    <w:rsid w:val="57E035B9"/>
    <w:rsid w:val="57E532C4"/>
    <w:rsid w:val="57E767C7"/>
    <w:rsid w:val="57F4005C"/>
    <w:rsid w:val="57F4225A"/>
    <w:rsid w:val="57FC2EEA"/>
    <w:rsid w:val="58044A73"/>
    <w:rsid w:val="580E2E04"/>
    <w:rsid w:val="58214023"/>
    <w:rsid w:val="58283866"/>
    <w:rsid w:val="58327B40"/>
    <w:rsid w:val="583D5ED1"/>
    <w:rsid w:val="584B64EC"/>
    <w:rsid w:val="584F4EF2"/>
    <w:rsid w:val="58514B72"/>
    <w:rsid w:val="585F1909"/>
    <w:rsid w:val="58620690"/>
    <w:rsid w:val="58641614"/>
    <w:rsid w:val="587305AA"/>
    <w:rsid w:val="58767330"/>
    <w:rsid w:val="587E693B"/>
    <w:rsid w:val="58803ECD"/>
    <w:rsid w:val="588717C9"/>
    <w:rsid w:val="588C14D4"/>
    <w:rsid w:val="589A2FA9"/>
    <w:rsid w:val="589C176E"/>
    <w:rsid w:val="58B31393"/>
    <w:rsid w:val="58B5011A"/>
    <w:rsid w:val="58C54B31"/>
    <w:rsid w:val="58C85AB5"/>
    <w:rsid w:val="58D141C7"/>
    <w:rsid w:val="58D6064E"/>
    <w:rsid w:val="58D915D3"/>
    <w:rsid w:val="58D95D50"/>
    <w:rsid w:val="58E937D4"/>
    <w:rsid w:val="58FE5F8F"/>
    <w:rsid w:val="58FF3A11"/>
    <w:rsid w:val="59047E99"/>
    <w:rsid w:val="590D2D27"/>
    <w:rsid w:val="59114FB0"/>
    <w:rsid w:val="59122A32"/>
    <w:rsid w:val="591304B3"/>
    <w:rsid w:val="591A7E3E"/>
    <w:rsid w:val="592C57DA"/>
    <w:rsid w:val="592F4560"/>
    <w:rsid w:val="59334390"/>
    <w:rsid w:val="593C3876"/>
    <w:rsid w:val="5940227C"/>
    <w:rsid w:val="5943797D"/>
    <w:rsid w:val="59487688"/>
    <w:rsid w:val="59751451"/>
    <w:rsid w:val="59785C59"/>
    <w:rsid w:val="597A4916"/>
    <w:rsid w:val="598B6E78"/>
    <w:rsid w:val="59903300"/>
    <w:rsid w:val="59965209"/>
    <w:rsid w:val="59967408"/>
    <w:rsid w:val="599E0097"/>
    <w:rsid w:val="599F5B19"/>
    <w:rsid w:val="59AF0332"/>
    <w:rsid w:val="59B07FB1"/>
    <w:rsid w:val="59BB6342"/>
    <w:rsid w:val="59BD1846"/>
    <w:rsid w:val="59C3202D"/>
    <w:rsid w:val="59D91176"/>
    <w:rsid w:val="59DD7B7C"/>
    <w:rsid w:val="59DF307F"/>
    <w:rsid w:val="59E16582"/>
    <w:rsid w:val="59E75F0D"/>
    <w:rsid w:val="59F0461E"/>
    <w:rsid w:val="59F120A0"/>
    <w:rsid w:val="5A062F3F"/>
    <w:rsid w:val="5A081CC5"/>
    <w:rsid w:val="5A0E3BCE"/>
    <w:rsid w:val="5A10384E"/>
    <w:rsid w:val="5A1112D0"/>
    <w:rsid w:val="5A165757"/>
    <w:rsid w:val="5A1E05E5"/>
    <w:rsid w:val="5A2E6681"/>
    <w:rsid w:val="5A463D28"/>
    <w:rsid w:val="5A4C14B5"/>
    <w:rsid w:val="5A612353"/>
    <w:rsid w:val="5A623658"/>
    <w:rsid w:val="5A6310DA"/>
    <w:rsid w:val="5A6667DB"/>
    <w:rsid w:val="5A6E4EEC"/>
    <w:rsid w:val="5A715E71"/>
    <w:rsid w:val="5A7238F3"/>
    <w:rsid w:val="5A777D7A"/>
    <w:rsid w:val="5A781F79"/>
    <w:rsid w:val="5A7E3E82"/>
    <w:rsid w:val="5A804E07"/>
    <w:rsid w:val="5A882213"/>
    <w:rsid w:val="5A8A0F99"/>
    <w:rsid w:val="5A8D260D"/>
    <w:rsid w:val="5A8E79A0"/>
    <w:rsid w:val="5A995D31"/>
    <w:rsid w:val="5A9A37B2"/>
    <w:rsid w:val="5A9F7C3A"/>
    <w:rsid w:val="5AA153EC"/>
    <w:rsid w:val="5AA340C2"/>
    <w:rsid w:val="5AA575C5"/>
    <w:rsid w:val="5AA61D26"/>
    <w:rsid w:val="5AB47BDF"/>
    <w:rsid w:val="5ABC4FEC"/>
    <w:rsid w:val="5ABE26ED"/>
    <w:rsid w:val="5ABF39F2"/>
    <w:rsid w:val="5AC24977"/>
    <w:rsid w:val="5AC445F6"/>
    <w:rsid w:val="5ACB7804"/>
    <w:rsid w:val="5ACE0789"/>
    <w:rsid w:val="5ACF2987"/>
    <w:rsid w:val="5AD65B96"/>
    <w:rsid w:val="5AD72E72"/>
    <w:rsid w:val="5AD86B1A"/>
    <w:rsid w:val="5AD9459C"/>
    <w:rsid w:val="5AE23BA6"/>
    <w:rsid w:val="5AE83531"/>
    <w:rsid w:val="5AEA4836"/>
    <w:rsid w:val="5AF276C4"/>
    <w:rsid w:val="5AFF0F58"/>
    <w:rsid w:val="5B01445B"/>
    <w:rsid w:val="5B0453E0"/>
    <w:rsid w:val="5B0A4666"/>
    <w:rsid w:val="5B122177"/>
    <w:rsid w:val="5B137BF9"/>
    <w:rsid w:val="5B195385"/>
    <w:rsid w:val="5B266C19"/>
    <w:rsid w:val="5B301727"/>
    <w:rsid w:val="5B3D0A3D"/>
    <w:rsid w:val="5B3F3F40"/>
    <w:rsid w:val="5B420748"/>
    <w:rsid w:val="5B46714E"/>
    <w:rsid w:val="5B4900D3"/>
    <w:rsid w:val="5B4A22D1"/>
    <w:rsid w:val="5B4B35D6"/>
    <w:rsid w:val="5B4E0CD7"/>
    <w:rsid w:val="5B702511"/>
    <w:rsid w:val="5B93724D"/>
    <w:rsid w:val="5B975C54"/>
    <w:rsid w:val="5B9B465A"/>
    <w:rsid w:val="5BA12CE0"/>
    <w:rsid w:val="5BA16563"/>
    <w:rsid w:val="5BA23FE5"/>
    <w:rsid w:val="5BA54F69"/>
    <w:rsid w:val="5BA64BE9"/>
    <w:rsid w:val="5BAC2376"/>
    <w:rsid w:val="5BB90387"/>
    <w:rsid w:val="5BBA388A"/>
    <w:rsid w:val="5BBB710D"/>
    <w:rsid w:val="5BD60FBC"/>
    <w:rsid w:val="5BD80C3B"/>
    <w:rsid w:val="5BEA7C5C"/>
    <w:rsid w:val="5BED0BE1"/>
    <w:rsid w:val="5BF062E2"/>
    <w:rsid w:val="5C056287"/>
    <w:rsid w:val="5C075F07"/>
    <w:rsid w:val="5C160720"/>
    <w:rsid w:val="5C1B4BA8"/>
    <w:rsid w:val="5C343553"/>
    <w:rsid w:val="5C3A545D"/>
    <w:rsid w:val="5C4F5402"/>
    <w:rsid w:val="5C584A0D"/>
    <w:rsid w:val="5C5C0E94"/>
    <w:rsid w:val="5C6340A3"/>
    <w:rsid w:val="5C6462A1"/>
    <w:rsid w:val="5C7255B7"/>
    <w:rsid w:val="5C7562E0"/>
    <w:rsid w:val="5C7907C5"/>
    <w:rsid w:val="5C7A0445"/>
    <w:rsid w:val="5C7D4C4C"/>
    <w:rsid w:val="5C805BD1"/>
    <w:rsid w:val="5C827377"/>
    <w:rsid w:val="5C840D54"/>
    <w:rsid w:val="5C87555C"/>
    <w:rsid w:val="5C915E6B"/>
    <w:rsid w:val="5C9D7700"/>
    <w:rsid w:val="5CA4708A"/>
    <w:rsid w:val="5CA5038F"/>
    <w:rsid w:val="5CAA4817"/>
    <w:rsid w:val="5CAB6A15"/>
    <w:rsid w:val="5CAC1F18"/>
    <w:rsid w:val="5CB62828"/>
    <w:rsid w:val="5CBB6CB0"/>
    <w:rsid w:val="5CBF56B6"/>
    <w:rsid w:val="5CC069BB"/>
    <w:rsid w:val="5CCB27CD"/>
    <w:rsid w:val="5CCB4A8E"/>
    <w:rsid w:val="5CCD5CD0"/>
    <w:rsid w:val="5CD34356"/>
    <w:rsid w:val="5CDB1763"/>
    <w:rsid w:val="5CEB19FD"/>
    <w:rsid w:val="5CF86B15"/>
    <w:rsid w:val="5CFB7A99"/>
    <w:rsid w:val="5CFC2F9C"/>
    <w:rsid w:val="5D074BB1"/>
    <w:rsid w:val="5D0F673A"/>
    <w:rsid w:val="5D107A3F"/>
    <w:rsid w:val="5D1560C5"/>
    <w:rsid w:val="5D1F69D4"/>
    <w:rsid w:val="5D211ED7"/>
    <w:rsid w:val="5D227959"/>
    <w:rsid w:val="5D2466DF"/>
    <w:rsid w:val="5D312171"/>
    <w:rsid w:val="5D37407B"/>
    <w:rsid w:val="5D3841B3"/>
    <w:rsid w:val="5D3F4D0A"/>
    <w:rsid w:val="5D4A529A"/>
    <w:rsid w:val="5D514C25"/>
    <w:rsid w:val="5D657148"/>
    <w:rsid w:val="5D747763"/>
    <w:rsid w:val="5D786169"/>
    <w:rsid w:val="5D7D47EF"/>
    <w:rsid w:val="5D8579FD"/>
    <w:rsid w:val="5D911291"/>
    <w:rsid w:val="5D957C98"/>
    <w:rsid w:val="5DA26FAD"/>
    <w:rsid w:val="5DA57F32"/>
    <w:rsid w:val="5DA659B4"/>
    <w:rsid w:val="5DAF2A40"/>
    <w:rsid w:val="5DB01FF1"/>
    <w:rsid w:val="5DB31446"/>
    <w:rsid w:val="5DB46EC8"/>
    <w:rsid w:val="5DBA0DD1"/>
    <w:rsid w:val="5DC913EB"/>
    <w:rsid w:val="5DCD5873"/>
    <w:rsid w:val="5DD84BF9"/>
    <w:rsid w:val="5DE31F95"/>
    <w:rsid w:val="5DE83E9E"/>
    <w:rsid w:val="5DEE75EB"/>
    <w:rsid w:val="5DF04B2E"/>
    <w:rsid w:val="5DF125B0"/>
    <w:rsid w:val="5DF247AE"/>
    <w:rsid w:val="5DFA543E"/>
    <w:rsid w:val="5E08729B"/>
    <w:rsid w:val="5E0A1E55"/>
    <w:rsid w:val="5E1075E1"/>
    <w:rsid w:val="5E1B7B71"/>
    <w:rsid w:val="5E3B5EA7"/>
    <w:rsid w:val="5E440D35"/>
    <w:rsid w:val="5E4B3F43"/>
    <w:rsid w:val="5E5003CB"/>
    <w:rsid w:val="5E600665"/>
    <w:rsid w:val="5E6934F3"/>
    <w:rsid w:val="5E6C4478"/>
    <w:rsid w:val="5E9033B3"/>
    <w:rsid w:val="5E9D4C47"/>
    <w:rsid w:val="5EA65556"/>
    <w:rsid w:val="5EA72FD8"/>
    <w:rsid w:val="5EB24BEC"/>
    <w:rsid w:val="5EBA41F7"/>
    <w:rsid w:val="5EC17405"/>
    <w:rsid w:val="5EC44B06"/>
    <w:rsid w:val="5ECB7D14"/>
    <w:rsid w:val="5ED11C1E"/>
    <w:rsid w:val="5EE16635"/>
    <w:rsid w:val="5EE42E3D"/>
    <w:rsid w:val="5EE475B9"/>
    <w:rsid w:val="5F0458F0"/>
    <w:rsid w:val="5F060DF3"/>
    <w:rsid w:val="5F0E76A2"/>
    <w:rsid w:val="5F125F0A"/>
    <w:rsid w:val="5F1E649A"/>
    <w:rsid w:val="5F245E25"/>
    <w:rsid w:val="5F2800AE"/>
    <w:rsid w:val="5F2B49A3"/>
    <w:rsid w:val="5F2F41B6"/>
    <w:rsid w:val="5F3F4450"/>
    <w:rsid w:val="5F4253D5"/>
    <w:rsid w:val="5F463DDB"/>
    <w:rsid w:val="5F4B3AE6"/>
    <w:rsid w:val="5F4D3766"/>
    <w:rsid w:val="5F51216C"/>
    <w:rsid w:val="5F530EF2"/>
    <w:rsid w:val="5F546974"/>
    <w:rsid w:val="5F58537A"/>
    <w:rsid w:val="5F615C89"/>
    <w:rsid w:val="5F6437B9"/>
    <w:rsid w:val="5F65716A"/>
    <w:rsid w:val="5F6D1A9C"/>
    <w:rsid w:val="5F744CAA"/>
    <w:rsid w:val="5F7858AF"/>
    <w:rsid w:val="5F802CBB"/>
    <w:rsid w:val="5F8261BE"/>
    <w:rsid w:val="5F8374C3"/>
    <w:rsid w:val="5F875EC9"/>
    <w:rsid w:val="5F926458"/>
    <w:rsid w:val="5F93775D"/>
    <w:rsid w:val="5F952C60"/>
    <w:rsid w:val="5FAE2505"/>
    <w:rsid w:val="5FB32210"/>
    <w:rsid w:val="5FC11526"/>
    <w:rsid w:val="5FC47F2C"/>
    <w:rsid w:val="5FD34CC4"/>
    <w:rsid w:val="5FDE45A9"/>
    <w:rsid w:val="5FDF4359"/>
    <w:rsid w:val="5FE11A5B"/>
    <w:rsid w:val="5FE274DC"/>
    <w:rsid w:val="5FE307E1"/>
    <w:rsid w:val="5FE926EA"/>
    <w:rsid w:val="5FEC2A49"/>
    <w:rsid w:val="5FF40A7C"/>
    <w:rsid w:val="5FF76D35"/>
    <w:rsid w:val="60033294"/>
    <w:rsid w:val="600B06A1"/>
    <w:rsid w:val="601879B6"/>
    <w:rsid w:val="601D3E3E"/>
    <w:rsid w:val="602A142C"/>
    <w:rsid w:val="602B0BD5"/>
    <w:rsid w:val="602E29D0"/>
    <w:rsid w:val="60335FE2"/>
    <w:rsid w:val="6039376E"/>
    <w:rsid w:val="6043627C"/>
    <w:rsid w:val="60467201"/>
    <w:rsid w:val="60472A84"/>
    <w:rsid w:val="60480506"/>
    <w:rsid w:val="60523013"/>
    <w:rsid w:val="60584F1D"/>
    <w:rsid w:val="607A6756"/>
    <w:rsid w:val="607F065F"/>
    <w:rsid w:val="608337E2"/>
    <w:rsid w:val="60867FEA"/>
    <w:rsid w:val="6093187E"/>
    <w:rsid w:val="60AA4D27"/>
    <w:rsid w:val="60AB27A8"/>
    <w:rsid w:val="60B168B0"/>
    <w:rsid w:val="60B45563"/>
    <w:rsid w:val="60B97540"/>
    <w:rsid w:val="60BA173E"/>
    <w:rsid w:val="60BD5F46"/>
    <w:rsid w:val="60C70A54"/>
    <w:rsid w:val="60CE3C62"/>
    <w:rsid w:val="60D57D69"/>
    <w:rsid w:val="60DD09F9"/>
    <w:rsid w:val="60EF4197"/>
    <w:rsid w:val="60F01C18"/>
    <w:rsid w:val="60F9034D"/>
    <w:rsid w:val="610408B9"/>
    <w:rsid w:val="61146955"/>
    <w:rsid w:val="611A085E"/>
    <w:rsid w:val="61304C00"/>
    <w:rsid w:val="613A1E35"/>
    <w:rsid w:val="613A70E3"/>
    <w:rsid w:val="61421B12"/>
    <w:rsid w:val="614F54B5"/>
    <w:rsid w:val="61834A0A"/>
    <w:rsid w:val="618F2A1B"/>
    <w:rsid w:val="6198112C"/>
    <w:rsid w:val="619B3047"/>
    <w:rsid w:val="61A00737"/>
    <w:rsid w:val="61A11A3C"/>
    <w:rsid w:val="61A700C2"/>
    <w:rsid w:val="61B14255"/>
    <w:rsid w:val="61B16453"/>
    <w:rsid w:val="61B970E2"/>
    <w:rsid w:val="61CC2880"/>
    <w:rsid w:val="61D1258B"/>
    <w:rsid w:val="61DA2E9A"/>
    <w:rsid w:val="61DC639E"/>
    <w:rsid w:val="61E01520"/>
    <w:rsid w:val="61E04DA4"/>
    <w:rsid w:val="61F017BB"/>
    <w:rsid w:val="61F0503E"/>
    <w:rsid w:val="61F12AC0"/>
    <w:rsid w:val="61F86BC7"/>
    <w:rsid w:val="62001A55"/>
    <w:rsid w:val="620329DA"/>
    <w:rsid w:val="62055EDD"/>
    <w:rsid w:val="620B3669"/>
    <w:rsid w:val="620B7DE6"/>
    <w:rsid w:val="620E0D6B"/>
    <w:rsid w:val="620E3DBB"/>
    <w:rsid w:val="62310026"/>
    <w:rsid w:val="623D18BA"/>
    <w:rsid w:val="624215C5"/>
    <w:rsid w:val="62425D42"/>
    <w:rsid w:val="62432EF2"/>
    <w:rsid w:val="624E1B54"/>
    <w:rsid w:val="624F5057"/>
    <w:rsid w:val="625F7870"/>
    <w:rsid w:val="62636276"/>
    <w:rsid w:val="6264757B"/>
    <w:rsid w:val="626F590C"/>
    <w:rsid w:val="62767495"/>
    <w:rsid w:val="6278621C"/>
    <w:rsid w:val="62793C9D"/>
    <w:rsid w:val="627C139F"/>
    <w:rsid w:val="628132A8"/>
    <w:rsid w:val="62826B2B"/>
    <w:rsid w:val="628663E8"/>
    <w:rsid w:val="62896214"/>
    <w:rsid w:val="628A19B9"/>
    <w:rsid w:val="629C2F58"/>
    <w:rsid w:val="62A9226E"/>
    <w:rsid w:val="62AB1EEE"/>
    <w:rsid w:val="62AD0C74"/>
    <w:rsid w:val="62AD53F1"/>
    <w:rsid w:val="62B06376"/>
    <w:rsid w:val="62B250FC"/>
    <w:rsid w:val="62B32B7E"/>
    <w:rsid w:val="62B63B02"/>
    <w:rsid w:val="62BF6990"/>
    <w:rsid w:val="62C63D9D"/>
    <w:rsid w:val="62D3782F"/>
    <w:rsid w:val="62D8753A"/>
    <w:rsid w:val="62DF6EC5"/>
    <w:rsid w:val="62E010C3"/>
    <w:rsid w:val="62E7160E"/>
    <w:rsid w:val="62FA0337"/>
    <w:rsid w:val="62FD6475"/>
    <w:rsid w:val="62FF1978"/>
    <w:rsid w:val="6314609A"/>
    <w:rsid w:val="63150690"/>
    <w:rsid w:val="6316159D"/>
    <w:rsid w:val="63195DA5"/>
    <w:rsid w:val="631F442B"/>
    <w:rsid w:val="63201EAD"/>
    <w:rsid w:val="63253598"/>
    <w:rsid w:val="63253DB6"/>
    <w:rsid w:val="632C3741"/>
    <w:rsid w:val="632D4A46"/>
    <w:rsid w:val="633D145D"/>
    <w:rsid w:val="633D725E"/>
    <w:rsid w:val="634258E5"/>
    <w:rsid w:val="63440DE8"/>
    <w:rsid w:val="6359330B"/>
    <w:rsid w:val="63623C1B"/>
    <w:rsid w:val="63696E29"/>
    <w:rsid w:val="63714235"/>
    <w:rsid w:val="63721CB7"/>
    <w:rsid w:val="637473B8"/>
    <w:rsid w:val="63860958"/>
    <w:rsid w:val="638A735E"/>
    <w:rsid w:val="639F01FD"/>
    <w:rsid w:val="639F3A80"/>
    <w:rsid w:val="63A32486"/>
    <w:rsid w:val="63A34684"/>
    <w:rsid w:val="63A70E8C"/>
    <w:rsid w:val="63AB5314"/>
    <w:rsid w:val="63AB54E5"/>
    <w:rsid w:val="63AF0497"/>
    <w:rsid w:val="63B05F18"/>
    <w:rsid w:val="63C6393F"/>
    <w:rsid w:val="63D53F5A"/>
    <w:rsid w:val="63D93A74"/>
    <w:rsid w:val="63DB5E63"/>
    <w:rsid w:val="63DC38E5"/>
    <w:rsid w:val="63DD1366"/>
    <w:rsid w:val="63DE6DE8"/>
    <w:rsid w:val="63E85179"/>
    <w:rsid w:val="63EA4DF9"/>
    <w:rsid w:val="63FC3E19"/>
    <w:rsid w:val="63FD189B"/>
    <w:rsid w:val="64087C2C"/>
    <w:rsid w:val="640D40B4"/>
    <w:rsid w:val="640D62B2"/>
    <w:rsid w:val="640E1B35"/>
    <w:rsid w:val="64107237"/>
    <w:rsid w:val="64145C3D"/>
    <w:rsid w:val="64236257"/>
    <w:rsid w:val="643477F7"/>
    <w:rsid w:val="64403609"/>
    <w:rsid w:val="64423289"/>
    <w:rsid w:val="64475192"/>
    <w:rsid w:val="645544A8"/>
    <w:rsid w:val="64637041"/>
    <w:rsid w:val="646E2E54"/>
    <w:rsid w:val="64713DD8"/>
    <w:rsid w:val="6472185A"/>
    <w:rsid w:val="64725FD6"/>
    <w:rsid w:val="64760260"/>
    <w:rsid w:val="647C7BEB"/>
    <w:rsid w:val="6489147F"/>
    <w:rsid w:val="648E165F"/>
    <w:rsid w:val="64960795"/>
    <w:rsid w:val="64A47AAA"/>
    <w:rsid w:val="64AC073A"/>
    <w:rsid w:val="64AF16BF"/>
    <w:rsid w:val="64C34ADC"/>
    <w:rsid w:val="64C612E4"/>
    <w:rsid w:val="64CB01E9"/>
    <w:rsid w:val="64CC31ED"/>
    <w:rsid w:val="64CE4172"/>
    <w:rsid w:val="64D50279"/>
    <w:rsid w:val="64DF440C"/>
    <w:rsid w:val="64E50514"/>
    <w:rsid w:val="64ED11A3"/>
    <w:rsid w:val="64F64031"/>
    <w:rsid w:val="650642CC"/>
    <w:rsid w:val="65177DE9"/>
    <w:rsid w:val="65187A69"/>
    <w:rsid w:val="65357399"/>
    <w:rsid w:val="65526949"/>
    <w:rsid w:val="655B17D7"/>
    <w:rsid w:val="655C7259"/>
    <w:rsid w:val="655E275C"/>
    <w:rsid w:val="65605C5F"/>
    <w:rsid w:val="65670E6D"/>
    <w:rsid w:val="65736E7E"/>
    <w:rsid w:val="65783306"/>
    <w:rsid w:val="65827499"/>
    <w:rsid w:val="6586009D"/>
    <w:rsid w:val="658F67AE"/>
    <w:rsid w:val="659F6A49"/>
    <w:rsid w:val="65A044CA"/>
    <w:rsid w:val="65A155DF"/>
    <w:rsid w:val="65B2414D"/>
    <w:rsid w:val="65B5316B"/>
    <w:rsid w:val="65C01E58"/>
    <w:rsid w:val="65C06F7D"/>
    <w:rsid w:val="65C76908"/>
    <w:rsid w:val="65D358C0"/>
    <w:rsid w:val="65D5369F"/>
    <w:rsid w:val="65D920A6"/>
    <w:rsid w:val="65DD432F"/>
    <w:rsid w:val="65DE204A"/>
    <w:rsid w:val="65E74C3F"/>
    <w:rsid w:val="6602326A"/>
    <w:rsid w:val="660D37F9"/>
    <w:rsid w:val="660F5E90"/>
    <w:rsid w:val="66100001"/>
    <w:rsid w:val="661D0B93"/>
    <w:rsid w:val="661F4D98"/>
    <w:rsid w:val="662621A5"/>
    <w:rsid w:val="66291FD6"/>
    <w:rsid w:val="662B2E29"/>
    <w:rsid w:val="662F5033"/>
    <w:rsid w:val="66333A39"/>
    <w:rsid w:val="66414053"/>
    <w:rsid w:val="664D45E3"/>
    <w:rsid w:val="665761F7"/>
    <w:rsid w:val="665916FA"/>
    <w:rsid w:val="66616B07"/>
    <w:rsid w:val="66651C8A"/>
    <w:rsid w:val="6670131F"/>
    <w:rsid w:val="66720F9F"/>
    <w:rsid w:val="667322A4"/>
    <w:rsid w:val="667C18AF"/>
    <w:rsid w:val="6684253E"/>
    <w:rsid w:val="66865A41"/>
    <w:rsid w:val="668869C6"/>
    <w:rsid w:val="669B2164"/>
    <w:rsid w:val="66A0406D"/>
    <w:rsid w:val="66A32DF3"/>
    <w:rsid w:val="66A40875"/>
    <w:rsid w:val="66AB23FE"/>
    <w:rsid w:val="66AB5C81"/>
    <w:rsid w:val="66AF0E04"/>
    <w:rsid w:val="66B21D89"/>
    <w:rsid w:val="66C642AD"/>
    <w:rsid w:val="66C86993"/>
    <w:rsid w:val="66CB6E5A"/>
    <w:rsid w:val="66D37D3F"/>
    <w:rsid w:val="66D97A4A"/>
    <w:rsid w:val="66DB09CF"/>
    <w:rsid w:val="66E65B0F"/>
    <w:rsid w:val="66F66FFA"/>
    <w:rsid w:val="66F824FD"/>
    <w:rsid w:val="66F93025"/>
    <w:rsid w:val="66F97F7F"/>
    <w:rsid w:val="66FF1E88"/>
    <w:rsid w:val="67084D16"/>
    <w:rsid w:val="670C6084"/>
    <w:rsid w:val="67161AAD"/>
    <w:rsid w:val="671C39B6"/>
    <w:rsid w:val="671F493B"/>
    <w:rsid w:val="67246844"/>
    <w:rsid w:val="673E51F0"/>
    <w:rsid w:val="67413BF6"/>
    <w:rsid w:val="67421678"/>
    <w:rsid w:val="674D7A09"/>
    <w:rsid w:val="67570318"/>
    <w:rsid w:val="675B47A0"/>
    <w:rsid w:val="676A4DBB"/>
    <w:rsid w:val="67703441"/>
    <w:rsid w:val="67731E47"/>
    <w:rsid w:val="677400CD"/>
    <w:rsid w:val="677D5FDA"/>
    <w:rsid w:val="67826BDE"/>
    <w:rsid w:val="678C2D71"/>
    <w:rsid w:val="67976B83"/>
    <w:rsid w:val="679A7B08"/>
    <w:rsid w:val="67A13C10"/>
    <w:rsid w:val="67A27113"/>
    <w:rsid w:val="67AA451F"/>
    <w:rsid w:val="67B47496"/>
    <w:rsid w:val="67BA07B7"/>
    <w:rsid w:val="67BA25BB"/>
    <w:rsid w:val="67C03DCB"/>
    <w:rsid w:val="67C279C8"/>
    <w:rsid w:val="67CB3B5A"/>
    <w:rsid w:val="67D6714C"/>
    <w:rsid w:val="67D92E70"/>
    <w:rsid w:val="67E346C6"/>
    <w:rsid w:val="67EE3D0F"/>
    <w:rsid w:val="67F14C93"/>
    <w:rsid w:val="67F33A1A"/>
    <w:rsid w:val="67F7461E"/>
    <w:rsid w:val="68072A96"/>
    <w:rsid w:val="68133F4F"/>
    <w:rsid w:val="68156A82"/>
    <w:rsid w:val="681B135B"/>
    <w:rsid w:val="682B3B74"/>
    <w:rsid w:val="68305A7D"/>
    <w:rsid w:val="68326D82"/>
    <w:rsid w:val="68351F05"/>
    <w:rsid w:val="6838670D"/>
    <w:rsid w:val="684C1B2A"/>
    <w:rsid w:val="684E4EE1"/>
    <w:rsid w:val="68545CE6"/>
    <w:rsid w:val="6861404E"/>
    <w:rsid w:val="68623CCE"/>
    <w:rsid w:val="68685BD7"/>
    <w:rsid w:val="687916F5"/>
    <w:rsid w:val="688C2F03"/>
    <w:rsid w:val="6890131A"/>
    <w:rsid w:val="68981FA9"/>
    <w:rsid w:val="689B512C"/>
    <w:rsid w:val="68A02082"/>
    <w:rsid w:val="68A512BF"/>
    <w:rsid w:val="68AB31C8"/>
    <w:rsid w:val="68AF3DCD"/>
    <w:rsid w:val="68C04067"/>
    <w:rsid w:val="68C1536C"/>
    <w:rsid w:val="68C3086F"/>
    <w:rsid w:val="68C34FEC"/>
    <w:rsid w:val="68CD117F"/>
    <w:rsid w:val="68E56825"/>
    <w:rsid w:val="68E61D28"/>
    <w:rsid w:val="68F4103E"/>
    <w:rsid w:val="68FD194E"/>
    <w:rsid w:val="68FD3ECC"/>
    <w:rsid w:val="69025DD5"/>
    <w:rsid w:val="69056D5A"/>
    <w:rsid w:val="69156FF4"/>
    <w:rsid w:val="691D4401"/>
    <w:rsid w:val="691E5706"/>
    <w:rsid w:val="69282792"/>
    <w:rsid w:val="692B3716"/>
    <w:rsid w:val="69305620"/>
    <w:rsid w:val="69310EA3"/>
    <w:rsid w:val="693B7234"/>
    <w:rsid w:val="69430DBD"/>
    <w:rsid w:val="69434640"/>
    <w:rsid w:val="69461D42"/>
    <w:rsid w:val="69473047"/>
    <w:rsid w:val="6949654A"/>
    <w:rsid w:val="694D4F50"/>
    <w:rsid w:val="69811F27"/>
    <w:rsid w:val="69842EAC"/>
    <w:rsid w:val="698D01CC"/>
    <w:rsid w:val="699243C0"/>
    <w:rsid w:val="69943146"/>
    <w:rsid w:val="699A724E"/>
    <w:rsid w:val="699E5C54"/>
    <w:rsid w:val="69A01157"/>
    <w:rsid w:val="69A27EDD"/>
    <w:rsid w:val="69AD29EB"/>
    <w:rsid w:val="69AD626E"/>
    <w:rsid w:val="69AE1327"/>
    <w:rsid w:val="69B226F6"/>
    <w:rsid w:val="69B45BF9"/>
    <w:rsid w:val="69B610FC"/>
    <w:rsid w:val="69BC0A87"/>
    <w:rsid w:val="69D07728"/>
    <w:rsid w:val="69DA38BA"/>
    <w:rsid w:val="69E92850"/>
    <w:rsid w:val="69EB5D53"/>
    <w:rsid w:val="69FF6F72"/>
    <w:rsid w:val="6A015CF8"/>
    <w:rsid w:val="6A062180"/>
    <w:rsid w:val="6A077C02"/>
    <w:rsid w:val="6A100433"/>
    <w:rsid w:val="6A223CAF"/>
    <w:rsid w:val="6A3419CA"/>
    <w:rsid w:val="6A364ECE"/>
    <w:rsid w:val="6A3A1355"/>
    <w:rsid w:val="6A3B6DD7"/>
    <w:rsid w:val="6A3F35DF"/>
    <w:rsid w:val="6A472BE9"/>
    <w:rsid w:val="6A596387"/>
    <w:rsid w:val="6A613793"/>
    <w:rsid w:val="6A680BA0"/>
    <w:rsid w:val="6A6A40A3"/>
    <w:rsid w:val="6A6B7926"/>
    <w:rsid w:val="6A786C3C"/>
    <w:rsid w:val="6A7B7BC0"/>
    <w:rsid w:val="6A7F1D30"/>
    <w:rsid w:val="6A8D335E"/>
    <w:rsid w:val="6A9277E6"/>
    <w:rsid w:val="6AA92BD5"/>
    <w:rsid w:val="6AAA0710"/>
    <w:rsid w:val="6AB4101F"/>
    <w:rsid w:val="6AC128B3"/>
    <w:rsid w:val="6AC25DB6"/>
    <w:rsid w:val="6AD050CC"/>
    <w:rsid w:val="6AD3024F"/>
    <w:rsid w:val="6AD97F5A"/>
    <w:rsid w:val="6AE20869"/>
    <w:rsid w:val="6AEE467C"/>
    <w:rsid w:val="6AF20B04"/>
    <w:rsid w:val="6AF44007"/>
    <w:rsid w:val="6AFD36DB"/>
    <w:rsid w:val="6AFF2398"/>
    <w:rsid w:val="6B09652B"/>
    <w:rsid w:val="6B1113B9"/>
    <w:rsid w:val="6B131038"/>
    <w:rsid w:val="6B1F7C72"/>
    <w:rsid w:val="6B221653"/>
    <w:rsid w:val="6B260059"/>
    <w:rsid w:val="6B2E7664"/>
    <w:rsid w:val="6B2F0969"/>
    <w:rsid w:val="6B352872"/>
    <w:rsid w:val="6B375D75"/>
    <w:rsid w:val="6B3A3476"/>
    <w:rsid w:val="6B3C43FB"/>
    <w:rsid w:val="6B433D86"/>
    <w:rsid w:val="6B4741C7"/>
    <w:rsid w:val="6B6555BF"/>
    <w:rsid w:val="6B681DC7"/>
    <w:rsid w:val="6B697849"/>
    <w:rsid w:val="6B6D177C"/>
    <w:rsid w:val="6B6E3CD1"/>
    <w:rsid w:val="6B7226D7"/>
    <w:rsid w:val="6B7E3F6B"/>
    <w:rsid w:val="6B8A7D7E"/>
    <w:rsid w:val="6B911907"/>
    <w:rsid w:val="6B932C0C"/>
    <w:rsid w:val="6B9D0F9D"/>
    <w:rsid w:val="6BA14120"/>
    <w:rsid w:val="6BA63E2B"/>
    <w:rsid w:val="6BAC37B5"/>
    <w:rsid w:val="6BAD59B4"/>
    <w:rsid w:val="6BAE7D5B"/>
    <w:rsid w:val="6BB17C3D"/>
    <w:rsid w:val="6BB40BC2"/>
    <w:rsid w:val="6BB56643"/>
    <w:rsid w:val="6BC53869"/>
    <w:rsid w:val="6BC71DE1"/>
    <w:rsid w:val="6BD31477"/>
    <w:rsid w:val="6BD77E7D"/>
    <w:rsid w:val="6BDD1D86"/>
    <w:rsid w:val="6BE1078C"/>
    <w:rsid w:val="6BE9361A"/>
    <w:rsid w:val="6BE97D97"/>
    <w:rsid w:val="6BF419AB"/>
    <w:rsid w:val="6BFA38B5"/>
    <w:rsid w:val="6BFF57BE"/>
    <w:rsid w:val="6C077347"/>
    <w:rsid w:val="6C105A58"/>
    <w:rsid w:val="6C1A06BB"/>
    <w:rsid w:val="6C2446F9"/>
    <w:rsid w:val="6C2D6C9C"/>
    <w:rsid w:val="6C313A0F"/>
    <w:rsid w:val="6C36371A"/>
    <w:rsid w:val="6C3A2120"/>
    <w:rsid w:val="6C3B431E"/>
    <w:rsid w:val="6C3F65A7"/>
    <w:rsid w:val="6C434B6E"/>
    <w:rsid w:val="6C4B45B8"/>
    <w:rsid w:val="6C500A40"/>
    <w:rsid w:val="6C5319C5"/>
    <w:rsid w:val="6C5A1350"/>
    <w:rsid w:val="6C600CDA"/>
    <w:rsid w:val="6C613242"/>
    <w:rsid w:val="6C636332"/>
    <w:rsid w:val="6C662BE4"/>
    <w:rsid w:val="6C7034F3"/>
    <w:rsid w:val="6C760C80"/>
    <w:rsid w:val="6C7A1884"/>
    <w:rsid w:val="6C7B5108"/>
    <w:rsid w:val="6C8D08A5"/>
    <w:rsid w:val="6C940230"/>
    <w:rsid w:val="6C9611B5"/>
    <w:rsid w:val="6CA01AC4"/>
    <w:rsid w:val="6CA362CC"/>
    <w:rsid w:val="6CA7144F"/>
    <w:rsid w:val="6CAC58D7"/>
    <w:rsid w:val="6CB53FE8"/>
    <w:rsid w:val="6CE1032F"/>
    <w:rsid w:val="6CE77CBA"/>
    <w:rsid w:val="6CF33ACD"/>
    <w:rsid w:val="6CF56FD0"/>
    <w:rsid w:val="6CFD43DC"/>
    <w:rsid w:val="6CFF5361"/>
    <w:rsid w:val="6D07276D"/>
    <w:rsid w:val="6D0801EF"/>
    <w:rsid w:val="6D100E7E"/>
    <w:rsid w:val="6D162D88"/>
    <w:rsid w:val="6D1B720F"/>
    <w:rsid w:val="6D1E5C16"/>
    <w:rsid w:val="6D216B9A"/>
    <w:rsid w:val="6D24429C"/>
    <w:rsid w:val="6D2555A0"/>
    <w:rsid w:val="6D351FB7"/>
    <w:rsid w:val="6D450054"/>
    <w:rsid w:val="6D4F63E5"/>
    <w:rsid w:val="6D58356D"/>
    <w:rsid w:val="6D6C5D15"/>
    <w:rsid w:val="6D6D3796"/>
    <w:rsid w:val="6D6D5995"/>
    <w:rsid w:val="6D7A7229"/>
    <w:rsid w:val="6D850E3D"/>
    <w:rsid w:val="6D9F3BE5"/>
    <w:rsid w:val="6DA70FF2"/>
    <w:rsid w:val="6DAB79F8"/>
    <w:rsid w:val="6DAD2EFB"/>
    <w:rsid w:val="6DB7708E"/>
    <w:rsid w:val="6DCD4AB5"/>
    <w:rsid w:val="6DD345FB"/>
    <w:rsid w:val="6DDC3A4A"/>
    <w:rsid w:val="6DDC72CD"/>
    <w:rsid w:val="6DE17ED2"/>
    <w:rsid w:val="6DE333D5"/>
    <w:rsid w:val="6DE90B62"/>
    <w:rsid w:val="6DEB6263"/>
    <w:rsid w:val="6DF004EC"/>
    <w:rsid w:val="6DF3366F"/>
    <w:rsid w:val="6DF51CA6"/>
    <w:rsid w:val="6DF523F6"/>
    <w:rsid w:val="6DF87AF7"/>
    <w:rsid w:val="6DFB6164"/>
    <w:rsid w:val="6DFD7802"/>
    <w:rsid w:val="6E016208"/>
    <w:rsid w:val="6E025E88"/>
    <w:rsid w:val="6E0A3294"/>
    <w:rsid w:val="6E0E1C9B"/>
    <w:rsid w:val="6E293B49"/>
    <w:rsid w:val="6E2D5DD3"/>
    <w:rsid w:val="6E3269D7"/>
    <w:rsid w:val="6E4224F5"/>
    <w:rsid w:val="6E434C6D"/>
    <w:rsid w:val="6E437F76"/>
    <w:rsid w:val="6E4730F9"/>
    <w:rsid w:val="6E5E2D1F"/>
    <w:rsid w:val="6E5F3887"/>
    <w:rsid w:val="6E644C28"/>
    <w:rsid w:val="6E6F0172"/>
    <w:rsid w:val="6E7177C1"/>
    <w:rsid w:val="6E7716CA"/>
    <w:rsid w:val="6E79134A"/>
    <w:rsid w:val="6E7954E0"/>
    <w:rsid w:val="6E873EE3"/>
    <w:rsid w:val="6E9C0605"/>
    <w:rsid w:val="6E9F158A"/>
    <w:rsid w:val="6EA35A11"/>
    <w:rsid w:val="6EB724B4"/>
    <w:rsid w:val="6EB87F35"/>
    <w:rsid w:val="6EB959B7"/>
    <w:rsid w:val="6EC801D0"/>
    <w:rsid w:val="6ECD0DD4"/>
    <w:rsid w:val="6EDD48F2"/>
    <w:rsid w:val="6EEC1689"/>
    <w:rsid w:val="6EFE4E26"/>
    <w:rsid w:val="6F0B3B30"/>
    <w:rsid w:val="6F146FCA"/>
    <w:rsid w:val="6F15099B"/>
    <w:rsid w:val="6F247264"/>
    <w:rsid w:val="6F260569"/>
    <w:rsid w:val="6F2B272D"/>
    <w:rsid w:val="6F2E33F7"/>
    <w:rsid w:val="6F3574FF"/>
    <w:rsid w:val="6F364F80"/>
    <w:rsid w:val="6F390408"/>
    <w:rsid w:val="6F395F05"/>
    <w:rsid w:val="6F44559B"/>
    <w:rsid w:val="6F5248B0"/>
    <w:rsid w:val="6F5A1CBD"/>
    <w:rsid w:val="6F7C56F5"/>
    <w:rsid w:val="6F822E81"/>
    <w:rsid w:val="6F830903"/>
    <w:rsid w:val="6F846384"/>
    <w:rsid w:val="6F850583"/>
    <w:rsid w:val="6F8B7F0D"/>
    <w:rsid w:val="6F92569A"/>
    <w:rsid w:val="6F9B2726"/>
    <w:rsid w:val="6F9C3A2B"/>
    <w:rsid w:val="6F9D5C29"/>
    <w:rsid w:val="6FAB07A1"/>
    <w:rsid w:val="6FAB29C1"/>
    <w:rsid w:val="6FBD2279"/>
    <w:rsid w:val="6FBE19E1"/>
    <w:rsid w:val="6FC56DEE"/>
    <w:rsid w:val="6FCB6AF9"/>
    <w:rsid w:val="6FD12C00"/>
    <w:rsid w:val="6FD93890"/>
    <w:rsid w:val="6FF675BD"/>
    <w:rsid w:val="6FF72E40"/>
    <w:rsid w:val="6FFC4D49"/>
    <w:rsid w:val="70003DAE"/>
    <w:rsid w:val="700A405F"/>
    <w:rsid w:val="702C20CF"/>
    <w:rsid w:val="703678DC"/>
    <w:rsid w:val="703B00B1"/>
    <w:rsid w:val="70404539"/>
    <w:rsid w:val="704279C3"/>
    <w:rsid w:val="70442F3F"/>
    <w:rsid w:val="704A4E48"/>
    <w:rsid w:val="704D7FCB"/>
    <w:rsid w:val="704F34CF"/>
    <w:rsid w:val="70531ED5"/>
    <w:rsid w:val="705553D8"/>
    <w:rsid w:val="705D4C8E"/>
    <w:rsid w:val="70606FEC"/>
    <w:rsid w:val="70637F71"/>
    <w:rsid w:val="706A537D"/>
    <w:rsid w:val="706C4FFD"/>
    <w:rsid w:val="7075370E"/>
    <w:rsid w:val="70766347"/>
    <w:rsid w:val="709674C6"/>
    <w:rsid w:val="709E6AD1"/>
    <w:rsid w:val="709F4552"/>
    <w:rsid w:val="70A4425D"/>
    <w:rsid w:val="70A63EDD"/>
    <w:rsid w:val="70BD7386"/>
    <w:rsid w:val="70BF7006"/>
    <w:rsid w:val="70C12509"/>
    <w:rsid w:val="70C46D11"/>
    <w:rsid w:val="70CA2E18"/>
    <w:rsid w:val="70D127A3"/>
    <w:rsid w:val="70D511A9"/>
    <w:rsid w:val="70E262C1"/>
    <w:rsid w:val="70E57245"/>
    <w:rsid w:val="70FB13E9"/>
    <w:rsid w:val="710010F4"/>
    <w:rsid w:val="710C7105"/>
    <w:rsid w:val="711A3E9C"/>
    <w:rsid w:val="711C739F"/>
    <w:rsid w:val="71217BA6"/>
    <w:rsid w:val="71273DFA"/>
    <w:rsid w:val="712F2B3D"/>
    <w:rsid w:val="71313AC1"/>
    <w:rsid w:val="7131409B"/>
    <w:rsid w:val="71344A46"/>
    <w:rsid w:val="713737CC"/>
    <w:rsid w:val="713C56D6"/>
    <w:rsid w:val="71442AE2"/>
    <w:rsid w:val="715352FB"/>
    <w:rsid w:val="715D148D"/>
    <w:rsid w:val="715F4991"/>
    <w:rsid w:val="716952A0"/>
    <w:rsid w:val="717026AC"/>
    <w:rsid w:val="71706E29"/>
    <w:rsid w:val="71756B34"/>
    <w:rsid w:val="71783771"/>
    <w:rsid w:val="71787AB9"/>
    <w:rsid w:val="717C0078"/>
    <w:rsid w:val="71814B45"/>
    <w:rsid w:val="718225C7"/>
    <w:rsid w:val="718722D2"/>
    <w:rsid w:val="718D0958"/>
    <w:rsid w:val="719A7C6D"/>
    <w:rsid w:val="719C0F72"/>
    <w:rsid w:val="719F1EF7"/>
    <w:rsid w:val="71A12E7C"/>
    <w:rsid w:val="71A94A05"/>
    <w:rsid w:val="71B46619"/>
    <w:rsid w:val="71C54335"/>
    <w:rsid w:val="71C730BB"/>
    <w:rsid w:val="71D04977"/>
    <w:rsid w:val="71D545CF"/>
    <w:rsid w:val="71D758D4"/>
    <w:rsid w:val="71DC054E"/>
    <w:rsid w:val="71E25E63"/>
    <w:rsid w:val="71E37168"/>
    <w:rsid w:val="71E663D5"/>
    <w:rsid w:val="71E857EE"/>
    <w:rsid w:val="71EE76F7"/>
    <w:rsid w:val="71F0647E"/>
    <w:rsid w:val="71F44E84"/>
    <w:rsid w:val="720915A6"/>
    <w:rsid w:val="72112F13"/>
    <w:rsid w:val="72193DBF"/>
    <w:rsid w:val="72247BD2"/>
    <w:rsid w:val="722D62E3"/>
    <w:rsid w:val="723D0AFC"/>
    <w:rsid w:val="7248490E"/>
    <w:rsid w:val="72492390"/>
    <w:rsid w:val="72496B0C"/>
    <w:rsid w:val="7251779C"/>
    <w:rsid w:val="72540721"/>
    <w:rsid w:val="72587127"/>
    <w:rsid w:val="725D57AD"/>
    <w:rsid w:val="72620508"/>
    <w:rsid w:val="72717CD1"/>
    <w:rsid w:val="72737951"/>
    <w:rsid w:val="728C71E0"/>
    <w:rsid w:val="728D4E23"/>
    <w:rsid w:val="72946F8C"/>
    <w:rsid w:val="72A02D9E"/>
    <w:rsid w:val="72A95C2C"/>
    <w:rsid w:val="72AA36AE"/>
    <w:rsid w:val="72AC4633"/>
    <w:rsid w:val="72C267D6"/>
    <w:rsid w:val="72C309D4"/>
    <w:rsid w:val="72C53ED8"/>
    <w:rsid w:val="72CA035F"/>
    <w:rsid w:val="72CA3BE3"/>
    <w:rsid w:val="72CE25E9"/>
    <w:rsid w:val="72DC7380"/>
    <w:rsid w:val="72E13808"/>
    <w:rsid w:val="72E505AA"/>
    <w:rsid w:val="72E83193"/>
    <w:rsid w:val="72EE509C"/>
    <w:rsid w:val="72F524A8"/>
    <w:rsid w:val="72FC1E33"/>
    <w:rsid w:val="730040BD"/>
    <w:rsid w:val="730A1149"/>
    <w:rsid w:val="730B464C"/>
    <w:rsid w:val="730F3052"/>
    <w:rsid w:val="73166260"/>
    <w:rsid w:val="731B445C"/>
    <w:rsid w:val="731C1FC5"/>
    <w:rsid w:val="731C48E6"/>
    <w:rsid w:val="73210D6E"/>
    <w:rsid w:val="732D5E85"/>
    <w:rsid w:val="732E3907"/>
    <w:rsid w:val="73311B2D"/>
    <w:rsid w:val="7331488C"/>
    <w:rsid w:val="73380993"/>
    <w:rsid w:val="73384217"/>
    <w:rsid w:val="733942E6"/>
    <w:rsid w:val="733B1918"/>
    <w:rsid w:val="733F5DA0"/>
    <w:rsid w:val="7347507E"/>
    <w:rsid w:val="734C08CD"/>
    <w:rsid w:val="735D0BD3"/>
    <w:rsid w:val="736827E7"/>
    <w:rsid w:val="73690269"/>
    <w:rsid w:val="73704370"/>
    <w:rsid w:val="73732D77"/>
    <w:rsid w:val="73794C80"/>
    <w:rsid w:val="73846894"/>
    <w:rsid w:val="73872BE1"/>
    <w:rsid w:val="739B2C36"/>
    <w:rsid w:val="739F163C"/>
    <w:rsid w:val="73AC41D5"/>
    <w:rsid w:val="73B02BDC"/>
    <w:rsid w:val="73BA34EB"/>
    <w:rsid w:val="73BD4470"/>
    <w:rsid w:val="73CC6C88"/>
    <w:rsid w:val="73E42131"/>
    <w:rsid w:val="73E630B6"/>
    <w:rsid w:val="73F57E4D"/>
    <w:rsid w:val="74065B69"/>
    <w:rsid w:val="740E2F75"/>
    <w:rsid w:val="740E5173"/>
    <w:rsid w:val="740F09F7"/>
    <w:rsid w:val="74237697"/>
    <w:rsid w:val="74294E24"/>
    <w:rsid w:val="743566B8"/>
    <w:rsid w:val="743C27BF"/>
    <w:rsid w:val="743C6043"/>
    <w:rsid w:val="743D3AC4"/>
    <w:rsid w:val="744124CA"/>
    <w:rsid w:val="74524963"/>
    <w:rsid w:val="745D0776"/>
    <w:rsid w:val="746016FA"/>
    <w:rsid w:val="746229FF"/>
    <w:rsid w:val="74674908"/>
    <w:rsid w:val="746D6812"/>
    <w:rsid w:val="747247FB"/>
    <w:rsid w:val="74734E98"/>
    <w:rsid w:val="74777121"/>
    <w:rsid w:val="74846437"/>
    <w:rsid w:val="7490224A"/>
    <w:rsid w:val="74977656"/>
    <w:rsid w:val="749C3ADE"/>
    <w:rsid w:val="74A67C70"/>
    <w:rsid w:val="74B00580"/>
    <w:rsid w:val="74B10200"/>
    <w:rsid w:val="74B64688"/>
    <w:rsid w:val="74BA1FB9"/>
    <w:rsid w:val="74C23D1D"/>
    <w:rsid w:val="74C47221"/>
    <w:rsid w:val="74C54CA2"/>
    <w:rsid w:val="74CA112A"/>
    <w:rsid w:val="74CC659F"/>
    <w:rsid w:val="74CD42AD"/>
    <w:rsid w:val="74D12CB3"/>
    <w:rsid w:val="74D93943"/>
    <w:rsid w:val="74DA13C4"/>
    <w:rsid w:val="74EA165E"/>
    <w:rsid w:val="74EC4B62"/>
    <w:rsid w:val="75023B30"/>
    <w:rsid w:val="750379B1"/>
    <w:rsid w:val="7507318D"/>
    <w:rsid w:val="75171229"/>
    <w:rsid w:val="751B7C2F"/>
    <w:rsid w:val="752F304D"/>
    <w:rsid w:val="75427AEF"/>
    <w:rsid w:val="754E3901"/>
    <w:rsid w:val="75550D0E"/>
    <w:rsid w:val="755D199D"/>
    <w:rsid w:val="756A5430"/>
    <w:rsid w:val="756E70A2"/>
    <w:rsid w:val="757415C3"/>
    <w:rsid w:val="7587042E"/>
    <w:rsid w:val="758B5965"/>
    <w:rsid w:val="758D7537"/>
    <w:rsid w:val="759B5BFF"/>
    <w:rsid w:val="759C3680"/>
    <w:rsid w:val="75B90A32"/>
    <w:rsid w:val="75C46DC3"/>
    <w:rsid w:val="75CB674E"/>
    <w:rsid w:val="75D23B5A"/>
    <w:rsid w:val="75D77FE2"/>
    <w:rsid w:val="75D83866"/>
    <w:rsid w:val="75DE31F0"/>
    <w:rsid w:val="75E02E70"/>
    <w:rsid w:val="75E14175"/>
    <w:rsid w:val="75E31630"/>
    <w:rsid w:val="75E605FD"/>
    <w:rsid w:val="75EC2506"/>
    <w:rsid w:val="75F3408F"/>
    <w:rsid w:val="760011A7"/>
    <w:rsid w:val="76016C28"/>
    <w:rsid w:val="760652AE"/>
    <w:rsid w:val="76070B31"/>
    <w:rsid w:val="760C2A3B"/>
    <w:rsid w:val="761050D9"/>
    <w:rsid w:val="761558C9"/>
    <w:rsid w:val="761942CF"/>
    <w:rsid w:val="761E0757"/>
    <w:rsid w:val="762635E5"/>
    <w:rsid w:val="763151F9"/>
    <w:rsid w:val="763E6A8D"/>
    <w:rsid w:val="763F670D"/>
    <w:rsid w:val="76401F90"/>
    <w:rsid w:val="76450616"/>
    <w:rsid w:val="764B5DA3"/>
    <w:rsid w:val="764E6D27"/>
    <w:rsid w:val="76521EAA"/>
    <w:rsid w:val="765950B8"/>
    <w:rsid w:val="766146C3"/>
    <w:rsid w:val="7663656E"/>
    <w:rsid w:val="76660B4B"/>
    <w:rsid w:val="766D3D59"/>
    <w:rsid w:val="766E17DB"/>
    <w:rsid w:val="7671495D"/>
    <w:rsid w:val="76741165"/>
    <w:rsid w:val="76787B6C"/>
    <w:rsid w:val="76831851"/>
    <w:rsid w:val="768D6D55"/>
    <w:rsid w:val="768F5592"/>
    <w:rsid w:val="76910A96"/>
    <w:rsid w:val="7696711C"/>
    <w:rsid w:val="76A33DF3"/>
    <w:rsid w:val="76A43EB3"/>
    <w:rsid w:val="76AA3BBE"/>
    <w:rsid w:val="76B61BCF"/>
    <w:rsid w:val="76BD4DDD"/>
    <w:rsid w:val="76C26CE6"/>
    <w:rsid w:val="76C46966"/>
    <w:rsid w:val="76D05FFC"/>
    <w:rsid w:val="76D83408"/>
    <w:rsid w:val="76E44C9C"/>
    <w:rsid w:val="76E91124"/>
    <w:rsid w:val="76FA6E40"/>
    <w:rsid w:val="770551D1"/>
    <w:rsid w:val="770A1659"/>
    <w:rsid w:val="770F3562"/>
    <w:rsid w:val="77131F68"/>
    <w:rsid w:val="7715546B"/>
    <w:rsid w:val="77181C73"/>
    <w:rsid w:val="771D2878"/>
    <w:rsid w:val="771F15FE"/>
    <w:rsid w:val="77260F89"/>
    <w:rsid w:val="77270C09"/>
    <w:rsid w:val="77276A0B"/>
    <w:rsid w:val="772F1899"/>
    <w:rsid w:val="77334A1B"/>
    <w:rsid w:val="77357F1F"/>
    <w:rsid w:val="77384726"/>
    <w:rsid w:val="77494D1C"/>
    <w:rsid w:val="774B5945"/>
    <w:rsid w:val="775904DE"/>
    <w:rsid w:val="775A5F60"/>
    <w:rsid w:val="775D10E3"/>
    <w:rsid w:val="77602068"/>
    <w:rsid w:val="77675276"/>
    <w:rsid w:val="776F2682"/>
    <w:rsid w:val="77910638"/>
    <w:rsid w:val="779437BB"/>
    <w:rsid w:val="7794703F"/>
    <w:rsid w:val="77AC6C64"/>
    <w:rsid w:val="77AD2167"/>
    <w:rsid w:val="77BC6EFE"/>
    <w:rsid w:val="77C2468B"/>
    <w:rsid w:val="77C5560F"/>
    <w:rsid w:val="77C70B12"/>
    <w:rsid w:val="77CF5BE0"/>
    <w:rsid w:val="77D05B9F"/>
    <w:rsid w:val="77F11957"/>
    <w:rsid w:val="77FA47E4"/>
    <w:rsid w:val="780627F5"/>
    <w:rsid w:val="7809377A"/>
    <w:rsid w:val="78096FFD"/>
    <w:rsid w:val="78152E10"/>
    <w:rsid w:val="78335C43"/>
    <w:rsid w:val="783A3050"/>
    <w:rsid w:val="78404F59"/>
    <w:rsid w:val="78424BD9"/>
    <w:rsid w:val="785C5783"/>
    <w:rsid w:val="785E4509"/>
    <w:rsid w:val="78622F0F"/>
    <w:rsid w:val="78694A98"/>
    <w:rsid w:val="78792B34"/>
    <w:rsid w:val="788F4CD8"/>
    <w:rsid w:val="78964663"/>
    <w:rsid w:val="78967EE6"/>
    <w:rsid w:val="789D1A6F"/>
    <w:rsid w:val="789D7871"/>
    <w:rsid w:val="789F07F6"/>
    <w:rsid w:val="78A07EF6"/>
    <w:rsid w:val="78A2177A"/>
    <w:rsid w:val="78A371FC"/>
    <w:rsid w:val="78B64B97"/>
    <w:rsid w:val="78BC2324"/>
    <w:rsid w:val="78BF7A25"/>
    <w:rsid w:val="78C167AC"/>
    <w:rsid w:val="78C209AA"/>
    <w:rsid w:val="78C3642C"/>
    <w:rsid w:val="78CB70BB"/>
    <w:rsid w:val="78D05741"/>
    <w:rsid w:val="78DD2859"/>
    <w:rsid w:val="78E37E0F"/>
    <w:rsid w:val="78F114F9"/>
    <w:rsid w:val="78F96906"/>
    <w:rsid w:val="79011794"/>
    <w:rsid w:val="79092423"/>
    <w:rsid w:val="790E68AB"/>
    <w:rsid w:val="79252C4D"/>
    <w:rsid w:val="79321F63"/>
    <w:rsid w:val="79327D64"/>
    <w:rsid w:val="793357E6"/>
    <w:rsid w:val="79343267"/>
    <w:rsid w:val="793C60F5"/>
    <w:rsid w:val="79574721"/>
    <w:rsid w:val="795821A2"/>
    <w:rsid w:val="795A56A5"/>
    <w:rsid w:val="79657081"/>
    <w:rsid w:val="797B5BDA"/>
    <w:rsid w:val="79822FE7"/>
    <w:rsid w:val="79936B04"/>
    <w:rsid w:val="79952007"/>
    <w:rsid w:val="799B3F11"/>
    <w:rsid w:val="799F2917"/>
    <w:rsid w:val="79C42B56"/>
    <w:rsid w:val="79DB277C"/>
    <w:rsid w:val="79EB7193"/>
    <w:rsid w:val="79F16E9E"/>
    <w:rsid w:val="79F223A1"/>
    <w:rsid w:val="79F57AA2"/>
    <w:rsid w:val="79FA674E"/>
    <w:rsid w:val="7A024BBA"/>
    <w:rsid w:val="7A0D09CC"/>
    <w:rsid w:val="7A1D31E5"/>
    <w:rsid w:val="7A263AF5"/>
    <w:rsid w:val="7A315709"/>
    <w:rsid w:val="7A4024A0"/>
    <w:rsid w:val="7A4259A3"/>
    <w:rsid w:val="7A461E2B"/>
    <w:rsid w:val="7A514FDE"/>
    <w:rsid w:val="7A5358BD"/>
    <w:rsid w:val="7A614BD3"/>
    <w:rsid w:val="7A6300D6"/>
    <w:rsid w:val="7A6B0D66"/>
    <w:rsid w:val="7A7051EE"/>
    <w:rsid w:val="7A78007C"/>
    <w:rsid w:val="7A795AFD"/>
    <w:rsid w:val="7A7A357F"/>
    <w:rsid w:val="7A7C5C51"/>
    <w:rsid w:val="7A7E1F85"/>
    <w:rsid w:val="7A812F09"/>
    <w:rsid w:val="7A8B709C"/>
    <w:rsid w:val="7A920C25"/>
    <w:rsid w:val="7A9A6032"/>
    <w:rsid w:val="7A9B7337"/>
    <w:rsid w:val="7A9F5D3D"/>
    <w:rsid w:val="7AAD7251"/>
    <w:rsid w:val="7AB349DD"/>
    <w:rsid w:val="7ABD52ED"/>
    <w:rsid w:val="7ABE2D6E"/>
    <w:rsid w:val="7AC313F4"/>
    <w:rsid w:val="7AC77DFB"/>
    <w:rsid w:val="7AE21CA9"/>
    <w:rsid w:val="7AE76131"/>
    <w:rsid w:val="7AF31F44"/>
    <w:rsid w:val="7AFA5152"/>
    <w:rsid w:val="7AFB2BD3"/>
    <w:rsid w:val="7AFD3B58"/>
    <w:rsid w:val="7B02475C"/>
    <w:rsid w:val="7B0B75EA"/>
    <w:rsid w:val="7B0D056F"/>
    <w:rsid w:val="7B124498"/>
    <w:rsid w:val="7B1A5686"/>
    <w:rsid w:val="7B1B3108"/>
    <w:rsid w:val="7B227210"/>
    <w:rsid w:val="7B2A6C73"/>
    <w:rsid w:val="7B3307AF"/>
    <w:rsid w:val="7B3A48B6"/>
    <w:rsid w:val="7B3C7DB9"/>
    <w:rsid w:val="7B425546"/>
    <w:rsid w:val="7B4619CE"/>
    <w:rsid w:val="7B5022DD"/>
    <w:rsid w:val="7B540CE3"/>
    <w:rsid w:val="7B617FF9"/>
    <w:rsid w:val="7B652283"/>
    <w:rsid w:val="7B6A2E87"/>
    <w:rsid w:val="7B6D3E0C"/>
    <w:rsid w:val="7B7F75A9"/>
    <w:rsid w:val="7B80502B"/>
    <w:rsid w:val="7B835FAF"/>
    <w:rsid w:val="7B854D36"/>
    <w:rsid w:val="7B866F34"/>
    <w:rsid w:val="7B8F5645"/>
    <w:rsid w:val="7B9030C7"/>
    <w:rsid w:val="7B974C50"/>
    <w:rsid w:val="7B985F55"/>
    <w:rsid w:val="7BA22FE1"/>
    <w:rsid w:val="7BA26864"/>
    <w:rsid w:val="7BA6526A"/>
    <w:rsid w:val="7BA72CEC"/>
    <w:rsid w:val="7BAC57D1"/>
    <w:rsid w:val="7BAD4BF5"/>
    <w:rsid w:val="7BB035FB"/>
    <w:rsid w:val="7BB57A83"/>
    <w:rsid w:val="7BBE6194"/>
    <w:rsid w:val="7BC5229C"/>
    <w:rsid w:val="7BC55B1F"/>
    <w:rsid w:val="7BD173B3"/>
    <w:rsid w:val="7BD215B2"/>
    <w:rsid w:val="7BD601C4"/>
    <w:rsid w:val="7BE2184C"/>
    <w:rsid w:val="7BE94A5A"/>
    <w:rsid w:val="7BEC215B"/>
    <w:rsid w:val="7BEF6963"/>
    <w:rsid w:val="7BF043E5"/>
    <w:rsid w:val="7BF278E8"/>
    <w:rsid w:val="7BF54FE9"/>
    <w:rsid w:val="7BF75F6E"/>
    <w:rsid w:val="7BF817F1"/>
    <w:rsid w:val="7BF839F0"/>
    <w:rsid w:val="7C086208"/>
    <w:rsid w:val="7C137E1D"/>
    <w:rsid w:val="7C14589E"/>
    <w:rsid w:val="7C160DA1"/>
    <w:rsid w:val="7C166823"/>
    <w:rsid w:val="7C1C072C"/>
    <w:rsid w:val="7C28453F"/>
    <w:rsid w:val="7C292E77"/>
    <w:rsid w:val="7C3612D6"/>
    <w:rsid w:val="7C395ADE"/>
    <w:rsid w:val="7C4A7F77"/>
    <w:rsid w:val="7C514589"/>
    <w:rsid w:val="7C5E1196"/>
    <w:rsid w:val="7C5E4A19"/>
    <w:rsid w:val="7C5F0A77"/>
    <w:rsid w:val="7C646922"/>
    <w:rsid w:val="7C671AA5"/>
    <w:rsid w:val="7C6C17B0"/>
    <w:rsid w:val="7C846E57"/>
    <w:rsid w:val="7C8810E0"/>
    <w:rsid w:val="7C9B487E"/>
    <w:rsid w:val="7C9C22FF"/>
    <w:rsid w:val="7CA33E88"/>
    <w:rsid w:val="7CA629BF"/>
    <w:rsid w:val="7CB55428"/>
    <w:rsid w:val="7CC20EBA"/>
    <w:rsid w:val="7CC556C2"/>
    <w:rsid w:val="7CCC724B"/>
    <w:rsid w:val="7CD21154"/>
    <w:rsid w:val="7CD47EDB"/>
    <w:rsid w:val="7CD5311A"/>
    <w:rsid w:val="7CE1176F"/>
    <w:rsid w:val="7CE271F0"/>
    <w:rsid w:val="7CE86B7B"/>
    <w:rsid w:val="7CEA493C"/>
    <w:rsid w:val="7CEB7B00"/>
    <w:rsid w:val="7CF1528D"/>
    <w:rsid w:val="7CF53C93"/>
    <w:rsid w:val="7CF73913"/>
    <w:rsid w:val="7CF92699"/>
    <w:rsid w:val="7D011CA4"/>
    <w:rsid w:val="7D306F70"/>
    <w:rsid w:val="7D322473"/>
    <w:rsid w:val="7D343777"/>
    <w:rsid w:val="7D3C6605"/>
    <w:rsid w:val="7D42050F"/>
    <w:rsid w:val="7D4B15C0"/>
    <w:rsid w:val="7D4B339D"/>
    <w:rsid w:val="7D543CAC"/>
    <w:rsid w:val="7D55752F"/>
    <w:rsid w:val="7D5671AF"/>
    <w:rsid w:val="7D574C31"/>
    <w:rsid w:val="7D6577CA"/>
    <w:rsid w:val="7D6A5E50"/>
    <w:rsid w:val="7D867CFE"/>
    <w:rsid w:val="7D8D510B"/>
    <w:rsid w:val="7D975A1A"/>
    <w:rsid w:val="7DA372AE"/>
    <w:rsid w:val="7DA44D30"/>
    <w:rsid w:val="7DA83736"/>
    <w:rsid w:val="7DB91452"/>
    <w:rsid w:val="7DC81A6D"/>
    <w:rsid w:val="7DD93F05"/>
    <w:rsid w:val="7DDD618F"/>
    <w:rsid w:val="7DDE038D"/>
    <w:rsid w:val="7DE76A9E"/>
    <w:rsid w:val="7DE84520"/>
    <w:rsid w:val="7DF22A0A"/>
    <w:rsid w:val="7DF847BA"/>
    <w:rsid w:val="7E05604E"/>
    <w:rsid w:val="7E0C345B"/>
    <w:rsid w:val="7E1B01F2"/>
    <w:rsid w:val="7E1E1177"/>
    <w:rsid w:val="7E20467A"/>
    <w:rsid w:val="7E254385"/>
    <w:rsid w:val="7E29453A"/>
    <w:rsid w:val="7E2A080C"/>
    <w:rsid w:val="7E2E1411"/>
    <w:rsid w:val="7E3C61A8"/>
    <w:rsid w:val="7E3F4F2E"/>
    <w:rsid w:val="7E4D6442"/>
    <w:rsid w:val="7E5512D0"/>
    <w:rsid w:val="7E5570D2"/>
    <w:rsid w:val="7E5725D5"/>
    <w:rsid w:val="7E5C0C5B"/>
    <w:rsid w:val="7E5D1F60"/>
    <w:rsid w:val="7E5F5463"/>
    <w:rsid w:val="7E664DEE"/>
    <w:rsid w:val="7E83691D"/>
    <w:rsid w:val="7E8678A1"/>
    <w:rsid w:val="7E882DA4"/>
    <w:rsid w:val="7E8B17AA"/>
    <w:rsid w:val="7E8F01B1"/>
    <w:rsid w:val="7E967B3C"/>
    <w:rsid w:val="7E9E4F48"/>
    <w:rsid w:val="7EA832D9"/>
    <w:rsid w:val="7EAB425E"/>
    <w:rsid w:val="7EB006E5"/>
    <w:rsid w:val="7EB16167"/>
    <w:rsid w:val="7EB470EC"/>
    <w:rsid w:val="7EBA0FF5"/>
    <w:rsid w:val="7EBB5A5F"/>
    <w:rsid w:val="7EBC1F79"/>
    <w:rsid w:val="7EBE3B4C"/>
    <w:rsid w:val="7EBE547D"/>
    <w:rsid w:val="7EC76812"/>
    <w:rsid w:val="7EE21FDF"/>
    <w:rsid w:val="7EED3DCE"/>
    <w:rsid w:val="7EF47ED5"/>
    <w:rsid w:val="7EF91DDE"/>
    <w:rsid w:val="7EFA5662"/>
    <w:rsid w:val="7F0439F3"/>
    <w:rsid w:val="7F086B76"/>
    <w:rsid w:val="7F0D6881"/>
    <w:rsid w:val="7F122D08"/>
    <w:rsid w:val="7F182693"/>
    <w:rsid w:val="7F22771F"/>
    <w:rsid w:val="7F242C23"/>
    <w:rsid w:val="7F256126"/>
    <w:rsid w:val="7F2B5E31"/>
    <w:rsid w:val="7F2C1334"/>
    <w:rsid w:val="7F33543B"/>
    <w:rsid w:val="7F385146"/>
    <w:rsid w:val="7F392BC8"/>
    <w:rsid w:val="7F525CF0"/>
    <w:rsid w:val="7F5646F6"/>
    <w:rsid w:val="7F5B1095"/>
    <w:rsid w:val="7F6C689A"/>
    <w:rsid w:val="7F700B24"/>
    <w:rsid w:val="7F7165A5"/>
    <w:rsid w:val="7F792946"/>
    <w:rsid w:val="7F795BB0"/>
    <w:rsid w:val="7F867444"/>
    <w:rsid w:val="7F9035D7"/>
    <w:rsid w:val="7F925B4D"/>
    <w:rsid w:val="7F9D7069"/>
    <w:rsid w:val="7FA42277"/>
    <w:rsid w:val="7FA46FD7"/>
    <w:rsid w:val="7FAD404C"/>
    <w:rsid w:val="7FB57F93"/>
    <w:rsid w:val="7FBE66A4"/>
    <w:rsid w:val="7FC73731"/>
    <w:rsid w:val="7FCA435E"/>
    <w:rsid w:val="7FCC7BB8"/>
    <w:rsid w:val="7FD52A46"/>
    <w:rsid w:val="7FD81218"/>
    <w:rsid w:val="7FD8724E"/>
    <w:rsid w:val="7FDA0ECC"/>
    <w:rsid w:val="7FDC61B7"/>
    <w:rsid w:val="7FE50AE2"/>
    <w:rsid w:val="7FF609FC"/>
    <w:rsid w:val="7FF74280"/>
    <w:rsid w:val="7FF81D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81"/>
    <w:qFormat/>
    <w:uiPriority w:val="0"/>
    <w:pPr>
      <w:keepNext/>
      <w:keepLines/>
      <w:spacing w:before="260" w:after="260" w:line="360" w:lineRule="auto"/>
      <w:ind w:firstLine="602" w:firstLineChars="200"/>
      <w:outlineLvl w:val="2"/>
    </w:pPr>
    <w:rPr>
      <w:rFonts w:ascii="仿宋_GB2312" w:hAnsi="宋体" w:eastAsia="仿宋_GB2312"/>
      <w:sz w:val="30"/>
      <w:szCs w:val="20"/>
    </w:rPr>
  </w:style>
  <w:style w:type="paragraph" w:styleId="7">
    <w:name w:val="heading 4"/>
    <w:basedOn w:val="1"/>
    <w:next w:val="1"/>
    <w:link w:val="68"/>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174"/>
    <w:qFormat/>
    <w:uiPriority w:val="0"/>
    <w:pPr>
      <w:keepNext/>
      <w:keepLines/>
      <w:spacing w:before="280" w:after="290" w:line="376" w:lineRule="auto"/>
      <w:outlineLvl w:val="4"/>
    </w:pPr>
    <w:rPr>
      <w:b/>
      <w:bCs/>
      <w:sz w:val="28"/>
      <w:szCs w:val="28"/>
    </w:rPr>
  </w:style>
  <w:style w:type="paragraph" w:styleId="9">
    <w:name w:val="heading 6"/>
    <w:basedOn w:val="1"/>
    <w:next w:val="1"/>
    <w:link w:val="100"/>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201"/>
    <w:qFormat/>
    <w:uiPriority w:val="0"/>
    <w:pPr>
      <w:keepNext/>
      <w:keepLines/>
      <w:spacing w:after="64" w:line="320" w:lineRule="auto"/>
      <w:outlineLvl w:val="6"/>
    </w:pPr>
    <w:rPr>
      <w:rFonts w:ascii="Calibri" w:hAnsi="Calibri"/>
      <w:b/>
      <w:bCs/>
      <w:sz w:val="24"/>
    </w:rPr>
  </w:style>
  <w:style w:type="paragraph" w:styleId="11">
    <w:name w:val="heading 8"/>
    <w:basedOn w:val="1"/>
    <w:next w:val="1"/>
    <w:link w:val="77"/>
    <w:qFormat/>
    <w:uiPriority w:val="0"/>
    <w:pPr>
      <w:keepNext/>
      <w:keepLines/>
      <w:spacing w:after="64" w:line="320" w:lineRule="auto"/>
      <w:outlineLvl w:val="7"/>
    </w:pPr>
    <w:rPr>
      <w:rFonts w:ascii="Cambria" w:hAnsi="Cambria"/>
      <w:sz w:val="24"/>
    </w:rPr>
  </w:style>
  <w:style w:type="paragraph" w:styleId="12">
    <w:name w:val="heading 9"/>
    <w:basedOn w:val="1"/>
    <w:next w:val="1"/>
    <w:link w:val="192"/>
    <w:qFormat/>
    <w:uiPriority w:val="0"/>
    <w:pPr>
      <w:keepNext/>
      <w:keepLines/>
      <w:spacing w:after="64" w:line="320" w:lineRule="auto"/>
      <w:outlineLvl w:val="8"/>
    </w:pPr>
    <w:rPr>
      <w:rFonts w:ascii="Cambria" w:hAnsi="Cambria"/>
      <w:sz w:val="24"/>
      <w:szCs w:val="21"/>
    </w:rPr>
  </w:style>
  <w:style w:type="character" w:default="1" w:styleId="51">
    <w:name w:val="Default Paragraph Font"/>
    <w:semiHidden/>
    <w:uiPriority w:val="0"/>
  </w:style>
  <w:style w:type="table" w:default="1" w:styleId="48">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48"/>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Sim Sun" w:eastAsia="Sim Sun"/>
      <w:color w:val="000000"/>
      <w:sz w:val="24"/>
      <w:szCs w:val="24"/>
      <w:lang w:val="en-US" w:eastAsia="zh-CN" w:bidi="ar-SA"/>
    </w:rPr>
  </w:style>
  <w:style w:type="paragraph" w:styleId="6">
    <w:name w:val="Normal Indent"/>
    <w:basedOn w:val="1"/>
    <w:link w:val="65"/>
    <w:uiPriority w:val="0"/>
    <w:pPr>
      <w:ind w:firstLine="420"/>
    </w:pPr>
    <w:rPr>
      <w:szCs w:val="20"/>
    </w:rPr>
  </w:style>
  <w:style w:type="paragraph" w:styleId="13">
    <w:name w:val="toc 7"/>
    <w:basedOn w:val="1"/>
    <w:next w:val="1"/>
    <w:uiPriority w:val="0"/>
    <w:pPr>
      <w:ind w:left="2520" w:leftChars="1200"/>
    </w:pPr>
    <w:rPr>
      <w:szCs w:val="22"/>
    </w:rPr>
  </w:style>
  <w:style w:type="paragraph" w:styleId="14">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5">
    <w:name w:val="caption"/>
    <w:basedOn w:val="1"/>
    <w:next w:val="1"/>
    <w:link w:val="98"/>
    <w:qFormat/>
    <w:uiPriority w:val="0"/>
    <w:pPr>
      <w:spacing w:before="152" w:after="160"/>
    </w:pPr>
    <w:rPr>
      <w:rFonts w:ascii="Arial" w:hAnsi="Arial" w:eastAsia="黑体" w:cs="Arial"/>
      <w:sz w:val="20"/>
      <w:szCs w:val="20"/>
    </w:rPr>
  </w:style>
  <w:style w:type="paragraph" w:styleId="16">
    <w:name w:val="List Bullet"/>
    <w:basedOn w:val="1"/>
    <w:uiPriority w:val="0"/>
    <w:pPr>
      <w:tabs>
        <w:tab w:val="left" w:pos="748"/>
      </w:tabs>
      <w:spacing w:line="360" w:lineRule="auto"/>
      <w:ind w:left="748" w:hanging="374"/>
    </w:pPr>
  </w:style>
  <w:style w:type="paragraph" w:styleId="17">
    <w:name w:val="Document Map"/>
    <w:basedOn w:val="1"/>
    <w:link w:val="168"/>
    <w:uiPriority w:val="0"/>
    <w:rPr>
      <w:rFonts w:ascii="宋体"/>
      <w:kern w:val="0"/>
      <w:sz w:val="18"/>
      <w:szCs w:val="18"/>
    </w:rPr>
  </w:style>
  <w:style w:type="paragraph" w:styleId="18">
    <w:name w:val="annotation text"/>
    <w:basedOn w:val="1"/>
    <w:link w:val="117"/>
    <w:unhideWhenUsed/>
    <w:uiPriority w:val="0"/>
    <w:pPr>
      <w:jc w:val="left"/>
    </w:pPr>
    <w:rPr>
      <w:rFonts w:ascii="仿宋_GB2312" w:eastAsia="仿宋_GB2312"/>
      <w:sz w:val="28"/>
      <w:szCs w:val="28"/>
    </w:rPr>
  </w:style>
  <w:style w:type="paragraph" w:styleId="19">
    <w:name w:val="Body Text 3"/>
    <w:basedOn w:val="1"/>
    <w:link w:val="184"/>
    <w:uiPriority w:val="0"/>
    <w:pPr>
      <w:snapToGrid w:val="0"/>
      <w:spacing w:before="50" w:after="50"/>
    </w:pPr>
  </w:style>
  <w:style w:type="paragraph" w:styleId="20">
    <w:name w:val="Body Text"/>
    <w:basedOn w:val="1"/>
    <w:next w:val="21"/>
    <w:link w:val="142"/>
    <w:uiPriority w:val="0"/>
    <w:pPr>
      <w:spacing w:after="120"/>
    </w:pPr>
    <w:rPr>
      <w:sz w:val="28"/>
    </w:rPr>
  </w:style>
  <w:style w:type="paragraph" w:styleId="21">
    <w:name w:val="Body Text First Indent"/>
    <w:basedOn w:val="20"/>
    <w:next w:val="1"/>
    <w:link w:val="155"/>
    <w:uiPriority w:val="0"/>
    <w:pPr>
      <w:ind w:firstLine="420" w:firstLineChars="100"/>
    </w:pPr>
    <w:rPr>
      <w:sz w:val="21"/>
    </w:rPr>
  </w:style>
  <w:style w:type="paragraph" w:styleId="22">
    <w:name w:val="Body Text Indent"/>
    <w:basedOn w:val="1"/>
    <w:next w:val="1"/>
    <w:link w:val="105"/>
    <w:uiPriority w:val="0"/>
    <w:pPr>
      <w:spacing w:line="200" w:lineRule="exact"/>
      <w:ind w:firstLine="301"/>
    </w:pPr>
    <w:rPr>
      <w:rFonts w:ascii="宋体" w:hAnsi="Courier New"/>
      <w:spacing w:val="-4"/>
      <w:sz w:val="18"/>
      <w:szCs w:val="20"/>
    </w:rPr>
  </w:style>
  <w:style w:type="paragraph" w:styleId="23">
    <w:name w:val="List Number 3"/>
    <w:basedOn w:val="1"/>
    <w:uiPriority w:val="0"/>
    <w:pPr>
      <w:tabs>
        <w:tab w:val="left" w:pos="1200"/>
      </w:tabs>
      <w:ind w:left="1200" w:hanging="360"/>
    </w:pPr>
  </w:style>
  <w:style w:type="paragraph" w:styleId="24">
    <w:name w:val="List 2"/>
    <w:basedOn w:val="1"/>
    <w:uiPriority w:val="0"/>
    <w:pPr>
      <w:ind w:left="100" w:leftChars="200" w:hanging="200" w:hangingChars="200"/>
    </w:pPr>
    <w:rPr>
      <w:sz w:val="28"/>
    </w:rPr>
  </w:style>
  <w:style w:type="paragraph" w:styleId="25">
    <w:name w:val="toc 5"/>
    <w:basedOn w:val="1"/>
    <w:next w:val="1"/>
    <w:uiPriority w:val="0"/>
    <w:pPr>
      <w:ind w:left="1680" w:leftChars="800"/>
    </w:pPr>
    <w:rPr>
      <w:szCs w:val="22"/>
    </w:rPr>
  </w:style>
  <w:style w:type="paragraph" w:styleId="26">
    <w:name w:val="toc 3"/>
    <w:basedOn w:val="1"/>
    <w:next w:val="1"/>
    <w:semiHidden/>
    <w:uiPriority w:val="0"/>
    <w:pPr>
      <w:ind w:left="840"/>
    </w:pPr>
  </w:style>
  <w:style w:type="paragraph" w:styleId="27">
    <w:name w:val="Plain Text"/>
    <w:basedOn w:val="1"/>
    <w:next w:val="1"/>
    <w:link w:val="181"/>
    <w:uiPriority w:val="0"/>
    <w:pPr>
      <w:spacing w:before="156" w:beforeLines="50" w:after="156" w:afterLines="50" w:line="400" w:lineRule="exact"/>
    </w:pPr>
    <w:rPr>
      <w:rFonts w:ascii="宋体" w:hAnsi="Courier New" w:eastAsia="楷体_GB2312"/>
      <w:sz w:val="26"/>
      <w:szCs w:val="20"/>
    </w:rPr>
  </w:style>
  <w:style w:type="paragraph" w:styleId="28">
    <w:name w:val="toc 8"/>
    <w:basedOn w:val="1"/>
    <w:next w:val="1"/>
    <w:uiPriority w:val="0"/>
    <w:pPr>
      <w:ind w:left="2940" w:leftChars="1400"/>
    </w:pPr>
    <w:rPr>
      <w:szCs w:val="22"/>
    </w:rPr>
  </w:style>
  <w:style w:type="paragraph" w:styleId="29">
    <w:name w:val="Date"/>
    <w:basedOn w:val="1"/>
    <w:next w:val="1"/>
    <w:link w:val="67"/>
    <w:uiPriority w:val="0"/>
    <w:pPr>
      <w:ind w:leftChars="2500"/>
    </w:pPr>
    <w:rPr>
      <w:rFonts w:eastAsia="楷体_GB2312"/>
      <w:sz w:val="32"/>
      <w:szCs w:val="20"/>
    </w:rPr>
  </w:style>
  <w:style w:type="paragraph" w:styleId="30">
    <w:name w:val="Body Text Indent 2"/>
    <w:basedOn w:val="1"/>
    <w:link w:val="115"/>
    <w:uiPriority w:val="0"/>
    <w:pPr>
      <w:snapToGrid w:val="0"/>
      <w:ind w:firstLine="542" w:firstLineChars="225"/>
    </w:pPr>
    <w:rPr>
      <w:rFonts w:ascii="仿宋_GB2312" w:hAnsi="宋体" w:cs="Arial"/>
      <w:b/>
      <w:bCs/>
      <w:color w:val="000000"/>
      <w:sz w:val="24"/>
    </w:rPr>
  </w:style>
  <w:style w:type="paragraph" w:styleId="31">
    <w:name w:val="Balloon Text"/>
    <w:basedOn w:val="1"/>
    <w:link w:val="150"/>
    <w:semiHidden/>
    <w:uiPriority w:val="0"/>
    <w:rPr>
      <w:sz w:val="18"/>
      <w:szCs w:val="18"/>
    </w:rPr>
  </w:style>
  <w:style w:type="paragraph" w:styleId="32">
    <w:name w:val="footer"/>
    <w:basedOn w:val="1"/>
    <w:link w:val="118"/>
    <w:uiPriority w:val="0"/>
    <w:pPr>
      <w:tabs>
        <w:tab w:val="center" w:pos="4153"/>
        <w:tab w:val="right" w:pos="8306"/>
      </w:tabs>
      <w:snapToGrid w:val="0"/>
      <w:jc w:val="left"/>
    </w:pPr>
    <w:rPr>
      <w:sz w:val="18"/>
      <w:szCs w:val="18"/>
    </w:rPr>
  </w:style>
  <w:style w:type="paragraph" w:styleId="33">
    <w:name w:val="header"/>
    <w:basedOn w:val="1"/>
    <w:link w:val="93"/>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semiHidden/>
    <w:uiPriority w:val="0"/>
  </w:style>
  <w:style w:type="paragraph" w:styleId="35">
    <w:name w:val="toc 4"/>
    <w:basedOn w:val="1"/>
    <w:next w:val="1"/>
    <w:uiPriority w:val="0"/>
    <w:pPr>
      <w:ind w:left="1260" w:leftChars="600"/>
    </w:pPr>
    <w:rPr>
      <w:szCs w:val="22"/>
    </w:rPr>
  </w:style>
  <w:style w:type="paragraph" w:styleId="36">
    <w:name w:val="List"/>
    <w:basedOn w:val="1"/>
    <w:uiPriority w:val="0"/>
    <w:pPr>
      <w:ind w:left="200" w:hanging="200" w:hangingChars="200"/>
    </w:pPr>
    <w:rPr>
      <w:sz w:val="28"/>
    </w:rPr>
  </w:style>
  <w:style w:type="paragraph" w:styleId="37">
    <w:name w:val="footnote text"/>
    <w:basedOn w:val="1"/>
    <w:link w:val="164"/>
    <w:unhideWhenUsed/>
    <w:uiPriority w:val="0"/>
    <w:pPr>
      <w:snapToGrid w:val="0"/>
      <w:jc w:val="left"/>
    </w:pPr>
    <w:rPr>
      <w:rFonts w:ascii="Calibri" w:hAnsi="Calibri"/>
      <w:sz w:val="18"/>
      <w:szCs w:val="18"/>
    </w:rPr>
  </w:style>
  <w:style w:type="paragraph" w:styleId="38">
    <w:name w:val="toc 6"/>
    <w:basedOn w:val="1"/>
    <w:next w:val="1"/>
    <w:uiPriority w:val="0"/>
    <w:pPr>
      <w:ind w:left="2100" w:leftChars="1000"/>
    </w:pPr>
    <w:rPr>
      <w:szCs w:val="22"/>
    </w:rPr>
  </w:style>
  <w:style w:type="paragraph" w:styleId="39">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40">
    <w:name w:val="toc 2"/>
    <w:basedOn w:val="1"/>
    <w:next w:val="1"/>
    <w:semiHidden/>
    <w:uiPriority w:val="0"/>
    <w:pPr>
      <w:ind w:left="420"/>
    </w:pPr>
  </w:style>
  <w:style w:type="paragraph" w:styleId="41">
    <w:name w:val="toc 9"/>
    <w:basedOn w:val="1"/>
    <w:next w:val="1"/>
    <w:uiPriority w:val="0"/>
    <w:pPr>
      <w:ind w:left="3360" w:leftChars="1600"/>
    </w:pPr>
    <w:rPr>
      <w:szCs w:val="22"/>
    </w:rPr>
  </w:style>
  <w:style w:type="paragraph" w:styleId="42">
    <w:name w:val="Body Text 2"/>
    <w:basedOn w:val="1"/>
    <w:link w:val="90"/>
    <w:uiPriority w:val="0"/>
    <w:pPr>
      <w:widowControl/>
      <w:snapToGrid w:val="0"/>
      <w:spacing w:before="50" w:after="156" w:afterLines="50" w:line="400" w:lineRule="exact"/>
      <w:jc w:val="left"/>
    </w:pPr>
    <w:rPr>
      <w:rFonts w:ascii="宋体" w:hAnsi="宋体"/>
      <w:color w:val="000000"/>
      <w:sz w:val="24"/>
    </w:rPr>
  </w:style>
  <w:style w:type="paragraph" w:styleId="43">
    <w:name w:val="HTML Preformatted"/>
    <w:basedOn w:val="1"/>
    <w:link w:val="128"/>
    <w:uiPriority w:val="0"/>
    <w:rPr>
      <w:rFonts w:ascii="Courier New" w:hAnsi="Courier New"/>
      <w:sz w:val="20"/>
      <w:szCs w:val="20"/>
    </w:rPr>
  </w:style>
  <w:style w:type="paragraph" w:styleId="44">
    <w:name w:val="Normal (Web)"/>
    <w:basedOn w:val="1"/>
    <w:uiPriority w:val="0"/>
    <w:pPr>
      <w:widowControl/>
      <w:spacing w:before="100" w:beforeAutospacing="1" w:after="100" w:afterAutospacing="1"/>
      <w:jc w:val="left"/>
    </w:pPr>
    <w:rPr>
      <w:rFonts w:ascii="宋体" w:hAnsi="宋体"/>
      <w:kern w:val="0"/>
      <w:sz w:val="24"/>
      <w:szCs w:val="22"/>
    </w:rPr>
  </w:style>
  <w:style w:type="paragraph" w:styleId="45">
    <w:name w:val="Title"/>
    <w:basedOn w:val="1"/>
    <w:next w:val="1"/>
    <w:link w:val="149"/>
    <w:qFormat/>
    <w:uiPriority w:val="0"/>
    <w:pPr>
      <w:spacing w:before="240" w:after="60"/>
      <w:jc w:val="center"/>
      <w:outlineLvl w:val="0"/>
    </w:pPr>
    <w:rPr>
      <w:rFonts w:ascii="Cambria" w:hAnsi="Cambria"/>
      <w:b/>
      <w:bCs/>
      <w:sz w:val="32"/>
      <w:szCs w:val="32"/>
    </w:rPr>
  </w:style>
  <w:style w:type="paragraph" w:styleId="46">
    <w:name w:val="annotation subject"/>
    <w:basedOn w:val="18"/>
    <w:next w:val="18"/>
    <w:link w:val="83"/>
    <w:unhideWhenUsed/>
    <w:uiPriority w:val="0"/>
    <w:rPr>
      <w:rFonts w:ascii="Times New Roman" w:eastAsia="宋体"/>
      <w:b/>
      <w:bCs/>
      <w:sz w:val="21"/>
      <w:szCs w:val="20"/>
    </w:rPr>
  </w:style>
  <w:style w:type="paragraph" w:styleId="47">
    <w:name w:val="Body Text First Indent 2"/>
    <w:basedOn w:val="22"/>
    <w:uiPriority w:val="0"/>
    <w:pPr>
      <w:ind w:firstLine="420" w:firstLineChars="200"/>
    </w:pPr>
  </w:style>
  <w:style w:type="table" w:styleId="49">
    <w:name w:val="Table Grid"/>
    <w:basedOn w:val="48"/>
    <w:uiPriority w:val="0"/>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Professional"/>
    <w:basedOn w:val="48"/>
    <w:uiPriority w:val="0"/>
    <w:pPr>
      <w:widowControl w:val="0"/>
      <w:jc w:val="both"/>
    </w:pPr>
    <w:tblPr>
      <w:tblStyle w:val="48"/>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48"/>
      </w:tblPr>
      <w:tcPr>
        <w:tcBorders>
          <w:top w:val="nil"/>
          <w:left w:val="nil"/>
          <w:bottom w:val="nil"/>
          <w:right w:val="nil"/>
          <w:insideH w:val="nil"/>
          <w:insideV w:val="nil"/>
          <w:tl2br w:val="nil"/>
          <w:tr2bl w:val="nil"/>
        </w:tcBorders>
        <w:shd w:val="solid" w:color="000000" w:fill="FFFFFF"/>
      </w:tcPr>
    </w:tblStylePr>
  </w:style>
  <w:style w:type="character" w:styleId="52">
    <w:name w:val="Strong"/>
    <w:basedOn w:val="51"/>
    <w:qFormat/>
    <w:uiPriority w:val="0"/>
    <w:rPr>
      <w:b/>
      <w:bCs/>
    </w:rPr>
  </w:style>
  <w:style w:type="character" w:styleId="53">
    <w:name w:val="page number"/>
    <w:basedOn w:val="51"/>
    <w:uiPriority w:val="0"/>
  </w:style>
  <w:style w:type="character" w:styleId="54">
    <w:name w:val="FollowedHyperlink"/>
    <w:uiPriority w:val="0"/>
    <w:rPr>
      <w:color w:val="3177FD"/>
      <w:u w:val="none"/>
    </w:rPr>
  </w:style>
  <w:style w:type="character" w:styleId="55">
    <w:name w:val="Emphasis"/>
    <w:qFormat/>
    <w:uiPriority w:val="0"/>
    <w:rPr>
      <w:color w:val="CC0033"/>
    </w:rPr>
  </w:style>
  <w:style w:type="character" w:styleId="56">
    <w:name w:val="HTML Definition"/>
    <w:uiPriority w:val="0"/>
    <w:rPr>
      <w:i/>
    </w:rPr>
  </w:style>
  <w:style w:type="character" w:styleId="57">
    <w:name w:val="Hyperlink"/>
    <w:basedOn w:val="51"/>
    <w:uiPriority w:val="0"/>
    <w:rPr>
      <w:color w:val="3177FD"/>
      <w:u w:val="none"/>
    </w:rPr>
  </w:style>
  <w:style w:type="character" w:styleId="58">
    <w:name w:val="HTML Code"/>
    <w:uiPriority w:val="0"/>
    <w:rPr>
      <w:rFonts w:ascii="Consolas" w:hAnsi="Consolas" w:eastAsia="Consolas" w:cs="Consolas"/>
      <w:sz w:val="21"/>
      <w:szCs w:val="21"/>
    </w:rPr>
  </w:style>
  <w:style w:type="character" w:styleId="59">
    <w:name w:val="annotation reference"/>
    <w:uiPriority w:val="0"/>
    <w:rPr>
      <w:sz w:val="21"/>
      <w:szCs w:val="21"/>
    </w:rPr>
  </w:style>
  <w:style w:type="character" w:styleId="60">
    <w:name w:val="HTML Keyboard"/>
    <w:uiPriority w:val="0"/>
    <w:rPr>
      <w:rFonts w:hint="default" w:ascii="Consolas" w:hAnsi="Consolas" w:eastAsia="Consolas" w:cs="Consolas"/>
      <w:sz w:val="21"/>
      <w:szCs w:val="21"/>
    </w:rPr>
  </w:style>
  <w:style w:type="character" w:styleId="61">
    <w:name w:val="HTML Sample"/>
    <w:uiPriority w:val="0"/>
    <w:rPr>
      <w:rFonts w:hint="default" w:ascii="Consolas" w:hAnsi="Consolas" w:eastAsia="Consolas" w:cs="Consolas"/>
      <w:sz w:val="21"/>
      <w:szCs w:val="21"/>
    </w:rPr>
  </w:style>
  <w:style w:type="character" w:customStyle="1" w:styleId="62">
    <w:name w:val="b titlename wangputoptitle"/>
    <w:basedOn w:val="51"/>
    <w:uiPriority w:val="0"/>
  </w:style>
  <w:style w:type="character" w:customStyle="1" w:styleId="63">
    <w:name w:val="font121"/>
    <w:uiPriority w:val="0"/>
    <w:rPr>
      <w:rFonts w:ascii="Arial" w:hAnsi="Arial" w:cs="Arial"/>
      <w:color w:val="000000"/>
      <w:sz w:val="24"/>
      <w:szCs w:val="24"/>
      <w:u w:val="none"/>
    </w:rPr>
  </w:style>
  <w:style w:type="character" w:customStyle="1" w:styleId="64">
    <w:name w:val=" Char Char3"/>
    <w:uiPriority w:val="0"/>
    <w:rPr>
      <w:kern w:val="2"/>
      <w:sz w:val="21"/>
    </w:rPr>
  </w:style>
  <w:style w:type="character" w:customStyle="1" w:styleId="65">
    <w:name w:val="正文缩进 Char"/>
    <w:link w:val="6"/>
    <w:uiPriority w:val="0"/>
    <w:rPr>
      <w:rFonts w:eastAsia="宋体"/>
      <w:kern w:val="2"/>
      <w:sz w:val="21"/>
      <w:lang w:val="en-US" w:eastAsia="zh-CN" w:bidi="ar-SA"/>
    </w:rPr>
  </w:style>
  <w:style w:type="character" w:customStyle="1" w:styleId="66">
    <w:name w:val="列出段落 字符"/>
    <w:uiPriority w:val="0"/>
    <w:rPr>
      <w:rFonts w:ascii="Calibri" w:hAnsi="Calibri" w:eastAsia="宋体"/>
      <w:kern w:val="2"/>
      <w:sz w:val="21"/>
      <w:szCs w:val="22"/>
      <w:lang w:val="en-US" w:eastAsia="zh-CN" w:bidi="ar-SA"/>
    </w:rPr>
  </w:style>
  <w:style w:type="character" w:customStyle="1" w:styleId="67">
    <w:name w:val="日期 Char"/>
    <w:link w:val="29"/>
    <w:uiPriority w:val="0"/>
    <w:rPr>
      <w:rFonts w:eastAsia="楷体_GB2312"/>
      <w:kern w:val="2"/>
      <w:sz w:val="32"/>
      <w:lang w:val="en-US" w:eastAsia="zh-CN" w:bidi="ar-SA"/>
    </w:rPr>
  </w:style>
  <w:style w:type="character" w:customStyle="1" w:styleId="68">
    <w:name w:val="标题 4 Char1"/>
    <w:link w:val="7"/>
    <w:semiHidden/>
    <w:uiPriority w:val="0"/>
    <w:rPr>
      <w:rFonts w:ascii="Cambria" w:hAnsi="Cambria" w:eastAsia="宋体"/>
      <w:b/>
      <w:bCs/>
      <w:kern w:val="2"/>
      <w:sz w:val="28"/>
      <w:szCs w:val="28"/>
      <w:lang w:val="en-US" w:eastAsia="zh-CN" w:bidi="ar-SA"/>
    </w:rPr>
  </w:style>
  <w:style w:type="character" w:customStyle="1" w:styleId="69">
    <w:name w:val=" Char Char6"/>
    <w:uiPriority w:val="0"/>
    <w:rPr>
      <w:rFonts w:ascii="仿宋_GB2312" w:eastAsia="仿宋_GB2312"/>
      <w:kern w:val="2"/>
      <w:sz w:val="28"/>
      <w:szCs w:val="28"/>
      <w:lang w:val="en-US" w:eastAsia="zh-CN" w:bidi="ar-SA"/>
    </w:rPr>
  </w:style>
  <w:style w:type="character" w:customStyle="1" w:styleId="70">
    <w:name w:val="ant-tree-iconele"/>
    <w:basedOn w:val="51"/>
    <w:uiPriority w:val="0"/>
  </w:style>
  <w:style w:type="character" w:customStyle="1" w:styleId="71">
    <w:name w:val="first-child"/>
    <w:basedOn w:val="51"/>
    <w:uiPriority w:val="0"/>
  </w:style>
  <w:style w:type="character" w:customStyle="1" w:styleId="72">
    <w:name w:val="info-label"/>
    <w:uiPriority w:val="0"/>
    <w:rPr>
      <w:b/>
    </w:rPr>
  </w:style>
  <w:style w:type="character" w:customStyle="1" w:styleId="73">
    <w:name w:val="列出段落 Char"/>
    <w:link w:val="74"/>
    <w:uiPriority w:val="0"/>
    <w:rPr>
      <w:rFonts w:ascii="Calibri" w:hAnsi="Calibri" w:eastAsia="宋体"/>
      <w:kern w:val="2"/>
      <w:sz w:val="21"/>
      <w:szCs w:val="22"/>
      <w:lang w:val="en-US" w:eastAsia="zh-CN" w:bidi="ar-SA"/>
    </w:rPr>
  </w:style>
  <w:style w:type="paragraph" w:styleId="74">
    <w:name w:val="List Paragraph"/>
    <w:basedOn w:val="1"/>
    <w:link w:val="73"/>
    <w:qFormat/>
    <w:uiPriority w:val="0"/>
    <w:pPr>
      <w:ind w:left="720"/>
    </w:pPr>
    <w:rPr>
      <w:rFonts w:ascii="Calibri" w:hAnsi="Calibri"/>
      <w:szCs w:val="22"/>
    </w:rPr>
  </w:style>
  <w:style w:type="character" w:customStyle="1" w:styleId="75">
    <w:name w:val="flname7"/>
    <w:basedOn w:val="51"/>
    <w:uiPriority w:val="0"/>
  </w:style>
  <w:style w:type="character" w:customStyle="1" w:styleId="76">
    <w:name w:val="ant-tree-icon_loading"/>
    <w:uiPriority w:val="0"/>
    <w:rPr>
      <w:shd w:val="clear" w:color="auto" w:fill="FFFFFF"/>
    </w:rPr>
  </w:style>
  <w:style w:type="character" w:customStyle="1" w:styleId="77">
    <w:name w:val="标题 8 Char"/>
    <w:link w:val="11"/>
    <w:semiHidden/>
    <w:locked/>
    <w:uiPriority w:val="0"/>
    <w:rPr>
      <w:rFonts w:ascii="Cambria" w:hAnsi="Cambria" w:eastAsia="宋体"/>
      <w:kern w:val="2"/>
      <w:sz w:val="24"/>
      <w:szCs w:val="24"/>
      <w:lang w:bidi="ar-SA"/>
    </w:rPr>
  </w:style>
  <w:style w:type="character" w:customStyle="1" w:styleId="78">
    <w:name w:val="h3 Char"/>
    <w:aliases w:val="3rd level Char,标题 3 Char Char,Level 3 Head Char,H3 Char,Heading 3 - old Char,level_3 Char,PIM 3 Char,sect1.2.3 Char,prop3 Char,3heading Char,heading 3 Char,Heading 31 Char,ISO2 Char,L3 Char,l3 Char,CT Char,sect1.2.31 Char,sect1.2.32 Char,bh Char"/>
    <w:semiHidden/>
    <w:locked/>
    <w:uiPriority w:val="0"/>
    <w:rPr>
      <w:rFonts w:ascii="仿宋_GB2312" w:hAnsi="宋体" w:eastAsia="仿宋_GB2312"/>
      <w:kern w:val="2"/>
      <w:sz w:val="30"/>
      <w:lang w:val="en-US" w:eastAsia="zh-CN" w:bidi="ar-SA"/>
    </w:rPr>
  </w:style>
  <w:style w:type="character" w:customStyle="1" w:styleId="79">
    <w:name w:val="标题 3 字符"/>
    <w:uiPriority w:val="0"/>
    <w:rPr>
      <w:rFonts w:ascii="仿宋_GB2312" w:eastAsia="仿宋_GB2312"/>
      <w:b/>
      <w:bCs/>
      <w:kern w:val="2"/>
      <w:sz w:val="30"/>
    </w:rPr>
  </w:style>
  <w:style w:type="character" w:customStyle="1" w:styleId="80">
    <w:name w:val="font71"/>
    <w:qFormat/>
    <w:uiPriority w:val="0"/>
    <w:rPr>
      <w:rFonts w:hint="default" w:ascii="Times New Roman" w:hAnsi="Times New Roman" w:cs="Times New Roman"/>
      <w:color w:val="000000"/>
      <w:sz w:val="21"/>
      <w:szCs w:val="21"/>
      <w:u w:val="none"/>
    </w:rPr>
  </w:style>
  <w:style w:type="character" w:customStyle="1" w:styleId="81">
    <w:name w:val="标题 3 Char"/>
    <w:link w:val="5"/>
    <w:semiHidden/>
    <w:locked/>
    <w:uiPriority w:val="0"/>
    <w:rPr>
      <w:rFonts w:ascii="仿宋_GB2312" w:hAnsi="宋体" w:eastAsia="仿宋_GB2312"/>
      <w:kern w:val="2"/>
      <w:sz w:val="30"/>
      <w:lang w:val="en-US" w:eastAsia="zh-CN" w:bidi="ar-SA"/>
    </w:rPr>
  </w:style>
  <w:style w:type="character" w:customStyle="1" w:styleId="82">
    <w:name w:val="ant-tree-switcher"/>
    <w:basedOn w:val="51"/>
    <w:uiPriority w:val="0"/>
  </w:style>
  <w:style w:type="character" w:customStyle="1" w:styleId="83">
    <w:name w:val="批注主题 Char"/>
    <w:link w:val="46"/>
    <w:uiPriority w:val="0"/>
    <w:rPr>
      <w:rFonts w:eastAsia="宋体"/>
      <w:b/>
      <w:bCs/>
      <w:kern w:val="2"/>
      <w:sz w:val="21"/>
      <w:lang w:val="en-US" w:eastAsia="zh-CN" w:bidi="ar-SA"/>
    </w:rPr>
  </w:style>
  <w:style w:type="character" w:customStyle="1" w:styleId="84">
    <w:name w:val="标题 1 Char1"/>
    <w:link w:val="3"/>
    <w:uiPriority w:val="0"/>
    <w:rPr>
      <w:rFonts w:eastAsia="宋体"/>
      <w:b/>
      <w:bCs/>
      <w:kern w:val="44"/>
      <w:sz w:val="44"/>
      <w:szCs w:val="44"/>
      <w:lang w:val="en-US" w:eastAsia="zh-CN" w:bidi="ar-SA"/>
    </w:rPr>
  </w:style>
  <w:style w:type="character" w:customStyle="1" w:styleId="85">
    <w:name w:val="font01"/>
    <w:qFormat/>
    <w:uiPriority w:val="0"/>
    <w:rPr>
      <w:rFonts w:ascii="宋体" w:hAnsi="宋体" w:eastAsia="宋体" w:cs="宋体"/>
      <w:color w:val="000000"/>
      <w:sz w:val="24"/>
      <w:szCs w:val="24"/>
      <w:u w:val="none"/>
      <w:vertAlign w:val="superscript"/>
    </w:rPr>
  </w:style>
  <w:style w:type="character" w:customStyle="1" w:styleId="86">
    <w:name w:val="Footer Char"/>
    <w:locked/>
    <w:uiPriority w:val="0"/>
    <w:rPr>
      <w:rFonts w:ascii="Calibri" w:hAnsi="Calibri" w:eastAsia="宋体" w:cs="Calibri"/>
      <w:kern w:val="0"/>
      <w:sz w:val="18"/>
      <w:szCs w:val="18"/>
    </w:rPr>
  </w:style>
  <w:style w:type="character" w:customStyle="1" w:styleId="87">
    <w:name w:val=" Char Char15"/>
    <w:semiHidden/>
    <w:locked/>
    <w:uiPriority w:val="0"/>
    <w:rPr>
      <w:rFonts w:ascii="Arial" w:hAnsi="Arial" w:eastAsia="黑体"/>
      <w:b/>
      <w:bCs/>
      <w:kern w:val="2"/>
      <w:sz w:val="32"/>
      <w:szCs w:val="32"/>
      <w:lang w:val="en-US" w:eastAsia="zh-CN" w:bidi="ar-SA"/>
    </w:rPr>
  </w:style>
  <w:style w:type="character" w:customStyle="1" w:styleId="88">
    <w:name w:val="正文（首行缩进2字符） Char"/>
    <w:link w:val="89"/>
    <w:uiPriority w:val="0"/>
    <w:rPr>
      <w:kern w:val="2"/>
      <w:sz w:val="21"/>
      <w:szCs w:val="21"/>
      <w:lang w:bidi="ar-SA"/>
    </w:rPr>
  </w:style>
  <w:style w:type="paragraph" w:customStyle="1" w:styleId="89">
    <w:name w:val="正文（首行缩进2字符）"/>
    <w:basedOn w:val="1"/>
    <w:link w:val="88"/>
    <w:uiPriority w:val="0"/>
    <w:pPr>
      <w:spacing w:line="360" w:lineRule="auto"/>
      <w:ind w:firstLine="420" w:firstLineChars="200"/>
    </w:pPr>
    <w:rPr>
      <w:szCs w:val="21"/>
    </w:rPr>
  </w:style>
  <w:style w:type="character" w:customStyle="1" w:styleId="90">
    <w:name w:val="正文文本 2 Char"/>
    <w:link w:val="42"/>
    <w:uiPriority w:val="0"/>
    <w:rPr>
      <w:rFonts w:ascii="宋体" w:hAnsi="宋体" w:eastAsia="宋体"/>
      <w:color w:val="000000"/>
      <w:kern w:val="2"/>
      <w:sz w:val="24"/>
      <w:szCs w:val="24"/>
      <w:lang w:val="en-US" w:eastAsia="zh-CN" w:bidi="ar-SA"/>
    </w:rPr>
  </w:style>
  <w:style w:type="character" w:customStyle="1" w:styleId="91">
    <w:name w:val="PIM 7 Char"/>
    <w:aliases w:val="h7 Char,st Char,SDL title Char,L7 Char,Legal Level 1.1. Char,不用 Char,正文七级标题 Char,H TIMES1 Char,ITT t7 Char,PA Appendix Major Char,标题 7 Char2 Char,标题 7 Char Char1 Char,标题 7 Char1 Char Char1 Char,标题 7 Char Char Char Char Char,（1） Char,H7 Char"/>
    <w:semiHidden/>
    <w:locked/>
    <w:uiPriority w:val="0"/>
    <w:rPr>
      <w:rFonts w:ascii="Calibri" w:hAnsi="Calibri" w:eastAsia="宋体"/>
      <w:b/>
      <w:bCs/>
      <w:kern w:val="2"/>
      <w:sz w:val="24"/>
      <w:szCs w:val="24"/>
      <w:lang w:bidi="ar-SA"/>
    </w:rPr>
  </w:style>
  <w:style w:type="character" w:customStyle="1" w:styleId="92">
    <w:name w:val="normal_text"/>
    <w:basedOn w:val="51"/>
    <w:uiPriority w:val="0"/>
  </w:style>
  <w:style w:type="character" w:customStyle="1" w:styleId="93">
    <w:name w:val="页眉 Char1"/>
    <w:link w:val="33"/>
    <w:locked/>
    <w:uiPriority w:val="0"/>
    <w:rPr>
      <w:rFonts w:eastAsia="宋体"/>
      <w:kern w:val="2"/>
      <w:sz w:val="18"/>
      <w:szCs w:val="18"/>
      <w:lang w:val="en-US" w:eastAsia="zh-CN" w:bidi="ar-SA"/>
    </w:rPr>
  </w:style>
  <w:style w:type="character" w:customStyle="1" w:styleId="94">
    <w:name w:val="批注主题 字符"/>
    <w:uiPriority w:val="0"/>
    <w:rPr>
      <w:b/>
      <w:bCs/>
      <w:kern w:val="2"/>
      <w:sz w:val="21"/>
      <w:szCs w:val="24"/>
    </w:rPr>
  </w:style>
  <w:style w:type="character" w:customStyle="1" w:styleId="95">
    <w:name w:val="页眉 Char"/>
    <w:uiPriority w:val="0"/>
    <w:rPr>
      <w:sz w:val="18"/>
      <w:szCs w:val="18"/>
    </w:rPr>
  </w:style>
  <w:style w:type="character" w:customStyle="1" w:styleId="96">
    <w:name w:val="font111"/>
    <w:uiPriority w:val="0"/>
    <w:rPr>
      <w:rFonts w:ascii="Calibri" w:hAnsi="Calibri" w:cs="Calibri"/>
      <w:color w:val="000000"/>
      <w:sz w:val="21"/>
      <w:szCs w:val="21"/>
      <w:u w:val="none"/>
    </w:rPr>
  </w:style>
  <w:style w:type="character" w:customStyle="1" w:styleId="97">
    <w:name w:val="标题 2 字符"/>
    <w:uiPriority w:val="0"/>
    <w:rPr>
      <w:rFonts w:ascii="仿宋_GB2312" w:eastAsia="仿宋_GB2312"/>
      <w:b/>
      <w:sz w:val="36"/>
    </w:rPr>
  </w:style>
  <w:style w:type="character" w:customStyle="1" w:styleId="98">
    <w:name w:val="题注 Char"/>
    <w:link w:val="15"/>
    <w:uiPriority w:val="0"/>
    <w:rPr>
      <w:rFonts w:ascii="Arial" w:hAnsi="Arial" w:eastAsia="黑体" w:cs="Arial"/>
      <w:kern w:val="2"/>
      <w:lang w:val="en-US" w:eastAsia="zh-CN" w:bidi="ar-SA"/>
    </w:rPr>
  </w:style>
  <w:style w:type="character" w:customStyle="1" w:styleId="99">
    <w:name w:val="font3"/>
    <w:basedOn w:val="51"/>
    <w:uiPriority w:val="0"/>
  </w:style>
  <w:style w:type="character" w:customStyle="1" w:styleId="100">
    <w:name w:val="标题 6 Char"/>
    <w:link w:val="9"/>
    <w:semiHidden/>
    <w:locked/>
    <w:uiPriority w:val="0"/>
    <w:rPr>
      <w:rFonts w:ascii="Cambria" w:hAnsi="Cambria" w:eastAsia="宋体"/>
      <w:b/>
      <w:bCs/>
      <w:kern w:val="2"/>
      <w:sz w:val="24"/>
      <w:szCs w:val="24"/>
      <w:lang w:val="en-US" w:eastAsia="zh-CN" w:bidi="ar-SA"/>
    </w:rPr>
  </w:style>
  <w:style w:type="character" w:customStyle="1" w:styleId="101">
    <w:name w:val="maywed421"/>
    <w:uiPriority w:val="0"/>
    <w:rPr>
      <w:color w:val="366FB6"/>
      <w:u w:val="none"/>
    </w:rPr>
  </w:style>
  <w:style w:type="character" w:customStyle="1" w:styleId="102">
    <w:name w:val="页脚 字符"/>
    <w:uiPriority w:val="0"/>
    <w:rPr>
      <w:rFonts w:eastAsia="宋体"/>
      <w:kern w:val="2"/>
      <w:sz w:val="18"/>
      <w:szCs w:val="18"/>
      <w:lang w:val="en-US" w:eastAsia="zh-CN" w:bidi="ar-SA"/>
    </w:rPr>
  </w:style>
  <w:style w:type="character" w:customStyle="1" w:styleId="103">
    <w:name w:val="PIM 9 Char"/>
    <w:aliases w:val="ft Char,ft1 Char,table Char,heading 9 Char,t Char,table left Char,tl Char,HF Char,figures Char,9 Char,三级标题 Char,标题4，4，h4 Char,Legal Level 1.1.1.1. Char,图的编号 Char,不用9 Char,正文九级标题 Char,ITT t9 Char,huh Char,App Heading Char,progress Char"/>
    <w:semiHidden/>
    <w:locked/>
    <w:uiPriority w:val="0"/>
    <w:rPr>
      <w:rFonts w:ascii="Cambria" w:hAnsi="Cambria" w:eastAsia="宋体"/>
      <w:kern w:val="2"/>
      <w:sz w:val="24"/>
      <w:szCs w:val="21"/>
      <w:lang w:bidi="ar-SA"/>
    </w:rPr>
  </w:style>
  <w:style w:type="character" w:customStyle="1" w:styleId="104">
    <w:name w:val="content6"/>
    <w:basedOn w:val="51"/>
    <w:uiPriority w:val="0"/>
  </w:style>
  <w:style w:type="character" w:customStyle="1" w:styleId="105">
    <w:name w:val="正文文本缩进 Char"/>
    <w:link w:val="22"/>
    <w:uiPriority w:val="0"/>
    <w:rPr>
      <w:rFonts w:ascii="宋体" w:hAnsi="Courier New" w:eastAsia="宋体"/>
      <w:spacing w:val="-4"/>
      <w:kern w:val="2"/>
      <w:sz w:val="18"/>
      <w:lang w:val="en-US" w:eastAsia="zh-CN" w:bidi="ar-SA"/>
    </w:rPr>
  </w:style>
  <w:style w:type="character" w:customStyle="1" w:styleId="106">
    <w:name w:val="文档结构图 字符"/>
    <w:uiPriority w:val="0"/>
    <w:rPr>
      <w:kern w:val="2"/>
      <w:sz w:val="21"/>
      <w:szCs w:val="24"/>
      <w:shd w:val="clear" w:color="auto" w:fill="000080"/>
    </w:rPr>
  </w:style>
  <w:style w:type="character" w:customStyle="1" w:styleId="107">
    <w:name w:val="Plain Text Char"/>
    <w:locked/>
    <w:uiPriority w:val="0"/>
    <w:rPr>
      <w:rFonts w:ascii="宋体" w:hAnsi="Courier New"/>
      <w:sz w:val="24"/>
    </w:rPr>
  </w:style>
  <w:style w:type="character" w:customStyle="1" w:styleId="108">
    <w:name w:val="正文文本 字符"/>
    <w:uiPriority w:val="0"/>
    <w:rPr>
      <w:kern w:val="2"/>
      <w:sz w:val="21"/>
      <w:szCs w:val="24"/>
    </w:rPr>
  </w:style>
  <w:style w:type="character" w:customStyle="1" w:styleId="109">
    <w:name w:val="con"/>
    <w:basedOn w:val="51"/>
    <w:uiPriority w:val="0"/>
  </w:style>
  <w:style w:type="character" w:customStyle="1" w:styleId="110">
    <w:name w:val="标题 4 Char"/>
    <w:uiPriority w:val="0"/>
    <w:rPr>
      <w:rFonts w:ascii="Cambria" w:hAnsi="Cambria" w:eastAsia="宋体" w:cs="Times New Roman"/>
      <w:b/>
      <w:bCs/>
      <w:sz w:val="28"/>
      <w:szCs w:val="28"/>
    </w:rPr>
  </w:style>
  <w:style w:type="character" w:customStyle="1" w:styleId="111">
    <w:name w:val="font12"/>
    <w:qFormat/>
    <w:uiPriority w:val="0"/>
    <w:rPr>
      <w:rFonts w:hint="eastAsia" w:ascii="宋体" w:hAnsi="宋体" w:eastAsia="宋体" w:cs="宋体"/>
      <w:color w:val="000000"/>
      <w:sz w:val="24"/>
      <w:szCs w:val="24"/>
      <w:u w:val="none"/>
    </w:rPr>
  </w:style>
  <w:style w:type="character" w:customStyle="1" w:styleId="112">
    <w:name w:val="标题 2 Char1"/>
    <w:link w:val="4"/>
    <w:semiHidden/>
    <w:locked/>
    <w:uiPriority w:val="0"/>
    <w:rPr>
      <w:rFonts w:ascii="Arial" w:hAnsi="Arial" w:eastAsia="黑体"/>
      <w:b/>
      <w:bCs/>
      <w:kern w:val="2"/>
      <w:sz w:val="32"/>
      <w:szCs w:val="32"/>
      <w:lang w:val="en-US" w:eastAsia="zh-CN" w:bidi="ar-SA"/>
    </w:rPr>
  </w:style>
  <w:style w:type="character" w:customStyle="1" w:styleId="113">
    <w:name w:val="正文文字首行缩进 Char1"/>
    <w:aliases w:val="PI Char1,HD正文1 Char1,正文小标题 Char1,Body Text 2 Char1,正文顶格 Char1,Alt+C Char1,强调文字 Char1,列表项目符号2缩进 Char1,正文文字3 Char Char1"/>
    <w:uiPriority w:val="0"/>
    <w:rPr>
      <w:rFonts w:ascii="宋体" w:hAnsi="Courier New" w:eastAsia="宋体"/>
      <w:spacing w:val="-4"/>
      <w:kern w:val="2"/>
      <w:sz w:val="18"/>
      <w:lang w:val="en-US" w:eastAsia="zh-CN" w:bidi="ar-SA"/>
    </w:rPr>
  </w:style>
  <w:style w:type="character" w:customStyle="1" w:styleId="114">
    <w:name w:val="font122"/>
    <w:uiPriority w:val="0"/>
    <w:rPr>
      <w:rFonts w:ascii="Arial" w:hAnsi="Arial" w:cs="Arial"/>
      <w:color w:val="000000"/>
      <w:sz w:val="16"/>
      <w:szCs w:val="16"/>
      <w:u w:val="none"/>
    </w:rPr>
  </w:style>
  <w:style w:type="character" w:customStyle="1" w:styleId="115">
    <w:name w:val="正文文本缩进 2 Char"/>
    <w:link w:val="30"/>
    <w:uiPriority w:val="0"/>
    <w:rPr>
      <w:rFonts w:ascii="仿宋_GB2312" w:hAnsi="宋体" w:eastAsia="宋体" w:cs="Arial"/>
      <w:b/>
      <w:bCs/>
      <w:color w:val="000000"/>
      <w:kern w:val="2"/>
      <w:sz w:val="24"/>
      <w:szCs w:val="24"/>
      <w:lang w:val="en-US" w:eastAsia="zh-CN" w:bidi="ar-SA"/>
    </w:rPr>
  </w:style>
  <w:style w:type="character" w:customStyle="1" w:styleId="116">
    <w:name w:val="ant-select-tree-checkbox"/>
    <w:basedOn w:val="51"/>
    <w:uiPriority w:val="0"/>
  </w:style>
  <w:style w:type="character" w:customStyle="1" w:styleId="117">
    <w:name w:val="批注文字 Char"/>
    <w:link w:val="18"/>
    <w:uiPriority w:val="0"/>
    <w:rPr>
      <w:rFonts w:ascii="仿宋_GB2312" w:eastAsia="仿宋_GB2312"/>
      <w:kern w:val="2"/>
      <w:sz w:val="28"/>
      <w:szCs w:val="28"/>
      <w:lang w:val="en-US" w:eastAsia="zh-CN" w:bidi="ar-SA"/>
    </w:rPr>
  </w:style>
  <w:style w:type="character" w:customStyle="1" w:styleId="118">
    <w:name w:val="页脚 Char1"/>
    <w:link w:val="32"/>
    <w:uiPriority w:val="0"/>
    <w:rPr>
      <w:rFonts w:eastAsia="宋体"/>
      <w:kern w:val="2"/>
      <w:sz w:val="18"/>
      <w:szCs w:val="18"/>
      <w:lang w:val="en-US" w:eastAsia="zh-CN" w:bidi="ar-SA"/>
    </w:rPr>
  </w:style>
  <w:style w:type="character" w:customStyle="1" w:styleId="119">
    <w:name w:val="current"/>
    <w:uiPriority w:val="0"/>
    <w:rPr>
      <w:color w:val="00C1DE"/>
    </w:rPr>
  </w:style>
  <w:style w:type="character" w:customStyle="1" w:styleId="120">
    <w:name w:val="正文-雅黑 Char"/>
    <w:link w:val="121"/>
    <w:locked/>
    <w:uiPriority w:val="0"/>
    <w:rPr>
      <w:rFonts w:ascii="Calibri" w:hAnsi="Calibri" w:eastAsia="宋体"/>
      <w:kern w:val="2"/>
      <w:sz w:val="21"/>
      <w:szCs w:val="22"/>
      <w:lang w:val="en-US" w:eastAsia="zh-CN" w:bidi="ar-SA"/>
    </w:rPr>
  </w:style>
  <w:style w:type="paragraph" w:customStyle="1" w:styleId="121">
    <w:name w:val="正文-雅黑"/>
    <w:basedOn w:val="1"/>
    <w:link w:val="120"/>
    <w:uiPriority w:val="0"/>
    <w:pPr>
      <w:ind w:firstLine="480" w:firstLineChars="200"/>
    </w:pPr>
    <w:rPr>
      <w:rFonts w:ascii="Calibri" w:hAnsi="Calibri"/>
      <w:szCs w:val="22"/>
    </w:rPr>
  </w:style>
  <w:style w:type="character" w:customStyle="1" w:styleId="122">
    <w:name w:val="页眉 字符"/>
    <w:uiPriority w:val="0"/>
    <w:rPr>
      <w:rFonts w:eastAsia="宋体"/>
      <w:kern w:val="2"/>
      <w:sz w:val="18"/>
      <w:szCs w:val="18"/>
      <w:lang w:val="en-US" w:eastAsia="zh-CN" w:bidi="ar-SA"/>
    </w:rPr>
  </w:style>
  <w:style w:type="character" w:customStyle="1" w:styleId="123">
    <w:name w:val="15"/>
    <w:uiPriority w:val="0"/>
    <w:rPr>
      <w:rFonts w:ascii="Verdana" w:hAnsi="Verdana" w:cs="Times New Roman"/>
      <w:color w:val="C90000"/>
      <w:sz w:val="18"/>
    </w:rPr>
  </w:style>
  <w:style w:type="character" w:customStyle="1" w:styleId="124">
    <w:name w:val="font51"/>
    <w:uiPriority w:val="0"/>
    <w:rPr>
      <w:rFonts w:ascii="Arial Unicode MS" w:hAnsi="Arial Unicode MS" w:eastAsia="Arial Unicode MS" w:cs="Arial Unicode MS"/>
      <w:color w:val="000000"/>
      <w:sz w:val="20"/>
      <w:szCs w:val="20"/>
      <w:u w:val="none"/>
    </w:rPr>
  </w:style>
  <w:style w:type="character" w:customStyle="1" w:styleId="125">
    <w:name w:val="PIM 6 Char"/>
    <w:aliases w:val="H6 Char,标题6 Char,BOD 4 Char,L6 Char,第五层条 Char,h6 Char,Third Subheading Char,Figure label Char,l6 Char,hsm Char,cnp Char,Caption number (page-wide) Char,list 6 Char,h61 Char,heading 6 Char,Heading6 Char,Bullet (Single Lines) Char,6 Char"/>
    <w:semiHidden/>
    <w:locked/>
    <w:uiPriority w:val="0"/>
    <w:rPr>
      <w:rFonts w:ascii="Cambria" w:hAnsi="Cambria" w:eastAsia="宋体"/>
      <w:b/>
      <w:bCs/>
      <w:kern w:val="2"/>
      <w:sz w:val="24"/>
      <w:szCs w:val="24"/>
      <w:lang w:val="en-US" w:eastAsia="zh-CN" w:bidi="ar-SA"/>
    </w:rPr>
  </w:style>
  <w:style w:type="character" w:customStyle="1" w:styleId="126">
    <w:name w:val="标题 4 字符"/>
    <w:uiPriority w:val="0"/>
    <w:rPr>
      <w:rFonts w:ascii="Arial" w:hAnsi="Arial" w:eastAsia="黑体"/>
      <w:b/>
      <w:kern w:val="2"/>
      <w:sz w:val="24"/>
      <w:lang w:val="en-US" w:eastAsia="zh-CN" w:bidi="ar-SA"/>
    </w:rPr>
  </w:style>
  <w:style w:type="character" w:customStyle="1" w:styleId="127">
    <w:name w:val="title14"/>
    <w:basedOn w:val="51"/>
    <w:uiPriority w:val="0"/>
  </w:style>
  <w:style w:type="character" w:customStyle="1" w:styleId="128">
    <w:name w:val="HTML 预设格式 Char"/>
    <w:link w:val="43"/>
    <w:uiPriority w:val="0"/>
    <w:rPr>
      <w:rFonts w:ascii="Courier New" w:hAnsi="Courier New"/>
      <w:kern w:val="2"/>
      <w:lang w:bidi="ar-SA"/>
    </w:rPr>
  </w:style>
  <w:style w:type="character" w:customStyle="1" w:styleId="129">
    <w:name w:val="样式 标题 3 + 小四 Char Char"/>
    <w:qFormat/>
    <w:uiPriority w:val="0"/>
    <w:rPr>
      <w:rFonts w:ascii="宋体" w:hAnsi="宋体" w:eastAsia="宋体" w:cs="Arial"/>
      <w:b/>
      <w:bCs/>
      <w:smallCaps/>
      <w:kern w:val="2"/>
      <w:sz w:val="24"/>
      <w:szCs w:val="24"/>
      <w:lang w:val="en-US" w:eastAsia="zh-CN"/>
    </w:rPr>
  </w:style>
  <w:style w:type="character" w:customStyle="1" w:styleId="130">
    <w:name w:val="标题 6 字符"/>
    <w:uiPriority w:val="0"/>
    <w:rPr>
      <w:rFonts w:ascii="Arial" w:hAnsi="Arial" w:eastAsia="黑体"/>
      <w:b/>
      <w:bCs/>
      <w:kern w:val="2"/>
      <w:sz w:val="24"/>
      <w:szCs w:val="24"/>
    </w:rPr>
  </w:style>
  <w:style w:type="character" w:customStyle="1" w:styleId="131">
    <w:name w:val="文档结构图 Char"/>
    <w:uiPriority w:val="0"/>
    <w:rPr>
      <w:rFonts w:ascii="宋体" w:hAnsi="Courier New" w:eastAsia="宋体"/>
      <w:sz w:val="21"/>
      <w:lang w:val="en-US" w:eastAsia="zh-CN" w:bidi="ar-SA"/>
    </w:rPr>
  </w:style>
  <w:style w:type="character" w:customStyle="1" w:styleId="132">
    <w:name w:val="Item List in Table Char Char"/>
    <w:link w:val="133"/>
    <w:locked/>
    <w:uiPriority w:val="0"/>
    <w:rPr>
      <w:rFonts w:ascii="Arial" w:hAnsi="Arial"/>
      <w:sz w:val="22"/>
      <w:szCs w:val="22"/>
      <w:lang w:val="en-US" w:eastAsia="zh-CN" w:bidi="ar-SA"/>
    </w:rPr>
  </w:style>
  <w:style w:type="paragraph" w:customStyle="1" w:styleId="133">
    <w:name w:val="Item List in Table"/>
    <w:link w:val="132"/>
    <w:uiPriority w:val="0"/>
    <w:pPr>
      <w:tabs>
        <w:tab w:val="left" w:pos="284"/>
      </w:tabs>
      <w:spacing w:before="40" w:after="40"/>
      <w:ind w:left="284" w:hanging="284"/>
      <w:jc w:val="both"/>
    </w:pPr>
    <w:rPr>
      <w:rFonts w:ascii="Arial" w:hAnsi="Arial"/>
      <w:sz w:val="22"/>
      <w:szCs w:val="22"/>
      <w:lang w:val="en-US" w:eastAsia="zh-CN" w:bidi="ar-SA"/>
    </w:rPr>
  </w:style>
  <w:style w:type="character" w:customStyle="1" w:styleId="134">
    <w:name w:val="表格 Char Char"/>
    <w:link w:val="135"/>
    <w:locked/>
    <w:uiPriority w:val="0"/>
    <w:rPr>
      <w:rFonts w:ascii="宋体" w:hAnsi="宋体"/>
      <w:lang w:bidi="ar-SA"/>
    </w:rPr>
  </w:style>
  <w:style w:type="paragraph" w:customStyle="1" w:styleId="135">
    <w:name w:val="表格"/>
    <w:basedOn w:val="1"/>
    <w:link w:val="134"/>
    <w:uiPriority w:val="0"/>
    <w:pPr>
      <w:snapToGrid w:val="0"/>
      <w:ind w:firstLine="42" w:firstLineChars="21"/>
    </w:pPr>
    <w:rPr>
      <w:rFonts w:ascii="宋体" w:hAnsi="宋体"/>
      <w:kern w:val="0"/>
      <w:sz w:val="20"/>
      <w:szCs w:val="20"/>
    </w:rPr>
  </w:style>
  <w:style w:type="character" w:customStyle="1" w:styleId="136">
    <w:name w:val=" Char Char8"/>
    <w:uiPriority w:val="0"/>
    <w:rPr>
      <w:rFonts w:eastAsia="宋体"/>
      <w:kern w:val="2"/>
      <w:sz w:val="18"/>
      <w:szCs w:val="18"/>
      <w:lang w:val="en-US" w:eastAsia="zh-CN" w:bidi="ar-SA"/>
    </w:rPr>
  </w:style>
  <w:style w:type="character" w:customStyle="1" w:styleId="137">
    <w:name w:val="ant-select-tree-iconele"/>
    <w:basedOn w:val="51"/>
    <w:uiPriority w:val="0"/>
  </w:style>
  <w:style w:type="character" w:customStyle="1" w:styleId="138">
    <w:name w:val="font41"/>
    <w:qFormat/>
    <w:uiPriority w:val="0"/>
    <w:rPr>
      <w:rFonts w:hint="eastAsia" w:ascii="宋体" w:hAnsi="宋体" w:eastAsia="宋体" w:cs="宋体"/>
      <w:color w:val="000000"/>
      <w:sz w:val="21"/>
      <w:szCs w:val="21"/>
      <w:u w:val="none"/>
    </w:rPr>
  </w:style>
  <w:style w:type="character" w:customStyle="1" w:styleId="139">
    <w:name w:val="*正文 Char Char"/>
    <w:link w:val="140"/>
    <w:uiPriority w:val="0"/>
    <w:rPr>
      <w:rFonts w:ascii="宋体" w:hAnsi="宋体" w:eastAsia="宋体"/>
      <w:szCs w:val="24"/>
      <w:lang w:bidi="ar-SA"/>
    </w:rPr>
  </w:style>
  <w:style w:type="paragraph" w:customStyle="1" w:styleId="140">
    <w:name w:val="*正文"/>
    <w:basedOn w:val="1"/>
    <w:link w:val="139"/>
    <w:qFormat/>
    <w:uiPriority w:val="0"/>
    <w:pPr>
      <w:spacing w:line="360" w:lineRule="auto"/>
      <w:ind w:firstLine="200" w:firstLineChars="200"/>
    </w:pPr>
    <w:rPr>
      <w:rFonts w:ascii="宋体" w:hAnsi="宋体"/>
      <w:kern w:val="0"/>
      <w:sz w:val="20"/>
    </w:rPr>
  </w:style>
  <w:style w:type="character" w:customStyle="1" w:styleId="141">
    <w:name w:val="NormalCharacter"/>
    <w:semiHidden/>
    <w:qFormat/>
    <w:uiPriority w:val="0"/>
    <w:rPr>
      <w:kern w:val="2"/>
      <w:sz w:val="21"/>
      <w:szCs w:val="24"/>
      <w:lang w:val="en-US" w:eastAsia="zh-CN" w:bidi="ar-SA"/>
    </w:rPr>
  </w:style>
  <w:style w:type="character" w:customStyle="1" w:styleId="142">
    <w:name w:val="正文文本 Char"/>
    <w:link w:val="20"/>
    <w:uiPriority w:val="0"/>
    <w:rPr>
      <w:rFonts w:eastAsia="宋体"/>
      <w:kern w:val="2"/>
      <w:sz w:val="28"/>
      <w:szCs w:val="24"/>
      <w:lang w:val="en-US" w:eastAsia="zh-CN" w:bidi="ar-SA"/>
    </w:rPr>
  </w:style>
  <w:style w:type="character" w:customStyle="1" w:styleId="143">
    <w:name w:val="textcolor1"/>
    <w:uiPriority w:val="0"/>
    <w:rPr>
      <w:color w:val="FF6600"/>
    </w:rPr>
  </w:style>
  <w:style w:type="character" w:customStyle="1" w:styleId="144">
    <w:name w:val="彩色网格 - 强调文字颜色 1 Char"/>
    <w:link w:val="145"/>
    <w:uiPriority w:val="0"/>
    <w:rPr>
      <w:rFonts w:eastAsia="宋体"/>
      <w:i/>
      <w:iCs/>
      <w:color w:val="000000"/>
      <w:kern w:val="2"/>
      <w:sz w:val="21"/>
      <w:szCs w:val="24"/>
      <w:lang w:val="en-US" w:eastAsia="zh-CN" w:bidi="ar-SA"/>
    </w:rPr>
  </w:style>
  <w:style w:type="paragraph" w:customStyle="1" w:styleId="145">
    <w:name w:val="彩色网格 - 强调文字颜色 11"/>
    <w:basedOn w:val="1"/>
    <w:next w:val="1"/>
    <w:link w:val="144"/>
    <w:qFormat/>
    <w:uiPriority w:val="0"/>
    <w:rPr>
      <w:i/>
      <w:iCs/>
      <w:color w:val="000000"/>
    </w:rPr>
  </w:style>
  <w:style w:type="character" w:customStyle="1" w:styleId="146">
    <w:name w:val="para"/>
    <w:basedOn w:val="51"/>
    <w:uiPriority w:val="0"/>
  </w:style>
  <w:style w:type="character" w:customStyle="1" w:styleId="147">
    <w:name w:val="正文文本缩进 字符"/>
    <w:uiPriority w:val="0"/>
    <w:rPr>
      <w:rFonts w:ascii="宋体" w:hAnsi="Courier New"/>
      <w:spacing w:val="-4"/>
      <w:kern w:val="2"/>
      <w:sz w:val="18"/>
    </w:rPr>
  </w:style>
  <w:style w:type="character" w:customStyle="1" w:styleId="148">
    <w:name w:val="标题 1 字符"/>
    <w:uiPriority w:val="0"/>
    <w:rPr>
      <w:rFonts w:eastAsia="宋体"/>
      <w:b/>
      <w:bCs/>
      <w:kern w:val="44"/>
      <w:sz w:val="44"/>
      <w:szCs w:val="44"/>
      <w:lang w:val="en-US" w:eastAsia="zh-CN" w:bidi="ar-SA"/>
    </w:rPr>
  </w:style>
  <w:style w:type="character" w:customStyle="1" w:styleId="149">
    <w:name w:val="标题 Char"/>
    <w:link w:val="45"/>
    <w:uiPriority w:val="0"/>
    <w:rPr>
      <w:rFonts w:ascii="Cambria" w:hAnsi="Cambria" w:eastAsia="宋体"/>
      <w:b/>
      <w:bCs/>
      <w:kern w:val="2"/>
      <w:sz w:val="32"/>
      <w:szCs w:val="32"/>
      <w:lang w:val="en-US" w:eastAsia="zh-CN" w:bidi="ar-SA"/>
    </w:rPr>
  </w:style>
  <w:style w:type="character" w:customStyle="1" w:styleId="150">
    <w:name w:val="批注框文本 Char"/>
    <w:link w:val="31"/>
    <w:semiHidden/>
    <w:uiPriority w:val="0"/>
    <w:rPr>
      <w:rFonts w:eastAsia="宋体"/>
      <w:kern w:val="2"/>
      <w:sz w:val="18"/>
      <w:szCs w:val="18"/>
      <w:lang w:val="en-US" w:eastAsia="zh-CN" w:bidi="ar-SA"/>
    </w:rPr>
  </w:style>
  <w:style w:type="character" w:customStyle="1" w:styleId="151">
    <w:name w:val="font21"/>
    <w:basedOn w:val="51"/>
    <w:uiPriority w:val="0"/>
    <w:rPr>
      <w:rFonts w:ascii="宋体" w:hAnsi="宋体" w:eastAsia="宋体" w:cs="宋体"/>
      <w:color w:val="000000"/>
      <w:sz w:val="22"/>
      <w:szCs w:val="22"/>
      <w:u w:val="none"/>
    </w:rPr>
  </w:style>
  <w:style w:type="character" w:customStyle="1" w:styleId="152">
    <w:name w:val="纯文本 Char1"/>
    <w:link w:val="153"/>
    <w:uiPriority w:val="0"/>
    <w:rPr>
      <w:rFonts w:ascii="宋体" w:hAnsi="Courier New" w:eastAsia="宋体"/>
      <w:kern w:val="2"/>
      <w:sz w:val="21"/>
      <w:szCs w:val="21"/>
      <w:lang w:bidi="ar-SA"/>
    </w:rPr>
  </w:style>
  <w:style w:type="paragraph" w:customStyle="1" w:styleId="153">
    <w:name w:val="Plain Text1"/>
    <w:basedOn w:val="1"/>
    <w:link w:val="152"/>
    <w:uiPriority w:val="0"/>
    <w:pPr>
      <w:widowControl/>
      <w:spacing w:beforeLines="50" w:afterLines="50" w:line="400" w:lineRule="exact"/>
      <w:ind w:firstLine="200" w:firstLineChars="200"/>
      <w:jc w:val="left"/>
    </w:pPr>
    <w:rPr>
      <w:rFonts w:ascii="宋体" w:hAnsi="Courier New"/>
      <w:szCs w:val="21"/>
    </w:rPr>
  </w:style>
  <w:style w:type="character" w:customStyle="1" w:styleId="154">
    <w:name w:val="标题 5 字符"/>
    <w:uiPriority w:val="0"/>
    <w:rPr>
      <w:b/>
      <w:bCs/>
      <w:kern w:val="2"/>
      <w:sz w:val="28"/>
      <w:szCs w:val="28"/>
    </w:rPr>
  </w:style>
  <w:style w:type="character" w:customStyle="1" w:styleId="155">
    <w:name w:val="正文首行缩进 Char"/>
    <w:link w:val="21"/>
    <w:uiPriority w:val="0"/>
    <w:rPr>
      <w:rFonts w:eastAsia="宋体"/>
      <w:kern w:val="2"/>
      <w:sz w:val="21"/>
      <w:szCs w:val="24"/>
      <w:lang w:val="en-US" w:eastAsia="zh-CN" w:bidi="ar-SA"/>
    </w:rPr>
  </w:style>
  <w:style w:type="character" w:customStyle="1" w:styleId="156">
    <w:name w:val="a Char"/>
    <w:link w:val="157"/>
    <w:uiPriority w:val="0"/>
    <w:rPr>
      <w:rFonts w:ascii="仿宋_GB2312" w:eastAsia="仿宋_GB2312"/>
      <w:color w:val="000000"/>
      <w:kern w:val="2"/>
      <w:sz w:val="24"/>
      <w:szCs w:val="24"/>
      <w:lang w:val="zh-CN" w:eastAsia="zh-CN" w:bidi="ar-SA"/>
    </w:rPr>
  </w:style>
  <w:style w:type="paragraph" w:customStyle="1" w:styleId="157">
    <w:name w:val="a"/>
    <w:basedOn w:val="1"/>
    <w:link w:val="156"/>
    <w:uiPriority w:val="0"/>
    <w:pPr>
      <w:autoSpaceDE w:val="0"/>
      <w:autoSpaceDN w:val="0"/>
      <w:adjustRightInd w:val="0"/>
      <w:spacing w:line="440" w:lineRule="atLeast"/>
      <w:ind w:firstLine="480"/>
      <w:jc w:val="left"/>
    </w:pPr>
    <w:rPr>
      <w:rFonts w:ascii="仿宋_GB2312" w:eastAsia="仿宋_GB2312"/>
      <w:color w:val="000000"/>
      <w:sz w:val="24"/>
      <w:lang w:val="zh-CN"/>
    </w:rPr>
  </w:style>
  <w:style w:type="character" w:customStyle="1" w:styleId="158">
    <w:name w:val="label"/>
    <w:basedOn w:val="51"/>
    <w:uiPriority w:val="0"/>
  </w:style>
  <w:style w:type="character" w:customStyle="1" w:styleId="159">
    <w:name w:val="正文对齐 Char"/>
    <w:aliases w:val="正文不缩进 Char,四号 Char,标题4 Char,样式3 Char,段1 Char,表正文 Char,正文非缩进 Char,特点 Char1,。 Char,ALT+Z Char,缩进 Char,正文编号 Char,上海中望标准正文（首行缩进两字） Char,上海中望标准超级链接 Char,正文缩进（首行缩进两字） Char,上海中望标准超级链接 Char Char Char Char,特点 Char Char,水上软件 Char,正文缩进 Char Char,标题四 Char"/>
    <w:uiPriority w:val="0"/>
    <w:rPr>
      <w:rFonts w:eastAsia="宋体"/>
      <w:kern w:val="2"/>
      <w:sz w:val="21"/>
      <w:lang w:val="en-US" w:eastAsia="zh-CN" w:bidi="ar-SA"/>
    </w:rPr>
  </w:style>
  <w:style w:type="character" w:customStyle="1" w:styleId="160">
    <w:name w:val="font91"/>
    <w:qFormat/>
    <w:uiPriority w:val="0"/>
    <w:rPr>
      <w:rFonts w:hint="eastAsia" w:ascii="等线" w:hAnsi="等线" w:eastAsia="等线" w:cs="等线"/>
      <w:color w:val="FF0000"/>
      <w:sz w:val="21"/>
      <w:szCs w:val="21"/>
      <w:u w:val="none"/>
    </w:rPr>
  </w:style>
  <w:style w:type="character" w:customStyle="1" w:styleId="161">
    <w:name w:val="font81"/>
    <w:qFormat/>
    <w:uiPriority w:val="0"/>
    <w:rPr>
      <w:rFonts w:hint="eastAsia" w:ascii="等线" w:hAnsi="等线" w:eastAsia="等线" w:cs="等线"/>
      <w:color w:val="000000"/>
      <w:sz w:val="21"/>
      <w:szCs w:val="21"/>
      <w:u w:val="none"/>
    </w:rPr>
  </w:style>
  <w:style w:type="character" w:customStyle="1" w:styleId="162">
    <w:name w:val="zbggmain style9"/>
    <w:basedOn w:val="51"/>
    <w:uiPriority w:val="0"/>
  </w:style>
  <w:style w:type="character" w:customStyle="1" w:styleId="163">
    <w:name w:val="h Char Char"/>
    <w:locked/>
    <w:uiPriority w:val="0"/>
    <w:rPr>
      <w:rFonts w:eastAsia="仿宋_GB2312"/>
      <w:kern w:val="2"/>
      <w:sz w:val="18"/>
      <w:lang w:val="en-US" w:eastAsia="zh-CN" w:bidi="ar-SA"/>
    </w:rPr>
  </w:style>
  <w:style w:type="character" w:customStyle="1" w:styleId="164">
    <w:name w:val="脚注文本 Char"/>
    <w:link w:val="37"/>
    <w:semiHidden/>
    <w:uiPriority w:val="0"/>
    <w:rPr>
      <w:rFonts w:ascii="Calibri" w:hAnsi="Calibri" w:eastAsia="宋体"/>
      <w:kern w:val="2"/>
      <w:sz w:val="18"/>
      <w:szCs w:val="18"/>
      <w:lang w:val="en-US" w:eastAsia="zh-CN" w:bidi="ar-SA"/>
    </w:rPr>
  </w:style>
  <w:style w:type="character" w:customStyle="1" w:styleId="165">
    <w:name w:val="Heading 1 Char"/>
    <w:locked/>
    <w:uiPriority w:val="0"/>
    <w:rPr>
      <w:rFonts w:eastAsia="宋体" w:cs="Times New Roman"/>
      <w:b/>
      <w:bCs/>
      <w:kern w:val="44"/>
      <w:sz w:val="44"/>
      <w:szCs w:val="44"/>
      <w:lang w:val="en-US" w:eastAsia="zh-CN" w:bidi="ar-SA"/>
    </w:rPr>
  </w:style>
  <w:style w:type="character" w:customStyle="1" w:styleId="166">
    <w:name w:val="普通文字 Char Char1"/>
    <w:aliases w:val="纯文本 Char Char Char,纯文本 Char Char1,普通文字 Char Char Char,普通文字 Char1,普通文字 Char Char Char Char Char Char,普通文字 Char Char Char1,Texte Char,普通文字1 Char,普通文字2 Char,普通文字3 Char,普通文字4 Char,普通文字5 Char,普通文字6 Char,普通文字11 Char,普通文字21 Char,普通文字31 Char"/>
    <w:uiPriority w:val="0"/>
    <w:rPr>
      <w:rFonts w:ascii="宋体" w:hAnsi="Courier New" w:eastAsia="宋体"/>
      <w:kern w:val="2"/>
      <w:sz w:val="21"/>
      <w:lang w:val="en-US" w:eastAsia="zh-CN" w:bidi="ar-SA"/>
    </w:rPr>
  </w:style>
  <w:style w:type="character" w:customStyle="1" w:styleId="167">
    <w:name w:val="ant-tree-checkbox2"/>
    <w:basedOn w:val="51"/>
    <w:uiPriority w:val="0"/>
  </w:style>
  <w:style w:type="character" w:customStyle="1" w:styleId="168">
    <w:name w:val="文档结构图 Char1"/>
    <w:link w:val="17"/>
    <w:uiPriority w:val="0"/>
    <w:rPr>
      <w:rFonts w:ascii="宋体" w:eastAsia="宋体"/>
      <w:sz w:val="18"/>
      <w:szCs w:val="18"/>
      <w:lang w:bidi="ar-SA"/>
    </w:rPr>
  </w:style>
  <w:style w:type="character" w:customStyle="1" w:styleId="169">
    <w:name w:val="apple-converted-space"/>
    <w:uiPriority w:val="0"/>
  </w:style>
  <w:style w:type="character" w:customStyle="1" w:styleId="170">
    <w:name w:val=" Char Char11"/>
    <w:uiPriority w:val="0"/>
    <w:rPr>
      <w:rFonts w:ascii="宋体" w:hAnsi="Courier New" w:eastAsia="宋体"/>
      <w:spacing w:val="-4"/>
      <w:kern w:val="2"/>
      <w:sz w:val="18"/>
      <w:lang w:val="en-US" w:eastAsia="zh-CN" w:bidi="ar-SA"/>
    </w:rPr>
  </w:style>
  <w:style w:type="character" w:customStyle="1" w:styleId="171">
    <w:name w:val=" Char Char Char"/>
    <w:uiPriority w:val="0"/>
    <w:rPr>
      <w:rFonts w:ascii="宋体" w:hAnsi="Courier New" w:eastAsia="宋体"/>
      <w:kern w:val="2"/>
      <w:sz w:val="21"/>
      <w:lang w:val="en-US" w:eastAsia="zh-CN" w:bidi="ar-SA"/>
    </w:rPr>
  </w:style>
  <w:style w:type="character" w:customStyle="1" w:styleId="172">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73">
    <w:name w:val="font61"/>
    <w:uiPriority w:val="0"/>
    <w:rPr>
      <w:rFonts w:hint="eastAsia" w:ascii="宋体" w:hAnsi="宋体" w:eastAsia="宋体" w:cs="宋体"/>
      <w:color w:val="000000"/>
      <w:sz w:val="20"/>
      <w:szCs w:val="20"/>
      <w:u w:val="none"/>
    </w:rPr>
  </w:style>
  <w:style w:type="character" w:customStyle="1" w:styleId="174">
    <w:name w:val="标题 5 Char"/>
    <w:link w:val="8"/>
    <w:uiPriority w:val="0"/>
    <w:rPr>
      <w:rFonts w:eastAsia="宋体"/>
      <w:b/>
      <w:bCs/>
      <w:kern w:val="2"/>
      <w:sz w:val="28"/>
      <w:szCs w:val="28"/>
      <w:lang w:val="en-US" w:eastAsia="zh-CN" w:bidi="ar-SA"/>
    </w:rPr>
  </w:style>
  <w:style w:type="character" w:customStyle="1" w:styleId="175">
    <w:name w:val="ant-select-tree-switcher"/>
    <w:basedOn w:val="51"/>
    <w:uiPriority w:val="0"/>
  </w:style>
  <w:style w:type="character" w:customStyle="1" w:styleId="176">
    <w:name w:val="info-content"/>
    <w:uiPriority w:val="0"/>
    <w:rPr>
      <w:color w:val="808080"/>
    </w:rPr>
  </w:style>
  <w:style w:type="character" w:customStyle="1" w:styleId="177">
    <w:name w:val="普通文字 Char Char2"/>
    <w:aliases w:val="纯文本 Char Char Char2,纯文本 Char Char2,普通文字 Char Char Char2,普通文字 Char Char Char Char1,普通文字1 Char1,普通文字2 Char1,普通文字3 Char1,普通文字4 Char1,普通文字5 Char1,普通文字6 Char1,普通文字11 Char1,普通文字21 Char1,普通文字31 Char1,普通文字41 Char1,普通文字7 Char1,正 文 1 Char1,小 Char1"/>
    <w:uiPriority w:val="0"/>
    <w:rPr>
      <w:rFonts w:ascii="宋体" w:hAnsi="Courier New" w:eastAsia="宋体"/>
      <w:kern w:val="2"/>
      <w:sz w:val="24"/>
      <w:szCs w:val="24"/>
      <w:lang w:val="en-US" w:eastAsia="zh-CN" w:bidi="ar-SA"/>
    </w:rPr>
  </w:style>
  <w:style w:type="character" w:customStyle="1" w:styleId="178">
    <w:name w:val="批注框文本 字符"/>
    <w:uiPriority w:val="0"/>
    <w:rPr>
      <w:kern w:val="2"/>
      <w:sz w:val="18"/>
      <w:szCs w:val="18"/>
    </w:rPr>
  </w:style>
  <w:style w:type="character" w:customStyle="1" w:styleId="179">
    <w:name w:val="标题 1 Char Char"/>
    <w:uiPriority w:val="0"/>
    <w:rPr>
      <w:rFonts w:eastAsia="宋体"/>
      <w:b/>
      <w:spacing w:val="-2"/>
      <w:sz w:val="24"/>
      <w:lang w:val="en-US" w:eastAsia="zh-CN" w:bidi="ar-SA"/>
    </w:rPr>
  </w:style>
  <w:style w:type="character" w:customStyle="1" w:styleId="180">
    <w:name w:val="font31"/>
    <w:qFormat/>
    <w:uiPriority w:val="0"/>
    <w:rPr>
      <w:rFonts w:hint="eastAsia" w:ascii="宋体" w:hAnsi="宋体" w:eastAsia="宋体" w:cs="宋体"/>
      <w:color w:val="FF0000"/>
      <w:sz w:val="21"/>
      <w:szCs w:val="21"/>
      <w:u w:val="none"/>
    </w:rPr>
  </w:style>
  <w:style w:type="character" w:customStyle="1" w:styleId="181">
    <w:name w:val="纯文本 Char"/>
    <w:link w:val="27"/>
    <w:uiPriority w:val="0"/>
    <w:rPr>
      <w:rFonts w:ascii="宋体" w:hAnsi="Courier New" w:eastAsia="宋体"/>
      <w:kern w:val="2"/>
      <w:sz w:val="24"/>
      <w:szCs w:val="24"/>
      <w:lang w:val="en-US" w:eastAsia="zh-CN" w:bidi="ar-SA"/>
    </w:rPr>
  </w:style>
  <w:style w:type="character" w:customStyle="1" w:styleId="182">
    <w:name w:val="正文2 Char Char"/>
    <w:link w:val="183"/>
    <w:uiPriority w:val="0"/>
    <w:rPr>
      <w:rFonts w:ascii="Calibri" w:hAnsi="Calibri"/>
      <w:sz w:val="24"/>
      <w:lang w:val="en-US" w:eastAsia="zh-CN" w:bidi="ar-SA"/>
    </w:rPr>
  </w:style>
  <w:style w:type="paragraph" w:customStyle="1" w:styleId="183">
    <w:name w:val="正文2"/>
    <w:next w:val="34"/>
    <w:link w:val="182"/>
    <w:uiPriority w:val="0"/>
    <w:pPr>
      <w:widowControl w:val="0"/>
      <w:spacing w:before="156" w:line="360" w:lineRule="auto"/>
      <w:ind w:firstLine="200" w:firstLineChars="200"/>
      <w:jc w:val="both"/>
    </w:pPr>
    <w:rPr>
      <w:rFonts w:ascii="Calibri" w:hAnsi="Calibri"/>
      <w:sz w:val="24"/>
      <w:lang w:val="en-US" w:eastAsia="zh-CN" w:bidi="ar-SA"/>
    </w:rPr>
  </w:style>
  <w:style w:type="character" w:customStyle="1" w:styleId="184">
    <w:name w:val="正文文本 3 Char"/>
    <w:link w:val="19"/>
    <w:uiPriority w:val="0"/>
    <w:rPr>
      <w:rFonts w:eastAsia="宋体"/>
      <w:kern w:val="2"/>
      <w:sz w:val="21"/>
      <w:szCs w:val="24"/>
      <w:lang w:val="en-US" w:eastAsia="zh-CN" w:bidi="ar-SA"/>
    </w:rPr>
  </w:style>
  <w:style w:type="character" w:customStyle="1" w:styleId="185">
    <w:name w:val="页脚 Char"/>
    <w:uiPriority w:val="99"/>
    <w:rPr>
      <w:sz w:val="18"/>
      <w:szCs w:val="18"/>
    </w:rPr>
  </w:style>
  <w:style w:type="character" w:customStyle="1" w:styleId="186">
    <w:name w:val="引用 Char"/>
    <w:link w:val="187"/>
    <w:uiPriority w:val="0"/>
    <w:rPr>
      <w:rFonts w:eastAsia="宋体"/>
      <w:i/>
      <w:iCs/>
      <w:color w:val="000000"/>
      <w:kern w:val="2"/>
      <w:sz w:val="21"/>
      <w:szCs w:val="24"/>
      <w:lang w:val="en-US" w:eastAsia="zh-CN" w:bidi="ar-SA"/>
    </w:rPr>
  </w:style>
  <w:style w:type="paragraph" w:styleId="187">
    <w:name w:val="Quote"/>
    <w:basedOn w:val="1"/>
    <w:next w:val="1"/>
    <w:link w:val="186"/>
    <w:qFormat/>
    <w:uiPriority w:val="0"/>
    <w:rPr>
      <w:i/>
      <w:iCs/>
      <w:color w:val="000000"/>
    </w:rPr>
  </w:style>
  <w:style w:type="character" w:customStyle="1" w:styleId="188">
    <w:name w:val="font112"/>
    <w:qFormat/>
    <w:uiPriority w:val="0"/>
    <w:rPr>
      <w:rFonts w:hint="eastAsia" w:ascii="微软雅黑" w:hAnsi="微软雅黑" w:eastAsia="微软雅黑" w:cs="微软雅黑"/>
      <w:color w:val="000000"/>
      <w:sz w:val="16"/>
      <w:szCs w:val="16"/>
      <w:u w:val="none"/>
    </w:rPr>
  </w:style>
  <w:style w:type="character" w:customStyle="1" w:styleId="189">
    <w:name w:val="current1"/>
    <w:uiPriority w:val="0"/>
    <w:rPr>
      <w:color w:val="00C1DE"/>
    </w:rPr>
  </w:style>
  <w:style w:type="character" w:customStyle="1" w:styleId="190">
    <w:name w:val="font11"/>
    <w:basedOn w:val="51"/>
    <w:uiPriority w:val="0"/>
    <w:rPr>
      <w:rFonts w:hint="eastAsia" w:ascii="宋体" w:hAnsi="宋体" w:eastAsia="宋体" w:cs="宋体"/>
      <w:color w:val="000000"/>
      <w:sz w:val="22"/>
      <w:szCs w:val="22"/>
      <w:u w:val="none"/>
    </w:rPr>
  </w:style>
  <w:style w:type="character" w:customStyle="1" w:styleId="191">
    <w:name w:val="App2 Char"/>
    <w:aliases w:val="注意框体 Char,tt Char,tt1 Char,Figure Char,heading 8 Char,Legal Level 1.1.1. Char,不用8 Char,正文八级标题 Char,ITT t8 Char,PA Appendix Minor Char,表 Char,action Char,action1 Char,action2 Char,action11 Char,action3 Char,action4 Char,action5 Char,f Char"/>
    <w:semiHidden/>
    <w:locked/>
    <w:uiPriority w:val="0"/>
    <w:rPr>
      <w:rFonts w:ascii="Cambria" w:hAnsi="Cambria" w:eastAsia="宋体"/>
      <w:kern w:val="2"/>
      <w:sz w:val="24"/>
      <w:szCs w:val="24"/>
      <w:lang w:bidi="ar-SA"/>
    </w:rPr>
  </w:style>
  <w:style w:type="character" w:customStyle="1" w:styleId="192">
    <w:name w:val="标题 9 Char"/>
    <w:link w:val="12"/>
    <w:semiHidden/>
    <w:locked/>
    <w:uiPriority w:val="0"/>
    <w:rPr>
      <w:rFonts w:ascii="Cambria" w:hAnsi="Cambria" w:eastAsia="宋体"/>
      <w:kern w:val="2"/>
      <w:sz w:val="24"/>
      <w:szCs w:val="21"/>
      <w:lang w:bidi="ar-SA"/>
    </w:rPr>
  </w:style>
  <w:style w:type="character" w:customStyle="1" w:styleId="193">
    <w:name w:val="日期 字符"/>
    <w:uiPriority w:val="0"/>
    <w:rPr>
      <w:rFonts w:eastAsia="楷体_GB2312"/>
      <w:kern w:val="2"/>
      <w:sz w:val="32"/>
    </w:rPr>
  </w:style>
  <w:style w:type="character" w:customStyle="1" w:styleId="194">
    <w:name w:val="引用 字符"/>
    <w:uiPriority w:val="0"/>
    <w:rPr>
      <w:rFonts w:eastAsia="宋体"/>
      <w:i/>
      <w:iCs/>
      <w:color w:val="000000"/>
      <w:kern w:val="2"/>
      <w:sz w:val="21"/>
      <w:szCs w:val="24"/>
      <w:lang w:val="en-US" w:eastAsia="zh-CN" w:bidi="ar-SA"/>
    </w:rPr>
  </w:style>
  <w:style w:type="character" w:customStyle="1" w:styleId="195">
    <w:name w:val="last-child"/>
    <w:basedOn w:val="51"/>
    <w:uiPriority w:val="0"/>
  </w:style>
  <w:style w:type="character" w:customStyle="1" w:styleId="196">
    <w:name w:val="font131"/>
    <w:uiPriority w:val="0"/>
    <w:rPr>
      <w:rFonts w:hint="eastAsia" w:ascii="微软雅黑" w:hAnsi="微软雅黑" w:eastAsia="微软雅黑" w:cs="微软雅黑"/>
      <w:color w:val="000000"/>
      <w:sz w:val="16"/>
      <w:szCs w:val="16"/>
      <w:u w:val="none"/>
    </w:rPr>
  </w:style>
  <w:style w:type="character" w:customStyle="1" w:styleId="197">
    <w:name w:val="纯文本 字符"/>
    <w:uiPriority w:val="0"/>
    <w:rPr>
      <w:rFonts w:ascii="宋体" w:hAnsi="Courier New" w:eastAsia="宋体"/>
      <w:kern w:val="2"/>
      <w:sz w:val="21"/>
      <w:lang w:val="en-US" w:eastAsia="zh-CN" w:bidi="ar-SA"/>
    </w:rPr>
  </w:style>
  <w:style w:type="character" w:customStyle="1" w:styleId="198">
    <w:name w:val="标题 2 Char"/>
    <w:uiPriority w:val="0"/>
    <w:rPr>
      <w:rFonts w:ascii="Arial" w:hAnsi="Arial" w:eastAsia="黑体"/>
      <w:b/>
      <w:bCs/>
      <w:kern w:val="2"/>
      <w:sz w:val="32"/>
      <w:szCs w:val="32"/>
      <w:lang w:val="en-US" w:eastAsia="zh-CN" w:bidi="ar-SA"/>
    </w:rPr>
  </w:style>
  <w:style w:type="character" w:customStyle="1" w:styleId="199">
    <w:name w:val="ttbti1"/>
    <w:uiPriority w:val="0"/>
    <w:rPr>
      <w:color w:val="185F0F"/>
    </w:rPr>
  </w:style>
  <w:style w:type="character" w:customStyle="1" w:styleId="200">
    <w:name w:val="普通文字 Char Char3"/>
    <w:aliases w:val="纯文本 Char Char Char3,普通文字 Char Char Char3,普通文字 Char Char Char Char2,普通文字1 Char2,普通文字2 Char2,普通文字3 Char2,普通文字4 Char2,普通文字5 Char2,普通文字6 Char2,普通文字11 Char2,普通文字21 Char2,普通文字31 Char2,普通文字41 Char2,普通文字7 Char2,正 文 1 Char2,普通文字 Char2,小 Char2"/>
    <w:uiPriority w:val="0"/>
    <w:rPr>
      <w:rFonts w:ascii="宋体" w:hAnsi="Courier New" w:eastAsia="宋体"/>
      <w:kern w:val="2"/>
      <w:sz w:val="24"/>
      <w:szCs w:val="24"/>
      <w:lang w:val="en-US" w:eastAsia="zh-CN" w:bidi="ar-SA"/>
    </w:rPr>
  </w:style>
  <w:style w:type="character" w:customStyle="1" w:styleId="201">
    <w:name w:val="标题 7 Char"/>
    <w:link w:val="10"/>
    <w:semiHidden/>
    <w:locked/>
    <w:uiPriority w:val="0"/>
    <w:rPr>
      <w:rFonts w:ascii="Calibri" w:hAnsi="Calibri" w:eastAsia="宋体"/>
      <w:b/>
      <w:bCs/>
      <w:kern w:val="2"/>
      <w:sz w:val="24"/>
      <w:szCs w:val="24"/>
      <w:lang w:bidi="ar-SA"/>
    </w:rPr>
  </w:style>
  <w:style w:type="character" w:customStyle="1" w:styleId="202">
    <w:name w:val="正文样式 Char"/>
    <w:link w:val="203"/>
    <w:uiPriority w:val="0"/>
    <w:rPr>
      <w:rFonts w:eastAsia="华文中宋"/>
      <w:kern w:val="2"/>
      <w:sz w:val="24"/>
      <w:szCs w:val="32"/>
      <w:lang w:bidi="ar-SA"/>
    </w:rPr>
  </w:style>
  <w:style w:type="paragraph" w:customStyle="1" w:styleId="203">
    <w:name w:val="正文样式"/>
    <w:basedOn w:val="1"/>
    <w:link w:val="202"/>
    <w:uiPriority w:val="0"/>
    <w:pPr>
      <w:ind w:firstLine="200" w:firstLineChars="200"/>
    </w:pPr>
    <w:rPr>
      <w:rFonts w:eastAsia="华文中宋"/>
      <w:sz w:val="24"/>
      <w:szCs w:val="32"/>
    </w:rPr>
  </w:style>
  <w:style w:type="character" w:customStyle="1" w:styleId="204">
    <w:name w:val="large1"/>
    <w:uiPriority w:val="0"/>
    <w:rPr>
      <w:rFonts w:hint="eastAsia" w:ascii="宋体" w:hAnsi="宋体" w:eastAsia="宋体"/>
      <w:sz w:val="21"/>
      <w:szCs w:val="21"/>
    </w:rPr>
  </w:style>
  <w:style w:type="character" w:customStyle="1" w:styleId="205">
    <w:name w:val="标题 1 Char"/>
    <w:uiPriority w:val="0"/>
    <w:rPr>
      <w:rFonts w:ascii="Times New Roman" w:hAnsi="Times New Roman" w:eastAsia="宋体" w:cs="Times New Roman"/>
      <w:b/>
      <w:bCs/>
      <w:kern w:val="44"/>
      <w:sz w:val="44"/>
      <w:szCs w:val="44"/>
    </w:rPr>
  </w:style>
  <w:style w:type="paragraph" w:customStyle="1" w:styleId="206">
    <w:name w:val="Char Char Char Char Char Char"/>
    <w:basedOn w:val="1"/>
    <w:next w:val="3"/>
    <w:uiPriority w:val="0"/>
    <w:pPr>
      <w:widowControl/>
      <w:spacing w:before="100" w:beforeAutospacing="1" w:after="100" w:afterAutospacing="1" w:line="420" w:lineRule="auto"/>
      <w:jc w:val="left"/>
      <w:textAlignment w:val="top"/>
    </w:pPr>
    <w:rPr>
      <w:szCs w:val="20"/>
    </w:rPr>
  </w:style>
  <w:style w:type="paragraph" w:customStyle="1" w:styleId="207">
    <w:name w:val="序号"/>
    <w:basedOn w:val="1"/>
    <w:uiPriority w:val="0"/>
    <w:pPr>
      <w:numPr>
        <w:ilvl w:val="0"/>
        <w:numId w:val="1"/>
      </w:numPr>
      <w:tabs>
        <w:tab w:val="left" w:pos="454"/>
        <w:tab w:val="left" w:pos="720"/>
      </w:tabs>
      <w:spacing w:line="360" w:lineRule="auto"/>
    </w:pPr>
    <w:rPr>
      <w:bCs/>
    </w:rPr>
  </w:style>
  <w:style w:type="paragraph" w:customStyle="1" w:styleId="208">
    <w:name w:val="样式 首行缩进:  0 字符"/>
    <w:basedOn w:val="1"/>
    <w:uiPriority w:val="0"/>
    <w:pPr>
      <w:spacing w:line="360" w:lineRule="auto"/>
      <w:ind w:firstLine="200" w:firstLineChars="200"/>
    </w:pPr>
    <w:rPr>
      <w:rFonts w:ascii="Arial" w:hAnsi="Arial" w:cs="宋体"/>
      <w:sz w:val="24"/>
      <w:szCs w:val="20"/>
    </w:rPr>
  </w:style>
  <w:style w:type="paragraph" w:customStyle="1" w:styleId="209">
    <w:name w:val=" 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210">
    <w:name w:val="Normal (Web)"/>
    <w:basedOn w:val="1"/>
    <w:uiPriority w:val="0"/>
    <w:pPr>
      <w:widowControl/>
      <w:spacing w:before="100" w:beforeAutospacing="1" w:after="100" w:afterAutospacing="1"/>
      <w:jc w:val="left"/>
    </w:pPr>
    <w:rPr>
      <w:rFonts w:ascii="宋体" w:hAnsi="宋体"/>
      <w:kern w:val="0"/>
      <w:sz w:val="24"/>
      <w:szCs w:val="22"/>
    </w:rPr>
  </w:style>
  <w:style w:type="paragraph" w:customStyle="1" w:styleId="211">
    <w:name w:val="大汉方案正文 Char"/>
    <w:basedOn w:val="1"/>
    <w:uiPriority w:val="0"/>
    <w:pPr>
      <w:spacing w:line="360" w:lineRule="auto"/>
      <w:ind w:firstLine="200" w:firstLineChars="200"/>
    </w:pPr>
    <w:rPr>
      <w:rFonts w:ascii="Arial" w:hAnsi="Arial" w:cs="Arial"/>
      <w:kern w:val="0"/>
      <w:sz w:val="24"/>
    </w:rPr>
  </w:style>
  <w:style w:type="paragraph" w:customStyle="1" w:styleId="212">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13">
    <w:name w:val=" Char1"/>
    <w:basedOn w:val="1"/>
    <w:uiPriority w:val="0"/>
    <w:rPr>
      <w:rFonts w:ascii="仿宋_GB2312" w:eastAsia="仿宋_GB2312"/>
      <w:b/>
      <w:sz w:val="32"/>
      <w:szCs w:val="32"/>
    </w:rPr>
  </w:style>
  <w:style w:type="paragraph" w:customStyle="1" w:styleId="214">
    <w:name w:val="样式 加粗 段前: 7.8 磅 段后: 7.8 磅 行距: 固定值 20 磅"/>
    <w:basedOn w:val="1"/>
    <w:qFormat/>
    <w:uiPriority w:val="0"/>
    <w:pPr>
      <w:spacing w:before="60" w:after="60" w:line="360" w:lineRule="exact"/>
    </w:pPr>
    <w:rPr>
      <w:rFonts w:ascii="Times New Roman" w:hAnsi="Times New Roman" w:eastAsia="宋体" w:cs="宋体"/>
      <w:b/>
      <w:bCs/>
      <w:spacing w:val="-2"/>
      <w:sz w:val="24"/>
      <w:szCs w:val="20"/>
    </w:rPr>
  </w:style>
  <w:style w:type="paragraph" w:customStyle="1" w:styleId="215">
    <w:name w:val="正文表格内容（居中）"/>
    <w:basedOn w:val="1"/>
    <w:qFormat/>
    <w:uiPriority w:val="0"/>
    <w:pPr>
      <w:widowControl/>
      <w:jc w:val="center"/>
    </w:pPr>
    <w:rPr>
      <w:rFonts w:ascii="Arial" w:hAnsi="Arial" w:cs="Arial"/>
      <w:kern w:val="0"/>
      <w:sz w:val="18"/>
      <w:szCs w:val="18"/>
    </w:rPr>
  </w:style>
  <w:style w:type="paragraph" w:customStyle="1" w:styleId="216">
    <w:name w:val="_Style 3"/>
    <w:basedOn w:val="3"/>
    <w:uiPriority w:val="0"/>
    <w:pPr>
      <w:adjustRightInd w:val="0"/>
      <w:snapToGrid w:val="0"/>
      <w:spacing w:before="240" w:after="240" w:line="348" w:lineRule="auto"/>
    </w:pPr>
  </w:style>
  <w:style w:type="paragraph" w:customStyle="1" w:styleId="217">
    <w:name w:val="List Paragraph"/>
    <w:basedOn w:val="1"/>
    <w:uiPriority w:val="0"/>
    <w:pPr>
      <w:widowControl/>
      <w:ind w:firstLine="420" w:firstLineChars="200"/>
    </w:pPr>
    <w:rPr>
      <w:rFonts w:ascii="Calibri" w:hAnsi="Calibri" w:cs="Calibri"/>
      <w:kern w:val="0"/>
      <w:szCs w:val="21"/>
    </w:rPr>
  </w:style>
  <w:style w:type="paragraph" w:customStyle="1" w:styleId="218">
    <w:name w:val="正文段"/>
    <w:basedOn w:val="1"/>
    <w:uiPriority w:val="0"/>
    <w:pPr>
      <w:widowControl/>
      <w:snapToGrid w:val="0"/>
      <w:spacing w:after="50" w:afterLines="50"/>
      <w:ind w:firstLine="200" w:firstLineChars="200"/>
    </w:pPr>
    <w:rPr>
      <w:kern w:val="0"/>
      <w:sz w:val="24"/>
      <w:szCs w:val="20"/>
    </w:rPr>
  </w:style>
  <w:style w:type="paragraph" w:customStyle="1" w:styleId="219">
    <w:name w:val="样式1"/>
    <w:basedOn w:val="45"/>
    <w:uiPriority w:val="0"/>
    <w:pPr>
      <w:spacing w:before="530" w:beforeLines="170" w:after="530" w:afterLines="170"/>
    </w:pPr>
    <w:rPr>
      <w:rFonts w:ascii="Arial" w:hAnsi="Arial"/>
      <w:bCs w:val="0"/>
      <w:szCs w:val="22"/>
    </w:rPr>
  </w:style>
  <w:style w:type="paragraph" w:customStyle="1" w:styleId="220">
    <w:name w:val="项目圆"/>
    <w:basedOn w:val="1"/>
    <w:uiPriority w:val="0"/>
    <w:pPr>
      <w:numPr>
        <w:ilvl w:val="0"/>
        <w:numId w:val="1"/>
      </w:numPr>
      <w:tabs>
        <w:tab w:val="left" w:pos="720"/>
        <w:tab w:val="left" w:pos="840"/>
      </w:tabs>
      <w:spacing w:before="156" w:beforeLines="50" w:after="156" w:afterLines="50" w:line="360" w:lineRule="auto"/>
    </w:pPr>
  </w:style>
  <w:style w:type="paragraph" w:customStyle="1" w:styleId="221">
    <w:name w:val="RFP Question List"/>
    <w:basedOn w:val="1"/>
    <w:uiPriority w:val="0"/>
    <w:pPr>
      <w:widowControl/>
      <w:spacing w:before="200" w:after="200"/>
      <w:ind w:left="360" w:hanging="360"/>
      <w:jc w:val="left"/>
    </w:pPr>
    <w:rPr>
      <w:rFonts w:ascii="Arial" w:hAnsi="Arial" w:eastAsia="Arial" w:cs="Arial"/>
      <w:b/>
      <w:color w:val="6666FF"/>
      <w:kern w:val="0"/>
      <w:szCs w:val="21"/>
      <w:lang w:eastAsia="ja-JP"/>
    </w:rPr>
  </w:style>
  <w:style w:type="paragraph" w:customStyle="1" w:styleId="222">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223">
    <w:name w:val="彩色列表 - 着色 11"/>
    <w:basedOn w:val="1"/>
    <w:qFormat/>
    <w:uiPriority w:val="0"/>
    <w:pPr>
      <w:ind w:firstLine="420" w:firstLineChars="200"/>
    </w:pPr>
    <w:rPr>
      <w:szCs w:val="20"/>
    </w:rPr>
  </w:style>
  <w:style w:type="paragraph" w:customStyle="1" w:styleId="224">
    <w:name w:val=" Char Char Char Char Char Char Char Char Char Char Char Char Char"/>
    <w:basedOn w:val="1"/>
    <w:uiPriority w:val="0"/>
    <w:pPr>
      <w:tabs>
        <w:tab w:val="left" w:pos="432"/>
      </w:tabs>
      <w:ind w:left="432" w:hanging="432"/>
    </w:pPr>
    <w:rPr>
      <w:szCs w:val="22"/>
    </w:rPr>
  </w:style>
  <w:style w:type="paragraph" w:customStyle="1" w:styleId="225">
    <w:name w:val=" Char Char Char Char Char Char Char Char Char Char"/>
    <w:basedOn w:val="1"/>
    <w:uiPriority w:val="0"/>
    <w:rPr>
      <w:rFonts w:ascii="Arial" w:hAnsi="Arial" w:cs="Arial"/>
      <w:szCs w:val="21"/>
    </w:rPr>
  </w:style>
  <w:style w:type="paragraph" w:customStyle="1" w:styleId="226">
    <w:name w:val="编号正文文本"/>
    <w:basedOn w:val="1"/>
    <w:uiPriority w:val="0"/>
    <w:pPr>
      <w:widowControl/>
      <w:tabs>
        <w:tab w:val="left" w:pos="238"/>
      </w:tabs>
      <w:spacing w:before="100" w:beforeAutospacing="1" w:after="100" w:afterAutospacing="1" w:line="360" w:lineRule="auto"/>
      <w:ind w:firstLine="476"/>
      <w:jc w:val="left"/>
    </w:pPr>
    <w:rPr>
      <w:rFonts w:ascii="Verdana" w:hAnsi="Verdana" w:cs="Verdana"/>
      <w:kern w:val="0"/>
      <w:szCs w:val="22"/>
      <w:lang w:eastAsia="en-US"/>
    </w:rPr>
  </w:style>
  <w:style w:type="paragraph" w:customStyle="1" w:styleId="227">
    <w:name w:val="GP正文(无首行缩进)"/>
    <w:uiPriority w:val="0"/>
    <w:pPr>
      <w:widowControl w:val="0"/>
      <w:spacing w:line="360" w:lineRule="auto"/>
    </w:pPr>
    <w:rPr>
      <w:kern w:val="2"/>
      <w:sz w:val="24"/>
      <w:szCs w:val="21"/>
      <w:lang w:val="en-US" w:eastAsia="zh-CN" w:bidi="ar-SA"/>
    </w:rPr>
  </w:style>
  <w:style w:type="paragraph" w:customStyle="1" w:styleId="228">
    <w:name w:val="Pa3"/>
    <w:basedOn w:val="1"/>
    <w:next w:val="1"/>
    <w:uiPriority w:val="0"/>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229">
    <w:name w:val="正文 New New New New"/>
    <w:uiPriority w:val="0"/>
    <w:pPr>
      <w:widowControl w:val="0"/>
      <w:jc w:val="both"/>
    </w:pPr>
    <w:rPr>
      <w:kern w:val="2"/>
      <w:sz w:val="21"/>
      <w:szCs w:val="24"/>
      <w:lang w:val="en-US" w:eastAsia="zh-CN" w:bidi="ar-SA"/>
    </w:rPr>
  </w:style>
  <w:style w:type="paragraph" w:customStyle="1" w:styleId="230">
    <w:name w:val="Plain Text"/>
    <w:basedOn w:val="1"/>
    <w:uiPriority w:val="0"/>
    <w:pPr>
      <w:adjustRightInd w:val="0"/>
      <w:textAlignment w:val="baseline"/>
    </w:pPr>
    <w:rPr>
      <w:rFonts w:ascii="宋体" w:hAnsi="Courier New" w:eastAsia="楷体_GB2312"/>
      <w:sz w:val="26"/>
      <w:szCs w:val="20"/>
    </w:rPr>
  </w:style>
  <w:style w:type="paragraph" w:customStyle="1" w:styleId="231">
    <w:name w:val="Char1"/>
    <w:basedOn w:val="1"/>
    <w:uiPriority w:val="0"/>
    <w:rPr>
      <w:rFonts w:ascii="Tahoma" w:hAnsi="Tahoma"/>
      <w:sz w:val="24"/>
      <w:szCs w:val="20"/>
    </w:rPr>
  </w:style>
  <w:style w:type="paragraph" w:customStyle="1" w:styleId="232">
    <w:name w:val="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33">
    <w:name w:val=" Char Char Char1 Char Char Char"/>
    <w:basedOn w:val="1"/>
    <w:uiPriority w:val="0"/>
    <w:pPr>
      <w:spacing w:line="360" w:lineRule="auto"/>
      <w:ind w:left="420"/>
      <w:textAlignment w:val="baseline"/>
    </w:pPr>
    <w:rPr>
      <w:rFonts w:ascii="Arial" w:hAnsi="Arial" w:cs="Arial"/>
    </w:rPr>
  </w:style>
  <w:style w:type="paragraph" w:customStyle="1" w:styleId="234">
    <w:name w:val="Char Char Char Char Char Char Char Char Char"/>
    <w:basedOn w:val="1"/>
    <w:uiPriority w:val="0"/>
    <w:rPr>
      <w:rFonts w:ascii="Calibri" w:hAnsi="Calibri"/>
      <w:szCs w:val="22"/>
    </w:rPr>
  </w:style>
  <w:style w:type="paragraph" w:customStyle="1" w:styleId="235">
    <w:name w:val="自动更正"/>
    <w:uiPriority w:val="0"/>
    <w:pPr>
      <w:widowControl w:val="0"/>
      <w:jc w:val="both"/>
    </w:pPr>
    <w:rPr>
      <w:kern w:val="2"/>
      <w:sz w:val="21"/>
      <w:lang w:val="en-US" w:eastAsia="zh-CN" w:bidi="ar-SA"/>
    </w:rPr>
  </w:style>
  <w:style w:type="paragraph" w:customStyle="1" w:styleId="236">
    <w:name w:val="Char Char Char Char Char Char Char Char Char Char Char Char Char Char Char Char Char Char Char Char Char Char Char Char Char Char Char Char"/>
    <w:basedOn w:val="1"/>
    <w:uiPriority w:val="0"/>
    <w:pPr>
      <w:widowControl/>
      <w:snapToGrid w:val="0"/>
      <w:spacing w:before="120" w:after="160" w:line="360" w:lineRule="auto"/>
      <w:ind w:right="-360"/>
      <w:jc w:val="left"/>
    </w:pPr>
    <w:rPr>
      <w:szCs w:val="20"/>
    </w:rPr>
  </w:style>
  <w:style w:type="paragraph" w:customStyle="1" w:styleId="237">
    <w:name w:val="默认段落字体 Para Char Char Char Char"/>
    <w:basedOn w:val="1"/>
    <w:uiPriority w:val="0"/>
    <w:rPr>
      <w:rFonts w:ascii="Arial" w:hAnsi="Arial" w:cs="Arial"/>
      <w:szCs w:val="21"/>
    </w:rPr>
  </w:style>
  <w:style w:type="paragraph" w:customStyle="1" w:styleId="238">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39">
    <w:name w:val=" 字元 字元"/>
    <w:basedOn w:val="1"/>
    <w:uiPriority w:val="0"/>
    <w:pPr>
      <w:widowControl/>
      <w:spacing w:after="160" w:line="240" w:lineRule="exact"/>
      <w:jc w:val="left"/>
    </w:pPr>
    <w:rPr>
      <w:sz w:val="28"/>
      <w:szCs w:val="20"/>
    </w:rPr>
  </w:style>
  <w:style w:type="paragraph" w:customStyle="1" w:styleId="240">
    <w:name w:val="样式 正文缩进 + 首行缩进:  2 字符"/>
    <w:basedOn w:val="6"/>
    <w:uiPriority w:val="0"/>
    <w:pPr>
      <w:numPr>
        <w:ilvl w:val="0"/>
        <w:numId w:val="2"/>
      </w:numPr>
      <w:tabs>
        <w:tab w:val="left" w:pos="1080"/>
        <w:tab w:val="left" w:pos="1200"/>
      </w:tabs>
      <w:spacing w:line="360" w:lineRule="auto"/>
      <w:ind w:left="1080" w:hanging="540"/>
    </w:pPr>
    <w:rPr>
      <w:rFonts w:ascii="宋体" w:hAnsi="宋体"/>
      <w:sz w:val="24"/>
      <w:szCs w:val="24"/>
    </w:rPr>
  </w:style>
  <w:style w:type="paragraph" w:customStyle="1" w:styleId="241">
    <w:name w:val="编号，小四"/>
    <w:basedOn w:val="1"/>
    <w:qFormat/>
    <w:uiPriority w:val="0"/>
    <w:pPr>
      <w:numPr>
        <w:ilvl w:val="0"/>
        <w:numId w:val="3"/>
      </w:numPr>
      <w:spacing w:line="360" w:lineRule="auto"/>
    </w:pPr>
    <w:rPr>
      <w:rFonts w:ascii="Arial" w:hAnsi="Arial" w:cs="宋体"/>
      <w:sz w:val="24"/>
      <w:szCs w:val="20"/>
    </w:rPr>
  </w:style>
  <w:style w:type="paragraph" w:customStyle="1" w:styleId="242">
    <w:name w:val="列出段落1"/>
    <w:basedOn w:val="1"/>
    <w:qFormat/>
    <w:uiPriority w:val="0"/>
    <w:pPr>
      <w:ind w:firstLine="420" w:firstLineChars="200"/>
    </w:pPr>
  </w:style>
  <w:style w:type="paragraph" w:customStyle="1" w:styleId="243">
    <w:name w:val="正文1"/>
    <w:uiPriority w:val="0"/>
    <w:pPr>
      <w:widowControl w:val="0"/>
      <w:jc w:val="both"/>
    </w:pPr>
    <w:rPr>
      <w:rFonts w:ascii="Calibri" w:hAnsi="Calibri"/>
      <w:kern w:val="2"/>
      <w:sz w:val="21"/>
      <w:szCs w:val="21"/>
      <w:lang w:val="en-US" w:eastAsia="zh-CN" w:bidi="ar-SA"/>
    </w:rPr>
  </w:style>
  <w:style w:type="paragraph" w:customStyle="1" w:styleId="244">
    <w:name w:val="样式 正文文本缩进 + 左  0 字符"/>
    <w:basedOn w:val="22"/>
    <w:uiPriority w:val="0"/>
    <w:pPr>
      <w:spacing w:after="0" w:line="360" w:lineRule="auto"/>
      <w:ind w:left="0" w:leftChars="0" w:firstLine="250" w:firstLineChars="250"/>
    </w:pPr>
    <w:rPr>
      <w:sz w:val="24"/>
      <w:szCs w:val="20"/>
    </w:rPr>
  </w:style>
  <w:style w:type="paragraph" w:customStyle="1" w:styleId="245">
    <w:name w:val="Indent a)"/>
    <w:basedOn w:val="1"/>
    <w:uiPriority w:val="0"/>
    <w:pPr>
      <w:widowControl/>
      <w:tabs>
        <w:tab w:val="left" w:pos="1843"/>
        <w:tab w:val="right" w:pos="9072"/>
      </w:tabs>
      <w:suppressAutoHyphens/>
      <w:spacing w:line="360" w:lineRule="auto"/>
      <w:ind w:right="-21" w:rightChars="-10" w:firstLine="480" w:firstLineChars="200"/>
    </w:pPr>
    <w:rPr>
      <w:sz w:val="24"/>
    </w:rPr>
  </w:style>
  <w:style w:type="paragraph" w:styleId="246">
    <w:name w:val=""/>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47">
    <w:name w:val="正文（缩进）"/>
    <w:basedOn w:val="1"/>
    <w:uiPriority w:val="0"/>
    <w:pPr>
      <w:spacing w:before="156" w:after="156"/>
      <w:ind w:firstLine="480" w:firstLineChars="200"/>
    </w:pPr>
  </w:style>
  <w:style w:type="paragraph" w:customStyle="1" w:styleId="248">
    <w:name w:val="Document Map"/>
    <w:basedOn w:val="1"/>
    <w:uiPriority w:val="0"/>
    <w:pPr>
      <w:shd w:val="clear" w:color="auto" w:fill="000080"/>
    </w:pPr>
  </w:style>
  <w:style w:type="paragraph" w:customStyle="1" w:styleId="249">
    <w:name w:val="Char Char Char Char1"/>
    <w:basedOn w:val="1"/>
    <w:uiPriority w:val="0"/>
    <w:rPr>
      <w:rFonts w:ascii="Tahoma" w:hAnsi="Tahoma"/>
      <w:sz w:val="24"/>
      <w:szCs w:val="20"/>
    </w:rPr>
  </w:style>
  <w:style w:type="paragraph" w:customStyle="1" w:styleId="250">
    <w:name w:val=" Char2"/>
    <w:basedOn w:val="1"/>
    <w:uiPriority w:val="0"/>
    <w:rPr>
      <w:rFonts w:ascii="仿宋_GB2312" w:eastAsia="仿宋_GB2312"/>
      <w:b/>
      <w:sz w:val="32"/>
      <w:szCs w:val="32"/>
    </w:rPr>
  </w:style>
  <w:style w:type="paragraph" w:customStyle="1" w:styleId="251">
    <w:name w:val=" Char"/>
    <w:basedOn w:val="1"/>
    <w:uiPriority w:val="0"/>
    <w:rPr>
      <w:rFonts w:ascii="Arial" w:hAnsi="Arial" w:cs="Arial"/>
      <w:szCs w:val="21"/>
    </w:rPr>
  </w:style>
  <w:style w:type="paragraph" w:customStyle="1" w:styleId="252">
    <w:name w:val="Char2"/>
    <w:basedOn w:val="1"/>
    <w:uiPriority w:val="0"/>
    <w:rPr>
      <w:rFonts w:ascii="仿宋_GB2312" w:eastAsia="仿宋_GB2312"/>
      <w:b/>
      <w:sz w:val="32"/>
      <w:szCs w:val="32"/>
    </w:rPr>
  </w:style>
  <w:style w:type="paragraph" w:customStyle="1" w:styleId="253">
    <w:name w:val="文档正文 Char"/>
    <w:basedOn w:val="1"/>
    <w:uiPriority w:val="0"/>
    <w:pPr>
      <w:adjustRightInd w:val="0"/>
      <w:spacing w:line="500" w:lineRule="exact"/>
      <w:ind w:firstLine="567"/>
      <w:textAlignment w:val="baseline"/>
    </w:pPr>
    <w:rPr>
      <w:rFonts w:ascii="仿宋_GB2312" w:eastAsia="仿宋_GB2312"/>
      <w:sz w:val="28"/>
    </w:rPr>
  </w:style>
  <w:style w:type="paragraph" w:customStyle="1" w:styleId="254">
    <w:name w:val="列表内容"/>
    <w:basedOn w:val="1"/>
    <w:next w:val="1"/>
    <w:uiPriority w:val="0"/>
    <w:pPr>
      <w:widowControl/>
      <w:tabs>
        <w:tab w:val="left" w:pos="840"/>
      </w:tabs>
      <w:ind w:left="840" w:hanging="420"/>
      <w:jc w:val="left"/>
    </w:pPr>
    <w:rPr>
      <w:kern w:val="0"/>
      <w:sz w:val="18"/>
    </w:rPr>
  </w:style>
  <w:style w:type="paragraph" w:customStyle="1" w:styleId="255">
    <w:name w:val=" Char Char3 Char Char"/>
    <w:basedOn w:val="1"/>
    <w:uiPriority w:val="0"/>
    <w:rPr>
      <w:szCs w:val="22"/>
    </w:rPr>
  </w:style>
  <w:style w:type="paragraph" w:customStyle="1" w:styleId="256">
    <w:name w:val=" Char1 Char Char Char"/>
    <w:basedOn w:val="1"/>
    <w:uiPriority w:val="0"/>
    <w:rPr>
      <w:rFonts w:ascii="Tahoma" w:hAnsi="Tahoma"/>
      <w:sz w:val="24"/>
      <w:szCs w:val="20"/>
    </w:rPr>
  </w:style>
  <w:style w:type="paragraph" w:customStyle="1" w:styleId="257">
    <w:name w:val="样式 仿宋_GB2312 小三 两端对齐"/>
    <w:basedOn w:val="1"/>
    <w:uiPriority w:val="0"/>
    <w:pPr>
      <w:widowControl/>
      <w:spacing w:line="360" w:lineRule="auto"/>
    </w:pPr>
    <w:rPr>
      <w:rFonts w:ascii="仿宋_GB2312" w:eastAsia="仿宋_GB2312" w:cs="宋体"/>
      <w:kern w:val="0"/>
      <w:sz w:val="24"/>
      <w:szCs w:val="20"/>
    </w:rPr>
  </w:style>
  <w:style w:type="paragraph" w:customStyle="1" w:styleId="258">
    <w:name w:val="ss"/>
    <w:basedOn w:val="1"/>
    <w:uiPriority w:val="0"/>
    <w:pPr>
      <w:widowControl/>
      <w:spacing w:before="100" w:beforeAutospacing="1" w:after="100" w:afterAutospacing="1" w:line="288" w:lineRule="atLeast"/>
      <w:jc w:val="left"/>
    </w:pPr>
    <w:rPr>
      <w:rFonts w:hint="eastAsia" w:ascii="宋体" w:hAnsi="宋体" w:cs="Arial"/>
      <w:kern w:val="0"/>
      <w:sz w:val="15"/>
      <w:szCs w:val="15"/>
    </w:rPr>
  </w:style>
  <w:style w:type="paragraph" w:customStyle="1" w:styleId="259">
    <w:name w:val="Char"/>
    <w:basedOn w:val="1"/>
    <w:uiPriority w:val="0"/>
    <w:rPr>
      <w:szCs w:val="20"/>
    </w:rPr>
  </w:style>
  <w:style w:type="paragraph" w:customStyle="1" w:styleId="260">
    <w:name w:val="_Style 2"/>
    <w:qFormat/>
    <w:uiPriority w:val="99"/>
    <w:pPr>
      <w:widowControl w:val="0"/>
      <w:jc w:val="both"/>
    </w:pPr>
    <w:rPr>
      <w:rFonts w:ascii="Calibri" w:hAnsi="Calibri" w:eastAsia="宋体" w:cs="Calibri"/>
      <w:kern w:val="2"/>
      <w:sz w:val="21"/>
      <w:szCs w:val="21"/>
      <w:lang w:val="en-US" w:eastAsia="zh-CN" w:bidi="ar-SA"/>
    </w:rPr>
  </w:style>
  <w:style w:type="paragraph" w:customStyle="1" w:styleId="261">
    <w:name w:val="paragraph1"/>
    <w:basedOn w:val="1"/>
    <w:uiPriority w:val="0"/>
    <w:pPr>
      <w:spacing w:after="93" w:afterLines="30" w:line="360" w:lineRule="auto"/>
      <w:ind w:firstLine="420" w:firstLineChars="200"/>
    </w:pPr>
    <w:rPr>
      <w:rFonts w:eastAsia="楷体_GB2312"/>
      <w:sz w:val="24"/>
      <w:szCs w:val="20"/>
    </w:rPr>
  </w:style>
  <w:style w:type="paragraph" w:customStyle="1" w:styleId="262">
    <w:name w:val=" Char Char Char1 Char"/>
    <w:basedOn w:val="1"/>
    <w:uiPriority w:val="0"/>
    <w:rPr>
      <w:rFonts w:ascii="Tahoma" w:hAnsi="Tahoma"/>
      <w:sz w:val="24"/>
      <w:szCs w:val="20"/>
    </w:rPr>
  </w:style>
  <w:style w:type="paragraph" w:customStyle="1" w:styleId="263">
    <w:name w:val="正文缩进1"/>
    <w:basedOn w:val="1"/>
    <w:next w:val="22"/>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4">
    <w:name w:val="样式 标题 1标题1(cj) +"/>
    <w:basedOn w:val="3"/>
    <w:uiPriority w:val="0"/>
    <w:pPr>
      <w:tabs>
        <w:tab w:val="left" w:pos="360"/>
      </w:tabs>
      <w:autoSpaceDE w:val="0"/>
      <w:autoSpaceDN w:val="0"/>
      <w:adjustRightInd w:val="0"/>
      <w:spacing w:line="360" w:lineRule="auto"/>
      <w:jc w:val="left"/>
      <w:textAlignment w:val="baseline"/>
    </w:pPr>
    <w:rPr>
      <w:rFonts w:ascii="宋体" w:hAnsi="Arial" w:eastAsia="仿宋_GB2312"/>
      <w:bCs w:val="0"/>
      <w:color w:val="000000"/>
      <w:kern w:val="0"/>
      <w:sz w:val="32"/>
      <w:szCs w:val="20"/>
    </w:rPr>
  </w:style>
  <w:style w:type="paragraph" w:customStyle="1" w:styleId="265">
    <w:name w:val="a2"/>
    <w:basedOn w:val="1"/>
    <w:uiPriority w:val="0"/>
    <w:pPr>
      <w:widowControl/>
      <w:spacing w:before="100" w:beforeAutospacing="1" w:after="100" w:afterAutospacing="1"/>
      <w:jc w:val="left"/>
    </w:pPr>
    <w:rPr>
      <w:rFonts w:ascii="宋体" w:hAnsi="宋体" w:cs="宋体"/>
      <w:kern w:val="0"/>
      <w:sz w:val="24"/>
    </w:rPr>
  </w:style>
  <w:style w:type="paragraph" w:customStyle="1" w:styleId="266">
    <w:name w:val="IBM 正文"/>
    <w:basedOn w:val="1"/>
    <w:uiPriority w:val="0"/>
    <w:pPr>
      <w:spacing w:line="360" w:lineRule="atLeast"/>
    </w:pPr>
    <w:rPr>
      <w:sz w:val="24"/>
      <w:szCs w:val="20"/>
    </w:rPr>
  </w:style>
  <w:style w:type="paragraph" w:customStyle="1" w:styleId="267">
    <w:name w:val="段"/>
    <w:next w:val="1"/>
    <w:qFormat/>
    <w:uiPriority w:val="0"/>
    <w:pPr>
      <w:autoSpaceDE w:val="0"/>
      <w:autoSpaceDN w:val="0"/>
      <w:ind w:firstLine="200"/>
      <w:jc w:val="both"/>
    </w:pPr>
    <w:rPr>
      <w:rFonts w:ascii="宋体"/>
      <w:sz w:val="21"/>
      <w:szCs w:val="22"/>
      <w:lang w:val="en-US" w:eastAsia="zh-CN" w:bidi="ar-SA"/>
    </w:rPr>
  </w:style>
  <w:style w:type="paragraph" w:customStyle="1" w:styleId="268">
    <w:name w:val="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69">
    <w:name w:val="图文框"/>
    <w:basedOn w:val="1"/>
    <w:uiPriority w:val="0"/>
    <w:pPr>
      <w:jc w:val="center"/>
    </w:pPr>
    <w:rPr>
      <w:rFonts w:ascii="仿宋_GB2312" w:eastAsia="仿宋_GB2312"/>
    </w:rPr>
  </w:style>
  <w:style w:type="paragraph" w:customStyle="1" w:styleId="270">
    <w:name w:val="_Style 1"/>
    <w:basedOn w:val="1"/>
    <w:qFormat/>
    <w:uiPriority w:val="0"/>
    <w:pPr>
      <w:ind w:firstLine="420" w:firstLineChars="200"/>
    </w:pPr>
    <w:rPr>
      <w:rFonts w:ascii="Calibri" w:hAnsi="Calibri"/>
    </w:rPr>
  </w:style>
  <w:style w:type="paragraph" w:customStyle="1" w:styleId="271">
    <w:name w:val="表格文字"/>
    <w:basedOn w:val="1"/>
    <w:uiPriority w:val="0"/>
    <w:pPr>
      <w:jc w:val="left"/>
      <w:textAlignment w:val="top"/>
    </w:pPr>
    <w:rPr>
      <w:sz w:val="18"/>
    </w:rPr>
  </w:style>
  <w:style w:type="paragraph" w:customStyle="1" w:styleId="272">
    <w:name w:val="表格内文"/>
    <w:basedOn w:val="1"/>
    <w:uiPriority w:val="0"/>
    <w:rPr>
      <w:rFonts w:cs="宋体"/>
      <w:szCs w:val="20"/>
    </w:rPr>
  </w:style>
  <w:style w:type="paragraph" w:customStyle="1" w:styleId="273">
    <w:name w:val="纯文本1"/>
    <w:basedOn w:val="243"/>
    <w:uiPriority w:val="99"/>
    <w:pPr>
      <w:widowControl/>
      <w:jc w:val="left"/>
    </w:pPr>
    <w:rPr>
      <w:rFonts w:ascii="宋体" w:hAnsi="Courier New" w:cs="宋体"/>
    </w:rPr>
  </w:style>
  <w:style w:type="paragraph" w:customStyle="1" w:styleId="274">
    <w:name w:val="默认段落字体 Para Char Char Char Char Char Char Char Char Char Char Char Char Char"/>
    <w:basedOn w:val="17"/>
    <w:uiPriority w:val="0"/>
    <w:pPr>
      <w:shd w:val="clear" w:color="auto" w:fill="000080"/>
    </w:pPr>
    <w:rPr>
      <w:rFonts w:ascii="Tahoma" w:hAnsi="Tahoma" w:cs="Tahoma"/>
      <w:kern w:val="2"/>
      <w:sz w:val="24"/>
      <w:szCs w:val="24"/>
    </w:rPr>
  </w:style>
  <w:style w:type="paragraph" w:customStyle="1" w:styleId="275">
    <w:name w:val="_Style 49"/>
    <w:basedOn w:val="1"/>
    <w:next w:val="27"/>
    <w:qFormat/>
    <w:uiPriority w:val="0"/>
    <w:rPr>
      <w:rFonts w:ascii="宋体" w:hAnsi="Courier New" w:cs="宋体"/>
      <w:sz w:val="24"/>
    </w:rPr>
  </w:style>
  <w:style w:type="paragraph" w:customStyle="1" w:styleId="276">
    <w:name w:val="正文－恩普"/>
    <w:basedOn w:val="6"/>
    <w:uiPriority w:val="0"/>
    <w:pPr>
      <w:widowControl/>
      <w:spacing w:after="156" w:afterLines="50" w:line="360" w:lineRule="auto"/>
      <w:ind w:firstLine="480" w:firstLineChars="200"/>
      <w:jc w:val="left"/>
    </w:pPr>
  </w:style>
  <w:style w:type="paragraph" w:customStyle="1" w:styleId="277">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278">
    <w:name w:val="样式 标题 1 + 段后: 0.5 行"/>
    <w:basedOn w:val="3"/>
    <w:uiPriority w:val="0"/>
    <w:pPr>
      <w:keepLines w:val="0"/>
      <w:tabs>
        <w:tab w:val="left" w:pos="360"/>
      </w:tabs>
      <w:spacing w:before="120" w:after="156" w:afterLines="50" w:line="240" w:lineRule="auto"/>
      <w:jc w:val="left"/>
    </w:pPr>
    <w:rPr>
      <w:rFonts w:ascii="宋体"/>
      <w:bCs w:val="0"/>
      <w:snapToGrid w:val="0"/>
      <w:kern w:val="0"/>
      <w:sz w:val="28"/>
      <w:szCs w:val="20"/>
    </w:rPr>
  </w:style>
  <w:style w:type="paragraph" w:customStyle="1" w:styleId="279">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80">
    <w:name w:val="内容"/>
    <w:basedOn w:val="1"/>
    <w:qFormat/>
    <w:uiPriority w:val="0"/>
    <w:pPr>
      <w:spacing w:line="300" w:lineRule="auto"/>
      <w:ind w:firstLine="200" w:firstLineChars="200"/>
      <w:jc w:val="left"/>
    </w:pPr>
    <w:rPr>
      <w:rFonts w:ascii="Calibri" w:hAnsi="Calibri"/>
      <w:color w:val="000000"/>
      <w:kern w:val="0"/>
      <w:sz w:val="18"/>
      <w:szCs w:val="44"/>
    </w:rPr>
  </w:style>
  <w:style w:type="paragraph" w:customStyle="1" w:styleId="281">
    <w:name w:val=" Char Char Char Char Char Char Char"/>
    <w:basedOn w:val="1"/>
    <w:uiPriority w:val="0"/>
    <w:pPr>
      <w:tabs>
        <w:tab w:val="left" w:pos="432"/>
      </w:tabs>
      <w:ind w:left="432" w:hanging="432"/>
    </w:pPr>
    <w:rPr>
      <w:rFonts w:ascii="Calibri" w:hAnsi="Calibri"/>
      <w:szCs w:val="22"/>
    </w:rPr>
  </w:style>
  <w:style w:type="paragraph" w:customStyle="1" w:styleId="282">
    <w:name w:val="Char Char Char Char Char Char Char"/>
    <w:basedOn w:val="1"/>
    <w:uiPriority w:val="0"/>
    <w:pPr>
      <w:tabs>
        <w:tab w:val="left" w:pos="432"/>
      </w:tabs>
      <w:ind w:left="432" w:hanging="432"/>
    </w:pPr>
    <w:rPr>
      <w:rFonts w:ascii="Tahoma" w:hAnsi="Tahoma"/>
      <w:sz w:val="24"/>
      <w:szCs w:val="20"/>
    </w:rPr>
  </w:style>
  <w:style w:type="paragraph" w:customStyle="1" w:styleId="283">
    <w:name w:val="NEOLINK 小圆点"/>
    <w:basedOn w:val="1"/>
    <w:uiPriority w:val="0"/>
    <w:pPr>
      <w:numPr>
        <w:ilvl w:val="0"/>
        <w:numId w:val="4"/>
      </w:numPr>
      <w:spacing w:line="360" w:lineRule="auto"/>
    </w:pPr>
    <w:rPr>
      <w:rFonts w:ascii="宋体" w:hAnsi="宋体"/>
      <w:color w:val="000000"/>
      <w:kern w:val="0"/>
      <w:sz w:val="24"/>
      <w:szCs w:val="28"/>
    </w:rPr>
  </w:style>
  <w:style w:type="paragraph" w:customStyle="1" w:styleId="284">
    <w:name w:val="大表 mt"/>
    <w:basedOn w:val="1"/>
    <w:uiPriority w:val="0"/>
    <w:pPr>
      <w:widowControl/>
      <w:jc w:val="left"/>
    </w:pPr>
    <w:rPr>
      <w:rFonts w:ascii="宋体" w:hAnsi="宋体" w:cs="宋体"/>
      <w:kern w:val="0"/>
      <w:szCs w:val="21"/>
    </w:rPr>
  </w:style>
  <w:style w:type="paragraph" w:customStyle="1" w:styleId="285">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86">
    <w:name w:val="正文首行缩进:2字符"/>
    <w:basedOn w:val="1"/>
    <w:uiPriority w:val="0"/>
    <w:pPr>
      <w:spacing w:line="360" w:lineRule="auto"/>
      <w:ind w:firstLine="480" w:firstLineChars="200"/>
    </w:pPr>
    <w:rPr>
      <w:rFonts w:cs="宋体"/>
      <w:szCs w:val="20"/>
    </w:rPr>
  </w:style>
  <w:style w:type="paragraph" w:customStyle="1" w:styleId="287">
    <w:name w:val="默认段落字体 Para Char Char Char Char Char Char Char Char Char1 Char Char Char Char"/>
    <w:basedOn w:val="1"/>
    <w:uiPriority w:val="0"/>
    <w:rPr>
      <w:rFonts w:ascii="Tahoma" w:hAnsi="Tahoma"/>
      <w:sz w:val="24"/>
      <w:szCs w:val="20"/>
    </w:rPr>
  </w:style>
  <w:style w:type="paragraph" w:customStyle="1" w:styleId="288">
    <w:name w:val="GP正文(首行缩进)"/>
    <w:basedOn w:val="1"/>
    <w:qFormat/>
    <w:uiPriority w:val="0"/>
    <w:pPr>
      <w:spacing w:line="360" w:lineRule="auto"/>
      <w:ind w:firstLine="480" w:firstLineChars="200"/>
      <w:jc w:val="left"/>
    </w:pPr>
    <w:rPr>
      <w:rFonts w:hAnsi="宋体"/>
      <w:sz w:val="24"/>
    </w:rPr>
  </w:style>
  <w:style w:type="paragraph" w:customStyle="1" w:styleId="289">
    <w:name w:val="p0"/>
    <w:basedOn w:val="1"/>
    <w:uiPriority w:val="0"/>
    <w:pPr>
      <w:widowControl/>
    </w:pPr>
    <w:rPr>
      <w:kern w:val="0"/>
      <w:szCs w:val="21"/>
    </w:rPr>
  </w:style>
  <w:style w:type="paragraph" w:customStyle="1" w:styleId="290">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291">
    <w:name w:val="彩色列表 - 强调文字颜色 11"/>
    <w:basedOn w:val="1"/>
    <w:qFormat/>
    <w:uiPriority w:val="0"/>
    <w:pPr>
      <w:ind w:left="720"/>
    </w:pPr>
    <w:rPr>
      <w:rFonts w:ascii="Calibri" w:hAnsi="Calibri"/>
      <w:szCs w:val="22"/>
    </w:rPr>
  </w:style>
  <w:style w:type="paragraph" w:customStyle="1" w:styleId="292">
    <w:name w:val="样式 标题 3Heading 3 - oldH3h3sect1.2.3HeadCLevel 3 Headlevel..."/>
    <w:basedOn w:val="5"/>
    <w:uiPriority w:val="0"/>
    <w:pPr>
      <w:adjustRightInd w:val="0"/>
      <w:snapToGrid w:val="0"/>
      <w:spacing w:before="50" w:beforeLines="50" w:after="50" w:afterLines="50"/>
      <w:ind w:firstLine="0" w:firstLineChars="0"/>
    </w:pPr>
    <w:rPr>
      <w:rFonts w:ascii="宋体" w:eastAsia="黑体" w:cs="宋体"/>
      <w:b/>
      <w:bCs/>
      <w:sz w:val="24"/>
    </w:rPr>
  </w:style>
  <w:style w:type="paragraph" w:customStyle="1" w:styleId="293">
    <w:name w:val="样式 正文文本缩进 + 仿宋_GB2312 小四 首行缩进:  0 厘米 行距: 1.5 倍行距"/>
    <w:basedOn w:val="22"/>
    <w:uiPriority w:val="0"/>
    <w:pPr>
      <w:spacing w:line="360" w:lineRule="auto"/>
      <w:ind w:firstLine="0"/>
    </w:pPr>
    <w:rPr>
      <w:rFonts w:ascii="仿宋_GB2312" w:hAnsi="Times New Roman" w:eastAsia="新宋体"/>
      <w:spacing w:val="0"/>
      <w:sz w:val="24"/>
    </w:rPr>
  </w:style>
  <w:style w:type="table" w:customStyle="1" w:styleId="294">
    <w:name w:val="网格型1"/>
    <w:basedOn w:val="48"/>
    <w:uiPriority w:val="0"/>
    <w:rPr>
      <w:rFonts w:ascii="Calibri" w:hAnsi="Calibri"/>
      <w:kern w:val="2"/>
      <w:sz w:val="21"/>
      <w:szCs w:val="22"/>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footer6.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6237</Words>
  <Characters>35553</Characters>
  <Lines>296</Lines>
  <Paragraphs>83</Paragraphs>
  <TotalTime>5</TotalTime>
  <ScaleCrop>false</ScaleCrop>
  <LinksUpToDate>false</LinksUpToDate>
  <CharactersWithSpaces>41707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2019-03-07T04:52:00Z</dcterms:created>
  <dc:creator>Administrator</dc:creator>
  <cp:lastModifiedBy>WPS_1701756769</cp:lastModifiedBy>
  <cp:lastPrinted>2021-09-18T03:44:41Z</cp:lastPrinted>
  <dcterms:modified xsi:type="dcterms:W3CDTF">2024-02-26T01:48:33Z</dcterms:modified>
  <cp:revision>2</cp:revision>
  <dc:title>海盐县公安局110指挥中心改造升级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7BC25A847C9D4A378CF99ECFFA2C1F67_13</vt:lpwstr>
  </property>
</Properties>
</file>