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ind w:firstLine="0" w:firstLineChars="0"/>
        <w:jc w:val="center"/>
        <w:rPr>
          <w:rFonts w:ascii="楷体" w:hAnsi="楷体" w:eastAsia="楷体" w:cs="楷体"/>
          <w:b/>
          <w:bCs/>
          <w:color w:val="000000"/>
          <w:sz w:val="52"/>
          <w:szCs w:val="52"/>
        </w:rPr>
      </w:pPr>
    </w:p>
    <w:p>
      <w:pPr>
        <w:spacing w:before="100" w:beforeAutospacing="1" w:after="100" w:afterAutospacing="1"/>
        <w:ind w:firstLine="0" w:firstLineChars="0"/>
        <w:jc w:val="center"/>
        <w:rPr>
          <w:sz w:val="28"/>
        </w:rPr>
      </w:pPr>
      <w:r>
        <w:rPr>
          <w:rFonts w:hint="eastAsia" w:ascii="楷体" w:hAnsi="楷体" w:eastAsia="楷体" w:cs="楷体"/>
          <w:b/>
          <w:bCs/>
          <w:color w:val="000000"/>
          <w:sz w:val="52"/>
          <w:szCs w:val="52"/>
        </w:rPr>
        <w:t>2023年城区信号灯路口配时优化项目</w:t>
      </w:r>
    </w:p>
    <w:p>
      <w:pPr>
        <w:ind w:firstLine="560"/>
        <w:rPr>
          <w:sz w:val="28"/>
        </w:rPr>
      </w:pPr>
    </w:p>
    <w:p>
      <w:pPr>
        <w:spacing w:before="100" w:beforeAutospacing="1" w:after="100" w:afterAutospacing="1" w:line="276" w:lineRule="auto"/>
        <w:ind w:firstLine="281" w:firstLineChars="100"/>
        <w:jc w:val="center"/>
        <w:rPr>
          <w:rFonts w:ascii="楷体" w:hAnsi="楷体" w:eastAsia="楷体" w:cs="楷体"/>
          <w:b/>
          <w:bCs/>
          <w:color w:val="000000"/>
          <w:sz w:val="28"/>
        </w:rPr>
      </w:pPr>
    </w:p>
    <w:p>
      <w:pPr>
        <w:snapToGrid w:val="0"/>
        <w:spacing w:before="100" w:beforeAutospacing="1" w:after="100" w:afterAutospacing="1" w:line="276" w:lineRule="auto"/>
        <w:ind w:firstLine="560"/>
        <w:rPr>
          <w:rFonts w:ascii="楷体" w:hAnsi="楷体" w:eastAsia="楷体" w:cs="楷体"/>
          <w:color w:val="000000"/>
          <w:sz w:val="28"/>
        </w:rPr>
      </w:pPr>
    </w:p>
    <w:p>
      <w:pPr>
        <w:spacing w:before="100" w:beforeAutospacing="1" w:after="100" w:afterAutospacing="1" w:line="276" w:lineRule="auto"/>
        <w:ind w:firstLine="0" w:firstLineChars="0"/>
        <w:jc w:val="center"/>
        <w:rPr>
          <w:rFonts w:ascii="楷体" w:hAnsi="楷体" w:eastAsia="楷体" w:cs="楷体"/>
          <w:color w:val="000000"/>
          <w:sz w:val="72"/>
          <w:szCs w:val="72"/>
        </w:rPr>
      </w:pPr>
    </w:p>
    <w:p>
      <w:pPr>
        <w:spacing w:before="100" w:beforeAutospacing="1" w:after="100" w:afterAutospacing="1" w:line="276" w:lineRule="auto"/>
        <w:ind w:firstLine="0" w:firstLineChars="0"/>
        <w:jc w:val="center"/>
        <w:rPr>
          <w:rFonts w:ascii="楷体" w:hAnsi="楷体" w:eastAsia="楷体" w:cs="楷体"/>
          <w:color w:val="000000"/>
          <w:sz w:val="72"/>
          <w:szCs w:val="72"/>
        </w:rPr>
      </w:pPr>
      <w:r>
        <w:rPr>
          <w:rFonts w:hint="eastAsia" w:ascii="楷体" w:hAnsi="楷体" w:eastAsia="楷体" w:cs="楷体"/>
          <w:color w:val="000000"/>
          <w:sz w:val="72"/>
          <w:szCs w:val="72"/>
        </w:rPr>
        <w:t>公开招标采购文件</w:t>
      </w:r>
    </w:p>
    <w:p>
      <w:pPr>
        <w:snapToGrid w:val="0"/>
        <w:spacing w:before="100" w:beforeAutospacing="1" w:after="100" w:afterAutospacing="1" w:line="276" w:lineRule="auto"/>
        <w:ind w:firstLine="640"/>
        <w:rPr>
          <w:rFonts w:ascii="楷体" w:hAnsi="楷体" w:eastAsia="楷体" w:cs="楷体"/>
          <w:color w:val="000000"/>
          <w:sz w:val="32"/>
          <w:szCs w:val="32"/>
        </w:rPr>
      </w:pPr>
    </w:p>
    <w:p>
      <w:pPr>
        <w:snapToGrid w:val="0"/>
        <w:spacing w:before="100" w:beforeAutospacing="1" w:after="100" w:afterAutospacing="1" w:line="276" w:lineRule="auto"/>
        <w:ind w:firstLine="640"/>
        <w:rPr>
          <w:rFonts w:ascii="楷体" w:hAnsi="楷体" w:eastAsia="楷体" w:cs="楷体"/>
          <w:color w:val="000000"/>
          <w:sz w:val="32"/>
          <w:szCs w:val="32"/>
        </w:rPr>
      </w:pPr>
    </w:p>
    <w:p>
      <w:pPr>
        <w:snapToGrid w:val="0"/>
        <w:spacing w:before="100" w:beforeAutospacing="1" w:after="100" w:afterAutospacing="1" w:line="276" w:lineRule="auto"/>
        <w:ind w:firstLine="640"/>
        <w:rPr>
          <w:rFonts w:ascii="楷体" w:hAnsi="楷体" w:eastAsia="楷体" w:cs="楷体"/>
          <w:color w:val="000000"/>
          <w:sz w:val="32"/>
          <w:szCs w:val="32"/>
        </w:rPr>
      </w:pPr>
    </w:p>
    <w:p>
      <w:pPr>
        <w:snapToGrid w:val="0"/>
        <w:spacing w:before="100" w:beforeAutospacing="1" w:after="100" w:afterAutospacing="1" w:line="276" w:lineRule="auto"/>
        <w:ind w:firstLine="640"/>
        <w:rPr>
          <w:rFonts w:ascii="楷体" w:hAnsi="楷体" w:eastAsia="楷体" w:cs="楷体"/>
          <w:color w:val="000000"/>
          <w:sz w:val="32"/>
          <w:szCs w:val="32"/>
        </w:rPr>
      </w:pPr>
    </w:p>
    <w:p>
      <w:pPr>
        <w:pStyle w:val="18"/>
        <w:snapToGrid w:val="0"/>
        <w:spacing w:beforeLines="0" w:afterLines="0" w:line="276" w:lineRule="auto"/>
        <w:ind w:firstLine="602"/>
        <w:rPr>
          <w:rFonts w:ascii="楷体" w:hAnsi="楷体" w:eastAsia="楷体" w:cs="楷体"/>
          <w:b/>
          <w:bCs/>
          <w:color w:val="000000"/>
          <w:sz w:val="30"/>
          <w:szCs w:val="30"/>
        </w:rPr>
      </w:pPr>
    </w:p>
    <w:p>
      <w:pPr>
        <w:pStyle w:val="18"/>
        <w:snapToGrid w:val="0"/>
        <w:spacing w:beforeLines="0" w:afterLines="0" w:line="276" w:lineRule="auto"/>
        <w:ind w:firstLine="602"/>
        <w:rPr>
          <w:rFonts w:ascii="楷体" w:hAnsi="楷体" w:eastAsia="楷体" w:cs="楷体"/>
          <w:b/>
          <w:bCs/>
          <w:color w:val="000000"/>
          <w:sz w:val="30"/>
          <w:szCs w:val="30"/>
        </w:rPr>
      </w:pPr>
      <w:r>
        <w:rPr>
          <w:rFonts w:hint="eastAsia" w:ascii="楷体" w:hAnsi="楷体" w:eastAsia="楷体" w:cs="楷体"/>
          <w:b/>
          <w:bCs/>
          <w:color w:val="000000"/>
          <w:sz w:val="30"/>
          <w:szCs w:val="30"/>
        </w:rPr>
        <w:t>项目编号：HZZX-2023-G</w:t>
      </w:r>
      <w:r>
        <w:rPr>
          <w:rFonts w:ascii="楷体" w:hAnsi="楷体" w:eastAsia="楷体" w:cs="楷体"/>
          <w:b/>
          <w:bCs/>
          <w:color w:val="000000"/>
          <w:sz w:val="30"/>
          <w:szCs w:val="30"/>
        </w:rPr>
        <w:t>11</w:t>
      </w:r>
    </w:p>
    <w:p>
      <w:pPr>
        <w:pStyle w:val="18"/>
        <w:snapToGrid w:val="0"/>
        <w:spacing w:beforeLines="0" w:afterLines="0" w:line="276" w:lineRule="auto"/>
        <w:ind w:firstLine="602"/>
        <w:rPr>
          <w:rFonts w:ascii="楷体" w:hAnsi="楷体" w:eastAsia="楷体" w:cs="楷体"/>
          <w:b/>
          <w:bCs/>
          <w:color w:val="000000"/>
          <w:sz w:val="30"/>
          <w:szCs w:val="30"/>
        </w:rPr>
      </w:pPr>
      <w:r>
        <w:rPr>
          <w:rFonts w:hint="eastAsia" w:ascii="楷体" w:hAnsi="楷体" w:eastAsia="楷体" w:cs="楷体"/>
          <w:b/>
          <w:bCs/>
          <w:color w:val="000000"/>
          <w:sz w:val="30"/>
          <w:szCs w:val="30"/>
        </w:rPr>
        <w:t>项目名称：2023年城区信号灯路口配时优化项目</w:t>
      </w:r>
    </w:p>
    <w:p>
      <w:pPr>
        <w:pStyle w:val="18"/>
        <w:snapToGrid w:val="0"/>
        <w:spacing w:beforeLines="0" w:afterLines="0" w:line="276" w:lineRule="auto"/>
        <w:ind w:firstLine="602"/>
        <w:rPr>
          <w:rFonts w:ascii="楷体" w:hAnsi="楷体" w:eastAsia="楷体" w:cs="楷体"/>
          <w:b/>
          <w:bCs/>
          <w:color w:val="000000"/>
          <w:sz w:val="30"/>
          <w:szCs w:val="30"/>
        </w:rPr>
      </w:pPr>
      <w:r>
        <w:rPr>
          <w:rFonts w:hint="eastAsia" w:ascii="楷体" w:hAnsi="楷体" w:eastAsia="楷体" w:cs="楷体"/>
          <w:b/>
          <w:bCs/>
          <w:color w:val="000000"/>
          <w:sz w:val="30"/>
          <w:szCs w:val="30"/>
        </w:rPr>
        <w:t>采购单位：嘉善县公安局交通警察大队</w:t>
      </w:r>
    </w:p>
    <w:p>
      <w:pPr>
        <w:pStyle w:val="18"/>
        <w:snapToGrid w:val="0"/>
        <w:spacing w:beforeLines="0" w:afterLines="0" w:line="276" w:lineRule="auto"/>
        <w:ind w:firstLine="602"/>
        <w:rPr>
          <w:rFonts w:ascii="楷体" w:hAnsi="楷体" w:eastAsia="楷体" w:cs="楷体"/>
          <w:b/>
          <w:bCs/>
          <w:color w:val="000000"/>
          <w:sz w:val="30"/>
          <w:szCs w:val="30"/>
        </w:rPr>
      </w:pPr>
      <w:r>
        <w:rPr>
          <w:rFonts w:hint="eastAsia" w:ascii="楷体" w:hAnsi="楷体" w:eastAsia="楷体" w:cs="楷体"/>
          <w:b/>
          <w:bCs/>
          <w:color w:val="000000"/>
          <w:sz w:val="30"/>
          <w:szCs w:val="30"/>
        </w:rPr>
        <w:t>代理机构：嘉兴市宏泽招标咨询有限公司</w:t>
      </w:r>
    </w:p>
    <w:p>
      <w:pPr>
        <w:snapToGrid w:val="0"/>
        <w:spacing w:before="100" w:beforeAutospacing="1" w:after="100" w:afterAutospacing="1" w:line="276" w:lineRule="auto"/>
        <w:ind w:firstLine="3531" w:firstLineChars="1234"/>
        <w:rPr>
          <w:rFonts w:ascii="楷体" w:hAnsi="楷体" w:eastAsia="楷体" w:cs="楷体"/>
          <w:sz w:val="30"/>
          <w:szCs w:val="30"/>
        </w:rPr>
      </w:pPr>
      <w:r>
        <w:rPr>
          <w:rFonts w:hint="eastAsia" w:ascii="楷体" w:hAnsi="楷体" w:eastAsia="楷体" w:cs="楷体"/>
          <w:b/>
          <w:bCs/>
          <w:w w:val="95"/>
          <w:sz w:val="30"/>
          <w:szCs w:val="30"/>
        </w:rPr>
        <w:t>2023年</w:t>
      </w:r>
      <w:r>
        <w:rPr>
          <w:rFonts w:hint="eastAsia" w:ascii="楷体" w:hAnsi="楷体" w:eastAsia="楷体" w:cs="楷体"/>
          <w:b/>
          <w:bCs/>
          <w:w w:val="95"/>
          <w:sz w:val="30"/>
          <w:szCs w:val="30"/>
          <w:lang w:val="en-US" w:eastAsia="zh-CN"/>
        </w:rPr>
        <w:t>5</w:t>
      </w:r>
      <w:r>
        <w:rPr>
          <w:rFonts w:hint="eastAsia" w:ascii="楷体" w:hAnsi="楷体" w:eastAsia="楷体" w:cs="楷体"/>
          <w:b/>
          <w:bCs/>
          <w:w w:val="95"/>
          <w:sz w:val="30"/>
          <w:szCs w:val="30"/>
        </w:rPr>
        <w:t>月</w:t>
      </w:r>
    </w:p>
    <w:p>
      <w:pPr>
        <w:pStyle w:val="18"/>
        <w:tabs>
          <w:tab w:val="left" w:pos="9072"/>
        </w:tabs>
        <w:spacing w:beforeLines="0" w:beforeAutospacing="1" w:afterLines="0" w:afterAutospacing="1" w:line="276" w:lineRule="auto"/>
        <w:ind w:firstLine="420"/>
        <w:rPr>
          <w:rFonts w:hAnsi="宋体" w:cs="宋体"/>
          <w:color w:val="000000"/>
        </w:rPr>
      </w:pPr>
      <w:r>
        <w:rPr>
          <w:color w:val="000000"/>
        </w:rPr>
        <w:br w:type="page"/>
      </w:r>
    </w:p>
    <w:p>
      <w:pPr>
        <w:tabs>
          <w:tab w:val="left" w:pos="851"/>
        </w:tabs>
        <w:spacing w:before="100" w:beforeAutospacing="1" w:after="100" w:afterAutospacing="1" w:line="276" w:lineRule="auto"/>
        <w:ind w:firstLine="480"/>
        <w:rPr>
          <w:rFonts w:ascii="宋体" w:hAnsi="宋体" w:cs="宋体"/>
          <w:color w:val="000000"/>
        </w:rPr>
        <w:sectPr>
          <w:headerReference r:id="rId5" w:type="first"/>
          <w:footerReference r:id="rId8" w:type="first"/>
          <w:headerReference r:id="rId3" w:type="default"/>
          <w:footerReference r:id="rId6" w:type="default"/>
          <w:headerReference r:id="rId4" w:type="even"/>
          <w:footerReference r:id="rId7" w:type="even"/>
          <w:type w:val="continuous"/>
          <w:pgSz w:w="11906" w:h="16838"/>
          <w:pgMar w:top="1417" w:right="1020" w:bottom="1417" w:left="1020" w:header="851" w:footer="850" w:gutter="340"/>
          <w:cols w:space="720" w:num="1"/>
          <w:docGrid w:linePitch="381" w:charSpace="0"/>
        </w:sectPr>
      </w:pPr>
    </w:p>
    <w:p>
      <w:pPr>
        <w:pStyle w:val="94"/>
        <w:ind w:firstLine="723"/>
        <w:jc w:val="center"/>
        <w:rPr>
          <w:color w:val="000000"/>
          <w:sz w:val="36"/>
          <w:lang w:val="zh-CN"/>
        </w:rPr>
      </w:pPr>
      <w:bookmarkStart w:id="0" w:name="_Toc18407"/>
      <w:bookmarkStart w:id="1" w:name="_Toc27687"/>
      <w:r>
        <w:rPr>
          <w:color w:val="000000"/>
          <w:sz w:val="36"/>
          <w:lang w:val="zh-CN"/>
        </w:rPr>
        <w:t>目</w:t>
      </w:r>
      <w:r>
        <w:rPr>
          <w:rFonts w:hint="eastAsia"/>
          <w:color w:val="000000"/>
          <w:sz w:val="36"/>
          <w:lang w:val="zh-CN"/>
        </w:rPr>
        <w:t xml:space="preserve">  </w:t>
      </w:r>
      <w:r>
        <w:rPr>
          <w:color w:val="000000"/>
          <w:sz w:val="36"/>
          <w:lang w:val="zh-CN"/>
        </w:rPr>
        <w:t>录</w:t>
      </w:r>
      <w:bookmarkEnd w:id="0"/>
      <w:bookmarkEnd w:id="1"/>
    </w:p>
    <w:p>
      <w:pPr>
        <w:ind w:firstLine="480"/>
      </w:pPr>
    </w:p>
    <w:p>
      <w:pPr>
        <w:pStyle w:val="24"/>
        <w:tabs>
          <w:tab w:val="right" w:leader="dot" w:pos="9412"/>
        </w:tabs>
        <w:ind w:firstLine="0" w:firstLineChars="0"/>
        <w:rPr>
          <w:rFonts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TOC \o "1-3" \h \z \u </w:instrText>
      </w:r>
      <w:r>
        <w:rPr>
          <w:rFonts w:hint="eastAsia" w:ascii="宋体" w:hAnsi="宋体" w:cs="宋体"/>
          <w:sz w:val="24"/>
          <w:szCs w:val="24"/>
        </w:rPr>
        <w:fldChar w:fldCharType="separate"/>
      </w:r>
      <w:r>
        <w:fldChar w:fldCharType="begin"/>
      </w:r>
      <w:r>
        <w:instrText xml:space="preserve"> HYPERLINK \l "_Toc23337" </w:instrText>
      </w:r>
      <w:r>
        <w:fldChar w:fldCharType="separate"/>
      </w:r>
      <w:r>
        <w:rPr>
          <w:rFonts w:hint="eastAsia" w:ascii="宋体" w:hAnsi="宋体" w:cs="宋体"/>
          <w:sz w:val="24"/>
          <w:szCs w:val="24"/>
        </w:rPr>
        <w:t>第一章  公开招标采购公告</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_Toc23337 </w:instrText>
      </w:r>
      <w:r>
        <w:rPr>
          <w:rFonts w:hint="eastAsia" w:ascii="宋体" w:hAnsi="宋体" w:cs="宋体"/>
          <w:sz w:val="24"/>
          <w:szCs w:val="24"/>
        </w:rPr>
        <w:fldChar w:fldCharType="separate"/>
      </w:r>
      <w:r>
        <w:rPr>
          <w:rFonts w:hint="eastAsia" w:ascii="宋体" w:hAnsi="宋体" w:cs="宋体"/>
          <w:sz w:val="24"/>
          <w:szCs w:val="24"/>
        </w:rPr>
        <w:t>1</w:t>
      </w:r>
      <w:r>
        <w:rPr>
          <w:rFonts w:hint="eastAsia" w:ascii="宋体" w:hAnsi="宋体" w:cs="宋体"/>
          <w:sz w:val="24"/>
          <w:szCs w:val="24"/>
        </w:rPr>
        <w:fldChar w:fldCharType="end"/>
      </w:r>
      <w:r>
        <w:rPr>
          <w:rFonts w:hint="eastAsia" w:ascii="宋体" w:hAnsi="宋体" w:cs="宋体"/>
          <w:sz w:val="24"/>
          <w:szCs w:val="24"/>
        </w:rPr>
        <w:fldChar w:fldCharType="end"/>
      </w:r>
    </w:p>
    <w:p>
      <w:pPr>
        <w:pStyle w:val="24"/>
        <w:tabs>
          <w:tab w:val="right" w:leader="dot" w:pos="9412"/>
        </w:tabs>
        <w:ind w:firstLine="0" w:firstLineChars="0"/>
        <w:rPr>
          <w:rFonts w:ascii="宋体" w:hAnsi="宋体" w:cs="宋体"/>
          <w:sz w:val="24"/>
          <w:szCs w:val="24"/>
        </w:rPr>
      </w:pPr>
      <w:r>
        <w:fldChar w:fldCharType="begin"/>
      </w:r>
      <w:r>
        <w:instrText xml:space="preserve"> HYPERLINK \l "_Toc13127" </w:instrText>
      </w:r>
      <w:r>
        <w:fldChar w:fldCharType="separate"/>
      </w:r>
      <w:r>
        <w:rPr>
          <w:rFonts w:hint="eastAsia" w:ascii="宋体" w:hAnsi="宋体" w:cs="宋体"/>
          <w:sz w:val="24"/>
          <w:szCs w:val="24"/>
        </w:rPr>
        <w:t>第二章  采购需求</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_Toc13127 </w:instrText>
      </w:r>
      <w:r>
        <w:rPr>
          <w:rFonts w:hint="eastAsia" w:ascii="宋体" w:hAnsi="宋体" w:cs="宋体"/>
          <w:sz w:val="24"/>
          <w:szCs w:val="24"/>
        </w:rPr>
        <w:fldChar w:fldCharType="separate"/>
      </w:r>
      <w:r>
        <w:rPr>
          <w:rFonts w:hint="eastAsia" w:ascii="宋体" w:hAnsi="宋体" w:cs="宋体"/>
          <w:sz w:val="24"/>
          <w:szCs w:val="24"/>
        </w:rPr>
        <w:t>5</w:t>
      </w:r>
      <w:r>
        <w:rPr>
          <w:rFonts w:hint="eastAsia" w:ascii="宋体" w:hAnsi="宋体" w:cs="宋体"/>
          <w:sz w:val="24"/>
          <w:szCs w:val="24"/>
        </w:rPr>
        <w:fldChar w:fldCharType="end"/>
      </w:r>
      <w:r>
        <w:rPr>
          <w:rFonts w:hint="eastAsia" w:ascii="宋体" w:hAnsi="宋体" w:cs="宋体"/>
          <w:sz w:val="24"/>
          <w:szCs w:val="24"/>
        </w:rPr>
        <w:fldChar w:fldCharType="end"/>
      </w:r>
    </w:p>
    <w:p>
      <w:pPr>
        <w:pStyle w:val="24"/>
        <w:tabs>
          <w:tab w:val="right" w:leader="dot" w:pos="9412"/>
        </w:tabs>
        <w:ind w:firstLine="0" w:firstLineChars="0"/>
        <w:rPr>
          <w:rFonts w:ascii="宋体" w:hAnsi="宋体" w:cs="宋体"/>
          <w:sz w:val="24"/>
          <w:szCs w:val="24"/>
        </w:rPr>
      </w:pPr>
      <w:r>
        <w:fldChar w:fldCharType="begin"/>
      </w:r>
      <w:r>
        <w:instrText xml:space="preserve"> HYPERLINK \l "_Toc21356" </w:instrText>
      </w:r>
      <w:r>
        <w:fldChar w:fldCharType="separate"/>
      </w:r>
      <w:r>
        <w:rPr>
          <w:rFonts w:hint="eastAsia" w:ascii="宋体" w:hAnsi="宋体" w:cs="宋体"/>
          <w:sz w:val="24"/>
          <w:szCs w:val="24"/>
        </w:rPr>
        <w:t>第三章  投标人须知</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_Toc21356 </w:instrText>
      </w:r>
      <w:r>
        <w:rPr>
          <w:rFonts w:hint="eastAsia" w:ascii="宋体" w:hAnsi="宋体" w:cs="宋体"/>
          <w:sz w:val="24"/>
          <w:szCs w:val="24"/>
        </w:rPr>
        <w:fldChar w:fldCharType="separate"/>
      </w:r>
      <w:r>
        <w:rPr>
          <w:rFonts w:hint="eastAsia" w:ascii="宋体" w:hAnsi="宋体" w:cs="宋体"/>
          <w:sz w:val="24"/>
          <w:szCs w:val="24"/>
        </w:rPr>
        <w:t>23</w:t>
      </w:r>
      <w:r>
        <w:rPr>
          <w:rFonts w:hint="eastAsia" w:ascii="宋体" w:hAnsi="宋体" w:cs="宋体"/>
          <w:sz w:val="24"/>
          <w:szCs w:val="24"/>
        </w:rPr>
        <w:fldChar w:fldCharType="end"/>
      </w:r>
      <w:r>
        <w:rPr>
          <w:rFonts w:hint="eastAsia" w:ascii="宋体" w:hAnsi="宋体" w:cs="宋体"/>
          <w:sz w:val="24"/>
          <w:szCs w:val="24"/>
        </w:rPr>
        <w:fldChar w:fldCharType="end"/>
      </w:r>
    </w:p>
    <w:p>
      <w:pPr>
        <w:pStyle w:val="17"/>
        <w:tabs>
          <w:tab w:val="right" w:leader="dot" w:pos="9412"/>
        </w:tabs>
        <w:ind w:left="0" w:leftChars="0" w:firstLine="0" w:firstLineChars="0"/>
        <w:rPr>
          <w:rFonts w:ascii="宋体" w:hAnsi="宋体" w:cs="宋体"/>
          <w:szCs w:val="24"/>
        </w:rPr>
      </w:pPr>
      <w:r>
        <w:fldChar w:fldCharType="begin"/>
      </w:r>
      <w:r>
        <w:instrText xml:space="preserve"> HYPERLINK \l "_Toc29102" </w:instrText>
      </w:r>
      <w:r>
        <w:fldChar w:fldCharType="separate"/>
      </w:r>
      <w:r>
        <w:rPr>
          <w:rFonts w:hint="eastAsia" w:ascii="宋体" w:hAnsi="宋体" w:cs="宋体"/>
          <w:szCs w:val="24"/>
        </w:rPr>
        <w:t>一、前附表</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_Toc29102 </w:instrText>
      </w:r>
      <w:r>
        <w:rPr>
          <w:rFonts w:hint="eastAsia" w:ascii="宋体" w:hAnsi="宋体" w:cs="宋体"/>
          <w:szCs w:val="24"/>
        </w:rPr>
        <w:fldChar w:fldCharType="separate"/>
      </w:r>
      <w:r>
        <w:rPr>
          <w:rFonts w:hint="eastAsia" w:ascii="宋体" w:hAnsi="宋体" w:cs="宋体"/>
          <w:szCs w:val="24"/>
        </w:rPr>
        <w:t>23</w:t>
      </w:r>
      <w:r>
        <w:rPr>
          <w:rFonts w:hint="eastAsia" w:ascii="宋体" w:hAnsi="宋体" w:cs="宋体"/>
          <w:szCs w:val="24"/>
        </w:rPr>
        <w:fldChar w:fldCharType="end"/>
      </w:r>
      <w:r>
        <w:rPr>
          <w:rFonts w:hint="eastAsia" w:ascii="宋体" w:hAnsi="宋体" w:cs="宋体"/>
          <w:szCs w:val="24"/>
        </w:rPr>
        <w:fldChar w:fldCharType="end"/>
      </w:r>
    </w:p>
    <w:p>
      <w:pPr>
        <w:pStyle w:val="17"/>
        <w:tabs>
          <w:tab w:val="right" w:leader="dot" w:pos="9412"/>
        </w:tabs>
        <w:ind w:left="0" w:leftChars="0" w:firstLine="0" w:firstLineChars="0"/>
        <w:rPr>
          <w:rFonts w:ascii="宋体" w:hAnsi="宋体" w:cs="宋体"/>
          <w:szCs w:val="24"/>
        </w:rPr>
      </w:pPr>
      <w:r>
        <w:fldChar w:fldCharType="begin"/>
      </w:r>
      <w:r>
        <w:instrText xml:space="preserve"> HYPERLINK \l "_Toc29258" </w:instrText>
      </w:r>
      <w:r>
        <w:fldChar w:fldCharType="separate"/>
      </w:r>
      <w:r>
        <w:rPr>
          <w:rFonts w:hint="eastAsia" w:ascii="宋体" w:hAnsi="宋体" w:cs="宋体"/>
          <w:szCs w:val="24"/>
        </w:rPr>
        <w:t>二、总  则</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_Toc29258 </w:instrText>
      </w:r>
      <w:r>
        <w:rPr>
          <w:rFonts w:hint="eastAsia" w:ascii="宋体" w:hAnsi="宋体" w:cs="宋体"/>
          <w:szCs w:val="24"/>
        </w:rPr>
        <w:fldChar w:fldCharType="separate"/>
      </w:r>
      <w:r>
        <w:rPr>
          <w:rFonts w:hint="eastAsia" w:ascii="宋体" w:hAnsi="宋体" w:cs="宋体"/>
          <w:szCs w:val="24"/>
        </w:rPr>
        <w:t>26</w:t>
      </w:r>
      <w:r>
        <w:rPr>
          <w:rFonts w:hint="eastAsia" w:ascii="宋体" w:hAnsi="宋体" w:cs="宋体"/>
          <w:szCs w:val="24"/>
        </w:rPr>
        <w:fldChar w:fldCharType="end"/>
      </w:r>
      <w:r>
        <w:rPr>
          <w:rFonts w:hint="eastAsia" w:ascii="宋体" w:hAnsi="宋体" w:cs="宋体"/>
          <w:szCs w:val="24"/>
        </w:rPr>
        <w:fldChar w:fldCharType="end"/>
      </w:r>
    </w:p>
    <w:p>
      <w:pPr>
        <w:pStyle w:val="17"/>
        <w:tabs>
          <w:tab w:val="right" w:leader="dot" w:pos="9412"/>
        </w:tabs>
        <w:ind w:left="0" w:leftChars="0" w:firstLine="0" w:firstLineChars="0"/>
        <w:rPr>
          <w:rFonts w:ascii="宋体" w:hAnsi="宋体" w:cs="宋体"/>
          <w:szCs w:val="24"/>
        </w:rPr>
      </w:pPr>
      <w:r>
        <w:fldChar w:fldCharType="begin"/>
      </w:r>
      <w:r>
        <w:instrText xml:space="preserve"> HYPERLINK \l "_Toc6142" </w:instrText>
      </w:r>
      <w:r>
        <w:fldChar w:fldCharType="separate"/>
      </w:r>
      <w:r>
        <w:rPr>
          <w:rFonts w:hint="eastAsia" w:ascii="宋体" w:hAnsi="宋体" w:cs="宋体"/>
          <w:szCs w:val="24"/>
        </w:rPr>
        <w:t>三、采购文件</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_Toc6142 </w:instrText>
      </w:r>
      <w:r>
        <w:rPr>
          <w:rFonts w:hint="eastAsia" w:ascii="宋体" w:hAnsi="宋体" w:cs="宋体"/>
          <w:szCs w:val="24"/>
        </w:rPr>
        <w:fldChar w:fldCharType="separate"/>
      </w:r>
      <w:r>
        <w:rPr>
          <w:rFonts w:hint="eastAsia" w:ascii="宋体" w:hAnsi="宋体" w:cs="宋体"/>
          <w:szCs w:val="24"/>
        </w:rPr>
        <w:t>27</w:t>
      </w:r>
      <w:r>
        <w:rPr>
          <w:rFonts w:hint="eastAsia" w:ascii="宋体" w:hAnsi="宋体" w:cs="宋体"/>
          <w:szCs w:val="24"/>
        </w:rPr>
        <w:fldChar w:fldCharType="end"/>
      </w:r>
      <w:r>
        <w:rPr>
          <w:rFonts w:hint="eastAsia" w:ascii="宋体" w:hAnsi="宋体" w:cs="宋体"/>
          <w:szCs w:val="24"/>
        </w:rPr>
        <w:fldChar w:fldCharType="end"/>
      </w:r>
    </w:p>
    <w:p>
      <w:pPr>
        <w:pStyle w:val="17"/>
        <w:tabs>
          <w:tab w:val="right" w:leader="dot" w:pos="9412"/>
        </w:tabs>
        <w:ind w:left="0" w:leftChars="0" w:firstLine="0" w:firstLineChars="0"/>
        <w:rPr>
          <w:rFonts w:ascii="宋体" w:hAnsi="宋体" w:cs="宋体"/>
          <w:szCs w:val="24"/>
        </w:rPr>
      </w:pPr>
      <w:r>
        <w:fldChar w:fldCharType="begin"/>
      </w:r>
      <w:r>
        <w:instrText xml:space="preserve"> HYPERLINK \l "_Toc17209" </w:instrText>
      </w:r>
      <w:r>
        <w:fldChar w:fldCharType="separate"/>
      </w:r>
      <w:r>
        <w:rPr>
          <w:rFonts w:hint="eastAsia" w:ascii="宋体" w:hAnsi="宋体" w:cs="宋体"/>
          <w:szCs w:val="24"/>
        </w:rPr>
        <w:t>四、投标文件的编制</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_Toc17209 </w:instrText>
      </w:r>
      <w:r>
        <w:rPr>
          <w:rFonts w:hint="eastAsia" w:ascii="宋体" w:hAnsi="宋体" w:cs="宋体"/>
          <w:szCs w:val="24"/>
        </w:rPr>
        <w:fldChar w:fldCharType="separate"/>
      </w:r>
      <w:r>
        <w:rPr>
          <w:rFonts w:hint="eastAsia" w:ascii="宋体" w:hAnsi="宋体" w:cs="宋体"/>
          <w:szCs w:val="24"/>
        </w:rPr>
        <w:t>28</w:t>
      </w:r>
      <w:r>
        <w:rPr>
          <w:rFonts w:hint="eastAsia" w:ascii="宋体" w:hAnsi="宋体" w:cs="宋体"/>
          <w:szCs w:val="24"/>
        </w:rPr>
        <w:fldChar w:fldCharType="end"/>
      </w:r>
      <w:r>
        <w:rPr>
          <w:rFonts w:hint="eastAsia" w:ascii="宋体" w:hAnsi="宋体" w:cs="宋体"/>
          <w:szCs w:val="24"/>
        </w:rPr>
        <w:fldChar w:fldCharType="end"/>
      </w:r>
    </w:p>
    <w:p>
      <w:pPr>
        <w:pStyle w:val="17"/>
        <w:tabs>
          <w:tab w:val="right" w:leader="dot" w:pos="9412"/>
        </w:tabs>
        <w:ind w:left="0" w:leftChars="0" w:firstLine="0" w:firstLineChars="0"/>
        <w:rPr>
          <w:rFonts w:ascii="宋体" w:hAnsi="宋体" w:cs="宋体"/>
          <w:szCs w:val="24"/>
        </w:rPr>
      </w:pPr>
      <w:r>
        <w:fldChar w:fldCharType="begin"/>
      </w:r>
      <w:r>
        <w:instrText xml:space="preserve"> HYPERLINK \l "_Toc29513" </w:instrText>
      </w:r>
      <w:r>
        <w:fldChar w:fldCharType="separate"/>
      </w:r>
      <w:r>
        <w:rPr>
          <w:rFonts w:hint="eastAsia" w:ascii="宋体" w:hAnsi="宋体" w:cs="宋体"/>
          <w:szCs w:val="24"/>
        </w:rPr>
        <w:t>五、开标</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_Toc29513 </w:instrText>
      </w:r>
      <w:r>
        <w:rPr>
          <w:rFonts w:hint="eastAsia" w:ascii="宋体" w:hAnsi="宋体" w:cs="宋体"/>
          <w:szCs w:val="24"/>
        </w:rPr>
        <w:fldChar w:fldCharType="separate"/>
      </w:r>
      <w:r>
        <w:rPr>
          <w:rFonts w:hint="eastAsia" w:ascii="宋体" w:hAnsi="宋体" w:cs="宋体"/>
          <w:szCs w:val="24"/>
        </w:rPr>
        <w:t>32</w:t>
      </w:r>
      <w:r>
        <w:rPr>
          <w:rFonts w:hint="eastAsia" w:ascii="宋体" w:hAnsi="宋体" w:cs="宋体"/>
          <w:szCs w:val="24"/>
        </w:rPr>
        <w:fldChar w:fldCharType="end"/>
      </w:r>
      <w:r>
        <w:rPr>
          <w:rFonts w:hint="eastAsia" w:ascii="宋体" w:hAnsi="宋体" w:cs="宋体"/>
          <w:szCs w:val="24"/>
        </w:rPr>
        <w:fldChar w:fldCharType="end"/>
      </w:r>
    </w:p>
    <w:p>
      <w:pPr>
        <w:pStyle w:val="17"/>
        <w:tabs>
          <w:tab w:val="right" w:leader="dot" w:pos="9412"/>
        </w:tabs>
        <w:ind w:left="0" w:leftChars="0" w:firstLine="0" w:firstLineChars="0"/>
        <w:rPr>
          <w:rFonts w:ascii="宋体" w:hAnsi="宋体" w:cs="宋体"/>
          <w:szCs w:val="24"/>
        </w:rPr>
      </w:pPr>
      <w:r>
        <w:fldChar w:fldCharType="begin"/>
      </w:r>
      <w:r>
        <w:instrText xml:space="preserve"> HYPERLINK \l "_Toc27612" </w:instrText>
      </w:r>
      <w:r>
        <w:fldChar w:fldCharType="separate"/>
      </w:r>
      <w:r>
        <w:rPr>
          <w:rFonts w:hint="eastAsia" w:ascii="宋体" w:hAnsi="宋体" w:cs="宋体"/>
          <w:szCs w:val="24"/>
        </w:rPr>
        <w:t>六、评标</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_Toc27612 </w:instrText>
      </w:r>
      <w:r>
        <w:rPr>
          <w:rFonts w:hint="eastAsia" w:ascii="宋体" w:hAnsi="宋体" w:cs="宋体"/>
          <w:szCs w:val="24"/>
        </w:rPr>
        <w:fldChar w:fldCharType="separate"/>
      </w:r>
      <w:r>
        <w:rPr>
          <w:rFonts w:hint="eastAsia" w:ascii="宋体" w:hAnsi="宋体" w:cs="宋体"/>
          <w:szCs w:val="24"/>
        </w:rPr>
        <w:t>32</w:t>
      </w:r>
      <w:r>
        <w:rPr>
          <w:rFonts w:hint="eastAsia" w:ascii="宋体" w:hAnsi="宋体" w:cs="宋体"/>
          <w:szCs w:val="24"/>
        </w:rPr>
        <w:fldChar w:fldCharType="end"/>
      </w:r>
      <w:r>
        <w:rPr>
          <w:rFonts w:hint="eastAsia" w:ascii="宋体" w:hAnsi="宋体" w:cs="宋体"/>
          <w:szCs w:val="24"/>
        </w:rPr>
        <w:fldChar w:fldCharType="end"/>
      </w:r>
    </w:p>
    <w:p>
      <w:pPr>
        <w:pStyle w:val="17"/>
        <w:tabs>
          <w:tab w:val="right" w:leader="dot" w:pos="9412"/>
        </w:tabs>
        <w:ind w:left="0" w:leftChars="0" w:firstLine="0" w:firstLineChars="0"/>
        <w:rPr>
          <w:rFonts w:ascii="宋体" w:hAnsi="宋体" w:cs="宋体"/>
          <w:szCs w:val="24"/>
        </w:rPr>
      </w:pPr>
      <w:r>
        <w:fldChar w:fldCharType="begin"/>
      </w:r>
      <w:r>
        <w:instrText xml:space="preserve"> HYPERLINK \l "_Toc31102" </w:instrText>
      </w:r>
      <w:r>
        <w:fldChar w:fldCharType="separate"/>
      </w:r>
      <w:r>
        <w:rPr>
          <w:rFonts w:hint="eastAsia" w:ascii="宋体" w:hAnsi="宋体" w:cs="宋体"/>
          <w:szCs w:val="24"/>
        </w:rPr>
        <w:t>七、定标</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_Toc31102 </w:instrText>
      </w:r>
      <w:r>
        <w:rPr>
          <w:rFonts w:hint="eastAsia" w:ascii="宋体" w:hAnsi="宋体" w:cs="宋体"/>
          <w:szCs w:val="24"/>
        </w:rPr>
        <w:fldChar w:fldCharType="separate"/>
      </w:r>
      <w:r>
        <w:rPr>
          <w:rFonts w:hint="eastAsia" w:ascii="宋体" w:hAnsi="宋体" w:cs="宋体"/>
          <w:szCs w:val="24"/>
        </w:rPr>
        <w:t>34</w:t>
      </w:r>
      <w:r>
        <w:rPr>
          <w:rFonts w:hint="eastAsia" w:ascii="宋体" w:hAnsi="宋体" w:cs="宋体"/>
          <w:szCs w:val="24"/>
        </w:rPr>
        <w:fldChar w:fldCharType="end"/>
      </w:r>
      <w:r>
        <w:rPr>
          <w:rFonts w:hint="eastAsia" w:ascii="宋体" w:hAnsi="宋体" w:cs="宋体"/>
          <w:szCs w:val="24"/>
        </w:rPr>
        <w:fldChar w:fldCharType="end"/>
      </w:r>
    </w:p>
    <w:p>
      <w:pPr>
        <w:pStyle w:val="17"/>
        <w:tabs>
          <w:tab w:val="right" w:leader="dot" w:pos="9412"/>
        </w:tabs>
        <w:ind w:left="0" w:leftChars="0" w:firstLine="0" w:firstLineChars="0"/>
        <w:rPr>
          <w:rFonts w:ascii="宋体" w:hAnsi="宋体" w:cs="宋体"/>
          <w:szCs w:val="24"/>
        </w:rPr>
      </w:pPr>
      <w:r>
        <w:fldChar w:fldCharType="begin"/>
      </w:r>
      <w:r>
        <w:instrText xml:space="preserve"> HYPERLINK \l "_Toc22515" </w:instrText>
      </w:r>
      <w:r>
        <w:fldChar w:fldCharType="separate"/>
      </w:r>
      <w:r>
        <w:rPr>
          <w:rFonts w:hint="eastAsia" w:ascii="宋体" w:hAnsi="宋体" w:cs="宋体"/>
          <w:szCs w:val="24"/>
        </w:rPr>
        <w:t>八、合同授予</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_Toc22515 </w:instrText>
      </w:r>
      <w:r>
        <w:rPr>
          <w:rFonts w:hint="eastAsia" w:ascii="宋体" w:hAnsi="宋体" w:cs="宋体"/>
          <w:szCs w:val="24"/>
        </w:rPr>
        <w:fldChar w:fldCharType="separate"/>
      </w:r>
      <w:r>
        <w:rPr>
          <w:rFonts w:hint="eastAsia" w:ascii="宋体" w:hAnsi="宋体" w:cs="宋体"/>
          <w:szCs w:val="24"/>
        </w:rPr>
        <w:t>34</w:t>
      </w:r>
      <w:r>
        <w:rPr>
          <w:rFonts w:hint="eastAsia" w:ascii="宋体" w:hAnsi="宋体" w:cs="宋体"/>
          <w:szCs w:val="24"/>
        </w:rPr>
        <w:fldChar w:fldCharType="end"/>
      </w:r>
      <w:r>
        <w:rPr>
          <w:rFonts w:hint="eastAsia" w:ascii="宋体" w:hAnsi="宋体" w:cs="宋体"/>
          <w:szCs w:val="24"/>
        </w:rPr>
        <w:fldChar w:fldCharType="end"/>
      </w:r>
    </w:p>
    <w:p>
      <w:pPr>
        <w:pStyle w:val="24"/>
        <w:tabs>
          <w:tab w:val="right" w:leader="dot" w:pos="9412"/>
        </w:tabs>
        <w:ind w:firstLine="0" w:firstLineChars="0"/>
        <w:rPr>
          <w:rFonts w:ascii="宋体" w:hAnsi="宋体" w:cs="宋体"/>
          <w:sz w:val="24"/>
          <w:szCs w:val="24"/>
        </w:rPr>
      </w:pPr>
      <w:r>
        <w:fldChar w:fldCharType="begin"/>
      </w:r>
      <w:r>
        <w:instrText xml:space="preserve"> HYPERLINK \l "_Toc7734" </w:instrText>
      </w:r>
      <w:r>
        <w:fldChar w:fldCharType="separate"/>
      </w:r>
      <w:r>
        <w:rPr>
          <w:rFonts w:hint="eastAsia" w:ascii="宋体" w:hAnsi="宋体" w:cs="宋体"/>
          <w:sz w:val="24"/>
          <w:szCs w:val="24"/>
        </w:rPr>
        <w:t>第四章  评标办法</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_Toc7734 </w:instrText>
      </w:r>
      <w:r>
        <w:rPr>
          <w:rFonts w:hint="eastAsia" w:ascii="宋体" w:hAnsi="宋体" w:cs="宋体"/>
          <w:sz w:val="24"/>
          <w:szCs w:val="24"/>
        </w:rPr>
        <w:fldChar w:fldCharType="separate"/>
      </w:r>
      <w:r>
        <w:rPr>
          <w:rFonts w:hint="eastAsia" w:ascii="宋体" w:hAnsi="宋体" w:cs="宋体"/>
          <w:sz w:val="24"/>
          <w:szCs w:val="24"/>
        </w:rPr>
        <w:t>35</w:t>
      </w:r>
      <w:r>
        <w:rPr>
          <w:rFonts w:hint="eastAsia" w:ascii="宋体" w:hAnsi="宋体" w:cs="宋体"/>
          <w:sz w:val="24"/>
          <w:szCs w:val="24"/>
        </w:rPr>
        <w:fldChar w:fldCharType="end"/>
      </w:r>
      <w:r>
        <w:rPr>
          <w:rFonts w:hint="eastAsia" w:ascii="宋体" w:hAnsi="宋体" w:cs="宋体"/>
          <w:sz w:val="24"/>
          <w:szCs w:val="24"/>
        </w:rPr>
        <w:fldChar w:fldCharType="end"/>
      </w:r>
    </w:p>
    <w:p>
      <w:pPr>
        <w:pStyle w:val="24"/>
        <w:tabs>
          <w:tab w:val="right" w:leader="dot" w:pos="9412"/>
        </w:tabs>
        <w:ind w:firstLine="0" w:firstLineChars="0"/>
        <w:rPr>
          <w:rFonts w:ascii="宋体" w:hAnsi="宋体" w:cs="宋体"/>
          <w:sz w:val="24"/>
          <w:szCs w:val="24"/>
        </w:rPr>
      </w:pPr>
      <w:r>
        <w:fldChar w:fldCharType="begin"/>
      </w:r>
      <w:r>
        <w:instrText xml:space="preserve"> HYPERLINK \l "_Toc32631" </w:instrText>
      </w:r>
      <w:r>
        <w:fldChar w:fldCharType="separate"/>
      </w:r>
      <w:r>
        <w:rPr>
          <w:rFonts w:hint="eastAsia" w:ascii="宋体" w:hAnsi="宋体" w:cs="宋体"/>
          <w:sz w:val="24"/>
          <w:szCs w:val="24"/>
        </w:rPr>
        <w:t>第五章  嘉善县政府采购合同</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_Toc32631 </w:instrText>
      </w:r>
      <w:r>
        <w:rPr>
          <w:rFonts w:hint="eastAsia" w:ascii="宋体" w:hAnsi="宋体" w:cs="宋体"/>
          <w:sz w:val="24"/>
          <w:szCs w:val="24"/>
        </w:rPr>
        <w:fldChar w:fldCharType="separate"/>
      </w:r>
      <w:r>
        <w:rPr>
          <w:rFonts w:hint="eastAsia" w:ascii="宋体" w:hAnsi="宋体" w:cs="宋体"/>
          <w:sz w:val="24"/>
          <w:szCs w:val="24"/>
        </w:rPr>
        <w:t>40</w:t>
      </w:r>
      <w:r>
        <w:rPr>
          <w:rFonts w:hint="eastAsia" w:ascii="宋体" w:hAnsi="宋体" w:cs="宋体"/>
          <w:sz w:val="24"/>
          <w:szCs w:val="24"/>
        </w:rPr>
        <w:fldChar w:fldCharType="end"/>
      </w:r>
      <w:r>
        <w:rPr>
          <w:rFonts w:hint="eastAsia" w:ascii="宋体" w:hAnsi="宋体" w:cs="宋体"/>
          <w:sz w:val="24"/>
          <w:szCs w:val="24"/>
        </w:rPr>
        <w:fldChar w:fldCharType="end"/>
      </w:r>
    </w:p>
    <w:p>
      <w:pPr>
        <w:pStyle w:val="24"/>
        <w:tabs>
          <w:tab w:val="right" w:leader="dot" w:pos="9412"/>
        </w:tabs>
        <w:ind w:firstLine="0" w:firstLineChars="0"/>
        <w:rPr>
          <w:rFonts w:ascii="宋体" w:hAnsi="宋体" w:cs="宋体"/>
          <w:sz w:val="24"/>
          <w:szCs w:val="24"/>
        </w:rPr>
      </w:pPr>
      <w:r>
        <w:fldChar w:fldCharType="begin"/>
      </w:r>
      <w:r>
        <w:instrText xml:space="preserve"> HYPERLINK \l "_Toc29890" </w:instrText>
      </w:r>
      <w:r>
        <w:fldChar w:fldCharType="separate"/>
      </w:r>
      <w:r>
        <w:rPr>
          <w:rFonts w:hint="eastAsia" w:ascii="宋体" w:hAnsi="宋体" w:cs="宋体"/>
          <w:sz w:val="24"/>
          <w:szCs w:val="24"/>
        </w:rPr>
        <w:t>第六章  投标文件格式</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_Toc29890 </w:instrText>
      </w:r>
      <w:r>
        <w:rPr>
          <w:rFonts w:hint="eastAsia" w:ascii="宋体" w:hAnsi="宋体" w:cs="宋体"/>
          <w:sz w:val="24"/>
          <w:szCs w:val="24"/>
        </w:rPr>
        <w:fldChar w:fldCharType="separate"/>
      </w:r>
      <w:r>
        <w:rPr>
          <w:rFonts w:hint="eastAsia" w:ascii="宋体" w:hAnsi="宋体" w:cs="宋体"/>
          <w:sz w:val="24"/>
          <w:szCs w:val="24"/>
        </w:rPr>
        <w:t>48</w:t>
      </w:r>
      <w:r>
        <w:rPr>
          <w:rFonts w:hint="eastAsia" w:ascii="宋体" w:hAnsi="宋体" w:cs="宋体"/>
          <w:sz w:val="24"/>
          <w:szCs w:val="24"/>
        </w:rPr>
        <w:fldChar w:fldCharType="end"/>
      </w:r>
      <w:r>
        <w:rPr>
          <w:rFonts w:hint="eastAsia" w:ascii="宋体" w:hAnsi="宋体" w:cs="宋体"/>
          <w:sz w:val="24"/>
          <w:szCs w:val="24"/>
        </w:rPr>
        <w:fldChar w:fldCharType="end"/>
      </w:r>
    </w:p>
    <w:p>
      <w:pPr>
        <w:ind w:firstLine="480"/>
        <w:rPr>
          <w:rFonts w:ascii="宋体" w:hAnsi="宋体" w:cs="宋体"/>
          <w:szCs w:val="24"/>
        </w:rPr>
      </w:pPr>
      <w:r>
        <w:rPr>
          <w:rFonts w:hint="eastAsia" w:ascii="宋体" w:hAnsi="宋体" w:cs="宋体"/>
          <w:szCs w:val="24"/>
        </w:rPr>
        <w:fldChar w:fldCharType="end"/>
      </w:r>
    </w:p>
    <w:p>
      <w:pPr>
        <w:ind w:firstLine="480"/>
        <w:rPr>
          <w:rFonts w:ascii="宋体" w:hAnsi="宋体" w:cs="宋体"/>
          <w:color w:val="000000"/>
        </w:rPr>
      </w:pPr>
    </w:p>
    <w:p>
      <w:pPr>
        <w:ind w:firstLine="480"/>
      </w:pPr>
    </w:p>
    <w:p>
      <w:pPr>
        <w:ind w:firstLine="480"/>
        <w:rPr>
          <w:rFonts w:ascii="宋体" w:hAnsi="宋体" w:cs="宋体"/>
          <w:color w:val="000000"/>
        </w:rPr>
        <w:sectPr>
          <w:headerReference r:id="rId9" w:type="default"/>
          <w:footerReference r:id="rId10" w:type="default"/>
          <w:type w:val="continuous"/>
          <w:pgSz w:w="11906" w:h="16838"/>
          <w:pgMar w:top="1418" w:right="1077" w:bottom="1418" w:left="1077" w:header="851" w:footer="851" w:gutter="340"/>
          <w:cols w:space="720" w:num="1"/>
          <w:docGrid w:linePitch="381" w:charSpace="0"/>
        </w:sectPr>
      </w:pPr>
    </w:p>
    <w:p>
      <w:pPr>
        <w:pStyle w:val="33"/>
        <w:spacing w:line="300" w:lineRule="auto"/>
        <w:ind w:firstLine="643"/>
      </w:pPr>
      <w:bookmarkStart w:id="2" w:name="_Toc23337"/>
      <w:r>
        <w:rPr>
          <w:rFonts w:hint="eastAsia"/>
        </w:rPr>
        <w:t>第一章  公开招标采购公告</w:t>
      </w:r>
      <w:bookmarkEnd w:id="2"/>
    </w:p>
    <w:p>
      <w:pPr>
        <w:pBdr>
          <w:top w:val="single" w:color="auto" w:sz="4" w:space="1"/>
          <w:left w:val="single" w:color="auto" w:sz="4" w:space="4"/>
          <w:bottom w:val="single" w:color="auto" w:sz="4" w:space="1"/>
          <w:right w:val="single" w:color="auto" w:sz="4" w:space="4"/>
        </w:pBdr>
        <w:ind w:firstLine="480"/>
        <w:rPr>
          <w:rFonts w:ascii="宋体" w:hAnsi="宋体" w:cs="宋体"/>
          <w:szCs w:val="24"/>
        </w:rPr>
      </w:pPr>
      <w:r>
        <w:rPr>
          <w:rFonts w:hint="eastAsia" w:ascii="宋体" w:hAnsi="宋体" w:cs="宋体"/>
          <w:szCs w:val="24"/>
        </w:rPr>
        <w:t>项目概况</w:t>
      </w:r>
    </w:p>
    <w:p>
      <w:pPr>
        <w:pBdr>
          <w:top w:val="single" w:color="auto" w:sz="4" w:space="1"/>
          <w:left w:val="single" w:color="auto" w:sz="4" w:space="4"/>
          <w:bottom w:val="single" w:color="auto" w:sz="4" w:space="1"/>
          <w:right w:val="single" w:color="auto" w:sz="4" w:space="4"/>
        </w:pBdr>
        <w:ind w:firstLine="480"/>
        <w:rPr>
          <w:rFonts w:ascii="宋体" w:hAnsi="宋体" w:cs="宋体"/>
          <w:szCs w:val="24"/>
        </w:rPr>
      </w:pPr>
      <w:r>
        <w:rPr>
          <w:rFonts w:hint="eastAsia" w:ascii="宋体" w:hAnsi="宋体" w:cs="宋体"/>
          <w:szCs w:val="24"/>
          <w:u w:val="single"/>
        </w:rPr>
        <w:t>202</w:t>
      </w:r>
      <w:r>
        <w:rPr>
          <w:rFonts w:ascii="宋体" w:hAnsi="宋体" w:cs="宋体"/>
          <w:szCs w:val="24"/>
          <w:u w:val="single"/>
        </w:rPr>
        <w:t>3</w:t>
      </w:r>
      <w:r>
        <w:rPr>
          <w:rFonts w:hint="eastAsia" w:ascii="宋体" w:hAnsi="宋体" w:cs="宋体"/>
          <w:szCs w:val="24"/>
          <w:u w:val="single"/>
        </w:rPr>
        <w:t>年城区信号灯路口配时优化项目</w:t>
      </w:r>
      <w:r>
        <w:rPr>
          <w:rFonts w:hint="eastAsia" w:ascii="宋体" w:hAnsi="宋体" w:cs="宋体"/>
          <w:szCs w:val="24"/>
        </w:rPr>
        <w:t>招标项目的潜在投标人应在</w:t>
      </w:r>
      <w:r>
        <w:rPr>
          <w:rFonts w:hint="eastAsia" w:ascii="宋体" w:hAnsi="宋体" w:cs="宋体"/>
          <w:szCs w:val="24"/>
          <w:u w:val="single"/>
        </w:rPr>
        <w:t>政采云平台</w:t>
      </w:r>
      <w:r>
        <w:rPr>
          <w:rFonts w:hint="eastAsia" w:ascii="宋体" w:hAnsi="宋体" w:cs="宋体"/>
          <w:color w:val="000000" w:themeColor="text1"/>
          <w:szCs w:val="24"/>
          <w:u w:val="single"/>
        </w:rPr>
        <w:t>（</w:t>
      </w:r>
      <w:r>
        <w:fldChar w:fldCharType="begin"/>
      </w:r>
      <w:r>
        <w:instrText xml:space="preserve"> HYPERLINK "https://www.zcygov.cn/）获取（下载）招标文件，并于2022年8月" </w:instrText>
      </w:r>
      <w:r>
        <w:fldChar w:fldCharType="separate"/>
      </w:r>
      <w:r>
        <w:rPr>
          <w:rStyle w:val="43"/>
          <w:rFonts w:hint="eastAsia" w:ascii="宋体" w:hAnsi="宋体" w:cs="宋体"/>
          <w:color w:val="000000" w:themeColor="text1"/>
          <w:szCs w:val="24"/>
        </w:rPr>
        <w:t>https://www.zcygov.cn/）获取（下载）招标文件，并于2023</w:t>
      </w:r>
      <w:r>
        <w:rPr>
          <w:rStyle w:val="43"/>
          <w:rFonts w:hint="eastAsia" w:ascii="宋体" w:hAnsi="宋体" w:cs="宋体"/>
          <w:bCs/>
          <w:color w:val="000000" w:themeColor="text1"/>
          <w:szCs w:val="24"/>
        </w:rPr>
        <w:t>年</w:t>
      </w:r>
      <w:r>
        <w:rPr>
          <w:rStyle w:val="43"/>
          <w:rFonts w:hint="eastAsia" w:ascii="宋体" w:hAnsi="宋体" w:cs="宋体"/>
          <w:bCs/>
          <w:color w:val="000000" w:themeColor="text1"/>
          <w:szCs w:val="24"/>
          <w:lang w:val="en-US" w:eastAsia="zh-CN"/>
        </w:rPr>
        <w:t>5</w:t>
      </w:r>
      <w:r>
        <w:rPr>
          <w:rStyle w:val="43"/>
          <w:rFonts w:hint="eastAsia" w:ascii="宋体" w:hAnsi="宋体" w:cs="宋体"/>
          <w:bCs/>
          <w:color w:val="000000" w:themeColor="text1"/>
          <w:szCs w:val="24"/>
        </w:rPr>
        <w:t>月</w:t>
      </w:r>
      <w:r>
        <w:rPr>
          <w:rStyle w:val="43"/>
          <w:rFonts w:hint="eastAsia" w:ascii="宋体" w:hAnsi="宋体" w:cs="宋体"/>
          <w:bCs/>
          <w:color w:val="000000" w:themeColor="text1"/>
          <w:szCs w:val="24"/>
        </w:rPr>
        <w:fldChar w:fldCharType="end"/>
      </w:r>
      <w:r>
        <w:rPr>
          <w:rStyle w:val="43"/>
          <w:rFonts w:hint="eastAsia" w:ascii="宋体" w:hAnsi="宋体" w:cs="宋体"/>
          <w:bCs/>
          <w:color w:val="000000" w:themeColor="text1"/>
          <w:szCs w:val="24"/>
          <w:lang w:val="en-US" w:eastAsia="zh-CN"/>
        </w:rPr>
        <w:t>31</w:t>
      </w:r>
      <w:r>
        <w:rPr>
          <w:rFonts w:hint="eastAsia" w:ascii="宋体" w:hAnsi="宋体" w:cs="宋体"/>
          <w:bCs/>
          <w:szCs w:val="24"/>
          <w:u w:val="single"/>
        </w:rPr>
        <w:t>日</w:t>
      </w:r>
      <w:r>
        <w:rPr>
          <w:rFonts w:ascii="宋体" w:hAnsi="宋体" w:cs="宋体"/>
          <w:bCs/>
          <w:szCs w:val="24"/>
          <w:u w:val="single"/>
        </w:rPr>
        <w:t>14</w:t>
      </w:r>
      <w:r>
        <w:rPr>
          <w:rFonts w:hint="eastAsia" w:ascii="宋体" w:hAnsi="宋体" w:cs="宋体"/>
          <w:bCs/>
          <w:szCs w:val="24"/>
          <w:u w:val="single"/>
        </w:rPr>
        <w:t>点</w:t>
      </w:r>
      <w:r>
        <w:rPr>
          <w:rFonts w:hint="eastAsia" w:ascii="宋体" w:hAnsi="宋体" w:cs="宋体"/>
          <w:bCs/>
          <w:szCs w:val="24"/>
          <w:u w:val="single"/>
          <w:lang w:val="en-US" w:eastAsia="zh-CN"/>
        </w:rPr>
        <w:t>0</w:t>
      </w:r>
      <w:r>
        <w:rPr>
          <w:rFonts w:ascii="宋体" w:hAnsi="宋体" w:cs="宋体"/>
          <w:bCs/>
          <w:szCs w:val="24"/>
          <w:u w:val="single"/>
        </w:rPr>
        <w:t>0</w:t>
      </w:r>
      <w:r>
        <w:rPr>
          <w:rFonts w:hint="eastAsia" w:ascii="宋体" w:hAnsi="宋体" w:cs="宋体"/>
          <w:bCs/>
          <w:szCs w:val="24"/>
          <w:u w:val="single"/>
        </w:rPr>
        <w:t>分</w:t>
      </w:r>
      <w:bookmarkStart w:id="87" w:name="_GoBack"/>
      <w:r>
        <w:rPr>
          <w:rFonts w:hint="eastAsia" w:ascii="宋体" w:hAnsi="宋体" w:cs="宋体"/>
          <w:bCs/>
          <w:szCs w:val="24"/>
          <w:u w:val="none"/>
        </w:rPr>
        <w:t>（</w:t>
      </w:r>
      <w:bookmarkEnd w:id="87"/>
      <w:r>
        <w:rPr>
          <w:rFonts w:hint="eastAsia" w:ascii="宋体" w:hAnsi="宋体" w:cs="宋体"/>
          <w:bCs/>
          <w:szCs w:val="24"/>
        </w:rPr>
        <w:t>北京时间）前递交（上传）投标文件</w:t>
      </w:r>
      <w:r>
        <w:rPr>
          <w:rFonts w:hint="eastAsia" w:ascii="宋体" w:hAnsi="宋体" w:cs="宋体"/>
          <w:szCs w:val="24"/>
        </w:rPr>
        <w:t>。</w:t>
      </w:r>
    </w:p>
    <w:p>
      <w:pPr>
        <w:spacing w:line="300" w:lineRule="auto"/>
        <w:ind w:firstLine="482"/>
        <w:rPr>
          <w:rFonts w:ascii="宋体" w:hAnsi="宋体" w:cs="宋体"/>
          <w:b/>
          <w:bCs/>
          <w:szCs w:val="24"/>
        </w:rPr>
      </w:pPr>
      <w:bookmarkStart w:id="3" w:name="_Toc35393790"/>
      <w:bookmarkStart w:id="4" w:name="_Toc35393621"/>
      <w:bookmarkStart w:id="5" w:name="_Toc28359002"/>
      <w:bookmarkStart w:id="6" w:name="_Toc28359079"/>
      <w:bookmarkStart w:id="7" w:name="_Hlk24379207"/>
      <w:r>
        <w:rPr>
          <w:rFonts w:hint="eastAsia" w:ascii="宋体" w:hAnsi="宋体" w:cs="宋体"/>
          <w:b/>
          <w:bCs/>
          <w:szCs w:val="24"/>
        </w:rPr>
        <w:t>一、项目基本情况</w:t>
      </w:r>
      <w:bookmarkEnd w:id="3"/>
      <w:bookmarkEnd w:id="4"/>
      <w:bookmarkEnd w:id="5"/>
      <w:bookmarkEnd w:id="6"/>
    </w:p>
    <w:p>
      <w:pPr>
        <w:spacing w:line="300" w:lineRule="auto"/>
        <w:ind w:firstLine="480"/>
        <w:rPr>
          <w:rFonts w:ascii="宋体" w:hAnsi="宋体" w:cs="宋体"/>
          <w:szCs w:val="24"/>
          <w:highlight w:val="yellow"/>
        </w:rPr>
      </w:pPr>
      <w:r>
        <w:rPr>
          <w:rFonts w:hint="eastAsia" w:ascii="宋体" w:hAnsi="宋体" w:cs="宋体"/>
          <w:szCs w:val="24"/>
        </w:rPr>
        <w:t>项目编号：HZZX-2023-G11</w:t>
      </w:r>
    </w:p>
    <w:p>
      <w:pPr>
        <w:spacing w:line="300" w:lineRule="auto"/>
        <w:ind w:firstLine="480"/>
        <w:rPr>
          <w:rFonts w:ascii="宋体" w:hAnsi="宋体" w:cs="宋体"/>
          <w:szCs w:val="24"/>
        </w:rPr>
      </w:pPr>
      <w:r>
        <w:rPr>
          <w:rFonts w:hint="eastAsia" w:ascii="宋体" w:hAnsi="宋体" w:cs="宋体"/>
          <w:szCs w:val="24"/>
        </w:rPr>
        <w:t>项目名称：</w:t>
      </w:r>
      <w:bookmarkEnd w:id="7"/>
      <w:r>
        <w:rPr>
          <w:rFonts w:hint="eastAsia" w:ascii="宋体" w:hAnsi="宋体" w:cs="宋体"/>
          <w:color w:val="000000" w:themeColor="text1"/>
          <w:szCs w:val="24"/>
        </w:rPr>
        <w:t>2023年城区信号灯路口配时优化项目</w:t>
      </w:r>
    </w:p>
    <w:p>
      <w:pPr>
        <w:spacing w:line="300" w:lineRule="auto"/>
        <w:ind w:firstLine="480"/>
        <w:rPr>
          <w:rFonts w:ascii="宋体" w:hAnsi="宋体" w:cs="宋体"/>
          <w:color w:val="auto"/>
          <w:szCs w:val="24"/>
          <w:highlight w:val="none"/>
        </w:rPr>
      </w:pPr>
      <w:r>
        <w:rPr>
          <w:rFonts w:hint="eastAsia" w:ascii="宋体" w:hAnsi="宋体" w:cs="宋体"/>
          <w:szCs w:val="24"/>
        </w:rPr>
        <w:t>预算金额：150.0</w:t>
      </w:r>
      <w:r>
        <w:rPr>
          <w:rFonts w:hint="eastAsia" w:ascii="宋体" w:hAnsi="宋体" w:cs="宋体"/>
          <w:color w:val="auto"/>
          <w:szCs w:val="24"/>
          <w:highlight w:val="none"/>
        </w:rPr>
        <w:t>0万元</w:t>
      </w:r>
    </w:p>
    <w:p>
      <w:pPr>
        <w:spacing w:line="300" w:lineRule="auto"/>
        <w:ind w:firstLine="480"/>
        <w:rPr>
          <w:rFonts w:ascii="宋体" w:hAnsi="宋体" w:cs="宋体"/>
          <w:color w:val="auto"/>
          <w:szCs w:val="24"/>
          <w:highlight w:val="none"/>
        </w:rPr>
      </w:pPr>
      <w:r>
        <w:rPr>
          <w:rFonts w:hint="eastAsia" w:ascii="宋体" w:hAnsi="宋体" w:cs="宋体"/>
          <w:color w:val="auto"/>
          <w:szCs w:val="24"/>
          <w:highlight w:val="none"/>
        </w:rPr>
        <w:t>最高限价（如有）：148.2780万元</w:t>
      </w:r>
    </w:p>
    <w:p>
      <w:pPr>
        <w:spacing w:line="300" w:lineRule="auto"/>
        <w:ind w:firstLine="482"/>
        <w:rPr>
          <w:rFonts w:ascii="宋体" w:hAnsi="宋体" w:cs="宋体"/>
          <w:b/>
          <w:bCs/>
          <w:szCs w:val="24"/>
        </w:rPr>
      </w:pPr>
      <w:r>
        <w:rPr>
          <w:rFonts w:hint="eastAsia" w:ascii="宋体" w:hAnsi="宋体" w:cs="宋体"/>
          <w:b/>
          <w:bCs/>
          <w:szCs w:val="24"/>
        </w:rPr>
        <w:t>采购需求（概述）：</w:t>
      </w:r>
    </w:p>
    <w:p>
      <w:pPr>
        <w:snapToGrid w:val="0"/>
        <w:spacing w:line="300" w:lineRule="auto"/>
        <w:ind w:firstLine="480"/>
        <w:rPr>
          <w:rFonts w:ascii="宋体" w:hAnsi="宋体" w:cs="宋体"/>
          <w:color w:val="auto"/>
          <w:szCs w:val="21"/>
        </w:rPr>
      </w:pPr>
      <w:r>
        <w:rPr>
          <w:rFonts w:hint="eastAsia" w:ascii="宋体" w:hAnsi="宋体" w:cs="宋体"/>
          <w:szCs w:val="21"/>
          <w:lang w:val="en-GB"/>
        </w:rPr>
        <w:t>本项目为</w:t>
      </w:r>
      <w:r>
        <w:rPr>
          <w:rFonts w:hint="eastAsia" w:ascii="宋体" w:hAnsi="宋体" w:cs="宋体"/>
          <w:szCs w:val="21"/>
        </w:rPr>
        <w:t>信号灯控制优化服务。需</w:t>
      </w:r>
      <w:r>
        <w:rPr>
          <w:rFonts w:hint="eastAsia" w:ascii="宋体" w:hAnsi="宋体" w:cs="宋体"/>
          <w:color w:val="auto"/>
          <w:szCs w:val="21"/>
        </w:rPr>
        <w:t>对嘉善县全县在线运行的信号灯路口（目前290个）进行信号控制方案的优化设计与实施。包括对全县在线运行的信号灯路口进行现场交通调查、交通信号控制策略及方案编制、设计控制方案及实施。</w:t>
      </w:r>
    </w:p>
    <w:p>
      <w:pPr>
        <w:spacing w:line="300" w:lineRule="auto"/>
        <w:ind w:firstLine="482"/>
        <w:rPr>
          <w:rFonts w:ascii="宋体" w:hAnsi="宋体" w:cs="宋体"/>
          <w:b/>
          <w:color w:val="auto"/>
          <w:kern w:val="44"/>
          <w:szCs w:val="24"/>
          <w:lang w:val="zh-CN"/>
        </w:rPr>
      </w:pPr>
      <w:r>
        <w:rPr>
          <w:rFonts w:hint="eastAsia" w:ascii="宋体" w:hAnsi="宋体" w:cs="宋体"/>
          <w:b/>
          <w:color w:val="auto"/>
          <w:kern w:val="44"/>
          <w:szCs w:val="24"/>
        </w:rPr>
        <w:t>备注：</w:t>
      </w:r>
      <w:r>
        <w:rPr>
          <w:rFonts w:hint="eastAsia" w:ascii="宋体" w:hAnsi="宋体" w:cs="宋体"/>
          <w:color w:val="auto"/>
          <w:szCs w:val="24"/>
        </w:rPr>
        <w:t>政府采购计划编号：善财采确临[2023]</w:t>
      </w:r>
      <w:r>
        <w:rPr>
          <w:rFonts w:hint="eastAsia" w:ascii="宋体" w:hAnsi="宋体" w:cs="宋体"/>
          <w:color w:val="auto"/>
          <w:szCs w:val="24"/>
          <w:lang w:val="en-US" w:eastAsia="zh-CN"/>
        </w:rPr>
        <w:t>1066</w:t>
      </w:r>
      <w:r>
        <w:rPr>
          <w:rFonts w:hint="eastAsia" w:ascii="宋体" w:hAnsi="宋体" w:cs="宋体"/>
          <w:color w:val="auto"/>
          <w:szCs w:val="24"/>
        </w:rPr>
        <w:t>号</w:t>
      </w:r>
    </w:p>
    <w:p>
      <w:pPr>
        <w:spacing w:line="300" w:lineRule="auto"/>
        <w:ind w:firstLine="482"/>
        <w:rPr>
          <w:rFonts w:ascii="宋体" w:hAnsi="宋体" w:cs="宋体"/>
          <w:szCs w:val="24"/>
        </w:rPr>
      </w:pPr>
      <w:r>
        <w:rPr>
          <w:rFonts w:hint="eastAsia" w:ascii="宋体" w:hAnsi="宋体" w:cs="宋体"/>
          <w:b/>
          <w:kern w:val="44"/>
          <w:szCs w:val="24"/>
          <w:lang w:val="zh-CN"/>
        </w:rPr>
        <w:t>合同履行期限：</w:t>
      </w:r>
      <w:r>
        <w:rPr>
          <w:rFonts w:hint="eastAsia" w:ascii="宋体" w:hAnsi="宋体" w:cs="宋体"/>
          <w:color w:val="000000" w:themeColor="text1"/>
          <w:szCs w:val="24"/>
        </w:rPr>
        <w:t>本项目服务期自合同签订之日起一年；</w:t>
      </w:r>
      <w:r>
        <w:rPr>
          <w:rFonts w:hint="eastAsia" w:ascii="宋体" w:hAnsi="宋体" w:cs="宋体"/>
          <w:color w:val="000000" w:themeColor="text1"/>
          <w:kern w:val="0"/>
          <w:szCs w:val="24"/>
        </w:rPr>
        <w:t>服务期满后，如中标人提供的服务采购人满意，经双方协商一致并报县财政部门审核同意后可续签服务合同一年。</w:t>
      </w:r>
    </w:p>
    <w:p>
      <w:pPr>
        <w:spacing w:line="300" w:lineRule="auto"/>
        <w:ind w:firstLine="482"/>
        <w:rPr>
          <w:rFonts w:ascii="宋体" w:hAnsi="宋体" w:cs="宋体"/>
          <w:b/>
          <w:bCs/>
          <w:szCs w:val="24"/>
        </w:rPr>
      </w:pPr>
      <w:r>
        <w:rPr>
          <w:rFonts w:hint="eastAsia" w:ascii="宋体" w:hAnsi="宋体" w:cs="宋体"/>
          <w:b/>
          <w:bCs/>
          <w:szCs w:val="24"/>
        </w:rPr>
        <w:t>本项目不接受联合体投标。</w:t>
      </w:r>
    </w:p>
    <w:p>
      <w:pPr>
        <w:spacing w:line="300" w:lineRule="auto"/>
        <w:ind w:firstLine="482"/>
        <w:rPr>
          <w:rFonts w:ascii="宋体" w:hAnsi="宋体" w:cs="宋体"/>
          <w:b/>
          <w:bCs/>
          <w:szCs w:val="24"/>
        </w:rPr>
      </w:pPr>
      <w:bookmarkStart w:id="8" w:name="_Toc35393622"/>
      <w:bookmarkStart w:id="9" w:name="_Toc35393791"/>
      <w:bookmarkStart w:id="10" w:name="_Toc28359080"/>
      <w:bookmarkStart w:id="11" w:name="_Toc28359003"/>
      <w:r>
        <w:rPr>
          <w:rFonts w:hint="eastAsia" w:ascii="宋体" w:hAnsi="宋体" w:cs="宋体"/>
          <w:b/>
          <w:bCs/>
          <w:szCs w:val="24"/>
        </w:rPr>
        <w:t>二、申请人的资格要求：</w:t>
      </w:r>
      <w:bookmarkEnd w:id="8"/>
      <w:bookmarkEnd w:id="9"/>
      <w:bookmarkEnd w:id="10"/>
      <w:bookmarkEnd w:id="11"/>
    </w:p>
    <w:p>
      <w:pPr>
        <w:snapToGrid w:val="0"/>
        <w:spacing w:line="300" w:lineRule="auto"/>
        <w:ind w:firstLine="480"/>
        <w:contextualSpacing/>
        <w:rPr>
          <w:rFonts w:ascii="宋体" w:hAnsi="宋体" w:cs="宋体"/>
          <w:szCs w:val="24"/>
        </w:rPr>
      </w:pPr>
      <w:r>
        <w:rPr>
          <w:rFonts w:hint="eastAsia" w:ascii="宋体" w:hAnsi="宋体" w:cs="宋体"/>
          <w:szCs w:val="24"/>
        </w:rPr>
        <w:t>（一）满足《中华人民共和国政府采购法》第二十二条规定；未被“信用中国”（www.creditchina.gov.cn）、中国政府采购网（www.ccgp.gov.cn）列入失信被执行人、重大税收违法案件当事人名单、政府采购严重违法失信行为记录名单。</w:t>
      </w:r>
    </w:p>
    <w:p>
      <w:pPr>
        <w:snapToGrid w:val="0"/>
        <w:spacing w:line="300" w:lineRule="auto"/>
        <w:ind w:firstLine="480"/>
        <w:contextualSpacing/>
        <w:rPr>
          <w:rFonts w:ascii="宋体" w:hAnsi="宋体" w:cs="宋体"/>
          <w:color w:val="auto"/>
          <w:szCs w:val="24"/>
        </w:rPr>
      </w:pPr>
      <w:bookmarkStart w:id="12" w:name="_Toc28359081"/>
      <w:bookmarkStart w:id="13" w:name="_Toc28359004"/>
      <w:r>
        <w:rPr>
          <w:rFonts w:hint="eastAsia" w:ascii="宋体" w:hAnsi="宋体" w:cs="宋体"/>
          <w:szCs w:val="24"/>
        </w:rPr>
        <w:t>（二）落</w:t>
      </w:r>
      <w:r>
        <w:rPr>
          <w:rFonts w:hint="eastAsia" w:ascii="宋体" w:hAnsi="宋体" w:cs="宋体"/>
          <w:color w:val="auto"/>
          <w:szCs w:val="24"/>
        </w:rPr>
        <w:t>实政府采购政策需满足的资格要求：</w:t>
      </w:r>
    </w:p>
    <w:p>
      <w:pPr>
        <w:spacing w:line="300" w:lineRule="auto"/>
        <w:ind w:firstLine="482"/>
        <w:rPr>
          <w:rFonts w:ascii="宋体" w:hAnsi="宋体" w:cs="宋体"/>
          <w:b/>
          <w:color w:val="auto"/>
        </w:rPr>
      </w:pPr>
      <w:r>
        <w:rPr>
          <w:rFonts w:hint="eastAsia" w:ascii="宋体" w:hAnsi="宋体" w:cs="宋体"/>
          <w:b/>
          <w:color w:val="auto"/>
          <w:kern w:val="0"/>
        </w:rPr>
        <w:t>专</w:t>
      </w:r>
      <w:r>
        <w:rPr>
          <w:rFonts w:hint="eastAsia" w:ascii="宋体" w:hAnsi="宋体" w:cs="宋体"/>
          <w:b/>
          <w:color w:val="auto"/>
        </w:rPr>
        <w:t>门面向中小企业：服务全部由符合政策要求的中小企业承接，提供中小企业声明函。</w:t>
      </w:r>
    </w:p>
    <w:p>
      <w:pPr>
        <w:snapToGrid w:val="0"/>
        <w:spacing w:line="300" w:lineRule="auto"/>
        <w:ind w:firstLine="480"/>
        <w:contextualSpacing/>
        <w:rPr>
          <w:rFonts w:ascii="宋体" w:hAnsi="宋体" w:cs="宋体"/>
          <w:b/>
          <w:bCs/>
          <w:szCs w:val="24"/>
        </w:rPr>
      </w:pPr>
      <w:r>
        <w:rPr>
          <w:rFonts w:hint="eastAsia" w:ascii="宋体" w:hAnsi="宋体" w:cs="宋体"/>
          <w:szCs w:val="24"/>
        </w:rPr>
        <w:t>（三）本项目的特定资格要求：无</w:t>
      </w:r>
      <w:r>
        <w:rPr>
          <w:rFonts w:hint="eastAsia" w:ascii="宋体" w:hAnsi="宋体" w:cs="宋体"/>
          <w:bCs/>
        </w:rPr>
        <w:t>。</w:t>
      </w:r>
    </w:p>
    <w:p>
      <w:pPr>
        <w:spacing w:line="300" w:lineRule="auto"/>
        <w:ind w:firstLine="482"/>
        <w:rPr>
          <w:rFonts w:ascii="宋体" w:hAnsi="宋体" w:cs="宋体"/>
          <w:b/>
          <w:bCs/>
          <w:szCs w:val="24"/>
        </w:rPr>
      </w:pPr>
      <w:bookmarkStart w:id="14" w:name="_Toc35393623"/>
      <w:bookmarkStart w:id="15" w:name="_Toc35393792"/>
      <w:r>
        <w:rPr>
          <w:rFonts w:hint="eastAsia" w:ascii="宋体" w:hAnsi="宋体" w:cs="宋体"/>
          <w:b/>
          <w:bCs/>
          <w:szCs w:val="24"/>
        </w:rPr>
        <w:t>三、获取招标文件</w:t>
      </w:r>
      <w:bookmarkEnd w:id="12"/>
      <w:bookmarkEnd w:id="13"/>
      <w:bookmarkEnd w:id="14"/>
      <w:bookmarkEnd w:id="15"/>
    </w:p>
    <w:p>
      <w:pPr>
        <w:spacing w:line="300" w:lineRule="auto"/>
        <w:ind w:firstLine="480"/>
        <w:jc w:val="left"/>
        <w:rPr>
          <w:rFonts w:ascii="宋体" w:hAnsi="宋体" w:cs="宋体"/>
        </w:rPr>
      </w:pPr>
      <w:r>
        <w:rPr>
          <w:rFonts w:hint="eastAsia" w:ascii="宋体" w:hAnsi="宋体" w:cs="宋体"/>
        </w:rPr>
        <w:t>时间：/至2023年</w:t>
      </w:r>
      <w:r>
        <w:rPr>
          <w:rFonts w:hint="eastAsia" w:ascii="宋体" w:hAnsi="宋体" w:cs="宋体"/>
          <w:lang w:val="en-US" w:eastAsia="zh-CN"/>
        </w:rPr>
        <w:t>5</w:t>
      </w:r>
      <w:r>
        <w:rPr>
          <w:rFonts w:hint="eastAsia" w:ascii="宋体" w:hAnsi="宋体" w:cs="宋体"/>
        </w:rPr>
        <w:t>月</w:t>
      </w:r>
      <w:r>
        <w:rPr>
          <w:rFonts w:hint="eastAsia" w:ascii="宋体" w:hAnsi="宋体" w:cs="宋体"/>
          <w:lang w:val="en-US" w:eastAsia="zh-CN"/>
        </w:rPr>
        <w:t>31</w:t>
      </w:r>
      <w:r>
        <w:rPr>
          <w:rFonts w:hint="eastAsia" w:ascii="宋体" w:hAnsi="宋体" w:cs="宋体"/>
        </w:rPr>
        <w:t>日，每天上午00:00至12:00，下午12:00至23:59（北京时间，线上获取法定节假日均可，线下获取文件法定节假日除外）</w:t>
      </w:r>
    </w:p>
    <w:p>
      <w:pPr>
        <w:spacing w:line="300" w:lineRule="auto"/>
        <w:ind w:firstLine="480"/>
        <w:jc w:val="left"/>
        <w:rPr>
          <w:rFonts w:ascii="宋体" w:hAnsi="宋体" w:cs="宋体"/>
        </w:rPr>
      </w:pPr>
      <w:r>
        <w:rPr>
          <w:rFonts w:hint="eastAsia" w:ascii="宋体" w:hAnsi="宋体" w:cs="宋体"/>
        </w:rPr>
        <w:t>地点（网址）：政采云平台https://www.zcygov.cn/ </w:t>
      </w:r>
    </w:p>
    <w:p>
      <w:pPr>
        <w:spacing w:line="300" w:lineRule="auto"/>
        <w:ind w:firstLine="480"/>
        <w:jc w:val="left"/>
        <w:rPr>
          <w:rFonts w:ascii="宋体" w:hAnsi="宋体" w:cs="宋体"/>
        </w:rPr>
      </w:pPr>
      <w:r>
        <w:rPr>
          <w:rFonts w:hint="eastAsia" w:ascii="宋体" w:hAnsi="宋体" w:cs="宋体"/>
        </w:rPr>
        <w:t>方式：供应商登录政采云平台https://www.zcygov.cn/在线申请获取采购文件（进入“项目采购”应用，在获取采购文件菜单中选择项目，申请获取采购文件） </w:t>
      </w:r>
    </w:p>
    <w:p>
      <w:pPr>
        <w:spacing w:line="300" w:lineRule="auto"/>
        <w:ind w:firstLine="480"/>
        <w:jc w:val="left"/>
        <w:rPr>
          <w:rFonts w:ascii="宋体" w:hAnsi="宋体" w:cs="宋体"/>
        </w:rPr>
      </w:pPr>
      <w:r>
        <w:rPr>
          <w:rFonts w:hint="eastAsia" w:ascii="宋体" w:hAnsi="宋体" w:cs="宋体"/>
        </w:rPr>
        <w:t>售价（元）：0 </w:t>
      </w:r>
    </w:p>
    <w:p>
      <w:pPr>
        <w:spacing w:line="300" w:lineRule="auto"/>
        <w:ind w:firstLine="482"/>
        <w:rPr>
          <w:rFonts w:ascii="宋体" w:hAnsi="宋体" w:cs="宋体"/>
          <w:b/>
          <w:bCs/>
          <w:szCs w:val="24"/>
        </w:rPr>
      </w:pPr>
      <w:r>
        <w:rPr>
          <w:rFonts w:hint="eastAsia" w:ascii="宋体" w:hAnsi="宋体" w:cs="宋体"/>
          <w:b/>
          <w:bCs/>
          <w:szCs w:val="24"/>
        </w:rPr>
        <w:t>四、提交投标文件截止时间、开标时间和地点</w:t>
      </w:r>
    </w:p>
    <w:p>
      <w:pPr>
        <w:spacing w:line="300" w:lineRule="auto"/>
        <w:ind w:firstLine="480"/>
        <w:jc w:val="left"/>
        <w:rPr>
          <w:rFonts w:ascii="宋体" w:hAnsi="宋体" w:cs="宋体"/>
          <w:szCs w:val="24"/>
        </w:rPr>
      </w:pPr>
      <w:r>
        <w:rPr>
          <w:rFonts w:hint="eastAsia" w:ascii="宋体" w:hAnsi="宋体" w:cs="宋体"/>
          <w:szCs w:val="24"/>
        </w:rPr>
        <w:t>提交投标文件截止时间：2023年</w:t>
      </w:r>
      <w:r>
        <w:rPr>
          <w:rFonts w:hint="eastAsia" w:ascii="宋体" w:hAnsi="宋体" w:cs="宋体"/>
          <w:szCs w:val="24"/>
          <w:lang w:val="en-US" w:eastAsia="zh-CN"/>
        </w:rPr>
        <w:t>5</w:t>
      </w:r>
      <w:r>
        <w:rPr>
          <w:rFonts w:hint="eastAsia" w:ascii="宋体" w:hAnsi="宋体" w:cs="宋体"/>
          <w:szCs w:val="24"/>
        </w:rPr>
        <w:t>月</w:t>
      </w:r>
      <w:r>
        <w:rPr>
          <w:rFonts w:hint="eastAsia" w:ascii="宋体" w:hAnsi="宋体" w:cs="宋体"/>
          <w:szCs w:val="24"/>
          <w:lang w:val="en-US" w:eastAsia="zh-CN"/>
        </w:rPr>
        <w:t>31</w:t>
      </w:r>
      <w:r>
        <w:rPr>
          <w:rFonts w:hint="eastAsia" w:ascii="宋体" w:hAnsi="宋体" w:cs="宋体"/>
          <w:szCs w:val="24"/>
        </w:rPr>
        <w:t>日14:</w:t>
      </w:r>
      <w:r>
        <w:rPr>
          <w:rFonts w:hint="eastAsia" w:ascii="宋体" w:hAnsi="宋体" w:cs="宋体"/>
          <w:szCs w:val="24"/>
          <w:lang w:val="en-US" w:eastAsia="zh-CN"/>
        </w:rPr>
        <w:t>0</w:t>
      </w:r>
      <w:r>
        <w:rPr>
          <w:rFonts w:hint="eastAsia" w:ascii="宋体" w:hAnsi="宋体" w:cs="宋体"/>
          <w:szCs w:val="24"/>
        </w:rPr>
        <w:t>0（北京时间）</w:t>
      </w:r>
    </w:p>
    <w:p>
      <w:pPr>
        <w:spacing w:line="300" w:lineRule="auto"/>
        <w:ind w:firstLine="480"/>
        <w:jc w:val="left"/>
        <w:rPr>
          <w:rFonts w:ascii="宋体" w:hAnsi="宋体" w:cs="宋体"/>
          <w:szCs w:val="24"/>
        </w:rPr>
      </w:pPr>
      <w:r>
        <w:rPr>
          <w:rFonts w:hint="eastAsia" w:ascii="宋体" w:hAnsi="宋体" w:cs="宋体"/>
          <w:szCs w:val="24"/>
        </w:rPr>
        <w:t>投标地点（网址）：政采云平台（https://www.zcygov.cn/） </w:t>
      </w:r>
    </w:p>
    <w:p>
      <w:pPr>
        <w:spacing w:line="300" w:lineRule="auto"/>
        <w:ind w:firstLine="480"/>
        <w:jc w:val="left"/>
        <w:rPr>
          <w:rFonts w:ascii="宋体" w:hAnsi="宋体" w:cs="宋体"/>
          <w:szCs w:val="24"/>
        </w:rPr>
      </w:pPr>
      <w:r>
        <w:rPr>
          <w:rFonts w:hint="eastAsia" w:ascii="宋体" w:hAnsi="宋体" w:cs="宋体"/>
          <w:szCs w:val="24"/>
        </w:rPr>
        <w:t>开标时间：2023年</w:t>
      </w:r>
      <w:r>
        <w:rPr>
          <w:rFonts w:hint="eastAsia" w:ascii="宋体" w:hAnsi="宋体" w:cs="宋体"/>
          <w:szCs w:val="24"/>
          <w:lang w:val="en-US" w:eastAsia="zh-CN"/>
        </w:rPr>
        <w:t>5</w:t>
      </w:r>
      <w:r>
        <w:rPr>
          <w:rFonts w:hint="eastAsia" w:ascii="宋体" w:hAnsi="宋体" w:cs="宋体"/>
          <w:szCs w:val="24"/>
        </w:rPr>
        <w:t>月</w:t>
      </w:r>
      <w:r>
        <w:rPr>
          <w:rFonts w:hint="eastAsia" w:ascii="宋体" w:hAnsi="宋体" w:cs="宋体"/>
          <w:szCs w:val="24"/>
          <w:lang w:val="en-US" w:eastAsia="zh-CN"/>
        </w:rPr>
        <w:t>31</w:t>
      </w:r>
      <w:r>
        <w:rPr>
          <w:rFonts w:hint="eastAsia" w:ascii="宋体" w:hAnsi="宋体" w:cs="宋体"/>
          <w:szCs w:val="24"/>
        </w:rPr>
        <w:t>日14:</w:t>
      </w:r>
      <w:r>
        <w:rPr>
          <w:rFonts w:hint="eastAsia" w:ascii="宋体" w:hAnsi="宋体" w:cs="宋体"/>
          <w:szCs w:val="24"/>
          <w:lang w:val="en-US" w:eastAsia="zh-CN"/>
        </w:rPr>
        <w:t>0</w:t>
      </w:r>
      <w:r>
        <w:rPr>
          <w:rFonts w:hint="eastAsia" w:ascii="宋体" w:hAnsi="宋体" w:cs="宋体"/>
          <w:szCs w:val="24"/>
        </w:rPr>
        <w:t>0 </w:t>
      </w:r>
    </w:p>
    <w:p>
      <w:pPr>
        <w:spacing w:line="300" w:lineRule="auto"/>
        <w:ind w:firstLine="480"/>
        <w:rPr>
          <w:rFonts w:ascii="宋体" w:hAnsi="宋体" w:cs="宋体"/>
          <w:b/>
          <w:bCs/>
          <w:szCs w:val="24"/>
        </w:rPr>
      </w:pPr>
      <w:r>
        <w:rPr>
          <w:rFonts w:hint="eastAsia" w:ascii="宋体" w:hAnsi="宋体" w:cs="宋体"/>
          <w:szCs w:val="24"/>
        </w:rPr>
        <w:t>开标地点（网址）：嘉善县罗星街道乔克国贸中心2-1408室，供应商无需到开标现场，只需准时在线参加。政采云平台（https://www.zcygov.cn/）</w:t>
      </w:r>
    </w:p>
    <w:p>
      <w:pPr>
        <w:spacing w:line="300" w:lineRule="auto"/>
        <w:ind w:firstLine="482"/>
        <w:rPr>
          <w:rFonts w:ascii="宋体" w:hAnsi="宋体" w:cs="宋体"/>
          <w:b/>
          <w:bCs/>
          <w:szCs w:val="24"/>
        </w:rPr>
      </w:pPr>
      <w:r>
        <w:rPr>
          <w:rFonts w:hint="eastAsia" w:ascii="宋体" w:hAnsi="宋体" w:cs="宋体"/>
          <w:b/>
          <w:bCs/>
          <w:szCs w:val="24"/>
        </w:rPr>
        <w:t>五、公告期限</w:t>
      </w:r>
    </w:p>
    <w:p>
      <w:pPr>
        <w:spacing w:line="300" w:lineRule="auto"/>
        <w:ind w:firstLine="480"/>
        <w:contextualSpacing/>
        <w:rPr>
          <w:rFonts w:ascii="宋体" w:hAnsi="宋体" w:cs="宋体"/>
          <w:szCs w:val="24"/>
          <w:u w:val="single"/>
        </w:rPr>
      </w:pPr>
      <w:r>
        <w:rPr>
          <w:rFonts w:hint="eastAsia" w:ascii="宋体" w:hAnsi="宋体" w:cs="宋体"/>
          <w:kern w:val="0"/>
          <w:szCs w:val="24"/>
        </w:rPr>
        <w:t>自本公告发布之日起5个工作日。</w:t>
      </w:r>
    </w:p>
    <w:p>
      <w:pPr>
        <w:spacing w:line="300" w:lineRule="auto"/>
        <w:ind w:firstLine="482"/>
        <w:rPr>
          <w:rFonts w:ascii="宋体" w:hAnsi="宋体" w:cs="宋体"/>
          <w:b/>
          <w:bCs/>
        </w:rPr>
      </w:pPr>
      <w:bookmarkStart w:id="16" w:name="_Toc35393626"/>
      <w:bookmarkStart w:id="17" w:name="_Toc35393795"/>
      <w:r>
        <w:rPr>
          <w:rFonts w:hint="eastAsia" w:ascii="宋体" w:hAnsi="宋体" w:cs="宋体"/>
          <w:b/>
          <w:bCs/>
        </w:rPr>
        <w:t>六、其他补充事宜</w:t>
      </w:r>
      <w:bookmarkEnd w:id="16"/>
      <w:bookmarkEnd w:id="17"/>
      <w:r>
        <w:rPr>
          <w:rFonts w:hint="eastAsia" w:ascii="宋体" w:hAnsi="宋体" w:cs="宋体"/>
          <w:b/>
          <w:bCs/>
        </w:rPr>
        <w:t>：</w:t>
      </w:r>
    </w:p>
    <w:p>
      <w:pPr>
        <w:spacing w:line="300" w:lineRule="auto"/>
        <w:ind w:firstLine="480"/>
        <w:rPr>
          <w:rFonts w:ascii="宋体" w:hAnsi="宋体" w:cs="宋体"/>
        </w:rPr>
      </w:pPr>
      <w:r>
        <w:rPr>
          <w:rFonts w:hint="eastAsia" w:ascii="宋体" w:hAnsi="宋体" w:cs="宋体"/>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spacing w:line="300" w:lineRule="auto"/>
        <w:ind w:firstLine="480"/>
        <w:rPr>
          <w:rFonts w:ascii="宋体" w:hAnsi="宋体" w:cs="宋体"/>
        </w:rPr>
      </w:pPr>
      <w:r>
        <w:rPr>
          <w:rFonts w:hint="eastAsia" w:ascii="宋体" w:hAnsi="宋体" w:cs="宋体"/>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00" w:lineRule="auto"/>
        <w:ind w:firstLine="480"/>
        <w:rPr>
          <w:rFonts w:ascii="宋体" w:hAnsi="宋体" w:cs="宋体"/>
        </w:rPr>
      </w:pPr>
      <w:r>
        <w:rPr>
          <w:rFonts w:hint="eastAsia" w:ascii="宋体" w:hAnsi="宋体" w:cs="宋体"/>
        </w:rPr>
        <w:t>3.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00" w:lineRule="auto"/>
        <w:ind w:firstLine="480"/>
        <w:rPr>
          <w:rFonts w:ascii="宋体" w:hAnsi="宋体" w:cs="宋体"/>
        </w:rPr>
      </w:pPr>
      <w:r>
        <w:rPr>
          <w:rFonts w:hint="eastAsia" w:ascii="宋体" w:hAnsi="宋体" w:cs="宋体"/>
        </w:rPr>
        <w:t>4.其他事项：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顺丰快递方式递交备份投标文件1份（光盘或U盘上应当用不褪色墨水笔注明投标人名称、项目名称以及法定代表人或其委托代理人签名，投标人应当确保电子光盘或U盘能够打开运行并正常使用）装袋密封后邮寄或直接送达至嘉兴市宏泽招标咨询有限公司，密封袋上有接缝处均需加盖单位公章和法定代表人印章【送达地址：嘉善县罗星街道乔克国贸中心2-1407室，收件人：金晓筠，联系电话：0573-84020980；快递寄出同时，项目被授权代表须以邮件方式将快递单号、项目名称、公司名称、被授权代表姓名及联系方式等内容（邮件格式为：项目编号+快递单号+公司名称+被授权代表姓名及联系方式）发送至采购代理机构联系人邮箱(1192873557@qq.com)。如供应商选择快递费到付，采购代理机构将拒签。】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⑪公益一类事业单位不属于政府购买服务的承接主体，不得参与承接政府购买服务。</w:t>
      </w:r>
    </w:p>
    <w:p>
      <w:pPr>
        <w:spacing w:line="300" w:lineRule="auto"/>
        <w:ind w:firstLine="482"/>
        <w:rPr>
          <w:rFonts w:ascii="宋体" w:hAnsi="宋体" w:cs="宋体"/>
          <w:b/>
          <w:bCs/>
          <w:szCs w:val="24"/>
        </w:rPr>
      </w:pPr>
      <w:bookmarkStart w:id="18" w:name="_Toc28359085"/>
      <w:bookmarkStart w:id="19" w:name="_Toc35393627"/>
      <w:bookmarkStart w:id="20" w:name="_Toc35393796"/>
      <w:bookmarkStart w:id="21" w:name="_Toc28359008"/>
      <w:r>
        <w:rPr>
          <w:rFonts w:hint="eastAsia" w:ascii="宋体" w:hAnsi="宋体" w:cs="宋体"/>
          <w:b/>
          <w:bCs/>
          <w:szCs w:val="24"/>
        </w:rPr>
        <w:t>七、对本次招标提出询问，请按以下方式联系。</w:t>
      </w:r>
      <w:bookmarkEnd w:id="18"/>
      <w:bookmarkEnd w:id="19"/>
      <w:bookmarkEnd w:id="20"/>
      <w:bookmarkEnd w:id="21"/>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1.采购人名称：</w:t>
      </w:r>
      <w:r>
        <w:rPr>
          <w:rFonts w:hint="eastAsia" w:ascii="宋体" w:hAnsi="宋体" w:cs="宋体"/>
          <w:szCs w:val="24"/>
        </w:rPr>
        <w:t>嘉善县公安局交通警察大队</w:t>
      </w:r>
    </w:p>
    <w:p>
      <w:pPr>
        <w:widowControl/>
        <w:shd w:val="clear" w:color="auto" w:fill="FFFFFF"/>
        <w:spacing w:line="300" w:lineRule="auto"/>
        <w:ind w:firstLine="480"/>
        <w:jc w:val="left"/>
        <w:rPr>
          <w:rFonts w:ascii="宋体" w:hAnsi="宋体" w:cs="宋体"/>
          <w:color w:val="000000" w:themeColor="text1"/>
          <w:szCs w:val="24"/>
        </w:rPr>
      </w:pPr>
      <w:r>
        <w:rPr>
          <w:rFonts w:hint="eastAsia" w:ascii="宋体" w:hAnsi="宋体" w:cs="宋体"/>
          <w:color w:val="000000" w:themeColor="text1"/>
          <w:szCs w:val="24"/>
        </w:rPr>
        <w:t>项目联系人：钱女士</w:t>
      </w:r>
    </w:p>
    <w:p>
      <w:pPr>
        <w:widowControl/>
        <w:shd w:val="clear" w:color="auto" w:fill="FFFFFF"/>
        <w:spacing w:line="300" w:lineRule="auto"/>
        <w:ind w:firstLine="480"/>
        <w:jc w:val="left"/>
        <w:rPr>
          <w:rFonts w:ascii="宋体" w:hAnsi="宋体" w:cs="宋体"/>
          <w:szCs w:val="24"/>
        </w:rPr>
      </w:pPr>
      <w:r>
        <w:rPr>
          <w:rFonts w:hint="eastAsia" w:ascii="宋体" w:hAnsi="宋体" w:cs="宋体"/>
          <w:szCs w:val="24"/>
        </w:rPr>
        <w:t>联系电话：0573-84123433</w:t>
      </w:r>
    </w:p>
    <w:p>
      <w:pPr>
        <w:widowControl/>
        <w:shd w:val="clear" w:color="auto" w:fill="FFFFFF"/>
        <w:spacing w:line="300" w:lineRule="auto"/>
        <w:ind w:firstLine="480"/>
        <w:jc w:val="left"/>
        <w:rPr>
          <w:rFonts w:ascii="宋体" w:hAnsi="宋体" w:cs="宋体"/>
          <w:szCs w:val="24"/>
        </w:rPr>
      </w:pPr>
      <w:r>
        <w:rPr>
          <w:rFonts w:hint="eastAsia" w:ascii="宋体" w:hAnsi="宋体" w:cs="宋体"/>
          <w:szCs w:val="24"/>
        </w:rPr>
        <w:t>地址：嘉善县魏塘街道谈公北路206号</w:t>
      </w:r>
    </w:p>
    <w:p>
      <w:pPr>
        <w:widowControl/>
        <w:shd w:val="clear" w:color="auto" w:fill="FFFFFF"/>
        <w:spacing w:line="300" w:lineRule="auto"/>
        <w:ind w:firstLine="480"/>
        <w:jc w:val="left"/>
        <w:rPr>
          <w:rFonts w:ascii="宋体" w:hAnsi="宋体" w:cs="宋体"/>
          <w:szCs w:val="24"/>
        </w:rPr>
      </w:pPr>
      <w:r>
        <w:rPr>
          <w:rFonts w:hint="eastAsia" w:ascii="宋体" w:hAnsi="宋体" w:cs="宋体"/>
          <w:szCs w:val="24"/>
        </w:rPr>
        <w:t>质疑答复联系人：张先生</w:t>
      </w:r>
    </w:p>
    <w:p>
      <w:pPr>
        <w:widowControl/>
        <w:shd w:val="clear" w:color="auto" w:fill="FFFFFF"/>
        <w:spacing w:line="300" w:lineRule="auto"/>
        <w:ind w:firstLine="480"/>
        <w:jc w:val="left"/>
        <w:rPr>
          <w:rFonts w:ascii="宋体" w:hAnsi="宋体" w:cs="宋体"/>
          <w:szCs w:val="24"/>
        </w:rPr>
      </w:pPr>
      <w:r>
        <w:rPr>
          <w:rFonts w:hint="eastAsia" w:ascii="宋体" w:hAnsi="宋体" w:cs="宋体"/>
          <w:szCs w:val="24"/>
        </w:rPr>
        <w:t>联系电话：0573-84123433</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szCs w:val="24"/>
        </w:rPr>
        <w:t>2.采购代理机</w:t>
      </w:r>
      <w:r>
        <w:rPr>
          <w:rFonts w:hint="eastAsia" w:ascii="宋体" w:hAnsi="宋体" w:cs="宋体"/>
          <w:color w:val="000000"/>
          <w:szCs w:val="24"/>
        </w:rPr>
        <w:t>构名称：嘉兴市宏泽招标咨询有限公司</w:t>
      </w:r>
    </w:p>
    <w:p>
      <w:pPr>
        <w:widowControl/>
        <w:shd w:val="clear" w:color="auto" w:fill="FFFFFF"/>
        <w:spacing w:line="300" w:lineRule="auto"/>
        <w:ind w:firstLine="480"/>
        <w:jc w:val="left"/>
        <w:rPr>
          <w:rFonts w:ascii="宋体" w:hAnsi="宋体" w:cs="宋体"/>
          <w:szCs w:val="24"/>
        </w:rPr>
      </w:pPr>
      <w:r>
        <w:rPr>
          <w:rFonts w:hint="eastAsia" w:ascii="宋体" w:hAnsi="宋体" w:cs="宋体"/>
          <w:color w:val="000000"/>
          <w:szCs w:val="24"/>
        </w:rPr>
        <w:t>项目联系人：</w:t>
      </w:r>
      <w:r>
        <w:rPr>
          <w:rFonts w:hint="eastAsia" w:ascii="宋体" w:hAnsi="宋体" w:cs="宋体"/>
          <w:szCs w:val="24"/>
        </w:rPr>
        <w:t>金晓筠</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联系电话：0573-84020980</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传真：0573-84020980</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地址：嘉善县罗星街道乔克国贸中心2-1407室</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质疑答复联系人：张燕萍</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联系电话：15726929685</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地址：嘉善县罗星街道乔克国贸中心2-1407室</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3.同级政府采购监督管理部门名称：嘉善县财政局</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联系人：刘先生</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监督投诉电话：0573-84122310</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传真：0573-84122528</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地址：嘉善县解放东路318号</w:t>
      </w:r>
    </w:p>
    <w:p>
      <w:pPr>
        <w:widowControl/>
        <w:shd w:val="clear" w:color="auto" w:fill="FFFFFF"/>
        <w:spacing w:line="300" w:lineRule="auto"/>
        <w:ind w:firstLine="420"/>
        <w:jc w:val="left"/>
        <w:rPr>
          <w:rFonts w:ascii="宋体" w:hAnsi="宋体" w:cs="宋体"/>
          <w:color w:val="000000"/>
          <w:sz w:val="21"/>
          <w:szCs w:val="21"/>
        </w:rPr>
      </w:pPr>
      <w:r>
        <w:rPr>
          <w:rFonts w:hint="eastAsia" w:ascii="宋体" w:hAnsi="宋体" w:cs="宋体"/>
          <w:color w:val="000000"/>
          <w:sz w:val="21"/>
          <w:szCs w:val="21"/>
        </w:rPr>
        <w:t>若对项目采购电子交易系统操作有疑问，可登录政采云（https://www.zcygov.cn/），点击右侧咨询小采，获取采小蜜智能服务管家帮助，或拨打政采云服务热线400-881-7190获取热线服务帮助。       </w:t>
      </w:r>
    </w:p>
    <w:p>
      <w:pPr>
        <w:ind w:firstLine="420"/>
        <w:rPr>
          <w:sz w:val="21"/>
          <w:szCs w:val="21"/>
        </w:rPr>
        <w:sectPr>
          <w:footerReference r:id="rId11" w:type="default"/>
          <w:pgSz w:w="11906" w:h="16838"/>
          <w:pgMar w:top="1418" w:right="1077" w:bottom="1418" w:left="1077" w:header="851" w:footer="851" w:gutter="340"/>
          <w:pgNumType w:start="1"/>
          <w:cols w:space="720" w:num="1"/>
          <w:docGrid w:linePitch="381" w:charSpace="0"/>
        </w:sectPr>
      </w:pPr>
      <w:r>
        <w:rPr>
          <w:rFonts w:hint="eastAsia" w:ascii="宋体" w:hAnsi="宋体" w:cs="宋体"/>
          <w:color w:val="000000"/>
          <w:sz w:val="21"/>
          <w:szCs w:val="21"/>
        </w:rPr>
        <w:t>CA问题联系电话（人工）：汇信CA 400-888-4636；天谷CA 400-087-8198。</w:t>
      </w:r>
    </w:p>
    <w:p>
      <w:pPr>
        <w:pStyle w:val="33"/>
        <w:spacing w:before="0" w:after="0"/>
        <w:ind w:firstLine="643"/>
      </w:pPr>
      <w:bookmarkStart w:id="22" w:name="_Toc13127"/>
      <w:r>
        <w:rPr>
          <w:rFonts w:hint="eastAsia"/>
        </w:rPr>
        <w:t>第二章  采购需求</w:t>
      </w:r>
      <w:bookmarkEnd w:id="22"/>
    </w:p>
    <w:p>
      <w:pPr>
        <w:pStyle w:val="18"/>
        <w:snapToGrid w:val="0"/>
        <w:spacing w:beforeLines="0" w:afterLines="0" w:line="300" w:lineRule="auto"/>
        <w:ind w:firstLine="480"/>
        <w:rPr>
          <w:rFonts w:hAnsi="宋体" w:cs="宋体"/>
          <w:color w:val="000000"/>
          <w:sz w:val="24"/>
          <w:szCs w:val="24"/>
        </w:rPr>
      </w:pPr>
      <w:r>
        <w:rPr>
          <w:rFonts w:hint="eastAsia" w:hAnsi="宋体" w:cs="宋体"/>
          <w:color w:val="000000"/>
          <w:sz w:val="24"/>
          <w:szCs w:val="24"/>
        </w:rPr>
        <w:t>编号：HZZX-2023-G</w:t>
      </w:r>
      <w:r>
        <w:rPr>
          <w:rFonts w:hAnsi="宋体" w:cs="宋体"/>
          <w:color w:val="000000"/>
          <w:sz w:val="24"/>
          <w:szCs w:val="24"/>
        </w:rPr>
        <w:t>11</w:t>
      </w:r>
    </w:p>
    <w:p>
      <w:pPr>
        <w:pStyle w:val="18"/>
        <w:snapToGrid w:val="0"/>
        <w:spacing w:beforeLines="0" w:afterLines="0" w:line="300" w:lineRule="auto"/>
        <w:ind w:firstLine="480"/>
        <w:rPr>
          <w:rFonts w:hAnsi="宋体" w:cs="宋体"/>
          <w:color w:val="000000"/>
          <w:sz w:val="24"/>
          <w:szCs w:val="24"/>
        </w:rPr>
      </w:pPr>
      <w:r>
        <w:rPr>
          <w:rFonts w:hint="eastAsia" w:hAnsi="宋体" w:cs="宋体"/>
          <w:color w:val="000000"/>
          <w:sz w:val="24"/>
          <w:szCs w:val="24"/>
        </w:rPr>
        <w:t>采购单位名称：</w:t>
      </w:r>
      <w:r>
        <w:rPr>
          <w:rFonts w:hint="eastAsia" w:hAnsi="宋体" w:cs="宋体"/>
          <w:sz w:val="24"/>
        </w:rPr>
        <w:t>嘉善县公安局交通警察大队</w:t>
      </w:r>
    </w:p>
    <w:p>
      <w:pPr>
        <w:pStyle w:val="18"/>
        <w:snapToGrid w:val="0"/>
        <w:spacing w:beforeLines="0" w:afterLines="0" w:line="300" w:lineRule="auto"/>
        <w:ind w:firstLine="480"/>
        <w:rPr>
          <w:rFonts w:hAnsi="宋体" w:cs="宋体"/>
          <w:sz w:val="24"/>
        </w:rPr>
      </w:pPr>
      <w:r>
        <w:rPr>
          <w:rFonts w:hint="eastAsia" w:hAnsi="宋体" w:cs="宋体"/>
          <w:sz w:val="24"/>
          <w:szCs w:val="24"/>
        </w:rPr>
        <w:t>项目名</w:t>
      </w:r>
      <w:r>
        <w:rPr>
          <w:rFonts w:hint="eastAsia" w:hAnsi="宋体" w:cs="宋体"/>
          <w:sz w:val="24"/>
        </w:rPr>
        <w:t>称：2023年城区信号灯路口配时优化项目</w:t>
      </w:r>
    </w:p>
    <w:p>
      <w:pPr>
        <w:ind w:firstLine="482"/>
        <w:rPr>
          <w:rFonts w:ascii="宋体" w:hAnsi="宋体" w:cs="宋体"/>
          <w:b/>
          <w:bCs/>
          <w:szCs w:val="24"/>
        </w:rPr>
      </w:pPr>
    </w:p>
    <w:p>
      <w:pPr>
        <w:spacing w:line="300" w:lineRule="auto"/>
        <w:ind w:firstLine="482"/>
        <w:rPr>
          <w:rFonts w:ascii="宋体" w:hAnsi="宋体" w:cs="宋体"/>
          <w:b/>
          <w:bCs/>
          <w:szCs w:val="24"/>
        </w:rPr>
      </w:pPr>
      <w:bookmarkStart w:id="23" w:name="_Toc490577310"/>
      <w:bookmarkStart w:id="24" w:name="_Toc48226359"/>
      <w:bookmarkStart w:id="25" w:name="_Toc17121994"/>
      <w:bookmarkStart w:id="26" w:name="_Toc519609264"/>
      <w:r>
        <w:rPr>
          <w:rFonts w:hint="eastAsia" w:ascii="宋体" w:hAnsi="宋体" w:cs="宋体"/>
          <w:b/>
          <w:bCs/>
          <w:szCs w:val="24"/>
        </w:rPr>
        <w:t>一、项目概况</w:t>
      </w:r>
      <w:bookmarkEnd w:id="23"/>
      <w:bookmarkEnd w:id="24"/>
      <w:bookmarkEnd w:id="25"/>
      <w:bookmarkEnd w:id="26"/>
    </w:p>
    <w:p>
      <w:pPr>
        <w:snapToGrid w:val="0"/>
        <w:spacing w:line="300" w:lineRule="auto"/>
        <w:ind w:firstLine="480"/>
        <w:rPr>
          <w:rFonts w:ascii="宋体" w:hAnsi="宋体"/>
          <w:color w:val="auto"/>
          <w:szCs w:val="21"/>
          <w:highlight w:val="none"/>
        </w:rPr>
      </w:pPr>
      <w:r>
        <w:rPr>
          <w:rFonts w:hint="eastAsia" w:ascii="宋体" w:hAnsi="宋体" w:cs="宋体"/>
          <w:szCs w:val="21"/>
          <w:lang w:val="en-GB"/>
        </w:rPr>
        <w:t>本项目为</w:t>
      </w:r>
      <w:r>
        <w:rPr>
          <w:rFonts w:hint="eastAsia" w:ascii="宋体" w:hAnsi="宋体" w:cs="宋体"/>
          <w:szCs w:val="21"/>
        </w:rPr>
        <w:t>信号灯控制优化服</w:t>
      </w:r>
      <w:r>
        <w:rPr>
          <w:rFonts w:hint="eastAsia" w:ascii="宋体" w:hAnsi="宋体" w:cs="宋体"/>
          <w:color w:val="auto"/>
          <w:szCs w:val="21"/>
          <w:highlight w:val="none"/>
        </w:rPr>
        <w:t>务。需对嘉善县全县在线运行的信号灯路口（目前290个）进行信号控制方案的优化设计与实施。包括对全县在线运行的信号灯路口进行现场交通调查、交通信号控制策略及方案编制、设计控制方案及实施。</w:t>
      </w:r>
    </w:p>
    <w:p>
      <w:pPr>
        <w:spacing w:line="300" w:lineRule="auto"/>
        <w:ind w:firstLine="482"/>
        <w:rPr>
          <w:rFonts w:ascii="宋体" w:hAnsi="宋体" w:cs="宋体"/>
          <w:b/>
          <w:bCs/>
          <w:color w:val="auto"/>
          <w:szCs w:val="24"/>
          <w:highlight w:val="none"/>
        </w:rPr>
      </w:pPr>
      <w:r>
        <w:rPr>
          <w:rFonts w:hint="eastAsia" w:ascii="宋体" w:hAnsi="宋体" w:cs="宋体"/>
          <w:b/>
          <w:bCs/>
          <w:color w:val="auto"/>
          <w:szCs w:val="24"/>
          <w:highlight w:val="none"/>
        </w:rPr>
        <w:t>二、采购清单</w:t>
      </w:r>
    </w:p>
    <w:tbl>
      <w:tblPr>
        <w:tblStyle w:val="36"/>
        <w:tblW w:w="9217" w:type="dxa"/>
        <w:tblInd w:w="0" w:type="dxa"/>
        <w:tblLayout w:type="fixed"/>
        <w:tblCellMar>
          <w:top w:w="0" w:type="dxa"/>
          <w:left w:w="0" w:type="dxa"/>
          <w:bottom w:w="0" w:type="dxa"/>
          <w:right w:w="0" w:type="dxa"/>
        </w:tblCellMar>
      </w:tblPr>
      <w:tblGrid>
        <w:gridCol w:w="816"/>
        <w:gridCol w:w="1979"/>
        <w:gridCol w:w="2595"/>
        <w:gridCol w:w="867"/>
        <w:gridCol w:w="963"/>
        <w:gridCol w:w="1997"/>
      </w:tblGrid>
      <w:tr>
        <w:tblPrEx>
          <w:tblCellMar>
            <w:top w:w="0" w:type="dxa"/>
            <w:left w:w="0" w:type="dxa"/>
            <w:bottom w:w="0" w:type="dxa"/>
            <w:right w:w="0" w:type="dxa"/>
          </w:tblCellMar>
        </w:tblPrEx>
        <w:trPr>
          <w:trHeight w:val="572" w:hRule="atLeast"/>
        </w:trPr>
        <w:tc>
          <w:tcPr>
            <w:tcW w:w="8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djustRightInd w:val="0"/>
              <w:snapToGrid w:val="0"/>
              <w:spacing w:line="300" w:lineRule="auto"/>
              <w:ind w:firstLine="0" w:firstLineChars="0"/>
              <w:jc w:val="center"/>
              <w:rPr>
                <w:rFonts w:ascii="宋体"/>
                <w:color w:val="auto"/>
                <w:szCs w:val="24"/>
                <w:highlight w:val="none"/>
              </w:rPr>
            </w:pPr>
            <w:r>
              <w:rPr>
                <w:rFonts w:hint="eastAsia" w:ascii="宋体"/>
                <w:color w:val="auto"/>
                <w:szCs w:val="24"/>
                <w:highlight w:val="none"/>
              </w:rPr>
              <w:t>序号</w:t>
            </w:r>
          </w:p>
        </w:tc>
        <w:tc>
          <w:tcPr>
            <w:tcW w:w="19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djustRightInd w:val="0"/>
              <w:snapToGrid w:val="0"/>
              <w:spacing w:line="300" w:lineRule="auto"/>
              <w:ind w:firstLine="0" w:firstLineChars="0"/>
              <w:jc w:val="center"/>
              <w:rPr>
                <w:rFonts w:ascii="宋体"/>
                <w:color w:val="auto"/>
                <w:szCs w:val="24"/>
                <w:highlight w:val="none"/>
              </w:rPr>
            </w:pPr>
            <w:r>
              <w:rPr>
                <w:rFonts w:hint="eastAsia" w:ascii="宋体"/>
                <w:color w:val="auto"/>
                <w:szCs w:val="24"/>
                <w:highlight w:val="none"/>
              </w:rPr>
              <w:t>项目内容</w:t>
            </w:r>
          </w:p>
        </w:tc>
        <w:tc>
          <w:tcPr>
            <w:tcW w:w="25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djustRightInd w:val="0"/>
              <w:snapToGrid w:val="0"/>
              <w:spacing w:line="300" w:lineRule="auto"/>
              <w:ind w:firstLine="0" w:firstLineChars="0"/>
              <w:jc w:val="center"/>
              <w:rPr>
                <w:rFonts w:ascii="宋体"/>
                <w:color w:val="auto"/>
                <w:szCs w:val="24"/>
                <w:highlight w:val="none"/>
              </w:rPr>
            </w:pPr>
            <w:r>
              <w:rPr>
                <w:rFonts w:hint="eastAsia" w:ascii="宋体"/>
                <w:color w:val="auto"/>
                <w:szCs w:val="24"/>
                <w:highlight w:val="none"/>
              </w:rPr>
              <w:t>规格要求</w:t>
            </w:r>
          </w:p>
        </w:tc>
        <w:tc>
          <w:tcPr>
            <w:tcW w:w="867"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widowControl/>
              <w:adjustRightInd w:val="0"/>
              <w:snapToGrid w:val="0"/>
              <w:spacing w:line="300" w:lineRule="auto"/>
              <w:ind w:firstLine="0" w:firstLineChars="0"/>
              <w:jc w:val="center"/>
              <w:rPr>
                <w:rFonts w:ascii="宋体"/>
                <w:color w:val="auto"/>
                <w:szCs w:val="24"/>
                <w:highlight w:val="none"/>
              </w:rPr>
            </w:pPr>
            <w:r>
              <w:rPr>
                <w:rFonts w:hint="eastAsia" w:ascii="宋体"/>
                <w:color w:val="auto"/>
                <w:szCs w:val="24"/>
                <w:highlight w:val="none"/>
              </w:rPr>
              <w:t>数量</w:t>
            </w:r>
          </w:p>
        </w:tc>
        <w:tc>
          <w:tcPr>
            <w:tcW w:w="963" w:type="dxa"/>
            <w:tcBorders>
              <w:top w:val="single" w:color="000000" w:sz="4" w:space="0"/>
              <w:left w:val="single" w:color="auto" w:sz="4" w:space="0"/>
              <w:bottom w:val="single" w:color="000000" w:sz="4" w:space="0"/>
              <w:right w:val="single" w:color="auto" w:sz="4" w:space="0"/>
            </w:tcBorders>
            <w:tcMar>
              <w:top w:w="0" w:type="dxa"/>
              <w:left w:w="108" w:type="dxa"/>
              <w:bottom w:w="0" w:type="dxa"/>
              <w:right w:w="108" w:type="dxa"/>
            </w:tcMar>
            <w:vAlign w:val="center"/>
          </w:tcPr>
          <w:p>
            <w:pPr>
              <w:widowControl/>
              <w:adjustRightInd w:val="0"/>
              <w:snapToGrid w:val="0"/>
              <w:spacing w:line="300" w:lineRule="auto"/>
              <w:ind w:firstLine="0" w:firstLineChars="0"/>
              <w:jc w:val="center"/>
              <w:rPr>
                <w:rFonts w:ascii="宋体"/>
                <w:color w:val="auto"/>
                <w:szCs w:val="24"/>
                <w:highlight w:val="none"/>
              </w:rPr>
            </w:pPr>
            <w:r>
              <w:rPr>
                <w:rFonts w:hint="eastAsia" w:ascii="宋体"/>
                <w:color w:val="auto"/>
                <w:szCs w:val="24"/>
                <w:highlight w:val="none"/>
              </w:rPr>
              <w:t>单位</w:t>
            </w:r>
          </w:p>
        </w:tc>
        <w:tc>
          <w:tcPr>
            <w:tcW w:w="1997" w:type="dxa"/>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widowControl/>
              <w:adjustRightInd w:val="0"/>
              <w:snapToGrid w:val="0"/>
              <w:spacing w:line="300" w:lineRule="auto"/>
              <w:ind w:firstLine="0" w:firstLineChars="0"/>
              <w:jc w:val="center"/>
              <w:rPr>
                <w:rFonts w:ascii="宋体"/>
                <w:color w:val="auto"/>
                <w:szCs w:val="24"/>
                <w:highlight w:val="none"/>
              </w:rPr>
            </w:pPr>
            <w:r>
              <w:rPr>
                <w:rFonts w:hint="eastAsia" w:ascii="宋体"/>
                <w:color w:val="auto"/>
                <w:szCs w:val="24"/>
                <w:highlight w:val="none"/>
              </w:rPr>
              <w:t>备注</w:t>
            </w:r>
          </w:p>
        </w:tc>
      </w:tr>
      <w:tr>
        <w:tblPrEx>
          <w:tblCellMar>
            <w:top w:w="0" w:type="dxa"/>
            <w:left w:w="0" w:type="dxa"/>
            <w:bottom w:w="0" w:type="dxa"/>
            <w:right w:w="0" w:type="dxa"/>
          </w:tblCellMar>
        </w:tblPrEx>
        <w:trPr>
          <w:trHeight w:val="567" w:hRule="atLeast"/>
        </w:trPr>
        <w:tc>
          <w:tcPr>
            <w:tcW w:w="81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djustRightInd w:val="0"/>
              <w:snapToGrid w:val="0"/>
              <w:spacing w:line="300" w:lineRule="auto"/>
              <w:ind w:firstLine="0" w:firstLineChars="0"/>
              <w:jc w:val="center"/>
              <w:rPr>
                <w:rFonts w:ascii="宋体"/>
                <w:color w:val="auto"/>
                <w:szCs w:val="24"/>
                <w:highlight w:val="none"/>
              </w:rPr>
            </w:pPr>
            <w:r>
              <w:rPr>
                <w:rFonts w:hint="eastAsia" w:ascii="宋体"/>
                <w:color w:val="auto"/>
                <w:szCs w:val="24"/>
                <w:highlight w:val="none"/>
              </w:rPr>
              <w:t>1</w:t>
            </w:r>
          </w:p>
        </w:tc>
        <w:tc>
          <w:tcPr>
            <w:tcW w:w="197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djustRightInd w:val="0"/>
              <w:snapToGrid w:val="0"/>
              <w:spacing w:line="300" w:lineRule="auto"/>
              <w:ind w:firstLine="0" w:firstLineChars="0"/>
              <w:jc w:val="center"/>
              <w:rPr>
                <w:rFonts w:ascii="宋体"/>
                <w:color w:val="auto"/>
                <w:szCs w:val="24"/>
                <w:highlight w:val="none"/>
              </w:rPr>
            </w:pPr>
            <w:r>
              <w:rPr>
                <w:rFonts w:hint="eastAsia" w:ascii="宋体"/>
                <w:color w:val="auto"/>
                <w:szCs w:val="24"/>
                <w:highlight w:val="none"/>
              </w:rPr>
              <w:t>路口全年运营维护服务</w:t>
            </w:r>
          </w:p>
        </w:tc>
        <w:tc>
          <w:tcPr>
            <w:tcW w:w="259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djustRightInd w:val="0"/>
              <w:snapToGrid w:val="0"/>
              <w:spacing w:line="300" w:lineRule="auto"/>
              <w:ind w:firstLine="0" w:firstLineChars="0"/>
              <w:jc w:val="center"/>
              <w:rPr>
                <w:rFonts w:ascii="宋体"/>
                <w:color w:val="auto"/>
                <w:szCs w:val="24"/>
                <w:highlight w:val="none"/>
              </w:rPr>
            </w:pPr>
          </w:p>
        </w:tc>
        <w:tc>
          <w:tcPr>
            <w:tcW w:w="867"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snapToGrid w:val="0"/>
              <w:spacing w:line="300" w:lineRule="auto"/>
              <w:ind w:firstLine="0" w:firstLineChars="0"/>
              <w:jc w:val="center"/>
              <w:rPr>
                <w:rFonts w:ascii="宋体"/>
                <w:color w:val="auto"/>
                <w:szCs w:val="24"/>
                <w:highlight w:val="none"/>
              </w:rPr>
            </w:pPr>
            <w:r>
              <w:rPr>
                <w:rFonts w:ascii="宋体"/>
                <w:color w:val="auto"/>
                <w:szCs w:val="24"/>
                <w:highlight w:val="none"/>
              </w:rPr>
              <w:t>290</w:t>
            </w:r>
          </w:p>
        </w:tc>
        <w:tc>
          <w:tcPr>
            <w:tcW w:w="963" w:type="dxa"/>
            <w:tcBorders>
              <w:top w:val="single" w:color="000000" w:sz="4" w:space="0"/>
              <w:left w:val="single" w:color="auto" w:sz="4" w:space="0"/>
              <w:bottom w:val="single" w:color="000000" w:sz="4" w:space="0"/>
              <w:right w:val="single" w:color="auto" w:sz="4" w:space="0"/>
            </w:tcBorders>
            <w:tcMar>
              <w:top w:w="0" w:type="dxa"/>
              <w:left w:w="108" w:type="dxa"/>
              <w:bottom w:w="0" w:type="dxa"/>
              <w:right w:w="108" w:type="dxa"/>
            </w:tcMar>
            <w:vAlign w:val="center"/>
          </w:tcPr>
          <w:p>
            <w:pPr>
              <w:snapToGrid w:val="0"/>
              <w:spacing w:line="300" w:lineRule="auto"/>
              <w:ind w:firstLine="0" w:firstLineChars="0"/>
              <w:jc w:val="center"/>
              <w:rPr>
                <w:rFonts w:ascii="宋体"/>
                <w:color w:val="auto"/>
                <w:szCs w:val="24"/>
                <w:highlight w:val="none"/>
              </w:rPr>
            </w:pPr>
            <w:r>
              <w:rPr>
                <w:rFonts w:hint="eastAsia" w:ascii="宋体"/>
                <w:color w:val="auto"/>
                <w:szCs w:val="24"/>
                <w:highlight w:val="none"/>
              </w:rPr>
              <w:t>个路口</w:t>
            </w:r>
          </w:p>
        </w:tc>
        <w:tc>
          <w:tcPr>
            <w:tcW w:w="1997" w:type="dxa"/>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auto"/>
              <w:ind w:firstLine="0" w:firstLineChars="0"/>
              <w:jc w:val="center"/>
              <w:rPr>
                <w:rFonts w:ascii="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16" w:type="dxa"/>
            <w:tcMar>
              <w:top w:w="0" w:type="dxa"/>
              <w:left w:w="108" w:type="dxa"/>
              <w:bottom w:w="0" w:type="dxa"/>
              <w:right w:w="108" w:type="dxa"/>
            </w:tcMar>
            <w:vAlign w:val="center"/>
          </w:tcPr>
          <w:p>
            <w:pPr>
              <w:snapToGrid w:val="0"/>
              <w:spacing w:line="300" w:lineRule="auto"/>
              <w:ind w:firstLine="0" w:firstLineChars="0"/>
              <w:jc w:val="center"/>
              <w:rPr>
                <w:rFonts w:ascii="宋体"/>
                <w:color w:val="auto"/>
                <w:szCs w:val="24"/>
                <w:highlight w:val="none"/>
              </w:rPr>
            </w:pPr>
            <w:r>
              <w:rPr>
                <w:rFonts w:hint="eastAsia" w:ascii="宋体"/>
                <w:color w:val="auto"/>
                <w:szCs w:val="24"/>
                <w:highlight w:val="none"/>
              </w:rPr>
              <w:t>2</w:t>
            </w:r>
          </w:p>
        </w:tc>
        <w:tc>
          <w:tcPr>
            <w:tcW w:w="1979" w:type="dxa"/>
            <w:tcMar>
              <w:top w:w="0" w:type="dxa"/>
              <w:left w:w="108" w:type="dxa"/>
              <w:bottom w:w="0" w:type="dxa"/>
              <w:right w:w="108" w:type="dxa"/>
            </w:tcMar>
            <w:vAlign w:val="center"/>
          </w:tcPr>
          <w:p>
            <w:pPr>
              <w:snapToGrid w:val="0"/>
              <w:spacing w:line="300" w:lineRule="auto"/>
              <w:ind w:firstLine="0" w:firstLineChars="0"/>
              <w:jc w:val="center"/>
              <w:rPr>
                <w:rFonts w:ascii="宋体"/>
                <w:color w:val="auto"/>
                <w:szCs w:val="24"/>
                <w:highlight w:val="none"/>
              </w:rPr>
            </w:pPr>
            <w:r>
              <w:rPr>
                <w:rFonts w:hint="eastAsia" w:ascii="宋体"/>
                <w:color w:val="auto"/>
                <w:szCs w:val="24"/>
                <w:highlight w:val="none"/>
              </w:rPr>
              <w:t>绿波标志牌</w:t>
            </w:r>
          </w:p>
        </w:tc>
        <w:tc>
          <w:tcPr>
            <w:tcW w:w="2595" w:type="dxa"/>
            <w:tcMar>
              <w:top w:w="0" w:type="dxa"/>
              <w:left w:w="108" w:type="dxa"/>
              <w:bottom w:w="0" w:type="dxa"/>
              <w:right w:w="108" w:type="dxa"/>
            </w:tcMar>
            <w:vAlign w:val="center"/>
          </w:tcPr>
          <w:p>
            <w:pPr>
              <w:snapToGrid w:val="0"/>
              <w:spacing w:line="300" w:lineRule="auto"/>
              <w:ind w:firstLine="0" w:firstLineChars="0"/>
              <w:jc w:val="center"/>
              <w:rPr>
                <w:rFonts w:ascii="宋体"/>
                <w:color w:val="auto"/>
                <w:szCs w:val="24"/>
                <w:highlight w:val="none"/>
              </w:rPr>
            </w:pPr>
            <w:r>
              <w:rPr>
                <w:rFonts w:hint="eastAsia" w:ascii="宋体"/>
                <w:color w:val="auto"/>
                <w:szCs w:val="24"/>
                <w:highlight w:val="none"/>
              </w:rPr>
              <w:t>1000*1500*2mm铝合金板， V类反光膜，覆膜</w:t>
            </w:r>
          </w:p>
        </w:tc>
        <w:tc>
          <w:tcPr>
            <w:tcW w:w="867" w:type="dxa"/>
            <w:tcMar>
              <w:top w:w="0" w:type="dxa"/>
              <w:left w:w="108" w:type="dxa"/>
              <w:bottom w:w="0" w:type="dxa"/>
              <w:right w:w="108" w:type="dxa"/>
            </w:tcMar>
            <w:vAlign w:val="center"/>
          </w:tcPr>
          <w:p>
            <w:pPr>
              <w:snapToGrid w:val="0"/>
              <w:spacing w:line="300" w:lineRule="auto"/>
              <w:ind w:firstLine="0" w:firstLineChars="0"/>
              <w:jc w:val="center"/>
              <w:rPr>
                <w:rFonts w:ascii="宋体"/>
                <w:color w:val="auto"/>
                <w:szCs w:val="24"/>
                <w:highlight w:val="none"/>
              </w:rPr>
            </w:pPr>
            <w:r>
              <w:rPr>
                <w:rFonts w:ascii="宋体"/>
                <w:color w:val="auto"/>
                <w:szCs w:val="24"/>
                <w:highlight w:val="none"/>
              </w:rPr>
              <w:t>400</w:t>
            </w:r>
          </w:p>
        </w:tc>
        <w:tc>
          <w:tcPr>
            <w:tcW w:w="963" w:type="dxa"/>
            <w:tcMar>
              <w:top w:w="0" w:type="dxa"/>
              <w:left w:w="108" w:type="dxa"/>
              <w:bottom w:w="0" w:type="dxa"/>
              <w:right w:w="108" w:type="dxa"/>
            </w:tcMar>
            <w:vAlign w:val="center"/>
          </w:tcPr>
          <w:p>
            <w:pPr>
              <w:snapToGrid w:val="0"/>
              <w:spacing w:line="300" w:lineRule="auto"/>
              <w:ind w:firstLine="0" w:firstLineChars="0"/>
              <w:jc w:val="center"/>
              <w:rPr>
                <w:rFonts w:ascii="宋体"/>
                <w:color w:val="auto"/>
                <w:szCs w:val="24"/>
                <w:highlight w:val="none"/>
              </w:rPr>
            </w:pPr>
            <w:r>
              <w:rPr>
                <w:rFonts w:hint="eastAsia" w:ascii="宋体"/>
                <w:color w:val="auto"/>
                <w:szCs w:val="24"/>
                <w:highlight w:val="none"/>
              </w:rPr>
              <w:t>块</w:t>
            </w:r>
          </w:p>
        </w:tc>
        <w:tc>
          <w:tcPr>
            <w:tcW w:w="1997" w:type="dxa"/>
            <w:tcMar>
              <w:top w:w="0" w:type="dxa"/>
              <w:left w:w="108" w:type="dxa"/>
              <w:bottom w:w="0" w:type="dxa"/>
              <w:right w:w="108" w:type="dxa"/>
            </w:tcMar>
            <w:vAlign w:val="center"/>
          </w:tcPr>
          <w:p>
            <w:pPr>
              <w:snapToGrid w:val="0"/>
              <w:spacing w:line="300" w:lineRule="auto"/>
              <w:ind w:firstLine="0" w:firstLineChars="0"/>
              <w:jc w:val="center"/>
              <w:rPr>
                <w:rFonts w:ascii="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16" w:type="dxa"/>
            <w:tcMar>
              <w:top w:w="0" w:type="dxa"/>
              <w:left w:w="108" w:type="dxa"/>
              <w:bottom w:w="0" w:type="dxa"/>
              <w:right w:w="108" w:type="dxa"/>
            </w:tcMar>
            <w:vAlign w:val="center"/>
          </w:tcPr>
          <w:p>
            <w:pPr>
              <w:snapToGrid w:val="0"/>
              <w:spacing w:line="300" w:lineRule="auto"/>
              <w:ind w:firstLine="0" w:firstLineChars="0"/>
              <w:jc w:val="center"/>
              <w:rPr>
                <w:rFonts w:ascii="宋体"/>
                <w:color w:val="auto"/>
                <w:szCs w:val="24"/>
                <w:highlight w:val="none"/>
              </w:rPr>
            </w:pPr>
            <w:r>
              <w:rPr>
                <w:rFonts w:hint="eastAsia" w:ascii="宋体"/>
                <w:color w:val="auto"/>
                <w:szCs w:val="24"/>
                <w:highlight w:val="none"/>
              </w:rPr>
              <w:t>3</w:t>
            </w:r>
          </w:p>
        </w:tc>
        <w:tc>
          <w:tcPr>
            <w:tcW w:w="1979" w:type="dxa"/>
            <w:tcMar>
              <w:top w:w="0" w:type="dxa"/>
              <w:left w:w="108" w:type="dxa"/>
              <w:bottom w:w="0" w:type="dxa"/>
              <w:right w:w="108" w:type="dxa"/>
            </w:tcMar>
            <w:vAlign w:val="center"/>
          </w:tcPr>
          <w:p>
            <w:pPr>
              <w:snapToGrid w:val="0"/>
              <w:spacing w:line="300" w:lineRule="auto"/>
              <w:ind w:firstLine="0" w:firstLineChars="0"/>
              <w:jc w:val="center"/>
              <w:rPr>
                <w:rFonts w:ascii="宋体"/>
                <w:color w:val="auto"/>
                <w:szCs w:val="24"/>
                <w:highlight w:val="none"/>
              </w:rPr>
            </w:pPr>
            <w:r>
              <w:rPr>
                <w:rFonts w:hint="eastAsia" w:ascii="宋体"/>
                <w:color w:val="auto"/>
                <w:szCs w:val="24"/>
                <w:highlight w:val="none"/>
              </w:rPr>
              <w:t>绿波标志牌换膜</w:t>
            </w:r>
          </w:p>
        </w:tc>
        <w:tc>
          <w:tcPr>
            <w:tcW w:w="2595" w:type="dxa"/>
            <w:tcMar>
              <w:top w:w="0" w:type="dxa"/>
              <w:left w:w="108" w:type="dxa"/>
              <w:bottom w:w="0" w:type="dxa"/>
              <w:right w:w="108" w:type="dxa"/>
            </w:tcMar>
            <w:vAlign w:val="center"/>
          </w:tcPr>
          <w:p>
            <w:pPr>
              <w:snapToGrid w:val="0"/>
              <w:spacing w:line="300" w:lineRule="auto"/>
              <w:ind w:firstLine="0" w:firstLineChars="0"/>
              <w:jc w:val="center"/>
              <w:rPr>
                <w:rFonts w:ascii="宋体"/>
                <w:color w:val="auto"/>
                <w:szCs w:val="24"/>
                <w:highlight w:val="none"/>
              </w:rPr>
            </w:pPr>
            <w:r>
              <w:rPr>
                <w:rFonts w:hint="eastAsia" w:ascii="宋体"/>
                <w:color w:val="auto"/>
                <w:szCs w:val="24"/>
                <w:highlight w:val="none"/>
              </w:rPr>
              <w:t>V类反光膜，覆膜</w:t>
            </w:r>
          </w:p>
        </w:tc>
        <w:tc>
          <w:tcPr>
            <w:tcW w:w="867" w:type="dxa"/>
            <w:tcMar>
              <w:top w:w="0" w:type="dxa"/>
              <w:left w:w="108" w:type="dxa"/>
              <w:bottom w:w="0" w:type="dxa"/>
              <w:right w:w="108" w:type="dxa"/>
            </w:tcMar>
            <w:vAlign w:val="center"/>
          </w:tcPr>
          <w:p>
            <w:pPr>
              <w:snapToGrid w:val="0"/>
              <w:spacing w:line="300" w:lineRule="auto"/>
              <w:ind w:firstLine="0" w:firstLineChars="0"/>
              <w:jc w:val="center"/>
              <w:rPr>
                <w:rFonts w:ascii="宋体"/>
                <w:color w:val="auto"/>
                <w:szCs w:val="24"/>
                <w:highlight w:val="none"/>
              </w:rPr>
            </w:pPr>
            <w:r>
              <w:rPr>
                <w:rFonts w:hint="eastAsia" w:ascii="宋体"/>
                <w:color w:val="auto"/>
                <w:szCs w:val="24"/>
                <w:highlight w:val="none"/>
              </w:rPr>
              <w:t>90</w:t>
            </w:r>
          </w:p>
        </w:tc>
        <w:tc>
          <w:tcPr>
            <w:tcW w:w="963" w:type="dxa"/>
            <w:tcMar>
              <w:top w:w="0" w:type="dxa"/>
              <w:left w:w="108" w:type="dxa"/>
              <w:bottom w:w="0" w:type="dxa"/>
              <w:right w:w="108" w:type="dxa"/>
            </w:tcMar>
            <w:vAlign w:val="center"/>
          </w:tcPr>
          <w:p>
            <w:pPr>
              <w:snapToGrid w:val="0"/>
              <w:spacing w:line="300" w:lineRule="auto"/>
              <w:ind w:firstLine="0" w:firstLineChars="0"/>
              <w:jc w:val="center"/>
              <w:rPr>
                <w:rFonts w:ascii="宋体"/>
                <w:color w:val="auto"/>
                <w:szCs w:val="24"/>
                <w:highlight w:val="none"/>
              </w:rPr>
            </w:pPr>
            <w:r>
              <w:rPr>
                <w:rFonts w:hint="eastAsia" w:ascii="宋体"/>
                <w:color w:val="auto"/>
                <w:szCs w:val="24"/>
                <w:highlight w:val="none"/>
              </w:rPr>
              <w:t>平方</w:t>
            </w:r>
          </w:p>
        </w:tc>
        <w:tc>
          <w:tcPr>
            <w:tcW w:w="1997" w:type="dxa"/>
            <w:tcMar>
              <w:top w:w="0" w:type="dxa"/>
              <w:left w:w="108" w:type="dxa"/>
              <w:bottom w:w="0" w:type="dxa"/>
              <w:right w:w="108" w:type="dxa"/>
            </w:tcMar>
            <w:vAlign w:val="center"/>
          </w:tcPr>
          <w:p>
            <w:pPr>
              <w:snapToGrid w:val="0"/>
              <w:spacing w:line="300" w:lineRule="auto"/>
              <w:ind w:firstLine="0" w:firstLineChars="0"/>
              <w:jc w:val="center"/>
              <w:rPr>
                <w:rFonts w:ascii="宋体"/>
                <w:color w:val="auto"/>
                <w:szCs w:val="24"/>
                <w:highlight w:val="none"/>
              </w:rPr>
            </w:pPr>
            <w:r>
              <w:rPr>
                <w:rFonts w:hint="eastAsia" w:ascii="宋体"/>
                <w:color w:val="auto"/>
                <w:szCs w:val="24"/>
                <w:highlight w:val="none"/>
              </w:rPr>
              <w:t>共60块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816" w:type="dxa"/>
            <w:tcMar>
              <w:top w:w="0" w:type="dxa"/>
              <w:left w:w="108" w:type="dxa"/>
              <w:bottom w:w="0" w:type="dxa"/>
              <w:right w:w="108" w:type="dxa"/>
            </w:tcMar>
            <w:vAlign w:val="center"/>
          </w:tcPr>
          <w:p>
            <w:pPr>
              <w:snapToGrid w:val="0"/>
              <w:spacing w:line="300" w:lineRule="auto"/>
              <w:ind w:firstLine="0" w:firstLineChars="0"/>
              <w:jc w:val="center"/>
              <w:rPr>
                <w:rFonts w:ascii="宋体"/>
                <w:color w:val="auto"/>
                <w:szCs w:val="24"/>
                <w:highlight w:val="none"/>
              </w:rPr>
            </w:pPr>
            <w:r>
              <w:rPr>
                <w:rFonts w:hint="eastAsia" w:ascii="宋体"/>
                <w:color w:val="auto"/>
                <w:szCs w:val="24"/>
                <w:highlight w:val="none"/>
              </w:rPr>
              <w:t>4</w:t>
            </w:r>
          </w:p>
        </w:tc>
        <w:tc>
          <w:tcPr>
            <w:tcW w:w="1979" w:type="dxa"/>
            <w:tcMar>
              <w:top w:w="0" w:type="dxa"/>
              <w:left w:w="108" w:type="dxa"/>
              <w:bottom w:w="0" w:type="dxa"/>
              <w:right w:w="108" w:type="dxa"/>
            </w:tcMar>
            <w:vAlign w:val="center"/>
          </w:tcPr>
          <w:p>
            <w:pPr>
              <w:widowControl/>
              <w:ind w:firstLine="0" w:firstLineChars="0"/>
              <w:textAlignment w:val="center"/>
              <w:rPr>
                <w:rFonts w:ascii="宋体"/>
                <w:color w:val="auto"/>
                <w:szCs w:val="24"/>
                <w:highlight w:val="none"/>
              </w:rPr>
            </w:pPr>
            <w:r>
              <w:rPr>
                <w:rFonts w:hint="eastAsia" w:ascii="宋体" w:hAnsi="宋体" w:cs="宋体"/>
                <w:color w:val="auto"/>
                <w:kern w:val="0"/>
                <w:szCs w:val="24"/>
                <w:highlight w:val="none"/>
              </w:rPr>
              <w:t>交通信号控制主机</w:t>
            </w:r>
          </w:p>
        </w:tc>
        <w:tc>
          <w:tcPr>
            <w:tcW w:w="2595" w:type="dxa"/>
            <w:tcMar>
              <w:top w:w="0" w:type="dxa"/>
              <w:left w:w="108" w:type="dxa"/>
              <w:bottom w:w="0" w:type="dxa"/>
              <w:right w:w="108" w:type="dxa"/>
            </w:tcMar>
            <w:vAlign w:val="center"/>
          </w:tcPr>
          <w:p>
            <w:pPr>
              <w:widowControl/>
              <w:spacing w:line="240" w:lineRule="auto"/>
              <w:ind w:firstLine="0" w:firstLineChars="0"/>
              <w:jc w:val="center"/>
              <w:textAlignment w:val="center"/>
              <w:rPr>
                <w:rFonts w:ascii="宋体"/>
                <w:color w:val="auto"/>
                <w:szCs w:val="24"/>
                <w:highlight w:val="none"/>
              </w:rPr>
            </w:pPr>
            <w:r>
              <w:rPr>
                <w:rFonts w:hint="eastAsia" w:ascii="宋体" w:hAnsi="宋体" w:cs="宋体"/>
                <w:color w:val="auto"/>
                <w:kern w:val="0"/>
                <w:szCs w:val="24"/>
                <w:highlight w:val="none"/>
              </w:rPr>
              <w:t>60路独立输出、联网可接入交警大队，与交通信号配时优化软件适配</w:t>
            </w:r>
          </w:p>
        </w:tc>
        <w:tc>
          <w:tcPr>
            <w:tcW w:w="867" w:type="dxa"/>
            <w:tcMar>
              <w:top w:w="0" w:type="dxa"/>
              <w:left w:w="108" w:type="dxa"/>
              <w:bottom w:w="0" w:type="dxa"/>
              <w:right w:w="108" w:type="dxa"/>
            </w:tcMar>
            <w:vAlign w:val="center"/>
          </w:tcPr>
          <w:p>
            <w:pPr>
              <w:widowControl/>
              <w:ind w:firstLine="0" w:firstLineChars="0"/>
              <w:jc w:val="center"/>
              <w:textAlignment w:val="center"/>
              <w:rPr>
                <w:rFonts w:ascii="宋体"/>
                <w:color w:val="auto"/>
                <w:szCs w:val="24"/>
                <w:highlight w:val="none"/>
              </w:rPr>
            </w:pPr>
            <w:r>
              <w:rPr>
                <w:rFonts w:hint="eastAsia" w:ascii="宋体" w:hAnsi="宋体" w:cs="宋体"/>
                <w:color w:val="auto"/>
                <w:kern w:val="0"/>
                <w:szCs w:val="24"/>
                <w:highlight w:val="none"/>
              </w:rPr>
              <w:t>18</w:t>
            </w:r>
          </w:p>
        </w:tc>
        <w:tc>
          <w:tcPr>
            <w:tcW w:w="963" w:type="dxa"/>
            <w:tcMar>
              <w:top w:w="0" w:type="dxa"/>
              <w:left w:w="108" w:type="dxa"/>
              <w:bottom w:w="0" w:type="dxa"/>
              <w:right w:w="108" w:type="dxa"/>
            </w:tcMar>
            <w:vAlign w:val="center"/>
          </w:tcPr>
          <w:p>
            <w:pPr>
              <w:widowControl/>
              <w:ind w:firstLine="0" w:firstLineChars="0"/>
              <w:jc w:val="center"/>
              <w:textAlignment w:val="center"/>
              <w:rPr>
                <w:rFonts w:ascii="宋体"/>
                <w:color w:val="auto"/>
                <w:szCs w:val="24"/>
                <w:highlight w:val="none"/>
              </w:rPr>
            </w:pPr>
            <w:r>
              <w:rPr>
                <w:rFonts w:hint="eastAsia" w:ascii="宋体" w:hAnsi="宋体" w:cs="宋体"/>
                <w:color w:val="auto"/>
                <w:kern w:val="0"/>
                <w:szCs w:val="24"/>
                <w:highlight w:val="none"/>
              </w:rPr>
              <w:t>台</w:t>
            </w:r>
          </w:p>
        </w:tc>
        <w:tc>
          <w:tcPr>
            <w:tcW w:w="1997" w:type="dxa"/>
            <w:tcMar>
              <w:top w:w="0" w:type="dxa"/>
              <w:left w:w="108" w:type="dxa"/>
              <w:bottom w:w="0" w:type="dxa"/>
              <w:right w:w="108" w:type="dxa"/>
            </w:tcMar>
            <w:vAlign w:val="center"/>
          </w:tcPr>
          <w:p>
            <w:pPr>
              <w:snapToGrid w:val="0"/>
              <w:spacing w:line="300" w:lineRule="auto"/>
              <w:ind w:firstLine="0" w:firstLineChars="0"/>
              <w:jc w:val="center"/>
              <w:rPr>
                <w:rFonts w:ascii="宋体"/>
                <w:color w:val="auto"/>
                <w:szCs w:val="24"/>
                <w:highlight w:val="none"/>
              </w:rPr>
            </w:pPr>
          </w:p>
        </w:tc>
      </w:tr>
    </w:tbl>
    <w:p>
      <w:pPr>
        <w:spacing w:line="300" w:lineRule="auto"/>
        <w:ind w:firstLine="482"/>
        <w:rPr>
          <w:rFonts w:ascii="宋体" w:hAnsi="宋体" w:cs="宋体"/>
          <w:b/>
          <w:bCs/>
          <w:color w:val="auto"/>
          <w:szCs w:val="24"/>
          <w:highlight w:val="none"/>
        </w:rPr>
      </w:pPr>
      <w:r>
        <w:rPr>
          <w:rFonts w:hint="eastAsia" w:ascii="宋体" w:hAnsi="宋体" w:cs="宋体"/>
          <w:b/>
          <w:bCs/>
          <w:color w:val="auto"/>
          <w:szCs w:val="24"/>
          <w:highlight w:val="none"/>
        </w:rPr>
        <w:t>注：本项目单价固定，数量按实结算。</w:t>
      </w:r>
    </w:p>
    <w:p>
      <w:pPr>
        <w:spacing w:line="300" w:lineRule="auto"/>
        <w:ind w:firstLine="482"/>
        <w:rPr>
          <w:rFonts w:ascii="宋体" w:hAnsi="宋体" w:cs="宋体"/>
          <w:b/>
          <w:bCs/>
          <w:color w:val="auto"/>
          <w:szCs w:val="24"/>
          <w:highlight w:val="none"/>
        </w:rPr>
      </w:pPr>
      <w:r>
        <w:rPr>
          <w:rFonts w:hint="eastAsia" w:ascii="宋体" w:hAnsi="宋体" w:cs="宋体"/>
          <w:b/>
          <w:bCs/>
          <w:color w:val="auto"/>
          <w:szCs w:val="24"/>
          <w:highlight w:val="none"/>
        </w:rPr>
        <w:t>三、</w:t>
      </w:r>
      <w:r>
        <w:rPr>
          <w:rFonts w:hint="eastAsia" w:ascii="宋体" w:hAnsi="宋体" w:cs="宋体"/>
          <w:b/>
          <w:color w:val="auto"/>
          <w:szCs w:val="21"/>
          <w:highlight w:val="none"/>
        </w:rPr>
        <w:t>项目建设原则</w:t>
      </w:r>
    </w:p>
    <w:p>
      <w:pPr>
        <w:snapToGrid w:val="0"/>
        <w:spacing w:line="300" w:lineRule="auto"/>
        <w:ind w:firstLine="480"/>
        <w:rPr>
          <w:rFonts w:ascii="宋体" w:hAnsi="宋体"/>
          <w:color w:val="auto"/>
          <w:szCs w:val="21"/>
          <w:highlight w:val="none"/>
          <w:lang w:val="en-GB"/>
        </w:rPr>
      </w:pPr>
      <w:r>
        <w:rPr>
          <w:rFonts w:hint="eastAsia" w:ascii="宋体" w:hAnsi="宋体"/>
          <w:color w:val="auto"/>
          <w:szCs w:val="21"/>
          <w:highlight w:val="none"/>
          <w:lang w:val="en-GB"/>
        </w:rPr>
        <w:t>1</w:t>
      </w:r>
      <w:r>
        <w:rPr>
          <w:rFonts w:ascii="宋体" w:hAnsi="宋体"/>
          <w:color w:val="auto"/>
          <w:szCs w:val="21"/>
          <w:highlight w:val="none"/>
          <w:lang w:val="en-GB"/>
        </w:rPr>
        <w:t>.</w:t>
      </w:r>
      <w:r>
        <w:rPr>
          <w:rFonts w:hint="eastAsia" w:ascii="宋体" w:hAnsi="宋体"/>
          <w:color w:val="auto"/>
          <w:szCs w:val="21"/>
          <w:highlight w:val="none"/>
          <w:lang w:val="en-GB"/>
        </w:rPr>
        <w:t>实用性和可行性：主要技术和产品必须具有实用、成熟、稳定、安全的特点。实用性以提高系统整体运行效率为重点。既要便于用户使用，又要便于系统管理。</w:t>
      </w:r>
    </w:p>
    <w:p>
      <w:pPr>
        <w:snapToGrid w:val="0"/>
        <w:spacing w:line="300" w:lineRule="auto"/>
        <w:ind w:firstLine="480"/>
        <w:rPr>
          <w:rFonts w:ascii="宋体" w:hAnsi="宋体"/>
          <w:color w:val="auto"/>
          <w:szCs w:val="21"/>
          <w:highlight w:val="none"/>
          <w:lang w:val="en-GB"/>
        </w:rPr>
      </w:pPr>
      <w:r>
        <w:rPr>
          <w:rFonts w:hint="eastAsia" w:ascii="宋体" w:hAnsi="宋体"/>
          <w:color w:val="auto"/>
          <w:szCs w:val="21"/>
          <w:highlight w:val="none"/>
          <w:lang w:val="en-GB"/>
        </w:rPr>
        <w:t>2</w:t>
      </w:r>
      <w:r>
        <w:rPr>
          <w:rFonts w:ascii="宋体" w:hAnsi="宋体"/>
          <w:color w:val="auto"/>
          <w:szCs w:val="21"/>
          <w:highlight w:val="none"/>
          <w:lang w:val="en-GB"/>
        </w:rPr>
        <w:t>.</w:t>
      </w:r>
      <w:r>
        <w:rPr>
          <w:rFonts w:hint="eastAsia" w:ascii="宋体" w:hAnsi="宋体"/>
          <w:color w:val="auto"/>
          <w:szCs w:val="21"/>
          <w:highlight w:val="none"/>
          <w:lang w:val="en-GB"/>
        </w:rPr>
        <w:t>先进性和成熟性：方案设计既要采用超前思维，又要注意思维的合理性，技术的可行性，方法的正确性，方案实施有系统性。先进性与成熟性并重，并考虑到近年来的应用发展特点，把先进性放在重要位置。</w:t>
      </w:r>
    </w:p>
    <w:p>
      <w:pPr>
        <w:snapToGrid w:val="0"/>
        <w:spacing w:line="300" w:lineRule="auto"/>
        <w:ind w:firstLine="480"/>
        <w:rPr>
          <w:rFonts w:ascii="宋体" w:hAnsi="宋体"/>
          <w:color w:val="auto"/>
          <w:szCs w:val="21"/>
          <w:highlight w:val="none"/>
          <w:lang w:val="en-GB"/>
        </w:rPr>
      </w:pPr>
      <w:r>
        <w:rPr>
          <w:rFonts w:hint="eastAsia" w:ascii="宋体" w:hAnsi="宋体"/>
          <w:color w:val="auto"/>
          <w:szCs w:val="21"/>
          <w:highlight w:val="none"/>
          <w:lang w:val="en-GB"/>
        </w:rPr>
        <w:t>3</w:t>
      </w:r>
      <w:r>
        <w:rPr>
          <w:rFonts w:ascii="宋体" w:hAnsi="宋体"/>
          <w:color w:val="auto"/>
          <w:szCs w:val="21"/>
          <w:highlight w:val="none"/>
          <w:lang w:val="en-GB"/>
        </w:rPr>
        <w:t>.</w:t>
      </w:r>
      <w:r>
        <w:rPr>
          <w:rFonts w:hint="eastAsia" w:ascii="宋体" w:hAnsi="宋体"/>
          <w:color w:val="auto"/>
          <w:szCs w:val="21"/>
          <w:highlight w:val="none"/>
          <w:lang w:val="en-GB"/>
        </w:rPr>
        <w:t>开放性与标准化原则：方案应是一个开放且与目前交警大队信控平台相适应，并使用网络系统的硬件环境、通信环境、软件环境、操作平台之间的相互依赖性小。</w:t>
      </w:r>
    </w:p>
    <w:p>
      <w:pPr>
        <w:snapToGrid w:val="0"/>
        <w:spacing w:line="300" w:lineRule="auto"/>
        <w:ind w:firstLine="480"/>
        <w:rPr>
          <w:rFonts w:ascii="宋体" w:hAnsi="宋体"/>
          <w:color w:val="auto"/>
          <w:szCs w:val="21"/>
          <w:highlight w:val="none"/>
          <w:lang w:val="en-GB"/>
        </w:rPr>
      </w:pPr>
      <w:r>
        <w:rPr>
          <w:rFonts w:hint="eastAsia" w:ascii="宋体" w:hAnsi="宋体"/>
          <w:color w:val="auto"/>
          <w:szCs w:val="21"/>
          <w:highlight w:val="none"/>
          <w:lang w:val="en-GB"/>
        </w:rPr>
        <w:t>4</w:t>
      </w:r>
      <w:r>
        <w:rPr>
          <w:rFonts w:ascii="宋体" w:hAnsi="宋体"/>
          <w:color w:val="auto"/>
          <w:szCs w:val="21"/>
          <w:highlight w:val="none"/>
          <w:lang w:val="en-GB"/>
        </w:rPr>
        <w:t>.</w:t>
      </w:r>
      <w:r>
        <w:rPr>
          <w:rFonts w:hint="eastAsia" w:ascii="宋体" w:hAnsi="宋体"/>
          <w:color w:val="auto"/>
          <w:szCs w:val="21"/>
          <w:highlight w:val="none"/>
          <w:lang w:val="en-GB"/>
        </w:rPr>
        <w:t>可靠性和稳定性：在考虑技术先进性和开放性的同时，还应从系统结构，技术措施，系统管理等方面着手，确保系统运行的可靠性和稳定性，达到最大的平均无故障时间。</w:t>
      </w:r>
    </w:p>
    <w:p>
      <w:pPr>
        <w:snapToGrid w:val="0"/>
        <w:spacing w:line="300" w:lineRule="auto"/>
        <w:ind w:firstLine="480"/>
        <w:rPr>
          <w:rFonts w:ascii="宋体" w:hAnsi="宋体"/>
          <w:color w:val="auto"/>
          <w:szCs w:val="21"/>
          <w:highlight w:val="none"/>
          <w:lang w:val="en-GB"/>
        </w:rPr>
      </w:pPr>
      <w:r>
        <w:rPr>
          <w:rFonts w:hint="eastAsia" w:ascii="宋体" w:hAnsi="宋体"/>
          <w:color w:val="auto"/>
          <w:szCs w:val="21"/>
          <w:highlight w:val="none"/>
          <w:lang w:val="en-GB"/>
        </w:rPr>
        <w:t>5</w:t>
      </w:r>
      <w:r>
        <w:rPr>
          <w:rFonts w:ascii="宋体" w:hAnsi="宋体"/>
          <w:color w:val="auto"/>
          <w:szCs w:val="21"/>
          <w:highlight w:val="none"/>
          <w:lang w:val="en-GB"/>
        </w:rPr>
        <w:t>.</w:t>
      </w:r>
      <w:r>
        <w:rPr>
          <w:rFonts w:hint="eastAsia" w:ascii="宋体" w:hAnsi="宋体"/>
          <w:color w:val="auto"/>
          <w:szCs w:val="21"/>
          <w:highlight w:val="none"/>
          <w:lang w:val="en-GB"/>
        </w:rPr>
        <w:t>安全性和保密性：方案下发到应用平台中，充分考虑信息资源的共享，注意信息资源的保护和隔离，应分别针对不同的应用和不同的网络通信环境，采取不同的措施，包括系统安全机制、数据存取的权限控制等。</w:t>
      </w:r>
    </w:p>
    <w:p>
      <w:pPr>
        <w:spacing w:line="300" w:lineRule="auto"/>
        <w:ind w:firstLine="470" w:firstLineChars="196"/>
        <w:rPr>
          <w:rFonts w:ascii="宋体" w:hAnsi="宋体"/>
          <w:color w:val="auto"/>
          <w:szCs w:val="21"/>
          <w:highlight w:val="none"/>
          <w:lang w:val="en-GB"/>
        </w:rPr>
      </w:pPr>
      <w:r>
        <w:rPr>
          <w:rFonts w:hint="eastAsia" w:ascii="宋体" w:hAnsi="宋体"/>
          <w:color w:val="auto"/>
          <w:szCs w:val="21"/>
          <w:highlight w:val="none"/>
          <w:lang w:val="en-GB"/>
        </w:rPr>
        <w:t>6</w:t>
      </w:r>
      <w:r>
        <w:rPr>
          <w:rFonts w:ascii="宋体" w:hAnsi="宋体"/>
          <w:color w:val="auto"/>
          <w:szCs w:val="21"/>
          <w:highlight w:val="none"/>
          <w:lang w:val="en-GB"/>
        </w:rPr>
        <w:t>.</w:t>
      </w:r>
      <w:r>
        <w:rPr>
          <w:rFonts w:hint="eastAsia" w:ascii="宋体" w:hAnsi="宋体"/>
          <w:color w:val="auto"/>
          <w:szCs w:val="21"/>
          <w:highlight w:val="none"/>
          <w:lang w:val="en-GB"/>
        </w:rPr>
        <w:t>可管理性和可维护性：为了便于系统的日常运行维护和管理，要求所选产品具有良好的可管理性和可维护性。</w:t>
      </w:r>
    </w:p>
    <w:p>
      <w:pPr>
        <w:spacing w:line="300" w:lineRule="auto"/>
        <w:ind w:firstLine="472" w:firstLineChars="196"/>
        <w:rPr>
          <w:rFonts w:ascii="宋体" w:hAnsi="宋体" w:cs="宋体"/>
          <w:b/>
          <w:color w:val="auto"/>
          <w:szCs w:val="21"/>
          <w:highlight w:val="none"/>
        </w:rPr>
      </w:pPr>
      <w:r>
        <w:rPr>
          <w:rFonts w:hint="eastAsia" w:ascii="宋体" w:hAnsi="宋体" w:cs="宋体"/>
          <w:b/>
          <w:color w:val="auto"/>
          <w:szCs w:val="21"/>
          <w:highlight w:val="none"/>
        </w:rPr>
        <w:t>四、项目建设目标</w:t>
      </w:r>
    </w:p>
    <w:p>
      <w:pPr>
        <w:spacing w:line="300" w:lineRule="auto"/>
        <w:ind w:firstLine="470" w:firstLineChars="196"/>
        <w:rPr>
          <w:rFonts w:ascii="宋体" w:hAnsi="宋体" w:cs="宋体"/>
          <w:bCs/>
          <w:color w:val="auto"/>
          <w:szCs w:val="21"/>
          <w:highlight w:val="none"/>
        </w:rPr>
      </w:pPr>
      <w:r>
        <w:rPr>
          <w:rFonts w:hint="eastAsia" w:ascii="宋体" w:hAnsi="宋体" w:cs="宋体"/>
          <w:bCs/>
          <w:color w:val="auto"/>
          <w:szCs w:val="21"/>
          <w:highlight w:val="none"/>
        </w:rPr>
        <w:t>总体目标：通过提供专业的技术支持，配合交警完成对辖区道路交通信号配时优化方案的更新和维护工作。</w:t>
      </w:r>
    </w:p>
    <w:p>
      <w:pPr>
        <w:snapToGrid w:val="0"/>
        <w:spacing w:line="300" w:lineRule="auto"/>
        <w:ind w:firstLine="480"/>
        <w:rPr>
          <w:rFonts w:ascii="宋体" w:hAnsi="宋体"/>
          <w:color w:val="auto"/>
          <w:szCs w:val="21"/>
          <w:highlight w:val="none"/>
          <w:lang w:val="en-GB"/>
        </w:rPr>
      </w:pPr>
      <w:r>
        <w:rPr>
          <w:rFonts w:hint="eastAsia" w:ascii="宋体" w:hAnsi="宋体"/>
          <w:color w:val="auto"/>
          <w:szCs w:val="21"/>
          <w:highlight w:val="none"/>
          <w:lang w:val="en-GB"/>
        </w:rPr>
        <w:t>具体优化目标如下：</w:t>
      </w:r>
    </w:p>
    <w:p>
      <w:pPr>
        <w:snapToGrid w:val="0"/>
        <w:spacing w:line="300" w:lineRule="auto"/>
        <w:ind w:firstLine="480"/>
        <w:rPr>
          <w:rFonts w:ascii="宋体" w:hAnsi="宋体"/>
          <w:color w:val="auto"/>
          <w:szCs w:val="21"/>
          <w:highlight w:val="none"/>
          <w:lang w:val="en-GB"/>
        </w:rPr>
      </w:pPr>
      <w:r>
        <w:rPr>
          <w:rFonts w:hint="eastAsia" w:ascii="宋体" w:hAnsi="宋体"/>
          <w:color w:val="auto"/>
          <w:szCs w:val="21"/>
          <w:highlight w:val="none"/>
          <w:lang w:val="en-GB"/>
        </w:rPr>
        <w:t>1</w:t>
      </w:r>
      <w:r>
        <w:rPr>
          <w:rFonts w:ascii="宋体" w:hAnsi="宋体"/>
          <w:color w:val="auto"/>
          <w:szCs w:val="21"/>
          <w:highlight w:val="none"/>
          <w:lang w:val="en-GB"/>
        </w:rPr>
        <w:t>.</w:t>
      </w:r>
      <w:r>
        <w:rPr>
          <w:rFonts w:hint="eastAsia" w:ascii="宋体" w:hAnsi="宋体"/>
          <w:color w:val="auto"/>
          <w:szCs w:val="21"/>
          <w:highlight w:val="none"/>
          <w:lang w:val="en-GB"/>
        </w:rPr>
        <w:t>提高嘉善县城区交通信号控制水平。对信号配时进行整体协调优化，建立多个交叉口相互关联的信号配时方案组合，对已经实现协调控制的车道进行再度优化，并实现干道协调控制；对未进行协调控制的干道设计控制方案实现协调控制，提高道路网运行效率。</w:t>
      </w:r>
    </w:p>
    <w:p>
      <w:pPr>
        <w:snapToGrid w:val="0"/>
        <w:spacing w:line="300" w:lineRule="auto"/>
        <w:ind w:firstLine="480"/>
        <w:rPr>
          <w:rFonts w:ascii="宋体" w:hAnsi="宋体"/>
          <w:color w:val="auto"/>
          <w:szCs w:val="21"/>
          <w:highlight w:val="none"/>
          <w:lang w:val="en-GB"/>
        </w:rPr>
      </w:pPr>
      <w:r>
        <w:rPr>
          <w:rFonts w:hint="eastAsia" w:ascii="宋体" w:hAnsi="宋体"/>
          <w:color w:val="auto"/>
          <w:szCs w:val="21"/>
          <w:highlight w:val="none"/>
          <w:lang w:val="en-GB"/>
        </w:rPr>
        <w:t>2</w:t>
      </w:r>
      <w:r>
        <w:rPr>
          <w:rFonts w:ascii="宋体" w:hAnsi="宋体"/>
          <w:color w:val="auto"/>
          <w:szCs w:val="21"/>
          <w:highlight w:val="none"/>
          <w:lang w:val="en-GB"/>
        </w:rPr>
        <w:t>.</w:t>
      </w:r>
      <w:r>
        <w:rPr>
          <w:rFonts w:hint="eastAsia" w:ascii="宋体" w:hAnsi="宋体"/>
          <w:color w:val="auto"/>
          <w:szCs w:val="21"/>
          <w:highlight w:val="none"/>
          <w:lang w:val="en-GB"/>
        </w:rPr>
        <w:t>形成连续流交通，保证交通便利和畅通。根据实时的交通流量变化设计相应的协调控制策略，有效保证多个交叉口之间车流的顺畅，减少车辆平均延误时间，减少车辆平均行程时间。提高车辆平均行车速度，增加路口的通行能力，提高道路的整体服务水平。</w:t>
      </w:r>
    </w:p>
    <w:p>
      <w:pPr>
        <w:snapToGrid w:val="0"/>
        <w:spacing w:line="300" w:lineRule="auto"/>
        <w:ind w:firstLine="480"/>
        <w:rPr>
          <w:rFonts w:ascii="宋体" w:hAnsi="宋体"/>
          <w:color w:val="auto"/>
          <w:szCs w:val="21"/>
          <w:highlight w:val="none"/>
          <w:lang w:val="en-GB"/>
        </w:rPr>
      </w:pPr>
      <w:r>
        <w:rPr>
          <w:rFonts w:hint="eastAsia" w:ascii="宋体" w:hAnsi="宋体"/>
          <w:color w:val="auto"/>
          <w:szCs w:val="21"/>
          <w:highlight w:val="none"/>
          <w:lang w:val="en-GB"/>
        </w:rPr>
        <w:t>3</w:t>
      </w:r>
      <w:r>
        <w:rPr>
          <w:rFonts w:ascii="宋体" w:hAnsi="宋体"/>
          <w:color w:val="auto"/>
          <w:szCs w:val="21"/>
          <w:highlight w:val="none"/>
          <w:lang w:val="en-GB"/>
        </w:rPr>
        <w:t>.</w:t>
      </w:r>
      <w:r>
        <w:rPr>
          <w:rFonts w:hint="eastAsia" w:ascii="宋体" w:hAnsi="宋体"/>
          <w:color w:val="auto"/>
          <w:szCs w:val="21"/>
          <w:highlight w:val="none"/>
          <w:lang w:val="en-GB"/>
        </w:rPr>
        <w:t>实现以人为本，保障交通有序和交通安全。在城市交通协调控制中将考虑城市道路交叉口的混合交通流运行特性，减少机动车、非机动车与行人之间的冲突，提高交通弱势群体在交叉口的安全性，增强交叉品的交通安全性。</w:t>
      </w:r>
      <w:bookmarkStart w:id="27" w:name="_Toc17615505"/>
      <w:bookmarkStart w:id="28" w:name="_Toc17615614"/>
      <w:bookmarkStart w:id="29" w:name="_Toc17615517"/>
      <w:bookmarkStart w:id="30" w:name="_Toc17615626"/>
    </w:p>
    <w:p>
      <w:pPr>
        <w:snapToGrid w:val="0"/>
        <w:spacing w:line="300" w:lineRule="auto"/>
        <w:ind w:firstLine="480"/>
        <w:rPr>
          <w:rFonts w:ascii="宋体" w:hAnsi="宋体"/>
          <w:color w:val="auto"/>
          <w:szCs w:val="21"/>
          <w:highlight w:val="none"/>
          <w:lang w:val="en-GB"/>
        </w:rPr>
      </w:pPr>
      <w:r>
        <w:rPr>
          <w:rFonts w:hint="eastAsia" w:ascii="宋体" w:hAnsi="宋体"/>
          <w:color w:val="auto"/>
          <w:szCs w:val="21"/>
          <w:highlight w:val="none"/>
          <w:lang w:val="en-GB"/>
        </w:rPr>
        <w:t>4.提高路口信号精细化管控水平。要根据城市道路的拥堵特点，根据车流量优化配时方案，精细化到十五分钟至半小时，根据节假日、工作日、商圈等车流量特点，进行精细化管控，提高路网通行效率。</w:t>
      </w:r>
    </w:p>
    <w:p>
      <w:pPr>
        <w:spacing w:line="300" w:lineRule="auto"/>
        <w:ind w:firstLine="472" w:firstLineChars="196"/>
        <w:rPr>
          <w:rFonts w:ascii="宋体" w:hAnsi="宋体" w:cs="宋体"/>
          <w:b/>
          <w:color w:val="auto"/>
          <w:szCs w:val="21"/>
          <w:highlight w:val="none"/>
        </w:rPr>
      </w:pPr>
      <w:r>
        <w:rPr>
          <w:rFonts w:hint="eastAsia" w:ascii="宋体" w:hAnsi="宋体" w:cs="宋体"/>
          <w:b/>
          <w:color w:val="auto"/>
          <w:szCs w:val="21"/>
          <w:highlight w:val="none"/>
        </w:rPr>
        <w:t>五、嘉善县交通信号灯智能化应用现状</w:t>
      </w:r>
      <w:bookmarkEnd w:id="27"/>
      <w:bookmarkEnd w:id="28"/>
      <w:bookmarkEnd w:id="29"/>
      <w:bookmarkEnd w:id="30"/>
    </w:p>
    <w:p>
      <w:pPr>
        <w:snapToGrid w:val="0"/>
        <w:spacing w:line="300" w:lineRule="auto"/>
        <w:ind w:firstLine="480"/>
        <w:rPr>
          <w:rFonts w:ascii="宋体" w:hAnsi="宋体" w:cs="宋体"/>
          <w:color w:val="auto"/>
          <w:highlight w:val="none"/>
        </w:rPr>
      </w:pPr>
      <w:r>
        <w:rPr>
          <w:rFonts w:hint="eastAsia" w:ascii="宋体" w:hAnsi="宋体" w:cs="宋体"/>
          <w:color w:val="auto"/>
          <w:highlight w:val="none"/>
        </w:rPr>
        <w:t>1.中心控制系统</w:t>
      </w:r>
    </w:p>
    <w:p>
      <w:pPr>
        <w:spacing w:line="300" w:lineRule="auto"/>
        <w:ind w:firstLine="480"/>
        <w:rPr>
          <w:rFonts w:ascii="宋体" w:hAnsi="宋体" w:cs="宋体"/>
          <w:color w:val="auto"/>
          <w:highlight w:val="none"/>
        </w:rPr>
      </w:pPr>
      <w:r>
        <w:rPr>
          <w:rFonts w:hint="eastAsia" w:ascii="宋体" w:hAnsi="宋体" w:cs="宋体"/>
          <w:color w:val="auto"/>
          <w:highlight w:val="none"/>
        </w:rPr>
        <w:t>（</w:t>
      </w:r>
      <w:r>
        <w:rPr>
          <w:rFonts w:ascii="宋体" w:hAnsi="宋体" w:cs="宋体"/>
          <w:color w:val="auto"/>
          <w:highlight w:val="none"/>
        </w:rPr>
        <w:t>1</w:t>
      </w:r>
      <w:r>
        <w:rPr>
          <w:rFonts w:hint="eastAsia" w:ascii="宋体" w:hAnsi="宋体" w:cs="宋体"/>
          <w:color w:val="auto"/>
          <w:highlight w:val="none"/>
        </w:rPr>
        <w:t>）中心与路口控制机间通讯协议：</w:t>
      </w:r>
    </w:p>
    <w:p>
      <w:pPr>
        <w:spacing w:line="300" w:lineRule="auto"/>
        <w:ind w:firstLine="480"/>
        <w:rPr>
          <w:rFonts w:ascii="宋体" w:hAnsi="宋体" w:cs="宋体"/>
          <w:color w:val="auto"/>
          <w:highlight w:val="none"/>
        </w:rPr>
      </w:pPr>
      <w:r>
        <w:rPr>
          <w:rFonts w:hint="eastAsia" w:ascii="宋体" w:hAnsi="宋体" w:cs="宋体"/>
          <w:color w:val="auto"/>
          <w:highlight w:val="none"/>
        </w:rPr>
        <w:t>《GB/T20999-2017 交通信号控制机与上位机间的数据通讯协议》</w:t>
      </w:r>
    </w:p>
    <w:p>
      <w:pPr>
        <w:spacing w:line="300" w:lineRule="auto"/>
        <w:ind w:firstLine="480"/>
        <w:rPr>
          <w:rFonts w:ascii="宋体" w:hAnsi="宋体" w:cs="宋体"/>
          <w:color w:val="auto"/>
          <w:highlight w:val="none"/>
        </w:rPr>
      </w:pPr>
      <w:r>
        <w:rPr>
          <w:rFonts w:hint="eastAsia" w:ascii="宋体" w:hAnsi="宋体" w:cs="宋体"/>
          <w:color w:val="auto"/>
          <w:highlight w:val="none"/>
        </w:rPr>
        <w:t>（</w:t>
      </w:r>
      <w:r>
        <w:rPr>
          <w:rFonts w:ascii="宋体" w:hAnsi="宋体" w:cs="宋体"/>
          <w:color w:val="auto"/>
          <w:highlight w:val="none"/>
        </w:rPr>
        <w:t>2</w:t>
      </w:r>
      <w:r>
        <w:rPr>
          <w:rFonts w:hint="eastAsia" w:ascii="宋体" w:hAnsi="宋体" w:cs="宋体"/>
          <w:color w:val="auto"/>
          <w:highlight w:val="none"/>
        </w:rPr>
        <w:t>）传输系统： 移动VPN专网</w:t>
      </w:r>
    </w:p>
    <w:p>
      <w:pPr>
        <w:spacing w:line="300" w:lineRule="auto"/>
        <w:ind w:firstLine="480"/>
        <w:rPr>
          <w:rFonts w:ascii="宋体" w:hAnsi="宋体" w:cs="宋体"/>
          <w:color w:val="auto"/>
          <w:highlight w:val="none"/>
        </w:rPr>
      </w:pPr>
      <w:r>
        <w:rPr>
          <w:rFonts w:hint="eastAsia" w:ascii="宋体" w:hAnsi="宋体" w:cs="宋体"/>
          <w:color w:val="auto"/>
          <w:highlight w:val="none"/>
        </w:rPr>
        <w:t>（</w:t>
      </w:r>
      <w:r>
        <w:rPr>
          <w:rFonts w:ascii="宋体" w:hAnsi="宋体" w:cs="宋体"/>
          <w:color w:val="auto"/>
          <w:highlight w:val="none"/>
        </w:rPr>
        <w:t>3</w:t>
      </w:r>
      <w:r>
        <w:rPr>
          <w:rFonts w:hint="eastAsia" w:ascii="宋体" w:hAnsi="宋体" w:cs="宋体"/>
          <w:color w:val="auto"/>
          <w:highlight w:val="none"/>
        </w:rPr>
        <w:t>）人机界面语音：中文</w:t>
      </w:r>
    </w:p>
    <w:p>
      <w:pPr>
        <w:spacing w:line="300" w:lineRule="auto"/>
        <w:ind w:firstLine="480"/>
        <w:rPr>
          <w:rFonts w:ascii="宋体" w:hAnsi="宋体" w:cs="宋体"/>
          <w:color w:val="auto"/>
          <w:highlight w:val="none"/>
        </w:rPr>
      </w:pPr>
      <w:r>
        <w:rPr>
          <w:rFonts w:hint="eastAsia" w:ascii="宋体" w:hAnsi="宋体" w:cs="宋体"/>
          <w:color w:val="auto"/>
          <w:highlight w:val="none"/>
        </w:rPr>
        <w:t>（</w:t>
      </w:r>
      <w:r>
        <w:rPr>
          <w:rFonts w:ascii="宋体" w:hAnsi="宋体" w:cs="宋体"/>
          <w:color w:val="auto"/>
          <w:highlight w:val="none"/>
        </w:rPr>
        <w:t>4</w:t>
      </w:r>
      <w:r>
        <w:rPr>
          <w:rFonts w:hint="eastAsia" w:ascii="宋体" w:hAnsi="宋体" w:cs="宋体"/>
          <w:color w:val="auto"/>
          <w:highlight w:val="none"/>
        </w:rPr>
        <w:t>）信息采集：利用现有路口电子监控设备，采用视频车辆检测、雷视一体检测。</w:t>
      </w:r>
    </w:p>
    <w:p>
      <w:pPr>
        <w:spacing w:line="300" w:lineRule="auto"/>
        <w:ind w:firstLine="480"/>
        <w:rPr>
          <w:rFonts w:ascii="宋体" w:hAnsi="宋体" w:cs="宋体"/>
          <w:color w:val="auto"/>
          <w:highlight w:val="none"/>
        </w:rPr>
      </w:pPr>
      <w:r>
        <w:rPr>
          <w:rFonts w:hint="eastAsia" w:ascii="宋体" w:hAnsi="宋体" w:cs="宋体"/>
          <w:color w:val="auto"/>
          <w:highlight w:val="none"/>
        </w:rPr>
        <w:t>2.路口信号灯控制机： 60路集中协调式道路交通信号控制机</w:t>
      </w:r>
    </w:p>
    <w:p>
      <w:pPr>
        <w:spacing w:line="300" w:lineRule="auto"/>
        <w:ind w:firstLine="480"/>
        <w:rPr>
          <w:rFonts w:ascii="宋体" w:hAnsi="宋体" w:cs="宋体"/>
          <w:color w:val="auto"/>
          <w:highlight w:val="none"/>
        </w:rPr>
      </w:pPr>
      <w:r>
        <w:rPr>
          <w:rFonts w:hint="eastAsia" w:ascii="宋体" w:hAnsi="宋体" w:cs="宋体"/>
          <w:color w:val="auto"/>
          <w:highlight w:val="none"/>
        </w:rPr>
        <w:t>3.网络拓扑</w:t>
      </w:r>
    </w:p>
    <w:p>
      <w:pPr>
        <w:spacing w:line="300" w:lineRule="auto"/>
        <w:ind w:firstLine="480"/>
        <w:jc w:val="center"/>
        <w:rPr>
          <w:rFonts w:ascii="宋体" w:hAnsi="宋体" w:cs="宋体"/>
        </w:rPr>
      </w:pPr>
      <w:r>
        <w:drawing>
          <wp:inline distT="0" distB="0" distL="114300" distR="114300">
            <wp:extent cx="4975225" cy="3616960"/>
            <wp:effectExtent l="0" t="0" r="15875" b="254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6" cstate="print"/>
                    <a:stretch>
                      <a:fillRect/>
                    </a:stretch>
                  </pic:blipFill>
                  <pic:spPr>
                    <a:xfrm>
                      <a:off x="0" y="0"/>
                      <a:ext cx="4975225" cy="3616960"/>
                    </a:xfrm>
                    <a:prstGeom prst="rect">
                      <a:avLst/>
                    </a:prstGeom>
                    <a:noFill/>
                    <a:ln>
                      <a:noFill/>
                    </a:ln>
                  </pic:spPr>
                </pic:pic>
              </a:graphicData>
            </a:graphic>
          </wp:inline>
        </w:drawing>
      </w:r>
    </w:p>
    <w:p>
      <w:pPr>
        <w:spacing w:line="300" w:lineRule="auto"/>
        <w:ind w:firstLine="471" w:firstLineChars="196"/>
        <w:rPr>
          <w:rFonts w:ascii="宋体" w:hAnsi="宋体" w:cs="宋体"/>
          <w:b/>
          <w:szCs w:val="21"/>
        </w:rPr>
      </w:pPr>
      <w:bookmarkStart w:id="31" w:name="_Toc17615497"/>
      <w:bookmarkStart w:id="32" w:name="_Toc17615606"/>
      <w:r>
        <w:rPr>
          <w:rFonts w:ascii="微软雅黑" w:hAnsi="微软雅黑" w:eastAsia="微软雅黑"/>
          <w:b/>
          <w:szCs w:val="21"/>
        </w:rPr>
        <w:br w:type="page"/>
      </w:r>
      <w:r>
        <w:rPr>
          <w:rFonts w:hint="eastAsia" w:ascii="宋体" w:hAnsi="宋体" w:cs="宋体"/>
          <w:b/>
          <w:szCs w:val="21"/>
        </w:rPr>
        <w:t>六、项目建设</w:t>
      </w:r>
      <w:bookmarkEnd w:id="31"/>
      <w:bookmarkEnd w:id="32"/>
      <w:r>
        <w:rPr>
          <w:rFonts w:hint="eastAsia" w:ascii="宋体" w:hAnsi="宋体" w:cs="宋体"/>
          <w:b/>
          <w:szCs w:val="21"/>
        </w:rPr>
        <w:t>标准及依据</w:t>
      </w:r>
    </w:p>
    <w:p>
      <w:pPr>
        <w:snapToGrid w:val="0"/>
        <w:spacing w:line="300" w:lineRule="auto"/>
        <w:ind w:firstLine="480"/>
        <w:rPr>
          <w:rFonts w:ascii="宋体" w:hAnsi="宋体"/>
          <w:szCs w:val="21"/>
          <w:lang w:val="en-GB"/>
        </w:rPr>
      </w:pPr>
      <w:r>
        <w:rPr>
          <w:rFonts w:hint="eastAsia" w:ascii="宋体" w:hAnsi="宋体"/>
          <w:szCs w:val="21"/>
          <w:lang w:val="en-GB"/>
        </w:rPr>
        <w:t>在方案的设计和项目的建设中应参考遵循下列但不限于下列的最新版本的国家标准、行业标准、相关规范及各级政府文件指导等，下列标准已经被新标准、规范替代的，以新标准、规范为准。</w:t>
      </w:r>
    </w:p>
    <w:p>
      <w:pPr>
        <w:snapToGrid w:val="0"/>
        <w:spacing w:line="300" w:lineRule="auto"/>
        <w:ind w:firstLine="480"/>
        <w:rPr>
          <w:rFonts w:ascii="宋体" w:hAnsi="宋体"/>
          <w:szCs w:val="21"/>
          <w:lang w:val="en-GB"/>
        </w:rPr>
      </w:pPr>
      <w:r>
        <w:rPr>
          <w:rFonts w:hint="eastAsia" w:ascii="宋体" w:hAnsi="宋体"/>
          <w:szCs w:val="21"/>
          <w:lang w:val="en-GB"/>
        </w:rPr>
        <w:t>《道路交通安全法》；</w:t>
      </w:r>
    </w:p>
    <w:p>
      <w:pPr>
        <w:snapToGrid w:val="0"/>
        <w:spacing w:line="300" w:lineRule="auto"/>
        <w:ind w:firstLine="480"/>
        <w:rPr>
          <w:rFonts w:ascii="宋体" w:hAnsi="宋体"/>
          <w:szCs w:val="21"/>
          <w:lang w:val="en-GB"/>
        </w:rPr>
      </w:pPr>
      <w:r>
        <w:rPr>
          <w:rFonts w:hint="eastAsia" w:ascii="宋体" w:hAnsi="宋体"/>
          <w:szCs w:val="21"/>
          <w:lang w:val="en-GB"/>
        </w:rPr>
        <w:t>《道路安全交通法实施条例》；</w:t>
      </w:r>
    </w:p>
    <w:p>
      <w:pPr>
        <w:snapToGrid w:val="0"/>
        <w:spacing w:line="300" w:lineRule="auto"/>
        <w:ind w:firstLine="480"/>
        <w:rPr>
          <w:rFonts w:ascii="宋体" w:hAnsi="宋体"/>
          <w:szCs w:val="21"/>
          <w:lang w:val="en-GB"/>
        </w:rPr>
      </w:pPr>
      <w:r>
        <w:rPr>
          <w:rFonts w:hint="eastAsia" w:ascii="宋体" w:hAnsi="宋体"/>
          <w:szCs w:val="21"/>
          <w:lang w:val="en-GB"/>
        </w:rPr>
        <w:t>浙江省实施《道路交通安全法》实施办法；</w:t>
      </w:r>
    </w:p>
    <w:p>
      <w:pPr>
        <w:snapToGrid w:val="0"/>
        <w:spacing w:line="300" w:lineRule="auto"/>
        <w:ind w:firstLine="480"/>
        <w:rPr>
          <w:rFonts w:ascii="宋体" w:hAnsi="宋体"/>
          <w:szCs w:val="21"/>
          <w:lang w:val="en-GB"/>
        </w:rPr>
      </w:pPr>
      <w:r>
        <w:rPr>
          <w:rFonts w:hint="eastAsia" w:ascii="宋体" w:hAnsi="宋体"/>
          <w:szCs w:val="21"/>
          <w:lang w:val="en-GB"/>
        </w:rPr>
        <w:t>《道路交通信号控制机》（</w:t>
      </w:r>
      <w:r>
        <w:rPr>
          <w:rFonts w:ascii="宋体" w:hAnsi="宋体"/>
          <w:szCs w:val="21"/>
          <w:lang w:val="en-GB"/>
        </w:rPr>
        <w:t>GB25280）</w:t>
      </w:r>
      <w:r>
        <w:rPr>
          <w:rFonts w:hint="eastAsia" w:ascii="宋体" w:hAnsi="宋体"/>
          <w:szCs w:val="21"/>
          <w:lang w:val="en-GB"/>
        </w:rPr>
        <w:t>；</w:t>
      </w:r>
    </w:p>
    <w:p>
      <w:pPr>
        <w:snapToGrid w:val="0"/>
        <w:spacing w:line="300" w:lineRule="auto"/>
        <w:ind w:firstLine="480"/>
        <w:rPr>
          <w:rFonts w:ascii="宋体" w:hAnsi="宋体"/>
          <w:szCs w:val="21"/>
          <w:lang w:val="en-GB"/>
        </w:rPr>
      </w:pPr>
      <w:r>
        <w:rPr>
          <w:rFonts w:hint="eastAsia" w:ascii="宋体" w:hAnsi="宋体"/>
          <w:szCs w:val="21"/>
          <w:lang w:val="en-GB"/>
        </w:rPr>
        <w:t>《交通信号控制机与上位机间的数据通信协议》（</w:t>
      </w:r>
      <w:r>
        <w:rPr>
          <w:rFonts w:ascii="宋体" w:hAnsi="宋体"/>
          <w:szCs w:val="21"/>
          <w:lang w:val="en-GB"/>
        </w:rPr>
        <w:t>GB/T20999）</w:t>
      </w:r>
      <w:r>
        <w:rPr>
          <w:rFonts w:hint="eastAsia" w:ascii="宋体" w:hAnsi="宋体"/>
          <w:szCs w:val="21"/>
          <w:lang w:val="en-GB"/>
        </w:rPr>
        <w:t>；</w:t>
      </w:r>
    </w:p>
    <w:p>
      <w:pPr>
        <w:snapToGrid w:val="0"/>
        <w:spacing w:line="300" w:lineRule="auto"/>
        <w:ind w:firstLine="480"/>
        <w:rPr>
          <w:rFonts w:ascii="宋体" w:hAnsi="宋体"/>
          <w:szCs w:val="21"/>
          <w:lang w:val="en-GB"/>
        </w:rPr>
      </w:pPr>
      <w:r>
        <w:rPr>
          <w:rFonts w:hint="eastAsia" w:ascii="宋体" w:hAnsi="宋体"/>
          <w:szCs w:val="21"/>
          <w:lang w:val="en-GB"/>
        </w:rPr>
        <w:t>《道路交通信号灯设置与安装规范》（</w:t>
      </w:r>
      <w:r>
        <w:rPr>
          <w:rFonts w:ascii="宋体" w:hAnsi="宋体"/>
          <w:szCs w:val="21"/>
          <w:lang w:val="en-GB"/>
        </w:rPr>
        <w:t>GB14886）</w:t>
      </w:r>
      <w:r>
        <w:rPr>
          <w:rFonts w:hint="eastAsia" w:ascii="宋体" w:hAnsi="宋体"/>
          <w:szCs w:val="21"/>
          <w:lang w:val="en-GB"/>
        </w:rPr>
        <w:t>；</w:t>
      </w:r>
    </w:p>
    <w:p>
      <w:pPr>
        <w:snapToGrid w:val="0"/>
        <w:spacing w:line="300" w:lineRule="auto"/>
        <w:ind w:firstLine="480"/>
        <w:rPr>
          <w:rFonts w:ascii="宋体" w:hAnsi="宋体"/>
          <w:szCs w:val="21"/>
          <w:lang w:val="en-GB"/>
        </w:rPr>
      </w:pPr>
      <w:r>
        <w:rPr>
          <w:rFonts w:hint="eastAsia" w:ascii="宋体" w:hAnsi="宋体"/>
          <w:szCs w:val="21"/>
          <w:lang w:val="en-GB"/>
        </w:rPr>
        <w:t>《道路交通信号灯》（</w:t>
      </w:r>
      <w:r>
        <w:rPr>
          <w:rFonts w:ascii="宋体" w:hAnsi="宋体"/>
          <w:szCs w:val="21"/>
          <w:lang w:val="en-GB"/>
        </w:rPr>
        <w:t>GB14887）</w:t>
      </w:r>
      <w:r>
        <w:rPr>
          <w:rFonts w:hint="eastAsia" w:ascii="宋体" w:hAnsi="宋体"/>
          <w:szCs w:val="21"/>
          <w:lang w:val="en-GB"/>
        </w:rPr>
        <w:t>；</w:t>
      </w:r>
    </w:p>
    <w:p>
      <w:pPr>
        <w:snapToGrid w:val="0"/>
        <w:spacing w:line="300" w:lineRule="auto"/>
        <w:ind w:firstLine="480"/>
        <w:rPr>
          <w:rFonts w:ascii="宋体" w:hAnsi="宋体"/>
          <w:szCs w:val="21"/>
          <w:lang w:val="en-GB"/>
        </w:rPr>
      </w:pPr>
      <w:r>
        <w:rPr>
          <w:rFonts w:hint="eastAsia" w:ascii="宋体" w:hAnsi="宋体"/>
          <w:szCs w:val="21"/>
          <w:lang w:val="en-GB"/>
        </w:rPr>
        <w:t>《城市道路交通设施设计规范》（</w:t>
      </w:r>
      <w:r>
        <w:rPr>
          <w:rFonts w:ascii="宋体" w:hAnsi="宋体"/>
          <w:szCs w:val="21"/>
          <w:lang w:val="en-GB"/>
        </w:rPr>
        <w:t>GB50688）</w:t>
      </w:r>
      <w:r>
        <w:rPr>
          <w:rFonts w:hint="eastAsia" w:ascii="宋体" w:hAnsi="宋体"/>
          <w:szCs w:val="21"/>
          <w:lang w:val="en-GB"/>
        </w:rPr>
        <w:t>；</w:t>
      </w:r>
    </w:p>
    <w:p>
      <w:pPr>
        <w:snapToGrid w:val="0"/>
        <w:spacing w:line="300" w:lineRule="auto"/>
        <w:ind w:firstLine="480"/>
        <w:rPr>
          <w:rFonts w:ascii="宋体" w:hAnsi="宋体"/>
          <w:szCs w:val="21"/>
          <w:lang w:val="en-GB"/>
        </w:rPr>
      </w:pPr>
      <w:r>
        <w:rPr>
          <w:rFonts w:hint="eastAsia" w:ascii="宋体" w:hAnsi="宋体"/>
          <w:szCs w:val="21"/>
          <w:lang w:val="en-GB"/>
        </w:rPr>
        <w:t>《城市道路交通信号控制方式适用规范》（</w:t>
      </w:r>
      <w:r>
        <w:rPr>
          <w:rFonts w:ascii="宋体" w:hAnsi="宋体"/>
          <w:szCs w:val="21"/>
          <w:lang w:val="en-GB"/>
        </w:rPr>
        <w:t>GA/T527）</w:t>
      </w:r>
      <w:r>
        <w:rPr>
          <w:rFonts w:hint="eastAsia" w:ascii="宋体" w:hAnsi="宋体"/>
          <w:szCs w:val="21"/>
          <w:lang w:val="en-GB"/>
        </w:rPr>
        <w:t>；</w:t>
      </w:r>
    </w:p>
    <w:p>
      <w:pPr>
        <w:snapToGrid w:val="0"/>
        <w:spacing w:line="300" w:lineRule="auto"/>
        <w:ind w:firstLine="480"/>
        <w:rPr>
          <w:rFonts w:ascii="宋体" w:hAnsi="宋体"/>
          <w:szCs w:val="21"/>
          <w:lang w:val="en-GB"/>
        </w:rPr>
      </w:pPr>
      <w:r>
        <w:rPr>
          <w:rFonts w:hint="eastAsia" w:ascii="宋体" w:hAnsi="宋体"/>
          <w:szCs w:val="21"/>
          <w:lang w:val="en-GB"/>
        </w:rPr>
        <w:t>《公安交通集成指挥平台结构和功能》（</w:t>
      </w:r>
      <w:r>
        <w:rPr>
          <w:rFonts w:ascii="宋体" w:hAnsi="宋体"/>
          <w:szCs w:val="21"/>
          <w:lang w:val="en-GB"/>
        </w:rPr>
        <w:t>GA/T1146）</w:t>
      </w:r>
      <w:r>
        <w:rPr>
          <w:rFonts w:hint="eastAsia" w:ascii="宋体" w:hAnsi="宋体"/>
          <w:szCs w:val="21"/>
          <w:lang w:val="en-GB"/>
        </w:rPr>
        <w:t>；</w:t>
      </w:r>
    </w:p>
    <w:p>
      <w:pPr>
        <w:snapToGrid w:val="0"/>
        <w:spacing w:line="300" w:lineRule="auto"/>
        <w:ind w:firstLine="480"/>
        <w:rPr>
          <w:rFonts w:ascii="宋体" w:hAnsi="宋体"/>
          <w:szCs w:val="21"/>
          <w:lang w:val="en-GB"/>
        </w:rPr>
      </w:pPr>
      <w:r>
        <w:rPr>
          <w:rFonts w:hint="eastAsia" w:ascii="宋体" w:hAnsi="宋体"/>
          <w:szCs w:val="21"/>
          <w:lang w:val="en-GB"/>
        </w:rPr>
        <w:t>《公安交通指挥系统工程建设通用程序和要求》（</w:t>
      </w:r>
      <w:r>
        <w:rPr>
          <w:rFonts w:ascii="宋体" w:hAnsi="宋体"/>
          <w:szCs w:val="21"/>
          <w:lang w:val="en-GB"/>
        </w:rPr>
        <w:t>GA/T651）</w:t>
      </w:r>
      <w:r>
        <w:rPr>
          <w:rFonts w:hint="eastAsia" w:ascii="宋体" w:hAnsi="宋体"/>
          <w:szCs w:val="21"/>
          <w:lang w:val="en-GB"/>
        </w:rPr>
        <w:t>；</w:t>
      </w:r>
    </w:p>
    <w:p>
      <w:pPr>
        <w:snapToGrid w:val="0"/>
        <w:spacing w:line="300" w:lineRule="auto"/>
        <w:ind w:firstLine="480"/>
        <w:rPr>
          <w:rFonts w:ascii="宋体" w:hAnsi="宋体"/>
          <w:szCs w:val="21"/>
          <w:lang w:val="en-GB"/>
        </w:rPr>
      </w:pPr>
      <w:r>
        <w:rPr>
          <w:rFonts w:hint="eastAsia" w:ascii="宋体" w:hAnsi="宋体"/>
          <w:szCs w:val="21"/>
          <w:lang w:val="en-GB"/>
        </w:rPr>
        <w:t>《公安交通管理外场设备基础施工通用要求》（</w:t>
      </w:r>
      <w:r>
        <w:rPr>
          <w:rFonts w:ascii="宋体" w:hAnsi="宋体"/>
          <w:szCs w:val="21"/>
          <w:lang w:val="en-GB"/>
        </w:rPr>
        <w:t>GA/T652）</w:t>
      </w:r>
      <w:r>
        <w:rPr>
          <w:rFonts w:hint="eastAsia" w:ascii="宋体" w:hAnsi="宋体"/>
          <w:szCs w:val="21"/>
          <w:lang w:val="en-GB"/>
        </w:rPr>
        <w:t>；</w:t>
      </w:r>
    </w:p>
    <w:p>
      <w:pPr>
        <w:snapToGrid w:val="0"/>
        <w:spacing w:line="300" w:lineRule="auto"/>
        <w:ind w:firstLine="480"/>
        <w:rPr>
          <w:rFonts w:ascii="宋体" w:hAnsi="宋体"/>
          <w:szCs w:val="21"/>
          <w:lang w:val="en-GB"/>
        </w:rPr>
      </w:pPr>
      <w:r>
        <w:rPr>
          <w:rFonts w:hint="eastAsia" w:ascii="宋体" w:hAnsi="宋体"/>
          <w:szCs w:val="21"/>
          <w:lang w:val="en-GB"/>
        </w:rPr>
        <w:t>《道路交通管理信息采集规范》（</w:t>
      </w:r>
      <w:r>
        <w:rPr>
          <w:rFonts w:ascii="宋体" w:hAnsi="宋体"/>
          <w:szCs w:val="21"/>
          <w:lang w:val="en-GB"/>
        </w:rPr>
        <w:t>GA/T946.1-946.6）</w:t>
      </w:r>
      <w:r>
        <w:rPr>
          <w:rFonts w:hint="eastAsia" w:ascii="宋体" w:hAnsi="宋体"/>
          <w:szCs w:val="21"/>
          <w:lang w:val="en-GB"/>
        </w:rPr>
        <w:t>；</w:t>
      </w:r>
    </w:p>
    <w:p>
      <w:pPr>
        <w:snapToGrid w:val="0"/>
        <w:spacing w:line="300" w:lineRule="auto"/>
        <w:ind w:firstLine="480"/>
        <w:rPr>
          <w:rFonts w:ascii="宋体" w:hAnsi="宋体"/>
          <w:szCs w:val="21"/>
          <w:lang w:val="en-GB"/>
        </w:rPr>
      </w:pPr>
      <w:r>
        <w:rPr>
          <w:rFonts w:hint="eastAsia" w:ascii="宋体" w:hAnsi="宋体"/>
          <w:szCs w:val="21"/>
          <w:lang w:val="en-GB"/>
        </w:rPr>
        <w:t>《太阳能黄闪信号灯》（</w:t>
      </w:r>
      <w:r>
        <w:rPr>
          <w:rFonts w:ascii="宋体" w:hAnsi="宋体"/>
          <w:szCs w:val="21"/>
          <w:lang w:val="en-GB"/>
        </w:rPr>
        <w:t>GA/T743）</w:t>
      </w:r>
      <w:r>
        <w:rPr>
          <w:rFonts w:hint="eastAsia" w:ascii="宋体" w:hAnsi="宋体"/>
          <w:szCs w:val="21"/>
          <w:lang w:val="en-GB"/>
        </w:rPr>
        <w:t>；</w:t>
      </w:r>
    </w:p>
    <w:p>
      <w:pPr>
        <w:snapToGrid w:val="0"/>
        <w:spacing w:line="300" w:lineRule="auto"/>
        <w:ind w:firstLine="480"/>
        <w:rPr>
          <w:rFonts w:ascii="宋体" w:hAnsi="宋体"/>
          <w:szCs w:val="21"/>
          <w:lang w:val="en-GB"/>
        </w:rPr>
      </w:pPr>
      <w:r>
        <w:rPr>
          <w:rFonts w:hint="eastAsia" w:ascii="宋体" w:hAnsi="宋体"/>
          <w:szCs w:val="21"/>
          <w:lang w:val="en-GB"/>
        </w:rPr>
        <w:t>《道路交通信号控制机与车辆检测器间的通信协议》（</w:t>
      </w:r>
      <w:r>
        <w:rPr>
          <w:rFonts w:ascii="宋体" w:hAnsi="宋体"/>
          <w:szCs w:val="21"/>
          <w:lang w:val="en-GB"/>
        </w:rPr>
        <w:t>GA/T920）</w:t>
      </w:r>
      <w:r>
        <w:rPr>
          <w:rFonts w:hint="eastAsia" w:ascii="宋体" w:hAnsi="宋体"/>
          <w:szCs w:val="21"/>
          <w:lang w:val="en-GB"/>
        </w:rPr>
        <w:t>；</w:t>
      </w:r>
    </w:p>
    <w:p>
      <w:pPr>
        <w:snapToGrid w:val="0"/>
        <w:spacing w:line="300" w:lineRule="auto"/>
        <w:ind w:firstLine="480"/>
        <w:rPr>
          <w:rFonts w:ascii="宋体" w:hAnsi="宋体"/>
          <w:szCs w:val="21"/>
          <w:lang w:val="en-GB"/>
        </w:rPr>
      </w:pPr>
      <w:r>
        <w:rPr>
          <w:rFonts w:hint="eastAsia" w:ascii="宋体" w:hAnsi="宋体"/>
          <w:szCs w:val="21"/>
          <w:lang w:val="en-GB"/>
        </w:rPr>
        <w:t>《人行横道信号灯设置规范》（</w:t>
      </w:r>
      <w:r>
        <w:rPr>
          <w:rFonts w:ascii="宋体" w:hAnsi="宋体"/>
          <w:szCs w:val="21"/>
          <w:lang w:val="en-GB"/>
        </w:rPr>
        <w:t>GA/T851）</w:t>
      </w:r>
      <w:r>
        <w:rPr>
          <w:rFonts w:hint="eastAsia" w:ascii="宋体" w:hAnsi="宋体"/>
          <w:szCs w:val="21"/>
          <w:lang w:val="en-GB"/>
        </w:rPr>
        <w:t>；</w:t>
      </w:r>
    </w:p>
    <w:p>
      <w:pPr>
        <w:snapToGrid w:val="0"/>
        <w:spacing w:line="300" w:lineRule="auto"/>
        <w:ind w:firstLine="480"/>
        <w:rPr>
          <w:rFonts w:ascii="宋体" w:hAnsi="宋体"/>
          <w:szCs w:val="21"/>
          <w:lang w:val="en-GB"/>
        </w:rPr>
      </w:pPr>
      <w:r>
        <w:rPr>
          <w:rFonts w:hint="eastAsia" w:ascii="宋体" w:hAnsi="宋体"/>
          <w:szCs w:val="21"/>
          <w:lang w:val="en-GB"/>
        </w:rPr>
        <w:t>《道路交通信号倒计时显示器》（</w:t>
      </w:r>
      <w:r>
        <w:rPr>
          <w:rFonts w:ascii="宋体" w:hAnsi="宋体"/>
          <w:szCs w:val="21"/>
          <w:lang w:val="en-GB"/>
        </w:rPr>
        <w:t>GA/T508）</w:t>
      </w:r>
      <w:r>
        <w:rPr>
          <w:rFonts w:hint="eastAsia" w:ascii="宋体" w:hAnsi="宋体"/>
          <w:szCs w:val="21"/>
          <w:lang w:val="en-GB"/>
        </w:rPr>
        <w:t>；</w:t>
      </w:r>
    </w:p>
    <w:p>
      <w:pPr>
        <w:snapToGrid w:val="0"/>
        <w:spacing w:line="300" w:lineRule="auto"/>
        <w:ind w:firstLine="480"/>
        <w:rPr>
          <w:rFonts w:ascii="宋体" w:hAnsi="宋体"/>
          <w:szCs w:val="21"/>
          <w:lang w:val="en-GB"/>
        </w:rPr>
      </w:pPr>
      <w:r>
        <w:rPr>
          <w:rFonts w:hint="eastAsia" w:ascii="宋体" w:hAnsi="宋体"/>
          <w:szCs w:val="21"/>
          <w:lang w:val="en-GB"/>
        </w:rPr>
        <w:t>《城市道路工程设计规范》（</w:t>
      </w:r>
      <w:r>
        <w:rPr>
          <w:rFonts w:ascii="宋体" w:hAnsi="宋体"/>
          <w:szCs w:val="21"/>
          <w:lang w:val="en-GB"/>
        </w:rPr>
        <w:t>CJJ37）</w:t>
      </w:r>
      <w:r>
        <w:rPr>
          <w:rFonts w:hint="eastAsia" w:ascii="宋体" w:hAnsi="宋体"/>
          <w:szCs w:val="21"/>
          <w:lang w:val="en-GB"/>
        </w:rPr>
        <w:t>；</w:t>
      </w:r>
    </w:p>
    <w:p>
      <w:pPr>
        <w:snapToGrid w:val="0"/>
        <w:spacing w:line="300" w:lineRule="auto"/>
        <w:ind w:firstLine="480"/>
        <w:rPr>
          <w:rFonts w:ascii="宋体" w:hAnsi="宋体"/>
          <w:szCs w:val="21"/>
          <w:lang w:val="en-GB"/>
        </w:rPr>
      </w:pPr>
      <w:r>
        <w:rPr>
          <w:rFonts w:hint="eastAsia" w:ascii="宋体" w:hAnsi="宋体"/>
          <w:szCs w:val="21"/>
          <w:lang w:val="en-GB"/>
        </w:rPr>
        <w:t>《公安交通集成指挥平台通信协议</w:t>
      </w:r>
      <w:r>
        <w:rPr>
          <w:rFonts w:ascii="宋体" w:hAnsi="宋体"/>
          <w:szCs w:val="21"/>
          <w:lang w:val="en-GB"/>
        </w:rPr>
        <w:t xml:space="preserve"> 第 2 部分 交通信号控制系统》（GA/T1049.2）</w:t>
      </w:r>
      <w:r>
        <w:rPr>
          <w:rFonts w:hint="eastAsia" w:ascii="宋体" w:hAnsi="宋体"/>
          <w:szCs w:val="21"/>
          <w:lang w:val="en-GB"/>
        </w:rPr>
        <w:t>；</w:t>
      </w:r>
    </w:p>
    <w:p>
      <w:pPr>
        <w:snapToGrid w:val="0"/>
        <w:spacing w:line="300" w:lineRule="auto"/>
        <w:ind w:firstLine="480"/>
        <w:rPr>
          <w:rFonts w:ascii="宋体" w:hAnsi="宋体"/>
          <w:szCs w:val="21"/>
          <w:lang w:val="en-GB"/>
        </w:rPr>
      </w:pPr>
      <w:r>
        <w:rPr>
          <w:rFonts w:hint="eastAsia" w:ascii="宋体" w:hAnsi="宋体"/>
          <w:szCs w:val="21"/>
          <w:lang w:val="en-GB"/>
        </w:rPr>
        <w:t>《道路交通信号控制机信息发布接口规范（征求意见稿）》（公交标</w:t>
      </w:r>
      <w:r>
        <w:rPr>
          <w:rFonts w:ascii="宋体" w:hAnsi="宋体"/>
          <w:szCs w:val="21"/>
          <w:lang w:val="en-GB"/>
        </w:rPr>
        <w:t>[2018]57</w:t>
      </w:r>
      <w:r>
        <w:rPr>
          <w:rFonts w:hint="eastAsia" w:ascii="宋体" w:hAnsi="宋体"/>
          <w:szCs w:val="21"/>
          <w:lang w:val="en-GB"/>
        </w:rPr>
        <w:t>号）；</w:t>
      </w:r>
    </w:p>
    <w:p>
      <w:pPr>
        <w:snapToGrid w:val="0"/>
        <w:spacing w:line="300" w:lineRule="auto"/>
        <w:ind w:firstLine="480"/>
        <w:rPr>
          <w:rFonts w:ascii="宋体" w:hAnsi="宋体"/>
          <w:szCs w:val="21"/>
          <w:lang w:val="en-GB"/>
        </w:rPr>
      </w:pPr>
      <w:r>
        <w:rPr>
          <w:rFonts w:hint="eastAsia" w:ascii="宋体" w:hAnsi="宋体"/>
          <w:szCs w:val="21"/>
          <w:lang w:val="en-GB"/>
        </w:rPr>
        <w:t>《道路交通信号控制系统术语》GBT</w:t>
      </w:r>
      <w:r>
        <w:rPr>
          <w:rFonts w:ascii="宋体" w:hAnsi="宋体"/>
          <w:szCs w:val="21"/>
          <w:lang w:val="en-GB"/>
        </w:rPr>
        <w:t>31418</w:t>
      </w:r>
      <w:r>
        <w:rPr>
          <w:rFonts w:hint="eastAsia" w:ascii="宋体" w:hAnsi="宋体"/>
          <w:szCs w:val="21"/>
          <w:lang w:val="en-GB"/>
        </w:rPr>
        <w:t>；</w:t>
      </w:r>
    </w:p>
    <w:p>
      <w:pPr>
        <w:snapToGrid w:val="0"/>
        <w:spacing w:line="300" w:lineRule="auto"/>
        <w:ind w:firstLine="480"/>
        <w:rPr>
          <w:rFonts w:ascii="宋体" w:hAnsi="宋体"/>
          <w:szCs w:val="21"/>
          <w:lang w:val="en-GB"/>
        </w:rPr>
      </w:pPr>
      <w:r>
        <w:rPr>
          <w:rFonts w:hint="eastAsia" w:ascii="宋体" w:hAnsi="宋体"/>
          <w:szCs w:val="21"/>
          <w:lang w:val="en-GB"/>
        </w:rPr>
        <w:t>《公路工程技术标准》JTG</w:t>
      </w:r>
      <w:r>
        <w:rPr>
          <w:rFonts w:ascii="宋体" w:hAnsi="宋体"/>
          <w:szCs w:val="21"/>
          <w:lang w:val="en-GB"/>
        </w:rPr>
        <w:t xml:space="preserve"> B01</w:t>
      </w:r>
      <w:r>
        <w:rPr>
          <w:rFonts w:hint="eastAsia" w:ascii="宋体" w:hAnsi="宋体"/>
          <w:szCs w:val="21"/>
          <w:lang w:val="en-GB"/>
        </w:rPr>
        <w:t>；</w:t>
      </w:r>
    </w:p>
    <w:p>
      <w:pPr>
        <w:snapToGrid w:val="0"/>
        <w:spacing w:line="300" w:lineRule="auto"/>
        <w:ind w:firstLine="480"/>
        <w:rPr>
          <w:rFonts w:ascii="宋体" w:hAnsi="宋体"/>
          <w:szCs w:val="21"/>
          <w:lang w:val="en-GB"/>
        </w:rPr>
      </w:pPr>
      <w:r>
        <w:rPr>
          <w:rFonts w:hint="eastAsia" w:ascii="宋体" w:hAnsi="宋体"/>
          <w:szCs w:val="21"/>
          <w:lang w:val="en-GB"/>
        </w:rPr>
        <w:t>《城市工程管线综合规划规范》GB50289；</w:t>
      </w:r>
    </w:p>
    <w:p>
      <w:pPr>
        <w:snapToGrid w:val="0"/>
        <w:spacing w:line="300" w:lineRule="auto"/>
        <w:ind w:firstLine="480"/>
        <w:rPr>
          <w:rFonts w:ascii="宋体" w:hAnsi="宋体"/>
          <w:szCs w:val="21"/>
          <w:lang w:val="en-GB"/>
        </w:rPr>
      </w:pPr>
      <w:r>
        <w:rPr>
          <w:rFonts w:hint="eastAsia" w:ascii="宋体" w:hAnsi="宋体"/>
          <w:szCs w:val="21"/>
          <w:lang w:val="en-GB"/>
        </w:rPr>
        <w:t>《建筑物防雷设计规范》GB50057；</w:t>
      </w:r>
    </w:p>
    <w:p>
      <w:pPr>
        <w:snapToGrid w:val="0"/>
        <w:spacing w:line="300" w:lineRule="auto"/>
        <w:ind w:firstLine="480"/>
        <w:rPr>
          <w:rFonts w:ascii="宋体" w:hAnsi="宋体"/>
          <w:szCs w:val="21"/>
          <w:lang w:val="en-GB"/>
        </w:rPr>
      </w:pPr>
      <w:r>
        <w:rPr>
          <w:rFonts w:hint="eastAsia" w:ascii="宋体" w:hAnsi="宋体"/>
          <w:szCs w:val="21"/>
          <w:lang w:val="en-GB"/>
        </w:rPr>
        <w:t>《以太网10BASE-T标准》IEEE802.3；</w:t>
      </w:r>
    </w:p>
    <w:p>
      <w:pPr>
        <w:snapToGrid w:val="0"/>
        <w:spacing w:line="300" w:lineRule="auto"/>
        <w:ind w:firstLine="480"/>
        <w:rPr>
          <w:rFonts w:ascii="宋体" w:hAnsi="宋体"/>
          <w:color w:val="auto"/>
          <w:szCs w:val="21"/>
          <w:lang w:val="en-GB"/>
        </w:rPr>
      </w:pPr>
      <w:r>
        <w:rPr>
          <w:rFonts w:hint="eastAsia" w:ascii="宋体" w:hAnsi="宋体"/>
          <w:szCs w:val="21"/>
          <w:lang w:val="en-GB"/>
        </w:rPr>
        <w:t>《令牌环接</w:t>
      </w:r>
      <w:r>
        <w:rPr>
          <w:rFonts w:hint="eastAsia" w:ascii="宋体" w:hAnsi="宋体"/>
          <w:color w:val="auto"/>
          <w:szCs w:val="21"/>
          <w:lang w:val="en-GB"/>
        </w:rPr>
        <w:t>口方式》IEEE802.5；</w:t>
      </w:r>
    </w:p>
    <w:p>
      <w:pPr>
        <w:snapToGrid w:val="0"/>
        <w:spacing w:line="300" w:lineRule="auto"/>
        <w:ind w:firstLine="480"/>
        <w:rPr>
          <w:rFonts w:ascii="宋体" w:hAnsi="宋体"/>
          <w:color w:val="auto"/>
          <w:szCs w:val="21"/>
          <w:lang w:val="en-GB"/>
        </w:rPr>
      </w:pPr>
      <w:r>
        <w:rPr>
          <w:rFonts w:hint="eastAsia" w:ascii="宋体" w:hAnsi="宋体"/>
          <w:color w:val="auto"/>
          <w:szCs w:val="21"/>
          <w:lang w:val="en-GB"/>
        </w:rPr>
        <w:t>《以太网100BASE-T标准》IEEE802.311；</w:t>
      </w:r>
    </w:p>
    <w:p>
      <w:pPr>
        <w:snapToGrid w:val="0"/>
        <w:spacing w:line="300" w:lineRule="auto"/>
        <w:ind w:firstLine="480"/>
        <w:rPr>
          <w:rFonts w:hint="eastAsia" w:ascii="宋体" w:hAnsi="宋体" w:eastAsia="宋体"/>
          <w:color w:val="auto"/>
          <w:szCs w:val="21"/>
          <w:lang w:val="en-GB" w:eastAsia="zh-CN"/>
        </w:rPr>
      </w:pPr>
      <w:r>
        <w:rPr>
          <w:rFonts w:hint="eastAsia" w:ascii="宋体" w:hAnsi="宋体"/>
          <w:color w:val="auto"/>
          <w:szCs w:val="21"/>
          <w:lang w:val="en-GB"/>
        </w:rPr>
        <w:t>《关于推进城市道路交通信号灯配时智能化工作方案》（公安部交管局）</w:t>
      </w:r>
      <w:r>
        <w:rPr>
          <w:rFonts w:hint="eastAsia" w:ascii="宋体" w:hAnsi="宋体"/>
          <w:color w:val="auto"/>
          <w:szCs w:val="21"/>
          <w:lang w:val="en-GB" w:eastAsia="zh-CN"/>
        </w:rPr>
        <w:t>；</w:t>
      </w:r>
    </w:p>
    <w:p>
      <w:pPr>
        <w:pStyle w:val="2"/>
        <w:ind w:left="0" w:leftChars="0" w:firstLine="480"/>
        <w:rPr>
          <w:color w:val="auto"/>
          <w:lang w:val="en-GB"/>
        </w:rPr>
      </w:pPr>
      <w:r>
        <w:rPr>
          <w:rFonts w:hint="eastAsia"/>
          <w:color w:val="auto"/>
          <w:lang w:val="en-GB"/>
        </w:rPr>
        <w:t>《浙江省道路交通信号优化工作指南》</w:t>
      </w:r>
      <w:r>
        <w:rPr>
          <w:rFonts w:hint="eastAsia" w:ascii="宋体" w:hAnsi="宋体"/>
          <w:color w:val="auto"/>
          <w:szCs w:val="21"/>
          <w:lang w:val="en-GB"/>
        </w:rPr>
        <w:t>。</w:t>
      </w:r>
    </w:p>
    <w:p>
      <w:pPr>
        <w:tabs>
          <w:tab w:val="left" w:pos="5247"/>
        </w:tabs>
        <w:spacing w:line="300" w:lineRule="auto"/>
        <w:ind w:firstLine="472" w:firstLineChars="196"/>
        <w:rPr>
          <w:rFonts w:ascii="宋体" w:hAnsi="宋体" w:cs="宋体"/>
          <w:b/>
          <w:color w:val="auto"/>
          <w:szCs w:val="21"/>
        </w:rPr>
      </w:pPr>
      <w:r>
        <w:rPr>
          <w:rFonts w:hint="eastAsia" w:ascii="宋体" w:hAnsi="宋体" w:cs="宋体"/>
          <w:b/>
          <w:color w:val="auto"/>
          <w:szCs w:val="21"/>
        </w:rPr>
        <w:t>七、建设内容及技术要求</w:t>
      </w:r>
      <w:r>
        <w:rPr>
          <w:rFonts w:ascii="宋体" w:hAnsi="宋体" w:cs="宋体"/>
          <w:b/>
          <w:color w:val="auto"/>
          <w:szCs w:val="21"/>
        </w:rPr>
        <w:tab/>
      </w:r>
    </w:p>
    <w:p>
      <w:pPr>
        <w:spacing w:line="300" w:lineRule="auto"/>
        <w:ind w:firstLine="472" w:firstLineChars="196"/>
        <w:rPr>
          <w:rFonts w:ascii="宋体" w:hAnsi="宋体" w:cs="宋体"/>
          <w:b/>
          <w:color w:val="auto"/>
          <w:szCs w:val="21"/>
        </w:rPr>
      </w:pPr>
      <w:r>
        <w:rPr>
          <w:rFonts w:hint="eastAsia" w:ascii="宋体" w:hAnsi="宋体" w:cs="宋体"/>
          <w:b/>
          <w:color w:val="auto"/>
          <w:szCs w:val="21"/>
        </w:rPr>
        <w:t>（一）信号控制方案设计与实施</w:t>
      </w:r>
    </w:p>
    <w:p>
      <w:pPr>
        <w:snapToGrid w:val="0"/>
        <w:spacing w:line="300" w:lineRule="auto"/>
        <w:ind w:firstLine="480"/>
        <w:rPr>
          <w:rFonts w:ascii="宋体" w:hAnsi="宋体"/>
          <w:szCs w:val="21"/>
          <w:lang w:val="en-GB"/>
        </w:rPr>
      </w:pPr>
      <w:r>
        <w:rPr>
          <w:rFonts w:hint="eastAsia" w:ascii="宋体" w:hAnsi="宋体"/>
          <w:szCs w:val="21"/>
          <w:lang w:val="en-GB"/>
        </w:rPr>
        <w:t>为了提高交通信号控制系统日常工作的流程，建立一套更加科学、合理和细致的规范工作流程，以提高工作效率。在项目服务周期内，协助业主制定完善相关工作的流程，包括但不限于以下方面：</w:t>
      </w:r>
    </w:p>
    <w:p>
      <w:pPr>
        <w:snapToGrid w:val="0"/>
        <w:spacing w:line="300" w:lineRule="auto"/>
        <w:ind w:firstLine="480"/>
        <w:rPr>
          <w:rFonts w:ascii="宋体" w:hAnsi="宋体"/>
          <w:szCs w:val="21"/>
          <w:lang w:val="en-GB"/>
        </w:rPr>
      </w:pPr>
      <w:r>
        <w:rPr>
          <w:rFonts w:hint="eastAsia" w:ascii="宋体" w:hAnsi="宋体"/>
          <w:szCs w:val="21"/>
          <w:lang w:val="en-GB"/>
        </w:rPr>
        <w:t>1</w:t>
      </w:r>
      <w:r>
        <w:rPr>
          <w:rFonts w:ascii="宋体" w:hAnsi="宋体"/>
          <w:szCs w:val="21"/>
          <w:lang w:val="en-GB"/>
        </w:rPr>
        <w:t>.</w:t>
      </w:r>
      <w:r>
        <w:rPr>
          <w:rFonts w:hint="eastAsia" w:ascii="宋体" w:hAnsi="宋体"/>
          <w:szCs w:val="21"/>
          <w:lang w:val="en-GB"/>
        </w:rPr>
        <w:t>交通信号运行情况巡查管理流程；</w:t>
      </w:r>
    </w:p>
    <w:p>
      <w:pPr>
        <w:snapToGrid w:val="0"/>
        <w:spacing w:line="300" w:lineRule="auto"/>
        <w:ind w:firstLine="480"/>
        <w:rPr>
          <w:rFonts w:ascii="宋体" w:hAnsi="宋体"/>
          <w:szCs w:val="21"/>
          <w:lang w:val="en-GB"/>
        </w:rPr>
      </w:pPr>
      <w:r>
        <w:rPr>
          <w:rFonts w:hint="eastAsia" w:ascii="宋体" w:hAnsi="宋体"/>
          <w:szCs w:val="21"/>
          <w:lang w:val="en-GB"/>
        </w:rPr>
        <w:t>2</w:t>
      </w:r>
      <w:r>
        <w:rPr>
          <w:rFonts w:ascii="宋体" w:hAnsi="宋体"/>
          <w:szCs w:val="21"/>
          <w:lang w:val="en-GB"/>
        </w:rPr>
        <w:t>.</w:t>
      </w:r>
      <w:r>
        <w:rPr>
          <w:rFonts w:hint="eastAsia" w:ascii="宋体" w:hAnsi="宋体"/>
          <w:szCs w:val="21"/>
          <w:lang w:val="en-GB"/>
        </w:rPr>
        <w:t>交通信号运行方案优化工作流程；</w:t>
      </w:r>
    </w:p>
    <w:p>
      <w:pPr>
        <w:snapToGrid w:val="0"/>
        <w:spacing w:line="300" w:lineRule="auto"/>
        <w:ind w:firstLine="480"/>
        <w:rPr>
          <w:rFonts w:ascii="宋体" w:hAnsi="宋体"/>
          <w:szCs w:val="21"/>
          <w:lang w:val="en-GB"/>
        </w:rPr>
      </w:pPr>
      <w:r>
        <w:rPr>
          <w:rFonts w:hint="eastAsia" w:ascii="宋体" w:hAnsi="宋体"/>
          <w:szCs w:val="21"/>
          <w:lang w:val="en-GB"/>
        </w:rPr>
        <w:t>3</w:t>
      </w:r>
      <w:r>
        <w:rPr>
          <w:rFonts w:ascii="宋体" w:hAnsi="宋体"/>
          <w:szCs w:val="21"/>
          <w:lang w:val="en-GB"/>
        </w:rPr>
        <w:t>.</w:t>
      </w:r>
      <w:r>
        <w:rPr>
          <w:rFonts w:hint="eastAsia" w:ascii="宋体" w:hAnsi="宋体"/>
          <w:szCs w:val="21"/>
          <w:lang w:val="en-GB"/>
        </w:rPr>
        <w:t>交通信号设施巡查工作流程及其标准；</w:t>
      </w:r>
    </w:p>
    <w:p>
      <w:pPr>
        <w:snapToGrid w:val="0"/>
        <w:spacing w:line="300" w:lineRule="auto"/>
        <w:ind w:firstLine="480"/>
        <w:rPr>
          <w:rFonts w:ascii="宋体" w:hAnsi="宋体"/>
          <w:szCs w:val="21"/>
          <w:lang w:val="en-GB"/>
        </w:rPr>
      </w:pPr>
      <w:r>
        <w:rPr>
          <w:rFonts w:hint="eastAsia" w:ascii="宋体" w:hAnsi="宋体"/>
          <w:szCs w:val="21"/>
          <w:lang w:val="en-GB"/>
        </w:rPr>
        <w:t>4</w:t>
      </w:r>
      <w:r>
        <w:rPr>
          <w:rFonts w:ascii="宋体" w:hAnsi="宋体"/>
          <w:szCs w:val="21"/>
          <w:lang w:val="en-GB"/>
        </w:rPr>
        <w:t>.</w:t>
      </w:r>
      <w:r>
        <w:rPr>
          <w:rFonts w:hint="eastAsia" w:ascii="宋体" w:hAnsi="宋体"/>
          <w:szCs w:val="21"/>
          <w:lang w:val="en-GB"/>
        </w:rPr>
        <w:t>媒体反映问题处理流程及规范。</w:t>
      </w:r>
    </w:p>
    <w:p>
      <w:pPr>
        <w:snapToGrid w:val="0"/>
        <w:spacing w:line="300" w:lineRule="auto"/>
        <w:ind w:firstLine="482"/>
        <w:rPr>
          <w:rFonts w:ascii="宋体" w:hAnsi="宋体"/>
          <w:b/>
          <w:bCs/>
          <w:szCs w:val="21"/>
          <w:lang w:val="en-GB"/>
        </w:rPr>
      </w:pPr>
      <w:bookmarkStart w:id="33" w:name="_Toc410834694"/>
      <w:bookmarkStart w:id="34" w:name="_Toc415836481"/>
      <w:bookmarkStart w:id="35" w:name="_Toc29816"/>
      <w:r>
        <w:rPr>
          <w:rFonts w:hint="eastAsia" w:ascii="宋体" w:hAnsi="宋体"/>
          <w:b/>
          <w:bCs/>
          <w:szCs w:val="21"/>
          <w:lang w:val="en-GB"/>
        </w:rPr>
        <w:t>（</w:t>
      </w:r>
      <w:r>
        <w:rPr>
          <w:rFonts w:hint="eastAsia" w:ascii="宋体" w:hAnsi="宋体"/>
          <w:b/>
          <w:bCs/>
          <w:szCs w:val="21"/>
        </w:rPr>
        <w:t>二</w:t>
      </w:r>
      <w:r>
        <w:rPr>
          <w:rFonts w:hint="eastAsia" w:ascii="宋体" w:hAnsi="宋体"/>
          <w:b/>
          <w:bCs/>
          <w:szCs w:val="21"/>
          <w:lang w:val="en-GB"/>
        </w:rPr>
        <w:t>）现场交通调查</w:t>
      </w:r>
    </w:p>
    <w:p>
      <w:pPr>
        <w:snapToGrid w:val="0"/>
        <w:spacing w:line="300" w:lineRule="auto"/>
        <w:ind w:firstLine="482"/>
        <w:rPr>
          <w:rFonts w:ascii="宋体" w:hAnsi="宋体"/>
          <w:b/>
          <w:bCs/>
          <w:szCs w:val="21"/>
          <w:lang w:val="en-GB"/>
        </w:rPr>
      </w:pPr>
      <w:r>
        <w:rPr>
          <w:rFonts w:ascii="宋体" w:hAnsi="宋体"/>
          <w:b/>
          <w:bCs/>
          <w:szCs w:val="21"/>
          <w:lang w:val="en-GB"/>
        </w:rPr>
        <w:t>1</w:t>
      </w:r>
      <w:r>
        <w:rPr>
          <w:rFonts w:hint="eastAsia" w:ascii="宋体" w:hAnsi="宋体"/>
          <w:b/>
          <w:bCs/>
          <w:szCs w:val="21"/>
        </w:rPr>
        <w:t>.</w:t>
      </w:r>
      <w:r>
        <w:rPr>
          <w:rFonts w:hint="eastAsia" w:ascii="宋体" w:hAnsi="宋体"/>
          <w:b/>
          <w:bCs/>
          <w:szCs w:val="21"/>
          <w:lang w:val="en-GB"/>
        </w:rPr>
        <w:t>道路交通数据调查</w:t>
      </w:r>
    </w:p>
    <w:p>
      <w:pPr>
        <w:snapToGrid w:val="0"/>
        <w:spacing w:line="300" w:lineRule="auto"/>
        <w:ind w:firstLine="480"/>
        <w:rPr>
          <w:rFonts w:ascii="宋体" w:hAnsi="宋体"/>
          <w:szCs w:val="21"/>
          <w:lang w:val="en-GB"/>
        </w:rPr>
      </w:pPr>
      <w:r>
        <w:rPr>
          <w:rFonts w:hint="eastAsia" w:ascii="宋体" w:hAnsi="宋体"/>
          <w:szCs w:val="21"/>
          <w:lang w:val="en-GB"/>
        </w:rPr>
        <w:t>道路交通数据调查包括道路交通运行数据和基础数据。可根据配时优化需求，扩展调查时间和内容。调查内容包括但不局限于以下内容：</w:t>
      </w:r>
    </w:p>
    <w:p>
      <w:pPr>
        <w:snapToGrid w:val="0"/>
        <w:spacing w:line="300" w:lineRule="auto"/>
        <w:ind w:firstLine="480"/>
        <w:rPr>
          <w:rFonts w:ascii="宋体" w:hAnsi="宋体"/>
          <w:szCs w:val="21"/>
          <w:lang w:val="en-GB"/>
        </w:rPr>
      </w:pPr>
      <w:r>
        <w:rPr>
          <w:rFonts w:hint="eastAsia" w:ascii="宋体" w:hAnsi="宋体"/>
          <w:szCs w:val="21"/>
          <w:lang w:val="en-GB"/>
        </w:rPr>
        <w:t>（1）道路交通运行数据调查</w:t>
      </w:r>
    </w:p>
    <w:p>
      <w:pPr>
        <w:snapToGrid w:val="0"/>
        <w:spacing w:line="300" w:lineRule="auto"/>
        <w:ind w:firstLine="480"/>
        <w:rPr>
          <w:rFonts w:ascii="宋体" w:hAnsi="宋体"/>
          <w:szCs w:val="21"/>
          <w:lang w:val="en-GB"/>
        </w:rPr>
      </w:pPr>
      <w:r>
        <w:rPr>
          <w:rFonts w:hint="eastAsia" w:ascii="宋体" w:hAnsi="宋体"/>
          <w:szCs w:val="21"/>
          <w:lang w:val="en-GB"/>
        </w:rPr>
        <w:t>调查的内容：路网结构、道路运行情况、交通流量（直行流量、左转流量、右转流量、掉头流量和车辆构成比例）、路口车辆排队情况、路口间行车速度、路口间行程时间、配时方案、路口协调方向的绿信比等参数。</w:t>
      </w:r>
    </w:p>
    <w:p>
      <w:pPr>
        <w:snapToGrid w:val="0"/>
        <w:spacing w:line="300" w:lineRule="auto"/>
        <w:ind w:firstLine="480"/>
        <w:rPr>
          <w:rFonts w:ascii="宋体" w:hAnsi="宋体"/>
          <w:szCs w:val="21"/>
          <w:lang w:val="en-GB"/>
        </w:rPr>
      </w:pPr>
      <w:r>
        <w:rPr>
          <w:rFonts w:hint="eastAsia" w:ascii="宋体" w:hAnsi="宋体"/>
          <w:szCs w:val="21"/>
          <w:lang w:val="en-GB"/>
        </w:rPr>
        <w:t>调查的时间：交通流量需要调查各个交叉口进口道在不同时段的交通流量数据等。每个路口调查时间为期3天（工作日选2天、非工作日1天），每天合计高峰期2小时、非高峰期1小时。调查3小时、数据统计2小时。</w:t>
      </w:r>
    </w:p>
    <w:p>
      <w:pPr>
        <w:snapToGrid w:val="0"/>
        <w:spacing w:line="300" w:lineRule="auto"/>
        <w:ind w:firstLine="480"/>
        <w:rPr>
          <w:rFonts w:ascii="宋体" w:hAnsi="宋体"/>
          <w:szCs w:val="21"/>
          <w:lang w:val="en-GB"/>
        </w:rPr>
      </w:pPr>
      <w:r>
        <w:rPr>
          <w:rFonts w:hint="eastAsia" w:ascii="宋体" w:hAnsi="宋体"/>
          <w:szCs w:val="21"/>
          <w:lang w:val="en-GB"/>
        </w:rPr>
        <w:t>（2）道路交通基础数据调查</w:t>
      </w:r>
    </w:p>
    <w:p>
      <w:pPr>
        <w:snapToGrid w:val="0"/>
        <w:spacing w:line="300" w:lineRule="auto"/>
        <w:ind w:firstLine="480"/>
        <w:rPr>
          <w:rFonts w:ascii="宋体" w:hAnsi="宋体"/>
          <w:szCs w:val="21"/>
          <w:lang w:val="en-GB"/>
        </w:rPr>
      </w:pPr>
      <w:r>
        <w:rPr>
          <w:rFonts w:hint="eastAsia" w:ascii="宋体" w:hAnsi="宋体"/>
          <w:szCs w:val="21"/>
          <w:lang w:val="en-GB"/>
        </w:rPr>
        <w:t>分区分布对各区路口进行调查，完成基础数据的收集，主要包括信号灯类型、信号灯配线情况、路口类型、车道分配情况、道路宽度、路口配套电警设施配置、数据采集车道覆盖情况等信息。</w:t>
      </w:r>
    </w:p>
    <w:p>
      <w:pPr>
        <w:snapToGrid w:val="0"/>
        <w:spacing w:line="300" w:lineRule="auto"/>
        <w:ind w:firstLine="482"/>
        <w:rPr>
          <w:rFonts w:ascii="宋体" w:hAnsi="宋体"/>
          <w:b/>
          <w:bCs/>
          <w:szCs w:val="21"/>
          <w:lang w:val="en-GB"/>
        </w:rPr>
      </w:pPr>
      <w:bookmarkStart w:id="36" w:name="_Toc31919"/>
      <w:r>
        <w:rPr>
          <w:rFonts w:ascii="宋体" w:hAnsi="宋体"/>
          <w:b/>
          <w:bCs/>
          <w:szCs w:val="21"/>
          <w:lang w:val="en-GB"/>
        </w:rPr>
        <w:t>2</w:t>
      </w:r>
      <w:r>
        <w:rPr>
          <w:rFonts w:hint="eastAsia" w:ascii="宋体" w:hAnsi="宋体"/>
          <w:b/>
          <w:bCs/>
          <w:szCs w:val="21"/>
        </w:rPr>
        <w:t>.</w:t>
      </w:r>
      <w:r>
        <w:rPr>
          <w:rFonts w:hint="eastAsia" w:ascii="宋体" w:hAnsi="宋体"/>
          <w:b/>
          <w:bCs/>
          <w:szCs w:val="21"/>
          <w:lang w:val="en-GB"/>
        </w:rPr>
        <w:t>建立交通信号基础信息库</w:t>
      </w:r>
      <w:bookmarkEnd w:id="36"/>
    </w:p>
    <w:p>
      <w:pPr>
        <w:snapToGrid w:val="0"/>
        <w:spacing w:line="300" w:lineRule="auto"/>
        <w:ind w:firstLine="480"/>
        <w:rPr>
          <w:rFonts w:ascii="宋体" w:hAnsi="宋体"/>
          <w:szCs w:val="21"/>
          <w:lang w:val="en-GB"/>
        </w:rPr>
      </w:pPr>
      <w:r>
        <w:rPr>
          <w:rFonts w:hint="eastAsia" w:ascii="宋体" w:hAnsi="宋体"/>
          <w:szCs w:val="21"/>
          <w:lang w:val="en-GB"/>
        </w:rPr>
        <w:t>对交通信号基础信息核查与摸查，制定信号信息数据库模板，并按照模板要求对负责路口制作文档并归档管理，建立完整的路口档案库（一般为</w:t>
      </w:r>
      <w:r>
        <w:rPr>
          <w:rFonts w:ascii="宋体" w:hAnsi="宋体"/>
          <w:szCs w:val="21"/>
          <w:lang w:val="en-GB"/>
        </w:rPr>
        <w:t>EXCEL</w:t>
      </w:r>
      <w:r>
        <w:rPr>
          <w:rFonts w:hint="eastAsia" w:ascii="宋体" w:hAnsi="宋体"/>
          <w:szCs w:val="21"/>
          <w:lang w:val="en-GB"/>
        </w:rPr>
        <w:t>表格文档、</w:t>
      </w:r>
      <w:r>
        <w:rPr>
          <w:rFonts w:ascii="宋体" w:hAnsi="宋体"/>
          <w:szCs w:val="21"/>
          <w:lang w:val="en-GB"/>
        </w:rPr>
        <w:t>WORD</w:t>
      </w:r>
      <w:r>
        <w:rPr>
          <w:rFonts w:hint="eastAsia" w:ascii="宋体" w:hAnsi="宋体"/>
          <w:szCs w:val="21"/>
          <w:lang w:val="en-GB"/>
        </w:rPr>
        <w:t>文档、</w:t>
      </w:r>
      <w:r>
        <w:rPr>
          <w:rFonts w:ascii="宋体" w:hAnsi="宋体"/>
          <w:szCs w:val="21"/>
          <w:lang w:val="en-GB"/>
        </w:rPr>
        <w:t>VISIO</w:t>
      </w:r>
      <w:r>
        <w:rPr>
          <w:rFonts w:hint="eastAsia" w:ascii="宋体" w:hAnsi="宋体"/>
          <w:szCs w:val="21"/>
          <w:lang w:val="en-GB"/>
        </w:rPr>
        <w:t>文档）。遇有信息更新的，在</w:t>
      </w:r>
      <w:r>
        <w:rPr>
          <w:rFonts w:ascii="宋体" w:hAnsi="宋体"/>
          <w:szCs w:val="21"/>
          <w:lang w:val="en-GB"/>
        </w:rPr>
        <w:t>2</w:t>
      </w:r>
      <w:r>
        <w:rPr>
          <w:rFonts w:hint="eastAsia" w:ascii="宋体" w:hAnsi="宋体"/>
          <w:szCs w:val="21"/>
          <w:lang w:val="en-GB"/>
        </w:rPr>
        <w:t>个工作日内完成更新。主要开展的工作如下：</w:t>
      </w:r>
    </w:p>
    <w:p>
      <w:pPr>
        <w:snapToGrid w:val="0"/>
        <w:spacing w:line="300" w:lineRule="auto"/>
        <w:ind w:firstLine="480"/>
        <w:rPr>
          <w:rFonts w:ascii="宋体" w:hAnsi="宋体"/>
          <w:szCs w:val="21"/>
          <w:lang w:val="en-GB"/>
        </w:rPr>
      </w:pPr>
      <w:r>
        <w:rPr>
          <w:rFonts w:ascii="宋体" w:hAnsi="宋体"/>
          <w:szCs w:val="21"/>
          <w:lang w:val="en-GB"/>
        </w:rPr>
        <w:t>(1)</w:t>
      </w:r>
      <w:r>
        <w:rPr>
          <w:rFonts w:hint="eastAsia" w:ascii="宋体" w:hAnsi="宋体"/>
          <w:szCs w:val="21"/>
          <w:lang w:val="en-GB"/>
        </w:rPr>
        <w:t>建立规范的路口相位图</w:t>
      </w:r>
    </w:p>
    <w:p>
      <w:pPr>
        <w:snapToGrid w:val="0"/>
        <w:spacing w:line="300" w:lineRule="auto"/>
        <w:ind w:firstLine="480"/>
        <w:rPr>
          <w:rFonts w:ascii="宋体" w:hAnsi="宋体"/>
          <w:szCs w:val="21"/>
          <w:lang w:val="en-GB"/>
        </w:rPr>
      </w:pPr>
      <w:r>
        <w:rPr>
          <w:rFonts w:hint="eastAsia" w:ascii="宋体" w:hAnsi="宋体"/>
          <w:szCs w:val="21"/>
          <w:lang w:val="en-GB"/>
        </w:rPr>
        <w:t>研究制定基于</w:t>
      </w:r>
      <w:r>
        <w:rPr>
          <w:rFonts w:ascii="宋体" w:hAnsi="宋体"/>
          <w:szCs w:val="21"/>
          <w:lang w:val="en-GB"/>
        </w:rPr>
        <w:t>VISIO</w:t>
      </w:r>
      <w:r>
        <w:rPr>
          <w:rFonts w:hint="eastAsia" w:ascii="宋体" w:hAnsi="宋体"/>
          <w:szCs w:val="21"/>
          <w:lang w:val="en-GB"/>
        </w:rPr>
        <w:t>的路口相位图模板，设计完成相位图基础图元的表现形式及规格，便于今后对路口基础信息的标准化管理，提高工作效率。</w:t>
      </w:r>
    </w:p>
    <w:p>
      <w:pPr>
        <w:snapToGrid w:val="0"/>
        <w:spacing w:line="300" w:lineRule="auto"/>
        <w:ind w:firstLine="480"/>
        <w:rPr>
          <w:rFonts w:ascii="宋体" w:hAnsi="宋体"/>
          <w:szCs w:val="21"/>
          <w:lang w:val="en-GB"/>
        </w:rPr>
      </w:pPr>
      <w:r>
        <w:rPr>
          <w:rFonts w:ascii="宋体" w:hAnsi="宋体"/>
          <w:szCs w:val="21"/>
          <w:lang w:val="en-GB"/>
        </w:rPr>
        <w:t>(2)</w:t>
      </w:r>
      <w:r>
        <w:rPr>
          <w:rFonts w:hint="eastAsia" w:ascii="宋体" w:hAnsi="宋体"/>
          <w:szCs w:val="21"/>
          <w:lang w:val="en-GB"/>
        </w:rPr>
        <w:t>信息库的建立和更新</w:t>
      </w:r>
    </w:p>
    <w:p>
      <w:pPr>
        <w:snapToGrid w:val="0"/>
        <w:spacing w:line="300" w:lineRule="auto"/>
        <w:ind w:firstLine="480"/>
        <w:rPr>
          <w:rFonts w:ascii="宋体" w:hAnsi="宋体"/>
          <w:szCs w:val="21"/>
          <w:lang w:val="en-GB"/>
        </w:rPr>
      </w:pPr>
      <w:r>
        <w:rPr>
          <w:rFonts w:hint="eastAsia" w:ascii="宋体" w:hAnsi="宋体"/>
          <w:szCs w:val="21"/>
          <w:lang w:val="en-GB"/>
        </w:rPr>
        <w:t>将调查基础数据录入路口相位图模板，经业主最终核定后做入库处理，后遇有信息更新的，在</w:t>
      </w:r>
      <w:r>
        <w:rPr>
          <w:rFonts w:ascii="宋体" w:hAnsi="宋体"/>
          <w:szCs w:val="21"/>
          <w:lang w:val="en-GB"/>
        </w:rPr>
        <w:t>2</w:t>
      </w:r>
      <w:r>
        <w:rPr>
          <w:rFonts w:hint="eastAsia" w:ascii="宋体" w:hAnsi="宋体"/>
          <w:szCs w:val="21"/>
          <w:lang w:val="en-GB"/>
        </w:rPr>
        <w:t>个工作日内完成更新，提高日常基础数据准确程度。</w:t>
      </w:r>
    </w:p>
    <w:p>
      <w:pPr>
        <w:snapToGrid w:val="0"/>
        <w:spacing w:line="300" w:lineRule="auto"/>
        <w:ind w:firstLine="482"/>
        <w:rPr>
          <w:rFonts w:ascii="宋体" w:hAnsi="宋体"/>
          <w:b/>
          <w:bCs/>
          <w:szCs w:val="21"/>
          <w:lang w:val="en-GB"/>
        </w:rPr>
      </w:pPr>
      <w:bookmarkStart w:id="37" w:name="_Toc410834699"/>
      <w:bookmarkStart w:id="38" w:name="_Toc415836486"/>
      <w:bookmarkStart w:id="39" w:name="_Toc21766"/>
      <w:r>
        <w:rPr>
          <w:rFonts w:ascii="宋体" w:hAnsi="宋体"/>
          <w:b/>
          <w:bCs/>
          <w:szCs w:val="21"/>
          <w:lang w:val="en-GB"/>
        </w:rPr>
        <w:t>3</w:t>
      </w:r>
      <w:r>
        <w:rPr>
          <w:rFonts w:hint="eastAsia" w:ascii="宋体" w:hAnsi="宋体"/>
          <w:b/>
          <w:bCs/>
          <w:szCs w:val="21"/>
        </w:rPr>
        <w:t>.</w:t>
      </w:r>
      <w:r>
        <w:rPr>
          <w:rFonts w:hint="eastAsia" w:ascii="宋体" w:hAnsi="宋体"/>
          <w:b/>
          <w:bCs/>
          <w:szCs w:val="21"/>
          <w:lang w:val="en-GB"/>
        </w:rPr>
        <w:t>信号控制路口周期巡查</w:t>
      </w:r>
      <w:bookmarkEnd w:id="37"/>
      <w:bookmarkEnd w:id="38"/>
      <w:bookmarkEnd w:id="39"/>
    </w:p>
    <w:p>
      <w:pPr>
        <w:snapToGrid w:val="0"/>
        <w:spacing w:line="300" w:lineRule="auto"/>
        <w:ind w:firstLine="480"/>
        <w:rPr>
          <w:rFonts w:ascii="宋体" w:hAnsi="宋体"/>
          <w:szCs w:val="21"/>
          <w:lang w:val="en-GB"/>
        </w:rPr>
      </w:pPr>
      <w:r>
        <w:rPr>
          <w:rFonts w:hint="eastAsia" w:ascii="宋体" w:hAnsi="宋体"/>
          <w:szCs w:val="21"/>
          <w:lang w:val="en-GB"/>
        </w:rPr>
        <w:t>为了提高对信号控制系统运行状态的动态把握和快速反应，需要定期（每两个月一次）对辖区所有路口进行巡查。巡查以路面巡查和远程巡查相结合，其中路面巡查是指定期对辖区路口进行实地巡查，及时发现路口存在问题；远程</w:t>
      </w:r>
      <w:r>
        <w:rPr>
          <w:rFonts w:ascii="宋体" w:hAnsi="宋体"/>
          <w:szCs w:val="21"/>
          <w:lang w:val="en-GB"/>
        </w:rPr>
        <w:t>巡查</w:t>
      </w:r>
      <w:r>
        <w:rPr>
          <w:rFonts w:hint="eastAsia" w:ascii="宋体" w:hAnsi="宋体"/>
          <w:szCs w:val="21"/>
          <w:lang w:val="en-GB"/>
        </w:rPr>
        <w:t>是指在控制中心利用系统警告功能和交通监控视频进行路口</w:t>
      </w:r>
      <w:r>
        <w:rPr>
          <w:rFonts w:ascii="宋体" w:hAnsi="宋体"/>
          <w:szCs w:val="21"/>
          <w:lang w:val="en-GB"/>
        </w:rPr>
        <w:t>交通运行</w:t>
      </w:r>
      <w:r>
        <w:rPr>
          <w:rFonts w:hint="eastAsia" w:ascii="宋体" w:hAnsi="宋体"/>
          <w:szCs w:val="21"/>
          <w:lang w:val="en-GB"/>
        </w:rPr>
        <w:t>巡查，及时发现路口存在问题。对</w:t>
      </w:r>
      <w:r>
        <w:rPr>
          <w:rFonts w:ascii="宋体" w:hAnsi="宋体"/>
          <w:szCs w:val="21"/>
          <w:lang w:val="en-GB"/>
        </w:rPr>
        <w:t>可通过远程监控进行巡查的路口以</w:t>
      </w:r>
      <w:r>
        <w:rPr>
          <w:rFonts w:hint="eastAsia" w:ascii="宋体" w:hAnsi="宋体"/>
          <w:szCs w:val="21"/>
          <w:lang w:val="en-GB"/>
        </w:rPr>
        <w:t>远程巡查</w:t>
      </w:r>
      <w:r>
        <w:rPr>
          <w:rFonts w:ascii="宋体" w:hAnsi="宋体"/>
          <w:szCs w:val="21"/>
          <w:lang w:val="en-GB"/>
        </w:rPr>
        <w:t>为主</w:t>
      </w:r>
      <w:r>
        <w:rPr>
          <w:rFonts w:hint="eastAsia" w:ascii="宋体" w:hAnsi="宋体"/>
          <w:szCs w:val="21"/>
          <w:lang w:val="en-GB"/>
        </w:rPr>
        <w:t>。</w:t>
      </w:r>
    </w:p>
    <w:p>
      <w:pPr>
        <w:snapToGrid w:val="0"/>
        <w:spacing w:line="300" w:lineRule="auto"/>
        <w:ind w:firstLine="480"/>
        <w:rPr>
          <w:rFonts w:ascii="宋体" w:hAnsi="宋体"/>
          <w:szCs w:val="21"/>
          <w:lang w:val="en-GB"/>
        </w:rPr>
      </w:pPr>
      <w:r>
        <w:rPr>
          <w:rFonts w:hint="eastAsia" w:ascii="宋体" w:hAnsi="宋体"/>
          <w:szCs w:val="21"/>
          <w:lang w:val="en-GB"/>
        </w:rPr>
        <w:t>对路口交通信号控制方案运行情况（进口排队拥堵、进口空放）、路口交通冲突情况（人车冲突、车流之间的冲突）、配套设施（渠化标线、绿化遮挡）进行巡查。并整理巡查工作记录，将巡查结果反馈给项目内信号协调优化小组，进行问题处理。对路口的情况巡查内容有：</w:t>
      </w:r>
    </w:p>
    <w:p>
      <w:pPr>
        <w:snapToGrid w:val="0"/>
        <w:spacing w:line="300" w:lineRule="auto"/>
        <w:ind w:firstLine="480"/>
        <w:rPr>
          <w:rFonts w:ascii="宋体" w:hAnsi="宋体"/>
          <w:szCs w:val="21"/>
          <w:lang w:val="en-GB"/>
        </w:rPr>
      </w:pPr>
      <w:r>
        <w:rPr>
          <w:rFonts w:hint="eastAsia" w:ascii="宋体" w:hAnsi="宋体"/>
          <w:szCs w:val="21"/>
          <w:lang w:val="en-GB"/>
        </w:rPr>
        <w:t>（</w:t>
      </w:r>
      <w:r>
        <w:rPr>
          <w:rFonts w:ascii="宋体" w:hAnsi="宋体"/>
          <w:szCs w:val="21"/>
          <w:lang w:val="en-GB"/>
        </w:rPr>
        <w:t>1</w:t>
      </w:r>
      <w:r>
        <w:rPr>
          <w:rFonts w:hint="eastAsia" w:ascii="宋体" w:hAnsi="宋体"/>
          <w:szCs w:val="21"/>
          <w:lang w:val="en-GB"/>
        </w:rPr>
        <w:t>）交通信号设施情况：巡查路口红绿灯设施是否齐全，全屏箭头使用是否合理等情况。</w:t>
      </w:r>
    </w:p>
    <w:p>
      <w:pPr>
        <w:snapToGrid w:val="0"/>
        <w:spacing w:line="300" w:lineRule="auto"/>
        <w:ind w:firstLine="480"/>
        <w:rPr>
          <w:rFonts w:ascii="宋体" w:hAnsi="宋体"/>
          <w:szCs w:val="21"/>
          <w:lang w:val="en-GB"/>
        </w:rPr>
      </w:pPr>
      <w:r>
        <w:rPr>
          <w:rFonts w:hint="eastAsia" w:ascii="宋体" w:hAnsi="宋体"/>
          <w:szCs w:val="21"/>
          <w:lang w:val="en-GB"/>
        </w:rPr>
        <w:t>（</w:t>
      </w:r>
      <w:r>
        <w:rPr>
          <w:rFonts w:ascii="宋体" w:hAnsi="宋体"/>
          <w:szCs w:val="21"/>
          <w:lang w:val="en-GB"/>
        </w:rPr>
        <w:t>2</w:t>
      </w:r>
      <w:r>
        <w:rPr>
          <w:rFonts w:hint="eastAsia" w:ascii="宋体" w:hAnsi="宋体"/>
          <w:szCs w:val="21"/>
          <w:lang w:val="en-GB"/>
        </w:rPr>
        <w:t>）交通运行情况：信号机设备工作状态是否正常、配时方案是否最优和相位方案是否合理等情况。</w:t>
      </w:r>
    </w:p>
    <w:p>
      <w:pPr>
        <w:snapToGrid w:val="0"/>
        <w:spacing w:line="300" w:lineRule="auto"/>
        <w:ind w:firstLine="480"/>
        <w:rPr>
          <w:rFonts w:ascii="宋体" w:hAnsi="宋体"/>
          <w:szCs w:val="21"/>
          <w:lang w:val="en-GB"/>
        </w:rPr>
      </w:pPr>
      <w:r>
        <w:rPr>
          <w:rFonts w:hint="eastAsia" w:ascii="宋体" w:hAnsi="宋体"/>
          <w:szCs w:val="21"/>
          <w:lang w:val="en-GB"/>
        </w:rPr>
        <w:t>（</w:t>
      </w:r>
      <w:r>
        <w:rPr>
          <w:rFonts w:ascii="宋体" w:hAnsi="宋体"/>
          <w:szCs w:val="21"/>
          <w:lang w:val="en-GB"/>
        </w:rPr>
        <w:t>3</w:t>
      </w:r>
      <w:r>
        <w:rPr>
          <w:rFonts w:hint="eastAsia" w:ascii="宋体" w:hAnsi="宋体"/>
          <w:szCs w:val="21"/>
          <w:lang w:val="en-GB"/>
        </w:rPr>
        <w:t>）交通冲突情况：行人与车辆之间的冲突问题、转弯信号与行人之间的冲突问题、车辆与车辆全屏灯冲突问题、车辆汇流冲突问题。</w:t>
      </w:r>
    </w:p>
    <w:p>
      <w:pPr>
        <w:snapToGrid w:val="0"/>
        <w:spacing w:line="300" w:lineRule="auto"/>
        <w:ind w:firstLine="480"/>
        <w:rPr>
          <w:rFonts w:ascii="宋体" w:hAnsi="宋体"/>
          <w:szCs w:val="21"/>
          <w:lang w:val="en-GB"/>
        </w:rPr>
      </w:pPr>
      <w:r>
        <w:rPr>
          <w:rFonts w:hint="eastAsia" w:ascii="宋体" w:hAnsi="宋体"/>
          <w:szCs w:val="21"/>
          <w:lang w:val="en-GB"/>
        </w:rPr>
        <w:t>（</w:t>
      </w:r>
      <w:r>
        <w:rPr>
          <w:rFonts w:ascii="宋体" w:hAnsi="宋体"/>
          <w:szCs w:val="21"/>
          <w:lang w:val="en-GB"/>
        </w:rPr>
        <w:t>4</w:t>
      </w:r>
      <w:r>
        <w:rPr>
          <w:rFonts w:hint="eastAsia" w:ascii="宋体" w:hAnsi="宋体"/>
          <w:szCs w:val="21"/>
          <w:lang w:val="en-GB"/>
        </w:rPr>
        <w:t>）交通安全情况：行人过街时间是否足够和相位清空时间是否充足。</w:t>
      </w:r>
    </w:p>
    <w:p>
      <w:pPr>
        <w:snapToGrid w:val="0"/>
        <w:spacing w:line="300" w:lineRule="auto"/>
        <w:ind w:firstLine="480"/>
        <w:rPr>
          <w:rFonts w:ascii="宋体" w:hAnsi="宋体"/>
          <w:szCs w:val="21"/>
          <w:lang w:val="en-GB"/>
        </w:rPr>
      </w:pPr>
      <w:r>
        <w:rPr>
          <w:rFonts w:hint="eastAsia" w:ascii="宋体" w:hAnsi="宋体"/>
          <w:szCs w:val="21"/>
          <w:lang w:val="en-GB"/>
        </w:rPr>
        <w:t>（</w:t>
      </w:r>
      <w:r>
        <w:rPr>
          <w:rFonts w:ascii="宋体" w:hAnsi="宋体"/>
          <w:szCs w:val="21"/>
          <w:lang w:val="en-GB"/>
        </w:rPr>
        <w:t>5</w:t>
      </w:r>
      <w:r>
        <w:rPr>
          <w:rFonts w:hint="eastAsia" w:ascii="宋体" w:hAnsi="宋体"/>
          <w:szCs w:val="21"/>
          <w:lang w:val="en-GB"/>
        </w:rPr>
        <w:t>）配套设施情况：交通标志标线、倒计时器、渠化岛设置位置、道路划分、是否有绿化遮挡等设施的情况巡查。</w:t>
      </w:r>
    </w:p>
    <w:bookmarkEnd w:id="33"/>
    <w:bookmarkEnd w:id="34"/>
    <w:bookmarkEnd w:id="35"/>
    <w:p>
      <w:pPr>
        <w:snapToGrid w:val="0"/>
        <w:spacing w:line="300" w:lineRule="auto"/>
        <w:ind w:firstLine="482"/>
        <w:rPr>
          <w:rFonts w:ascii="宋体" w:hAnsi="宋体"/>
          <w:b/>
          <w:bCs/>
          <w:szCs w:val="21"/>
          <w:lang w:val="en-GB"/>
        </w:rPr>
      </w:pPr>
      <w:r>
        <w:rPr>
          <w:rFonts w:hint="eastAsia" w:ascii="宋体" w:hAnsi="宋体"/>
          <w:b/>
          <w:bCs/>
          <w:szCs w:val="21"/>
          <w:lang w:val="en-GB"/>
        </w:rPr>
        <w:t>（</w:t>
      </w:r>
      <w:r>
        <w:rPr>
          <w:rFonts w:hint="eastAsia" w:ascii="宋体" w:hAnsi="宋体"/>
          <w:b/>
          <w:bCs/>
          <w:szCs w:val="21"/>
        </w:rPr>
        <w:t>三</w:t>
      </w:r>
      <w:r>
        <w:rPr>
          <w:rFonts w:hint="eastAsia" w:ascii="宋体" w:hAnsi="宋体"/>
          <w:b/>
          <w:bCs/>
          <w:szCs w:val="21"/>
          <w:lang w:val="en-GB"/>
        </w:rPr>
        <w:t>）交通信号控制策略及方案编制</w:t>
      </w:r>
    </w:p>
    <w:p>
      <w:pPr>
        <w:snapToGrid w:val="0"/>
        <w:spacing w:line="300" w:lineRule="auto"/>
        <w:ind w:firstLine="480"/>
        <w:rPr>
          <w:rFonts w:ascii="宋体" w:hAnsi="宋体"/>
          <w:szCs w:val="21"/>
          <w:lang w:val="en-GB"/>
        </w:rPr>
      </w:pPr>
      <w:r>
        <w:rPr>
          <w:rFonts w:hint="eastAsia" w:ascii="宋体" w:hAnsi="宋体"/>
          <w:szCs w:val="21"/>
          <w:lang w:val="en-GB"/>
        </w:rPr>
        <w:t>现有的信号控制理论及方法大都理论性较强，但与实际的信号控制操作的适应性较差；且受地域范围的影响，交通状况差异性较大。因此需要针对本地信号控制系统的特点研究相应的控制策略和方案设计方法。协助业主制定信号控制策略及方案，包括但不限于以下方面：</w:t>
      </w:r>
    </w:p>
    <w:p>
      <w:pPr>
        <w:snapToGrid w:val="0"/>
        <w:spacing w:line="300" w:lineRule="auto"/>
        <w:ind w:firstLine="480"/>
        <w:rPr>
          <w:rFonts w:ascii="宋体" w:hAnsi="宋体"/>
          <w:szCs w:val="21"/>
          <w:lang w:val="en-GB"/>
        </w:rPr>
      </w:pPr>
      <w:r>
        <w:rPr>
          <w:rFonts w:hint="eastAsia" w:ascii="宋体" w:hAnsi="宋体"/>
          <w:szCs w:val="21"/>
        </w:rPr>
        <w:t>1.</w:t>
      </w:r>
      <w:r>
        <w:rPr>
          <w:rFonts w:hint="eastAsia" w:ascii="宋体" w:hAnsi="宋体"/>
          <w:szCs w:val="21"/>
          <w:lang w:val="en-GB"/>
        </w:rPr>
        <w:t>各类型路口交通信号相位方案制作规范（模板）；</w:t>
      </w:r>
    </w:p>
    <w:p>
      <w:pPr>
        <w:snapToGrid w:val="0"/>
        <w:spacing w:line="300" w:lineRule="auto"/>
        <w:ind w:firstLine="480"/>
        <w:rPr>
          <w:rFonts w:ascii="宋体" w:hAnsi="宋体"/>
          <w:szCs w:val="21"/>
          <w:lang w:val="en-GB"/>
        </w:rPr>
      </w:pPr>
      <w:r>
        <w:rPr>
          <w:rFonts w:hint="eastAsia" w:ascii="宋体" w:hAnsi="宋体"/>
          <w:szCs w:val="21"/>
        </w:rPr>
        <w:t>2.</w:t>
      </w:r>
      <w:r>
        <w:rPr>
          <w:rFonts w:hint="eastAsia" w:ascii="宋体" w:hAnsi="宋体"/>
          <w:szCs w:val="21"/>
          <w:lang w:val="en-GB"/>
        </w:rPr>
        <w:t>各种交通条件下交通信号优化的策略及预案。</w:t>
      </w:r>
    </w:p>
    <w:p>
      <w:pPr>
        <w:snapToGrid w:val="0"/>
        <w:spacing w:line="300" w:lineRule="auto"/>
        <w:ind w:firstLine="482"/>
        <w:rPr>
          <w:rFonts w:ascii="宋体" w:hAnsi="宋体"/>
          <w:b/>
          <w:bCs/>
          <w:szCs w:val="21"/>
          <w:lang w:val="en-GB"/>
        </w:rPr>
      </w:pPr>
      <w:r>
        <w:rPr>
          <w:rFonts w:hint="eastAsia" w:ascii="宋体" w:hAnsi="宋体"/>
          <w:b/>
          <w:bCs/>
          <w:szCs w:val="21"/>
          <w:lang w:val="en-GB"/>
        </w:rPr>
        <w:t>（</w:t>
      </w:r>
      <w:r>
        <w:rPr>
          <w:rFonts w:hint="eastAsia" w:ascii="宋体" w:hAnsi="宋体"/>
          <w:b/>
          <w:bCs/>
          <w:szCs w:val="21"/>
        </w:rPr>
        <w:t>四</w:t>
      </w:r>
      <w:r>
        <w:rPr>
          <w:rFonts w:hint="eastAsia" w:ascii="宋体" w:hAnsi="宋体"/>
          <w:b/>
          <w:bCs/>
          <w:szCs w:val="21"/>
          <w:lang w:val="en-GB"/>
        </w:rPr>
        <w:t>）设计控制方案及实施</w:t>
      </w:r>
    </w:p>
    <w:p>
      <w:pPr>
        <w:snapToGrid w:val="0"/>
        <w:spacing w:line="300" w:lineRule="auto"/>
        <w:ind w:firstLine="480"/>
        <w:rPr>
          <w:rFonts w:ascii="宋体" w:hAnsi="宋体"/>
          <w:szCs w:val="21"/>
          <w:lang w:val="en-GB"/>
        </w:rPr>
      </w:pPr>
      <w:bookmarkStart w:id="40" w:name="_Toc11896"/>
      <w:r>
        <w:rPr>
          <w:rFonts w:ascii="宋体" w:hAnsi="宋体"/>
          <w:szCs w:val="21"/>
          <w:lang w:val="en-GB"/>
        </w:rPr>
        <w:t>1</w:t>
      </w:r>
      <w:r>
        <w:rPr>
          <w:rFonts w:hint="eastAsia" w:ascii="宋体" w:hAnsi="宋体"/>
          <w:szCs w:val="21"/>
        </w:rPr>
        <w:t>.</w:t>
      </w:r>
      <w:r>
        <w:rPr>
          <w:rFonts w:hint="eastAsia" w:ascii="宋体" w:hAnsi="宋体"/>
          <w:szCs w:val="21"/>
          <w:lang w:val="en-GB"/>
        </w:rPr>
        <w:t>交通信号控制方案优化</w:t>
      </w:r>
      <w:bookmarkEnd w:id="40"/>
    </w:p>
    <w:p>
      <w:pPr>
        <w:snapToGrid w:val="0"/>
        <w:spacing w:line="300" w:lineRule="auto"/>
        <w:ind w:firstLine="480"/>
        <w:rPr>
          <w:rFonts w:ascii="宋体" w:hAnsi="宋体"/>
          <w:szCs w:val="21"/>
          <w:lang w:val="en-GB"/>
        </w:rPr>
      </w:pPr>
      <w:r>
        <w:rPr>
          <w:rFonts w:hint="eastAsia" w:ascii="宋体" w:hAnsi="宋体"/>
          <w:szCs w:val="21"/>
          <w:lang w:val="en-GB"/>
        </w:rPr>
        <w:t>当</w:t>
      </w:r>
      <w:r>
        <w:rPr>
          <w:rFonts w:ascii="宋体" w:hAnsi="宋体"/>
          <w:szCs w:val="21"/>
          <w:lang w:val="en-GB"/>
        </w:rPr>
        <w:t>道路实行交通信号协调控制</w:t>
      </w:r>
      <w:r>
        <w:rPr>
          <w:rFonts w:hint="eastAsia" w:ascii="宋体" w:hAnsi="宋体"/>
          <w:szCs w:val="21"/>
          <w:lang w:val="en-GB"/>
        </w:rPr>
        <w:t>时</w:t>
      </w:r>
      <w:r>
        <w:rPr>
          <w:rFonts w:ascii="宋体" w:hAnsi="宋体"/>
          <w:szCs w:val="21"/>
          <w:lang w:val="en-GB"/>
        </w:rPr>
        <w:t>，</w:t>
      </w:r>
      <w:r>
        <w:rPr>
          <w:rFonts w:hint="eastAsia" w:ascii="宋体" w:hAnsi="宋体"/>
          <w:szCs w:val="21"/>
          <w:lang w:val="en-GB"/>
        </w:rPr>
        <w:t>定周期（公共信号周期）</w:t>
      </w:r>
      <w:r>
        <w:rPr>
          <w:rFonts w:ascii="宋体" w:hAnsi="宋体"/>
          <w:szCs w:val="21"/>
          <w:lang w:val="en-GB"/>
        </w:rPr>
        <w:t>控制</w:t>
      </w:r>
      <w:r>
        <w:rPr>
          <w:rFonts w:hint="eastAsia" w:ascii="宋体" w:hAnsi="宋体"/>
          <w:szCs w:val="21"/>
          <w:lang w:val="en-GB"/>
        </w:rPr>
        <w:t>为了</w:t>
      </w:r>
      <w:r>
        <w:rPr>
          <w:rFonts w:ascii="宋体" w:hAnsi="宋体"/>
          <w:szCs w:val="21"/>
          <w:lang w:val="en-GB"/>
        </w:rPr>
        <w:t>保证</w:t>
      </w:r>
      <w:r>
        <w:rPr>
          <w:rFonts w:hint="eastAsia" w:ascii="宋体" w:hAnsi="宋体"/>
          <w:szCs w:val="21"/>
          <w:lang w:val="en-GB"/>
        </w:rPr>
        <w:t>协调</w:t>
      </w:r>
      <w:r>
        <w:rPr>
          <w:rFonts w:ascii="宋体" w:hAnsi="宋体"/>
          <w:szCs w:val="21"/>
          <w:lang w:val="en-GB"/>
        </w:rPr>
        <w:t>效果</w:t>
      </w:r>
      <w:r>
        <w:rPr>
          <w:rFonts w:hint="eastAsia" w:ascii="宋体" w:hAnsi="宋体"/>
          <w:szCs w:val="21"/>
          <w:lang w:val="en-GB"/>
        </w:rPr>
        <w:t>(即</w:t>
      </w:r>
      <w:r>
        <w:rPr>
          <w:rFonts w:ascii="宋体" w:hAnsi="宋体"/>
          <w:szCs w:val="21"/>
          <w:lang w:val="en-GB"/>
        </w:rPr>
        <w:t>交叉口间</w:t>
      </w:r>
      <w:r>
        <w:rPr>
          <w:rFonts w:hint="eastAsia" w:ascii="宋体" w:hAnsi="宋体"/>
          <w:szCs w:val="21"/>
          <w:lang w:val="en-GB"/>
        </w:rPr>
        <w:t>相对</w:t>
      </w:r>
      <w:r>
        <w:rPr>
          <w:rFonts w:ascii="宋体" w:hAnsi="宋体"/>
          <w:szCs w:val="21"/>
          <w:lang w:val="en-GB"/>
        </w:rPr>
        <w:t>相位差稳定</w:t>
      </w:r>
      <w:r>
        <w:rPr>
          <w:rFonts w:hint="eastAsia" w:ascii="宋体" w:hAnsi="宋体"/>
          <w:szCs w:val="21"/>
          <w:lang w:val="en-GB"/>
        </w:rPr>
        <w:t>),</w:t>
      </w:r>
      <w:r>
        <w:rPr>
          <w:rFonts w:ascii="宋体" w:hAnsi="宋体"/>
          <w:szCs w:val="21"/>
          <w:lang w:val="en-GB"/>
        </w:rPr>
        <w:t>控制道路上所有</w:t>
      </w:r>
      <w:r>
        <w:rPr>
          <w:rFonts w:hint="eastAsia" w:ascii="宋体" w:hAnsi="宋体"/>
          <w:szCs w:val="21"/>
          <w:lang w:val="en-GB"/>
        </w:rPr>
        <w:t>纳入</w:t>
      </w:r>
      <w:r>
        <w:rPr>
          <w:rFonts w:ascii="宋体" w:hAnsi="宋体"/>
          <w:szCs w:val="21"/>
          <w:lang w:val="en-GB"/>
        </w:rPr>
        <w:t>协调控制的交叉口</w:t>
      </w:r>
      <w:r>
        <w:rPr>
          <w:rFonts w:hint="eastAsia" w:ascii="宋体" w:hAnsi="宋体"/>
          <w:szCs w:val="21"/>
          <w:lang w:val="en-GB"/>
        </w:rPr>
        <w:t>交通</w:t>
      </w:r>
      <w:r>
        <w:rPr>
          <w:rFonts w:ascii="宋体" w:hAnsi="宋体"/>
          <w:szCs w:val="21"/>
          <w:lang w:val="en-GB"/>
        </w:rPr>
        <w:t>信号周期</w:t>
      </w:r>
      <w:r>
        <w:rPr>
          <w:rFonts w:hint="eastAsia" w:ascii="宋体" w:hAnsi="宋体"/>
          <w:szCs w:val="21"/>
          <w:lang w:val="en-GB"/>
        </w:rPr>
        <w:t>相同</w:t>
      </w:r>
      <w:r>
        <w:rPr>
          <w:rFonts w:ascii="宋体" w:hAnsi="宋体"/>
          <w:szCs w:val="21"/>
          <w:lang w:val="en-GB"/>
        </w:rPr>
        <w:t>。</w:t>
      </w:r>
      <w:r>
        <w:rPr>
          <w:rFonts w:hint="eastAsia" w:ascii="宋体" w:hAnsi="宋体"/>
          <w:szCs w:val="21"/>
          <w:lang w:val="en-GB"/>
        </w:rPr>
        <w:t>交通信号</w:t>
      </w:r>
      <w:r>
        <w:rPr>
          <w:rFonts w:ascii="宋体" w:hAnsi="宋体"/>
          <w:szCs w:val="21"/>
          <w:lang w:val="en-GB"/>
        </w:rPr>
        <w:t>协调控制方案</w:t>
      </w:r>
      <w:r>
        <w:rPr>
          <w:rFonts w:hint="eastAsia" w:ascii="宋体" w:hAnsi="宋体"/>
          <w:szCs w:val="21"/>
          <w:lang w:val="en-GB"/>
        </w:rPr>
        <w:t>优化</w:t>
      </w:r>
      <w:r>
        <w:rPr>
          <w:rFonts w:ascii="宋体" w:hAnsi="宋体"/>
          <w:szCs w:val="21"/>
          <w:lang w:val="en-GB"/>
        </w:rPr>
        <w:t>将</w:t>
      </w:r>
      <w:r>
        <w:rPr>
          <w:rFonts w:hint="eastAsia" w:ascii="宋体" w:hAnsi="宋体"/>
          <w:szCs w:val="21"/>
          <w:lang w:val="en-GB"/>
        </w:rPr>
        <w:t>在</w:t>
      </w:r>
      <w:r>
        <w:rPr>
          <w:rFonts w:ascii="宋体" w:hAnsi="宋体"/>
          <w:szCs w:val="21"/>
          <w:lang w:val="en-GB"/>
        </w:rPr>
        <w:t>Maxband</w:t>
      </w:r>
      <w:r>
        <w:rPr>
          <w:rFonts w:hint="eastAsia" w:ascii="宋体" w:hAnsi="宋体"/>
          <w:szCs w:val="21"/>
          <w:lang w:val="en-GB"/>
        </w:rPr>
        <w:t>、</w:t>
      </w:r>
      <w:r>
        <w:rPr>
          <w:rFonts w:ascii="宋体" w:hAnsi="宋体"/>
          <w:szCs w:val="21"/>
          <w:lang w:val="en-GB"/>
        </w:rPr>
        <w:t>Multiband</w:t>
      </w:r>
      <w:r>
        <w:rPr>
          <w:rFonts w:hint="eastAsia" w:ascii="宋体" w:hAnsi="宋体"/>
          <w:szCs w:val="21"/>
          <w:lang w:val="en-GB"/>
        </w:rPr>
        <w:t>信号</w:t>
      </w:r>
      <w:r>
        <w:rPr>
          <w:rFonts w:ascii="宋体" w:hAnsi="宋体"/>
          <w:szCs w:val="21"/>
          <w:lang w:val="en-GB"/>
        </w:rPr>
        <w:t>协调控制</w:t>
      </w:r>
      <w:r>
        <w:rPr>
          <w:rFonts w:hint="eastAsia" w:ascii="宋体" w:hAnsi="宋体"/>
          <w:szCs w:val="21"/>
          <w:lang w:val="en-GB"/>
        </w:rPr>
        <w:t>原理</w:t>
      </w:r>
      <w:r>
        <w:rPr>
          <w:rFonts w:ascii="宋体" w:hAnsi="宋体"/>
          <w:szCs w:val="21"/>
          <w:lang w:val="en-GB"/>
        </w:rPr>
        <w:t>基础上，根据路网实际</w:t>
      </w:r>
      <w:r>
        <w:rPr>
          <w:rFonts w:hint="eastAsia" w:ascii="宋体" w:hAnsi="宋体"/>
          <w:szCs w:val="21"/>
          <w:lang w:val="en-GB"/>
        </w:rPr>
        <w:t>控制</w:t>
      </w:r>
      <w:r>
        <w:rPr>
          <w:rFonts w:ascii="宋体" w:hAnsi="宋体"/>
          <w:szCs w:val="21"/>
          <w:lang w:val="en-GB"/>
        </w:rPr>
        <w:t>需求</w:t>
      </w:r>
      <w:r>
        <w:rPr>
          <w:rFonts w:hint="eastAsia" w:ascii="宋体" w:hAnsi="宋体"/>
          <w:szCs w:val="21"/>
          <w:lang w:val="en-GB"/>
        </w:rPr>
        <w:t>制定</w:t>
      </w:r>
      <w:r>
        <w:rPr>
          <w:rFonts w:ascii="宋体" w:hAnsi="宋体"/>
          <w:szCs w:val="21"/>
          <w:lang w:val="en-GB"/>
        </w:rPr>
        <w:t>有针对性的控制目标</w:t>
      </w:r>
      <w:r>
        <w:rPr>
          <w:rFonts w:hint="eastAsia" w:ascii="宋体" w:hAnsi="宋体"/>
          <w:szCs w:val="21"/>
          <w:lang w:val="en-GB"/>
        </w:rPr>
        <w:t>和</w:t>
      </w:r>
      <w:r>
        <w:rPr>
          <w:rFonts w:ascii="宋体" w:hAnsi="宋体"/>
          <w:szCs w:val="21"/>
          <w:lang w:val="en-GB"/>
        </w:rPr>
        <w:t>信号控制模型，针对协调</w:t>
      </w:r>
      <w:r>
        <w:rPr>
          <w:rFonts w:hint="eastAsia" w:ascii="宋体" w:hAnsi="宋体"/>
          <w:szCs w:val="21"/>
          <w:lang w:val="en-GB"/>
        </w:rPr>
        <w:t>道路上所有</w:t>
      </w:r>
      <w:r>
        <w:rPr>
          <w:rFonts w:ascii="宋体" w:hAnsi="宋体"/>
          <w:szCs w:val="21"/>
          <w:lang w:val="en-GB"/>
        </w:rPr>
        <w:t>交叉口的不同公共信号周期取值</w:t>
      </w:r>
      <w:r>
        <w:rPr>
          <w:rFonts w:hint="eastAsia" w:ascii="宋体" w:hAnsi="宋体"/>
          <w:szCs w:val="21"/>
          <w:lang w:val="en-GB"/>
        </w:rPr>
        <w:t>、</w:t>
      </w:r>
      <w:r>
        <w:rPr>
          <w:rFonts w:ascii="宋体" w:hAnsi="宋体"/>
          <w:szCs w:val="21"/>
          <w:lang w:val="en-GB"/>
        </w:rPr>
        <w:t>不同交叉口间相序</w:t>
      </w:r>
      <w:r>
        <w:rPr>
          <w:rFonts w:hint="eastAsia" w:ascii="宋体" w:hAnsi="宋体"/>
          <w:szCs w:val="21"/>
          <w:lang w:val="en-GB"/>
        </w:rPr>
        <w:t>（相位组合）</w:t>
      </w:r>
      <w:r>
        <w:rPr>
          <w:rFonts w:ascii="宋体" w:hAnsi="宋体"/>
          <w:szCs w:val="21"/>
          <w:lang w:val="en-GB"/>
        </w:rPr>
        <w:t>、</w:t>
      </w:r>
      <w:r>
        <w:rPr>
          <w:rFonts w:hint="eastAsia" w:ascii="宋体" w:hAnsi="宋体"/>
          <w:szCs w:val="21"/>
          <w:lang w:val="en-GB"/>
        </w:rPr>
        <w:t>交叉口不同</w:t>
      </w:r>
      <w:r>
        <w:rPr>
          <w:rFonts w:ascii="宋体" w:hAnsi="宋体"/>
          <w:szCs w:val="21"/>
          <w:lang w:val="en-GB"/>
        </w:rPr>
        <w:t>相位绿信比</w:t>
      </w:r>
      <w:r>
        <w:rPr>
          <w:rFonts w:hint="eastAsia" w:ascii="宋体" w:hAnsi="宋体"/>
          <w:szCs w:val="21"/>
          <w:lang w:val="en-GB"/>
        </w:rPr>
        <w:t>组合以及不同</w:t>
      </w:r>
      <w:r>
        <w:rPr>
          <w:rFonts w:ascii="宋体" w:hAnsi="宋体"/>
          <w:szCs w:val="21"/>
          <w:lang w:val="en-GB"/>
        </w:rPr>
        <w:t>的子区</w:t>
      </w:r>
      <w:r>
        <w:rPr>
          <w:rFonts w:hint="eastAsia" w:ascii="宋体" w:hAnsi="宋体"/>
          <w:szCs w:val="21"/>
          <w:lang w:val="en-GB"/>
        </w:rPr>
        <w:t>划分</w:t>
      </w:r>
      <w:r>
        <w:rPr>
          <w:rFonts w:ascii="宋体" w:hAnsi="宋体"/>
          <w:szCs w:val="21"/>
          <w:lang w:val="en-GB"/>
        </w:rPr>
        <w:t>方式</w:t>
      </w:r>
      <w:r>
        <w:rPr>
          <w:rFonts w:hint="eastAsia" w:ascii="宋体" w:hAnsi="宋体"/>
          <w:szCs w:val="21"/>
          <w:lang w:val="en-GB"/>
        </w:rPr>
        <w:t>、</w:t>
      </w:r>
      <w:r>
        <w:rPr>
          <w:rFonts w:ascii="宋体" w:hAnsi="宋体"/>
          <w:szCs w:val="21"/>
          <w:lang w:val="en-GB"/>
        </w:rPr>
        <w:t>相邻交叉口相对相位差</w:t>
      </w:r>
      <w:r>
        <w:rPr>
          <w:rFonts w:hint="eastAsia" w:ascii="宋体" w:hAnsi="宋体"/>
          <w:szCs w:val="21"/>
          <w:lang w:val="en-GB"/>
        </w:rPr>
        <w:t>组合，通过比较</w:t>
      </w:r>
      <w:r>
        <w:rPr>
          <w:rFonts w:ascii="宋体" w:hAnsi="宋体"/>
          <w:szCs w:val="21"/>
          <w:lang w:val="en-GB"/>
        </w:rPr>
        <w:t>不同信号配时设计方案的绿波协调控制效果确定最佳的协调控制配时设计方案。</w:t>
      </w:r>
    </w:p>
    <w:p>
      <w:pPr>
        <w:snapToGrid w:val="0"/>
        <w:spacing w:line="300" w:lineRule="auto"/>
        <w:ind w:firstLine="480"/>
        <w:rPr>
          <w:rFonts w:ascii="宋体" w:hAnsi="宋体"/>
          <w:szCs w:val="21"/>
          <w:lang w:val="en-GB"/>
        </w:rPr>
      </w:pPr>
      <w:r>
        <w:rPr>
          <w:rFonts w:hint="eastAsia" w:ascii="宋体" w:hAnsi="宋体"/>
          <w:szCs w:val="21"/>
          <w:lang w:val="en-GB"/>
        </w:rPr>
        <w:t>主要工作内容：在道路交通运行数据调查分析的基础上开展协调控制</w:t>
      </w:r>
      <w:r>
        <w:rPr>
          <w:rFonts w:ascii="宋体" w:hAnsi="宋体"/>
          <w:szCs w:val="21"/>
          <w:lang w:val="en-GB"/>
        </w:rPr>
        <w:t>方案设计</w:t>
      </w:r>
      <w:r>
        <w:rPr>
          <w:rFonts w:hint="eastAsia" w:ascii="宋体" w:hAnsi="宋体"/>
          <w:szCs w:val="21"/>
          <w:lang w:val="en-GB"/>
        </w:rPr>
        <w:t>、方案实施及</w:t>
      </w:r>
      <w:r>
        <w:rPr>
          <w:rFonts w:ascii="宋体" w:hAnsi="宋体"/>
          <w:szCs w:val="21"/>
          <w:lang w:val="en-GB"/>
        </w:rPr>
        <w:t>运行</w:t>
      </w:r>
      <w:r>
        <w:rPr>
          <w:rFonts w:hint="eastAsia" w:ascii="宋体" w:hAnsi="宋体"/>
          <w:szCs w:val="21"/>
          <w:lang w:val="en-GB"/>
        </w:rPr>
        <w:t>效果评估、</w:t>
      </w:r>
      <w:r>
        <w:rPr>
          <w:rFonts w:ascii="宋体" w:hAnsi="宋体"/>
          <w:szCs w:val="21"/>
          <w:lang w:val="en-GB"/>
        </w:rPr>
        <w:t>方案跟踪维护</w:t>
      </w:r>
      <w:r>
        <w:rPr>
          <w:rFonts w:hint="eastAsia" w:ascii="宋体" w:hAnsi="宋体"/>
          <w:szCs w:val="21"/>
          <w:lang w:val="en-GB"/>
        </w:rPr>
        <w:t>等，</w:t>
      </w:r>
      <w:r>
        <w:rPr>
          <w:rFonts w:ascii="宋体" w:hAnsi="宋体"/>
          <w:szCs w:val="21"/>
          <w:lang w:val="en-GB"/>
        </w:rPr>
        <w:t>如下图所示</w:t>
      </w:r>
      <w:r>
        <w:rPr>
          <w:rFonts w:hint="eastAsia" w:ascii="宋体" w:hAnsi="宋体"/>
          <w:szCs w:val="21"/>
          <w:lang w:val="en-GB"/>
        </w:rPr>
        <w:t>：</w:t>
      </w:r>
    </w:p>
    <w:p>
      <w:pPr>
        <w:spacing w:line="300" w:lineRule="auto"/>
        <w:ind w:firstLine="480"/>
        <w:rPr>
          <w:rFonts w:ascii="宋体" w:hAnsi="宋体"/>
        </w:rPr>
      </w:pPr>
    </w:p>
    <w:p>
      <w:pPr>
        <w:spacing w:line="300" w:lineRule="auto"/>
        <w:ind w:firstLine="480"/>
        <w:jc w:val="center"/>
      </w:pPr>
      <w:r>
        <w:rPr>
          <w:rFonts w:ascii="宋体" w:hAnsi="宋体"/>
        </w:rPr>
        <w:drawing>
          <wp:inline distT="0" distB="0" distL="114300" distR="114300">
            <wp:extent cx="3997325" cy="5835650"/>
            <wp:effectExtent l="0" t="0" r="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7" cstate="print"/>
                    <a:stretch>
                      <a:fillRect/>
                    </a:stretch>
                  </pic:blipFill>
                  <pic:spPr>
                    <a:xfrm>
                      <a:off x="0" y="0"/>
                      <a:ext cx="3997325" cy="5835650"/>
                    </a:xfrm>
                    <a:prstGeom prst="rect">
                      <a:avLst/>
                    </a:prstGeom>
                    <a:noFill/>
                    <a:ln>
                      <a:noFill/>
                    </a:ln>
                  </pic:spPr>
                </pic:pic>
              </a:graphicData>
            </a:graphic>
          </wp:inline>
        </w:drawing>
      </w:r>
    </w:p>
    <w:p>
      <w:pPr>
        <w:snapToGrid w:val="0"/>
        <w:spacing w:line="300" w:lineRule="auto"/>
        <w:ind w:firstLine="480"/>
        <w:rPr>
          <w:rFonts w:ascii="宋体" w:hAnsi="宋体"/>
          <w:szCs w:val="21"/>
          <w:lang w:val="en-GB"/>
        </w:rPr>
      </w:pPr>
      <w:r>
        <w:rPr>
          <w:rFonts w:hint="eastAsia" w:ascii="宋体" w:hAnsi="宋体"/>
          <w:szCs w:val="21"/>
          <w:lang w:val="en-GB"/>
        </w:rPr>
        <w:t>（1）协调控制方案设计</w:t>
      </w:r>
    </w:p>
    <w:p>
      <w:pPr>
        <w:snapToGrid w:val="0"/>
        <w:spacing w:line="300" w:lineRule="auto"/>
        <w:ind w:firstLine="480"/>
        <w:rPr>
          <w:rFonts w:ascii="宋体" w:hAnsi="宋体"/>
          <w:szCs w:val="21"/>
          <w:lang w:val="en-GB"/>
        </w:rPr>
      </w:pPr>
      <w:r>
        <w:rPr>
          <w:rFonts w:hint="eastAsia" w:ascii="宋体" w:hAnsi="宋体"/>
          <w:szCs w:val="21"/>
          <w:lang w:val="en-GB"/>
        </w:rPr>
        <w:t>①协调</w:t>
      </w:r>
      <w:r>
        <w:rPr>
          <w:rFonts w:ascii="宋体" w:hAnsi="宋体"/>
          <w:szCs w:val="21"/>
          <w:lang w:val="en-GB"/>
        </w:rPr>
        <w:t>控制时段划分</w:t>
      </w:r>
      <w:r>
        <w:rPr>
          <w:rFonts w:hint="eastAsia" w:ascii="宋体" w:hAnsi="宋体"/>
          <w:szCs w:val="21"/>
          <w:lang w:val="en-GB"/>
        </w:rPr>
        <w:t>——</w:t>
      </w:r>
      <w:r>
        <w:rPr>
          <w:rFonts w:ascii="宋体" w:hAnsi="宋体"/>
          <w:szCs w:val="21"/>
          <w:lang w:val="en-GB"/>
        </w:rPr>
        <w:t>全天交通状态变化随市民</w:t>
      </w:r>
      <w:r>
        <w:rPr>
          <w:rFonts w:hint="eastAsia" w:ascii="宋体" w:hAnsi="宋体"/>
          <w:szCs w:val="21"/>
          <w:lang w:val="en-GB"/>
        </w:rPr>
        <w:t>上下班</w:t>
      </w:r>
      <w:r>
        <w:rPr>
          <w:rFonts w:ascii="宋体" w:hAnsi="宋体"/>
          <w:szCs w:val="21"/>
          <w:lang w:val="en-GB"/>
        </w:rPr>
        <w:t>时间具有明显的时段特征</w:t>
      </w:r>
      <w:r>
        <w:rPr>
          <w:rFonts w:hint="eastAsia" w:ascii="宋体" w:hAnsi="宋体"/>
          <w:szCs w:val="21"/>
          <w:lang w:val="en-GB"/>
        </w:rPr>
        <w:t>,一周</w:t>
      </w:r>
      <w:r>
        <w:rPr>
          <w:rFonts w:ascii="宋体" w:hAnsi="宋体"/>
          <w:szCs w:val="21"/>
          <w:lang w:val="en-GB"/>
        </w:rPr>
        <w:t>交通状态随市民的出行需求具有明显的</w:t>
      </w:r>
      <w:r>
        <w:rPr>
          <w:rFonts w:hint="eastAsia" w:ascii="宋体" w:hAnsi="宋体"/>
          <w:szCs w:val="21"/>
          <w:lang w:val="en-GB"/>
        </w:rPr>
        <w:t>工作日和非工作日变化</w:t>
      </w:r>
      <w:r>
        <w:rPr>
          <w:rFonts w:ascii="宋体" w:hAnsi="宋体"/>
          <w:szCs w:val="21"/>
          <w:lang w:val="en-GB"/>
        </w:rPr>
        <w:t>，所以协调时段的划分</w:t>
      </w:r>
      <w:r>
        <w:rPr>
          <w:rFonts w:hint="eastAsia" w:ascii="宋体" w:hAnsi="宋体"/>
          <w:szCs w:val="21"/>
          <w:lang w:val="en-GB"/>
        </w:rPr>
        <w:t>本质</w:t>
      </w:r>
      <w:r>
        <w:rPr>
          <w:rFonts w:ascii="宋体" w:hAnsi="宋体"/>
          <w:szCs w:val="21"/>
          <w:lang w:val="en-GB"/>
        </w:rPr>
        <w:t>是根据交通状态的时段变化规律，</w:t>
      </w:r>
      <w:r>
        <w:rPr>
          <w:rFonts w:hint="eastAsia" w:ascii="宋体" w:hAnsi="宋体"/>
          <w:szCs w:val="21"/>
          <w:lang w:val="en-GB"/>
        </w:rPr>
        <w:t>进行</w:t>
      </w:r>
      <w:r>
        <w:rPr>
          <w:rFonts w:ascii="宋体" w:hAnsi="宋体"/>
          <w:szCs w:val="21"/>
          <w:lang w:val="en-GB"/>
        </w:rPr>
        <w:t>交通状态划分</w:t>
      </w:r>
      <w:r>
        <w:rPr>
          <w:rFonts w:hint="eastAsia" w:ascii="宋体" w:hAnsi="宋体"/>
          <w:szCs w:val="21"/>
          <w:lang w:val="en-GB"/>
        </w:rPr>
        <w:t>，能够准确区分全天</w:t>
      </w:r>
      <w:r>
        <w:rPr>
          <w:rFonts w:ascii="宋体" w:hAnsi="宋体"/>
          <w:szCs w:val="21"/>
          <w:lang w:val="en-GB"/>
        </w:rPr>
        <w:t>交通峰值</w:t>
      </w:r>
      <w:r>
        <w:rPr>
          <w:rFonts w:hint="eastAsia" w:ascii="宋体" w:hAnsi="宋体"/>
          <w:szCs w:val="21"/>
          <w:lang w:val="en-GB"/>
        </w:rPr>
        <w:t>不同时段（一般</w:t>
      </w:r>
      <w:r>
        <w:rPr>
          <w:rFonts w:ascii="宋体" w:hAnsi="宋体"/>
          <w:szCs w:val="21"/>
          <w:lang w:val="en-GB"/>
        </w:rPr>
        <w:t>有早高峰时段、午高峰时段、晚高峰时段、平峰时段、低峰时段</w:t>
      </w:r>
      <w:r>
        <w:rPr>
          <w:rFonts w:hint="eastAsia" w:ascii="宋体" w:hAnsi="宋体"/>
          <w:szCs w:val="21"/>
          <w:lang w:val="en-GB"/>
        </w:rPr>
        <w:t>五种</w:t>
      </w:r>
      <w:r>
        <w:rPr>
          <w:rFonts w:ascii="宋体" w:hAnsi="宋体"/>
          <w:szCs w:val="21"/>
          <w:lang w:val="en-GB"/>
        </w:rPr>
        <w:t>时段类型</w:t>
      </w:r>
      <w:r>
        <w:rPr>
          <w:rFonts w:hint="eastAsia" w:ascii="宋体" w:hAnsi="宋体"/>
          <w:szCs w:val="21"/>
          <w:lang w:val="en-GB"/>
        </w:rPr>
        <w:t>，</w:t>
      </w:r>
      <w:r>
        <w:rPr>
          <w:rFonts w:ascii="宋体" w:hAnsi="宋体"/>
          <w:szCs w:val="21"/>
          <w:lang w:val="en-GB"/>
        </w:rPr>
        <w:t>早高峰是上班高峰，午高峰</w:t>
      </w:r>
      <w:r>
        <w:rPr>
          <w:rFonts w:hint="eastAsia" w:ascii="宋体" w:hAnsi="宋体"/>
          <w:szCs w:val="21"/>
          <w:lang w:val="en-GB"/>
        </w:rPr>
        <w:t>又</w:t>
      </w:r>
      <w:r>
        <w:rPr>
          <w:rFonts w:ascii="宋体" w:hAnsi="宋体"/>
          <w:szCs w:val="21"/>
          <w:lang w:val="en-GB"/>
        </w:rPr>
        <w:t>可以分为上班午高峰和下班午高峰，晚高峰是下班高峰</w:t>
      </w:r>
      <w:r>
        <w:rPr>
          <w:rFonts w:hint="eastAsia" w:ascii="宋体" w:hAnsi="宋体"/>
          <w:szCs w:val="21"/>
          <w:lang w:val="en-GB"/>
        </w:rPr>
        <w:t>，</w:t>
      </w:r>
      <w:r>
        <w:rPr>
          <w:rFonts w:ascii="宋体" w:hAnsi="宋体"/>
          <w:szCs w:val="21"/>
          <w:lang w:val="en-GB"/>
        </w:rPr>
        <w:t>根据</w:t>
      </w:r>
      <w:r>
        <w:rPr>
          <w:rFonts w:hint="eastAsia" w:ascii="宋体" w:hAnsi="宋体"/>
          <w:szCs w:val="21"/>
          <w:lang w:val="en-GB"/>
        </w:rPr>
        <w:t>道路</w:t>
      </w:r>
      <w:r>
        <w:rPr>
          <w:rFonts w:ascii="宋体" w:hAnsi="宋体"/>
          <w:szCs w:val="21"/>
          <w:lang w:val="en-GB"/>
        </w:rPr>
        <w:t>实际出行需求</w:t>
      </w:r>
      <w:r>
        <w:rPr>
          <w:rFonts w:hint="eastAsia" w:ascii="宋体" w:hAnsi="宋体"/>
          <w:szCs w:val="21"/>
          <w:lang w:val="en-GB"/>
        </w:rPr>
        <w:t>进行</w:t>
      </w:r>
      <w:r>
        <w:rPr>
          <w:rFonts w:ascii="宋体" w:hAnsi="宋体"/>
          <w:szCs w:val="21"/>
          <w:lang w:val="en-GB"/>
        </w:rPr>
        <w:t>交通控制时段划分）</w:t>
      </w:r>
      <w:r>
        <w:rPr>
          <w:rFonts w:hint="eastAsia" w:ascii="宋体" w:hAnsi="宋体"/>
          <w:szCs w:val="21"/>
          <w:lang w:val="en-GB"/>
        </w:rPr>
        <w:t>，有效识别非拥堵与拥堵区域，根据不同</w:t>
      </w:r>
      <w:r>
        <w:rPr>
          <w:rFonts w:ascii="宋体" w:hAnsi="宋体"/>
          <w:szCs w:val="21"/>
          <w:lang w:val="en-GB"/>
        </w:rPr>
        <w:t>交通峰值时段下交通状态特点，</w:t>
      </w:r>
      <w:r>
        <w:rPr>
          <w:rFonts w:hint="eastAsia" w:ascii="宋体" w:hAnsi="宋体"/>
          <w:szCs w:val="21"/>
          <w:lang w:val="en-GB"/>
        </w:rPr>
        <w:t>制定</w:t>
      </w:r>
      <w:r>
        <w:rPr>
          <w:rFonts w:ascii="宋体" w:hAnsi="宋体"/>
          <w:szCs w:val="21"/>
          <w:lang w:val="en-GB"/>
        </w:rPr>
        <w:t>有针对性的交通信号协调控制策略，保证</w:t>
      </w:r>
      <w:r>
        <w:rPr>
          <w:rFonts w:hint="eastAsia" w:ascii="宋体" w:hAnsi="宋体"/>
          <w:szCs w:val="21"/>
          <w:lang w:val="en-GB"/>
        </w:rPr>
        <w:t>协调</w:t>
      </w:r>
      <w:r>
        <w:rPr>
          <w:rFonts w:ascii="宋体" w:hAnsi="宋体"/>
          <w:szCs w:val="21"/>
          <w:lang w:val="en-GB"/>
        </w:rPr>
        <w:t>控制</w:t>
      </w:r>
      <w:r>
        <w:rPr>
          <w:rFonts w:hint="eastAsia" w:ascii="宋体" w:hAnsi="宋体"/>
          <w:szCs w:val="21"/>
          <w:lang w:val="en-GB"/>
        </w:rPr>
        <w:t>方案对</w:t>
      </w:r>
      <w:r>
        <w:rPr>
          <w:rFonts w:ascii="宋体" w:hAnsi="宋体"/>
          <w:szCs w:val="21"/>
          <w:lang w:val="en-GB"/>
        </w:rPr>
        <w:t>交通</w:t>
      </w:r>
      <w:r>
        <w:rPr>
          <w:rFonts w:hint="eastAsia" w:ascii="宋体" w:hAnsi="宋体"/>
          <w:szCs w:val="21"/>
          <w:lang w:val="en-GB"/>
        </w:rPr>
        <w:t>状态</w:t>
      </w:r>
      <w:r>
        <w:rPr>
          <w:rFonts w:ascii="宋体" w:hAnsi="宋体"/>
          <w:szCs w:val="21"/>
          <w:lang w:val="en-GB"/>
        </w:rPr>
        <w:t>的适应性</w:t>
      </w:r>
      <w:r>
        <w:rPr>
          <w:rFonts w:hint="eastAsia" w:ascii="宋体" w:hAnsi="宋体"/>
          <w:szCs w:val="21"/>
          <w:lang w:val="en-GB"/>
        </w:rPr>
        <w:t>。</w:t>
      </w:r>
    </w:p>
    <w:p>
      <w:pPr>
        <w:snapToGrid w:val="0"/>
        <w:spacing w:line="300" w:lineRule="auto"/>
        <w:ind w:firstLine="480"/>
        <w:rPr>
          <w:rFonts w:ascii="宋体" w:hAnsi="宋体"/>
          <w:szCs w:val="21"/>
          <w:lang w:val="en-GB"/>
        </w:rPr>
      </w:pPr>
      <w:r>
        <w:rPr>
          <w:rFonts w:hint="eastAsia" w:ascii="宋体" w:hAnsi="宋体"/>
          <w:szCs w:val="21"/>
          <w:lang w:val="en-GB"/>
        </w:rPr>
        <w:t>②控制子区划分</w:t>
      </w:r>
      <w:r>
        <w:rPr>
          <w:rFonts w:ascii="宋体" w:hAnsi="宋体"/>
          <w:szCs w:val="21"/>
          <w:lang w:val="en-GB"/>
        </w:rPr>
        <w:t>——</w:t>
      </w:r>
      <w:r>
        <w:rPr>
          <w:rFonts w:hint="eastAsia" w:ascii="宋体" w:hAnsi="宋体"/>
          <w:szCs w:val="21"/>
          <w:lang w:val="en-GB"/>
        </w:rPr>
        <w:t>能够</w:t>
      </w:r>
      <w:r>
        <w:rPr>
          <w:rFonts w:ascii="宋体" w:hAnsi="宋体"/>
          <w:szCs w:val="21"/>
          <w:lang w:val="en-GB"/>
        </w:rPr>
        <w:t>实现最佳协调控制效果的所有交叉口</w:t>
      </w:r>
      <w:r>
        <w:rPr>
          <w:rFonts w:hint="eastAsia" w:ascii="宋体" w:hAnsi="宋体"/>
          <w:szCs w:val="21"/>
          <w:lang w:val="en-GB"/>
        </w:rPr>
        <w:t>形成</w:t>
      </w:r>
      <w:r>
        <w:rPr>
          <w:rFonts w:ascii="宋体" w:hAnsi="宋体"/>
          <w:szCs w:val="21"/>
          <w:lang w:val="en-GB"/>
        </w:rPr>
        <w:t>一个控制子区，</w:t>
      </w:r>
      <w:r>
        <w:rPr>
          <w:rFonts w:hint="eastAsia" w:ascii="宋体" w:hAnsi="宋体"/>
          <w:szCs w:val="21"/>
          <w:lang w:val="en-GB"/>
        </w:rPr>
        <w:t>协调</w:t>
      </w:r>
      <w:r>
        <w:rPr>
          <w:rFonts w:ascii="宋体" w:hAnsi="宋体"/>
          <w:szCs w:val="21"/>
          <w:lang w:val="en-GB"/>
        </w:rPr>
        <w:t>控制子区不完全依据道路</w:t>
      </w:r>
      <w:r>
        <w:rPr>
          <w:rFonts w:hint="eastAsia" w:ascii="宋体" w:hAnsi="宋体"/>
          <w:szCs w:val="21"/>
          <w:lang w:val="en-GB"/>
        </w:rPr>
        <w:t>命名</w:t>
      </w:r>
      <w:r>
        <w:rPr>
          <w:rFonts w:ascii="宋体" w:hAnsi="宋体"/>
          <w:szCs w:val="21"/>
          <w:lang w:val="en-GB"/>
        </w:rPr>
        <w:t>划分，而是</w:t>
      </w:r>
      <w:r>
        <w:rPr>
          <w:rFonts w:hint="eastAsia" w:ascii="宋体" w:hAnsi="宋体"/>
          <w:szCs w:val="21"/>
          <w:lang w:val="en-GB"/>
        </w:rPr>
        <w:t>根据路网结构、路段流量以及路口配时要求进行控制子区划分，交叉口</w:t>
      </w:r>
      <w:r>
        <w:rPr>
          <w:rFonts w:ascii="宋体" w:hAnsi="宋体"/>
          <w:szCs w:val="21"/>
          <w:lang w:val="en-GB"/>
        </w:rPr>
        <w:t>交通通行能力相近、信号控制周期相近、</w:t>
      </w:r>
      <w:r>
        <w:rPr>
          <w:rFonts w:hint="eastAsia" w:ascii="宋体" w:hAnsi="宋体"/>
          <w:szCs w:val="21"/>
          <w:lang w:val="en-GB"/>
        </w:rPr>
        <w:t>交叉口</w:t>
      </w:r>
      <w:r>
        <w:rPr>
          <w:rFonts w:ascii="宋体" w:hAnsi="宋体"/>
          <w:szCs w:val="21"/>
          <w:lang w:val="en-GB"/>
        </w:rPr>
        <w:t>间路段上交通流离散</w:t>
      </w:r>
      <w:r>
        <w:rPr>
          <w:rFonts w:hint="eastAsia" w:ascii="宋体" w:hAnsi="宋体"/>
          <w:szCs w:val="21"/>
          <w:lang w:val="en-GB"/>
        </w:rPr>
        <w:t>效果</w:t>
      </w:r>
      <w:r>
        <w:rPr>
          <w:rFonts w:ascii="宋体" w:hAnsi="宋体"/>
          <w:szCs w:val="21"/>
          <w:lang w:val="en-GB"/>
        </w:rPr>
        <w:t>不明显，</w:t>
      </w:r>
      <w:r>
        <w:rPr>
          <w:rFonts w:hint="eastAsia" w:ascii="宋体" w:hAnsi="宋体"/>
          <w:szCs w:val="21"/>
          <w:lang w:val="en-GB"/>
        </w:rPr>
        <w:t>交通</w:t>
      </w:r>
      <w:r>
        <w:rPr>
          <w:rFonts w:ascii="宋体" w:hAnsi="宋体"/>
          <w:szCs w:val="21"/>
          <w:lang w:val="en-GB"/>
        </w:rPr>
        <w:t>间距在</w:t>
      </w:r>
      <w:r>
        <w:rPr>
          <w:rFonts w:hint="eastAsia" w:ascii="宋体" w:hAnsi="宋体"/>
          <w:szCs w:val="21"/>
          <w:lang w:val="en-GB"/>
        </w:rPr>
        <w:t>800米</w:t>
      </w:r>
      <w:r>
        <w:rPr>
          <w:rFonts w:ascii="宋体" w:hAnsi="宋体"/>
          <w:szCs w:val="21"/>
          <w:lang w:val="en-GB"/>
        </w:rPr>
        <w:t>之内的路口</w:t>
      </w:r>
      <w:r>
        <w:rPr>
          <w:rFonts w:hint="eastAsia" w:ascii="宋体" w:hAnsi="宋体"/>
          <w:szCs w:val="21"/>
          <w:lang w:val="en-GB"/>
        </w:rPr>
        <w:t>一般划分</w:t>
      </w:r>
      <w:r>
        <w:rPr>
          <w:rFonts w:ascii="宋体" w:hAnsi="宋体"/>
          <w:szCs w:val="21"/>
          <w:lang w:val="en-GB"/>
        </w:rPr>
        <w:t>到一个协调控制子区</w:t>
      </w:r>
      <w:r>
        <w:rPr>
          <w:rFonts w:hint="eastAsia" w:ascii="宋体" w:hAnsi="宋体"/>
          <w:szCs w:val="21"/>
          <w:lang w:val="en-GB"/>
        </w:rPr>
        <w:t>。</w:t>
      </w:r>
    </w:p>
    <w:p>
      <w:pPr>
        <w:snapToGrid w:val="0"/>
        <w:spacing w:line="300" w:lineRule="auto"/>
        <w:ind w:firstLine="480"/>
        <w:rPr>
          <w:rFonts w:ascii="宋体" w:hAnsi="宋体"/>
          <w:szCs w:val="21"/>
          <w:lang w:val="en-GB"/>
        </w:rPr>
      </w:pPr>
      <w:r>
        <w:rPr>
          <w:rFonts w:hint="eastAsia" w:ascii="宋体" w:hAnsi="宋体"/>
          <w:szCs w:val="21"/>
          <w:lang w:val="en-GB"/>
        </w:rPr>
        <w:t>③交通</w:t>
      </w:r>
      <w:r>
        <w:rPr>
          <w:rFonts w:ascii="宋体" w:hAnsi="宋体"/>
          <w:szCs w:val="21"/>
          <w:lang w:val="en-GB"/>
        </w:rPr>
        <w:t>信号</w:t>
      </w:r>
      <w:r>
        <w:rPr>
          <w:rFonts w:hint="eastAsia" w:ascii="宋体" w:hAnsi="宋体"/>
          <w:szCs w:val="21"/>
          <w:lang w:val="en-GB"/>
        </w:rPr>
        <w:t>协调控制</w:t>
      </w:r>
      <w:r>
        <w:rPr>
          <w:rFonts w:ascii="宋体" w:hAnsi="宋体"/>
          <w:szCs w:val="21"/>
          <w:lang w:val="en-GB"/>
        </w:rPr>
        <w:t>——</w:t>
      </w:r>
      <w:r>
        <w:rPr>
          <w:rFonts w:hint="eastAsia" w:ascii="宋体" w:hAnsi="宋体"/>
          <w:szCs w:val="21"/>
          <w:lang w:val="en-GB"/>
        </w:rPr>
        <w:t>能够满足主干道（</w:t>
      </w:r>
      <w:r>
        <w:rPr>
          <w:rFonts w:ascii="宋体" w:hAnsi="宋体"/>
          <w:szCs w:val="21"/>
          <w:lang w:val="en-GB"/>
        </w:rPr>
        <w:t>10</w:t>
      </w:r>
      <w:r>
        <w:rPr>
          <w:rFonts w:hint="eastAsia" w:ascii="宋体" w:hAnsi="宋体"/>
          <w:szCs w:val="21"/>
          <w:lang w:val="en-GB"/>
        </w:rPr>
        <w:t>个交叉口以上）双向绿波协调控制、潮汐流</w:t>
      </w:r>
      <w:r>
        <w:rPr>
          <w:rFonts w:ascii="宋体" w:hAnsi="宋体"/>
          <w:szCs w:val="21"/>
          <w:lang w:val="en-GB"/>
        </w:rPr>
        <w:t>协调控制、红波协调控制</w:t>
      </w:r>
      <w:r>
        <w:rPr>
          <w:rFonts w:hint="eastAsia" w:ascii="宋体" w:hAnsi="宋体"/>
          <w:szCs w:val="21"/>
          <w:lang w:val="en-GB"/>
        </w:rPr>
        <w:t>、</w:t>
      </w:r>
      <w:r>
        <w:rPr>
          <w:rFonts w:ascii="宋体" w:hAnsi="宋体"/>
          <w:szCs w:val="21"/>
          <w:lang w:val="en-GB"/>
        </w:rPr>
        <w:t>干道支路转入车流协调控制</w:t>
      </w:r>
      <w:r>
        <w:rPr>
          <w:rFonts w:hint="eastAsia" w:ascii="宋体" w:hAnsi="宋体"/>
          <w:szCs w:val="21"/>
          <w:lang w:val="en-GB"/>
        </w:rPr>
        <w:t>等不同交通</w:t>
      </w:r>
      <w:r>
        <w:rPr>
          <w:rFonts w:ascii="宋体" w:hAnsi="宋体"/>
          <w:szCs w:val="21"/>
          <w:lang w:val="en-GB"/>
        </w:rPr>
        <w:t>信号</w:t>
      </w:r>
      <w:r>
        <w:rPr>
          <w:rFonts w:hint="eastAsia" w:ascii="宋体" w:hAnsi="宋体"/>
          <w:szCs w:val="21"/>
          <w:lang w:val="en-GB"/>
        </w:rPr>
        <w:t>协调控制需求；能够实现相交主干道绿波协调控制、区域主</w:t>
      </w:r>
      <w:r>
        <w:rPr>
          <w:rFonts w:ascii="宋体" w:hAnsi="宋体"/>
          <w:szCs w:val="21"/>
          <w:lang w:val="en-GB"/>
        </w:rPr>
        <w:t>/</w:t>
      </w:r>
      <w:r>
        <w:rPr>
          <w:rFonts w:hint="eastAsia" w:ascii="宋体" w:hAnsi="宋体"/>
          <w:szCs w:val="21"/>
          <w:lang w:val="en-GB"/>
        </w:rPr>
        <w:t>次干道绿波协调控制，满足平峰期的区域协调控制效果；能够控制拥堵交叉口、拥堵路段以及所在区域的排队长度，缓解早晚高峰期的交通拥堵状况。</w:t>
      </w:r>
    </w:p>
    <w:p>
      <w:pPr>
        <w:snapToGrid w:val="0"/>
        <w:spacing w:line="300" w:lineRule="auto"/>
        <w:ind w:firstLine="480"/>
        <w:rPr>
          <w:rFonts w:ascii="宋体" w:hAnsi="宋体"/>
          <w:szCs w:val="21"/>
          <w:lang w:val="en-GB"/>
        </w:rPr>
      </w:pPr>
      <w:r>
        <w:rPr>
          <w:rFonts w:hint="eastAsia" w:ascii="宋体" w:hAnsi="宋体"/>
          <w:szCs w:val="21"/>
          <w:lang w:val="en-GB"/>
        </w:rPr>
        <w:t>(</w:t>
      </w:r>
      <w:r>
        <w:rPr>
          <w:rFonts w:ascii="宋体" w:hAnsi="宋体"/>
          <w:szCs w:val="21"/>
          <w:lang w:val="en-GB"/>
        </w:rPr>
        <w:t>2</w:t>
      </w:r>
      <w:r>
        <w:rPr>
          <w:rFonts w:hint="eastAsia" w:ascii="宋体" w:hAnsi="宋体"/>
          <w:szCs w:val="21"/>
          <w:lang w:val="en-GB"/>
        </w:rPr>
        <w:t>)方案</w:t>
      </w:r>
      <w:r>
        <w:rPr>
          <w:rFonts w:ascii="宋体" w:hAnsi="宋体"/>
          <w:szCs w:val="21"/>
          <w:lang w:val="en-GB"/>
        </w:rPr>
        <w:t>实施</w:t>
      </w:r>
      <w:r>
        <w:rPr>
          <w:rFonts w:hint="eastAsia" w:ascii="宋体" w:hAnsi="宋体"/>
          <w:szCs w:val="21"/>
          <w:lang w:val="en-GB"/>
        </w:rPr>
        <w:t>及</w:t>
      </w:r>
      <w:r>
        <w:rPr>
          <w:rFonts w:ascii="宋体" w:hAnsi="宋体"/>
          <w:szCs w:val="21"/>
          <w:lang w:val="en-GB"/>
        </w:rPr>
        <w:t>运行效果评估</w:t>
      </w:r>
    </w:p>
    <w:p>
      <w:pPr>
        <w:snapToGrid w:val="0"/>
        <w:spacing w:line="300" w:lineRule="auto"/>
        <w:ind w:firstLine="480"/>
        <w:rPr>
          <w:rFonts w:ascii="宋体" w:hAnsi="宋体"/>
          <w:szCs w:val="21"/>
          <w:lang w:val="en-GB"/>
        </w:rPr>
      </w:pPr>
      <w:r>
        <w:rPr>
          <w:rFonts w:hint="eastAsia" w:ascii="宋体" w:hAnsi="宋体"/>
          <w:szCs w:val="21"/>
          <w:lang w:val="en-GB"/>
        </w:rPr>
        <w:t>对</w:t>
      </w:r>
      <w:r>
        <w:rPr>
          <w:rFonts w:ascii="宋体" w:hAnsi="宋体"/>
          <w:szCs w:val="21"/>
          <w:lang w:val="en-GB"/>
        </w:rPr>
        <w:t>方案进行实施，并根据</w:t>
      </w:r>
      <w:r>
        <w:rPr>
          <w:rFonts w:hint="eastAsia" w:ascii="宋体" w:hAnsi="宋体"/>
          <w:szCs w:val="21"/>
          <w:lang w:val="en-GB"/>
        </w:rPr>
        <w:t>实际</w:t>
      </w:r>
      <w:r>
        <w:rPr>
          <w:rFonts w:ascii="宋体" w:hAnsi="宋体"/>
          <w:szCs w:val="21"/>
          <w:lang w:val="en-GB"/>
        </w:rPr>
        <w:t>实施效果进行方案调整优化，记录最终方案的运行效果（</w:t>
      </w:r>
      <w:r>
        <w:rPr>
          <w:rFonts w:hint="eastAsia" w:ascii="宋体" w:hAnsi="宋体"/>
          <w:szCs w:val="21"/>
          <w:lang w:val="en-GB"/>
        </w:rPr>
        <w:t>记录</w:t>
      </w:r>
      <w:r>
        <w:rPr>
          <w:rFonts w:ascii="宋体" w:hAnsi="宋体"/>
          <w:szCs w:val="21"/>
          <w:lang w:val="en-GB"/>
        </w:rPr>
        <w:t>指标：</w:t>
      </w:r>
      <w:r>
        <w:rPr>
          <w:rFonts w:hint="eastAsia" w:ascii="宋体" w:hAnsi="宋体"/>
          <w:szCs w:val="21"/>
          <w:lang w:val="en-GB"/>
        </w:rPr>
        <w:t>平均</w:t>
      </w:r>
      <w:r>
        <w:rPr>
          <w:rFonts w:ascii="宋体" w:hAnsi="宋体"/>
          <w:szCs w:val="21"/>
          <w:lang w:val="en-GB"/>
        </w:rPr>
        <w:t>行程时间、平均停车次数、平均延误等）</w:t>
      </w:r>
      <w:r>
        <w:rPr>
          <w:rFonts w:hint="eastAsia" w:ascii="宋体" w:hAnsi="宋体"/>
          <w:szCs w:val="21"/>
          <w:lang w:val="en-GB"/>
        </w:rPr>
        <w:t>。</w:t>
      </w:r>
    </w:p>
    <w:p>
      <w:pPr>
        <w:snapToGrid w:val="0"/>
        <w:spacing w:line="300" w:lineRule="auto"/>
        <w:ind w:firstLine="480"/>
        <w:rPr>
          <w:rFonts w:ascii="宋体" w:hAnsi="宋体"/>
          <w:szCs w:val="21"/>
          <w:lang w:val="en-GB"/>
        </w:rPr>
      </w:pPr>
      <w:r>
        <w:rPr>
          <w:rFonts w:ascii="宋体" w:hAnsi="宋体"/>
          <w:szCs w:val="21"/>
          <w:lang w:val="en-GB"/>
        </w:rPr>
        <w:t>(3)</w:t>
      </w:r>
      <w:r>
        <w:rPr>
          <w:rFonts w:hint="eastAsia" w:ascii="宋体" w:hAnsi="宋体"/>
          <w:szCs w:val="21"/>
          <w:lang w:val="en-GB"/>
        </w:rPr>
        <w:t xml:space="preserve"> 方案跟踪维护</w:t>
      </w:r>
    </w:p>
    <w:p>
      <w:pPr>
        <w:snapToGrid w:val="0"/>
        <w:spacing w:line="300" w:lineRule="auto"/>
        <w:ind w:firstLine="480"/>
        <w:rPr>
          <w:rFonts w:ascii="宋体" w:hAnsi="宋体"/>
          <w:szCs w:val="21"/>
          <w:lang w:val="en-GB"/>
        </w:rPr>
      </w:pPr>
      <w:r>
        <w:rPr>
          <w:rFonts w:hint="eastAsia" w:ascii="宋体" w:hAnsi="宋体"/>
          <w:szCs w:val="21"/>
          <w:lang w:val="en-GB"/>
        </w:rPr>
        <w:t>对</w:t>
      </w:r>
      <w:r>
        <w:rPr>
          <w:rFonts w:ascii="宋体" w:hAnsi="宋体"/>
          <w:szCs w:val="21"/>
          <w:lang w:val="en-GB"/>
        </w:rPr>
        <w:t>已经实施的信号</w:t>
      </w:r>
      <w:r>
        <w:rPr>
          <w:rFonts w:hint="eastAsia" w:ascii="宋体" w:hAnsi="宋体"/>
          <w:szCs w:val="21"/>
          <w:lang w:val="en-GB"/>
        </w:rPr>
        <w:t>协调</w:t>
      </w:r>
      <w:r>
        <w:rPr>
          <w:rFonts w:ascii="宋体" w:hAnsi="宋体"/>
          <w:szCs w:val="21"/>
          <w:lang w:val="en-GB"/>
        </w:rPr>
        <w:t>控制方案</w:t>
      </w:r>
      <w:r>
        <w:rPr>
          <w:rFonts w:hint="eastAsia" w:ascii="宋体" w:hAnsi="宋体"/>
          <w:szCs w:val="21"/>
          <w:lang w:val="en-GB"/>
        </w:rPr>
        <w:t>运行</w:t>
      </w:r>
      <w:r>
        <w:rPr>
          <w:rFonts w:ascii="宋体" w:hAnsi="宋体"/>
          <w:szCs w:val="21"/>
          <w:lang w:val="en-GB"/>
        </w:rPr>
        <w:t>效果进行定期跟踪，</w:t>
      </w:r>
      <w:r>
        <w:rPr>
          <w:rFonts w:hint="eastAsia" w:ascii="宋体" w:hAnsi="宋体"/>
          <w:szCs w:val="21"/>
          <w:lang w:val="en-GB"/>
        </w:rPr>
        <w:t>当实际</w:t>
      </w:r>
      <w:r>
        <w:rPr>
          <w:rFonts w:ascii="宋体" w:hAnsi="宋体"/>
          <w:szCs w:val="21"/>
          <w:lang w:val="en-GB"/>
        </w:rPr>
        <w:t>交通状态发生较大变化，协调控制方案运行效果不佳时，</w:t>
      </w:r>
      <w:r>
        <w:rPr>
          <w:rFonts w:hint="eastAsia" w:ascii="宋体" w:hAnsi="宋体"/>
          <w:szCs w:val="21"/>
          <w:lang w:val="en-GB"/>
        </w:rPr>
        <w:t>对信号</w:t>
      </w:r>
      <w:r>
        <w:rPr>
          <w:rFonts w:ascii="宋体" w:hAnsi="宋体"/>
          <w:szCs w:val="21"/>
          <w:lang w:val="en-GB"/>
        </w:rPr>
        <w:t>控制方案进行再次优化。</w:t>
      </w:r>
    </w:p>
    <w:p>
      <w:pPr>
        <w:snapToGrid w:val="0"/>
        <w:spacing w:line="300" w:lineRule="auto"/>
        <w:ind w:firstLine="480"/>
        <w:rPr>
          <w:rFonts w:ascii="宋体" w:hAnsi="宋体"/>
          <w:szCs w:val="21"/>
          <w:lang w:val="en-GB"/>
        </w:rPr>
      </w:pPr>
      <w:bookmarkStart w:id="41" w:name="_Toc7184"/>
      <w:r>
        <w:rPr>
          <w:rFonts w:ascii="宋体" w:hAnsi="宋体"/>
          <w:szCs w:val="21"/>
          <w:lang w:val="en-GB"/>
        </w:rPr>
        <w:t>2</w:t>
      </w:r>
      <w:r>
        <w:rPr>
          <w:rFonts w:hint="eastAsia" w:ascii="宋体" w:hAnsi="宋体"/>
          <w:szCs w:val="21"/>
        </w:rPr>
        <w:t>.</w:t>
      </w:r>
      <w:r>
        <w:rPr>
          <w:rFonts w:hint="eastAsia" w:ascii="宋体" w:hAnsi="宋体"/>
          <w:szCs w:val="21"/>
          <w:lang w:val="en-GB"/>
        </w:rPr>
        <w:t>其他相关方案优化</w:t>
      </w:r>
      <w:bookmarkEnd w:id="41"/>
    </w:p>
    <w:p>
      <w:pPr>
        <w:snapToGrid w:val="0"/>
        <w:spacing w:line="300" w:lineRule="auto"/>
        <w:ind w:firstLine="480"/>
        <w:rPr>
          <w:rFonts w:ascii="宋体" w:hAnsi="宋体"/>
          <w:szCs w:val="21"/>
          <w:lang w:val="en-GB"/>
        </w:rPr>
      </w:pPr>
      <w:r>
        <w:rPr>
          <w:rFonts w:hint="eastAsia" w:ascii="宋体" w:hAnsi="宋体"/>
          <w:szCs w:val="21"/>
          <w:lang w:val="en-GB"/>
        </w:rPr>
        <w:t>（</w:t>
      </w:r>
      <w:r>
        <w:rPr>
          <w:rFonts w:ascii="宋体" w:hAnsi="宋体"/>
          <w:szCs w:val="21"/>
          <w:lang w:val="en-GB"/>
        </w:rPr>
        <w:t>1</w:t>
      </w:r>
      <w:r>
        <w:rPr>
          <w:rFonts w:hint="eastAsia" w:ascii="宋体" w:hAnsi="宋体"/>
          <w:szCs w:val="21"/>
          <w:lang w:val="en-GB"/>
        </w:rPr>
        <w:t>）日常问题路口调查及控制方案优化</w:t>
      </w:r>
    </w:p>
    <w:p>
      <w:pPr>
        <w:snapToGrid w:val="0"/>
        <w:spacing w:line="300" w:lineRule="auto"/>
        <w:ind w:firstLine="480"/>
        <w:rPr>
          <w:rFonts w:ascii="宋体" w:hAnsi="宋体"/>
          <w:szCs w:val="21"/>
          <w:lang w:val="en-GB"/>
        </w:rPr>
      </w:pPr>
      <w:r>
        <w:rPr>
          <w:rFonts w:hint="eastAsia" w:ascii="宋体" w:hAnsi="宋体"/>
          <w:szCs w:val="21"/>
          <w:lang w:val="en-GB"/>
        </w:rPr>
        <w:t>针对现有道路交通信号控制系统中信号配时或相位设计不合理等日常问题路口进行补充现状调查，结合交通流运行特征，并根据实际情况对路口控制方案进行优化，提出更加科学、高效的信号配时方案。在有限的道路空间内科学合理地分时、分路、分车种、分流向使用道路，使道路交通始终处于有序、高效运行状态。主要工作包括调查、设计、方案优化、实施、跟踪、再优化等工序。</w:t>
      </w:r>
    </w:p>
    <w:p>
      <w:pPr>
        <w:snapToGrid w:val="0"/>
        <w:spacing w:line="300" w:lineRule="auto"/>
        <w:ind w:firstLine="480"/>
        <w:rPr>
          <w:rFonts w:ascii="宋体" w:hAnsi="宋体"/>
          <w:szCs w:val="21"/>
          <w:lang w:val="en-GB"/>
        </w:rPr>
      </w:pPr>
      <w:r>
        <w:rPr>
          <w:rFonts w:hint="eastAsia" w:ascii="宋体" w:hAnsi="宋体"/>
          <w:szCs w:val="21"/>
          <w:lang w:val="en-GB"/>
        </w:rPr>
        <w:t>（</w:t>
      </w:r>
      <w:r>
        <w:rPr>
          <w:rFonts w:ascii="宋体" w:hAnsi="宋体"/>
          <w:szCs w:val="21"/>
          <w:lang w:val="en-GB"/>
        </w:rPr>
        <w:t>2</w:t>
      </w:r>
      <w:r>
        <w:rPr>
          <w:rFonts w:hint="eastAsia" w:ascii="宋体" w:hAnsi="宋体"/>
          <w:szCs w:val="21"/>
          <w:lang w:val="en-GB"/>
        </w:rPr>
        <w:t>）各渠道问题控制方案优化</w:t>
      </w:r>
    </w:p>
    <w:p>
      <w:pPr>
        <w:snapToGrid w:val="0"/>
        <w:spacing w:line="300" w:lineRule="auto"/>
        <w:ind w:firstLine="480"/>
        <w:rPr>
          <w:rFonts w:ascii="宋体" w:hAnsi="宋体"/>
          <w:szCs w:val="21"/>
          <w:lang w:val="en-GB"/>
        </w:rPr>
      </w:pPr>
      <w:r>
        <w:rPr>
          <w:rFonts w:hint="eastAsia" w:ascii="宋体" w:hAnsi="宋体"/>
          <w:szCs w:val="21"/>
          <w:lang w:val="en-GB"/>
        </w:rPr>
        <w:t>对电视、电话、邮件、网络平台、信访等各种渠道反映的问题，安排专门人员进行统计处理、快速跟进。针对问题路口需要进行必要的补充现状调查，并根据实际情况对路口控制方案进行优化。</w:t>
      </w:r>
    </w:p>
    <w:p>
      <w:pPr>
        <w:snapToGrid w:val="0"/>
        <w:spacing w:line="300" w:lineRule="auto"/>
        <w:ind w:firstLine="480"/>
        <w:rPr>
          <w:rFonts w:ascii="宋体" w:hAnsi="宋体"/>
          <w:szCs w:val="21"/>
          <w:lang w:val="en-GB"/>
        </w:rPr>
      </w:pPr>
      <w:bookmarkStart w:id="42" w:name="_Toc2946"/>
      <w:r>
        <w:rPr>
          <w:rFonts w:hint="eastAsia" w:ascii="宋体" w:hAnsi="宋体"/>
          <w:szCs w:val="21"/>
          <w:lang w:val="en-GB"/>
        </w:rPr>
        <w:t>（3）道路交通警（保）卫工作</w:t>
      </w:r>
      <w:bookmarkEnd w:id="42"/>
    </w:p>
    <w:p>
      <w:pPr>
        <w:snapToGrid w:val="0"/>
        <w:spacing w:line="300" w:lineRule="auto"/>
        <w:ind w:firstLine="480"/>
        <w:rPr>
          <w:rFonts w:ascii="宋体" w:hAnsi="宋体"/>
          <w:szCs w:val="21"/>
          <w:lang w:val="en-GB"/>
        </w:rPr>
      </w:pPr>
      <w:r>
        <w:rPr>
          <w:rFonts w:hint="eastAsia" w:ascii="宋体" w:hAnsi="宋体"/>
          <w:szCs w:val="21"/>
          <w:lang w:val="en-GB"/>
        </w:rPr>
        <w:t>根据活动安排，对警卫车队可能经过线路的道路状况、交通设施、周边的交通环境及人文社会环境等情况，进行详细的调查，制定相应的一路绿灯放行和管控措施具体方案，确保道路交通警卫任务的整体运行和安全。</w:t>
      </w:r>
    </w:p>
    <w:p>
      <w:pPr>
        <w:snapToGrid w:val="0"/>
        <w:spacing w:line="300" w:lineRule="auto"/>
        <w:ind w:firstLine="482"/>
        <w:rPr>
          <w:rFonts w:ascii="宋体" w:hAnsi="宋体"/>
          <w:b/>
          <w:bCs/>
          <w:szCs w:val="21"/>
          <w:lang w:val="en-GB"/>
        </w:rPr>
      </w:pPr>
      <w:r>
        <w:rPr>
          <w:rFonts w:hint="eastAsia" w:ascii="宋体" w:hAnsi="宋体"/>
          <w:b/>
          <w:bCs/>
          <w:szCs w:val="21"/>
          <w:lang w:val="en-GB"/>
        </w:rPr>
        <w:t>（</w:t>
      </w:r>
      <w:r>
        <w:rPr>
          <w:rFonts w:hint="eastAsia" w:ascii="宋体" w:hAnsi="宋体"/>
          <w:b/>
          <w:bCs/>
          <w:szCs w:val="21"/>
        </w:rPr>
        <w:t>五</w:t>
      </w:r>
      <w:r>
        <w:rPr>
          <w:rFonts w:hint="eastAsia" w:ascii="宋体" w:hAnsi="宋体"/>
          <w:b/>
          <w:bCs/>
          <w:szCs w:val="21"/>
          <w:lang w:val="en-GB"/>
        </w:rPr>
        <w:t>）项目建设管控及成果评价</w:t>
      </w:r>
    </w:p>
    <w:p>
      <w:pPr>
        <w:snapToGrid w:val="0"/>
        <w:spacing w:line="300" w:lineRule="auto"/>
        <w:ind w:firstLine="480"/>
        <w:rPr>
          <w:rFonts w:ascii="宋体" w:hAnsi="宋体"/>
          <w:szCs w:val="21"/>
          <w:lang w:val="en-GB"/>
        </w:rPr>
      </w:pPr>
      <w:r>
        <w:rPr>
          <w:rFonts w:ascii="宋体" w:hAnsi="宋体"/>
          <w:szCs w:val="21"/>
          <w:lang w:val="en-GB"/>
        </w:rPr>
        <w:t>通过合理的交通信号协调控制，在任意时段使得交通流能够顺畅、快速、大量地通过城市路网；在交通拥堵发生时，能够快速有效地疏通交通流，彻底改变由于局部交通拥堵导致区域交通瘫痪的状况发生。</w:t>
      </w:r>
    </w:p>
    <w:p>
      <w:pPr>
        <w:snapToGrid w:val="0"/>
        <w:spacing w:line="300" w:lineRule="auto"/>
        <w:ind w:firstLine="480"/>
        <w:rPr>
          <w:rFonts w:ascii="宋体" w:hAnsi="宋体"/>
          <w:szCs w:val="21"/>
          <w:lang w:val="en-GB"/>
        </w:rPr>
      </w:pPr>
      <w:r>
        <w:rPr>
          <w:rFonts w:hint="eastAsia" w:ascii="宋体" w:hAnsi="宋体"/>
          <w:szCs w:val="21"/>
          <w:lang w:val="en-GB"/>
        </w:rPr>
        <w:t>具体评价量化</w:t>
      </w:r>
      <w:r>
        <w:rPr>
          <w:rFonts w:ascii="宋体" w:hAnsi="宋体"/>
          <w:szCs w:val="21"/>
          <w:lang w:val="en-GB"/>
        </w:rPr>
        <w:t>指标：</w:t>
      </w:r>
      <w:r>
        <w:rPr>
          <w:rFonts w:hint="eastAsia" w:ascii="宋体" w:hAnsi="宋体"/>
          <w:szCs w:val="21"/>
          <w:lang w:val="en-GB"/>
        </w:rPr>
        <w:t>通过对区域进行子区（干道）的划分进行协调，预计使得平峰时期区域整体行程车速提高10%以上；与优化前相比，区域整体平均停车次数减少1</w:t>
      </w:r>
      <w:r>
        <w:rPr>
          <w:rFonts w:ascii="宋体" w:hAnsi="宋体"/>
          <w:szCs w:val="21"/>
          <w:lang w:val="en-GB"/>
        </w:rPr>
        <w:t>0</w:t>
      </w:r>
      <w:r>
        <w:rPr>
          <w:rFonts w:hint="eastAsia" w:ascii="宋体" w:hAnsi="宋体"/>
          <w:szCs w:val="21"/>
          <w:lang w:val="en-GB"/>
        </w:rPr>
        <w:t>%以上，区域整体平均行程时间减少1</w:t>
      </w:r>
      <w:r>
        <w:rPr>
          <w:rFonts w:ascii="宋体" w:hAnsi="宋体"/>
          <w:szCs w:val="21"/>
          <w:lang w:val="en-GB"/>
        </w:rPr>
        <w:t>0</w:t>
      </w:r>
      <w:r>
        <w:rPr>
          <w:rFonts w:hint="eastAsia" w:ascii="宋体" w:hAnsi="宋体"/>
          <w:szCs w:val="21"/>
          <w:lang w:val="en-GB"/>
        </w:rPr>
        <w:t>%以上；高峰时期与优化前相比车辆通过路口时间不超过三个红绿灯周期，不出现路口溢出的现象，不出现局部</w:t>
      </w:r>
      <w:r>
        <w:rPr>
          <w:rFonts w:ascii="宋体" w:hAnsi="宋体"/>
          <w:szCs w:val="21"/>
          <w:lang w:val="en-GB"/>
        </w:rPr>
        <w:t>交通瘫痪</w:t>
      </w:r>
      <w:r>
        <w:rPr>
          <w:rFonts w:hint="eastAsia" w:ascii="宋体" w:hAnsi="宋体"/>
          <w:szCs w:val="21"/>
          <w:lang w:val="en-GB"/>
        </w:rPr>
        <w:t>的现象等。</w:t>
      </w:r>
    </w:p>
    <w:p>
      <w:pPr>
        <w:snapToGrid w:val="0"/>
        <w:spacing w:line="300" w:lineRule="auto"/>
        <w:ind w:firstLine="480"/>
        <w:rPr>
          <w:rFonts w:ascii="宋体" w:hAnsi="宋体"/>
          <w:szCs w:val="21"/>
          <w:lang w:val="en-GB"/>
        </w:rPr>
      </w:pPr>
      <w:r>
        <w:rPr>
          <w:rFonts w:hint="eastAsia" w:ascii="宋体" w:hAnsi="宋体"/>
          <w:szCs w:val="21"/>
          <w:lang w:val="en-GB"/>
        </w:rPr>
        <w:t>具体</w:t>
      </w:r>
      <w:r>
        <w:rPr>
          <w:rFonts w:ascii="宋体" w:hAnsi="宋体"/>
          <w:szCs w:val="21"/>
          <w:lang w:val="en-GB"/>
        </w:rPr>
        <w:t>评价方法：</w:t>
      </w:r>
      <w:r>
        <w:rPr>
          <w:rFonts w:hint="eastAsia" w:ascii="宋体" w:hAnsi="宋体"/>
          <w:szCs w:val="21"/>
          <w:lang w:val="en-GB"/>
        </w:rPr>
        <w:t>项目</w:t>
      </w:r>
      <w:r>
        <w:rPr>
          <w:rFonts w:ascii="宋体" w:hAnsi="宋体"/>
          <w:szCs w:val="21"/>
          <w:lang w:val="en-GB"/>
        </w:rPr>
        <w:t>验收时，</w:t>
      </w:r>
      <w:r>
        <w:rPr>
          <w:rFonts w:hint="eastAsia" w:ascii="宋体" w:hAnsi="宋体"/>
          <w:szCs w:val="21"/>
          <w:lang w:val="en-GB"/>
        </w:rPr>
        <w:t>通过抽取</w:t>
      </w:r>
      <w:r>
        <w:rPr>
          <w:rFonts w:ascii="宋体" w:hAnsi="宋体"/>
          <w:szCs w:val="21"/>
          <w:lang w:val="en-GB"/>
        </w:rPr>
        <w:t>部分</w:t>
      </w:r>
      <w:r>
        <w:rPr>
          <w:rFonts w:hint="eastAsia" w:ascii="宋体" w:hAnsi="宋体"/>
          <w:szCs w:val="21"/>
          <w:lang w:val="en-GB"/>
        </w:rPr>
        <w:t>实行了</w:t>
      </w:r>
      <w:r>
        <w:rPr>
          <w:rFonts w:ascii="宋体" w:hAnsi="宋体"/>
          <w:szCs w:val="21"/>
          <w:lang w:val="en-GB"/>
        </w:rPr>
        <w:t>交通信号协调控制</w:t>
      </w:r>
      <w:r>
        <w:rPr>
          <w:rFonts w:hint="eastAsia" w:ascii="宋体" w:hAnsi="宋体"/>
          <w:szCs w:val="21"/>
          <w:lang w:val="en-GB"/>
        </w:rPr>
        <w:t>优化的</w:t>
      </w:r>
      <w:r>
        <w:rPr>
          <w:rFonts w:ascii="宋体" w:hAnsi="宋体"/>
          <w:szCs w:val="21"/>
          <w:lang w:val="en-GB"/>
        </w:rPr>
        <w:t>道路</w:t>
      </w:r>
      <w:r>
        <w:rPr>
          <w:rFonts w:hint="eastAsia" w:ascii="宋体" w:hAnsi="宋体"/>
          <w:szCs w:val="21"/>
          <w:lang w:val="en-GB"/>
        </w:rPr>
        <w:t>或区域和单点优化的路口</w:t>
      </w:r>
      <w:r>
        <w:rPr>
          <w:rFonts w:ascii="宋体" w:hAnsi="宋体"/>
          <w:szCs w:val="21"/>
          <w:lang w:val="en-GB"/>
        </w:rPr>
        <w:t>，进行</w:t>
      </w:r>
      <w:r>
        <w:rPr>
          <w:rFonts w:hint="eastAsia" w:ascii="宋体" w:hAnsi="宋体"/>
          <w:szCs w:val="21"/>
          <w:lang w:val="en-GB"/>
        </w:rPr>
        <w:t>交通流量、</w:t>
      </w:r>
      <w:r>
        <w:rPr>
          <w:rFonts w:ascii="宋体" w:hAnsi="宋体"/>
          <w:szCs w:val="21"/>
          <w:lang w:val="en-GB"/>
        </w:rPr>
        <w:t>车速、停车次数、行程时间测试，</w:t>
      </w:r>
      <w:r>
        <w:rPr>
          <w:rFonts w:hint="eastAsia" w:ascii="宋体" w:hAnsi="宋体"/>
          <w:szCs w:val="21"/>
          <w:lang w:val="en-GB"/>
        </w:rPr>
        <w:t>测式结果与</w:t>
      </w:r>
      <w:r>
        <w:rPr>
          <w:rFonts w:ascii="宋体" w:hAnsi="宋体"/>
          <w:szCs w:val="21"/>
          <w:lang w:val="en-GB"/>
        </w:rPr>
        <w:t>实施前的</w:t>
      </w:r>
      <w:r>
        <w:rPr>
          <w:rFonts w:hint="eastAsia" w:ascii="宋体" w:hAnsi="宋体"/>
          <w:szCs w:val="21"/>
          <w:lang w:val="en-GB"/>
        </w:rPr>
        <w:t>进行对比</w:t>
      </w:r>
      <w:r>
        <w:rPr>
          <w:rFonts w:ascii="宋体" w:hAnsi="宋体"/>
          <w:szCs w:val="21"/>
          <w:lang w:val="en-GB"/>
        </w:rPr>
        <w:t>，得出车速、停车次数、行程时间测试</w:t>
      </w:r>
      <w:r>
        <w:rPr>
          <w:rFonts w:hint="eastAsia" w:ascii="宋体" w:hAnsi="宋体"/>
          <w:szCs w:val="21"/>
          <w:lang w:val="en-GB"/>
        </w:rPr>
        <w:t>改善</w:t>
      </w:r>
      <w:r>
        <w:rPr>
          <w:rFonts w:ascii="宋体" w:hAnsi="宋体"/>
          <w:szCs w:val="21"/>
          <w:lang w:val="en-GB"/>
        </w:rPr>
        <w:t>百分比</w:t>
      </w:r>
      <w:r>
        <w:rPr>
          <w:rFonts w:hint="eastAsia" w:ascii="宋体" w:hAnsi="宋体"/>
          <w:szCs w:val="21"/>
          <w:lang w:val="en-GB"/>
        </w:rPr>
        <w:t>并</w:t>
      </w:r>
      <w:r>
        <w:rPr>
          <w:rFonts w:ascii="宋体" w:hAnsi="宋体"/>
          <w:szCs w:val="21"/>
          <w:lang w:val="en-GB"/>
        </w:rPr>
        <w:t>与具体评价量化指标做对比，从而确定项目是否成功。</w:t>
      </w:r>
      <w:r>
        <w:rPr>
          <w:rFonts w:hint="eastAsia" w:ascii="宋体" w:hAnsi="宋体"/>
          <w:szCs w:val="21"/>
          <w:lang w:val="en-GB"/>
        </w:rPr>
        <w:t>具</w:t>
      </w:r>
      <w:r>
        <w:rPr>
          <w:rFonts w:ascii="宋体" w:hAnsi="宋体"/>
          <w:szCs w:val="21"/>
          <w:lang w:val="en-GB"/>
        </w:rPr>
        <w:t>体评价量化指标</w:t>
      </w:r>
      <w:r>
        <w:rPr>
          <w:rFonts w:hint="eastAsia" w:ascii="宋体" w:hAnsi="宋体"/>
          <w:szCs w:val="21"/>
          <w:lang w:val="en-GB"/>
        </w:rPr>
        <w:t>包含但不限于：</w:t>
      </w:r>
    </w:p>
    <w:p>
      <w:pPr>
        <w:snapToGrid w:val="0"/>
        <w:spacing w:line="300" w:lineRule="auto"/>
        <w:ind w:firstLine="480"/>
        <w:rPr>
          <w:rFonts w:ascii="宋体" w:hAnsi="宋体"/>
          <w:szCs w:val="21"/>
          <w:lang w:val="en-GB"/>
        </w:rPr>
      </w:pPr>
      <w:r>
        <w:rPr>
          <w:rFonts w:ascii="宋体" w:hAnsi="宋体"/>
          <w:szCs w:val="21"/>
          <w:lang w:val="en-GB"/>
        </w:rPr>
        <w:t>绿波道路设计符合率</w:t>
      </w:r>
      <w:r>
        <w:rPr>
          <w:rFonts w:hint="eastAsia" w:ascii="宋体" w:hAnsi="宋体"/>
          <w:szCs w:val="21"/>
          <w:lang w:val="en-GB"/>
        </w:rPr>
        <w:t>≥8</w:t>
      </w:r>
      <w:r>
        <w:rPr>
          <w:rFonts w:ascii="宋体" w:hAnsi="宋体"/>
          <w:szCs w:val="21"/>
          <w:lang w:val="en-GB"/>
        </w:rPr>
        <w:t>0%</w:t>
      </w:r>
      <w:r>
        <w:rPr>
          <w:rFonts w:hint="eastAsia" w:ascii="宋体" w:hAnsi="宋体"/>
          <w:szCs w:val="21"/>
          <w:lang w:val="en-GB"/>
        </w:rPr>
        <w:t>（符合路口数/绿波道路核验路口总数）</w:t>
      </w:r>
    </w:p>
    <w:p>
      <w:pPr>
        <w:snapToGrid w:val="0"/>
        <w:spacing w:line="300" w:lineRule="auto"/>
        <w:ind w:firstLine="480"/>
        <w:rPr>
          <w:rFonts w:ascii="宋体" w:hAnsi="宋体"/>
          <w:color w:val="FF0000"/>
          <w:szCs w:val="21"/>
          <w:lang w:val="en-GB"/>
        </w:rPr>
      </w:pPr>
      <w:r>
        <w:rPr>
          <w:rFonts w:ascii="宋体" w:hAnsi="宋体"/>
          <w:szCs w:val="21"/>
          <w:lang w:val="en-GB"/>
        </w:rPr>
        <w:t>绿波道路路口通过率</w:t>
      </w:r>
      <w:r>
        <w:rPr>
          <w:rFonts w:hint="eastAsia" w:ascii="宋体" w:hAnsi="宋体"/>
          <w:szCs w:val="21"/>
          <w:lang w:val="en-GB"/>
        </w:rPr>
        <w:t>≥</w:t>
      </w:r>
      <w:r>
        <w:rPr>
          <w:rFonts w:ascii="宋体" w:hAnsi="宋体"/>
          <w:szCs w:val="21"/>
          <w:lang w:val="en-GB"/>
        </w:rPr>
        <w:t>70%</w:t>
      </w:r>
      <w:r>
        <w:rPr>
          <w:rFonts w:hint="eastAsia" w:ascii="宋体" w:hAnsi="宋体"/>
          <w:szCs w:val="21"/>
          <w:lang w:val="en-GB"/>
        </w:rPr>
        <w:t>（绿灯通过路口数/绿波道路核验路口总数</w:t>
      </w:r>
      <w:r>
        <w:rPr>
          <w:rFonts w:ascii="宋体" w:hAnsi="宋体"/>
          <w:szCs w:val="21"/>
          <w:lang w:val="en-GB"/>
        </w:rPr>
        <w:t>）</w:t>
      </w:r>
    </w:p>
    <w:p>
      <w:pPr>
        <w:snapToGrid w:val="0"/>
        <w:spacing w:line="300" w:lineRule="auto"/>
        <w:ind w:firstLine="482"/>
        <w:rPr>
          <w:rFonts w:ascii="宋体" w:hAnsi="宋体"/>
          <w:b/>
          <w:bCs/>
          <w:szCs w:val="21"/>
          <w:lang w:val="en-GB"/>
        </w:rPr>
      </w:pPr>
      <w:r>
        <w:rPr>
          <w:rFonts w:hint="eastAsia" w:ascii="宋体" w:hAnsi="宋体"/>
          <w:b/>
          <w:bCs/>
          <w:szCs w:val="21"/>
          <w:lang w:val="en-GB"/>
        </w:rPr>
        <w:t>（</w:t>
      </w:r>
      <w:r>
        <w:rPr>
          <w:rFonts w:hint="eastAsia" w:ascii="宋体" w:hAnsi="宋体"/>
          <w:b/>
          <w:bCs/>
          <w:szCs w:val="21"/>
        </w:rPr>
        <w:t>六</w:t>
      </w:r>
      <w:r>
        <w:rPr>
          <w:rFonts w:hint="eastAsia" w:ascii="宋体" w:hAnsi="宋体"/>
          <w:b/>
          <w:bCs/>
          <w:szCs w:val="21"/>
          <w:lang w:val="en-GB"/>
        </w:rPr>
        <w:t>）项目团队人员组成</w:t>
      </w:r>
    </w:p>
    <w:p>
      <w:pPr>
        <w:snapToGrid w:val="0"/>
        <w:spacing w:line="300" w:lineRule="auto"/>
        <w:ind w:firstLine="480"/>
        <w:rPr>
          <w:rFonts w:ascii="宋体" w:hAnsi="宋体"/>
          <w:szCs w:val="21"/>
          <w:lang w:val="en-GB"/>
        </w:rPr>
      </w:pPr>
      <w:r>
        <w:rPr>
          <w:rFonts w:hint="eastAsia" w:ascii="宋体" w:hAnsi="宋体"/>
          <w:szCs w:val="21"/>
          <w:lang w:val="en-GB"/>
        </w:rPr>
        <w:t>为保障项目顺利实施，实施团队</w:t>
      </w:r>
      <w:r>
        <w:rPr>
          <w:rFonts w:ascii="宋体" w:hAnsi="宋体"/>
          <w:szCs w:val="21"/>
          <w:lang w:val="en-GB"/>
        </w:rPr>
        <w:t>设置项目经理、项目副经理、信号优化工程师等3个角色。其中，项目经理和副经理，按照项目管理的要求管理整个服务项目。</w:t>
      </w:r>
    </w:p>
    <w:p>
      <w:pPr>
        <w:snapToGrid w:val="0"/>
        <w:spacing w:line="300" w:lineRule="auto"/>
        <w:ind w:firstLine="480"/>
        <w:rPr>
          <w:rFonts w:ascii="宋体" w:hAnsi="宋体"/>
          <w:szCs w:val="21"/>
          <w:lang w:val="en-GB"/>
        </w:rPr>
      </w:pPr>
      <w:bookmarkStart w:id="43" w:name="_Toc299623891"/>
      <w:bookmarkStart w:id="44" w:name="_Toc410834709"/>
      <w:bookmarkStart w:id="45" w:name="_Toc325355650"/>
      <w:bookmarkStart w:id="46" w:name="_Toc415836496"/>
      <w:bookmarkStart w:id="47" w:name="_Toc182969487"/>
      <w:bookmarkStart w:id="48" w:name="_Toc359595991"/>
      <w:bookmarkStart w:id="49" w:name="_Toc405540226"/>
      <w:r>
        <w:rPr>
          <w:rFonts w:hint="eastAsia" w:ascii="宋体" w:hAnsi="宋体"/>
          <w:szCs w:val="21"/>
          <w:lang w:val="en-GB"/>
        </w:rPr>
        <w:t>1</w:t>
      </w:r>
      <w:r>
        <w:rPr>
          <w:rFonts w:hint="eastAsia" w:ascii="宋体" w:hAnsi="宋体"/>
          <w:szCs w:val="21"/>
        </w:rPr>
        <w:t>.</w:t>
      </w:r>
      <w:r>
        <w:rPr>
          <w:rFonts w:ascii="宋体" w:hAnsi="宋体"/>
          <w:szCs w:val="21"/>
          <w:lang w:val="en-GB"/>
        </w:rPr>
        <w:t>人员配备</w:t>
      </w:r>
      <w:bookmarkEnd w:id="43"/>
      <w:bookmarkEnd w:id="44"/>
      <w:bookmarkEnd w:id="45"/>
      <w:bookmarkEnd w:id="46"/>
      <w:bookmarkEnd w:id="47"/>
      <w:bookmarkEnd w:id="48"/>
      <w:bookmarkEnd w:id="49"/>
      <w:r>
        <w:rPr>
          <w:rFonts w:hint="eastAsia" w:ascii="宋体" w:hAnsi="宋体"/>
          <w:szCs w:val="21"/>
          <w:lang w:val="en-GB"/>
        </w:rPr>
        <w:t>（不含现场交通调查人员）</w:t>
      </w:r>
    </w:p>
    <w:p>
      <w:pPr>
        <w:snapToGrid w:val="0"/>
        <w:spacing w:line="300" w:lineRule="auto"/>
        <w:ind w:firstLine="480"/>
        <w:rPr>
          <w:rFonts w:ascii="宋体" w:hAnsi="宋体"/>
          <w:szCs w:val="21"/>
          <w:lang w:val="en-GB"/>
        </w:rPr>
      </w:pPr>
      <w:r>
        <w:rPr>
          <w:rFonts w:ascii="宋体" w:hAnsi="宋体"/>
          <w:szCs w:val="21"/>
          <w:lang w:val="en-GB"/>
        </w:rPr>
        <w:t>要求提供信号优化服务的项目组人数</w:t>
      </w:r>
      <w:r>
        <w:rPr>
          <w:rFonts w:hint="eastAsia" w:ascii="宋体" w:hAnsi="宋体"/>
          <w:szCs w:val="21"/>
          <w:lang w:val="en-GB"/>
        </w:rPr>
        <w:t>不</w:t>
      </w:r>
      <w:r>
        <w:rPr>
          <w:rFonts w:ascii="宋体" w:hAnsi="宋体"/>
          <w:szCs w:val="21"/>
          <w:lang w:val="en-GB"/>
        </w:rPr>
        <w:t>少</w:t>
      </w:r>
      <w:r>
        <w:rPr>
          <w:rFonts w:hint="eastAsia" w:ascii="宋体" w:hAnsi="宋体"/>
          <w:szCs w:val="21"/>
          <w:lang w:val="en-GB"/>
        </w:rPr>
        <w:t>于</w:t>
      </w:r>
      <w:r>
        <w:rPr>
          <w:rFonts w:ascii="宋体" w:hAnsi="宋体"/>
          <w:szCs w:val="21"/>
          <w:lang w:val="en-GB"/>
        </w:rPr>
        <w:t>4人常驻。</w:t>
      </w:r>
    </w:p>
    <w:p>
      <w:pPr>
        <w:snapToGrid w:val="0"/>
        <w:spacing w:line="300" w:lineRule="auto"/>
        <w:ind w:firstLine="480"/>
        <w:rPr>
          <w:rFonts w:ascii="宋体" w:hAnsi="宋体"/>
          <w:szCs w:val="21"/>
          <w:lang w:val="en-GB"/>
        </w:rPr>
      </w:pPr>
      <w:bookmarkStart w:id="50" w:name="_Toc182969488"/>
      <w:bookmarkStart w:id="51" w:name="_Toc410834710"/>
      <w:bookmarkStart w:id="52" w:name="_Toc415836497"/>
      <w:bookmarkStart w:id="53" w:name="_Toc325355651"/>
      <w:bookmarkStart w:id="54" w:name="_Toc359595992"/>
      <w:bookmarkStart w:id="55" w:name="_Toc405540227"/>
      <w:bookmarkStart w:id="56" w:name="_Toc299623892"/>
      <w:r>
        <w:rPr>
          <w:rFonts w:hint="eastAsia" w:ascii="宋体" w:hAnsi="宋体"/>
          <w:szCs w:val="21"/>
          <w:lang w:val="en-GB"/>
        </w:rPr>
        <w:t>2</w:t>
      </w:r>
      <w:r>
        <w:rPr>
          <w:rFonts w:hint="eastAsia" w:ascii="宋体" w:hAnsi="宋体"/>
          <w:szCs w:val="21"/>
        </w:rPr>
        <w:t>.</w:t>
      </w:r>
      <w:r>
        <w:rPr>
          <w:rFonts w:ascii="宋体" w:hAnsi="宋体"/>
          <w:szCs w:val="21"/>
          <w:lang w:val="en-GB"/>
        </w:rPr>
        <w:t>素质和能力</w:t>
      </w:r>
      <w:bookmarkEnd w:id="50"/>
      <w:bookmarkEnd w:id="51"/>
      <w:bookmarkEnd w:id="52"/>
      <w:bookmarkEnd w:id="53"/>
      <w:bookmarkEnd w:id="54"/>
      <w:bookmarkEnd w:id="55"/>
      <w:bookmarkEnd w:id="56"/>
    </w:p>
    <w:p>
      <w:pPr>
        <w:snapToGrid w:val="0"/>
        <w:spacing w:line="300" w:lineRule="auto"/>
        <w:ind w:firstLine="480"/>
        <w:rPr>
          <w:rFonts w:ascii="宋体" w:hAnsi="宋体"/>
          <w:szCs w:val="21"/>
          <w:lang w:val="en-GB"/>
        </w:rPr>
      </w:pPr>
      <w:r>
        <w:rPr>
          <w:rFonts w:ascii="宋体" w:hAnsi="宋体"/>
          <w:szCs w:val="21"/>
          <w:lang w:val="en-GB"/>
        </w:rPr>
        <w:t>项目组人员的素质和能力</w:t>
      </w:r>
      <w:r>
        <w:rPr>
          <w:rFonts w:hint="eastAsia" w:ascii="宋体" w:hAnsi="宋体"/>
          <w:szCs w:val="21"/>
          <w:lang w:val="en-GB"/>
        </w:rPr>
        <w:t>的</w:t>
      </w:r>
      <w:r>
        <w:rPr>
          <w:rFonts w:ascii="宋体" w:hAnsi="宋体"/>
          <w:szCs w:val="21"/>
          <w:lang w:val="en-GB"/>
        </w:rPr>
        <w:t>具体要求如下：</w:t>
      </w:r>
    </w:p>
    <w:p>
      <w:pPr>
        <w:snapToGrid w:val="0"/>
        <w:spacing w:line="300" w:lineRule="auto"/>
        <w:ind w:firstLine="480"/>
        <w:rPr>
          <w:rFonts w:ascii="宋体" w:hAnsi="宋体"/>
          <w:szCs w:val="21"/>
          <w:lang w:val="en-GB"/>
        </w:rPr>
      </w:pPr>
      <w:r>
        <w:rPr>
          <w:rFonts w:hint="eastAsia" w:ascii="宋体" w:hAnsi="宋体"/>
          <w:szCs w:val="21"/>
          <w:lang w:val="en-GB"/>
        </w:rPr>
        <w:t>（1）</w:t>
      </w:r>
      <w:r>
        <w:rPr>
          <w:rFonts w:ascii="宋体" w:hAnsi="宋体"/>
          <w:szCs w:val="21"/>
          <w:lang w:val="en-GB"/>
        </w:rPr>
        <w:t>项目经理：公司部门经理或以上职务，具有5年以上的项目管理经验。</w:t>
      </w:r>
    </w:p>
    <w:p>
      <w:pPr>
        <w:snapToGrid w:val="0"/>
        <w:spacing w:line="300" w:lineRule="auto"/>
        <w:ind w:firstLine="480"/>
        <w:rPr>
          <w:rFonts w:ascii="宋体" w:hAnsi="宋体"/>
          <w:szCs w:val="21"/>
          <w:lang w:val="en-GB"/>
        </w:rPr>
      </w:pPr>
      <w:r>
        <w:rPr>
          <w:rFonts w:hint="eastAsia" w:ascii="宋体" w:hAnsi="宋体"/>
          <w:szCs w:val="21"/>
          <w:lang w:val="en-GB"/>
        </w:rPr>
        <w:t>（2）</w:t>
      </w:r>
      <w:r>
        <w:rPr>
          <w:rFonts w:ascii="宋体" w:hAnsi="宋体"/>
          <w:szCs w:val="21"/>
          <w:lang w:val="en-GB"/>
        </w:rPr>
        <w:t>项目副经理：具有3年以上的项目管理经验。</w:t>
      </w:r>
    </w:p>
    <w:p>
      <w:pPr>
        <w:snapToGrid w:val="0"/>
        <w:spacing w:line="300" w:lineRule="auto"/>
        <w:ind w:firstLine="480"/>
        <w:rPr>
          <w:rFonts w:ascii="宋体" w:hAnsi="宋体"/>
          <w:szCs w:val="21"/>
          <w:lang w:val="en-GB"/>
        </w:rPr>
      </w:pPr>
      <w:r>
        <w:rPr>
          <w:rFonts w:hint="eastAsia" w:ascii="宋体" w:hAnsi="宋体"/>
          <w:szCs w:val="21"/>
          <w:lang w:val="en-GB"/>
        </w:rPr>
        <w:t>（3）</w:t>
      </w:r>
      <w:r>
        <w:rPr>
          <w:rFonts w:ascii="宋体" w:hAnsi="宋体"/>
          <w:szCs w:val="21"/>
          <w:lang w:val="en-GB"/>
        </w:rPr>
        <w:t>信号优化工程师：本科或以上学历，从事交通工程、交通运行评价或道路交通方案编制工作至少2年，具有良好的技术基础和管理素质。</w:t>
      </w:r>
    </w:p>
    <w:p>
      <w:pPr>
        <w:snapToGrid w:val="0"/>
        <w:spacing w:line="300" w:lineRule="auto"/>
        <w:ind w:firstLine="480"/>
        <w:rPr>
          <w:rFonts w:ascii="宋体" w:hAnsi="宋体"/>
          <w:szCs w:val="21"/>
          <w:lang w:val="en-GB"/>
        </w:rPr>
      </w:pPr>
      <w:r>
        <w:rPr>
          <w:rFonts w:ascii="宋体" w:hAnsi="宋体"/>
          <w:szCs w:val="21"/>
          <w:lang w:val="en-GB"/>
        </w:rPr>
        <w:t>非常驻人员可以作为常驻人员的一个有机补充，应该包括以下人员：交通仿真工程师、交通控制技术工程师、交通规划工程师等。</w:t>
      </w:r>
    </w:p>
    <w:p>
      <w:pPr>
        <w:snapToGrid w:val="0"/>
        <w:spacing w:line="300" w:lineRule="auto"/>
        <w:ind w:firstLine="480"/>
        <w:rPr>
          <w:rFonts w:ascii="宋体" w:hAnsi="宋体"/>
          <w:szCs w:val="21"/>
          <w:lang w:val="en-GB"/>
        </w:rPr>
      </w:pPr>
      <w:bookmarkStart w:id="57" w:name="_Toc325355652"/>
      <w:bookmarkStart w:id="58" w:name="_Toc299623893"/>
      <w:bookmarkStart w:id="59" w:name="_Toc359595993"/>
      <w:bookmarkStart w:id="60" w:name="_Toc410834711"/>
      <w:bookmarkStart w:id="61" w:name="_Toc405540228"/>
      <w:bookmarkStart w:id="62" w:name="_Toc415836498"/>
      <w:bookmarkStart w:id="63" w:name="_Toc182969489"/>
      <w:r>
        <w:rPr>
          <w:rFonts w:hint="eastAsia" w:ascii="宋体" w:hAnsi="宋体"/>
          <w:szCs w:val="21"/>
          <w:lang w:val="en-GB"/>
        </w:rPr>
        <w:t>3</w:t>
      </w:r>
      <w:r>
        <w:rPr>
          <w:rFonts w:hint="eastAsia" w:ascii="宋体" w:hAnsi="宋体"/>
          <w:szCs w:val="21"/>
        </w:rPr>
        <w:t>.</w:t>
      </w:r>
      <w:r>
        <w:rPr>
          <w:rFonts w:ascii="宋体" w:hAnsi="宋体"/>
          <w:szCs w:val="21"/>
          <w:lang w:val="en-GB"/>
        </w:rPr>
        <w:t>工作要求</w:t>
      </w:r>
      <w:bookmarkEnd w:id="57"/>
      <w:bookmarkEnd w:id="58"/>
      <w:bookmarkEnd w:id="59"/>
      <w:bookmarkEnd w:id="60"/>
      <w:bookmarkEnd w:id="61"/>
      <w:bookmarkEnd w:id="62"/>
      <w:bookmarkEnd w:id="63"/>
    </w:p>
    <w:p>
      <w:pPr>
        <w:snapToGrid w:val="0"/>
        <w:spacing w:line="300" w:lineRule="auto"/>
        <w:ind w:firstLine="480"/>
        <w:rPr>
          <w:rFonts w:ascii="宋体" w:hAnsi="宋体"/>
          <w:szCs w:val="21"/>
          <w:lang w:val="en-GB"/>
        </w:rPr>
      </w:pPr>
      <w:r>
        <w:rPr>
          <w:rFonts w:hint="eastAsia" w:ascii="宋体" w:hAnsi="宋体"/>
          <w:szCs w:val="21"/>
          <w:lang w:val="en-GB"/>
        </w:rPr>
        <w:t>中标供应商</w:t>
      </w:r>
      <w:r>
        <w:rPr>
          <w:rFonts w:ascii="宋体" w:hAnsi="宋体"/>
          <w:szCs w:val="21"/>
          <w:lang w:val="en-GB"/>
        </w:rPr>
        <w:t>必须指定1名公司部门级以上领导作为项目经理，对项目工作进行紧密跟踪和管理，协调与采购人之间的重大问题，对项目经理的职责应该在项目管理相关部分做充分的规定。</w:t>
      </w:r>
    </w:p>
    <w:p>
      <w:pPr>
        <w:snapToGrid w:val="0"/>
        <w:spacing w:line="300" w:lineRule="auto"/>
        <w:ind w:firstLine="480"/>
        <w:rPr>
          <w:rFonts w:ascii="宋体" w:hAnsi="宋体"/>
          <w:szCs w:val="21"/>
          <w:lang w:val="en-GB"/>
        </w:rPr>
      </w:pPr>
      <w:r>
        <w:rPr>
          <w:rFonts w:hint="eastAsia" w:ascii="宋体" w:hAnsi="宋体"/>
          <w:szCs w:val="21"/>
          <w:lang w:val="en-GB"/>
        </w:rPr>
        <w:t>中标供应商</w:t>
      </w:r>
      <w:r>
        <w:rPr>
          <w:rFonts w:ascii="宋体" w:hAnsi="宋体"/>
          <w:szCs w:val="21"/>
          <w:lang w:val="en-GB"/>
        </w:rPr>
        <w:t>必须指定1名常驻人员作为项目副经理，并授予其项目经理大部分的权力，一般情况下代表项目经理处理有关事项，项目副经理要求有较强的协调、管理、沟通能力，具有比较全面的与交通管理技术有关的知识结构。</w:t>
      </w:r>
    </w:p>
    <w:p>
      <w:pPr>
        <w:snapToGrid w:val="0"/>
        <w:spacing w:line="300" w:lineRule="auto"/>
        <w:ind w:firstLine="480"/>
        <w:rPr>
          <w:rFonts w:ascii="宋体" w:hAnsi="宋体"/>
          <w:szCs w:val="21"/>
          <w:lang w:val="en-GB"/>
        </w:rPr>
      </w:pPr>
      <w:r>
        <w:rPr>
          <w:rFonts w:ascii="宋体" w:hAnsi="宋体"/>
          <w:szCs w:val="21"/>
          <w:lang w:val="en-GB"/>
        </w:rPr>
        <w:t>一般情况下，常驻人员的工作由项目副经理安排和管理，项目副经理对</w:t>
      </w:r>
      <w:r>
        <w:rPr>
          <w:rFonts w:hint="eastAsia" w:ascii="宋体" w:hAnsi="宋体"/>
          <w:szCs w:val="21"/>
          <w:lang w:val="en-GB"/>
        </w:rPr>
        <w:t>采购人</w:t>
      </w:r>
      <w:r>
        <w:rPr>
          <w:rFonts w:ascii="宋体" w:hAnsi="宋体"/>
          <w:szCs w:val="21"/>
          <w:lang w:val="en-GB"/>
        </w:rPr>
        <w:t>指定的管理员负责，同时</w:t>
      </w:r>
      <w:r>
        <w:rPr>
          <w:rFonts w:hint="eastAsia" w:ascii="宋体" w:hAnsi="宋体"/>
          <w:szCs w:val="21"/>
          <w:lang w:val="en-GB"/>
        </w:rPr>
        <w:t>采购人</w:t>
      </w:r>
      <w:r>
        <w:rPr>
          <w:rFonts w:ascii="宋体" w:hAnsi="宋体"/>
          <w:szCs w:val="21"/>
          <w:lang w:val="en-GB"/>
        </w:rPr>
        <w:t>指定的管理员可以安排和监督所有</w:t>
      </w:r>
      <w:r>
        <w:rPr>
          <w:rFonts w:hint="eastAsia" w:ascii="宋体" w:hAnsi="宋体"/>
          <w:szCs w:val="21"/>
          <w:lang w:val="en-GB"/>
        </w:rPr>
        <w:t>中标供应商工作</w:t>
      </w:r>
      <w:r>
        <w:rPr>
          <w:rFonts w:ascii="宋体" w:hAnsi="宋体"/>
          <w:szCs w:val="21"/>
          <w:lang w:val="en-GB"/>
        </w:rPr>
        <w:t>人员的工作，如有必要</w:t>
      </w:r>
      <w:r>
        <w:rPr>
          <w:rFonts w:hint="eastAsia" w:ascii="宋体" w:hAnsi="宋体"/>
          <w:szCs w:val="21"/>
          <w:lang w:val="en-GB"/>
        </w:rPr>
        <w:t>采购人</w:t>
      </w:r>
      <w:r>
        <w:rPr>
          <w:rFonts w:ascii="宋体" w:hAnsi="宋体"/>
          <w:szCs w:val="21"/>
          <w:lang w:val="en-GB"/>
        </w:rPr>
        <w:t>有权力调整</w:t>
      </w:r>
      <w:r>
        <w:rPr>
          <w:rFonts w:hint="eastAsia" w:ascii="宋体" w:hAnsi="宋体"/>
          <w:szCs w:val="21"/>
          <w:lang w:val="en-GB"/>
        </w:rPr>
        <w:t>中标供应商工作</w:t>
      </w:r>
      <w:r>
        <w:rPr>
          <w:rFonts w:ascii="宋体" w:hAnsi="宋体"/>
          <w:szCs w:val="21"/>
          <w:lang w:val="en-GB"/>
        </w:rPr>
        <w:t>人员的职责分工以及工作安排。</w:t>
      </w:r>
    </w:p>
    <w:p>
      <w:pPr>
        <w:snapToGrid w:val="0"/>
        <w:spacing w:line="300" w:lineRule="auto"/>
        <w:ind w:firstLine="480"/>
        <w:rPr>
          <w:rFonts w:ascii="宋体" w:hAnsi="宋体"/>
          <w:szCs w:val="21"/>
          <w:lang w:val="en-GB"/>
        </w:rPr>
      </w:pPr>
      <w:r>
        <w:rPr>
          <w:rFonts w:hint="eastAsia" w:ascii="宋体" w:hAnsi="宋体"/>
          <w:szCs w:val="21"/>
          <w:lang w:val="en-GB"/>
        </w:rPr>
        <w:t>中标供应商</w:t>
      </w:r>
      <w:r>
        <w:rPr>
          <w:rFonts w:ascii="宋体" w:hAnsi="宋体"/>
          <w:szCs w:val="21"/>
          <w:lang w:val="en-GB"/>
        </w:rPr>
        <w:t>给项目经理和项目副经理授予一定的二线人员调动权，必要时能够直接或通过有关部门经理快速调动二线人员解决专题。</w:t>
      </w:r>
    </w:p>
    <w:p>
      <w:pPr>
        <w:snapToGrid w:val="0"/>
        <w:spacing w:line="300" w:lineRule="auto"/>
        <w:ind w:firstLine="480"/>
        <w:rPr>
          <w:rFonts w:ascii="宋体" w:hAnsi="宋体"/>
          <w:szCs w:val="21"/>
          <w:lang w:val="en-GB"/>
        </w:rPr>
      </w:pPr>
      <w:r>
        <w:rPr>
          <w:rFonts w:ascii="宋体" w:hAnsi="宋体"/>
          <w:szCs w:val="21"/>
          <w:lang w:val="en-GB"/>
        </w:rPr>
        <w:t>常驻人员必须全部到位，未经</w:t>
      </w:r>
      <w:r>
        <w:rPr>
          <w:rFonts w:hint="eastAsia" w:ascii="宋体" w:hAnsi="宋体"/>
          <w:szCs w:val="21"/>
          <w:lang w:val="en-GB"/>
        </w:rPr>
        <w:t>采购人</w:t>
      </w:r>
      <w:r>
        <w:rPr>
          <w:rFonts w:ascii="宋体" w:hAnsi="宋体"/>
          <w:szCs w:val="21"/>
          <w:lang w:val="en-GB"/>
        </w:rPr>
        <w:t>书面同意，不得更换人员；如果常驻人员存在工作态度、责任心、技术水平、协调能力等方面之一的问题时，</w:t>
      </w:r>
      <w:r>
        <w:rPr>
          <w:rFonts w:hint="eastAsia" w:ascii="宋体" w:hAnsi="宋体"/>
          <w:szCs w:val="21"/>
          <w:lang w:val="en-GB"/>
        </w:rPr>
        <w:t>采购人</w:t>
      </w:r>
      <w:r>
        <w:rPr>
          <w:rFonts w:ascii="宋体" w:hAnsi="宋体"/>
          <w:szCs w:val="21"/>
          <w:lang w:val="en-GB"/>
        </w:rPr>
        <w:t>有权要求</w:t>
      </w:r>
      <w:r>
        <w:rPr>
          <w:rFonts w:hint="eastAsia" w:ascii="宋体" w:hAnsi="宋体"/>
          <w:szCs w:val="21"/>
          <w:lang w:val="en-GB"/>
        </w:rPr>
        <w:t>中标供应商</w:t>
      </w:r>
      <w:r>
        <w:rPr>
          <w:rFonts w:ascii="宋体" w:hAnsi="宋体"/>
          <w:szCs w:val="21"/>
          <w:lang w:val="en-GB"/>
        </w:rPr>
        <w:t>更换常驻人员，并且</w:t>
      </w:r>
      <w:r>
        <w:rPr>
          <w:rFonts w:hint="eastAsia" w:ascii="宋体" w:hAnsi="宋体"/>
          <w:szCs w:val="21"/>
          <w:lang w:val="en-GB"/>
        </w:rPr>
        <w:t>中标供应商</w:t>
      </w:r>
      <w:r>
        <w:rPr>
          <w:rFonts w:ascii="宋体" w:hAnsi="宋体"/>
          <w:szCs w:val="21"/>
          <w:lang w:val="en-GB"/>
        </w:rPr>
        <w:t>在收到</w:t>
      </w:r>
      <w:r>
        <w:rPr>
          <w:rFonts w:hint="eastAsia" w:ascii="宋体" w:hAnsi="宋体"/>
          <w:szCs w:val="21"/>
          <w:lang w:val="en-GB"/>
        </w:rPr>
        <w:t>采购人</w:t>
      </w:r>
      <w:r>
        <w:rPr>
          <w:rFonts w:ascii="宋体" w:hAnsi="宋体"/>
          <w:szCs w:val="21"/>
          <w:lang w:val="en-GB"/>
        </w:rPr>
        <w:t>书面通知之日起7个工作日内必须更换，接替人员也必须经过面试、审核同意后才能开始试用，如果有两次以上的试用不合适，要求</w:t>
      </w:r>
      <w:r>
        <w:rPr>
          <w:rFonts w:hint="eastAsia" w:ascii="宋体" w:hAnsi="宋体"/>
          <w:szCs w:val="21"/>
          <w:lang w:val="en-GB"/>
        </w:rPr>
        <w:t>中标供应商</w:t>
      </w:r>
      <w:r>
        <w:rPr>
          <w:rFonts w:ascii="宋体" w:hAnsi="宋体"/>
          <w:szCs w:val="21"/>
          <w:lang w:val="en-GB"/>
        </w:rPr>
        <w:t>进行整改，以公司名义正式提交整改报告。</w:t>
      </w:r>
    </w:p>
    <w:p>
      <w:pPr>
        <w:snapToGrid w:val="0"/>
        <w:spacing w:line="300" w:lineRule="auto"/>
        <w:ind w:firstLine="480"/>
        <w:rPr>
          <w:rFonts w:ascii="宋体" w:hAnsi="宋体"/>
          <w:color w:val="000000" w:themeColor="text1"/>
          <w:szCs w:val="21"/>
          <w:lang w:val="en-GB"/>
        </w:rPr>
      </w:pPr>
      <w:r>
        <w:rPr>
          <w:rFonts w:hint="eastAsia" w:ascii="宋体" w:hAnsi="宋体"/>
          <w:color w:val="000000" w:themeColor="text1"/>
          <w:szCs w:val="21"/>
          <w:lang w:val="en-GB"/>
        </w:rPr>
        <w:t>中标供应商必须</w:t>
      </w:r>
      <w:r>
        <w:rPr>
          <w:rFonts w:ascii="宋体" w:hAnsi="宋体"/>
          <w:color w:val="000000" w:themeColor="text1"/>
          <w:szCs w:val="21"/>
          <w:lang w:val="en-GB"/>
        </w:rPr>
        <w:t>为项目组人员购买必要的保险，对于项目组人员因为</w:t>
      </w:r>
      <w:r>
        <w:rPr>
          <w:rFonts w:hint="eastAsia" w:ascii="宋体" w:hAnsi="宋体"/>
          <w:color w:val="000000" w:themeColor="text1"/>
          <w:szCs w:val="21"/>
          <w:lang w:val="en-GB"/>
        </w:rPr>
        <w:t>工作中</w:t>
      </w:r>
      <w:r>
        <w:rPr>
          <w:rFonts w:ascii="宋体" w:hAnsi="宋体"/>
          <w:color w:val="000000" w:themeColor="text1"/>
          <w:szCs w:val="21"/>
          <w:lang w:val="en-GB"/>
        </w:rPr>
        <w:t>引起的各种工伤、安全事件和事故，</w:t>
      </w:r>
      <w:r>
        <w:rPr>
          <w:rFonts w:hint="eastAsia" w:ascii="宋体" w:hAnsi="宋体"/>
          <w:color w:val="000000" w:themeColor="text1"/>
          <w:szCs w:val="21"/>
          <w:lang w:val="en-GB"/>
        </w:rPr>
        <w:t>采购人</w:t>
      </w:r>
      <w:r>
        <w:rPr>
          <w:rFonts w:ascii="宋体" w:hAnsi="宋体"/>
          <w:color w:val="000000" w:themeColor="text1"/>
          <w:szCs w:val="21"/>
          <w:lang w:val="en-GB"/>
        </w:rPr>
        <w:t>免于一切责任。</w:t>
      </w:r>
    </w:p>
    <w:p>
      <w:pPr>
        <w:snapToGrid w:val="0"/>
        <w:spacing w:line="300" w:lineRule="auto"/>
        <w:ind w:firstLine="480"/>
        <w:rPr>
          <w:rFonts w:ascii="宋体" w:hAnsi="宋体"/>
          <w:szCs w:val="21"/>
          <w:lang w:val="en-GB"/>
        </w:rPr>
      </w:pPr>
      <w:bookmarkStart w:id="64" w:name="_Toc177370184"/>
      <w:bookmarkStart w:id="65" w:name="_Toc415836499"/>
      <w:bookmarkStart w:id="66" w:name="_Toc325355654"/>
      <w:bookmarkStart w:id="67" w:name="_Toc410834712"/>
      <w:bookmarkStart w:id="68" w:name="_Toc405540230"/>
      <w:bookmarkStart w:id="69" w:name="_Toc299623894"/>
      <w:bookmarkStart w:id="70" w:name="_Toc182969490"/>
      <w:bookmarkStart w:id="71" w:name="_Toc359595995"/>
      <w:r>
        <w:rPr>
          <w:rFonts w:hint="eastAsia" w:ascii="宋体" w:hAnsi="宋体"/>
          <w:szCs w:val="21"/>
          <w:lang w:val="en-GB"/>
        </w:rPr>
        <w:t>4</w:t>
      </w:r>
      <w:r>
        <w:rPr>
          <w:rFonts w:hint="eastAsia" w:ascii="宋体" w:hAnsi="宋体"/>
          <w:szCs w:val="21"/>
        </w:rPr>
        <w:t>.</w:t>
      </w:r>
      <w:r>
        <w:rPr>
          <w:rFonts w:ascii="宋体" w:hAnsi="宋体"/>
          <w:szCs w:val="21"/>
          <w:lang w:val="en-GB"/>
        </w:rPr>
        <w:t>配备要求</w:t>
      </w:r>
      <w:bookmarkEnd w:id="64"/>
      <w:bookmarkEnd w:id="65"/>
      <w:bookmarkEnd w:id="66"/>
      <w:bookmarkEnd w:id="67"/>
      <w:bookmarkEnd w:id="68"/>
      <w:bookmarkEnd w:id="69"/>
      <w:bookmarkEnd w:id="70"/>
      <w:bookmarkEnd w:id="71"/>
    </w:p>
    <w:p>
      <w:pPr>
        <w:snapToGrid w:val="0"/>
        <w:spacing w:line="300" w:lineRule="auto"/>
        <w:ind w:firstLine="480"/>
        <w:rPr>
          <w:rFonts w:ascii="宋体" w:hAnsi="宋体"/>
          <w:szCs w:val="21"/>
          <w:lang w:val="en-GB"/>
        </w:rPr>
      </w:pPr>
      <w:r>
        <w:rPr>
          <w:rFonts w:hint="eastAsia" w:ascii="宋体" w:hAnsi="宋体"/>
          <w:szCs w:val="21"/>
          <w:lang w:val="en-GB"/>
        </w:rPr>
        <w:t>中标供应商</w:t>
      </w:r>
      <w:r>
        <w:rPr>
          <w:rFonts w:ascii="宋体" w:hAnsi="宋体"/>
          <w:szCs w:val="21"/>
          <w:lang w:val="en-GB"/>
        </w:rPr>
        <w:t>必须具有一个相对完善的交通仿真测试环境，在必要时可以提供仿真测试，然后才能正式在采购人的应用环境上线。比如：路口交通流向调整措施方案、路口车道重置方案、路口协调方案（涉及5个路口或以上）需要进行仿真。</w:t>
      </w:r>
    </w:p>
    <w:p>
      <w:pPr>
        <w:snapToGrid w:val="0"/>
        <w:spacing w:line="300" w:lineRule="auto"/>
        <w:ind w:firstLine="480"/>
        <w:rPr>
          <w:rFonts w:ascii="宋体" w:hAnsi="宋体"/>
          <w:szCs w:val="21"/>
          <w:lang w:val="en-GB"/>
        </w:rPr>
      </w:pPr>
      <w:r>
        <w:rPr>
          <w:rFonts w:ascii="宋体" w:hAnsi="宋体"/>
          <w:szCs w:val="21"/>
          <w:lang w:val="en-GB"/>
        </w:rPr>
        <w:t>整个项目组必须满足以下</w:t>
      </w:r>
      <w:r>
        <w:rPr>
          <w:rFonts w:hint="eastAsia" w:ascii="宋体" w:hAnsi="宋体"/>
          <w:szCs w:val="21"/>
          <w:lang w:val="en-GB"/>
        </w:rPr>
        <w:t>基本</w:t>
      </w:r>
      <w:r>
        <w:rPr>
          <w:rFonts w:ascii="宋体" w:hAnsi="宋体"/>
          <w:szCs w:val="21"/>
          <w:lang w:val="en-GB"/>
        </w:rPr>
        <w:t>配备</w:t>
      </w:r>
      <w:r>
        <w:rPr>
          <w:rFonts w:hint="eastAsia" w:ascii="宋体" w:hAnsi="宋体"/>
          <w:szCs w:val="21"/>
          <w:lang w:val="en-GB"/>
        </w:rPr>
        <w:t>供</w:t>
      </w:r>
      <w:r>
        <w:rPr>
          <w:rFonts w:ascii="宋体" w:hAnsi="宋体"/>
          <w:szCs w:val="21"/>
          <w:lang w:val="en-GB"/>
        </w:rPr>
        <w:t>常驻人员使用：2台手提电脑、vissim交通仿真软件、移动电话（每人一台）、2台实时路况记录仪。</w:t>
      </w:r>
    </w:p>
    <w:p>
      <w:pPr>
        <w:snapToGrid w:val="0"/>
        <w:spacing w:line="300" w:lineRule="auto"/>
        <w:ind w:firstLine="480"/>
        <w:rPr>
          <w:rFonts w:ascii="宋体" w:hAnsi="宋体"/>
          <w:szCs w:val="21"/>
          <w:lang w:val="en-GB"/>
        </w:rPr>
      </w:pPr>
      <w:r>
        <w:rPr>
          <w:rFonts w:ascii="宋体" w:hAnsi="宋体"/>
          <w:szCs w:val="21"/>
          <w:lang w:val="en-GB"/>
        </w:rPr>
        <w:t>要求中标供应商提供专用的小汽车</w:t>
      </w:r>
      <w:r>
        <w:rPr>
          <w:rFonts w:hint="eastAsia" w:ascii="宋体" w:hAnsi="宋体"/>
          <w:szCs w:val="21"/>
          <w:lang w:val="en-GB"/>
        </w:rPr>
        <w:t>1</w:t>
      </w:r>
      <w:r>
        <w:rPr>
          <w:rFonts w:ascii="宋体" w:hAnsi="宋体"/>
          <w:szCs w:val="21"/>
          <w:lang w:val="en-GB"/>
        </w:rPr>
        <w:t>台（7座以下），可以采用自购或租赁的形式。要求车况良好，手续齐全完备，购买全保保险（第三者、座位险等）。</w:t>
      </w:r>
    </w:p>
    <w:p>
      <w:pPr>
        <w:snapToGrid w:val="0"/>
        <w:spacing w:line="300" w:lineRule="auto"/>
        <w:ind w:firstLine="480"/>
        <w:rPr>
          <w:rFonts w:ascii="宋体" w:hAnsi="宋体"/>
          <w:color w:val="000000" w:themeColor="text1"/>
          <w:szCs w:val="21"/>
          <w:lang w:val="en-GB"/>
        </w:rPr>
      </w:pPr>
      <w:r>
        <w:rPr>
          <w:rFonts w:ascii="宋体" w:hAnsi="宋体"/>
          <w:color w:val="000000" w:themeColor="text1"/>
          <w:szCs w:val="21"/>
          <w:lang w:val="en-GB"/>
        </w:rPr>
        <w:t>对于该小型汽车和司乘人员的一切交通安全事件和事故</w:t>
      </w:r>
      <w:r>
        <w:rPr>
          <w:rFonts w:hint="eastAsia" w:ascii="宋体" w:hAnsi="宋体"/>
          <w:color w:val="000000" w:themeColor="text1"/>
          <w:szCs w:val="21"/>
          <w:lang w:val="en-GB"/>
        </w:rPr>
        <w:t>均由中标供应商承担</w:t>
      </w:r>
      <w:r>
        <w:rPr>
          <w:rFonts w:ascii="宋体" w:hAnsi="宋体"/>
          <w:color w:val="000000" w:themeColor="text1"/>
          <w:szCs w:val="21"/>
          <w:lang w:val="en-GB"/>
        </w:rPr>
        <w:t>，采购人免予一切责任</w:t>
      </w:r>
      <w:r>
        <w:rPr>
          <w:rFonts w:hint="eastAsia" w:ascii="宋体" w:hAnsi="宋体"/>
          <w:color w:val="000000" w:themeColor="text1"/>
          <w:szCs w:val="21"/>
          <w:lang w:val="en-GB"/>
        </w:rPr>
        <w:t>。</w:t>
      </w:r>
    </w:p>
    <w:p>
      <w:pPr>
        <w:snapToGrid w:val="0"/>
        <w:spacing w:line="300" w:lineRule="auto"/>
        <w:ind w:firstLine="480"/>
        <w:rPr>
          <w:rFonts w:ascii="宋体" w:hAnsi="宋体"/>
          <w:szCs w:val="21"/>
          <w:lang w:val="en-GB"/>
        </w:rPr>
      </w:pPr>
      <w:r>
        <w:rPr>
          <w:rFonts w:hint="eastAsia" w:ascii="宋体" w:hAnsi="宋体"/>
          <w:szCs w:val="21"/>
          <w:lang w:val="en-GB"/>
        </w:rPr>
        <w:t>5</w:t>
      </w:r>
      <w:r>
        <w:rPr>
          <w:rFonts w:hint="eastAsia" w:ascii="宋体" w:hAnsi="宋体"/>
          <w:szCs w:val="21"/>
        </w:rPr>
        <w:t>.</w:t>
      </w:r>
      <w:r>
        <w:rPr>
          <w:rFonts w:hint="eastAsia" w:ascii="宋体" w:hAnsi="宋体"/>
          <w:szCs w:val="21"/>
          <w:lang w:val="en-GB"/>
        </w:rPr>
        <w:t>项目运行维护期人员要求</w:t>
      </w:r>
    </w:p>
    <w:p>
      <w:pPr>
        <w:snapToGrid w:val="0"/>
        <w:spacing w:line="300" w:lineRule="auto"/>
        <w:ind w:firstLine="480"/>
        <w:rPr>
          <w:rFonts w:ascii="宋体" w:hAnsi="宋体"/>
          <w:szCs w:val="21"/>
          <w:lang w:val="en-GB"/>
        </w:rPr>
      </w:pPr>
      <w:r>
        <w:rPr>
          <w:rFonts w:hint="eastAsia" w:ascii="宋体" w:hAnsi="宋体"/>
          <w:color w:val="000000" w:themeColor="text1"/>
          <w:szCs w:val="21"/>
          <w:lang w:val="en-GB"/>
        </w:rPr>
        <w:t>本项目实施期间</w:t>
      </w:r>
      <w:r>
        <w:rPr>
          <w:rFonts w:hint="eastAsia" w:ascii="宋体" w:hAnsi="宋体"/>
          <w:szCs w:val="21"/>
          <w:lang w:val="en-GB"/>
        </w:rPr>
        <w:t>，中标供应商应在24小时内回应业主方提出的问题。</w:t>
      </w:r>
    </w:p>
    <w:p>
      <w:pPr>
        <w:snapToGrid w:val="0"/>
        <w:spacing w:line="300" w:lineRule="auto"/>
        <w:ind w:firstLine="480"/>
        <w:rPr>
          <w:rFonts w:ascii="宋体" w:hAnsi="宋体"/>
          <w:szCs w:val="21"/>
          <w:lang w:val="en-GB"/>
        </w:rPr>
      </w:pPr>
      <w:r>
        <w:rPr>
          <w:rFonts w:ascii="宋体" w:hAnsi="宋体"/>
          <w:szCs w:val="21"/>
          <w:lang w:val="en-GB"/>
        </w:rPr>
        <w:t>要求</w:t>
      </w:r>
      <w:r>
        <w:rPr>
          <w:rFonts w:hint="eastAsia" w:ascii="宋体" w:hAnsi="宋体"/>
          <w:szCs w:val="21"/>
          <w:lang w:val="en-GB"/>
        </w:rPr>
        <w:t>中标供应商</w:t>
      </w:r>
      <w:r>
        <w:rPr>
          <w:rFonts w:ascii="宋体" w:hAnsi="宋体"/>
          <w:szCs w:val="21"/>
          <w:lang w:val="en-GB"/>
        </w:rPr>
        <w:t>在项目</w:t>
      </w:r>
      <w:r>
        <w:rPr>
          <w:rFonts w:hint="eastAsia" w:ascii="宋体" w:hAnsi="宋体"/>
          <w:szCs w:val="21"/>
          <w:lang w:val="en-GB"/>
        </w:rPr>
        <w:t>运行维护</w:t>
      </w:r>
      <w:r>
        <w:rPr>
          <w:rFonts w:ascii="宋体" w:hAnsi="宋体"/>
          <w:szCs w:val="21"/>
          <w:lang w:val="en-GB"/>
        </w:rPr>
        <w:t>期配备</w:t>
      </w:r>
      <w:r>
        <w:rPr>
          <w:rFonts w:hint="eastAsia" w:ascii="宋体" w:hAnsi="宋体"/>
          <w:szCs w:val="21"/>
          <w:lang w:val="en-GB"/>
        </w:rPr>
        <w:t>至少2名具备丰富经验的、获得最终用户和采购人认可的工程师驻场提供服务，具体负责运行维护期的</w:t>
      </w:r>
      <w:r>
        <w:rPr>
          <w:rFonts w:ascii="宋体" w:hAnsi="宋体"/>
          <w:szCs w:val="21"/>
          <w:lang w:val="en-GB"/>
        </w:rPr>
        <w:t>日常维护、基础信息调研</w:t>
      </w:r>
      <w:r>
        <w:rPr>
          <w:rFonts w:hint="eastAsia" w:ascii="宋体" w:hAnsi="宋体"/>
          <w:szCs w:val="21"/>
          <w:lang w:val="en-GB"/>
        </w:rPr>
        <w:t>、信号调优、</w:t>
      </w:r>
      <w:r>
        <w:rPr>
          <w:rFonts w:ascii="宋体" w:hAnsi="宋体"/>
          <w:szCs w:val="21"/>
          <w:lang w:val="en-GB"/>
        </w:rPr>
        <w:t>故障修复、</w:t>
      </w:r>
      <w:r>
        <w:rPr>
          <w:rFonts w:hint="eastAsia" w:ascii="宋体" w:hAnsi="宋体"/>
          <w:szCs w:val="21"/>
          <w:lang w:val="en-GB"/>
        </w:rPr>
        <w:t>重要保障、舆情管理等工作。</w:t>
      </w:r>
    </w:p>
    <w:p>
      <w:pPr>
        <w:snapToGrid w:val="0"/>
        <w:spacing w:line="300" w:lineRule="auto"/>
        <w:ind w:firstLine="482"/>
        <w:rPr>
          <w:rFonts w:ascii="宋体" w:hAnsi="宋体"/>
          <w:b/>
          <w:bCs/>
          <w:color w:val="auto"/>
          <w:szCs w:val="21"/>
        </w:rPr>
      </w:pPr>
      <w:r>
        <w:rPr>
          <w:rFonts w:hint="eastAsia" w:ascii="宋体" w:hAnsi="宋体"/>
          <w:b/>
          <w:bCs/>
          <w:szCs w:val="21"/>
          <w:lang w:val="en-GB"/>
        </w:rPr>
        <w:t>（</w:t>
      </w:r>
      <w:r>
        <w:rPr>
          <w:rFonts w:hint="eastAsia" w:ascii="宋体" w:hAnsi="宋体"/>
          <w:b/>
          <w:bCs/>
          <w:szCs w:val="21"/>
        </w:rPr>
        <w:t>七</w:t>
      </w:r>
      <w:r>
        <w:rPr>
          <w:rFonts w:hint="eastAsia" w:ascii="宋体" w:hAnsi="宋体"/>
          <w:b/>
          <w:bCs/>
          <w:szCs w:val="21"/>
          <w:lang w:val="en-GB"/>
        </w:rPr>
        <w:t>）嘉善</w:t>
      </w:r>
      <w:r>
        <w:rPr>
          <w:rFonts w:hint="eastAsia" w:ascii="宋体" w:hAnsi="宋体"/>
          <w:b/>
          <w:bCs/>
          <w:color w:val="auto"/>
          <w:szCs w:val="21"/>
          <w:lang w:val="en-GB"/>
        </w:rPr>
        <w:t>县信号控制优化设计路口</w:t>
      </w:r>
      <w:r>
        <w:rPr>
          <w:rFonts w:hint="eastAsia" w:ascii="宋体" w:hAnsi="宋体"/>
          <w:b/>
          <w:bCs/>
          <w:color w:val="auto"/>
          <w:szCs w:val="21"/>
        </w:rPr>
        <w:t>及配套标志建设</w:t>
      </w:r>
    </w:p>
    <w:p>
      <w:pPr>
        <w:snapToGrid w:val="0"/>
        <w:spacing w:line="300" w:lineRule="auto"/>
        <w:ind w:firstLine="480"/>
        <w:rPr>
          <w:rFonts w:ascii="宋体" w:hAnsi="宋体"/>
          <w:color w:val="auto"/>
          <w:szCs w:val="21"/>
        </w:rPr>
      </w:pPr>
      <w:r>
        <w:rPr>
          <w:rFonts w:ascii="宋体" w:hAnsi="宋体"/>
          <w:color w:val="auto"/>
          <w:szCs w:val="21"/>
        </w:rPr>
        <w:t>根据优化方案，及时设置（调整）绿波指示标志。</w:t>
      </w:r>
    </w:p>
    <w:p>
      <w:pPr>
        <w:snapToGrid w:val="0"/>
        <w:spacing w:line="300" w:lineRule="auto"/>
        <w:ind w:firstLine="482"/>
        <w:rPr>
          <w:rFonts w:ascii="宋体" w:hAnsi="宋体"/>
          <w:b/>
          <w:bCs/>
          <w:color w:val="auto"/>
          <w:szCs w:val="21"/>
          <w:lang w:val="en-GB"/>
        </w:rPr>
      </w:pPr>
      <w:r>
        <w:rPr>
          <w:rFonts w:hint="eastAsia" w:ascii="宋体" w:hAnsi="宋体"/>
          <w:b/>
          <w:bCs/>
          <w:color w:val="auto"/>
          <w:szCs w:val="21"/>
          <w:lang w:val="en-GB"/>
        </w:rPr>
        <w:t>（</w:t>
      </w:r>
      <w:r>
        <w:rPr>
          <w:rFonts w:hint="eastAsia" w:ascii="宋体" w:hAnsi="宋体"/>
          <w:b/>
          <w:bCs/>
          <w:color w:val="auto"/>
          <w:szCs w:val="21"/>
        </w:rPr>
        <w:t>八</w:t>
      </w:r>
      <w:r>
        <w:rPr>
          <w:rFonts w:hint="eastAsia" w:ascii="宋体" w:hAnsi="宋体"/>
          <w:b/>
          <w:bCs/>
          <w:color w:val="auto"/>
          <w:szCs w:val="21"/>
          <w:lang w:val="en-GB"/>
        </w:rPr>
        <w:t>）嘉善县信号控制机主机更换</w:t>
      </w:r>
    </w:p>
    <w:p>
      <w:pPr>
        <w:snapToGrid w:val="0"/>
        <w:spacing w:line="300" w:lineRule="auto"/>
        <w:ind w:firstLine="480"/>
        <w:rPr>
          <w:b/>
          <w:bCs/>
          <w:snapToGrid w:val="0"/>
          <w:szCs w:val="24"/>
        </w:rPr>
      </w:pPr>
      <w:r>
        <w:rPr>
          <w:rFonts w:hint="eastAsia" w:ascii="宋体" w:hAnsi="宋体"/>
          <w:color w:val="auto"/>
          <w:szCs w:val="21"/>
          <w:lang w:val="en-GB"/>
        </w:rPr>
        <w:t>对交通信号配时优化软件不适配的交通信号控制机主机进行更换</w:t>
      </w:r>
      <w:r>
        <w:rPr>
          <w:rFonts w:hint="eastAsia" w:ascii="宋体" w:hAnsi="宋体"/>
          <w:color w:val="auto"/>
          <w:szCs w:val="21"/>
        </w:rPr>
        <w:t>。</w:t>
      </w:r>
    </w:p>
    <w:p>
      <w:pPr>
        <w:snapToGrid w:val="0"/>
        <w:ind w:firstLine="0" w:firstLineChars="0"/>
        <w:jc w:val="center"/>
        <w:rPr>
          <w:rFonts w:ascii="宋体" w:hAnsi="宋体" w:cs="宋体"/>
          <w:b/>
          <w:bCs/>
          <w:kern w:val="0"/>
          <w:sz w:val="28"/>
        </w:rPr>
      </w:pPr>
    </w:p>
    <w:p>
      <w:pPr>
        <w:snapToGrid w:val="0"/>
        <w:ind w:firstLine="0" w:firstLineChars="0"/>
        <w:jc w:val="center"/>
        <w:rPr>
          <w:b/>
          <w:bCs/>
          <w:snapToGrid w:val="0"/>
          <w:sz w:val="28"/>
        </w:rPr>
      </w:pPr>
      <w:r>
        <w:rPr>
          <w:rFonts w:hint="eastAsia" w:ascii="宋体" w:hAnsi="宋体" w:cs="宋体"/>
          <w:b/>
          <w:bCs/>
          <w:kern w:val="0"/>
          <w:sz w:val="28"/>
        </w:rPr>
        <w:t>2023年</w:t>
      </w:r>
      <w:r>
        <w:rPr>
          <w:rFonts w:hint="eastAsia"/>
          <w:b/>
          <w:bCs/>
          <w:snapToGrid w:val="0"/>
          <w:sz w:val="28"/>
        </w:rPr>
        <w:t>嘉善县信号灯</w:t>
      </w:r>
      <w:r>
        <w:rPr>
          <w:rFonts w:hint="eastAsia" w:ascii="宋体"/>
          <w:b/>
          <w:color w:val="000000" w:themeColor="text1"/>
          <w:sz w:val="28"/>
        </w:rPr>
        <w:t>路口全年运营维护</w:t>
      </w:r>
      <w:r>
        <w:rPr>
          <w:rFonts w:hint="eastAsia"/>
          <w:b/>
          <w:bCs/>
          <w:snapToGrid w:val="0"/>
          <w:sz w:val="28"/>
        </w:rPr>
        <w:t>汇总表</w:t>
      </w:r>
      <w:r>
        <w:rPr>
          <w:rFonts w:hint="eastAsia" w:ascii="宋体" w:hAnsi="宋体" w:cs="宋体"/>
          <w:b/>
          <w:bCs/>
          <w:kern w:val="0"/>
          <w:sz w:val="28"/>
        </w:rPr>
        <w:t>(290个路口)</w:t>
      </w:r>
    </w:p>
    <w:tbl>
      <w:tblPr>
        <w:tblStyle w:val="36"/>
        <w:tblW w:w="8931" w:type="dxa"/>
        <w:jc w:val="center"/>
        <w:tblLayout w:type="autofit"/>
        <w:tblCellMar>
          <w:top w:w="0" w:type="dxa"/>
          <w:left w:w="108" w:type="dxa"/>
          <w:bottom w:w="0" w:type="dxa"/>
          <w:right w:w="108" w:type="dxa"/>
        </w:tblCellMar>
      </w:tblPr>
      <w:tblGrid>
        <w:gridCol w:w="1134"/>
        <w:gridCol w:w="3871"/>
        <w:gridCol w:w="1799"/>
        <w:gridCol w:w="2127"/>
      </w:tblGrid>
      <w:tr>
        <w:tblPrEx>
          <w:tblCellMar>
            <w:top w:w="0" w:type="dxa"/>
            <w:left w:w="108" w:type="dxa"/>
            <w:bottom w:w="0" w:type="dxa"/>
            <w:right w:w="108" w:type="dxa"/>
          </w:tblCellMar>
        </w:tblPrEx>
        <w:trPr>
          <w:trHeight w:val="340" w:hRule="atLeast"/>
          <w:tblHeader/>
          <w:jc w:val="center"/>
        </w:trPr>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b/>
                <w:bCs/>
                <w:kern w:val="0"/>
                <w:sz w:val="22"/>
                <w:szCs w:val="22"/>
              </w:rPr>
            </w:pPr>
            <w:r>
              <w:rPr>
                <w:rFonts w:hint="eastAsia" w:ascii="宋体" w:hAnsi="宋体" w:cs="宋体"/>
                <w:b/>
                <w:bCs/>
                <w:kern w:val="0"/>
                <w:sz w:val="22"/>
                <w:szCs w:val="22"/>
              </w:rPr>
              <w:t>序号</w:t>
            </w:r>
          </w:p>
        </w:tc>
        <w:tc>
          <w:tcPr>
            <w:tcW w:w="38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b/>
                <w:bCs/>
                <w:kern w:val="0"/>
                <w:sz w:val="22"/>
                <w:szCs w:val="22"/>
              </w:rPr>
            </w:pPr>
            <w:r>
              <w:rPr>
                <w:rFonts w:hint="eastAsia" w:ascii="宋体" w:hAnsi="宋体" w:cs="宋体"/>
                <w:b/>
                <w:bCs/>
                <w:kern w:val="0"/>
                <w:sz w:val="22"/>
                <w:szCs w:val="22"/>
              </w:rPr>
              <w:t>路口名称</w:t>
            </w:r>
          </w:p>
        </w:tc>
        <w:tc>
          <w:tcPr>
            <w:tcW w:w="179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b/>
                <w:bCs/>
                <w:kern w:val="0"/>
                <w:sz w:val="22"/>
                <w:szCs w:val="22"/>
              </w:rPr>
            </w:pPr>
            <w:r>
              <w:rPr>
                <w:rFonts w:hint="eastAsia" w:ascii="宋体" w:hAnsi="宋体" w:cs="宋体"/>
                <w:b/>
                <w:bCs/>
                <w:kern w:val="0"/>
                <w:sz w:val="22"/>
                <w:szCs w:val="22"/>
              </w:rPr>
              <w:t>时间</w:t>
            </w:r>
          </w:p>
        </w:tc>
        <w:tc>
          <w:tcPr>
            <w:tcW w:w="212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b/>
                <w:bCs/>
                <w:kern w:val="0"/>
                <w:sz w:val="22"/>
                <w:szCs w:val="22"/>
              </w:rPr>
            </w:pPr>
            <w:r>
              <w:rPr>
                <w:rFonts w:hint="eastAsia" w:ascii="宋体" w:hAnsi="宋体" w:cs="宋体"/>
                <w:b/>
                <w:bCs/>
                <w:kern w:val="0"/>
                <w:sz w:val="22"/>
                <w:szCs w:val="22"/>
              </w:rPr>
              <w:t>归属</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平黎线-小嘉善大道</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平黎线-晋阳路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3</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 w:val="22"/>
                <w:szCs w:val="22"/>
              </w:rPr>
            </w:pPr>
            <w:r>
              <w:rPr>
                <w:rFonts w:hint="eastAsia" w:ascii="宋体" w:hAnsi="宋体" w:cs="宋体"/>
                <w:kern w:val="0"/>
                <w:sz w:val="22"/>
                <w:szCs w:val="22"/>
              </w:rPr>
              <w:t>宏泽路-育新路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魏塘中队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4</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 w:val="22"/>
                <w:szCs w:val="22"/>
              </w:rPr>
            </w:pPr>
            <w:r>
              <w:rPr>
                <w:rFonts w:hint="eastAsia" w:ascii="宋体" w:hAnsi="宋体" w:cs="宋体"/>
                <w:kern w:val="0"/>
                <w:sz w:val="22"/>
                <w:szCs w:val="22"/>
              </w:rPr>
              <w:t>台升大道-鑫达路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惠民中队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5</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 w:val="22"/>
                <w:szCs w:val="22"/>
              </w:rPr>
            </w:pPr>
            <w:r>
              <w:rPr>
                <w:rFonts w:hint="eastAsia" w:ascii="宋体" w:hAnsi="宋体" w:cs="宋体"/>
                <w:kern w:val="0"/>
                <w:sz w:val="22"/>
                <w:szCs w:val="22"/>
              </w:rPr>
              <w:t>台升大道-武夷路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惠民中队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6</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 w:val="22"/>
                <w:szCs w:val="22"/>
              </w:rPr>
            </w:pPr>
            <w:r>
              <w:rPr>
                <w:rFonts w:hint="eastAsia" w:ascii="宋体" w:hAnsi="宋体" w:cs="宋体"/>
                <w:kern w:val="0"/>
                <w:sz w:val="22"/>
                <w:szCs w:val="22"/>
              </w:rPr>
              <w:t>思明路-惠宏路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惠民中队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7</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 w:val="22"/>
                <w:szCs w:val="22"/>
              </w:rPr>
            </w:pPr>
            <w:r>
              <w:rPr>
                <w:rFonts w:hint="eastAsia" w:ascii="宋体" w:hAnsi="宋体" w:cs="宋体"/>
                <w:kern w:val="0"/>
                <w:sz w:val="22"/>
                <w:szCs w:val="22"/>
              </w:rPr>
              <w:t>城西大道-硅谷六路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8</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 w:val="22"/>
                <w:szCs w:val="22"/>
              </w:rPr>
            </w:pPr>
            <w:r>
              <w:rPr>
                <w:rFonts w:hint="eastAsia" w:ascii="宋体" w:hAnsi="宋体" w:cs="宋体"/>
                <w:kern w:val="0"/>
                <w:sz w:val="22"/>
                <w:szCs w:val="22"/>
              </w:rPr>
              <w:t>世纪大道-厍先线</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9</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 w:val="22"/>
                <w:szCs w:val="22"/>
              </w:rPr>
            </w:pPr>
            <w:r>
              <w:rPr>
                <w:rFonts w:hint="eastAsia" w:ascii="宋体" w:hAnsi="宋体" w:cs="宋体"/>
                <w:kern w:val="0"/>
                <w:sz w:val="22"/>
                <w:szCs w:val="22"/>
              </w:rPr>
              <w:t>丁凝公路-陶芦线</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陶庄中队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10</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 w:val="22"/>
                <w:szCs w:val="22"/>
              </w:rPr>
            </w:pPr>
            <w:r>
              <w:rPr>
                <w:rFonts w:hint="eastAsia" w:ascii="宋体" w:hAnsi="宋体" w:cs="宋体"/>
                <w:kern w:val="0"/>
                <w:sz w:val="22"/>
                <w:szCs w:val="22"/>
              </w:rPr>
              <w:t>丁凝公路-三吕埭</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西塘中队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11</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 w:val="22"/>
                <w:szCs w:val="22"/>
              </w:rPr>
            </w:pPr>
            <w:r>
              <w:rPr>
                <w:rFonts w:hint="eastAsia" w:ascii="宋体" w:hAnsi="宋体" w:cs="宋体"/>
                <w:kern w:val="0"/>
                <w:sz w:val="22"/>
                <w:szCs w:val="22"/>
              </w:rPr>
              <w:t>丁凝公路-红舜路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西塘中队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12</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 w:val="22"/>
                <w:szCs w:val="22"/>
              </w:rPr>
            </w:pPr>
            <w:r>
              <w:rPr>
                <w:rFonts w:hint="eastAsia" w:ascii="宋体" w:hAnsi="宋体" w:cs="宋体"/>
                <w:kern w:val="0"/>
                <w:sz w:val="22"/>
                <w:szCs w:val="22"/>
              </w:rPr>
              <w:t>丁凝公路-富舜路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西塘中队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13</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 w:val="22"/>
                <w:szCs w:val="22"/>
              </w:rPr>
            </w:pPr>
            <w:r>
              <w:rPr>
                <w:rFonts w:hint="eastAsia" w:ascii="宋体" w:hAnsi="宋体" w:cs="宋体"/>
                <w:kern w:val="0"/>
                <w:sz w:val="22"/>
                <w:szCs w:val="22"/>
              </w:rPr>
              <w:t>丁凝公路-星建路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西塘中队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14</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 w:val="22"/>
                <w:szCs w:val="22"/>
              </w:rPr>
            </w:pPr>
            <w:r>
              <w:rPr>
                <w:rFonts w:hint="eastAsia" w:ascii="宋体" w:hAnsi="宋体" w:cs="宋体"/>
                <w:kern w:val="0"/>
                <w:sz w:val="22"/>
                <w:szCs w:val="22"/>
              </w:rPr>
              <w:t>丁凝公路-杨汾线</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西塘中队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15</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 w:val="22"/>
                <w:szCs w:val="22"/>
              </w:rPr>
            </w:pPr>
            <w:r>
              <w:rPr>
                <w:rFonts w:hint="eastAsia" w:ascii="宋体" w:hAnsi="宋体" w:cs="宋体"/>
                <w:kern w:val="0"/>
                <w:sz w:val="22"/>
                <w:szCs w:val="22"/>
              </w:rPr>
              <w:t>丁凝公路-洪下线</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西塘中队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16</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 w:val="22"/>
                <w:szCs w:val="22"/>
              </w:rPr>
            </w:pPr>
            <w:r>
              <w:rPr>
                <w:rFonts w:hint="eastAsia" w:ascii="宋体" w:hAnsi="宋体" w:cs="宋体"/>
                <w:kern w:val="0"/>
                <w:sz w:val="22"/>
                <w:szCs w:val="22"/>
              </w:rPr>
              <w:t>丁凝公路-三联公路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西塘中队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17</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 w:val="22"/>
                <w:szCs w:val="22"/>
              </w:rPr>
            </w:pPr>
            <w:r>
              <w:rPr>
                <w:rFonts w:hint="eastAsia" w:ascii="宋体" w:hAnsi="宋体" w:cs="宋体"/>
                <w:kern w:val="0"/>
                <w:sz w:val="22"/>
                <w:szCs w:val="22"/>
              </w:rPr>
              <w:t>丁凝公路-高浜路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天凝中队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18</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 w:val="22"/>
                <w:szCs w:val="22"/>
              </w:rPr>
            </w:pPr>
            <w:r>
              <w:rPr>
                <w:rFonts w:hint="eastAsia" w:ascii="宋体" w:hAnsi="宋体" w:cs="宋体"/>
                <w:kern w:val="0"/>
                <w:sz w:val="22"/>
                <w:szCs w:val="22"/>
              </w:rPr>
              <w:t>丁凝公路-蔡家浜路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天凝中队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19</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 w:val="22"/>
                <w:szCs w:val="22"/>
              </w:rPr>
            </w:pPr>
            <w:r>
              <w:rPr>
                <w:rFonts w:hint="eastAsia" w:ascii="宋体" w:hAnsi="宋体" w:cs="宋体"/>
                <w:kern w:val="0"/>
                <w:sz w:val="22"/>
                <w:szCs w:val="22"/>
              </w:rPr>
              <w:t>天凝大道-天德路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天凝中队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20</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 w:val="22"/>
                <w:szCs w:val="22"/>
              </w:rPr>
            </w:pPr>
            <w:r>
              <w:rPr>
                <w:rFonts w:hint="eastAsia" w:ascii="宋体" w:hAnsi="宋体" w:cs="宋体"/>
                <w:kern w:val="0"/>
                <w:sz w:val="22"/>
                <w:szCs w:val="22"/>
              </w:rPr>
              <w:t>平黎线-安平路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西塘中队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21</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 w:val="22"/>
                <w:szCs w:val="22"/>
              </w:rPr>
            </w:pPr>
            <w:r>
              <w:rPr>
                <w:rFonts w:hint="eastAsia" w:ascii="宋体" w:hAnsi="宋体" w:cs="宋体"/>
                <w:kern w:val="0"/>
                <w:sz w:val="22"/>
                <w:szCs w:val="22"/>
              </w:rPr>
              <w:t>大天线-欣杨村</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天凝中队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22</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 w:val="22"/>
                <w:szCs w:val="22"/>
              </w:rPr>
            </w:pPr>
            <w:r>
              <w:rPr>
                <w:rFonts w:hint="eastAsia" w:ascii="宋体" w:hAnsi="宋体" w:cs="宋体"/>
                <w:kern w:val="0"/>
                <w:sz w:val="22"/>
                <w:szCs w:val="22"/>
              </w:rPr>
              <w:t>纽扣路-姚家坝</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西塘中队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23</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 w:val="22"/>
                <w:szCs w:val="22"/>
              </w:rPr>
            </w:pPr>
            <w:r>
              <w:rPr>
                <w:rFonts w:hint="eastAsia" w:ascii="宋体" w:hAnsi="宋体" w:cs="宋体"/>
                <w:kern w:val="0"/>
                <w:sz w:val="22"/>
                <w:szCs w:val="22"/>
              </w:rPr>
              <w:t>开源路-红舜线</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西塘中队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24</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 w:val="22"/>
                <w:szCs w:val="22"/>
              </w:rPr>
            </w:pPr>
            <w:r>
              <w:rPr>
                <w:rFonts w:hint="eastAsia" w:ascii="宋体" w:hAnsi="宋体" w:cs="宋体"/>
                <w:kern w:val="0"/>
                <w:sz w:val="22"/>
                <w:szCs w:val="22"/>
              </w:rPr>
              <w:t>贞观路-西园路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西塘中队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25</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 w:val="22"/>
                <w:szCs w:val="22"/>
              </w:rPr>
            </w:pPr>
            <w:r>
              <w:rPr>
                <w:rFonts w:hint="eastAsia" w:ascii="宋体" w:hAnsi="宋体" w:cs="宋体"/>
                <w:kern w:val="0"/>
                <w:sz w:val="22"/>
                <w:szCs w:val="22"/>
              </w:rPr>
              <w:t>丁枫线-洪家村</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姚庄中队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26</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 w:val="22"/>
                <w:szCs w:val="22"/>
              </w:rPr>
            </w:pPr>
            <w:r>
              <w:rPr>
                <w:rFonts w:hint="eastAsia" w:ascii="宋体" w:hAnsi="宋体" w:cs="宋体"/>
                <w:kern w:val="0"/>
                <w:sz w:val="22"/>
                <w:szCs w:val="22"/>
              </w:rPr>
              <w:t>丁枫线-洪子圩</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姚庄中队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27</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 w:val="22"/>
                <w:szCs w:val="22"/>
              </w:rPr>
            </w:pPr>
            <w:r>
              <w:rPr>
                <w:rFonts w:hint="eastAsia" w:ascii="宋体" w:hAnsi="宋体" w:cs="宋体"/>
                <w:kern w:val="0"/>
                <w:sz w:val="22"/>
                <w:szCs w:val="22"/>
              </w:rPr>
              <w:t>谈公路-金嘉大道</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魏塘中队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28</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 w:val="22"/>
                <w:szCs w:val="22"/>
              </w:rPr>
            </w:pPr>
            <w:r>
              <w:rPr>
                <w:rFonts w:hint="eastAsia" w:ascii="宋体" w:hAnsi="宋体" w:cs="宋体"/>
                <w:kern w:val="0"/>
                <w:sz w:val="22"/>
                <w:szCs w:val="22"/>
              </w:rPr>
              <w:t>之江路-泰山路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惠民中队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29</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 w:val="22"/>
                <w:szCs w:val="22"/>
              </w:rPr>
            </w:pPr>
            <w:r>
              <w:rPr>
                <w:rFonts w:hint="eastAsia" w:ascii="宋体" w:hAnsi="宋体" w:cs="宋体"/>
                <w:kern w:val="0"/>
                <w:sz w:val="22"/>
                <w:szCs w:val="22"/>
              </w:rPr>
              <w:t>之江路-嵩山路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惠民中队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30</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 w:val="22"/>
                <w:szCs w:val="22"/>
              </w:rPr>
            </w:pPr>
            <w:r>
              <w:rPr>
                <w:rFonts w:hint="eastAsia" w:ascii="宋体" w:hAnsi="宋体" w:cs="宋体"/>
                <w:kern w:val="0"/>
                <w:sz w:val="22"/>
                <w:szCs w:val="22"/>
              </w:rPr>
              <w:t>世纪大道-温泉大道</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惠民中队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31</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 w:val="22"/>
                <w:szCs w:val="22"/>
              </w:rPr>
            </w:pPr>
            <w:r>
              <w:rPr>
                <w:rFonts w:hint="eastAsia" w:ascii="宋体" w:hAnsi="宋体" w:cs="宋体"/>
                <w:kern w:val="0"/>
                <w:sz w:val="22"/>
                <w:szCs w:val="22"/>
              </w:rPr>
              <w:t>世纪大道-交通局</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惠民中队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32</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 w:val="22"/>
                <w:szCs w:val="22"/>
              </w:rPr>
            </w:pPr>
            <w:r>
              <w:rPr>
                <w:rFonts w:hint="eastAsia" w:ascii="宋体" w:hAnsi="宋体" w:cs="宋体"/>
                <w:kern w:val="0"/>
                <w:sz w:val="22"/>
                <w:szCs w:val="22"/>
              </w:rPr>
              <w:t>世纪大道-浙师大</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惠民中队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33</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 w:val="22"/>
                <w:szCs w:val="22"/>
              </w:rPr>
            </w:pPr>
            <w:r>
              <w:rPr>
                <w:rFonts w:hint="eastAsia" w:ascii="宋体" w:hAnsi="宋体" w:cs="宋体"/>
                <w:kern w:val="0"/>
                <w:sz w:val="22"/>
                <w:szCs w:val="22"/>
              </w:rPr>
              <w:t>温泉大道-云海路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34</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 w:val="22"/>
                <w:szCs w:val="22"/>
              </w:rPr>
            </w:pPr>
            <w:r>
              <w:rPr>
                <w:rFonts w:hint="eastAsia" w:ascii="宋体" w:hAnsi="宋体" w:cs="宋体"/>
                <w:kern w:val="0"/>
                <w:sz w:val="22"/>
                <w:szCs w:val="22"/>
              </w:rPr>
              <w:t>云彩路-云海路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35</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 w:val="22"/>
                <w:szCs w:val="22"/>
              </w:rPr>
            </w:pPr>
            <w:r>
              <w:rPr>
                <w:rFonts w:hint="eastAsia" w:ascii="宋体" w:hAnsi="宋体" w:cs="宋体"/>
                <w:kern w:val="0"/>
                <w:sz w:val="22"/>
                <w:szCs w:val="22"/>
              </w:rPr>
              <w:t>繆洪线-云海路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36</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 w:val="22"/>
                <w:szCs w:val="22"/>
              </w:rPr>
            </w:pPr>
            <w:r>
              <w:rPr>
                <w:rFonts w:hint="eastAsia" w:ascii="宋体" w:hAnsi="宋体" w:cs="宋体"/>
                <w:kern w:val="0"/>
                <w:sz w:val="22"/>
                <w:szCs w:val="22"/>
              </w:rPr>
              <w:t>双云路-云溪路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37</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 w:val="22"/>
                <w:szCs w:val="22"/>
              </w:rPr>
            </w:pPr>
            <w:r>
              <w:rPr>
                <w:rFonts w:hint="eastAsia" w:ascii="宋体" w:hAnsi="宋体" w:cs="宋体"/>
                <w:kern w:val="0"/>
                <w:sz w:val="22"/>
                <w:szCs w:val="22"/>
              </w:rPr>
              <w:t>慈山路-士升路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38</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 w:val="22"/>
                <w:szCs w:val="22"/>
              </w:rPr>
            </w:pPr>
            <w:r>
              <w:rPr>
                <w:rFonts w:hint="eastAsia" w:ascii="宋体" w:hAnsi="宋体" w:cs="宋体"/>
                <w:kern w:val="0"/>
                <w:sz w:val="22"/>
                <w:szCs w:val="22"/>
              </w:rPr>
              <w:t>慈山路-亭桥路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39</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 w:val="22"/>
                <w:szCs w:val="22"/>
              </w:rPr>
            </w:pPr>
            <w:r>
              <w:rPr>
                <w:rFonts w:hint="eastAsia" w:ascii="宋体" w:hAnsi="宋体" w:cs="宋体"/>
                <w:kern w:val="0"/>
                <w:sz w:val="22"/>
                <w:szCs w:val="22"/>
              </w:rPr>
              <w:t>台基路-子胥路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40</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 w:val="22"/>
                <w:szCs w:val="22"/>
              </w:rPr>
            </w:pPr>
            <w:r>
              <w:rPr>
                <w:rFonts w:hint="eastAsia" w:ascii="宋体" w:hAnsi="宋体" w:cs="宋体"/>
                <w:kern w:val="0"/>
                <w:sz w:val="22"/>
                <w:szCs w:val="22"/>
              </w:rPr>
              <w:t>台基路-桐村路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41</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 w:val="22"/>
                <w:szCs w:val="22"/>
              </w:rPr>
            </w:pPr>
            <w:r>
              <w:rPr>
                <w:rFonts w:hint="eastAsia" w:ascii="宋体" w:hAnsi="宋体" w:cs="宋体"/>
                <w:kern w:val="0"/>
                <w:sz w:val="22"/>
                <w:szCs w:val="22"/>
              </w:rPr>
              <w:t>台基路-环西路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42</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 w:val="22"/>
                <w:szCs w:val="22"/>
              </w:rPr>
            </w:pPr>
            <w:r>
              <w:rPr>
                <w:rFonts w:hint="eastAsia" w:ascii="宋体" w:hAnsi="宋体" w:cs="宋体"/>
                <w:kern w:val="0"/>
                <w:sz w:val="22"/>
                <w:szCs w:val="22"/>
              </w:rPr>
              <w:t>台基路-华玉路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43</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 w:val="22"/>
                <w:szCs w:val="22"/>
              </w:rPr>
            </w:pPr>
            <w:r>
              <w:rPr>
                <w:rFonts w:hint="eastAsia" w:ascii="宋体" w:hAnsi="宋体" w:cs="宋体"/>
                <w:kern w:val="0"/>
                <w:sz w:val="22"/>
                <w:szCs w:val="22"/>
              </w:rPr>
              <w:t>创业路-子胥路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44</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 w:val="22"/>
                <w:szCs w:val="22"/>
              </w:rPr>
            </w:pPr>
            <w:r>
              <w:rPr>
                <w:rFonts w:hint="eastAsia" w:ascii="宋体" w:hAnsi="宋体" w:cs="宋体"/>
                <w:kern w:val="0"/>
                <w:sz w:val="22"/>
                <w:szCs w:val="22"/>
              </w:rPr>
              <w:t>创业路-桐村路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45</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 w:val="22"/>
                <w:szCs w:val="22"/>
              </w:rPr>
            </w:pPr>
            <w:r>
              <w:rPr>
                <w:rFonts w:hint="eastAsia" w:ascii="宋体" w:hAnsi="宋体" w:cs="宋体"/>
                <w:kern w:val="0"/>
                <w:sz w:val="22"/>
                <w:szCs w:val="22"/>
              </w:rPr>
              <w:t>胥山路-子胥路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46</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 w:val="22"/>
                <w:szCs w:val="22"/>
              </w:rPr>
            </w:pPr>
            <w:r>
              <w:rPr>
                <w:rFonts w:hint="eastAsia" w:ascii="宋体" w:hAnsi="宋体" w:cs="宋体"/>
                <w:kern w:val="0"/>
                <w:sz w:val="22"/>
                <w:szCs w:val="22"/>
              </w:rPr>
              <w:t>胥山路-桐村路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47</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 w:val="22"/>
                <w:szCs w:val="22"/>
              </w:rPr>
            </w:pPr>
            <w:r>
              <w:rPr>
                <w:rFonts w:hint="eastAsia" w:ascii="宋体" w:hAnsi="宋体" w:cs="宋体"/>
                <w:kern w:val="0"/>
                <w:sz w:val="22"/>
                <w:szCs w:val="22"/>
              </w:rPr>
              <w:t>胥山路-环西路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48</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 w:val="22"/>
                <w:szCs w:val="22"/>
              </w:rPr>
            </w:pPr>
            <w:r>
              <w:rPr>
                <w:rFonts w:hint="eastAsia" w:ascii="宋体" w:hAnsi="宋体" w:cs="宋体"/>
                <w:kern w:val="0"/>
                <w:sz w:val="22"/>
                <w:szCs w:val="22"/>
              </w:rPr>
              <w:t>胥山路-华玉路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49</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 w:val="22"/>
                <w:szCs w:val="22"/>
              </w:rPr>
            </w:pPr>
            <w:r>
              <w:rPr>
                <w:rFonts w:hint="eastAsia" w:ascii="宋体" w:hAnsi="宋体" w:cs="宋体"/>
                <w:kern w:val="0"/>
                <w:sz w:val="22"/>
                <w:szCs w:val="22"/>
              </w:rPr>
              <w:t>揽秀路-状元路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魏塘中队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50</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 w:val="22"/>
                <w:szCs w:val="22"/>
              </w:rPr>
            </w:pPr>
            <w:r>
              <w:rPr>
                <w:rFonts w:hint="eastAsia" w:ascii="宋体" w:hAnsi="宋体" w:cs="宋体"/>
                <w:kern w:val="0"/>
                <w:sz w:val="22"/>
                <w:szCs w:val="22"/>
              </w:rPr>
              <w:t>揽秀路-翰林路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魏塘中队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51</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 w:val="22"/>
                <w:szCs w:val="22"/>
              </w:rPr>
            </w:pPr>
            <w:r>
              <w:rPr>
                <w:rFonts w:hint="eastAsia" w:ascii="宋体" w:hAnsi="宋体" w:cs="宋体"/>
                <w:kern w:val="0"/>
                <w:sz w:val="22"/>
                <w:szCs w:val="22"/>
              </w:rPr>
              <w:t>平黎线-丁凝公路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西塘中队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52</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 w:val="22"/>
                <w:szCs w:val="22"/>
              </w:rPr>
            </w:pPr>
            <w:r>
              <w:rPr>
                <w:rFonts w:hint="eastAsia" w:ascii="宋体" w:hAnsi="宋体" w:cs="宋体"/>
                <w:kern w:val="0"/>
                <w:sz w:val="22"/>
                <w:szCs w:val="22"/>
              </w:rPr>
              <w:t>丁凝公路-嘉善北</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西塘中队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53</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 w:val="22"/>
                <w:szCs w:val="22"/>
              </w:rPr>
            </w:pPr>
            <w:r>
              <w:rPr>
                <w:rFonts w:hint="eastAsia" w:ascii="宋体" w:hAnsi="宋体" w:cs="宋体"/>
                <w:kern w:val="0"/>
                <w:sz w:val="22"/>
                <w:szCs w:val="22"/>
              </w:rPr>
              <w:t>贞观路-中兴路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西塘中队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54</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 w:val="22"/>
                <w:szCs w:val="22"/>
              </w:rPr>
            </w:pPr>
            <w:r>
              <w:rPr>
                <w:rFonts w:hint="eastAsia" w:ascii="宋体" w:hAnsi="宋体" w:cs="宋体"/>
                <w:kern w:val="0"/>
                <w:sz w:val="22"/>
                <w:szCs w:val="22"/>
              </w:rPr>
              <w:t>中兴路-金茜线</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西塘中队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55</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 w:val="22"/>
                <w:szCs w:val="22"/>
              </w:rPr>
            </w:pPr>
            <w:r>
              <w:rPr>
                <w:rFonts w:hint="eastAsia" w:ascii="宋体" w:hAnsi="宋体" w:cs="宋体"/>
                <w:kern w:val="0"/>
                <w:sz w:val="22"/>
                <w:szCs w:val="22"/>
              </w:rPr>
              <w:t>平黎线-夏汾路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陶庄中队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56</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 w:val="22"/>
                <w:szCs w:val="22"/>
              </w:rPr>
            </w:pPr>
            <w:r>
              <w:rPr>
                <w:rFonts w:hint="eastAsia" w:ascii="宋体" w:hAnsi="宋体" w:cs="宋体"/>
                <w:kern w:val="0"/>
                <w:sz w:val="22"/>
                <w:szCs w:val="22"/>
              </w:rPr>
              <w:t>平黎线-龙鼎路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西塘中队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57</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 w:val="22"/>
                <w:szCs w:val="22"/>
              </w:rPr>
            </w:pPr>
            <w:r>
              <w:rPr>
                <w:rFonts w:hint="eastAsia" w:ascii="宋体" w:hAnsi="宋体" w:cs="宋体"/>
                <w:kern w:val="0"/>
                <w:sz w:val="22"/>
                <w:szCs w:val="22"/>
              </w:rPr>
              <w:t>世纪大道-罗星互通</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58</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 w:val="22"/>
                <w:szCs w:val="22"/>
              </w:rPr>
            </w:pPr>
            <w:r>
              <w:rPr>
                <w:rFonts w:hint="eastAsia" w:ascii="宋体" w:hAnsi="宋体" w:cs="宋体"/>
                <w:kern w:val="0"/>
                <w:sz w:val="22"/>
                <w:szCs w:val="22"/>
              </w:rPr>
              <w:t>世纪大道-硅谷六路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59</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 w:val="22"/>
                <w:szCs w:val="22"/>
              </w:rPr>
            </w:pPr>
            <w:r>
              <w:rPr>
                <w:rFonts w:hint="eastAsia" w:ascii="宋体" w:hAnsi="宋体" w:cs="宋体"/>
                <w:kern w:val="0"/>
                <w:sz w:val="22"/>
                <w:szCs w:val="22"/>
              </w:rPr>
              <w:t>世纪大道-灵秀路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60</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 w:val="22"/>
                <w:szCs w:val="22"/>
              </w:rPr>
            </w:pPr>
            <w:r>
              <w:rPr>
                <w:rFonts w:hint="eastAsia" w:ascii="宋体" w:hAnsi="宋体" w:cs="宋体"/>
                <w:kern w:val="0"/>
                <w:sz w:val="22"/>
                <w:szCs w:val="22"/>
              </w:rPr>
              <w:t>世纪大道-金秀路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61</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 w:val="22"/>
                <w:szCs w:val="22"/>
              </w:rPr>
            </w:pPr>
            <w:r>
              <w:rPr>
                <w:rFonts w:hint="eastAsia" w:ascii="宋体" w:hAnsi="宋体" w:cs="宋体"/>
                <w:kern w:val="0"/>
                <w:sz w:val="22"/>
                <w:szCs w:val="22"/>
              </w:rPr>
              <w:t>世纪大道-城西大道</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62</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 w:val="22"/>
                <w:szCs w:val="22"/>
              </w:rPr>
            </w:pPr>
            <w:r>
              <w:rPr>
                <w:rFonts w:hint="eastAsia" w:ascii="宋体" w:hAnsi="宋体" w:cs="宋体"/>
                <w:kern w:val="0"/>
                <w:sz w:val="22"/>
                <w:szCs w:val="22"/>
              </w:rPr>
              <w:t>世纪大道-环西路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63</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 w:val="22"/>
                <w:szCs w:val="22"/>
              </w:rPr>
            </w:pPr>
            <w:r>
              <w:rPr>
                <w:rFonts w:hint="eastAsia" w:ascii="宋体" w:hAnsi="宋体" w:cs="宋体"/>
                <w:kern w:val="0"/>
                <w:sz w:val="22"/>
                <w:szCs w:val="22"/>
              </w:rPr>
              <w:t>世纪大道-子胥路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64</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 w:val="22"/>
                <w:szCs w:val="22"/>
              </w:rPr>
            </w:pPr>
            <w:r>
              <w:rPr>
                <w:rFonts w:hint="eastAsia" w:ascii="宋体" w:hAnsi="宋体" w:cs="宋体"/>
                <w:kern w:val="0"/>
                <w:sz w:val="22"/>
                <w:szCs w:val="22"/>
              </w:rPr>
              <w:t>世纪大道-体育路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65</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 w:val="22"/>
                <w:szCs w:val="22"/>
              </w:rPr>
            </w:pPr>
            <w:r>
              <w:rPr>
                <w:rFonts w:hint="eastAsia" w:ascii="宋体" w:hAnsi="宋体" w:cs="宋体"/>
                <w:kern w:val="0"/>
                <w:sz w:val="22"/>
                <w:szCs w:val="22"/>
              </w:rPr>
              <w:t>世纪大道-亭桥路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66</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 w:val="22"/>
                <w:szCs w:val="22"/>
              </w:rPr>
            </w:pPr>
            <w:r>
              <w:rPr>
                <w:rFonts w:hint="eastAsia" w:ascii="宋体" w:hAnsi="宋体" w:cs="宋体"/>
                <w:kern w:val="0"/>
                <w:sz w:val="22"/>
                <w:szCs w:val="22"/>
              </w:rPr>
              <w:t>世纪大道-车站路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67</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 w:val="22"/>
                <w:szCs w:val="22"/>
              </w:rPr>
            </w:pPr>
            <w:r>
              <w:rPr>
                <w:rFonts w:hint="eastAsia" w:ascii="宋体" w:hAnsi="宋体" w:cs="宋体"/>
                <w:kern w:val="0"/>
                <w:sz w:val="22"/>
                <w:szCs w:val="22"/>
              </w:rPr>
              <w:t>世纪大道-嘉善大道</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68</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 w:val="22"/>
                <w:szCs w:val="22"/>
              </w:rPr>
            </w:pPr>
            <w:r>
              <w:rPr>
                <w:rFonts w:hint="eastAsia" w:ascii="宋体" w:hAnsi="宋体" w:cs="宋体"/>
                <w:kern w:val="0"/>
                <w:sz w:val="22"/>
                <w:szCs w:val="22"/>
              </w:rPr>
              <w:t>世纪大道-农商路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69</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 w:val="22"/>
                <w:szCs w:val="22"/>
              </w:rPr>
            </w:pPr>
            <w:r>
              <w:rPr>
                <w:rFonts w:hint="eastAsia" w:ascii="宋体" w:hAnsi="宋体" w:cs="宋体"/>
                <w:kern w:val="0"/>
                <w:sz w:val="22"/>
                <w:szCs w:val="22"/>
              </w:rPr>
              <w:t>世纪大道-环东路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70</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 w:val="22"/>
                <w:szCs w:val="22"/>
              </w:rPr>
            </w:pPr>
            <w:r>
              <w:rPr>
                <w:rFonts w:hint="eastAsia" w:ascii="宋体" w:hAnsi="宋体" w:cs="宋体"/>
                <w:kern w:val="0"/>
                <w:sz w:val="22"/>
                <w:szCs w:val="22"/>
              </w:rPr>
              <w:t>世纪大道-白水塘路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71</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 w:val="22"/>
                <w:szCs w:val="22"/>
              </w:rPr>
            </w:pPr>
            <w:r>
              <w:rPr>
                <w:rFonts w:hint="eastAsia" w:ascii="宋体" w:hAnsi="宋体" w:cs="宋体"/>
                <w:kern w:val="0"/>
                <w:sz w:val="22"/>
                <w:szCs w:val="22"/>
              </w:rPr>
              <w:t>平黎线-世纪大道</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72</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 w:val="22"/>
                <w:szCs w:val="22"/>
              </w:rPr>
            </w:pPr>
            <w:r>
              <w:rPr>
                <w:rFonts w:hint="eastAsia" w:ascii="宋体" w:hAnsi="宋体" w:cs="宋体"/>
                <w:kern w:val="0"/>
                <w:sz w:val="22"/>
                <w:szCs w:val="22"/>
              </w:rPr>
              <w:t>慈山路-云都路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73</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 w:val="22"/>
                <w:szCs w:val="22"/>
              </w:rPr>
            </w:pPr>
            <w:r>
              <w:rPr>
                <w:rFonts w:hint="eastAsia" w:ascii="宋体" w:hAnsi="宋体" w:cs="宋体"/>
                <w:kern w:val="0"/>
                <w:sz w:val="22"/>
                <w:szCs w:val="22"/>
              </w:rPr>
              <w:t>嘉善大道-康兴路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74</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 w:val="22"/>
                <w:szCs w:val="22"/>
              </w:rPr>
            </w:pPr>
            <w:r>
              <w:rPr>
                <w:rFonts w:hint="eastAsia" w:ascii="宋体" w:hAnsi="宋体" w:cs="宋体"/>
                <w:kern w:val="0"/>
                <w:sz w:val="22"/>
                <w:szCs w:val="22"/>
              </w:rPr>
              <w:t>康兴路-卡帕路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75</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 w:val="22"/>
                <w:szCs w:val="22"/>
              </w:rPr>
            </w:pPr>
            <w:r>
              <w:rPr>
                <w:rFonts w:hint="eastAsia" w:ascii="宋体" w:hAnsi="宋体" w:cs="宋体"/>
                <w:kern w:val="0"/>
                <w:sz w:val="22"/>
                <w:szCs w:val="22"/>
              </w:rPr>
              <w:t>阳光路-兴贤路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76</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 w:val="22"/>
                <w:szCs w:val="22"/>
              </w:rPr>
            </w:pPr>
            <w:r>
              <w:rPr>
                <w:rFonts w:hint="eastAsia" w:ascii="宋体" w:hAnsi="宋体" w:cs="宋体"/>
                <w:kern w:val="0"/>
                <w:sz w:val="22"/>
                <w:szCs w:val="22"/>
              </w:rPr>
              <w:t>320国道-新枫路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魏塘中队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77</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 w:val="22"/>
                <w:szCs w:val="22"/>
              </w:rPr>
            </w:pPr>
            <w:r>
              <w:rPr>
                <w:rFonts w:hint="eastAsia" w:ascii="宋体" w:hAnsi="宋体" w:cs="宋体"/>
                <w:kern w:val="0"/>
                <w:sz w:val="22"/>
                <w:szCs w:val="22"/>
              </w:rPr>
              <w:t>大天线-宏杨路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天凝中队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78</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 w:val="22"/>
                <w:szCs w:val="22"/>
              </w:rPr>
            </w:pPr>
            <w:r>
              <w:rPr>
                <w:rFonts w:hint="eastAsia" w:ascii="宋体" w:hAnsi="宋体" w:cs="宋体"/>
                <w:kern w:val="0"/>
                <w:sz w:val="22"/>
                <w:szCs w:val="22"/>
              </w:rPr>
              <w:t>杨庙大道-洪三线</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2022年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天凝中队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79</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平黎线-宏业路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2021年改建</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80</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G320-黄山路（魏俞线）</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2021年新建</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魏塘中队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81</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G320-黄河路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2021年新建</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魏塘中队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82</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G320-坛垅路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2021年新建</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魏塘中队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83</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G320-体育路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2021年新建</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魏塘中队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84</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G320-恒兴路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2021年新建</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魏塘中队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85</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G320-长盛路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2021年新建</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魏塘中队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86</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G320-三里桥（T字路口）</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2021年新建</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魏塘中队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87</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G320-晋亿大道</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2021年新建</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魏塘中队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88</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天洪公路-商升路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2021年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天凝中队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89</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振兴路-镇南路（丁枫线）</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2021年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姚庄中队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90</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320-城西大道</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2021年新建</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魏塘中队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91</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320-新三里桥路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2021年新建</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魏塘中队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92</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庄驰路-俞曹路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2020年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干窑中队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93</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长江路-新优路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2020年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惠民中队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94</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惠民大道-明珠路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2020年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惠民中队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95</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惠民大道-惠宏路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2020年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惠民中队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96</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慈山路-联盛路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2020年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97</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平黎线-曹家路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2020年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陶庄中队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98</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平黎线-汾湖路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2020年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陶庄中队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99</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大天线-兴贤路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2020年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天凝中队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100</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浏河路-清凉大道</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2020年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姚庄中队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101</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学苑路-洪福路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2020年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姚庄中队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102</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洪福路-桃园路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2020年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姚庄中队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103</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Cs w:val="24"/>
              </w:rPr>
            </w:pPr>
            <w:r>
              <w:rPr>
                <w:rFonts w:hint="eastAsia" w:ascii="宋体" w:hAnsi="宋体" w:cs="宋体"/>
                <w:kern w:val="0"/>
                <w:szCs w:val="24"/>
              </w:rPr>
              <w:t>创业路-环东南路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2020年</w:t>
            </w:r>
          </w:p>
        </w:tc>
        <w:tc>
          <w:tcPr>
            <w:tcW w:w="212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宋体" w:hAnsi="宋体" w:cs="宋体"/>
                <w:kern w:val="0"/>
                <w:szCs w:val="24"/>
              </w:rPr>
            </w:pPr>
            <w:r>
              <w:rPr>
                <w:rFonts w:hint="eastAsia" w:ascii="宋体" w:hAnsi="宋体" w:cs="宋体"/>
                <w:kern w:val="0"/>
                <w:szCs w:val="24"/>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104</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Cs w:val="24"/>
              </w:rPr>
            </w:pPr>
            <w:r>
              <w:rPr>
                <w:rFonts w:hint="eastAsia" w:ascii="宋体" w:hAnsi="宋体" w:cs="宋体"/>
                <w:kern w:val="0"/>
                <w:szCs w:val="24"/>
              </w:rPr>
              <w:t>创业路-敬业路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2020年</w:t>
            </w:r>
          </w:p>
        </w:tc>
        <w:tc>
          <w:tcPr>
            <w:tcW w:w="212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宋体" w:hAnsi="宋体" w:cs="宋体"/>
                <w:kern w:val="0"/>
                <w:szCs w:val="24"/>
              </w:rPr>
            </w:pPr>
            <w:r>
              <w:rPr>
                <w:rFonts w:hint="eastAsia" w:ascii="宋体" w:hAnsi="宋体" w:cs="宋体"/>
                <w:kern w:val="0"/>
                <w:szCs w:val="24"/>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105</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Cs w:val="24"/>
              </w:rPr>
            </w:pPr>
            <w:r>
              <w:rPr>
                <w:rFonts w:hint="eastAsia" w:ascii="宋体" w:hAnsi="宋体" w:cs="宋体"/>
                <w:kern w:val="0"/>
                <w:szCs w:val="24"/>
              </w:rPr>
              <w:t>体育南路-慈山路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2020年</w:t>
            </w:r>
          </w:p>
        </w:tc>
        <w:tc>
          <w:tcPr>
            <w:tcW w:w="212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宋体" w:hAnsi="宋体" w:cs="宋体"/>
                <w:kern w:val="0"/>
                <w:szCs w:val="24"/>
              </w:rPr>
            </w:pPr>
            <w:r>
              <w:rPr>
                <w:rFonts w:hint="eastAsia" w:ascii="宋体" w:hAnsi="宋体" w:cs="宋体"/>
                <w:kern w:val="0"/>
                <w:szCs w:val="24"/>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106</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Cs w:val="24"/>
              </w:rPr>
            </w:pPr>
            <w:r>
              <w:rPr>
                <w:rFonts w:hint="eastAsia" w:ascii="宋体" w:hAnsi="宋体" w:cs="宋体"/>
                <w:kern w:val="0"/>
                <w:szCs w:val="24"/>
              </w:rPr>
              <w:t>体育南路-科技大道</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2020年</w:t>
            </w:r>
          </w:p>
        </w:tc>
        <w:tc>
          <w:tcPr>
            <w:tcW w:w="212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宋体" w:hAnsi="宋体" w:cs="宋体"/>
                <w:kern w:val="0"/>
                <w:szCs w:val="24"/>
              </w:rPr>
            </w:pPr>
            <w:r>
              <w:rPr>
                <w:rFonts w:hint="eastAsia" w:ascii="宋体" w:hAnsi="宋体" w:cs="宋体"/>
                <w:kern w:val="0"/>
                <w:szCs w:val="24"/>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107</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Cs w:val="24"/>
              </w:rPr>
            </w:pPr>
            <w:r>
              <w:rPr>
                <w:rFonts w:hint="eastAsia" w:ascii="宋体" w:hAnsi="宋体" w:cs="宋体"/>
                <w:kern w:val="0"/>
                <w:szCs w:val="24"/>
              </w:rPr>
              <w:t>体育南路-创业路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2020年</w:t>
            </w:r>
          </w:p>
        </w:tc>
        <w:tc>
          <w:tcPr>
            <w:tcW w:w="212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宋体" w:hAnsi="宋体" w:cs="宋体"/>
                <w:kern w:val="0"/>
                <w:szCs w:val="24"/>
              </w:rPr>
            </w:pPr>
            <w:r>
              <w:rPr>
                <w:rFonts w:hint="eastAsia" w:ascii="宋体" w:hAnsi="宋体" w:cs="宋体"/>
                <w:kern w:val="0"/>
                <w:szCs w:val="24"/>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108</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Cs w:val="24"/>
              </w:rPr>
            </w:pPr>
            <w:r>
              <w:rPr>
                <w:rFonts w:hint="eastAsia" w:ascii="宋体" w:hAnsi="宋体" w:cs="宋体"/>
                <w:kern w:val="0"/>
                <w:szCs w:val="24"/>
              </w:rPr>
              <w:t>科技大道-环西南路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2020年</w:t>
            </w:r>
          </w:p>
        </w:tc>
        <w:tc>
          <w:tcPr>
            <w:tcW w:w="212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宋体" w:hAnsi="宋体" w:cs="宋体"/>
                <w:kern w:val="0"/>
                <w:szCs w:val="24"/>
              </w:rPr>
            </w:pPr>
            <w:r>
              <w:rPr>
                <w:rFonts w:hint="eastAsia" w:ascii="宋体" w:hAnsi="宋体" w:cs="宋体"/>
                <w:kern w:val="0"/>
                <w:szCs w:val="24"/>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109</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Cs w:val="24"/>
              </w:rPr>
            </w:pPr>
            <w:r>
              <w:rPr>
                <w:rFonts w:hint="eastAsia" w:ascii="宋体" w:hAnsi="宋体" w:cs="宋体"/>
                <w:kern w:val="0"/>
                <w:szCs w:val="24"/>
              </w:rPr>
              <w:t>科技大道-城西大道</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2020年</w:t>
            </w:r>
          </w:p>
        </w:tc>
        <w:tc>
          <w:tcPr>
            <w:tcW w:w="212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宋体" w:hAnsi="宋体" w:cs="宋体"/>
                <w:kern w:val="0"/>
                <w:szCs w:val="24"/>
              </w:rPr>
            </w:pPr>
            <w:r>
              <w:rPr>
                <w:rFonts w:hint="eastAsia" w:ascii="宋体" w:hAnsi="宋体" w:cs="宋体"/>
                <w:kern w:val="0"/>
                <w:szCs w:val="24"/>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110</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Cs w:val="24"/>
              </w:rPr>
            </w:pPr>
            <w:r>
              <w:rPr>
                <w:rFonts w:hint="eastAsia" w:ascii="宋体" w:hAnsi="宋体" w:cs="宋体"/>
                <w:kern w:val="0"/>
                <w:szCs w:val="24"/>
              </w:rPr>
              <w:t>科技大道-善云路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2020年</w:t>
            </w:r>
          </w:p>
        </w:tc>
        <w:tc>
          <w:tcPr>
            <w:tcW w:w="212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宋体" w:hAnsi="宋体" w:cs="宋体"/>
                <w:kern w:val="0"/>
                <w:szCs w:val="24"/>
              </w:rPr>
            </w:pPr>
            <w:r>
              <w:rPr>
                <w:rFonts w:hint="eastAsia" w:ascii="宋体" w:hAnsi="宋体" w:cs="宋体"/>
                <w:kern w:val="0"/>
                <w:szCs w:val="24"/>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111</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Cs w:val="24"/>
              </w:rPr>
            </w:pPr>
            <w:r>
              <w:rPr>
                <w:rFonts w:hint="eastAsia" w:ascii="宋体" w:hAnsi="宋体" w:cs="宋体"/>
                <w:kern w:val="0"/>
                <w:szCs w:val="24"/>
              </w:rPr>
              <w:t>科技大道-环东南路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2020年</w:t>
            </w:r>
          </w:p>
        </w:tc>
        <w:tc>
          <w:tcPr>
            <w:tcW w:w="212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宋体" w:hAnsi="宋体" w:cs="宋体"/>
                <w:kern w:val="0"/>
                <w:szCs w:val="24"/>
              </w:rPr>
            </w:pPr>
            <w:r>
              <w:rPr>
                <w:rFonts w:hint="eastAsia" w:ascii="宋体" w:hAnsi="宋体" w:cs="宋体"/>
                <w:kern w:val="0"/>
                <w:szCs w:val="24"/>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112</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Cs w:val="24"/>
              </w:rPr>
            </w:pPr>
            <w:r>
              <w:rPr>
                <w:rFonts w:hint="eastAsia" w:ascii="宋体" w:hAnsi="宋体" w:cs="宋体"/>
                <w:kern w:val="0"/>
                <w:szCs w:val="24"/>
              </w:rPr>
              <w:t>台基路-桐村路路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2020年</w:t>
            </w:r>
          </w:p>
        </w:tc>
        <w:tc>
          <w:tcPr>
            <w:tcW w:w="212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宋体" w:hAnsi="宋体" w:cs="宋体"/>
                <w:kern w:val="0"/>
                <w:szCs w:val="24"/>
              </w:rPr>
            </w:pPr>
            <w:r>
              <w:rPr>
                <w:rFonts w:hint="eastAsia" w:ascii="宋体" w:hAnsi="宋体" w:cs="宋体"/>
                <w:kern w:val="0"/>
                <w:szCs w:val="24"/>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113</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Cs w:val="24"/>
              </w:rPr>
            </w:pPr>
            <w:r>
              <w:rPr>
                <w:rFonts w:hint="eastAsia" w:ascii="宋体" w:hAnsi="宋体" w:cs="宋体"/>
                <w:kern w:val="0"/>
                <w:szCs w:val="24"/>
              </w:rPr>
              <w:t>创业路-华玉路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2020年</w:t>
            </w:r>
          </w:p>
        </w:tc>
        <w:tc>
          <w:tcPr>
            <w:tcW w:w="212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宋体" w:hAnsi="宋体" w:cs="宋体"/>
                <w:kern w:val="0"/>
                <w:szCs w:val="24"/>
              </w:rPr>
            </w:pPr>
            <w:r>
              <w:rPr>
                <w:rFonts w:hint="eastAsia" w:ascii="宋体" w:hAnsi="宋体" w:cs="宋体"/>
                <w:kern w:val="0"/>
                <w:szCs w:val="24"/>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114</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Cs w:val="24"/>
              </w:rPr>
            </w:pPr>
            <w:r>
              <w:rPr>
                <w:rFonts w:hint="eastAsia" w:ascii="宋体" w:hAnsi="宋体" w:cs="宋体"/>
                <w:kern w:val="0"/>
                <w:szCs w:val="24"/>
              </w:rPr>
              <w:t>华玉路-台基路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2020年</w:t>
            </w:r>
          </w:p>
        </w:tc>
        <w:tc>
          <w:tcPr>
            <w:tcW w:w="212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宋体" w:hAnsi="宋体" w:cs="宋体"/>
                <w:kern w:val="0"/>
                <w:szCs w:val="24"/>
              </w:rPr>
            </w:pPr>
            <w:r>
              <w:rPr>
                <w:rFonts w:hint="eastAsia" w:ascii="宋体" w:hAnsi="宋体" w:cs="宋体"/>
                <w:kern w:val="0"/>
                <w:szCs w:val="24"/>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115</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Cs w:val="24"/>
              </w:rPr>
            </w:pPr>
            <w:r>
              <w:rPr>
                <w:rFonts w:hint="eastAsia" w:ascii="宋体" w:hAnsi="宋体" w:cs="宋体"/>
                <w:kern w:val="0"/>
                <w:szCs w:val="24"/>
              </w:rPr>
              <w:t>创业路-士升路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2020年</w:t>
            </w:r>
          </w:p>
        </w:tc>
        <w:tc>
          <w:tcPr>
            <w:tcW w:w="212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宋体" w:hAnsi="宋体" w:cs="宋体"/>
                <w:kern w:val="0"/>
                <w:szCs w:val="24"/>
              </w:rPr>
            </w:pPr>
            <w:r>
              <w:rPr>
                <w:rFonts w:hint="eastAsia" w:ascii="宋体" w:hAnsi="宋体" w:cs="宋体"/>
                <w:kern w:val="0"/>
                <w:szCs w:val="24"/>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116</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Cs w:val="24"/>
              </w:rPr>
            </w:pPr>
            <w:r>
              <w:rPr>
                <w:rFonts w:hint="eastAsia" w:ascii="宋体" w:hAnsi="宋体" w:cs="宋体"/>
                <w:kern w:val="0"/>
                <w:szCs w:val="24"/>
              </w:rPr>
              <w:t>环西南路-台基路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2020年</w:t>
            </w:r>
          </w:p>
        </w:tc>
        <w:tc>
          <w:tcPr>
            <w:tcW w:w="212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宋体" w:hAnsi="宋体" w:cs="宋体"/>
                <w:kern w:val="0"/>
                <w:szCs w:val="24"/>
              </w:rPr>
            </w:pPr>
            <w:r>
              <w:rPr>
                <w:rFonts w:hint="eastAsia" w:ascii="宋体" w:hAnsi="宋体" w:cs="宋体"/>
                <w:kern w:val="0"/>
                <w:szCs w:val="24"/>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117</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Cs w:val="24"/>
              </w:rPr>
            </w:pPr>
            <w:r>
              <w:rPr>
                <w:rFonts w:hint="eastAsia" w:ascii="宋体" w:hAnsi="宋体" w:cs="宋体"/>
                <w:kern w:val="0"/>
                <w:szCs w:val="24"/>
              </w:rPr>
              <w:t>环西南路-胥山路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2020年</w:t>
            </w:r>
          </w:p>
        </w:tc>
        <w:tc>
          <w:tcPr>
            <w:tcW w:w="212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宋体" w:hAnsi="宋体" w:cs="宋体"/>
                <w:kern w:val="0"/>
                <w:szCs w:val="24"/>
              </w:rPr>
            </w:pPr>
            <w:r>
              <w:rPr>
                <w:rFonts w:hint="eastAsia" w:ascii="宋体" w:hAnsi="宋体" w:cs="宋体"/>
                <w:kern w:val="0"/>
                <w:szCs w:val="24"/>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118</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Cs w:val="24"/>
              </w:rPr>
            </w:pPr>
            <w:r>
              <w:rPr>
                <w:rFonts w:hint="eastAsia" w:ascii="宋体" w:hAnsi="宋体" w:cs="宋体"/>
                <w:kern w:val="0"/>
                <w:szCs w:val="24"/>
              </w:rPr>
              <w:t>经五路-纬一路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2020年</w:t>
            </w:r>
          </w:p>
        </w:tc>
        <w:tc>
          <w:tcPr>
            <w:tcW w:w="212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宋体" w:hAnsi="宋体" w:cs="宋体"/>
                <w:kern w:val="0"/>
                <w:szCs w:val="24"/>
              </w:rPr>
            </w:pPr>
            <w:r>
              <w:rPr>
                <w:rFonts w:hint="eastAsia" w:ascii="宋体" w:hAnsi="宋体" w:cs="宋体"/>
                <w:kern w:val="0"/>
                <w:szCs w:val="24"/>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119</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Cs w:val="24"/>
              </w:rPr>
            </w:pPr>
            <w:r>
              <w:rPr>
                <w:rFonts w:hint="eastAsia" w:ascii="宋体" w:hAnsi="宋体" w:cs="宋体"/>
                <w:kern w:val="0"/>
                <w:szCs w:val="24"/>
              </w:rPr>
              <w:t>胥山路-城西大道</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2020年</w:t>
            </w:r>
          </w:p>
        </w:tc>
        <w:tc>
          <w:tcPr>
            <w:tcW w:w="212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宋体" w:hAnsi="宋体" w:cs="宋体"/>
                <w:kern w:val="0"/>
                <w:szCs w:val="24"/>
              </w:rPr>
            </w:pPr>
            <w:r>
              <w:rPr>
                <w:rFonts w:hint="eastAsia" w:ascii="宋体" w:hAnsi="宋体" w:cs="宋体"/>
                <w:kern w:val="0"/>
                <w:szCs w:val="24"/>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120</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Cs w:val="24"/>
              </w:rPr>
            </w:pPr>
            <w:r>
              <w:rPr>
                <w:rFonts w:hint="eastAsia" w:ascii="宋体" w:hAnsi="宋体" w:cs="宋体"/>
                <w:kern w:val="0"/>
                <w:szCs w:val="24"/>
              </w:rPr>
              <w:t>慈山路-城西大道</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2020年</w:t>
            </w:r>
          </w:p>
        </w:tc>
        <w:tc>
          <w:tcPr>
            <w:tcW w:w="212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宋体" w:hAnsi="宋体" w:cs="宋体"/>
                <w:kern w:val="0"/>
                <w:szCs w:val="24"/>
              </w:rPr>
            </w:pPr>
            <w:r>
              <w:rPr>
                <w:rFonts w:hint="eastAsia" w:ascii="宋体" w:hAnsi="宋体" w:cs="宋体"/>
                <w:kern w:val="0"/>
                <w:szCs w:val="24"/>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121</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Cs w:val="24"/>
              </w:rPr>
            </w:pPr>
            <w:r>
              <w:rPr>
                <w:rFonts w:hint="eastAsia" w:ascii="宋体" w:hAnsi="宋体" w:cs="宋体"/>
                <w:kern w:val="0"/>
                <w:szCs w:val="24"/>
              </w:rPr>
              <w:t>创业路-城西大道</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2020年</w:t>
            </w:r>
          </w:p>
        </w:tc>
        <w:tc>
          <w:tcPr>
            <w:tcW w:w="212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宋体" w:hAnsi="宋体" w:cs="宋体"/>
                <w:kern w:val="0"/>
                <w:szCs w:val="24"/>
              </w:rPr>
            </w:pPr>
            <w:r>
              <w:rPr>
                <w:rFonts w:hint="eastAsia" w:ascii="宋体" w:hAnsi="宋体" w:cs="宋体"/>
                <w:kern w:val="0"/>
                <w:szCs w:val="24"/>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122</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Cs w:val="24"/>
              </w:rPr>
            </w:pPr>
            <w:r>
              <w:rPr>
                <w:rFonts w:hint="eastAsia" w:ascii="宋体" w:hAnsi="宋体" w:cs="宋体"/>
                <w:kern w:val="0"/>
                <w:szCs w:val="24"/>
              </w:rPr>
              <w:t>科技大道-经十六路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2020年</w:t>
            </w:r>
          </w:p>
        </w:tc>
        <w:tc>
          <w:tcPr>
            <w:tcW w:w="212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宋体" w:hAnsi="宋体" w:cs="宋体"/>
                <w:kern w:val="0"/>
                <w:szCs w:val="24"/>
              </w:rPr>
            </w:pPr>
            <w:r>
              <w:rPr>
                <w:rFonts w:hint="eastAsia" w:ascii="宋体" w:hAnsi="宋体" w:cs="宋体"/>
                <w:kern w:val="0"/>
                <w:szCs w:val="24"/>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123</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Cs w:val="24"/>
              </w:rPr>
            </w:pPr>
            <w:r>
              <w:rPr>
                <w:rFonts w:hint="eastAsia" w:ascii="宋体" w:hAnsi="宋体" w:cs="宋体"/>
                <w:kern w:val="0"/>
                <w:szCs w:val="24"/>
              </w:rPr>
              <w:t>科技大道-经十七路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2020年</w:t>
            </w:r>
          </w:p>
        </w:tc>
        <w:tc>
          <w:tcPr>
            <w:tcW w:w="212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宋体" w:hAnsi="宋体" w:cs="宋体"/>
                <w:kern w:val="0"/>
                <w:szCs w:val="24"/>
              </w:rPr>
            </w:pPr>
            <w:r>
              <w:rPr>
                <w:rFonts w:hint="eastAsia" w:ascii="宋体" w:hAnsi="宋体" w:cs="宋体"/>
                <w:kern w:val="0"/>
                <w:szCs w:val="24"/>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124</w:t>
            </w:r>
          </w:p>
        </w:tc>
        <w:tc>
          <w:tcPr>
            <w:tcW w:w="3871"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left"/>
              <w:rPr>
                <w:rFonts w:hint="eastAsia" w:ascii="宋体" w:hAnsi="宋体" w:cs="宋体"/>
                <w:kern w:val="0"/>
                <w:szCs w:val="24"/>
              </w:rPr>
            </w:pPr>
            <w:r>
              <w:rPr>
                <w:rFonts w:hint="eastAsia" w:ascii="宋体" w:hAnsi="宋体" w:cs="宋体"/>
                <w:kern w:val="0"/>
                <w:szCs w:val="24"/>
              </w:rPr>
              <w:t>科技大道-平黎线</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2020年</w:t>
            </w:r>
          </w:p>
        </w:tc>
        <w:tc>
          <w:tcPr>
            <w:tcW w:w="2127" w:type="dxa"/>
            <w:tcBorders>
              <w:top w:val="nil"/>
              <w:left w:val="nil"/>
              <w:bottom w:val="single" w:color="auto" w:sz="4" w:space="0"/>
              <w:right w:val="single" w:color="auto" w:sz="4" w:space="0"/>
            </w:tcBorders>
            <w:shd w:val="clear" w:color="auto" w:fill="auto"/>
            <w:noWrap/>
            <w:vAlign w:val="center"/>
          </w:tcPr>
          <w:p>
            <w:pPr>
              <w:widowControl/>
              <w:spacing w:line="240" w:lineRule="auto"/>
              <w:ind w:firstLine="0" w:firstLineChars="0"/>
              <w:jc w:val="center"/>
              <w:rPr>
                <w:rFonts w:hint="eastAsia" w:ascii="宋体" w:hAnsi="宋体" w:cs="宋体"/>
                <w:kern w:val="0"/>
                <w:szCs w:val="24"/>
              </w:rPr>
            </w:pPr>
            <w:r>
              <w:rPr>
                <w:rFonts w:hint="eastAsia" w:ascii="宋体" w:hAnsi="宋体" w:cs="宋体"/>
                <w:kern w:val="0"/>
                <w:szCs w:val="24"/>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125</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镇北路-镇西路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2019年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干窑中队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126</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惠民大道-东海路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2019年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惠民中队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127</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惠民大道-之江路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2019年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惠民中队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128</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惠民大道-闽江路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2019年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惠民中队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129</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科技大道-礼原路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2019年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130</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科技大道-亭桥路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2019年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131</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科技大道-士升路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2019年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132</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科技大道-子胥路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2019年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133</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科技大道-桐村路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2019年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134</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科技大道-环西路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2019年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135</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科技大道-华玉路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2019年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136</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云江路--双云路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2019年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137</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康兴路-双云路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2019年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138</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平黎线-双云路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2019年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139</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平黎线-东高线</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2019年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140</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平黎线-杭州入口</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2019年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141</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嘉善大道-小嘉善大道</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2019年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142</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白水塘路-嘉善大道</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2019年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143</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人民大道-施家路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2019年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144</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谈公路-玉兰路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2019年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145</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平黎线-伍子塘路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2019年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魏塘中队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146</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施家路-善东路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2019年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魏塘中队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147</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天凝大道-洪三线</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2019年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天凝中队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148</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天凝大道-东方路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2019年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天凝中队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149</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清凉大道-临沪大道</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2019年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姚庄中队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150</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兴善公路-长秀路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2019年建</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魏塘中队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151</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兴善公路-长南路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2019年建</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魏塘中队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152</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兴善公路-三仙路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2019年建</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干窑中队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153</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兴善公路-干洪公路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2019年建</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干窑中队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154</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镇西路-窑兴路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2018年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干窑中队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155</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镇西路-三仙路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2018年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干窑中队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156</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三仙路-庄西路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2018年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干窑中队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157</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三仙路-干窑交警中队</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2018年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干窑中队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158</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叶新路-干窑大道</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2018年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干窑中队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159</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镇北路-窑砖北路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2018年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干窑中队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160</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镇北路-干窑大道</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2018年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干窑中队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161</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窑新路-干窑大道</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2018年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干窑中队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162</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晋吉路-思明路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2018年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惠民中队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163</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晋吉路-武夷路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2018年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惠民中队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164</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东升路-之江路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2018年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惠民中队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165</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东升路-滨江路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2018年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惠民中队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166</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科技大道-体育路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2018年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167</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慈山路-体育路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2018年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168</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环北路-城桥</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2018年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魏塘中队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169</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平黎线-环北路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2018年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魏塘中队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170</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钮扣路(西丁公路）-大舜路（声宝路)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2018年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西塘中队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171</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纽扣路-振兴路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2018年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西塘中队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172</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纽扣路-兴舜路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2018年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西塘中队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173</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振兴路-铭善路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2018年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姚庄中队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174</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世纪大道-之江路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2017年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惠民中队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175</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世纪大道-惠诚路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2017年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惠民中队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176</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创业路-敬业路（纬三路）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2017年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177</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创业路-环湖路（纬三路）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2017年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178</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科技大道-武水路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2017年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179</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慈山路-环西南路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2017年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180</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慈山路-子胥路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2017年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181</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康兴路-云溪路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2017年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182</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临云路-商务大道</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2017年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183</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白水塘路-亭桥路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2017年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184</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白水塘路-体育路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2017年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185</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白水塘路-子胥路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2017年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186</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白水塘路-环西路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2017年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187</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人民大道-金秀路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2017年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188</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天凝大道-商升路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2017年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天凝中队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189</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天凝大道-学府路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2017年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天凝中队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190</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西汉大道-大唐路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2017年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西塘中队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191</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西汉大道-富通集团xx项目（中心路）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2017年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西塘中队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192</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西汉大道-开源大道</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2017年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西塘中队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193</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新栅路-丝绸路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2017年</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姚庄中队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194</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黄河路-新华路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惠民中队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195</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黄河路-成功路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惠民中队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196</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长江路-永胜路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惠民中队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197</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长江路-松海路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惠民中队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198</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长江路-台升大道</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惠民中队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199</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长江路-鼎阳路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惠民中队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200</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长江路-东升路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惠民中队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201</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台升大道-隆泉路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惠民中队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202</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金嘉大道-黄山路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惠民中队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203</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金嘉大道-玉山路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惠民中队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204</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金嘉大道-晋亿大道</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惠民中队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205</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金嘉大道-华山路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惠民中队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206</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晋亿大道-汾湖路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惠民中队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207</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宏业路-商务大道（站前路）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208</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宏业路-云都南路（西云路口）</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209</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嘉善大道-宏业路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210</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嘉善大道-环湖路(环城南路）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211</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嘉善大道-科技大道</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212</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创业路-善云路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213</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云寺路-云溪路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214</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云寺路-双云路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215</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白水塘路-环东路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216</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白水塘路-农商路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217</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白水塘路-车站路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218</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阳光路-环东路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219</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阳光路-农商路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220</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阳光路-嘉善大道</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221</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阳光路-车站路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222</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阳光路-亭桥路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223</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阳光路-体育路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224</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阳光路-子胥路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225</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阳光路-环西路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226</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阳光路-城西大道</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227</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人民大道-环东路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228</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人民大道-嘉善大道</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229</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人民大道-车站路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230</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人民大道-亭桥路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231</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人民大道-体育路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232</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人民大道-子胥路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233</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人民大道-环西路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234</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人民大道-城西大道</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235</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晋阳路-施家路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236</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晋阳路-谈公路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237</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晋阳路-车站路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238</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晋阳路-亭桥路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239</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晋阳路-体育路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240</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晋阳路-子胥路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241</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晋阳路-环西路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242</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晋阳路-城西大道</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243</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罗星路-环东路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244</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罗星路-施家路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245</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罗星路-谈公路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罗星中队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246</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解放路-环东路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魏塘中队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247</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环北路-环东路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魏塘中队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248</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柳溪路-谈公路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魏塘中队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249</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体育路-丝绸路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魏塘中队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250</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体育路-开源路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魏塘中队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251</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中山路-体育路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魏塘中队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252</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中山路-亭桥路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魏塘中队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253</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解放路-施家路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魏塘中队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254</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解放路-谈公路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魏塘中队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255</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解放路-车站路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魏塘中队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256</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解放路-亭桥路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魏塘中队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257</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解放路-体育路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魏塘中队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258</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环北路-施家路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魏塘中队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259</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环北路-谈公路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魏塘中队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260</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环北路-车站路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魏塘中队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261</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环北路-亭桥路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魏塘中队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262</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平黎线-两创路口</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陶庄中队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263</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平黎线-柳苑路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陶庄中队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264</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平黎线-翔盛路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陶庄中队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265</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洪泰路-斜红路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天凝中队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266</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平黎线-礼庙路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西塘中队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267</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平黎线-南苑路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西塘中队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268</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平黎线-复兴大道</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西塘中队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269</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平黎线-西汉大道</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西塘中队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270</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钮扣路(西丁公路）-开源大道</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西塘中队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271</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南苑路-平川路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西塘中队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272</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南苑路-宏福路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西塘中队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273</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南苑路-祥符路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西塘中队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274</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邮电路-贞观路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西塘中队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275</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万泰路-洪福路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姚庄中队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276</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万泰路-宝群路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姚庄中队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277</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锦绣大道-兴业路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姚庄中队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278</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锦绣大道-宝群路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姚庄中队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279</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新景路-姚庄大道</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姚庄中队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280</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新景路-洪福路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姚庄中队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281</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新景路-宝群路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姚庄中队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282</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兴学路-姚庄大道</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姚庄中队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283</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兴学路-洪福路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姚庄中队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284</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万泰路-临沪大道</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姚庄中队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285</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兴学路-兴业路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姚庄中队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286</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学仕路-姚庄大道</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姚庄中队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287</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学仕路-洪福路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姚庄中队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288</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学仕路-兴业路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姚庄中队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289</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振兴路-西丁公路（丝绸路）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姚庄中队</w:t>
            </w:r>
          </w:p>
        </w:tc>
      </w:tr>
      <w:tr>
        <w:tblPrEx>
          <w:tblCellMar>
            <w:top w:w="0" w:type="dxa"/>
            <w:left w:w="108" w:type="dxa"/>
            <w:bottom w:w="0" w:type="dxa"/>
            <w:right w:w="108" w:type="dxa"/>
          </w:tblCellMar>
        </w:tblPrEx>
        <w:trPr>
          <w:trHeight w:val="340" w:hRule="atLeast"/>
          <w:jc w:val="center"/>
        </w:trPr>
        <w:tc>
          <w:tcPr>
            <w:tcW w:w="1134"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kern w:val="0"/>
                <w:sz w:val="22"/>
                <w:szCs w:val="22"/>
              </w:rPr>
            </w:pPr>
            <w:r>
              <w:rPr>
                <w:rFonts w:hint="eastAsia" w:ascii="宋体" w:hAnsi="宋体" w:cs="宋体"/>
                <w:kern w:val="0"/>
                <w:sz w:val="22"/>
                <w:szCs w:val="22"/>
              </w:rPr>
              <w:t>290</w:t>
            </w:r>
          </w:p>
        </w:tc>
        <w:tc>
          <w:tcPr>
            <w:tcW w:w="3871"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left"/>
              <w:rPr>
                <w:rFonts w:hint="eastAsia" w:ascii="宋体" w:hAnsi="宋体" w:cs="宋体"/>
                <w:color w:val="000000"/>
                <w:kern w:val="0"/>
                <w:sz w:val="22"/>
                <w:szCs w:val="22"/>
              </w:rPr>
            </w:pPr>
            <w:r>
              <w:rPr>
                <w:rFonts w:hint="eastAsia" w:ascii="宋体" w:hAnsi="宋体" w:cs="宋体"/>
                <w:color w:val="000000"/>
                <w:kern w:val="0"/>
                <w:sz w:val="22"/>
                <w:szCs w:val="22"/>
              </w:rPr>
              <w:t>清凉大道-宝群路</w:t>
            </w:r>
          </w:p>
        </w:tc>
        <w:tc>
          <w:tcPr>
            <w:tcW w:w="1799"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6年以前</w:t>
            </w:r>
          </w:p>
        </w:tc>
        <w:tc>
          <w:tcPr>
            <w:tcW w:w="2127"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hint="eastAsia" w:ascii="宋体" w:hAnsi="宋体" w:cs="宋体"/>
                <w:color w:val="000000"/>
                <w:kern w:val="0"/>
                <w:sz w:val="22"/>
                <w:szCs w:val="22"/>
              </w:rPr>
            </w:pPr>
            <w:r>
              <w:rPr>
                <w:rFonts w:hint="eastAsia" w:ascii="宋体" w:hAnsi="宋体" w:cs="宋体"/>
                <w:color w:val="000000"/>
                <w:kern w:val="0"/>
                <w:sz w:val="22"/>
                <w:szCs w:val="22"/>
              </w:rPr>
              <w:t>姚庄中队</w:t>
            </w:r>
          </w:p>
        </w:tc>
      </w:tr>
    </w:tbl>
    <w:p>
      <w:pPr>
        <w:widowControl/>
        <w:adjustRightInd w:val="0"/>
        <w:snapToGrid w:val="0"/>
        <w:spacing w:line="300" w:lineRule="auto"/>
        <w:ind w:firstLine="0" w:firstLineChars="0"/>
        <w:jc w:val="left"/>
        <w:rPr>
          <w:rFonts w:ascii="宋体" w:hAnsi="宋体" w:cs="宋体"/>
          <w:b/>
          <w:bCs/>
          <w:szCs w:val="24"/>
        </w:rPr>
      </w:pPr>
    </w:p>
    <w:p>
      <w:pPr>
        <w:pStyle w:val="2"/>
        <w:ind w:left="0" w:leftChars="0" w:firstLine="0" w:firstLineChars="0"/>
        <w:jc w:val="left"/>
      </w:pPr>
    </w:p>
    <w:p>
      <w:pPr>
        <w:widowControl/>
        <w:adjustRightInd w:val="0"/>
        <w:snapToGrid w:val="0"/>
        <w:spacing w:line="300" w:lineRule="auto"/>
        <w:ind w:firstLine="0" w:firstLineChars="0"/>
        <w:jc w:val="left"/>
        <w:rPr>
          <w:rFonts w:ascii="宋体" w:hAnsi="宋体" w:cs="宋体"/>
          <w:b/>
          <w:bCs/>
          <w:szCs w:val="24"/>
        </w:rPr>
      </w:pPr>
      <w:r>
        <w:rPr>
          <w:rFonts w:hint="eastAsia" w:ascii="宋体" w:hAnsi="宋体" w:cs="宋体"/>
          <w:b/>
          <w:bCs/>
          <w:szCs w:val="24"/>
        </w:rPr>
        <w:t>八、服务期</w:t>
      </w:r>
    </w:p>
    <w:p>
      <w:pPr>
        <w:pStyle w:val="35"/>
        <w:spacing w:line="300" w:lineRule="auto"/>
        <w:ind w:firstLine="480"/>
        <w:rPr>
          <w:rFonts w:ascii="宋体" w:hAnsi="宋体" w:eastAsia="宋体" w:cs="宋体"/>
          <w:b w:val="0"/>
          <w:color w:val="000000" w:themeColor="text1"/>
          <w:sz w:val="24"/>
          <w:szCs w:val="24"/>
        </w:rPr>
      </w:pPr>
      <w:r>
        <w:rPr>
          <w:rFonts w:hint="eastAsia" w:ascii="宋体" w:hAnsi="宋体" w:eastAsia="宋体" w:cs="宋体"/>
          <w:b w:val="0"/>
          <w:color w:val="000000" w:themeColor="text1"/>
          <w:sz w:val="24"/>
          <w:szCs w:val="24"/>
        </w:rPr>
        <w:t>本项目服务期自合同签订之日起一年；服务期满后，如中标人提供的服务采购人满意，经双方协商一致并报县财政部门审核同意后可续签服务合同一年。</w:t>
      </w:r>
    </w:p>
    <w:p>
      <w:pPr>
        <w:pStyle w:val="6"/>
        <w:spacing w:before="0" w:after="0" w:line="240" w:lineRule="auto"/>
        <w:ind w:firstLine="755" w:firstLineChars="235"/>
        <w:jc w:val="center"/>
        <w:rPr>
          <w:sz w:val="44"/>
          <w:szCs w:val="44"/>
        </w:rPr>
      </w:pPr>
      <w:r>
        <w:br w:type="page"/>
      </w:r>
      <w:bookmarkStart w:id="72" w:name="_Toc21356"/>
      <w:r>
        <w:rPr>
          <w:rFonts w:hint="eastAsia" w:ascii="宋体" w:hAnsi="宋体" w:cs="宋体"/>
          <w:sz w:val="44"/>
          <w:szCs w:val="44"/>
        </w:rPr>
        <w:t>第三章  投标人须知</w:t>
      </w:r>
      <w:bookmarkEnd w:id="72"/>
    </w:p>
    <w:p>
      <w:pPr>
        <w:pStyle w:val="6"/>
        <w:spacing w:before="0" w:after="0" w:line="240" w:lineRule="auto"/>
        <w:ind w:firstLine="755" w:firstLineChars="235"/>
        <w:jc w:val="center"/>
        <w:rPr>
          <w:rFonts w:ascii="宋体" w:hAnsi="宋体" w:cs="宋体"/>
        </w:rPr>
      </w:pPr>
      <w:bookmarkStart w:id="73" w:name="_Toc29102"/>
      <w:r>
        <w:rPr>
          <w:rFonts w:hint="eastAsia" w:ascii="宋体" w:hAnsi="宋体" w:cs="宋体"/>
        </w:rPr>
        <w:t>一、前附表</w:t>
      </w:r>
      <w:bookmarkEnd w:id="73"/>
    </w:p>
    <w:tbl>
      <w:tblPr>
        <w:tblStyle w:val="36"/>
        <w:tblW w:w="0" w:type="auto"/>
        <w:tblInd w:w="-17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0"/>
        <w:gridCol w:w="1951"/>
        <w:gridCol w:w="71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blHeader/>
        </w:trPr>
        <w:tc>
          <w:tcPr>
            <w:tcW w:w="710"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序号</w:t>
            </w:r>
          </w:p>
        </w:tc>
        <w:tc>
          <w:tcPr>
            <w:tcW w:w="1951"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内容</w:t>
            </w:r>
          </w:p>
        </w:tc>
        <w:tc>
          <w:tcPr>
            <w:tcW w:w="7143" w:type="dxa"/>
            <w:tcBorders>
              <w:top w:val="single" w:color="auto" w:sz="4" w:space="0"/>
              <w:left w:val="single" w:color="auto" w:sz="4" w:space="0"/>
              <w:bottom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10"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w:t>
            </w:r>
          </w:p>
        </w:tc>
        <w:tc>
          <w:tcPr>
            <w:tcW w:w="1951"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rPr>
                <w:rFonts w:ascii="宋体" w:hAnsi="宋体" w:cs="宋体"/>
                <w:color w:val="000000"/>
                <w:szCs w:val="24"/>
              </w:rPr>
            </w:pPr>
            <w:r>
              <w:rPr>
                <w:rFonts w:hint="eastAsia" w:ascii="宋体" w:hAnsi="宋体" w:cs="宋体"/>
                <w:color w:val="000000"/>
                <w:szCs w:val="24"/>
              </w:rPr>
              <w:t>项目名称</w:t>
            </w:r>
          </w:p>
        </w:tc>
        <w:tc>
          <w:tcPr>
            <w:tcW w:w="7143" w:type="dxa"/>
            <w:tcBorders>
              <w:top w:val="single" w:color="auto" w:sz="4" w:space="0"/>
              <w:left w:val="single" w:color="auto" w:sz="4" w:space="0"/>
              <w:bottom w:val="single" w:color="auto" w:sz="4" w:space="0"/>
            </w:tcBorders>
            <w:vAlign w:val="center"/>
          </w:tcPr>
          <w:p>
            <w:pPr>
              <w:snapToGrid w:val="0"/>
              <w:ind w:firstLine="0" w:firstLineChars="0"/>
              <w:rPr>
                <w:rFonts w:ascii="宋体" w:hAnsi="宋体" w:cs="宋体"/>
                <w:color w:val="000000"/>
                <w:szCs w:val="24"/>
              </w:rPr>
            </w:pPr>
            <w:r>
              <w:rPr>
                <w:rFonts w:hint="eastAsia" w:ascii="宋体" w:hAnsi="宋体" w:cs="宋体"/>
                <w:color w:val="000000"/>
                <w:szCs w:val="24"/>
              </w:rPr>
              <w:t>2023年城区信号灯路口配时优化项目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10"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2</w:t>
            </w:r>
          </w:p>
        </w:tc>
        <w:tc>
          <w:tcPr>
            <w:tcW w:w="1951"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rPr>
                <w:rFonts w:ascii="宋体" w:hAnsi="宋体" w:cs="宋体"/>
                <w:color w:val="000000"/>
                <w:szCs w:val="24"/>
              </w:rPr>
            </w:pPr>
            <w:r>
              <w:rPr>
                <w:rFonts w:hint="eastAsia" w:ascii="宋体" w:hAnsi="宋体" w:cs="宋体"/>
                <w:color w:val="000000"/>
                <w:szCs w:val="24"/>
              </w:rPr>
              <w:t>采购数量及单位</w:t>
            </w:r>
          </w:p>
        </w:tc>
        <w:tc>
          <w:tcPr>
            <w:tcW w:w="7143" w:type="dxa"/>
            <w:tcBorders>
              <w:top w:val="single" w:color="auto" w:sz="4" w:space="0"/>
              <w:left w:val="single" w:color="auto" w:sz="4" w:space="0"/>
              <w:bottom w:val="single" w:color="auto" w:sz="4" w:space="0"/>
            </w:tcBorders>
            <w:vAlign w:val="center"/>
          </w:tcPr>
          <w:p>
            <w:pPr>
              <w:snapToGrid w:val="0"/>
              <w:ind w:firstLine="0" w:firstLineChars="0"/>
              <w:rPr>
                <w:rFonts w:ascii="宋体" w:hAnsi="宋体" w:cs="宋体"/>
                <w:color w:val="000000"/>
                <w:szCs w:val="24"/>
              </w:rPr>
            </w:pPr>
            <w:r>
              <w:rPr>
                <w:rFonts w:hint="eastAsia" w:ascii="宋体" w:hAnsi="宋体" w:cs="宋体"/>
                <w:b/>
                <w:bCs/>
                <w:color w:val="000000"/>
                <w:szCs w:val="24"/>
              </w:rPr>
              <w:t>详见采购需求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10"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3</w:t>
            </w:r>
          </w:p>
        </w:tc>
        <w:tc>
          <w:tcPr>
            <w:tcW w:w="1951"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rPr>
                <w:rFonts w:ascii="宋体" w:hAnsi="宋体" w:cs="宋体"/>
                <w:color w:val="000000"/>
                <w:szCs w:val="24"/>
              </w:rPr>
            </w:pPr>
            <w:r>
              <w:rPr>
                <w:rFonts w:hint="eastAsia" w:ascii="宋体" w:hAnsi="宋体" w:cs="宋体"/>
                <w:color w:val="000000"/>
                <w:szCs w:val="24"/>
              </w:rPr>
              <w:t>投标报价及费用</w:t>
            </w:r>
          </w:p>
        </w:tc>
        <w:tc>
          <w:tcPr>
            <w:tcW w:w="7143" w:type="dxa"/>
            <w:tcBorders>
              <w:top w:val="single" w:color="auto" w:sz="4" w:space="0"/>
              <w:left w:val="single" w:color="auto" w:sz="4" w:space="0"/>
              <w:bottom w:val="single" w:color="auto" w:sz="4" w:space="0"/>
            </w:tcBorders>
            <w:vAlign w:val="center"/>
          </w:tcPr>
          <w:p>
            <w:pPr>
              <w:spacing w:line="300" w:lineRule="auto"/>
              <w:ind w:firstLine="0" w:firstLineChars="0"/>
              <w:rPr>
                <w:rFonts w:ascii="宋体" w:hAnsi="宋体" w:cs="宋体"/>
                <w:szCs w:val="24"/>
              </w:rPr>
            </w:pPr>
            <w:r>
              <w:rPr>
                <w:rFonts w:hint="eastAsia" w:ascii="宋体" w:hAnsi="宋体" w:cs="宋体"/>
                <w:szCs w:val="24"/>
              </w:rPr>
              <w:t>1.本项目投标应以人民币报价；</w:t>
            </w:r>
          </w:p>
          <w:p>
            <w:pPr>
              <w:spacing w:line="240" w:lineRule="auto"/>
              <w:ind w:firstLine="0" w:firstLineChars="0"/>
              <w:rPr>
                <w:rFonts w:ascii="宋体" w:hAnsi="宋体" w:cs="宋体"/>
                <w:color w:val="000000"/>
                <w:szCs w:val="24"/>
              </w:rPr>
            </w:pPr>
            <w:r>
              <w:rPr>
                <w:rFonts w:hint="eastAsia" w:ascii="宋体" w:hAnsi="宋体" w:cs="宋体"/>
                <w:szCs w:val="24"/>
              </w:rPr>
              <w:t>2.不论投标结果如何，投标人均应自行承担所有与投标有关的全部费用。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10"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4</w:t>
            </w:r>
          </w:p>
        </w:tc>
        <w:tc>
          <w:tcPr>
            <w:tcW w:w="1951"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rPr>
                <w:rFonts w:ascii="宋体" w:hAnsi="宋体" w:cs="宋体"/>
                <w:color w:val="000000"/>
                <w:szCs w:val="24"/>
              </w:rPr>
            </w:pPr>
            <w:r>
              <w:rPr>
                <w:rFonts w:hint="eastAsia" w:ascii="宋体" w:hAnsi="宋体" w:cs="宋体"/>
                <w:color w:val="000000"/>
                <w:szCs w:val="24"/>
              </w:rPr>
              <w:t>现场踏勘</w:t>
            </w:r>
          </w:p>
        </w:tc>
        <w:tc>
          <w:tcPr>
            <w:tcW w:w="7143" w:type="dxa"/>
            <w:tcBorders>
              <w:top w:val="single" w:color="auto" w:sz="4" w:space="0"/>
              <w:left w:val="single" w:color="auto" w:sz="4" w:space="0"/>
              <w:bottom w:val="single" w:color="auto" w:sz="4" w:space="0"/>
            </w:tcBorders>
            <w:vAlign w:val="center"/>
          </w:tcPr>
          <w:p>
            <w:pPr>
              <w:snapToGrid w:val="0"/>
              <w:ind w:firstLine="0" w:firstLineChars="0"/>
              <w:rPr>
                <w:rFonts w:ascii="宋体" w:hAnsi="宋体" w:cs="宋体"/>
                <w:color w:val="000000"/>
                <w:szCs w:val="24"/>
              </w:rPr>
            </w:pPr>
            <w:r>
              <w:rPr>
                <w:rFonts w:hint="eastAsia" w:ascii="宋体" w:hAnsi="宋体" w:cs="宋体"/>
                <w:szCs w:val="24"/>
              </w:rPr>
              <w:t>投标人自行踏勘（费用自理）。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10"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5</w:t>
            </w:r>
          </w:p>
        </w:tc>
        <w:tc>
          <w:tcPr>
            <w:tcW w:w="195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0" w:firstLineChars="0"/>
              <w:textAlignment w:val="bottom"/>
              <w:rPr>
                <w:rFonts w:ascii="宋体" w:hAnsi="宋体" w:cs="宋体"/>
                <w:color w:val="000000"/>
                <w:szCs w:val="24"/>
              </w:rPr>
            </w:pPr>
            <w:r>
              <w:rPr>
                <w:rFonts w:hint="eastAsia" w:ascii="宋体" w:hAnsi="宋体" w:cs="宋体"/>
                <w:color w:val="000000"/>
                <w:szCs w:val="24"/>
              </w:rPr>
              <w:t>投标文件组成</w:t>
            </w:r>
          </w:p>
        </w:tc>
        <w:tc>
          <w:tcPr>
            <w:tcW w:w="7143" w:type="dxa"/>
            <w:tcBorders>
              <w:top w:val="single" w:color="auto" w:sz="4" w:space="0"/>
              <w:left w:val="single" w:color="auto" w:sz="4" w:space="0"/>
              <w:bottom w:val="single" w:color="auto" w:sz="4" w:space="0"/>
            </w:tcBorders>
            <w:vAlign w:val="center"/>
          </w:tcPr>
          <w:p>
            <w:pPr>
              <w:spacing w:line="300" w:lineRule="auto"/>
              <w:ind w:firstLine="0" w:firstLineChars="0"/>
              <w:contextualSpacing/>
              <w:rPr>
                <w:rFonts w:ascii="宋体" w:hAnsi="宋体" w:cs="宋体"/>
                <w:szCs w:val="24"/>
              </w:rPr>
            </w:pPr>
            <w:r>
              <w:rPr>
                <w:rFonts w:hint="eastAsia" w:ascii="宋体" w:hAnsi="宋体" w:cs="宋体"/>
                <w:szCs w:val="24"/>
              </w:rPr>
              <w:t>本项目实行网上投标，投标人应准备以下投标文件：</w:t>
            </w:r>
          </w:p>
          <w:p>
            <w:pPr>
              <w:spacing w:line="300" w:lineRule="auto"/>
              <w:ind w:firstLine="0" w:firstLineChars="0"/>
              <w:contextualSpacing/>
              <w:rPr>
                <w:rFonts w:ascii="宋体" w:hAnsi="宋体" w:cs="宋体"/>
                <w:szCs w:val="24"/>
              </w:rPr>
            </w:pPr>
            <w:r>
              <w:rPr>
                <w:rFonts w:hint="eastAsia" w:ascii="宋体" w:hAnsi="宋体" w:cs="宋体"/>
                <w:szCs w:val="24"/>
              </w:rPr>
              <w:t>（1）投标人于“政采云”上提供电子投标文件。</w:t>
            </w:r>
          </w:p>
          <w:p>
            <w:pPr>
              <w:autoSpaceDE w:val="0"/>
              <w:autoSpaceDN w:val="0"/>
              <w:snapToGrid w:val="0"/>
              <w:spacing w:line="300" w:lineRule="auto"/>
              <w:ind w:firstLine="0" w:firstLineChars="0"/>
              <w:contextualSpacing/>
              <w:textAlignment w:val="bottom"/>
              <w:rPr>
                <w:rFonts w:ascii="宋体" w:hAnsi="宋体" w:cs="宋体"/>
                <w:szCs w:val="24"/>
              </w:rPr>
            </w:pPr>
            <w:r>
              <w:rPr>
                <w:rFonts w:hint="eastAsia" w:ascii="宋体" w:hAnsi="宋体" w:cs="宋体"/>
                <w:szCs w:val="24"/>
              </w:rPr>
              <w:t>（2）</w:t>
            </w:r>
            <w:r>
              <w:rPr>
                <w:rFonts w:hint="eastAsia" w:ascii="宋体" w:hAnsi="宋体" w:cs="宋体"/>
                <w:b/>
                <w:kern w:val="0"/>
                <w:szCs w:val="24"/>
              </w:rPr>
              <w:t>将在政采云平台上最后生成的具备电子签章的备份电子标文件1份 。</w:t>
            </w:r>
            <w:r>
              <w:rPr>
                <w:rFonts w:hint="eastAsia" w:ascii="宋体" w:hAnsi="宋体" w:cs="宋体"/>
                <w:b/>
                <w:bCs/>
                <w:szCs w:val="24"/>
              </w:rPr>
              <w:t>（</w:t>
            </w:r>
            <w:r>
              <w:rPr>
                <w:rFonts w:hint="eastAsia" w:ascii="宋体" w:hAnsi="宋体" w:cs="宋体"/>
                <w:b/>
                <w:szCs w:val="24"/>
              </w:rPr>
              <w:t>光盘或U盘上应当用不褪色墨水笔注明投标人名称、项目名称以及法定代表人或其委托代理人签名，投标人应当确保电子光盘或U盘能够打开运行并正常使用）</w:t>
            </w:r>
            <w:r>
              <w:rPr>
                <w:rFonts w:hint="eastAsia" w:hAnsi="宋体"/>
                <w:szCs w:val="24"/>
              </w:rPr>
              <w:t>装袋密封后邮寄或直接送达至</w:t>
            </w:r>
            <w:r>
              <w:rPr>
                <w:rFonts w:hint="eastAsia" w:ascii="宋体" w:hAnsi="宋体" w:cs="宋体"/>
              </w:rPr>
              <w:t>嘉兴市宏泽招标咨询有限公司</w:t>
            </w:r>
            <w:r>
              <w:rPr>
                <w:rFonts w:hint="eastAsia" w:hAnsi="宋体"/>
                <w:szCs w:val="24"/>
              </w:rPr>
              <w:t>，密封袋上有接缝处均需加盖单位公章和法定代表人印章（送达地址：</w:t>
            </w:r>
            <w:r>
              <w:rPr>
                <w:rFonts w:hint="eastAsia" w:ascii="宋体" w:hAnsi="宋体" w:cs="宋体"/>
                <w:szCs w:val="24"/>
              </w:rPr>
              <w:t>嘉善县罗星街道乔克国贸中心2-1407室</w:t>
            </w:r>
            <w:r>
              <w:rPr>
                <w:rFonts w:hint="eastAsia" w:hAnsi="宋体"/>
                <w:szCs w:val="24"/>
              </w:rPr>
              <w:t>，收件人：金晓筠，联系电话：</w:t>
            </w:r>
            <w:r>
              <w:rPr>
                <w:rFonts w:hint="eastAsia" w:ascii="宋体" w:hAnsi="宋体" w:cs="宋体"/>
                <w:szCs w:val="24"/>
              </w:rPr>
              <w:t>0573-84020980</w:t>
            </w:r>
            <w:r>
              <w:rPr>
                <w:rFonts w:hint="eastAsia" w:hAnsi="宋体"/>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710"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6</w:t>
            </w:r>
          </w:p>
        </w:tc>
        <w:tc>
          <w:tcPr>
            <w:tcW w:w="1951"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rPr>
                <w:rFonts w:ascii="宋体" w:hAnsi="宋体" w:cs="宋体"/>
                <w:color w:val="000000"/>
                <w:szCs w:val="24"/>
              </w:rPr>
            </w:pPr>
            <w:r>
              <w:rPr>
                <w:rFonts w:hint="eastAsia" w:ascii="宋体" w:hAnsi="宋体" w:cs="宋体"/>
                <w:color w:val="000000"/>
                <w:szCs w:val="24"/>
              </w:rPr>
              <w:t>上传电子投标文件时间</w:t>
            </w:r>
          </w:p>
        </w:tc>
        <w:tc>
          <w:tcPr>
            <w:tcW w:w="7143" w:type="dxa"/>
            <w:tcBorders>
              <w:top w:val="single" w:color="auto" w:sz="4" w:space="0"/>
              <w:left w:val="single" w:color="auto" w:sz="4" w:space="0"/>
              <w:bottom w:val="single" w:color="auto" w:sz="4" w:space="0"/>
            </w:tcBorders>
            <w:vAlign w:val="center"/>
          </w:tcPr>
          <w:p>
            <w:pPr>
              <w:snapToGrid w:val="0"/>
              <w:ind w:firstLine="0" w:firstLineChars="0"/>
              <w:rPr>
                <w:rFonts w:ascii="宋体" w:hAnsi="宋体" w:cs="宋体"/>
                <w:szCs w:val="24"/>
              </w:rPr>
            </w:pPr>
            <w:r>
              <w:rPr>
                <w:rFonts w:hint="eastAsia" w:ascii="宋体" w:hAnsi="宋体" w:cs="宋体"/>
                <w:szCs w:val="24"/>
              </w:rPr>
              <w:t>2023年</w:t>
            </w:r>
            <w:r>
              <w:rPr>
                <w:rFonts w:hint="eastAsia" w:ascii="宋体" w:hAnsi="宋体" w:cs="宋体"/>
                <w:szCs w:val="24"/>
                <w:lang w:val="en-US" w:eastAsia="zh-CN"/>
              </w:rPr>
              <w:t>5</w:t>
            </w:r>
            <w:r>
              <w:rPr>
                <w:rFonts w:hint="eastAsia" w:ascii="宋体" w:hAnsi="宋体" w:cs="宋体"/>
                <w:szCs w:val="24"/>
              </w:rPr>
              <w:t>月</w:t>
            </w:r>
            <w:r>
              <w:rPr>
                <w:rFonts w:hint="eastAsia" w:ascii="宋体" w:hAnsi="宋体" w:cs="宋体"/>
                <w:szCs w:val="24"/>
                <w:lang w:val="en-US" w:eastAsia="zh-CN"/>
              </w:rPr>
              <w:t>31</w:t>
            </w:r>
            <w:r>
              <w:rPr>
                <w:rFonts w:hint="eastAsia" w:ascii="宋体" w:hAnsi="宋体" w:cs="宋体"/>
                <w:szCs w:val="24"/>
              </w:rPr>
              <w:t>日</w:t>
            </w:r>
            <w:r>
              <w:rPr>
                <w:rFonts w:ascii="宋体" w:hAnsi="宋体" w:cs="宋体"/>
                <w:szCs w:val="24"/>
              </w:rPr>
              <w:t>14</w:t>
            </w:r>
            <w:r>
              <w:rPr>
                <w:rFonts w:hint="eastAsia" w:ascii="宋体" w:hAnsi="宋体" w:cs="宋体"/>
                <w:szCs w:val="24"/>
              </w:rPr>
              <w:t>：</w:t>
            </w:r>
            <w:r>
              <w:rPr>
                <w:rFonts w:hint="eastAsia" w:ascii="宋体" w:hAnsi="宋体" w:cs="宋体"/>
                <w:szCs w:val="24"/>
                <w:lang w:val="en-US" w:eastAsia="zh-CN"/>
              </w:rPr>
              <w:t>0</w:t>
            </w:r>
            <w:r>
              <w:rPr>
                <w:rFonts w:ascii="宋体" w:hAnsi="宋体" w:cs="宋体"/>
                <w:szCs w:val="24"/>
              </w:rPr>
              <w:t>0</w:t>
            </w:r>
            <w:r>
              <w:rPr>
                <w:rFonts w:hint="eastAsia" w:ascii="宋体" w:hAnsi="宋体" w:cs="宋体"/>
                <w:szCs w:val="24"/>
              </w:rPr>
              <w:t>前在“政采云”上自行加密上传电子投标文件，逾期上传或未按要求上传的投标文件将予以拒收。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710"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7</w:t>
            </w:r>
          </w:p>
        </w:tc>
        <w:tc>
          <w:tcPr>
            <w:tcW w:w="1951"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rPr>
                <w:rFonts w:ascii="宋体" w:hAnsi="宋体" w:cs="宋体"/>
                <w:color w:val="000000"/>
                <w:szCs w:val="24"/>
              </w:rPr>
            </w:pPr>
            <w:r>
              <w:rPr>
                <w:rFonts w:hint="eastAsia" w:ascii="宋体" w:hAnsi="宋体" w:cs="宋体"/>
                <w:color w:val="000000"/>
                <w:szCs w:val="24"/>
              </w:rPr>
              <w:t>开标地点</w:t>
            </w:r>
          </w:p>
        </w:tc>
        <w:tc>
          <w:tcPr>
            <w:tcW w:w="7143" w:type="dxa"/>
            <w:tcBorders>
              <w:top w:val="single" w:color="auto" w:sz="4" w:space="0"/>
              <w:left w:val="single" w:color="auto" w:sz="4" w:space="0"/>
              <w:bottom w:val="single" w:color="auto" w:sz="4" w:space="0"/>
            </w:tcBorders>
            <w:vAlign w:val="center"/>
          </w:tcPr>
          <w:p>
            <w:pPr>
              <w:spacing w:line="400" w:lineRule="exact"/>
              <w:ind w:firstLine="0" w:firstLineChars="0"/>
              <w:rPr>
                <w:rFonts w:ascii="宋体" w:hAnsi="宋体" w:cs="宋体"/>
                <w:szCs w:val="24"/>
              </w:rPr>
            </w:pPr>
            <w:r>
              <w:rPr>
                <w:rFonts w:hint="eastAsia" w:ascii="宋体" w:hAnsi="宋体" w:cs="宋体"/>
                <w:szCs w:val="24"/>
              </w:rPr>
              <w:t>嘉善县罗星街道乔克国贸中心2-1408室开标。</w:t>
            </w:r>
          </w:p>
          <w:p>
            <w:pPr>
              <w:snapToGrid w:val="0"/>
              <w:ind w:firstLine="0" w:firstLineChars="0"/>
              <w:rPr>
                <w:rFonts w:ascii="宋体" w:hAnsi="宋体" w:cs="宋体"/>
                <w:szCs w:val="24"/>
              </w:rPr>
            </w:pPr>
            <w:r>
              <w:rPr>
                <w:rFonts w:hint="eastAsia" w:ascii="宋体" w:hAnsi="宋体" w:cs="宋体"/>
                <w:b/>
                <w:szCs w:val="24"/>
              </w:rPr>
              <w:t>投标人无需到开标现场，只需准时在线参加。开标时间后半小时小时内（2023年</w:t>
            </w:r>
            <w:r>
              <w:rPr>
                <w:rFonts w:hint="eastAsia" w:ascii="宋体" w:hAnsi="宋体" w:cs="宋体"/>
                <w:b/>
                <w:szCs w:val="24"/>
                <w:lang w:val="en-US" w:eastAsia="zh-CN"/>
              </w:rPr>
              <w:t>5</w:t>
            </w:r>
            <w:r>
              <w:rPr>
                <w:rFonts w:hint="eastAsia" w:ascii="宋体" w:hAnsi="宋体" w:cs="宋体"/>
                <w:b/>
                <w:szCs w:val="24"/>
              </w:rPr>
              <w:t>月</w:t>
            </w:r>
            <w:r>
              <w:rPr>
                <w:rFonts w:hint="eastAsia" w:ascii="宋体" w:hAnsi="宋体" w:cs="宋体"/>
                <w:b/>
                <w:szCs w:val="24"/>
                <w:lang w:val="en-US" w:eastAsia="zh-CN"/>
              </w:rPr>
              <w:t>31</w:t>
            </w:r>
            <w:r>
              <w:rPr>
                <w:rFonts w:hint="eastAsia" w:ascii="宋体" w:hAnsi="宋体" w:cs="宋体"/>
                <w:b/>
                <w:szCs w:val="24"/>
              </w:rPr>
              <w:t>日</w:t>
            </w:r>
            <w:r>
              <w:rPr>
                <w:rFonts w:ascii="宋体" w:hAnsi="宋体" w:cs="宋体"/>
                <w:b/>
                <w:szCs w:val="24"/>
              </w:rPr>
              <w:t>1</w:t>
            </w:r>
            <w:r>
              <w:rPr>
                <w:rFonts w:hint="eastAsia" w:ascii="宋体" w:hAnsi="宋体" w:cs="宋体"/>
                <w:b/>
                <w:szCs w:val="24"/>
                <w:lang w:val="en-US" w:eastAsia="zh-CN"/>
              </w:rPr>
              <w:t>4</w:t>
            </w:r>
            <w:r>
              <w:rPr>
                <w:rFonts w:hint="eastAsia" w:ascii="宋体" w:hAnsi="宋体" w:cs="宋体"/>
                <w:b/>
                <w:szCs w:val="24"/>
              </w:rPr>
              <w:t>：</w:t>
            </w:r>
            <w:r>
              <w:rPr>
                <w:rFonts w:hint="eastAsia" w:ascii="宋体" w:hAnsi="宋体" w:cs="宋体"/>
                <w:b/>
                <w:szCs w:val="24"/>
                <w:lang w:val="en-US" w:eastAsia="zh-CN"/>
              </w:rPr>
              <w:t>3</w:t>
            </w:r>
            <w:r>
              <w:rPr>
                <w:rFonts w:ascii="宋体" w:hAnsi="宋体" w:cs="宋体"/>
                <w:b/>
                <w:szCs w:val="24"/>
              </w:rPr>
              <w:t>0</w:t>
            </w:r>
            <w:r>
              <w:rPr>
                <w:rFonts w:hint="eastAsia" w:ascii="宋体" w:hAnsi="宋体" w:cs="宋体"/>
                <w:b/>
                <w:szCs w:val="24"/>
              </w:rPr>
              <w:t>前）投标可以登录“政采云”平台，用“项目采购-开标评标”功能进行解密投标文件。若投标人在规定时间内无法解密或解密失败，将导致投标无效或失败。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10"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8</w:t>
            </w:r>
          </w:p>
        </w:tc>
        <w:tc>
          <w:tcPr>
            <w:tcW w:w="195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0" w:firstLineChars="0"/>
              <w:textAlignment w:val="bottom"/>
              <w:rPr>
                <w:rFonts w:ascii="宋体" w:hAnsi="宋体" w:cs="宋体"/>
                <w:color w:val="000000"/>
                <w:szCs w:val="24"/>
              </w:rPr>
            </w:pPr>
            <w:r>
              <w:rPr>
                <w:rFonts w:hint="eastAsia" w:ascii="宋体" w:hAnsi="宋体" w:cs="宋体"/>
                <w:color w:val="000000"/>
                <w:szCs w:val="24"/>
              </w:rPr>
              <w:t>评标办法及评分标准</w:t>
            </w:r>
          </w:p>
        </w:tc>
        <w:tc>
          <w:tcPr>
            <w:tcW w:w="7143" w:type="dxa"/>
            <w:tcBorders>
              <w:top w:val="single" w:color="auto" w:sz="4" w:space="0"/>
              <w:left w:val="single" w:color="auto" w:sz="4" w:space="0"/>
              <w:bottom w:val="single" w:color="auto" w:sz="4" w:space="0"/>
            </w:tcBorders>
            <w:vAlign w:val="center"/>
          </w:tcPr>
          <w:p>
            <w:pPr>
              <w:autoSpaceDE w:val="0"/>
              <w:autoSpaceDN w:val="0"/>
              <w:snapToGrid w:val="0"/>
              <w:ind w:firstLine="0" w:firstLineChars="0"/>
              <w:textAlignment w:val="bottom"/>
              <w:rPr>
                <w:rFonts w:ascii="宋体" w:hAnsi="宋体" w:cs="宋体"/>
                <w:b/>
                <w:bCs/>
                <w:color w:val="000000"/>
                <w:szCs w:val="24"/>
              </w:rPr>
            </w:pPr>
            <w:r>
              <w:rPr>
                <w:rFonts w:hint="eastAsia" w:ascii="宋体" w:hAnsi="宋体" w:cs="宋体"/>
                <w:b/>
                <w:bCs/>
                <w:color w:val="000000"/>
                <w:kern w:val="0"/>
                <w:szCs w:val="24"/>
              </w:rPr>
              <w:t>综合评分法，详见采购文件第四章。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6" w:hRule="atLeast"/>
        </w:trPr>
        <w:tc>
          <w:tcPr>
            <w:tcW w:w="710"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9</w:t>
            </w:r>
          </w:p>
        </w:tc>
        <w:tc>
          <w:tcPr>
            <w:tcW w:w="195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0" w:firstLineChars="0"/>
              <w:textAlignment w:val="bottom"/>
              <w:rPr>
                <w:rFonts w:ascii="宋体" w:hAnsi="宋体" w:cs="宋体"/>
                <w:color w:val="000000"/>
                <w:szCs w:val="24"/>
              </w:rPr>
            </w:pPr>
            <w:r>
              <w:rPr>
                <w:rFonts w:hint="eastAsia" w:ascii="宋体" w:hAnsi="宋体" w:cs="宋体"/>
                <w:color w:val="000000"/>
                <w:szCs w:val="24"/>
              </w:rPr>
              <w:t>中标公告及中标通知书</w:t>
            </w:r>
          </w:p>
        </w:tc>
        <w:tc>
          <w:tcPr>
            <w:tcW w:w="7143" w:type="dxa"/>
            <w:tcBorders>
              <w:top w:val="single" w:color="auto" w:sz="4" w:space="0"/>
              <w:left w:val="single" w:color="auto" w:sz="4" w:space="0"/>
              <w:bottom w:val="single" w:color="auto" w:sz="4" w:space="0"/>
            </w:tcBorders>
            <w:vAlign w:val="center"/>
          </w:tcPr>
          <w:p>
            <w:pPr>
              <w:wordWrap w:val="0"/>
              <w:autoSpaceDE w:val="0"/>
              <w:autoSpaceDN w:val="0"/>
              <w:snapToGrid w:val="0"/>
              <w:ind w:firstLine="0" w:firstLineChars="0"/>
              <w:textAlignment w:val="bottom"/>
              <w:rPr>
                <w:rFonts w:ascii="宋体" w:hAnsi="宋体" w:cs="宋体"/>
                <w:color w:val="000000"/>
                <w:szCs w:val="24"/>
              </w:rPr>
            </w:pPr>
            <w:r>
              <w:rPr>
                <w:rFonts w:hint="eastAsia" w:ascii="宋体" w:hAnsi="宋体" w:cs="宋体"/>
              </w:rPr>
              <w:t>中标供应商确定之日起2个工作日内</w:t>
            </w:r>
            <w:r>
              <w:rPr>
                <w:rFonts w:hint="eastAsia" w:ascii="宋体" w:hAnsi="宋体" w:cs="宋体"/>
                <w:color w:val="000000"/>
                <w:szCs w:val="24"/>
              </w:rPr>
              <w:t>，中标公告发布于浙江政府采购网(</w:t>
            </w:r>
            <w:r>
              <w:fldChar w:fldCharType="begin"/>
            </w:r>
            <w:r>
              <w:instrText xml:space="preserve"> HYPERLINK "http://zfcg.czt.zj.gov.cn/" </w:instrText>
            </w:r>
            <w:r>
              <w:fldChar w:fldCharType="separate"/>
            </w:r>
            <w:r>
              <w:rPr>
                <w:rStyle w:val="43"/>
                <w:rFonts w:ascii="宋体" w:hAnsi="宋体" w:cs="宋体"/>
                <w:szCs w:val="24"/>
              </w:rPr>
              <w:t>http://zfcg.czt.zj.gov.cn/</w:t>
            </w:r>
            <w:r>
              <w:rPr>
                <w:rStyle w:val="43"/>
                <w:rFonts w:ascii="宋体" w:hAnsi="宋体" w:cs="宋体"/>
                <w:szCs w:val="24"/>
              </w:rPr>
              <w:fldChar w:fldCharType="end"/>
            </w:r>
            <w:r>
              <w:rPr>
                <w:rFonts w:hint="eastAsia" w:ascii="宋体" w:hAnsi="宋体" w:cs="宋体"/>
                <w:color w:val="000000"/>
                <w:szCs w:val="24"/>
              </w:rPr>
              <w:t>)，</w:t>
            </w:r>
            <w:r>
              <w:rPr>
                <w:rFonts w:hint="eastAsia" w:ascii="宋体" w:hAnsi="宋体" w:cs="宋体"/>
              </w:rPr>
              <w:t>中标公告期限为1个工作日</w:t>
            </w:r>
            <w:r>
              <w:rPr>
                <w:rFonts w:hint="eastAsia" w:ascii="宋体" w:hAnsi="宋体" w:cs="宋体"/>
                <w:color w:val="000000"/>
                <w:szCs w:val="24"/>
              </w:rPr>
              <w:t>。</w:t>
            </w:r>
            <w:r>
              <w:rPr>
                <w:rFonts w:hint="eastAsia" w:ascii="宋体" w:hAnsi="宋体" w:cs="宋体"/>
                <w:color w:val="000000"/>
              </w:rPr>
              <w:t>在公告中标结果的同时，向中标供应商发出中标通知书。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10"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10</w:t>
            </w:r>
          </w:p>
        </w:tc>
        <w:tc>
          <w:tcPr>
            <w:tcW w:w="195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0" w:firstLineChars="0"/>
              <w:textAlignment w:val="bottom"/>
              <w:rPr>
                <w:rFonts w:ascii="宋体" w:hAnsi="宋体" w:cs="宋体"/>
                <w:color w:val="000000"/>
                <w:szCs w:val="24"/>
              </w:rPr>
            </w:pPr>
            <w:r>
              <w:rPr>
                <w:rFonts w:hint="eastAsia" w:ascii="宋体" w:hAnsi="宋体" w:cs="宋体"/>
                <w:color w:val="000000"/>
                <w:szCs w:val="24"/>
              </w:rPr>
              <w:t>签订合同</w:t>
            </w:r>
          </w:p>
        </w:tc>
        <w:tc>
          <w:tcPr>
            <w:tcW w:w="7143" w:type="dxa"/>
            <w:tcBorders>
              <w:top w:val="single" w:color="auto" w:sz="4" w:space="0"/>
              <w:left w:val="single" w:color="auto" w:sz="4" w:space="0"/>
              <w:bottom w:val="single" w:color="auto" w:sz="4" w:space="0"/>
            </w:tcBorders>
            <w:vAlign w:val="center"/>
          </w:tcPr>
          <w:p>
            <w:pPr>
              <w:autoSpaceDE w:val="0"/>
              <w:autoSpaceDN w:val="0"/>
              <w:snapToGrid w:val="0"/>
              <w:ind w:firstLine="0" w:firstLineChars="0"/>
              <w:textAlignment w:val="bottom"/>
              <w:rPr>
                <w:rFonts w:ascii="宋体" w:hAnsi="宋体" w:cs="宋体"/>
                <w:color w:val="000000"/>
                <w:szCs w:val="24"/>
              </w:rPr>
            </w:pPr>
            <w:r>
              <w:rPr>
                <w:rFonts w:hint="eastAsia" w:ascii="宋体" w:hAnsi="宋体" w:cs="宋体"/>
                <w:color w:val="000000"/>
                <w:szCs w:val="24"/>
              </w:rPr>
              <w:t>中标通知书发出后</w:t>
            </w:r>
            <w:r>
              <w:rPr>
                <w:rFonts w:hint="eastAsia" w:ascii="宋体" w:hAnsi="宋体" w:cs="宋体"/>
                <w:bCs/>
                <w:color w:val="000000"/>
                <w:szCs w:val="24"/>
              </w:rPr>
              <w:t>30</w:t>
            </w:r>
            <w:r>
              <w:rPr>
                <w:rFonts w:hint="eastAsia" w:ascii="宋体" w:hAnsi="宋体" w:cs="宋体"/>
                <w:color w:val="000000"/>
                <w:szCs w:val="24"/>
              </w:rPr>
              <w:t>天内。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99" w:hRule="atLeast"/>
        </w:trPr>
        <w:tc>
          <w:tcPr>
            <w:tcW w:w="710"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11</w:t>
            </w:r>
          </w:p>
        </w:tc>
        <w:tc>
          <w:tcPr>
            <w:tcW w:w="195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0" w:firstLineChars="0"/>
              <w:textAlignment w:val="bottom"/>
              <w:rPr>
                <w:rFonts w:ascii="宋体" w:hAnsi="宋体" w:cs="宋体"/>
                <w:color w:val="000000"/>
                <w:szCs w:val="24"/>
              </w:rPr>
            </w:pPr>
            <w:r>
              <w:rPr>
                <w:rFonts w:hint="eastAsia" w:ascii="宋体" w:hAnsi="宋体" w:cs="宋体"/>
                <w:color w:val="000000"/>
                <w:szCs w:val="24"/>
              </w:rPr>
              <w:t>合同公告</w:t>
            </w:r>
          </w:p>
        </w:tc>
        <w:tc>
          <w:tcPr>
            <w:tcW w:w="7143" w:type="dxa"/>
            <w:tcBorders>
              <w:top w:val="single" w:color="auto" w:sz="4" w:space="0"/>
              <w:left w:val="single" w:color="auto" w:sz="4" w:space="0"/>
              <w:bottom w:val="single" w:color="auto" w:sz="4" w:space="0"/>
            </w:tcBorders>
            <w:vAlign w:val="center"/>
          </w:tcPr>
          <w:p>
            <w:pPr>
              <w:autoSpaceDE w:val="0"/>
              <w:autoSpaceDN w:val="0"/>
              <w:snapToGrid w:val="0"/>
              <w:ind w:firstLine="0" w:firstLineChars="0"/>
              <w:textAlignment w:val="bottom"/>
              <w:rPr>
                <w:rFonts w:ascii="宋体" w:hAnsi="宋体" w:cs="宋体"/>
                <w:color w:val="000000"/>
                <w:szCs w:val="24"/>
              </w:rPr>
            </w:pPr>
            <w:r>
              <w:rPr>
                <w:rFonts w:hint="eastAsia" w:ascii="宋体" w:hAnsi="宋体" w:cs="宋体"/>
              </w:rPr>
              <w:t>本项目政府采购合同将于签订之日起2个工作日内发布于</w:t>
            </w:r>
            <w:r>
              <w:rPr>
                <w:rFonts w:hint="eastAsia" w:ascii="宋体" w:hAnsi="宋体" w:cs="宋体"/>
                <w:color w:val="000000"/>
                <w:szCs w:val="24"/>
              </w:rPr>
              <w:t>浙江政府采购网(</w:t>
            </w:r>
            <w:r>
              <w:fldChar w:fldCharType="begin"/>
            </w:r>
            <w:r>
              <w:instrText xml:space="preserve"> HYPERLINK "http://zfcg.czt.zj.gov.cn/" </w:instrText>
            </w:r>
            <w:r>
              <w:fldChar w:fldCharType="separate"/>
            </w:r>
            <w:r>
              <w:rPr>
                <w:rStyle w:val="43"/>
                <w:rFonts w:ascii="宋体" w:hAnsi="宋体" w:cs="宋体"/>
                <w:szCs w:val="24"/>
              </w:rPr>
              <w:t>http://zfcg.czt.zj.gov.cn/</w:t>
            </w:r>
            <w:r>
              <w:rPr>
                <w:rStyle w:val="43"/>
                <w:rFonts w:ascii="宋体" w:hAnsi="宋体" w:cs="宋体"/>
                <w:szCs w:val="24"/>
              </w:rPr>
              <w:fldChar w:fldCharType="end"/>
            </w:r>
            <w:r>
              <w:rPr>
                <w:rFonts w:hint="eastAsia" w:ascii="宋体" w:hAnsi="宋体" w:cs="宋体"/>
                <w:color w:val="000000"/>
                <w:szCs w:val="24"/>
              </w:rPr>
              <w:t>)</w:t>
            </w:r>
            <w:r>
              <w:rPr>
                <w:rFonts w:hint="eastAsia" w:ascii="宋体" w:hAnsi="宋体" w:cs="宋体"/>
                <w:color w:val="000000"/>
              </w:rPr>
              <w:t>，</w:t>
            </w:r>
            <w:r>
              <w:rPr>
                <w:rFonts w:hint="eastAsia" w:ascii="宋体" w:hAnsi="宋体" w:cs="宋体"/>
              </w:rPr>
              <w:t>但政府采购合同中涉及国家秘密、商业秘密的内容除外。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710"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12</w:t>
            </w:r>
          </w:p>
        </w:tc>
        <w:tc>
          <w:tcPr>
            <w:tcW w:w="195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0" w:firstLineChars="0"/>
              <w:textAlignment w:val="bottom"/>
              <w:rPr>
                <w:rFonts w:ascii="宋体" w:hAnsi="宋体" w:cs="宋体"/>
                <w:szCs w:val="24"/>
              </w:rPr>
            </w:pPr>
            <w:r>
              <w:rPr>
                <w:rFonts w:hint="eastAsia" w:ascii="宋体" w:hAnsi="宋体" w:cs="宋体"/>
                <w:szCs w:val="24"/>
              </w:rPr>
              <w:t>本项目预算</w:t>
            </w:r>
          </w:p>
        </w:tc>
        <w:tc>
          <w:tcPr>
            <w:tcW w:w="7143" w:type="dxa"/>
            <w:tcBorders>
              <w:top w:val="single" w:color="auto" w:sz="4" w:space="0"/>
              <w:left w:val="single" w:color="auto" w:sz="4" w:space="0"/>
              <w:bottom w:val="single" w:color="auto" w:sz="4" w:space="0"/>
            </w:tcBorders>
            <w:vAlign w:val="center"/>
          </w:tcPr>
          <w:p>
            <w:pPr>
              <w:autoSpaceDE w:val="0"/>
              <w:autoSpaceDN w:val="0"/>
              <w:snapToGrid w:val="0"/>
              <w:ind w:firstLine="0" w:firstLineChars="0"/>
              <w:textAlignment w:val="bottom"/>
              <w:rPr>
                <w:rFonts w:ascii="宋体" w:hAnsi="宋体" w:cs="宋体"/>
                <w:color w:val="auto"/>
                <w:szCs w:val="24"/>
              </w:rPr>
            </w:pPr>
            <w:r>
              <w:rPr>
                <w:rFonts w:hint="eastAsia" w:ascii="宋体" w:hAnsi="宋体"/>
                <w:color w:val="auto"/>
              </w:rPr>
              <w:t>本项目预算价为人民币</w:t>
            </w:r>
            <w:r>
              <w:rPr>
                <w:rFonts w:ascii="宋体" w:hAnsi="宋体"/>
                <w:color w:val="auto"/>
              </w:rPr>
              <w:t>150.00</w:t>
            </w:r>
            <w:r>
              <w:rPr>
                <w:rFonts w:hint="eastAsia" w:ascii="宋体" w:hAnsi="宋体"/>
                <w:color w:val="auto"/>
              </w:rPr>
              <w:t>万元，</w:t>
            </w:r>
            <w:r>
              <w:rPr>
                <w:rFonts w:hint="eastAsia" w:ascii="宋体" w:hAnsi="宋体" w:cs="宋体"/>
                <w:color w:val="auto"/>
                <w:szCs w:val="24"/>
              </w:rPr>
              <w:t>采购上限价为人民币148.2780万元，超采购上限价的投标文件无效。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10"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13</w:t>
            </w:r>
          </w:p>
        </w:tc>
        <w:tc>
          <w:tcPr>
            <w:tcW w:w="195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0" w:firstLineChars="0"/>
              <w:textAlignment w:val="bottom"/>
              <w:rPr>
                <w:rFonts w:ascii="宋体" w:hAnsi="宋体" w:cs="宋体"/>
                <w:szCs w:val="24"/>
              </w:rPr>
            </w:pPr>
            <w:r>
              <w:rPr>
                <w:rFonts w:hint="eastAsia" w:ascii="宋体" w:hAnsi="宋体" w:cs="宋体"/>
                <w:szCs w:val="24"/>
              </w:rPr>
              <w:t>履约保证金的收取及退还</w:t>
            </w:r>
          </w:p>
        </w:tc>
        <w:tc>
          <w:tcPr>
            <w:tcW w:w="7143" w:type="dxa"/>
            <w:tcBorders>
              <w:top w:val="single" w:color="auto" w:sz="4" w:space="0"/>
              <w:left w:val="single" w:color="auto" w:sz="4" w:space="0"/>
              <w:bottom w:val="single" w:color="auto" w:sz="4" w:space="0"/>
            </w:tcBorders>
            <w:vAlign w:val="center"/>
          </w:tcPr>
          <w:p>
            <w:pPr>
              <w:autoSpaceDE w:val="0"/>
              <w:autoSpaceDN w:val="0"/>
              <w:snapToGrid w:val="0"/>
              <w:spacing w:line="300" w:lineRule="auto"/>
              <w:ind w:firstLine="0" w:firstLineChars="0"/>
              <w:contextualSpacing/>
              <w:textAlignment w:val="bottom"/>
              <w:rPr>
                <w:rFonts w:ascii="宋体" w:hAnsi="宋体" w:cs="宋体"/>
                <w:color w:val="auto"/>
                <w:szCs w:val="24"/>
              </w:rPr>
            </w:pPr>
            <w:r>
              <w:rPr>
                <w:rFonts w:hint="eastAsia" w:ascii="宋体" w:hAnsi="宋体" w:cs="宋体"/>
                <w:color w:val="auto"/>
                <w:szCs w:val="24"/>
              </w:rPr>
              <w:t>项目实施前中标供应商向采购人交纳</w:t>
            </w:r>
            <w:r>
              <w:rPr>
                <w:rFonts w:hint="eastAsia" w:ascii="宋体" w:hAnsi="宋体" w:cs="宋体"/>
                <w:color w:val="auto"/>
              </w:rPr>
              <w:t>合同金额的1</w:t>
            </w:r>
            <w:r>
              <w:rPr>
                <w:rFonts w:hint="eastAsia" w:ascii="宋体" w:hAnsi="宋体" w:cs="宋体"/>
                <w:color w:val="auto"/>
                <w:szCs w:val="24"/>
              </w:rPr>
              <w:t>%作为履约保证金</w:t>
            </w:r>
            <w:r>
              <w:rPr>
                <w:rFonts w:hint="eastAsia"/>
                <w:color w:val="auto"/>
                <w:szCs w:val="24"/>
              </w:rPr>
              <w:t>，履约保证金在</w:t>
            </w:r>
            <w:r>
              <w:rPr>
                <w:rFonts w:hint="eastAsia" w:ascii="宋体" w:hAnsi="宋体"/>
                <w:color w:val="auto"/>
              </w:rPr>
              <w:t>服务质量采购人满意的前提下自合同履约完毕后一个月内</w:t>
            </w:r>
            <w:r>
              <w:rPr>
                <w:rFonts w:ascii="宋体" w:hAnsi="宋体"/>
                <w:color w:val="auto"/>
              </w:rPr>
              <w:t>无息退还</w:t>
            </w:r>
            <w:r>
              <w:rPr>
                <w:rFonts w:hint="eastAsia"/>
                <w:color w:val="auto"/>
                <w:szCs w:val="24"/>
              </w:rPr>
              <w:t>。</w:t>
            </w:r>
            <w:r>
              <w:rPr>
                <w:rFonts w:hint="eastAsia" w:ascii="宋体" w:hAnsi="宋体" w:cs="宋体"/>
                <w:color w:val="auto"/>
                <w:szCs w:val="24"/>
              </w:rPr>
              <w:t>供应商应当以支票、汇票、本票或者金融机构、担保机构出具的保函等非现金形式提交</w:t>
            </w:r>
            <w:r>
              <w:rPr>
                <w:rFonts w:hint="eastAsia" w:ascii="宋体" w:hAnsi="宋体" w:cs="宋体"/>
                <w:color w:val="auto"/>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10"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14</w:t>
            </w:r>
          </w:p>
        </w:tc>
        <w:tc>
          <w:tcPr>
            <w:tcW w:w="195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0" w:firstLineChars="0"/>
              <w:textAlignment w:val="bottom"/>
              <w:rPr>
                <w:rFonts w:ascii="宋体" w:hAnsi="宋体" w:cs="宋体"/>
                <w:szCs w:val="24"/>
              </w:rPr>
            </w:pPr>
            <w:r>
              <w:rPr>
                <w:rFonts w:hint="eastAsia" w:ascii="宋体" w:hAnsi="宋体" w:cs="宋体"/>
                <w:szCs w:val="24"/>
              </w:rPr>
              <w:t>采购资金来源</w:t>
            </w:r>
          </w:p>
        </w:tc>
        <w:tc>
          <w:tcPr>
            <w:tcW w:w="7143" w:type="dxa"/>
            <w:tcBorders>
              <w:top w:val="single" w:color="auto" w:sz="4" w:space="0"/>
              <w:left w:val="single" w:color="auto" w:sz="4" w:space="0"/>
              <w:bottom w:val="single" w:color="auto" w:sz="4" w:space="0"/>
            </w:tcBorders>
            <w:vAlign w:val="center"/>
          </w:tcPr>
          <w:p>
            <w:pPr>
              <w:autoSpaceDE w:val="0"/>
              <w:autoSpaceDN w:val="0"/>
              <w:snapToGrid w:val="0"/>
              <w:spacing w:line="300" w:lineRule="auto"/>
              <w:ind w:firstLine="0" w:firstLineChars="0"/>
              <w:contextualSpacing/>
              <w:textAlignment w:val="bottom"/>
              <w:rPr>
                <w:rFonts w:ascii="宋体" w:hAnsi="宋体" w:cs="宋体"/>
                <w:color w:val="auto"/>
                <w:szCs w:val="24"/>
              </w:rPr>
            </w:pPr>
            <w:r>
              <w:rPr>
                <w:rFonts w:hint="eastAsia" w:ascii="宋体" w:hAnsi="宋体" w:cs="宋体"/>
                <w:color w:val="auto"/>
                <w:szCs w:val="24"/>
              </w:rPr>
              <w:t>财政资金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4" w:hRule="atLeast"/>
        </w:trPr>
        <w:tc>
          <w:tcPr>
            <w:tcW w:w="710"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15</w:t>
            </w:r>
          </w:p>
        </w:tc>
        <w:tc>
          <w:tcPr>
            <w:tcW w:w="1951"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ind w:firstLine="0" w:firstLineChars="0"/>
              <w:textAlignment w:val="bottom"/>
              <w:rPr>
                <w:rFonts w:ascii="宋体" w:hAnsi="宋体" w:cs="宋体"/>
                <w:szCs w:val="24"/>
              </w:rPr>
            </w:pPr>
            <w:r>
              <w:rPr>
                <w:rFonts w:hint="eastAsia" w:ascii="宋体" w:hAnsi="宋体" w:cs="宋体"/>
                <w:szCs w:val="24"/>
              </w:rPr>
              <w:t>付款方式</w:t>
            </w:r>
          </w:p>
        </w:tc>
        <w:tc>
          <w:tcPr>
            <w:tcW w:w="7143" w:type="dxa"/>
            <w:tcBorders>
              <w:top w:val="single" w:color="auto" w:sz="4" w:space="0"/>
              <w:left w:val="single" w:color="auto" w:sz="4" w:space="0"/>
              <w:bottom w:val="single" w:color="auto" w:sz="4" w:space="0"/>
            </w:tcBorders>
            <w:vAlign w:val="center"/>
          </w:tcPr>
          <w:p>
            <w:pPr>
              <w:snapToGrid w:val="0"/>
              <w:spacing w:line="300" w:lineRule="auto"/>
              <w:ind w:firstLine="0" w:firstLineChars="0"/>
              <w:contextualSpacing/>
              <w:rPr>
                <w:rFonts w:ascii="宋体" w:hAnsi="宋体" w:cs="宋体"/>
                <w:color w:val="auto"/>
              </w:rPr>
            </w:pPr>
            <w:r>
              <w:rPr>
                <w:rFonts w:hint="eastAsia" w:ascii="宋体" w:hAnsi="宋体" w:cs="宋体"/>
                <w:color w:val="auto"/>
                <w:szCs w:val="24"/>
              </w:rPr>
              <w:t>合同生效以及具备实施条件后7个工作日内支付项目合同总金额的40%作为预付款，余款分四个季度结算支付。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10" w:type="dxa"/>
            <w:vMerge w:val="restart"/>
            <w:tcBorders>
              <w:top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16</w:t>
            </w:r>
          </w:p>
        </w:tc>
        <w:tc>
          <w:tcPr>
            <w:tcW w:w="1951" w:type="dxa"/>
            <w:vMerge w:val="restart"/>
            <w:tcBorders>
              <w:top w:val="single" w:color="auto" w:sz="4" w:space="0"/>
              <w:left w:val="single" w:color="auto" w:sz="4" w:space="0"/>
              <w:right w:val="single" w:color="auto" w:sz="4" w:space="0"/>
            </w:tcBorders>
            <w:vAlign w:val="center"/>
          </w:tcPr>
          <w:p>
            <w:pPr>
              <w:snapToGrid w:val="0"/>
              <w:ind w:firstLine="0" w:firstLineChars="0"/>
              <w:rPr>
                <w:rFonts w:ascii="宋体" w:hAnsi="宋体" w:cs="宋体"/>
                <w:szCs w:val="24"/>
              </w:rPr>
            </w:pPr>
            <w:r>
              <w:rPr>
                <w:rFonts w:hint="eastAsia" w:ascii="宋体" w:hAnsi="宋体" w:cs="宋体"/>
                <w:szCs w:val="24"/>
              </w:rPr>
              <w:t>招标代理服务费</w:t>
            </w:r>
          </w:p>
        </w:tc>
        <w:tc>
          <w:tcPr>
            <w:tcW w:w="7143" w:type="dxa"/>
            <w:tcBorders>
              <w:top w:val="single" w:color="auto" w:sz="4" w:space="0"/>
              <w:left w:val="single" w:color="auto" w:sz="4" w:space="0"/>
              <w:bottom w:val="single" w:color="auto" w:sz="4" w:space="0"/>
            </w:tcBorders>
            <w:vAlign w:val="center"/>
          </w:tcPr>
          <w:p>
            <w:pPr>
              <w:snapToGrid w:val="0"/>
              <w:spacing w:line="300" w:lineRule="auto"/>
              <w:ind w:firstLine="0" w:firstLineChars="0"/>
              <w:contextualSpacing/>
              <w:rPr>
                <w:rFonts w:ascii="宋体" w:hAnsi="宋体" w:cs="宋体"/>
                <w:color w:val="auto"/>
              </w:rPr>
            </w:pPr>
            <w:r>
              <w:rPr>
                <w:rFonts w:hint="eastAsia" w:ascii="宋体" w:hAnsi="宋体" w:cs="宋体"/>
                <w:color w:val="auto"/>
              </w:rPr>
              <w:t>本项目招标代理服务费由中标供应商支付。</w:t>
            </w:r>
          </w:p>
          <w:p>
            <w:pPr>
              <w:snapToGrid w:val="0"/>
              <w:spacing w:line="300" w:lineRule="auto"/>
              <w:ind w:firstLine="0" w:firstLineChars="0"/>
              <w:contextualSpacing/>
              <w:rPr>
                <w:rFonts w:ascii="宋体" w:hAnsi="宋体" w:cs="宋体"/>
                <w:color w:val="auto"/>
              </w:rPr>
            </w:pPr>
            <w:r>
              <w:rPr>
                <w:rFonts w:hint="eastAsia" w:ascii="宋体" w:hAnsi="宋体" w:cs="宋体"/>
                <w:b/>
                <w:color w:val="auto"/>
              </w:rPr>
              <w:t>本项目为服务招标，招标代理服务费按国家收费标准下浮25%收取</w:t>
            </w:r>
            <w:r>
              <w:rPr>
                <w:rFonts w:hint="eastAsia" w:ascii="宋体" w:hAnsi="宋体" w:cs="宋体"/>
                <w:color w:val="auto"/>
              </w:rPr>
              <w:t>，投标人须按以下招标代理取费依据自行计算招标代理服务费并考虑在投标报价中，结算时不得以此理由向招标人提出索赔。招标代理服务费须在领取中标通知书时，由中标供应商支付给招标代理机构。</w:t>
            </w:r>
          </w:p>
          <w:p>
            <w:pPr>
              <w:snapToGrid w:val="0"/>
              <w:spacing w:line="300" w:lineRule="auto"/>
              <w:ind w:firstLine="0" w:firstLineChars="0"/>
              <w:contextualSpacing/>
              <w:rPr>
                <w:rFonts w:ascii="宋体" w:hAnsi="宋体" w:cs="宋体"/>
                <w:color w:val="auto"/>
              </w:rPr>
            </w:pPr>
            <w:r>
              <w:rPr>
                <w:rFonts w:hint="eastAsia" w:ascii="宋体" w:hAnsi="宋体" w:cs="宋体"/>
                <w:color w:val="auto"/>
              </w:rPr>
              <w:t>招标代理服务费收费标准参照《关于降低部分建设项目收费标准规范收费行为等有关问题的通知》（发改价格[2011]534号），服务类型为服务招标，具体如下：</w:t>
            </w:r>
          </w:p>
          <w:tbl>
            <w:tblPr>
              <w:tblStyle w:val="3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05"/>
              <w:gridCol w:w="22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05" w:type="dxa"/>
                </w:tcPr>
                <w:p>
                  <w:pPr>
                    <w:snapToGrid w:val="0"/>
                    <w:spacing w:before="100" w:beforeAutospacing="1" w:after="100" w:afterAutospacing="1" w:line="276" w:lineRule="auto"/>
                    <w:ind w:firstLine="480"/>
                    <w:jc w:val="center"/>
                    <w:rPr>
                      <w:rFonts w:ascii="宋体" w:hAnsi="宋体" w:cs="宋体"/>
                      <w:color w:val="auto"/>
                    </w:rPr>
                  </w:pPr>
                  <w:r>
                    <w:rPr>
                      <w:rFonts w:hint="eastAsia" w:ascii="宋体" w:hAnsi="宋体" w:cs="宋体"/>
                      <w:color w:val="auto"/>
                    </w:rPr>
                    <w:t>中标金额（万元）</w:t>
                  </w:r>
                </w:p>
              </w:tc>
              <w:tc>
                <w:tcPr>
                  <w:tcW w:w="2293" w:type="dxa"/>
                </w:tcPr>
                <w:p>
                  <w:pPr>
                    <w:snapToGrid w:val="0"/>
                    <w:spacing w:before="100" w:beforeAutospacing="1" w:after="100" w:afterAutospacing="1" w:line="276" w:lineRule="auto"/>
                    <w:ind w:firstLine="480"/>
                    <w:jc w:val="center"/>
                    <w:rPr>
                      <w:rFonts w:ascii="宋体" w:hAnsi="宋体" w:cs="宋体"/>
                      <w:color w:val="auto"/>
                    </w:rPr>
                  </w:pPr>
                  <w:r>
                    <w:rPr>
                      <w:rFonts w:hint="eastAsia" w:ascii="宋体" w:hAnsi="宋体" w:cs="宋体"/>
                      <w:color w:val="auto"/>
                    </w:rPr>
                    <w:t>费率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05" w:type="dxa"/>
                </w:tcPr>
                <w:p>
                  <w:pPr>
                    <w:snapToGrid w:val="0"/>
                    <w:spacing w:before="100" w:beforeAutospacing="1" w:after="100" w:afterAutospacing="1" w:line="276" w:lineRule="auto"/>
                    <w:ind w:firstLine="480"/>
                    <w:jc w:val="center"/>
                    <w:rPr>
                      <w:rFonts w:ascii="宋体" w:hAnsi="宋体" w:cs="宋体"/>
                      <w:color w:val="auto"/>
                    </w:rPr>
                  </w:pPr>
                  <w:r>
                    <w:rPr>
                      <w:rFonts w:hint="eastAsia" w:ascii="宋体" w:hAnsi="宋体" w:cs="宋体"/>
                      <w:color w:val="auto"/>
                    </w:rPr>
                    <w:t>100以下</w:t>
                  </w:r>
                </w:p>
              </w:tc>
              <w:tc>
                <w:tcPr>
                  <w:tcW w:w="2293" w:type="dxa"/>
                </w:tcPr>
                <w:p>
                  <w:pPr>
                    <w:snapToGrid w:val="0"/>
                    <w:spacing w:before="100" w:beforeAutospacing="1" w:after="100" w:afterAutospacing="1" w:line="276" w:lineRule="auto"/>
                    <w:ind w:firstLine="480"/>
                    <w:jc w:val="center"/>
                    <w:rPr>
                      <w:rFonts w:ascii="宋体" w:hAnsi="宋体" w:cs="宋体"/>
                      <w:color w:val="auto"/>
                    </w:rPr>
                  </w:pPr>
                  <w:r>
                    <w:rPr>
                      <w:rFonts w:hint="eastAsia" w:ascii="宋体" w:hAnsi="宋体" w:cs="宋体"/>
                      <w:color w:val="auto"/>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05" w:type="dxa"/>
                </w:tcPr>
                <w:p>
                  <w:pPr>
                    <w:snapToGrid w:val="0"/>
                    <w:spacing w:before="100" w:beforeAutospacing="1" w:after="100" w:afterAutospacing="1" w:line="276" w:lineRule="auto"/>
                    <w:ind w:firstLine="480"/>
                    <w:jc w:val="center"/>
                    <w:rPr>
                      <w:rFonts w:ascii="宋体" w:hAnsi="宋体" w:cs="宋体"/>
                      <w:color w:val="auto"/>
                    </w:rPr>
                  </w:pPr>
                  <w:r>
                    <w:rPr>
                      <w:rFonts w:hint="eastAsia" w:ascii="宋体" w:hAnsi="宋体" w:cs="宋体"/>
                      <w:color w:val="auto"/>
                    </w:rPr>
                    <w:t>100-500</w:t>
                  </w:r>
                </w:p>
              </w:tc>
              <w:tc>
                <w:tcPr>
                  <w:tcW w:w="2293" w:type="dxa"/>
                </w:tcPr>
                <w:p>
                  <w:pPr>
                    <w:snapToGrid w:val="0"/>
                    <w:spacing w:before="100" w:beforeAutospacing="1" w:after="100" w:afterAutospacing="1" w:line="276" w:lineRule="auto"/>
                    <w:ind w:firstLine="480"/>
                    <w:jc w:val="center"/>
                    <w:rPr>
                      <w:rFonts w:ascii="宋体" w:hAnsi="宋体" w:cs="宋体"/>
                      <w:color w:val="auto"/>
                    </w:rPr>
                  </w:pPr>
                  <w:r>
                    <w:rPr>
                      <w:rFonts w:hint="eastAsia" w:ascii="宋体" w:hAnsi="宋体" w:cs="宋体"/>
                      <w:color w:val="auto"/>
                    </w:rPr>
                    <w:t>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05" w:type="dxa"/>
                </w:tcPr>
                <w:p>
                  <w:pPr>
                    <w:snapToGrid w:val="0"/>
                    <w:spacing w:before="100" w:beforeAutospacing="1" w:after="100" w:afterAutospacing="1" w:line="276" w:lineRule="auto"/>
                    <w:ind w:firstLine="480"/>
                    <w:jc w:val="center"/>
                    <w:rPr>
                      <w:rFonts w:ascii="宋体" w:hAnsi="宋体" w:cs="宋体"/>
                      <w:color w:val="auto"/>
                    </w:rPr>
                  </w:pPr>
                  <w:r>
                    <w:rPr>
                      <w:rFonts w:hint="eastAsia" w:ascii="宋体" w:hAnsi="宋体" w:cs="宋体"/>
                      <w:color w:val="auto"/>
                    </w:rPr>
                    <w:t>500-1000</w:t>
                  </w:r>
                </w:p>
              </w:tc>
              <w:tc>
                <w:tcPr>
                  <w:tcW w:w="2293" w:type="dxa"/>
                </w:tcPr>
                <w:p>
                  <w:pPr>
                    <w:snapToGrid w:val="0"/>
                    <w:spacing w:before="100" w:beforeAutospacing="1" w:after="100" w:afterAutospacing="1" w:line="276" w:lineRule="auto"/>
                    <w:ind w:firstLine="480"/>
                    <w:jc w:val="center"/>
                    <w:rPr>
                      <w:rFonts w:ascii="宋体" w:hAnsi="宋体" w:cs="宋体"/>
                      <w:color w:val="auto"/>
                    </w:rPr>
                  </w:pPr>
                  <w:r>
                    <w:rPr>
                      <w:rFonts w:hint="eastAsia" w:ascii="宋体" w:hAnsi="宋体" w:cs="宋体"/>
                      <w:color w:val="auto"/>
                    </w:rPr>
                    <w:t>0.45%</w:t>
                  </w:r>
                </w:p>
              </w:tc>
            </w:tr>
          </w:tbl>
          <w:p>
            <w:pPr>
              <w:snapToGrid w:val="0"/>
              <w:ind w:firstLine="0" w:firstLineChars="0"/>
              <w:rPr>
                <w:rFonts w:ascii="宋体" w:hAnsi="宋体" w:cs="宋体"/>
                <w:color w:val="auto"/>
                <w:szCs w:val="24"/>
              </w:rPr>
            </w:pPr>
            <w:r>
              <w:rPr>
                <w:rFonts w:hint="eastAsia" w:ascii="宋体" w:hAnsi="宋体" w:cs="宋体"/>
                <w:color w:val="auto"/>
              </w:rPr>
              <w:t>注：1.按本表费率计算的收费为招标代理服务全过程的收费基准价格；2.招标代理服务收费按差额定率累进法计算。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10" w:type="dxa"/>
            <w:vMerge w:val="continue"/>
            <w:tcBorders>
              <w:right w:val="single" w:color="auto" w:sz="4" w:space="0"/>
            </w:tcBorders>
            <w:vAlign w:val="center"/>
          </w:tcPr>
          <w:p>
            <w:pPr>
              <w:snapToGrid w:val="0"/>
              <w:ind w:firstLine="0" w:firstLineChars="0"/>
              <w:jc w:val="center"/>
              <w:rPr>
                <w:rFonts w:ascii="宋体" w:hAnsi="宋体" w:cs="宋体"/>
                <w:color w:val="000000"/>
                <w:szCs w:val="24"/>
              </w:rPr>
            </w:pPr>
          </w:p>
        </w:tc>
        <w:tc>
          <w:tcPr>
            <w:tcW w:w="1951" w:type="dxa"/>
            <w:vMerge w:val="continue"/>
            <w:tcBorders>
              <w:left w:val="single" w:color="auto" w:sz="4" w:space="0"/>
              <w:right w:val="single" w:color="auto" w:sz="4" w:space="0"/>
            </w:tcBorders>
            <w:vAlign w:val="center"/>
          </w:tcPr>
          <w:p>
            <w:pPr>
              <w:snapToGrid w:val="0"/>
              <w:ind w:firstLine="0" w:firstLineChars="0"/>
              <w:rPr>
                <w:rFonts w:ascii="宋体" w:hAnsi="宋体" w:cs="宋体"/>
                <w:szCs w:val="24"/>
              </w:rPr>
            </w:pPr>
          </w:p>
        </w:tc>
        <w:tc>
          <w:tcPr>
            <w:tcW w:w="7143" w:type="dxa"/>
            <w:tcBorders>
              <w:top w:val="single" w:color="auto" w:sz="4" w:space="0"/>
              <w:left w:val="single" w:color="auto" w:sz="4" w:space="0"/>
              <w:bottom w:val="single" w:color="auto" w:sz="4" w:space="0"/>
            </w:tcBorders>
            <w:vAlign w:val="center"/>
          </w:tcPr>
          <w:p>
            <w:pPr>
              <w:spacing w:line="293" w:lineRule="auto"/>
              <w:ind w:firstLine="0" w:firstLineChars="0"/>
              <w:contextualSpacing/>
              <w:rPr>
                <w:rFonts w:ascii="宋体" w:hAnsi="宋体" w:cs="宋体"/>
                <w:szCs w:val="24"/>
              </w:rPr>
            </w:pPr>
            <w:r>
              <w:rPr>
                <w:rFonts w:hint="eastAsia" w:ascii="宋体" w:hAnsi="宋体" w:cs="宋体"/>
                <w:szCs w:val="24"/>
              </w:rPr>
              <w:t>代理费交纳方式：可以是汇款或转账形式；</w:t>
            </w:r>
          </w:p>
          <w:p>
            <w:pPr>
              <w:spacing w:line="293" w:lineRule="auto"/>
              <w:ind w:firstLine="0" w:firstLineChars="0"/>
              <w:contextualSpacing/>
              <w:rPr>
                <w:rFonts w:ascii="宋体" w:hAnsi="宋体" w:cs="宋体"/>
                <w:szCs w:val="24"/>
              </w:rPr>
            </w:pPr>
            <w:r>
              <w:rPr>
                <w:rFonts w:hint="eastAsia" w:ascii="宋体" w:hAnsi="宋体" w:cs="宋体"/>
                <w:szCs w:val="24"/>
              </w:rPr>
              <w:t>收款人名称：嘉兴市宏泽招标咨询有限公司；</w:t>
            </w:r>
          </w:p>
          <w:p>
            <w:pPr>
              <w:spacing w:line="293" w:lineRule="auto"/>
              <w:ind w:firstLine="0" w:firstLineChars="0"/>
              <w:contextualSpacing/>
              <w:rPr>
                <w:rFonts w:ascii="宋体" w:hAnsi="宋体" w:cs="宋体"/>
                <w:szCs w:val="24"/>
              </w:rPr>
            </w:pPr>
            <w:r>
              <w:rPr>
                <w:rFonts w:hint="eastAsia" w:ascii="宋体" w:hAnsi="宋体" w:cs="宋体"/>
                <w:szCs w:val="24"/>
              </w:rPr>
              <w:t>开户银行：农业银行</w:t>
            </w:r>
            <w:r>
              <w:rPr>
                <w:rFonts w:ascii="宋体" w:hAnsi="宋体" w:cs="宋体"/>
                <w:szCs w:val="24"/>
              </w:rPr>
              <w:t>嘉善魏塘支行</w:t>
            </w:r>
            <w:r>
              <w:rPr>
                <w:rFonts w:hint="eastAsia" w:ascii="宋体" w:hAnsi="宋体" w:cs="宋体"/>
                <w:szCs w:val="24"/>
              </w:rPr>
              <w:t>；</w:t>
            </w:r>
          </w:p>
          <w:p>
            <w:pPr>
              <w:spacing w:line="293" w:lineRule="auto"/>
              <w:ind w:firstLine="0" w:firstLineChars="0"/>
              <w:contextualSpacing/>
              <w:rPr>
                <w:rFonts w:ascii="宋体" w:hAnsi="宋体" w:cs="宋体"/>
                <w:szCs w:val="24"/>
              </w:rPr>
            </w:pPr>
            <w:r>
              <w:rPr>
                <w:rFonts w:hint="eastAsia" w:ascii="宋体" w:hAnsi="宋体" w:cs="宋体"/>
                <w:szCs w:val="24"/>
              </w:rPr>
              <w:t>银行账号：</w:t>
            </w:r>
            <w:r>
              <w:rPr>
                <w:rFonts w:ascii="宋体" w:hAnsi="宋体" w:cs="宋体"/>
                <w:szCs w:val="24"/>
              </w:rPr>
              <w:t>19331101040012250</w:t>
            </w:r>
            <w:r>
              <w:rPr>
                <w:rFonts w:hint="eastAsia" w:ascii="宋体" w:hAnsi="宋体" w:cs="宋体"/>
                <w:szCs w:val="24"/>
              </w:rPr>
              <w:t>。</w:t>
            </w:r>
          </w:p>
          <w:p>
            <w:pPr>
              <w:snapToGrid w:val="0"/>
              <w:ind w:firstLine="0" w:firstLineChars="0"/>
              <w:rPr>
                <w:rFonts w:ascii="宋体" w:hAnsi="宋体" w:cs="宋体"/>
              </w:rPr>
            </w:pPr>
            <w:r>
              <w:rPr>
                <w:rFonts w:hint="eastAsia" w:ascii="宋体" w:hAnsi="宋体" w:cs="宋体"/>
                <w:szCs w:val="24"/>
              </w:rPr>
              <w:t>注：请注明款项用途及项目名称，以便收款人确认。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710"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17</w:t>
            </w:r>
          </w:p>
        </w:tc>
        <w:tc>
          <w:tcPr>
            <w:tcW w:w="1951"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rPr>
                <w:rFonts w:ascii="宋体" w:hAnsi="宋体" w:cs="宋体"/>
                <w:color w:val="000000"/>
                <w:szCs w:val="24"/>
              </w:rPr>
            </w:pPr>
            <w:r>
              <w:rPr>
                <w:rFonts w:hint="eastAsia" w:ascii="宋体" w:hAnsi="宋体" w:cs="宋体"/>
                <w:color w:val="000000"/>
                <w:szCs w:val="24"/>
              </w:rPr>
              <w:t>投标文件有效期</w:t>
            </w:r>
          </w:p>
        </w:tc>
        <w:tc>
          <w:tcPr>
            <w:tcW w:w="7143" w:type="dxa"/>
            <w:tcBorders>
              <w:top w:val="single" w:color="auto" w:sz="4" w:space="0"/>
              <w:left w:val="single" w:color="auto" w:sz="4" w:space="0"/>
              <w:bottom w:val="single" w:color="auto" w:sz="4" w:space="0"/>
            </w:tcBorders>
            <w:vAlign w:val="center"/>
          </w:tcPr>
          <w:p>
            <w:pPr>
              <w:snapToGrid w:val="0"/>
              <w:ind w:firstLine="0" w:firstLineChars="0"/>
              <w:rPr>
                <w:rFonts w:ascii="宋体" w:hAnsi="宋体" w:cs="宋体"/>
                <w:color w:val="000000"/>
                <w:szCs w:val="24"/>
              </w:rPr>
            </w:pPr>
            <w:r>
              <w:rPr>
                <w:rFonts w:hint="eastAsia" w:ascii="宋体" w:hAnsi="宋体" w:cs="宋体"/>
                <w:b/>
                <w:bCs/>
                <w:color w:val="000000"/>
                <w:szCs w:val="24"/>
                <w:u w:val="single"/>
              </w:rPr>
              <w:t>90</w:t>
            </w:r>
            <w:r>
              <w:rPr>
                <w:rFonts w:hint="eastAsia" w:ascii="宋体" w:hAnsi="宋体" w:cs="宋体"/>
                <w:color w:val="000000"/>
                <w:szCs w:val="24"/>
              </w:rPr>
              <w:t xml:space="preserve"> 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710"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18</w:t>
            </w:r>
          </w:p>
        </w:tc>
        <w:tc>
          <w:tcPr>
            <w:tcW w:w="1951"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firstLine="0" w:firstLineChars="0"/>
              <w:contextualSpacing/>
              <w:rPr>
                <w:rFonts w:ascii="宋体" w:hAnsi="宋体" w:cs="宋体"/>
                <w:color w:val="000000"/>
                <w:szCs w:val="24"/>
              </w:rPr>
            </w:pPr>
            <w:r>
              <w:rPr>
                <w:rFonts w:hint="eastAsia" w:ascii="宋体" w:hAnsi="宋体" w:cs="宋体"/>
                <w:color w:val="000000"/>
                <w:szCs w:val="24"/>
              </w:rPr>
              <w:t>注册及招标文件的获取</w:t>
            </w:r>
          </w:p>
        </w:tc>
        <w:tc>
          <w:tcPr>
            <w:tcW w:w="7143" w:type="dxa"/>
            <w:tcBorders>
              <w:top w:val="single" w:color="auto" w:sz="4" w:space="0"/>
              <w:left w:val="single" w:color="auto" w:sz="4" w:space="0"/>
              <w:bottom w:val="single" w:color="auto" w:sz="4" w:space="0"/>
            </w:tcBorders>
            <w:vAlign w:val="center"/>
          </w:tcPr>
          <w:p>
            <w:pPr>
              <w:snapToGrid w:val="0"/>
              <w:spacing w:line="300" w:lineRule="auto"/>
              <w:ind w:firstLine="0" w:firstLineChars="0"/>
              <w:contextualSpacing/>
              <w:rPr>
                <w:rFonts w:ascii="宋体" w:hAnsi="宋体" w:cs="宋体"/>
                <w:b/>
                <w:bCs/>
                <w:color w:val="000000"/>
                <w:szCs w:val="24"/>
                <w:u w:val="single"/>
              </w:rPr>
            </w:pPr>
            <w:r>
              <w:rPr>
                <w:rFonts w:hint="eastAsia" w:ascii="宋体" w:hAnsi="宋体" w:cs="宋体"/>
                <w:bCs/>
              </w:rPr>
              <w:t>详见第一章</w:t>
            </w:r>
            <w:r>
              <w:rPr>
                <w:rFonts w:hint="eastAsia" w:ascii="宋体" w:hAnsi="宋体" w:cs="宋体"/>
                <w:szCs w:val="24"/>
              </w:rPr>
              <w:t>《招标采购公告》第三条规定。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710"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19</w:t>
            </w:r>
          </w:p>
        </w:tc>
        <w:tc>
          <w:tcPr>
            <w:tcW w:w="1951"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firstLine="0" w:firstLineChars="0"/>
              <w:contextualSpacing/>
              <w:rPr>
                <w:rFonts w:ascii="宋体" w:hAnsi="宋体" w:cs="宋体"/>
                <w:color w:val="000000"/>
                <w:szCs w:val="24"/>
              </w:rPr>
            </w:pPr>
            <w:r>
              <w:rPr>
                <w:rFonts w:hint="eastAsia" w:ascii="宋体" w:hAnsi="宋体" w:cs="宋体"/>
                <w:color w:val="000000"/>
                <w:szCs w:val="24"/>
              </w:rPr>
              <w:t>信用记录</w:t>
            </w:r>
          </w:p>
        </w:tc>
        <w:tc>
          <w:tcPr>
            <w:tcW w:w="7143" w:type="dxa"/>
            <w:tcBorders>
              <w:top w:val="single" w:color="auto" w:sz="4" w:space="0"/>
              <w:left w:val="single" w:color="auto" w:sz="4" w:space="0"/>
              <w:bottom w:val="single" w:color="auto" w:sz="4" w:space="0"/>
            </w:tcBorders>
            <w:vAlign w:val="center"/>
          </w:tcPr>
          <w:p>
            <w:pPr>
              <w:snapToGrid w:val="0"/>
              <w:spacing w:line="300" w:lineRule="auto"/>
              <w:ind w:firstLine="0" w:firstLineChars="0"/>
              <w:contextualSpacing/>
              <w:rPr>
                <w:rFonts w:ascii="宋体" w:hAnsi="宋体" w:cs="宋体"/>
                <w:bCs/>
              </w:rPr>
            </w:pPr>
            <w:r>
              <w:rPr>
                <w:rFonts w:hint="eastAsia" w:ascii="宋体" w:hAnsi="宋体" w:cs="宋体"/>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10"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20</w:t>
            </w:r>
          </w:p>
        </w:tc>
        <w:tc>
          <w:tcPr>
            <w:tcW w:w="1951"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rPr>
                <w:rFonts w:ascii="宋体" w:hAnsi="宋体" w:cs="宋体"/>
                <w:color w:val="000000"/>
                <w:szCs w:val="24"/>
              </w:rPr>
            </w:pPr>
            <w:r>
              <w:rPr>
                <w:rFonts w:hint="eastAsia" w:ascii="宋体" w:hAnsi="宋体" w:cs="宋体"/>
                <w:color w:val="000000"/>
                <w:szCs w:val="24"/>
              </w:rPr>
              <w:t>解释</w:t>
            </w:r>
          </w:p>
        </w:tc>
        <w:tc>
          <w:tcPr>
            <w:tcW w:w="7143" w:type="dxa"/>
            <w:tcBorders>
              <w:top w:val="single" w:color="auto" w:sz="4" w:space="0"/>
              <w:left w:val="single" w:color="auto" w:sz="4" w:space="0"/>
              <w:bottom w:val="single" w:color="auto" w:sz="4" w:space="0"/>
            </w:tcBorders>
            <w:vAlign w:val="center"/>
          </w:tcPr>
          <w:p>
            <w:pPr>
              <w:snapToGrid w:val="0"/>
              <w:ind w:firstLine="0" w:firstLineChars="0"/>
              <w:rPr>
                <w:rFonts w:ascii="宋体" w:hAnsi="宋体" w:cs="宋体"/>
                <w:color w:val="000000"/>
                <w:szCs w:val="24"/>
              </w:rPr>
            </w:pPr>
            <w:r>
              <w:rPr>
                <w:rFonts w:hint="eastAsia" w:ascii="宋体" w:hAnsi="宋体" w:cs="宋体"/>
                <w:color w:val="000000"/>
                <w:szCs w:val="24"/>
              </w:rPr>
              <w:t>本采购文件的解释权属于招标采购单位。</w:t>
            </w:r>
          </w:p>
        </w:tc>
      </w:tr>
    </w:tbl>
    <w:p>
      <w:pPr>
        <w:pStyle w:val="6"/>
        <w:spacing w:before="0" w:after="0" w:line="300" w:lineRule="auto"/>
        <w:ind w:firstLine="643"/>
        <w:jc w:val="center"/>
        <w:rPr>
          <w:rFonts w:ascii="宋体" w:hAnsi="宋体" w:cs="宋体"/>
        </w:rPr>
      </w:pPr>
      <w:r>
        <w:rPr>
          <w:rFonts w:hint="eastAsia" w:ascii="宋体" w:hAnsi="宋体" w:cs="宋体"/>
          <w:color w:val="000000"/>
        </w:rPr>
        <w:br w:type="page"/>
      </w:r>
      <w:r>
        <w:rPr>
          <w:rFonts w:hint="eastAsia" w:ascii="宋体" w:hAnsi="宋体" w:cs="宋体"/>
          <w:color w:val="000000"/>
        </w:rPr>
        <w:t xml:space="preserve"> </w:t>
      </w:r>
      <w:bookmarkStart w:id="74" w:name="_Toc29258"/>
      <w:r>
        <w:rPr>
          <w:rFonts w:hint="eastAsia" w:ascii="宋体" w:hAnsi="宋体" w:cs="宋体"/>
        </w:rPr>
        <w:t>二、总  则</w:t>
      </w:r>
      <w:bookmarkEnd w:id="74"/>
    </w:p>
    <w:p>
      <w:pPr>
        <w:snapToGrid w:val="0"/>
        <w:spacing w:line="300" w:lineRule="auto"/>
        <w:ind w:firstLine="482"/>
        <w:rPr>
          <w:rFonts w:ascii="宋体" w:hAnsi="宋体" w:cs="宋体"/>
          <w:b/>
          <w:bCs/>
          <w:color w:val="000000"/>
        </w:rPr>
      </w:pPr>
      <w:r>
        <w:rPr>
          <w:rFonts w:hint="eastAsia" w:ascii="宋体" w:hAnsi="宋体" w:cs="宋体"/>
          <w:b/>
          <w:bCs/>
          <w:color w:val="000000"/>
        </w:rPr>
        <w:t>（一） 适用范围</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本采购文件适用于</w:t>
      </w:r>
      <w:r>
        <w:rPr>
          <w:rFonts w:hint="eastAsia" w:ascii="宋体" w:hAnsi="宋体" w:cs="宋体"/>
          <w:b/>
          <w:szCs w:val="24"/>
        </w:rPr>
        <w:t>2023年城区信号灯路口配时优化项目</w:t>
      </w:r>
      <w:r>
        <w:rPr>
          <w:rFonts w:hint="eastAsia" w:ascii="宋体" w:hAnsi="宋体" w:cs="宋体"/>
          <w:color w:val="000000"/>
          <w:szCs w:val="24"/>
        </w:rPr>
        <w:t>的招标、投标、评标、定标、验收、合同履约、付款等（法律、法规另有规定的，从其规定）。</w:t>
      </w:r>
    </w:p>
    <w:p>
      <w:pPr>
        <w:snapToGrid w:val="0"/>
        <w:spacing w:line="300" w:lineRule="auto"/>
        <w:ind w:firstLine="482"/>
        <w:rPr>
          <w:rFonts w:ascii="宋体" w:hAnsi="宋体" w:cs="宋体"/>
          <w:b/>
          <w:bCs/>
          <w:color w:val="000000"/>
        </w:rPr>
      </w:pPr>
      <w:r>
        <w:rPr>
          <w:rFonts w:hint="eastAsia" w:ascii="宋体" w:hAnsi="宋体" w:cs="宋体"/>
          <w:b/>
          <w:bCs/>
          <w:color w:val="000000"/>
        </w:rPr>
        <w:t>（二）定义</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1．招标采购单位系指</w:t>
      </w:r>
      <w:r>
        <w:rPr>
          <w:rFonts w:hint="eastAsia" w:ascii="宋体" w:hAnsi="宋体" w:cs="宋体"/>
        </w:rPr>
        <w:t>嘉善县公安局交通警察大队</w:t>
      </w:r>
      <w:r>
        <w:rPr>
          <w:rFonts w:hint="eastAsia" w:ascii="宋体" w:hAnsi="宋体" w:cs="宋体"/>
          <w:color w:val="000000"/>
          <w:szCs w:val="24"/>
        </w:rPr>
        <w:t>。</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2．代理机构系指嘉兴市宏泽招标咨询有限公司。</w:t>
      </w:r>
    </w:p>
    <w:p>
      <w:pPr>
        <w:snapToGrid w:val="0"/>
        <w:spacing w:line="300" w:lineRule="auto"/>
        <w:ind w:firstLine="480"/>
        <w:rPr>
          <w:rFonts w:ascii="宋体" w:hAnsi="宋体" w:cs="宋体"/>
          <w:szCs w:val="24"/>
        </w:rPr>
      </w:pPr>
      <w:r>
        <w:rPr>
          <w:rFonts w:hint="eastAsia" w:ascii="宋体" w:hAnsi="宋体" w:cs="宋体"/>
          <w:szCs w:val="24"/>
        </w:rPr>
        <w:t>3．“投标人”系指向招标方提交投标文件的单位。</w:t>
      </w:r>
    </w:p>
    <w:p>
      <w:pPr>
        <w:snapToGrid w:val="0"/>
        <w:spacing w:line="300" w:lineRule="auto"/>
        <w:ind w:firstLine="480"/>
        <w:rPr>
          <w:rFonts w:ascii="宋体" w:hAnsi="宋体" w:cs="宋体"/>
          <w:color w:val="000000"/>
        </w:rPr>
      </w:pPr>
      <w:r>
        <w:rPr>
          <w:rFonts w:hint="eastAsia" w:ascii="宋体" w:hAnsi="宋体" w:cs="宋体"/>
        </w:rPr>
        <w:t>4．“产品”系指供方按招标文件规定，</w:t>
      </w:r>
      <w:r>
        <w:rPr>
          <w:rFonts w:hint="eastAsia" w:ascii="宋体" w:hAnsi="宋体" w:cs="宋体"/>
          <w:color w:val="000000"/>
        </w:rPr>
        <w:t>须向采购人提供的一切设备、保险、税金、备品备件、工具、手册及其它有关技术资料和材料。</w:t>
      </w:r>
    </w:p>
    <w:p>
      <w:pPr>
        <w:snapToGrid w:val="0"/>
        <w:spacing w:line="300" w:lineRule="auto"/>
        <w:ind w:firstLine="480"/>
        <w:rPr>
          <w:rFonts w:ascii="宋体" w:hAnsi="宋体" w:cs="宋体"/>
          <w:szCs w:val="20"/>
        </w:rPr>
      </w:pPr>
      <w:r>
        <w:rPr>
          <w:rFonts w:hint="eastAsia" w:ascii="宋体" w:hAnsi="宋体" w:cs="宋体"/>
        </w:rPr>
        <w:t>5．“服务”系指招标文件规定投标人须承担的</w:t>
      </w:r>
      <w:r>
        <w:rPr>
          <w:rFonts w:hint="eastAsia" w:ascii="宋体" w:hAnsi="宋体" w:cs="宋体"/>
          <w:color w:val="000000"/>
        </w:rPr>
        <w:t>安装、调试、技术协助、校准、培训、技术指导以及其他类似的义务。</w:t>
      </w:r>
    </w:p>
    <w:p>
      <w:pPr>
        <w:snapToGrid w:val="0"/>
        <w:spacing w:line="300" w:lineRule="auto"/>
        <w:ind w:firstLine="480"/>
        <w:rPr>
          <w:rFonts w:ascii="宋体" w:hAnsi="宋体" w:cs="宋体"/>
          <w:color w:val="000000"/>
          <w:szCs w:val="20"/>
        </w:rPr>
      </w:pPr>
      <w:r>
        <w:rPr>
          <w:rFonts w:hint="eastAsia" w:ascii="宋体" w:hAnsi="宋体" w:cs="宋体"/>
          <w:color w:val="000000"/>
        </w:rPr>
        <w:t>6．“项目”系指投标人按招标文件规定向采购人提供的产品和服务。</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7．“书面形式”包括信函、传真、电报等。</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8．“▲”系指实质性要求条款。</w:t>
      </w:r>
    </w:p>
    <w:p>
      <w:pPr>
        <w:snapToGrid w:val="0"/>
        <w:spacing w:line="300" w:lineRule="auto"/>
        <w:ind w:firstLine="482"/>
        <w:rPr>
          <w:rFonts w:ascii="宋体" w:hAnsi="宋体" w:cs="宋体"/>
          <w:b/>
          <w:bCs/>
          <w:color w:val="000000"/>
        </w:rPr>
      </w:pPr>
      <w:r>
        <w:rPr>
          <w:rFonts w:hint="eastAsia" w:ascii="宋体" w:hAnsi="宋体" w:cs="宋体"/>
          <w:b/>
          <w:bCs/>
          <w:color w:val="000000"/>
        </w:rPr>
        <w:t>（三）招标方式</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本次招标采用</w:t>
      </w:r>
      <w:r>
        <w:rPr>
          <w:rFonts w:hint="eastAsia" w:ascii="宋体" w:hAnsi="宋体" w:cs="宋体"/>
          <w:b/>
          <w:bCs/>
          <w:color w:val="000000"/>
          <w:szCs w:val="24"/>
        </w:rPr>
        <w:t>公开招标</w:t>
      </w:r>
      <w:r>
        <w:rPr>
          <w:rFonts w:hint="eastAsia" w:ascii="宋体" w:hAnsi="宋体" w:cs="宋体"/>
          <w:color w:val="000000"/>
          <w:szCs w:val="24"/>
        </w:rPr>
        <w:t>方式进行。</w:t>
      </w:r>
    </w:p>
    <w:p>
      <w:pPr>
        <w:snapToGrid w:val="0"/>
        <w:spacing w:line="300" w:lineRule="auto"/>
        <w:ind w:firstLine="482"/>
        <w:rPr>
          <w:rFonts w:ascii="宋体" w:hAnsi="宋体" w:cs="宋体"/>
          <w:b/>
          <w:bCs/>
          <w:color w:val="000000"/>
        </w:rPr>
      </w:pPr>
      <w:r>
        <w:rPr>
          <w:rFonts w:hint="eastAsia" w:ascii="宋体" w:hAnsi="宋体" w:cs="宋体"/>
          <w:b/>
          <w:bCs/>
          <w:color w:val="000000"/>
        </w:rPr>
        <w:t>（四）投标委托</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如投标人代表不是法定代表人，须有法定代表人出具的授权委托书。（格式见第六章）。</w:t>
      </w:r>
    </w:p>
    <w:p>
      <w:pPr>
        <w:snapToGrid w:val="0"/>
        <w:spacing w:line="300" w:lineRule="auto"/>
        <w:ind w:firstLine="482"/>
        <w:rPr>
          <w:rFonts w:ascii="宋体" w:hAnsi="宋体" w:cs="宋体"/>
          <w:b/>
          <w:bCs/>
          <w:color w:val="000000"/>
        </w:rPr>
      </w:pPr>
      <w:r>
        <w:rPr>
          <w:rFonts w:hint="eastAsia" w:ascii="宋体" w:hAnsi="宋体" w:cs="宋体"/>
          <w:b/>
          <w:bCs/>
          <w:color w:val="000000"/>
        </w:rPr>
        <w:t>（五）投标费用</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不论投标结果如何，投标人均应自行承担所有与投标有关的全部费用。</w:t>
      </w:r>
    </w:p>
    <w:p>
      <w:pPr>
        <w:snapToGrid w:val="0"/>
        <w:spacing w:line="300" w:lineRule="auto"/>
        <w:ind w:firstLine="482"/>
        <w:rPr>
          <w:rFonts w:ascii="宋体" w:hAnsi="宋体" w:cs="宋体"/>
          <w:b/>
          <w:bCs/>
          <w:color w:val="000000"/>
        </w:rPr>
      </w:pPr>
      <w:r>
        <w:rPr>
          <w:rFonts w:hint="eastAsia" w:ascii="宋体" w:hAnsi="宋体" w:cs="宋体"/>
          <w:b/>
          <w:bCs/>
          <w:color w:val="000000"/>
        </w:rPr>
        <w:t>（六）联合体投标</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▲本项目不接受联合体投标。</w:t>
      </w:r>
    </w:p>
    <w:p>
      <w:pPr>
        <w:snapToGrid w:val="0"/>
        <w:ind w:firstLine="472" w:firstLineChars="196"/>
        <w:rPr>
          <w:rFonts w:ascii="宋体" w:hAnsi="宋体" w:cs="宋体"/>
          <w:b/>
          <w:kern w:val="0"/>
          <w:szCs w:val="20"/>
        </w:rPr>
      </w:pPr>
      <w:r>
        <w:rPr>
          <w:rFonts w:hint="eastAsia" w:ascii="宋体" w:hAnsi="宋体" w:cs="宋体"/>
          <w:b/>
          <w:bCs/>
        </w:rPr>
        <w:t>（七）</w:t>
      </w:r>
      <w:r>
        <w:rPr>
          <w:rFonts w:hint="eastAsia" w:ascii="宋体" w:hAnsi="宋体" w:cs="宋体"/>
          <w:b/>
          <w:kern w:val="0"/>
        </w:rPr>
        <w:t>转包与分包</w:t>
      </w:r>
    </w:p>
    <w:p>
      <w:pPr>
        <w:snapToGrid w:val="0"/>
        <w:spacing w:line="300" w:lineRule="auto"/>
        <w:ind w:firstLine="480"/>
        <w:contextualSpacing/>
        <w:rPr>
          <w:rFonts w:ascii="宋体" w:hAnsi="宋体" w:cs="宋体"/>
          <w:kern w:val="0"/>
          <w:szCs w:val="24"/>
        </w:rPr>
      </w:pPr>
      <w:r>
        <w:rPr>
          <w:rFonts w:hint="eastAsia" w:ascii="宋体" w:hAnsi="宋体" w:cs="宋体"/>
          <w:kern w:val="0"/>
        </w:rPr>
        <w:t>本项目不允许转包，若要分包须征得采购人书面同意</w:t>
      </w:r>
      <w:r>
        <w:rPr>
          <w:rFonts w:hint="eastAsia" w:ascii="宋体" w:hAnsi="宋体" w:cs="宋体"/>
          <w:kern w:val="0"/>
          <w:szCs w:val="24"/>
        </w:rPr>
        <w:t>。</w:t>
      </w:r>
    </w:p>
    <w:p>
      <w:pPr>
        <w:snapToGrid w:val="0"/>
        <w:spacing w:line="300" w:lineRule="auto"/>
        <w:ind w:firstLine="482"/>
        <w:rPr>
          <w:rFonts w:ascii="宋体" w:hAnsi="宋体" w:cs="宋体"/>
          <w:b/>
          <w:bCs/>
          <w:color w:val="000000"/>
        </w:rPr>
      </w:pPr>
      <w:r>
        <w:rPr>
          <w:rFonts w:hint="eastAsia" w:ascii="宋体" w:hAnsi="宋体" w:cs="宋体"/>
          <w:b/>
          <w:bCs/>
          <w:color w:val="000000"/>
        </w:rPr>
        <w:t>（八）特别说明：</w:t>
      </w:r>
    </w:p>
    <w:p>
      <w:pPr>
        <w:pStyle w:val="18"/>
        <w:snapToGrid w:val="0"/>
        <w:spacing w:beforeLines="0" w:afterLines="0" w:line="360" w:lineRule="auto"/>
        <w:ind w:left="2" w:leftChars="1" w:firstLine="480"/>
        <w:rPr>
          <w:rFonts w:hAnsi="宋体" w:cs="宋体"/>
          <w:color w:val="000000"/>
          <w:sz w:val="24"/>
          <w:szCs w:val="24"/>
        </w:rPr>
      </w:pPr>
      <w:r>
        <w:rPr>
          <w:rFonts w:hint="eastAsia" w:hAnsi="宋体" w:cs="宋体"/>
          <w:color w:val="000000"/>
          <w:sz w:val="24"/>
          <w:szCs w:val="24"/>
        </w:rPr>
        <w:t>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18"/>
        <w:snapToGrid w:val="0"/>
        <w:spacing w:beforeLines="0" w:afterLines="0" w:line="360" w:lineRule="auto"/>
        <w:ind w:left="2" w:leftChars="1" w:firstLine="480"/>
        <w:rPr>
          <w:rFonts w:hAnsi="宋体" w:cs="宋体"/>
          <w:color w:val="000000"/>
          <w:sz w:val="24"/>
          <w:szCs w:val="24"/>
        </w:rPr>
      </w:pPr>
      <w:r>
        <w:rPr>
          <w:rFonts w:hint="eastAsia" w:hAnsi="宋体" w:cs="宋体"/>
          <w:color w:val="000000"/>
          <w:sz w:val="24"/>
          <w:szCs w:val="24"/>
        </w:rPr>
        <w:t>使用综合评分法的采购项目，提供相同品牌产品且通过资格审查、符合性审查的不同投标人参加同一合同项下投标的，按一家投标人计算，评审后得分最高的同品牌投标人获得中标供应商推荐资格；评审得分相同的，由采购人或者采购人委托评标委员会按照招标文件规定的方式确定一个投标人获得中标供应商推荐资格，招标文件未规定的采取随机抽取方式确定，其他同品牌投标人不作为中标候选人。</w:t>
      </w:r>
    </w:p>
    <w:p>
      <w:pPr>
        <w:pStyle w:val="18"/>
        <w:snapToGrid w:val="0"/>
        <w:spacing w:beforeLines="0" w:afterLines="0" w:line="360" w:lineRule="auto"/>
        <w:ind w:left="2" w:leftChars="1" w:firstLine="480"/>
        <w:rPr>
          <w:rFonts w:hAnsi="宋体" w:cs="宋体"/>
          <w:color w:val="FF0000"/>
          <w:sz w:val="24"/>
          <w:szCs w:val="24"/>
        </w:rPr>
      </w:pPr>
      <w:r>
        <w:rPr>
          <w:rFonts w:hint="eastAsia" w:hAnsi="宋体" w:cs="宋体"/>
          <w:color w:val="000000"/>
          <w:sz w:val="24"/>
          <w:szCs w:val="24"/>
        </w:rPr>
        <w:t>非单一产品采购项目，采购人应当根据采购项目技术构成、产品价格比重等合理确定核心产品，并在招标文件中载明。多家投标人提供的核心产品品牌相同的，按前两款规定处理。</w:t>
      </w:r>
    </w:p>
    <w:p>
      <w:pPr>
        <w:snapToGrid w:val="0"/>
        <w:spacing w:line="300" w:lineRule="auto"/>
        <w:ind w:firstLine="480"/>
        <w:rPr>
          <w:rFonts w:ascii="宋体" w:hAnsi="宋体" w:cs="宋体"/>
          <w:color w:val="000000"/>
          <w:kern w:val="0"/>
          <w:szCs w:val="24"/>
        </w:rPr>
      </w:pPr>
      <w:r>
        <w:rPr>
          <w:rFonts w:hint="eastAsia" w:ascii="宋体" w:hAnsi="宋体" w:cs="宋体"/>
          <w:color w:val="000000"/>
          <w:kern w:val="0"/>
          <w:szCs w:val="24"/>
        </w:rPr>
        <w:t>2．投标人投标所使用的资格、信誉、荣誉、业绩与企业认证必须为本法人所拥有。投标人投标所使用的采购项目实施人员</w:t>
      </w:r>
      <w:r>
        <w:rPr>
          <w:rFonts w:hint="eastAsia" w:ascii="宋体" w:hAnsi="宋体" w:cs="宋体"/>
          <w:color w:val="000000"/>
          <w:szCs w:val="24"/>
        </w:rPr>
        <w:t>必须为本法人员工（或必须为本法人或控股公司正式员工）。</w:t>
      </w:r>
    </w:p>
    <w:p>
      <w:pPr>
        <w:snapToGrid w:val="0"/>
        <w:spacing w:line="300" w:lineRule="auto"/>
        <w:ind w:firstLine="480"/>
        <w:rPr>
          <w:rFonts w:ascii="宋体" w:hAnsi="宋体" w:cs="宋体"/>
          <w:color w:val="000000"/>
          <w:kern w:val="0"/>
          <w:szCs w:val="24"/>
        </w:rPr>
      </w:pPr>
      <w:r>
        <w:rPr>
          <w:rFonts w:hint="eastAsia" w:ascii="宋体" w:hAnsi="宋体" w:cs="宋体"/>
          <w:color w:val="000000"/>
          <w:kern w:val="0"/>
          <w:szCs w:val="24"/>
        </w:rPr>
        <w:t>3．投标人应仔细阅读招标文件的所有内容，按照招标文件的要求提交投标文件，并对所提供的全部资料的真实性承担法律责任。</w:t>
      </w:r>
    </w:p>
    <w:p>
      <w:pPr>
        <w:adjustRightInd w:val="0"/>
        <w:snapToGrid w:val="0"/>
        <w:spacing w:line="300" w:lineRule="auto"/>
        <w:ind w:firstLine="480"/>
        <w:rPr>
          <w:rFonts w:ascii="仿宋_GB2312" w:hAnsi="宋体" w:cs="宋体"/>
          <w:kern w:val="0"/>
        </w:rPr>
      </w:pPr>
      <w:r>
        <w:rPr>
          <w:rFonts w:hint="eastAsia" w:ascii="宋体" w:hAnsi="宋体" w:cs="宋体"/>
          <w:color w:val="000000"/>
          <w:kern w:val="0"/>
          <w:szCs w:val="24"/>
        </w:rPr>
        <w:t>4．投标人在投标活动中提供任何虚假材料，其投标无效，并报监管部门查处；中标后发现的，中标供应商须依照《中华人民共和国消费者权益保护法》</w:t>
      </w:r>
      <w:r>
        <w:rPr>
          <w:rFonts w:ascii="宋体" w:hAnsi="宋体" w:cs="宋体"/>
          <w:kern w:val="0"/>
        </w:rPr>
        <w:t>第55条之规定赔偿采购人</w:t>
      </w:r>
      <w:r>
        <w:rPr>
          <w:rFonts w:hint="eastAsia" w:ascii="宋体" w:hAnsi="宋体" w:cs="宋体"/>
          <w:kern w:val="0"/>
        </w:rPr>
        <w:t>，</w:t>
      </w:r>
      <w:r>
        <w:rPr>
          <w:rFonts w:ascii="宋体" w:hAnsi="宋体" w:cs="宋体"/>
          <w:kern w:val="0"/>
        </w:rPr>
        <w:t>且民事赔偿并不免除违法</w:t>
      </w:r>
      <w:r>
        <w:rPr>
          <w:rFonts w:hint="eastAsia" w:ascii="宋体" w:hAnsi="宋体" w:cs="宋体"/>
          <w:kern w:val="0"/>
        </w:rPr>
        <w:t>供应商</w:t>
      </w:r>
      <w:r>
        <w:rPr>
          <w:rFonts w:ascii="宋体" w:hAnsi="宋体" w:cs="宋体"/>
          <w:kern w:val="0"/>
        </w:rPr>
        <w:t>的行政与刑事责任。</w:t>
      </w:r>
    </w:p>
    <w:p>
      <w:pPr>
        <w:pStyle w:val="18"/>
        <w:snapToGrid w:val="0"/>
        <w:spacing w:beforeLines="0" w:afterLines="0" w:line="300" w:lineRule="auto"/>
        <w:ind w:firstLine="562"/>
        <w:rPr>
          <w:rFonts w:hAnsi="宋体" w:cs="宋体"/>
          <w:b/>
          <w:bCs/>
          <w:color w:val="000000"/>
          <w:sz w:val="28"/>
          <w:szCs w:val="28"/>
        </w:rPr>
      </w:pPr>
      <w:r>
        <w:rPr>
          <w:rFonts w:hint="eastAsia" w:hAnsi="宋体" w:cs="宋体"/>
          <w:b/>
          <w:bCs/>
          <w:color w:val="000000"/>
          <w:sz w:val="28"/>
          <w:szCs w:val="28"/>
        </w:rPr>
        <w:t>（九）质疑和投诉</w:t>
      </w:r>
    </w:p>
    <w:p>
      <w:pPr>
        <w:pStyle w:val="18"/>
        <w:adjustRightInd w:val="0"/>
        <w:snapToGrid w:val="0"/>
        <w:spacing w:beforeLines="0" w:afterLines="0" w:line="300" w:lineRule="auto"/>
        <w:ind w:firstLine="480"/>
        <w:rPr>
          <w:rFonts w:hAnsi="宋体" w:cs="宋体"/>
          <w:sz w:val="24"/>
        </w:rPr>
      </w:pPr>
      <w:r>
        <w:rPr>
          <w:rFonts w:hint="eastAsia" w:hAnsi="宋体" w:cs="宋体"/>
          <w:color w:val="000000"/>
          <w:sz w:val="24"/>
        </w:rPr>
        <w:t>1．投标人认为招标文件、招标过程或中标结果使自己的合法权益受到损害的，应当在知道或者应知其权益受到损害之日起七个工作日内，以书面形式向招</w:t>
      </w:r>
      <w:r>
        <w:rPr>
          <w:rFonts w:hint="eastAsia" w:hAnsi="宋体" w:cs="宋体"/>
          <w:sz w:val="24"/>
        </w:rPr>
        <w:t>标采购单位提出质疑，并提供相应的资料，且需对质疑内容的真实性承担责任，否则，被质疑人可不予接受。</w:t>
      </w:r>
      <w:r>
        <w:rPr>
          <w:rFonts w:hAnsi="宋体" w:cs="宋体"/>
          <w:sz w:val="24"/>
        </w:rPr>
        <w:t>供应商</w:t>
      </w:r>
      <w:r>
        <w:rPr>
          <w:rFonts w:hint="eastAsia" w:hAnsi="宋体" w:cs="宋体"/>
          <w:sz w:val="24"/>
        </w:rPr>
        <w:t>应</w:t>
      </w:r>
      <w:r>
        <w:rPr>
          <w:rFonts w:hAnsi="宋体" w:cs="宋体"/>
          <w:sz w:val="24"/>
        </w:rPr>
        <w:t>在法定质疑期内一次性提出针对同一采购程序环节的质疑</w:t>
      </w:r>
      <w:r>
        <w:rPr>
          <w:rFonts w:hint="eastAsia" w:hAnsi="宋体" w:cs="宋体"/>
          <w:sz w:val="24"/>
        </w:rPr>
        <w:t>。</w:t>
      </w:r>
    </w:p>
    <w:p>
      <w:pPr>
        <w:pStyle w:val="18"/>
        <w:adjustRightInd w:val="0"/>
        <w:snapToGrid w:val="0"/>
        <w:spacing w:beforeLines="0" w:afterLines="0" w:line="300" w:lineRule="auto"/>
        <w:ind w:firstLine="480"/>
        <w:rPr>
          <w:rFonts w:hAnsi="宋体" w:cs="宋体"/>
          <w:sz w:val="24"/>
        </w:rPr>
      </w:pPr>
      <w:r>
        <w:rPr>
          <w:rFonts w:hint="eastAsia" w:hAnsi="宋体" w:cs="宋体"/>
          <w:sz w:val="24"/>
        </w:rPr>
        <w:t>对质疑期限的计算，按下列规定：</w:t>
      </w:r>
    </w:p>
    <w:p>
      <w:pPr>
        <w:pStyle w:val="18"/>
        <w:adjustRightInd w:val="0"/>
        <w:snapToGrid w:val="0"/>
        <w:spacing w:beforeLines="0" w:afterLines="0" w:line="300" w:lineRule="auto"/>
        <w:ind w:firstLine="480"/>
        <w:rPr>
          <w:rFonts w:hAnsi="宋体" w:cs="宋体"/>
          <w:color w:val="000000"/>
          <w:sz w:val="24"/>
        </w:rPr>
      </w:pPr>
      <w:r>
        <w:rPr>
          <w:rFonts w:hint="eastAsia" w:hAnsi="宋体" w:cs="宋体"/>
          <w:sz w:val="24"/>
        </w:rPr>
        <w:t>（1）投标人如认为招标公告信息使自身的合法权益受到损害的，应于自招标</w:t>
      </w:r>
      <w:r>
        <w:rPr>
          <w:rFonts w:hint="eastAsia" w:hAnsi="宋体" w:cs="宋体"/>
          <w:color w:val="000000"/>
          <w:sz w:val="24"/>
        </w:rPr>
        <w:t>公告发布之日起七个工作日内以书面形式向招标采购单位提出质疑；</w:t>
      </w:r>
    </w:p>
    <w:p>
      <w:pPr>
        <w:pStyle w:val="18"/>
        <w:adjustRightInd w:val="0"/>
        <w:snapToGrid w:val="0"/>
        <w:spacing w:beforeLines="0" w:afterLines="0" w:line="300" w:lineRule="auto"/>
        <w:ind w:firstLine="480"/>
        <w:rPr>
          <w:rFonts w:hAnsi="宋体" w:cs="宋体"/>
          <w:color w:val="000000"/>
          <w:sz w:val="24"/>
        </w:rPr>
      </w:pPr>
      <w:r>
        <w:rPr>
          <w:rFonts w:hint="eastAsia" w:hAnsi="宋体" w:cs="宋体"/>
          <w:color w:val="000000"/>
          <w:sz w:val="24"/>
        </w:rPr>
        <w:t>（2）投标人如认为招标文件使自身的合法权益受到损害的，应于自获取招标文件之日起七个工作日内以书面形式向招标采购单位提出质疑（公告期限届满后获取采购文件的，应于公告期限届满之日起七个工作日内以书面形式向招标采购单位提出）；</w:t>
      </w:r>
    </w:p>
    <w:p>
      <w:pPr>
        <w:pStyle w:val="18"/>
        <w:adjustRightInd w:val="0"/>
        <w:snapToGrid w:val="0"/>
        <w:spacing w:beforeLines="0" w:afterLines="0" w:line="300" w:lineRule="auto"/>
        <w:ind w:firstLine="480"/>
        <w:rPr>
          <w:rFonts w:hAnsi="宋体" w:cs="宋体"/>
          <w:color w:val="000000"/>
          <w:sz w:val="24"/>
        </w:rPr>
      </w:pPr>
      <w:r>
        <w:rPr>
          <w:rFonts w:hint="eastAsia" w:hAnsi="宋体" w:cs="宋体"/>
          <w:color w:val="000000"/>
          <w:sz w:val="24"/>
        </w:rPr>
        <w:t>（3）投标人如认为采购过程使自身的合法权益受到损害的，应于各采购程序环节结束之日起七个工作日内以书面形式向招标采购单位提出质疑；</w:t>
      </w:r>
    </w:p>
    <w:p>
      <w:pPr>
        <w:pStyle w:val="18"/>
        <w:adjustRightInd w:val="0"/>
        <w:snapToGrid w:val="0"/>
        <w:spacing w:beforeLines="0" w:afterLines="0" w:line="300" w:lineRule="auto"/>
        <w:ind w:firstLine="480"/>
        <w:rPr>
          <w:rFonts w:hAnsi="宋体" w:cs="宋体"/>
          <w:color w:val="000000"/>
          <w:sz w:val="24"/>
        </w:rPr>
      </w:pPr>
      <w:r>
        <w:rPr>
          <w:rFonts w:hint="eastAsia" w:hAnsi="宋体" w:cs="宋体"/>
          <w:color w:val="000000"/>
          <w:sz w:val="24"/>
        </w:rPr>
        <w:t>（4）投标人如认为中标结果使自身的合法权益受到损害的，应于自中标结果公告期限届满之日起七个工作日内以书面形式向招标采购单位提出质疑。</w:t>
      </w:r>
    </w:p>
    <w:p>
      <w:pPr>
        <w:pStyle w:val="18"/>
        <w:adjustRightInd w:val="0"/>
        <w:snapToGrid w:val="0"/>
        <w:spacing w:beforeLines="0" w:afterLines="0" w:line="300" w:lineRule="auto"/>
        <w:ind w:firstLine="480"/>
        <w:rPr>
          <w:rFonts w:hAnsi="宋体" w:cs="宋体"/>
          <w:color w:val="000000"/>
        </w:rPr>
      </w:pPr>
      <w:r>
        <w:rPr>
          <w:rFonts w:hint="eastAsia" w:hAnsi="宋体" w:cs="宋体"/>
          <w:color w:val="000000"/>
          <w:sz w:val="24"/>
        </w:rPr>
        <w:t>投标人对招标采购单位的质疑答复不满意或者招标采购单位未在规定时间内作出答复的，可以在答复期满后十五个工作日内向嘉善县财政局投诉。</w:t>
      </w:r>
    </w:p>
    <w:p>
      <w:pPr>
        <w:adjustRightInd w:val="0"/>
        <w:snapToGrid w:val="0"/>
        <w:spacing w:line="300" w:lineRule="auto"/>
        <w:ind w:firstLine="480"/>
        <w:rPr>
          <w:rFonts w:ascii="宋体" w:hAnsi="宋体" w:cs="宋体"/>
        </w:rPr>
      </w:pPr>
      <w:r>
        <w:rPr>
          <w:rFonts w:hint="eastAsia" w:ascii="宋体" w:hAnsi="宋体" w:cs="宋体"/>
          <w:kern w:val="0"/>
        </w:rPr>
        <w:t>2．质疑、投诉应当采用书面形式（格式见范本），质疑书、投诉书均应明确阐述招标文件、招标过程或中标结果中使自己合法权益受到损害的实质性内容，提供相关事实、依据和证据及其来源或线索，便于有关单位调查、答复和处理。</w:t>
      </w:r>
    </w:p>
    <w:p>
      <w:pPr>
        <w:pStyle w:val="6"/>
        <w:spacing w:before="0" w:after="0" w:line="300" w:lineRule="auto"/>
        <w:ind w:firstLine="643"/>
        <w:jc w:val="center"/>
        <w:rPr>
          <w:rFonts w:ascii="宋体" w:hAnsi="宋体" w:cs="宋体"/>
        </w:rPr>
      </w:pPr>
      <w:bookmarkStart w:id="75" w:name="_Toc6142"/>
      <w:r>
        <w:rPr>
          <w:rFonts w:hint="eastAsia" w:ascii="宋体" w:hAnsi="宋体" w:cs="宋体"/>
        </w:rPr>
        <w:t>三、采购文件</w:t>
      </w:r>
      <w:bookmarkEnd w:id="75"/>
    </w:p>
    <w:p>
      <w:pPr>
        <w:snapToGrid w:val="0"/>
        <w:spacing w:line="300" w:lineRule="auto"/>
        <w:ind w:firstLine="482"/>
        <w:rPr>
          <w:rFonts w:ascii="宋体" w:hAnsi="宋体" w:cs="宋体"/>
          <w:b/>
          <w:bCs/>
          <w:color w:val="000000"/>
        </w:rPr>
      </w:pPr>
      <w:r>
        <w:rPr>
          <w:rFonts w:hint="eastAsia" w:ascii="宋体" w:hAnsi="宋体" w:cs="宋体"/>
          <w:b/>
          <w:bCs/>
          <w:color w:val="000000"/>
        </w:rPr>
        <w:t>（一）采购文件的构成。本采购文件由以下部份组成：</w:t>
      </w:r>
    </w:p>
    <w:p>
      <w:pPr>
        <w:snapToGrid w:val="0"/>
        <w:spacing w:line="300" w:lineRule="auto"/>
        <w:ind w:firstLine="480"/>
        <w:jc w:val="left"/>
        <w:rPr>
          <w:rFonts w:ascii="宋体" w:hAnsi="宋体" w:cs="宋体"/>
          <w:color w:val="000000"/>
          <w:szCs w:val="24"/>
        </w:rPr>
      </w:pPr>
      <w:r>
        <w:rPr>
          <w:rFonts w:hint="eastAsia" w:ascii="宋体" w:hAnsi="宋体" w:cs="宋体"/>
          <w:color w:val="000000"/>
          <w:szCs w:val="24"/>
        </w:rPr>
        <w:t>1.采购公告</w:t>
      </w:r>
    </w:p>
    <w:p>
      <w:pPr>
        <w:snapToGrid w:val="0"/>
        <w:spacing w:line="300" w:lineRule="auto"/>
        <w:ind w:firstLine="480"/>
        <w:jc w:val="left"/>
        <w:rPr>
          <w:rFonts w:ascii="宋体" w:hAnsi="宋体" w:cs="宋体"/>
          <w:color w:val="000000"/>
          <w:szCs w:val="24"/>
        </w:rPr>
      </w:pPr>
      <w:r>
        <w:rPr>
          <w:rFonts w:hint="eastAsia" w:ascii="宋体" w:hAnsi="宋体" w:cs="宋体"/>
          <w:color w:val="000000"/>
          <w:szCs w:val="24"/>
        </w:rPr>
        <w:t>2.采购需求</w:t>
      </w:r>
    </w:p>
    <w:p>
      <w:pPr>
        <w:snapToGrid w:val="0"/>
        <w:spacing w:line="300" w:lineRule="auto"/>
        <w:ind w:firstLine="480"/>
        <w:jc w:val="left"/>
        <w:rPr>
          <w:rFonts w:ascii="宋体" w:hAnsi="宋体" w:cs="宋体"/>
          <w:color w:val="000000"/>
          <w:szCs w:val="24"/>
        </w:rPr>
      </w:pPr>
      <w:r>
        <w:rPr>
          <w:rFonts w:hint="eastAsia" w:ascii="宋体" w:hAnsi="宋体" w:cs="宋体"/>
          <w:color w:val="000000"/>
          <w:szCs w:val="24"/>
        </w:rPr>
        <w:t>3.投标人须知</w:t>
      </w:r>
    </w:p>
    <w:p>
      <w:pPr>
        <w:snapToGrid w:val="0"/>
        <w:spacing w:line="300" w:lineRule="auto"/>
        <w:ind w:firstLine="480"/>
        <w:jc w:val="left"/>
        <w:rPr>
          <w:rFonts w:ascii="宋体" w:hAnsi="宋体" w:cs="宋体"/>
          <w:color w:val="000000"/>
          <w:szCs w:val="24"/>
        </w:rPr>
      </w:pPr>
      <w:r>
        <w:rPr>
          <w:rFonts w:hint="eastAsia" w:ascii="宋体" w:hAnsi="宋体" w:cs="宋体"/>
          <w:color w:val="000000"/>
          <w:szCs w:val="24"/>
        </w:rPr>
        <w:t>4.评标办法及标准</w:t>
      </w:r>
    </w:p>
    <w:p>
      <w:pPr>
        <w:snapToGrid w:val="0"/>
        <w:spacing w:line="300" w:lineRule="auto"/>
        <w:ind w:firstLine="480"/>
        <w:jc w:val="left"/>
        <w:rPr>
          <w:rFonts w:ascii="宋体" w:hAnsi="宋体" w:cs="宋体"/>
          <w:color w:val="000000"/>
          <w:szCs w:val="24"/>
        </w:rPr>
      </w:pPr>
      <w:r>
        <w:rPr>
          <w:rFonts w:hint="eastAsia" w:ascii="宋体" w:hAnsi="宋体" w:cs="宋体"/>
          <w:color w:val="000000"/>
          <w:szCs w:val="24"/>
        </w:rPr>
        <w:t>5.合同主要条款</w:t>
      </w:r>
    </w:p>
    <w:p>
      <w:pPr>
        <w:snapToGrid w:val="0"/>
        <w:spacing w:line="300" w:lineRule="auto"/>
        <w:ind w:firstLine="480"/>
        <w:jc w:val="left"/>
        <w:rPr>
          <w:rFonts w:ascii="宋体" w:hAnsi="宋体" w:cs="宋体"/>
          <w:color w:val="000000"/>
          <w:szCs w:val="24"/>
        </w:rPr>
      </w:pPr>
      <w:r>
        <w:rPr>
          <w:rFonts w:hint="eastAsia" w:ascii="宋体" w:hAnsi="宋体" w:cs="宋体"/>
          <w:color w:val="000000"/>
          <w:szCs w:val="24"/>
        </w:rPr>
        <w:t>6.投标文件格式</w:t>
      </w:r>
    </w:p>
    <w:p>
      <w:pPr>
        <w:snapToGrid w:val="0"/>
        <w:spacing w:line="300" w:lineRule="auto"/>
        <w:ind w:firstLine="480"/>
        <w:jc w:val="left"/>
        <w:rPr>
          <w:rFonts w:ascii="宋体" w:hAnsi="宋体" w:cs="宋体"/>
          <w:color w:val="000000"/>
          <w:szCs w:val="24"/>
        </w:rPr>
      </w:pPr>
      <w:r>
        <w:rPr>
          <w:rFonts w:hint="eastAsia" w:ascii="宋体" w:hAnsi="宋体" w:cs="宋体"/>
          <w:color w:val="000000"/>
          <w:szCs w:val="24"/>
        </w:rPr>
        <w:t>7.本项目采购文件的澄清、答复、修改、补充的内容</w:t>
      </w:r>
      <w:r>
        <w:rPr>
          <w:rFonts w:hint="eastAsia" w:ascii="宋体" w:hAnsi="宋体" w:cs="宋体"/>
          <w:szCs w:val="24"/>
        </w:rPr>
        <w:t>（所有内容将以电子文档形式上传于浙江省政府采购网网站（</w:t>
      </w:r>
      <w:r>
        <w:fldChar w:fldCharType="begin"/>
      </w:r>
      <w:r>
        <w:instrText xml:space="preserve"> HYPERLINK "http://zfcg.czt.zj.gov.cn/" </w:instrText>
      </w:r>
      <w:r>
        <w:fldChar w:fldCharType="separate"/>
      </w:r>
      <w:r>
        <w:rPr>
          <w:rStyle w:val="43"/>
          <w:rFonts w:ascii="宋体" w:hAnsi="宋体" w:cs="宋体"/>
          <w:szCs w:val="24"/>
        </w:rPr>
        <w:t>http://zfcg.czt.zj.gov.cn/</w:t>
      </w:r>
      <w:r>
        <w:rPr>
          <w:rStyle w:val="43"/>
          <w:rFonts w:ascii="宋体" w:hAnsi="宋体" w:cs="宋体"/>
          <w:szCs w:val="24"/>
        </w:rPr>
        <w:fldChar w:fldCharType="end"/>
      </w:r>
      <w:r>
        <w:rPr>
          <w:rFonts w:hint="eastAsia" w:ascii="宋体" w:hAnsi="宋体" w:cs="宋体"/>
          <w:szCs w:val="24"/>
        </w:rPr>
        <w:t>）。澄清、答复、修改、补充的内容均作为招标文件的组成部分，具有约束作用。投标人必须自行下载。）</w:t>
      </w:r>
    </w:p>
    <w:p>
      <w:pPr>
        <w:snapToGrid w:val="0"/>
        <w:spacing w:line="300" w:lineRule="auto"/>
        <w:ind w:firstLine="482"/>
        <w:rPr>
          <w:rFonts w:ascii="宋体" w:hAnsi="宋体" w:cs="宋体"/>
          <w:b/>
          <w:bCs/>
          <w:color w:val="000000"/>
        </w:rPr>
      </w:pPr>
      <w:r>
        <w:rPr>
          <w:rFonts w:hint="eastAsia" w:ascii="宋体" w:hAnsi="宋体" w:cs="宋体"/>
          <w:b/>
          <w:bCs/>
          <w:color w:val="000000"/>
        </w:rPr>
        <w:t>（二）投标人的风险</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投标人没有按照采购文件要求提供全部资料，或者投标人没有对采购文件在各方面作出实质性响应是投标人的风险，并可能导致其投标被拒绝。</w:t>
      </w:r>
    </w:p>
    <w:p>
      <w:pPr>
        <w:pStyle w:val="8"/>
        <w:widowControl w:val="0"/>
        <w:snapToGrid w:val="0"/>
        <w:spacing w:afterLines="0" w:line="300" w:lineRule="auto"/>
        <w:ind w:left="0" w:firstLine="562"/>
        <w:jc w:val="both"/>
        <w:rPr>
          <w:rFonts w:ascii="宋体" w:hAnsi="宋体" w:cs="宋体"/>
          <w:b/>
          <w:bCs/>
          <w:color w:val="000000"/>
          <w:sz w:val="28"/>
          <w:szCs w:val="28"/>
        </w:rPr>
      </w:pPr>
      <w:r>
        <w:rPr>
          <w:rFonts w:hint="eastAsia" w:ascii="宋体" w:hAnsi="宋体" w:cs="宋体"/>
          <w:b/>
          <w:bCs/>
          <w:color w:val="000000"/>
          <w:kern w:val="2"/>
          <w:sz w:val="28"/>
          <w:szCs w:val="28"/>
        </w:rPr>
        <w:t>（三）采购文件的澄清与修改</w:t>
      </w:r>
      <w:r>
        <w:rPr>
          <w:rFonts w:hint="eastAsia" w:ascii="宋体" w:hAnsi="宋体" w:cs="宋体"/>
          <w:b/>
          <w:bCs/>
          <w:color w:val="000000"/>
          <w:sz w:val="28"/>
          <w:szCs w:val="28"/>
        </w:rPr>
        <w:t xml:space="preserve"> </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1．</w:t>
      </w:r>
      <w:r>
        <w:rPr>
          <w:rFonts w:hint="eastAsia" w:ascii="宋体" w:hAnsi="宋体" w:cs="宋体"/>
        </w:rPr>
        <w:t>采购代理机构对已发出的招标文件进行必要澄清、答复、修改或补充的，澄清或者修改的内容可能影响投标文件编制的，采购人或者采购代理机构应当在投标截止时间至少15日前，以书面形式通知所有获取招标文件的潜在投标人；不足15日的，采购人或者采购代理机构将顺延提交投标文件的截止时间。</w:t>
      </w:r>
    </w:p>
    <w:p>
      <w:pPr>
        <w:adjustRightInd w:val="0"/>
        <w:snapToGrid w:val="0"/>
        <w:spacing w:line="300" w:lineRule="auto"/>
        <w:ind w:firstLine="480"/>
        <w:rPr>
          <w:rFonts w:ascii="宋体" w:hAnsi="宋体" w:cs="宋体"/>
        </w:rPr>
      </w:pPr>
      <w:r>
        <w:rPr>
          <w:rFonts w:hint="eastAsia" w:ascii="宋体" w:hAnsi="宋体" w:cs="宋体"/>
        </w:rPr>
        <w:t>2．采购代理机构必须以书面形式答复投标人要求澄清的问题，并将不包含问题来源的答复书面通知所有获取采购文件的投标人；除书面答复以外的其他澄清方式及澄清内容均无效。</w:t>
      </w:r>
    </w:p>
    <w:p>
      <w:pPr>
        <w:adjustRightInd w:val="0"/>
        <w:snapToGrid w:val="0"/>
        <w:spacing w:line="300" w:lineRule="auto"/>
        <w:ind w:firstLine="480"/>
        <w:rPr>
          <w:rFonts w:ascii="宋体" w:hAnsi="宋体" w:cs="宋体"/>
        </w:rPr>
      </w:pPr>
      <w:r>
        <w:rPr>
          <w:rFonts w:hint="eastAsia" w:ascii="宋体" w:hAnsi="宋体" w:cs="宋体"/>
        </w:rPr>
        <w:t>3．采购文件澄清、答复、修改、补充的内容为采购文件的组成部分。当采购文件与采购文件的答复、澄清、修改、补充通知就同一内容的表述不一致时，以最后发出的书面文件为准。</w:t>
      </w:r>
    </w:p>
    <w:p>
      <w:pPr>
        <w:adjustRightInd w:val="0"/>
        <w:snapToGrid w:val="0"/>
        <w:spacing w:line="300" w:lineRule="auto"/>
        <w:ind w:firstLine="480"/>
        <w:rPr>
          <w:rFonts w:ascii="宋体" w:hAnsi="宋体" w:cs="宋体"/>
        </w:rPr>
      </w:pPr>
      <w:r>
        <w:rPr>
          <w:rFonts w:hint="eastAsia" w:ascii="宋体" w:hAnsi="宋体" w:cs="宋体"/>
        </w:rPr>
        <w:t>4．采购文件的澄清、答复、修改或补充都应该通过本代理机构以法定形式发布，采购人未通过本机构，不得擅自澄清、答复、修改或补充采购文件。</w:t>
      </w:r>
    </w:p>
    <w:p>
      <w:pPr>
        <w:pStyle w:val="35"/>
        <w:ind w:firstLine="643"/>
      </w:pPr>
    </w:p>
    <w:p>
      <w:pPr>
        <w:pStyle w:val="6"/>
        <w:spacing w:before="0" w:after="0" w:line="300" w:lineRule="auto"/>
        <w:ind w:firstLine="643"/>
        <w:jc w:val="center"/>
        <w:rPr>
          <w:rFonts w:ascii="宋体" w:hAnsi="宋体" w:cs="宋体"/>
        </w:rPr>
      </w:pPr>
      <w:r>
        <w:rPr>
          <w:rFonts w:hint="eastAsia" w:ascii="宋体" w:hAnsi="宋体" w:cs="宋体"/>
        </w:rPr>
        <w:t xml:space="preserve"> </w:t>
      </w:r>
      <w:bookmarkStart w:id="76" w:name="_Toc17209"/>
      <w:r>
        <w:rPr>
          <w:rFonts w:hint="eastAsia" w:ascii="宋体" w:hAnsi="宋体" w:cs="宋体"/>
        </w:rPr>
        <w:t>四、投标文件的编制</w:t>
      </w:r>
      <w:bookmarkEnd w:id="76"/>
    </w:p>
    <w:p>
      <w:pPr>
        <w:snapToGrid w:val="0"/>
        <w:spacing w:line="300" w:lineRule="auto"/>
        <w:ind w:firstLine="482"/>
        <w:jc w:val="left"/>
        <w:rPr>
          <w:rFonts w:ascii="宋体" w:hAnsi="宋体" w:cs="宋体"/>
          <w:b/>
          <w:bCs/>
          <w:color w:val="000000"/>
          <w:szCs w:val="24"/>
        </w:rPr>
      </w:pPr>
      <w:r>
        <w:rPr>
          <w:rFonts w:hint="eastAsia" w:ascii="宋体" w:hAnsi="宋体" w:cs="宋体"/>
          <w:b/>
          <w:bCs/>
          <w:color w:val="000000"/>
          <w:szCs w:val="24"/>
        </w:rPr>
        <w:t>本项目所涉投标文件格式请详见第六章，未给出的格式请自拟。资信商务及技术文件中不得出现报价，否则投标文件将被视为无效。</w:t>
      </w:r>
    </w:p>
    <w:p>
      <w:pPr>
        <w:snapToGrid w:val="0"/>
        <w:spacing w:line="300" w:lineRule="auto"/>
        <w:ind w:firstLine="482"/>
        <w:rPr>
          <w:b/>
        </w:rPr>
      </w:pPr>
      <w:r>
        <w:rPr>
          <w:rFonts w:hint="eastAsia"/>
          <w:b/>
        </w:rPr>
        <w:t>在电子投标文件中所有需要加盖公章的均采用CA签章。</w:t>
      </w:r>
    </w:p>
    <w:p>
      <w:pPr>
        <w:snapToGrid w:val="0"/>
        <w:spacing w:line="300" w:lineRule="auto"/>
        <w:ind w:firstLine="482"/>
        <w:rPr>
          <w:rFonts w:ascii="宋体" w:hAnsi="宋体" w:cs="宋体"/>
          <w:b/>
          <w:bCs/>
          <w:color w:val="000000"/>
        </w:rPr>
      </w:pPr>
      <w:r>
        <w:rPr>
          <w:rFonts w:hint="eastAsia" w:ascii="宋体" w:hAnsi="宋体" w:cs="宋体"/>
          <w:b/>
          <w:bCs/>
          <w:color w:val="000000"/>
        </w:rPr>
        <w:t>（一）投标文件的组成</w:t>
      </w:r>
    </w:p>
    <w:p>
      <w:pPr>
        <w:snapToGrid w:val="0"/>
        <w:ind w:firstLine="480"/>
        <w:jc w:val="left"/>
        <w:rPr>
          <w:rFonts w:ascii="宋体" w:hAnsi="宋体"/>
        </w:rPr>
      </w:pPr>
      <w:r>
        <w:rPr>
          <w:rFonts w:hint="eastAsia" w:ascii="宋体" w:hAnsi="宋体"/>
        </w:rPr>
        <w:t>投标文件由资信商务及技术文件及投标报价文件两部份组成。</w:t>
      </w:r>
    </w:p>
    <w:p>
      <w:pPr>
        <w:snapToGrid w:val="0"/>
        <w:spacing w:line="307" w:lineRule="auto"/>
        <w:ind w:left="482" w:firstLine="0" w:firstLineChars="0"/>
        <w:contextualSpacing/>
        <w:jc w:val="left"/>
        <w:rPr>
          <w:rFonts w:ascii="宋体" w:hAnsi="宋体" w:cs="宋体"/>
          <w:b/>
          <w:bCs/>
          <w:color w:val="000000"/>
          <w:szCs w:val="24"/>
        </w:rPr>
      </w:pPr>
      <w:r>
        <w:rPr>
          <w:rFonts w:hint="eastAsia" w:ascii="宋体" w:hAnsi="宋体" w:cs="宋体"/>
          <w:b/>
          <w:bCs/>
          <w:color w:val="000000"/>
          <w:szCs w:val="24"/>
        </w:rPr>
        <w:t>1.资信商务及技术文件：</w:t>
      </w:r>
    </w:p>
    <w:p>
      <w:pPr>
        <w:snapToGrid w:val="0"/>
        <w:spacing w:line="307" w:lineRule="auto"/>
        <w:ind w:firstLine="472" w:firstLineChars="196"/>
        <w:contextualSpacing/>
        <w:jc w:val="left"/>
        <w:rPr>
          <w:rFonts w:ascii="宋体" w:hAnsi="宋体" w:cs="宋体"/>
          <w:b/>
          <w:bCs/>
          <w:color w:val="000000"/>
          <w:szCs w:val="24"/>
        </w:rPr>
      </w:pPr>
      <w:r>
        <w:rPr>
          <w:rFonts w:hint="eastAsia" w:ascii="宋体" w:hAnsi="宋体" w:cs="宋体"/>
          <w:b/>
          <w:bCs/>
          <w:color w:val="000000"/>
          <w:szCs w:val="24"/>
        </w:rPr>
        <w:t>1.1资信及商务文件</w:t>
      </w:r>
    </w:p>
    <w:p>
      <w:pPr>
        <w:snapToGrid w:val="0"/>
        <w:spacing w:line="307" w:lineRule="auto"/>
        <w:ind w:firstLine="480"/>
        <w:contextualSpacing/>
        <w:jc w:val="left"/>
        <w:rPr>
          <w:rFonts w:ascii="宋体" w:hAnsi="宋体" w:cs="宋体"/>
          <w:szCs w:val="24"/>
        </w:rPr>
      </w:pPr>
      <w:r>
        <w:rPr>
          <w:rFonts w:hint="eastAsia" w:ascii="宋体" w:hAnsi="宋体" w:cs="宋体"/>
          <w:szCs w:val="24"/>
        </w:rPr>
        <w:t>（1）资格文件：符合合格投标人资格要求的证明材料（格式见第六章）；</w:t>
      </w:r>
    </w:p>
    <w:p>
      <w:pPr>
        <w:snapToGrid w:val="0"/>
        <w:spacing w:line="307" w:lineRule="auto"/>
        <w:ind w:firstLine="480"/>
        <w:contextualSpacing/>
        <w:jc w:val="left"/>
        <w:rPr>
          <w:rFonts w:ascii="宋体" w:hAnsi="宋体" w:cs="宋体"/>
          <w:szCs w:val="24"/>
        </w:rPr>
      </w:pPr>
      <w:r>
        <w:rPr>
          <w:rFonts w:hint="eastAsia" w:ascii="宋体" w:hAnsi="宋体" w:cs="宋体"/>
          <w:szCs w:val="24"/>
        </w:rPr>
        <w:t>（2）投标声明书（格式见第六章）；</w:t>
      </w:r>
    </w:p>
    <w:p>
      <w:pPr>
        <w:snapToGrid w:val="0"/>
        <w:spacing w:line="307" w:lineRule="auto"/>
        <w:ind w:firstLine="480"/>
        <w:contextualSpacing/>
        <w:jc w:val="left"/>
        <w:rPr>
          <w:rFonts w:ascii="宋体" w:hAnsi="宋体" w:cs="宋体"/>
        </w:rPr>
      </w:pPr>
      <w:r>
        <w:rPr>
          <w:rFonts w:hint="eastAsia" w:ascii="宋体" w:hAnsi="宋体" w:cs="宋体"/>
          <w:szCs w:val="24"/>
        </w:rPr>
        <w:t>（3）诚信承诺书（格式见第六章）；</w:t>
      </w:r>
    </w:p>
    <w:p>
      <w:pPr>
        <w:snapToGrid w:val="0"/>
        <w:spacing w:line="307" w:lineRule="auto"/>
        <w:ind w:firstLine="480"/>
        <w:contextualSpacing/>
        <w:jc w:val="left"/>
        <w:rPr>
          <w:rFonts w:ascii="宋体" w:hAnsi="宋体" w:cs="宋体"/>
          <w:szCs w:val="24"/>
        </w:rPr>
      </w:pPr>
      <w:r>
        <w:rPr>
          <w:rFonts w:hint="eastAsia" w:ascii="宋体" w:hAnsi="宋体" w:cs="宋体"/>
          <w:szCs w:val="24"/>
        </w:rPr>
        <w:t>（4）法定代表人授权委托书（格式见第六章）；</w:t>
      </w:r>
    </w:p>
    <w:p>
      <w:pPr>
        <w:snapToGrid w:val="0"/>
        <w:spacing w:line="307" w:lineRule="auto"/>
        <w:ind w:firstLine="480"/>
        <w:contextualSpacing/>
        <w:jc w:val="left"/>
        <w:rPr>
          <w:rFonts w:ascii="宋体" w:hAnsi="宋体" w:cs="宋体"/>
          <w:szCs w:val="24"/>
        </w:rPr>
      </w:pPr>
      <w:r>
        <w:rPr>
          <w:rFonts w:hint="eastAsia" w:ascii="宋体" w:hAnsi="宋体" w:cs="宋体"/>
          <w:szCs w:val="24"/>
        </w:rPr>
        <w:t>（5）投标人基本情况表（格式见第六章）；</w:t>
      </w:r>
    </w:p>
    <w:p>
      <w:pPr>
        <w:snapToGrid w:val="0"/>
        <w:spacing w:line="307" w:lineRule="auto"/>
        <w:ind w:firstLine="480"/>
        <w:contextualSpacing/>
        <w:jc w:val="left"/>
        <w:rPr>
          <w:rFonts w:ascii="宋体" w:hAnsi="宋体" w:cs="宋体"/>
          <w:szCs w:val="24"/>
          <w:lang w:val="zh-CN"/>
        </w:rPr>
      </w:pPr>
      <w:r>
        <w:rPr>
          <w:rFonts w:hint="eastAsia" w:ascii="宋体" w:hAnsi="宋体" w:cs="宋体"/>
          <w:szCs w:val="24"/>
        </w:rPr>
        <w:t>（6）相关证书（如有）</w:t>
      </w:r>
      <w:r>
        <w:rPr>
          <w:rFonts w:hint="eastAsia" w:ascii="宋体" w:hAnsi="宋体" w:cs="宋体"/>
          <w:szCs w:val="24"/>
          <w:lang w:val="zh-CN"/>
        </w:rPr>
        <w:t>；</w:t>
      </w:r>
    </w:p>
    <w:p>
      <w:pPr>
        <w:snapToGrid w:val="0"/>
        <w:spacing w:line="307" w:lineRule="auto"/>
        <w:ind w:firstLine="480"/>
        <w:contextualSpacing/>
        <w:jc w:val="left"/>
        <w:rPr>
          <w:rFonts w:ascii="宋体" w:hAnsi="宋体" w:cs="宋体"/>
          <w:szCs w:val="24"/>
        </w:rPr>
      </w:pPr>
      <w:r>
        <w:rPr>
          <w:rFonts w:hint="eastAsia" w:ascii="宋体" w:hAnsi="宋体" w:cs="宋体"/>
          <w:szCs w:val="24"/>
        </w:rPr>
        <w:t>（7）售后服务保障</w:t>
      </w:r>
      <w:r>
        <w:rPr>
          <w:rFonts w:hint="eastAsia" w:ascii="宋体" w:hAnsi="宋体"/>
          <w:color w:val="0C0C0C"/>
          <w:szCs w:val="24"/>
        </w:rPr>
        <w:t>；</w:t>
      </w:r>
    </w:p>
    <w:p>
      <w:pPr>
        <w:snapToGrid w:val="0"/>
        <w:spacing w:line="307" w:lineRule="auto"/>
        <w:ind w:firstLine="480"/>
        <w:contextualSpacing/>
        <w:jc w:val="left"/>
        <w:rPr>
          <w:rFonts w:ascii="宋体" w:hAnsi="宋体" w:cs="宋体"/>
          <w:szCs w:val="24"/>
        </w:rPr>
      </w:pPr>
      <w:r>
        <w:rPr>
          <w:rFonts w:hint="eastAsia" w:ascii="宋体" w:hAnsi="宋体" w:cs="宋体"/>
          <w:szCs w:val="24"/>
        </w:rPr>
        <w:t>（</w:t>
      </w:r>
      <w:r>
        <w:rPr>
          <w:rFonts w:ascii="宋体" w:hAnsi="宋体" w:cs="宋体"/>
          <w:szCs w:val="24"/>
        </w:rPr>
        <w:t>8</w:t>
      </w:r>
      <w:r>
        <w:rPr>
          <w:rFonts w:hint="eastAsia" w:ascii="宋体" w:hAnsi="宋体" w:cs="宋体"/>
          <w:szCs w:val="24"/>
        </w:rPr>
        <w:t>）同类项目业绩表（格式见第六章）；</w:t>
      </w:r>
    </w:p>
    <w:p>
      <w:pPr>
        <w:snapToGrid w:val="0"/>
        <w:spacing w:line="307" w:lineRule="auto"/>
        <w:ind w:firstLine="480"/>
        <w:contextualSpacing/>
        <w:jc w:val="left"/>
        <w:rPr>
          <w:rFonts w:ascii="宋体" w:hAnsi="宋体" w:cs="宋体"/>
          <w:szCs w:val="24"/>
        </w:rPr>
      </w:pPr>
      <w:r>
        <w:rPr>
          <w:rFonts w:hint="eastAsia" w:ascii="宋体" w:hAnsi="宋体" w:cs="宋体"/>
          <w:szCs w:val="24"/>
        </w:rPr>
        <w:t>（</w:t>
      </w:r>
      <w:r>
        <w:rPr>
          <w:rFonts w:ascii="宋体" w:hAnsi="宋体" w:cs="宋体"/>
          <w:szCs w:val="24"/>
        </w:rPr>
        <w:t>9</w:t>
      </w:r>
      <w:r>
        <w:rPr>
          <w:rFonts w:hint="eastAsia" w:ascii="宋体" w:hAnsi="宋体" w:cs="宋体"/>
          <w:szCs w:val="24"/>
        </w:rPr>
        <w:t>）业绩证明材料（如有）；</w:t>
      </w:r>
    </w:p>
    <w:p>
      <w:pPr>
        <w:snapToGrid w:val="0"/>
        <w:spacing w:line="307" w:lineRule="auto"/>
        <w:ind w:firstLine="480"/>
        <w:contextualSpacing/>
        <w:rPr>
          <w:rFonts w:ascii="宋体" w:hAnsi="宋体" w:cs="宋体"/>
          <w:szCs w:val="24"/>
        </w:rPr>
      </w:pPr>
      <w:r>
        <w:rPr>
          <w:rFonts w:hint="eastAsia" w:ascii="宋体" w:hAnsi="宋体" w:cs="宋体"/>
          <w:szCs w:val="24"/>
        </w:rPr>
        <w:t>（</w:t>
      </w:r>
      <w:r>
        <w:rPr>
          <w:rFonts w:ascii="宋体" w:hAnsi="宋体" w:cs="宋体"/>
          <w:szCs w:val="24"/>
        </w:rPr>
        <w:t>10</w:t>
      </w:r>
      <w:r>
        <w:rPr>
          <w:rFonts w:hint="eastAsia" w:ascii="宋体" w:hAnsi="宋体" w:cs="宋体"/>
          <w:szCs w:val="24"/>
        </w:rPr>
        <w:t>）投标人需要说明的其他内容（未尽事宜可按评分细则部分制作）。</w:t>
      </w:r>
    </w:p>
    <w:p>
      <w:pPr>
        <w:snapToGrid w:val="0"/>
        <w:spacing w:line="307" w:lineRule="auto"/>
        <w:ind w:firstLine="482"/>
        <w:contextualSpacing/>
        <w:rPr>
          <w:rFonts w:ascii="宋体" w:hAnsi="宋体" w:cs="宋体"/>
          <w:b/>
          <w:bCs/>
          <w:szCs w:val="24"/>
        </w:rPr>
      </w:pPr>
      <w:r>
        <w:rPr>
          <w:rFonts w:hint="eastAsia" w:ascii="宋体" w:hAnsi="宋体" w:cs="宋体"/>
          <w:b/>
          <w:bCs/>
          <w:szCs w:val="24"/>
        </w:rPr>
        <w:t>1.2技术文件：</w:t>
      </w:r>
    </w:p>
    <w:p>
      <w:pPr>
        <w:snapToGrid w:val="0"/>
        <w:spacing w:line="308" w:lineRule="auto"/>
        <w:ind w:firstLine="480"/>
        <w:contextualSpacing/>
        <w:jc w:val="left"/>
        <w:rPr>
          <w:rFonts w:ascii="宋体" w:hAnsi="宋体"/>
          <w:color w:val="0C0C0C"/>
          <w:szCs w:val="24"/>
        </w:rPr>
      </w:pPr>
      <w:r>
        <w:rPr>
          <w:rFonts w:hint="eastAsia" w:ascii="宋体" w:hAnsi="宋体"/>
          <w:color w:val="0C0C0C"/>
          <w:szCs w:val="24"/>
        </w:rPr>
        <w:t>（1）对本项目的理解；</w:t>
      </w:r>
    </w:p>
    <w:p>
      <w:pPr>
        <w:snapToGrid w:val="0"/>
        <w:spacing w:line="308" w:lineRule="auto"/>
        <w:ind w:firstLine="480"/>
        <w:contextualSpacing/>
        <w:jc w:val="left"/>
        <w:rPr>
          <w:rFonts w:ascii="宋体" w:hAnsi="宋体"/>
          <w:color w:val="0C0C0C"/>
          <w:szCs w:val="24"/>
        </w:rPr>
      </w:pPr>
      <w:r>
        <w:rPr>
          <w:rFonts w:hint="eastAsia" w:ascii="宋体" w:hAnsi="宋体"/>
          <w:color w:val="0C0C0C"/>
          <w:szCs w:val="24"/>
        </w:rPr>
        <w:t>（2）</w:t>
      </w:r>
      <w:r>
        <w:rPr>
          <w:rFonts w:hint="eastAsia" w:ascii="宋体" w:hAnsi="宋体" w:cs="宋体"/>
          <w:szCs w:val="24"/>
        </w:rPr>
        <w:t>项目进度安排及进度控制；</w:t>
      </w:r>
    </w:p>
    <w:p>
      <w:pPr>
        <w:snapToGrid w:val="0"/>
        <w:spacing w:line="308" w:lineRule="auto"/>
        <w:ind w:firstLine="480"/>
        <w:contextualSpacing/>
        <w:jc w:val="left"/>
        <w:rPr>
          <w:rFonts w:ascii="宋体" w:hAnsi="宋体"/>
          <w:color w:val="0C0C0C"/>
          <w:szCs w:val="24"/>
        </w:rPr>
      </w:pPr>
      <w:r>
        <w:rPr>
          <w:rFonts w:hint="eastAsia" w:ascii="宋体" w:hAnsi="宋体"/>
          <w:color w:val="0C0C0C"/>
          <w:szCs w:val="24"/>
        </w:rPr>
        <w:t>（3）</w:t>
      </w:r>
      <w:r>
        <w:rPr>
          <w:rFonts w:hint="eastAsia" w:ascii="宋体" w:hAnsi="宋体" w:cs="宋体"/>
          <w:szCs w:val="24"/>
        </w:rPr>
        <w:t>管理组织与人员安排</w:t>
      </w:r>
      <w:r>
        <w:rPr>
          <w:rFonts w:hint="eastAsia" w:ascii="宋体" w:hAnsi="宋体"/>
          <w:color w:val="0C0C0C"/>
          <w:szCs w:val="24"/>
        </w:rPr>
        <w:t>；</w:t>
      </w:r>
    </w:p>
    <w:p>
      <w:pPr>
        <w:snapToGrid w:val="0"/>
        <w:spacing w:line="308" w:lineRule="auto"/>
        <w:ind w:firstLine="480"/>
        <w:contextualSpacing/>
        <w:jc w:val="left"/>
        <w:rPr>
          <w:rFonts w:ascii="宋体" w:hAnsi="宋体"/>
          <w:color w:val="0C0C0C"/>
          <w:szCs w:val="24"/>
        </w:rPr>
      </w:pPr>
      <w:r>
        <w:rPr>
          <w:rFonts w:hint="eastAsia" w:ascii="宋体" w:hAnsi="宋体"/>
          <w:color w:val="0C0C0C"/>
          <w:szCs w:val="24"/>
        </w:rPr>
        <w:t>（4）</w:t>
      </w:r>
      <w:r>
        <w:rPr>
          <w:rFonts w:hint="eastAsia" w:ascii="宋体" w:hAnsi="宋体" w:cs="宋体"/>
          <w:bCs/>
          <w:kern w:val="0"/>
          <w:szCs w:val="24"/>
        </w:rPr>
        <w:t>安全保证体系及安全文明措施</w:t>
      </w:r>
      <w:r>
        <w:rPr>
          <w:rFonts w:hint="eastAsia" w:ascii="宋体" w:hAnsi="宋体"/>
          <w:color w:val="0C0C0C"/>
          <w:szCs w:val="24"/>
        </w:rPr>
        <w:t>；</w:t>
      </w:r>
    </w:p>
    <w:p>
      <w:pPr>
        <w:snapToGrid w:val="0"/>
        <w:spacing w:line="308" w:lineRule="auto"/>
        <w:ind w:firstLine="480"/>
        <w:contextualSpacing/>
        <w:jc w:val="left"/>
        <w:rPr>
          <w:rFonts w:ascii="宋体" w:hAnsi="宋体" w:cs="宋体"/>
          <w:szCs w:val="24"/>
        </w:rPr>
      </w:pPr>
      <w:r>
        <w:rPr>
          <w:rFonts w:hint="eastAsia" w:ascii="宋体" w:hAnsi="宋体"/>
          <w:color w:val="0C0C0C"/>
          <w:szCs w:val="24"/>
        </w:rPr>
        <w:t>（</w:t>
      </w:r>
      <w:r>
        <w:rPr>
          <w:rFonts w:ascii="宋体" w:hAnsi="宋体"/>
          <w:color w:val="0C0C0C"/>
          <w:szCs w:val="24"/>
        </w:rPr>
        <w:t>5</w:t>
      </w:r>
      <w:r>
        <w:rPr>
          <w:rFonts w:hint="eastAsia" w:ascii="宋体" w:hAnsi="宋体"/>
          <w:color w:val="0C0C0C"/>
          <w:szCs w:val="24"/>
        </w:rPr>
        <w:t>）</w:t>
      </w:r>
      <w:r>
        <w:rPr>
          <w:rFonts w:hint="eastAsia" w:ascii="宋体" w:hAnsi="宋体" w:cs="宋体"/>
          <w:color w:val="000000"/>
          <w:kern w:val="0"/>
          <w:szCs w:val="24"/>
        </w:rPr>
        <w:t>故障响应时间</w:t>
      </w:r>
      <w:r>
        <w:rPr>
          <w:rFonts w:hint="eastAsia" w:ascii="宋体" w:hAnsi="宋体" w:cs="宋体"/>
          <w:szCs w:val="24"/>
        </w:rPr>
        <w:t>；</w:t>
      </w:r>
    </w:p>
    <w:p>
      <w:pPr>
        <w:snapToGrid w:val="0"/>
        <w:spacing w:line="308" w:lineRule="auto"/>
        <w:ind w:firstLine="480"/>
        <w:contextualSpacing/>
        <w:jc w:val="left"/>
        <w:rPr>
          <w:rFonts w:ascii="宋体" w:hAnsi="宋体"/>
          <w:color w:val="0C0C0C"/>
          <w:szCs w:val="24"/>
        </w:rPr>
      </w:pPr>
      <w:r>
        <w:rPr>
          <w:rFonts w:hint="eastAsia" w:ascii="宋体" w:hAnsi="宋体"/>
          <w:color w:val="0C0C0C"/>
          <w:szCs w:val="24"/>
        </w:rPr>
        <w:t>（</w:t>
      </w:r>
      <w:r>
        <w:rPr>
          <w:rFonts w:ascii="宋体" w:hAnsi="宋体"/>
          <w:color w:val="0C0C0C"/>
          <w:szCs w:val="24"/>
        </w:rPr>
        <w:t>6</w:t>
      </w:r>
      <w:r>
        <w:rPr>
          <w:rFonts w:hint="eastAsia" w:ascii="宋体" w:hAnsi="宋体"/>
          <w:color w:val="0C0C0C"/>
          <w:szCs w:val="24"/>
        </w:rPr>
        <w:t>）</w:t>
      </w:r>
      <w:r>
        <w:rPr>
          <w:rFonts w:hint="eastAsia" w:ascii="宋体" w:hAnsi="宋体" w:cs="宋体"/>
          <w:color w:val="000000"/>
          <w:kern w:val="0"/>
          <w:szCs w:val="24"/>
        </w:rPr>
        <w:t>作业车辆</w:t>
      </w:r>
      <w:r>
        <w:rPr>
          <w:rFonts w:hint="eastAsia" w:ascii="宋体" w:hAnsi="宋体"/>
          <w:color w:val="0C0C0C"/>
          <w:szCs w:val="24"/>
        </w:rPr>
        <w:t>；</w:t>
      </w:r>
    </w:p>
    <w:p>
      <w:pPr>
        <w:snapToGrid w:val="0"/>
        <w:spacing w:line="308" w:lineRule="auto"/>
        <w:ind w:firstLine="480"/>
        <w:contextualSpacing/>
        <w:jc w:val="left"/>
        <w:rPr>
          <w:rFonts w:ascii="宋体" w:hAnsi="宋体"/>
          <w:color w:val="0C0C0C"/>
          <w:szCs w:val="24"/>
        </w:rPr>
      </w:pPr>
      <w:r>
        <w:rPr>
          <w:rFonts w:hint="eastAsia" w:ascii="宋体" w:hAnsi="宋体"/>
          <w:color w:val="0C0C0C"/>
          <w:szCs w:val="24"/>
        </w:rPr>
        <w:t>（</w:t>
      </w:r>
      <w:r>
        <w:rPr>
          <w:rFonts w:ascii="宋体" w:hAnsi="宋体"/>
          <w:color w:val="0C0C0C"/>
          <w:szCs w:val="24"/>
        </w:rPr>
        <w:t>7</w:t>
      </w:r>
      <w:r>
        <w:rPr>
          <w:rFonts w:hint="eastAsia" w:ascii="宋体" w:hAnsi="宋体"/>
          <w:color w:val="0C0C0C"/>
          <w:szCs w:val="24"/>
        </w:rPr>
        <w:t>）</w:t>
      </w:r>
      <w:r>
        <w:rPr>
          <w:rFonts w:hint="eastAsia" w:ascii="宋体" w:hAnsi="宋体" w:cs="宋体"/>
          <w:szCs w:val="24"/>
        </w:rPr>
        <w:t>合理化建议</w:t>
      </w:r>
      <w:r>
        <w:rPr>
          <w:rFonts w:hint="eastAsia" w:ascii="宋体" w:hAnsi="宋体"/>
          <w:color w:val="0C0C0C"/>
          <w:szCs w:val="24"/>
        </w:rPr>
        <w:t>；</w:t>
      </w:r>
    </w:p>
    <w:p>
      <w:pPr>
        <w:snapToGrid w:val="0"/>
        <w:spacing w:line="308" w:lineRule="auto"/>
        <w:ind w:firstLine="480"/>
        <w:contextualSpacing/>
        <w:jc w:val="left"/>
        <w:rPr>
          <w:rFonts w:ascii="宋体" w:hAnsi="宋体"/>
          <w:color w:val="0C0C0C"/>
          <w:szCs w:val="24"/>
        </w:rPr>
      </w:pPr>
      <w:r>
        <w:rPr>
          <w:rFonts w:hint="eastAsia" w:ascii="宋体" w:hAnsi="宋体"/>
          <w:color w:val="0C0C0C"/>
          <w:szCs w:val="24"/>
        </w:rPr>
        <w:t>（</w:t>
      </w:r>
      <w:r>
        <w:rPr>
          <w:rFonts w:ascii="宋体" w:hAnsi="宋体"/>
          <w:color w:val="0C0C0C"/>
          <w:szCs w:val="24"/>
        </w:rPr>
        <w:t>8</w:t>
      </w:r>
      <w:r>
        <w:rPr>
          <w:rFonts w:hint="eastAsia" w:ascii="宋体" w:hAnsi="宋体"/>
          <w:color w:val="0C0C0C"/>
          <w:szCs w:val="24"/>
        </w:rPr>
        <w:t>）项目经理简历表（格式见第六章）；</w:t>
      </w:r>
    </w:p>
    <w:p>
      <w:pPr>
        <w:spacing w:line="300" w:lineRule="auto"/>
        <w:ind w:firstLine="480"/>
        <w:contextualSpacing/>
        <w:jc w:val="left"/>
        <w:rPr>
          <w:rFonts w:ascii="宋体" w:hAnsi="宋体"/>
          <w:color w:val="0C0C0C"/>
          <w:szCs w:val="24"/>
        </w:rPr>
      </w:pPr>
      <w:r>
        <w:rPr>
          <w:rFonts w:hint="eastAsia" w:ascii="宋体" w:hAnsi="宋体"/>
          <w:color w:val="0C0C0C"/>
          <w:szCs w:val="24"/>
        </w:rPr>
        <w:t>（</w:t>
      </w:r>
      <w:r>
        <w:rPr>
          <w:rFonts w:ascii="宋体" w:hAnsi="宋体"/>
          <w:color w:val="0C0C0C"/>
          <w:szCs w:val="24"/>
        </w:rPr>
        <w:t>9</w:t>
      </w:r>
      <w:r>
        <w:rPr>
          <w:rFonts w:hint="eastAsia" w:ascii="宋体" w:hAnsi="宋体"/>
          <w:color w:val="0C0C0C"/>
          <w:szCs w:val="24"/>
        </w:rPr>
        <w:t>）项目副经理简历表（格式见第六章）；</w:t>
      </w:r>
    </w:p>
    <w:p>
      <w:pPr>
        <w:spacing w:line="300" w:lineRule="auto"/>
        <w:ind w:firstLine="480"/>
        <w:contextualSpacing/>
        <w:jc w:val="left"/>
        <w:rPr>
          <w:rFonts w:ascii="宋体" w:hAnsi="宋体"/>
          <w:color w:val="0C0C0C"/>
          <w:szCs w:val="24"/>
        </w:rPr>
      </w:pPr>
      <w:r>
        <w:rPr>
          <w:rFonts w:hint="eastAsia" w:ascii="宋体" w:hAnsi="宋体"/>
          <w:color w:val="0C0C0C"/>
          <w:szCs w:val="24"/>
        </w:rPr>
        <w:t>（</w:t>
      </w:r>
      <w:r>
        <w:rPr>
          <w:rFonts w:ascii="宋体" w:hAnsi="宋体"/>
          <w:color w:val="0C0C0C"/>
          <w:szCs w:val="24"/>
        </w:rPr>
        <w:t>10</w:t>
      </w:r>
      <w:r>
        <w:rPr>
          <w:rFonts w:hint="eastAsia" w:ascii="宋体" w:hAnsi="宋体"/>
          <w:color w:val="0C0C0C"/>
          <w:szCs w:val="24"/>
        </w:rPr>
        <w:t>）项目其他实施人员一览表（格式见第六章）；</w:t>
      </w:r>
    </w:p>
    <w:p>
      <w:pPr>
        <w:spacing w:line="300" w:lineRule="auto"/>
        <w:ind w:firstLine="480"/>
        <w:contextualSpacing/>
        <w:jc w:val="left"/>
        <w:rPr>
          <w:rFonts w:ascii="宋体" w:hAnsi="宋体"/>
          <w:color w:val="0C0C0C"/>
          <w:szCs w:val="24"/>
        </w:rPr>
      </w:pPr>
      <w:r>
        <w:rPr>
          <w:rFonts w:hint="eastAsia" w:ascii="宋体" w:hAnsi="宋体"/>
          <w:color w:val="0C0C0C"/>
          <w:szCs w:val="24"/>
        </w:rPr>
        <w:t>（</w:t>
      </w:r>
      <w:r>
        <w:rPr>
          <w:rFonts w:ascii="宋体" w:hAnsi="宋体"/>
          <w:color w:val="0C0C0C"/>
          <w:szCs w:val="24"/>
        </w:rPr>
        <w:t>11</w:t>
      </w:r>
      <w:r>
        <w:rPr>
          <w:rFonts w:hint="eastAsia" w:ascii="宋体" w:hAnsi="宋体"/>
          <w:color w:val="0C0C0C"/>
          <w:szCs w:val="24"/>
        </w:rPr>
        <w:t>）</w:t>
      </w:r>
      <w:r>
        <w:rPr>
          <w:rFonts w:hint="eastAsia" w:ascii="宋体" w:hAnsi="宋体" w:cs="宋体"/>
          <w:szCs w:val="24"/>
        </w:rPr>
        <w:t>优惠条件；</w:t>
      </w:r>
    </w:p>
    <w:p>
      <w:pPr>
        <w:snapToGrid w:val="0"/>
        <w:spacing w:line="308" w:lineRule="auto"/>
        <w:ind w:firstLine="480"/>
        <w:contextualSpacing/>
        <w:jc w:val="left"/>
        <w:rPr>
          <w:rFonts w:ascii="宋体" w:hAnsi="宋体"/>
          <w:color w:val="0C0C0C"/>
          <w:szCs w:val="24"/>
        </w:rPr>
      </w:pPr>
      <w:r>
        <w:rPr>
          <w:rFonts w:hint="eastAsia" w:ascii="宋体" w:hAnsi="宋体"/>
          <w:color w:val="0C0C0C"/>
          <w:szCs w:val="24"/>
        </w:rPr>
        <w:t>（1</w:t>
      </w:r>
      <w:r>
        <w:rPr>
          <w:rFonts w:ascii="宋体" w:hAnsi="宋体"/>
          <w:color w:val="0C0C0C"/>
          <w:szCs w:val="24"/>
        </w:rPr>
        <w:t>2</w:t>
      </w:r>
      <w:r>
        <w:rPr>
          <w:rFonts w:hint="eastAsia" w:ascii="宋体" w:hAnsi="宋体"/>
          <w:color w:val="0C0C0C"/>
          <w:szCs w:val="24"/>
        </w:rPr>
        <w:t>）投标人根据评标办法及采购需求需要提供的其他资料。</w:t>
      </w:r>
    </w:p>
    <w:p>
      <w:pPr>
        <w:snapToGrid w:val="0"/>
        <w:spacing w:line="307" w:lineRule="auto"/>
        <w:ind w:firstLine="482"/>
        <w:contextualSpacing/>
        <w:rPr>
          <w:rFonts w:ascii="宋体" w:hAnsi="宋体" w:cs="宋体"/>
          <w:b/>
          <w:bCs/>
          <w:szCs w:val="24"/>
        </w:rPr>
      </w:pPr>
      <w:r>
        <w:rPr>
          <w:rFonts w:hint="eastAsia" w:ascii="宋体" w:hAnsi="宋体" w:cs="宋体"/>
          <w:b/>
          <w:bCs/>
          <w:szCs w:val="24"/>
        </w:rPr>
        <w:t>2．投标报价文件：</w:t>
      </w:r>
    </w:p>
    <w:p>
      <w:pPr>
        <w:snapToGrid w:val="0"/>
        <w:spacing w:line="307" w:lineRule="auto"/>
        <w:ind w:firstLine="480"/>
        <w:contextualSpacing/>
        <w:rPr>
          <w:rFonts w:ascii="宋体" w:hAnsi="宋体" w:cs="宋体"/>
          <w:szCs w:val="24"/>
        </w:rPr>
      </w:pPr>
      <w:r>
        <w:rPr>
          <w:rFonts w:hint="eastAsia" w:ascii="宋体" w:hAnsi="宋体" w:cs="宋体"/>
          <w:szCs w:val="24"/>
        </w:rPr>
        <w:t xml:space="preserve">（1）投标函（格式见第六章）； </w:t>
      </w:r>
    </w:p>
    <w:p>
      <w:pPr>
        <w:snapToGrid w:val="0"/>
        <w:spacing w:line="307" w:lineRule="auto"/>
        <w:ind w:firstLine="480"/>
        <w:contextualSpacing/>
        <w:rPr>
          <w:rFonts w:ascii="宋体" w:hAnsi="宋体" w:cs="宋体"/>
          <w:szCs w:val="24"/>
        </w:rPr>
      </w:pPr>
      <w:r>
        <w:rPr>
          <w:rFonts w:hint="eastAsia" w:ascii="宋体" w:hAnsi="宋体" w:cs="宋体"/>
          <w:szCs w:val="24"/>
        </w:rPr>
        <w:t>（2）开标一览表（格式见第六章）；</w:t>
      </w:r>
    </w:p>
    <w:p>
      <w:pPr>
        <w:snapToGrid w:val="0"/>
        <w:spacing w:line="307" w:lineRule="auto"/>
        <w:ind w:firstLine="480"/>
        <w:contextualSpacing/>
        <w:rPr>
          <w:rFonts w:ascii="宋体" w:hAnsi="宋体" w:cs="宋体"/>
          <w:szCs w:val="24"/>
        </w:rPr>
      </w:pPr>
      <w:r>
        <w:rPr>
          <w:rFonts w:hint="eastAsia" w:ascii="宋体" w:hAnsi="宋体" w:cs="宋体"/>
          <w:szCs w:val="24"/>
        </w:rPr>
        <w:t>（3）投标报价明细表（格式见第六章）；</w:t>
      </w:r>
    </w:p>
    <w:p>
      <w:pPr>
        <w:snapToGrid w:val="0"/>
        <w:spacing w:line="307" w:lineRule="auto"/>
        <w:ind w:firstLine="480"/>
        <w:contextualSpacing/>
        <w:rPr>
          <w:rFonts w:ascii="宋体" w:hAnsi="宋体" w:cs="宋体"/>
          <w:szCs w:val="24"/>
        </w:rPr>
      </w:pPr>
      <w:r>
        <w:rPr>
          <w:rFonts w:hint="eastAsia" w:ascii="宋体" w:hAnsi="宋体" w:cs="宋体"/>
          <w:szCs w:val="24"/>
        </w:rPr>
        <w:t>（4）投标人需要说明的其他事项。</w:t>
      </w:r>
    </w:p>
    <w:p>
      <w:pPr>
        <w:pStyle w:val="30"/>
        <w:widowControl w:val="0"/>
        <w:spacing w:before="0" w:afterLines="0" w:line="307" w:lineRule="auto"/>
        <w:ind w:firstLine="482"/>
        <w:contextualSpacing/>
        <w:jc w:val="both"/>
        <w:rPr>
          <w:rFonts w:ascii="宋体" w:hAnsi="宋体" w:cs="宋体"/>
        </w:rPr>
      </w:pPr>
      <w:r>
        <w:rPr>
          <w:rFonts w:hint="eastAsia" w:ascii="宋体" w:hAnsi="宋体" w:cs="宋体"/>
          <w:b/>
          <w:bCs/>
        </w:rPr>
        <w:t>注：法定代表人授权委托书、投标声明书必须由法定代表人签名（或盖章）并加盖CA公章；诚信承诺书、投标函、开标一览表、投标报价明细表、投标人基本情况表、项目经理简历表、项目副经理简历表、项目其他实施人员一览表、同类项目业绩表、残疾人福利性单位声明函必须由法定代表人或授权代表签名（或盖章）并加盖CA公章；中小企业声明函必须加盖CA公章；签章不齐的视同未提供。</w:t>
      </w:r>
    </w:p>
    <w:p>
      <w:pPr>
        <w:snapToGrid w:val="0"/>
        <w:spacing w:line="300" w:lineRule="auto"/>
        <w:ind w:firstLine="482"/>
        <w:rPr>
          <w:rFonts w:ascii="宋体" w:hAnsi="宋体" w:cs="宋体"/>
          <w:b/>
          <w:bCs/>
        </w:rPr>
      </w:pPr>
      <w:r>
        <w:rPr>
          <w:rFonts w:hint="eastAsia" w:ascii="宋体" w:hAnsi="宋体" w:cs="宋体"/>
          <w:b/>
          <w:bCs/>
        </w:rPr>
        <w:t>（二）投标文件的语言及计量</w:t>
      </w:r>
    </w:p>
    <w:p>
      <w:pPr>
        <w:snapToGrid w:val="0"/>
        <w:spacing w:line="300" w:lineRule="auto"/>
        <w:ind w:firstLine="480"/>
        <w:rPr>
          <w:rFonts w:ascii="宋体" w:hAnsi="宋体" w:cs="宋体"/>
          <w:szCs w:val="24"/>
        </w:rPr>
      </w:pPr>
      <w:r>
        <w:rPr>
          <w:rFonts w:hint="eastAsia" w:ascii="宋体" w:hAnsi="宋体" w:cs="宋体"/>
          <w:szCs w:val="24"/>
        </w:rPr>
        <w:t>1</w:t>
      </w:r>
      <w:r>
        <w:rPr>
          <w:rFonts w:hint="eastAsia" w:ascii="宋体" w:hAnsi="宋体" w:cs="宋体"/>
          <w:kern w:val="0"/>
          <w:szCs w:val="24"/>
        </w:rPr>
        <w:t>．</w:t>
      </w:r>
      <w:r>
        <w:rPr>
          <w:rFonts w:hint="eastAsia" w:ascii="宋体" w:hAnsi="宋体" w:cs="宋体"/>
          <w:szCs w:val="24"/>
        </w:rPr>
        <w:t>投标文件以及投标方与采购方就有关投标事宜的所有来往函电，均应以中文汉语书写。除签名、盖章、专用名称等特殊情形外，以中文汉语以外的文字表述的投标文件视同未提供。</w:t>
      </w:r>
    </w:p>
    <w:p>
      <w:pPr>
        <w:snapToGrid w:val="0"/>
        <w:spacing w:line="300" w:lineRule="auto"/>
        <w:ind w:firstLine="480"/>
        <w:rPr>
          <w:rFonts w:ascii="宋体" w:hAnsi="宋体" w:cs="宋体"/>
          <w:szCs w:val="24"/>
        </w:rPr>
      </w:pPr>
      <w:r>
        <w:rPr>
          <w:rFonts w:hint="eastAsia" w:ascii="宋体" w:hAnsi="宋体" w:cs="宋体"/>
          <w:szCs w:val="24"/>
        </w:rPr>
        <w:t>2</w:t>
      </w:r>
      <w:r>
        <w:rPr>
          <w:rFonts w:hint="eastAsia" w:ascii="宋体" w:hAnsi="宋体" w:cs="宋体"/>
          <w:kern w:val="0"/>
          <w:szCs w:val="24"/>
        </w:rPr>
        <w:t>．</w:t>
      </w:r>
      <w:r>
        <w:rPr>
          <w:rFonts w:hint="eastAsia" w:ascii="宋体" w:hAnsi="宋体" w:cs="宋体"/>
          <w:szCs w:val="24"/>
        </w:rPr>
        <w:t>投标计量单位，采购文件已有明确规定的，使用采购文件规定的计量单位；采购文件没有规定的，应采用中华人民共和国法定计量单位（货币单位：人民币元），否则视同未响应。</w:t>
      </w:r>
    </w:p>
    <w:p>
      <w:pPr>
        <w:snapToGrid w:val="0"/>
        <w:spacing w:line="300" w:lineRule="auto"/>
        <w:ind w:firstLine="482"/>
        <w:rPr>
          <w:rFonts w:ascii="宋体" w:hAnsi="宋体" w:cs="宋体"/>
          <w:b/>
          <w:bCs/>
        </w:rPr>
      </w:pPr>
      <w:r>
        <w:rPr>
          <w:rFonts w:hint="eastAsia" w:ascii="宋体" w:hAnsi="宋体" w:cs="宋体"/>
          <w:b/>
          <w:bCs/>
        </w:rPr>
        <w:t>（三）投标报价</w:t>
      </w:r>
    </w:p>
    <w:p>
      <w:pPr>
        <w:adjustRightInd w:val="0"/>
        <w:snapToGrid w:val="0"/>
        <w:spacing w:line="324" w:lineRule="auto"/>
        <w:ind w:firstLine="480"/>
        <w:rPr>
          <w:rFonts w:ascii="宋体" w:hAnsi="宋体" w:cs="宋体"/>
        </w:rPr>
      </w:pPr>
      <w:r>
        <w:rPr>
          <w:rFonts w:hint="eastAsia" w:ascii="宋体" w:hAnsi="宋体" w:cs="宋体"/>
        </w:rPr>
        <w:t>1</w:t>
      </w:r>
      <w:r>
        <w:rPr>
          <w:rFonts w:hint="eastAsia" w:ascii="宋体" w:hAnsi="宋体" w:cs="宋体"/>
          <w:kern w:val="0"/>
          <w:szCs w:val="24"/>
        </w:rPr>
        <w:t>．</w:t>
      </w:r>
      <w:r>
        <w:rPr>
          <w:rFonts w:hint="eastAsia" w:ascii="宋体" w:hAnsi="宋体" w:cs="宋体"/>
        </w:rPr>
        <w:t>投标报价应按采购文件中相关附表格式填写。</w:t>
      </w:r>
    </w:p>
    <w:p>
      <w:pPr>
        <w:adjustRightInd w:val="0"/>
        <w:snapToGrid w:val="0"/>
        <w:spacing w:line="300" w:lineRule="auto"/>
        <w:ind w:firstLine="480"/>
        <w:rPr>
          <w:rFonts w:ascii="宋体" w:hAnsi="宋体" w:cs="宋体"/>
          <w:bCs/>
        </w:rPr>
      </w:pPr>
      <w:r>
        <w:rPr>
          <w:rFonts w:hint="eastAsia" w:ascii="宋体" w:hAnsi="宋体" w:cs="宋体"/>
        </w:rPr>
        <w:t>2</w:t>
      </w:r>
      <w:r>
        <w:rPr>
          <w:rFonts w:hint="eastAsia" w:ascii="宋体" w:hAnsi="宋体" w:cs="宋体"/>
          <w:kern w:val="0"/>
          <w:szCs w:val="24"/>
        </w:rPr>
        <w:t>．</w:t>
      </w:r>
      <w:r>
        <w:rPr>
          <w:rFonts w:hint="eastAsia" w:ascii="宋体" w:hAnsi="宋体" w:cs="宋体"/>
        </w:rPr>
        <w:t>投标报价是履行合同的最终价格，应包括</w:t>
      </w:r>
      <w:r>
        <w:rPr>
          <w:rFonts w:hint="eastAsia" w:ascii="宋体" w:hAnsi="宋体"/>
          <w:szCs w:val="21"/>
        </w:rPr>
        <w:t>人工、材料、标准附件、备品备件、专用工具、包装、运输、装卸、保险、货到就位以及安装、调试、培训、保修、利润、税金、招标代理费等一切费用</w:t>
      </w:r>
      <w:r>
        <w:rPr>
          <w:rFonts w:hint="eastAsia" w:ascii="宋体" w:hAnsi="宋体" w:cs="宋体"/>
          <w:bCs/>
          <w:szCs w:val="24"/>
        </w:rPr>
        <w:t>。</w:t>
      </w:r>
    </w:p>
    <w:p>
      <w:pPr>
        <w:adjustRightInd w:val="0"/>
        <w:snapToGrid w:val="0"/>
        <w:spacing w:line="324" w:lineRule="auto"/>
        <w:ind w:firstLine="480"/>
        <w:rPr>
          <w:rFonts w:ascii="宋体" w:hAnsi="宋体" w:cs="宋体"/>
        </w:rPr>
      </w:pPr>
      <w:r>
        <w:rPr>
          <w:rFonts w:hint="eastAsia" w:ascii="宋体" w:hAnsi="宋体" w:cs="宋体"/>
        </w:rPr>
        <w:t>▲3</w:t>
      </w:r>
      <w:r>
        <w:rPr>
          <w:rFonts w:hint="eastAsia" w:ascii="宋体" w:hAnsi="宋体" w:cs="宋体"/>
          <w:kern w:val="0"/>
          <w:szCs w:val="24"/>
        </w:rPr>
        <w:t>．</w:t>
      </w:r>
      <w:r>
        <w:rPr>
          <w:rFonts w:hint="eastAsia" w:ascii="宋体" w:hAnsi="宋体" w:cs="宋体"/>
        </w:rPr>
        <w:t>投标文件只允许有一个报价，有选择的或有条件的报价将不予接受。</w:t>
      </w:r>
    </w:p>
    <w:p>
      <w:pPr>
        <w:pStyle w:val="8"/>
        <w:widowControl w:val="0"/>
        <w:snapToGrid w:val="0"/>
        <w:spacing w:afterLines="0" w:line="300" w:lineRule="auto"/>
        <w:ind w:left="0" w:firstLine="562"/>
        <w:jc w:val="both"/>
        <w:rPr>
          <w:rFonts w:ascii="宋体" w:hAnsi="宋体" w:cs="宋体"/>
          <w:b/>
          <w:bCs/>
          <w:sz w:val="28"/>
          <w:szCs w:val="28"/>
        </w:rPr>
      </w:pPr>
      <w:r>
        <w:rPr>
          <w:rFonts w:hint="eastAsia" w:ascii="宋体" w:hAnsi="宋体" w:cs="宋体"/>
          <w:b/>
          <w:bCs/>
          <w:sz w:val="28"/>
          <w:szCs w:val="28"/>
        </w:rPr>
        <w:t>（四）投标文件的有效期</w:t>
      </w:r>
    </w:p>
    <w:p>
      <w:pPr>
        <w:snapToGrid w:val="0"/>
        <w:spacing w:line="300" w:lineRule="auto"/>
        <w:ind w:firstLine="480"/>
        <w:rPr>
          <w:rFonts w:ascii="宋体" w:hAnsi="宋体" w:cs="宋体"/>
          <w:szCs w:val="24"/>
        </w:rPr>
      </w:pPr>
      <w:r>
        <w:rPr>
          <w:rFonts w:hint="eastAsia" w:ascii="宋体" w:hAnsi="宋体" w:cs="宋体"/>
        </w:rPr>
        <w:t>▲</w:t>
      </w:r>
      <w:r>
        <w:rPr>
          <w:rFonts w:hint="eastAsia" w:ascii="宋体" w:hAnsi="宋体" w:cs="宋体"/>
          <w:szCs w:val="24"/>
        </w:rPr>
        <w:t>1</w:t>
      </w:r>
      <w:r>
        <w:rPr>
          <w:rFonts w:hint="eastAsia" w:ascii="宋体" w:hAnsi="宋体" w:cs="宋体"/>
          <w:kern w:val="0"/>
          <w:szCs w:val="24"/>
        </w:rPr>
        <w:t>．</w:t>
      </w:r>
      <w:r>
        <w:rPr>
          <w:rFonts w:hint="eastAsia" w:ascii="宋体" w:hAnsi="宋体" w:cs="宋体"/>
          <w:szCs w:val="24"/>
        </w:rPr>
        <w:t>自投标截止日起</w:t>
      </w:r>
      <w:r>
        <w:rPr>
          <w:rFonts w:hint="eastAsia" w:ascii="宋体" w:hAnsi="宋体" w:cs="宋体"/>
          <w:b/>
          <w:bCs/>
          <w:szCs w:val="24"/>
        </w:rPr>
        <w:t>90天</w:t>
      </w:r>
      <w:r>
        <w:rPr>
          <w:rFonts w:hint="eastAsia" w:ascii="宋体" w:hAnsi="宋体" w:cs="宋体"/>
          <w:szCs w:val="24"/>
        </w:rPr>
        <w:t>投标书应保持有效。有效期不足的投标文件将被拒绝。</w:t>
      </w:r>
    </w:p>
    <w:p>
      <w:pPr>
        <w:snapToGrid w:val="0"/>
        <w:spacing w:line="300" w:lineRule="auto"/>
        <w:ind w:firstLine="480"/>
        <w:rPr>
          <w:rFonts w:ascii="宋体" w:hAnsi="宋体" w:cs="宋体"/>
          <w:szCs w:val="24"/>
        </w:rPr>
      </w:pPr>
      <w:r>
        <w:rPr>
          <w:rFonts w:hint="eastAsia" w:ascii="宋体" w:hAnsi="宋体" w:cs="宋体"/>
          <w:szCs w:val="24"/>
        </w:rPr>
        <w:t>2</w:t>
      </w:r>
      <w:r>
        <w:rPr>
          <w:rFonts w:hint="eastAsia" w:ascii="宋体" w:hAnsi="宋体" w:cs="宋体"/>
          <w:kern w:val="0"/>
          <w:szCs w:val="24"/>
        </w:rPr>
        <w:t>．</w:t>
      </w:r>
      <w:r>
        <w:rPr>
          <w:rFonts w:hint="eastAsia" w:ascii="宋体" w:hAnsi="宋体" w:cs="宋体"/>
          <w:szCs w:val="24"/>
        </w:rPr>
        <w:t>在特殊情况下，招标人可与投标人协商延长投标书的有效期，这种要求和答复均以书面形式进行。</w:t>
      </w:r>
    </w:p>
    <w:p>
      <w:pPr>
        <w:snapToGrid w:val="0"/>
        <w:spacing w:line="300" w:lineRule="auto"/>
        <w:ind w:firstLine="480"/>
        <w:rPr>
          <w:rFonts w:ascii="宋体" w:hAnsi="宋体" w:cs="宋体"/>
          <w:b/>
          <w:bCs/>
          <w:szCs w:val="24"/>
        </w:rPr>
      </w:pPr>
      <w:r>
        <w:rPr>
          <w:rFonts w:hint="eastAsia" w:ascii="宋体" w:hAnsi="宋体" w:cs="宋体"/>
          <w:szCs w:val="24"/>
        </w:rPr>
        <w:t>3</w:t>
      </w:r>
      <w:r>
        <w:rPr>
          <w:rFonts w:hint="eastAsia" w:ascii="宋体" w:hAnsi="宋体" w:cs="宋体"/>
          <w:kern w:val="0"/>
          <w:szCs w:val="24"/>
        </w:rPr>
        <w:t>．</w:t>
      </w:r>
      <w:r>
        <w:rPr>
          <w:rFonts w:hint="eastAsia" w:ascii="宋体" w:hAnsi="宋体" w:cs="宋体"/>
          <w:szCs w:val="24"/>
        </w:rPr>
        <w:t>投标人可拒绝接受延期要求。同意延长有效期的不能修改投标文件。</w:t>
      </w:r>
    </w:p>
    <w:p>
      <w:pPr>
        <w:snapToGrid w:val="0"/>
        <w:spacing w:line="300" w:lineRule="auto"/>
        <w:ind w:firstLine="480"/>
        <w:rPr>
          <w:rFonts w:ascii="宋体" w:hAnsi="宋体" w:cs="宋体"/>
          <w:szCs w:val="24"/>
        </w:rPr>
      </w:pPr>
      <w:r>
        <w:rPr>
          <w:rFonts w:hint="eastAsia" w:ascii="宋体" w:hAnsi="宋体" w:cs="宋体"/>
          <w:szCs w:val="24"/>
        </w:rPr>
        <w:t>4</w:t>
      </w:r>
      <w:r>
        <w:rPr>
          <w:rFonts w:hint="eastAsia" w:ascii="宋体" w:hAnsi="宋体" w:cs="宋体"/>
          <w:kern w:val="0"/>
          <w:szCs w:val="24"/>
        </w:rPr>
        <w:t>．</w:t>
      </w:r>
      <w:r>
        <w:rPr>
          <w:rFonts w:hint="eastAsia" w:ascii="宋体" w:hAnsi="宋体" w:cs="宋体"/>
          <w:szCs w:val="24"/>
        </w:rPr>
        <w:t>中标供应商的投标文件自开标之日起至合同履行完毕止均应保持有效。</w:t>
      </w:r>
    </w:p>
    <w:p>
      <w:pPr>
        <w:pStyle w:val="8"/>
        <w:widowControl w:val="0"/>
        <w:snapToGrid w:val="0"/>
        <w:spacing w:afterLines="0" w:line="300" w:lineRule="auto"/>
        <w:ind w:left="0" w:firstLine="562"/>
        <w:jc w:val="both"/>
        <w:rPr>
          <w:rFonts w:ascii="宋体" w:hAnsi="宋体" w:cs="宋体"/>
          <w:b/>
          <w:bCs/>
          <w:sz w:val="28"/>
          <w:szCs w:val="28"/>
        </w:rPr>
      </w:pPr>
      <w:r>
        <w:rPr>
          <w:rFonts w:hint="eastAsia" w:ascii="宋体" w:hAnsi="宋体" w:cs="宋体"/>
          <w:b/>
          <w:bCs/>
          <w:sz w:val="28"/>
          <w:szCs w:val="28"/>
        </w:rPr>
        <w:t>（五）投标文件的递交</w:t>
      </w:r>
    </w:p>
    <w:p>
      <w:pPr>
        <w:snapToGrid w:val="0"/>
        <w:spacing w:before="120" w:beforeLines="50" w:line="300" w:lineRule="auto"/>
        <w:ind w:firstLine="472" w:firstLineChars="196"/>
        <w:jc w:val="left"/>
        <w:outlineLvl w:val="0"/>
        <w:rPr>
          <w:rFonts w:ascii="宋体" w:hAnsi="宋体"/>
          <w:b/>
        </w:rPr>
      </w:pPr>
      <w:bookmarkStart w:id="77" w:name="_Toc29615"/>
      <w:r>
        <w:rPr>
          <w:rFonts w:hint="eastAsia" w:ascii="宋体" w:hAnsi="宋体"/>
          <w:b/>
        </w:rPr>
        <w:t>电子投标</w:t>
      </w:r>
      <w:r>
        <w:rPr>
          <w:rFonts w:ascii="宋体" w:hAnsi="宋体"/>
          <w:b/>
        </w:rPr>
        <w:t>文件</w:t>
      </w:r>
      <w:bookmarkEnd w:id="77"/>
    </w:p>
    <w:p>
      <w:pPr>
        <w:snapToGrid w:val="0"/>
        <w:spacing w:line="300" w:lineRule="auto"/>
        <w:ind w:firstLine="470" w:firstLineChars="196"/>
        <w:jc w:val="left"/>
        <w:outlineLvl w:val="0"/>
        <w:rPr>
          <w:rFonts w:ascii="宋体" w:hAnsi="宋体"/>
          <w:kern w:val="0"/>
        </w:rPr>
      </w:pPr>
      <w:bookmarkStart w:id="78" w:name="_Toc30278"/>
      <w:r>
        <w:rPr>
          <w:rFonts w:hint="eastAsia" w:ascii="宋体" w:hAnsi="宋体"/>
          <w:color w:val="000000" w:themeColor="text1"/>
          <w:kern w:val="0"/>
        </w:rPr>
        <w:t>电子投标文件按政采云平台供应商电子招投标操作指南（网址：</w:t>
      </w:r>
      <w:r>
        <w:fldChar w:fldCharType="begin"/>
      </w:r>
      <w:r>
        <w:instrText xml:space="preserve"> HYPERLINK "https://service.zcygov.cn/" \l "/knowledges/CW1EtGwBFdiHxlNd6I3m/6IMVAG0BFdiHxlNdQ8Na" </w:instrText>
      </w:r>
      <w:r>
        <w:fldChar w:fldCharType="separate"/>
      </w:r>
      <w:r>
        <w:rPr>
          <w:rStyle w:val="43"/>
          <w:rFonts w:hint="eastAsia" w:ascii="宋体" w:hAnsi="宋体" w:cs="宋体"/>
          <w:color w:val="000000" w:themeColor="text1"/>
          <w:kern w:val="0"/>
          <w:szCs w:val="22"/>
        </w:rPr>
        <w:t>https://service.zcygov.cn/#/knowledges/CW1EtGwBFdiHxlNd6I3m/6IMVAG0BFdiHxlNdQ8Na</w:t>
      </w:r>
      <w:r>
        <w:rPr>
          <w:rStyle w:val="43"/>
          <w:rFonts w:hint="eastAsia" w:ascii="宋体" w:hAnsi="宋体" w:cs="宋体"/>
          <w:color w:val="000000" w:themeColor="text1"/>
          <w:kern w:val="0"/>
          <w:szCs w:val="22"/>
        </w:rPr>
        <w:fldChar w:fldCharType="end"/>
      </w:r>
      <w:r>
        <w:fldChar w:fldCharType="begin"/>
      </w:r>
      <w:r>
        <w:instrText xml:space="preserve"> HYPERLINK "https://help.zcygov.cn/web/site_2/2018/12-28/2573.html）及本招标文件规定的格式和顺序编制电子投标文件并进行关联定位。" </w:instrText>
      </w:r>
      <w:r>
        <w:fldChar w:fldCharType="separate"/>
      </w:r>
      <w:r>
        <w:rPr>
          <w:rStyle w:val="43"/>
          <w:rFonts w:hint="eastAsia" w:ascii="宋体" w:hAnsi="宋体"/>
          <w:color w:val="auto"/>
          <w:kern w:val="0"/>
        </w:rPr>
        <w:t>）及本招标文件规定的格式和顺序编制电子投标文件并进行关联定位。</w:t>
      </w:r>
      <w:r>
        <w:rPr>
          <w:rStyle w:val="43"/>
          <w:rFonts w:hint="eastAsia" w:ascii="宋体" w:hAnsi="宋体"/>
          <w:color w:val="auto"/>
          <w:kern w:val="0"/>
        </w:rPr>
        <w:fldChar w:fldCharType="end"/>
      </w:r>
      <w:bookmarkEnd w:id="78"/>
    </w:p>
    <w:p>
      <w:pPr>
        <w:tabs>
          <w:tab w:val="left" w:pos="2212"/>
        </w:tabs>
        <w:adjustRightInd w:val="0"/>
        <w:snapToGrid w:val="0"/>
        <w:spacing w:line="300" w:lineRule="auto"/>
        <w:ind w:firstLine="480"/>
        <w:rPr>
          <w:rFonts w:ascii="新宋体" w:hAnsi="新宋体" w:eastAsia="新宋体" w:cs="Courier New"/>
          <w:szCs w:val="21"/>
        </w:rPr>
      </w:pPr>
      <w:r>
        <w:rPr>
          <w:rFonts w:hint="eastAsia" w:ascii="宋体" w:hAnsi="宋体" w:eastAsia="新宋体"/>
          <w:bCs/>
        </w:rPr>
        <w:t>1.</w:t>
      </w:r>
      <w:r>
        <w:rPr>
          <w:rFonts w:hint="eastAsia" w:ascii="新宋体" w:hAnsi="新宋体" w:eastAsia="新宋体" w:cs="Courier New"/>
          <w:bCs/>
          <w:szCs w:val="21"/>
        </w:rPr>
        <w:t>投</w:t>
      </w:r>
      <w:r>
        <w:rPr>
          <w:rFonts w:hint="eastAsia" w:ascii="新宋体" w:hAnsi="新宋体" w:eastAsia="新宋体" w:cs="Courier New"/>
          <w:szCs w:val="21"/>
        </w:rPr>
        <w:t>标人应于2023年</w:t>
      </w:r>
      <w:r>
        <w:rPr>
          <w:rFonts w:hint="eastAsia" w:ascii="新宋体" w:hAnsi="新宋体" w:eastAsia="新宋体" w:cs="Courier New"/>
          <w:szCs w:val="21"/>
          <w:lang w:val="en-US" w:eastAsia="zh-CN"/>
        </w:rPr>
        <w:t>5</w:t>
      </w:r>
      <w:r>
        <w:rPr>
          <w:rFonts w:hint="eastAsia" w:ascii="新宋体" w:hAnsi="新宋体" w:eastAsia="新宋体" w:cs="Courier New"/>
          <w:szCs w:val="21"/>
        </w:rPr>
        <w:t>月</w:t>
      </w:r>
      <w:r>
        <w:rPr>
          <w:rFonts w:hint="eastAsia" w:ascii="新宋体" w:hAnsi="新宋体" w:eastAsia="新宋体" w:cs="Courier New"/>
          <w:szCs w:val="21"/>
          <w:lang w:val="en-US" w:eastAsia="zh-CN"/>
        </w:rPr>
        <w:t>31</w:t>
      </w:r>
      <w:r>
        <w:rPr>
          <w:rFonts w:hint="eastAsia" w:ascii="新宋体" w:hAnsi="新宋体" w:eastAsia="新宋体" w:cs="Courier New"/>
          <w:szCs w:val="21"/>
        </w:rPr>
        <w:t>日</w:t>
      </w:r>
      <w:r>
        <w:rPr>
          <w:rFonts w:ascii="新宋体" w:hAnsi="新宋体" w:eastAsia="新宋体" w:cs="Courier New"/>
          <w:szCs w:val="21"/>
        </w:rPr>
        <w:t>14：</w:t>
      </w:r>
      <w:r>
        <w:rPr>
          <w:rFonts w:hint="eastAsia" w:ascii="新宋体" w:hAnsi="新宋体" w:eastAsia="新宋体" w:cs="Courier New"/>
          <w:szCs w:val="21"/>
          <w:lang w:val="en-US" w:eastAsia="zh-CN"/>
        </w:rPr>
        <w:t>0</w:t>
      </w:r>
      <w:r>
        <w:rPr>
          <w:rFonts w:ascii="新宋体" w:hAnsi="新宋体" w:eastAsia="新宋体" w:cs="Courier New"/>
          <w:szCs w:val="21"/>
        </w:rPr>
        <w:t>0</w:t>
      </w:r>
      <w:r>
        <w:rPr>
          <w:rFonts w:hint="eastAsia" w:ascii="新宋体" w:hAnsi="新宋体" w:eastAsia="新宋体" w:cs="Courier New"/>
          <w:szCs w:val="21"/>
        </w:rPr>
        <w:t>前在“政采云”上自行加密上传电子投标文件，</w:t>
      </w:r>
      <w:r>
        <w:rPr>
          <w:rFonts w:ascii="新宋体" w:hAnsi="新宋体" w:eastAsia="新宋体" w:cs="Courier New"/>
          <w:szCs w:val="21"/>
        </w:rPr>
        <w:t>逾期</w:t>
      </w:r>
      <w:r>
        <w:rPr>
          <w:rFonts w:hint="eastAsia" w:ascii="新宋体" w:hAnsi="新宋体" w:eastAsia="新宋体" w:cs="Courier New"/>
          <w:szCs w:val="21"/>
        </w:rPr>
        <w:t>上传</w:t>
      </w:r>
      <w:r>
        <w:rPr>
          <w:rFonts w:ascii="新宋体" w:hAnsi="新宋体" w:eastAsia="新宋体" w:cs="Courier New"/>
          <w:szCs w:val="21"/>
        </w:rPr>
        <w:t>或未按要求</w:t>
      </w:r>
      <w:r>
        <w:rPr>
          <w:rFonts w:hint="eastAsia" w:ascii="新宋体" w:hAnsi="新宋体" w:eastAsia="新宋体" w:cs="Courier New"/>
          <w:szCs w:val="21"/>
        </w:rPr>
        <w:t>上传</w:t>
      </w:r>
      <w:r>
        <w:rPr>
          <w:rFonts w:ascii="新宋体" w:hAnsi="新宋体" w:eastAsia="新宋体" w:cs="Courier New"/>
          <w:szCs w:val="21"/>
        </w:rPr>
        <w:t>的投标文件将予以拒收。</w:t>
      </w:r>
    </w:p>
    <w:p>
      <w:pPr>
        <w:tabs>
          <w:tab w:val="left" w:pos="2212"/>
        </w:tabs>
        <w:adjustRightInd w:val="0"/>
        <w:snapToGrid w:val="0"/>
        <w:spacing w:line="480" w:lineRule="exact"/>
        <w:ind w:firstLine="480"/>
        <w:rPr>
          <w:rFonts w:ascii="新宋体" w:hAnsi="新宋体" w:eastAsia="新宋体" w:cs="Courier New"/>
          <w:szCs w:val="21"/>
        </w:rPr>
      </w:pPr>
      <w:r>
        <w:rPr>
          <w:rFonts w:hint="eastAsia" w:ascii="新宋体" w:hAnsi="新宋体" w:eastAsia="新宋体" w:cs="Courier New"/>
          <w:szCs w:val="21"/>
        </w:rPr>
        <w:t>2.代理机构在规定的投标截止时间以后“政采云平台”将不接收投标文件。</w:t>
      </w:r>
    </w:p>
    <w:p>
      <w:pPr>
        <w:pStyle w:val="18"/>
        <w:spacing w:beforeLines="0" w:afterLines="0" w:line="480" w:lineRule="exact"/>
        <w:ind w:firstLine="482"/>
        <w:rPr>
          <w:rFonts w:hAnsi="宋体" w:cs="宋体"/>
          <w:b/>
          <w:bCs/>
          <w:sz w:val="24"/>
          <w:szCs w:val="24"/>
        </w:rPr>
      </w:pPr>
      <w:r>
        <w:rPr>
          <w:rFonts w:hint="eastAsia" w:hAnsi="宋体" w:cs="宋体"/>
          <w:b/>
          <w:bCs/>
          <w:sz w:val="24"/>
          <w:szCs w:val="24"/>
        </w:rPr>
        <w:t>投标文件解密</w:t>
      </w:r>
    </w:p>
    <w:p>
      <w:pPr>
        <w:tabs>
          <w:tab w:val="left" w:pos="2212"/>
        </w:tabs>
        <w:adjustRightInd w:val="0"/>
        <w:snapToGrid w:val="0"/>
        <w:spacing w:line="480" w:lineRule="exact"/>
        <w:ind w:firstLine="480"/>
        <w:rPr>
          <w:rFonts w:ascii="宋体" w:hAnsi="宋体" w:cs="宋体"/>
          <w:szCs w:val="24"/>
        </w:rPr>
      </w:pPr>
      <w:r>
        <w:rPr>
          <w:rFonts w:hint="eastAsia" w:ascii="宋体" w:hAnsi="宋体" w:cs="宋体"/>
          <w:szCs w:val="24"/>
        </w:rPr>
        <w:t>开标时间后半小时内（2023年</w:t>
      </w:r>
      <w:r>
        <w:rPr>
          <w:rFonts w:hint="eastAsia" w:ascii="宋体" w:hAnsi="宋体" w:cs="宋体"/>
          <w:szCs w:val="24"/>
          <w:lang w:val="en-US" w:eastAsia="zh-CN"/>
        </w:rPr>
        <w:t>5</w:t>
      </w:r>
      <w:r>
        <w:rPr>
          <w:rFonts w:hint="eastAsia" w:ascii="宋体" w:hAnsi="宋体" w:cs="宋体"/>
          <w:szCs w:val="24"/>
        </w:rPr>
        <w:t>月</w:t>
      </w:r>
      <w:r>
        <w:rPr>
          <w:rFonts w:hint="eastAsia" w:ascii="宋体" w:hAnsi="宋体" w:cs="宋体"/>
          <w:szCs w:val="24"/>
          <w:lang w:val="en-US" w:eastAsia="zh-CN"/>
        </w:rPr>
        <w:t>31</w:t>
      </w:r>
      <w:r>
        <w:rPr>
          <w:rFonts w:hint="eastAsia" w:ascii="宋体" w:hAnsi="宋体" w:cs="宋体"/>
          <w:szCs w:val="24"/>
        </w:rPr>
        <w:t>日</w:t>
      </w:r>
      <w:r>
        <w:rPr>
          <w:rFonts w:ascii="宋体" w:hAnsi="宋体" w:cs="宋体"/>
          <w:szCs w:val="24"/>
        </w:rPr>
        <w:t>1</w:t>
      </w:r>
      <w:r>
        <w:rPr>
          <w:rFonts w:hint="eastAsia" w:ascii="宋体" w:hAnsi="宋体" w:cs="宋体"/>
          <w:szCs w:val="24"/>
          <w:lang w:val="en-US" w:eastAsia="zh-CN"/>
        </w:rPr>
        <w:t>4</w:t>
      </w:r>
      <w:r>
        <w:rPr>
          <w:rFonts w:hint="eastAsia" w:ascii="宋体" w:hAnsi="宋体" w:cs="宋体"/>
          <w:szCs w:val="24"/>
        </w:rPr>
        <w:t>:</w:t>
      </w:r>
      <w:r>
        <w:rPr>
          <w:rFonts w:hint="eastAsia" w:ascii="宋体" w:hAnsi="宋体" w:cs="宋体"/>
          <w:szCs w:val="24"/>
          <w:lang w:val="en-US" w:eastAsia="zh-CN"/>
        </w:rPr>
        <w:t>3</w:t>
      </w:r>
      <w:r>
        <w:rPr>
          <w:rFonts w:hint="eastAsia" w:ascii="宋体" w:hAnsi="宋体" w:cs="宋体"/>
          <w:szCs w:val="24"/>
        </w:rPr>
        <w:t>0前）供应商可以登录“政采云”平台，用“项目采购-开标评标”功能进行解密投标文件。若供应商在规定时间内（2023年</w:t>
      </w:r>
      <w:r>
        <w:rPr>
          <w:rFonts w:hint="eastAsia" w:ascii="宋体" w:hAnsi="宋体" w:cs="宋体"/>
          <w:szCs w:val="24"/>
          <w:lang w:val="en-US" w:eastAsia="zh-CN"/>
        </w:rPr>
        <w:t>5</w:t>
      </w:r>
      <w:r>
        <w:rPr>
          <w:rFonts w:hint="eastAsia" w:ascii="宋体" w:hAnsi="宋体" w:cs="宋体"/>
          <w:szCs w:val="24"/>
        </w:rPr>
        <w:t>月</w:t>
      </w:r>
      <w:r>
        <w:rPr>
          <w:rFonts w:hint="eastAsia" w:ascii="宋体" w:hAnsi="宋体" w:cs="宋体"/>
          <w:szCs w:val="24"/>
          <w:lang w:val="en-US" w:eastAsia="zh-CN"/>
        </w:rPr>
        <w:t>31</w:t>
      </w:r>
      <w:r>
        <w:rPr>
          <w:rFonts w:hint="eastAsia" w:ascii="宋体" w:hAnsi="宋体" w:cs="宋体"/>
          <w:szCs w:val="24"/>
        </w:rPr>
        <w:t>日</w:t>
      </w:r>
      <w:r>
        <w:rPr>
          <w:rFonts w:ascii="宋体" w:hAnsi="宋体" w:cs="宋体"/>
          <w:szCs w:val="24"/>
        </w:rPr>
        <w:t>1</w:t>
      </w:r>
      <w:r>
        <w:rPr>
          <w:rFonts w:hint="eastAsia" w:ascii="宋体" w:hAnsi="宋体" w:cs="宋体"/>
          <w:szCs w:val="24"/>
          <w:lang w:val="en-US" w:eastAsia="zh-CN"/>
        </w:rPr>
        <w:t>4</w:t>
      </w:r>
      <w:r>
        <w:rPr>
          <w:rFonts w:hint="eastAsia" w:ascii="宋体" w:hAnsi="宋体" w:cs="宋体"/>
          <w:szCs w:val="24"/>
        </w:rPr>
        <w:t>:</w:t>
      </w:r>
      <w:r>
        <w:rPr>
          <w:rFonts w:hint="eastAsia" w:ascii="宋体" w:hAnsi="宋体" w:cs="宋体"/>
          <w:szCs w:val="24"/>
          <w:lang w:val="en-US" w:eastAsia="zh-CN"/>
        </w:rPr>
        <w:t>3</w:t>
      </w:r>
      <w:r>
        <w:rPr>
          <w:rFonts w:ascii="宋体" w:hAnsi="宋体" w:cs="宋体"/>
          <w:szCs w:val="24"/>
        </w:rPr>
        <w:t>0</w:t>
      </w:r>
      <w:r>
        <w:rPr>
          <w:rFonts w:hint="eastAsia" w:ascii="宋体" w:hAnsi="宋体" w:cs="宋体"/>
          <w:szCs w:val="24"/>
        </w:rPr>
        <w:t>前）无法解密或解密失败，将导致投标无效或失败。</w:t>
      </w:r>
    </w:p>
    <w:p>
      <w:pPr>
        <w:pStyle w:val="18"/>
        <w:adjustRightInd w:val="0"/>
        <w:snapToGrid w:val="0"/>
        <w:spacing w:beforeLines="0" w:afterLines="0" w:line="480" w:lineRule="exact"/>
        <w:ind w:firstLine="480"/>
        <w:rPr>
          <w:rFonts w:hAnsi="宋体" w:cs="宋体"/>
          <w:sz w:val="24"/>
          <w:szCs w:val="24"/>
        </w:rPr>
      </w:pPr>
      <w:r>
        <w:rPr>
          <w:rFonts w:hint="eastAsia" w:hAnsi="宋体" w:cs="宋体"/>
          <w:sz w:val="24"/>
          <w:szCs w:val="24"/>
        </w:rPr>
        <w:t>备注：</w:t>
      </w:r>
      <w:r>
        <w:rPr>
          <w:rFonts w:hint="eastAsia" w:hAnsi="宋体" w:cs="宋体"/>
          <w:b/>
          <w:sz w:val="24"/>
          <w:szCs w:val="24"/>
        </w:rPr>
        <w:t>为确保采购项目顺利实施，避免因解密失败导致投标方投标无效，投标方可在</w:t>
      </w:r>
      <w:r>
        <w:rPr>
          <w:rFonts w:hint="eastAsia" w:hAnsi="宋体"/>
          <w:b/>
          <w:sz w:val="24"/>
          <w:szCs w:val="24"/>
        </w:rPr>
        <w:t xml:space="preserve">2023年 </w:t>
      </w:r>
      <w:r>
        <w:rPr>
          <w:rFonts w:hint="eastAsia" w:hAnsi="宋体"/>
          <w:b/>
          <w:sz w:val="24"/>
          <w:szCs w:val="24"/>
          <w:lang w:val="en-US" w:eastAsia="zh-CN"/>
        </w:rPr>
        <w:t>5</w:t>
      </w:r>
      <w:r>
        <w:rPr>
          <w:rFonts w:hint="eastAsia" w:hAnsi="宋体"/>
          <w:b/>
          <w:sz w:val="24"/>
          <w:szCs w:val="24"/>
        </w:rPr>
        <w:t>月</w:t>
      </w:r>
      <w:r>
        <w:rPr>
          <w:rFonts w:hint="eastAsia" w:hAnsi="宋体"/>
          <w:b/>
          <w:sz w:val="24"/>
          <w:szCs w:val="24"/>
          <w:lang w:val="en-US" w:eastAsia="zh-CN"/>
        </w:rPr>
        <w:t>31</w:t>
      </w:r>
      <w:r>
        <w:rPr>
          <w:rFonts w:hint="eastAsia" w:hAnsi="宋体"/>
          <w:b/>
          <w:sz w:val="24"/>
          <w:szCs w:val="24"/>
        </w:rPr>
        <w:t>日</w:t>
      </w:r>
      <w:r>
        <w:rPr>
          <w:rFonts w:hAnsi="宋体"/>
          <w:b/>
          <w:sz w:val="24"/>
          <w:szCs w:val="24"/>
        </w:rPr>
        <w:t>14:</w:t>
      </w:r>
      <w:r>
        <w:rPr>
          <w:rFonts w:hint="eastAsia" w:hAnsi="宋体"/>
          <w:b/>
          <w:sz w:val="24"/>
          <w:szCs w:val="24"/>
          <w:lang w:val="en-US" w:eastAsia="zh-CN"/>
        </w:rPr>
        <w:t>0</w:t>
      </w:r>
      <w:r>
        <w:rPr>
          <w:rFonts w:hAnsi="宋体"/>
          <w:b/>
          <w:sz w:val="24"/>
          <w:szCs w:val="24"/>
        </w:rPr>
        <w:t>0</w:t>
      </w:r>
      <w:r>
        <w:rPr>
          <w:rFonts w:hint="eastAsia" w:hAnsi="宋体" w:cs="宋体"/>
          <w:b/>
          <w:sz w:val="24"/>
          <w:szCs w:val="24"/>
        </w:rPr>
        <w:t>前将在政采云平台上最后生成的具备电子签章的备份电子标文件</w:t>
      </w:r>
      <w:r>
        <w:rPr>
          <w:rFonts w:hint="eastAsia" w:hAnsi="宋体" w:cs="宋体"/>
          <w:sz w:val="24"/>
          <w:szCs w:val="24"/>
        </w:rPr>
        <w:t>（</w:t>
      </w:r>
      <w:r>
        <w:rPr>
          <w:rFonts w:hint="eastAsia" w:hAnsi="宋体" w:cs="宋体"/>
          <w:b/>
          <w:sz w:val="24"/>
          <w:szCs w:val="24"/>
        </w:rPr>
        <w:t>光盘或U盘上应当用不褪色墨水笔注明投标人名称、项目名称以及法定代表人或其委托代理人签名，投标人应当确保电子光盘或U盘能够打开运行并正常使用</w:t>
      </w:r>
      <w:r>
        <w:rPr>
          <w:rFonts w:hint="eastAsia" w:hAnsi="宋体" w:cs="宋体"/>
          <w:sz w:val="24"/>
          <w:szCs w:val="24"/>
        </w:rPr>
        <w:t>）装袋密封后邮寄或直接送达至</w:t>
      </w:r>
      <w:r>
        <w:rPr>
          <w:rFonts w:hint="eastAsia" w:hAnsi="宋体" w:cs="宋体"/>
          <w:sz w:val="24"/>
        </w:rPr>
        <w:t>嘉兴市宏泽招标咨询有限公司</w:t>
      </w:r>
      <w:r>
        <w:rPr>
          <w:rFonts w:hint="eastAsia" w:hAnsi="宋体" w:cs="宋体"/>
          <w:sz w:val="24"/>
          <w:szCs w:val="24"/>
        </w:rPr>
        <w:t>，密封袋上有接缝处均需加盖单位公章和法定代表人印章（送达地址：嘉善县罗星街道乔克国贸中心2-1407室</w:t>
      </w:r>
      <w:r>
        <w:rPr>
          <w:rFonts w:hint="eastAsia" w:hAnsi="宋体"/>
          <w:sz w:val="24"/>
          <w:szCs w:val="24"/>
        </w:rPr>
        <w:t>，收件人：金晓筠，联系电话：</w:t>
      </w:r>
      <w:r>
        <w:rPr>
          <w:rFonts w:hint="eastAsia" w:hAnsi="宋体" w:cs="宋体"/>
          <w:sz w:val="24"/>
          <w:szCs w:val="24"/>
        </w:rPr>
        <w:t>0573-84020980）</w:t>
      </w:r>
      <w:r>
        <w:rPr>
          <w:rFonts w:hint="eastAsia" w:hAnsi="宋体" w:cs="宋体"/>
          <w:b/>
          <w:sz w:val="24"/>
          <w:szCs w:val="24"/>
        </w:rPr>
        <w:t>，如在开标过程中出现解密失败情况，以备份文件作为替代投标文件，如投标人未按照规定时间及要求提供有效备份文件，同时政采云上投标文件解密失败的，将导致投标无效。</w:t>
      </w:r>
    </w:p>
    <w:p>
      <w:pPr>
        <w:snapToGrid w:val="0"/>
        <w:spacing w:line="480" w:lineRule="exact"/>
        <w:ind w:firstLine="480"/>
        <w:jc w:val="left"/>
        <w:rPr>
          <w:rFonts w:ascii="新宋体" w:hAnsi="新宋体" w:eastAsia="新宋体" w:cs="Courier New"/>
          <w:szCs w:val="21"/>
        </w:rPr>
      </w:pPr>
      <w:r>
        <w:rPr>
          <w:rFonts w:hint="eastAsia" w:ascii="宋体" w:hAnsi="宋体"/>
          <w:bCs/>
        </w:rPr>
        <w:t>3.</w:t>
      </w:r>
      <w:r>
        <w:rPr>
          <w:rFonts w:hint="eastAsia" w:ascii="新宋体" w:hAnsi="新宋体" w:eastAsia="新宋体" w:cs="Courier New"/>
          <w:szCs w:val="21"/>
        </w:rPr>
        <w:t>投标人在提交投标文件以后，在规定的投标截止时间之前，可以以重新补充修改或撤回已上传的投标文件，补充、修改的内容为投标文件的组成部分。</w:t>
      </w:r>
    </w:p>
    <w:p>
      <w:pPr>
        <w:tabs>
          <w:tab w:val="left" w:pos="2212"/>
        </w:tabs>
        <w:adjustRightInd w:val="0"/>
        <w:snapToGrid w:val="0"/>
        <w:spacing w:line="400" w:lineRule="exact"/>
        <w:ind w:firstLine="480"/>
        <w:rPr>
          <w:rFonts w:ascii="新宋体" w:hAnsi="新宋体" w:eastAsia="新宋体" w:cs="Courier New"/>
          <w:szCs w:val="21"/>
        </w:rPr>
      </w:pPr>
      <w:r>
        <w:rPr>
          <w:rFonts w:hint="eastAsia" w:ascii="新宋体" w:hAnsi="新宋体" w:eastAsia="新宋体" w:cs="Courier New"/>
          <w:szCs w:val="21"/>
        </w:rPr>
        <w:t>在投标截止时间之后，投标人不得对其投标做任何修改。</w:t>
      </w:r>
    </w:p>
    <w:p>
      <w:pPr>
        <w:tabs>
          <w:tab w:val="left" w:pos="2212"/>
        </w:tabs>
        <w:adjustRightInd w:val="0"/>
        <w:snapToGrid w:val="0"/>
        <w:spacing w:line="400" w:lineRule="exact"/>
        <w:ind w:firstLine="480"/>
        <w:rPr>
          <w:rFonts w:ascii="新宋体" w:hAnsi="新宋体" w:eastAsia="新宋体" w:cs="Courier New"/>
          <w:szCs w:val="21"/>
        </w:rPr>
      </w:pPr>
      <w:r>
        <w:rPr>
          <w:rFonts w:hint="eastAsia" w:ascii="新宋体" w:hAnsi="新宋体" w:eastAsia="新宋体" w:cs="Courier New"/>
          <w:szCs w:val="21"/>
        </w:rPr>
        <w:t>从投标截止时间至投标人在投标书格式中确定的投标有效期期满这段时间内，投标人不得撤回其投标。</w:t>
      </w:r>
    </w:p>
    <w:p>
      <w:pPr>
        <w:pStyle w:val="8"/>
        <w:widowControl w:val="0"/>
        <w:snapToGrid w:val="0"/>
        <w:spacing w:afterLines="0" w:line="300" w:lineRule="auto"/>
        <w:ind w:left="0" w:firstLine="562"/>
        <w:jc w:val="both"/>
        <w:rPr>
          <w:rFonts w:ascii="宋体" w:hAnsi="宋体" w:cs="宋体"/>
          <w:b/>
          <w:bCs/>
          <w:sz w:val="28"/>
          <w:szCs w:val="28"/>
        </w:rPr>
      </w:pPr>
      <w:r>
        <w:rPr>
          <w:rFonts w:hint="eastAsia" w:ascii="宋体" w:hAnsi="宋体" w:cs="宋体"/>
          <w:b/>
          <w:bCs/>
          <w:sz w:val="28"/>
          <w:szCs w:val="28"/>
        </w:rPr>
        <w:t>（七）投标无效的情形</w:t>
      </w:r>
    </w:p>
    <w:p>
      <w:pPr>
        <w:snapToGrid w:val="0"/>
        <w:ind w:firstLine="480"/>
        <w:jc w:val="left"/>
        <w:rPr>
          <w:rFonts w:ascii="宋体" w:hAnsi="宋体" w:cs="宋体"/>
          <w:bCs/>
        </w:rPr>
      </w:pPr>
      <w:r>
        <w:rPr>
          <w:rFonts w:hint="eastAsia" w:ascii="宋体" w:hAnsi="宋体" w:cs="宋体"/>
          <w:bCs/>
        </w:rPr>
        <w:t>根据《政府采购货物和服务招标投标管理办法》有下列情形之一的，视为投标人串通投标，其投标无效：</w:t>
      </w:r>
    </w:p>
    <w:p>
      <w:pPr>
        <w:snapToGrid w:val="0"/>
        <w:ind w:firstLine="480"/>
        <w:jc w:val="left"/>
        <w:rPr>
          <w:rFonts w:ascii="宋体" w:hAnsi="宋体" w:cs="宋体"/>
          <w:bCs/>
        </w:rPr>
      </w:pPr>
      <w:r>
        <w:rPr>
          <w:rFonts w:hint="eastAsia" w:ascii="宋体" w:hAnsi="宋体" w:cs="宋体"/>
          <w:bCs/>
        </w:rPr>
        <w:t>(一)不同投标人的投标文件由同一单位或者个人编制；</w:t>
      </w:r>
    </w:p>
    <w:p>
      <w:pPr>
        <w:snapToGrid w:val="0"/>
        <w:ind w:firstLine="480"/>
        <w:jc w:val="left"/>
        <w:rPr>
          <w:rFonts w:ascii="宋体" w:hAnsi="宋体" w:cs="宋体"/>
          <w:bCs/>
        </w:rPr>
      </w:pPr>
      <w:r>
        <w:rPr>
          <w:rFonts w:hint="eastAsia" w:ascii="宋体" w:hAnsi="宋体" w:cs="宋体"/>
          <w:bCs/>
        </w:rPr>
        <w:t>(二)不同投标人委托同一单位或者个人办理投标事宜；</w:t>
      </w:r>
    </w:p>
    <w:p>
      <w:pPr>
        <w:snapToGrid w:val="0"/>
        <w:ind w:firstLine="480"/>
        <w:jc w:val="left"/>
        <w:rPr>
          <w:rFonts w:ascii="宋体" w:hAnsi="宋体" w:cs="宋体"/>
          <w:bCs/>
        </w:rPr>
      </w:pPr>
      <w:r>
        <w:rPr>
          <w:rFonts w:hint="eastAsia" w:ascii="宋体" w:hAnsi="宋体" w:cs="宋体"/>
          <w:bCs/>
        </w:rPr>
        <w:t>(三)不同投标人的投标文件载明的项目管理成员或者联系人员为同一人；</w:t>
      </w:r>
    </w:p>
    <w:p>
      <w:pPr>
        <w:snapToGrid w:val="0"/>
        <w:ind w:firstLine="480"/>
        <w:jc w:val="left"/>
        <w:rPr>
          <w:rFonts w:ascii="宋体" w:hAnsi="宋体" w:cs="宋体"/>
          <w:bCs/>
        </w:rPr>
      </w:pPr>
      <w:r>
        <w:rPr>
          <w:rFonts w:hint="eastAsia" w:ascii="宋体" w:hAnsi="宋体" w:cs="宋体"/>
          <w:bCs/>
        </w:rPr>
        <w:t>(四)不同投标人的投标文件异常一致或者投标报价呈规律性差异；</w:t>
      </w:r>
    </w:p>
    <w:p>
      <w:pPr>
        <w:snapToGrid w:val="0"/>
        <w:ind w:firstLine="480"/>
        <w:jc w:val="left"/>
        <w:rPr>
          <w:rFonts w:ascii="宋体" w:hAnsi="宋体" w:cs="宋体"/>
          <w:bCs/>
        </w:rPr>
      </w:pPr>
      <w:r>
        <w:rPr>
          <w:rFonts w:hint="eastAsia" w:ascii="宋体" w:hAnsi="宋体" w:cs="宋体"/>
          <w:bCs/>
        </w:rPr>
        <w:t>(五)不同投标人的投标文件相互混装；</w:t>
      </w:r>
    </w:p>
    <w:p>
      <w:pPr>
        <w:pStyle w:val="8"/>
        <w:widowControl w:val="0"/>
        <w:snapToGrid w:val="0"/>
        <w:spacing w:afterLines="0" w:line="300" w:lineRule="auto"/>
        <w:ind w:left="0" w:firstLine="480"/>
        <w:jc w:val="both"/>
        <w:rPr>
          <w:rFonts w:ascii="宋体" w:hAnsi="宋体" w:cs="宋体"/>
          <w:b/>
          <w:bCs/>
          <w:sz w:val="28"/>
          <w:szCs w:val="28"/>
        </w:rPr>
      </w:pPr>
      <w:r>
        <w:rPr>
          <w:rFonts w:hint="eastAsia" w:ascii="宋体" w:hAnsi="宋体" w:cs="宋体"/>
          <w:bCs/>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napToGrid w:val="0"/>
        <w:ind w:firstLine="472" w:firstLineChars="196"/>
        <w:rPr>
          <w:rFonts w:ascii="宋体" w:hAnsi="宋体"/>
          <w:b/>
          <w:bCs/>
        </w:rPr>
      </w:pPr>
      <w:r>
        <w:rPr>
          <w:rFonts w:hint="eastAsia" w:ascii="宋体" w:hAnsi="宋体"/>
          <w:b/>
          <w:bCs/>
        </w:rPr>
        <w:t>1.</w:t>
      </w:r>
      <w:r>
        <w:rPr>
          <w:rFonts w:ascii="宋体" w:hAnsi="宋体"/>
          <w:b/>
          <w:bCs/>
        </w:rPr>
        <w:t>电子投标文件解密失败的，且未在规定时间内提交备份投标文件的</w:t>
      </w:r>
      <w:r>
        <w:rPr>
          <w:rFonts w:hint="eastAsia" w:ascii="宋体" w:hAnsi="宋体"/>
          <w:b/>
          <w:bCs/>
        </w:rPr>
        <w:t>。</w:t>
      </w:r>
    </w:p>
    <w:p>
      <w:pPr>
        <w:pStyle w:val="8"/>
        <w:widowControl w:val="0"/>
        <w:snapToGrid w:val="0"/>
        <w:spacing w:afterLines="0" w:line="300" w:lineRule="auto"/>
        <w:ind w:left="0" w:firstLine="482"/>
        <w:jc w:val="both"/>
        <w:rPr>
          <w:rFonts w:ascii="宋体" w:hAnsi="宋体" w:cs="宋体"/>
          <w:b/>
        </w:rPr>
      </w:pPr>
      <w:r>
        <w:rPr>
          <w:rFonts w:hint="eastAsia" w:ascii="宋体" w:hAnsi="宋体" w:cs="宋体"/>
          <w:b/>
        </w:rPr>
        <w:t>2.未通过资格审查、资信商务及技术文件符合性审查、技术评审、报价评审的投标文件均被视为无效，具体详见第四章评标办法第二条评标程序。</w:t>
      </w:r>
    </w:p>
    <w:p>
      <w:pPr>
        <w:pStyle w:val="3"/>
        <w:snapToGrid w:val="0"/>
        <w:spacing w:line="300" w:lineRule="auto"/>
        <w:ind w:firstLine="472" w:firstLineChars="196"/>
        <w:rPr>
          <w:rFonts w:ascii="宋体" w:hAnsi="宋体" w:cs="宋体"/>
          <w:b/>
          <w:bCs/>
          <w:color w:val="000000"/>
        </w:rPr>
      </w:pPr>
      <w:r>
        <w:rPr>
          <w:rFonts w:hint="eastAsia" w:ascii="宋体" w:hAnsi="宋体" w:cs="宋体"/>
          <w:b/>
          <w:bCs/>
          <w:color w:val="000000"/>
        </w:rPr>
        <w:t>3.被拒绝的投标文件为无效。</w:t>
      </w:r>
    </w:p>
    <w:p>
      <w:pPr>
        <w:pStyle w:val="3"/>
        <w:snapToGrid w:val="0"/>
        <w:spacing w:line="300" w:lineRule="auto"/>
        <w:ind w:firstLine="472" w:firstLineChars="196"/>
        <w:rPr>
          <w:rFonts w:ascii="宋体" w:hAnsi="宋体" w:cs="宋体"/>
          <w:b/>
          <w:bCs/>
          <w:color w:val="000000"/>
        </w:rPr>
      </w:pPr>
    </w:p>
    <w:p>
      <w:pPr>
        <w:pStyle w:val="3"/>
        <w:snapToGrid w:val="0"/>
        <w:spacing w:line="300" w:lineRule="auto"/>
        <w:ind w:firstLine="472" w:firstLineChars="196"/>
        <w:rPr>
          <w:rFonts w:ascii="宋体" w:hAnsi="宋体" w:cs="宋体"/>
          <w:b/>
          <w:bCs/>
          <w:color w:val="000000"/>
        </w:rPr>
      </w:pPr>
    </w:p>
    <w:p>
      <w:pPr>
        <w:pStyle w:val="6"/>
        <w:spacing w:before="0" w:after="0" w:line="300" w:lineRule="auto"/>
        <w:ind w:firstLine="643"/>
        <w:jc w:val="center"/>
        <w:rPr>
          <w:rFonts w:ascii="宋体" w:hAnsi="宋体" w:cs="宋体"/>
        </w:rPr>
      </w:pPr>
      <w:bookmarkStart w:id="79" w:name="_五、开标"/>
      <w:bookmarkEnd w:id="79"/>
      <w:bookmarkStart w:id="80" w:name="_Toc29513"/>
      <w:r>
        <w:rPr>
          <w:rFonts w:hint="eastAsia" w:ascii="宋体" w:hAnsi="宋体" w:cs="宋体"/>
        </w:rPr>
        <w:t>五、开标</w:t>
      </w:r>
      <w:bookmarkEnd w:id="80"/>
    </w:p>
    <w:p>
      <w:pPr>
        <w:pStyle w:val="18"/>
        <w:snapToGrid w:val="0"/>
        <w:spacing w:beforeLines="0" w:afterLines="0" w:line="300" w:lineRule="auto"/>
        <w:ind w:firstLine="562"/>
        <w:rPr>
          <w:rFonts w:hAnsi="宋体" w:cs="宋体"/>
          <w:b/>
          <w:bCs/>
          <w:sz w:val="28"/>
          <w:szCs w:val="28"/>
        </w:rPr>
      </w:pPr>
      <w:r>
        <w:rPr>
          <w:rFonts w:hint="eastAsia" w:hAnsi="宋体" w:cs="宋体"/>
          <w:b/>
          <w:bCs/>
          <w:sz w:val="28"/>
          <w:szCs w:val="28"/>
        </w:rPr>
        <w:t>(一)采购代理机构职责</w:t>
      </w:r>
    </w:p>
    <w:p>
      <w:pPr>
        <w:pStyle w:val="3"/>
        <w:snapToGrid w:val="0"/>
        <w:spacing w:line="300" w:lineRule="auto"/>
        <w:ind w:firstLine="480"/>
        <w:contextualSpacing/>
        <w:rPr>
          <w:rFonts w:ascii="宋体" w:hAnsi="宋体" w:cs="宋体"/>
        </w:rPr>
      </w:pPr>
      <w:r>
        <w:rPr>
          <w:rFonts w:hint="eastAsia" w:ascii="宋体" w:hAnsi="宋体" w:cs="宋体"/>
        </w:rPr>
        <w:t>采购代理机构负责组织评标工作，并履行下列职责：</w:t>
      </w:r>
    </w:p>
    <w:p>
      <w:pPr>
        <w:pStyle w:val="3"/>
        <w:snapToGrid w:val="0"/>
        <w:spacing w:line="300" w:lineRule="auto"/>
        <w:ind w:firstLine="480"/>
        <w:contextualSpacing/>
        <w:rPr>
          <w:rFonts w:ascii="宋体" w:hAnsi="宋体" w:cs="宋体"/>
        </w:rPr>
      </w:pPr>
      <w:r>
        <w:rPr>
          <w:rFonts w:hint="eastAsia" w:ascii="宋体" w:hAnsi="宋体" w:cs="宋体"/>
        </w:rPr>
        <w:t>1．核对评审专家身份和采购人代表授权函，对评审专家在政府采购活动中的职责履行情况予以记录，并及时将有关违法违规行为向财政部门报告；</w:t>
      </w:r>
    </w:p>
    <w:p>
      <w:pPr>
        <w:pStyle w:val="3"/>
        <w:snapToGrid w:val="0"/>
        <w:spacing w:line="300" w:lineRule="auto"/>
        <w:ind w:firstLine="480"/>
        <w:contextualSpacing/>
        <w:rPr>
          <w:rFonts w:ascii="宋体" w:hAnsi="宋体" w:cs="宋体"/>
        </w:rPr>
      </w:pPr>
      <w:r>
        <w:rPr>
          <w:rFonts w:hint="eastAsia" w:ascii="宋体" w:hAnsi="宋体" w:cs="宋体"/>
        </w:rPr>
        <w:t>2．宣布评标纪律；</w:t>
      </w:r>
    </w:p>
    <w:p>
      <w:pPr>
        <w:pStyle w:val="3"/>
        <w:snapToGrid w:val="0"/>
        <w:spacing w:line="300" w:lineRule="auto"/>
        <w:ind w:firstLine="480"/>
        <w:contextualSpacing/>
        <w:rPr>
          <w:rFonts w:ascii="宋体" w:hAnsi="宋体" w:cs="宋体"/>
        </w:rPr>
      </w:pPr>
      <w:r>
        <w:rPr>
          <w:rFonts w:hint="eastAsia" w:ascii="宋体" w:hAnsi="宋体" w:cs="宋体"/>
        </w:rPr>
        <w:t>3．公布投标人名单，告知评审专家应当回避的情形；</w:t>
      </w:r>
    </w:p>
    <w:p>
      <w:pPr>
        <w:pStyle w:val="3"/>
        <w:snapToGrid w:val="0"/>
        <w:spacing w:line="300" w:lineRule="auto"/>
        <w:ind w:firstLine="480"/>
        <w:contextualSpacing/>
        <w:rPr>
          <w:rFonts w:ascii="宋体" w:hAnsi="宋体" w:cs="宋体"/>
        </w:rPr>
      </w:pPr>
      <w:r>
        <w:rPr>
          <w:rFonts w:hint="eastAsia" w:ascii="宋体" w:hAnsi="宋体" w:cs="宋体"/>
        </w:rPr>
        <w:t>4．组织评标委员会推选评标组长，采购人代表不得担任组长；</w:t>
      </w:r>
    </w:p>
    <w:p>
      <w:pPr>
        <w:pStyle w:val="3"/>
        <w:snapToGrid w:val="0"/>
        <w:spacing w:line="300" w:lineRule="auto"/>
        <w:ind w:firstLine="480"/>
        <w:contextualSpacing/>
        <w:rPr>
          <w:rFonts w:ascii="宋体" w:hAnsi="宋体" w:cs="宋体"/>
        </w:rPr>
      </w:pPr>
      <w:r>
        <w:rPr>
          <w:rFonts w:hint="eastAsia" w:ascii="宋体" w:hAnsi="宋体" w:cs="宋体"/>
        </w:rPr>
        <w:t>5．在评标期间采取必要的通讯管理措施，保证评标活动不受外界干扰；</w:t>
      </w:r>
    </w:p>
    <w:p>
      <w:pPr>
        <w:pStyle w:val="3"/>
        <w:snapToGrid w:val="0"/>
        <w:spacing w:line="300" w:lineRule="auto"/>
        <w:ind w:firstLine="480"/>
        <w:contextualSpacing/>
        <w:rPr>
          <w:rFonts w:ascii="宋体" w:hAnsi="宋体" w:cs="宋体"/>
        </w:rPr>
      </w:pPr>
      <w:r>
        <w:rPr>
          <w:rFonts w:hint="eastAsia" w:ascii="宋体" w:hAnsi="宋体" w:cs="宋体"/>
        </w:rPr>
        <w:t>6．根据评标委员会的要求介绍政府采购相关政策法规、招标文件；</w:t>
      </w:r>
    </w:p>
    <w:p>
      <w:pPr>
        <w:pStyle w:val="3"/>
        <w:snapToGrid w:val="0"/>
        <w:spacing w:line="300" w:lineRule="auto"/>
        <w:ind w:firstLine="480"/>
        <w:contextualSpacing/>
        <w:rPr>
          <w:rFonts w:ascii="宋体" w:hAnsi="宋体" w:cs="宋体"/>
        </w:rPr>
      </w:pPr>
      <w:r>
        <w:rPr>
          <w:rFonts w:hint="eastAsia" w:ascii="宋体" w:hAnsi="宋体" w:cs="宋体"/>
        </w:rPr>
        <w:t>7．维护评标秩序，监督评标委员会依照招标文件规定的评标程序、方法和标准进行独立评审，及时制止和纠正采购人代表、评审专家的倾向性言论或者违法违规行为；</w:t>
      </w:r>
    </w:p>
    <w:p>
      <w:pPr>
        <w:pStyle w:val="3"/>
        <w:snapToGrid w:val="0"/>
        <w:spacing w:line="300" w:lineRule="auto"/>
        <w:ind w:firstLine="480"/>
        <w:contextualSpacing/>
        <w:rPr>
          <w:rFonts w:ascii="宋体" w:hAnsi="宋体" w:cs="宋体"/>
        </w:rPr>
      </w:pPr>
      <w:r>
        <w:rPr>
          <w:rFonts w:hint="eastAsia" w:ascii="宋体" w:hAnsi="宋体" w:cs="宋体"/>
        </w:rPr>
        <w:t>8．核对评标结果，有《政府采购货物和服务招标投标管理办法》（财政部第87号令）第六十四条规定情形的，要求评标委员会复核或者书面说明理由，评标委员会拒绝的，应予记录并向本级财政部门报告；</w:t>
      </w:r>
    </w:p>
    <w:p>
      <w:pPr>
        <w:pStyle w:val="3"/>
        <w:snapToGrid w:val="0"/>
        <w:spacing w:line="300" w:lineRule="auto"/>
        <w:ind w:firstLine="480"/>
        <w:contextualSpacing/>
        <w:rPr>
          <w:rFonts w:ascii="宋体" w:hAnsi="宋体" w:cs="宋体"/>
        </w:rPr>
      </w:pPr>
      <w:r>
        <w:rPr>
          <w:rFonts w:hint="eastAsia" w:ascii="宋体" w:hAnsi="宋体" w:cs="宋体"/>
        </w:rPr>
        <w:t>9．处理与评标有关的其他事项。</w:t>
      </w:r>
    </w:p>
    <w:p>
      <w:pPr>
        <w:pStyle w:val="3"/>
        <w:snapToGrid w:val="0"/>
        <w:spacing w:line="300" w:lineRule="auto"/>
        <w:ind w:firstLine="472" w:firstLineChars="196"/>
        <w:contextualSpacing/>
        <w:rPr>
          <w:rFonts w:hAnsi="宋体"/>
        </w:rPr>
      </w:pPr>
      <w:r>
        <w:rPr>
          <w:rFonts w:hint="eastAsia" w:hAnsi="宋体"/>
          <w:b/>
          <w:bCs/>
        </w:rPr>
        <w:t>（二）</w:t>
      </w:r>
      <w:r>
        <w:rPr>
          <w:rFonts w:hint="eastAsia" w:hAnsi="宋体"/>
        </w:rPr>
        <w:t>本项目实行电子开评标，投标人无需前往开评标现场，只需在规定时间内在“政采云”平台上上传电子投标文件和准时在线上参加开标。</w:t>
      </w:r>
    </w:p>
    <w:p>
      <w:pPr>
        <w:pStyle w:val="3"/>
        <w:snapToGrid w:val="0"/>
        <w:spacing w:line="300" w:lineRule="auto"/>
        <w:ind w:firstLine="472" w:firstLineChars="196"/>
        <w:contextualSpacing/>
        <w:rPr>
          <w:rFonts w:hAnsi="宋体"/>
          <w:b/>
          <w:bCs/>
        </w:rPr>
      </w:pPr>
      <w:r>
        <w:rPr>
          <w:rFonts w:hint="eastAsia" w:hAnsi="宋体"/>
          <w:b/>
          <w:bCs/>
        </w:rPr>
        <w:t>（三）电子开评标及评审程序</w:t>
      </w:r>
    </w:p>
    <w:p>
      <w:pPr>
        <w:pStyle w:val="3"/>
        <w:snapToGrid w:val="0"/>
        <w:spacing w:line="300" w:lineRule="auto"/>
        <w:ind w:firstLine="470" w:firstLineChars="196"/>
        <w:contextualSpacing/>
        <w:rPr>
          <w:rFonts w:ascii="宋体" w:hAnsi="宋体" w:cs="宋体"/>
        </w:rPr>
      </w:pPr>
      <w:r>
        <w:rPr>
          <w:rFonts w:hint="eastAsia" w:ascii="宋体" w:hAnsi="宋体" w:cs="宋体"/>
        </w:rPr>
        <w:t xml:space="preserve">1．投标截止时间后的半小时内，由各投标人自行对电子投标文件进行解密（请各投标人务必在规定时间内完成电子投标文件的解密工作，在电子开评标期间，投标人（授权代表）需确保在各自所在的区域具备上网的技术条件并保持网络及联系方式畅通）； </w:t>
      </w:r>
    </w:p>
    <w:p>
      <w:pPr>
        <w:pStyle w:val="3"/>
        <w:snapToGrid w:val="0"/>
        <w:spacing w:line="300" w:lineRule="auto"/>
        <w:ind w:firstLine="470" w:firstLineChars="196"/>
        <w:contextualSpacing/>
        <w:rPr>
          <w:rFonts w:ascii="宋体" w:hAnsi="宋体" w:cs="宋体"/>
        </w:rPr>
      </w:pPr>
      <w:r>
        <w:rPr>
          <w:rFonts w:hint="eastAsia" w:ascii="宋体" w:hAnsi="宋体" w:cs="宋体"/>
        </w:rPr>
        <w:t>2．采购人或代理机构对投标人的资格审查文件和评标委员会对投标人的资信商务及技术响应文件进行评审；</w:t>
      </w:r>
    </w:p>
    <w:p>
      <w:pPr>
        <w:pStyle w:val="3"/>
        <w:snapToGrid w:val="0"/>
        <w:spacing w:line="300" w:lineRule="auto"/>
        <w:ind w:firstLine="470" w:firstLineChars="196"/>
        <w:contextualSpacing/>
        <w:rPr>
          <w:rFonts w:ascii="宋体" w:hAnsi="宋体" w:cs="宋体"/>
        </w:rPr>
      </w:pPr>
      <w:r>
        <w:rPr>
          <w:rFonts w:hint="eastAsia" w:ascii="宋体" w:hAnsi="宋体" w:cs="宋体"/>
        </w:rPr>
        <w:t>3．评标委员会对报价文件进行评审；</w:t>
      </w:r>
    </w:p>
    <w:p>
      <w:pPr>
        <w:pStyle w:val="3"/>
        <w:snapToGrid w:val="0"/>
        <w:spacing w:line="300" w:lineRule="auto"/>
        <w:ind w:firstLine="470" w:firstLineChars="196"/>
        <w:contextualSpacing/>
        <w:rPr>
          <w:rFonts w:ascii="宋体" w:hAnsi="宋体" w:cs="宋体"/>
        </w:rPr>
      </w:pPr>
      <w:r>
        <w:rPr>
          <w:rFonts w:hint="eastAsia" w:ascii="宋体" w:hAnsi="宋体" w:cs="宋体"/>
        </w:rPr>
        <w:t>4．在系统上公布评审结果。</w:t>
      </w:r>
    </w:p>
    <w:p>
      <w:pPr>
        <w:pStyle w:val="18"/>
        <w:snapToGrid w:val="0"/>
        <w:spacing w:beforeLines="0" w:afterLines="0" w:line="300" w:lineRule="auto"/>
        <w:ind w:firstLine="602"/>
        <w:jc w:val="center"/>
        <w:rPr>
          <w:rFonts w:hAnsi="宋体" w:cs="宋体"/>
          <w:b/>
          <w:bCs/>
          <w:sz w:val="30"/>
          <w:szCs w:val="30"/>
        </w:rPr>
      </w:pPr>
    </w:p>
    <w:p>
      <w:pPr>
        <w:pStyle w:val="6"/>
        <w:spacing w:before="0" w:after="0" w:line="300" w:lineRule="auto"/>
        <w:ind w:firstLine="643"/>
        <w:jc w:val="center"/>
        <w:rPr>
          <w:rFonts w:ascii="宋体" w:hAnsi="宋体" w:cs="宋体"/>
        </w:rPr>
      </w:pPr>
      <w:r>
        <w:rPr>
          <w:rFonts w:hint="eastAsia" w:ascii="宋体" w:hAnsi="宋体" w:cs="宋体"/>
        </w:rPr>
        <w:t xml:space="preserve"> </w:t>
      </w:r>
      <w:bookmarkStart w:id="81" w:name="_Toc27612"/>
      <w:r>
        <w:rPr>
          <w:rFonts w:hint="eastAsia" w:ascii="宋体" w:hAnsi="宋体" w:cs="宋体"/>
        </w:rPr>
        <w:t>六、评标</w:t>
      </w:r>
      <w:bookmarkEnd w:id="81"/>
    </w:p>
    <w:p>
      <w:pPr>
        <w:pStyle w:val="18"/>
        <w:snapToGrid w:val="0"/>
        <w:spacing w:beforeLines="0" w:afterLines="0" w:line="300" w:lineRule="auto"/>
        <w:ind w:firstLine="562"/>
        <w:rPr>
          <w:rFonts w:hAnsi="宋体" w:cs="宋体"/>
          <w:b/>
          <w:bCs/>
          <w:sz w:val="28"/>
          <w:szCs w:val="28"/>
        </w:rPr>
      </w:pPr>
      <w:r>
        <w:rPr>
          <w:rFonts w:hint="eastAsia" w:hAnsi="宋体" w:cs="宋体"/>
          <w:b/>
          <w:bCs/>
          <w:sz w:val="28"/>
          <w:szCs w:val="28"/>
        </w:rPr>
        <w:t>（一）组建评标委员会</w:t>
      </w:r>
    </w:p>
    <w:p>
      <w:pPr>
        <w:snapToGrid w:val="0"/>
        <w:spacing w:line="300" w:lineRule="auto"/>
        <w:ind w:firstLine="480"/>
        <w:rPr>
          <w:rFonts w:ascii="宋体" w:hAnsi="宋体" w:cs="宋体"/>
          <w:szCs w:val="24"/>
        </w:rPr>
      </w:pPr>
      <w:r>
        <w:rPr>
          <w:rFonts w:hint="eastAsia" w:ascii="宋体" w:hAnsi="宋体" w:cs="宋体"/>
          <w:szCs w:val="24"/>
        </w:rPr>
        <w:t>本项目评标委员会由政府采购评审专家4人和采购人代表1人，共5人组成。</w:t>
      </w:r>
    </w:p>
    <w:p>
      <w:pPr>
        <w:widowControl/>
        <w:shd w:val="clear" w:color="auto" w:fill="FFFFFF"/>
        <w:spacing w:line="300" w:lineRule="auto"/>
        <w:ind w:firstLine="480"/>
        <w:jc w:val="left"/>
        <w:rPr>
          <w:rFonts w:ascii="宋体" w:hAnsi="宋体" w:cs="宋体"/>
          <w:color w:val="000000"/>
          <w:kern w:val="0"/>
        </w:rPr>
      </w:pPr>
      <w:r>
        <w:rPr>
          <w:rFonts w:hint="eastAsia" w:ascii="宋体" w:hAnsi="宋体" w:cs="宋体"/>
          <w:color w:val="000000"/>
          <w:kern w:val="0"/>
        </w:rPr>
        <w:t>评标委员会负责具体评标事务，并独立履行下列职责：</w:t>
      </w:r>
    </w:p>
    <w:p>
      <w:pPr>
        <w:widowControl/>
        <w:shd w:val="clear" w:color="auto" w:fill="FFFFFF"/>
        <w:spacing w:line="300" w:lineRule="auto"/>
        <w:ind w:firstLine="480"/>
        <w:jc w:val="left"/>
        <w:rPr>
          <w:rFonts w:ascii="宋体" w:hAnsi="宋体" w:cs="宋体"/>
          <w:color w:val="000000"/>
          <w:kern w:val="0"/>
        </w:rPr>
      </w:pPr>
      <w:r>
        <w:rPr>
          <w:rFonts w:hint="eastAsia" w:ascii="宋体" w:hAnsi="宋体" w:cs="宋体"/>
          <w:color w:val="000000"/>
          <w:kern w:val="0"/>
        </w:rPr>
        <w:t>1．审查、评价投标文件是否符合招标文件的商务、技术等实质性要求；</w:t>
      </w:r>
    </w:p>
    <w:p>
      <w:pPr>
        <w:widowControl/>
        <w:shd w:val="clear" w:color="auto" w:fill="FFFFFF"/>
        <w:spacing w:line="300" w:lineRule="auto"/>
        <w:ind w:firstLine="480"/>
        <w:jc w:val="left"/>
        <w:rPr>
          <w:rFonts w:ascii="宋体" w:hAnsi="宋体" w:cs="宋体"/>
          <w:color w:val="000000"/>
          <w:kern w:val="0"/>
        </w:rPr>
      </w:pPr>
      <w:r>
        <w:rPr>
          <w:rFonts w:hint="eastAsia" w:ascii="宋体" w:hAnsi="宋体" w:cs="宋体"/>
          <w:color w:val="000000"/>
          <w:kern w:val="0"/>
        </w:rPr>
        <w:t>2．要求投标人对投标文件有关事项作出澄清或者说明；</w:t>
      </w:r>
    </w:p>
    <w:p>
      <w:pPr>
        <w:widowControl/>
        <w:shd w:val="clear" w:color="auto" w:fill="FFFFFF"/>
        <w:spacing w:line="300" w:lineRule="auto"/>
        <w:ind w:firstLine="480"/>
        <w:jc w:val="left"/>
        <w:rPr>
          <w:rFonts w:ascii="宋体" w:hAnsi="宋体" w:cs="宋体"/>
          <w:color w:val="000000"/>
          <w:kern w:val="0"/>
        </w:rPr>
      </w:pPr>
      <w:r>
        <w:rPr>
          <w:rFonts w:hint="eastAsia" w:ascii="宋体" w:hAnsi="宋体" w:cs="宋体"/>
          <w:color w:val="000000"/>
          <w:kern w:val="0"/>
        </w:rPr>
        <w:t>3．对投标文件进行比较和评价；</w:t>
      </w:r>
    </w:p>
    <w:p>
      <w:pPr>
        <w:widowControl/>
        <w:shd w:val="clear" w:color="auto" w:fill="FFFFFF"/>
        <w:spacing w:line="300" w:lineRule="auto"/>
        <w:ind w:firstLine="480"/>
        <w:jc w:val="left"/>
        <w:rPr>
          <w:rFonts w:ascii="宋体" w:hAnsi="宋体" w:cs="宋体"/>
          <w:color w:val="000000"/>
          <w:kern w:val="0"/>
        </w:rPr>
      </w:pPr>
      <w:r>
        <w:rPr>
          <w:rFonts w:hint="eastAsia" w:ascii="宋体" w:hAnsi="宋体" w:cs="宋体"/>
          <w:color w:val="000000"/>
          <w:kern w:val="0"/>
        </w:rPr>
        <w:t>4．确定中标候选人名单；</w:t>
      </w:r>
    </w:p>
    <w:p>
      <w:pPr>
        <w:widowControl/>
        <w:shd w:val="clear" w:color="auto" w:fill="FFFFFF"/>
        <w:spacing w:line="300" w:lineRule="auto"/>
        <w:ind w:firstLine="480"/>
        <w:jc w:val="left"/>
        <w:rPr>
          <w:rFonts w:ascii="宋体" w:hAnsi="宋体" w:cs="宋体"/>
          <w:color w:val="000000"/>
          <w:kern w:val="0"/>
        </w:rPr>
      </w:pPr>
      <w:r>
        <w:rPr>
          <w:rFonts w:hint="eastAsia" w:ascii="宋体" w:hAnsi="宋体" w:cs="宋体"/>
          <w:color w:val="000000"/>
          <w:kern w:val="0"/>
        </w:rPr>
        <w:t>5．向采购人、代理机构或者有关部门报告评标中发现的违法行为。</w:t>
      </w:r>
    </w:p>
    <w:p>
      <w:pPr>
        <w:snapToGrid w:val="0"/>
        <w:spacing w:line="300" w:lineRule="auto"/>
        <w:ind w:firstLine="482"/>
        <w:rPr>
          <w:rFonts w:ascii="宋体" w:hAnsi="宋体" w:cs="宋体"/>
          <w:szCs w:val="24"/>
        </w:rPr>
      </w:pPr>
      <w:r>
        <w:rPr>
          <w:rFonts w:hint="eastAsia" w:ascii="宋体" w:hAnsi="宋体" w:cs="宋体"/>
          <w:b/>
          <w:kern w:val="0"/>
          <w:u w:val="single"/>
        </w:rPr>
        <w:t>除采购人代表、评标现场组织人员外，采购人的其他工作人员以及与评标工作无关的人员不得进入评标现场。</w:t>
      </w:r>
    </w:p>
    <w:p>
      <w:pPr>
        <w:pStyle w:val="18"/>
        <w:snapToGrid w:val="0"/>
        <w:spacing w:beforeLines="0" w:afterLines="0" w:line="300" w:lineRule="auto"/>
        <w:ind w:firstLine="562"/>
        <w:contextualSpacing/>
        <w:rPr>
          <w:rFonts w:hAnsi="宋体" w:cs="宋体"/>
          <w:b/>
          <w:bCs/>
          <w:sz w:val="28"/>
          <w:szCs w:val="28"/>
        </w:rPr>
      </w:pPr>
      <w:r>
        <w:rPr>
          <w:rFonts w:hint="eastAsia" w:hAnsi="宋体" w:cs="宋体"/>
          <w:b/>
          <w:bCs/>
          <w:sz w:val="28"/>
          <w:szCs w:val="28"/>
        </w:rPr>
        <w:t>（二）评标的方式</w:t>
      </w:r>
    </w:p>
    <w:p>
      <w:pPr>
        <w:snapToGrid w:val="0"/>
        <w:spacing w:line="300" w:lineRule="auto"/>
        <w:ind w:firstLine="480"/>
        <w:contextualSpacing/>
        <w:rPr>
          <w:rFonts w:ascii="宋体" w:hAnsi="宋体" w:cs="宋体"/>
          <w:szCs w:val="24"/>
        </w:rPr>
      </w:pPr>
      <w:r>
        <w:rPr>
          <w:rFonts w:hint="eastAsia" w:ascii="宋体" w:hAnsi="宋体" w:cs="宋体"/>
          <w:szCs w:val="24"/>
        </w:rPr>
        <w:t>本项目采用不公开方式评标，评标的依据为采购文件和投标文件。</w:t>
      </w:r>
    </w:p>
    <w:p>
      <w:pPr>
        <w:pStyle w:val="18"/>
        <w:snapToGrid w:val="0"/>
        <w:spacing w:beforeLines="0" w:afterLines="0" w:line="300" w:lineRule="auto"/>
        <w:ind w:firstLine="562"/>
        <w:contextualSpacing/>
        <w:rPr>
          <w:rFonts w:hAnsi="宋体" w:cs="宋体"/>
          <w:b/>
          <w:bCs/>
          <w:sz w:val="28"/>
          <w:szCs w:val="28"/>
        </w:rPr>
      </w:pPr>
      <w:r>
        <w:rPr>
          <w:rFonts w:hint="eastAsia" w:hAnsi="宋体" w:cs="宋体"/>
          <w:b/>
          <w:bCs/>
          <w:sz w:val="28"/>
          <w:szCs w:val="28"/>
        </w:rPr>
        <w:t>（三）评标程序</w:t>
      </w:r>
    </w:p>
    <w:p>
      <w:pPr>
        <w:snapToGrid w:val="0"/>
        <w:spacing w:line="300" w:lineRule="auto"/>
        <w:ind w:firstLine="480"/>
        <w:contextualSpacing/>
        <w:rPr>
          <w:rFonts w:ascii="宋体" w:hAnsi="宋体" w:cs="宋体"/>
        </w:rPr>
      </w:pPr>
      <w:r>
        <w:rPr>
          <w:rFonts w:hint="eastAsia" w:ascii="宋体" w:hAnsi="宋体" w:cs="宋体"/>
        </w:rPr>
        <w:t>采购人可以在评标前说明项目背景和采购需求，说明内容不得含有歧视性、倾向性意见，不得超出招标文件所述范围。说明应当提交书面材料，并随采购文件一并存档。</w:t>
      </w:r>
    </w:p>
    <w:p>
      <w:pPr>
        <w:snapToGrid w:val="0"/>
        <w:spacing w:line="300" w:lineRule="auto"/>
        <w:ind w:firstLine="480"/>
        <w:contextualSpacing/>
        <w:rPr>
          <w:rFonts w:ascii="宋体" w:hAnsi="宋体" w:cs="宋体"/>
        </w:rPr>
      </w:pPr>
      <w:r>
        <w:rPr>
          <w:rFonts w:hint="eastAsia" w:ascii="宋体" w:hAnsi="宋体" w:cs="宋体"/>
        </w:rPr>
        <w:t>具体评标程序详见第四章评标办法。</w:t>
      </w:r>
    </w:p>
    <w:p>
      <w:pPr>
        <w:pStyle w:val="18"/>
        <w:snapToGrid w:val="0"/>
        <w:spacing w:beforeLines="0" w:afterLines="0" w:line="300" w:lineRule="auto"/>
        <w:ind w:firstLine="562"/>
        <w:contextualSpacing/>
        <w:jc w:val="left"/>
        <w:rPr>
          <w:rFonts w:hAnsi="宋体" w:cs="宋体"/>
          <w:b/>
          <w:bCs/>
          <w:sz w:val="28"/>
          <w:szCs w:val="28"/>
        </w:rPr>
      </w:pPr>
      <w:r>
        <w:rPr>
          <w:rFonts w:hint="eastAsia" w:hAnsi="宋体" w:cs="宋体"/>
          <w:b/>
          <w:bCs/>
          <w:sz w:val="28"/>
          <w:szCs w:val="28"/>
        </w:rPr>
        <w:t>（四）错误修正</w:t>
      </w:r>
    </w:p>
    <w:p>
      <w:pPr>
        <w:snapToGrid w:val="0"/>
        <w:spacing w:line="300" w:lineRule="auto"/>
        <w:ind w:firstLine="480"/>
        <w:contextualSpacing/>
        <w:rPr>
          <w:rFonts w:ascii="宋体" w:hAnsi="宋体" w:cs="宋体"/>
          <w:color w:val="000000"/>
          <w:szCs w:val="24"/>
        </w:rPr>
      </w:pPr>
      <w:r>
        <w:rPr>
          <w:rFonts w:hint="eastAsia" w:ascii="宋体" w:hAnsi="宋体" w:cs="宋体"/>
          <w:color w:val="000000"/>
          <w:szCs w:val="24"/>
        </w:rPr>
        <w:t>投标文件报价出现前后不一致的，按照下列规定修正：</w:t>
      </w:r>
    </w:p>
    <w:p>
      <w:pPr>
        <w:snapToGrid w:val="0"/>
        <w:spacing w:line="300" w:lineRule="auto"/>
        <w:ind w:firstLine="480"/>
        <w:contextualSpacing/>
        <w:rPr>
          <w:rFonts w:ascii="宋体" w:hAnsi="宋体" w:cs="宋体"/>
          <w:color w:val="000000"/>
          <w:szCs w:val="24"/>
        </w:rPr>
      </w:pPr>
      <w:r>
        <w:rPr>
          <w:rFonts w:hint="eastAsia" w:ascii="宋体" w:hAnsi="宋体" w:cs="宋体"/>
          <w:color w:val="000000"/>
          <w:szCs w:val="24"/>
        </w:rPr>
        <w:t>1</w:t>
      </w:r>
      <w:r>
        <w:rPr>
          <w:rFonts w:hint="eastAsia" w:ascii="宋体" w:hAnsi="宋体" w:cs="宋体"/>
          <w:color w:val="000000"/>
          <w:kern w:val="0"/>
          <w:szCs w:val="24"/>
        </w:rPr>
        <w:t>．投标文件中</w:t>
      </w:r>
      <w:r>
        <w:rPr>
          <w:rFonts w:hint="eastAsia" w:ascii="宋体" w:hAnsi="宋体" w:cs="宋体"/>
          <w:color w:val="000000"/>
          <w:szCs w:val="24"/>
        </w:rPr>
        <w:t>开标一览表内容与投标文件中相应内容不一致的，</w:t>
      </w:r>
      <w:r>
        <w:rPr>
          <w:rFonts w:hint="eastAsia" w:ascii="宋体" w:hAnsi="宋体" w:cs="宋体"/>
          <w:color w:val="000000"/>
          <w:kern w:val="0"/>
          <w:szCs w:val="24"/>
        </w:rPr>
        <w:t>以开标一览表为准；</w:t>
      </w:r>
    </w:p>
    <w:p>
      <w:pPr>
        <w:snapToGrid w:val="0"/>
        <w:spacing w:line="300" w:lineRule="auto"/>
        <w:ind w:firstLine="480"/>
        <w:contextualSpacing/>
        <w:rPr>
          <w:rFonts w:ascii="宋体" w:hAnsi="宋体" w:cs="宋体"/>
          <w:color w:val="000000"/>
          <w:szCs w:val="24"/>
        </w:rPr>
      </w:pPr>
      <w:r>
        <w:rPr>
          <w:rFonts w:hint="eastAsia" w:ascii="宋体" w:hAnsi="宋体" w:cs="宋体"/>
          <w:color w:val="000000"/>
          <w:szCs w:val="24"/>
        </w:rPr>
        <w:t>2</w:t>
      </w:r>
      <w:r>
        <w:rPr>
          <w:rFonts w:hint="eastAsia" w:ascii="宋体" w:hAnsi="宋体" w:cs="宋体"/>
          <w:color w:val="000000"/>
          <w:kern w:val="0"/>
          <w:szCs w:val="24"/>
        </w:rPr>
        <w:t>．</w:t>
      </w:r>
      <w:r>
        <w:rPr>
          <w:rFonts w:hint="eastAsia" w:ascii="宋体" w:hAnsi="宋体" w:cs="宋体"/>
          <w:color w:val="000000"/>
          <w:szCs w:val="24"/>
        </w:rPr>
        <w:t>大写金额和小写金额不一致的，以大写金额为准；</w:t>
      </w:r>
    </w:p>
    <w:p>
      <w:pPr>
        <w:snapToGrid w:val="0"/>
        <w:spacing w:line="300" w:lineRule="auto"/>
        <w:ind w:firstLine="480"/>
        <w:contextualSpacing/>
        <w:rPr>
          <w:rFonts w:ascii="宋体" w:hAnsi="宋体" w:cs="宋体"/>
          <w:color w:val="000000"/>
          <w:szCs w:val="24"/>
        </w:rPr>
      </w:pPr>
      <w:r>
        <w:rPr>
          <w:rFonts w:hint="eastAsia" w:ascii="宋体" w:hAnsi="宋体" w:cs="宋体"/>
          <w:color w:val="000000"/>
          <w:szCs w:val="24"/>
        </w:rPr>
        <w:t>3</w:t>
      </w:r>
      <w:r>
        <w:rPr>
          <w:rFonts w:hint="eastAsia" w:ascii="宋体" w:hAnsi="宋体" w:cs="宋体"/>
          <w:color w:val="000000"/>
          <w:kern w:val="0"/>
          <w:szCs w:val="24"/>
        </w:rPr>
        <w:t>．</w:t>
      </w:r>
      <w:r>
        <w:rPr>
          <w:rFonts w:hint="eastAsia" w:ascii="宋体" w:hAnsi="宋体" w:cs="宋体"/>
          <w:color w:val="000000"/>
          <w:szCs w:val="24"/>
        </w:rPr>
        <w:t>单价金额小数点或者百分比有明显错位的，以开标一览表的总价为准，并修改单价；</w:t>
      </w:r>
    </w:p>
    <w:p>
      <w:pPr>
        <w:snapToGrid w:val="0"/>
        <w:spacing w:line="300" w:lineRule="auto"/>
        <w:ind w:firstLine="480"/>
        <w:contextualSpacing/>
        <w:rPr>
          <w:rFonts w:ascii="宋体" w:hAnsi="宋体" w:cs="宋体"/>
          <w:szCs w:val="24"/>
        </w:rPr>
      </w:pPr>
      <w:r>
        <w:rPr>
          <w:rFonts w:hint="eastAsia" w:ascii="宋体" w:hAnsi="宋体" w:cs="宋体"/>
          <w:szCs w:val="24"/>
        </w:rPr>
        <w:t>4</w:t>
      </w:r>
      <w:r>
        <w:rPr>
          <w:rFonts w:hint="eastAsia" w:ascii="宋体" w:hAnsi="宋体" w:cs="宋体"/>
          <w:kern w:val="0"/>
          <w:szCs w:val="24"/>
        </w:rPr>
        <w:t>．</w:t>
      </w:r>
      <w:r>
        <w:rPr>
          <w:rFonts w:hint="eastAsia" w:ascii="宋体" w:hAnsi="宋体" w:cs="宋体"/>
          <w:szCs w:val="24"/>
        </w:rPr>
        <w:t>总价金额与按单价汇总金额不一致的，以单价金额计算结果为准。</w:t>
      </w:r>
    </w:p>
    <w:p>
      <w:pPr>
        <w:snapToGrid w:val="0"/>
        <w:spacing w:line="300" w:lineRule="auto"/>
        <w:ind w:firstLine="482"/>
        <w:contextualSpacing/>
        <w:rPr>
          <w:rFonts w:ascii="宋体" w:hAnsi="宋体" w:cs="宋体"/>
          <w:szCs w:val="24"/>
        </w:rPr>
      </w:pPr>
      <w:r>
        <w:rPr>
          <w:rFonts w:hint="eastAsia" w:ascii="宋体" w:hAnsi="宋体" w:cs="宋体"/>
          <w:b/>
          <w:szCs w:val="24"/>
        </w:rPr>
        <w:t>5.客户端填写的报价与以pdf格式上传文件中的报价不一致的，应以Pdf格式上传文件中的报价为准。</w:t>
      </w:r>
    </w:p>
    <w:p>
      <w:pPr>
        <w:snapToGrid w:val="0"/>
        <w:spacing w:line="300" w:lineRule="auto"/>
        <w:ind w:firstLine="480"/>
        <w:contextualSpacing/>
        <w:rPr>
          <w:rFonts w:ascii="宋体" w:hAnsi="宋体" w:cs="宋体"/>
          <w:szCs w:val="24"/>
        </w:rPr>
      </w:pPr>
      <w:r>
        <w:rPr>
          <w:rFonts w:hint="eastAsia" w:ascii="宋体" w:hAnsi="宋体" w:cs="宋体"/>
          <w:szCs w:val="24"/>
        </w:rPr>
        <w:t>同时出现两种以上不一致的，按照上述规定的顺序修正。修正后的报价，经投标人法定代表人或其授权的代表确认后产生约束力，投标人不确认的，其投标无效。</w:t>
      </w:r>
    </w:p>
    <w:p>
      <w:pPr>
        <w:snapToGrid w:val="0"/>
        <w:spacing w:line="300" w:lineRule="auto"/>
        <w:ind w:firstLine="482"/>
        <w:contextualSpacing/>
        <w:rPr>
          <w:rFonts w:ascii="宋体" w:hAnsi="宋体"/>
          <w:b/>
        </w:rPr>
      </w:pPr>
      <w:r>
        <w:rPr>
          <w:rFonts w:hint="eastAsia" w:ascii="宋体" w:hAnsi="宋体"/>
          <w:b/>
        </w:rPr>
        <w:t>（五）澄清问题的形式</w:t>
      </w:r>
    </w:p>
    <w:p>
      <w:pPr>
        <w:spacing w:line="300" w:lineRule="auto"/>
        <w:ind w:firstLine="480"/>
        <w:contextualSpacing/>
        <w:rPr>
          <w:rFonts w:ascii="宋体" w:hAnsi="宋体"/>
          <w:szCs w:val="24"/>
        </w:rPr>
      </w:pPr>
      <w:r>
        <w:rPr>
          <w:rFonts w:hint="eastAsia" w:ascii="宋体" w:hAnsi="宋体"/>
          <w:szCs w:val="24"/>
        </w:rPr>
        <w:t>1．为有助于投标文件的审查、评价和比较，评标小组可以在“政采云”平台在线询标或其他有效形式要求投标人对同一份投标文件含义不明确或同类问题表述不一致的内容（招标文件其它地方有规定处理方法的除外）作必要的澄清或说明，投标人应采用在线回复或其他有效形式在询标规定时间内进行澄清或说明（需盖电子签章或实体公章），但不得超出投标文件的范围或改变投标文件的实质性内容。根据本须知第（四）条规定，凡属于评标小组在评标中发现的计算错误并进行核实的修改不在此列。</w:t>
      </w:r>
    </w:p>
    <w:p>
      <w:pPr>
        <w:pStyle w:val="18"/>
        <w:tabs>
          <w:tab w:val="left" w:pos="0"/>
        </w:tabs>
        <w:spacing w:beforeLines="0" w:afterLines="0" w:line="300" w:lineRule="auto"/>
        <w:ind w:firstLine="480"/>
        <w:contextualSpacing/>
        <w:rPr>
          <w:rFonts w:hAnsi="宋体"/>
          <w:kern w:val="2"/>
          <w:sz w:val="24"/>
          <w:szCs w:val="24"/>
        </w:rPr>
      </w:pPr>
      <w:r>
        <w:rPr>
          <w:rFonts w:hint="eastAsia" w:hAnsi="宋体"/>
          <w:kern w:val="2"/>
          <w:sz w:val="24"/>
          <w:szCs w:val="24"/>
        </w:rPr>
        <w:t>2．如果投标人代表拒绝按评标委员会要求在“政采云”平台作出在线回复且无其他有效回复方式的，评标委员会可以对其作出无效标处理。</w:t>
      </w:r>
    </w:p>
    <w:p>
      <w:pPr>
        <w:pStyle w:val="18"/>
        <w:snapToGrid w:val="0"/>
        <w:spacing w:beforeLines="0" w:afterLines="0" w:line="300" w:lineRule="auto"/>
        <w:ind w:firstLine="562"/>
        <w:contextualSpacing/>
        <w:jc w:val="left"/>
        <w:rPr>
          <w:rFonts w:hAnsi="宋体" w:cs="宋体"/>
          <w:b/>
          <w:bCs/>
          <w:sz w:val="28"/>
          <w:szCs w:val="28"/>
        </w:rPr>
      </w:pPr>
      <w:r>
        <w:rPr>
          <w:rFonts w:hint="eastAsia" w:hAnsi="宋体" w:cs="宋体"/>
          <w:b/>
          <w:bCs/>
          <w:sz w:val="28"/>
          <w:szCs w:val="28"/>
        </w:rPr>
        <w:t>（六）评标原则和评标办法</w:t>
      </w:r>
    </w:p>
    <w:p>
      <w:pPr>
        <w:snapToGrid w:val="0"/>
        <w:spacing w:line="300" w:lineRule="auto"/>
        <w:ind w:firstLine="480"/>
        <w:contextualSpacing/>
        <w:rPr>
          <w:rFonts w:ascii="宋体" w:hAnsi="宋体" w:cs="宋体"/>
          <w:szCs w:val="24"/>
        </w:rPr>
      </w:pPr>
      <w:r>
        <w:rPr>
          <w:rFonts w:hint="eastAsia" w:ascii="宋体" w:hAnsi="宋体" w:cs="宋体"/>
          <w:szCs w:val="24"/>
        </w:rPr>
        <w:t>1</w:t>
      </w:r>
      <w:r>
        <w:rPr>
          <w:rFonts w:hint="eastAsia" w:ascii="宋体" w:hAnsi="宋体" w:cs="宋体"/>
          <w:kern w:val="0"/>
          <w:szCs w:val="24"/>
        </w:rPr>
        <w:t>．</w:t>
      </w:r>
      <w:r>
        <w:rPr>
          <w:rFonts w:hint="eastAsia" w:ascii="宋体" w:hAnsi="宋体" w:cs="宋体"/>
          <w:b/>
          <w:bCs/>
          <w:szCs w:val="24"/>
        </w:rPr>
        <w:t>评标原则</w:t>
      </w:r>
      <w:r>
        <w:rPr>
          <w:rFonts w:hint="eastAsia" w:ascii="宋体" w:hAnsi="宋体" w:cs="宋体"/>
          <w:szCs w:val="24"/>
        </w:rPr>
        <w:t>。评标委员会必须</w:t>
      </w:r>
      <w:r>
        <w:rPr>
          <w:rFonts w:hint="eastAsia" w:ascii="宋体" w:hAnsi="宋体" w:cs="宋体"/>
          <w:b/>
          <w:bCs/>
          <w:szCs w:val="24"/>
        </w:rPr>
        <w:t>遵循公开透明原则、公平竞争原则、公正原则和诚实信用原则</w:t>
      </w:r>
      <w:r>
        <w:rPr>
          <w:rFonts w:hint="eastAsia" w:ascii="宋体" w:hAnsi="宋体" w:cs="宋体"/>
          <w:szCs w:val="24"/>
        </w:rPr>
        <w:t>。不带任何倾向性和启发性；不得向外界透露任何与评标有关的内容；任何单位和个人不得干扰、影响评标的正常进行；评标委员会及有关工作人员不得私下与投标人接触。</w:t>
      </w:r>
    </w:p>
    <w:p>
      <w:pPr>
        <w:snapToGrid w:val="0"/>
        <w:spacing w:line="300" w:lineRule="auto"/>
        <w:ind w:firstLine="480"/>
        <w:contextualSpacing/>
        <w:rPr>
          <w:rFonts w:ascii="宋体" w:hAnsi="宋体" w:cs="宋体"/>
          <w:szCs w:val="24"/>
        </w:rPr>
      </w:pPr>
      <w:r>
        <w:rPr>
          <w:rFonts w:hint="eastAsia" w:ascii="宋体" w:hAnsi="宋体" w:cs="宋体"/>
          <w:bCs/>
          <w:szCs w:val="24"/>
        </w:rPr>
        <w:t>2</w:t>
      </w:r>
      <w:r>
        <w:rPr>
          <w:rFonts w:hint="eastAsia" w:ascii="宋体" w:hAnsi="宋体" w:cs="宋体"/>
          <w:kern w:val="0"/>
          <w:szCs w:val="24"/>
        </w:rPr>
        <w:t>．</w:t>
      </w:r>
      <w:r>
        <w:rPr>
          <w:rFonts w:hint="eastAsia" w:ascii="宋体" w:hAnsi="宋体" w:cs="宋体"/>
          <w:b/>
          <w:bCs/>
          <w:szCs w:val="24"/>
        </w:rPr>
        <w:t>评标办法</w:t>
      </w:r>
      <w:r>
        <w:rPr>
          <w:rFonts w:hint="eastAsia" w:ascii="宋体" w:hAnsi="宋体" w:cs="宋体"/>
          <w:szCs w:val="24"/>
        </w:rPr>
        <w:t>。本项目评标办法是综合评分法 ，具体评标内容及评分标准等详见《第四章：评标办法及评分标准》。</w:t>
      </w:r>
    </w:p>
    <w:p>
      <w:pPr>
        <w:pStyle w:val="18"/>
        <w:snapToGrid w:val="0"/>
        <w:spacing w:beforeLines="0" w:afterLines="0" w:line="300" w:lineRule="auto"/>
        <w:ind w:firstLine="562"/>
        <w:contextualSpacing/>
        <w:jc w:val="left"/>
        <w:rPr>
          <w:rFonts w:hAnsi="宋体" w:cs="宋体"/>
          <w:b/>
          <w:bCs/>
          <w:sz w:val="28"/>
          <w:szCs w:val="28"/>
        </w:rPr>
      </w:pPr>
      <w:r>
        <w:rPr>
          <w:rFonts w:hint="eastAsia" w:hAnsi="宋体" w:cs="宋体"/>
          <w:b/>
          <w:bCs/>
          <w:sz w:val="28"/>
          <w:szCs w:val="28"/>
        </w:rPr>
        <w:t>（七）评标过程的监控</w:t>
      </w:r>
    </w:p>
    <w:p>
      <w:pPr>
        <w:snapToGrid w:val="0"/>
        <w:spacing w:line="300" w:lineRule="auto"/>
        <w:ind w:firstLine="480"/>
        <w:contextualSpacing/>
        <w:rPr>
          <w:rFonts w:ascii="宋体" w:hAnsi="宋体" w:cs="宋体"/>
          <w:szCs w:val="24"/>
        </w:rPr>
      </w:pPr>
      <w:r>
        <w:rPr>
          <w:rFonts w:hint="eastAsia" w:ascii="宋体" w:hAnsi="宋体" w:cs="宋体"/>
          <w:szCs w:val="24"/>
        </w:rPr>
        <w:t>本项目评标过程实行全程录音、录像监控，并由相关监督管理部门进行现场监督。投标人在评标过程中所进行的试图影响评标结果的不公正活动，可能导致其投标被拒绝。</w:t>
      </w:r>
    </w:p>
    <w:p>
      <w:pPr>
        <w:snapToGrid w:val="0"/>
        <w:spacing w:line="300" w:lineRule="auto"/>
        <w:ind w:firstLine="480"/>
        <w:rPr>
          <w:rFonts w:ascii="宋体" w:hAnsi="宋体" w:cs="宋体"/>
          <w:szCs w:val="24"/>
        </w:rPr>
      </w:pPr>
    </w:p>
    <w:p>
      <w:pPr>
        <w:pStyle w:val="6"/>
        <w:spacing w:before="0" w:after="0" w:line="300" w:lineRule="auto"/>
        <w:ind w:firstLine="643"/>
        <w:jc w:val="center"/>
        <w:rPr>
          <w:rFonts w:ascii="宋体" w:hAnsi="宋体" w:cs="宋体"/>
        </w:rPr>
      </w:pPr>
      <w:r>
        <w:rPr>
          <w:rFonts w:hint="eastAsia" w:ascii="宋体" w:hAnsi="宋体" w:cs="宋体"/>
        </w:rPr>
        <w:t xml:space="preserve"> </w:t>
      </w:r>
      <w:bookmarkStart w:id="82" w:name="_Toc31102"/>
      <w:r>
        <w:rPr>
          <w:rFonts w:hint="eastAsia" w:ascii="宋体" w:hAnsi="宋体" w:cs="宋体"/>
        </w:rPr>
        <w:t>七、定标</w:t>
      </w:r>
      <w:bookmarkEnd w:id="82"/>
    </w:p>
    <w:p>
      <w:pPr>
        <w:snapToGrid w:val="0"/>
        <w:spacing w:line="300" w:lineRule="auto"/>
        <w:ind w:firstLine="480"/>
        <w:rPr>
          <w:rFonts w:ascii="宋体" w:hAnsi="宋体" w:cs="宋体"/>
          <w:szCs w:val="24"/>
        </w:rPr>
      </w:pPr>
      <w:r>
        <w:rPr>
          <w:rFonts w:hint="eastAsia" w:ascii="宋体" w:hAnsi="宋体" w:cs="宋体"/>
          <w:szCs w:val="24"/>
        </w:rPr>
        <w:t>（一）确定中标供应商。</w:t>
      </w:r>
      <w:r>
        <w:rPr>
          <w:rFonts w:hint="eastAsia" w:ascii="宋体" w:hAnsi="宋体" w:cs="宋体"/>
          <w:b/>
          <w:bCs/>
          <w:szCs w:val="24"/>
        </w:rPr>
        <w:t>本项目由采购人确定中标供应商。</w:t>
      </w:r>
    </w:p>
    <w:p>
      <w:pPr>
        <w:adjustRightInd w:val="0"/>
        <w:snapToGrid w:val="0"/>
        <w:spacing w:line="300" w:lineRule="auto"/>
        <w:ind w:firstLine="480"/>
        <w:rPr>
          <w:rFonts w:ascii="宋体" w:hAnsi="宋体" w:cs="宋体"/>
        </w:rPr>
      </w:pPr>
      <w:r>
        <w:rPr>
          <w:rFonts w:hint="eastAsia" w:ascii="宋体" w:hAnsi="宋体" w:cs="宋体"/>
        </w:rPr>
        <w:t>采购代理机构应当自评审结束之日起2个工作日内将评审报告送交采购人。采购人应当自收到评审报告之日起5个工作日内在评审报告推荐的中标候选人中按顺序确定排名第一的中标候选人为中标供应商。</w:t>
      </w:r>
    </w:p>
    <w:p>
      <w:pPr>
        <w:adjustRightInd w:val="0"/>
        <w:snapToGrid w:val="0"/>
        <w:spacing w:line="300" w:lineRule="auto"/>
        <w:ind w:firstLine="480"/>
        <w:rPr>
          <w:rFonts w:ascii="宋体" w:hAnsi="宋体" w:cs="宋体"/>
        </w:rPr>
      </w:pPr>
      <w:r>
        <w:rPr>
          <w:rFonts w:hint="eastAsia" w:ascii="宋体" w:hAnsi="宋体" w:cs="宋体"/>
        </w:rPr>
        <w:t>（二）采购人或者采购代理机构应当自中标供应商确定之日起2个工作日内，发出中标通知书，并在省级以上人民政府财政部门指定的媒体上公告中标结果。</w:t>
      </w:r>
    </w:p>
    <w:p>
      <w:pPr>
        <w:snapToGrid w:val="0"/>
        <w:spacing w:line="300" w:lineRule="auto"/>
        <w:ind w:firstLine="480"/>
        <w:rPr>
          <w:rFonts w:ascii="宋体" w:hAnsi="宋体" w:cs="宋体"/>
          <w:szCs w:val="24"/>
        </w:rPr>
      </w:pPr>
    </w:p>
    <w:p>
      <w:pPr>
        <w:pStyle w:val="6"/>
        <w:spacing w:before="0" w:after="0" w:line="300" w:lineRule="auto"/>
        <w:ind w:firstLine="643"/>
        <w:jc w:val="center"/>
        <w:rPr>
          <w:rFonts w:ascii="宋体" w:hAnsi="宋体" w:cs="宋体"/>
        </w:rPr>
      </w:pPr>
      <w:r>
        <w:rPr>
          <w:rFonts w:hint="eastAsia" w:ascii="宋体" w:hAnsi="宋体" w:cs="宋体"/>
        </w:rPr>
        <w:t xml:space="preserve"> </w:t>
      </w:r>
      <w:bookmarkStart w:id="83" w:name="_Toc22515"/>
      <w:r>
        <w:rPr>
          <w:rFonts w:hint="eastAsia" w:ascii="宋体" w:hAnsi="宋体" w:cs="宋体"/>
        </w:rPr>
        <w:t>八、合同授予</w:t>
      </w:r>
      <w:bookmarkEnd w:id="83"/>
    </w:p>
    <w:p>
      <w:pPr>
        <w:pStyle w:val="18"/>
        <w:snapToGrid w:val="0"/>
        <w:spacing w:beforeLines="0" w:afterLines="0" w:line="300" w:lineRule="auto"/>
        <w:ind w:firstLine="562"/>
        <w:jc w:val="left"/>
        <w:rPr>
          <w:rFonts w:hAnsi="宋体" w:cs="宋体"/>
          <w:b/>
          <w:bCs/>
          <w:sz w:val="28"/>
          <w:szCs w:val="28"/>
        </w:rPr>
      </w:pPr>
      <w:r>
        <w:rPr>
          <w:rFonts w:hint="eastAsia" w:hAnsi="宋体" w:cs="宋体"/>
          <w:b/>
          <w:bCs/>
          <w:sz w:val="28"/>
          <w:szCs w:val="28"/>
        </w:rPr>
        <w:t>（一）签订合同</w:t>
      </w:r>
    </w:p>
    <w:p>
      <w:pPr>
        <w:snapToGrid w:val="0"/>
        <w:spacing w:line="300" w:lineRule="auto"/>
        <w:ind w:firstLine="480"/>
        <w:rPr>
          <w:rFonts w:ascii="宋体" w:hAnsi="宋体" w:cs="宋体"/>
          <w:szCs w:val="24"/>
        </w:rPr>
      </w:pPr>
      <w:r>
        <w:rPr>
          <w:rFonts w:hint="eastAsia" w:ascii="宋体" w:hAnsi="宋体" w:cs="宋体"/>
          <w:szCs w:val="24"/>
        </w:rPr>
        <w:t>1．中标供应商应自接到中标通知书后</w:t>
      </w:r>
      <w:r>
        <w:rPr>
          <w:rFonts w:hint="eastAsia" w:ascii="宋体" w:hAnsi="宋体" w:cs="宋体"/>
          <w:szCs w:val="24"/>
          <w:u w:val="single"/>
        </w:rPr>
        <w:t xml:space="preserve"> </w:t>
      </w:r>
      <w:r>
        <w:rPr>
          <w:rFonts w:hint="eastAsia" w:ascii="宋体" w:hAnsi="宋体" w:cs="宋体"/>
          <w:b/>
          <w:bCs/>
          <w:szCs w:val="24"/>
          <w:u w:val="single"/>
        </w:rPr>
        <w:t xml:space="preserve">30 </w:t>
      </w:r>
      <w:r>
        <w:rPr>
          <w:rFonts w:hint="eastAsia" w:ascii="宋体" w:hAnsi="宋体" w:cs="宋体"/>
          <w:szCs w:val="24"/>
        </w:rPr>
        <w:t>天内与采购人签订合同。同时，采购代理机构对合同内容进行审查，如发现与采购结果和投标承诺内容不一致的，应予以纠正。</w:t>
      </w:r>
    </w:p>
    <w:p>
      <w:pPr>
        <w:snapToGrid w:val="0"/>
        <w:spacing w:line="300" w:lineRule="auto"/>
        <w:ind w:firstLine="480"/>
        <w:rPr>
          <w:rFonts w:ascii="宋体" w:hAnsi="宋体" w:cs="宋体"/>
          <w:szCs w:val="24"/>
        </w:rPr>
      </w:pPr>
      <w:r>
        <w:rPr>
          <w:rFonts w:hint="eastAsia" w:ascii="宋体" w:hAnsi="宋体" w:cs="宋体"/>
          <w:szCs w:val="24"/>
        </w:rPr>
        <w:t>2．中标供应商拖延、拒签合同的，将被取消中标资格。</w:t>
      </w:r>
    </w:p>
    <w:p>
      <w:pPr>
        <w:pStyle w:val="18"/>
        <w:snapToGrid w:val="0"/>
        <w:spacing w:beforeLines="0" w:afterLines="0" w:line="300" w:lineRule="auto"/>
        <w:ind w:firstLine="562"/>
        <w:jc w:val="left"/>
        <w:rPr>
          <w:rFonts w:hAnsi="宋体" w:cs="宋体"/>
          <w:b/>
          <w:bCs/>
          <w:sz w:val="28"/>
          <w:szCs w:val="28"/>
        </w:rPr>
      </w:pPr>
      <w:r>
        <w:rPr>
          <w:rFonts w:hint="eastAsia" w:hAnsi="宋体" w:cs="宋体"/>
          <w:b/>
          <w:bCs/>
          <w:sz w:val="28"/>
          <w:szCs w:val="28"/>
        </w:rPr>
        <w:t>（二）履约保证金</w:t>
      </w:r>
    </w:p>
    <w:p>
      <w:pPr>
        <w:snapToGrid w:val="0"/>
        <w:spacing w:line="300" w:lineRule="auto"/>
        <w:ind w:firstLine="480"/>
        <w:rPr>
          <w:rFonts w:ascii="宋体" w:hAnsi="宋体" w:cs="宋体"/>
          <w:szCs w:val="24"/>
        </w:rPr>
      </w:pPr>
      <w:r>
        <w:rPr>
          <w:rFonts w:hint="eastAsia" w:ascii="宋体" w:hAnsi="宋体" w:cs="宋体"/>
          <w:szCs w:val="24"/>
        </w:rPr>
        <w:t>1．项目实施前中标供应商向采购人交纳</w:t>
      </w:r>
      <w:r>
        <w:rPr>
          <w:rFonts w:hint="eastAsia" w:ascii="宋体" w:hAnsi="宋体" w:cs="宋体"/>
          <w:color w:val="000000" w:themeColor="text1"/>
        </w:rPr>
        <w:t>合同金额的1</w:t>
      </w:r>
      <w:r>
        <w:rPr>
          <w:rFonts w:hint="eastAsia" w:ascii="宋体" w:hAnsi="宋体" w:cs="宋体"/>
          <w:color w:val="000000" w:themeColor="text1"/>
          <w:szCs w:val="24"/>
        </w:rPr>
        <w:t>%</w:t>
      </w:r>
      <w:r>
        <w:rPr>
          <w:rFonts w:hint="eastAsia" w:ascii="宋体" w:hAnsi="宋体" w:cs="宋体"/>
          <w:szCs w:val="24"/>
        </w:rPr>
        <w:t>作为履约保证金</w:t>
      </w:r>
      <w:r>
        <w:rPr>
          <w:rFonts w:hint="eastAsia"/>
          <w:szCs w:val="24"/>
        </w:rPr>
        <w:t>，履约保证金在</w:t>
      </w:r>
      <w:r>
        <w:rPr>
          <w:rFonts w:hint="eastAsia" w:ascii="宋体" w:hAnsi="宋体"/>
        </w:rPr>
        <w:t>服务质量采购人满意的前提下自合同履约完毕后一个月内</w:t>
      </w:r>
      <w:r>
        <w:rPr>
          <w:rFonts w:ascii="宋体" w:hAnsi="宋体"/>
        </w:rPr>
        <w:t>无息退还</w:t>
      </w:r>
      <w:r>
        <w:rPr>
          <w:rFonts w:hint="eastAsia"/>
          <w:szCs w:val="24"/>
        </w:rPr>
        <w:t>。</w:t>
      </w:r>
      <w:r>
        <w:rPr>
          <w:rFonts w:hint="eastAsia" w:ascii="宋体" w:hAnsi="宋体" w:cs="宋体"/>
          <w:szCs w:val="24"/>
        </w:rPr>
        <w:t>供应商应当以支票、汇票、本票或者金融机构、担保机构出具的保函等非现金形式提交</w:t>
      </w:r>
      <w:r>
        <w:rPr>
          <w:rFonts w:hint="eastAsia" w:ascii="宋体" w:hAnsi="宋体" w:cs="宋体"/>
        </w:rPr>
        <w:t>。</w:t>
      </w:r>
    </w:p>
    <w:p>
      <w:pPr>
        <w:snapToGrid w:val="0"/>
        <w:spacing w:line="300" w:lineRule="auto"/>
        <w:ind w:firstLine="480"/>
        <w:rPr>
          <w:rFonts w:ascii="宋体" w:hAnsi="宋体" w:cs="宋体"/>
          <w:szCs w:val="24"/>
        </w:rPr>
      </w:pPr>
      <w:r>
        <w:rPr>
          <w:rFonts w:hint="eastAsia" w:ascii="宋体" w:hAnsi="宋体" w:cs="宋体"/>
          <w:szCs w:val="24"/>
        </w:rPr>
        <w:t>2．签订合同后，如中标供应商不按双方签订合同约定履约，则没收其全部履约保证金，履约保证金不足以赔偿损失的，按实际损失赔偿。</w:t>
      </w:r>
    </w:p>
    <w:p>
      <w:pPr>
        <w:snapToGrid w:val="0"/>
        <w:spacing w:line="300" w:lineRule="auto"/>
        <w:ind w:firstLine="723"/>
        <w:rPr>
          <w:rFonts w:ascii="宋体" w:hAnsi="宋体" w:cs="宋体"/>
          <w:b/>
          <w:color w:val="000000"/>
          <w:sz w:val="15"/>
          <w:szCs w:val="15"/>
        </w:rPr>
      </w:pPr>
      <w:r>
        <w:rPr>
          <w:rFonts w:hint="eastAsia" w:ascii="宋体" w:hAnsi="宋体" w:cs="宋体"/>
          <w:b/>
          <w:color w:val="000000"/>
          <w:sz w:val="36"/>
          <w:szCs w:val="36"/>
        </w:rPr>
        <w:br w:type="page"/>
      </w:r>
    </w:p>
    <w:p>
      <w:pPr>
        <w:pStyle w:val="33"/>
        <w:ind w:firstLine="723"/>
        <w:rPr>
          <w:sz w:val="36"/>
          <w:szCs w:val="36"/>
        </w:rPr>
      </w:pPr>
      <w:bookmarkStart w:id="84" w:name="_Toc7734"/>
      <w:r>
        <w:rPr>
          <w:rFonts w:hint="eastAsia"/>
          <w:sz w:val="36"/>
          <w:szCs w:val="36"/>
        </w:rPr>
        <w:t>第四章  评标办法</w:t>
      </w:r>
      <w:bookmarkEnd w:id="84"/>
    </w:p>
    <w:p>
      <w:pPr>
        <w:pStyle w:val="18"/>
        <w:spacing w:beforeLines="0" w:afterLines="0" w:line="300" w:lineRule="auto"/>
        <w:ind w:firstLine="148" w:firstLineChars="49"/>
        <w:jc w:val="center"/>
        <w:rPr>
          <w:rFonts w:hAnsi="宋体" w:cs="宋体"/>
          <w:b/>
          <w:bCs/>
          <w:color w:val="000000"/>
          <w:sz w:val="30"/>
          <w:szCs w:val="30"/>
        </w:rPr>
      </w:pPr>
      <w:r>
        <w:rPr>
          <w:rFonts w:hint="eastAsia" w:hAnsi="宋体" w:cs="宋体"/>
          <w:b/>
          <w:bCs/>
          <w:color w:val="000000"/>
          <w:sz w:val="30"/>
          <w:szCs w:val="30"/>
        </w:rPr>
        <w:t>2023年城区信号灯路口配时优化项目评标办法</w:t>
      </w:r>
    </w:p>
    <w:p>
      <w:pPr>
        <w:spacing w:line="300" w:lineRule="auto"/>
        <w:ind w:firstLine="480"/>
        <w:rPr>
          <w:rFonts w:ascii="宋体" w:hAnsi="宋体" w:cs="宋体"/>
          <w:color w:val="000000"/>
          <w:szCs w:val="24"/>
        </w:rPr>
      </w:pPr>
      <w:r>
        <w:rPr>
          <w:rFonts w:hint="eastAsia" w:ascii="宋体" w:hAnsi="宋体" w:cs="宋体"/>
          <w:color w:val="000000"/>
          <w:szCs w:val="24"/>
        </w:rPr>
        <w:t>为公正、公平、科学地选择中标供应商，根据《中华人民共和国政府采购法》等有关法律法规的规定，并结合本项目的实际，制定本办法。本办法适用于</w:t>
      </w:r>
      <w:r>
        <w:rPr>
          <w:rFonts w:hint="eastAsia" w:ascii="宋体" w:hAnsi="宋体" w:cs="宋体"/>
          <w:b/>
          <w:bCs/>
          <w:color w:val="000000"/>
          <w:szCs w:val="24"/>
        </w:rPr>
        <w:t>2023年城区信号灯路口配时优化项目</w:t>
      </w:r>
      <w:r>
        <w:rPr>
          <w:rFonts w:hint="eastAsia" w:ascii="宋体" w:hAnsi="宋体" w:cs="宋体"/>
          <w:color w:val="000000"/>
          <w:szCs w:val="24"/>
        </w:rPr>
        <w:t>政府采购项目的评标。</w:t>
      </w:r>
    </w:p>
    <w:p>
      <w:pPr>
        <w:pStyle w:val="20"/>
        <w:spacing w:line="300" w:lineRule="auto"/>
        <w:ind w:firstLine="562" w:firstLineChars="200"/>
        <w:jc w:val="left"/>
        <w:rPr>
          <w:rFonts w:ascii="宋体" w:cs="宋体"/>
          <w:sz w:val="28"/>
          <w:szCs w:val="28"/>
        </w:rPr>
      </w:pPr>
      <w:r>
        <w:rPr>
          <w:rFonts w:hint="eastAsia" w:ascii="宋体" w:cs="宋体"/>
          <w:sz w:val="28"/>
          <w:szCs w:val="28"/>
        </w:rPr>
        <w:t>一、总则</w:t>
      </w:r>
    </w:p>
    <w:p>
      <w:pPr>
        <w:spacing w:line="300" w:lineRule="auto"/>
        <w:ind w:firstLine="480"/>
        <w:rPr>
          <w:rFonts w:ascii="宋体" w:hAnsi="宋体" w:cs="宋体"/>
          <w:b/>
          <w:bCs/>
          <w:color w:val="000000"/>
          <w:szCs w:val="24"/>
        </w:rPr>
      </w:pPr>
      <w:r>
        <w:rPr>
          <w:rFonts w:hint="eastAsia" w:ascii="宋体" w:hAnsi="宋体" w:cs="宋体"/>
          <w:color w:val="000000"/>
          <w:szCs w:val="24"/>
        </w:rPr>
        <w:t>本次评标采用综合评分法，总分为100分，其中价格分</w:t>
      </w:r>
      <w:r>
        <w:rPr>
          <w:rFonts w:ascii="宋体" w:hAnsi="宋体" w:cs="宋体"/>
          <w:color w:val="000000"/>
          <w:szCs w:val="24"/>
        </w:rPr>
        <w:t>10</w:t>
      </w:r>
      <w:r>
        <w:rPr>
          <w:rFonts w:hint="eastAsia" w:ascii="宋体" w:hAnsi="宋体" w:cs="宋体"/>
          <w:color w:val="000000"/>
          <w:szCs w:val="24"/>
        </w:rPr>
        <w:t>分、技术资信商务分</w:t>
      </w:r>
      <w:r>
        <w:rPr>
          <w:rFonts w:ascii="宋体" w:hAnsi="宋体" w:cs="宋体"/>
          <w:color w:val="000000"/>
          <w:szCs w:val="24"/>
        </w:rPr>
        <w:t>90</w:t>
      </w:r>
      <w:r>
        <w:rPr>
          <w:rFonts w:hint="eastAsia" w:ascii="宋体" w:hAnsi="宋体" w:cs="宋体"/>
          <w:color w:val="000000"/>
          <w:szCs w:val="24"/>
        </w:rPr>
        <w:t>分。合格供应商的评标得分为各项目汇总得分，成交候选供应商资格按评标总分由高到低顺序排列，评标总分相同的，按照最后报价由低到高的顺序推荐。评标总分且最后报价相同的，按照技术指标优劣顺序推荐。综合得分排名第一的供应商为第一成交候选供应商，综合得分排名第二的供应商为第二成交候选供应商，其他供应商的成交候选资格依此类推，评分过程中采用四舍五入法，并保留小数2位。</w:t>
      </w:r>
      <w:r>
        <w:rPr>
          <w:rFonts w:ascii="宋体" w:hAnsi="宋体" w:cs="宋体"/>
          <w:b/>
          <w:bCs/>
          <w:szCs w:val="24"/>
        </w:rPr>
        <w:t>中标供应商拒绝与采购人签订合同的，采购人可以按照评审报告推荐的中标候选人名单顺序，确定下一候选人为中标供应商，也可以重新开展政府采购活动。</w:t>
      </w:r>
    </w:p>
    <w:p>
      <w:pPr>
        <w:pStyle w:val="20"/>
        <w:spacing w:line="300" w:lineRule="auto"/>
        <w:ind w:firstLine="562" w:firstLineChars="200"/>
        <w:jc w:val="left"/>
        <w:rPr>
          <w:rFonts w:ascii="宋体" w:cs="宋体"/>
          <w:color w:val="auto"/>
          <w:sz w:val="28"/>
          <w:szCs w:val="28"/>
        </w:rPr>
      </w:pPr>
      <w:r>
        <w:rPr>
          <w:rFonts w:hint="eastAsia" w:ascii="宋体" w:cs="宋体"/>
          <w:color w:val="auto"/>
          <w:sz w:val="28"/>
          <w:szCs w:val="28"/>
        </w:rPr>
        <w:t>二、评标程序</w:t>
      </w:r>
    </w:p>
    <w:p>
      <w:pPr>
        <w:snapToGrid w:val="0"/>
        <w:spacing w:line="300" w:lineRule="auto"/>
        <w:ind w:firstLine="482"/>
        <w:rPr>
          <w:rFonts w:ascii="宋体" w:hAnsi="宋体" w:cs="宋体"/>
          <w:b/>
        </w:rPr>
      </w:pPr>
      <w:r>
        <w:rPr>
          <w:rFonts w:hint="eastAsia" w:ascii="宋体" w:hAnsi="宋体" w:cs="宋体"/>
          <w:b/>
        </w:rPr>
        <w:t>（一）采购人或者采购代理机构依法对投标人的资格进行审查。资格证明材料不全的，或者不符合招标文件标明的资格要求的，投标文件将被视为无效。</w:t>
      </w:r>
    </w:p>
    <w:p>
      <w:pPr>
        <w:snapToGrid w:val="0"/>
        <w:spacing w:line="300" w:lineRule="auto"/>
        <w:ind w:firstLine="482"/>
        <w:rPr>
          <w:rFonts w:ascii="宋体" w:hAnsi="宋体" w:cs="宋体"/>
          <w:b/>
        </w:rPr>
      </w:pPr>
      <w:r>
        <w:rPr>
          <w:rFonts w:hint="eastAsia" w:ascii="宋体" w:hAnsi="宋体" w:cs="宋体"/>
          <w:b/>
        </w:rPr>
        <w:t>（二）评标委员会对</w:t>
      </w:r>
      <w:r>
        <w:rPr>
          <w:rFonts w:hint="eastAsia" w:ascii="宋体" w:hAnsi="宋体" w:cs="宋体"/>
          <w:b/>
          <w:bCs/>
          <w:szCs w:val="24"/>
        </w:rPr>
        <w:t>资信商务及</w:t>
      </w:r>
      <w:r>
        <w:rPr>
          <w:rFonts w:hint="eastAsia" w:ascii="宋体" w:hAnsi="宋体" w:cs="宋体"/>
          <w:b/>
        </w:rPr>
        <w:t>技术文件进行符合性审查、技术评审，对报价文件进行报价评审。</w:t>
      </w:r>
    </w:p>
    <w:p>
      <w:pPr>
        <w:snapToGrid w:val="0"/>
        <w:spacing w:line="300" w:lineRule="auto"/>
        <w:ind w:firstLine="472" w:firstLineChars="196"/>
        <w:rPr>
          <w:rFonts w:ascii="宋体" w:hAnsi="宋体" w:cs="宋体"/>
          <w:b/>
          <w:bCs/>
          <w:szCs w:val="24"/>
        </w:rPr>
      </w:pPr>
      <w:r>
        <w:rPr>
          <w:rFonts w:hint="eastAsia" w:ascii="宋体" w:hAnsi="宋体" w:cs="宋体"/>
          <w:b/>
          <w:bCs/>
          <w:szCs w:val="24"/>
        </w:rPr>
        <w:t>1.在资信商务及技术文件符合性审查时，如发现下列情形之一的，投标文件将被视为无效：</w:t>
      </w:r>
    </w:p>
    <w:p>
      <w:pPr>
        <w:snapToGrid w:val="0"/>
        <w:spacing w:line="440" w:lineRule="exact"/>
        <w:ind w:firstLine="470" w:firstLineChars="196"/>
        <w:rPr>
          <w:rFonts w:ascii="宋体" w:hAnsi="宋体" w:cs="宋体"/>
          <w:bCs/>
        </w:rPr>
      </w:pPr>
      <w:r>
        <w:rPr>
          <w:rFonts w:hint="eastAsia" w:ascii="宋体" w:hAnsi="宋体" w:cs="宋体"/>
          <w:bCs/>
        </w:rPr>
        <w:t>（1）</w:t>
      </w:r>
      <w:r>
        <w:rPr>
          <w:rFonts w:ascii="宋体" w:hAnsi="宋体"/>
        </w:rPr>
        <w:t>电子投标文件未按规定要求提供电子签章的</w:t>
      </w:r>
      <w:r>
        <w:rPr>
          <w:rFonts w:hint="eastAsia" w:ascii="宋体" w:hAnsi="宋体"/>
        </w:rPr>
        <w:t>；</w:t>
      </w:r>
    </w:p>
    <w:p>
      <w:pPr>
        <w:snapToGrid w:val="0"/>
        <w:spacing w:line="440" w:lineRule="exact"/>
        <w:ind w:firstLine="470" w:firstLineChars="196"/>
        <w:rPr>
          <w:rFonts w:ascii="宋体" w:hAnsi="宋体" w:cs="宋体"/>
          <w:bCs/>
        </w:rPr>
      </w:pPr>
      <w:r>
        <w:rPr>
          <w:rFonts w:hint="eastAsia" w:ascii="宋体" w:hAnsi="宋体" w:cs="宋体"/>
        </w:rPr>
        <w:t>（2）</w:t>
      </w:r>
      <w:r>
        <w:rPr>
          <w:rFonts w:hint="eastAsia" w:ascii="宋体" w:hAnsi="宋体" w:cs="宋体"/>
          <w:bCs/>
        </w:rPr>
        <w:t>在资信商务及技术文件中出现报价的；</w:t>
      </w:r>
    </w:p>
    <w:p>
      <w:pPr>
        <w:snapToGrid w:val="0"/>
        <w:spacing w:line="440" w:lineRule="exact"/>
        <w:ind w:firstLine="470" w:firstLineChars="196"/>
        <w:rPr>
          <w:rFonts w:ascii="宋体" w:hAnsi="宋体" w:cs="宋体"/>
          <w:bCs/>
          <w:kern w:val="0"/>
        </w:rPr>
      </w:pPr>
      <w:r>
        <w:rPr>
          <w:rFonts w:hint="eastAsia" w:ascii="宋体" w:hAnsi="宋体" w:cs="宋体"/>
        </w:rPr>
        <w:t>（3）</w:t>
      </w:r>
      <w:r>
        <w:rPr>
          <w:rFonts w:hint="eastAsia" w:ascii="宋体" w:hAnsi="宋体" w:cs="宋体"/>
          <w:bCs/>
        </w:rPr>
        <w:t>资信商务及技术文件</w:t>
      </w:r>
      <w:r>
        <w:rPr>
          <w:rFonts w:hint="eastAsia" w:ascii="宋体" w:hAnsi="宋体" w:cs="宋体"/>
        </w:rPr>
        <w:t>无法定代表人或授权代表签字</w:t>
      </w:r>
      <w:r>
        <w:rPr>
          <w:rFonts w:hint="eastAsia" w:ascii="宋体" w:hAnsi="宋体" w:cs="宋体"/>
          <w:color w:val="000000"/>
          <w:szCs w:val="24"/>
        </w:rPr>
        <w:t>（或盖章）</w:t>
      </w:r>
      <w:r>
        <w:rPr>
          <w:rFonts w:hint="eastAsia" w:ascii="宋体" w:hAnsi="宋体" w:cs="宋体"/>
        </w:rPr>
        <w:t>，或未</w:t>
      </w:r>
      <w:r>
        <w:rPr>
          <w:rFonts w:hint="eastAsia" w:ascii="宋体" w:hAnsi="宋体" w:cs="宋体"/>
          <w:bCs/>
          <w:kern w:val="0"/>
        </w:rPr>
        <w:t>提供法定代表人授权委托书、投标声明书或者填写项目不齐全的；</w:t>
      </w:r>
    </w:p>
    <w:p>
      <w:pPr>
        <w:snapToGrid w:val="0"/>
        <w:spacing w:line="440" w:lineRule="exact"/>
        <w:ind w:firstLine="470" w:firstLineChars="196"/>
        <w:rPr>
          <w:rFonts w:ascii="宋体" w:hAnsi="宋体" w:cs="宋体"/>
        </w:rPr>
      </w:pPr>
      <w:r>
        <w:rPr>
          <w:rFonts w:hint="eastAsia" w:ascii="宋体" w:hAnsi="宋体" w:cs="宋体"/>
        </w:rPr>
        <w:t>（4）投标代表人未能出具身份证明或与法定代表人授权委托人身份不符的；</w:t>
      </w:r>
    </w:p>
    <w:p>
      <w:pPr>
        <w:pStyle w:val="3"/>
        <w:snapToGrid w:val="0"/>
        <w:spacing w:line="440" w:lineRule="exact"/>
        <w:ind w:firstLine="470" w:firstLineChars="196"/>
        <w:rPr>
          <w:rFonts w:ascii="宋体" w:hAnsi="宋体" w:cs="宋体"/>
          <w:kern w:val="2"/>
          <w:szCs w:val="28"/>
        </w:rPr>
      </w:pPr>
      <w:r>
        <w:rPr>
          <w:rFonts w:hint="eastAsia" w:ascii="宋体" w:hAnsi="宋体" w:cs="宋体"/>
          <w:kern w:val="2"/>
          <w:szCs w:val="28"/>
        </w:rPr>
        <w:t>（5）</w:t>
      </w:r>
      <w:r>
        <w:rPr>
          <w:rFonts w:hint="eastAsia" w:ascii="宋体" w:hAnsi="宋体" w:cs="宋体"/>
          <w:bCs/>
        </w:rPr>
        <w:t>资信商务及技术文件</w:t>
      </w:r>
      <w:r>
        <w:rPr>
          <w:rFonts w:hint="eastAsia" w:ascii="宋体" w:hAnsi="宋体" w:cs="宋体"/>
          <w:kern w:val="2"/>
          <w:szCs w:val="28"/>
        </w:rPr>
        <w:t>格式不规范、项目不齐全或者内容虚假的；</w:t>
      </w:r>
    </w:p>
    <w:p>
      <w:pPr>
        <w:pStyle w:val="3"/>
        <w:snapToGrid w:val="0"/>
        <w:spacing w:line="440" w:lineRule="exact"/>
        <w:ind w:firstLine="470" w:firstLineChars="196"/>
        <w:rPr>
          <w:rFonts w:ascii="宋体" w:hAnsi="宋体" w:cs="宋体"/>
          <w:kern w:val="2"/>
          <w:szCs w:val="28"/>
        </w:rPr>
      </w:pPr>
      <w:r>
        <w:rPr>
          <w:rFonts w:hint="eastAsia" w:ascii="宋体" w:hAnsi="宋体" w:cs="宋体"/>
          <w:kern w:val="2"/>
          <w:szCs w:val="28"/>
        </w:rPr>
        <w:t>（6）</w:t>
      </w:r>
      <w:r>
        <w:rPr>
          <w:rFonts w:hint="eastAsia" w:ascii="宋体" w:hAnsi="宋体" w:cs="宋体"/>
          <w:bCs/>
        </w:rPr>
        <w:t>资信商务及技术文件</w:t>
      </w:r>
      <w:r>
        <w:rPr>
          <w:rFonts w:hint="eastAsia" w:ascii="宋体" w:hAnsi="宋体" w:cs="宋体"/>
          <w:kern w:val="2"/>
          <w:szCs w:val="28"/>
        </w:rPr>
        <w:t>的实质性内容未使用中文表述、意思表述不明确、前后矛盾或者使用计量单位不符合招标文件要求的（经评标委员会认定并允许其当场更正的笔误除外）；</w:t>
      </w:r>
    </w:p>
    <w:p>
      <w:pPr>
        <w:snapToGrid w:val="0"/>
        <w:spacing w:line="440" w:lineRule="exact"/>
        <w:ind w:firstLine="470" w:firstLineChars="196"/>
        <w:rPr>
          <w:rFonts w:ascii="宋体" w:hAnsi="宋体" w:cs="宋体"/>
          <w:bCs/>
          <w:kern w:val="0"/>
        </w:rPr>
      </w:pPr>
      <w:r>
        <w:rPr>
          <w:rFonts w:hint="eastAsia" w:ascii="宋体" w:hAnsi="宋体" w:cs="宋体"/>
          <w:bCs/>
          <w:kern w:val="0"/>
        </w:rPr>
        <w:t>（7）未实质性响应采购文件要求或者投标文件有采购方不能接受的附加条件的；</w:t>
      </w:r>
    </w:p>
    <w:p>
      <w:pPr>
        <w:snapToGrid w:val="0"/>
        <w:spacing w:line="440" w:lineRule="exact"/>
        <w:ind w:firstLine="470" w:firstLineChars="196"/>
        <w:rPr>
          <w:rFonts w:ascii="宋体" w:hAnsi="宋体" w:cs="宋体"/>
          <w:bCs/>
          <w:kern w:val="0"/>
        </w:rPr>
      </w:pPr>
      <w:r>
        <w:rPr>
          <w:rFonts w:hint="eastAsia" w:ascii="宋体" w:hAnsi="宋体" w:cs="宋体"/>
          <w:bCs/>
          <w:kern w:val="0"/>
        </w:rPr>
        <w:t>（8）不符合本采购文件中的实质性要求条款。</w:t>
      </w:r>
    </w:p>
    <w:p>
      <w:pPr>
        <w:pStyle w:val="3"/>
        <w:snapToGrid w:val="0"/>
        <w:spacing w:line="300" w:lineRule="auto"/>
        <w:ind w:firstLine="472" w:firstLineChars="196"/>
        <w:rPr>
          <w:rFonts w:ascii="宋体" w:hAnsi="宋体" w:cs="宋体"/>
          <w:b/>
          <w:bCs/>
        </w:rPr>
      </w:pPr>
      <w:r>
        <w:rPr>
          <w:rFonts w:hint="eastAsia" w:ascii="宋体" w:hAnsi="宋体" w:cs="宋体"/>
          <w:b/>
          <w:bCs/>
        </w:rPr>
        <w:t>2.在技术评审时，如发现下列情形之一的，投标文件将被视为无效：</w:t>
      </w:r>
    </w:p>
    <w:p>
      <w:pPr>
        <w:pStyle w:val="3"/>
        <w:snapToGrid w:val="0"/>
        <w:spacing w:line="300" w:lineRule="auto"/>
        <w:ind w:firstLine="470" w:firstLineChars="196"/>
        <w:rPr>
          <w:rFonts w:ascii="宋体" w:hAnsi="宋体" w:cs="宋体"/>
        </w:rPr>
      </w:pPr>
      <w:r>
        <w:rPr>
          <w:rFonts w:hint="eastAsia" w:ascii="宋体" w:hAnsi="宋体" w:cs="宋体"/>
        </w:rPr>
        <w:t>（1）未提供或未如实提供投标货物的技术参数，或者投标文件标明的响应或偏离与事实不符或虚假投标的；</w:t>
      </w:r>
    </w:p>
    <w:p>
      <w:pPr>
        <w:pStyle w:val="3"/>
        <w:snapToGrid w:val="0"/>
        <w:spacing w:line="300" w:lineRule="auto"/>
        <w:ind w:firstLine="470" w:firstLineChars="196"/>
        <w:rPr>
          <w:rFonts w:ascii="宋体" w:hAnsi="宋体" w:cs="宋体"/>
        </w:rPr>
      </w:pPr>
      <w:r>
        <w:rPr>
          <w:rFonts w:hint="eastAsia" w:ascii="宋体" w:hAnsi="宋体" w:cs="宋体"/>
        </w:rPr>
        <w:t>（2）</w:t>
      </w:r>
      <w:r>
        <w:rPr>
          <w:rFonts w:hint="eastAsia" w:ascii="宋体" w:hAnsi="宋体" w:cs="宋体"/>
          <w:snapToGrid w:val="0"/>
        </w:rPr>
        <w:t>明显不符合招标文件要求的规格型号、质量标准，或者与</w:t>
      </w:r>
      <w:r>
        <w:rPr>
          <w:rFonts w:hint="eastAsia" w:ascii="宋体" w:hAnsi="宋体" w:cs="宋体"/>
        </w:rPr>
        <w:t>招标文件中标“▲”的技术指标、主要功能项目发生实质性偏离的；</w:t>
      </w:r>
    </w:p>
    <w:p>
      <w:pPr>
        <w:pStyle w:val="3"/>
        <w:snapToGrid w:val="0"/>
        <w:spacing w:line="300" w:lineRule="auto"/>
        <w:ind w:firstLine="470" w:firstLineChars="196"/>
        <w:rPr>
          <w:rFonts w:ascii="宋体" w:hAnsi="宋体" w:cs="宋体"/>
        </w:rPr>
      </w:pPr>
      <w:r>
        <w:rPr>
          <w:rFonts w:hint="eastAsia" w:ascii="宋体" w:hAnsi="宋体" w:cs="宋体"/>
        </w:rPr>
        <w:t>（3）投标技术方案不明确，存在一个或一个以上备选（替代）投标方案的；</w:t>
      </w:r>
    </w:p>
    <w:p>
      <w:pPr>
        <w:pStyle w:val="3"/>
        <w:snapToGrid w:val="0"/>
        <w:spacing w:line="300" w:lineRule="auto"/>
        <w:ind w:firstLine="470" w:firstLineChars="196"/>
        <w:rPr>
          <w:rFonts w:ascii="宋体" w:hAnsi="宋体" w:cs="宋体"/>
        </w:rPr>
      </w:pPr>
      <w:r>
        <w:rPr>
          <w:rFonts w:hint="eastAsia" w:ascii="宋体" w:hAnsi="宋体" w:cs="宋体"/>
        </w:rPr>
        <w:t>（4）与其他参加本次投标供应商的投标文件（技术文件）的文字表述内容相同连续20行以上或者差错相同2处以上的。</w:t>
      </w:r>
    </w:p>
    <w:p>
      <w:pPr>
        <w:pStyle w:val="3"/>
        <w:snapToGrid w:val="0"/>
        <w:spacing w:line="300" w:lineRule="auto"/>
        <w:ind w:firstLine="470" w:firstLineChars="196"/>
        <w:rPr>
          <w:rFonts w:ascii="宋体" w:hAnsi="宋体" w:cs="宋体"/>
        </w:rPr>
      </w:pPr>
      <w:r>
        <w:rPr>
          <w:rFonts w:hint="eastAsia" w:ascii="宋体" w:hAnsi="宋体" w:cs="宋体"/>
        </w:rPr>
        <w:t>（5）不符合本采购文件中的实质性要求条款。</w:t>
      </w:r>
    </w:p>
    <w:p>
      <w:pPr>
        <w:pStyle w:val="3"/>
        <w:snapToGrid w:val="0"/>
        <w:spacing w:line="300" w:lineRule="auto"/>
        <w:ind w:firstLine="472" w:firstLineChars="196"/>
        <w:rPr>
          <w:rFonts w:ascii="宋体" w:hAnsi="宋体" w:cs="宋体"/>
          <w:b/>
          <w:bCs/>
        </w:rPr>
      </w:pPr>
      <w:r>
        <w:rPr>
          <w:rFonts w:hint="eastAsia" w:ascii="宋体" w:hAnsi="宋体" w:cs="宋体"/>
          <w:b/>
          <w:bCs/>
        </w:rPr>
        <w:t>3.在报价评审时，如发现下列情形之一的，投标文件将被视为无效：</w:t>
      </w:r>
    </w:p>
    <w:p>
      <w:pPr>
        <w:pStyle w:val="3"/>
        <w:snapToGrid w:val="0"/>
        <w:spacing w:line="300" w:lineRule="auto"/>
        <w:ind w:firstLine="470" w:firstLineChars="196"/>
        <w:rPr>
          <w:rFonts w:ascii="宋体" w:hAnsi="宋体" w:cs="宋体"/>
        </w:rPr>
      </w:pPr>
      <w:r>
        <w:rPr>
          <w:rFonts w:hint="eastAsia" w:ascii="宋体" w:hAnsi="宋体" w:cs="宋体"/>
        </w:rPr>
        <w:t>（1）未采用人民币报价或者未按照招标文件标明的币种报价的；</w:t>
      </w:r>
    </w:p>
    <w:p>
      <w:pPr>
        <w:pStyle w:val="3"/>
        <w:snapToGrid w:val="0"/>
        <w:spacing w:line="300" w:lineRule="auto"/>
        <w:ind w:firstLine="470" w:firstLineChars="196"/>
        <w:rPr>
          <w:rFonts w:ascii="宋体" w:hAnsi="宋体" w:cs="宋体"/>
        </w:rPr>
      </w:pPr>
      <w:r>
        <w:rPr>
          <w:rFonts w:hint="eastAsia" w:ascii="宋体" w:hAnsi="宋体" w:cs="宋体"/>
        </w:rPr>
        <w:t>（2）投标报价具有选择性或者开标价格与投标文件承诺的优惠（折扣）价格不一致的；</w:t>
      </w:r>
    </w:p>
    <w:p>
      <w:pPr>
        <w:pStyle w:val="3"/>
        <w:snapToGrid w:val="0"/>
        <w:spacing w:line="300" w:lineRule="auto"/>
        <w:ind w:firstLine="470" w:firstLineChars="196"/>
        <w:rPr>
          <w:rFonts w:ascii="宋体" w:hAnsi="宋体" w:cs="宋体"/>
        </w:rPr>
      </w:pPr>
      <w:r>
        <w:rPr>
          <w:rFonts w:hint="eastAsia" w:ascii="宋体" w:hAnsi="宋体" w:cs="宋体"/>
        </w:rPr>
        <w:t>（3）投标报价超过采购上限价的；</w:t>
      </w:r>
    </w:p>
    <w:p>
      <w:pPr>
        <w:pStyle w:val="3"/>
        <w:snapToGrid w:val="0"/>
        <w:spacing w:line="300" w:lineRule="auto"/>
        <w:ind w:firstLine="470" w:firstLineChars="196"/>
        <w:rPr>
          <w:rFonts w:ascii="宋体" w:hAnsi="宋体" w:cs="宋体"/>
        </w:rPr>
      </w:pPr>
      <w:r>
        <w:rPr>
          <w:rFonts w:hint="eastAsia" w:ascii="宋体" w:hAnsi="宋体" w:cs="宋体"/>
        </w:rPr>
        <w:t>（4）投标报价明显低于其他通过符合性审查投标人的报价，且供应商不能证明其报价合理性并提供证明材料的；</w:t>
      </w:r>
    </w:p>
    <w:p>
      <w:pPr>
        <w:pStyle w:val="3"/>
        <w:snapToGrid w:val="0"/>
        <w:spacing w:line="300" w:lineRule="auto"/>
        <w:ind w:firstLine="470" w:firstLineChars="196"/>
        <w:rPr>
          <w:rFonts w:ascii="宋体" w:hAnsi="宋体" w:cs="宋体"/>
        </w:rPr>
      </w:pPr>
      <w:r>
        <w:rPr>
          <w:rFonts w:hint="eastAsia" w:ascii="宋体" w:hAnsi="宋体" w:cs="宋体"/>
        </w:rPr>
        <w:t>（5）投标有效期、服务期限等条款不能满足招标文件要求的；</w:t>
      </w:r>
    </w:p>
    <w:p>
      <w:pPr>
        <w:pStyle w:val="3"/>
        <w:snapToGrid w:val="0"/>
        <w:spacing w:line="300" w:lineRule="auto"/>
        <w:ind w:firstLine="470" w:firstLineChars="196"/>
        <w:rPr>
          <w:rFonts w:ascii="宋体" w:hAnsi="宋体" w:cs="宋体"/>
        </w:rPr>
      </w:pPr>
      <w:r>
        <w:rPr>
          <w:rFonts w:hint="eastAsia" w:ascii="宋体" w:hAnsi="宋体" w:cs="宋体"/>
        </w:rPr>
        <w:t>（6）报价文件无法定代表人或授权代表签字</w:t>
      </w:r>
      <w:r>
        <w:rPr>
          <w:rFonts w:hint="eastAsia" w:ascii="宋体" w:hAnsi="宋体" w:cs="宋体"/>
          <w:color w:val="000000"/>
        </w:rPr>
        <w:t>（或盖章）</w:t>
      </w:r>
      <w:r>
        <w:rPr>
          <w:rFonts w:hint="eastAsia" w:ascii="宋体" w:hAnsi="宋体" w:cs="宋体"/>
        </w:rPr>
        <w:t>的；</w:t>
      </w:r>
    </w:p>
    <w:p>
      <w:pPr>
        <w:pStyle w:val="3"/>
        <w:snapToGrid w:val="0"/>
        <w:spacing w:line="300" w:lineRule="auto"/>
        <w:ind w:firstLine="470" w:firstLineChars="196"/>
        <w:rPr>
          <w:rFonts w:ascii="宋体" w:hAnsi="宋体" w:cs="宋体"/>
        </w:rPr>
      </w:pPr>
      <w:r>
        <w:rPr>
          <w:rFonts w:hint="eastAsia" w:ascii="宋体" w:hAnsi="宋体" w:cs="宋体"/>
        </w:rPr>
        <w:t>（7）报价文件格式不规范、项目不齐全或者内容虚假的；</w:t>
      </w:r>
    </w:p>
    <w:p>
      <w:pPr>
        <w:pStyle w:val="3"/>
        <w:snapToGrid w:val="0"/>
        <w:spacing w:line="300" w:lineRule="auto"/>
        <w:ind w:firstLine="470" w:firstLineChars="196"/>
        <w:rPr>
          <w:rFonts w:ascii="宋体" w:hAnsi="宋体" w:cs="宋体"/>
        </w:rPr>
      </w:pPr>
      <w:r>
        <w:rPr>
          <w:rFonts w:hint="eastAsia" w:ascii="宋体" w:hAnsi="宋体" w:cs="宋体"/>
        </w:rPr>
        <w:t>（8）</w:t>
      </w:r>
      <w:r>
        <w:rPr>
          <w:rFonts w:hint="eastAsia" w:ascii="宋体" w:hAnsi="宋体" w:cs="宋体"/>
          <w:bCs/>
        </w:rPr>
        <w:t>报价文件</w:t>
      </w:r>
      <w:r>
        <w:rPr>
          <w:rFonts w:hint="eastAsia" w:ascii="宋体" w:hAnsi="宋体" w:cs="宋体"/>
          <w:kern w:val="2"/>
          <w:szCs w:val="28"/>
        </w:rPr>
        <w:t>的实质性内容未使用中文表述、意思表述不明确、前后矛盾或者使用计量单位不符合招标文件要求的（经评标委员会认定并允许其当场更正的笔误除外）；</w:t>
      </w:r>
    </w:p>
    <w:p>
      <w:pPr>
        <w:pStyle w:val="3"/>
        <w:snapToGrid w:val="0"/>
        <w:spacing w:line="300" w:lineRule="auto"/>
        <w:ind w:firstLine="470" w:firstLineChars="196"/>
        <w:rPr>
          <w:rFonts w:ascii="宋体" w:hAnsi="宋体" w:cs="宋体"/>
        </w:rPr>
      </w:pPr>
      <w:r>
        <w:rPr>
          <w:rFonts w:hint="eastAsia" w:ascii="宋体" w:hAnsi="宋体" w:cs="宋体"/>
        </w:rPr>
        <w:t>（9）未实质性响应采购文件要求或者投标文件有采购方不能接受的附加条件的；</w:t>
      </w:r>
    </w:p>
    <w:p>
      <w:pPr>
        <w:pStyle w:val="3"/>
        <w:snapToGrid w:val="0"/>
        <w:spacing w:line="300" w:lineRule="auto"/>
        <w:ind w:firstLine="470" w:firstLineChars="196"/>
        <w:rPr>
          <w:rFonts w:ascii="宋体" w:hAnsi="宋体" w:cs="宋体"/>
        </w:rPr>
      </w:pPr>
      <w:r>
        <w:rPr>
          <w:rFonts w:hint="eastAsia" w:ascii="宋体" w:hAnsi="宋体" w:cs="宋体"/>
        </w:rPr>
        <w:t>（10）不符合本采购文件中的实质性要求条款。</w:t>
      </w:r>
    </w:p>
    <w:p>
      <w:pPr>
        <w:pStyle w:val="20"/>
        <w:spacing w:line="300" w:lineRule="auto"/>
        <w:ind w:firstLine="562" w:firstLineChars="200"/>
        <w:jc w:val="left"/>
        <w:rPr>
          <w:rFonts w:ascii="宋体" w:cs="宋体"/>
          <w:sz w:val="28"/>
          <w:szCs w:val="28"/>
        </w:rPr>
      </w:pPr>
      <w:r>
        <w:rPr>
          <w:rFonts w:hint="eastAsia" w:ascii="宋体" w:cs="宋体"/>
          <w:sz w:val="28"/>
          <w:szCs w:val="28"/>
        </w:rPr>
        <w:t>三、评标内容及标准</w:t>
      </w:r>
    </w:p>
    <w:p>
      <w:pPr>
        <w:spacing w:line="300" w:lineRule="auto"/>
        <w:ind w:firstLine="569" w:firstLineChars="236"/>
        <w:rPr>
          <w:rFonts w:ascii="宋体" w:hAnsi="宋体" w:cs="宋体"/>
          <w:b/>
          <w:szCs w:val="24"/>
        </w:rPr>
      </w:pPr>
      <w:r>
        <w:rPr>
          <w:rFonts w:hint="eastAsia" w:ascii="宋体" w:hAnsi="宋体" w:cs="宋体"/>
          <w:b/>
          <w:color w:val="000000"/>
          <w:szCs w:val="24"/>
        </w:rPr>
        <w:t>（一）</w:t>
      </w:r>
      <w:r>
        <w:rPr>
          <w:rFonts w:hint="eastAsia" w:ascii="宋体" w:hAnsi="宋体" w:cs="宋体"/>
          <w:b/>
          <w:szCs w:val="24"/>
        </w:rPr>
        <w:t>价格分（</w:t>
      </w:r>
      <w:r>
        <w:rPr>
          <w:rFonts w:ascii="宋体" w:hAnsi="宋体" w:cs="宋体"/>
          <w:b/>
          <w:szCs w:val="24"/>
        </w:rPr>
        <w:t>10</w:t>
      </w:r>
      <w:r>
        <w:rPr>
          <w:rFonts w:hint="eastAsia" w:ascii="宋体" w:hAnsi="宋体" w:cs="宋体"/>
          <w:b/>
          <w:szCs w:val="24"/>
        </w:rPr>
        <w:t>分）</w:t>
      </w:r>
    </w:p>
    <w:p>
      <w:pPr>
        <w:spacing w:line="303" w:lineRule="auto"/>
        <w:ind w:firstLine="566" w:firstLineChars="236"/>
        <w:rPr>
          <w:rFonts w:ascii="宋体" w:hAnsi="宋体" w:cs="宋体"/>
          <w:szCs w:val="24"/>
        </w:rPr>
      </w:pPr>
      <w:r>
        <w:rPr>
          <w:rFonts w:hint="eastAsia" w:ascii="宋体" w:hAnsi="宋体" w:cs="宋体"/>
          <w:szCs w:val="24"/>
        </w:rPr>
        <w:t>1.价格分采用低价优先法计算，即满足采购文件要求且投标价格最低的投标报价为评标基准价，其他投标人的价格分按照下列公式计算：</w:t>
      </w:r>
    </w:p>
    <w:p>
      <w:pPr>
        <w:spacing w:line="303" w:lineRule="auto"/>
        <w:ind w:firstLine="566" w:firstLineChars="236"/>
        <w:rPr>
          <w:rFonts w:ascii="宋体" w:hAnsi="宋体" w:cs="宋体"/>
          <w:szCs w:val="24"/>
        </w:rPr>
      </w:pPr>
      <w:r>
        <w:rPr>
          <w:rFonts w:hint="eastAsia" w:ascii="宋体" w:hAnsi="宋体" w:cs="宋体"/>
          <w:szCs w:val="24"/>
        </w:rPr>
        <w:t>价格分=（评标基准价/投标报价）×</w:t>
      </w:r>
      <w:r>
        <w:rPr>
          <w:rFonts w:ascii="宋体" w:hAnsi="宋体" w:cs="宋体"/>
          <w:szCs w:val="24"/>
        </w:rPr>
        <w:t>10</w:t>
      </w:r>
      <w:r>
        <w:rPr>
          <w:rFonts w:hint="eastAsia" w:ascii="宋体" w:hAnsi="宋体" w:cs="宋体"/>
          <w:szCs w:val="24"/>
        </w:rPr>
        <w:t>%×100</w:t>
      </w:r>
    </w:p>
    <w:p>
      <w:pPr>
        <w:spacing w:line="303" w:lineRule="auto"/>
        <w:ind w:firstLine="566" w:firstLineChars="236"/>
        <w:rPr>
          <w:rFonts w:ascii="宋体" w:hAnsi="宋体" w:cs="宋体"/>
          <w:color w:val="auto"/>
          <w:szCs w:val="24"/>
        </w:rPr>
      </w:pPr>
      <w:r>
        <w:rPr>
          <w:rFonts w:hint="eastAsia" w:ascii="宋体" w:hAnsi="宋体" w:cs="宋体"/>
          <w:szCs w:val="24"/>
        </w:rPr>
        <w:t>2.</w:t>
      </w:r>
      <w:r>
        <w:rPr>
          <w:rFonts w:hint="eastAsia" w:ascii="宋体" w:hAnsi="宋体" w:cs="宋体"/>
          <w:color w:val="000000"/>
          <w:szCs w:val="24"/>
        </w:rPr>
        <w:t>投标人的投标报价超过采购上限价的</w:t>
      </w:r>
      <w:r>
        <w:rPr>
          <w:rFonts w:hint="eastAsia" w:ascii="宋体" w:hAnsi="宋体" w:cs="宋体"/>
          <w:szCs w:val="24"/>
        </w:rPr>
        <w:t>，其投标无效。</w:t>
      </w:r>
      <w:r>
        <w:rPr>
          <w:rFonts w:hint="eastAsia" w:ascii="宋体" w:hAnsi="宋体" w:cs="宋体"/>
          <w:color w:val="auto"/>
          <w:szCs w:val="24"/>
          <w:lang w:val="en-US" w:eastAsia="zh-CN"/>
        </w:rPr>
        <w:t>投标人</w:t>
      </w:r>
      <w:r>
        <w:rPr>
          <w:rFonts w:hint="eastAsia" w:ascii="宋体" w:hAnsi="宋体" w:cs="宋体"/>
          <w:color w:val="auto"/>
          <w:szCs w:val="24"/>
        </w:rPr>
        <w:t>报价低于项目预算50%的，应当在报价文件中详细阐述不影响产品质量或者诚信履约的具体原因</w:t>
      </w:r>
      <w:r>
        <w:rPr>
          <w:rFonts w:hint="eastAsia" w:ascii="宋体" w:hAnsi="宋体" w:cs="宋体"/>
          <w:color w:val="auto"/>
          <w:szCs w:val="24"/>
          <w:lang w:eastAsia="zh-CN"/>
        </w:rPr>
        <w:t>。</w:t>
      </w:r>
      <w:r>
        <w:rPr>
          <w:rFonts w:hint="eastAsia" w:ascii="宋体" w:hAnsi="宋体" w:cs="宋体"/>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w:t>
      </w:r>
      <w:r>
        <w:rPr>
          <w:rFonts w:hint="eastAsia" w:ascii="宋体" w:hAnsi="宋体" w:cs="宋体"/>
          <w:color w:val="auto"/>
          <w:szCs w:val="24"/>
        </w:rPr>
        <w:t>员会应当将其作为无效投标处理。</w:t>
      </w:r>
    </w:p>
    <w:p>
      <w:pPr>
        <w:spacing w:line="300" w:lineRule="auto"/>
        <w:ind w:firstLine="569" w:firstLineChars="236"/>
        <w:rPr>
          <w:rFonts w:ascii="宋体" w:hAnsi="宋体" w:cs="宋体"/>
          <w:b/>
          <w:color w:val="auto"/>
          <w:szCs w:val="24"/>
        </w:rPr>
      </w:pPr>
      <w:r>
        <w:rPr>
          <w:rFonts w:hint="eastAsia" w:ascii="宋体" w:hAnsi="宋体" w:cs="宋体"/>
          <w:b/>
          <w:color w:val="auto"/>
          <w:szCs w:val="24"/>
        </w:rPr>
        <w:t>3.本项目采购上限价为人民币壹佰肆拾捌万贰仟柒佰捌拾元整（¥</w:t>
      </w:r>
      <w:r>
        <w:rPr>
          <w:rFonts w:ascii="宋体" w:hAnsi="宋体" w:cs="宋体"/>
          <w:b/>
          <w:color w:val="auto"/>
          <w:szCs w:val="24"/>
        </w:rPr>
        <w:t>1</w:t>
      </w:r>
      <w:r>
        <w:rPr>
          <w:rFonts w:hint="eastAsia" w:ascii="宋体" w:hAnsi="宋体" w:cs="宋体"/>
          <w:b/>
          <w:color w:val="auto"/>
          <w:szCs w:val="24"/>
        </w:rPr>
        <w:t>482780.00元）</w:t>
      </w:r>
      <w:r>
        <w:rPr>
          <w:rFonts w:hint="eastAsia" w:ascii="宋体" w:hAnsi="宋体"/>
          <w:b/>
          <w:color w:val="auto"/>
          <w:szCs w:val="24"/>
        </w:rPr>
        <w:t>。</w:t>
      </w:r>
    </w:p>
    <w:p>
      <w:pPr>
        <w:spacing w:line="300" w:lineRule="auto"/>
        <w:ind w:firstLine="0" w:firstLineChars="0"/>
        <w:rPr>
          <w:rFonts w:ascii="宋体" w:hAnsi="宋体" w:cs="宋体"/>
          <w:b/>
          <w:szCs w:val="24"/>
        </w:rPr>
      </w:pPr>
    </w:p>
    <w:p>
      <w:pPr>
        <w:spacing w:line="300" w:lineRule="auto"/>
        <w:ind w:firstLine="0" w:firstLineChars="0"/>
        <w:rPr>
          <w:rFonts w:ascii="宋体" w:hAnsi="宋体" w:cs="宋体"/>
          <w:b/>
          <w:szCs w:val="24"/>
        </w:rPr>
      </w:pPr>
      <w:r>
        <w:rPr>
          <w:rFonts w:hint="eastAsia" w:ascii="宋体" w:hAnsi="宋体" w:cs="宋体"/>
          <w:b/>
          <w:szCs w:val="24"/>
        </w:rPr>
        <w:t>（二）技术商务资信分（</w:t>
      </w:r>
      <w:r>
        <w:rPr>
          <w:rFonts w:ascii="宋体" w:hAnsi="宋体" w:cs="宋体"/>
          <w:b/>
          <w:szCs w:val="24"/>
        </w:rPr>
        <w:t>90</w:t>
      </w:r>
      <w:r>
        <w:rPr>
          <w:rFonts w:hint="eastAsia" w:ascii="宋体" w:hAnsi="宋体" w:cs="宋体"/>
          <w:b/>
          <w:szCs w:val="24"/>
        </w:rPr>
        <w:t>分）</w:t>
      </w:r>
    </w:p>
    <w:p>
      <w:pPr>
        <w:pStyle w:val="35"/>
        <w:ind w:firstLine="643"/>
        <w:rPr>
          <w:rFonts w:ascii="宋体" w:hAnsi="宋体" w:cs="宋体"/>
          <w:szCs w:val="24"/>
        </w:rPr>
      </w:pPr>
    </w:p>
    <w:tbl>
      <w:tblPr>
        <w:tblStyle w:val="36"/>
        <w:tblW w:w="966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574"/>
        <w:gridCol w:w="7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right"/>
        </w:trPr>
        <w:tc>
          <w:tcPr>
            <w:tcW w:w="9662" w:type="dxa"/>
            <w:gridSpan w:val="3"/>
            <w:tcBorders>
              <w:top w:val="single" w:color="auto" w:sz="4" w:space="0"/>
              <w:left w:val="single" w:color="auto" w:sz="4" w:space="0"/>
              <w:bottom w:val="single" w:color="auto" w:sz="4" w:space="0"/>
              <w:right w:val="single" w:color="auto" w:sz="4" w:space="0"/>
            </w:tcBorders>
            <w:vAlign w:val="center"/>
          </w:tcPr>
          <w:p>
            <w:pPr>
              <w:spacing w:line="300" w:lineRule="auto"/>
              <w:ind w:firstLine="0" w:firstLineChars="0"/>
              <w:jc w:val="center"/>
              <w:rPr>
                <w:rFonts w:ascii="宋体" w:hAnsi="宋体" w:cs="宋体"/>
                <w:b/>
                <w:kern w:val="0"/>
                <w:szCs w:val="24"/>
              </w:rPr>
            </w:pPr>
            <w:r>
              <w:rPr>
                <w:rFonts w:hint="eastAsia" w:ascii="宋体" w:hAnsi="宋体" w:cs="宋体"/>
                <w:b/>
                <w:kern w:val="0"/>
                <w:szCs w:val="24"/>
              </w:rPr>
              <w:t>评分标准及分值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right"/>
        </w:trPr>
        <w:tc>
          <w:tcPr>
            <w:tcW w:w="993" w:type="dxa"/>
            <w:vMerge w:val="restart"/>
            <w:tcBorders>
              <w:top w:val="single" w:color="auto" w:sz="4" w:space="0"/>
              <w:left w:val="single" w:color="auto" w:sz="4" w:space="0"/>
              <w:right w:val="single" w:color="auto" w:sz="4" w:space="0"/>
            </w:tcBorders>
            <w:vAlign w:val="center"/>
          </w:tcPr>
          <w:p>
            <w:pPr>
              <w:spacing w:line="300" w:lineRule="auto"/>
              <w:ind w:firstLine="0" w:firstLineChars="0"/>
              <w:rPr>
                <w:rFonts w:ascii="宋体" w:hAnsi="宋体" w:cs="宋体"/>
                <w:szCs w:val="24"/>
              </w:rPr>
            </w:pPr>
          </w:p>
          <w:p>
            <w:pPr>
              <w:spacing w:line="300" w:lineRule="auto"/>
              <w:ind w:firstLine="0" w:firstLineChars="0"/>
              <w:rPr>
                <w:rFonts w:ascii="宋体" w:hAnsi="宋体" w:cs="宋体"/>
                <w:szCs w:val="24"/>
              </w:rPr>
            </w:pPr>
          </w:p>
          <w:p>
            <w:pPr>
              <w:spacing w:line="300" w:lineRule="auto"/>
              <w:ind w:firstLine="0" w:firstLineChars="0"/>
              <w:rPr>
                <w:rFonts w:ascii="宋体" w:hAnsi="宋体" w:cs="宋体"/>
                <w:szCs w:val="24"/>
              </w:rPr>
            </w:pPr>
          </w:p>
          <w:p>
            <w:pPr>
              <w:spacing w:line="300" w:lineRule="auto"/>
              <w:ind w:firstLine="0" w:firstLineChars="0"/>
              <w:rPr>
                <w:rFonts w:ascii="宋体" w:hAnsi="宋体" w:cs="宋体"/>
                <w:szCs w:val="24"/>
              </w:rPr>
            </w:pPr>
            <w:r>
              <w:rPr>
                <w:rFonts w:hint="eastAsia" w:ascii="宋体" w:hAnsi="宋体" w:cs="宋体"/>
                <w:szCs w:val="24"/>
              </w:rPr>
              <w:t>技术分</w:t>
            </w:r>
          </w:p>
          <w:p>
            <w:pPr>
              <w:spacing w:line="300" w:lineRule="auto"/>
              <w:ind w:firstLine="0" w:firstLineChars="0"/>
              <w:rPr>
                <w:rFonts w:ascii="宋体" w:hAnsi="宋体" w:cs="宋体"/>
                <w:szCs w:val="24"/>
              </w:rPr>
            </w:pPr>
            <w:r>
              <w:rPr>
                <w:rFonts w:hint="eastAsia" w:ascii="宋体" w:hAnsi="宋体" w:cs="宋体"/>
                <w:szCs w:val="24"/>
              </w:rPr>
              <w:t>（</w:t>
            </w:r>
            <w:r>
              <w:rPr>
                <w:rFonts w:ascii="宋体" w:hAnsi="宋体" w:cs="宋体"/>
                <w:szCs w:val="24"/>
              </w:rPr>
              <w:t>78</w:t>
            </w:r>
            <w:r>
              <w:rPr>
                <w:rFonts w:hint="eastAsia" w:ascii="宋体" w:hAnsi="宋体" w:cs="宋体"/>
                <w:szCs w:val="24"/>
              </w:rPr>
              <w:t>分）</w:t>
            </w:r>
          </w:p>
        </w:tc>
        <w:tc>
          <w:tcPr>
            <w:tcW w:w="1574" w:type="dxa"/>
            <w:tcBorders>
              <w:top w:val="single" w:color="auto" w:sz="4" w:space="0"/>
              <w:left w:val="single" w:color="auto" w:sz="4" w:space="0"/>
              <w:right w:val="single" w:color="auto" w:sz="4" w:space="0"/>
            </w:tcBorders>
            <w:vAlign w:val="center"/>
          </w:tcPr>
          <w:p>
            <w:pPr>
              <w:spacing w:line="300" w:lineRule="auto"/>
              <w:ind w:firstLine="0" w:firstLineChars="0"/>
              <w:contextualSpacing/>
              <w:rPr>
                <w:rFonts w:ascii="宋体" w:hAnsi="宋体" w:cs="宋体"/>
                <w:szCs w:val="24"/>
              </w:rPr>
            </w:pPr>
            <w:r>
              <w:rPr>
                <w:rFonts w:hint="eastAsia" w:ascii="宋体" w:hAnsi="宋体" w:cs="宋体"/>
                <w:kern w:val="0"/>
              </w:rPr>
              <w:t>对本项目的理解（</w:t>
            </w:r>
            <w:r>
              <w:rPr>
                <w:rFonts w:ascii="宋体" w:hAnsi="宋体" w:cs="宋体"/>
                <w:kern w:val="0"/>
              </w:rPr>
              <w:t>8</w:t>
            </w:r>
            <w:r>
              <w:rPr>
                <w:rFonts w:hint="eastAsia" w:ascii="宋体" w:hAnsi="宋体" w:cs="宋体"/>
                <w:kern w:val="0"/>
              </w:rPr>
              <w:t>分）</w:t>
            </w:r>
          </w:p>
        </w:tc>
        <w:tc>
          <w:tcPr>
            <w:tcW w:w="7095" w:type="dxa"/>
            <w:tcBorders>
              <w:top w:val="single" w:color="auto" w:sz="4" w:space="0"/>
              <w:left w:val="single" w:color="auto" w:sz="4" w:space="0"/>
              <w:bottom w:val="single" w:color="auto" w:sz="4" w:space="0"/>
              <w:right w:val="single" w:color="auto" w:sz="4" w:space="0"/>
            </w:tcBorders>
            <w:vAlign w:val="center"/>
          </w:tcPr>
          <w:p>
            <w:pPr>
              <w:spacing w:line="300" w:lineRule="auto"/>
              <w:ind w:firstLine="0" w:firstLineChars="0"/>
              <w:contextualSpacing/>
              <w:rPr>
                <w:rFonts w:ascii="宋体" w:hAnsi="宋体" w:cs="宋体"/>
                <w:szCs w:val="24"/>
              </w:rPr>
            </w:pPr>
            <w:r>
              <w:rPr>
                <w:rFonts w:hint="eastAsia" w:ascii="宋体" w:hAnsi="宋体" w:cs="宋体"/>
                <w:kern w:val="0"/>
                <w:szCs w:val="24"/>
              </w:rPr>
              <w:t>投标文件的项目背景和现状、建设目标和需求是否与用户需求吻合，技术路线是否合理。方案可行、可操作性强的得</w:t>
            </w:r>
            <w:r>
              <w:rPr>
                <w:rFonts w:ascii="宋体" w:hAnsi="宋体" w:cs="宋体"/>
                <w:kern w:val="0"/>
                <w:szCs w:val="24"/>
              </w:rPr>
              <w:t>6</w:t>
            </w:r>
            <w:r>
              <w:rPr>
                <w:rFonts w:hint="eastAsia" w:ascii="宋体" w:hAnsi="宋体" w:cs="宋体"/>
                <w:kern w:val="0"/>
                <w:szCs w:val="24"/>
              </w:rPr>
              <w:t>-</w:t>
            </w:r>
            <w:r>
              <w:rPr>
                <w:rFonts w:ascii="宋体" w:hAnsi="宋体" w:cs="宋体"/>
                <w:kern w:val="0"/>
                <w:szCs w:val="24"/>
              </w:rPr>
              <w:t>8</w:t>
            </w:r>
            <w:r>
              <w:rPr>
                <w:rFonts w:hint="eastAsia" w:ascii="宋体" w:hAnsi="宋体" w:cs="宋体"/>
                <w:kern w:val="0"/>
                <w:szCs w:val="24"/>
              </w:rPr>
              <w:t>分，基本可行的得</w:t>
            </w:r>
            <w:r>
              <w:rPr>
                <w:rFonts w:ascii="宋体" w:hAnsi="宋体" w:cs="宋体"/>
                <w:kern w:val="0"/>
                <w:szCs w:val="24"/>
              </w:rPr>
              <w:t>4</w:t>
            </w:r>
            <w:r>
              <w:rPr>
                <w:rFonts w:hint="eastAsia" w:ascii="宋体" w:hAnsi="宋体" w:cs="宋体"/>
                <w:kern w:val="0"/>
                <w:szCs w:val="24"/>
              </w:rPr>
              <w:t>-</w:t>
            </w:r>
            <w:r>
              <w:rPr>
                <w:rFonts w:ascii="宋体" w:hAnsi="宋体" w:cs="宋体"/>
                <w:kern w:val="0"/>
                <w:szCs w:val="24"/>
              </w:rPr>
              <w:t>5</w:t>
            </w:r>
            <w:r>
              <w:rPr>
                <w:rFonts w:hint="eastAsia" w:ascii="宋体" w:hAnsi="宋体" w:cs="宋体"/>
                <w:kern w:val="0"/>
                <w:szCs w:val="24"/>
              </w:rPr>
              <w:t>.9分，无相关内容或内容不可行的不得分。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right"/>
        </w:trPr>
        <w:tc>
          <w:tcPr>
            <w:tcW w:w="993" w:type="dxa"/>
            <w:vMerge w:val="continue"/>
            <w:tcBorders>
              <w:left w:val="single" w:color="auto" w:sz="4" w:space="0"/>
              <w:right w:val="single" w:color="auto" w:sz="4" w:space="0"/>
            </w:tcBorders>
            <w:vAlign w:val="center"/>
          </w:tcPr>
          <w:p>
            <w:pPr>
              <w:spacing w:line="300" w:lineRule="auto"/>
              <w:ind w:firstLine="0" w:firstLineChars="0"/>
              <w:rPr>
                <w:rFonts w:ascii="宋体" w:hAnsi="宋体" w:cs="宋体"/>
                <w:szCs w:val="24"/>
              </w:rPr>
            </w:pPr>
          </w:p>
        </w:tc>
        <w:tc>
          <w:tcPr>
            <w:tcW w:w="1574" w:type="dxa"/>
            <w:tcBorders>
              <w:top w:val="single" w:color="auto" w:sz="4" w:space="0"/>
              <w:left w:val="single" w:color="auto" w:sz="4" w:space="0"/>
              <w:right w:val="single" w:color="auto" w:sz="4" w:space="0"/>
            </w:tcBorders>
            <w:vAlign w:val="center"/>
          </w:tcPr>
          <w:p>
            <w:pPr>
              <w:spacing w:line="300" w:lineRule="auto"/>
              <w:ind w:firstLine="0" w:firstLineChars="0"/>
              <w:contextualSpacing/>
              <w:jc w:val="left"/>
              <w:rPr>
                <w:rFonts w:ascii="宋体" w:hAnsi="宋体" w:cs="宋体"/>
                <w:kern w:val="0"/>
              </w:rPr>
            </w:pPr>
            <w:r>
              <w:rPr>
                <w:rFonts w:hint="eastAsia" w:ascii="宋体" w:hAnsi="宋体" w:cs="宋体"/>
                <w:szCs w:val="24"/>
              </w:rPr>
              <w:t>项目进度安排及进度控制（</w:t>
            </w:r>
            <w:r>
              <w:rPr>
                <w:rFonts w:ascii="宋体" w:hAnsi="宋体" w:cs="宋体"/>
                <w:szCs w:val="24"/>
              </w:rPr>
              <w:t>10</w:t>
            </w:r>
            <w:r>
              <w:rPr>
                <w:rFonts w:hint="eastAsia" w:ascii="宋体" w:hAnsi="宋体" w:cs="宋体"/>
                <w:szCs w:val="24"/>
              </w:rPr>
              <w:t>分）</w:t>
            </w:r>
          </w:p>
        </w:tc>
        <w:tc>
          <w:tcPr>
            <w:tcW w:w="7095" w:type="dxa"/>
            <w:tcBorders>
              <w:top w:val="single" w:color="auto" w:sz="4" w:space="0"/>
              <w:left w:val="single" w:color="auto" w:sz="4" w:space="0"/>
              <w:bottom w:val="single" w:color="auto" w:sz="4" w:space="0"/>
              <w:right w:val="single" w:color="auto" w:sz="4" w:space="0"/>
            </w:tcBorders>
            <w:vAlign w:val="center"/>
          </w:tcPr>
          <w:p>
            <w:pPr>
              <w:spacing w:line="300" w:lineRule="auto"/>
              <w:ind w:firstLine="0" w:firstLineChars="0"/>
              <w:contextualSpacing/>
              <w:rPr>
                <w:rFonts w:ascii="宋体" w:hAnsi="宋体" w:cs="宋体"/>
                <w:szCs w:val="24"/>
              </w:rPr>
            </w:pPr>
            <w:r>
              <w:rPr>
                <w:rFonts w:hint="eastAsia" w:ascii="宋体" w:hAnsi="宋体" w:cs="宋体"/>
                <w:szCs w:val="24"/>
              </w:rPr>
              <w:t>项目进度安排及进度控制是否科学合理、工期保障措施健全，合理、健全的得</w:t>
            </w:r>
            <w:r>
              <w:rPr>
                <w:rFonts w:ascii="宋体" w:hAnsi="宋体" w:cs="宋体"/>
                <w:szCs w:val="24"/>
              </w:rPr>
              <w:t>8</w:t>
            </w:r>
            <w:r>
              <w:rPr>
                <w:rFonts w:hint="eastAsia" w:ascii="宋体" w:hAnsi="宋体" w:cs="宋体"/>
                <w:szCs w:val="24"/>
              </w:rPr>
              <w:t>-</w:t>
            </w:r>
            <w:r>
              <w:rPr>
                <w:rFonts w:ascii="宋体" w:hAnsi="宋体" w:cs="宋体"/>
                <w:szCs w:val="24"/>
              </w:rPr>
              <w:t>10</w:t>
            </w:r>
            <w:r>
              <w:rPr>
                <w:rFonts w:hint="eastAsia" w:ascii="宋体" w:hAnsi="宋体" w:cs="宋体"/>
                <w:szCs w:val="24"/>
              </w:rPr>
              <w:t>分，基本合理的得</w:t>
            </w:r>
            <w:r>
              <w:rPr>
                <w:rFonts w:ascii="宋体" w:hAnsi="宋体" w:cs="宋体"/>
                <w:szCs w:val="24"/>
              </w:rPr>
              <w:t>5</w:t>
            </w:r>
            <w:r>
              <w:rPr>
                <w:rFonts w:hint="eastAsia" w:ascii="宋体" w:hAnsi="宋体" w:cs="宋体"/>
                <w:szCs w:val="24"/>
              </w:rPr>
              <w:t>-</w:t>
            </w:r>
            <w:r>
              <w:rPr>
                <w:rFonts w:ascii="宋体" w:hAnsi="宋体" w:cs="宋体"/>
                <w:szCs w:val="24"/>
              </w:rPr>
              <w:t>7</w:t>
            </w:r>
            <w:r>
              <w:rPr>
                <w:rFonts w:hint="eastAsia" w:ascii="宋体" w:hAnsi="宋体" w:cs="宋体"/>
                <w:szCs w:val="24"/>
              </w:rPr>
              <w:t>.9分，无相关内容或不合理的不得分。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jc w:val="right"/>
        </w:trPr>
        <w:tc>
          <w:tcPr>
            <w:tcW w:w="993" w:type="dxa"/>
            <w:vMerge w:val="continue"/>
            <w:tcBorders>
              <w:left w:val="single" w:color="auto" w:sz="4" w:space="0"/>
              <w:right w:val="single" w:color="auto" w:sz="4" w:space="0"/>
            </w:tcBorders>
            <w:vAlign w:val="center"/>
          </w:tcPr>
          <w:p>
            <w:pPr>
              <w:spacing w:line="300" w:lineRule="auto"/>
              <w:ind w:firstLine="0" w:firstLineChars="0"/>
              <w:rPr>
                <w:rFonts w:ascii="宋体" w:hAnsi="宋体" w:cs="宋体"/>
                <w:szCs w:val="24"/>
              </w:rPr>
            </w:pPr>
          </w:p>
        </w:tc>
        <w:tc>
          <w:tcPr>
            <w:tcW w:w="1574" w:type="dxa"/>
            <w:tcBorders>
              <w:top w:val="single" w:color="auto" w:sz="4" w:space="0"/>
              <w:left w:val="single" w:color="auto" w:sz="4" w:space="0"/>
              <w:right w:val="single" w:color="auto" w:sz="4" w:space="0"/>
            </w:tcBorders>
            <w:vAlign w:val="center"/>
          </w:tcPr>
          <w:p>
            <w:pPr>
              <w:widowControl/>
              <w:spacing w:line="300" w:lineRule="auto"/>
              <w:ind w:firstLine="0" w:firstLineChars="0"/>
              <w:jc w:val="left"/>
              <w:rPr>
                <w:rFonts w:ascii="宋体" w:hAnsi="宋体" w:cs="宋体"/>
                <w:szCs w:val="24"/>
              </w:rPr>
            </w:pPr>
            <w:r>
              <w:rPr>
                <w:rFonts w:hint="eastAsia" w:ascii="宋体" w:hAnsi="宋体" w:cs="宋体"/>
                <w:szCs w:val="24"/>
              </w:rPr>
              <w:t>管理组织与人员安排</w:t>
            </w:r>
          </w:p>
          <w:p>
            <w:pPr>
              <w:widowControl/>
              <w:spacing w:line="300" w:lineRule="auto"/>
              <w:ind w:firstLine="0" w:firstLineChars="0"/>
              <w:jc w:val="left"/>
              <w:rPr>
                <w:rFonts w:ascii="宋体" w:hAnsi="宋体" w:cs="宋体"/>
                <w:szCs w:val="24"/>
              </w:rPr>
            </w:pPr>
            <w:r>
              <w:rPr>
                <w:rFonts w:hint="eastAsia" w:ascii="宋体" w:hAnsi="宋体" w:cs="宋体"/>
                <w:szCs w:val="24"/>
              </w:rPr>
              <w:t>（</w:t>
            </w:r>
            <w:r>
              <w:rPr>
                <w:rFonts w:ascii="宋体" w:hAnsi="宋体" w:cs="宋体"/>
                <w:szCs w:val="24"/>
              </w:rPr>
              <w:t>10</w:t>
            </w:r>
            <w:r>
              <w:rPr>
                <w:rFonts w:hint="eastAsia" w:ascii="宋体" w:hAnsi="宋体" w:cs="宋体"/>
                <w:szCs w:val="24"/>
              </w:rPr>
              <w:t>分）</w:t>
            </w:r>
          </w:p>
        </w:tc>
        <w:tc>
          <w:tcPr>
            <w:tcW w:w="7095" w:type="dxa"/>
            <w:tcBorders>
              <w:top w:val="single" w:color="auto" w:sz="4" w:space="0"/>
              <w:left w:val="single" w:color="auto" w:sz="4" w:space="0"/>
              <w:bottom w:val="single" w:color="auto" w:sz="4" w:space="0"/>
              <w:right w:val="single" w:color="auto" w:sz="4" w:space="0"/>
            </w:tcBorders>
            <w:vAlign w:val="center"/>
          </w:tcPr>
          <w:p>
            <w:pPr>
              <w:spacing w:line="300" w:lineRule="auto"/>
              <w:ind w:firstLine="0" w:firstLineChars="0"/>
              <w:contextualSpacing/>
              <w:rPr>
                <w:rFonts w:ascii="宋体" w:hAnsi="宋体" w:cs="宋体"/>
                <w:szCs w:val="24"/>
              </w:rPr>
            </w:pPr>
            <w:r>
              <w:rPr>
                <w:rFonts w:hint="eastAsia" w:ascii="宋体" w:hAnsi="宋体" w:cs="宋体"/>
                <w:szCs w:val="24"/>
              </w:rPr>
              <w:t>是否具有完备的管理组织和管理制度，人员投入及分工是否符合本项目实施需要；管理组织和管理制度完善可行的得</w:t>
            </w:r>
            <w:r>
              <w:rPr>
                <w:rFonts w:ascii="宋体" w:hAnsi="宋体" w:cs="宋体"/>
                <w:szCs w:val="24"/>
              </w:rPr>
              <w:t>8</w:t>
            </w:r>
            <w:r>
              <w:rPr>
                <w:rFonts w:hint="eastAsia" w:ascii="宋体" w:hAnsi="宋体" w:cs="宋体"/>
                <w:szCs w:val="24"/>
              </w:rPr>
              <w:t>-</w:t>
            </w:r>
            <w:r>
              <w:rPr>
                <w:rFonts w:ascii="宋体" w:hAnsi="宋体" w:cs="宋体"/>
                <w:szCs w:val="24"/>
              </w:rPr>
              <w:t>10</w:t>
            </w:r>
            <w:r>
              <w:rPr>
                <w:rFonts w:hint="eastAsia" w:ascii="宋体" w:hAnsi="宋体" w:cs="宋体"/>
                <w:szCs w:val="24"/>
              </w:rPr>
              <w:t>分，基本可行的得</w:t>
            </w:r>
            <w:r>
              <w:rPr>
                <w:rFonts w:ascii="宋体" w:hAnsi="宋体" w:cs="宋体"/>
                <w:szCs w:val="24"/>
              </w:rPr>
              <w:t>5</w:t>
            </w:r>
            <w:r>
              <w:rPr>
                <w:rFonts w:hint="eastAsia" w:ascii="宋体" w:hAnsi="宋体" w:cs="宋体"/>
                <w:szCs w:val="24"/>
              </w:rPr>
              <w:t>-</w:t>
            </w:r>
            <w:r>
              <w:rPr>
                <w:rFonts w:ascii="宋体" w:hAnsi="宋体" w:cs="宋体"/>
                <w:szCs w:val="24"/>
              </w:rPr>
              <w:t>7</w:t>
            </w:r>
            <w:r>
              <w:rPr>
                <w:rFonts w:hint="eastAsia" w:ascii="宋体" w:hAnsi="宋体" w:cs="宋体"/>
                <w:szCs w:val="24"/>
              </w:rPr>
              <w:t>.9分，无相关内容或内容不可行的不得分。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jc w:val="right"/>
        </w:trPr>
        <w:tc>
          <w:tcPr>
            <w:tcW w:w="993" w:type="dxa"/>
            <w:vMerge w:val="continue"/>
            <w:tcBorders>
              <w:left w:val="single" w:color="auto" w:sz="4" w:space="0"/>
              <w:right w:val="single" w:color="auto" w:sz="4" w:space="0"/>
            </w:tcBorders>
            <w:vAlign w:val="center"/>
          </w:tcPr>
          <w:p>
            <w:pPr>
              <w:spacing w:line="300" w:lineRule="auto"/>
              <w:ind w:firstLine="0" w:firstLineChars="0"/>
              <w:rPr>
                <w:rFonts w:ascii="宋体" w:hAnsi="宋体" w:cs="宋体"/>
                <w:szCs w:val="24"/>
              </w:rPr>
            </w:pPr>
          </w:p>
        </w:tc>
        <w:tc>
          <w:tcPr>
            <w:tcW w:w="1574" w:type="dxa"/>
            <w:tcBorders>
              <w:top w:val="single" w:color="auto" w:sz="4" w:space="0"/>
              <w:left w:val="single" w:color="auto" w:sz="4" w:space="0"/>
              <w:right w:val="single" w:color="auto" w:sz="4" w:space="0"/>
            </w:tcBorders>
            <w:vAlign w:val="center"/>
          </w:tcPr>
          <w:p>
            <w:pPr>
              <w:spacing w:line="300" w:lineRule="auto"/>
              <w:ind w:firstLine="0" w:firstLineChars="0"/>
              <w:contextualSpacing/>
              <w:rPr>
                <w:rFonts w:ascii="宋体" w:hAnsi="宋体" w:cs="宋体"/>
                <w:bCs/>
                <w:kern w:val="0"/>
                <w:szCs w:val="24"/>
              </w:rPr>
            </w:pPr>
            <w:r>
              <w:rPr>
                <w:rFonts w:hint="eastAsia" w:ascii="宋体" w:hAnsi="宋体" w:cs="宋体"/>
                <w:bCs/>
                <w:kern w:val="0"/>
                <w:szCs w:val="24"/>
              </w:rPr>
              <w:t>安全保证体系及安全文明措施（</w:t>
            </w:r>
            <w:r>
              <w:rPr>
                <w:rFonts w:ascii="宋体" w:hAnsi="宋体" w:cs="宋体"/>
                <w:bCs/>
                <w:kern w:val="0"/>
                <w:szCs w:val="24"/>
              </w:rPr>
              <w:t>8</w:t>
            </w:r>
            <w:r>
              <w:rPr>
                <w:rFonts w:hint="eastAsia" w:ascii="宋体" w:hAnsi="宋体" w:cs="宋体"/>
                <w:bCs/>
                <w:kern w:val="0"/>
                <w:szCs w:val="24"/>
              </w:rPr>
              <w:t>分）</w:t>
            </w:r>
          </w:p>
        </w:tc>
        <w:tc>
          <w:tcPr>
            <w:tcW w:w="7095" w:type="dxa"/>
            <w:tcBorders>
              <w:top w:val="single" w:color="auto" w:sz="4" w:space="0"/>
              <w:left w:val="single" w:color="auto" w:sz="4" w:space="0"/>
              <w:bottom w:val="single" w:color="auto" w:sz="4" w:space="0"/>
              <w:right w:val="single" w:color="auto" w:sz="4" w:space="0"/>
            </w:tcBorders>
            <w:vAlign w:val="center"/>
          </w:tcPr>
          <w:p>
            <w:pPr>
              <w:spacing w:line="300" w:lineRule="auto"/>
              <w:ind w:firstLine="0" w:firstLineChars="0"/>
              <w:contextualSpacing/>
              <w:rPr>
                <w:rFonts w:ascii="宋体" w:hAnsi="宋体" w:cs="宋体"/>
                <w:szCs w:val="24"/>
              </w:rPr>
            </w:pPr>
            <w:r>
              <w:rPr>
                <w:rFonts w:hint="eastAsia" w:ascii="宋体" w:hAnsi="宋体" w:cs="宋体"/>
                <w:szCs w:val="24"/>
              </w:rPr>
              <w:t>根据投标人提供的安全保证体系及安全文明措施进行打分，相关内容</w:t>
            </w:r>
            <w:r>
              <w:rPr>
                <w:rFonts w:ascii="宋体" w:hAnsi="宋体" w:cs="长城仿宋"/>
                <w:szCs w:val="24"/>
              </w:rPr>
              <w:t>有</w:t>
            </w:r>
            <w:r>
              <w:rPr>
                <w:rFonts w:ascii="宋体" w:hAnsi="宋体" w:cs="宋体"/>
                <w:szCs w:val="24"/>
              </w:rPr>
              <w:t>针对性且可行的</w:t>
            </w:r>
            <w:r>
              <w:rPr>
                <w:rFonts w:hint="eastAsia" w:ascii="宋体" w:hAnsi="宋体" w:cs="宋体"/>
                <w:szCs w:val="24"/>
              </w:rPr>
              <w:t>得</w:t>
            </w:r>
            <w:r>
              <w:rPr>
                <w:rFonts w:ascii="宋体" w:hAnsi="宋体" w:cs="宋体"/>
                <w:szCs w:val="24"/>
              </w:rPr>
              <w:t>6-8分，</w:t>
            </w:r>
            <w:r>
              <w:rPr>
                <w:rFonts w:hint="eastAsia" w:ascii="宋体" w:hAnsi="宋体" w:cs="宋体"/>
                <w:szCs w:val="24"/>
              </w:rPr>
              <w:t>内容一般但</w:t>
            </w:r>
            <w:r>
              <w:rPr>
                <w:rFonts w:ascii="宋体" w:hAnsi="宋体" w:cs="宋体"/>
                <w:szCs w:val="24"/>
              </w:rPr>
              <w:t>基本可行</w:t>
            </w:r>
            <w:r>
              <w:rPr>
                <w:rFonts w:hint="eastAsia" w:ascii="宋体" w:hAnsi="宋体" w:cs="宋体"/>
                <w:szCs w:val="24"/>
              </w:rPr>
              <w:t>的得</w:t>
            </w:r>
            <w:r>
              <w:rPr>
                <w:rFonts w:ascii="宋体" w:hAnsi="宋体" w:cs="宋体"/>
                <w:szCs w:val="24"/>
              </w:rPr>
              <w:t>4-5</w:t>
            </w:r>
            <w:r>
              <w:rPr>
                <w:rFonts w:hint="eastAsia" w:ascii="宋体" w:hAnsi="宋体" w:cs="宋体"/>
                <w:szCs w:val="24"/>
              </w:rPr>
              <w:t>.9</w:t>
            </w:r>
            <w:r>
              <w:rPr>
                <w:rFonts w:ascii="宋体" w:hAnsi="宋体" w:cs="宋体"/>
                <w:szCs w:val="24"/>
              </w:rPr>
              <w:t>分，</w:t>
            </w:r>
            <w:r>
              <w:rPr>
                <w:rFonts w:hint="eastAsia" w:ascii="宋体" w:hAnsi="宋体" w:cs="宋体"/>
                <w:szCs w:val="24"/>
              </w:rPr>
              <w:t>无相关内容或内容不可行的不得分。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jc w:val="right"/>
        </w:trPr>
        <w:tc>
          <w:tcPr>
            <w:tcW w:w="993" w:type="dxa"/>
            <w:vMerge w:val="continue"/>
            <w:tcBorders>
              <w:left w:val="single" w:color="auto" w:sz="4" w:space="0"/>
              <w:right w:val="single" w:color="auto" w:sz="4" w:space="0"/>
            </w:tcBorders>
            <w:vAlign w:val="center"/>
          </w:tcPr>
          <w:p>
            <w:pPr>
              <w:spacing w:line="300" w:lineRule="auto"/>
              <w:ind w:firstLine="0" w:firstLineChars="0"/>
              <w:rPr>
                <w:rFonts w:ascii="宋体" w:hAnsi="宋体" w:cs="宋体"/>
                <w:szCs w:val="24"/>
              </w:rPr>
            </w:pPr>
          </w:p>
        </w:tc>
        <w:tc>
          <w:tcPr>
            <w:tcW w:w="1574" w:type="dxa"/>
            <w:tcBorders>
              <w:top w:val="single" w:color="auto" w:sz="4" w:space="0"/>
              <w:left w:val="single" w:color="auto" w:sz="4" w:space="0"/>
              <w:right w:val="single" w:color="auto" w:sz="4" w:space="0"/>
            </w:tcBorders>
            <w:vAlign w:val="center"/>
          </w:tcPr>
          <w:p>
            <w:pPr>
              <w:spacing w:line="300" w:lineRule="auto"/>
              <w:ind w:firstLine="0" w:firstLineChars="0"/>
              <w:contextualSpacing/>
              <w:rPr>
                <w:rFonts w:ascii="宋体" w:hAnsi="宋体" w:cs="宋体"/>
                <w:bCs/>
                <w:kern w:val="0"/>
                <w:szCs w:val="24"/>
              </w:rPr>
            </w:pPr>
            <w:r>
              <w:rPr>
                <w:rFonts w:hint="eastAsia" w:ascii="宋体" w:hAnsi="宋体" w:cs="宋体"/>
                <w:color w:val="000000"/>
                <w:kern w:val="0"/>
                <w:szCs w:val="24"/>
              </w:rPr>
              <w:t>故障响应时间（</w:t>
            </w:r>
            <w:r>
              <w:rPr>
                <w:rFonts w:ascii="宋体" w:hAnsi="宋体" w:cs="宋体"/>
                <w:color w:val="000000"/>
                <w:kern w:val="0"/>
                <w:szCs w:val="24"/>
              </w:rPr>
              <w:t>6</w:t>
            </w:r>
            <w:r>
              <w:rPr>
                <w:rFonts w:hint="eastAsia" w:ascii="宋体" w:hAnsi="宋体" w:cs="宋体"/>
                <w:color w:val="000000"/>
                <w:kern w:val="0"/>
                <w:szCs w:val="24"/>
              </w:rPr>
              <w:t>分）</w:t>
            </w:r>
          </w:p>
        </w:tc>
        <w:tc>
          <w:tcPr>
            <w:tcW w:w="7095" w:type="dxa"/>
            <w:tcBorders>
              <w:top w:val="single" w:color="auto" w:sz="4" w:space="0"/>
              <w:left w:val="single" w:color="auto" w:sz="4" w:space="0"/>
              <w:bottom w:val="single" w:color="auto" w:sz="4" w:space="0"/>
              <w:right w:val="single" w:color="auto" w:sz="4" w:space="0"/>
            </w:tcBorders>
            <w:vAlign w:val="center"/>
          </w:tcPr>
          <w:p>
            <w:pPr>
              <w:spacing w:line="300" w:lineRule="auto"/>
              <w:ind w:firstLine="0" w:firstLineChars="0"/>
              <w:contextualSpacing/>
              <w:rPr>
                <w:rFonts w:ascii="宋体" w:hAnsi="宋体" w:cs="宋体"/>
                <w:szCs w:val="24"/>
              </w:rPr>
            </w:pPr>
            <w:r>
              <w:rPr>
                <w:rFonts w:hint="eastAsia" w:ascii="宋体" w:hAnsi="宋体" w:cs="宋体"/>
                <w:kern w:val="0"/>
                <w:szCs w:val="24"/>
              </w:rPr>
              <w:t>接到采购人故障通知后，投标人的响应时间、故障修复完毕时间承诺，由评审小组根据实际情况及投标人提供的响应情况对比后打分</w:t>
            </w:r>
            <w:r>
              <w:rPr>
                <w:rFonts w:ascii="宋体" w:hAnsi="宋体" w:cs="宋体"/>
                <w:kern w:val="0"/>
                <w:szCs w:val="24"/>
              </w:rPr>
              <w:t>3-6</w:t>
            </w:r>
            <w:r>
              <w:rPr>
                <w:rFonts w:hint="eastAsia" w:ascii="宋体" w:hAnsi="宋体" w:cs="宋体"/>
                <w:kern w:val="0"/>
                <w:szCs w:val="24"/>
              </w:rPr>
              <w:t>分，未表述不得分。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4" w:hRule="atLeast"/>
          <w:jc w:val="right"/>
        </w:trPr>
        <w:tc>
          <w:tcPr>
            <w:tcW w:w="993" w:type="dxa"/>
            <w:vMerge w:val="continue"/>
            <w:tcBorders>
              <w:left w:val="single" w:color="auto" w:sz="4" w:space="0"/>
              <w:right w:val="single" w:color="auto" w:sz="4" w:space="0"/>
            </w:tcBorders>
            <w:vAlign w:val="center"/>
          </w:tcPr>
          <w:p>
            <w:pPr>
              <w:spacing w:line="300" w:lineRule="auto"/>
              <w:ind w:firstLine="0" w:firstLineChars="0"/>
              <w:rPr>
                <w:rFonts w:ascii="宋体" w:hAnsi="宋体" w:cs="宋体"/>
                <w:szCs w:val="24"/>
              </w:rPr>
            </w:pPr>
          </w:p>
        </w:tc>
        <w:tc>
          <w:tcPr>
            <w:tcW w:w="1574" w:type="dxa"/>
            <w:tcBorders>
              <w:top w:val="single" w:color="auto" w:sz="4" w:space="0"/>
              <w:left w:val="single" w:color="auto" w:sz="4" w:space="0"/>
              <w:right w:val="single" w:color="auto" w:sz="4" w:space="0"/>
            </w:tcBorders>
            <w:vAlign w:val="center"/>
          </w:tcPr>
          <w:p>
            <w:pPr>
              <w:spacing w:line="300" w:lineRule="auto"/>
              <w:ind w:firstLine="0" w:firstLineChars="0"/>
              <w:rPr>
                <w:rFonts w:ascii="宋体" w:hAnsi="宋体" w:cs="宋体"/>
                <w:color w:val="000000"/>
                <w:kern w:val="0"/>
                <w:szCs w:val="24"/>
              </w:rPr>
            </w:pPr>
            <w:r>
              <w:rPr>
                <w:rFonts w:hint="eastAsia" w:ascii="宋体" w:hAnsi="宋体" w:cs="宋体"/>
                <w:color w:val="000000"/>
                <w:kern w:val="0"/>
                <w:szCs w:val="24"/>
              </w:rPr>
              <w:t>作业车辆</w:t>
            </w:r>
          </w:p>
          <w:p>
            <w:pPr>
              <w:spacing w:line="300" w:lineRule="auto"/>
              <w:ind w:firstLine="0" w:firstLineChars="0"/>
              <w:rPr>
                <w:rFonts w:ascii="宋体" w:hAnsi="宋体" w:cs="宋体"/>
                <w:szCs w:val="24"/>
              </w:rPr>
            </w:pPr>
            <w:r>
              <w:rPr>
                <w:rFonts w:hint="eastAsia" w:ascii="宋体" w:hAnsi="宋体" w:cs="宋体"/>
                <w:color w:val="000000"/>
                <w:kern w:val="0"/>
                <w:szCs w:val="24"/>
              </w:rPr>
              <w:t>（</w:t>
            </w:r>
            <w:r>
              <w:rPr>
                <w:rFonts w:ascii="宋体" w:hAnsi="宋体" w:cs="宋体"/>
                <w:color w:val="000000"/>
                <w:kern w:val="0"/>
                <w:szCs w:val="24"/>
              </w:rPr>
              <w:t>14</w:t>
            </w:r>
            <w:r>
              <w:rPr>
                <w:rFonts w:hint="eastAsia" w:ascii="宋体" w:hAnsi="宋体" w:cs="宋体"/>
                <w:color w:val="000000"/>
                <w:kern w:val="0"/>
                <w:szCs w:val="24"/>
              </w:rPr>
              <w:t>分）</w:t>
            </w:r>
          </w:p>
        </w:tc>
        <w:tc>
          <w:tcPr>
            <w:tcW w:w="7095" w:type="dxa"/>
            <w:tcBorders>
              <w:top w:val="single" w:color="auto" w:sz="4" w:space="0"/>
              <w:left w:val="single" w:color="auto" w:sz="4" w:space="0"/>
              <w:bottom w:val="single" w:color="auto" w:sz="4" w:space="0"/>
              <w:right w:val="single" w:color="auto" w:sz="4" w:space="0"/>
            </w:tcBorders>
            <w:vAlign w:val="center"/>
          </w:tcPr>
          <w:p>
            <w:pPr>
              <w:pStyle w:val="45"/>
              <w:spacing w:line="300" w:lineRule="auto"/>
              <w:rPr>
                <w:rFonts w:cs="宋体"/>
                <w:szCs w:val="24"/>
                <w:lang w:eastAsia="zh-CN"/>
              </w:rPr>
            </w:pPr>
            <w:r>
              <w:rPr>
                <w:rFonts w:hint="eastAsia" w:cs="宋体"/>
                <w:szCs w:val="21"/>
                <w:lang w:eastAsia="zh-CN"/>
              </w:rPr>
              <w:t>投标人自有登高车及其他作业车辆：每提供1辆登高车（非载货专项作业车辆）的得2分；每提供1辆其他类型车辆的得1</w:t>
            </w:r>
            <w:r>
              <w:rPr>
                <w:rFonts w:cs="宋体"/>
                <w:szCs w:val="21"/>
                <w:lang w:eastAsia="zh-CN"/>
              </w:rPr>
              <w:t>.5</w:t>
            </w:r>
            <w:r>
              <w:rPr>
                <w:rFonts w:hint="eastAsia" w:cs="宋体"/>
                <w:szCs w:val="21"/>
                <w:lang w:eastAsia="zh-CN"/>
              </w:rPr>
              <w:t>分；本项满分</w:t>
            </w:r>
            <w:r>
              <w:rPr>
                <w:rFonts w:cs="宋体"/>
                <w:szCs w:val="21"/>
                <w:lang w:eastAsia="zh-CN"/>
              </w:rPr>
              <w:t>14</w:t>
            </w:r>
            <w:r>
              <w:rPr>
                <w:rFonts w:hint="eastAsia" w:cs="宋体"/>
                <w:szCs w:val="21"/>
                <w:lang w:eastAsia="zh-CN"/>
              </w:rPr>
              <w:t>分。</w:t>
            </w:r>
            <w:r>
              <w:rPr>
                <w:rFonts w:hint="eastAsia" w:cs="宋体"/>
                <w:bCs/>
                <w:szCs w:val="24"/>
                <w:lang w:eastAsia="zh-CN"/>
              </w:rPr>
              <w:t>（资信商务及技术文件中</w:t>
            </w:r>
            <w:r>
              <w:rPr>
                <w:rFonts w:hint="eastAsia" w:cs="宋体"/>
                <w:szCs w:val="21"/>
                <w:lang w:eastAsia="zh-CN"/>
              </w:rPr>
              <w:t>提供</w:t>
            </w:r>
            <w:r>
              <w:rPr>
                <w:rFonts w:hint="eastAsia" w:cs="宋体"/>
                <w:bCs/>
                <w:szCs w:val="24"/>
                <w:lang w:eastAsia="zh-CN"/>
              </w:rPr>
              <w:t>有效的车辆行驶证扫描件并加盖投标人CA公章，否则不得分。</w:t>
            </w:r>
            <w:r>
              <w:rPr>
                <w:rFonts w:hint="eastAsia" w:cs="宋体"/>
                <w:bCs/>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right"/>
        </w:trPr>
        <w:tc>
          <w:tcPr>
            <w:tcW w:w="993" w:type="dxa"/>
            <w:vMerge w:val="continue"/>
            <w:tcBorders>
              <w:left w:val="single" w:color="auto" w:sz="4" w:space="0"/>
              <w:right w:val="single" w:color="auto" w:sz="4" w:space="0"/>
            </w:tcBorders>
            <w:vAlign w:val="center"/>
          </w:tcPr>
          <w:p>
            <w:pPr>
              <w:spacing w:line="300" w:lineRule="auto"/>
              <w:ind w:firstLine="0" w:firstLineChars="0"/>
              <w:rPr>
                <w:rFonts w:ascii="宋体" w:hAnsi="宋体" w:cs="宋体"/>
                <w:szCs w:val="24"/>
              </w:rPr>
            </w:pPr>
          </w:p>
        </w:tc>
        <w:tc>
          <w:tcPr>
            <w:tcW w:w="1574" w:type="dxa"/>
            <w:tcBorders>
              <w:top w:val="single" w:color="auto" w:sz="4" w:space="0"/>
              <w:left w:val="single" w:color="auto" w:sz="4" w:space="0"/>
              <w:right w:val="single" w:color="auto" w:sz="4" w:space="0"/>
            </w:tcBorders>
            <w:vAlign w:val="center"/>
          </w:tcPr>
          <w:p>
            <w:pPr>
              <w:spacing w:line="300" w:lineRule="auto"/>
              <w:ind w:firstLine="0" w:firstLineChars="0"/>
              <w:jc w:val="left"/>
              <w:rPr>
                <w:rFonts w:ascii="宋体" w:hAnsi="宋体" w:cs="宋体"/>
                <w:color w:val="000000"/>
                <w:kern w:val="0"/>
                <w:szCs w:val="24"/>
              </w:rPr>
            </w:pPr>
            <w:r>
              <w:rPr>
                <w:rFonts w:hint="eastAsia" w:ascii="宋体" w:hAnsi="宋体" w:cs="宋体"/>
                <w:szCs w:val="24"/>
              </w:rPr>
              <w:t>合理化建议（</w:t>
            </w:r>
            <w:r>
              <w:rPr>
                <w:rFonts w:ascii="宋体" w:hAnsi="宋体" w:cs="宋体"/>
                <w:szCs w:val="24"/>
              </w:rPr>
              <w:t>3</w:t>
            </w:r>
            <w:r>
              <w:rPr>
                <w:rFonts w:hint="eastAsia" w:ascii="宋体" w:hAnsi="宋体" w:cs="宋体"/>
                <w:szCs w:val="24"/>
              </w:rPr>
              <w:t>分）</w:t>
            </w:r>
          </w:p>
        </w:tc>
        <w:tc>
          <w:tcPr>
            <w:tcW w:w="7095" w:type="dxa"/>
            <w:tcBorders>
              <w:top w:val="single" w:color="auto" w:sz="4" w:space="0"/>
              <w:left w:val="single" w:color="auto" w:sz="4" w:space="0"/>
              <w:bottom w:val="single" w:color="auto" w:sz="4" w:space="0"/>
              <w:right w:val="single" w:color="auto" w:sz="4" w:space="0"/>
            </w:tcBorders>
            <w:vAlign w:val="center"/>
          </w:tcPr>
          <w:p>
            <w:pPr>
              <w:pStyle w:val="45"/>
              <w:spacing w:line="300" w:lineRule="auto"/>
              <w:rPr>
                <w:rFonts w:cs="宋体"/>
                <w:szCs w:val="21"/>
                <w:lang w:eastAsia="zh-CN"/>
              </w:rPr>
            </w:pPr>
            <w:r>
              <w:rPr>
                <w:rFonts w:hint="eastAsia" w:cs="宋体"/>
                <w:szCs w:val="24"/>
                <w:lang w:eastAsia="zh-CN"/>
              </w:rPr>
              <w:t>投标人根据项目的采购需求，结合项目实践的工作经验，提出合理化的建议措施，建议措施完善可行得3分，相关内容较简单、但基本可行的得</w:t>
            </w:r>
            <w:r>
              <w:rPr>
                <w:rFonts w:cs="宋体"/>
                <w:szCs w:val="24"/>
                <w:lang w:eastAsia="zh-CN"/>
              </w:rPr>
              <w:t>1-2.9</w:t>
            </w:r>
            <w:r>
              <w:rPr>
                <w:rFonts w:hint="eastAsia" w:cs="宋体"/>
                <w:szCs w:val="24"/>
                <w:lang w:eastAsia="zh-CN"/>
              </w:rPr>
              <w:t>分，无相关内容或内容不可行的不得分。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right"/>
        </w:trPr>
        <w:tc>
          <w:tcPr>
            <w:tcW w:w="993" w:type="dxa"/>
            <w:vMerge w:val="continue"/>
            <w:tcBorders>
              <w:left w:val="single" w:color="auto" w:sz="4" w:space="0"/>
              <w:right w:val="single" w:color="auto" w:sz="4" w:space="0"/>
            </w:tcBorders>
            <w:vAlign w:val="center"/>
          </w:tcPr>
          <w:p>
            <w:pPr>
              <w:spacing w:line="300" w:lineRule="auto"/>
              <w:ind w:firstLine="0" w:firstLineChars="0"/>
              <w:rPr>
                <w:rFonts w:ascii="宋体" w:hAnsi="宋体" w:cs="宋体"/>
                <w:szCs w:val="24"/>
              </w:rPr>
            </w:pPr>
          </w:p>
        </w:tc>
        <w:tc>
          <w:tcPr>
            <w:tcW w:w="1574" w:type="dxa"/>
            <w:tcBorders>
              <w:top w:val="single" w:color="auto" w:sz="4" w:space="0"/>
              <w:left w:val="single" w:color="auto" w:sz="4" w:space="0"/>
              <w:right w:val="single" w:color="auto" w:sz="4" w:space="0"/>
            </w:tcBorders>
            <w:vAlign w:val="center"/>
          </w:tcPr>
          <w:p>
            <w:pPr>
              <w:widowControl/>
              <w:spacing w:line="300" w:lineRule="auto"/>
              <w:ind w:firstLine="0" w:firstLineChars="0"/>
              <w:jc w:val="left"/>
              <w:rPr>
                <w:rFonts w:ascii="宋体" w:hAnsi="宋体" w:cs="宋体"/>
                <w:szCs w:val="24"/>
              </w:rPr>
            </w:pPr>
            <w:r>
              <w:rPr>
                <w:rFonts w:hint="eastAsia" w:ascii="宋体" w:hAnsi="宋体" w:cs="宋体"/>
                <w:szCs w:val="24"/>
              </w:rPr>
              <w:t>项目人员配置情况</w:t>
            </w:r>
          </w:p>
          <w:p>
            <w:pPr>
              <w:widowControl/>
              <w:spacing w:line="300" w:lineRule="auto"/>
              <w:ind w:firstLine="0" w:firstLineChars="0"/>
              <w:jc w:val="left"/>
              <w:rPr>
                <w:rFonts w:ascii="宋体" w:hAnsi="宋体" w:cs="宋体"/>
                <w:szCs w:val="24"/>
              </w:rPr>
            </w:pPr>
            <w:r>
              <w:rPr>
                <w:rFonts w:hint="eastAsia" w:ascii="宋体" w:hAnsi="宋体" w:cs="宋体"/>
                <w:szCs w:val="24"/>
              </w:rPr>
              <w:t>（</w:t>
            </w:r>
            <w:r>
              <w:rPr>
                <w:rFonts w:ascii="宋体" w:hAnsi="宋体" w:cs="宋体"/>
                <w:szCs w:val="24"/>
              </w:rPr>
              <w:t>13</w:t>
            </w:r>
            <w:r>
              <w:rPr>
                <w:rFonts w:hint="eastAsia" w:ascii="宋体" w:hAnsi="宋体" w:cs="宋体"/>
                <w:szCs w:val="24"/>
              </w:rPr>
              <w:t>分）</w:t>
            </w:r>
          </w:p>
        </w:tc>
        <w:tc>
          <w:tcPr>
            <w:tcW w:w="7095" w:type="dxa"/>
            <w:tcBorders>
              <w:top w:val="single" w:color="auto" w:sz="4" w:space="0"/>
              <w:left w:val="single" w:color="auto" w:sz="4" w:space="0"/>
              <w:bottom w:val="single" w:color="auto" w:sz="4" w:space="0"/>
              <w:right w:val="single" w:color="auto" w:sz="4" w:space="0"/>
            </w:tcBorders>
            <w:vAlign w:val="center"/>
          </w:tcPr>
          <w:p>
            <w:pPr>
              <w:spacing w:line="300" w:lineRule="auto"/>
              <w:ind w:firstLine="0" w:firstLineChars="0"/>
              <w:rPr>
                <w:rFonts w:ascii="宋体" w:hAnsi="宋体" w:cs="宋体"/>
              </w:rPr>
            </w:pPr>
            <w:r>
              <w:rPr>
                <w:rFonts w:hint="eastAsia" w:ascii="宋体" w:hAnsi="宋体" w:cs="宋体"/>
              </w:rPr>
              <w:t>1.项目经理具有公路工程或机电工程二级及以上建造师证书的得1</w:t>
            </w:r>
            <w:r>
              <w:rPr>
                <w:rFonts w:ascii="宋体" w:hAnsi="宋体" w:cs="宋体"/>
              </w:rPr>
              <w:t>.5</w:t>
            </w:r>
            <w:r>
              <w:rPr>
                <w:rFonts w:hint="eastAsia" w:ascii="宋体" w:hAnsi="宋体" w:cs="宋体"/>
              </w:rPr>
              <w:t>分，具有工程师及以上职称的得1</w:t>
            </w:r>
            <w:r>
              <w:rPr>
                <w:rFonts w:ascii="宋体" w:hAnsi="宋体" w:cs="宋体"/>
              </w:rPr>
              <w:t>.5</w:t>
            </w:r>
            <w:r>
              <w:rPr>
                <w:rFonts w:hint="eastAsia" w:ascii="宋体" w:hAnsi="宋体" w:cs="宋体"/>
              </w:rPr>
              <w:t>分，具有三类人员安全生产考核合格证书B类证书的得1分。</w:t>
            </w:r>
          </w:p>
          <w:p>
            <w:pPr>
              <w:spacing w:line="300" w:lineRule="auto"/>
              <w:ind w:firstLine="0" w:firstLineChars="0"/>
              <w:rPr>
                <w:rFonts w:ascii="宋体" w:hAnsi="宋体" w:cs="宋体"/>
              </w:rPr>
            </w:pPr>
            <w:r>
              <w:rPr>
                <w:rFonts w:hint="eastAsia" w:ascii="宋体" w:hAnsi="宋体" w:cs="宋体"/>
              </w:rPr>
              <w:t>2.项目副经理具有公路工程或机电工程二级及以上建造师证书的得1</w:t>
            </w:r>
            <w:r>
              <w:rPr>
                <w:rFonts w:ascii="宋体" w:hAnsi="宋体" w:cs="宋体"/>
              </w:rPr>
              <w:t>.5</w:t>
            </w:r>
            <w:r>
              <w:rPr>
                <w:rFonts w:hint="eastAsia" w:ascii="宋体" w:hAnsi="宋体" w:cs="宋体"/>
              </w:rPr>
              <w:t>分，具有工程师及以上职称的得1</w:t>
            </w:r>
            <w:r>
              <w:rPr>
                <w:rFonts w:ascii="宋体" w:hAnsi="宋体" w:cs="宋体"/>
              </w:rPr>
              <w:t>.5</w:t>
            </w:r>
            <w:r>
              <w:rPr>
                <w:rFonts w:hint="eastAsia" w:ascii="宋体" w:hAnsi="宋体" w:cs="宋体"/>
              </w:rPr>
              <w:t>分，具有三类人员安全生产考核合格证书B类证书的得1分。</w:t>
            </w:r>
          </w:p>
          <w:p>
            <w:pPr>
              <w:spacing w:line="300" w:lineRule="auto"/>
              <w:ind w:firstLine="0" w:firstLineChars="0"/>
              <w:rPr>
                <w:rFonts w:ascii="宋体" w:hAnsi="宋体" w:cs="宋体"/>
              </w:rPr>
            </w:pPr>
            <w:r>
              <w:rPr>
                <w:rFonts w:hint="eastAsia" w:ascii="宋体" w:hAnsi="宋体" w:cs="宋体"/>
                <w:szCs w:val="24"/>
              </w:rPr>
              <w:t>3.项目组人员中具有特种作业操作证（电工作业）的，每人得1分，最多得2分。</w:t>
            </w:r>
          </w:p>
          <w:p>
            <w:pPr>
              <w:spacing w:line="300" w:lineRule="auto"/>
              <w:ind w:firstLine="0" w:firstLineChars="0"/>
              <w:rPr>
                <w:rFonts w:ascii="宋体" w:hAnsi="宋体" w:cs="宋体"/>
              </w:rPr>
            </w:pPr>
            <w:r>
              <w:rPr>
                <w:rFonts w:hint="eastAsia" w:ascii="宋体" w:hAnsi="宋体" w:cs="宋体"/>
              </w:rPr>
              <w:t>4.项目组其他人员（项目经理、项目副经理除外）中具有工程师及以上职称的，每人得1</w:t>
            </w:r>
            <w:r>
              <w:rPr>
                <w:rFonts w:ascii="宋体" w:hAnsi="宋体" w:cs="宋体"/>
              </w:rPr>
              <w:t>.5</w:t>
            </w:r>
            <w:r>
              <w:rPr>
                <w:rFonts w:hint="eastAsia" w:ascii="宋体" w:hAnsi="宋体" w:cs="宋体"/>
              </w:rPr>
              <w:t>分，</w:t>
            </w:r>
            <w:r>
              <w:rPr>
                <w:rFonts w:hint="eastAsia" w:ascii="宋体" w:hAnsi="宋体" w:cs="宋体"/>
                <w:szCs w:val="24"/>
              </w:rPr>
              <w:t>最多得</w:t>
            </w:r>
            <w:r>
              <w:rPr>
                <w:rFonts w:ascii="宋体" w:hAnsi="宋体" w:cs="宋体"/>
                <w:szCs w:val="24"/>
              </w:rPr>
              <w:t>3</w:t>
            </w:r>
            <w:r>
              <w:rPr>
                <w:rFonts w:hint="eastAsia" w:ascii="宋体" w:hAnsi="宋体" w:cs="宋体"/>
                <w:szCs w:val="24"/>
              </w:rPr>
              <w:t>分</w:t>
            </w:r>
            <w:r>
              <w:rPr>
                <w:rFonts w:hint="eastAsia" w:ascii="宋体" w:hAnsi="宋体" w:cs="宋体"/>
              </w:rPr>
              <w:t>。</w:t>
            </w:r>
          </w:p>
          <w:p>
            <w:pPr>
              <w:spacing w:line="300" w:lineRule="auto"/>
              <w:ind w:firstLine="0" w:firstLineChars="0"/>
              <w:rPr>
                <w:rFonts w:ascii="宋体" w:hAnsi="宋体" w:cs="宋体"/>
                <w:szCs w:val="24"/>
              </w:rPr>
            </w:pPr>
            <w:r>
              <w:rPr>
                <w:rFonts w:hint="eastAsia" w:ascii="宋体" w:hAnsi="宋体" w:cs="宋体"/>
                <w:b/>
                <w:bCs/>
                <w:szCs w:val="24"/>
              </w:rPr>
              <w:t>（项目经理与项目副经理不能为同一人；需在资信商务及技术文件中同时提供相关证书和近半年内任意一个月在投标单位的社保证明扫描件并加盖投标单位CA公章，否则不得分）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right"/>
        </w:trPr>
        <w:tc>
          <w:tcPr>
            <w:tcW w:w="993" w:type="dxa"/>
            <w:vMerge w:val="continue"/>
            <w:tcBorders>
              <w:left w:val="single" w:color="auto" w:sz="4" w:space="0"/>
              <w:right w:val="single" w:color="auto" w:sz="4" w:space="0"/>
            </w:tcBorders>
            <w:vAlign w:val="center"/>
          </w:tcPr>
          <w:p>
            <w:pPr>
              <w:spacing w:line="300" w:lineRule="auto"/>
              <w:ind w:firstLine="0" w:firstLineChars="0"/>
              <w:rPr>
                <w:rFonts w:ascii="宋体" w:hAnsi="宋体" w:cs="宋体"/>
                <w:szCs w:val="24"/>
              </w:rPr>
            </w:pPr>
          </w:p>
        </w:tc>
        <w:tc>
          <w:tcPr>
            <w:tcW w:w="1574" w:type="dxa"/>
            <w:tcBorders>
              <w:top w:val="single" w:color="auto" w:sz="4" w:space="0"/>
              <w:left w:val="single" w:color="auto" w:sz="4" w:space="0"/>
              <w:right w:val="single" w:color="auto" w:sz="4" w:space="0"/>
            </w:tcBorders>
            <w:vAlign w:val="center"/>
          </w:tcPr>
          <w:p>
            <w:pPr>
              <w:spacing w:line="300" w:lineRule="auto"/>
              <w:ind w:firstLine="0" w:firstLineChars="0"/>
              <w:contextualSpacing/>
              <w:jc w:val="left"/>
              <w:rPr>
                <w:rFonts w:ascii="宋体" w:hAnsi="宋体" w:cs="宋体"/>
                <w:szCs w:val="24"/>
              </w:rPr>
            </w:pPr>
            <w:r>
              <w:rPr>
                <w:rFonts w:hint="eastAsia" w:ascii="宋体" w:hAnsi="宋体" w:cs="宋体"/>
                <w:szCs w:val="24"/>
              </w:rPr>
              <w:t>优惠条件</w:t>
            </w:r>
          </w:p>
          <w:p>
            <w:pPr>
              <w:spacing w:line="300" w:lineRule="auto"/>
              <w:ind w:firstLine="0" w:firstLineChars="0"/>
              <w:jc w:val="left"/>
              <w:rPr>
                <w:rFonts w:ascii="宋体" w:hAnsi="宋体" w:cs="宋体"/>
                <w:szCs w:val="24"/>
              </w:rPr>
            </w:pPr>
            <w:r>
              <w:rPr>
                <w:rFonts w:hint="eastAsia" w:ascii="宋体" w:hAnsi="宋体" w:cs="宋体"/>
                <w:szCs w:val="24"/>
              </w:rPr>
              <w:t>（</w:t>
            </w:r>
            <w:r>
              <w:rPr>
                <w:rFonts w:ascii="宋体" w:hAnsi="宋体" w:cs="宋体"/>
                <w:szCs w:val="24"/>
              </w:rPr>
              <w:t>6</w:t>
            </w:r>
            <w:r>
              <w:rPr>
                <w:rFonts w:hint="eastAsia" w:ascii="宋体" w:hAnsi="宋体" w:cs="宋体"/>
                <w:szCs w:val="24"/>
              </w:rPr>
              <w:t>分）</w:t>
            </w:r>
          </w:p>
        </w:tc>
        <w:tc>
          <w:tcPr>
            <w:tcW w:w="7095" w:type="dxa"/>
            <w:tcBorders>
              <w:top w:val="single" w:color="auto" w:sz="4" w:space="0"/>
              <w:left w:val="single" w:color="auto" w:sz="4" w:space="0"/>
              <w:bottom w:val="single" w:color="auto" w:sz="4" w:space="0"/>
              <w:right w:val="single" w:color="auto" w:sz="4" w:space="0"/>
            </w:tcBorders>
            <w:vAlign w:val="center"/>
          </w:tcPr>
          <w:p>
            <w:pPr>
              <w:pStyle w:val="45"/>
              <w:spacing w:line="300" w:lineRule="auto"/>
              <w:rPr>
                <w:rFonts w:cs="宋体"/>
                <w:szCs w:val="24"/>
                <w:lang w:eastAsia="zh-CN"/>
              </w:rPr>
            </w:pPr>
            <w:r>
              <w:rPr>
                <w:rFonts w:hint="eastAsia" w:cs="宋体"/>
                <w:szCs w:val="24"/>
                <w:lang w:eastAsia="zh-CN"/>
              </w:rPr>
              <w:t>根据供应商承诺提供的实质性优惠条件进行打分。经评标委员会一致认定为实质性优惠条件的，每有1条得</w:t>
            </w:r>
            <w:r>
              <w:rPr>
                <w:rFonts w:cs="宋体"/>
                <w:szCs w:val="24"/>
                <w:lang w:eastAsia="zh-CN"/>
              </w:rPr>
              <w:t>3</w:t>
            </w:r>
            <w:r>
              <w:rPr>
                <w:rFonts w:hint="eastAsia" w:cs="宋体"/>
                <w:szCs w:val="24"/>
                <w:lang w:eastAsia="zh-CN"/>
              </w:rPr>
              <w:t>分，本项满分</w:t>
            </w:r>
            <w:r>
              <w:rPr>
                <w:rFonts w:cs="宋体"/>
                <w:szCs w:val="24"/>
                <w:lang w:eastAsia="zh-CN"/>
              </w:rPr>
              <w:t>6</w:t>
            </w:r>
            <w:r>
              <w:rPr>
                <w:rFonts w:hint="eastAsia" w:cs="宋体"/>
                <w:szCs w:val="24"/>
                <w:lang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 w:hRule="atLeast"/>
          <w:jc w:val="right"/>
        </w:trPr>
        <w:tc>
          <w:tcPr>
            <w:tcW w:w="993" w:type="dxa"/>
            <w:vMerge w:val="restart"/>
            <w:tcBorders>
              <w:left w:val="single" w:color="auto" w:sz="4" w:space="0"/>
              <w:right w:val="single" w:color="auto" w:sz="4" w:space="0"/>
            </w:tcBorders>
            <w:vAlign w:val="center"/>
          </w:tcPr>
          <w:p>
            <w:pPr>
              <w:spacing w:line="300" w:lineRule="auto"/>
              <w:ind w:firstLine="0" w:firstLineChars="0"/>
              <w:rPr>
                <w:rFonts w:ascii="宋体" w:hAnsi="宋体" w:cs="宋体"/>
                <w:szCs w:val="24"/>
              </w:rPr>
            </w:pPr>
            <w:r>
              <w:rPr>
                <w:rFonts w:hint="eastAsia" w:ascii="宋体" w:hAnsi="宋体" w:cs="宋体"/>
                <w:szCs w:val="24"/>
              </w:rPr>
              <w:t>商务分（</w:t>
            </w:r>
            <w:r>
              <w:rPr>
                <w:rFonts w:ascii="宋体" w:hAnsi="宋体" w:cs="宋体"/>
                <w:szCs w:val="24"/>
              </w:rPr>
              <w:t>12</w:t>
            </w:r>
            <w:r>
              <w:rPr>
                <w:rFonts w:hint="eastAsia" w:ascii="宋体" w:hAnsi="宋体" w:cs="宋体"/>
                <w:szCs w:val="24"/>
              </w:rPr>
              <w:t>分）</w:t>
            </w:r>
          </w:p>
        </w:tc>
        <w:tc>
          <w:tcPr>
            <w:tcW w:w="1574" w:type="dxa"/>
            <w:tcBorders>
              <w:top w:val="single" w:color="auto" w:sz="4" w:space="0"/>
              <w:left w:val="single" w:color="auto" w:sz="4" w:space="0"/>
              <w:right w:val="single" w:color="auto" w:sz="4" w:space="0"/>
            </w:tcBorders>
            <w:vAlign w:val="center"/>
          </w:tcPr>
          <w:p>
            <w:pPr>
              <w:spacing w:line="300" w:lineRule="auto"/>
              <w:ind w:firstLine="0" w:firstLineChars="0"/>
              <w:rPr>
                <w:rFonts w:ascii="宋体" w:hAnsi="宋体" w:cs="宋体"/>
                <w:color w:val="000000" w:themeColor="text1"/>
              </w:rPr>
            </w:pPr>
            <w:r>
              <w:rPr>
                <w:rFonts w:hint="eastAsia" w:ascii="宋体" w:hAnsi="宋体" w:cs="宋体"/>
                <w:color w:val="000000" w:themeColor="text1"/>
              </w:rPr>
              <w:t>诚信分</w:t>
            </w:r>
          </w:p>
          <w:p>
            <w:pPr>
              <w:spacing w:line="300" w:lineRule="auto"/>
              <w:ind w:firstLine="0" w:firstLineChars="0"/>
              <w:rPr>
                <w:rFonts w:ascii="宋体" w:hAnsi="宋体" w:cs="宋体"/>
                <w:color w:val="000000" w:themeColor="text1"/>
              </w:rPr>
            </w:pPr>
            <w:r>
              <w:rPr>
                <w:rFonts w:hint="eastAsia" w:ascii="宋体" w:hAnsi="宋体" w:cs="宋体"/>
                <w:color w:val="000000" w:themeColor="text1"/>
              </w:rPr>
              <w:t>（</w:t>
            </w:r>
            <w:r>
              <w:rPr>
                <w:rFonts w:ascii="宋体" w:hAnsi="宋体" w:cs="宋体"/>
                <w:color w:val="000000" w:themeColor="text1"/>
              </w:rPr>
              <w:t>1</w:t>
            </w:r>
            <w:r>
              <w:rPr>
                <w:rFonts w:hint="eastAsia" w:ascii="宋体" w:hAnsi="宋体" w:cs="宋体"/>
                <w:color w:val="000000" w:themeColor="text1"/>
              </w:rPr>
              <w:t>分）</w:t>
            </w:r>
          </w:p>
        </w:tc>
        <w:tc>
          <w:tcPr>
            <w:tcW w:w="7095" w:type="dxa"/>
            <w:tcBorders>
              <w:top w:val="single" w:color="auto" w:sz="4" w:space="0"/>
              <w:left w:val="single" w:color="auto" w:sz="4" w:space="0"/>
              <w:bottom w:val="single" w:color="auto" w:sz="4" w:space="0"/>
              <w:right w:val="single" w:color="auto" w:sz="4" w:space="0"/>
            </w:tcBorders>
            <w:vAlign w:val="center"/>
          </w:tcPr>
          <w:p>
            <w:pPr>
              <w:spacing w:line="300" w:lineRule="auto"/>
              <w:ind w:firstLine="0" w:firstLineChars="0"/>
              <w:rPr>
                <w:rFonts w:ascii="宋体" w:hAnsi="宋体" w:cs="宋体"/>
                <w:color w:val="000000" w:themeColor="text1"/>
              </w:rPr>
            </w:pPr>
            <w:r>
              <w:rPr>
                <w:rFonts w:hint="eastAsia" w:ascii="宋体" w:hAnsi="宋体" w:cs="宋体"/>
                <w:color w:val="000000" w:themeColor="text1"/>
              </w:rPr>
              <w:t>凡在投标截止时间前三年受到行政处罚、行政处理（含通报）或记入不良行为的，此项得分为0，若无处罚、行政处理（含通报）或记入不良行为的得</w:t>
            </w:r>
            <w:r>
              <w:rPr>
                <w:rFonts w:ascii="宋体" w:hAnsi="宋体" w:cs="宋体"/>
                <w:color w:val="000000" w:themeColor="text1"/>
              </w:rPr>
              <w:t>1</w:t>
            </w:r>
            <w:r>
              <w:rPr>
                <w:rFonts w:hint="eastAsia" w:ascii="宋体" w:hAnsi="宋体" w:cs="宋体"/>
                <w:color w:val="000000" w:themeColor="text1"/>
              </w:rPr>
              <w:t>分（详见诚信承诺</w:t>
            </w:r>
            <w:r>
              <w:rPr>
                <w:rFonts w:hint="eastAsia" w:ascii="宋体" w:hAnsi="宋体" w:cs="宋体"/>
                <w:color w:val="000000" w:themeColor="text1"/>
                <w:szCs w:val="24"/>
              </w:rPr>
              <w:t>书，未提供不得分）</w:t>
            </w:r>
            <w:r>
              <w:rPr>
                <w:rFonts w:hint="eastAsia" w:ascii="宋体" w:hAnsi="宋体" w:cs="宋体"/>
                <w:color w:val="000000" w:themeColor="text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right"/>
        </w:trPr>
        <w:tc>
          <w:tcPr>
            <w:tcW w:w="993" w:type="dxa"/>
            <w:vMerge w:val="continue"/>
            <w:tcBorders>
              <w:left w:val="single" w:color="auto" w:sz="4" w:space="0"/>
              <w:right w:val="single" w:color="auto" w:sz="4" w:space="0"/>
            </w:tcBorders>
            <w:vAlign w:val="center"/>
          </w:tcPr>
          <w:p>
            <w:pPr>
              <w:spacing w:line="300" w:lineRule="auto"/>
              <w:ind w:firstLine="0" w:firstLineChars="0"/>
              <w:rPr>
                <w:rFonts w:ascii="宋体" w:hAnsi="宋体" w:cs="宋体"/>
                <w:szCs w:val="24"/>
              </w:rPr>
            </w:pPr>
          </w:p>
        </w:tc>
        <w:tc>
          <w:tcPr>
            <w:tcW w:w="1574" w:type="dxa"/>
            <w:tcBorders>
              <w:top w:val="single" w:color="auto" w:sz="4" w:space="0"/>
              <w:left w:val="single" w:color="auto" w:sz="4" w:space="0"/>
              <w:right w:val="single" w:color="auto" w:sz="4" w:space="0"/>
            </w:tcBorders>
            <w:vAlign w:val="center"/>
          </w:tcPr>
          <w:p>
            <w:pPr>
              <w:tabs>
                <w:tab w:val="left" w:pos="0"/>
              </w:tabs>
              <w:autoSpaceDE w:val="0"/>
              <w:autoSpaceDN w:val="0"/>
              <w:adjustRightInd w:val="0"/>
              <w:spacing w:line="300" w:lineRule="auto"/>
              <w:ind w:firstLine="0" w:firstLineChars="0"/>
              <w:rPr>
                <w:rFonts w:ascii="宋体" w:hAnsi="宋体" w:cs="宋体"/>
                <w:szCs w:val="24"/>
              </w:rPr>
            </w:pPr>
            <w:r>
              <w:rPr>
                <w:rFonts w:hint="eastAsia" w:ascii="宋体" w:hAnsi="宋体" w:cs="宋体"/>
                <w:szCs w:val="24"/>
              </w:rPr>
              <w:t>相关证书</w:t>
            </w:r>
          </w:p>
          <w:p>
            <w:pPr>
              <w:spacing w:line="300" w:lineRule="auto"/>
              <w:ind w:firstLine="0" w:firstLineChars="0"/>
              <w:rPr>
                <w:rFonts w:ascii="宋体" w:hAnsi="宋体" w:cs="宋体"/>
                <w:szCs w:val="24"/>
              </w:rPr>
            </w:pPr>
            <w:r>
              <w:rPr>
                <w:rFonts w:hint="eastAsia" w:ascii="宋体" w:hAnsi="宋体" w:cs="宋体"/>
                <w:szCs w:val="24"/>
              </w:rPr>
              <w:t>（</w:t>
            </w:r>
            <w:r>
              <w:rPr>
                <w:rFonts w:ascii="宋体" w:hAnsi="宋体" w:cs="宋体"/>
                <w:szCs w:val="24"/>
              </w:rPr>
              <w:t>2</w:t>
            </w:r>
            <w:r>
              <w:rPr>
                <w:rFonts w:hint="eastAsia" w:ascii="宋体" w:hAnsi="宋体" w:cs="宋体"/>
                <w:szCs w:val="24"/>
              </w:rPr>
              <w:t>分）</w:t>
            </w:r>
          </w:p>
        </w:tc>
        <w:tc>
          <w:tcPr>
            <w:tcW w:w="7095" w:type="dxa"/>
            <w:tcBorders>
              <w:top w:val="single" w:color="auto" w:sz="4" w:space="0"/>
              <w:left w:val="single" w:color="auto" w:sz="4" w:space="0"/>
              <w:right w:val="single" w:color="auto" w:sz="4" w:space="0"/>
            </w:tcBorders>
            <w:vAlign w:val="center"/>
          </w:tcPr>
          <w:p>
            <w:pPr>
              <w:spacing w:line="300" w:lineRule="auto"/>
              <w:ind w:firstLine="0" w:firstLineChars="0"/>
              <w:rPr>
                <w:rFonts w:ascii="宋体" w:hAnsi="宋体" w:cs="宋体"/>
                <w:szCs w:val="24"/>
              </w:rPr>
            </w:pPr>
            <w:r>
              <w:rPr>
                <w:rFonts w:hint="eastAsia" w:ascii="宋体" w:hAnsi="宋体" w:cs="宋体"/>
                <w:szCs w:val="24"/>
              </w:rPr>
              <w:t>投标人具有“交通信号控制系统软件” 著作权证书的得</w:t>
            </w:r>
            <w:r>
              <w:rPr>
                <w:rFonts w:ascii="宋体" w:hAnsi="宋体" w:cs="宋体"/>
                <w:szCs w:val="24"/>
              </w:rPr>
              <w:t>2</w:t>
            </w:r>
            <w:r>
              <w:rPr>
                <w:rFonts w:hint="eastAsia" w:ascii="宋体" w:hAnsi="宋体" w:cs="宋体"/>
                <w:szCs w:val="24"/>
              </w:rPr>
              <w:t>分。</w:t>
            </w:r>
          </w:p>
          <w:p>
            <w:pPr>
              <w:spacing w:line="300" w:lineRule="auto"/>
              <w:ind w:firstLine="0" w:firstLineChars="0"/>
              <w:rPr>
                <w:rFonts w:eastAsia="楷体_GB2312"/>
              </w:rPr>
            </w:pPr>
            <w:r>
              <w:rPr>
                <w:rFonts w:hint="eastAsia" w:ascii="宋体" w:hAnsi="宋体" w:cs="宋体"/>
                <w:kern w:val="0"/>
                <w:szCs w:val="24"/>
              </w:rPr>
              <w:t>（</w:t>
            </w:r>
            <w:r>
              <w:rPr>
                <w:rFonts w:hint="eastAsia" w:ascii="宋体" w:hAnsi="宋体" w:cs="宋体"/>
                <w:kern w:val="0"/>
                <w:szCs w:val="21"/>
              </w:rPr>
              <w:t>需在</w:t>
            </w:r>
            <w:r>
              <w:rPr>
                <w:rFonts w:hint="eastAsia" w:ascii="宋体" w:hAnsi="宋体" w:cs="宋体"/>
                <w:bCs/>
                <w:szCs w:val="24"/>
              </w:rPr>
              <w:t>资信商务及技术文件中</w:t>
            </w:r>
            <w:r>
              <w:rPr>
                <w:rFonts w:hint="eastAsia" w:ascii="宋体" w:hAnsi="宋体" w:cs="宋体"/>
                <w:kern w:val="0"/>
                <w:szCs w:val="21"/>
              </w:rPr>
              <w:t>提供</w:t>
            </w:r>
            <w:r>
              <w:rPr>
                <w:rFonts w:hint="eastAsia" w:ascii="宋体" w:hAnsi="宋体" w:cs="宋体"/>
                <w:szCs w:val="24"/>
              </w:rPr>
              <w:t>相关证明材料扫描件</w:t>
            </w:r>
            <w:r>
              <w:rPr>
                <w:rFonts w:hint="eastAsia" w:ascii="宋体" w:hAnsi="宋体" w:cs="宋体"/>
                <w:bCs/>
                <w:szCs w:val="24"/>
              </w:rPr>
              <w:t>并加盖投标人CA公章</w:t>
            </w:r>
            <w:r>
              <w:rPr>
                <w:rFonts w:hint="eastAsia" w:ascii="宋体" w:hAnsi="宋体" w:cs="宋体"/>
                <w:kern w:val="0"/>
                <w:szCs w:val="21"/>
              </w:rPr>
              <w:t>，</w:t>
            </w:r>
            <w:r>
              <w:rPr>
                <w:rFonts w:hint="eastAsia" w:ascii="宋体" w:hAnsi="宋体" w:cs="宋体"/>
                <w:kern w:val="0"/>
                <w:szCs w:val="24"/>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jc w:val="right"/>
        </w:trPr>
        <w:tc>
          <w:tcPr>
            <w:tcW w:w="993" w:type="dxa"/>
            <w:vMerge w:val="continue"/>
            <w:tcBorders>
              <w:left w:val="single" w:color="auto" w:sz="4" w:space="0"/>
              <w:right w:val="single" w:color="auto" w:sz="4" w:space="0"/>
            </w:tcBorders>
            <w:vAlign w:val="center"/>
          </w:tcPr>
          <w:p>
            <w:pPr>
              <w:spacing w:line="300" w:lineRule="auto"/>
              <w:ind w:firstLine="0" w:firstLineChars="0"/>
              <w:rPr>
                <w:rFonts w:ascii="宋体" w:hAnsi="宋体" w:cs="宋体"/>
                <w:szCs w:val="24"/>
              </w:rPr>
            </w:pPr>
          </w:p>
        </w:tc>
        <w:tc>
          <w:tcPr>
            <w:tcW w:w="1574" w:type="dxa"/>
            <w:tcBorders>
              <w:top w:val="single" w:color="auto" w:sz="4" w:space="0"/>
              <w:left w:val="single" w:color="auto" w:sz="4" w:space="0"/>
              <w:right w:val="single" w:color="auto" w:sz="4" w:space="0"/>
            </w:tcBorders>
            <w:vAlign w:val="center"/>
          </w:tcPr>
          <w:p>
            <w:pPr>
              <w:tabs>
                <w:tab w:val="left" w:pos="0"/>
              </w:tabs>
              <w:autoSpaceDE w:val="0"/>
              <w:autoSpaceDN w:val="0"/>
              <w:adjustRightInd w:val="0"/>
              <w:spacing w:line="300" w:lineRule="auto"/>
              <w:ind w:firstLine="0" w:firstLineChars="0"/>
              <w:rPr>
                <w:rFonts w:ascii="宋体" w:hAnsi="宋体" w:cs="宋体"/>
                <w:color w:val="000000" w:themeColor="text1"/>
                <w:szCs w:val="24"/>
              </w:rPr>
            </w:pPr>
            <w:r>
              <w:rPr>
                <w:rFonts w:hint="eastAsia" w:ascii="宋体" w:hAnsi="宋体" w:cs="宋体"/>
                <w:color w:val="000000" w:themeColor="text1"/>
                <w:szCs w:val="24"/>
              </w:rPr>
              <w:t>售后服务保障（</w:t>
            </w:r>
            <w:r>
              <w:rPr>
                <w:rFonts w:ascii="宋体" w:hAnsi="宋体" w:cs="宋体"/>
                <w:color w:val="000000" w:themeColor="text1"/>
                <w:szCs w:val="24"/>
              </w:rPr>
              <w:t>8</w:t>
            </w:r>
            <w:r>
              <w:rPr>
                <w:rFonts w:hint="eastAsia" w:ascii="宋体" w:hAnsi="宋体" w:cs="宋体"/>
                <w:color w:val="000000" w:themeColor="text1"/>
                <w:szCs w:val="24"/>
              </w:rPr>
              <w:t>分）</w:t>
            </w:r>
          </w:p>
        </w:tc>
        <w:tc>
          <w:tcPr>
            <w:tcW w:w="7095" w:type="dxa"/>
            <w:tcBorders>
              <w:top w:val="single" w:color="auto" w:sz="4" w:space="0"/>
              <w:left w:val="single" w:color="auto" w:sz="4" w:space="0"/>
              <w:bottom w:val="single" w:color="auto" w:sz="4" w:space="0"/>
              <w:right w:val="single" w:color="auto" w:sz="4" w:space="0"/>
            </w:tcBorders>
            <w:vAlign w:val="center"/>
          </w:tcPr>
          <w:p>
            <w:pPr>
              <w:spacing w:line="300" w:lineRule="auto"/>
              <w:ind w:firstLine="0" w:firstLineChars="0"/>
              <w:rPr>
                <w:rFonts w:ascii="宋体" w:hAnsi="宋体" w:cs="宋体"/>
                <w:color w:val="000000" w:themeColor="text1"/>
                <w:szCs w:val="24"/>
              </w:rPr>
            </w:pPr>
            <w:r>
              <w:rPr>
                <w:rFonts w:hint="eastAsia" w:ascii="宋体" w:hAnsi="宋体" w:cs="宋体"/>
                <w:color w:val="000000" w:themeColor="text1"/>
                <w:szCs w:val="24"/>
              </w:rPr>
              <w:t>根据维护服务方案、售后服务承诺的可行性、完整性以及服务承诺落实的保障措施打分，内容全面、措施完善可行的得</w:t>
            </w:r>
            <w:r>
              <w:rPr>
                <w:rFonts w:ascii="宋体" w:hAnsi="宋体" w:cs="宋体"/>
                <w:color w:val="000000" w:themeColor="text1"/>
                <w:szCs w:val="24"/>
              </w:rPr>
              <w:t>6</w:t>
            </w:r>
            <w:r>
              <w:rPr>
                <w:rFonts w:hint="eastAsia" w:ascii="宋体" w:hAnsi="宋体" w:cs="宋体"/>
                <w:color w:val="000000" w:themeColor="text1"/>
                <w:szCs w:val="24"/>
              </w:rPr>
              <w:t>-</w:t>
            </w:r>
            <w:r>
              <w:rPr>
                <w:rFonts w:ascii="宋体" w:hAnsi="宋体" w:cs="宋体"/>
                <w:color w:val="000000" w:themeColor="text1"/>
                <w:szCs w:val="24"/>
              </w:rPr>
              <w:t>8</w:t>
            </w:r>
            <w:r>
              <w:rPr>
                <w:rFonts w:hint="eastAsia" w:ascii="宋体" w:hAnsi="宋体" w:cs="宋体"/>
                <w:color w:val="000000" w:themeColor="text1"/>
                <w:szCs w:val="24"/>
              </w:rPr>
              <w:t>分，相关内容较简单、但基本可行的得</w:t>
            </w:r>
            <w:r>
              <w:rPr>
                <w:rFonts w:ascii="宋体" w:hAnsi="宋体" w:cs="宋体"/>
                <w:color w:val="000000" w:themeColor="text1"/>
                <w:szCs w:val="24"/>
              </w:rPr>
              <w:t>4</w:t>
            </w:r>
            <w:r>
              <w:rPr>
                <w:rFonts w:hint="eastAsia" w:ascii="宋体" w:hAnsi="宋体" w:cs="宋体"/>
                <w:color w:val="000000" w:themeColor="text1"/>
                <w:szCs w:val="24"/>
              </w:rPr>
              <w:t>-</w:t>
            </w:r>
            <w:r>
              <w:rPr>
                <w:rFonts w:ascii="宋体" w:hAnsi="宋体" w:cs="宋体"/>
                <w:color w:val="000000" w:themeColor="text1"/>
                <w:szCs w:val="24"/>
              </w:rPr>
              <w:t>5</w:t>
            </w:r>
            <w:r>
              <w:rPr>
                <w:rFonts w:hint="eastAsia" w:ascii="宋体" w:hAnsi="宋体" w:cs="宋体"/>
                <w:color w:val="000000" w:themeColor="text1"/>
                <w:szCs w:val="24"/>
              </w:rPr>
              <w:t>.9分，无相关内容或内容不可行的不得分。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right"/>
        </w:trPr>
        <w:tc>
          <w:tcPr>
            <w:tcW w:w="993" w:type="dxa"/>
            <w:vMerge w:val="continue"/>
            <w:tcBorders>
              <w:left w:val="single" w:color="auto" w:sz="4" w:space="0"/>
              <w:right w:val="single" w:color="auto" w:sz="4" w:space="0"/>
            </w:tcBorders>
            <w:vAlign w:val="center"/>
          </w:tcPr>
          <w:p>
            <w:pPr>
              <w:spacing w:line="300" w:lineRule="auto"/>
              <w:ind w:firstLine="0" w:firstLineChars="0"/>
              <w:rPr>
                <w:rFonts w:ascii="宋体" w:hAnsi="宋体" w:cs="宋体"/>
                <w:szCs w:val="24"/>
              </w:rPr>
            </w:pPr>
          </w:p>
        </w:tc>
        <w:tc>
          <w:tcPr>
            <w:tcW w:w="1574" w:type="dxa"/>
            <w:tcBorders>
              <w:top w:val="single" w:color="auto" w:sz="4" w:space="0"/>
              <w:left w:val="single" w:color="auto" w:sz="4" w:space="0"/>
              <w:bottom w:val="single" w:color="auto" w:sz="4" w:space="0"/>
              <w:right w:val="single" w:color="auto" w:sz="4" w:space="0"/>
            </w:tcBorders>
            <w:vAlign w:val="center"/>
          </w:tcPr>
          <w:p>
            <w:pPr>
              <w:tabs>
                <w:tab w:val="left" w:pos="0"/>
              </w:tabs>
              <w:autoSpaceDE w:val="0"/>
              <w:autoSpaceDN w:val="0"/>
              <w:adjustRightInd w:val="0"/>
              <w:spacing w:line="300" w:lineRule="auto"/>
              <w:ind w:firstLine="0" w:firstLineChars="0"/>
              <w:rPr>
                <w:rFonts w:ascii="宋体" w:hAnsi="宋体" w:cs="宋体"/>
                <w:szCs w:val="24"/>
              </w:rPr>
            </w:pPr>
            <w:r>
              <w:rPr>
                <w:rFonts w:hint="eastAsia" w:ascii="宋体" w:hAnsi="宋体" w:cs="宋体"/>
                <w:kern w:val="0"/>
                <w:szCs w:val="24"/>
              </w:rPr>
              <w:t>同类项目业绩（</w:t>
            </w:r>
            <w:r>
              <w:rPr>
                <w:rFonts w:ascii="宋体" w:hAnsi="宋体" w:cs="宋体"/>
                <w:kern w:val="0"/>
                <w:szCs w:val="24"/>
              </w:rPr>
              <w:t>1</w:t>
            </w:r>
            <w:r>
              <w:rPr>
                <w:rFonts w:hint="eastAsia" w:ascii="宋体" w:hAnsi="宋体" w:cs="宋体"/>
                <w:kern w:val="0"/>
                <w:szCs w:val="24"/>
              </w:rPr>
              <w:t>分）</w:t>
            </w:r>
          </w:p>
        </w:tc>
        <w:tc>
          <w:tcPr>
            <w:tcW w:w="7095" w:type="dxa"/>
            <w:tcBorders>
              <w:top w:val="single" w:color="auto" w:sz="4" w:space="0"/>
              <w:left w:val="single" w:color="auto" w:sz="4" w:space="0"/>
              <w:bottom w:val="single" w:color="auto" w:sz="4" w:space="0"/>
              <w:right w:val="single" w:color="auto" w:sz="4" w:space="0"/>
            </w:tcBorders>
            <w:vAlign w:val="center"/>
          </w:tcPr>
          <w:p>
            <w:pPr>
              <w:spacing w:line="300" w:lineRule="auto"/>
              <w:ind w:firstLine="0" w:firstLineChars="0"/>
              <w:rPr>
                <w:rFonts w:ascii="宋体" w:hAnsi="宋体" w:cs="宋体"/>
                <w:szCs w:val="24"/>
              </w:rPr>
            </w:pPr>
            <w:r>
              <w:rPr>
                <w:rFonts w:hint="eastAsia" w:ascii="宋体" w:hAnsi="宋体" w:cs="宋体"/>
                <w:bCs/>
                <w:szCs w:val="24"/>
              </w:rPr>
              <w:t>投标人近三年（自投标截止日起往前追溯3年，以合同签订时间为准）完成过类似项目的得</w:t>
            </w:r>
            <w:r>
              <w:rPr>
                <w:rFonts w:ascii="宋体" w:hAnsi="宋体" w:cs="宋体"/>
                <w:bCs/>
                <w:szCs w:val="24"/>
              </w:rPr>
              <w:t>1</w:t>
            </w:r>
            <w:r>
              <w:rPr>
                <w:rFonts w:hint="eastAsia" w:ascii="宋体" w:hAnsi="宋体" w:cs="宋体"/>
                <w:bCs/>
                <w:szCs w:val="24"/>
              </w:rPr>
              <w:t>分。（资信商务及技术文件中同时提供中标通知书、合同和验收合格证明扫描件并加盖投标人CA公章，否则不得分）。</w:t>
            </w:r>
          </w:p>
        </w:tc>
      </w:tr>
    </w:tbl>
    <w:p>
      <w:pPr>
        <w:pStyle w:val="95"/>
        <w:snapToGrid w:val="0"/>
        <w:spacing w:line="300" w:lineRule="auto"/>
        <w:ind w:firstLine="482"/>
        <w:jc w:val="left"/>
        <w:rPr>
          <w:rFonts w:ascii="宋体" w:hAnsi="宋体" w:cs="宋体"/>
          <w:b/>
          <w:sz w:val="24"/>
          <w:szCs w:val="24"/>
        </w:rPr>
      </w:pPr>
      <w:r>
        <w:rPr>
          <w:rFonts w:hint="eastAsia" w:ascii="宋体" w:hAnsi="宋体" w:cs="宋体"/>
          <w:b/>
          <w:sz w:val="24"/>
          <w:szCs w:val="24"/>
        </w:rPr>
        <w:t>注：1.如在投标文件中未涉及上述技术商务资信评分内容的，按0分计。</w:t>
      </w:r>
    </w:p>
    <w:p>
      <w:pPr>
        <w:pStyle w:val="95"/>
        <w:snapToGrid w:val="0"/>
        <w:spacing w:line="300" w:lineRule="auto"/>
        <w:ind w:firstLine="472" w:firstLineChars="196"/>
        <w:rPr>
          <w:rFonts w:ascii="宋体" w:hAnsi="宋体" w:cs="宋体"/>
          <w:b/>
          <w:sz w:val="24"/>
          <w:szCs w:val="24"/>
        </w:rPr>
      </w:pPr>
      <w:r>
        <w:rPr>
          <w:rFonts w:hint="eastAsia" w:ascii="宋体" w:hAnsi="宋体" w:cs="宋体"/>
          <w:b/>
          <w:sz w:val="24"/>
          <w:szCs w:val="24"/>
        </w:rPr>
        <w:t>2.投标文件中应提供有关证明材料扫描件并CA签章。</w:t>
      </w:r>
    </w:p>
    <w:p>
      <w:pPr>
        <w:pStyle w:val="95"/>
        <w:snapToGrid w:val="0"/>
        <w:spacing w:line="300" w:lineRule="auto"/>
        <w:ind w:firstLine="472" w:firstLineChars="196"/>
        <w:rPr>
          <w:rFonts w:ascii="宋体" w:hAnsi="宋体" w:cs="宋体"/>
          <w:b/>
          <w:sz w:val="24"/>
          <w:szCs w:val="24"/>
        </w:rPr>
      </w:pPr>
      <w:r>
        <w:rPr>
          <w:rFonts w:hint="eastAsia" w:ascii="宋体" w:hAnsi="宋体" w:cs="宋体"/>
          <w:b/>
          <w:sz w:val="24"/>
          <w:szCs w:val="24"/>
        </w:rPr>
        <w:t>3.投标文件中提供的证明材料均应清晰可辨，否则不得分。</w:t>
      </w:r>
    </w:p>
    <w:p>
      <w:pPr>
        <w:pStyle w:val="95"/>
        <w:snapToGrid w:val="0"/>
        <w:spacing w:line="300" w:lineRule="auto"/>
        <w:ind w:firstLine="482"/>
        <w:rPr>
          <w:rFonts w:ascii="宋体" w:hAnsi="宋体" w:cs="宋体"/>
          <w:b/>
          <w:bCs/>
          <w:color w:val="000000"/>
          <w:sz w:val="24"/>
          <w:szCs w:val="24"/>
        </w:rPr>
      </w:pPr>
      <w:r>
        <w:rPr>
          <w:rFonts w:hint="eastAsia" w:ascii="宋体" w:hAnsi="宋体" w:cs="宋体"/>
          <w:b/>
          <w:bCs/>
          <w:color w:val="000000"/>
          <w:sz w:val="24"/>
          <w:szCs w:val="24"/>
        </w:rPr>
        <w:t>（</w:t>
      </w:r>
      <w:r>
        <w:rPr>
          <w:rFonts w:hint="eastAsia" w:ascii="宋体" w:hAnsi="宋体" w:cs="宋体"/>
          <w:b/>
          <w:bCs/>
          <w:color w:val="000000"/>
        </w:rPr>
        <w:t>三</w:t>
      </w:r>
      <w:r>
        <w:rPr>
          <w:rFonts w:hint="eastAsia" w:ascii="宋体" w:hAnsi="宋体" w:cs="宋体"/>
          <w:b/>
          <w:bCs/>
          <w:color w:val="000000"/>
          <w:sz w:val="24"/>
          <w:szCs w:val="24"/>
        </w:rPr>
        <w:t>）技术、商务资信分的计算</w:t>
      </w:r>
    </w:p>
    <w:p>
      <w:pPr>
        <w:spacing w:line="300" w:lineRule="auto"/>
        <w:ind w:firstLine="480"/>
        <w:rPr>
          <w:rFonts w:ascii="宋体" w:hAnsi="宋体" w:cs="宋体"/>
          <w:color w:val="000000"/>
          <w:szCs w:val="24"/>
        </w:rPr>
      </w:pPr>
      <w:r>
        <w:rPr>
          <w:rFonts w:hint="eastAsia" w:ascii="宋体" w:hAnsi="宋体" w:cs="宋体"/>
          <w:color w:val="000000"/>
          <w:szCs w:val="24"/>
        </w:rPr>
        <w:t>技术、商务资信分得分按照评标委员会成员的独立评分结果合计数的算术平均分计算，计算公式为：</w:t>
      </w:r>
    </w:p>
    <w:p>
      <w:pPr>
        <w:spacing w:line="300" w:lineRule="auto"/>
        <w:ind w:firstLine="480"/>
        <w:rPr>
          <w:rFonts w:ascii="宋体" w:hAnsi="宋体" w:cs="宋体"/>
          <w:color w:val="000000"/>
          <w:szCs w:val="24"/>
        </w:rPr>
      </w:pPr>
      <w:r>
        <w:rPr>
          <w:rFonts w:hint="eastAsia" w:ascii="宋体" w:hAnsi="宋体" w:cs="宋体"/>
          <w:color w:val="000000"/>
          <w:szCs w:val="24"/>
        </w:rPr>
        <w:t>技术商务资信分得分=评标委员会所有成员评分合计数/评标委员会组成人员数</w:t>
      </w:r>
    </w:p>
    <w:p>
      <w:pPr>
        <w:spacing w:line="300" w:lineRule="auto"/>
        <w:ind w:firstLine="472" w:firstLineChars="196"/>
        <w:rPr>
          <w:rFonts w:ascii="宋体" w:hAnsi="宋体" w:cs="宋体"/>
          <w:b/>
        </w:rPr>
      </w:pPr>
      <w:r>
        <w:rPr>
          <w:rFonts w:hint="eastAsia" w:ascii="宋体" w:hAnsi="宋体" w:cs="宋体"/>
          <w:b/>
          <w:bCs/>
          <w:color w:val="000000"/>
        </w:rPr>
        <w:t>四、</w:t>
      </w:r>
      <w:r>
        <w:rPr>
          <w:rFonts w:hint="eastAsia" w:ascii="宋体" w:hAnsi="宋体" w:cs="宋体"/>
          <w:b/>
        </w:rPr>
        <w:t>中标候选人确定</w:t>
      </w:r>
    </w:p>
    <w:p>
      <w:pPr>
        <w:spacing w:line="300" w:lineRule="auto"/>
        <w:ind w:firstLine="482"/>
        <w:rPr>
          <w:rFonts w:ascii="宋体" w:hAnsi="宋体" w:cs="宋体"/>
          <w:b/>
          <w:bCs/>
          <w:color w:val="000000"/>
          <w:szCs w:val="24"/>
        </w:rPr>
      </w:pPr>
      <w:r>
        <w:rPr>
          <w:rFonts w:hint="eastAsia" w:ascii="宋体" w:hAnsi="宋体" w:cs="宋体"/>
          <w:b/>
        </w:rPr>
        <w:t>评标委员会应当推荐有效投标人中按分值从高到低排名为第一名、第二名、第三名的为中标候选人。</w:t>
      </w:r>
    </w:p>
    <w:p>
      <w:pPr>
        <w:spacing w:line="300" w:lineRule="auto"/>
        <w:ind w:firstLine="482"/>
        <w:jc w:val="left"/>
        <w:rPr>
          <w:rFonts w:ascii="宋体" w:hAnsi="宋体" w:cs="宋体"/>
          <w:color w:val="000000"/>
        </w:rPr>
      </w:pPr>
      <w:r>
        <w:rPr>
          <w:rFonts w:hint="eastAsia" w:ascii="宋体" w:hAnsi="宋体" w:cs="宋体"/>
          <w:b/>
          <w:bCs/>
          <w:color w:val="000000"/>
        </w:rPr>
        <w:t>五、评标报告</w:t>
      </w:r>
    </w:p>
    <w:p>
      <w:pPr>
        <w:spacing w:line="300" w:lineRule="auto"/>
        <w:ind w:firstLine="480"/>
        <w:rPr>
          <w:rFonts w:ascii="宋体" w:hAnsi="宋体" w:cs="宋体"/>
          <w:color w:val="000000"/>
          <w:szCs w:val="24"/>
        </w:rPr>
      </w:pPr>
      <w:r>
        <w:rPr>
          <w:rFonts w:hint="eastAsia" w:ascii="宋体" w:hAnsi="宋体" w:cs="宋体"/>
          <w:color w:val="000000"/>
          <w:szCs w:val="24"/>
        </w:rPr>
        <w:t>评标报告应由评标委员会起草，按少数服从多数的原则通过。评标委员会全体成员须在评标报告上签字认可，评标专家如有保留意见可以在评标报告中阐明。</w:t>
      </w:r>
    </w:p>
    <w:p>
      <w:pPr>
        <w:spacing w:line="300" w:lineRule="auto"/>
        <w:ind w:firstLine="482"/>
        <w:rPr>
          <w:rFonts w:ascii="宋体" w:hAnsi="宋体" w:cs="宋体"/>
          <w:b/>
          <w:bCs/>
          <w:color w:val="000000"/>
        </w:rPr>
      </w:pPr>
      <w:r>
        <w:rPr>
          <w:rFonts w:hint="eastAsia" w:ascii="宋体" w:hAnsi="宋体" w:cs="宋体"/>
          <w:b/>
          <w:bCs/>
          <w:color w:val="000000"/>
        </w:rPr>
        <w:t>六、中标公告</w:t>
      </w:r>
    </w:p>
    <w:p>
      <w:pPr>
        <w:spacing w:line="300" w:lineRule="auto"/>
        <w:ind w:firstLine="480"/>
        <w:rPr>
          <w:rFonts w:ascii="宋体" w:hAnsi="宋体" w:cs="宋体"/>
          <w:color w:val="000000"/>
        </w:rPr>
      </w:pPr>
      <w:r>
        <w:rPr>
          <w:rFonts w:hint="eastAsia" w:ascii="宋体" w:hAnsi="宋体" w:cs="宋体"/>
          <w:color w:val="000000"/>
        </w:rPr>
        <w:t>采购代理机构自评审结束之日起2个工作日内将评审报告送交采购人。采购人在收到评审报告之日起5个工作日内在评审报告推荐的中标候选人中按顺序确定排名第一的中标候选人为中标供应商。</w:t>
      </w:r>
    </w:p>
    <w:p>
      <w:pPr>
        <w:spacing w:line="300" w:lineRule="auto"/>
        <w:ind w:firstLine="480"/>
        <w:jc w:val="left"/>
        <w:rPr>
          <w:rFonts w:ascii="宋体" w:hAnsi="宋体" w:cs="宋体"/>
          <w:color w:val="000000"/>
        </w:rPr>
        <w:sectPr>
          <w:footerReference r:id="rId12" w:type="default"/>
          <w:pgSz w:w="11906" w:h="16838"/>
          <w:pgMar w:top="1418" w:right="1077" w:bottom="1418" w:left="1077" w:header="851" w:footer="851" w:gutter="340"/>
          <w:cols w:space="720" w:num="1"/>
          <w:docGrid w:linePitch="381" w:charSpace="0"/>
        </w:sectPr>
      </w:pPr>
      <w:r>
        <w:rPr>
          <w:rFonts w:hint="eastAsia" w:ascii="宋体" w:hAnsi="宋体" w:cs="宋体"/>
          <w:color w:val="000000"/>
        </w:rPr>
        <w:t>采购代理机构自中标供应商确定之日起2个工作日内，发出中标通知书，并在发布招标公告的网站上公告中标结果。</w:t>
      </w:r>
    </w:p>
    <w:p>
      <w:pPr>
        <w:pStyle w:val="33"/>
        <w:ind w:firstLine="723"/>
        <w:rPr>
          <w:color w:val="000000"/>
          <w:sz w:val="36"/>
          <w:szCs w:val="36"/>
        </w:rPr>
      </w:pPr>
      <w:bookmarkStart w:id="85" w:name="_Toc32631"/>
      <w:r>
        <w:rPr>
          <w:rFonts w:hint="eastAsia"/>
          <w:color w:val="000000"/>
          <w:sz w:val="36"/>
          <w:szCs w:val="36"/>
        </w:rPr>
        <w:t xml:space="preserve">第五章  </w:t>
      </w:r>
      <w:r>
        <w:rPr>
          <w:rFonts w:hint="eastAsia"/>
          <w:sz w:val="36"/>
          <w:szCs w:val="36"/>
        </w:rPr>
        <w:t>嘉善县政府采购合同</w:t>
      </w:r>
      <w:bookmarkEnd w:id="85"/>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643"/>
        <w:jc w:val="center"/>
        <w:rPr>
          <w:rFonts w:ascii="宋体" w:hAnsi="宋体" w:cs="宋体"/>
          <w:b/>
          <w:bCs/>
          <w:kern w:val="0"/>
          <w:sz w:val="32"/>
          <w:szCs w:val="32"/>
        </w:rPr>
      </w:pPr>
      <w:r>
        <w:rPr>
          <w:rFonts w:hint="eastAsia" w:ascii="宋体" w:hAnsi="宋体" w:cs="宋体"/>
          <w:b/>
          <w:bCs/>
          <w:kern w:val="0"/>
          <w:sz w:val="32"/>
          <w:szCs w:val="32"/>
        </w:rPr>
        <w:t>一、通用必备条款部分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合同编号：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政府采购计划（预算）确认书编号：</w:t>
      </w:r>
      <w:r>
        <w:rPr>
          <w:rFonts w:hint="eastAsia" w:ascii="宋体" w:hAnsi="宋体" w:cs="宋体"/>
          <w:szCs w:val="24"/>
        </w:rPr>
        <w:t>善财采确临[202</w:t>
      </w:r>
      <w:r>
        <w:rPr>
          <w:rFonts w:ascii="宋体" w:hAnsi="宋体" w:cs="宋体"/>
          <w:szCs w:val="24"/>
        </w:rPr>
        <w:t>3</w:t>
      </w:r>
      <w:r>
        <w:rPr>
          <w:rFonts w:hint="eastAsia" w:ascii="宋体" w:hAnsi="宋体" w:cs="宋体"/>
          <w:szCs w:val="24"/>
        </w:rPr>
        <w:t>]</w:t>
      </w:r>
      <w:r>
        <w:rPr>
          <w:rFonts w:hint="eastAsia" w:ascii="宋体" w:hAnsi="宋体" w:cs="宋体"/>
          <w:szCs w:val="24"/>
          <w:lang w:val="en-US" w:eastAsia="zh-CN"/>
        </w:rPr>
        <w:t>1066</w:t>
      </w:r>
      <w:r>
        <w:rPr>
          <w:rFonts w:hint="eastAsia" w:ascii="宋体" w:hAnsi="宋体" w:cs="宋体"/>
          <w:szCs w:val="24"/>
        </w:rPr>
        <w:t>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color w:val="000000"/>
          <w:kern w:val="0"/>
        </w:rPr>
        <w:t>预算金</w:t>
      </w:r>
      <w:r>
        <w:rPr>
          <w:rFonts w:hint="eastAsia" w:ascii="宋体" w:hAnsi="宋体" w:cs="宋体"/>
          <w:kern w:val="0"/>
        </w:rPr>
        <w:t>额：</w:t>
      </w:r>
      <w:r>
        <w:rPr>
          <w:rFonts w:ascii="宋体" w:hAnsi="宋体" w:cs="宋体"/>
          <w:kern w:val="0"/>
        </w:rPr>
        <w:t>150.00</w:t>
      </w:r>
      <w:r>
        <w:rPr>
          <w:rFonts w:hint="eastAsia" w:ascii="宋体" w:hAnsi="宋体" w:cs="宋体"/>
          <w:kern w:val="0"/>
        </w:rPr>
        <w:t>万元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采购人（以下称甲方）：嘉善县公安局交通警察大队</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供应商（以下称乙方）：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采购代理机构：嘉兴市宏泽招标咨询有限公司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采购方式：公开招标</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u w:val="single"/>
        </w:rPr>
      </w:pPr>
      <w:r>
        <w:rPr>
          <w:rFonts w:hint="eastAsia" w:ascii="宋体" w:hAnsi="宋体" w:cs="宋体"/>
          <w:color w:val="000000"/>
          <w:kern w:val="0"/>
        </w:rPr>
        <w:t>采购文件编号：</w:t>
      </w:r>
      <w:r>
        <w:rPr>
          <w:rFonts w:hint="eastAsia" w:ascii="宋体" w:hAnsi="宋体" w:cs="宋体"/>
          <w:color w:val="000000"/>
          <w:kern w:val="0"/>
          <w:u w:val="single"/>
        </w:rPr>
        <w:t xml:space="preserve"> HZZX-2023-G</w:t>
      </w:r>
      <w:r>
        <w:rPr>
          <w:rFonts w:ascii="宋体" w:hAnsi="宋体" w:cs="宋体"/>
          <w:color w:val="000000"/>
          <w:kern w:val="0"/>
          <w:u w:val="single"/>
        </w:rPr>
        <w:t>11</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u w:val="single"/>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szCs w:val="24"/>
        </w:rPr>
      </w:pPr>
      <w:r>
        <w:rPr>
          <w:rFonts w:hint="eastAsia" w:ascii="宋体" w:hAnsi="宋体" w:cs="宋体"/>
          <w:color w:val="000000"/>
          <w:kern w:val="0"/>
        </w:rPr>
        <w:t>根据《中华人民共和国政府采购法》、《中华人民共和国民法典》等法律法规的规定，甲乙双方按照</w:t>
      </w:r>
      <w:r>
        <w:rPr>
          <w:rFonts w:hint="eastAsia" w:ascii="宋体" w:hAnsi="宋体" w:cs="宋体"/>
          <w:b/>
          <w:szCs w:val="24"/>
          <w:u w:val="single"/>
        </w:rPr>
        <w:t>2023年城区信号灯路口配时优化项目</w:t>
      </w:r>
      <w:r>
        <w:rPr>
          <w:rFonts w:hint="eastAsia" w:ascii="宋体" w:hAnsi="宋体" w:cs="宋体"/>
          <w:color w:val="000000"/>
          <w:kern w:val="0"/>
        </w:rPr>
        <w:t>采购结果签订本合同。</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2"/>
        <w:jc w:val="left"/>
        <w:rPr>
          <w:rFonts w:ascii="宋体" w:hAnsi="宋体" w:cs="宋体"/>
          <w:b/>
          <w:color w:val="000000"/>
          <w:kern w:val="0"/>
        </w:rPr>
      </w:pPr>
      <w:r>
        <w:rPr>
          <w:rFonts w:hint="eastAsia" w:ascii="宋体" w:hAnsi="宋体" w:cs="宋体"/>
          <w:b/>
          <w:color w:val="000000"/>
          <w:kern w:val="0"/>
        </w:rPr>
        <w:t>第一条 合同组成</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本次政府采购活动的相关文件为本合同的组成部分，这些文件包括但不限于：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（1）本合同文本；</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（2）采购文件与投标文件；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（3）中标通知书；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组成本合同的所有文件必须为书面形</w:t>
      </w:r>
      <w:r>
        <w:rPr>
          <w:rFonts w:hint="eastAsia" w:ascii="宋体" w:hAnsi="宋体" w:cs="宋体"/>
          <w:kern w:val="0"/>
        </w:rPr>
        <w:t>式（其中投标文件以</w:t>
      </w:r>
      <w:r>
        <w:rPr>
          <w:rFonts w:hint="eastAsia" w:ascii="宋体" w:hAnsi="宋体" w:cs="宋体"/>
          <w:kern w:val="0"/>
          <w:szCs w:val="24"/>
        </w:rPr>
        <w:t>在政采云平台上最后生成的具备电子签章的电子投标文件为准</w:t>
      </w:r>
      <w:r>
        <w:rPr>
          <w:rFonts w:hint="eastAsia" w:ascii="宋体" w:hAnsi="宋体" w:cs="宋体"/>
          <w:kern w:val="0"/>
        </w:rPr>
        <w:t>）。政府采购合同备案时，须提供以上（1）、（3）两项，如由社会中介机构代理，须提供代理协议</w:t>
      </w:r>
      <w:r>
        <w:rPr>
          <w:rFonts w:hint="eastAsia" w:ascii="宋体" w:hAnsi="宋体" w:cs="宋体"/>
          <w:color w:val="000000"/>
          <w:kern w:val="0"/>
        </w:rPr>
        <w:t>，合同如有变更的，须提供变更协议。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2"/>
        <w:jc w:val="left"/>
        <w:rPr>
          <w:rFonts w:ascii="宋体" w:hAnsi="宋体" w:cs="宋体"/>
          <w:b/>
          <w:color w:val="000000"/>
          <w:kern w:val="0"/>
        </w:rPr>
      </w:pPr>
      <w:r>
        <w:rPr>
          <w:rFonts w:hint="eastAsia" w:ascii="宋体" w:hAnsi="宋体" w:cs="宋体"/>
          <w:b/>
          <w:color w:val="000000"/>
          <w:kern w:val="0"/>
        </w:rPr>
        <w:t>第二条 合同标的与相关属性</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1．本次采购的是</w:t>
      </w:r>
      <w:r>
        <w:rPr>
          <w:rFonts w:hint="eastAsia" w:ascii="宋体" w:hAnsi="宋体" w:cs="宋体"/>
          <w:b/>
          <w:szCs w:val="24"/>
          <w:u w:val="single"/>
        </w:rPr>
        <w:t>2023年城区信号灯路口配时优化项目</w:t>
      </w:r>
      <w:r>
        <w:rPr>
          <w:rFonts w:hint="eastAsia" w:ascii="宋体" w:hAnsi="宋体" w:cs="宋体"/>
          <w:color w:val="000000"/>
          <w:kern w:val="0"/>
          <w:u w:val="singl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2．乙方是否属于中小微企业：□是□否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3．本合同项下产品属于（可多选）：□环保产品；□节能产品；□进口产品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2"/>
        <w:jc w:val="left"/>
        <w:rPr>
          <w:rFonts w:ascii="宋体" w:hAnsi="宋体" w:cs="宋体"/>
          <w:b/>
          <w:kern w:val="0"/>
        </w:rPr>
      </w:pPr>
      <w:r>
        <w:rPr>
          <w:rFonts w:hint="eastAsia" w:ascii="宋体" w:hAnsi="宋体" w:cs="宋体"/>
          <w:b/>
          <w:color w:val="000000"/>
          <w:kern w:val="0"/>
        </w:rPr>
        <w:t>第三条</w:t>
      </w:r>
      <w:r>
        <w:rPr>
          <w:rFonts w:hint="eastAsia" w:ascii="宋体" w:hAnsi="宋体" w:cs="宋体"/>
          <w:b/>
          <w:kern w:val="0"/>
        </w:rPr>
        <w:t xml:space="preserve"> 合同价款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1．</w:t>
      </w:r>
      <w:r>
        <w:rPr>
          <w:rFonts w:hint="eastAsia" w:ascii="宋体" w:hAnsi="宋体" w:cs="宋体"/>
          <w:kern w:val="0"/>
        </w:rPr>
        <w:t>本合同项下总价款为人民币（大写）</w:t>
      </w:r>
      <w:r>
        <w:rPr>
          <w:rFonts w:hint="eastAsia" w:ascii="宋体" w:hAnsi="宋体" w:cs="宋体"/>
          <w:kern w:val="0"/>
          <w:u w:val="single"/>
        </w:rPr>
        <w:t xml:space="preserve">                         </w:t>
      </w:r>
      <w:r>
        <w:rPr>
          <w:rFonts w:hint="eastAsia" w:ascii="宋体" w:hAnsi="宋体" w:cs="宋体"/>
          <w:kern w:val="0"/>
        </w:rPr>
        <w:t>，分项价款见“价格清单”。</w:t>
      </w:r>
      <w:r>
        <w:rPr>
          <w:rFonts w:hint="eastAsia" w:ascii="宋体" w:hAnsi="宋体" w:cs="宋体"/>
          <w:color w:val="000000" w:themeColor="text1"/>
          <w:kern w:val="0"/>
        </w:rPr>
        <w:t>本项目单价固定，数量按实结算。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rPr>
      </w:pPr>
      <w:r>
        <w:rPr>
          <w:rFonts w:hint="eastAsia" w:ascii="宋体" w:hAnsi="宋体" w:cs="宋体"/>
          <w:kern w:val="0"/>
        </w:rPr>
        <w:t>2．本合同价款</w:t>
      </w:r>
      <w:r>
        <w:rPr>
          <w:rFonts w:hint="eastAsia" w:ascii="宋体" w:hAnsi="宋体" w:cs="宋体"/>
        </w:rPr>
        <w:t>应包括</w:t>
      </w:r>
      <w:r>
        <w:rPr>
          <w:rFonts w:hint="eastAsia" w:ascii="宋体" w:hAnsi="宋体"/>
          <w:szCs w:val="21"/>
        </w:rPr>
        <w:t>人工、材料、标准附件、备品备件、专用工具、包装、运输、装卸、保险、货到就位以及安装、调试、培训、保修、利润、税金、招标代理费等一切费用</w:t>
      </w:r>
      <w:r>
        <w:rPr>
          <w:rFonts w:hint="eastAsia" w:ascii="宋体" w:hAnsi="宋体" w:cs="宋体"/>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kern w:val="0"/>
        </w:rPr>
        <w:t>3．本项目资金来源性质为以下第</w:t>
      </w:r>
      <w:r>
        <w:rPr>
          <w:rFonts w:hint="eastAsia" w:ascii="宋体" w:hAnsi="宋体" w:cs="宋体"/>
          <w:kern w:val="0"/>
          <w:u w:val="single"/>
        </w:rPr>
        <w:t xml:space="preserve">   (1)   </w:t>
      </w:r>
      <w:r>
        <w:rPr>
          <w:rFonts w:hint="eastAsia" w:ascii="宋体" w:hAnsi="宋体" w:cs="宋体"/>
          <w:kern w:val="0"/>
        </w:rPr>
        <w:t>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kern w:val="0"/>
        </w:rPr>
        <w:t>（1）预算管理资金；（2）专用管理资金；（3）其他资金；（4）核算其他；（5）预算管理资金暂存；（6）专户管理资金暂存；（7）收入退库；（8）专项专户资金；（9）核算其他暂存。</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kern w:val="0"/>
        </w:rPr>
        <w:t>4．本合同付款方式为以下第</w:t>
      </w:r>
      <w:r>
        <w:rPr>
          <w:rFonts w:hint="eastAsia" w:ascii="宋体" w:hAnsi="宋体" w:cs="宋体"/>
          <w:kern w:val="0"/>
          <w:u w:val="single"/>
        </w:rPr>
        <w:t xml:space="preserve">   （3）   </w:t>
      </w:r>
      <w:r>
        <w:rPr>
          <w:rFonts w:hint="eastAsia" w:ascii="宋体" w:hAnsi="宋体" w:cs="宋体"/>
          <w:kern w:val="0"/>
        </w:rPr>
        <w:t>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kern w:val="0"/>
        </w:rPr>
        <w:t>（1）本合同项下的采购资金系甲方自行支付，付款程序为</w:t>
      </w:r>
      <w:r>
        <w:rPr>
          <w:rFonts w:hint="eastAsia" w:ascii="宋体" w:hAnsi="宋体" w:cs="宋体"/>
          <w:kern w:val="0"/>
          <w:u w:val="single"/>
        </w:rPr>
        <w:t xml:space="preserve"> / </w:t>
      </w:r>
      <w:r>
        <w:rPr>
          <w:rFonts w:hint="eastAsia" w:ascii="宋体" w:hAnsi="宋体" w:cs="宋体"/>
          <w:kern w:val="0"/>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kern w:val="0"/>
        </w:rPr>
        <w:t>（2）本合同项下的采购资金须财政直接支付，付款程序为</w:t>
      </w:r>
      <w:r>
        <w:rPr>
          <w:rFonts w:hint="eastAsia" w:ascii="宋体" w:hAnsi="宋体" w:cs="宋体"/>
          <w:kern w:val="0"/>
          <w:u w:val="single"/>
        </w:rPr>
        <w:t xml:space="preserve"> /</w:t>
      </w:r>
      <w:r>
        <w:rPr>
          <w:rFonts w:hint="eastAsia" w:ascii="宋体" w:hAnsi="宋体" w:cs="宋体"/>
          <w:kern w:val="0"/>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kern w:val="0"/>
        </w:rPr>
        <w:t>（3）其他方式：授权支付。</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kern w:val="0"/>
        </w:rPr>
        <w:t>5．本合同项下的采购资金付款进度按采购文件与投标文件规定，未规定时按以下第</w:t>
      </w:r>
      <w:r>
        <w:rPr>
          <w:rFonts w:hint="eastAsia" w:ascii="宋体" w:hAnsi="宋体" w:cs="宋体"/>
          <w:kern w:val="0"/>
          <w:u w:val="single"/>
        </w:rPr>
        <w:t>（2）</w:t>
      </w:r>
      <w:r>
        <w:rPr>
          <w:rFonts w:hint="eastAsia" w:ascii="宋体" w:hAnsi="宋体" w:cs="宋体"/>
          <w:kern w:val="0"/>
        </w:rPr>
        <w:t>项支付：</w:t>
      </w:r>
    </w:p>
    <w:p>
      <w:pPr>
        <w:ind w:firstLine="480"/>
        <w:contextualSpacing/>
        <w:rPr>
          <w:rFonts w:ascii="宋体" w:hAnsi="宋体" w:cs="宋体"/>
          <w:kern w:val="0"/>
        </w:rPr>
      </w:pPr>
      <w:r>
        <w:rPr>
          <w:rFonts w:hint="eastAsia" w:ascii="宋体" w:hAnsi="宋体" w:cs="宋体"/>
          <w:kern w:val="0"/>
        </w:rPr>
        <w:t>（1）一次性付款：</w:t>
      </w:r>
      <w:r>
        <w:rPr>
          <w:rFonts w:hint="eastAsia" w:ascii="宋体" w:hAnsi="宋体"/>
        </w:rPr>
        <w:t>/。</w:t>
      </w:r>
    </w:p>
    <w:p>
      <w:pPr>
        <w:snapToGrid w:val="0"/>
        <w:spacing w:line="300" w:lineRule="auto"/>
        <w:ind w:firstLine="480"/>
        <w:contextualSpacing/>
        <w:rPr>
          <w:rFonts w:ascii="宋体" w:hAnsi="宋体" w:cs="宋体"/>
          <w:color w:val="auto"/>
          <w:kern w:val="0"/>
        </w:rPr>
      </w:pPr>
      <w:r>
        <w:rPr>
          <w:rFonts w:hint="eastAsia" w:ascii="宋体" w:hAnsi="宋体" w:cs="宋体"/>
          <w:kern w:val="0"/>
        </w:rPr>
        <w:t>（2）分期付款：</w:t>
      </w:r>
      <w:r>
        <w:rPr>
          <w:rFonts w:hint="eastAsia" w:ascii="宋体" w:hAnsi="宋体" w:cs="宋体"/>
          <w:color w:val="000000" w:themeColor="text1"/>
          <w:szCs w:val="24"/>
        </w:rPr>
        <w:t>合同生效以及具备实施条件后7个</w:t>
      </w:r>
      <w:r>
        <w:rPr>
          <w:rFonts w:hint="eastAsia" w:ascii="宋体" w:hAnsi="宋体" w:cs="宋体"/>
          <w:color w:val="auto"/>
          <w:szCs w:val="24"/>
        </w:rPr>
        <w:t>工作日内支付项目合同总金额的40%作为预付款，余款分四个季度结算支付。</w:t>
      </w:r>
    </w:p>
    <w:p>
      <w:pPr>
        <w:ind w:firstLine="482"/>
        <w:rPr>
          <w:rFonts w:ascii="宋体" w:hAnsi="宋体" w:cs="宋体"/>
          <w:b/>
          <w:color w:val="000000" w:themeColor="text1"/>
          <w:kern w:val="0"/>
        </w:rPr>
      </w:pPr>
      <w:r>
        <w:rPr>
          <w:rFonts w:hint="eastAsia" w:ascii="宋体" w:hAnsi="宋体" w:cs="宋体"/>
          <w:b/>
          <w:color w:val="000000" w:themeColor="text1"/>
          <w:kern w:val="0"/>
        </w:rPr>
        <w:t>第四条 履约保证金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themeColor="text1"/>
          <w:kern w:val="0"/>
        </w:rPr>
      </w:pPr>
      <w:r>
        <w:rPr>
          <w:rFonts w:hint="eastAsia" w:ascii="宋体" w:hAnsi="宋体" w:cs="宋体"/>
          <w:color w:val="000000" w:themeColor="text1"/>
          <w:kern w:val="0"/>
        </w:rPr>
        <w:t>按以下第</w:t>
      </w:r>
      <w:r>
        <w:rPr>
          <w:rFonts w:hint="eastAsia" w:ascii="宋体" w:hAnsi="宋体" w:cs="宋体"/>
          <w:color w:val="000000" w:themeColor="text1"/>
          <w:kern w:val="0"/>
          <w:u w:val="single"/>
        </w:rPr>
        <w:t xml:space="preserve">   1   </w:t>
      </w:r>
      <w:r>
        <w:rPr>
          <w:rFonts w:hint="eastAsia" w:ascii="宋体" w:hAnsi="宋体" w:cs="宋体"/>
          <w:color w:val="000000" w:themeColor="text1"/>
          <w:kern w:val="0"/>
        </w:rPr>
        <w:t>项处理：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color w:val="000000" w:themeColor="text1"/>
          <w:kern w:val="0"/>
        </w:rPr>
        <w:t>1.本项目设置履约保证金，乙方应于</w:t>
      </w:r>
      <w:r>
        <w:rPr>
          <w:rFonts w:hint="eastAsia" w:ascii="宋体" w:hAnsi="宋体" w:cs="宋体"/>
          <w:color w:val="000000" w:themeColor="text1"/>
          <w:szCs w:val="24"/>
          <w:u w:val="single"/>
        </w:rPr>
        <w:t>项目实施前</w:t>
      </w:r>
      <w:r>
        <w:rPr>
          <w:rFonts w:hint="eastAsia" w:ascii="宋体" w:hAnsi="宋体" w:cs="宋体"/>
          <w:color w:val="000000" w:themeColor="text1"/>
        </w:rPr>
        <w:t>以支票、汇票、本票或者金融机构、担保机构出具的保函等非现金形式</w:t>
      </w:r>
      <w:r>
        <w:rPr>
          <w:rFonts w:hint="eastAsia" w:ascii="宋体" w:hAnsi="宋体" w:cs="宋体"/>
          <w:color w:val="000000" w:themeColor="text1"/>
          <w:kern w:val="0"/>
        </w:rPr>
        <w:t>向甲方提交履约保证金</w:t>
      </w:r>
      <w:r>
        <w:rPr>
          <w:rFonts w:hint="eastAsia" w:ascii="宋体" w:hAnsi="宋体" w:cs="宋体"/>
          <w:color w:val="000000" w:themeColor="text1"/>
          <w:kern w:val="0"/>
          <w:u w:val="single"/>
        </w:rPr>
        <w:t xml:space="preserve">      </w:t>
      </w:r>
      <w:r>
        <w:rPr>
          <w:rFonts w:hint="eastAsia" w:ascii="宋体" w:hAnsi="宋体" w:cs="宋体"/>
          <w:color w:val="000000" w:themeColor="text1"/>
          <w:kern w:val="0"/>
        </w:rPr>
        <w:t>元（合同金额</w:t>
      </w:r>
      <w:r>
        <w:rPr>
          <w:rFonts w:hint="eastAsia" w:ascii="宋体" w:hAnsi="宋体" w:cs="宋体"/>
          <w:color w:val="000000" w:themeColor="text1"/>
          <w:szCs w:val="24"/>
        </w:rPr>
        <w:t>的1%</w:t>
      </w:r>
      <w:r>
        <w:rPr>
          <w:rFonts w:hint="eastAsia" w:ascii="宋体" w:hAnsi="宋体" w:cs="宋体"/>
          <w:kern w:val="0"/>
        </w:rPr>
        <w:t>）。履约保证金在</w:t>
      </w:r>
      <w:r>
        <w:rPr>
          <w:rFonts w:hint="eastAsia" w:ascii="宋体" w:hAnsi="宋体" w:cs="宋体"/>
          <w:szCs w:val="24"/>
          <w:u w:val="single"/>
        </w:rPr>
        <w:t>服务质量采购人满意的前提下自合同履行完毕后一个月内无息</w:t>
      </w:r>
      <w:r>
        <w:rPr>
          <w:rFonts w:hint="eastAsia" w:ascii="宋体" w:hAnsi="宋体" w:cs="宋体"/>
          <w:kern w:val="0"/>
        </w:rPr>
        <w:t>（时间）退还乙方</w:t>
      </w:r>
      <w:r>
        <w:rPr>
          <w:rFonts w:hint="eastAsia" w:ascii="宋体" w:hAnsi="宋体" w:cs="宋体"/>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bCs/>
          <w:kern w:val="0"/>
        </w:rPr>
      </w:pPr>
      <w:r>
        <w:rPr>
          <w:rFonts w:hint="eastAsia" w:ascii="宋体" w:hAnsi="宋体" w:cs="宋体"/>
          <w:bCs/>
          <w:kern w:val="0"/>
        </w:rPr>
        <w:t>2.本项目不设置履约保证金。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2"/>
        <w:jc w:val="left"/>
        <w:rPr>
          <w:rFonts w:ascii="宋体" w:hAnsi="宋体" w:cs="宋体"/>
          <w:b/>
        </w:rPr>
      </w:pPr>
      <w:r>
        <w:rPr>
          <w:rFonts w:hint="eastAsia" w:ascii="宋体" w:hAnsi="宋体" w:cs="宋体"/>
          <w:b/>
          <w:bCs/>
          <w:kern w:val="0"/>
        </w:rPr>
        <w:t xml:space="preserve">第五条 </w:t>
      </w:r>
      <w:r>
        <w:rPr>
          <w:rFonts w:hint="eastAsia" w:ascii="宋体" w:hAnsi="宋体" w:cs="宋体"/>
          <w:b/>
          <w:szCs w:val="24"/>
        </w:rPr>
        <w:t>服务期限</w:t>
      </w:r>
    </w:p>
    <w:p>
      <w:pPr>
        <w:ind w:firstLine="480"/>
        <w:rPr>
          <w:rFonts w:ascii="宋体" w:hAnsi="宋体" w:cs="Arial"/>
          <w:color w:val="FF0000"/>
          <w:szCs w:val="21"/>
        </w:rPr>
      </w:pPr>
      <w:r>
        <w:rPr>
          <w:rFonts w:hint="eastAsia" w:ascii="宋体" w:hAnsi="宋体" w:cs="宋体"/>
          <w:color w:val="000000" w:themeColor="text1"/>
          <w:szCs w:val="24"/>
        </w:rPr>
        <w:t>本项目服务期自合同签订之日起一年；</w:t>
      </w:r>
      <w:r>
        <w:rPr>
          <w:rFonts w:hint="eastAsia" w:ascii="宋体" w:hAnsi="宋体" w:cs="宋体"/>
          <w:color w:val="000000" w:themeColor="text1"/>
          <w:kern w:val="0"/>
          <w:szCs w:val="24"/>
        </w:rPr>
        <w:t>服务期满后，如乙方提供的服务甲方满意，经双方协商一致并报县财政部门审核同意后可续签服务合同一年。</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2"/>
        <w:jc w:val="left"/>
        <w:rPr>
          <w:rFonts w:ascii="宋体" w:hAnsi="宋体" w:cs="宋体"/>
          <w:b/>
          <w:kern w:val="0"/>
        </w:rPr>
      </w:pPr>
      <w:r>
        <w:rPr>
          <w:rFonts w:hint="eastAsia" w:ascii="宋体" w:hAnsi="宋体" w:cs="宋体"/>
          <w:b/>
          <w:kern w:val="0"/>
        </w:rPr>
        <w:t>第六条 服务承诺</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bCs/>
        </w:rPr>
      </w:pPr>
      <w:r>
        <w:rPr>
          <w:rFonts w:hint="eastAsia" w:ascii="宋体" w:hAnsi="宋体" w:cs="宋体"/>
          <w:bCs/>
          <w:kern w:val="0"/>
        </w:rPr>
        <w:t>乙方按照在“</w:t>
      </w:r>
      <w:r>
        <w:rPr>
          <w:rFonts w:hint="eastAsia" w:ascii="宋体" w:hAnsi="宋体" w:cs="宋体"/>
          <w:szCs w:val="24"/>
        </w:rPr>
        <w:t>2023年城区信号灯路口配时优化项目</w:t>
      </w:r>
      <w:r>
        <w:rPr>
          <w:rFonts w:hint="eastAsia" w:ascii="宋体" w:hAnsi="宋体" w:cs="宋体"/>
          <w:bCs/>
        </w:rPr>
        <w:t>”投标文件中承诺的服务承诺实施。</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2"/>
        <w:jc w:val="left"/>
        <w:rPr>
          <w:rFonts w:ascii="宋体" w:hAnsi="宋体" w:cs="宋体"/>
          <w:b/>
          <w:color w:val="000000"/>
          <w:kern w:val="0"/>
        </w:rPr>
      </w:pPr>
      <w:r>
        <w:rPr>
          <w:rFonts w:hint="eastAsia" w:ascii="宋体" w:hAnsi="宋体" w:cs="宋体"/>
          <w:b/>
          <w:color w:val="000000"/>
          <w:kern w:val="0"/>
        </w:rPr>
        <w:t>第七条 合同的变更和终止</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除《政府采购法》第49条、第50条第二款规定的情形外，本合同一经签订，甲乙双方不得擅自终止合同或对合同实质性条款进行变更。确有特殊情况的，须经同级财政部门备案同意。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482"/>
        <w:jc w:val="left"/>
        <w:rPr>
          <w:rFonts w:ascii="宋体" w:hAnsi="宋体" w:cs="Arial"/>
          <w:b/>
          <w:kern w:val="0"/>
        </w:rPr>
      </w:pPr>
      <w:r>
        <w:rPr>
          <w:rFonts w:hint="eastAsia" w:ascii="宋体" w:hAnsi="宋体" w:cs="宋体"/>
          <w:b/>
          <w:color w:val="000000"/>
          <w:kern w:val="0"/>
        </w:rPr>
        <w:t xml:space="preserve">第八条 </w:t>
      </w:r>
      <w:r>
        <w:rPr>
          <w:rFonts w:hint="eastAsia" w:ascii="宋体" w:hAnsi="宋体" w:cs="Arial"/>
          <w:b/>
          <w:kern w:val="0"/>
        </w:rPr>
        <w:t>合同的转让与分包</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0"/>
        <w:jc w:val="left"/>
        <w:rPr>
          <w:rFonts w:ascii="宋体" w:hAnsi="宋体" w:cs="宋体"/>
          <w:color w:val="000000"/>
          <w:kern w:val="0"/>
        </w:rPr>
      </w:pPr>
      <w:r>
        <w:rPr>
          <w:rFonts w:hint="eastAsia" w:ascii="宋体" w:hAnsi="宋体" w:cs="宋体"/>
          <w:kern w:val="0"/>
        </w:rPr>
        <w:t>本项目不允许转包，若要分包须征得甲方书面同意</w:t>
      </w:r>
      <w:r>
        <w:rPr>
          <w:rFonts w:hint="eastAsia" w:ascii="宋体" w:hAnsi="宋体" w:cs="宋体"/>
          <w:kern w:val="0"/>
          <w:szCs w:val="24"/>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2"/>
        <w:jc w:val="left"/>
        <w:rPr>
          <w:rFonts w:ascii="宋体" w:hAnsi="宋体" w:cs="宋体"/>
          <w:b/>
          <w:color w:val="000000"/>
          <w:kern w:val="0"/>
        </w:rPr>
      </w:pPr>
      <w:r>
        <w:rPr>
          <w:rFonts w:hint="eastAsia" w:ascii="宋体" w:hAnsi="宋体" w:cs="宋体"/>
          <w:b/>
          <w:color w:val="000000"/>
          <w:kern w:val="0"/>
        </w:rPr>
        <w:t>第九条 争议的解决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0"/>
        <w:jc w:val="left"/>
        <w:rPr>
          <w:rFonts w:ascii="宋体" w:hAnsi="宋体" w:cs="宋体"/>
          <w:color w:val="000000"/>
          <w:kern w:val="0"/>
        </w:rPr>
      </w:pPr>
      <w:r>
        <w:rPr>
          <w:rFonts w:hint="eastAsia" w:ascii="宋体" w:hAnsi="宋体" w:cs="宋体"/>
          <w:color w:val="000000"/>
          <w:kern w:val="0"/>
        </w:rPr>
        <w:t>因履行本合同引起的或与本合同有关的争议，甲、乙双方应首先通过友好协商解决，如果协商不能解决争议，则采取以下第</w:t>
      </w:r>
      <w:r>
        <w:rPr>
          <w:rFonts w:hint="eastAsia" w:ascii="宋体" w:hAnsi="宋体" w:cs="宋体"/>
          <w:color w:val="000000"/>
          <w:kern w:val="0"/>
          <w:u w:val="single"/>
        </w:rPr>
        <w:t>（1）</w:t>
      </w:r>
      <w:r>
        <w:rPr>
          <w:rFonts w:hint="eastAsia" w:ascii="宋体" w:hAnsi="宋体" w:cs="宋体"/>
          <w:color w:val="000000"/>
          <w:kern w:val="0"/>
        </w:rPr>
        <w:t>种方式解决争议：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（1）向甲方所在地有管辖权的人民法院提起诉讼；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（2）向</w:t>
      </w:r>
      <w:r>
        <w:rPr>
          <w:rFonts w:hint="eastAsia" w:ascii="宋体" w:hAnsi="宋体" w:cs="宋体"/>
          <w:color w:val="000000"/>
          <w:kern w:val="0"/>
          <w:u w:val="single"/>
        </w:rPr>
        <w:t xml:space="preserve"> / </w:t>
      </w:r>
      <w:r>
        <w:rPr>
          <w:rFonts w:hint="eastAsia" w:ascii="宋体" w:hAnsi="宋体" w:cs="宋体"/>
          <w:color w:val="000000"/>
          <w:kern w:val="0"/>
        </w:rPr>
        <w:t>仲裁委员申请仲裁。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2"/>
        <w:jc w:val="left"/>
        <w:rPr>
          <w:rFonts w:ascii="宋体" w:hAnsi="宋体" w:cs="宋体"/>
          <w:b/>
          <w:color w:val="000000"/>
          <w:kern w:val="0"/>
        </w:rPr>
      </w:pPr>
      <w:r>
        <w:rPr>
          <w:rFonts w:hint="eastAsia" w:ascii="宋体" w:hAnsi="宋体" w:cs="宋体"/>
          <w:b/>
          <w:color w:val="000000"/>
          <w:kern w:val="0"/>
        </w:rPr>
        <w:t>第十条 合同备案及其他</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0"/>
        <w:jc w:val="left"/>
        <w:rPr>
          <w:rFonts w:ascii="宋体" w:hAnsi="宋体" w:cs="宋体"/>
          <w:color w:val="000000"/>
          <w:kern w:val="0"/>
          <w:szCs w:val="24"/>
        </w:rPr>
      </w:pPr>
      <w:r>
        <w:rPr>
          <w:rFonts w:hint="eastAsia" w:ascii="宋体" w:hAnsi="宋体" w:cs="宋体"/>
          <w:color w:val="000000"/>
          <w:kern w:val="0"/>
        </w:rPr>
        <w:t>本合同一式五份，甲乙双方各持两份、招标代理机构持一份。</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left="1166" w:leftChars="486" w:firstLine="1446" w:firstLineChars="450"/>
        <w:rPr>
          <w:rFonts w:ascii="宋体" w:hAnsi="宋体" w:cs="宋体"/>
          <w:b/>
          <w:bCs/>
          <w:kern w:val="0"/>
          <w:sz w:val="32"/>
          <w:szCs w:val="32"/>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left="1166" w:leftChars="486" w:firstLine="1446" w:firstLineChars="450"/>
        <w:rPr>
          <w:rFonts w:ascii="宋体" w:hAnsi="宋体" w:cs="宋体"/>
          <w:b/>
          <w:bCs/>
          <w:kern w:val="0"/>
          <w:sz w:val="32"/>
          <w:szCs w:val="32"/>
        </w:rPr>
      </w:pPr>
      <w:r>
        <w:rPr>
          <w:rFonts w:hint="eastAsia" w:ascii="宋体" w:hAnsi="宋体" w:cs="宋体"/>
          <w:b/>
          <w:bCs/>
          <w:kern w:val="0"/>
          <w:sz w:val="32"/>
          <w:szCs w:val="32"/>
        </w:rPr>
        <w:t>二、特殊专用条款部分</w:t>
      </w:r>
    </w:p>
    <w:p>
      <w:pPr>
        <w:pStyle w:val="3"/>
        <w:spacing w:line="144" w:lineRule="auto"/>
        <w:ind w:firstLine="2760" w:firstLineChars="1150"/>
        <w:rPr>
          <w:rFonts w:ascii="宋体" w:hAnsi="宋体" w:cs="宋体"/>
        </w:rPr>
      </w:pPr>
      <w:r>
        <w:rPr>
          <w:rFonts w:hint="eastAsia" w:ascii="宋体" w:hAnsi="宋体" w:cs="宋体"/>
        </w:rPr>
        <w:t xml:space="preserve">                              </w:t>
      </w:r>
    </w:p>
    <w:p>
      <w:pPr>
        <w:ind w:firstLine="482"/>
        <w:rPr>
          <w:rFonts w:ascii="宋体" w:hAnsi="宋体" w:cs="宋体"/>
          <w:b/>
          <w:bCs/>
          <w:kern w:val="0"/>
        </w:rPr>
      </w:pPr>
      <w:r>
        <w:rPr>
          <w:rFonts w:hint="eastAsia" w:ascii="宋体" w:hAnsi="宋体" w:cs="宋体"/>
          <w:b/>
          <w:bCs/>
          <w:kern w:val="0"/>
        </w:rPr>
        <w:t>第一条 违约责任</w:t>
      </w:r>
    </w:p>
    <w:p>
      <w:pPr>
        <w:ind w:firstLine="480"/>
        <w:rPr>
          <w:rFonts w:ascii="宋体" w:hAnsi="宋体"/>
        </w:rPr>
      </w:pPr>
      <w:r>
        <w:rPr>
          <w:rFonts w:hint="eastAsia" w:ascii="宋体" w:hAnsi="宋体" w:cs="宋体"/>
          <w:szCs w:val="24"/>
        </w:rPr>
        <w:t>签订合同后，如乙方不按双方签订合同约定履约，则没收其全部履约保证金，履约保证金不足以赔偿损失的，按实际损失赔偿。</w:t>
      </w:r>
    </w:p>
    <w:p>
      <w:pPr>
        <w:ind w:firstLine="482"/>
        <w:rPr>
          <w:rFonts w:ascii="宋体" w:hAnsi="宋体"/>
          <w:b/>
        </w:rPr>
      </w:pPr>
      <w:r>
        <w:rPr>
          <w:rFonts w:hint="eastAsia" w:ascii="宋体" w:hAnsi="宋体"/>
          <w:b/>
        </w:rPr>
        <w:t>第二条 不可抗力事件处理</w:t>
      </w:r>
    </w:p>
    <w:p>
      <w:pPr>
        <w:ind w:firstLine="480"/>
        <w:rPr>
          <w:rFonts w:ascii="宋体" w:hAnsi="宋体" w:cs="宋体"/>
        </w:rPr>
      </w:pPr>
      <w:r>
        <w:rPr>
          <w:rFonts w:ascii="宋体" w:hAnsi="宋体" w:cs="宋体"/>
        </w:rPr>
        <w:t>1</w:t>
      </w:r>
      <w:r>
        <w:rPr>
          <w:rFonts w:hint="eastAsia" w:ascii="宋体" w:hAnsi="宋体" w:cs="宋体"/>
        </w:rPr>
        <w:t>.在合同有效期内，任何一方因不可抗力事件导致不能履行合同的，合同履行期可延长，其延长期与不可抗力影响期相同。</w:t>
      </w:r>
    </w:p>
    <w:p>
      <w:pPr>
        <w:ind w:firstLine="480"/>
        <w:rPr>
          <w:rFonts w:ascii="宋体" w:hAnsi="宋体" w:cs="宋体"/>
        </w:rPr>
      </w:pPr>
      <w:r>
        <w:rPr>
          <w:rFonts w:ascii="宋体" w:hAnsi="宋体" w:cs="宋体"/>
        </w:rPr>
        <w:t>2</w:t>
      </w:r>
      <w:r>
        <w:rPr>
          <w:rFonts w:hint="eastAsia" w:ascii="宋体" w:hAnsi="宋体" w:cs="宋体"/>
        </w:rPr>
        <w:t>.不可抗力事件发生后，应立即通知对方，并寄送有关权威机构出具的证明。</w:t>
      </w:r>
    </w:p>
    <w:p>
      <w:pPr>
        <w:ind w:firstLine="480"/>
        <w:rPr>
          <w:rFonts w:ascii="宋体" w:hAnsi="宋体" w:cs="宋体"/>
        </w:rPr>
      </w:pPr>
      <w:r>
        <w:rPr>
          <w:rFonts w:ascii="宋体" w:hAnsi="宋体" w:cs="宋体"/>
        </w:rPr>
        <w:t>3</w:t>
      </w:r>
      <w:r>
        <w:rPr>
          <w:rFonts w:hint="eastAsia" w:ascii="宋体" w:hAnsi="宋体" w:cs="宋体"/>
        </w:rPr>
        <w:t>.不可抗力事件延续</w:t>
      </w:r>
      <w:r>
        <w:rPr>
          <w:rFonts w:ascii="宋体" w:hAnsi="宋体" w:cs="宋体"/>
        </w:rPr>
        <w:t>120</w:t>
      </w:r>
      <w:r>
        <w:rPr>
          <w:rFonts w:hint="eastAsia" w:ascii="宋体" w:hAnsi="宋体" w:cs="宋体"/>
        </w:rPr>
        <w:t>天以上，双方应通过友好协商，确定是否继续履行合同。</w:t>
      </w:r>
    </w:p>
    <w:p>
      <w:pPr>
        <w:ind w:firstLine="482"/>
        <w:rPr>
          <w:rFonts w:ascii="宋体" w:hAnsi="宋体" w:cs="宋体"/>
          <w:b/>
          <w:bCs/>
          <w:kern w:val="0"/>
        </w:rPr>
      </w:pPr>
      <w:r>
        <w:rPr>
          <w:rFonts w:hint="eastAsia" w:ascii="宋体" w:hAnsi="宋体" w:cs="宋体"/>
          <w:b/>
          <w:bCs/>
          <w:kern w:val="0"/>
        </w:rPr>
        <w:t>第三条 合同有效期</w:t>
      </w:r>
    </w:p>
    <w:p>
      <w:pPr>
        <w:spacing w:line="300" w:lineRule="auto"/>
        <w:ind w:firstLine="480"/>
        <w:rPr>
          <w:rFonts w:ascii="宋体" w:hAnsi="宋体" w:cs="宋体"/>
          <w:szCs w:val="24"/>
        </w:rPr>
      </w:pPr>
      <w:r>
        <w:rPr>
          <w:rFonts w:hint="eastAsia" w:ascii="宋体" w:hAnsi="宋体" w:cs="宋体"/>
          <w:szCs w:val="24"/>
        </w:rPr>
        <w:t>自合同签订之日起至本项目合同履行完毕之日止。</w:t>
      </w:r>
    </w:p>
    <w:p>
      <w:pPr>
        <w:ind w:firstLine="480"/>
      </w:pPr>
    </w:p>
    <w:p>
      <w:pPr>
        <w:pStyle w:val="35"/>
        <w:ind w:firstLine="482"/>
        <w:rPr>
          <w:rFonts w:ascii="宋体" w:hAnsi="宋体" w:cs="宋体"/>
          <w:sz w:val="24"/>
          <w:szCs w:val="24"/>
        </w:rPr>
      </w:pPr>
    </w:p>
    <w:p>
      <w:pPr>
        <w:spacing w:line="300" w:lineRule="auto"/>
        <w:ind w:firstLine="482"/>
        <w:rPr>
          <w:rFonts w:ascii="宋体" w:hAnsi="宋体" w:cs="宋体"/>
          <w:b/>
          <w:color w:val="000000"/>
        </w:rPr>
      </w:pPr>
      <w:r>
        <w:rPr>
          <w:rFonts w:hint="eastAsia" w:ascii="宋体" w:hAnsi="宋体" w:cs="宋体"/>
          <w:b/>
          <w:color w:val="000000"/>
        </w:rPr>
        <w:t>采购人（甲方公章）：                   供应商（乙方公章）：</w:t>
      </w:r>
    </w:p>
    <w:p>
      <w:pPr>
        <w:spacing w:line="300" w:lineRule="auto"/>
        <w:ind w:firstLine="482"/>
        <w:rPr>
          <w:rFonts w:ascii="宋体" w:hAnsi="宋体" w:cs="宋体"/>
          <w:b/>
          <w:color w:val="000000"/>
        </w:rPr>
      </w:pPr>
      <w:r>
        <w:rPr>
          <w:rFonts w:hint="eastAsia" w:ascii="宋体" w:hAnsi="宋体" w:cs="宋体"/>
          <w:b/>
          <w:color w:val="000000"/>
        </w:rPr>
        <w:t>法定代表人                             法定代表人</w:t>
      </w:r>
    </w:p>
    <w:p>
      <w:pPr>
        <w:spacing w:line="300" w:lineRule="auto"/>
        <w:ind w:firstLine="482"/>
        <w:rPr>
          <w:rFonts w:ascii="宋体" w:hAnsi="宋体" w:cs="宋体"/>
          <w:b/>
          <w:color w:val="000000"/>
        </w:rPr>
      </w:pPr>
      <w:r>
        <w:rPr>
          <w:rFonts w:hint="eastAsia" w:ascii="宋体" w:hAnsi="宋体" w:cs="宋体"/>
          <w:b/>
          <w:color w:val="000000"/>
        </w:rPr>
        <w:t>或被授权人（签字）：                   或被授权人（签字）：</w:t>
      </w:r>
    </w:p>
    <w:p>
      <w:pPr>
        <w:spacing w:line="300" w:lineRule="auto"/>
        <w:ind w:firstLine="482"/>
        <w:rPr>
          <w:rFonts w:ascii="宋体" w:hAnsi="宋体" w:cs="宋体"/>
          <w:b/>
          <w:color w:val="000000"/>
        </w:rPr>
      </w:pPr>
      <w:r>
        <w:rPr>
          <w:rFonts w:hint="eastAsia" w:ascii="宋体" w:hAnsi="宋体" w:cs="宋体"/>
          <w:b/>
          <w:color w:val="000000"/>
        </w:rPr>
        <w:t xml:space="preserve">电话：                                 电话：  </w:t>
      </w:r>
    </w:p>
    <w:p>
      <w:pPr>
        <w:spacing w:line="300" w:lineRule="auto"/>
        <w:ind w:right="480" w:firstLine="480"/>
        <w:jc w:val="center"/>
        <w:rPr>
          <w:rFonts w:ascii="宋体" w:hAnsi="宋体" w:cs="宋体"/>
          <w:color w:val="000000"/>
        </w:rPr>
      </w:pPr>
      <w:r>
        <w:rPr>
          <w:rFonts w:hint="eastAsia" w:ascii="宋体" w:hAnsi="宋体" w:cs="宋体"/>
          <w:color w:val="000000"/>
        </w:rPr>
        <w:t xml:space="preserve">       合同签订日期：     年    月   日</w:t>
      </w:r>
    </w:p>
    <w:p>
      <w:pPr>
        <w:pStyle w:val="18"/>
        <w:wordWrap w:val="0"/>
        <w:snapToGrid w:val="0"/>
        <w:spacing w:before="120" w:after="120" w:line="300" w:lineRule="auto"/>
        <w:ind w:right="480" w:firstLine="3240" w:firstLineChars="1350"/>
        <w:rPr>
          <w:rFonts w:hAnsi="宋体" w:cs="宋体"/>
          <w:sz w:val="24"/>
          <w:szCs w:val="24"/>
        </w:rPr>
        <w:sectPr>
          <w:pgSz w:w="11906" w:h="16838"/>
          <w:pgMar w:top="1418" w:right="1077" w:bottom="1418" w:left="1077" w:header="851" w:footer="851" w:gutter="340"/>
          <w:cols w:space="720" w:num="1"/>
          <w:docGrid w:linePitch="381" w:charSpace="0"/>
        </w:sectPr>
      </w:pPr>
      <w:r>
        <w:rPr>
          <w:rFonts w:hint="eastAsia" w:hAnsi="宋体" w:cs="宋体"/>
          <w:sz w:val="24"/>
          <w:szCs w:val="24"/>
        </w:rPr>
        <w:t>签约地点</w:t>
      </w:r>
    </w:p>
    <w:p>
      <w:pPr>
        <w:ind w:firstLine="480"/>
        <w:jc w:val="center"/>
        <w:rPr>
          <w:rFonts w:ascii="宋体" w:hAnsi="宋体" w:cs="宋体"/>
        </w:rPr>
      </w:pPr>
    </w:p>
    <w:p>
      <w:pPr>
        <w:ind w:firstLine="480"/>
        <w:jc w:val="center"/>
        <w:rPr>
          <w:rFonts w:ascii="宋体" w:hAnsi="宋体" w:cs="宋体"/>
        </w:rPr>
      </w:pPr>
    </w:p>
    <w:p>
      <w:pPr>
        <w:ind w:firstLine="480"/>
        <w:jc w:val="center"/>
        <w:rPr>
          <w:rFonts w:ascii="宋体" w:hAnsi="宋体" w:cs="宋体"/>
        </w:rPr>
      </w:pPr>
      <w:r>
        <w:rPr>
          <w:rFonts w:hint="eastAsia" w:ascii="宋体" w:hAnsi="宋体" w:cs="宋体"/>
        </w:rPr>
        <w:t>2023年城区信号灯路口配时优化项目验收报告</w:t>
      </w:r>
    </w:p>
    <w:p>
      <w:pPr>
        <w:ind w:firstLine="480"/>
        <w:jc w:val="center"/>
        <w:rPr>
          <w:rFonts w:ascii="宋体" w:hAnsi="宋体" w:cs="宋体"/>
        </w:rPr>
      </w:pPr>
    </w:p>
    <w:p>
      <w:pPr>
        <w:ind w:firstLine="480"/>
        <w:jc w:val="center"/>
        <w:rPr>
          <w:rFonts w:ascii="宋体" w:hAnsi="宋体" w:cs="宋体"/>
        </w:rPr>
      </w:pPr>
    </w:p>
    <w:p>
      <w:pPr>
        <w:ind w:firstLine="480"/>
        <w:jc w:val="center"/>
        <w:rPr>
          <w:rFonts w:ascii="宋体" w:hAnsi="宋体" w:cs="宋体"/>
        </w:rPr>
      </w:pPr>
    </w:p>
    <w:p>
      <w:pPr>
        <w:ind w:firstLine="480"/>
        <w:jc w:val="center"/>
        <w:rPr>
          <w:rFonts w:ascii="宋体" w:hAnsi="宋体" w:cs="宋体"/>
        </w:rPr>
      </w:pPr>
    </w:p>
    <w:p>
      <w:pPr>
        <w:ind w:firstLine="480"/>
        <w:jc w:val="left"/>
        <w:rPr>
          <w:rFonts w:ascii="宋体" w:hAnsi="宋体" w:cs="宋体"/>
        </w:rPr>
      </w:pPr>
      <w:r>
        <w:rPr>
          <w:rFonts w:hint="eastAsia" w:ascii="宋体" w:hAnsi="宋体" w:cs="宋体"/>
        </w:rPr>
        <w:t>项目验收情况说明（由双方按验收情况填写）</w:t>
      </w:r>
    </w:p>
    <w:p>
      <w:pPr>
        <w:ind w:firstLine="480"/>
        <w:jc w:val="left"/>
        <w:rPr>
          <w:rFonts w:ascii="宋体" w:hAnsi="宋体" w:cs="宋体"/>
        </w:rPr>
      </w:pPr>
    </w:p>
    <w:p>
      <w:pPr>
        <w:ind w:firstLine="480"/>
        <w:jc w:val="left"/>
        <w:rPr>
          <w:rFonts w:ascii="宋体" w:hAnsi="宋体" w:cs="宋体"/>
        </w:rPr>
      </w:pPr>
    </w:p>
    <w:p>
      <w:pPr>
        <w:ind w:firstLine="480"/>
        <w:jc w:val="left"/>
        <w:rPr>
          <w:rFonts w:ascii="宋体" w:hAnsi="宋体" w:cs="宋体"/>
        </w:rPr>
      </w:pPr>
    </w:p>
    <w:p>
      <w:pPr>
        <w:ind w:firstLine="480"/>
        <w:jc w:val="left"/>
        <w:rPr>
          <w:rFonts w:ascii="宋体" w:hAnsi="宋体" w:cs="宋体"/>
        </w:rPr>
      </w:pPr>
    </w:p>
    <w:p>
      <w:pPr>
        <w:ind w:firstLine="480"/>
        <w:jc w:val="left"/>
        <w:rPr>
          <w:rFonts w:ascii="宋体" w:hAnsi="宋体" w:cs="宋体"/>
        </w:rPr>
      </w:pPr>
    </w:p>
    <w:p>
      <w:pPr>
        <w:ind w:firstLine="480"/>
        <w:jc w:val="left"/>
        <w:rPr>
          <w:rFonts w:ascii="宋体" w:hAnsi="宋体" w:cs="宋体"/>
        </w:rPr>
      </w:pPr>
    </w:p>
    <w:p>
      <w:pPr>
        <w:ind w:firstLine="480"/>
        <w:jc w:val="left"/>
        <w:rPr>
          <w:rFonts w:ascii="宋体" w:hAnsi="宋体" w:cs="宋体"/>
        </w:rPr>
      </w:pPr>
    </w:p>
    <w:p>
      <w:pPr>
        <w:pStyle w:val="18"/>
        <w:wordWrap w:val="0"/>
        <w:snapToGrid w:val="0"/>
        <w:spacing w:before="120" w:after="120" w:line="300" w:lineRule="auto"/>
        <w:ind w:right="480" w:firstLine="560"/>
        <w:sectPr>
          <w:pgSz w:w="11906" w:h="16838"/>
          <w:pgMar w:top="1418" w:right="1077" w:bottom="1418" w:left="1077" w:header="851" w:footer="851" w:gutter="340"/>
          <w:cols w:space="720" w:num="1"/>
          <w:docGrid w:linePitch="381" w:charSpace="0"/>
        </w:sectPr>
      </w:pPr>
      <w:r>
        <w:rPr>
          <w:rFonts w:hint="eastAsia" w:hAnsi="宋体" w:cs="宋体"/>
          <w:kern w:val="2"/>
          <w:sz w:val="28"/>
          <w:szCs w:val="28"/>
        </w:rPr>
        <w:t>验收小组签字：（3人以上）</w:t>
      </w:r>
    </w:p>
    <w:p>
      <w:pPr>
        <w:ind w:firstLine="0" w:firstLineChars="0"/>
        <w:jc w:val="center"/>
        <w:rPr>
          <w:rFonts w:ascii="宋体" w:hAnsi="宋体" w:cs="仿宋"/>
          <w:b/>
          <w:bCs/>
        </w:rPr>
      </w:pPr>
      <w:r>
        <w:rPr>
          <w:rFonts w:hint="eastAsia" w:ascii="宋体" w:hAnsi="宋体" w:cs="仿宋"/>
          <w:b/>
          <w:bCs/>
        </w:rPr>
        <w:t>质疑函范本</w:t>
      </w:r>
    </w:p>
    <w:p>
      <w:pPr>
        <w:adjustRightInd w:val="0"/>
        <w:snapToGrid w:val="0"/>
        <w:spacing w:before="240" w:beforeLines="100"/>
        <w:ind w:firstLine="480"/>
        <w:rPr>
          <w:rFonts w:ascii="宋体" w:hAnsi="宋体" w:cs="仿宋"/>
          <w:bCs/>
        </w:rPr>
      </w:pPr>
      <w:r>
        <w:rPr>
          <w:rFonts w:hint="eastAsia" w:ascii="宋体" w:hAnsi="宋体" w:cs="仿宋"/>
          <w:bCs/>
        </w:rPr>
        <w:t>一、质疑供应商基本信息</w:t>
      </w:r>
    </w:p>
    <w:p>
      <w:pPr>
        <w:adjustRightInd w:val="0"/>
        <w:snapToGrid w:val="0"/>
        <w:ind w:firstLine="480"/>
        <w:rPr>
          <w:rFonts w:ascii="宋体" w:hAnsi="宋体" w:cs="仿宋"/>
          <w:u w:val="dotted"/>
        </w:rPr>
      </w:pPr>
      <w:r>
        <w:rPr>
          <w:rFonts w:hint="eastAsia" w:ascii="宋体" w:hAnsi="宋体" w:cs="仿宋"/>
        </w:rPr>
        <w:t>质疑供应商：</w:t>
      </w:r>
      <w:r>
        <w:rPr>
          <w:rFonts w:hint="eastAsia" w:ascii="宋体" w:hAnsi="宋体"/>
        </w:rPr>
        <w:t>___________________________________</w:t>
      </w:r>
      <w:r>
        <w:rPr>
          <w:rFonts w:ascii="宋体" w:hAnsi="宋体" w:cs="仿宋"/>
          <w:u w:val="dotted"/>
        </w:rPr>
        <w:t xml:space="preserve"> </w:t>
      </w:r>
    </w:p>
    <w:p>
      <w:pPr>
        <w:adjustRightInd w:val="0"/>
        <w:snapToGrid w:val="0"/>
        <w:ind w:firstLine="480"/>
        <w:rPr>
          <w:rFonts w:ascii="宋体" w:hAnsi="宋体"/>
        </w:rPr>
      </w:pPr>
      <w:r>
        <w:rPr>
          <w:rFonts w:hint="eastAsia" w:ascii="宋体" w:hAnsi="宋体" w:cs="仿宋"/>
        </w:rPr>
        <w:t>地址：</w:t>
      </w:r>
      <w:r>
        <w:rPr>
          <w:rFonts w:hint="eastAsia" w:ascii="宋体" w:hAnsi="宋体"/>
        </w:rPr>
        <w:t>______________________________</w:t>
      </w:r>
      <w:r>
        <w:rPr>
          <w:rFonts w:hint="eastAsia" w:ascii="宋体" w:hAnsi="宋体" w:cs="仿宋"/>
        </w:rPr>
        <w:t>邮编：</w:t>
      </w:r>
      <w:r>
        <w:rPr>
          <w:rFonts w:hint="eastAsia" w:ascii="宋体" w:hAnsi="宋体"/>
        </w:rPr>
        <w:t>____________________</w:t>
      </w:r>
    </w:p>
    <w:p>
      <w:pPr>
        <w:adjustRightInd w:val="0"/>
        <w:snapToGrid w:val="0"/>
        <w:ind w:firstLine="480"/>
        <w:rPr>
          <w:rFonts w:ascii="宋体" w:hAnsi="宋体" w:cs="仿宋"/>
        </w:rPr>
      </w:pPr>
      <w:r>
        <w:rPr>
          <w:rFonts w:hint="eastAsia" w:ascii="宋体" w:hAnsi="宋体" w:cs="仿宋"/>
        </w:rPr>
        <w:t>联系人：</w:t>
      </w:r>
      <w:r>
        <w:rPr>
          <w:rFonts w:hint="eastAsia" w:ascii="宋体" w:hAnsi="宋体"/>
        </w:rPr>
        <w:t>_________________________</w:t>
      </w:r>
      <w:r>
        <w:rPr>
          <w:rFonts w:hint="eastAsia" w:ascii="宋体" w:hAnsi="宋体" w:cs="仿宋"/>
        </w:rPr>
        <w:t>联系电话：</w:t>
      </w:r>
      <w:r>
        <w:rPr>
          <w:rFonts w:hint="eastAsia" w:ascii="宋体" w:hAnsi="宋体"/>
        </w:rPr>
        <w:t>____________________</w:t>
      </w:r>
    </w:p>
    <w:p>
      <w:pPr>
        <w:adjustRightInd w:val="0"/>
        <w:snapToGrid w:val="0"/>
        <w:ind w:firstLine="480"/>
        <w:rPr>
          <w:rFonts w:ascii="宋体" w:hAnsi="宋体" w:cs="仿宋"/>
          <w:u w:val="dotted"/>
        </w:rPr>
      </w:pPr>
      <w:r>
        <w:rPr>
          <w:rFonts w:hint="eastAsia" w:ascii="宋体" w:hAnsi="宋体" w:cs="仿宋"/>
        </w:rPr>
        <w:t>授权代表：</w:t>
      </w:r>
      <w:r>
        <w:rPr>
          <w:rFonts w:hint="eastAsia" w:ascii="宋体" w:hAnsi="宋体"/>
        </w:rPr>
        <w:t>________________________________________</w:t>
      </w:r>
    </w:p>
    <w:p>
      <w:pPr>
        <w:adjustRightInd w:val="0"/>
        <w:snapToGrid w:val="0"/>
        <w:ind w:firstLine="480"/>
        <w:rPr>
          <w:rFonts w:ascii="宋体" w:hAnsi="宋体" w:cs="仿宋"/>
        </w:rPr>
      </w:pPr>
      <w:r>
        <w:rPr>
          <w:rFonts w:hint="eastAsia" w:ascii="宋体" w:hAnsi="宋体" w:cs="仿宋"/>
        </w:rPr>
        <w:t>联系电话：</w:t>
      </w:r>
      <w:r>
        <w:rPr>
          <w:rFonts w:hint="eastAsia" w:ascii="宋体" w:hAnsi="宋体"/>
        </w:rPr>
        <w:t>________________________________________</w:t>
      </w:r>
    </w:p>
    <w:p>
      <w:pPr>
        <w:adjustRightInd w:val="0"/>
        <w:snapToGrid w:val="0"/>
        <w:ind w:firstLine="480"/>
        <w:rPr>
          <w:rFonts w:ascii="宋体" w:hAnsi="宋体" w:cs="仿宋"/>
        </w:rPr>
      </w:pPr>
      <w:r>
        <w:rPr>
          <w:rFonts w:hint="eastAsia" w:ascii="宋体" w:hAnsi="宋体" w:cs="仿宋"/>
        </w:rPr>
        <w:t>地址：</w:t>
      </w:r>
      <w:r>
        <w:rPr>
          <w:rFonts w:hint="eastAsia" w:ascii="宋体" w:hAnsi="宋体"/>
        </w:rPr>
        <w:t>____________________</w:t>
      </w:r>
      <w:r>
        <w:rPr>
          <w:rFonts w:hint="eastAsia" w:ascii="宋体" w:hAnsi="宋体" w:cs="仿宋"/>
        </w:rPr>
        <w:t>邮编：</w:t>
      </w:r>
      <w:r>
        <w:rPr>
          <w:rFonts w:hint="eastAsia" w:ascii="宋体" w:hAnsi="宋体"/>
        </w:rPr>
        <w:t>______________________________</w:t>
      </w:r>
    </w:p>
    <w:p>
      <w:pPr>
        <w:adjustRightInd w:val="0"/>
        <w:snapToGrid w:val="0"/>
        <w:ind w:firstLine="480"/>
        <w:rPr>
          <w:rFonts w:ascii="宋体" w:hAnsi="宋体" w:cs="仿宋"/>
          <w:bCs/>
        </w:rPr>
      </w:pPr>
      <w:r>
        <w:rPr>
          <w:rFonts w:hint="eastAsia" w:ascii="宋体" w:hAnsi="宋体" w:cs="仿宋"/>
          <w:bCs/>
        </w:rPr>
        <w:t>二、质疑项目基本情况</w:t>
      </w:r>
    </w:p>
    <w:p>
      <w:pPr>
        <w:adjustRightInd w:val="0"/>
        <w:snapToGrid w:val="0"/>
        <w:ind w:firstLine="480"/>
        <w:rPr>
          <w:rFonts w:ascii="宋体" w:hAnsi="宋体" w:cs="仿宋"/>
        </w:rPr>
      </w:pPr>
      <w:r>
        <w:rPr>
          <w:rFonts w:hint="eastAsia" w:ascii="宋体" w:hAnsi="宋体" w:cs="仿宋"/>
        </w:rPr>
        <w:t>质疑项目的名称：</w:t>
      </w:r>
      <w:r>
        <w:rPr>
          <w:rFonts w:hint="eastAsia" w:ascii="宋体" w:hAnsi="宋体"/>
        </w:rPr>
        <w:t>________________________________________</w:t>
      </w:r>
    </w:p>
    <w:p>
      <w:pPr>
        <w:adjustRightInd w:val="0"/>
        <w:snapToGrid w:val="0"/>
        <w:ind w:firstLine="480"/>
        <w:rPr>
          <w:rFonts w:ascii="宋体" w:hAnsi="宋体" w:cs="仿宋"/>
        </w:rPr>
      </w:pPr>
      <w:r>
        <w:rPr>
          <w:rFonts w:hint="eastAsia" w:ascii="宋体" w:hAnsi="宋体" w:cs="仿宋"/>
        </w:rPr>
        <w:t>质疑项目的编号：</w:t>
      </w:r>
      <w:r>
        <w:rPr>
          <w:rFonts w:hint="eastAsia" w:ascii="宋体" w:hAnsi="宋体"/>
        </w:rPr>
        <w:t>____________________</w:t>
      </w:r>
      <w:r>
        <w:rPr>
          <w:rFonts w:hint="eastAsia" w:ascii="宋体" w:hAnsi="宋体" w:cs="仿宋"/>
        </w:rPr>
        <w:t>包号：</w:t>
      </w:r>
      <w:r>
        <w:rPr>
          <w:rFonts w:hint="eastAsia" w:ascii="宋体" w:hAnsi="宋体"/>
        </w:rPr>
        <w:t>____________________</w:t>
      </w:r>
    </w:p>
    <w:p>
      <w:pPr>
        <w:adjustRightInd w:val="0"/>
        <w:snapToGrid w:val="0"/>
        <w:ind w:firstLine="480"/>
        <w:rPr>
          <w:rFonts w:ascii="宋体" w:hAnsi="宋体" w:cs="仿宋"/>
          <w:u w:val="dotted"/>
        </w:rPr>
      </w:pPr>
      <w:r>
        <w:rPr>
          <w:rFonts w:hint="eastAsia" w:ascii="宋体" w:hAnsi="宋体" w:cs="仿宋"/>
        </w:rPr>
        <w:t>采购人名称：</w:t>
      </w:r>
      <w:r>
        <w:rPr>
          <w:rFonts w:hint="eastAsia" w:ascii="宋体" w:hAnsi="宋体"/>
        </w:rPr>
        <w:t>________________________________________</w:t>
      </w:r>
    </w:p>
    <w:p>
      <w:pPr>
        <w:adjustRightInd w:val="0"/>
        <w:snapToGrid w:val="0"/>
        <w:ind w:firstLine="480"/>
        <w:rPr>
          <w:rFonts w:ascii="宋体" w:hAnsi="宋体" w:cs="仿宋"/>
        </w:rPr>
      </w:pPr>
      <w:r>
        <w:rPr>
          <w:rFonts w:hint="eastAsia" w:ascii="宋体" w:hAnsi="宋体" w:cs="仿宋"/>
        </w:rPr>
        <w:t>采购文件获取日期：</w:t>
      </w:r>
      <w:r>
        <w:rPr>
          <w:rFonts w:hint="eastAsia" w:ascii="宋体" w:hAnsi="宋体"/>
        </w:rPr>
        <w:t>___________________________________</w:t>
      </w:r>
    </w:p>
    <w:p>
      <w:pPr>
        <w:adjustRightInd w:val="0"/>
        <w:snapToGrid w:val="0"/>
        <w:ind w:firstLine="480"/>
        <w:rPr>
          <w:rFonts w:ascii="宋体" w:hAnsi="宋体" w:cs="仿宋"/>
          <w:bCs/>
        </w:rPr>
      </w:pPr>
      <w:r>
        <w:rPr>
          <w:rFonts w:hint="eastAsia" w:ascii="宋体" w:hAnsi="宋体" w:cs="仿宋"/>
          <w:bCs/>
        </w:rPr>
        <w:t>三、质疑事项具体内容</w:t>
      </w:r>
    </w:p>
    <w:p>
      <w:pPr>
        <w:adjustRightInd w:val="0"/>
        <w:snapToGrid w:val="0"/>
        <w:ind w:firstLine="480"/>
        <w:rPr>
          <w:rFonts w:ascii="宋体" w:hAnsi="宋体" w:cs="仿宋"/>
          <w:u w:val="dotted"/>
        </w:rPr>
      </w:pPr>
      <w:r>
        <w:rPr>
          <w:rFonts w:hint="eastAsia" w:ascii="宋体" w:hAnsi="宋体" w:cs="仿宋"/>
        </w:rPr>
        <w:t>质疑事项</w:t>
      </w:r>
      <w:r>
        <w:rPr>
          <w:rFonts w:ascii="宋体" w:hAnsi="宋体" w:cs="仿宋"/>
        </w:rPr>
        <w:t>1</w:t>
      </w:r>
      <w:r>
        <w:rPr>
          <w:rFonts w:hint="eastAsia" w:ascii="宋体" w:hAnsi="宋体" w:cs="仿宋"/>
        </w:rPr>
        <w:t>：</w:t>
      </w:r>
      <w:r>
        <w:rPr>
          <w:rFonts w:hint="eastAsia" w:ascii="宋体" w:hAnsi="宋体"/>
        </w:rPr>
        <w:t>________________________________________</w:t>
      </w:r>
    </w:p>
    <w:p>
      <w:pPr>
        <w:adjustRightInd w:val="0"/>
        <w:snapToGrid w:val="0"/>
        <w:ind w:firstLine="480"/>
        <w:rPr>
          <w:rFonts w:ascii="宋体" w:hAnsi="宋体" w:cs="仿宋"/>
          <w:u w:val="dotted"/>
        </w:rPr>
      </w:pPr>
      <w:r>
        <w:rPr>
          <w:rFonts w:hint="eastAsia" w:ascii="宋体" w:hAnsi="宋体" w:cs="仿宋"/>
        </w:rPr>
        <w:t>事实依据：</w:t>
      </w:r>
      <w:r>
        <w:rPr>
          <w:rFonts w:hint="eastAsia" w:ascii="宋体" w:hAnsi="宋体"/>
        </w:rPr>
        <w:t>_____________________________________________</w:t>
      </w:r>
    </w:p>
    <w:p>
      <w:pPr>
        <w:adjustRightInd w:val="0"/>
        <w:snapToGrid w:val="0"/>
        <w:ind w:firstLine="480"/>
        <w:rPr>
          <w:rFonts w:ascii="宋体" w:hAnsi="宋体" w:cs="仿宋"/>
        </w:rPr>
      </w:pPr>
      <w:r>
        <w:rPr>
          <w:rFonts w:hint="eastAsia" w:ascii="宋体" w:hAnsi="宋体"/>
        </w:rPr>
        <w:t>_______________________________________________________</w:t>
      </w:r>
    </w:p>
    <w:p>
      <w:pPr>
        <w:adjustRightInd w:val="0"/>
        <w:snapToGrid w:val="0"/>
        <w:ind w:firstLine="480"/>
        <w:rPr>
          <w:rFonts w:ascii="宋体" w:hAnsi="宋体" w:cs="仿宋"/>
          <w:u w:val="dotted"/>
        </w:rPr>
      </w:pPr>
      <w:r>
        <w:rPr>
          <w:rFonts w:hint="eastAsia" w:ascii="宋体" w:hAnsi="宋体" w:cs="仿宋"/>
        </w:rPr>
        <w:t>法律依据：</w:t>
      </w:r>
      <w:r>
        <w:rPr>
          <w:rFonts w:hint="eastAsia" w:ascii="宋体" w:hAnsi="宋体"/>
        </w:rPr>
        <w:t>_____________________________________________</w:t>
      </w:r>
    </w:p>
    <w:p>
      <w:pPr>
        <w:adjustRightInd w:val="0"/>
        <w:snapToGrid w:val="0"/>
        <w:ind w:firstLine="480"/>
        <w:rPr>
          <w:rFonts w:ascii="宋体" w:hAnsi="宋体" w:cs="仿宋"/>
          <w:u w:val="dotted"/>
        </w:rPr>
      </w:pPr>
      <w:r>
        <w:rPr>
          <w:rFonts w:hint="eastAsia" w:ascii="宋体" w:hAnsi="宋体"/>
        </w:rPr>
        <w:t>_______________________________________________________</w:t>
      </w:r>
    </w:p>
    <w:p>
      <w:pPr>
        <w:adjustRightInd w:val="0"/>
        <w:snapToGrid w:val="0"/>
        <w:ind w:firstLine="480"/>
        <w:rPr>
          <w:rFonts w:ascii="宋体" w:hAnsi="宋体" w:cs="仿宋"/>
          <w:u w:val="dotted"/>
        </w:rPr>
      </w:pPr>
      <w:r>
        <w:rPr>
          <w:rFonts w:hint="eastAsia" w:ascii="宋体" w:hAnsi="宋体" w:cs="仿宋"/>
        </w:rPr>
        <w:t>质疑事项</w:t>
      </w:r>
      <w:r>
        <w:rPr>
          <w:rFonts w:ascii="宋体" w:hAnsi="宋体" w:cs="仿宋"/>
        </w:rPr>
        <w:t>2</w:t>
      </w:r>
    </w:p>
    <w:p>
      <w:pPr>
        <w:adjustRightInd w:val="0"/>
        <w:snapToGrid w:val="0"/>
        <w:ind w:firstLine="480"/>
        <w:rPr>
          <w:rFonts w:ascii="宋体" w:hAnsi="宋体" w:cs="仿宋"/>
        </w:rPr>
      </w:pPr>
      <w:r>
        <w:rPr>
          <w:rFonts w:hint="eastAsia" w:ascii="宋体" w:hAnsi="宋体" w:cs="仿宋"/>
        </w:rPr>
        <w:t>……</w:t>
      </w:r>
    </w:p>
    <w:p>
      <w:pPr>
        <w:adjustRightInd w:val="0"/>
        <w:snapToGrid w:val="0"/>
        <w:ind w:firstLine="480"/>
        <w:rPr>
          <w:rFonts w:ascii="宋体" w:hAnsi="宋体" w:cs="仿宋"/>
          <w:bCs/>
        </w:rPr>
      </w:pPr>
      <w:r>
        <w:rPr>
          <w:rFonts w:hint="eastAsia" w:ascii="宋体" w:hAnsi="宋体" w:cs="仿宋"/>
          <w:bCs/>
        </w:rPr>
        <w:t>四、与质疑事项相关的质疑请求</w:t>
      </w:r>
    </w:p>
    <w:p>
      <w:pPr>
        <w:adjustRightInd w:val="0"/>
        <w:snapToGrid w:val="0"/>
        <w:ind w:firstLine="480"/>
        <w:rPr>
          <w:rFonts w:ascii="宋体" w:hAnsi="宋体" w:cs="仿宋"/>
          <w:u w:val="dotted"/>
        </w:rPr>
      </w:pPr>
      <w:r>
        <w:rPr>
          <w:rFonts w:hint="eastAsia" w:ascii="宋体" w:hAnsi="宋体" w:cs="仿宋"/>
        </w:rPr>
        <w:t>请求：</w:t>
      </w:r>
      <w:r>
        <w:rPr>
          <w:rFonts w:hint="eastAsia" w:ascii="宋体" w:hAnsi="宋体"/>
        </w:rPr>
        <w:t>__________________________________________________</w:t>
      </w:r>
    </w:p>
    <w:p>
      <w:pPr>
        <w:ind w:firstLine="480"/>
        <w:rPr>
          <w:rFonts w:ascii="宋体" w:hAnsi="宋体"/>
        </w:rPr>
      </w:pPr>
      <w:r>
        <w:rPr>
          <w:rFonts w:hint="eastAsia" w:ascii="宋体" w:hAnsi="宋体"/>
        </w:rPr>
        <w:t>签字</w:t>
      </w:r>
      <w:r>
        <w:rPr>
          <w:rFonts w:ascii="宋体" w:hAnsi="宋体"/>
        </w:rPr>
        <w:t>(</w:t>
      </w:r>
      <w:r>
        <w:rPr>
          <w:rFonts w:hint="eastAsia" w:ascii="宋体" w:hAnsi="宋体"/>
        </w:rPr>
        <w:t>签章</w:t>
      </w:r>
      <w:r>
        <w:rPr>
          <w:rFonts w:ascii="宋体" w:hAnsi="宋体"/>
        </w:rPr>
        <w:t>)</w:t>
      </w:r>
      <w:r>
        <w:rPr>
          <w:rFonts w:hint="eastAsia" w:ascii="宋体" w:hAnsi="宋体"/>
        </w:rPr>
        <w:t>：</w:t>
      </w:r>
      <w:r>
        <w:rPr>
          <w:rFonts w:ascii="宋体" w:hAnsi="宋体"/>
        </w:rPr>
        <w:t xml:space="preserve">                   </w:t>
      </w:r>
      <w:r>
        <w:rPr>
          <w:rFonts w:hint="eastAsia" w:ascii="宋体" w:hAnsi="宋体"/>
        </w:rPr>
        <w:t>公章：</w:t>
      </w:r>
      <w:r>
        <w:rPr>
          <w:rFonts w:ascii="宋体" w:hAnsi="宋体"/>
        </w:rPr>
        <w:t xml:space="preserve">                      </w:t>
      </w:r>
    </w:p>
    <w:p>
      <w:pPr>
        <w:ind w:firstLine="480"/>
        <w:rPr>
          <w:rFonts w:ascii="宋体" w:hAnsi="宋体"/>
        </w:rPr>
      </w:pPr>
      <w:r>
        <w:rPr>
          <w:rFonts w:hint="eastAsia" w:ascii="宋体" w:hAnsi="宋体"/>
        </w:rPr>
        <w:t>日期：</w:t>
      </w:r>
      <w:r>
        <w:rPr>
          <w:rFonts w:ascii="宋体" w:hAnsi="宋体"/>
        </w:rPr>
        <w:t xml:space="preserve">    </w:t>
      </w:r>
    </w:p>
    <w:p>
      <w:pPr>
        <w:pStyle w:val="18"/>
        <w:tabs>
          <w:tab w:val="left" w:pos="2472"/>
        </w:tabs>
        <w:snapToGrid w:val="0"/>
        <w:spacing w:beforeLines="0" w:afterLines="0" w:line="240" w:lineRule="auto"/>
        <w:ind w:firstLine="600"/>
        <w:jc w:val="center"/>
        <w:rPr>
          <w:rFonts w:hAnsi="宋体"/>
          <w:color w:val="000000"/>
          <w:sz w:val="30"/>
          <w:szCs w:val="30"/>
        </w:rPr>
      </w:pPr>
    </w:p>
    <w:p>
      <w:pPr>
        <w:pStyle w:val="18"/>
        <w:tabs>
          <w:tab w:val="left" w:pos="2472"/>
        </w:tabs>
        <w:snapToGrid w:val="0"/>
        <w:spacing w:beforeLines="0" w:afterLines="0" w:line="240" w:lineRule="auto"/>
        <w:ind w:firstLine="600"/>
        <w:jc w:val="center"/>
        <w:rPr>
          <w:rFonts w:hAnsi="宋体"/>
          <w:color w:val="000000"/>
          <w:sz w:val="30"/>
          <w:szCs w:val="30"/>
        </w:rPr>
      </w:pPr>
    </w:p>
    <w:p>
      <w:pPr>
        <w:pStyle w:val="18"/>
        <w:tabs>
          <w:tab w:val="left" w:pos="2472"/>
        </w:tabs>
        <w:snapToGrid w:val="0"/>
        <w:spacing w:beforeLines="0" w:afterLines="0" w:line="240" w:lineRule="auto"/>
        <w:ind w:firstLine="600"/>
        <w:jc w:val="center"/>
        <w:rPr>
          <w:rFonts w:hAnsi="宋体"/>
          <w:color w:val="000000"/>
          <w:sz w:val="30"/>
          <w:szCs w:val="30"/>
        </w:rPr>
      </w:pPr>
    </w:p>
    <w:p>
      <w:pPr>
        <w:pStyle w:val="18"/>
        <w:tabs>
          <w:tab w:val="left" w:pos="2472"/>
        </w:tabs>
        <w:snapToGrid w:val="0"/>
        <w:spacing w:beforeLines="0" w:afterLines="0" w:line="240" w:lineRule="auto"/>
        <w:ind w:firstLine="600"/>
        <w:jc w:val="center"/>
        <w:rPr>
          <w:rFonts w:hAnsi="宋体"/>
          <w:color w:val="000000"/>
          <w:sz w:val="30"/>
          <w:szCs w:val="30"/>
        </w:rPr>
      </w:pPr>
    </w:p>
    <w:p>
      <w:pPr>
        <w:adjustRightInd w:val="0"/>
        <w:snapToGrid w:val="0"/>
        <w:spacing w:before="240" w:beforeLines="100"/>
        <w:ind w:firstLine="480"/>
        <w:rPr>
          <w:rFonts w:ascii="宋体" w:hAnsi="宋体" w:cs="仿宋"/>
          <w:bCs/>
        </w:rPr>
      </w:pPr>
    </w:p>
    <w:p>
      <w:pPr>
        <w:adjustRightInd w:val="0"/>
        <w:snapToGrid w:val="0"/>
        <w:spacing w:before="240" w:beforeLines="100"/>
        <w:ind w:firstLine="480"/>
        <w:rPr>
          <w:rFonts w:ascii="宋体" w:hAnsi="宋体" w:cs="仿宋"/>
          <w:bCs/>
        </w:rPr>
      </w:pPr>
      <w:r>
        <w:rPr>
          <w:rFonts w:hint="eastAsia" w:ascii="宋体" w:hAnsi="宋体" w:cs="仿宋"/>
          <w:bCs/>
        </w:rPr>
        <w:t>质疑函制作说明：</w:t>
      </w:r>
    </w:p>
    <w:p>
      <w:pPr>
        <w:adjustRightInd w:val="0"/>
        <w:snapToGrid w:val="0"/>
        <w:spacing w:before="240" w:beforeLines="100"/>
        <w:ind w:firstLine="480"/>
        <w:rPr>
          <w:rFonts w:ascii="宋体" w:hAnsi="宋体" w:cs="仿宋"/>
          <w:bCs/>
        </w:rPr>
      </w:pPr>
      <w:r>
        <w:rPr>
          <w:rFonts w:ascii="宋体" w:hAnsi="宋体" w:cs="仿宋"/>
          <w:bCs/>
        </w:rPr>
        <w:t>1.</w:t>
      </w:r>
      <w:r>
        <w:rPr>
          <w:rFonts w:hint="eastAsia" w:ascii="宋体" w:hAnsi="宋体" w:cs="仿宋"/>
          <w:bCs/>
        </w:rPr>
        <w:t>供应商提出质疑时，应提交质疑函和必要的证明材料。</w:t>
      </w:r>
    </w:p>
    <w:p>
      <w:pPr>
        <w:adjustRightInd w:val="0"/>
        <w:snapToGrid w:val="0"/>
        <w:spacing w:before="240" w:beforeLines="100"/>
        <w:ind w:firstLine="480"/>
        <w:rPr>
          <w:rFonts w:ascii="宋体" w:hAnsi="宋体" w:cs="仿宋"/>
          <w:bCs/>
        </w:rPr>
      </w:pPr>
      <w:r>
        <w:rPr>
          <w:rFonts w:ascii="宋体" w:hAnsi="宋体" w:cs="仿宋"/>
          <w:bCs/>
        </w:rPr>
        <w:t>2.</w:t>
      </w:r>
      <w:r>
        <w:rPr>
          <w:rFonts w:hint="eastAsia" w:ascii="宋体" w:hAnsi="宋体" w:cs="仿宋"/>
          <w:bCs/>
        </w:rPr>
        <w:t>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adjustRightInd w:val="0"/>
        <w:snapToGrid w:val="0"/>
        <w:spacing w:before="240" w:beforeLines="100"/>
        <w:ind w:firstLine="480"/>
        <w:rPr>
          <w:rFonts w:ascii="宋体" w:hAnsi="宋体" w:cs="仿宋"/>
          <w:bCs/>
        </w:rPr>
      </w:pPr>
      <w:r>
        <w:rPr>
          <w:rFonts w:ascii="宋体" w:hAnsi="宋体" w:cs="仿宋"/>
          <w:bCs/>
        </w:rPr>
        <w:t>3.</w:t>
      </w:r>
      <w:r>
        <w:rPr>
          <w:rFonts w:hint="eastAsia" w:ascii="宋体" w:hAnsi="宋体" w:cs="仿宋"/>
          <w:bCs/>
        </w:rPr>
        <w:t>质疑供应商若对项目的某一分包进行质疑，质疑函中应列明具体分包号。</w:t>
      </w:r>
    </w:p>
    <w:p>
      <w:pPr>
        <w:adjustRightInd w:val="0"/>
        <w:snapToGrid w:val="0"/>
        <w:spacing w:before="240" w:beforeLines="100"/>
        <w:ind w:firstLine="480"/>
        <w:rPr>
          <w:rFonts w:ascii="宋体" w:hAnsi="宋体" w:cs="仿宋"/>
          <w:bCs/>
        </w:rPr>
      </w:pPr>
      <w:r>
        <w:rPr>
          <w:rFonts w:ascii="宋体" w:hAnsi="宋体" w:cs="仿宋"/>
          <w:bCs/>
        </w:rPr>
        <w:t>4.</w:t>
      </w:r>
      <w:r>
        <w:rPr>
          <w:rFonts w:hint="eastAsia" w:ascii="宋体" w:hAnsi="宋体" w:cs="仿宋"/>
          <w:bCs/>
        </w:rPr>
        <w:t>质疑函的质疑事项应具体、明确，并有必要的事实依据和法律依据。</w:t>
      </w:r>
    </w:p>
    <w:p>
      <w:pPr>
        <w:adjustRightInd w:val="0"/>
        <w:snapToGrid w:val="0"/>
        <w:spacing w:before="240" w:beforeLines="100"/>
        <w:ind w:firstLine="480"/>
        <w:rPr>
          <w:rFonts w:ascii="宋体" w:hAnsi="宋体" w:cs="仿宋"/>
          <w:bCs/>
        </w:rPr>
      </w:pPr>
      <w:r>
        <w:rPr>
          <w:rFonts w:ascii="宋体" w:hAnsi="宋体" w:cs="仿宋"/>
          <w:bCs/>
        </w:rPr>
        <w:t>5.</w:t>
      </w:r>
      <w:r>
        <w:rPr>
          <w:rFonts w:hint="eastAsia" w:ascii="宋体" w:hAnsi="宋体" w:cs="仿宋"/>
          <w:bCs/>
        </w:rPr>
        <w:t>质疑函的质疑请求应与质疑事项相关。</w:t>
      </w:r>
    </w:p>
    <w:p>
      <w:pPr>
        <w:adjustRightInd w:val="0"/>
        <w:snapToGrid w:val="0"/>
        <w:spacing w:before="240" w:beforeLines="100"/>
        <w:ind w:firstLine="480"/>
        <w:rPr>
          <w:rFonts w:ascii="宋体" w:hAnsi="宋体" w:cs="仿宋"/>
          <w:bCs/>
        </w:rPr>
      </w:pPr>
      <w:r>
        <w:rPr>
          <w:rFonts w:ascii="宋体" w:hAnsi="宋体" w:cs="仿宋"/>
          <w:bCs/>
        </w:rPr>
        <w:t>6.</w:t>
      </w:r>
      <w:r>
        <w:rPr>
          <w:rFonts w:hint="eastAsia" w:ascii="宋体" w:hAnsi="宋体" w:cs="仿宋"/>
          <w:bCs/>
        </w:rPr>
        <w:t>质疑供应商为自然人的，质疑函应由本人签字；质疑供应商为法人或者其他组织的，质疑函应由法定代表人、主要负责人，或者其授权代表签字或者盖章，并加盖公章。</w:t>
      </w:r>
    </w:p>
    <w:p>
      <w:pPr>
        <w:ind w:firstLine="482"/>
        <w:jc w:val="center"/>
        <w:rPr>
          <w:rFonts w:ascii="宋体" w:hAnsi="宋体"/>
          <w:b/>
        </w:rPr>
      </w:pPr>
      <w:r>
        <w:rPr>
          <w:rFonts w:hint="eastAsia" w:ascii="宋体" w:hAnsi="宋体"/>
          <w:b/>
        </w:rPr>
        <w:br w:type="page"/>
      </w:r>
    </w:p>
    <w:p>
      <w:pPr>
        <w:ind w:firstLine="482"/>
        <w:jc w:val="center"/>
        <w:rPr>
          <w:rFonts w:ascii="宋体" w:hAnsi="宋体"/>
          <w:b/>
        </w:rPr>
      </w:pPr>
      <w:r>
        <w:rPr>
          <w:rFonts w:hint="eastAsia" w:ascii="宋体" w:hAnsi="宋体"/>
          <w:b/>
        </w:rPr>
        <w:t>投诉书范本</w:t>
      </w:r>
    </w:p>
    <w:p>
      <w:pPr>
        <w:ind w:firstLine="480"/>
        <w:rPr>
          <w:rFonts w:ascii="宋体" w:hAnsi="宋体"/>
        </w:rPr>
      </w:pPr>
      <w:r>
        <w:rPr>
          <w:rFonts w:hint="eastAsia" w:ascii="宋体" w:hAnsi="宋体"/>
        </w:rPr>
        <w:t>一、投诉相关主体基本情况</w:t>
      </w:r>
    </w:p>
    <w:p>
      <w:pPr>
        <w:ind w:firstLine="480"/>
        <w:rPr>
          <w:rFonts w:ascii="宋体" w:hAnsi="宋体"/>
          <w:u w:val="dotted"/>
        </w:rPr>
      </w:pPr>
      <w:r>
        <w:rPr>
          <w:rFonts w:hint="eastAsia" w:ascii="宋体" w:hAnsi="宋体"/>
        </w:rPr>
        <w:t>投诉人：________________________________________________</w:t>
      </w:r>
    </w:p>
    <w:p>
      <w:pPr>
        <w:ind w:firstLine="480"/>
        <w:rPr>
          <w:rFonts w:ascii="宋体" w:hAnsi="宋体"/>
          <w:u w:val="single"/>
        </w:rPr>
      </w:pPr>
      <w:r>
        <w:rPr>
          <w:rFonts w:hint="eastAsia" w:ascii="宋体" w:hAnsi="宋体"/>
        </w:rPr>
        <w:t>地     址：_______________________________邮编：_________</w:t>
      </w:r>
    </w:p>
    <w:p>
      <w:pPr>
        <w:tabs>
          <w:tab w:val="left" w:pos="6510"/>
        </w:tabs>
        <w:ind w:firstLine="480"/>
        <w:jc w:val="left"/>
        <w:rPr>
          <w:rFonts w:ascii="宋体" w:hAnsi="宋体"/>
        </w:rPr>
      </w:pPr>
      <w:r>
        <w:rPr>
          <w:rFonts w:hint="eastAsia" w:ascii="宋体" w:hAnsi="宋体"/>
        </w:rPr>
        <w:t xml:space="preserve">法定代表人/主要负责人：__________________________ </w:t>
      </w:r>
    </w:p>
    <w:p>
      <w:pPr>
        <w:tabs>
          <w:tab w:val="left" w:pos="6510"/>
        </w:tabs>
        <w:ind w:firstLine="480"/>
        <w:rPr>
          <w:rFonts w:ascii="宋体" w:hAnsi="宋体"/>
          <w:u w:val="dotted"/>
        </w:rPr>
      </w:pPr>
      <w:r>
        <w:rPr>
          <w:rFonts w:hint="eastAsia" w:ascii="宋体" w:hAnsi="宋体"/>
        </w:rPr>
        <w:t>联系电话：_____________________________________________</w:t>
      </w:r>
    </w:p>
    <w:p>
      <w:pPr>
        <w:ind w:firstLine="480"/>
        <w:rPr>
          <w:rFonts w:ascii="宋体" w:hAnsi="宋体"/>
          <w:u w:val="dotted"/>
        </w:rPr>
      </w:pPr>
      <w:r>
        <w:rPr>
          <w:rFonts w:hint="eastAsia" w:ascii="宋体" w:hAnsi="宋体"/>
        </w:rPr>
        <w:t>授权代表：____________联系电话：________________________</w:t>
      </w:r>
    </w:p>
    <w:p>
      <w:pPr>
        <w:ind w:firstLine="480"/>
        <w:rPr>
          <w:rFonts w:ascii="宋体" w:hAnsi="宋体"/>
          <w:u w:val="dotted"/>
        </w:rPr>
      </w:pPr>
      <w:r>
        <w:rPr>
          <w:rFonts w:hint="eastAsia" w:ascii="宋体" w:hAnsi="宋体"/>
        </w:rPr>
        <w:t>地     址：________________________邮编：________________________</w:t>
      </w:r>
    </w:p>
    <w:p>
      <w:pPr>
        <w:ind w:firstLine="480"/>
        <w:rPr>
          <w:rFonts w:ascii="宋体" w:hAnsi="宋体"/>
          <w:u w:val="single"/>
        </w:rPr>
      </w:pPr>
      <w:r>
        <w:rPr>
          <w:rFonts w:hint="eastAsia" w:ascii="宋体" w:hAnsi="宋体"/>
        </w:rPr>
        <w:t>被投诉人1：____________________________________________</w:t>
      </w:r>
    </w:p>
    <w:p>
      <w:pPr>
        <w:ind w:firstLine="480"/>
        <w:rPr>
          <w:rFonts w:ascii="宋体" w:hAnsi="宋体"/>
          <w:u w:val="single"/>
        </w:rPr>
      </w:pPr>
      <w:r>
        <w:rPr>
          <w:rFonts w:hint="eastAsia" w:ascii="宋体" w:hAnsi="宋体"/>
        </w:rPr>
        <w:t>地     址：_____________________________邮编：____________</w:t>
      </w:r>
    </w:p>
    <w:p>
      <w:pPr>
        <w:ind w:firstLine="480"/>
        <w:rPr>
          <w:rFonts w:ascii="宋体" w:hAnsi="宋体"/>
          <w:u w:val="single"/>
        </w:rPr>
      </w:pPr>
      <w:r>
        <w:rPr>
          <w:rFonts w:hint="eastAsia" w:ascii="宋体" w:hAnsi="宋体"/>
        </w:rPr>
        <w:t>联系人：____________联系电话：____________</w:t>
      </w:r>
    </w:p>
    <w:p>
      <w:pPr>
        <w:ind w:firstLine="480"/>
        <w:rPr>
          <w:rFonts w:ascii="宋体" w:hAnsi="宋体"/>
        </w:rPr>
      </w:pPr>
      <w:r>
        <w:rPr>
          <w:rFonts w:hint="eastAsia" w:ascii="宋体" w:hAnsi="宋体"/>
        </w:rPr>
        <w:t>被投诉人2</w:t>
      </w:r>
    </w:p>
    <w:p>
      <w:pPr>
        <w:ind w:firstLine="480"/>
        <w:rPr>
          <w:rFonts w:ascii="宋体" w:hAnsi="宋体"/>
          <w:u w:val="dotted"/>
        </w:rPr>
      </w:pPr>
      <w:r>
        <w:rPr>
          <w:rFonts w:hint="eastAsia" w:ascii="宋体" w:hAnsi="宋体"/>
        </w:rPr>
        <w:t>……</w:t>
      </w:r>
    </w:p>
    <w:p>
      <w:pPr>
        <w:ind w:firstLine="480"/>
        <w:rPr>
          <w:rFonts w:ascii="宋体" w:hAnsi="宋体"/>
          <w:u w:val="single"/>
        </w:rPr>
      </w:pPr>
      <w:r>
        <w:rPr>
          <w:rFonts w:hint="eastAsia" w:ascii="宋体" w:hAnsi="宋体"/>
        </w:rPr>
        <w:t>相关供应商：____________________________________________</w:t>
      </w:r>
    </w:p>
    <w:p>
      <w:pPr>
        <w:ind w:firstLine="480"/>
        <w:rPr>
          <w:rFonts w:ascii="宋体" w:hAnsi="宋体"/>
          <w:u w:val="single"/>
        </w:rPr>
      </w:pPr>
      <w:r>
        <w:rPr>
          <w:rFonts w:hint="eastAsia" w:ascii="宋体" w:hAnsi="宋体"/>
        </w:rPr>
        <w:t>地     址：________________________________邮编：_________</w:t>
      </w:r>
    </w:p>
    <w:p>
      <w:pPr>
        <w:ind w:firstLine="480"/>
        <w:rPr>
          <w:rFonts w:ascii="宋体" w:hAnsi="宋体"/>
          <w:u w:val="single"/>
        </w:rPr>
      </w:pPr>
      <w:r>
        <w:rPr>
          <w:rFonts w:hint="eastAsia" w:ascii="宋体" w:hAnsi="宋体"/>
        </w:rPr>
        <w:t>联系人：_________联系电话：________________________________</w:t>
      </w:r>
    </w:p>
    <w:p>
      <w:pPr>
        <w:ind w:firstLine="480"/>
        <w:rPr>
          <w:rFonts w:ascii="宋体" w:hAnsi="宋体"/>
        </w:rPr>
      </w:pPr>
      <w:r>
        <w:rPr>
          <w:rFonts w:hint="eastAsia" w:ascii="宋体" w:hAnsi="宋体"/>
        </w:rPr>
        <w:t>二、投诉项目基本情况</w:t>
      </w:r>
    </w:p>
    <w:p>
      <w:pPr>
        <w:ind w:firstLine="480"/>
        <w:rPr>
          <w:rFonts w:ascii="宋体" w:hAnsi="宋体"/>
          <w:u w:val="dotted"/>
        </w:rPr>
      </w:pPr>
      <w:r>
        <w:rPr>
          <w:rFonts w:hint="eastAsia" w:ascii="宋体" w:hAnsi="宋体"/>
        </w:rPr>
        <w:t>采购项目名称：________________________________</w:t>
      </w:r>
    </w:p>
    <w:p>
      <w:pPr>
        <w:ind w:firstLine="480"/>
        <w:rPr>
          <w:rFonts w:ascii="宋体" w:hAnsi="宋体"/>
          <w:u w:val="single"/>
        </w:rPr>
      </w:pPr>
      <w:r>
        <w:rPr>
          <w:rFonts w:hint="eastAsia" w:ascii="宋体" w:hAnsi="宋体"/>
        </w:rPr>
        <w:t>采购项目编号：________________________包号：____________</w:t>
      </w:r>
    </w:p>
    <w:p>
      <w:pPr>
        <w:ind w:firstLine="480"/>
        <w:rPr>
          <w:rFonts w:ascii="宋体" w:hAnsi="宋体"/>
        </w:rPr>
      </w:pPr>
      <w:r>
        <w:rPr>
          <w:rFonts w:hint="eastAsia" w:ascii="宋体" w:hAnsi="宋体"/>
        </w:rPr>
        <w:t>采购人名称：_____________________________________________</w:t>
      </w:r>
    </w:p>
    <w:p>
      <w:pPr>
        <w:ind w:firstLine="480"/>
        <w:rPr>
          <w:rFonts w:ascii="宋体" w:hAnsi="宋体"/>
          <w:u w:val="single"/>
        </w:rPr>
      </w:pPr>
      <w:r>
        <w:rPr>
          <w:rFonts w:hint="eastAsia" w:ascii="宋体" w:hAnsi="宋体"/>
        </w:rPr>
        <w:t>代理机构名称：__________________________________________</w:t>
      </w:r>
    </w:p>
    <w:p>
      <w:pPr>
        <w:ind w:firstLine="480"/>
        <w:rPr>
          <w:rFonts w:ascii="宋体" w:hAnsi="宋体"/>
          <w:u w:val="dotted"/>
        </w:rPr>
      </w:pPr>
      <w:r>
        <w:rPr>
          <w:rFonts w:hint="eastAsia" w:ascii="宋体" w:hAnsi="宋体"/>
        </w:rPr>
        <w:t>采购文件公告:</w:t>
      </w:r>
      <w:r>
        <w:rPr>
          <w:rFonts w:hint="eastAsia" w:ascii="宋体" w:hAnsi="宋体"/>
          <w:u w:val="dotted"/>
        </w:rPr>
        <w:t xml:space="preserve">是/否 </w:t>
      </w:r>
      <w:r>
        <w:rPr>
          <w:rFonts w:hint="eastAsia" w:ascii="宋体" w:hAnsi="宋体"/>
        </w:rPr>
        <w:t>公告期限：___________________________</w:t>
      </w:r>
    </w:p>
    <w:p>
      <w:pPr>
        <w:ind w:firstLine="480"/>
        <w:rPr>
          <w:rFonts w:ascii="宋体" w:hAnsi="宋体"/>
          <w:u w:val="single"/>
        </w:rPr>
      </w:pPr>
      <w:r>
        <w:rPr>
          <w:rFonts w:hint="eastAsia" w:ascii="宋体" w:hAnsi="宋体"/>
        </w:rPr>
        <w:t>采购结果公告:</w:t>
      </w:r>
      <w:r>
        <w:rPr>
          <w:rFonts w:hint="eastAsia" w:ascii="宋体" w:hAnsi="宋体"/>
          <w:u w:val="dotted"/>
        </w:rPr>
        <w:t xml:space="preserve">是/否 </w:t>
      </w:r>
      <w:r>
        <w:rPr>
          <w:rFonts w:hint="eastAsia" w:ascii="宋体" w:hAnsi="宋体"/>
        </w:rPr>
        <w:t>公告期限：___________________________</w:t>
      </w:r>
    </w:p>
    <w:p>
      <w:pPr>
        <w:ind w:firstLine="480"/>
        <w:rPr>
          <w:rFonts w:ascii="宋体" w:hAnsi="宋体"/>
        </w:rPr>
      </w:pPr>
      <w:r>
        <w:rPr>
          <w:rFonts w:hint="eastAsia" w:ascii="宋体" w:hAnsi="宋体"/>
        </w:rPr>
        <w:t>三、质疑基本情况</w:t>
      </w:r>
    </w:p>
    <w:p>
      <w:pPr>
        <w:ind w:firstLine="480"/>
        <w:rPr>
          <w:rFonts w:ascii="宋体" w:hAnsi="宋体"/>
          <w:u w:val="dotted"/>
        </w:rPr>
      </w:pPr>
      <w:r>
        <w:rPr>
          <w:rFonts w:hint="eastAsia" w:ascii="宋体" w:hAnsi="宋体"/>
        </w:rPr>
        <w:t>投诉人于_____年_____月_____日,向___________________提出质疑，质疑事项为：____________________________________________________________</w:t>
      </w:r>
    </w:p>
    <w:p>
      <w:pPr>
        <w:ind w:firstLine="480"/>
        <w:rPr>
          <w:rFonts w:ascii="宋体" w:hAnsi="宋体"/>
          <w:u w:val="dotted"/>
        </w:rPr>
      </w:pPr>
      <w:r>
        <w:rPr>
          <w:rFonts w:hint="eastAsia" w:ascii="宋体" w:hAnsi="宋体"/>
        </w:rPr>
        <w:t xml:space="preserve">____________________________________________________________________ </w:t>
      </w:r>
    </w:p>
    <w:p>
      <w:pPr>
        <w:ind w:firstLine="360" w:firstLineChars="150"/>
        <w:rPr>
          <w:rFonts w:ascii="宋体" w:hAnsi="宋体"/>
        </w:rPr>
      </w:pPr>
      <w:r>
        <w:rPr>
          <w:rFonts w:hint="eastAsia" w:ascii="宋体" w:hAnsi="宋体"/>
          <w:u w:val="single"/>
        </w:rPr>
        <w:t>采购人/代理机构</w:t>
      </w:r>
      <w:r>
        <w:rPr>
          <w:rFonts w:hint="eastAsia" w:ascii="宋体" w:hAnsi="宋体"/>
        </w:rPr>
        <w:t>于_____年_____月_____日,就质疑事项作出了答复/没有在法定期限内作出答复。</w:t>
      </w:r>
    </w:p>
    <w:p>
      <w:pPr>
        <w:ind w:firstLine="480"/>
        <w:rPr>
          <w:rFonts w:ascii="宋体" w:hAnsi="宋体"/>
        </w:rPr>
      </w:pPr>
      <w:r>
        <w:rPr>
          <w:rFonts w:hint="eastAsia" w:ascii="宋体" w:hAnsi="宋体"/>
        </w:rPr>
        <w:t>四、投诉事项具体内容</w:t>
      </w:r>
    </w:p>
    <w:p>
      <w:pPr>
        <w:ind w:firstLine="480"/>
        <w:rPr>
          <w:rFonts w:ascii="宋体" w:hAnsi="宋体"/>
          <w:u w:val="single"/>
        </w:rPr>
      </w:pPr>
      <w:r>
        <w:rPr>
          <w:rFonts w:hint="eastAsia" w:ascii="宋体" w:hAnsi="宋体"/>
        </w:rPr>
        <w:t>投诉事项 1：__________________________________________</w:t>
      </w:r>
    </w:p>
    <w:p>
      <w:pPr>
        <w:ind w:firstLine="480"/>
        <w:rPr>
          <w:rFonts w:ascii="宋体" w:hAnsi="宋体"/>
        </w:rPr>
      </w:pPr>
      <w:r>
        <w:rPr>
          <w:rFonts w:hint="eastAsia" w:ascii="宋体" w:hAnsi="宋体"/>
        </w:rPr>
        <w:t>事实依据：____________________________________________</w:t>
      </w:r>
    </w:p>
    <w:p>
      <w:pPr>
        <w:ind w:firstLine="480"/>
        <w:rPr>
          <w:rFonts w:ascii="宋体" w:hAnsi="宋体"/>
          <w:u w:val="dotted"/>
        </w:rPr>
      </w:pPr>
      <w:r>
        <w:rPr>
          <w:rFonts w:hint="eastAsia" w:ascii="宋体" w:hAnsi="宋体"/>
        </w:rPr>
        <w:t>______________________________________________________</w:t>
      </w:r>
    </w:p>
    <w:p>
      <w:pPr>
        <w:ind w:firstLine="480"/>
        <w:rPr>
          <w:rFonts w:ascii="宋体" w:hAnsi="宋体"/>
          <w:u w:val="single"/>
        </w:rPr>
      </w:pPr>
      <w:r>
        <w:rPr>
          <w:rFonts w:hint="eastAsia" w:ascii="宋体" w:hAnsi="宋体"/>
        </w:rPr>
        <w:t>法律依据：____________________________________________</w:t>
      </w:r>
    </w:p>
    <w:p>
      <w:pPr>
        <w:ind w:firstLine="480"/>
        <w:rPr>
          <w:rFonts w:ascii="宋体" w:hAnsi="宋体"/>
          <w:u w:val="dotted"/>
        </w:rPr>
      </w:pPr>
      <w:r>
        <w:rPr>
          <w:rFonts w:hint="eastAsia" w:ascii="宋体" w:hAnsi="宋体"/>
        </w:rPr>
        <w:t>______________________________________________________</w:t>
      </w:r>
    </w:p>
    <w:p>
      <w:pPr>
        <w:ind w:firstLine="480"/>
        <w:rPr>
          <w:rFonts w:ascii="宋体" w:hAnsi="宋体"/>
        </w:rPr>
      </w:pPr>
      <w:r>
        <w:rPr>
          <w:rFonts w:hint="eastAsia" w:ascii="宋体" w:hAnsi="宋体"/>
        </w:rPr>
        <w:t>投诉事项2</w:t>
      </w:r>
    </w:p>
    <w:p>
      <w:pPr>
        <w:ind w:firstLine="480"/>
        <w:rPr>
          <w:rFonts w:ascii="宋体" w:hAnsi="宋体"/>
          <w:u w:val="dotted"/>
        </w:rPr>
      </w:pPr>
      <w:r>
        <w:rPr>
          <w:rFonts w:hint="eastAsia" w:ascii="宋体" w:hAnsi="宋体"/>
        </w:rPr>
        <w:t>……</w:t>
      </w:r>
    </w:p>
    <w:p>
      <w:pPr>
        <w:ind w:firstLine="480"/>
        <w:rPr>
          <w:rFonts w:ascii="宋体" w:hAnsi="宋体"/>
        </w:rPr>
      </w:pPr>
      <w:r>
        <w:rPr>
          <w:rFonts w:hint="eastAsia" w:ascii="宋体" w:hAnsi="宋体"/>
        </w:rPr>
        <w:t>五、与投诉事项相关的投诉请求</w:t>
      </w:r>
    </w:p>
    <w:p>
      <w:pPr>
        <w:ind w:firstLine="480"/>
        <w:rPr>
          <w:rFonts w:ascii="宋体" w:hAnsi="宋体"/>
        </w:rPr>
      </w:pPr>
      <w:r>
        <w:rPr>
          <w:rFonts w:hint="eastAsia" w:ascii="宋体" w:hAnsi="宋体"/>
        </w:rPr>
        <w:t>请求：___________________________</w:t>
      </w:r>
    </w:p>
    <w:p>
      <w:pPr>
        <w:ind w:firstLine="480"/>
        <w:rPr>
          <w:rFonts w:ascii="宋体" w:hAnsi="宋体"/>
          <w:u w:val="single"/>
        </w:rPr>
      </w:pPr>
      <w:r>
        <w:rPr>
          <w:rFonts w:hint="eastAsia" w:ascii="宋体" w:hAnsi="宋体"/>
        </w:rPr>
        <w:t xml:space="preserve">                                                           </w:t>
      </w:r>
    </w:p>
    <w:p>
      <w:pPr>
        <w:ind w:firstLine="480"/>
        <w:rPr>
          <w:rFonts w:ascii="宋体" w:hAnsi="宋体"/>
        </w:rPr>
      </w:pPr>
      <w:r>
        <w:rPr>
          <w:rFonts w:hint="eastAsia" w:ascii="宋体" w:hAnsi="宋体"/>
        </w:rPr>
        <w:t xml:space="preserve">签字(签章)：                   公章：                      </w:t>
      </w:r>
    </w:p>
    <w:p>
      <w:pPr>
        <w:ind w:firstLine="480"/>
        <w:rPr>
          <w:rFonts w:ascii="宋体" w:hAnsi="宋体"/>
        </w:rPr>
      </w:pPr>
      <w:r>
        <w:rPr>
          <w:rFonts w:hint="eastAsia" w:ascii="宋体" w:hAnsi="宋体"/>
        </w:rPr>
        <w:t xml:space="preserve">日期：    </w:t>
      </w:r>
    </w:p>
    <w:p>
      <w:pPr>
        <w:pStyle w:val="18"/>
        <w:tabs>
          <w:tab w:val="left" w:pos="2472"/>
        </w:tabs>
        <w:snapToGrid w:val="0"/>
        <w:spacing w:beforeLines="0" w:afterLines="0" w:line="240" w:lineRule="auto"/>
        <w:ind w:firstLine="600"/>
        <w:jc w:val="center"/>
        <w:rPr>
          <w:rFonts w:hAnsi="宋体"/>
          <w:color w:val="000000"/>
          <w:sz w:val="30"/>
          <w:szCs w:val="30"/>
        </w:rPr>
      </w:pPr>
    </w:p>
    <w:p>
      <w:pPr>
        <w:adjustRightInd w:val="0"/>
        <w:snapToGrid w:val="0"/>
        <w:spacing w:before="240" w:beforeLines="100"/>
        <w:ind w:firstLine="480"/>
        <w:rPr>
          <w:rFonts w:ascii="宋体" w:hAnsi="宋体" w:cs="仿宋"/>
          <w:bCs/>
        </w:rPr>
      </w:pPr>
      <w:r>
        <w:rPr>
          <w:rFonts w:hint="eastAsia" w:ascii="宋体" w:hAnsi="宋体" w:cs="仿宋"/>
          <w:bCs/>
        </w:rPr>
        <w:t>投诉书制作说明：</w:t>
      </w:r>
    </w:p>
    <w:p>
      <w:pPr>
        <w:adjustRightInd w:val="0"/>
        <w:snapToGrid w:val="0"/>
        <w:spacing w:before="240" w:beforeLines="100"/>
        <w:ind w:firstLine="480"/>
        <w:rPr>
          <w:rFonts w:ascii="宋体" w:hAnsi="宋体" w:cs="仿宋"/>
          <w:bCs/>
        </w:rPr>
      </w:pPr>
      <w:r>
        <w:rPr>
          <w:rFonts w:hint="eastAsia" w:ascii="宋体" w:hAnsi="宋体" w:cs="仿宋"/>
          <w:bCs/>
        </w:rPr>
        <w:t>1.投诉人提起投诉时，应当提交投诉书和必要的证明材料，并按照被投诉人和与投诉事项有关的供应商数量提供投诉书副本。</w:t>
      </w:r>
    </w:p>
    <w:p>
      <w:pPr>
        <w:adjustRightInd w:val="0"/>
        <w:snapToGrid w:val="0"/>
        <w:spacing w:before="240" w:beforeLines="100"/>
        <w:ind w:firstLine="480"/>
        <w:rPr>
          <w:rFonts w:ascii="宋体" w:hAnsi="宋体" w:cs="仿宋"/>
          <w:bCs/>
        </w:rPr>
      </w:pPr>
      <w:r>
        <w:rPr>
          <w:rFonts w:hint="eastAsia" w:ascii="宋体" w:hAnsi="宋体" w:cs="仿宋"/>
          <w:bCs/>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adjustRightInd w:val="0"/>
        <w:snapToGrid w:val="0"/>
        <w:spacing w:before="240" w:beforeLines="100"/>
        <w:ind w:firstLine="480"/>
        <w:rPr>
          <w:rFonts w:ascii="宋体" w:hAnsi="宋体" w:cs="仿宋"/>
          <w:bCs/>
        </w:rPr>
      </w:pPr>
      <w:r>
        <w:rPr>
          <w:rFonts w:hint="eastAsia" w:ascii="宋体" w:hAnsi="宋体" w:cs="仿宋"/>
          <w:bCs/>
        </w:rPr>
        <w:t>3.投诉人若对项目的某一分包进行投诉，投诉书应列明具体分包号。</w:t>
      </w:r>
    </w:p>
    <w:p>
      <w:pPr>
        <w:adjustRightInd w:val="0"/>
        <w:snapToGrid w:val="0"/>
        <w:spacing w:before="240" w:beforeLines="100"/>
        <w:ind w:firstLine="480"/>
        <w:rPr>
          <w:rFonts w:ascii="宋体" w:hAnsi="宋体" w:cs="仿宋"/>
          <w:bCs/>
        </w:rPr>
      </w:pPr>
      <w:r>
        <w:rPr>
          <w:rFonts w:hint="eastAsia" w:ascii="宋体" w:hAnsi="宋体" w:cs="仿宋"/>
          <w:bCs/>
        </w:rPr>
        <w:t>4.投诉书应简要列明质疑事项，质疑函、质疑答复等作为附件材料提供。</w:t>
      </w:r>
    </w:p>
    <w:p>
      <w:pPr>
        <w:adjustRightInd w:val="0"/>
        <w:snapToGrid w:val="0"/>
        <w:spacing w:before="240" w:beforeLines="100"/>
        <w:ind w:firstLine="480"/>
        <w:rPr>
          <w:rFonts w:ascii="宋体" w:hAnsi="宋体" w:cs="仿宋"/>
          <w:bCs/>
        </w:rPr>
      </w:pPr>
      <w:r>
        <w:rPr>
          <w:rFonts w:hint="eastAsia" w:ascii="宋体" w:hAnsi="宋体" w:cs="仿宋"/>
          <w:bCs/>
        </w:rPr>
        <w:t>5.投诉书的投诉事项应具体、明确，并有必要的事实依据和法律依据。</w:t>
      </w:r>
    </w:p>
    <w:p>
      <w:pPr>
        <w:adjustRightInd w:val="0"/>
        <w:snapToGrid w:val="0"/>
        <w:spacing w:before="240" w:beforeLines="100"/>
        <w:ind w:firstLine="480"/>
        <w:rPr>
          <w:rFonts w:ascii="宋体" w:hAnsi="宋体" w:cs="仿宋"/>
          <w:bCs/>
        </w:rPr>
      </w:pPr>
      <w:r>
        <w:rPr>
          <w:rFonts w:hint="eastAsia" w:ascii="宋体" w:hAnsi="宋体" w:cs="仿宋"/>
          <w:bCs/>
        </w:rPr>
        <w:t>6.投诉书的投诉请求应与投诉事项相关。</w:t>
      </w:r>
    </w:p>
    <w:p>
      <w:pPr>
        <w:pStyle w:val="18"/>
        <w:wordWrap w:val="0"/>
        <w:snapToGrid w:val="0"/>
        <w:spacing w:before="120" w:after="120" w:line="300" w:lineRule="auto"/>
        <w:ind w:right="480" w:firstLine="480"/>
        <w:rPr>
          <w:rFonts w:hAnsi="宋体" w:cs="仿宋"/>
          <w:bCs/>
          <w:sz w:val="24"/>
        </w:rPr>
        <w:sectPr>
          <w:pgSz w:w="11906" w:h="16838"/>
          <w:pgMar w:top="1418" w:right="1077" w:bottom="1418" w:left="1077" w:header="851" w:footer="851" w:gutter="340"/>
          <w:cols w:space="720" w:num="1"/>
          <w:docGrid w:linePitch="381" w:charSpace="0"/>
        </w:sectPr>
      </w:pPr>
      <w:r>
        <w:rPr>
          <w:rFonts w:hint="eastAsia" w:hAnsi="宋体" w:cs="仿宋"/>
          <w:bCs/>
          <w:sz w:val="24"/>
        </w:rPr>
        <w:t>7.投诉人为自然人的，投诉书应当由本人签字；投诉人为法人或者其他组织的，投诉书应当由法定代表人、主要负责人，或者其授权代表签字或者盖章，并加盖公章。</w:t>
      </w:r>
    </w:p>
    <w:p>
      <w:pPr>
        <w:pStyle w:val="33"/>
        <w:ind w:firstLine="643"/>
      </w:pPr>
      <w:bookmarkStart w:id="86" w:name="_Toc29890"/>
      <w:r>
        <w:rPr>
          <w:rFonts w:hint="eastAsia"/>
        </w:rPr>
        <w:t>第六章  投标文件格式</w:t>
      </w:r>
      <w:bookmarkEnd w:id="86"/>
    </w:p>
    <w:p>
      <w:pPr>
        <w:pStyle w:val="18"/>
        <w:snapToGrid w:val="0"/>
        <w:spacing w:beforeLines="0" w:afterLines="0" w:line="276" w:lineRule="auto"/>
        <w:ind w:firstLine="201"/>
        <w:rPr>
          <w:rFonts w:hAnsi="宋体" w:cs="宋体"/>
          <w:b/>
          <w:bCs/>
          <w:color w:val="FF0000"/>
          <w:sz w:val="10"/>
          <w:szCs w:val="10"/>
        </w:rPr>
      </w:pPr>
    </w:p>
    <w:p>
      <w:pPr>
        <w:snapToGrid w:val="0"/>
        <w:spacing w:before="100" w:beforeAutospacing="1" w:after="100" w:afterAutospacing="1" w:line="276" w:lineRule="auto"/>
        <w:ind w:firstLine="643"/>
        <w:jc w:val="center"/>
        <w:rPr>
          <w:rFonts w:ascii="宋体" w:hAnsi="宋体" w:cs="宋体"/>
          <w:b/>
          <w:bCs/>
          <w:color w:val="000000"/>
          <w:sz w:val="32"/>
          <w:szCs w:val="32"/>
        </w:rPr>
      </w:pPr>
      <w:r>
        <w:rPr>
          <w:rFonts w:hint="eastAsia" w:ascii="宋体" w:hAnsi="宋体" w:cs="宋体"/>
          <w:b/>
          <w:bCs/>
          <w:color w:val="000000"/>
          <w:sz w:val="32"/>
          <w:szCs w:val="32"/>
        </w:rPr>
        <w:t>一、投标文件封面格式</w:t>
      </w:r>
    </w:p>
    <w:p>
      <w:pPr>
        <w:snapToGrid w:val="0"/>
        <w:spacing w:before="100" w:beforeAutospacing="1" w:after="100" w:afterAutospacing="1" w:line="276" w:lineRule="auto"/>
        <w:ind w:firstLine="482"/>
        <w:jc w:val="center"/>
        <w:rPr>
          <w:rFonts w:ascii="宋体" w:hAnsi="宋体" w:cs="宋体"/>
          <w:b/>
          <w:bCs/>
          <w:color w:val="000000"/>
        </w:rPr>
      </w:pPr>
    </w:p>
    <w:p>
      <w:pPr>
        <w:snapToGrid w:val="0"/>
        <w:spacing w:before="100" w:beforeAutospacing="1" w:after="100" w:afterAutospacing="1" w:line="276" w:lineRule="auto"/>
        <w:ind w:firstLine="482"/>
        <w:jc w:val="center"/>
        <w:rPr>
          <w:rFonts w:ascii="宋体" w:hAnsi="宋体" w:cs="宋体"/>
          <w:b/>
          <w:bCs/>
          <w:color w:val="000000"/>
          <w:sz w:val="32"/>
          <w:szCs w:val="32"/>
        </w:rPr>
      </w:pPr>
      <w:r>
        <w:rPr>
          <w:rFonts w:hint="eastAsia" w:ascii="宋体" w:hAnsi="宋体" w:cs="宋体"/>
          <w:b/>
          <w:bCs/>
          <w:color w:val="000000"/>
        </w:rPr>
        <w:t>资信商务及技术文件封面格式</w:t>
      </w:r>
    </w:p>
    <w:p>
      <w:pPr>
        <w:snapToGrid w:val="0"/>
        <w:spacing w:before="100" w:beforeAutospacing="1" w:after="100" w:afterAutospacing="1" w:line="276" w:lineRule="auto"/>
        <w:ind w:left="480" w:firstLine="643"/>
        <w:jc w:val="center"/>
        <w:rPr>
          <w:rFonts w:ascii="宋体" w:hAnsi="宋体" w:cs="宋体"/>
          <w:b/>
          <w:bCs/>
          <w:color w:val="000000"/>
          <w:sz w:val="32"/>
          <w:szCs w:val="32"/>
        </w:rPr>
      </w:pPr>
    </w:p>
    <w:p>
      <w:pPr>
        <w:snapToGrid w:val="0"/>
        <w:spacing w:before="100" w:beforeAutospacing="1" w:after="100" w:afterAutospacing="1" w:line="276" w:lineRule="auto"/>
        <w:ind w:firstLine="480"/>
        <w:rPr>
          <w:rFonts w:ascii="宋体" w:hAnsi="宋体" w:cs="宋体"/>
          <w:color w:val="000000"/>
          <w:szCs w:val="24"/>
        </w:rPr>
      </w:pPr>
    </w:p>
    <w:p>
      <w:pPr>
        <w:snapToGrid w:val="0"/>
        <w:spacing w:before="100" w:beforeAutospacing="1" w:after="100" w:afterAutospacing="1" w:line="276" w:lineRule="auto"/>
        <w:ind w:firstLine="480"/>
        <w:jc w:val="center"/>
        <w:rPr>
          <w:rFonts w:ascii="宋体" w:hAnsi="宋体" w:cs="宋体"/>
          <w:color w:val="000000"/>
          <w:szCs w:val="24"/>
        </w:rPr>
      </w:pPr>
      <w:r>
        <w:rPr>
          <w:rFonts w:hint="eastAsia" w:ascii="宋体" w:hAnsi="宋体" w:cs="宋体"/>
          <w:color w:val="000000"/>
          <w:szCs w:val="24"/>
        </w:rPr>
        <w:t>×××（投标人名称）</w:t>
      </w:r>
    </w:p>
    <w:p>
      <w:pPr>
        <w:snapToGrid w:val="0"/>
        <w:spacing w:before="100" w:beforeAutospacing="1" w:after="100" w:afterAutospacing="1" w:line="276" w:lineRule="auto"/>
        <w:ind w:firstLine="480"/>
        <w:jc w:val="center"/>
        <w:rPr>
          <w:rFonts w:ascii="宋体" w:hAnsi="宋体" w:cs="宋体"/>
          <w:color w:val="000000"/>
          <w:szCs w:val="24"/>
        </w:rPr>
      </w:pPr>
      <w:r>
        <w:rPr>
          <w:rFonts w:hint="eastAsia" w:ascii="宋体" w:hAnsi="宋体" w:cs="宋体"/>
          <w:color w:val="000000"/>
          <w:szCs w:val="24"/>
        </w:rPr>
        <w:t>资信商务及技术文件</w:t>
      </w:r>
    </w:p>
    <w:p>
      <w:pPr>
        <w:snapToGrid w:val="0"/>
        <w:spacing w:before="100" w:beforeAutospacing="1" w:after="100" w:afterAutospacing="1" w:line="276" w:lineRule="auto"/>
        <w:ind w:firstLine="480"/>
        <w:rPr>
          <w:rFonts w:ascii="宋体" w:hAnsi="宋体" w:cs="宋体"/>
          <w:color w:val="000000"/>
          <w:szCs w:val="24"/>
        </w:rPr>
      </w:pP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项目名称：2023年城区信号灯路口配时优化项目</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项目编号：HZZX-2023-G</w:t>
      </w:r>
      <w:r>
        <w:rPr>
          <w:rFonts w:ascii="宋体" w:hAnsi="宋体" w:cs="宋体"/>
          <w:color w:val="000000"/>
          <w:szCs w:val="24"/>
        </w:rPr>
        <w:t>11</w:t>
      </w:r>
    </w:p>
    <w:p>
      <w:pPr>
        <w:snapToGrid w:val="0"/>
        <w:spacing w:before="100" w:beforeAutospacing="1" w:after="100" w:afterAutospacing="1" w:line="276" w:lineRule="auto"/>
        <w:ind w:firstLine="480"/>
        <w:rPr>
          <w:rFonts w:ascii="宋体" w:hAnsi="宋体" w:cs="宋体"/>
          <w:strike/>
          <w:color w:val="FF0000"/>
          <w:szCs w:val="24"/>
          <w:highlight w:val="yellow"/>
        </w:rPr>
      </w:pPr>
      <w:r>
        <w:rPr>
          <w:rFonts w:hint="eastAsia" w:ascii="宋体" w:hAnsi="宋体" w:cs="宋体"/>
          <w:color w:val="000000"/>
          <w:szCs w:val="24"/>
        </w:rPr>
        <w:t>投标人名称（盖章）：</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投标人地址：</w:t>
      </w:r>
    </w:p>
    <w:p>
      <w:pPr>
        <w:pStyle w:val="9"/>
        <w:snapToGrid w:val="0"/>
        <w:spacing w:before="100" w:beforeAutospacing="1" w:after="100" w:afterAutospacing="1" w:line="276" w:lineRule="auto"/>
        <w:ind w:firstLine="480"/>
        <w:rPr>
          <w:rFonts w:ascii="宋体" w:hAnsi="宋体" w:cs="宋体"/>
          <w:color w:val="000000"/>
          <w:sz w:val="24"/>
          <w:szCs w:val="24"/>
        </w:rPr>
      </w:pPr>
    </w:p>
    <w:p>
      <w:pPr>
        <w:pStyle w:val="9"/>
        <w:snapToGrid w:val="0"/>
        <w:spacing w:before="100" w:beforeAutospacing="1" w:after="100" w:afterAutospacing="1" w:line="276" w:lineRule="auto"/>
        <w:ind w:firstLine="480"/>
        <w:rPr>
          <w:rFonts w:ascii="宋体" w:hAnsi="宋体" w:cs="宋体"/>
          <w:color w:val="000000"/>
          <w:sz w:val="24"/>
          <w:szCs w:val="24"/>
        </w:rPr>
      </w:pP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 xml:space="preserve">                                       2023年  月  日</w:t>
      </w:r>
    </w:p>
    <w:p>
      <w:pPr>
        <w:snapToGrid w:val="0"/>
        <w:spacing w:before="100" w:beforeAutospacing="1" w:after="100" w:afterAutospacing="1" w:line="276" w:lineRule="auto"/>
        <w:ind w:firstLine="482"/>
        <w:jc w:val="center"/>
        <w:rPr>
          <w:rFonts w:ascii="宋体" w:hAnsi="宋体" w:cs="宋体"/>
          <w:b/>
          <w:bCs/>
          <w:color w:val="000000"/>
        </w:rPr>
      </w:pPr>
      <w:r>
        <w:rPr>
          <w:rFonts w:hint="eastAsia" w:ascii="宋体" w:hAnsi="宋体" w:cs="宋体"/>
          <w:b/>
          <w:bCs/>
          <w:color w:val="000000"/>
        </w:rPr>
        <w:br w:type="page"/>
      </w:r>
    </w:p>
    <w:p>
      <w:pPr>
        <w:snapToGrid w:val="0"/>
        <w:spacing w:before="100" w:beforeAutospacing="1" w:after="100" w:afterAutospacing="1" w:line="276" w:lineRule="auto"/>
        <w:ind w:firstLine="482"/>
        <w:jc w:val="center"/>
        <w:rPr>
          <w:rFonts w:ascii="宋体" w:hAnsi="宋体" w:cs="宋体"/>
          <w:b/>
          <w:bCs/>
          <w:color w:val="000000"/>
        </w:rPr>
      </w:pPr>
    </w:p>
    <w:p>
      <w:pPr>
        <w:snapToGrid w:val="0"/>
        <w:spacing w:before="100" w:beforeAutospacing="1" w:after="100" w:afterAutospacing="1" w:line="276" w:lineRule="auto"/>
        <w:ind w:firstLine="482"/>
        <w:jc w:val="center"/>
        <w:rPr>
          <w:rFonts w:ascii="宋体" w:hAnsi="宋体" w:cs="宋体"/>
          <w:b/>
          <w:bCs/>
          <w:color w:val="000000"/>
        </w:rPr>
      </w:pPr>
      <w:r>
        <w:rPr>
          <w:rFonts w:hint="eastAsia" w:ascii="宋体" w:hAnsi="宋体" w:cs="宋体"/>
          <w:b/>
          <w:bCs/>
          <w:color w:val="000000"/>
        </w:rPr>
        <w:t>投标报价文件封面格式</w:t>
      </w:r>
    </w:p>
    <w:p>
      <w:pPr>
        <w:snapToGrid w:val="0"/>
        <w:spacing w:before="100" w:beforeAutospacing="1" w:after="100" w:afterAutospacing="1" w:line="276" w:lineRule="auto"/>
        <w:ind w:firstLine="480"/>
        <w:jc w:val="center"/>
        <w:rPr>
          <w:rFonts w:ascii="宋体" w:hAnsi="宋体" w:cs="宋体"/>
          <w:color w:val="000000"/>
          <w:szCs w:val="24"/>
        </w:rPr>
      </w:pPr>
    </w:p>
    <w:p>
      <w:pPr>
        <w:snapToGrid w:val="0"/>
        <w:spacing w:before="100" w:beforeAutospacing="1" w:after="100" w:afterAutospacing="1" w:line="276" w:lineRule="auto"/>
        <w:ind w:firstLine="480"/>
        <w:jc w:val="center"/>
        <w:rPr>
          <w:rFonts w:ascii="宋体" w:hAnsi="宋体" w:cs="宋体"/>
          <w:color w:val="000000"/>
          <w:szCs w:val="24"/>
        </w:rPr>
      </w:pPr>
      <w:r>
        <w:rPr>
          <w:rFonts w:hint="eastAsia" w:ascii="宋体" w:hAnsi="宋体" w:cs="宋体"/>
          <w:color w:val="000000"/>
          <w:szCs w:val="24"/>
        </w:rPr>
        <w:t>×××（投标人名称）</w:t>
      </w:r>
    </w:p>
    <w:p>
      <w:pPr>
        <w:snapToGrid w:val="0"/>
        <w:spacing w:before="100" w:beforeAutospacing="1" w:after="100" w:afterAutospacing="1" w:line="276" w:lineRule="auto"/>
        <w:ind w:firstLine="480"/>
        <w:jc w:val="center"/>
        <w:rPr>
          <w:rFonts w:ascii="宋体" w:hAnsi="宋体" w:cs="宋体"/>
          <w:color w:val="000000"/>
          <w:szCs w:val="24"/>
        </w:rPr>
      </w:pPr>
      <w:r>
        <w:rPr>
          <w:rFonts w:hint="eastAsia" w:ascii="宋体" w:hAnsi="宋体" w:cs="宋体"/>
          <w:color w:val="000000"/>
          <w:szCs w:val="24"/>
        </w:rPr>
        <w:t>投标报价文件</w:t>
      </w:r>
    </w:p>
    <w:p>
      <w:pPr>
        <w:snapToGrid w:val="0"/>
        <w:spacing w:before="100" w:beforeAutospacing="1" w:after="100" w:afterAutospacing="1" w:line="276" w:lineRule="auto"/>
        <w:ind w:firstLine="480"/>
        <w:rPr>
          <w:rFonts w:ascii="宋体" w:hAnsi="宋体" w:cs="宋体"/>
          <w:color w:val="000000"/>
          <w:szCs w:val="24"/>
        </w:rPr>
      </w:pP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项目名称：2023年城区信号灯路口配时优化项目</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项目编号：HZZX-2023-G</w:t>
      </w:r>
      <w:r>
        <w:rPr>
          <w:rFonts w:ascii="宋体" w:hAnsi="宋体" w:cs="宋体"/>
          <w:color w:val="000000"/>
          <w:szCs w:val="24"/>
        </w:rPr>
        <w:t>11</w:t>
      </w:r>
    </w:p>
    <w:p>
      <w:pPr>
        <w:snapToGrid w:val="0"/>
        <w:spacing w:before="100" w:beforeAutospacing="1" w:after="100" w:afterAutospacing="1" w:line="276" w:lineRule="auto"/>
        <w:ind w:firstLine="480"/>
        <w:rPr>
          <w:rFonts w:ascii="宋体" w:hAnsi="宋体" w:cs="宋体"/>
          <w:strike/>
          <w:color w:val="FF0000"/>
          <w:szCs w:val="24"/>
        </w:rPr>
      </w:pPr>
      <w:r>
        <w:rPr>
          <w:rFonts w:hint="eastAsia" w:ascii="宋体" w:hAnsi="宋体" w:cs="宋体"/>
          <w:color w:val="000000"/>
          <w:szCs w:val="24"/>
        </w:rPr>
        <w:t>投标人名称（盖章）：</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投标人地址：</w:t>
      </w:r>
    </w:p>
    <w:p>
      <w:pPr>
        <w:pStyle w:val="9"/>
        <w:snapToGrid w:val="0"/>
        <w:spacing w:before="100" w:beforeAutospacing="1" w:after="100" w:afterAutospacing="1" w:line="276" w:lineRule="auto"/>
        <w:ind w:firstLine="480"/>
        <w:rPr>
          <w:rFonts w:ascii="宋体" w:hAnsi="宋体" w:cs="宋体"/>
          <w:color w:val="000000"/>
          <w:sz w:val="24"/>
          <w:szCs w:val="24"/>
        </w:rPr>
      </w:pPr>
    </w:p>
    <w:p>
      <w:pPr>
        <w:pStyle w:val="9"/>
        <w:snapToGrid w:val="0"/>
        <w:spacing w:before="100" w:beforeAutospacing="1" w:after="100" w:afterAutospacing="1" w:line="276" w:lineRule="auto"/>
        <w:ind w:firstLine="720"/>
        <w:rPr>
          <w:rFonts w:ascii="宋体" w:hAnsi="宋体" w:cs="宋体"/>
          <w:color w:val="000000"/>
          <w:sz w:val="36"/>
          <w:szCs w:val="36"/>
        </w:rPr>
      </w:pP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 xml:space="preserve">                                       2023年  月  日</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br w:type="page"/>
      </w:r>
    </w:p>
    <w:p>
      <w:pPr>
        <w:snapToGrid w:val="0"/>
        <w:spacing w:before="100" w:beforeAutospacing="1" w:after="100" w:afterAutospacing="1" w:line="276" w:lineRule="auto"/>
        <w:ind w:firstLine="643"/>
        <w:jc w:val="center"/>
        <w:rPr>
          <w:rFonts w:ascii="宋体" w:hAnsi="宋体" w:cs="宋体"/>
          <w:b/>
          <w:bCs/>
          <w:color w:val="000000"/>
          <w:sz w:val="32"/>
          <w:szCs w:val="32"/>
        </w:rPr>
      </w:pPr>
      <w:r>
        <w:rPr>
          <w:rFonts w:hint="eastAsia" w:ascii="宋体" w:hAnsi="宋体" w:cs="宋体"/>
          <w:b/>
          <w:bCs/>
          <w:color w:val="000000"/>
          <w:sz w:val="32"/>
          <w:szCs w:val="32"/>
        </w:rPr>
        <w:t>二、资格文件要求的证明材料</w:t>
      </w:r>
    </w:p>
    <w:tbl>
      <w:tblPr>
        <w:tblStyle w:val="3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5564"/>
        <w:gridCol w:w="1807"/>
        <w:gridCol w:w="12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59"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序号</w:t>
            </w:r>
          </w:p>
        </w:tc>
        <w:tc>
          <w:tcPr>
            <w:tcW w:w="5564"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证明材料</w:t>
            </w:r>
          </w:p>
        </w:tc>
        <w:tc>
          <w:tcPr>
            <w:tcW w:w="1807"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所在页码</w:t>
            </w:r>
          </w:p>
        </w:tc>
        <w:tc>
          <w:tcPr>
            <w:tcW w:w="1298" w:type="dxa"/>
            <w:vAlign w:val="center"/>
          </w:tcPr>
          <w:p>
            <w:pPr>
              <w:snapToGrid w:val="0"/>
              <w:spacing w:before="100" w:beforeAutospacing="1" w:after="100" w:afterAutospacing="1" w:line="276" w:lineRule="auto"/>
              <w:ind w:firstLine="480"/>
              <w:jc w:val="center"/>
              <w:rPr>
                <w:rFonts w:ascii="宋体" w:hAnsi="宋体" w:cs="宋体"/>
                <w:color w:val="000000"/>
                <w:szCs w:val="24"/>
              </w:rPr>
            </w:pPr>
            <w:r>
              <w:rPr>
                <w:rFonts w:hint="eastAsia" w:ascii="宋体" w:hAnsi="宋体" w:cs="宋体"/>
                <w:color w:val="000000"/>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59"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1</w:t>
            </w:r>
          </w:p>
        </w:tc>
        <w:tc>
          <w:tcPr>
            <w:tcW w:w="5564" w:type="dxa"/>
            <w:vAlign w:val="center"/>
          </w:tcPr>
          <w:p>
            <w:pPr>
              <w:snapToGrid w:val="0"/>
              <w:spacing w:before="100" w:beforeAutospacing="1" w:after="100" w:afterAutospacing="1" w:line="276" w:lineRule="auto"/>
              <w:ind w:firstLine="0" w:firstLineChars="0"/>
              <w:rPr>
                <w:rFonts w:ascii="宋体" w:hAnsi="宋体" w:cs="宋体"/>
                <w:color w:val="000000"/>
                <w:szCs w:val="24"/>
              </w:rPr>
            </w:pPr>
            <w:r>
              <w:rPr>
                <w:rFonts w:hint="eastAsia" w:ascii="宋体" w:hAnsi="宋体" w:cs="宋体"/>
                <w:color w:val="000000"/>
                <w:szCs w:val="24"/>
              </w:rPr>
              <w:t>营业执照、法定代表人身份证</w:t>
            </w:r>
          </w:p>
        </w:tc>
        <w:tc>
          <w:tcPr>
            <w:tcW w:w="1807" w:type="dxa"/>
            <w:vAlign w:val="center"/>
          </w:tcPr>
          <w:p>
            <w:pPr>
              <w:snapToGrid w:val="0"/>
              <w:spacing w:before="100" w:beforeAutospacing="1" w:after="100" w:afterAutospacing="1" w:line="276" w:lineRule="auto"/>
              <w:ind w:firstLine="0" w:firstLineChars="0"/>
              <w:rPr>
                <w:rFonts w:ascii="宋体" w:hAnsi="宋体" w:cs="宋体"/>
                <w:color w:val="000000"/>
                <w:szCs w:val="24"/>
              </w:rPr>
            </w:pPr>
          </w:p>
        </w:tc>
        <w:tc>
          <w:tcPr>
            <w:tcW w:w="1298" w:type="dxa"/>
            <w:vAlign w:val="center"/>
          </w:tcPr>
          <w:p>
            <w:pPr>
              <w:snapToGrid w:val="0"/>
              <w:spacing w:before="100" w:beforeAutospacing="1" w:after="100" w:afterAutospacing="1" w:line="276" w:lineRule="auto"/>
              <w:ind w:firstLine="480"/>
              <w:rPr>
                <w:rFonts w:ascii="宋体" w:hAnsi="宋体" w:cs="宋体"/>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59"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2</w:t>
            </w:r>
          </w:p>
        </w:tc>
        <w:tc>
          <w:tcPr>
            <w:tcW w:w="5564" w:type="dxa"/>
            <w:vAlign w:val="center"/>
          </w:tcPr>
          <w:p>
            <w:pPr>
              <w:snapToGrid w:val="0"/>
              <w:spacing w:before="100" w:beforeAutospacing="1" w:after="100" w:afterAutospacing="1" w:line="276" w:lineRule="auto"/>
              <w:ind w:firstLine="0" w:firstLineChars="0"/>
              <w:rPr>
                <w:rFonts w:ascii="宋体" w:hAnsi="宋体" w:cs="宋体"/>
                <w:color w:val="000000"/>
                <w:szCs w:val="24"/>
              </w:rPr>
            </w:pPr>
            <w:r>
              <w:rPr>
                <w:rFonts w:hint="eastAsia" w:ascii="宋体" w:hAnsi="宋体" w:cs="宋体"/>
                <w:color w:val="000000"/>
                <w:szCs w:val="24"/>
              </w:rPr>
              <w:t>2022年度财务审计报告或投标截止时间前半年内任意一个月的资产负债表及利润表</w:t>
            </w:r>
            <w:r>
              <w:rPr>
                <w:rFonts w:hint="eastAsia" w:ascii="宋体" w:hAnsi="宋体" w:cs="宋体"/>
                <w:szCs w:val="24"/>
              </w:rPr>
              <w:t>或提供“承诺具有良好的商业信誉和健全的财务会计制度”的承诺函</w:t>
            </w:r>
          </w:p>
        </w:tc>
        <w:tc>
          <w:tcPr>
            <w:tcW w:w="1807" w:type="dxa"/>
            <w:vAlign w:val="center"/>
          </w:tcPr>
          <w:p>
            <w:pPr>
              <w:snapToGrid w:val="0"/>
              <w:spacing w:before="100" w:beforeAutospacing="1" w:after="100" w:afterAutospacing="1" w:line="276" w:lineRule="auto"/>
              <w:ind w:firstLine="0" w:firstLineChars="0"/>
              <w:rPr>
                <w:rFonts w:ascii="宋体" w:hAnsi="宋体" w:cs="宋体"/>
                <w:color w:val="000000"/>
                <w:szCs w:val="24"/>
              </w:rPr>
            </w:pPr>
          </w:p>
        </w:tc>
        <w:tc>
          <w:tcPr>
            <w:tcW w:w="1298" w:type="dxa"/>
            <w:vAlign w:val="center"/>
          </w:tcPr>
          <w:p>
            <w:pPr>
              <w:snapToGrid w:val="0"/>
              <w:spacing w:before="100" w:beforeAutospacing="1" w:after="100" w:afterAutospacing="1" w:line="276" w:lineRule="auto"/>
              <w:ind w:firstLine="480"/>
              <w:rPr>
                <w:rFonts w:ascii="宋体" w:hAnsi="宋体" w:cs="宋体"/>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59"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3</w:t>
            </w:r>
          </w:p>
        </w:tc>
        <w:tc>
          <w:tcPr>
            <w:tcW w:w="5564" w:type="dxa"/>
            <w:vAlign w:val="center"/>
          </w:tcPr>
          <w:p>
            <w:pPr>
              <w:snapToGrid w:val="0"/>
              <w:spacing w:before="100" w:beforeAutospacing="1" w:after="100" w:afterAutospacing="1" w:line="276" w:lineRule="auto"/>
              <w:ind w:firstLine="0" w:firstLineChars="0"/>
              <w:rPr>
                <w:rFonts w:ascii="宋体" w:hAnsi="宋体" w:cs="宋体"/>
                <w:color w:val="000000"/>
                <w:szCs w:val="24"/>
              </w:rPr>
            </w:pPr>
            <w:r>
              <w:rPr>
                <w:rFonts w:hint="eastAsia" w:ascii="宋体" w:hAnsi="宋体" w:cs="宋体"/>
                <w:color w:val="000000"/>
                <w:szCs w:val="24"/>
              </w:rPr>
              <w:t>具有履行合同所必需的设备和专业技术能力</w:t>
            </w:r>
          </w:p>
        </w:tc>
        <w:tc>
          <w:tcPr>
            <w:tcW w:w="1807" w:type="dxa"/>
            <w:vAlign w:val="center"/>
          </w:tcPr>
          <w:p>
            <w:pPr>
              <w:snapToGrid w:val="0"/>
              <w:spacing w:before="100" w:beforeAutospacing="1" w:after="100" w:afterAutospacing="1" w:line="276" w:lineRule="auto"/>
              <w:ind w:firstLine="0" w:firstLineChars="0"/>
              <w:rPr>
                <w:rFonts w:ascii="宋体" w:hAnsi="宋体" w:cs="宋体"/>
                <w:color w:val="000000"/>
                <w:szCs w:val="24"/>
              </w:rPr>
            </w:pPr>
          </w:p>
        </w:tc>
        <w:tc>
          <w:tcPr>
            <w:tcW w:w="1298" w:type="dxa"/>
            <w:vAlign w:val="center"/>
          </w:tcPr>
          <w:p>
            <w:pPr>
              <w:snapToGrid w:val="0"/>
              <w:spacing w:before="100" w:beforeAutospacing="1" w:after="100" w:afterAutospacing="1" w:line="276" w:lineRule="auto"/>
              <w:ind w:firstLine="480"/>
              <w:rPr>
                <w:rFonts w:ascii="宋体" w:hAnsi="宋体" w:cs="宋体"/>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59"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4</w:t>
            </w:r>
          </w:p>
        </w:tc>
        <w:tc>
          <w:tcPr>
            <w:tcW w:w="5564" w:type="dxa"/>
            <w:vAlign w:val="center"/>
          </w:tcPr>
          <w:p>
            <w:pPr>
              <w:ind w:firstLine="0" w:firstLineChars="0"/>
              <w:rPr>
                <w:rFonts w:ascii="宋体" w:hAnsi="宋体" w:cs="宋体"/>
              </w:rPr>
            </w:pPr>
            <w:r>
              <w:rPr>
                <w:rFonts w:hint="eastAsia" w:ascii="宋体" w:hAnsi="宋体" w:cs="宋体"/>
                <w:color w:val="000000"/>
                <w:szCs w:val="24"/>
              </w:rPr>
              <w:t>投标截止时间前</w:t>
            </w:r>
            <w:r>
              <w:rPr>
                <w:rFonts w:hint="eastAsia" w:ascii="宋体" w:hAnsi="宋体" w:cs="宋体"/>
              </w:rPr>
              <w:t>半年内</w:t>
            </w:r>
            <w:r>
              <w:rPr>
                <w:rFonts w:hint="eastAsia" w:ascii="宋体" w:hAnsi="宋体" w:cs="宋体"/>
                <w:color w:val="000000"/>
                <w:szCs w:val="24"/>
              </w:rPr>
              <w:t>任意一个月</w:t>
            </w:r>
            <w:r>
              <w:rPr>
                <w:rFonts w:hint="eastAsia" w:ascii="宋体" w:hAnsi="宋体" w:cs="宋体"/>
              </w:rPr>
              <w:t>的税收缴纳证明</w:t>
            </w:r>
          </w:p>
          <w:p>
            <w:pPr>
              <w:ind w:firstLine="0" w:firstLineChars="0"/>
              <w:rPr>
                <w:rFonts w:ascii="宋体" w:hAnsi="宋体" w:cs="宋体"/>
              </w:rPr>
            </w:pPr>
            <w:r>
              <w:rPr>
                <w:rFonts w:hint="eastAsia" w:ascii="宋体" w:hAnsi="宋体" w:cs="宋体"/>
              </w:rPr>
              <w:t>(税费凭证复印件或完税证明或依法免缴税费的证明或银行出具缴费凭证</w:t>
            </w:r>
            <w:r>
              <w:rPr>
                <w:rFonts w:hint="eastAsia" w:ascii="宋体" w:hAnsi="宋体" w:cs="宋体"/>
                <w:szCs w:val="24"/>
              </w:rPr>
              <w:t>或提供“承诺依法缴纳税收”的承诺函</w:t>
            </w:r>
            <w:r>
              <w:rPr>
                <w:rFonts w:hint="eastAsia" w:ascii="宋体" w:hAnsi="宋体" w:cs="宋体"/>
              </w:rPr>
              <w:t>)</w:t>
            </w:r>
          </w:p>
        </w:tc>
        <w:tc>
          <w:tcPr>
            <w:tcW w:w="1807" w:type="dxa"/>
            <w:vAlign w:val="center"/>
          </w:tcPr>
          <w:p>
            <w:pPr>
              <w:snapToGrid w:val="0"/>
              <w:spacing w:before="100" w:beforeAutospacing="1" w:after="100" w:afterAutospacing="1" w:line="276" w:lineRule="auto"/>
              <w:ind w:firstLine="0" w:firstLineChars="0"/>
              <w:rPr>
                <w:rFonts w:ascii="宋体" w:hAnsi="宋体" w:cs="宋体"/>
                <w:color w:val="000000"/>
                <w:szCs w:val="24"/>
              </w:rPr>
            </w:pPr>
          </w:p>
        </w:tc>
        <w:tc>
          <w:tcPr>
            <w:tcW w:w="1298" w:type="dxa"/>
            <w:vAlign w:val="center"/>
          </w:tcPr>
          <w:p>
            <w:pPr>
              <w:snapToGrid w:val="0"/>
              <w:spacing w:before="100" w:beforeAutospacing="1" w:after="100" w:afterAutospacing="1" w:line="276" w:lineRule="auto"/>
              <w:ind w:firstLine="480"/>
              <w:rPr>
                <w:rFonts w:ascii="宋体" w:hAnsi="宋体" w:cs="宋体"/>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59"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5</w:t>
            </w:r>
          </w:p>
        </w:tc>
        <w:tc>
          <w:tcPr>
            <w:tcW w:w="5564" w:type="dxa"/>
            <w:vAlign w:val="center"/>
          </w:tcPr>
          <w:p>
            <w:pPr>
              <w:ind w:firstLine="0" w:firstLineChars="0"/>
              <w:rPr>
                <w:rFonts w:ascii="宋体" w:hAnsi="宋体" w:cs="宋体"/>
              </w:rPr>
            </w:pPr>
            <w:r>
              <w:rPr>
                <w:rFonts w:hint="eastAsia" w:ascii="宋体" w:hAnsi="宋体" w:cs="宋体"/>
                <w:color w:val="000000"/>
                <w:szCs w:val="24"/>
              </w:rPr>
              <w:t>投标截止时间前</w:t>
            </w:r>
            <w:r>
              <w:rPr>
                <w:rFonts w:hint="eastAsia" w:ascii="宋体" w:hAnsi="宋体" w:cs="宋体"/>
              </w:rPr>
              <w:t>半年内</w:t>
            </w:r>
            <w:r>
              <w:rPr>
                <w:rFonts w:hint="eastAsia" w:ascii="宋体" w:hAnsi="宋体" w:cs="宋体"/>
                <w:color w:val="000000"/>
                <w:szCs w:val="24"/>
              </w:rPr>
              <w:t>任意一个月</w:t>
            </w:r>
            <w:r>
              <w:rPr>
                <w:rFonts w:hint="eastAsia" w:ascii="宋体" w:hAnsi="宋体" w:cs="宋体"/>
              </w:rPr>
              <w:t>的社会保障缴纳证明</w:t>
            </w:r>
            <w:r>
              <w:rPr>
                <w:rFonts w:hint="eastAsia" w:ascii="宋体" w:hAnsi="宋体" w:cs="宋体"/>
                <w:szCs w:val="24"/>
              </w:rPr>
              <w:t>(社会保险参保证明或银行出具缴费凭证或提供“承诺依法缴纳社保”的承诺函)</w:t>
            </w:r>
          </w:p>
        </w:tc>
        <w:tc>
          <w:tcPr>
            <w:tcW w:w="1807" w:type="dxa"/>
            <w:vAlign w:val="center"/>
          </w:tcPr>
          <w:p>
            <w:pPr>
              <w:snapToGrid w:val="0"/>
              <w:spacing w:before="100" w:beforeAutospacing="1" w:after="100" w:afterAutospacing="1" w:line="276" w:lineRule="auto"/>
              <w:ind w:firstLine="480"/>
              <w:rPr>
                <w:rFonts w:ascii="宋体" w:hAnsi="宋体" w:cs="宋体"/>
                <w:color w:val="000000"/>
                <w:szCs w:val="24"/>
              </w:rPr>
            </w:pPr>
          </w:p>
        </w:tc>
        <w:tc>
          <w:tcPr>
            <w:tcW w:w="1298" w:type="dxa"/>
            <w:vAlign w:val="center"/>
          </w:tcPr>
          <w:p>
            <w:pPr>
              <w:snapToGrid w:val="0"/>
              <w:spacing w:before="100" w:beforeAutospacing="1" w:after="100" w:afterAutospacing="1" w:line="276" w:lineRule="auto"/>
              <w:ind w:firstLine="480"/>
              <w:rPr>
                <w:rFonts w:ascii="宋体" w:hAnsi="宋体" w:cs="宋体"/>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59"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6</w:t>
            </w:r>
          </w:p>
        </w:tc>
        <w:tc>
          <w:tcPr>
            <w:tcW w:w="5564" w:type="dxa"/>
            <w:vAlign w:val="center"/>
          </w:tcPr>
          <w:p>
            <w:pPr>
              <w:snapToGrid w:val="0"/>
              <w:spacing w:before="100" w:beforeAutospacing="1" w:after="100" w:afterAutospacing="1" w:line="276" w:lineRule="auto"/>
              <w:ind w:firstLine="0" w:firstLineChars="0"/>
              <w:rPr>
                <w:rFonts w:ascii="宋体" w:hAnsi="宋体" w:cs="宋体"/>
                <w:color w:val="000000"/>
                <w:szCs w:val="24"/>
              </w:rPr>
            </w:pPr>
            <w:r>
              <w:rPr>
                <w:rFonts w:hint="eastAsia" w:ascii="宋体" w:hAnsi="宋体" w:cs="宋体"/>
                <w:color w:val="000000"/>
                <w:szCs w:val="24"/>
              </w:rPr>
              <w:t>未被“信用中国”（www.creditchina.gov.cn）、中国政府采购网（www.ccgp.gov.cn/search/cr/）列入失信被执行人、重大税收违法案件当事人名单、政府采购严重违法失信行为记录名单</w:t>
            </w:r>
          </w:p>
        </w:tc>
        <w:tc>
          <w:tcPr>
            <w:tcW w:w="1807" w:type="dxa"/>
            <w:vAlign w:val="center"/>
          </w:tcPr>
          <w:p>
            <w:pPr>
              <w:snapToGrid w:val="0"/>
              <w:spacing w:before="100" w:beforeAutospacing="1" w:after="100" w:afterAutospacing="1" w:line="276" w:lineRule="auto"/>
              <w:ind w:firstLine="0" w:firstLineChars="0"/>
              <w:rPr>
                <w:rFonts w:ascii="宋体" w:hAnsi="宋体" w:cs="宋体"/>
                <w:b/>
                <w:color w:val="000000"/>
                <w:szCs w:val="24"/>
              </w:rPr>
            </w:pPr>
            <w:r>
              <w:rPr>
                <w:rFonts w:hint="eastAsia" w:ascii="宋体" w:hAnsi="宋体" w:cs="宋体"/>
                <w:b/>
                <w:color w:val="000000"/>
                <w:szCs w:val="24"/>
              </w:rPr>
              <w:t>该项开标当日由资格审核人员网上查询，供应商不需提供</w:t>
            </w:r>
          </w:p>
        </w:tc>
        <w:tc>
          <w:tcPr>
            <w:tcW w:w="1298" w:type="dxa"/>
            <w:vAlign w:val="center"/>
          </w:tcPr>
          <w:p>
            <w:pPr>
              <w:snapToGrid w:val="0"/>
              <w:spacing w:before="100" w:beforeAutospacing="1" w:after="100" w:afterAutospacing="1" w:line="276" w:lineRule="auto"/>
              <w:ind w:firstLine="480"/>
              <w:rPr>
                <w:rFonts w:ascii="宋体" w:hAnsi="宋体" w:cs="宋体"/>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959" w:type="dxa"/>
            <w:vAlign w:val="center"/>
          </w:tcPr>
          <w:p>
            <w:pPr>
              <w:snapToGrid w:val="0"/>
              <w:spacing w:before="100" w:beforeAutospacing="1" w:after="100" w:afterAutospacing="1" w:line="276" w:lineRule="auto"/>
              <w:ind w:firstLine="0" w:firstLineChars="0"/>
              <w:jc w:val="center"/>
              <w:rPr>
                <w:rFonts w:ascii="宋体" w:hAnsi="宋体" w:cs="宋体"/>
                <w:szCs w:val="24"/>
              </w:rPr>
            </w:pPr>
            <w:r>
              <w:rPr>
                <w:rFonts w:hint="eastAsia" w:ascii="宋体" w:hAnsi="宋体" w:cs="宋体"/>
                <w:szCs w:val="24"/>
              </w:rPr>
              <w:t>7</w:t>
            </w:r>
          </w:p>
        </w:tc>
        <w:tc>
          <w:tcPr>
            <w:tcW w:w="5564" w:type="dxa"/>
            <w:vAlign w:val="center"/>
          </w:tcPr>
          <w:p>
            <w:pPr>
              <w:snapToGrid w:val="0"/>
              <w:spacing w:before="100" w:beforeAutospacing="1" w:after="100" w:afterAutospacing="1" w:line="276" w:lineRule="auto"/>
              <w:ind w:firstLine="0" w:firstLineChars="0"/>
              <w:rPr>
                <w:rFonts w:ascii="宋体" w:hAnsi="宋体" w:cs="宋体"/>
                <w:szCs w:val="24"/>
              </w:rPr>
            </w:pPr>
            <w:r>
              <w:rPr>
                <w:rFonts w:hint="eastAsia" w:ascii="宋体" w:hAnsi="宋体" w:cs="宋体"/>
              </w:rPr>
              <w:t>中小企业声明函或监狱和戒毒企业企业证明材料或残疾人福利性单位声明函（格式见第六章）</w:t>
            </w:r>
          </w:p>
        </w:tc>
        <w:tc>
          <w:tcPr>
            <w:tcW w:w="1807" w:type="dxa"/>
            <w:vAlign w:val="center"/>
          </w:tcPr>
          <w:p>
            <w:pPr>
              <w:snapToGrid w:val="0"/>
              <w:spacing w:before="100" w:beforeAutospacing="1" w:after="100" w:afterAutospacing="1" w:line="276" w:lineRule="auto"/>
              <w:ind w:firstLine="0" w:firstLineChars="0"/>
              <w:rPr>
                <w:rFonts w:ascii="宋体" w:hAnsi="宋体" w:cs="宋体"/>
                <w:b/>
                <w:color w:val="000000"/>
                <w:szCs w:val="24"/>
              </w:rPr>
            </w:pPr>
          </w:p>
        </w:tc>
        <w:tc>
          <w:tcPr>
            <w:tcW w:w="1298" w:type="dxa"/>
            <w:vAlign w:val="center"/>
          </w:tcPr>
          <w:p>
            <w:pPr>
              <w:snapToGrid w:val="0"/>
              <w:spacing w:before="100" w:beforeAutospacing="1" w:after="100" w:afterAutospacing="1" w:line="276" w:lineRule="auto"/>
              <w:ind w:firstLine="480"/>
              <w:rPr>
                <w:rFonts w:ascii="宋体" w:hAnsi="宋体" w:cs="宋体"/>
                <w:color w:val="000000"/>
                <w:szCs w:val="24"/>
              </w:rPr>
            </w:pPr>
          </w:p>
        </w:tc>
      </w:tr>
    </w:tbl>
    <w:p>
      <w:pPr>
        <w:spacing w:line="300" w:lineRule="auto"/>
        <w:ind w:firstLine="235" w:firstLineChars="98"/>
        <w:rPr>
          <w:rFonts w:ascii="宋体" w:hAnsi="宋体"/>
          <w:color w:val="000000"/>
          <w:szCs w:val="24"/>
        </w:rPr>
      </w:pPr>
      <w:r>
        <w:rPr>
          <w:rFonts w:hint="eastAsia" w:ascii="宋体" w:hAnsi="宋体"/>
          <w:color w:val="000000"/>
          <w:szCs w:val="24"/>
        </w:rPr>
        <w:t>注：1.以上所有资料均需加盖供应商公章。</w:t>
      </w:r>
    </w:p>
    <w:p>
      <w:pPr>
        <w:spacing w:line="300" w:lineRule="auto"/>
        <w:ind w:firstLine="235" w:firstLineChars="98"/>
        <w:rPr>
          <w:rFonts w:ascii="宋体" w:hAnsi="宋体"/>
          <w:b/>
          <w:color w:val="000000"/>
          <w:szCs w:val="24"/>
        </w:rPr>
        <w:sectPr>
          <w:pgSz w:w="11906" w:h="16838"/>
          <w:pgMar w:top="1418" w:right="1077" w:bottom="1418" w:left="1077" w:header="851" w:footer="992" w:gutter="340"/>
          <w:cols w:space="720" w:num="1"/>
          <w:docGrid w:linePitch="381" w:charSpace="0"/>
        </w:sectPr>
      </w:pPr>
      <w:r>
        <w:rPr>
          <w:rFonts w:hint="eastAsia" w:ascii="宋体" w:hAnsi="宋体"/>
          <w:color w:val="000000"/>
          <w:szCs w:val="24"/>
        </w:rPr>
        <w:t>2.上表序号2至5如提供承诺函的格式自拟，</w:t>
      </w:r>
      <w:r>
        <w:rPr>
          <w:rFonts w:hint="eastAsia" w:ascii="宋体" w:hAnsi="宋体"/>
          <w:b/>
          <w:color w:val="000000"/>
          <w:szCs w:val="24"/>
        </w:rPr>
        <w:t>但须在承诺函的结尾处表述“本单位对上述承诺的真实性负责。如有虚假，将依法承担相应责任</w:t>
      </w:r>
      <w:r>
        <w:rPr>
          <w:rFonts w:ascii="宋体" w:hAnsi="宋体"/>
          <w:b/>
          <w:color w:val="000000"/>
          <w:szCs w:val="24"/>
        </w:rPr>
        <w:t>”</w:t>
      </w:r>
      <w:r>
        <w:rPr>
          <w:rFonts w:hint="eastAsia" w:ascii="宋体" w:hAnsi="宋体"/>
          <w:b/>
          <w:color w:val="000000"/>
          <w:szCs w:val="24"/>
        </w:rPr>
        <w:t>，未表述上述内容的视为未提供。</w:t>
      </w:r>
    </w:p>
    <w:p>
      <w:pPr>
        <w:spacing w:line="300" w:lineRule="auto"/>
        <w:ind w:firstLine="315" w:firstLineChars="98"/>
        <w:jc w:val="center"/>
        <w:rPr>
          <w:rFonts w:ascii="宋体" w:hAnsi="宋体" w:cs="宋体"/>
          <w:b/>
          <w:bCs/>
          <w:sz w:val="32"/>
          <w:szCs w:val="32"/>
        </w:rPr>
      </w:pPr>
      <w:r>
        <w:rPr>
          <w:rFonts w:hint="eastAsia" w:ascii="宋体" w:hAnsi="宋体" w:cs="宋体"/>
          <w:b/>
          <w:bCs/>
          <w:sz w:val="32"/>
          <w:szCs w:val="32"/>
        </w:rPr>
        <w:t>三、中小企业声明函（服务）格式</w:t>
      </w:r>
    </w:p>
    <w:p>
      <w:pPr>
        <w:spacing w:line="300" w:lineRule="auto"/>
        <w:ind w:firstLine="315" w:firstLineChars="98"/>
        <w:jc w:val="center"/>
        <w:rPr>
          <w:rFonts w:ascii="宋体" w:hAnsi="宋体" w:cs="宋体"/>
          <w:b/>
          <w:bCs/>
          <w:sz w:val="32"/>
          <w:szCs w:val="32"/>
        </w:rPr>
      </w:pPr>
    </w:p>
    <w:p>
      <w:pPr>
        <w:spacing w:line="300" w:lineRule="auto"/>
        <w:ind w:firstLine="315" w:firstLineChars="98"/>
        <w:jc w:val="center"/>
        <w:rPr>
          <w:rFonts w:ascii="宋体" w:hAnsi="宋体" w:cs="宋体"/>
          <w:b/>
          <w:bCs/>
          <w:sz w:val="32"/>
          <w:szCs w:val="32"/>
        </w:rPr>
      </w:pPr>
      <w:r>
        <w:rPr>
          <w:rFonts w:hint="eastAsia" w:ascii="宋体" w:hAnsi="宋体" w:cs="宋体"/>
          <w:b/>
          <w:bCs/>
          <w:sz w:val="32"/>
          <w:szCs w:val="32"/>
        </w:rPr>
        <w:t>中小企业声明函（服务）</w:t>
      </w:r>
    </w:p>
    <w:p>
      <w:pPr>
        <w:spacing w:line="300" w:lineRule="auto"/>
        <w:ind w:firstLine="315" w:firstLineChars="98"/>
        <w:jc w:val="center"/>
        <w:rPr>
          <w:rFonts w:ascii="宋体" w:hAnsi="宋体" w:cs="宋体"/>
          <w:b/>
          <w:bCs/>
          <w:sz w:val="32"/>
          <w:szCs w:val="32"/>
        </w:rPr>
      </w:pPr>
    </w:p>
    <w:p>
      <w:pPr>
        <w:pStyle w:val="14"/>
        <w:autoSpaceDE w:val="0"/>
        <w:autoSpaceDN w:val="0"/>
        <w:ind w:right="-54" w:firstLine="480"/>
        <w:rPr>
          <w:rFonts w:ascii="宋体" w:hAnsi="宋体" w:cs="宋体"/>
        </w:rPr>
      </w:pPr>
      <w:r>
        <w:rPr>
          <w:rFonts w:hint="eastAsia" w:ascii="宋体" w:hAnsi="宋体" w:cs="宋体"/>
        </w:rPr>
        <w:t>本公司郑重声明，根据《政府采购促进中小企业发展管理办法》（财库﹝2020﹞46 号）的规定，本公司参加</w:t>
      </w:r>
      <w:r>
        <w:rPr>
          <w:rFonts w:hint="eastAsia"/>
          <w:u w:val="single"/>
        </w:rPr>
        <w:t>（嘉善县公安局交通警察大队）</w:t>
      </w:r>
      <w:r>
        <w:rPr>
          <w:rFonts w:hint="eastAsia"/>
        </w:rPr>
        <w:t>的</w:t>
      </w:r>
      <w:r>
        <w:rPr>
          <w:rFonts w:hint="eastAsia"/>
          <w:u w:val="single"/>
        </w:rPr>
        <w:t>（</w:t>
      </w:r>
      <w:r>
        <w:rPr>
          <w:rFonts w:hint="eastAsia" w:ascii="宋体" w:hAnsi="宋体" w:cs="宋体"/>
          <w:color w:val="000000"/>
          <w:u w:val="single"/>
        </w:rPr>
        <w:t>2023年城区信号灯路口配时优化项目</w:t>
      </w:r>
      <w:r>
        <w:rPr>
          <w:rFonts w:hint="eastAsia"/>
          <w:u w:val="single"/>
        </w:rPr>
        <w:t>）</w:t>
      </w:r>
      <w:r>
        <w:rPr>
          <w:rFonts w:hint="eastAsia" w:ascii="宋体" w:hAnsi="宋体" w:cs="宋体"/>
        </w:rPr>
        <w:t>采购活动，</w:t>
      </w:r>
      <w:r>
        <w:rPr>
          <w:rFonts w:hint="eastAsia" w:ascii="宋体" w:hAnsi="宋体" w:cs="宋体"/>
          <w:b/>
          <w:bCs/>
        </w:rPr>
        <w:t>服务全部由符合政策要求的中小企业承接。</w:t>
      </w:r>
      <w:r>
        <w:rPr>
          <w:rFonts w:hint="eastAsia" w:ascii="宋体" w:hAnsi="宋体" w:cs="宋体"/>
        </w:rPr>
        <w:t>企业的具体情况如下：</w:t>
      </w:r>
    </w:p>
    <w:p>
      <w:pPr>
        <w:pStyle w:val="82"/>
        <w:tabs>
          <w:tab w:val="left" w:pos="1243"/>
        </w:tabs>
        <w:autoSpaceDE w:val="0"/>
        <w:autoSpaceDN w:val="0"/>
        <w:ind w:left="19" w:firstLine="480"/>
        <w:rPr>
          <w:rFonts w:ascii="宋体" w:hAnsi="宋体" w:cs="宋体"/>
          <w:sz w:val="24"/>
          <w:szCs w:val="24"/>
        </w:rPr>
      </w:pPr>
      <w:r>
        <w:rPr>
          <w:rFonts w:hint="eastAsia" w:ascii="宋体" w:hAnsi="宋体" w:cs="宋体"/>
          <w:sz w:val="24"/>
          <w:szCs w:val="24"/>
          <w:u w:val="single"/>
        </w:rPr>
        <w:t>（</w:t>
      </w:r>
      <w:r>
        <w:rPr>
          <w:rFonts w:hint="eastAsia" w:ascii="宋体" w:hAnsi="宋体" w:cs="宋体"/>
          <w:color w:val="000000"/>
          <w:sz w:val="24"/>
          <w:szCs w:val="24"/>
          <w:u w:val="single"/>
        </w:rPr>
        <w:t>2023年城区信号灯路口配时优化项目</w:t>
      </w:r>
      <w:r>
        <w:rPr>
          <w:rFonts w:hint="eastAsia" w:ascii="宋体" w:hAnsi="宋体" w:cs="宋体"/>
          <w:sz w:val="24"/>
          <w:szCs w:val="24"/>
          <w:u w:val="single"/>
        </w:rPr>
        <w:t>）</w:t>
      </w:r>
      <w:r>
        <w:rPr>
          <w:rFonts w:hint="eastAsia" w:ascii="宋体" w:hAnsi="宋体" w:cs="宋体"/>
          <w:w w:val="99"/>
          <w:sz w:val="24"/>
          <w:szCs w:val="24"/>
        </w:rPr>
        <w:t>，</w:t>
      </w:r>
      <w:r>
        <w:rPr>
          <w:rFonts w:hint="eastAsia" w:ascii="宋体" w:hAnsi="宋体" w:cs="宋体"/>
          <w:sz w:val="24"/>
          <w:szCs w:val="24"/>
        </w:rPr>
        <w:t>属于（</w:t>
      </w:r>
      <w:r>
        <w:rPr>
          <w:rFonts w:hint="eastAsia" w:ascii="宋体" w:hAnsi="宋体" w:cs="宋体"/>
          <w:sz w:val="24"/>
          <w:szCs w:val="24"/>
          <w:u w:val="single"/>
        </w:rPr>
        <w:t>软件和信息技术服务业</w:t>
      </w:r>
      <w:r>
        <w:rPr>
          <w:rFonts w:hint="eastAsia" w:ascii="宋体" w:hAnsi="宋体" w:cs="宋体"/>
          <w:sz w:val="24"/>
          <w:szCs w:val="24"/>
        </w:rPr>
        <w:t>）；承建（承接）企业为</w:t>
      </w:r>
      <w:r>
        <w:rPr>
          <w:rFonts w:hint="eastAsia" w:ascii="宋体" w:hAnsi="宋体" w:cs="宋体"/>
          <w:sz w:val="24"/>
          <w:szCs w:val="24"/>
          <w:u w:val="single"/>
        </w:rPr>
        <w:t>（企业名称）</w:t>
      </w:r>
      <w:r>
        <w:rPr>
          <w:rFonts w:hint="eastAsia" w:ascii="宋体" w:hAnsi="宋体" w:cs="宋体"/>
          <w:sz w:val="24"/>
          <w:szCs w:val="24"/>
        </w:rPr>
        <w:t>，从业人员</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u w:val="single"/>
        </w:rPr>
        <w:t xml:space="preserve"> </w:t>
      </w:r>
      <w:r>
        <w:rPr>
          <w:rFonts w:hint="eastAsia" w:ascii="宋体" w:hAnsi="宋体" w:cs="宋体"/>
          <w:sz w:val="24"/>
          <w:szCs w:val="24"/>
        </w:rPr>
        <w:t>人，营业收入为</w:t>
      </w:r>
      <w:r>
        <w:rPr>
          <w:rFonts w:hint="eastAsia" w:ascii="宋体" w:hAnsi="宋体" w:cs="宋体"/>
          <w:sz w:val="24"/>
          <w:szCs w:val="24"/>
          <w:u w:val="single"/>
        </w:rPr>
        <w:t xml:space="preserve">     </w:t>
      </w:r>
      <w:r>
        <w:rPr>
          <w:rFonts w:hint="eastAsia" w:ascii="宋体" w:hAnsi="宋体" w:cs="宋体"/>
          <w:sz w:val="24"/>
          <w:szCs w:val="24"/>
        </w:rPr>
        <w:t>万元，资产总额为</w:t>
      </w:r>
      <w:r>
        <w:rPr>
          <w:rFonts w:hint="eastAsia" w:ascii="宋体" w:hAnsi="宋体" w:cs="宋体"/>
          <w:sz w:val="24"/>
          <w:szCs w:val="24"/>
          <w:u w:val="single"/>
        </w:rPr>
        <w:t xml:space="preserve">      </w:t>
      </w:r>
      <w:r>
        <w:rPr>
          <w:rFonts w:hint="eastAsia" w:ascii="宋体" w:hAnsi="宋体" w:cs="宋体"/>
          <w:sz w:val="24"/>
          <w:szCs w:val="24"/>
        </w:rPr>
        <w:t>万元，属于</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u w:val="single"/>
        </w:rPr>
        <w:t xml:space="preserve">          （中型企业/小型企业/微型企业</w:t>
      </w:r>
      <w:r>
        <w:rPr>
          <w:rFonts w:hint="eastAsia" w:ascii="宋体" w:hAnsi="宋体" w:cs="宋体"/>
          <w:sz w:val="24"/>
          <w:szCs w:val="24"/>
        </w:rPr>
        <w:t>）。</w:t>
      </w:r>
    </w:p>
    <w:p>
      <w:pPr>
        <w:pStyle w:val="14"/>
        <w:autoSpaceDE w:val="0"/>
        <w:autoSpaceDN w:val="0"/>
        <w:spacing w:before="108"/>
        <w:ind w:right="-54" w:firstLine="480"/>
        <w:rPr>
          <w:rFonts w:ascii="宋体" w:hAnsi="宋体" w:cs="宋体"/>
        </w:rPr>
      </w:pPr>
      <w:r>
        <w:rPr>
          <w:rFonts w:hint="eastAsia" w:ascii="宋体" w:hAnsi="宋体" w:cs="宋体"/>
        </w:rPr>
        <w:t>以上企业，不属于大企业的分支机构，不存在控股股东为大企业的情形，也不存在与大企业的负责人为同一人的情形。</w:t>
      </w:r>
    </w:p>
    <w:p>
      <w:pPr>
        <w:pStyle w:val="14"/>
        <w:autoSpaceDE w:val="0"/>
        <w:autoSpaceDN w:val="0"/>
        <w:ind w:right="-54" w:firstLine="480"/>
        <w:rPr>
          <w:rFonts w:ascii="宋体" w:hAnsi="宋体" w:cs="宋体"/>
        </w:rPr>
      </w:pPr>
      <w:r>
        <w:rPr>
          <w:rFonts w:hint="eastAsia" w:ascii="宋体" w:hAnsi="宋体" w:cs="宋体"/>
        </w:rPr>
        <w:t>本企业对上述声明内容的真实性负责。如有虚假，将依法承担相应责任。</w:t>
      </w:r>
    </w:p>
    <w:p>
      <w:pPr>
        <w:pStyle w:val="14"/>
        <w:autoSpaceDE w:val="0"/>
        <w:autoSpaceDN w:val="0"/>
        <w:spacing w:before="29"/>
        <w:ind w:left="4060" w:right="-54" w:firstLine="473"/>
        <w:rPr>
          <w:rFonts w:ascii="宋体" w:hAnsi="宋体" w:cs="宋体"/>
          <w:w w:val="99"/>
        </w:rPr>
      </w:pPr>
    </w:p>
    <w:p>
      <w:pPr>
        <w:pStyle w:val="14"/>
        <w:autoSpaceDE w:val="0"/>
        <w:autoSpaceDN w:val="0"/>
        <w:spacing w:before="29"/>
        <w:ind w:left="4060" w:right="-54" w:firstLine="473"/>
        <w:rPr>
          <w:rFonts w:ascii="宋体" w:hAnsi="宋体" w:cs="宋体"/>
          <w:w w:val="99"/>
        </w:rPr>
      </w:pPr>
    </w:p>
    <w:p>
      <w:pPr>
        <w:pStyle w:val="14"/>
        <w:autoSpaceDE w:val="0"/>
        <w:autoSpaceDN w:val="0"/>
        <w:spacing w:before="29"/>
        <w:ind w:left="4060" w:right="-54" w:firstLine="480"/>
        <w:rPr>
          <w:rFonts w:ascii="宋体" w:hAnsi="宋体" w:cs="宋体"/>
          <w:w w:val="99"/>
        </w:rPr>
      </w:pPr>
      <w:r>
        <w:rPr>
          <w:rFonts w:hint="eastAsia"/>
        </w:rPr>
        <w:t>企业名称（盖章）：</w:t>
      </w:r>
      <w:r>
        <w:rPr>
          <w:rFonts w:hint="eastAsia" w:ascii="宋体" w:hAnsi="宋体" w:cs="宋体"/>
        </w:rPr>
        <w:t>___________</w:t>
      </w:r>
    </w:p>
    <w:p>
      <w:pPr>
        <w:pStyle w:val="14"/>
        <w:autoSpaceDE w:val="0"/>
        <w:autoSpaceDN w:val="0"/>
        <w:spacing w:before="29"/>
        <w:ind w:left="4060" w:right="-54" w:firstLine="480"/>
        <w:rPr>
          <w:rFonts w:ascii="宋体" w:hAnsi="宋体" w:cs="宋体"/>
        </w:rPr>
      </w:pPr>
      <w:r>
        <w:rPr>
          <w:rFonts w:hint="eastAsia" w:ascii="宋体" w:hAnsi="宋体" w:cs="宋体"/>
        </w:rPr>
        <w:t>日期：___________</w:t>
      </w:r>
    </w:p>
    <w:p>
      <w:pPr>
        <w:pStyle w:val="14"/>
        <w:autoSpaceDE w:val="0"/>
        <w:autoSpaceDN w:val="0"/>
        <w:spacing w:before="29"/>
        <w:ind w:left="4060" w:right="-54" w:firstLine="480"/>
        <w:rPr>
          <w:rFonts w:ascii="宋体" w:hAnsi="宋体" w:cs="宋体"/>
        </w:rPr>
      </w:pPr>
    </w:p>
    <w:p>
      <w:pPr>
        <w:pStyle w:val="14"/>
        <w:autoSpaceDE w:val="0"/>
        <w:autoSpaceDN w:val="0"/>
        <w:spacing w:before="29"/>
        <w:ind w:left="4060" w:right="-54" w:firstLine="480"/>
        <w:rPr>
          <w:rFonts w:ascii="宋体" w:hAnsi="宋体" w:cs="宋体"/>
        </w:rPr>
      </w:pPr>
    </w:p>
    <w:p>
      <w:pPr>
        <w:spacing w:line="300" w:lineRule="auto"/>
        <w:ind w:firstLine="480"/>
        <w:rPr>
          <w:rFonts w:ascii="宋体" w:hAnsi="宋体" w:cs="宋体"/>
        </w:rPr>
      </w:pPr>
      <w:r>
        <w:rPr>
          <w:rFonts w:hint="eastAsia" w:ascii="宋体" w:hAnsi="宋体" w:cs="宋体"/>
        </w:rPr>
        <w:t>注：1.从业人员、营业收入、资产总额填报上一年度数据，无上一年度数据的新成立企业可不填报。</w:t>
      </w:r>
    </w:p>
    <w:p>
      <w:pPr>
        <w:spacing w:line="300" w:lineRule="auto"/>
        <w:ind w:firstLine="480"/>
        <w:rPr>
          <w:rFonts w:ascii="宋体" w:hAnsi="宋体" w:cs="宋体"/>
          <w:color w:val="000000"/>
          <w:szCs w:val="24"/>
          <w:u w:val="single"/>
        </w:rPr>
      </w:pPr>
      <w:r>
        <w:rPr>
          <w:rFonts w:hint="eastAsia" w:ascii="宋体" w:hAnsi="宋体" w:cs="宋体"/>
          <w:szCs w:val="24"/>
        </w:rPr>
        <w:t>2.本采购标的对应的所属行业：</w:t>
      </w:r>
      <w:r>
        <w:rPr>
          <w:rFonts w:hint="eastAsia" w:ascii="宋体" w:hAnsi="宋体" w:cs="宋体"/>
          <w:color w:val="000000"/>
          <w:szCs w:val="24"/>
          <w:u w:val="single"/>
        </w:rPr>
        <w:t>软件和信息技术服务业</w:t>
      </w:r>
    </w:p>
    <w:p>
      <w:pPr>
        <w:spacing w:line="300" w:lineRule="auto"/>
        <w:ind w:firstLine="482"/>
        <w:rPr>
          <w:rFonts w:ascii="宋体" w:hAnsi="宋体" w:cs="宋体"/>
          <w:b/>
          <w:bCs/>
        </w:rPr>
      </w:pPr>
      <w:r>
        <w:rPr>
          <w:rFonts w:hint="eastAsia" w:ascii="宋体" w:hAnsi="宋体" w:cs="宋体"/>
          <w:b/>
          <w:bCs/>
        </w:rPr>
        <w:t>3.符合《关于促进残疾人就业政府采购政策的通知》（财库〔2017〕141号）规定的条件并提供《残疾人福利性单位声明函》的残疾人福利性单位视同小型、微型企业；</w:t>
      </w:r>
    </w:p>
    <w:p>
      <w:pPr>
        <w:spacing w:line="300" w:lineRule="auto"/>
        <w:ind w:firstLine="482"/>
        <w:rPr>
          <w:rFonts w:ascii="宋体" w:hAnsi="宋体" w:cs="宋体"/>
          <w:b/>
          <w:bCs/>
        </w:rPr>
      </w:pPr>
      <w:r>
        <w:rPr>
          <w:rFonts w:hint="eastAsia" w:ascii="宋体" w:hAnsi="宋体" w:cs="宋体"/>
          <w:b/>
          <w:bCs/>
        </w:rPr>
        <w:t>4.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00" w:lineRule="auto"/>
        <w:ind w:firstLine="480"/>
        <w:rPr>
          <w:rFonts w:ascii="宋体" w:hAnsi="宋体" w:cs="宋体"/>
        </w:rPr>
      </w:pPr>
    </w:p>
    <w:p>
      <w:pPr>
        <w:spacing w:line="300" w:lineRule="auto"/>
        <w:ind w:firstLine="480"/>
        <w:rPr>
          <w:rFonts w:ascii="宋体" w:hAnsi="宋体" w:cs="宋体"/>
        </w:rPr>
        <w:sectPr>
          <w:pgSz w:w="11906" w:h="16838"/>
          <w:pgMar w:top="1418" w:right="1077" w:bottom="1418" w:left="1077" w:header="851" w:footer="992" w:gutter="340"/>
          <w:cols w:space="720" w:num="1"/>
          <w:docGrid w:linePitch="381" w:charSpace="0"/>
        </w:sectPr>
      </w:pPr>
    </w:p>
    <w:p>
      <w:pPr>
        <w:spacing w:line="300" w:lineRule="auto"/>
        <w:ind w:firstLine="315" w:firstLineChars="98"/>
        <w:jc w:val="center"/>
        <w:rPr>
          <w:rFonts w:ascii="宋体" w:hAnsi="宋体" w:cs="宋体"/>
          <w:b/>
          <w:bCs/>
          <w:sz w:val="32"/>
          <w:szCs w:val="32"/>
        </w:rPr>
      </w:pPr>
    </w:p>
    <w:p>
      <w:pPr>
        <w:spacing w:line="300" w:lineRule="auto"/>
        <w:ind w:firstLine="315" w:firstLineChars="98"/>
        <w:jc w:val="center"/>
        <w:rPr>
          <w:rFonts w:ascii="宋体" w:hAnsi="宋体" w:cs="宋体"/>
          <w:b/>
          <w:bCs/>
          <w:sz w:val="32"/>
          <w:szCs w:val="32"/>
        </w:rPr>
      </w:pPr>
      <w:r>
        <w:rPr>
          <w:rFonts w:hint="eastAsia" w:ascii="宋体" w:hAnsi="宋体" w:cs="宋体"/>
          <w:b/>
          <w:bCs/>
          <w:sz w:val="32"/>
          <w:szCs w:val="32"/>
        </w:rPr>
        <w:t>四、残疾人福利性单位声明函格式</w:t>
      </w:r>
    </w:p>
    <w:p>
      <w:pPr>
        <w:spacing w:line="300" w:lineRule="auto"/>
        <w:ind w:firstLine="315" w:firstLineChars="98"/>
        <w:jc w:val="center"/>
        <w:rPr>
          <w:rFonts w:ascii="宋体" w:hAnsi="宋体" w:cs="宋体"/>
          <w:b/>
          <w:bCs/>
          <w:sz w:val="32"/>
          <w:szCs w:val="32"/>
        </w:rPr>
      </w:pPr>
    </w:p>
    <w:p>
      <w:pPr>
        <w:spacing w:line="300" w:lineRule="auto"/>
        <w:ind w:firstLine="315" w:firstLineChars="98"/>
        <w:jc w:val="center"/>
        <w:rPr>
          <w:rFonts w:ascii="宋体" w:hAnsi="宋体" w:cs="宋体"/>
          <w:b/>
          <w:bCs/>
          <w:sz w:val="32"/>
          <w:szCs w:val="32"/>
        </w:rPr>
      </w:pPr>
      <w:r>
        <w:rPr>
          <w:rFonts w:hint="eastAsia" w:ascii="宋体" w:hAnsi="宋体" w:cs="宋体"/>
          <w:b/>
          <w:bCs/>
          <w:sz w:val="32"/>
          <w:szCs w:val="32"/>
        </w:rPr>
        <w:t>残疾人福利性单位声明函</w:t>
      </w:r>
    </w:p>
    <w:p>
      <w:pPr>
        <w:spacing w:line="300" w:lineRule="auto"/>
        <w:ind w:firstLine="482"/>
        <w:jc w:val="center"/>
        <w:rPr>
          <w:rFonts w:ascii="宋体" w:hAnsi="宋体" w:cs="宋体"/>
          <w:szCs w:val="24"/>
        </w:rPr>
      </w:pPr>
      <w:r>
        <w:rPr>
          <w:b/>
          <w:color w:val="FF0000"/>
        </w:rPr>
        <w:t>【非残疾人福利性单位不用提供】</w:t>
      </w:r>
    </w:p>
    <w:p>
      <w:pPr>
        <w:spacing w:line="300" w:lineRule="auto"/>
        <w:ind w:firstLine="480"/>
        <w:rPr>
          <w:rFonts w:ascii="宋体" w:hAnsi="宋体" w:cs="宋体"/>
          <w:szCs w:val="24"/>
        </w:rPr>
      </w:pPr>
      <w:r>
        <w:rPr>
          <w:rFonts w:hint="eastAsia" w:ascii="宋体" w:hAnsi="宋体" w:cs="宋体"/>
          <w:szCs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00" w:lineRule="auto"/>
        <w:ind w:firstLine="480"/>
        <w:rPr>
          <w:rFonts w:ascii="宋体" w:hAnsi="宋体" w:cs="宋体"/>
          <w:szCs w:val="24"/>
        </w:rPr>
      </w:pPr>
      <w:r>
        <w:rPr>
          <w:rFonts w:hint="eastAsia" w:ascii="宋体" w:hAnsi="宋体" w:cs="宋体"/>
          <w:szCs w:val="24"/>
        </w:rPr>
        <w:t>本单位对上述声明的真实性负责。如有虚假，将依法承担相应责任。</w:t>
      </w:r>
    </w:p>
    <w:p>
      <w:pPr>
        <w:pStyle w:val="18"/>
        <w:snapToGrid w:val="0"/>
        <w:spacing w:before="24" w:beforeLines="10" w:after="24" w:afterLines="10"/>
        <w:ind w:right="480" w:firstLine="420"/>
        <w:jc w:val="right"/>
        <w:rPr>
          <w:rFonts w:hAnsi="宋体" w:cs="宋体"/>
        </w:rPr>
      </w:pPr>
    </w:p>
    <w:p>
      <w:pPr>
        <w:pStyle w:val="18"/>
        <w:snapToGrid w:val="0"/>
        <w:spacing w:before="24" w:beforeLines="10" w:after="24" w:afterLines="10"/>
        <w:ind w:right="480" w:firstLine="420"/>
        <w:jc w:val="right"/>
        <w:rPr>
          <w:rFonts w:hAnsi="宋体" w:cs="宋体"/>
        </w:rPr>
      </w:pPr>
    </w:p>
    <w:p>
      <w:pPr>
        <w:pStyle w:val="18"/>
        <w:snapToGrid w:val="0"/>
        <w:spacing w:before="24" w:beforeLines="10" w:after="24" w:afterLines="10"/>
        <w:ind w:right="480" w:firstLine="420"/>
        <w:jc w:val="right"/>
        <w:rPr>
          <w:rFonts w:hAnsi="宋体" w:cs="宋体"/>
        </w:rPr>
      </w:pPr>
    </w:p>
    <w:p>
      <w:pPr>
        <w:spacing w:line="300" w:lineRule="auto"/>
        <w:ind w:firstLine="3240" w:firstLineChars="1350"/>
        <w:contextualSpacing/>
        <w:rPr>
          <w:rFonts w:ascii="宋体" w:hAnsi="宋体" w:cs="宋体"/>
          <w:spacing w:val="20"/>
          <w:szCs w:val="24"/>
          <w:u w:val="single"/>
        </w:rPr>
      </w:pPr>
      <w:r>
        <w:rPr>
          <w:rFonts w:hint="eastAsia" w:ascii="宋体" w:hAnsi="宋体" w:cs="宋体"/>
          <w:szCs w:val="24"/>
        </w:rPr>
        <w:t xml:space="preserve">      法定代表人或授权代表</w:t>
      </w:r>
      <w:r>
        <w:rPr>
          <w:rFonts w:hint="eastAsia" w:ascii="宋体" w:hAnsi="宋体" w:cs="宋体"/>
          <w:spacing w:val="20"/>
          <w:szCs w:val="24"/>
        </w:rPr>
        <w:t>签字</w:t>
      </w:r>
      <w:r>
        <w:rPr>
          <w:rFonts w:hint="eastAsia" w:ascii="宋体" w:hAnsi="宋体" w:cs="宋体"/>
          <w:szCs w:val="24"/>
        </w:rPr>
        <w:t>（或盖章）</w:t>
      </w:r>
      <w:r>
        <w:rPr>
          <w:rFonts w:hint="eastAsia" w:ascii="宋体" w:hAnsi="宋体" w:cs="宋体"/>
          <w:spacing w:val="20"/>
          <w:szCs w:val="24"/>
        </w:rPr>
        <w:t>：</w:t>
      </w:r>
      <w:r>
        <w:rPr>
          <w:rFonts w:hint="eastAsia" w:ascii="宋体" w:hAnsi="宋体" w:cs="宋体"/>
        </w:rPr>
        <w:t>___________</w:t>
      </w:r>
      <w:r>
        <w:rPr>
          <w:rFonts w:hint="eastAsia" w:ascii="宋体" w:hAnsi="宋体" w:cs="宋体"/>
          <w:spacing w:val="20"/>
          <w:szCs w:val="24"/>
          <w:u w:val="single"/>
        </w:rPr>
        <w:t xml:space="preserve">          </w:t>
      </w:r>
    </w:p>
    <w:p>
      <w:pPr>
        <w:spacing w:line="300" w:lineRule="auto"/>
        <w:ind w:firstLine="560"/>
        <w:contextualSpacing/>
        <w:rPr>
          <w:rFonts w:ascii="宋体" w:hAnsi="宋体" w:cs="宋体"/>
          <w:spacing w:val="20"/>
          <w:szCs w:val="24"/>
          <w:u w:val="single"/>
        </w:rPr>
      </w:pPr>
      <w:r>
        <w:rPr>
          <w:rFonts w:hint="eastAsia" w:ascii="宋体" w:hAnsi="宋体" w:cs="宋体"/>
          <w:spacing w:val="20"/>
          <w:szCs w:val="24"/>
        </w:rPr>
        <w:t xml:space="preserve">                               投标人盖章：</w:t>
      </w:r>
      <w:r>
        <w:rPr>
          <w:rFonts w:hint="eastAsia" w:ascii="宋体" w:hAnsi="宋体" w:cs="宋体"/>
        </w:rPr>
        <w:t>___________</w:t>
      </w:r>
      <w:r>
        <w:rPr>
          <w:rFonts w:hint="eastAsia" w:ascii="宋体" w:hAnsi="宋体" w:cs="宋体"/>
          <w:spacing w:val="20"/>
          <w:szCs w:val="24"/>
          <w:u w:val="single"/>
        </w:rPr>
        <w:t xml:space="preserve">            </w:t>
      </w:r>
    </w:p>
    <w:p>
      <w:pPr>
        <w:spacing w:line="300" w:lineRule="auto"/>
        <w:ind w:firstLine="274" w:firstLineChars="98"/>
        <w:jc w:val="center"/>
        <w:rPr>
          <w:rFonts w:ascii="宋体" w:hAnsi="宋体" w:cs="宋体"/>
          <w:b/>
          <w:bCs/>
          <w:color w:val="000000"/>
        </w:rPr>
      </w:pPr>
      <w:r>
        <w:rPr>
          <w:rFonts w:hint="eastAsia" w:ascii="宋体" w:hAnsi="宋体" w:cs="宋体"/>
          <w:spacing w:val="20"/>
          <w:szCs w:val="24"/>
        </w:rPr>
        <w:t xml:space="preserve">                           </w:t>
      </w:r>
      <w:r>
        <w:rPr>
          <w:rFonts w:hint="eastAsia" w:ascii="宋体" w:hAnsi="宋体" w:cs="宋体"/>
          <w:color w:val="000000"/>
          <w:spacing w:val="20"/>
          <w:szCs w:val="24"/>
        </w:rPr>
        <w:t>日     期：</w:t>
      </w:r>
      <w:r>
        <w:rPr>
          <w:rFonts w:hint="eastAsia" w:ascii="宋体" w:hAnsi="宋体" w:cs="宋体"/>
        </w:rPr>
        <w:t>___________</w:t>
      </w:r>
      <w:r>
        <w:rPr>
          <w:rFonts w:hint="eastAsia" w:ascii="宋体" w:hAnsi="宋体" w:cs="宋体"/>
          <w:color w:val="000000"/>
          <w:spacing w:val="20"/>
          <w:szCs w:val="24"/>
          <w:u w:val="single"/>
        </w:rPr>
        <w:t xml:space="preserve">            </w:t>
      </w:r>
    </w:p>
    <w:p>
      <w:pPr>
        <w:snapToGrid w:val="0"/>
        <w:ind w:firstLine="482"/>
        <w:jc w:val="center"/>
        <w:rPr>
          <w:rFonts w:ascii="宋体" w:hAnsi="宋体"/>
          <w:b/>
          <w:bCs/>
        </w:rPr>
      </w:pPr>
    </w:p>
    <w:p>
      <w:pPr>
        <w:snapToGrid w:val="0"/>
        <w:ind w:firstLine="482"/>
        <w:jc w:val="center"/>
        <w:rPr>
          <w:rFonts w:ascii="宋体" w:hAnsi="宋体"/>
          <w:b/>
          <w:bCs/>
        </w:rPr>
      </w:pPr>
    </w:p>
    <w:p>
      <w:pPr>
        <w:snapToGrid w:val="0"/>
        <w:ind w:firstLine="482"/>
        <w:jc w:val="center"/>
        <w:rPr>
          <w:rFonts w:ascii="宋体" w:hAnsi="宋体"/>
          <w:b/>
          <w:bCs/>
        </w:rPr>
      </w:pPr>
    </w:p>
    <w:p>
      <w:pPr>
        <w:snapToGrid w:val="0"/>
        <w:ind w:firstLine="482"/>
        <w:jc w:val="center"/>
        <w:rPr>
          <w:rFonts w:ascii="宋体" w:hAnsi="宋体"/>
          <w:b/>
          <w:bCs/>
        </w:rPr>
      </w:pPr>
    </w:p>
    <w:p>
      <w:pPr>
        <w:spacing w:line="300" w:lineRule="auto"/>
        <w:ind w:firstLine="315" w:firstLineChars="98"/>
        <w:jc w:val="center"/>
        <w:rPr>
          <w:rFonts w:ascii="宋体" w:hAnsi="宋体" w:cs="宋体"/>
          <w:b/>
          <w:bCs/>
          <w:sz w:val="32"/>
          <w:szCs w:val="32"/>
        </w:rPr>
      </w:pPr>
      <w:r>
        <w:rPr>
          <w:rFonts w:hint="eastAsia" w:ascii="宋体" w:hAnsi="宋体" w:cs="宋体"/>
          <w:b/>
          <w:bCs/>
          <w:sz w:val="32"/>
          <w:szCs w:val="32"/>
        </w:rPr>
        <w:t>五、监狱和戒毒企业证明材料</w:t>
      </w:r>
    </w:p>
    <w:p>
      <w:pPr>
        <w:spacing w:before="107"/>
        <w:ind w:left="604" w:right="668" w:firstLine="482"/>
        <w:jc w:val="center"/>
        <w:rPr>
          <w:b/>
          <w:color w:val="FF0000"/>
        </w:rPr>
      </w:pPr>
      <w:r>
        <w:rPr>
          <w:b/>
          <w:color w:val="FF0000"/>
        </w:rPr>
        <w:t>【非监狱企业不用提供】</w:t>
      </w:r>
    </w:p>
    <w:p>
      <w:pPr>
        <w:snapToGrid w:val="0"/>
        <w:spacing w:line="480" w:lineRule="exact"/>
        <w:ind w:firstLine="480"/>
        <w:rPr>
          <w:rFonts w:ascii="宋体" w:hAnsi="宋体"/>
        </w:rPr>
      </w:pPr>
      <w:r>
        <w:rPr>
          <w:rFonts w:hint="eastAsia" w:ascii="宋体" w:hAnsi="宋体"/>
        </w:rPr>
        <w:t>监狱和戒毒企业参加投标时应提供由省级以上监狱管理局、戒毒管理局（含新疆生产建设兵团）出具的属于监狱企业的证明文件。</w:t>
      </w:r>
    </w:p>
    <w:p>
      <w:pPr>
        <w:snapToGrid w:val="0"/>
        <w:spacing w:before="100" w:beforeAutospacing="1" w:after="100" w:afterAutospacing="1" w:line="276" w:lineRule="auto"/>
        <w:ind w:firstLine="480"/>
        <w:jc w:val="center"/>
        <w:rPr>
          <w:rFonts w:ascii="宋体" w:hAnsi="宋体" w:cs="宋体"/>
          <w:color w:val="000000"/>
        </w:rPr>
      </w:pPr>
    </w:p>
    <w:p>
      <w:pPr>
        <w:snapToGrid w:val="0"/>
        <w:spacing w:before="100" w:beforeAutospacing="1" w:after="100" w:afterAutospacing="1" w:line="276" w:lineRule="auto"/>
        <w:ind w:firstLine="643"/>
        <w:rPr>
          <w:rFonts w:ascii="宋体" w:hAnsi="宋体" w:cs="宋体"/>
          <w:color w:val="000000"/>
        </w:rPr>
      </w:pPr>
      <w:r>
        <w:rPr>
          <w:rFonts w:hint="eastAsia" w:ascii="宋体" w:hAnsi="宋体" w:cs="宋体"/>
          <w:b/>
          <w:bCs/>
          <w:sz w:val="32"/>
          <w:szCs w:val="32"/>
        </w:rPr>
        <w:br w:type="page"/>
      </w:r>
    </w:p>
    <w:p>
      <w:pPr>
        <w:snapToGrid w:val="0"/>
        <w:spacing w:before="100" w:beforeAutospacing="1" w:after="100" w:afterAutospacing="1" w:line="276" w:lineRule="auto"/>
        <w:ind w:firstLine="643"/>
        <w:jc w:val="center"/>
        <w:rPr>
          <w:rFonts w:ascii="宋体" w:hAnsi="宋体" w:cs="宋体"/>
          <w:sz w:val="32"/>
          <w:szCs w:val="32"/>
        </w:rPr>
      </w:pPr>
      <w:r>
        <w:rPr>
          <w:rFonts w:hint="eastAsia" w:ascii="宋体" w:hAnsi="宋体" w:cs="宋体"/>
          <w:b/>
          <w:bCs/>
          <w:sz w:val="32"/>
          <w:szCs w:val="32"/>
        </w:rPr>
        <w:t>六、投标声明书格式</w:t>
      </w:r>
    </w:p>
    <w:p>
      <w:pPr>
        <w:snapToGrid w:val="0"/>
        <w:spacing w:before="100" w:beforeAutospacing="1" w:after="100" w:afterAutospacing="1" w:line="276" w:lineRule="auto"/>
        <w:ind w:firstLine="602"/>
        <w:jc w:val="center"/>
        <w:rPr>
          <w:rFonts w:ascii="宋体" w:hAnsi="宋体" w:cs="宋体"/>
          <w:b/>
          <w:bCs/>
          <w:sz w:val="30"/>
          <w:szCs w:val="30"/>
        </w:rPr>
      </w:pPr>
      <w:r>
        <w:rPr>
          <w:rFonts w:hint="eastAsia" w:ascii="宋体" w:hAnsi="宋体" w:cs="宋体"/>
          <w:b/>
          <w:bCs/>
          <w:sz w:val="30"/>
          <w:szCs w:val="30"/>
        </w:rPr>
        <w:t>投标声明书</w:t>
      </w:r>
    </w:p>
    <w:p>
      <w:pPr>
        <w:snapToGrid w:val="0"/>
        <w:spacing w:before="100" w:beforeAutospacing="1" w:after="100" w:afterAutospacing="1" w:line="276" w:lineRule="auto"/>
        <w:ind w:firstLine="480"/>
        <w:rPr>
          <w:rFonts w:ascii="宋体" w:hAnsi="宋体" w:cs="宋体"/>
          <w:szCs w:val="24"/>
        </w:rPr>
      </w:pPr>
      <w:r>
        <w:rPr>
          <w:rFonts w:hint="eastAsia" w:ascii="宋体" w:hAnsi="宋体" w:cs="宋体"/>
          <w:szCs w:val="24"/>
        </w:rPr>
        <w:t>致：</w:t>
      </w:r>
      <w:r>
        <w:rPr>
          <w:rFonts w:hint="eastAsia" w:ascii="宋体" w:hAnsi="宋体" w:cs="宋体"/>
          <w:szCs w:val="24"/>
          <w:u w:val="single"/>
        </w:rPr>
        <w:t xml:space="preserve">                        </w:t>
      </w:r>
      <w:r>
        <w:rPr>
          <w:rFonts w:hint="eastAsia" w:ascii="宋体" w:hAnsi="宋体" w:cs="宋体"/>
          <w:szCs w:val="24"/>
        </w:rPr>
        <w:t>（代理机构名称）：</w:t>
      </w:r>
    </w:p>
    <w:p>
      <w:pPr>
        <w:snapToGrid w:val="0"/>
        <w:spacing w:line="276" w:lineRule="auto"/>
        <w:ind w:firstLine="480"/>
        <w:rPr>
          <w:rFonts w:ascii="宋体" w:hAnsi="宋体" w:cs="宋体"/>
          <w:szCs w:val="24"/>
        </w:rPr>
      </w:pPr>
      <w:r>
        <w:rPr>
          <w:rFonts w:hint="eastAsia" w:ascii="宋体" w:hAnsi="宋体" w:cs="宋体"/>
          <w:szCs w:val="24"/>
          <w:u w:val="single"/>
        </w:rPr>
        <w:t xml:space="preserve">                  </w:t>
      </w:r>
      <w:r>
        <w:rPr>
          <w:rFonts w:hint="eastAsia" w:ascii="宋体" w:hAnsi="宋体" w:cs="宋体"/>
          <w:szCs w:val="24"/>
        </w:rPr>
        <w:t>（投标人名称）系中华人民共和国合法企业，经营地址</w:t>
      </w:r>
      <w:r>
        <w:rPr>
          <w:rFonts w:hint="eastAsia" w:ascii="宋体" w:hAnsi="宋体" w:cs="宋体"/>
          <w:szCs w:val="24"/>
          <w:u w:val="single"/>
        </w:rPr>
        <w:t xml:space="preserve">                               </w:t>
      </w:r>
      <w:r>
        <w:rPr>
          <w:rFonts w:hint="eastAsia" w:ascii="宋体" w:hAnsi="宋体" w:cs="宋体"/>
          <w:szCs w:val="24"/>
        </w:rPr>
        <w:t>。</w:t>
      </w:r>
    </w:p>
    <w:p>
      <w:pPr>
        <w:snapToGrid w:val="0"/>
        <w:spacing w:line="276" w:lineRule="auto"/>
        <w:ind w:firstLine="480"/>
        <w:rPr>
          <w:rFonts w:ascii="宋体" w:hAnsi="宋体" w:cs="宋体"/>
          <w:szCs w:val="24"/>
        </w:rPr>
      </w:pPr>
      <w:r>
        <w:rPr>
          <w:rFonts w:hint="eastAsia" w:ascii="宋体" w:hAnsi="宋体" w:cs="宋体"/>
          <w:szCs w:val="24"/>
        </w:rPr>
        <w:t>我</w:t>
      </w:r>
      <w:r>
        <w:rPr>
          <w:rFonts w:hint="eastAsia" w:ascii="宋体" w:hAnsi="宋体" w:cs="宋体"/>
          <w:szCs w:val="24"/>
          <w:u w:val="single"/>
        </w:rPr>
        <w:t xml:space="preserve">           </w:t>
      </w:r>
      <w:r>
        <w:rPr>
          <w:rFonts w:hint="eastAsia" w:ascii="宋体" w:hAnsi="宋体" w:cs="宋体"/>
          <w:szCs w:val="24"/>
        </w:rPr>
        <w:t>（姓名）系</w:t>
      </w:r>
      <w:r>
        <w:rPr>
          <w:rFonts w:hint="eastAsia" w:ascii="宋体" w:hAnsi="宋体" w:cs="宋体"/>
          <w:szCs w:val="24"/>
          <w:u w:val="single"/>
        </w:rPr>
        <w:t xml:space="preserve">                 </w:t>
      </w:r>
      <w:r>
        <w:rPr>
          <w:rFonts w:hint="eastAsia" w:ascii="宋体" w:hAnsi="宋体" w:cs="宋体"/>
          <w:szCs w:val="24"/>
        </w:rPr>
        <w:t>（投标人名称）的法定代表人，我方愿意参加贵方组织的</w:t>
      </w:r>
      <w:r>
        <w:rPr>
          <w:rFonts w:hint="eastAsia" w:ascii="宋体" w:hAnsi="宋体" w:cs="宋体"/>
          <w:szCs w:val="24"/>
          <w:u w:val="single"/>
        </w:rPr>
        <w:t xml:space="preserve">                               </w:t>
      </w:r>
      <w:r>
        <w:rPr>
          <w:rFonts w:hint="eastAsia" w:ascii="宋体" w:hAnsi="宋体" w:cs="宋体"/>
          <w:szCs w:val="24"/>
        </w:rPr>
        <w:t>项目的投标，为便于贵方公正、择优地确定中标供应商及其投标产品和服务，我方就本次投标有关事项郑重声明如下：</w:t>
      </w:r>
    </w:p>
    <w:p>
      <w:pPr>
        <w:snapToGrid w:val="0"/>
        <w:spacing w:line="276" w:lineRule="auto"/>
        <w:ind w:firstLine="480"/>
        <w:rPr>
          <w:rFonts w:ascii="宋体" w:hAnsi="宋体" w:cs="宋体"/>
          <w:szCs w:val="24"/>
        </w:rPr>
      </w:pPr>
      <w:r>
        <w:rPr>
          <w:rFonts w:hint="eastAsia" w:ascii="宋体" w:hAnsi="宋体" w:cs="宋体"/>
          <w:szCs w:val="24"/>
        </w:rPr>
        <w:t>1.我方向贵方提交的所有投标文件、资料都是准确的和真实的；</w:t>
      </w:r>
    </w:p>
    <w:p>
      <w:pPr>
        <w:snapToGrid w:val="0"/>
        <w:spacing w:line="276" w:lineRule="auto"/>
        <w:ind w:firstLine="480"/>
        <w:rPr>
          <w:rFonts w:ascii="宋体" w:hAnsi="宋体" w:cs="宋体"/>
          <w:szCs w:val="24"/>
        </w:rPr>
      </w:pPr>
      <w:r>
        <w:rPr>
          <w:rFonts w:hint="eastAsia" w:ascii="宋体" w:hAnsi="宋体" w:cs="宋体"/>
          <w:szCs w:val="24"/>
        </w:rPr>
        <w:t>2.我方不是采购人的附属机构；在获知本项目采购信息后，与采购人聘请的为此项目提供咨询服务的公司及其附属机构没有任何联系。</w:t>
      </w:r>
    </w:p>
    <w:p>
      <w:pPr>
        <w:snapToGrid w:val="0"/>
        <w:spacing w:line="276" w:lineRule="auto"/>
        <w:ind w:firstLine="480"/>
        <w:rPr>
          <w:rFonts w:ascii="宋体" w:hAnsi="宋体" w:cs="宋体"/>
          <w:szCs w:val="24"/>
        </w:rPr>
      </w:pPr>
      <w:r>
        <w:rPr>
          <w:rFonts w:hint="eastAsia" w:ascii="宋体" w:hAnsi="宋体" w:cs="宋体"/>
          <w:szCs w:val="24"/>
        </w:rPr>
        <w:t>3.我方此次向贵方提供的服务名称为：</w:t>
      </w:r>
      <w:r>
        <w:rPr>
          <w:rFonts w:hint="eastAsia" w:ascii="宋体" w:hAnsi="宋体" w:cs="宋体"/>
          <w:szCs w:val="24"/>
          <w:u w:val="single"/>
        </w:rPr>
        <w:t xml:space="preserve">                              </w:t>
      </w:r>
      <w:r>
        <w:rPr>
          <w:rFonts w:hint="eastAsia" w:ascii="宋体" w:hAnsi="宋体" w:cs="宋体"/>
          <w:szCs w:val="24"/>
        </w:rPr>
        <w:t>。</w:t>
      </w:r>
    </w:p>
    <w:p>
      <w:pPr>
        <w:snapToGrid w:val="0"/>
        <w:spacing w:line="276" w:lineRule="auto"/>
        <w:ind w:firstLine="480"/>
        <w:rPr>
          <w:rFonts w:ascii="宋体" w:hAnsi="宋体" w:cs="宋体"/>
          <w:szCs w:val="24"/>
        </w:rPr>
      </w:pPr>
      <w:r>
        <w:rPr>
          <w:rFonts w:hint="eastAsia" w:ascii="宋体" w:hAnsi="宋体" w:cs="宋体"/>
          <w:szCs w:val="24"/>
        </w:rPr>
        <w:t>4.我方诚意提请贵方关注：有关该项目的重大决策和事项有：</w:t>
      </w:r>
    </w:p>
    <w:p>
      <w:pPr>
        <w:snapToGrid w:val="0"/>
        <w:spacing w:line="276" w:lineRule="auto"/>
        <w:ind w:firstLine="480"/>
        <w:rPr>
          <w:rFonts w:ascii="宋体" w:hAnsi="宋体" w:cs="宋体"/>
          <w:szCs w:val="24"/>
        </w:rPr>
      </w:pPr>
      <w:r>
        <w:rPr>
          <w:rFonts w:ascii="宋体" w:hAnsi="宋体" w:cs="宋体"/>
          <w:szCs w:val="24"/>
        </w:rPr>
        <w:t>_________________</w:t>
      </w:r>
      <w:r>
        <w:rPr>
          <w:rFonts w:hint="eastAsia" w:ascii="宋体" w:hAnsi="宋体" w:cs="宋体"/>
          <w:szCs w:val="24"/>
        </w:rPr>
        <w:t>_</w:t>
      </w:r>
      <w:r>
        <w:rPr>
          <w:rFonts w:ascii="宋体" w:hAnsi="宋体" w:cs="宋体"/>
          <w:szCs w:val="24"/>
        </w:rPr>
        <w:t>______________________________________________</w:t>
      </w:r>
      <w:r>
        <w:rPr>
          <w:rFonts w:hint="eastAsia" w:ascii="宋体" w:hAnsi="宋体" w:cs="宋体"/>
          <w:szCs w:val="24"/>
        </w:rPr>
        <w:t>。</w:t>
      </w:r>
    </w:p>
    <w:p>
      <w:pPr>
        <w:snapToGrid w:val="0"/>
        <w:spacing w:line="276" w:lineRule="auto"/>
        <w:ind w:firstLine="480"/>
        <w:rPr>
          <w:rFonts w:ascii="宋体" w:hAnsi="宋体" w:cs="宋体"/>
          <w:szCs w:val="24"/>
        </w:rPr>
      </w:pPr>
      <w:r>
        <w:rPr>
          <w:rFonts w:hint="eastAsia" w:ascii="宋体" w:hAnsi="宋体" w:cs="宋体"/>
          <w:szCs w:val="24"/>
        </w:rPr>
        <w:t>5.我方最近三年内的被公开披露或查处的违法违规行为有：</w:t>
      </w:r>
      <w:r>
        <w:rPr>
          <w:rFonts w:hint="eastAsia" w:ascii="宋体" w:hAnsi="宋体" w:cs="宋体"/>
        </w:rPr>
        <w:t>（若有，请如实填写；若无，请作出“参加政府采购活动前三年内，在经营活动中没有重大违法记录”的承诺）</w:t>
      </w:r>
    </w:p>
    <w:p>
      <w:pPr>
        <w:snapToGrid w:val="0"/>
        <w:spacing w:line="276" w:lineRule="auto"/>
        <w:ind w:firstLine="480"/>
        <w:rPr>
          <w:rFonts w:ascii="宋体" w:hAnsi="宋体" w:cs="宋体"/>
          <w:szCs w:val="24"/>
          <w:u w:val="single"/>
        </w:rPr>
      </w:pPr>
      <w:r>
        <w:rPr>
          <w:rFonts w:ascii="宋体" w:hAnsi="宋体" w:cs="宋体"/>
          <w:szCs w:val="24"/>
        </w:rPr>
        <w:t>____________________________________________________________________</w:t>
      </w:r>
      <w:r>
        <w:rPr>
          <w:rFonts w:hint="eastAsia" w:ascii="宋体" w:hAnsi="宋体" w:cs="宋体"/>
          <w:szCs w:val="24"/>
        </w:rPr>
        <w:t>。</w:t>
      </w:r>
    </w:p>
    <w:p>
      <w:pPr>
        <w:snapToGrid w:val="0"/>
        <w:spacing w:line="276" w:lineRule="auto"/>
        <w:ind w:firstLine="480"/>
        <w:rPr>
          <w:rFonts w:ascii="宋体" w:hAnsi="宋体" w:cs="宋体"/>
          <w:szCs w:val="24"/>
        </w:rPr>
      </w:pPr>
      <w:r>
        <w:rPr>
          <w:rFonts w:hint="eastAsia" w:ascii="宋体" w:hAnsi="宋体" w:cs="宋体"/>
          <w:szCs w:val="24"/>
        </w:rPr>
        <w:t>6.以上事项如有虚假或隐瞒，我方愿意承担一切后果和责任。</w:t>
      </w:r>
    </w:p>
    <w:p>
      <w:pPr>
        <w:pStyle w:val="90"/>
        <w:snapToGrid w:val="0"/>
        <w:spacing w:before="100" w:beforeAutospacing="1" w:after="100" w:afterAutospacing="1" w:line="276" w:lineRule="auto"/>
        <w:ind w:firstLine="480"/>
        <w:rPr>
          <w:rFonts w:ascii="宋体" w:hAnsi="宋体" w:cs="宋体"/>
        </w:rPr>
      </w:pPr>
    </w:p>
    <w:p>
      <w:pPr>
        <w:snapToGrid w:val="0"/>
        <w:spacing w:before="100" w:beforeAutospacing="1" w:after="100" w:afterAutospacing="1" w:line="276" w:lineRule="auto"/>
        <w:ind w:firstLine="840" w:firstLineChars="350"/>
        <w:rPr>
          <w:rFonts w:ascii="宋体" w:hAnsi="宋体" w:cs="宋体"/>
          <w:szCs w:val="24"/>
          <w:u w:val="single"/>
        </w:rPr>
      </w:pPr>
      <w:r>
        <w:rPr>
          <w:rFonts w:hint="eastAsia" w:ascii="宋体" w:hAnsi="宋体" w:cs="宋体"/>
          <w:szCs w:val="24"/>
        </w:rPr>
        <w:t>法定代表人签字</w:t>
      </w:r>
      <w:r>
        <w:rPr>
          <w:rFonts w:hint="eastAsia" w:ascii="宋体" w:hAnsi="宋体" w:cs="宋体"/>
          <w:color w:val="000000"/>
          <w:szCs w:val="24"/>
        </w:rPr>
        <w:t>（或盖章）</w:t>
      </w:r>
      <w:r>
        <w:rPr>
          <w:rFonts w:hint="eastAsia" w:ascii="宋体" w:hAnsi="宋体" w:cs="宋体"/>
          <w:szCs w:val="24"/>
        </w:rPr>
        <w:t>：</w:t>
      </w:r>
      <w:r>
        <w:rPr>
          <w:rFonts w:hint="eastAsia" w:ascii="宋体" w:hAnsi="宋体" w:cs="宋体"/>
          <w:color w:val="000000"/>
          <w:szCs w:val="24"/>
        </w:rPr>
        <w:t>___________</w:t>
      </w:r>
      <w:r>
        <w:rPr>
          <w:rFonts w:hint="eastAsia" w:ascii="宋体" w:hAnsi="宋体" w:cs="宋体"/>
          <w:szCs w:val="24"/>
          <w:u w:val="single"/>
        </w:rPr>
        <w:t xml:space="preserve">             </w:t>
      </w:r>
    </w:p>
    <w:p>
      <w:pPr>
        <w:snapToGrid w:val="0"/>
        <w:spacing w:before="100" w:beforeAutospacing="1" w:after="100" w:afterAutospacing="1" w:line="276" w:lineRule="auto"/>
        <w:ind w:firstLine="480"/>
        <w:jc w:val="center"/>
        <w:rPr>
          <w:rFonts w:ascii="宋体" w:hAnsi="宋体" w:cs="宋体"/>
          <w:szCs w:val="24"/>
        </w:rPr>
      </w:pPr>
      <w:r>
        <w:rPr>
          <w:rFonts w:hint="eastAsia" w:ascii="宋体" w:hAnsi="宋体" w:cs="宋体"/>
          <w:szCs w:val="24"/>
        </w:rPr>
        <w:t xml:space="preserve">              投标人公章： </w:t>
      </w:r>
      <w:r>
        <w:rPr>
          <w:rFonts w:hint="eastAsia" w:ascii="宋体" w:hAnsi="宋体" w:cs="宋体"/>
          <w:color w:val="000000"/>
          <w:szCs w:val="24"/>
        </w:rPr>
        <w:t>___________</w:t>
      </w:r>
      <w:r>
        <w:rPr>
          <w:rFonts w:hint="eastAsia" w:ascii="宋体" w:hAnsi="宋体" w:cs="宋体"/>
          <w:szCs w:val="24"/>
        </w:rPr>
        <w:t xml:space="preserve">              </w:t>
      </w:r>
      <w:r>
        <w:rPr>
          <w:rFonts w:hint="eastAsia" w:ascii="宋体" w:hAnsi="宋体" w:cs="宋体"/>
          <w:color w:val="000000"/>
          <w:szCs w:val="24"/>
        </w:rPr>
        <w:t>_____</w:t>
      </w:r>
      <w:r>
        <w:rPr>
          <w:rFonts w:hint="eastAsia" w:ascii="宋体" w:hAnsi="宋体" w:cs="宋体"/>
          <w:szCs w:val="24"/>
        </w:rPr>
        <w:t>年</w:t>
      </w:r>
      <w:r>
        <w:rPr>
          <w:rFonts w:hint="eastAsia" w:ascii="宋体" w:hAnsi="宋体" w:cs="宋体"/>
          <w:color w:val="000000"/>
          <w:szCs w:val="24"/>
        </w:rPr>
        <w:t>____</w:t>
      </w:r>
      <w:r>
        <w:rPr>
          <w:rFonts w:hint="eastAsia" w:ascii="宋体" w:hAnsi="宋体" w:cs="宋体"/>
          <w:szCs w:val="24"/>
        </w:rPr>
        <w:t>月</w:t>
      </w:r>
      <w:r>
        <w:rPr>
          <w:rFonts w:hint="eastAsia" w:ascii="宋体" w:hAnsi="宋体" w:cs="宋体"/>
          <w:color w:val="000000"/>
          <w:szCs w:val="24"/>
        </w:rPr>
        <w:t>_____</w:t>
      </w:r>
      <w:r>
        <w:rPr>
          <w:rFonts w:hint="eastAsia" w:ascii="宋体" w:hAnsi="宋体" w:cs="宋体"/>
          <w:szCs w:val="24"/>
        </w:rPr>
        <w:t>日</w:t>
      </w:r>
    </w:p>
    <w:p>
      <w:pPr>
        <w:ind w:firstLine="480"/>
        <w:jc w:val="center"/>
        <w:rPr>
          <w:rFonts w:ascii="宋体" w:hAnsi="宋体" w:cs="宋体"/>
          <w:szCs w:val="24"/>
        </w:rPr>
      </w:pPr>
      <w:r>
        <w:rPr>
          <w:rFonts w:hint="eastAsia" w:ascii="宋体" w:hAnsi="宋体" w:cs="宋体"/>
          <w:szCs w:val="24"/>
        </w:rPr>
        <w:br w:type="page"/>
      </w:r>
    </w:p>
    <w:p>
      <w:pPr>
        <w:ind w:firstLine="643"/>
        <w:jc w:val="center"/>
        <w:rPr>
          <w:rFonts w:ascii="宋体" w:hAnsi="宋体" w:cs="宋体"/>
          <w:b/>
          <w:bCs/>
          <w:color w:val="000000"/>
          <w:sz w:val="32"/>
          <w:szCs w:val="32"/>
        </w:rPr>
      </w:pPr>
      <w:r>
        <w:rPr>
          <w:rFonts w:hint="eastAsia" w:ascii="宋体" w:hAnsi="宋体" w:cs="宋体"/>
          <w:b/>
          <w:bCs/>
          <w:color w:val="000000"/>
          <w:sz w:val="32"/>
          <w:szCs w:val="32"/>
        </w:rPr>
        <w:t>七、诚信承诺书格式</w:t>
      </w:r>
    </w:p>
    <w:p>
      <w:pPr>
        <w:ind w:firstLine="482"/>
        <w:jc w:val="center"/>
        <w:rPr>
          <w:rFonts w:ascii="宋体" w:hAnsi="宋体" w:cs="宋体"/>
          <w:b/>
          <w:color w:val="000000"/>
        </w:rPr>
      </w:pPr>
      <w:r>
        <w:rPr>
          <w:rFonts w:hint="eastAsia" w:ascii="宋体" w:hAnsi="宋体" w:cs="宋体"/>
          <w:b/>
          <w:color w:val="000000"/>
        </w:rPr>
        <w:t>诚信承诺书</w:t>
      </w:r>
    </w:p>
    <w:p>
      <w:pPr>
        <w:ind w:firstLine="480"/>
        <w:rPr>
          <w:rFonts w:ascii="宋体" w:hAnsi="宋体" w:cs="宋体"/>
          <w:color w:val="000000"/>
        </w:rPr>
      </w:pPr>
      <w:r>
        <w:rPr>
          <w:rFonts w:hint="eastAsia" w:ascii="宋体" w:hAnsi="宋体" w:cs="宋体"/>
          <w:color w:val="000000"/>
          <w:u w:val="single"/>
        </w:rPr>
        <w:t xml:space="preserve">（采购人或招标组织机构） </w:t>
      </w:r>
      <w:r>
        <w:rPr>
          <w:rFonts w:hint="eastAsia" w:ascii="宋体" w:hAnsi="宋体" w:cs="宋体"/>
          <w:color w:val="000000"/>
        </w:rPr>
        <w:t>：</w:t>
      </w:r>
    </w:p>
    <w:p>
      <w:pPr>
        <w:ind w:firstLine="480"/>
        <w:rPr>
          <w:rFonts w:ascii="宋体" w:hAnsi="宋体" w:cs="宋体"/>
          <w:color w:val="000000"/>
        </w:rPr>
      </w:pPr>
      <w:r>
        <w:rPr>
          <w:rFonts w:hint="eastAsia" w:ascii="宋体" w:hAnsi="宋体" w:cs="宋体"/>
          <w:color w:val="000000"/>
        </w:rPr>
        <w:t xml:space="preserve">我方在参加贵单位的 </w:t>
      </w:r>
      <w:r>
        <w:rPr>
          <w:rFonts w:hint="eastAsia" w:ascii="宋体" w:hAnsi="宋体" w:cs="宋体"/>
          <w:color w:val="000000"/>
          <w:u w:val="single"/>
        </w:rPr>
        <w:t xml:space="preserve">                    </w:t>
      </w:r>
      <w:r>
        <w:rPr>
          <w:rFonts w:hint="eastAsia" w:ascii="宋体" w:hAnsi="宋体" w:cs="宋体"/>
          <w:color w:val="000000"/>
        </w:rPr>
        <w:t xml:space="preserve"> 政府采购项目的招投标活动中，郑重承诺如下：</w:t>
      </w:r>
    </w:p>
    <w:p>
      <w:pPr>
        <w:ind w:firstLine="480"/>
        <w:rPr>
          <w:rFonts w:ascii="宋体" w:hAnsi="宋体" w:cs="宋体"/>
          <w:color w:val="000000"/>
        </w:rPr>
      </w:pPr>
      <w:r>
        <w:rPr>
          <w:rFonts w:hint="eastAsia" w:ascii="宋体" w:hAnsi="宋体" w:cs="宋体"/>
          <w:color w:val="000000"/>
        </w:rPr>
        <w:t>1.我方申报的所有资料都是真实、准确、完整的；</w:t>
      </w:r>
    </w:p>
    <w:p>
      <w:pPr>
        <w:ind w:firstLine="480"/>
        <w:rPr>
          <w:rFonts w:ascii="宋体" w:hAnsi="宋体" w:cs="宋体"/>
          <w:color w:val="000000"/>
        </w:rPr>
      </w:pPr>
      <w:r>
        <w:rPr>
          <w:rFonts w:hint="eastAsia" w:ascii="宋体" w:hAnsi="宋体" w:cs="宋体"/>
          <w:color w:val="000000"/>
        </w:rPr>
        <w:t>2.我方无资质挂靠情形，保证不参与串标、围标及抬标；</w:t>
      </w:r>
    </w:p>
    <w:p>
      <w:pPr>
        <w:ind w:firstLine="480"/>
        <w:rPr>
          <w:rFonts w:ascii="宋体" w:hAnsi="宋体" w:cs="宋体"/>
          <w:color w:val="000000"/>
        </w:rPr>
      </w:pPr>
      <w:r>
        <w:rPr>
          <w:rFonts w:hint="eastAsia" w:ascii="宋体" w:hAnsi="宋体" w:cs="宋体"/>
          <w:color w:val="000000"/>
        </w:rPr>
        <w:t>3.我方未处于被各级行政主管部门做出停止市场行为处罚的期限内；</w:t>
      </w:r>
    </w:p>
    <w:p>
      <w:pPr>
        <w:ind w:firstLine="480"/>
        <w:rPr>
          <w:rFonts w:ascii="宋体" w:hAnsi="宋体" w:cs="宋体"/>
          <w:color w:val="000000"/>
        </w:rPr>
      </w:pPr>
      <w:r>
        <w:rPr>
          <w:rFonts w:hint="eastAsia" w:ascii="宋体" w:hAnsi="宋体" w:cs="宋体"/>
          <w:color w:val="000000"/>
        </w:rPr>
        <w:t>4.我方参加本项目政府采购活动前3年内在经营活动中没有重大违法记录、没有受到行政处罚、行政处理（含通报）或记入不良行为；</w:t>
      </w:r>
    </w:p>
    <w:p>
      <w:pPr>
        <w:ind w:firstLine="480"/>
        <w:rPr>
          <w:rFonts w:ascii="宋体" w:hAnsi="宋体" w:cs="宋体"/>
          <w:color w:val="000000"/>
        </w:rPr>
      </w:pPr>
      <w:r>
        <w:rPr>
          <w:rFonts w:hint="eastAsia" w:ascii="宋体" w:hAnsi="宋体" w:cs="宋体"/>
          <w:color w:val="000000"/>
        </w:rPr>
        <w:t>5.我方法人代表、主要负责人所在的公司在近三年内没有违法违规行为；</w:t>
      </w:r>
    </w:p>
    <w:p>
      <w:pPr>
        <w:ind w:firstLine="480"/>
        <w:rPr>
          <w:rFonts w:ascii="宋体" w:hAnsi="宋体" w:cs="宋体"/>
          <w:color w:val="000000"/>
        </w:rPr>
      </w:pPr>
      <w:r>
        <w:rPr>
          <w:rFonts w:hint="eastAsia" w:ascii="宋体" w:hAnsi="宋体" w:cs="宋体"/>
          <w:color w:val="000000"/>
        </w:rPr>
        <w:t>6.若我方中标，将严格按照规定及时与采购人签订合同；</w:t>
      </w:r>
    </w:p>
    <w:p>
      <w:pPr>
        <w:ind w:firstLine="480"/>
        <w:rPr>
          <w:rFonts w:ascii="宋体" w:hAnsi="宋体" w:cs="宋体"/>
          <w:color w:val="000000"/>
        </w:rPr>
      </w:pPr>
      <w:r>
        <w:rPr>
          <w:rFonts w:hint="eastAsia" w:ascii="宋体" w:hAnsi="宋体" w:cs="宋体"/>
          <w:color w:val="000000"/>
        </w:rPr>
        <w:t>7.若我方中标，将严格按照招标文件要求及投标文件承诺的报价、质量、服务期限、投标方案、项目负责人等内容组织实施；</w:t>
      </w:r>
    </w:p>
    <w:p>
      <w:pPr>
        <w:ind w:firstLine="480"/>
        <w:rPr>
          <w:rFonts w:ascii="宋体" w:hAnsi="宋体" w:cs="宋体"/>
          <w:color w:val="000000"/>
        </w:rPr>
      </w:pPr>
      <w:r>
        <w:rPr>
          <w:rFonts w:hint="eastAsia" w:ascii="宋体" w:hAnsi="宋体" w:cs="宋体"/>
          <w:color w:val="000000"/>
        </w:rPr>
        <w:t>我方若违反上述承诺，隐瞒、提供虚假资料或不按招标文件要求组织实施或参与串标、抬标及围标等行为，被贵方发现或被他人举报查实，无条件接受采购人、行政监管部门作出的取消投标资格、中标资格、解除合同、拒绝后续政府采购投标、不良行为记录等的处罚。对造成的损失，任何法律和经济责任完全由我方负责。</w:t>
      </w:r>
    </w:p>
    <w:p>
      <w:pPr>
        <w:ind w:firstLine="480"/>
        <w:rPr>
          <w:rFonts w:ascii="宋体" w:hAnsi="宋体" w:cs="宋体"/>
          <w:color w:val="000000"/>
        </w:rPr>
      </w:pPr>
      <w:r>
        <w:rPr>
          <w:rFonts w:hint="eastAsia" w:ascii="宋体" w:hAnsi="宋体" w:cs="宋体"/>
          <w:color w:val="000000"/>
        </w:rPr>
        <w:t>特此承诺。</w:t>
      </w:r>
    </w:p>
    <w:p>
      <w:pPr>
        <w:ind w:firstLine="480"/>
        <w:rPr>
          <w:rFonts w:ascii="宋体" w:hAnsi="宋体" w:cs="宋体"/>
          <w:color w:val="000000"/>
        </w:rPr>
      </w:pPr>
      <w:r>
        <w:rPr>
          <w:rFonts w:hint="eastAsia" w:ascii="宋体" w:hAnsi="宋体" w:cs="宋体"/>
          <w:color w:val="000000"/>
        </w:rPr>
        <w:t>投标人（加盖公章）：</w:t>
      </w:r>
      <w:r>
        <w:rPr>
          <w:rFonts w:hint="eastAsia" w:ascii="宋体" w:hAnsi="宋体" w:cs="宋体"/>
          <w:color w:val="000000"/>
          <w:szCs w:val="24"/>
        </w:rPr>
        <w:t>___________</w:t>
      </w:r>
      <w:r>
        <w:rPr>
          <w:rFonts w:hint="eastAsia" w:ascii="宋体" w:hAnsi="宋体" w:cs="宋体"/>
          <w:color w:val="000000"/>
          <w:u w:val="single"/>
        </w:rPr>
        <w:t xml:space="preserve">                             </w:t>
      </w:r>
    </w:p>
    <w:p>
      <w:pPr>
        <w:ind w:firstLine="480"/>
        <w:rPr>
          <w:rFonts w:ascii="宋体" w:hAnsi="宋体" w:cs="宋体"/>
          <w:color w:val="000000"/>
        </w:rPr>
      </w:pPr>
      <w:r>
        <w:rPr>
          <w:rFonts w:hint="eastAsia" w:ascii="宋体" w:hAnsi="宋体" w:cs="宋体"/>
          <w:color w:val="000000"/>
        </w:rPr>
        <w:t>投标人代表（签名或盖章）：</w:t>
      </w:r>
      <w:r>
        <w:rPr>
          <w:rFonts w:hint="eastAsia" w:ascii="宋体" w:hAnsi="宋体" w:cs="宋体"/>
          <w:color w:val="000000"/>
          <w:szCs w:val="24"/>
        </w:rPr>
        <w:t>___________</w:t>
      </w:r>
      <w:r>
        <w:rPr>
          <w:rFonts w:hint="eastAsia" w:ascii="宋体" w:hAnsi="宋体" w:cs="宋体"/>
          <w:color w:val="000000"/>
          <w:u w:val="single"/>
        </w:rPr>
        <w:t xml:space="preserve">                             </w:t>
      </w:r>
    </w:p>
    <w:p>
      <w:pPr>
        <w:ind w:firstLine="480"/>
        <w:rPr>
          <w:rFonts w:ascii="宋体" w:hAnsi="宋体" w:cs="宋体"/>
          <w:color w:val="000000"/>
        </w:rPr>
      </w:pPr>
    </w:p>
    <w:p>
      <w:pPr>
        <w:ind w:firstLine="4920" w:firstLineChars="2050"/>
        <w:rPr>
          <w:rFonts w:ascii="宋体" w:hAnsi="宋体" w:cs="宋体"/>
          <w:color w:val="000000"/>
        </w:rPr>
      </w:pPr>
      <w:r>
        <w:rPr>
          <w:rFonts w:hint="eastAsia" w:ascii="宋体" w:hAnsi="宋体" w:cs="宋体"/>
          <w:color w:val="000000"/>
        </w:rPr>
        <w:t>日    期：</w:t>
      </w:r>
      <w:r>
        <w:rPr>
          <w:rFonts w:hint="eastAsia" w:ascii="宋体" w:hAnsi="宋体" w:cs="宋体"/>
          <w:color w:val="000000"/>
          <w:u w:val="single"/>
        </w:rPr>
        <w:t xml:space="preserve">     </w:t>
      </w:r>
      <w:r>
        <w:rPr>
          <w:rFonts w:hint="eastAsia" w:ascii="宋体" w:hAnsi="宋体" w:cs="宋体"/>
          <w:color w:val="000000"/>
        </w:rPr>
        <w:t>年</w:t>
      </w:r>
      <w:r>
        <w:rPr>
          <w:rFonts w:hint="eastAsia" w:ascii="宋体" w:hAnsi="宋体" w:cs="宋体"/>
          <w:color w:val="000000"/>
          <w:u w:val="single"/>
        </w:rPr>
        <w:t xml:space="preserve">     </w:t>
      </w:r>
      <w:r>
        <w:rPr>
          <w:rFonts w:hint="eastAsia" w:ascii="宋体" w:hAnsi="宋体" w:cs="宋体"/>
          <w:color w:val="000000"/>
        </w:rPr>
        <w:t>月</w:t>
      </w:r>
      <w:r>
        <w:rPr>
          <w:rFonts w:hint="eastAsia" w:ascii="宋体" w:hAnsi="宋体" w:cs="宋体"/>
          <w:color w:val="000000"/>
          <w:u w:val="single"/>
        </w:rPr>
        <w:t xml:space="preserve">     </w:t>
      </w:r>
      <w:r>
        <w:rPr>
          <w:rFonts w:hint="eastAsia" w:ascii="宋体" w:hAnsi="宋体" w:cs="宋体"/>
          <w:color w:val="000000"/>
        </w:rPr>
        <w:t>日</w:t>
      </w:r>
    </w:p>
    <w:p>
      <w:pPr>
        <w:pStyle w:val="113"/>
        <w:spacing w:line="360" w:lineRule="auto"/>
        <w:rPr>
          <w:rFonts w:hint="default" w:hAnsi="宋体" w:eastAsia="宋体" w:cs="宋体"/>
          <w:color w:val="FF0000"/>
          <w:sz w:val="24"/>
        </w:rPr>
      </w:pPr>
    </w:p>
    <w:p>
      <w:pPr>
        <w:snapToGrid w:val="0"/>
        <w:spacing w:before="100" w:beforeAutospacing="1" w:after="100" w:afterAutospacing="1" w:line="276" w:lineRule="auto"/>
        <w:ind w:firstLine="480"/>
        <w:jc w:val="center"/>
        <w:rPr>
          <w:rFonts w:ascii="宋体" w:hAnsi="宋体" w:cs="宋体"/>
          <w:color w:val="FF0000"/>
          <w:szCs w:val="24"/>
        </w:rPr>
        <w:sectPr>
          <w:pgSz w:w="11906" w:h="16838"/>
          <w:pgMar w:top="1418" w:right="1077" w:bottom="1418" w:left="1077" w:header="851" w:footer="851" w:gutter="340"/>
          <w:cols w:space="720" w:num="1"/>
          <w:docGrid w:linePitch="381" w:charSpace="0"/>
        </w:sectPr>
      </w:pPr>
    </w:p>
    <w:p>
      <w:pPr>
        <w:snapToGrid w:val="0"/>
        <w:spacing w:before="100" w:beforeAutospacing="1" w:after="100" w:afterAutospacing="1" w:line="276" w:lineRule="auto"/>
        <w:ind w:firstLine="480"/>
        <w:jc w:val="center"/>
        <w:rPr>
          <w:rFonts w:ascii="宋体" w:hAnsi="宋体" w:cs="宋体"/>
          <w:szCs w:val="24"/>
        </w:rPr>
      </w:pPr>
    </w:p>
    <w:p>
      <w:pPr>
        <w:snapToGrid w:val="0"/>
        <w:spacing w:before="100" w:beforeAutospacing="1" w:after="100" w:afterAutospacing="1" w:line="276" w:lineRule="auto"/>
        <w:ind w:firstLine="643"/>
        <w:jc w:val="center"/>
        <w:rPr>
          <w:rFonts w:ascii="宋体" w:hAnsi="宋体" w:cs="宋体"/>
          <w:b/>
          <w:bCs/>
          <w:sz w:val="32"/>
          <w:szCs w:val="32"/>
        </w:rPr>
      </w:pPr>
      <w:r>
        <w:rPr>
          <w:rFonts w:hint="eastAsia" w:ascii="宋体" w:hAnsi="宋体" w:cs="宋体"/>
          <w:b/>
          <w:bCs/>
          <w:sz w:val="32"/>
          <w:szCs w:val="32"/>
        </w:rPr>
        <w:t>八、法定代表人授权委托书格式</w:t>
      </w:r>
    </w:p>
    <w:p>
      <w:pPr>
        <w:snapToGrid w:val="0"/>
        <w:spacing w:before="100" w:beforeAutospacing="1" w:after="100" w:afterAutospacing="1" w:line="276" w:lineRule="auto"/>
        <w:ind w:firstLine="602"/>
        <w:jc w:val="center"/>
        <w:rPr>
          <w:rFonts w:ascii="宋体" w:hAnsi="宋体" w:cs="宋体"/>
          <w:b/>
          <w:bCs/>
          <w:color w:val="000000"/>
          <w:sz w:val="30"/>
          <w:szCs w:val="30"/>
        </w:rPr>
      </w:pPr>
      <w:r>
        <w:rPr>
          <w:rFonts w:hint="eastAsia" w:ascii="宋体" w:hAnsi="宋体" w:cs="宋体"/>
          <w:b/>
          <w:bCs/>
          <w:sz w:val="30"/>
          <w:szCs w:val="30"/>
        </w:rPr>
        <w:t>法定代表人授权委托书</w:t>
      </w:r>
    </w:p>
    <w:p>
      <w:pPr>
        <w:snapToGrid w:val="0"/>
        <w:spacing w:before="100" w:beforeAutospacing="1" w:after="100" w:afterAutospacing="1" w:line="276" w:lineRule="auto"/>
        <w:ind w:firstLine="480"/>
        <w:rPr>
          <w:rFonts w:ascii="宋体" w:hAnsi="宋体" w:cs="宋体"/>
          <w:b/>
          <w:bCs/>
          <w:color w:val="000000"/>
          <w:szCs w:val="24"/>
        </w:rPr>
      </w:pPr>
      <w:r>
        <w:rPr>
          <w:rFonts w:hint="eastAsia" w:ascii="宋体" w:hAnsi="宋体" w:cs="宋体"/>
          <w:color w:val="000000"/>
          <w:szCs w:val="24"/>
        </w:rPr>
        <w:t>致：</w:t>
      </w:r>
      <w:r>
        <w:rPr>
          <w:rFonts w:hint="eastAsia" w:ascii="宋体" w:hAnsi="宋体" w:cs="宋体"/>
          <w:color w:val="000000"/>
          <w:szCs w:val="24"/>
          <w:u w:val="single"/>
        </w:rPr>
        <w:t xml:space="preserve">                  </w:t>
      </w:r>
      <w:r>
        <w:rPr>
          <w:rFonts w:hint="eastAsia" w:ascii="宋体" w:hAnsi="宋体" w:cs="宋体"/>
          <w:color w:val="000000"/>
          <w:szCs w:val="24"/>
        </w:rPr>
        <w:t>（招标单位名称）</w:t>
      </w:r>
      <w:r>
        <w:rPr>
          <w:rFonts w:hint="eastAsia" w:ascii="宋体" w:hAnsi="宋体" w:cs="宋体"/>
          <w:b/>
          <w:bCs/>
          <w:color w:val="000000"/>
          <w:szCs w:val="24"/>
        </w:rPr>
        <w:t xml:space="preserve"> </w:t>
      </w:r>
      <w:r>
        <w:rPr>
          <w:rFonts w:hint="eastAsia" w:ascii="宋体" w:hAnsi="宋体" w:cs="宋体"/>
          <w:color w:val="000000"/>
          <w:szCs w:val="24"/>
        </w:rPr>
        <w:t>：</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 xml:space="preserve">我 </w:t>
      </w:r>
      <w:r>
        <w:rPr>
          <w:rFonts w:hint="eastAsia" w:ascii="宋体" w:hAnsi="宋体" w:cs="宋体"/>
          <w:color w:val="000000"/>
          <w:szCs w:val="24"/>
          <w:u w:val="single"/>
        </w:rPr>
        <w:t xml:space="preserve">            </w:t>
      </w:r>
      <w:r>
        <w:rPr>
          <w:rFonts w:hint="eastAsia" w:ascii="宋体" w:hAnsi="宋体" w:cs="宋体"/>
          <w:color w:val="000000"/>
          <w:szCs w:val="24"/>
        </w:rPr>
        <w:t>（姓名）系</w:t>
      </w:r>
      <w:r>
        <w:rPr>
          <w:rFonts w:hint="eastAsia" w:ascii="宋体" w:hAnsi="宋体" w:cs="宋体"/>
          <w:color w:val="000000"/>
          <w:szCs w:val="24"/>
          <w:u w:val="single"/>
        </w:rPr>
        <w:t xml:space="preserve">              </w:t>
      </w:r>
      <w:r>
        <w:rPr>
          <w:rFonts w:hint="eastAsia" w:ascii="宋体" w:hAnsi="宋体" w:cs="宋体"/>
          <w:color w:val="000000"/>
          <w:szCs w:val="24"/>
        </w:rPr>
        <w:t xml:space="preserve">（投标人名称）的法定代表人，现授权委托本单位在职职工 </w:t>
      </w:r>
      <w:r>
        <w:rPr>
          <w:rFonts w:hint="eastAsia" w:ascii="宋体" w:hAnsi="宋体" w:cs="宋体"/>
          <w:color w:val="000000"/>
          <w:szCs w:val="24"/>
          <w:u w:val="single"/>
        </w:rPr>
        <w:t xml:space="preserve">              </w:t>
      </w:r>
      <w:r>
        <w:rPr>
          <w:rFonts w:hint="eastAsia" w:ascii="宋体" w:hAnsi="宋体" w:cs="宋体"/>
          <w:color w:val="000000"/>
          <w:szCs w:val="24"/>
        </w:rPr>
        <w:t>（姓名）以我方的名义参加</w:t>
      </w:r>
      <w:r>
        <w:rPr>
          <w:rFonts w:hint="eastAsia" w:ascii="宋体" w:hAnsi="宋体" w:cs="宋体"/>
          <w:b/>
          <w:bCs/>
          <w:color w:val="000000"/>
          <w:szCs w:val="24"/>
          <w:u w:val="single"/>
        </w:rPr>
        <w:t>2023年城区信号灯路口配时优化项目</w:t>
      </w:r>
      <w:r>
        <w:rPr>
          <w:rFonts w:hint="eastAsia" w:ascii="宋体" w:hAnsi="宋体" w:cs="宋体"/>
          <w:szCs w:val="24"/>
        </w:rPr>
        <w:t>政府采购</w:t>
      </w:r>
      <w:r>
        <w:rPr>
          <w:rFonts w:hint="eastAsia" w:ascii="宋体" w:hAnsi="宋体" w:cs="宋体"/>
          <w:color w:val="000000"/>
          <w:szCs w:val="24"/>
        </w:rPr>
        <w:t>项目的投标活动，并代表我方全权办理针对上述项目的投标、开标、评标、签约等具体事务和签署相关文件。</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我方对被授权人的签名负全部责任。</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在撤销授权的书面通知以前，本授权书一直有效。被授权人在授权书有效期内签署的所有文件不因授权的撤销而失效。</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被授权人无转委托权，特此委托。</w:t>
      </w:r>
    </w:p>
    <w:p>
      <w:pPr>
        <w:snapToGrid w:val="0"/>
        <w:spacing w:before="100" w:beforeAutospacing="1" w:after="100" w:afterAutospacing="1" w:line="276" w:lineRule="auto"/>
        <w:ind w:firstLine="480"/>
        <w:rPr>
          <w:rFonts w:ascii="宋体" w:hAnsi="宋体" w:cs="宋体"/>
          <w:color w:val="000000"/>
          <w:szCs w:val="24"/>
        </w:rPr>
      </w:pPr>
    </w:p>
    <w:p>
      <w:pPr>
        <w:snapToGrid w:val="0"/>
        <w:spacing w:before="100" w:beforeAutospacing="1" w:after="100" w:afterAutospacing="1" w:line="276" w:lineRule="auto"/>
        <w:ind w:firstLine="480"/>
        <w:rPr>
          <w:rFonts w:ascii="宋体" w:hAnsi="宋体" w:cs="宋体"/>
          <w:color w:val="000000"/>
          <w:szCs w:val="24"/>
          <w:u w:val="single"/>
        </w:rPr>
      </w:pPr>
      <w:r>
        <w:rPr>
          <w:rFonts w:hint="eastAsia" w:ascii="宋体" w:hAnsi="宋体" w:cs="宋体"/>
          <w:color w:val="000000"/>
          <w:szCs w:val="24"/>
        </w:rPr>
        <w:t>被授权人签名（或盖章）：</w:t>
      </w:r>
      <w:r>
        <w:rPr>
          <w:rFonts w:hint="eastAsia" w:ascii="宋体" w:hAnsi="宋体" w:cs="宋体"/>
          <w:color w:val="000000"/>
          <w:szCs w:val="24"/>
          <w:u w:val="single"/>
        </w:rPr>
        <w:t xml:space="preserve">       </w:t>
      </w:r>
      <w:r>
        <w:rPr>
          <w:rFonts w:hint="eastAsia" w:ascii="宋体" w:hAnsi="宋体" w:cs="宋体"/>
          <w:color w:val="000000"/>
          <w:szCs w:val="24"/>
        </w:rPr>
        <w:t xml:space="preserve"> 法定代表人签名（或盖章）：</w:t>
      </w:r>
      <w:r>
        <w:rPr>
          <w:rFonts w:ascii="宋体" w:hAnsi="宋体" w:cs="宋体"/>
          <w:color w:val="000000"/>
          <w:szCs w:val="24"/>
        </w:rPr>
        <w:t>_____</w:t>
      </w:r>
      <w:r>
        <w:rPr>
          <w:rFonts w:ascii="宋体" w:hAnsi="宋体" w:cs="宋体"/>
          <w:szCs w:val="24"/>
        </w:rPr>
        <w:t>____________</w:t>
      </w:r>
      <w:r>
        <w:rPr>
          <w:rFonts w:hint="eastAsia" w:ascii="宋体" w:hAnsi="宋体" w:cs="宋体"/>
          <w:color w:val="000000"/>
          <w:szCs w:val="24"/>
          <w:u w:val="single"/>
        </w:rPr>
        <w:t xml:space="preserve"> </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职务：</w:t>
      </w:r>
      <w:r>
        <w:rPr>
          <w:rFonts w:hint="eastAsia" w:ascii="宋体" w:hAnsi="宋体" w:cs="宋体"/>
          <w:szCs w:val="24"/>
          <w:u w:val="single"/>
        </w:rPr>
        <w:t>　　　　　　　　</w:t>
      </w:r>
      <w:r>
        <w:rPr>
          <w:rFonts w:hint="eastAsia" w:ascii="宋体" w:hAnsi="宋体" w:cs="宋体"/>
          <w:color w:val="000000"/>
          <w:szCs w:val="24"/>
        </w:rPr>
        <w:t xml:space="preserve">                              职务：</w:t>
      </w:r>
      <w:r>
        <w:rPr>
          <w:rFonts w:ascii="宋体" w:hAnsi="宋体" w:cs="宋体"/>
          <w:szCs w:val="24"/>
        </w:rPr>
        <w:t>_________________</w:t>
      </w:r>
      <w:r>
        <w:rPr>
          <w:rFonts w:hint="eastAsia" w:ascii="宋体" w:hAnsi="宋体" w:cs="宋体"/>
          <w:color w:val="000000"/>
          <w:szCs w:val="24"/>
          <w:u w:val="single"/>
        </w:rPr>
        <w:t xml:space="preserve"> </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被授权人身份证号码：</w:t>
      </w:r>
      <w:r>
        <w:rPr>
          <w:rFonts w:ascii="宋体" w:hAnsi="宋体" w:cs="宋体"/>
          <w:szCs w:val="24"/>
        </w:rPr>
        <w:t>_________________</w:t>
      </w:r>
      <w:r>
        <w:rPr>
          <w:rFonts w:hint="eastAsia" w:ascii="宋体" w:hAnsi="宋体" w:cs="宋体"/>
          <w:color w:val="000000"/>
          <w:szCs w:val="24"/>
        </w:rPr>
        <w:t xml:space="preserve"> </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 xml:space="preserve">                                    </w:t>
      </w:r>
    </w:p>
    <w:p>
      <w:pPr>
        <w:snapToGrid w:val="0"/>
        <w:spacing w:before="100" w:beforeAutospacing="1" w:after="100" w:afterAutospacing="1" w:line="276" w:lineRule="auto"/>
        <w:ind w:right="960" w:firstLine="480"/>
        <w:jc w:val="center"/>
        <w:rPr>
          <w:rFonts w:ascii="宋体" w:hAnsi="宋体" w:cs="宋体"/>
          <w:color w:val="000000"/>
          <w:szCs w:val="24"/>
        </w:rPr>
      </w:pPr>
      <w:r>
        <w:rPr>
          <w:rFonts w:hint="eastAsia" w:ascii="宋体" w:hAnsi="宋体" w:cs="宋体"/>
          <w:color w:val="000000"/>
          <w:szCs w:val="24"/>
        </w:rPr>
        <w:t>投标人公章：</w:t>
      </w:r>
      <w:r>
        <w:rPr>
          <w:rFonts w:hint="eastAsia" w:ascii="宋体" w:hAnsi="宋体" w:cs="宋体"/>
          <w:szCs w:val="24"/>
          <w:u w:val="single"/>
        </w:rPr>
        <w:t>　　　　　　　　</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 xml:space="preserve">                                     </w:t>
      </w:r>
      <w:r>
        <w:rPr>
          <w:rFonts w:hint="eastAsia" w:ascii="宋体" w:hAnsi="宋体" w:cs="宋体"/>
          <w:szCs w:val="24"/>
          <w:u w:val="single"/>
        </w:rPr>
        <w:t>　　</w:t>
      </w:r>
      <w:r>
        <w:rPr>
          <w:rFonts w:hint="eastAsia" w:ascii="宋体" w:hAnsi="宋体" w:cs="宋体"/>
          <w:color w:val="000000"/>
          <w:szCs w:val="24"/>
        </w:rPr>
        <w:t>年</w:t>
      </w:r>
      <w:r>
        <w:rPr>
          <w:rFonts w:hint="eastAsia" w:ascii="宋体" w:hAnsi="宋体" w:cs="宋体"/>
          <w:szCs w:val="24"/>
          <w:u w:val="single"/>
        </w:rPr>
        <w:t>　　</w:t>
      </w:r>
      <w:r>
        <w:rPr>
          <w:rFonts w:hint="eastAsia" w:ascii="宋体" w:hAnsi="宋体" w:cs="宋体"/>
          <w:color w:val="000000"/>
          <w:szCs w:val="24"/>
        </w:rPr>
        <w:t>月</w:t>
      </w:r>
      <w:r>
        <w:rPr>
          <w:rFonts w:hint="eastAsia" w:ascii="宋体" w:hAnsi="宋体" w:cs="宋体"/>
          <w:szCs w:val="24"/>
          <w:u w:val="single"/>
        </w:rPr>
        <w:t>　　</w:t>
      </w:r>
      <w:r>
        <w:rPr>
          <w:rFonts w:hint="eastAsia" w:ascii="宋体" w:hAnsi="宋体" w:cs="宋体"/>
          <w:color w:val="000000"/>
          <w:szCs w:val="24"/>
        </w:rPr>
        <w:t>日</w:t>
      </w:r>
    </w:p>
    <w:tbl>
      <w:tblPr>
        <w:tblStyle w:val="36"/>
        <w:tblpPr w:leftFromText="180" w:rightFromText="180" w:vertAnchor="text" w:tblpX="199" w:tblpY="1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9" w:hRule="atLeast"/>
        </w:trPr>
        <w:tc>
          <w:tcPr>
            <w:tcW w:w="6720" w:type="dxa"/>
          </w:tcPr>
          <w:p>
            <w:pPr>
              <w:spacing w:line="300" w:lineRule="auto"/>
              <w:ind w:firstLine="883"/>
              <w:rPr>
                <w:rFonts w:ascii="宋体" w:hAnsi="宋体" w:cs="宋体"/>
                <w:b/>
                <w:bCs/>
                <w:sz w:val="44"/>
                <w:szCs w:val="44"/>
              </w:rPr>
            </w:pPr>
          </w:p>
          <w:p>
            <w:pPr>
              <w:spacing w:line="300" w:lineRule="auto"/>
              <w:ind w:firstLine="480"/>
              <w:rPr>
                <w:rFonts w:ascii="宋体" w:hAnsi="宋体" w:cs="宋体"/>
                <w:b/>
                <w:bCs/>
                <w:szCs w:val="24"/>
              </w:rPr>
            </w:pPr>
            <w:r>
              <w:rPr>
                <w:rFonts w:hint="eastAsia" w:ascii="宋体" w:hAnsi="宋体" w:cs="宋体"/>
                <w:szCs w:val="24"/>
              </w:rPr>
              <w:t>被授权人身份证复印件（双面复印）</w:t>
            </w:r>
          </w:p>
        </w:tc>
      </w:tr>
    </w:tbl>
    <w:p>
      <w:pPr>
        <w:snapToGrid w:val="0"/>
        <w:spacing w:before="100" w:beforeAutospacing="1" w:after="100" w:afterAutospacing="1" w:line="276" w:lineRule="auto"/>
        <w:ind w:firstLine="480"/>
        <w:rPr>
          <w:rFonts w:ascii="宋体" w:hAnsi="宋体" w:cs="宋体"/>
          <w:color w:val="000000"/>
          <w:szCs w:val="24"/>
        </w:rPr>
      </w:pPr>
    </w:p>
    <w:p>
      <w:pPr>
        <w:snapToGrid w:val="0"/>
        <w:spacing w:before="100" w:beforeAutospacing="1" w:after="100" w:afterAutospacing="1" w:line="276" w:lineRule="auto"/>
        <w:ind w:firstLine="480"/>
        <w:rPr>
          <w:rFonts w:ascii="宋体" w:hAnsi="宋体" w:cs="宋体"/>
          <w:color w:val="000000"/>
          <w:szCs w:val="24"/>
        </w:rPr>
      </w:pPr>
    </w:p>
    <w:p>
      <w:pPr>
        <w:snapToGrid w:val="0"/>
        <w:spacing w:before="100" w:beforeAutospacing="1" w:after="100" w:afterAutospacing="1" w:line="276" w:lineRule="auto"/>
        <w:ind w:firstLine="480"/>
        <w:rPr>
          <w:rFonts w:ascii="宋体" w:hAnsi="宋体" w:cs="宋体"/>
          <w:color w:val="000000"/>
          <w:szCs w:val="24"/>
        </w:rPr>
      </w:pPr>
    </w:p>
    <w:p>
      <w:pPr>
        <w:snapToGrid w:val="0"/>
        <w:spacing w:before="100" w:beforeAutospacing="1" w:after="100" w:afterAutospacing="1" w:line="276" w:lineRule="auto"/>
        <w:ind w:firstLine="480"/>
        <w:rPr>
          <w:rFonts w:ascii="宋体" w:hAnsi="宋体" w:cs="宋体"/>
          <w:color w:val="000000"/>
          <w:szCs w:val="24"/>
        </w:rPr>
      </w:pPr>
    </w:p>
    <w:p>
      <w:pPr>
        <w:spacing w:before="120" w:beforeLines="50"/>
        <w:ind w:firstLine="482"/>
        <w:jc w:val="center"/>
        <w:rPr>
          <w:rFonts w:ascii="宋体" w:hAnsi="宋体" w:cs="宋体"/>
          <w:b/>
          <w:bCs/>
          <w:color w:val="000000"/>
        </w:rPr>
      </w:pPr>
    </w:p>
    <w:p>
      <w:pPr>
        <w:ind w:firstLine="643"/>
        <w:jc w:val="center"/>
        <w:rPr>
          <w:rFonts w:ascii="宋体" w:hAnsi="宋体" w:cs="宋体"/>
          <w:b/>
          <w:color w:val="000000"/>
          <w:sz w:val="32"/>
          <w:szCs w:val="32"/>
        </w:rPr>
      </w:pPr>
      <w:r>
        <w:rPr>
          <w:rFonts w:hint="eastAsia" w:ascii="宋体" w:hAnsi="宋体" w:cs="宋体"/>
          <w:b/>
          <w:color w:val="000000"/>
          <w:sz w:val="32"/>
          <w:szCs w:val="32"/>
        </w:rPr>
        <w:t>九、投标人基本情况表格式</w:t>
      </w:r>
    </w:p>
    <w:p>
      <w:pPr>
        <w:ind w:firstLine="643"/>
        <w:jc w:val="center"/>
        <w:rPr>
          <w:rFonts w:ascii="宋体" w:hAnsi="宋体" w:cs="宋体"/>
          <w:b/>
          <w:color w:val="000000"/>
          <w:sz w:val="32"/>
          <w:szCs w:val="32"/>
        </w:rPr>
      </w:pPr>
      <w:r>
        <w:rPr>
          <w:rFonts w:hint="eastAsia" w:ascii="宋体" w:hAnsi="宋体" w:cs="宋体"/>
          <w:b/>
          <w:color w:val="000000"/>
          <w:sz w:val="32"/>
          <w:szCs w:val="32"/>
        </w:rPr>
        <w:t>投标人基本情况表</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2"/>
        <w:gridCol w:w="2118"/>
        <w:gridCol w:w="1980"/>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投标人名称</w:t>
            </w:r>
          </w:p>
        </w:tc>
        <w:tc>
          <w:tcPr>
            <w:tcW w:w="6339" w:type="dxa"/>
            <w:gridSpan w:val="3"/>
            <w:vAlign w:val="center"/>
          </w:tcPr>
          <w:p>
            <w:pPr>
              <w:ind w:firstLine="48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地址</w:t>
            </w:r>
          </w:p>
        </w:tc>
        <w:tc>
          <w:tcPr>
            <w:tcW w:w="6339" w:type="dxa"/>
            <w:gridSpan w:val="3"/>
            <w:vAlign w:val="center"/>
          </w:tcPr>
          <w:p>
            <w:pPr>
              <w:ind w:firstLine="48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业务（经营）范围</w:t>
            </w:r>
          </w:p>
        </w:tc>
        <w:tc>
          <w:tcPr>
            <w:tcW w:w="2118" w:type="dxa"/>
            <w:vAlign w:val="center"/>
          </w:tcPr>
          <w:p>
            <w:pPr>
              <w:ind w:firstLine="0" w:firstLineChars="0"/>
              <w:rPr>
                <w:rFonts w:ascii="宋体" w:hAnsi="宋体" w:cs="宋体"/>
                <w:color w:val="000000"/>
              </w:rPr>
            </w:pPr>
          </w:p>
        </w:tc>
        <w:tc>
          <w:tcPr>
            <w:tcW w:w="1980" w:type="dxa"/>
            <w:vAlign w:val="center"/>
          </w:tcPr>
          <w:p>
            <w:pPr>
              <w:ind w:firstLine="0" w:firstLineChars="0"/>
              <w:rPr>
                <w:rFonts w:ascii="宋体" w:hAnsi="宋体" w:cs="宋体"/>
                <w:color w:val="000000"/>
              </w:rPr>
            </w:pPr>
            <w:r>
              <w:rPr>
                <w:rFonts w:hint="eastAsia" w:ascii="宋体" w:hAnsi="宋体" w:cs="宋体"/>
                <w:color w:val="000000"/>
              </w:rPr>
              <w:t>机构类型</w:t>
            </w:r>
          </w:p>
        </w:tc>
        <w:tc>
          <w:tcPr>
            <w:tcW w:w="2241" w:type="dxa"/>
            <w:vAlign w:val="center"/>
          </w:tcPr>
          <w:p>
            <w:pPr>
              <w:ind w:firstLine="0" w:firstLineChars="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成立时间</w:t>
            </w:r>
          </w:p>
        </w:tc>
        <w:tc>
          <w:tcPr>
            <w:tcW w:w="2118" w:type="dxa"/>
            <w:vAlign w:val="center"/>
          </w:tcPr>
          <w:p>
            <w:pPr>
              <w:ind w:firstLine="0" w:firstLineChars="0"/>
              <w:rPr>
                <w:rFonts w:ascii="宋体" w:hAnsi="宋体" w:cs="宋体"/>
                <w:color w:val="000000"/>
              </w:rPr>
            </w:pPr>
          </w:p>
        </w:tc>
        <w:tc>
          <w:tcPr>
            <w:tcW w:w="1980" w:type="dxa"/>
            <w:vAlign w:val="center"/>
          </w:tcPr>
          <w:p>
            <w:pPr>
              <w:ind w:firstLine="0" w:firstLineChars="0"/>
              <w:rPr>
                <w:rFonts w:ascii="宋体" w:hAnsi="宋体" w:cs="宋体"/>
                <w:color w:val="000000"/>
              </w:rPr>
            </w:pPr>
          </w:p>
        </w:tc>
        <w:tc>
          <w:tcPr>
            <w:tcW w:w="2241" w:type="dxa"/>
            <w:vAlign w:val="center"/>
          </w:tcPr>
          <w:p>
            <w:pPr>
              <w:ind w:firstLine="0" w:firstLineChars="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法定代表人</w:t>
            </w:r>
          </w:p>
        </w:tc>
        <w:tc>
          <w:tcPr>
            <w:tcW w:w="2118" w:type="dxa"/>
            <w:vAlign w:val="center"/>
          </w:tcPr>
          <w:p>
            <w:pPr>
              <w:ind w:firstLine="0" w:firstLineChars="0"/>
              <w:rPr>
                <w:rFonts w:ascii="宋体" w:hAnsi="宋体" w:cs="宋体"/>
                <w:color w:val="000000"/>
              </w:rPr>
            </w:pPr>
          </w:p>
        </w:tc>
        <w:tc>
          <w:tcPr>
            <w:tcW w:w="1980" w:type="dxa"/>
            <w:vAlign w:val="center"/>
          </w:tcPr>
          <w:p>
            <w:pPr>
              <w:ind w:firstLine="0" w:firstLineChars="0"/>
              <w:rPr>
                <w:rFonts w:ascii="宋体" w:hAnsi="宋体" w:cs="宋体"/>
                <w:color w:val="000000"/>
              </w:rPr>
            </w:pPr>
            <w:r>
              <w:rPr>
                <w:rFonts w:hint="eastAsia" w:ascii="宋体" w:hAnsi="宋体" w:cs="宋体"/>
                <w:color w:val="000000"/>
              </w:rPr>
              <w:t>联系电话</w:t>
            </w:r>
          </w:p>
        </w:tc>
        <w:tc>
          <w:tcPr>
            <w:tcW w:w="2241" w:type="dxa"/>
            <w:vAlign w:val="center"/>
          </w:tcPr>
          <w:p>
            <w:pPr>
              <w:ind w:firstLine="0" w:firstLineChars="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注册资本</w:t>
            </w:r>
          </w:p>
        </w:tc>
        <w:tc>
          <w:tcPr>
            <w:tcW w:w="2118" w:type="dxa"/>
            <w:vAlign w:val="center"/>
          </w:tcPr>
          <w:p>
            <w:pPr>
              <w:ind w:firstLine="0" w:firstLineChars="0"/>
              <w:rPr>
                <w:rFonts w:ascii="宋体" w:hAnsi="宋体" w:cs="宋体"/>
                <w:color w:val="000000"/>
              </w:rPr>
            </w:pPr>
          </w:p>
        </w:tc>
        <w:tc>
          <w:tcPr>
            <w:tcW w:w="1980" w:type="dxa"/>
            <w:vAlign w:val="center"/>
          </w:tcPr>
          <w:p>
            <w:pPr>
              <w:ind w:firstLine="0" w:firstLineChars="0"/>
              <w:rPr>
                <w:rFonts w:ascii="宋体" w:hAnsi="宋体" w:cs="宋体"/>
                <w:color w:val="000000"/>
              </w:rPr>
            </w:pPr>
            <w:r>
              <w:rPr>
                <w:rFonts w:hint="eastAsia" w:ascii="宋体" w:hAnsi="宋体" w:cs="宋体"/>
                <w:color w:val="000000"/>
              </w:rPr>
              <w:t>技术人员数</w:t>
            </w:r>
          </w:p>
        </w:tc>
        <w:tc>
          <w:tcPr>
            <w:tcW w:w="2241" w:type="dxa"/>
            <w:vAlign w:val="center"/>
          </w:tcPr>
          <w:p>
            <w:pPr>
              <w:ind w:firstLine="0" w:firstLineChars="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是否依法纳税</w:t>
            </w:r>
          </w:p>
        </w:tc>
        <w:tc>
          <w:tcPr>
            <w:tcW w:w="2118" w:type="dxa"/>
            <w:vAlign w:val="center"/>
          </w:tcPr>
          <w:p>
            <w:pPr>
              <w:ind w:firstLine="0" w:firstLineChars="0"/>
              <w:rPr>
                <w:rFonts w:ascii="宋体" w:hAnsi="宋体" w:cs="宋体"/>
                <w:color w:val="000000"/>
              </w:rPr>
            </w:pPr>
          </w:p>
        </w:tc>
        <w:tc>
          <w:tcPr>
            <w:tcW w:w="1980" w:type="dxa"/>
            <w:vAlign w:val="center"/>
          </w:tcPr>
          <w:p>
            <w:pPr>
              <w:ind w:firstLine="0" w:firstLineChars="0"/>
              <w:jc w:val="center"/>
              <w:rPr>
                <w:rFonts w:ascii="宋体" w:hAnsi="宋体" w:cs="宋体"/>
                <w:color w:val="000000"/>
              </w:rPr>
            </w:pPr>
            <w:r>
              <w:rPr>
                <w:rFonts w:hint="eastAsia" w:ascii="宋体" w:hAnsi="宋体" w:cs="宋体"/>
                <w:color w:val="000000"/>
              </w:rPr>
              <w:t>是否参加社保</w:t>
            </w:r>
          </w:p>
        </w:tc>
        <w:tc>
          <w:tcPr>
            <w:tcW w:w="2241" w:type="dxa"/>
            <w:vAlign w:val="center"/>
          </w:tcPr>
          <w:p>
            <w:pPr>
              <w:ind w:firstLine="0" w:firstLineChars="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4"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服务机构情况</w:t>
            </w:r>
          </w:p>
        </w:tc>
        <w:tc>
          <w:tcPr>
            <w:tcW w:w="6339" w:type="dxa"/>
            <w:gridSpan w:val="3"/>
            <w:vAlign w:val="center"/>
          </w:tcPr>
          <w:p>
            <w:pPr>
              <w:ind w:firstLine="0" w:firstLineChars="0"/>
              <w:jc w:val="left"/>
              <w:rPr>
                <w:rFonts w:ascii="宋体" w:hAnsi="宋体" w:cs="宋体"/>
                <w:color w:val="000000"/>
              </w:rPr>
            </w:pPr>
            <w:r>
              <w:rPr>
                <w:rFonts w:hint="eastAsia" w:ascii="宋体" w:hAnsi="宋体" w:cs="宋体"/>
                <w:color w:val="000000"/>
              </w:rPr>
              <w:t>服务机构名称：</w:t>
            </w:r>
          </w:p>
          <w:p>
            <w:pPr>
              <w:ind w:firstLine="0" w:firstLineChars="0"/>
              <w:jc w:val="left"/>
              <w:rPr>
                <w:rFonts w:ascii="宋体" w:hAnsi="宋体" w:cs="宋体"/>
                <w:color w:val="000000"/>
              </w:rPr>
            </w:pPr>
            <w:r>
              <w:rPr>
                <w:rFonts w:hint="eastAsia" w:ascii="宋体" w:hAnsi="宋体" w:cs="宋体"/>
                <w:color w:val="000000"/>
              </w:rPr>
              <w:t>地址：</w:t>
            </w:r>
          </w:p>
          <w:p>
            <w:pPr>
              <w:ind w:firstLine="0" w:firstLineChars="0"/>
              <w:jc w:val="left"/>
              <w:rPr>
                <w:rFonts w:ascii="宋体" w:hAnsi="宋体" w:cs="宋体"/>
                <w:color w:val="000000"/>
              </w:rPr>
            </w:pPr>
            <w:r>
              <w:rPr>
                <w:rFonts w:hint="eastAsia" w:ascii="宋体" w:hAnsi="宋体" w:cs="宋体"/>
                <w:color w:val="000000"/>
              </w:rPr>
              <w:t>人员状况：</w:t>
            </w:r>
          </w:p>
          <w:p>
            <w:pPr>
              <w:ind w:firstLine="0" w:firstLineChars="0"/>
              <w:jc w:val="left"/>
              <w:rPr>
                <w:rFonts w:ascii="宋体" w:hAnsi="宋体" w:cs="宋体"/>
                <w:color w:val="000000"/>
              </w:rPr>
            </w:pPr>
            <w:r>
              <w:rPr>
                <w:rFonts w:hint="eastAsia" w:ascii="宋体" w:hAnsi="宋体" w:cs="宋体"/>
                <w:color w:val="000000"/>
              </w:rPr>
              <w:t>联系方式：</w:t>
            </w:r>
          </w:p>
          <w:p>
            <w:pPr>
              <w:ind w:firstLine="0" w:firstLineChars="0"/>
              <w:jc w:val="left"/>
              <w:rPr>
                <w:rFonts w:ascii="宋体" w:hAnsi="宋体" w:cs="宋体"/>
                <w:color w:val="000000"/>
              </w:rPr>
            </w:pPr>
            <w:r>
              <w:rPr>
                <w:rFonts w:hint="eastAsia" w:ascii="宋体" w:hAnsi="宋体" w:cs="宋体"/>
                <w:color w:val="000000"/>
              </w:rPr>
              <w:t>（可另附纸说明）</w:t>
            </w:r>
          </w:p>
        </w:tc>
      </w:tr>
    </w:tbl>
    <w:p>
      <w:pPr>
        <w:ind w:firstLine="480"/>
        <w:rPr>
          <w:rFonts w:ascii="宋体" w:hAnsi="宋体" w:cs="宋体"/>
          <w:color w:val="000000"/>
        </w:rPr>
      </w:pPr>
    </w:p>
    <w:p>
      <w:pPr>
        <w:ind w:firstLine="2400" w:firstLineChars="1000"/>
        <w:contextualSpacing/>
        <w:rPr>
          <w:rFonts w:ascii="宋体" w:hAnsi="宋体" w:cs="宋体"/>
          <w:color w:val="000000"/>
        </w:rPr>
      </w:pPr>
      <w:r>
        <w:rPr>
          <w:rFonts w:hint="eastAsia" w:ascii="宋体" w:hAnsi="宋体" w:cs="宋体"/>
          <w:color w:val="000000"/>
          <w:szCs w:val="24"/>
        </w:rPr>
        <w:t>法定代表人或授权代表</w:t>
      </w:r>
      <w:r>
        <w:rPr>
          <w:rFonts w:hint="eastAsia" w:ascii="宋体" w:hAnsi="宋体" w:cs="宋体"/>
          <w:color w:val="000000"/>
          <w:spacing w:val="20"/>
          <w:szCs w:val="24"/>
        </w:rPr>
        <w:t>签名</w:t>
      </w:r>
      <w:r>
        <w:rPr>
          <w:rFonts w:hint="eastAsia" w:ascii="宋体" w:hAnsi="宋体" w:cs="宋体"/>
          <w:color w:val="000000"/>
          <w:szCs w:val="24"/>
        </w:rPr>
        <w:t>（或盖章）</w:t>
      </w:r>
      <w:r>
        <w:rPr>
          <w:rFonts w:hint="eastAsia" w:ascii="宋体" w:hAnsi="宋体" w:cs="宋体"/>
          <w:color w:val="000000"/>
          <w:spacing w:val="20"/>
          <w:szCs w:val="24"/>
        </w:rPr>
        <w:t>：</w:t>
      </w:r>
      <w:r>
        <w:rPr>
          <w:rFonts w:hint="eastAsia" w:ascii="宋体" w:hAnsi="宋体" w:cs="宋体"/>
          <w:szCs w:val="24"/>
        </w:rPr>
        <w:t>_________________</w:t>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p>
    <w:p>
      <w:pPr>
        <w:ind w:firstLine="480"/>
        <w:contextualSpacing/>
        <w:rPr>
          <w:rFonts w:ascii="宋体" w:hAnsi="宋体" w:cs="宋体"/>
          <w:color w:val="000000"/>
        </w:rPr>
      </w:pPr>
      <w:r>
        <w:rPr>
          <w:rFonts w:hint="eastAsia" w:ascii="宋体" w:hAnsi="宋体" w:cs="宋体"/>
          <w:color w:val="000000"/>
        </w:rPr>
        <w:t xml:space="preserve">                                   投标人（公章）：</w:t>
      </w:r>
      <w:r>
        <w:rPr>
          <w:rFonts w:hint="eastAsia" w:ascii="宋体" w:hAnsi="宋体" w:cs="宋体"/>
          <w:szCs w:val="24"/>
        </w:rPr>
        <w:t>_________________</w:t>
      </w:r>
    </w:p>
    <w:p>
      <w:pPr>
        <w:ind w:firstLine="235" w:firstLineChars="98"/>
        <w:contextualSpacing/>
        <w:jc w:val="center"/>
        <w:rPr>
          <w:rFonts w:ascii="宋体" w:hAnsi="宋体" w:cs="宋体"/>
          <w:color w:val="000000"/>
        </w:rPr>
      </w:pPr>
      <w:r>
        <w:rPr>
          <w:rFonts w:hint="eastAsia" w:ascii="宋体" w:hAnsi="宋体" w:cs="宋体"/>
          <w:color w:val="000000"/>
        </w:rPr>
        <w:t xml:space="preserve">                     日期：</w:t>
      </w:r>
      <w:r>
        <w:rPr>
          <w:rFonts w:hint="eastAsia" w:ascii="宋体" w:hAnsi="宋体" w:cs="宋体"/>
          <w:szCs w:val="24"/>
        </w:rPr>
        <w:t>____</w:t>
      </w:r>
      <w:r>
        <w:rPr>
          <w:rFonts w:hint="eastAsia" w:ascii="宋体" w:hAnsi="宋体" w:cs="宋体"/>
          <w:color w:val="000000"/>
        </w:rPr>
        <w:t>年</w:t>
      </w:r>
      <w:r>
        <w:rPr>
          <w:rFonts w:hint="eastAsia" w:ascii="宋体" w:hAnsi="宋体" w:cs="宋体"/>
          <w:szCs w:val="24"/>
        </w:rPr>
        <w:t>____</w:t>
      </w:r>
      <w:r>
        <w:rPr>
          <w:rFonts w:hint="eastAsia" w:ascii="宋体" w:hAnsi="宋体" w:cs="宋体"/>
          <w:color w:val="000000"/>
        </w:rPr>
        <w:t>月</w:t>
      </w:r>
      <w:r>
        <w:rPr>
          <w:rFonts w:hint="eastAsia" w:ascii="宋体" w:hAnsi="宋体" w:cs="宋体"/>
          <w:szCs w:val="24"/>
        </w:rPr>
        <w:t>____</w:t>
      </w:r>
      <w:r>
        <w:rPr>
          <w:rFonts w:hint="eastAsia" w:ascii="宋体" w:hAnsi="宋体" w:cs="宋体"/>
          <w:color w:val="000000"/>
        </w:rPr>
        <w:t>日</w:t>
      </w:r>
    </w:p>
    <w:p>
      <w:pPr>
        <w:pStyle w:val="5"/>
        <w:ind w:firstLine="643"/>
        <w:rPr>
          <w:rFonts w:ascii="宋体" w:hAnsi="宋体" w:cs="宋体"/>
          <w:color w:val="000000"/>
        </w:rPr>
      </w:pPr>
    </w:p>
    <w:p>
      <w:pPr>
        <w:ind w:firstLine="480"/>
        <w:rPr>
          <w:rFonts w:ascii="宋体" w:hAnsi="宋体" w:cs="宋体"/>
          <w:color w:val="000000"/>
        </w:rPr>
      </w:pPr>
    </w:p>
    <w:p>
      <w:pPr>
        <w:pStyle w:val="18"/>
        <w:snapToGrid w:val="0"/>
        <w:spacing w:beforeLines="0" w:beforeAutospacing="1" w:afterLines="0" w:afterAutospacing="1" w:line="276" w:lineRule="auto"/>
        <w:ind w:firstLine="643"/>
        <w:jc w:val="center"/>
        <w:rPr>
          <w:rFonts w:hAnsi="宋体" w:cs="宋体"/>
          <w:b/>
          <w:bCs/>
          <w:sz w:val="32"/>
          <w:szCs w:val="32"/>
        </w:rPr>
      </w:pPr>
    </w:p>
    <w:p>
      <w:pPr>
        <w:pStyle w:val="18"/>
        <w:snapToGrid w:val="0"/>
        <w:spacing w:beforeLines="0" w:beforeAutospacing="1" w:afterLines="0" w:afterAutospacing="1" w:line="276" w:lineRule="auto"/>
        <w:ind w:firstLine="643"/>
        <w:jc w:val="center"/>
        <w:rPr>
          <w:rFonts w:hAnsi="宋体" w:cs="宋体"/>
          <w:b/>
          <w:kern w:val="2"/>
          <w:sz w:val="32"/>
          <w:szCs w:val="32"/>
        </w:rPr>
      </w:pPr>
      <w:r>
        <w:rPr>
          <w:rFonts w:hint="eastAsia" w:hAnsi="宋体" w:cs="宋体"/>
          <w:b/>
          <w:bCs/>
          <w:sz w:val="32"/>
          <w:szCs w:val="32"/>
        </w:rPr>
        <w:t>十、</w:t>
      </w:r>
      <w:r>
        <w:rPr>
          <w:rFonts w:hint="eastAsia" w:hAnsi="宋体" w:cs="宋体"/>
          <w:b/>
          <w:kern w:val="2"/>
          <w:sz w:val="32"/>
          <w:szCs w:val="32"/>
        </w:rPr>
        <w:t>同类项目业绩表格式</w:t>
      </w:r>
    </w:p>
    <w:p>
      <w:pPr>
        <w:pStyle w:val="18"/>
        <w:snapToGrid w:val="0"/>
        <w:spacing w:beforeLines="0" w:beforeAutospacing="1" w:afterLines="0" w:afterAutospacing="1" w:line="276" w:lineRule="auto"/>
        <w:ind w:firstLine="643"/>
        <w:jc w:val="center"/>
        <w:rPr>
          <w:rFonts w:hAnsi="宋体" w:cs="宋体"/>
          <w:b/>
          <w:kern w:val="2"/>
          <w:sz w:val="32"/>
          <w:szCs w:val="32"/>
        </w:rPr>
      </w:pPr>
      <w:r>
        <w:rPr>
          <w:rFonts w:hint="eastAsia" w:hAnsi="宋体" w:cs="宋体"/>
          <w:b/>
          <w:kern w:val="2"/>
          <w:sz w:val="32"/>
          <w:szCs w:val="32"/>
        </w:rPr>
        <w:t>同类项目业绩表</w:t>
      </w:r>
    </w:p>
    <w:tbl>
      <w:tblPr>
        <w:tblStyle w:val="3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559"/>
        <w:gridCol w:w="1560"/>
        <w:gridCol w:w="1701"/>
        <w:gridCol w:w="170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51" w:type="dxa"/>
            <w:vAlign w:val="center"/>
          </w:tcPr>
          <w:p>
            <w:pPr>
              <w:spacing w:line="380" w:lineRule="exact"/>
              <w:ind w:firstLine="0" w:firstLineChars="0"/>
              <w:rPr>
                <w:rFonts w:ascii="宋体" w:hAnsi="宋体" w:cs="宋体"/>
              </w:rPr>
            </w:pPr>
            <w:r>
              <w:rPr>
                <w:rFonts w:hint="eastAsia" w:ascii="宋体" w:hAnsi="宋体" w:cs="宋体"/>
              </w:rPr>
              <w:t>采购单位名称</w:t>
            </w:r>
          </w:p>
        </w:tc>
        <w:tc>
          <w:tcPr>
            <w:tcW w:w="1559" w:type="dxa"/>
            <w:vAlign w:val="center"/>
          </w:tcPr>
          <w:p>
            <w:pPr>
              <w:spacing w:line="380" w:lineRule="exact"/>
              <w:ind w:firstLine="0" w:firstLineChars="0"/>
              <w:rPr>
                <w:rFonts w:ascii="宋体" w:hAnsi="宋体" w:cs="宋体"/>
              </w:rPr>
            </w:pPr>
            <w:r>
              <w:rPr>
                <w:rFonts w:hint="eastAsia" w:ascii="宋体" w:hAnsi="宋体" w:cs="宋体"/>
              </w:rPr>
              <w:t>项目名称</w:t>
            </w:r>
          </w:p>
        </w:tc>
        <w:tc>
          <w:tcPr>
            <w:tcW w:w="1560" w:type="dxa"/>
            <w:vAlign w:val="center"/>
          </w:tcPr>
          <w:p>
            <w:pPr>
              <w:spacing w:line="380" w:lineRule="exact"/>
              <w:ind w:firstLine="0" w:firstLineChars="0"/>
              <w:rPr>
                <w:rFonts w:ascii="宋体" w:hAnsi="宋体" w:cs="宋体"/>
              </w:rPr>
            </w:pPr>
            <w:r>
              <w:rPr>
                <w:rFonts w:hint="eastAsia" w:ascii="宋体" w:hAnsi="宋体" w:cs="宋体"/>
              </w:rPr>
              <w:t>项目负责人</w:t>
            </w:r>
          </w:p>
        </w:tc>
        <w:tc>
          <w:tcPr>
            <w:tcW w:w="1701" w:type="dxa"/>
            <w:vAlign w:val="center"/>
          </w:tcPr>
          <w:p>
            <w:pPr>
              <w:spacing w:line="380" w:lineRule="exact"/>
              <w:ind w:firstLine="0" w:firstLineChars="0"/>
              <w:jc w:val="center"/>
              <w:rPr>
                <w:rFonts w:ascii="宋体" w:hAnsi="宋体" w:cs="宋体"/>
              </w:rPr>
            </w:pPr>
            <w:r>
              <w:rPr>
                <w:rFonts w:hint="eastAsia" w:ascii="宋体" w:hAnsi="宋体" w:cs="宋体"/>
              </w:rPr>
              <w:t>合同签订时间</w:t>
            </w:r>
          </w:p>
        </w:tc>
        <w:tc>
          <w:tcPr>
            <w:tcW w:w="1701" w:type="dxa"/>
            <w:vAlign w:val="center"/>
          </w:tcPr>
          <w:p>
            <w:pPr>
              <w:spacing w:line="380" w:lineRule="exact"/>
              <w:ind w:firstLine="0" w:firstLineChars="0"/>
              <w:rPr>
                <w:rFonts w:ascii="宋体" w:hAnsi="宋体" w:cs="宋体"/>
              </w:rPr>
            </w:pPr>
            <w:r>
              <w:rPr>
                <w:rFonts w:hint="eastAsia" w:ascii="宋体" w:hAnsi="宋体" w:cs="宋体"/>
              </w:rPr>
              <w:t>项目是否完成</w:t>
            </w:r>
          </w:p>
        </w:tc>
        <w:tc>
          <w:tcPr>
            <w:tcW w:w="1134" w:type="dxa"/>
            <w:vAlign w:val="center"/>
          </w:tcPr>
          <w:p>
            <w:pPr>
              <w:spacing w:line="380" w:lineRule="exact"/>
              <w:ind w:firstLine="0" w:firstLineChars="0"/>
              <w:jc w:val="center"/>
              <w:rPr>
                <w:rFonts w:ascii="宋体" w:hAnsi="宋体" w:cs="宋体"/>
              </w:rPr>
            </w:pPr>
            <w:r>
              <w:rPr>
                <w:rFonts w:hint="eastAsia" w:ascii="宋体" w:hAnsi="宋体" w:cs="宋体"/>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0" w:firstLineChars="0"/>
              <w:rPr>
                <w:rFonts w:ascii="宋体" w:hAnsi="宋体" w:cs="宋体"/>
              </w:rPr>
            </w:pPr>
          </w:p>
        </w:tc>
        <w:tc>
          <w:tcPr>
            <w:tcW w:w="1559" w:type="dxa"/>
            <w:vAlign w:val="center"/>
          </w:tcPr>
          <w:p>
            <w:pPr>
              <w:spacing w:line="380" w:lineRule="exact"/>
              <w:ind w:firstLine="0" w:firstLineChars="0"/>
              <w:rPr>
                <w:rFonts w:ascii="宋体" w:hAnsi="宋体" w:cs="宋体"/>
              </w:rPr>
            </w:pPr>
          </w:p>
        </w:tc>
        <w:tc>
          <w:tcPr>
            <w:tcW w:w="1560" w:type="dxa"/>
            <w:vAlign w:val="center"/>
          </w:tcPr>
          <w:p>
            <w:pPr>
              <w:spacing w:line="380" w:lineRule="exact"/>
              <w:ind w:firstLine="0" w:firstLineChars="0"/>
              <w:rPr>
                <w:rFonts w:ascii="宋体" w:hAnsi="宋体" w:cs="宋体"/>
              </w:rPr>
            </w:pPr>
          </w:p>
        </w:tc>
        <w:tc>
          <w:tcPr>
            <w:tcW w:w="1701" w:type="dxa"/>
            <w:vAlign w:val="center"/>
          </w:tcPr>
          <w:p>
            <w:pPr>
              <w:spacing w:line="380" w:lineRule="exact"/>
              <w:ind w:firstLine="0" w:firstLineChars="0"/>
              <w:rPr>
                <w:rFonts w:ascii="宋体" w:hAnsi="宋体" w:cs="宋体"/>
              </w:rPr>
            </w:pPr>
          </w:p>
        </w:tc>
        <w:tc>
          <w:tcPr>
            <w:tcW w:w="1701" w:type="dxa"/>
            <w:vAlign w:val="center"/>
          </w:tcPr>
          <w:p>
            <w:pPr>
              <w:spacing w:line="380" w:lineRule="exact"/>
              <w:ind w:firstLine="0" w:firstLineChars="0"/>
              <w:rPr>
                <w:rFonts w:ascii="宋体" w:hAnsi="宋体" w:cs="宋体"/>
              </w:rPr>
            </w:pPr>
          </w:p>
        </w:tc>
        <w:tc>
          <w:tcPr>
            <w:tcW w:w="1134" w:type="dxa"/>
            <w:vAlign w:val="center"/>
          </w:tcPr>
          <w:p>
            <w:pPr>
              <w:spacing w:line="380" w:lineRule="exact"/>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0" w:firstLineChars="0"/>
              <w:rPr>
                <w:rFonts w:ascii="宋体" w:hAnsi="宋体" w:cs="宋体"/>
              </w:rPr>
            </w:pPr>
          </w:p>
        </w:tc>
        <w:tc>
          <w:tcPr>
            <w:tcW w:w="1559" w:type="dxa"/>
            <w:vAlign w:val="center"/>
          </w:tcPr>
          <w:p>
            <w:pPr>
              <w:spacing w:line="380" w:lineRule="exact"/>
              <w:ind w:firstLine="0" w:firstLineChars="0"/>
              <w:rPr>
                <w:rFonts w:ascii="宋体" w:hAnsi="宋体" w:cs="宋体"/>
              </w:rPr>
            </w:pPr>
          </w:p>
        </w:tc>
        <w:tc>
          <w:tcPr>
            <w:tcW w:w="1560" w:type="dxa"/>
            <w:vAlign w:val="center"/>
          </w:tcPr>
          <w:p>
            <w:pPr>
              <w:spacing w:line="380" w:lineRule="exact"/>
              <w:ind w:firstLine="0" w:firstLineChars="0"/>
              <w:rPr>
                <w:rFonts w:ascii="宋体" w:hAnsi="宋体" w:cs="宋体"/>
              </w:rPr>
            </w:pPr>
          </w:p>
        </w:tc>
        <w:tc>
          <w:tcPr>
            <w:tcW w:w="1701" w:type="dxa"/>
            <w:vAlign w:val="center"/>
          </w:tcPr>
          <w:p>
            <w:pPr>
              <w:spacing w:line="380" w:lineRule="exact"/>
              <w:ind w:firstLine="0" w:firstLineChars="0"/>
              <w:rPr>
                <w:rFonts w:ascii="宋体" w:hAnsi="宋体" w:cs="宋体"/>
              </w:rPr>
            </w:pPr>
          </w:p>
        </w:tc>
        <w:tc>
          <w:tcPr>
            <w:tcW w:w="1701" w:type="dxa"/>
            <w:vAlign w:val="center"/>
          </w:tcPr>
          <w:p>
            <w:pPr>
              <w:spacing w:line="380" w:lineRule="exact"/>
              <w:ind w:firstLine="0" w:firstLineChars="0"/>
              <w:rPr>
                <w:rFonts w:ascii="宋体" w:hAnsi="宋体" w:cs="宋体"/>
              </w:rPr>
            </w:pPr>
          </w:p>
        </w:tc>
        <w:tc>
          <w:tcPr>
            <w:tcW w:w="1134" w:type="dxa"/>
            <w:vAlign w:val="center"/>
          </w:tcPr>
          <w:p>
            <w:pPr>
              <w:spacing w:line="380" w:lineRule="exact"/>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0" w:firstLineChars="0"/>
              <w:rPr>
                <w:rFonts w:ascii="宋体" w:hAnsi="宋体" w:cs="宋体"/>
              </w:rPr>
            </w:pPr>
          </w:p>
        </w:tc>
        <w:tc>
          <w:tcPr>
            <w:tcW w:w="1559" w:type="dxa"/>
            <w:vAlign w:val="center"/>
          </w:tcPr>
          <w:p>
            <w:pPr>
              <w:spacing w:line="380" w:lineRule="exact"/>
              <w:ind w:firstLine="0" w:firstLineChars="0"/>
              <w:rPr>
                <w:rFonts w:ascii="宋体" w:hAnsi="宋体" w:cs="宋体"/>
              </w:rPr>
            </w:pPr>
          </w:p>
        </w:tc>
        <w:tc>
          <w:tcPr>
            <w:tcW w:w="1560" w:type="dxa"/>
            <w:vAlign w:val="center"/>
          </w:tcPr>
          <w:p>
            <w:pPr>
              <w:spacing w:line="380" w:lineRule="exact"/>
              <w:ind w:firstLine="0" w:firstLineChars="0"/>
              <w:rPr>
                <w:rFonts w:ascii="宋体" w:hAnsi="宋体" w:cs="宋体"/>
              </w:rPr>
            </w:pPr>
          </w:p>
        </w:tc>
        <w:tc>
          <w:tcPr>
            <w:tcW w:w="1701" w:type="dxa"/>
            <w:vAlign w:val="center"/>
          </w:tcPr>
          <w:p>
            <w:pPr>
              <w:spacing w:line="380" w:lineRule="exact"/>
              <w:ind w:firstLine="0" w:firstLineChars="0"/>
              <w:rPr>
                <w:rFonts w:ascii="宋体" w:hAnsi="宋体" w:cs="宋体"/>
              </w:rPr>
            </w:pPr>
          </w:p>
        </w:tc>
        <w:tc>
          <w:tcPr>
            <w:tcW w:w="1701" w:type="dxa"/>
            <w:vAlign w:val="center"/>
          </w:tcPr>
          <w:p>
            <w:pPr>
              <w:spacing w:line="380" w:lineRule="exact"/>
              <w:ind w:firstLine="0" w:firstLineChars="0"/>
              <w:rPr>
                <w:rFonts w:ascii="宋体" w:hAnsi="宋体" w:cs="宋体"/>
              </w:rPr>
            </w:pPr>
          </w:p>
        </w:tc>
        <w:tc>
          <w:tcPr>
            <w:tcW w:w="1134" w:type="dxa"/>
            <w:vAlign w:val="center"/>
          </w:tcPr>
          <w:p>
            <w:pPr>
              <w:spacing w:line="380" w:lineRule="exact"/>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0" w:firstLineChars="0"/>
              <w:rPr>
                <w:rFonts w:ascii="宋体" w:hAnsi="宋体" w:cs="宋体"/>
              </w:rPr>
            </w:pPr>
          </w:p>
        </w:tc>
        <w:tc>
          <w:tcPr>
            <w:tcW w:w="1559" w:type="dxa"/>
            <w:vAlign w:val="center"/>
          </w:tcPr>
          <w:p>
            <w:pPr>
              <w:spacing w:line="380" w:lineRule="exact"/>
              <w:ind w:firstLine="0" w:firstLineChars="0"/>
              <w:rPr>
                <w:rFonts w:ascii="宋体" w:hAnsi="宋体" w:cs="宋体"/>
              </w:rPr>
            </w:pPr>
          </w:p>
        </w:tc>
        <w:tc>
          <w:tcPr>
            <w:tcW w:w="1560" w:type="dxa"/>
            <w:vAlign w:val="center"/>
          </w:tcPr>
          <w:p>
            <w:pPr>
              <w:spacing w:line="380" w:lineRule="exact"/>
              <w:ind w:firstLine="0" w:firstLineChars="0"/>
              <w:rPr>
                <w:rFonts w:ascii="宋体" w:hAnsi="宋体" w:cs="宋体"/>
              </w:rPr>
            </w:pPr>
          </w:p>
        </w:tc>
        <w:tc>
          <w:tcPr>
            <w:tcW w:w="1701" w:type="dxa"/>
            <w:vAlign w:val="center"/>
          </w:tcPr>
          <w:p>
            <w:pPr>
              <w:spacing w:line="380" w:lineRule="exact"/>
              <w:ind w:firstLine="0" w:firstLineChars="0"/>
              <w:rPr>
                <w:rFonts w:ascii="宋体" w:hAnsi="宋体" w:cs="宋体"/>
              </w:rPr>
            </w:pPr>
          </w:p>
        </w:tc>
        <w:tc>
          <w:tcPr>
            <w:tcW w:w="1701" w:type="dxa"/>
            <w:vAlign w:val="center"/>
          </w:tcPr>
          <w:p>
            <w:pPr>
              <w:spacing w:line="380" w:lineRule="exact"/>
              <w:ind w:firstLine="0" w:firstLineChars="0"/>
              <w:rPr>
                <w:rFonts w:ascii="宋体" w:hAnsi="宋体" w:cs="宋体"/>
              </w:rPr>
            </w:pPr>
          </w:p>
        </w:tc>
        <w:tc>
          <w:tcPr>
            <w:tcW w:w="1134" w:type="dxa"/>
            <w:vAlign w:val="center"/>
          </w:tcPr>
          <w:p>
            <w:pPr>
              <w:spacing w:line="380" w:lineRule="exact"/>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0" w:firstLineChars="0"/>
              <w:rPr>
                <w:rFonts w:ascii="宋体" w:hAnsi="宋体" w:cs="宋体"/>
              </w:rPr>
            </w:pPr>
          </w:p>
        </w:tc>
        <w:tc>
          <w:tcPr>
            <w:tcW w:w="1559" w:type="dxa"/>
            <w:vAlign w:val="center"/>
          </w:tcPr>
          <w:p>
            <w:pPr>
              <w:spacing w:line="380" w:lineRule="exact"/>
              <w:ind w:firstLine="0" w:firstLineChars="0"/>
              <w:rPr>
                <w:rFonts w:ascii="宋体" w:hAnsi="宋体" w:cs="宋体"/>
              </w:rPr>
            </w:pPr>
          </w:p>
        </w:tc>
        <w:tc>
          <w:tcPr>
            <w:tcW w:w="1560" w:type="dxa"/>
            <w:vAlign w:val="center"/>
          </w:tcPr>
          <w:p>
            <w:pPr>
              <w:spacing w:line="380" w:lineRule="exact"/>
              <w:ind w:firstLine="0" w:firstLineChars="0"/>
              <w:rPr>
                <w:rFonts w:ascii="宋体" w:hAnsi="宋体" w:cs="宋体"/>
              </w:rPr>
            </w:pPr>
          </w:p>
        </w:tc>
        <w:tc>
          <w:tcPr>
            <w:tcW w:w="1701" w:type="dxa"/>
            <w:vAlign w:val="center"/>
          </w:tcPr>
          <w:p>
            <w:pPr>
              <w:spacing w:line="380" w:lineRule="exact"/>
              <w:ind w:firstLine="0" w:firstLineChars="0"/>
              <w:rPr>
                <w:rFonts w:ascii="宋体" w:hAnsi="宋体" w:cs="宋体"/>
              </w:rPr>
            </w:pPr>
          </w:p>
        </w:tc>
        <w:tc>
          <w:tcPr>
            <w:tcW w:w="1701" w:type="dxa"/>
            <w:vAlign w:val="center"/>
          </w:tcPr>
          <w:p>
            <w:pPr>
              <w:spacing w:line="380" w:lineRule="exact"/>
              <w:ind w:firstLine="0" w:firstLineChars="0"/>
              <w:rPr>
                <w:rFonts w:ascii="宋体" w:hAnsi="宋体" w:cs="宋体"/>
              </w:rPr>
            </w:pPr>
          </w:p>
        </w:tc>
        <w:tc>
          <w:tcPr>
            <w:tcW w:w="1134" w:type="dxa"/>
            <w:vAlign w:val="center"/>
          </w:tcPr>
          <w:p>
            <w:pPr>
              <w:spacing w:line="380" w:lineRule="exact"/>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0" w:firstLineChars="0"/>
              <w:rPr>
                <w:rFonts w:ascii="宋体" w:hAnsi="宋体" w:cs="宋体"/>
              </w:rPr>
            </w:pPr>
          </w:p>
        </w:tc>
        <w:tc>
          <w:tcPr>
            <w:tcW w:w="1559" w:type="dxa"/>
            <w:vAlign w:val="center"/>
          </w:tcPr>
          <w:p>
            <w:pPr>
              <w:spacing w:line="380" w:lineRule="exact"/>
              <w:ind w:firstLine="0" w:firstLineChars="0"/>
              <w:rPr>
                <w:rFonts w:ascii="宋体" w:hAnsi="宋体" w:cs="宋体"/>
              </w:rPr>
            </w:pPr>
          </w:p>
        </w:tc>
        <w:tc>
          <w:tcPr>
            <w:tcW w:w="1560" w:type="dxa"/>
            <w:vAlign w:val="center"/>
          </w:tcPr>
          <w:p>
            <w:pPr>
              <w:spacing w:line="380" w:lineRule="exact"/>
              <w:ind w:firstLine="0" w:firstLineChars="0"/>
              <w:rPr>
                <w:rFonts w:ascii="宋体" w:hAnsi="宋体" w:cs="宋体"/>
              </w:rPr>
            </w:pPr>
          </w:p>
        </w:tc>
        <w:tc>
          <w:tcPr>
            <w:tcW w:w="1701" w:type="dxa"/>
            <w:vAlign w:val="center"/>
          </w:tcPr>
          <w:p>
            <w:pPr>
              <w:spacing w:line="380" w:lineRule="exact"/>
              <w:ind w:firstLine="0" w:firstLineChars="0"/>
              <w:rPr>
                <w:rFonts w:ascii="宋体" w:hAnsi="宋体" w:cs="宋体"/>
              </w:rPr>
            </w:pPr>
          </w:p>
        </w:tc>
        <w:tc>
          <w:tcPr>
            <w:tcW w:w="1701" w:type="dxa"/>
            <w:vAlign w:val="center"/>
          </w:tcPr>
          <w:p>
            <w:pPr>
              <w:spacing w:line="380" w:lineRule="exact"/>
              <w:ind w:firstLine="0" w:firstLineChars="0"/>
              <w:rPr>
                <w:rFonts w:ascii="宋体" w:hAnsi="宋体" w:cs="宋体"/>
              </w:rPr>
            </w:pPr>
          </w:p>
        </w:tc>
        <w:tc>
          <w:tcPr>
            <w:tcW w:w="1134" w:type="dxa"/>
            <w:vAlign w:val="center"/>
          </w:tcPr>
          <w:p>
            <w:pPr>
              <w:spacing w:line="380" w:lineRule="exact"/>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0" w:firstLineChars="0"/>
              <w:rPr>
                <w:rFonts w:ascii="宋体" w:hAnsi="宋体" w:cs="宋体"/>
              </w:rPr>
            </w:pPr>
          </w:p>
        </w:tc>
        <w:tc>
          <w:tcPr>
            <w:tcW w:w="1559" w:type="dxa"/>
            <w:vAlign w:val="center"/>
          </w:tcPr>
          <w:p>
            <w:pPr>
              <w:spacing w:line="380" w:lineRule="exact"/>
              <w:ind w:firstLine="0" w:firstLineChars="0"/>
              <w:rPr>
                <w:rFonts w:ascii="宋体" w:hAnsi="宋体" w:cs="宋体"/>
              </w:rPr>
            </w:pPr>
          </w:p>
        </w:tc>
        <w:tc>
          <w:tcPr>
            <w:tcW w:w="1560" w:type="dxa"/>
            <w:vAlign w:val="center"/>
          </w:tcPr>
          <w:p>
            <w:pPr>
              <w:spacing w:line="380" w:lineRule="exact"/>
              <w:ind w:firstLine="0" w:firstLineChars="0"/>
              <w:rPr>
                <w:rFonts w:ascii="宋体" w:hAnsi="宋体" w:cs="宋体"/>
              </w:rPr>
            </w:pPr>
          </w:p>
        </w:tc>
        <w:tc>
          <w:tcPr>
            <w:tcW w:w="1701" w:type="dxa"/>
            <w:vAlign w:val="center"/>
          </w:tcPr>
          <w:p>
            <w:pPr>
              <w:spacing w:line="380" w:lineRule="exact"/>
              <w:ind w:firstLine="0" w:firstLineChars="0"/>
              <w:rPr>
                <w:rFonts w:ascii="宋体" w:hAnsi="宋体" w:cs="宋体"/>
              </w:rPr>
            </w:pPr>
          </w:p>
        </w:tc>
        <w:tc>
          <w:tcPr>
            <w:tcW w:w="1701" w:type="dxa"/>
            <w:vAlign w:val="center"/>
          </w:tcPr>
          <w:p>
            <w:pPr>
              <w:spacing w:line="380" w:lineRule="exact"/>
              <w:ind w:firstLine="0" w:firstLineChars="0"/>
              <w:rPr>
                <w:rFonts w:ascii="宋体" w:hAnsi="宋体" w:cs="宋体"/>
              </w:rPr>
            </w:pPr>
          </w:p>
        </w:tc>
        <w:tc>
          <w:tcPr>
            <w:tcW w:w="1134" w:type="dxa"/>
            <w:vAlign w:val="center"/>
          </w:tcPr>
          <w:p>
            <w:pPr>
              <w:spacing w:line="380" w:lineRule="exact"/>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0" w:firstLineChars="0"/>
              <w:rPr>
                <w:rFonts w:ascii="宋体" w:hAnsi="宋体" w:cs="宋体"/>
              </w:rPr>
            </w:pPr>
          </w:p>
        </w:tc>
        <w:tc>
          <w:tcPr>
            <w:tcW w:w="1559" w:type="dxa"/>
            <w:vAlign w:val="center"/>
          </w:tcPr>
          <w:p>
            <w:pPr>
              <w:spacing w:line="380" w:lineRule="exact"/>
              <w:ind w:firstLine="0" w:firstLineChars="0"/>
              <w:rPr>
                <w:rFonts w:ascii="宋体" w:hAnsi="宋体" w:cs="宋体"/>
              </w:rPr>
            </w:pPr>
          </w:p>
        </w:tc>
        <w:tc>
          <w:tcPr>
            <w:tcW w:w="1560" w:type="dxa"/>
            <w:vAlign w:val="center"/>
          </w:tcPr>
          <w:p>
            <w:pPr>
              <w:spacing w:line="380" w:lineRule="exact"/>
              <w:ind w:firstLine="0" w:firstLineChars="0"/>
              <w:rPr>
                <w:rFonts w:ascii="宋体" w:hAnsi="宋体" w:cs="宋体"/>
              </w:rPr>
            </w:pPr>
          </w:p>
        </w:tc>
        <w:tc>
          <w:tcPr>
            <w:tcW w:w="1701" w:type="dxa"/>
            <w:vAlign w:val="center"/>
          </w:tcPr>
          <w:p>
            <w:pPr>
              <w:spacing w:line="380" w:lineRule="exact"/>
              <w:ind w:firstLine="0" w:firstLineChars="0"/>
              <w:rPr>
                <w:rFonts w:ascii="宋体" w:hAnsi="宋体" w:cs="宋体"/>
              </w:rPr>
            </w:pPr>
          </w:p>
        </w:tc>
        <w:tc>
          <w:tcPr>
            <w:tcW w:w="1701" w:type="dxa"/>
            <w:vAlign w:val="center"/>
          </w:tcPr>
          <w:p>
            <w:pPr>
              <w:spacing w:line="380" w:lineRule="exact"/>
              <w:ind w:firstLine="0" w:firstLineChars="0"/>
              <w:rPr>
                <w:rFonts w:ascii="宋体" w:hAnsi="宋体" w:cs="宋体"/>
              </w:rPr>
            </w:pPr>
          </w:p>
        </w:tc>
        <w:tc>
          <w:tcPr>
            <w:tcW w:w="1134" w:type="dxa"/>
            <w:vAlign w:val="center"/>
          </w:tcPr>
          <w:p>
            <w:pPr>
              <w:spacing w:line="380" w:lineRule="exact"/>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0" w:firstLineChars="0"/>
              <w:rPr>
                <w:rFonts w:ascii="宋体" w:hAnsi="宋体" w:cs="宋体"/>
              </w:rPr>
            </w:pPr>
          </w:p>
        </w:tc>
        <w:tc>
          <w:tcPr>
            <w:tcW w:w="1559" w:type="dxa"/>
            <w:vAlign w:val="center"/>
          </w:tcPr>
          <w:p>
            <w:pPr>
              <w:spacing w:line="380" w:lineRule="exact"/>
              <w:ind w:firstLine="0" w:firstLineChars="0"/>
              <w:rPr>
                <w:rFonts w:ascii="宋体" w:hAnsi="宋体" w:cs="宋体"/>
              </w:rPr>
            </w:pPr>
          </w:p>
        </w:tc>
        <w:tc>
          <w:tcPr>
            <w:tcW w:w="1560" w:type="dxa"/>
            <w:vAlign w:val="center"/>
          </w:tcPr>
          <w:p>
            <w:pPr>
              <w:spacing w:line="380" w:lineRule="exact"/>
              <w:ind w:firstLine="0" w:firstLineChars="0"/>
              <w:rPr>
                <w:rFonts w:ascii="宋体" w:hAnsi="宋体" w:cs="宋体"/>
              </w:rPr>
            </w:pPr>
          </w:p>
        </w:tc>
        <w:tc>
          <w:tcPr>
            <w:tcW w:w="1701" w:type="dxa"/>
            <w:vAlign w:val="center"/>
          </w:tcPr>
          <w:p>
            <w:pPr>
              <w:spacing w:line="380" w:lineRule="exact"/>
              <w:ind w:firstLine="0" w:firstLineChars="0"/>
              <w:rPr>
                <w:rFonts w:ascii="宋体" w:hAnsi="宋体" w:cs="宋体"/>
              </w:rPr>
            </w:pPr>
          </w:p>
        </w:tc>
        <w:tc>
          <w:tcPr>
            <w:tcW w:w="1701" w:type="dxa"/>
            <w:vAlign w:val="center"/>
          </w:tcPr>
          <w:p>
            <w:pPr>
              <w:spacing w:line="380" w:lineRule="exact"/>
              <w:ind w:firstLine="0" w:firstLineChars="0"/>
              <w:rPr>
                <w:rFonts w:ascii="宋体" w:hAnsi="宋体" w:cs="宋体"/>
              </w:rPr>
            </w:pPr>
          </w:p>
        </w:tc>
        <w:tc>
          <w:tcPr>
            <w:tcW w:w="1134" w:type="dxa"/>
            <w:vAlign w:val="center"/>
          </w:tcPr>
          <w:p>
            <w:pPr>
              <w:spacing w:line="380" w:lineRule="exact"/>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0" w:firstLineChars="0"/>
              <w:rPr>
                <w:rFonts w:ascii="宋体" w:hAnsi="宋体" w:cs="宋体"/>
              </w:rPr>
            </w:pPr>
          </w:p>
        </w:tc>
        <w:tc>
          <w:tcPr>
            <w:tcW w:w="1559" w:type="dxa"/>
            <w:vAlign w:val="center"/>
          </w:tcPr>
          <w:p>
            <w:pPr>
              <w:spacing w:line="380" w:lineRule="exact"/>
              <w:ind w:firstLine="0" w:firstLineChars="0"/>
              <w:rPr>
                <w:rFonts w:ascii="宋体" w:hAnsi="宋体" w:cs="宋体"/>
              </w:rPr>
            </w:pPr>
          </w:p>
        </w:tc>
        <w:tc>
          <w:tcPr>
            <w:tcW w:w="1560" w:type="dxa"/>
            <w:vAlign w:val="center"/>
          </w:tcPr>
          <w:p>
            <w:pPr>
              <w:spacing w:line="380" w:lineRule="exact"/>
              <w:ind w:firstLine="0" w:firstLineChars="0"/>
              <w:rPr>
                <w:rFonts w:ascii="宋体" w:hAnsi="宋体" w:cs="宋体"/>
              </w:rPr>
            </w:pPr>
          </w:p>
        </w:tc>
        <w:tc>
          <w:tcPr>
            <w:tcW w:w="1701" w:type="dxa"/>
            <w:vAlign w:val="center"/>
          </w:tcPr>
          <w:p>
            <w:pPr>
              <w:spacing w:line="380" w:lineRule="exact"/>
              <w:ind w:firstLine="0" w:firstLineChars="0"/>
              <w:rPr>
                <w:rFonts w:ascii="宋体" w:hAnsi="宋体" w:cs="宋体"/>
              </w:rPr>
            </w:pPr>
          </w:p>
        </w:tc>
        <w:tc>
          <w:tcPr>
            <w:tcW w:w="1701" w:type="dxa"/>
            <w:vAlign w:val="center"/>
          </w:tcPr>
          <w:p>
            <w:pPr>
              <w:spacing w:line="380" w:lineRule="exact"/>
              <w:ind w:firstLine="0" w:firstLineChars="0"/>
              <w:rPr>
                <w:rFonts w:ascii="宋体" w:hAnsi="宋体" w:cs="宋体"/>
              </w:rPr>
            </w:pPr>
          </w:p>
        </w:tc>
        <w:tc>
          <w:tcPr>
            <w:tcW w:w="1134" w:type="dxa"/>
            <w:vAlign w:val="center"/>
          </w:tcPr>
          <w:p>
            <w:pPr>
              <w:spacing w:line="380" w:lineRule="exact"/>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0" w:firstLineChars="0"/>
              <w:rPr>
                <w:rFonts w:ascii="宋体" w:hAnsi="宋体" w:cs="宋体"/>
              </w:rPr>
            </w:pPr>
          </w:p>
        </w:tc>
        <w:tc>
          <w:tcPr>
            <w:tcW w:w="1559" w:type="dxa"/>
            <w:vAlign w:val="center"/>
          </w:tcPr>
          <w:p>
            <w:pPr>
              <w:spacing w:line="380" w:lineRule="exact"/>
              <w:ind w:firstLine="0" w:firstLineChars="0"/>
              <w:rPr>
                <w:rFonts w:ascii="宋体" w:hAnsi="宋体" w:cs="宋体"/>
              </w:rPr>
            </w:pPr>
          </w:p>
        </w:tc>
        <w:tc>
          <w:tcPr>
            <w:tcW w:w="1560" w:type="dxa"/>
            <w:vAlign w:val="center"/>
          </w:tcPr>
          <w:p>
            <w:pPr>
              <w:spacing w:line="380" w:lineRule="exact"/>
              <w:ind w:firstLine="0" w:firstLineChars="0"/>
              <w:rPr>
                <w:rFonts w:ascii="宋体" w:hAnsi="宋体" w:cs="宋体"/>
              </w:rPr>
            </w:pPr>
          </w:p>
        </w:tc>
        <w:tc>
          <w:tcPr>
            <w:tcW w:w="1701" w:type="dxa"/>
            <w:vAlign w:val="center"/>
          </w:tcPr>
          <w:p>
            <w:pPr>
              <w:spacing w:line="380" w:lineRule="exact"/>
              <w:ind w:firstLine="0" w:firstLineChars="0"/>
              <w:rPr>
                <w:rFonts w:ascii="宋体" w:hAnsi="宋体" w:cs="宋体"/>
              </w:rPr>
            </w:pPr>
          </w:p>
        </w:tc>
        <w:tc>
          <w:tcPr>
            <w:tcW w:w="1701" w:type="dxa"/>
            <w:vAlign w:val="center"/>
          </w:tcPr>
          <w:p>
            <w:pPr>
              <w:spacing w:line="380" w:lineRule="exact"/>
              <w:ind w:firstLine="0" w:firstLineChars="0"/>
              <w:rPr>
                <w:rFonts w:ascii="宋体" w:hAnsi="宋体" w:cs="宋体"/>
              </w:rPr>
            </w:pPr>
          </w:p>
        </w:tc>
        <w:tc>
          <w:tcPr>
            <w:tcW w:w="1134" w:type="dxa"/>
            <w:vAlign w:val="center"/>
          </w:tcPr>
          <w:p>
            <w:pPr>
              <w:spacing w:line="380" w:lineRule="exact"/>
              <w:ind w:firstLine="0" w:firstLineChars="0"/>
              <w:rPr>
                <w:rFonts w:ascii="宋体" w:hAnsi="宋体" w:cs="宋体"/>
              </w:rPr>
            </w:pPr>
          </w:p>
        </w:tc>
      </w:tr>
    </w:tbl>
    <w:p>
      <w:pPr>
        <w:spacing w:after="60"/>
        <w:ind w:firstLine="240" w:firstLineChars="100"/>
        <w:rPr>
          <w:rFonts w:ascii="宋体" w:hAnsi="宋体" w:cs="宋体"/>
          <w:szCs w:val="24"/>
        </w:rPr>
      </w:pPr>
      <w:r>
        <w:rPr>
          <w:rFonts w:hint="eastAsia" w:ascii="宋体" w:hAnsi="宋体" w:cs="宋体"/>
          <w:szCs w:val="24"/>
        </w:rPr>
        <w:t>注：应附中标通知书、合同和验收合格等相关证明材料并CA签章。</w:t>
      </w:r>
    </w:p>
    <w:p>
      <w:pPr>
        <w:spacing w:after="60"/>
        <w:ind w:firstLine="240" w:firstLineChars="100"/>
        <w:rPr>
          <w:rFonts w:ascii="宋体" w:hAnsi="宋体" w:cs="宋体"/>
          <w:u w:val="single"/>
        </w:rPr>
      </w:pPr>
    </w:p>
    <w:p>
      <w:pPr>
        <w:tabs>
          <w:tab w:val="left" w:pos="1418"/>
        </w:tabs>
        <w:ind w:firstLine="480"/>
        <w:rPr>
          <w:rFonts w:ascii="宋体" w:hAnsi="宋体" w:cs="宋体"/>
          <w:szCs w:val="24"/>
        </w:rPr>
      </w:pPr>
    </w:p>
    <w:p>
      <w:pPr>
        <w:spacing w:line="300" w:lineRule="auto"/>
        <w:ind w:firstLine="3600" w:firstLineChars="1500"/>
        <w:rPr>
          <w:rFonts w:ascii="宋体" w:hAnsi="宋体" w:cs="宋体"/>
          <w:szCs w:val="24"/>
        </w:rPr>
      </w:pPr>
      <w:r>
        <w:rPr>
          <w:rFonts w:hint="eastAsia" w:ascii="宋体" w:hAnsi="宋体" w:cs="宋体"/>
          <w:szCs w:val="24"/>
        </w:rPr>
        <w:t>法定代表人或授权代表</w:t>
      </w:r>
      <w:r>
        <w:rPr>
          <w:rFonts w:hint="eastAsia" w:ascii="宋体" w:hAnsi="宋体" w:cs="宋体"/>
          <w:spacing w:val="20"/>
          <w:szCs w:val="24"/>
        </w:rPr>
        <w:t>签字</w:t>
      </w:r>
      <w:r>
        <w:rPr>
          <w:rFonts w:hint="eastAsia" w:ascii="宋体" w:hAnsi="宋体" w:cs="宋体"/>
          <w:szCs w:val="24"/>
        </w:rPr>
        <w:t>（或盖章）</w:t>
      </w:r>
      <w:r>
        <w:rPr>
          <w:rFonts w:hint="eastAsia" w:ascii="宋体" w:hAnsi="宋体" w:cs="宋体"/>
          <w:spacing w:val="20"/>
          <w:szCs w:val="24"/>
        </w:rPr>
        <w:t>：</w:t>
      </w:r>
      <w:r>
        <w:rPr>
          <w:rFonts w:hint="eastAsia" w:ascii="宋体" w:hAnsi="宋体" w:cs="宋体"/>
          <w:szCs w:val="24"/>
        </w:rPr>
        <w:t>___________</w:t>
      </w:r>
      <w:r>
        <w:rPr>
          <w:rFonts w:hint="eastAsia" w:ascii="宋体" w:hAnsi="宋体" w:cs="宋体"/>
          <w:spacing w:val="20"/>
          <w:szCs w:val="24"/>
          <w:u w:val="single"/>
        </w:rPr>
        <w:t xml:space="preserve">      </w:t>
      </w:r>
      <w:r>
        <w:rPr>
          <w:rFonts w:hint="eastAsia" w:ascii="宋体" w:hAnsi="宋体" w:cs="宋体"/>
          <w:szCs w:val="24"/>
          <w:u w:val="single"/>
        </w:rPr>
        <w:t xml:space="preserve"> </w:t>
      </w:r>
    </w:p>
    <w:p>
      <w:pPr>
        <w:spacing w:line="300" w:lineRule="auto"/>
        <w:ind w:firstLine="5280" w:firstLineChars="2200"/>
        <w:rPr>
          <w:rFonts w:ascii="宋体" w:hAnsi="宋体" w:cs="宋体"/>
          <w:szCs w:val="24"/>
        </w:rPr>
      </w:pPr>
      <w:r>
        <w:rPr>
          <w:rFonts w:hint="eastAsia" w:ascii="宋体" w:hAnsi="宋体" w:cs="宋体"/>
          <w:szCs w:val="24"/>
        </w:rPr>
        <w:t>投标人（盖章）：__________________</w:t>
      </w:r>
    </w:p>
    <w:p>
      <w:pPr>
        <w:spacing w:line="300" w:lineRule="auto"/>
        <w:ind w:firstLine="480"/>
        <w:rPr>
          <w:rFonts w:ascii="宋体" w:hAnsi="宋体" w:cs="宋体"/>
          <w:szCs w:val="24"/>
        </w:rPr>
      </w:pPr>
      <w:r>
        <w:rPr>
          <w:rFonts w:hint="eastAsia" w:ascii="宋体" w:hAnsi="宋体" w:cs="宋体"/>
          <w:szCs w:val="24"/>
        </w:rPr>
        <w:t xml:space="preserve">                                        日    期：_____年____月____日</w:t>
      </w:r>
    </w:p>
    <w:p>
      <w:pPr>
        <w:pStyle w:val="18"/>
        <w:snapToGrid w:val="0"/>
        <w:spacing w:beforeLines="0" w:beforeAutospacing="1" w:afterLines="0" w:afterAutospacing="1" w:line="276" w:lineRule="auto"/>
        <w:ind w:firstLine="480"/>
        <w:jc w:val="center"/>
        <w:rPr>
          <w:rFonts w:hAnsi="宋体" w:cs="宋体"/>
          <w:sz w:val="24"/>
          <w:szCs w:val="24"/>
        </w:rPr>
        <w:sectPr>
          <w:pgSz w:w="11906" w:h="16838"/>
          <w:pgMar w:top="1418" w:right="1077" w:bottom="1418" w:left="1077" w:header="851" w:footer="992" w:gutter="340"/>
          <w:cols w:space="720" w:num="1"/>
          <w:docGrid w:linePitch="381" w:charSpace="0"/>
        </w:sectPr>
      </w:pPr>
    </w:p>
    <w:p>
      <w:pPr>
        <w:spacing w:after="60"/>
        <w:ind w:firstLine="240" w:firstLineChars="100"/>
        <w:rPr>
          <w:rFonts w:ascii="宋体" w:hAnsi="宋体" w:cs="宋体"/>
          <w:color w:val="000000"/>
        </w:rPr>
      </w:pPr>
    </w:p>
    <w:p>
      <w:pPr>
        <w:snapToGrid w:val="0"/>
        <w:spacing w:before="100" w:beforeAutospacing="1" w:after="100" w:afterAutospacing="1" w:line="360" w:lineRule="exact"/>
        <w:ind w:firstLine="2715" w:firstLineChars="845"/>
        <w:rPr>
          <w:rFonts w:ascii="宋体" w:hAnsi="宋体" w:cs="宋体"/>
          <w:b/>
          <w:bCs/>
          <w:sz w:val="32"/>
          <w:szCs w:val="32"/>
        </w:rPr>
      </w:pPr>
      <w:r>
        <w:rPr>
          <w:rFonts w:hint="eastAsia" w:ascii="宋体" w:hAnsi="宋体" w:cs="宋体"/>
          <w:b/>
          <w:color w:val="000000"/>
          <w:sz w:val="32"/>
          <w:szCs w:val="32"/>
        </w:rPr>
        <w:t>十一、项目经理简历表格式</w:t>
      </w:r>
    </w:p>
    <w:p>
      <w:pPr>
        <w:snapToGrid w:val="0"/>
        <w:spacing w:before="100" w:beforeAutospacing="1" w:after="100" w:afterAutospacing="1" w:line="276" w:lineRule="auto"/>
        <w:ind w:firstLine="602"/>
        <w:jc w:val="center"/>
        <w:rPr>
          <w:rFonts w:ascii="宋体" w:hAnsi="宋体" w:cs="宋体"/>
          <w:b/>
          <w:sz w:val="30"/>
          <w:szCs w:val="30"/>
        </w:rPr>
      </w:pPr>
      <w:r>
        <w:rPr>
          <w:rFonts w:hint="eastAsia" w:ascii="宋体" w:hAnsi="宋体" w:cs="宋体"/>
          <w:b/>
          <w:sz w:val="30"/>
          <w:szCs w:val="30"/>
        </w:rPr>
        <w:t>项目经理简历表</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9"/>
        <w:gridCol w:w="179"/>
        <w:gridCol w:w="1625"/>
        <w:gridCol w:w="1093"/>
        <w:gridCol w:w="1241"/>
        <w:gridCol w:w="1524"/>
        <w:gridCol w:w="273"/>
        <w:gridCol w:w="1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89" w:type="dxa"/>
            <w:vAlign w:val="center"/>
          </w:tcPr>
          <w:p>
            <w:pPr>
              <w:ind w:firstLine="0" w:firstLineChars="0"/>
              <w:rPr>
                <w:rFonts w:ascii="宋体" w:hAnsi="宋体" w:cs="宋体"/>
                <w:color w:val="000000"/>
              </w:rPr>
            </w:pPr>
            <w:r>
              <w:rPr>
                <w:rFonts w:hint="eastAsia" w:ascii="宋体" w:hAnsi="宋体" w:cs="宋体"/>
                <w:color w:val="000000"/>
              </w:rPr>
              <w:t>姓名</w:t>
            </w:r>
          </w:p>
        </w:tc>
        <w:tc>
          <w:tcPr>
            <w:tcW w:w="1804" w:type="dxa"/>
            <w:gridSpan w:val="2"/>
            <w:vAlign w:val="center"/>
          </w:tcPr>
          <w:p>
            <w:pPr>
              <w:ind w:firstLine="0" w:firstLineChars="0"/>
              <w:rPr>
                <w:rFonts w:ascii="宋体" w:hAnsi="宋体" w:cs="宋体"/>
                <w:color w:val="000000"/>
              </w:rPr>
            </w:pPr>
          </w:p>
        </w:tc>
        <w:tc>
          <w:tcPr>
            <w:tcW w:w="1093" w:type="dxa"/>
            <w:vAlign w:val="center"/>
          </w:tcPr>
          <w:p>
            <w:pPr>
              <w:ind w:firstLine="0" w:firstLineChars="0"/>
              <w:rPr>
                <w:rFonts w:ascii="宋体" w:hAnsi="宋体" w:cs="宋体"/>
                <w:color w:val="000000"/>
              </w:rPr>
            </w:pPr>
            <w:r>
              <w:rPr>
                <w:rFonts w:hint="eastAsia" w:ascii="宋体" w:hAnsi="宋体" w:cs="宋体"/>
                <w:color w:val="000000"/>
              </w:rPr>
              <w:t>年龄</w:t>
            </w:r>
          </w:p>
        </w:tc>
        <w:tc>
          <w:tcPr>
            <w:tcW w:w="1241" w:type="dxa"/>
            <w:vAlign w:val="center"/>
          </w:tcPr>
          <w:p>
            <w:pPr>
              <w:ind w:firstLine="0" w:firstLineChars="0"/>
              <w:rPr>
                <w:rFonts w:ascii="宋体" w:hAnsi="宋体" w:cs="宋体"/>
                <w:color w:val="000000"/>
              </w:rPr>
            </w:pPr>
          </w:p>
        </w:tc>
        <w:tc>
          <w:tcPr>
            <w:tcW w:w="1524" w:type="dxa"/>
            <w:vAlign w:val="center"/>
          </w:tcPr>
          <w:p>
            <w:pPr>
              <w:ind w:firstLine="0" w:firstLineChars="0"/>
              <w:rPr>
                <w:rFonts w:ascii="宋体" w:hAnsi="宋体" w:cs="宋体"/>
                <w:color w:val="000000"/>
              </w:rPr>
            </w:pPr>
            <w:r>
              <w:rPr>
                <w:rFonts w:hint="eastAsia" w:ascii="宋体" w:hAnsi="宋体" w:cs="宋体"/>
                <w:color w:val="000000"/>
              </w:rPr>
              <w:t>专业</w:t>
            </w:r>
          </w:p>
        </w:tc>
        <w:tc>
          <w:tcPr>
            <w:tcW w:w="2143" w:type="dxa"/>
            <w:gridSpan w:val="2"/>
            <w:vAlign w:val="center"/>
          </w:tcPr>
          <w:p>
            <w:pPr>
              <w:ind w:firstLine="0" w:firstLineChars="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189" w:type="dxa"/>
            <w:vAlign w:val="center"/>
          </w:tcPr>
          <w:p>
            <w:pPr>
              <w:ind w:firstLine="0" w:firstLineChars="0"/>
              <w:rPr>
                <w:rFonts w:ascii="宋体" w:hAnsi="宋体" w:cs="宋体"/>
                <w:color w:val="000000"/>
              </w:rPr>
            </w:pPr>
            <w:r>
              <w:rPr>
                <w:rFonts w:hint="eastAsia" w:ascii="宋体" w:hAnsi="宋体" w:cs="宋体"/>
              </w:rPr>
              <w:t>资格、职称证书</w:t>
            </w:r>
          </w:p>
        </w:tc>
        <w:tc>
          <w:tcPr>
            <w:tcW w:w="1804" w:type="dxa"/>
            <w:gridSpan w:val="2"/>
            <w:vAlign w:val="center"/>
          </w:tcPr>
          <w:p>
            <w:pPr>
              <w:ind w:firstLine="0" w:firstLineChars="0"/>
              <w:rPr>
                <w:rFonts w:ascii="宋体" w:hAnsi="宋体" w:cs="宋体"/>
                <w:color w:val="000000"/>
              </w:rPr>
            </w:pPr>
          </w:p>
        </w:tc>
        <w:tc>
          <w:tcPr>
            <w:tcW w:w="1093" w:type="dxa"/>
            <w:vAlign w:val="center"/>
          </w:tcPr>
          <w:p>
            <w:pPr>
              <w:ind w:firstLine="0" w:firstLineChars="0"/>
              <w:rPr>
                <w:rFonts w:ascii="宋体" w:hAnsi="宋体" w:cs="宋体"/>
                <w:color w:val="000000"/>
              </w:rPr>
            </w:pPr>
            <w:r>
              <w:rPr>
                <w:rFonts w:hint="eastAsia" w:ascii="宋体" w:hAnsi="宋体" w:cs="宋体"/>
                <w:color w:val="000000"/>
              </w:rPr>
              <w:t>职务</w:t>
            </w:r>
          </w:p>
        </w:tc>
        <w:tc>
          <w:tcPr>
            <w:tcW w:w="1241" w:type="dxa"/>
            <w:vAlign w:val="center"/>
          </w:tcPr>
          <w:p>
            <w:pPr>
              <w:ind w:firstLine="0" w:firstLineChars="0"/>
              <w:rPr>
                <w:rFonts w:ascii="宋体" w:hAnsi="宋体" w:cs="宋体"/>
                <w:color w:val="000000"/>
              </w:rPr>
            </w:pPr>
          </w:p>
        </w:tc>
        <w:tc>
          <w:tcPr>
            <w:tcW w:w="1524" w:type="dxa"/>
            <w:vAlign w:val="center"/>
          </w:tcPr>
          <w:p>
            <w:pPr>
              <w:ind w:firstLine="0" w:firstLineChars="0"/>
              <w:rPr>
                <w:rFonts w:ascii="宋体" w:hAnsi="宋体" w:cs="宋体"/>
                <w:color w:val="000000"/>
              </w:rPr>
            </w:pPr>
            <w:r>
              <w:rPr>
                <w:rFonts w:hint="eastAsia" w:ascii="宋体" w:hAnsi="宋体" w:cs="宋体"/>
                <w:color w:val="000000"/>
              </w:rPr>
              <w:t>拟在本项目</w:t>
            </w:r>
          </w:p>
          <w:p>
            <w:pPr>
              <w:ind w:firstLine="0" w:firstLineChars="0"/>
              <w:rPr>
                <w:rFonts w:ascii="宋体" w:hAnsi="宋体" w:cs="宋体"/>
                <w:color w:val="000000"/>
              </w:rPr>
            </w:pPr>
            <w:r>
              <w:rPr>
                <w:rFonts w:hint="eastAsia" w:ascii="宋体" w:hAnsi="宋体" w:cs="宋体"/>
                <w:color w:val="000000"/>
              </w:rPr>
              <w:t>担任职务</w:t>
            </w:r>
          </w:p>
        </w:tc>
        <w:tc>
          <w:tcPr>
            <w:tcW w:w="2143" w:type="dxa"/>
            <w:gridSpan w:val="2"/>
            <w:vAlign w:val="center"/>
          </w:tcPr>
          <w:p>
            <w:pPr>
              <w:ind w:firstLine="0" w:firstLineChars="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94" w:type="dxa"/>
            <w:gridSpan w:val="8"/>
          </w:tcPr>
          <w:p>
            <w:pPr>
              <w:spacing w:line="380" w:lineRule="exact"/>
              <w:ind w:firstLine="480"/>
              <w:jc w:val="center"/>
              <w:rPr>
                <w:rFonts w:ascii="宋体" w:hAnsi="宋体" w:cs="宋体"/>
              </w:rPr>
            </w:pPr>
            <w:r>
              <w:rPr>
                <w:rFonts w:hint="eastAsia" w:ascii="宋体" w:hAnsi="宋体" w:cs="宋体"/>
              </w:rPr>
              <w:t>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gridSpan w:val="2"/>
            <w:vAlign w:val="center"/>
          </w:tcPr>
          <w:p>
            <w:pPr>
              <w:ind w:firstLine="0" w:firstLineChars="0"/>
              <w:jc w:val="center"/>
              <w:rPr>
                <w:rFonts w:ascii="宋体" w:hAnsi="宋体" w:cs="宋体"/>
                <w:color w:val="000000"/>
              </w:rPr>
            </w:pPr>
            <w:r>
              <w:rPr>
                <w:rFonts w:hint="eastAsia" w:ascii="宋体" w:hAnsi="宋体" w:cs="宋体"/>
                <w:color w:val="000000"/>
              </w:rPr>
              <w:t>委托单位</w:t>
            </w:r>
          </w:p>
        </w:tc>
        <w:tc>
          <w:tcPr>
            <w:tcW w:w="1625" w:type="dxa"/>
            <w:vAlign w:val="center"/>
          </w:tcPr>
          <w:p>
            <w:pPr>
              <w:ind w:firstLine="0" w:firstLineChars="0"/>
              <w:jc w:val="center"/>
              <w:rPr>
                <w:rFonts w:ascii="宋体" w:hAnsi="宋体" w:cs="宋体"/>
                <w:color w:val="000000"/>
              </w:rPr>
            </w:pPr>
            <w:r>
              <w:rPr>
                <w:rFonts w:hint="eastAsia" w:ascii="宋体" w:hAnsi="宋体" w:cs="宋体"/>
                <w:color w:val="000000"/>
              </w:rPr>
              <w:t>参加过的</w:t>
            </w:r>
          </w:p>
          <w:p>
            <w:pPr>
              <w:ind w:firstLine="0" w:firstLineChars="0"/>
              <w:jc w:val="center"/>
              <w:rPr>
                <w:rFonts w:ascii="宋体" w:hAnsi="宋体" w:cs="宋体"/>
                <w:color w:val="000000"/>
              </w:rPr>
            </w:pPr>
            <w:r>
              <w:rPr>
                <w:rFonts w:hint="eastAsia" w:ascii="宋体" w:hAnsi="宋体" w:cs="宋体"/>
                <w:color w:val="000000"/>
              </w:rPr>
              <w:t>项目名称</w:t>
            </w:r>
          </w:p>
        </w:tc>
        <w:tc>
          <w:tcPr>
            <w:tcW w:w="4131" w:type="dxa"/>
            <w:gridSpan w:val="4"/>
            <w:vAlign w:val="center"/>
          </w:tcPr>
          <w:p>
            <w:pPr>
              <w:ind w:firstLine="0" w:firstLineChars="0"/>
              <w:jc w:val="center"/>
              <w:rPr>
                <w:rFonts w:ascii="宋体" w:hAnsi="宋体" w:cs="宋体"/>
                <w:color w:val="000000"/>
              </w:rPr>
            </w:pPr>
            <w:r>
              <w:rPr>
                <w:rFonts w:hint="eastAsia" w:ascii="宋体" w:hAnsi="宋体" w:cs="宋体"/>
                <w:color w:val="000000"/>
              </w:rPr>
              <w:t>担任何职</w:t>
            </w:r>
          </w:p>
        </w:tc>
        <w:tc>
          <w:tcPr>
            <w:tcW w:w="1870" w:type="dxa"/>
            <w:vAlign w:val="center"/>
          </w:tcPr>
          <w:p>
            <w:pPr>
              <w:ind w:firstLine="0" w:firstLineChars="0"/>
              <w:jc w:val="center"/>
              <w:rPr>
                <w:rFonts w:ascii="宋体" w:hAnsi="宋体" w:cs="宋体"/>
                <w:color w:val="000000"/>
              </w:rPr>
            </w:pPr>
            <w:r>
              <w:rPr>
                <w:rFonts w:hint="eastAsia" w:ascii="宋体" w:hAnsi="宋体" w:cs="宋体"/>
                <w:color w:val="000000"/>
              </w:rPr>
              <w:t>成  果</w:t>
            </w:r>
          </w:p>
          <w:p>
            <w:pPr>
              <w:ind w:firstLine="0" w:firstLineChars="0"/>
              <w:jc w:val="center"/>
              <w:rPr>
                <w:rFonts w:ascii="宋体" w:hAnsi="宋体" w:cs="宋体"/>
                <w:color w:val="000000"/>
              </w:rPr>
            </w:pPr>
            <w:r>
              <w:rPr>
                <w:rFonts w:hint="eastAsia" w:ascii="宋体" w:hAnsi="宋体" w:cs="宋体"/>
                <w:color w:val="000000"/>
              </w:rPr>
              <w:t>（获奖情况）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68" w:type="dxa"/>
            <w:gridSpan w:val="2"/>
            <w:vAlign w:val="center"/>
          </w:tcPr>
          <w:p>
            <w:pPr>
              <w:ind w:firstLine="0" w:firstLineChars="0"/>
              <w:rPr>
                <w:rFonts w:ascii="宋体" w:hAnsi="宋体" w:cs="宋体"/>
                <w:color w:val="000000"/>
              </w:rPr>
            </w:pPr>
          </w:p>
        </w:tc>
        <w:tc>
          <w:tcPr>
            <w:tcW w:w="1625" w:type="dxa"/>
            <w:vAlign w:val="center"/>
          </w:tcPr>
          <w:p>
            <w:pPr>
              <w:ind w:firstLine="0" w:firstLineChars="0"/>
              <w:jc w:val="center"/>
              <w:rPr>
                <w:rFonts w:ascii="宋体" w:hAnsi="宋体" w:cs="宋体"/>
                <w:color w:val="000000"/>
              </w:rPr>
            </w:pPr>
          </w:p>
        </w:tc>
        <w:tc>
          <w:tcPr>
            <w:tcW w:w="4131" w:type="dxa"/>
            <w:gridSpan w:val="4"/>
            <w:vAlign w:val="center"/>
          </w:tcPr>
          <w:p>
            <w:pPr>
              <w:ind w:firstLine="0" w:firstLineChars="0"/>
              <w:jc w:val="center"/>
              <w:rPr>
                <w:rFonts w:ascii="宋体" w:hAnsi="宋体" w:cs="宋体"/>
                <w:color w:val="000000"/>
              </w:rPr>
            </w:pPr>
          </w:p>
        </w:tc>
        <w:tc>
          <w:tcPr>
            <w:tcW w:w="1870" w:type="dxa"/>
            <w:vAlign w:val="center"/>
          </w:tcPr>
          <w:p>
            <w:pPr>
              <w:ind w:firstLine="0" w:firstLineChars="0"/>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68" w:type="dxa"/>
            <w:gridSpan w:val="2"/>
            <w:vAlign w:val="center"/>
          </w:tcPr>
          <w:p>
            <w:pPr>
              <w:ind w:firstLine="0" w:firstLineChars="0"/>
              <w:rPr>
                <w:rFonts w:ascii="宋体" w:hAnsi="宋体" w:cs="宋体"/>
                <w:color w:val="000000"/>
              </w:rPr>
            </w:pPr>
          </w:p>
        </w:tc>
        <w:tc>
          <w:tcPr>
            <w:tcW w:w="1625" w:type="dxa"/>
            <w:vAlign w:val="center"/>
          </w:tcPr>
          <w:p>
            <w:pPr>
              <w:ind w:firstLine="0" w:firstLineChars="0"/>
              <w:jc w:val="center"/>
              <w:rPr>
                <w:rFonts w:ascii="宋体" w:hAnsi="宋体" w:cs="宋体"/>
                <w:color w:val="000000"/>
              </w:rPr>
            </w:pPr>
          </w:p>
        </w:tc>
        <w:tc>
          <w:tcPr>
            <w:tcW w:w="4131" w:type="dxa"/>
            <w:gridSpan w:val="4"/>
            <w:vAlign w:val="center"/>
          </w:tcPr>
          <w:p>
            <w:pPr>
              <w:ind w:firstLine="0" w:firstLineChars="0"/>
              <w:jc w:val="center"/>
              <w:rPr>
                <w:rFonts w:ascii="宋体" w:hAnsi="宋体" w:cs="宋体"/>
                <w:color w:val="000000"/>
              </w:rPr>
            </w:pPr>
          </w:p>
        </w:tc>
        <w:tc>
          <w:tcPr>
            <w:tcW w:w="1870" w:type="dxa"/>
            <w:vAlign w:val="center"/>
          </w:tcPr>
          <w:p>
            <w:pPr>
              <w:ind w:firstLine="0" w:firstLineChars="0"/>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68" w:type="dxa"/>
            <w:gridSpan w:val="2"/>
            <w:vAlign w:val="center"/>
          </w:tcPr>
          <w:p>
            <w:pPr>
              <w:ind w:firstLine="0" w:firstLineChars="0"/>
              <w:rPr>
                <w:rFonts w:ascii="宋体" w:hAnsi="宋体" w:cs="宋体"/>
                <w:color w:val="000000"/>
              </w:rPr>
            </w:pPr>
          </w:p>
        </w:tc>
        <w:tc>
          <w:tcPr>
            <w:tcW w:w="1625" w:type="dxa"/>
            <w:vAlign w:val="center"/>
          </w:tcPr>
          <w:p>
            <w:pPr>
              <w:ind w:firstLine="0" w:firstLineChars="0"/>
              <w:jc w:val="center"/>
              <w:rPr>
                <w:rFonts w:ascii="宋体" w:hAnsi="宋体" w:cs="宋体"/>
                <w:color w:val="000000"/>
              </w:rPr>
            </w:pPr>
          </w:p>
        </w:tc>
        <w:tc>
          <w:tcPr>
            <w:tcW w:w="4131" w:type="dxa"/>
            <w:gridSpan w:val="4"/>
            <w:vAlign w:val="center"/>
          </w:tcPr>
          <w:p>
            <w:pPr>
              <w:ind w:firstLine="0" w:firstLineChars="0"/>
              <w:jc w:val="center"/>
              <w:rPr>
                <w:rFonts w:ascii="宋体" w:hAnsi="宋体" w:cs="宋体"/>
                <w:color w:val="000000"/>
              </w:rPr>
            </w:pPr>
          </w:p>
        </w:tc>
        <w:tc>
          <w:tcPr>
            <w:tcW w:w="1870" w:type="dxa"/>
            <w:vAlign w:val="center"/>
          </w:tcPr>
          <w:p>
            <w:pPr>
              <w:ind w:firstLine="0" w:firstLineChars="0"/>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68" w:type="dxa"/>
            <w:gridSpan w:val="2"/>
            <w:vAlign w:val="center"/>
          </w:tcPr>
          <w:p>
            <w:pPr>
              <w:ind w:firstLine="0" w:firstLineChars="0"/>
              <w:rPr>
                <w:rFonts w:ascii="宋体" w:hAnsi="宋体" w:cs="宋体"/>
                <w:color w:val="000000"/>
              </w:rPr>
            </w:pPr>
          </w:p>
        </w:tc>
        <w:tc>
          <w:tcPr>
            <w:tcW w:w="1625" w:type="dxa"/>
            <w:vAlign w:val="center"/>
          </w:tcPr>
          <w:p>
            <w:pPr>
              <w:ind w:firstLine="0" w:firstLineChars="0"/>
              <w:jc w:val="center"/>
              <w:rPr>
                <w:rFonts w:ascii="宋体" w:hAnsi="宋体" w:cs="宋体"/>
                <w:color w:val="000000"/>
              </w:rPr>
            </w:pPr>
          </w:p>
        </w:tc>
        <w:tc>
          <w:tcPr>
            <w:tcW w:w="4131" w:type="dxa"/>
            <w:gridSpan w:val="4"/>
            <w:vAlign w:val="center"/>
          </w:tcPr>
          <w:p>
            <w:pPr>
              <w:ind w:firstLine="0" w:firstLineChars="0"/>
              <w:jc w:val="center"/>
              <w:rPr>
                <w:rFonts w:ascii="宋体" w:hAnsi="宋体" w:cs="宋体"/>
                <w:color w:val="000000"/>
              </w:rPr>
            </w:pPr>
          </w:p>
        </w:tc>
        <w:tc>
          <w:tcPr>
            <w:tcW w:w="1870" w:type="dxa"/>
            <w:vAlign w:val="center"/>
          </w:tcPr>
          <w:p>
            <w:pPr>
              <w:ind w:firstLine="0" w:firstLineChars="0"/>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68" w:type="dxa"/>
            <w:gridSpan w:val="2"/>
            <w:vAlign w:val="center"/>
          </w:tcPr>
          <w:p>
            <w:pPr>
              <w:ind w:firstLine="0" w:firstLineChars="0"/>
              <w:rPr>
                <w:rFonts w:ascii="宋体" w:hAnsi="宋体" w:cs="宋体"/>
                <w:color w:val="000000"/>
              </w:rPr>
            </w:pPr>
          </w:p>
        </w:tc>
        <w:tc>
          <w:tcPr>
            <w:tcW w:w="1625" w:type="dxa"/>
            <w:vAlign w:val="center"/>
          </w:tcPr>
          <w:p>
            <w:pPr>
              <w:ind w:firstLine="0" w:firstLineChars="0"/>
              <w:jc w:val="center"/>
              <w:rPr>
                <w:rFonts w:ascii="宋体" w:hAnsi="宋体" w:cs="宋体"/>
                <w:color w:val="000000"/>
              </w:rPr>
            </w:pPr>
          </w:p>
        </w:tc>
        <w:tc>
          <w:tcPr>
            <w:tcW w:w="4131" w:type="dxa"/>
            <w:gridSpan w:val="4"/>
            <w:vAlign w:val="center"/>
          </w:tcPr>
          <w:p>
            <w:pPr>
              <w:ind w:firstLine="0" w:firstLineChars="0"/>
              <w:jc w:val="center"/>
              <w:rPr>
                <w:rFonts w:ascii="宋体" w:hAnsi="宋体" w:cs="宋体"/>
                <w:color w:val="000000"/>
              </w:rPr>
            </w:pPr>
          </w:p>
        </w:tc>
        <w:tc>
          <w:tcPr>
            <w:tcW w:w="1870" w:type="dxa"/>
            <w:vAlign w:val="center"/>
          </w:tcPr>
          <w:p>
            <w:pPr>
              <w:ind w:firstLine="0" w:firstLineChars="0"/>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68" w:type="dxa"/>
            <w:gridSpan w:val="2"/>
            <w:vAlign w:val="center"/>
          </w:tcPr>
          <w:p>
            <w:pPr>
              <w:ind w:firstLine="0" w:firstLineChars="0"/>
              <w:rPr>
                <w:rFonts w:ascii="宋体" w:hAnsi="宋体" w:cs="宋体"/>
                <w:color w:val="000000"/>
              </w:rPr>
            </w:pPr>
          </w:p>
        </w:tc>
        <w:tc>
          <w:tcPr>
            <w:tcW w:w="1625" w:type="dxa"/>
            <w:vAlign w:val="center"/>
          </w:tcPr>
          <w:p>
            <w:pPr>
              <w:ind w:firstLine="0" w:firstLineChars="0"/>
              <w:jc w:val="center"/>
              <w:rPr>
                <w:rFonts w:ascii="宋体" w:hAnsi="宋体" w:cs="宋体"/>
                <w:color w:val="000000"/>
              </w:rPr>
            </w:pPr>
          </w:p>
        </w:tc>
        <w:tc>
          <w:tcPr>
            <w:tcW w:w="4131" w:type="dxa"/>
            <w:gridSpan w:val="4"/>
            <w:vAlign w:val="center"/>
          </w:tcPr>
          <w:p>
            <w:pPr>
              <w:ind w:firstLine="0" w:firstLineChars="0"/>
              <w:jc w:val="center"/>
              <w:rPr>
                <w:rFonts w:ascii="宋体" w:hAnsi="宋体" w:cs="宋体"/>
                <w:color w:val="000000"/>
              </w:rPr>
            </w:pPr>
          </w:p>
        </w:tc>
        <w:tc>
          <w:tcPr>
            <w:tcW w:w="1870" w:type="dxa"/>
            <w:vAlign w:val="center"/>
          </w:tcPr>
          <w:p>
            <w:pPr>
              <w:ind w:firstLine="0" w:firstLineChars="0"/>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68" w:type="dxa"/>
            <w:gridSpan w:val="2"/>
            <w:vAlign w:val="center"/>
          </w:tcPr>
          <w:p>
            <w:pPr>
              <w:ind w:firstLine="0" w:firstLineChars="0"/>
              <w:rPr>
                <w:rFonts w:ascii="宋体" w:hAnsi="宋体" w:cs="宋体"/>
                <w:color w:val="000000"/>
              </w:rPr>
            </w:pPr>
          </w:p>
        </w:tc>
        <w:tc>
          <w:tcPr>
            <w:tcW w:w="1625" w:type="dxa"/>
            <w:vAlign w:val="center"/>
          </w:tcPr>
          <w:p>
            <w:pPr>
              <w:ind w:firstLine="0" w:firstLineChars="0"/>
              <w:jc w:val="center"/>
              <w:rPr>
                <w:rFonts w:ascii="宋体" w:hAnsi="宋体" w:cs="宋体"/>
                <w:color w:val="000000"/>
              </w:rPr>
            </w:pPr>
          </w:p>
        </w:tc>
        <w:tc>
          <w:tcPr>
            <w:tcW w:w="4131" w:type="dxa"/>
            <w:gridSpan w:val="4"/>
            <w:vAlign w:val="center"/>
          </w:tcPr>
          <w:p>
            <w:pPr>
              <w:ind w:firstLine="0" w:firstLineChars="0"/>
              <w:jc w:val="center"/>
              <w:rPr>
                <w:rFonts w:ascii="宋体" w:hAnsi="宋体" w:cs="宋体"/>
                <w:color w:val="000000"/>
              </w:rPr>
            </w:pPr>
          </w:p>
        </w:tc>
        <w:tc>
          <w:tcPr>
            <w:tcW w:w="1870" w:type="dxa"/>
            <w:vAlign w:val="center"/>
          </w:tcPr>
          <w:p>
            <w:pPr>
              <w:ind w:firstLine="0" w:firstLineChars="0"/>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68" w:type="dxa"/>
            <w:gridSpan w:val="2"/>
            <w:vAlign w:val="center"/>
          </w:tcPr>
          <w:p>
            <w:pPr>
              <w:ind w:firstLine="0" w:firstLineChars="0"/>
              <w:rPr>
                <w:rFonts w:ascii="宋体" w:hAnsi="宋体" w:cs="宋体"/>
                <w:color w:val="000000"/>
              </w:rPr>
            </w:pPr>
          </w:p>
        </w:tc>
        <w:tc>
          <w:tcPr>
            <w:tcW w:w="1625" w:type="dxa"/>
            <w:vAlign w:val="center"/>
          </w:tcPr>
          <w:p>
            <w:pPr>
              <w:ind w:firstLine="0" w:firstLineChars="0"/>
              <w:jc w:val="center"/>
              <w:rPr>
                <w:rFonts w:ascii="宋体" w:hAnsi="宋体" w:cs="宋体"/>
                <w:color w:val="000000"/>
              </w:rPr>
            </w:pPr>
          </w:p>
        </w:tc>
        <w:tc>
          <w:tcPr>
            <w:tcW w:w="4131" w:type="dxa"/>
            <w:gridSpan w:val="4"/>
            <w:vAlign w:val="center"/>
          </w:tcPr>
          <w:p>
            <w:pPr>
              <w:ind w:firstLine="0" w:firstLineChars="0"/>
              <w:jc w:val="center"/>
              <w:rPr>
                <w:rFonts w:ascii="宋体" w:hAnsi="宋体" w:cs="宋体"/>
                <w:color w:val="000000"/>
              </w:rPr>
            </w:pPr>
          </w:p>
        </w:tc>
        <w:tc>
          <w:tcPr>
            <w:tcW w:w="1870" w:type="dxa"/>
            <w:vAlign w:val="center"/>
          </w:tcPr>
          <w:p>
            <w:pPr>
              <w:ind w:firstLine="0" w:firstLineChars="0"/>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68" w:type="dxa"/>
            <w:gridSpan w:val="2"/>
            <w:vAlign w:val="center"/>
          </w:tcPr>
          <w:p>
            <w:pPr>
              <w:tabs>
                <w:tab w:val="left" w:pos="360"/>
                <w:tab w:val="left" w:pos="1800"/>
              </w:tabs>
              <w:spacing w:line="380" w:lineRule="exact"/>
              <w:ind w:firstLine="480"/>
              <w:rPr>
                <w:rFonts w:ascii="宋体" w:hAnsi="宋体" w:cs="宋体"/>
              </w:rPr>
            </w:pPr>
          </w:p>
        </w:tc>
        <w:tc>
          <w:tcPr>
            <w:tcW w:w="1625" w:type="dxa"/>
            <w:vAlign w:val="center"/>
          </w:tcPr>
          <w:p>
            <w:pPr>
              <w:tabs>
                <w:tab w:val="left" w:pos="360"/>
                <w:tab w:val="left" w:pos="1800"/>
              </w:tabs>
              <w:spacing w:line="380" w:lineRule="exact"/>
              <w:ind w:firstLine="480"/>
              <w:jc w:val="center"/>
              <w:rPr>
                <w:rFonts w:ascii="宋体" w:hAnsi="宋体" w:cs="宋体"/>
              </w:rPr>
            </w:pPr>
          </w:p>
        </w:tc>
        <w:tc>
          <w:tcPr>
            <w:tcW w:w="4131" w:type="dxa"/>
            <w:gridSpan w:val="4"/>
            <w:vAlign w:val="center"/>
          </w:tcPr>
          <w:p>
            <w:pPr>
              <w:tabs>
                <w:tab w:val="left" w:pos="360"/>
                <w:tab w:val="left" w:pos="1800"/>
              </w:tabs>
              <w:spacing w:line="380" w:lineRule="exact"/>
              <w:ind w:firstLine="480"/>
              <w:jc w:val="center"/>
              <w:rPr>
                <w:rFonts w:ascii="宋体" w:hAnsi="宋体" w:cs="宋体"/>
              </w:rPr>
            </w:pPr>
          </w:p>
        </w:tc>
        <w:tc>
          <w:tcPr>
            <w:tcW w:w="1870" w:type="dxa"/>
            <w:vAlign w:val="center"/>
          </w:tcPr>
          <w:p>
            <w:pPr>
              <w:tabs>
                <w:tab w:val="left" w:pos="360"/>
                <w:tab w:val="left" w:pos="1800"/>
              </w:tabs>
              <w:spacing w:line="380" w:lineRule="exact"/>
              <w:ind w:firstLine="48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68" w:type="dxa"/>
            <w:gridSpan w:val="2"/>
            <w:vAlign w:val="center"/>
          </w:tcPr>
          <w:p>
            <w:pPr>
              <w:tabs>
                <w:tab w:val="left" w:pos="360"/>
                <w:tab w:val="left" w:pos="1800"/>
              </w:tabs>
              <w:spacing w:line="380" w:lineRule="exact"/>
              <w:ind w:firstLine="480"/>
              <w:rPr>
                <w:rFonts w:ascii="宋体" w:hAnsi="宋体" w:cs="宋体"/>
              </w:rPr>
            </w:pPr>
          </w:p>
        </w:tc>
        <w:tc>
          <w:tcPr>
            <w:tcW w:w="1625" w:type="dxa"/>
            <w:vAlign w:val="center"/>
          </w:tcPr>
          <w:p>
            <w:pPr>
              <w:tabs>
                <w:tab w:val="left" w:pos="360"/>
                <w:tab w:val="left" w:pos="1800"/>
              </w:tabs>
              <w:spacing w:line="380" w:lineRule="exact"/>
              <w:ind w:firstLine="480"/>
              <w:jc w:val="center"/>
              <w:rPr>
                <w:rFonts w:ascii="宋体" w:hAnsi="宋体" w:cs="宋体"/>
              </w:rPr>
            </w:pPr>
          </w:p>
        </w:tc>
        <w:tc>
          <w:tcPr>
            <w:tcW w:w="4131" w:type="dxa"/>
            <w:gridSpan w:val="4"/>
            <w:vAlign w:val="center"/>
          </w:tcPr>
          <w:p>
            <w:pPr>
              <w:tabs>
                <w:tab w:val="left" w:pos="360"/>
                <w:tab w:val="left" w:pos="1800"/>
              </w:tabs>
              <w:spacing w:line="380" w:lineRule="exact"/>
              <w:ind w:firstLine="480"/>
              <w:jc w:val="center"/>
              <w:rPr>
                <w:rFonts w:ascii="宋体" w:hAnsi="宋体" w:cs="宋体"/>
              </w:rPr>
            </w:pPr>
          </w:p>
        </w:tc>
        <w:tc>
          <w:tcPr>
            <w:tcW w:w="1870" w:type="dxa"/>
            <w:vAlign w:val="center"/>
          </w:tcPr>
          <w:p>
            <w:pPr>
              <w:tabs>
                <w:tab w:val="left" w:pos="360"/>
                <w:tab w:val="left" w:pos="1800"/>
              </w:tabs>
              <w:spacing w:line="380" w:lineRule="exact"/>
              <w:ind w:firstLine="480"/>
              <w:jc w:val="center"/>
              <w:rPr>
                <w:rFonts w:ascii="宋体" w:hAnsi="宋体" w:cs="宋体"/>
              </w:rPr>
            </w:pPr>
          </w:p>
        </w:tc>
      </w:tr>
    </w:tbl>
    <w:p>
      <w:pPr>
        <w:snapToGrid w:val="0"/>
        <w:spacing w:before="100" w:beforeAutospacing="1" w:after="100" w:afterAutospacing="1" w:line="360" w:lineRule="exact"/>
        <w:ind w:firstLine="480"/>
        <w:jc w:val="left"/>
        <w:rPr>
          <w:rFonts w:ascii="宋体" w:hAnsi="宋体" w:cs="宋体"/>
          <w:bCs/>
          <w:spacing w:val="20"/>
          <w:szCs w:val="24"/>
        </w:rPr>
      </w:pPr>
      <w:r>
        <w:rPr>
          <w:rFonts w:hint="eastAsia" w:ascii="宋体" w:hAnsi="宋体" w:cs="宋体"/>
          <w:color w:val="000000"/>
          <w:szCs w:val="24"/>
        </w:rPr>
        <w:t>注：各投标人必须如实填写此表格，并提供项目经理的相关证书、</w:t>
      </w:r>
      <w:r>
        <w:rPr>
          <w:rFonts w:hint="eastAsia" w:ascii="宋体" w:hAnsi="宋体" w:cs="宋体"/>
          <w:szCs w:val="21"/>
        </w:rPr>
        <w:t>近半年内任意一个月在投标单位的社保证明扫描件并CA签章</w:t>
      </w:r>
      <w:r>
        <w:rPr>
          <w:rFonts w:hint="eastAsia" w:ascii="宋体" w:hAnsi="宋体" w:cs="宋体"/>
          <w:color w:val="000000"/>
          <w:szCs w:val="24"/>
        </w:rPr>
        <w:t>。</w:t>
      </w:r>
    </w:p>
    <w:p>
      <w:pPr>
        <w:tabs>
          <w:tab w:val="left" w:pos="1418"/>
        </w:tabs>
        <w:rPr>
          <w:rFonts w:ascii="宋体" w:hAnsi="宋体" w:cs="宋体"/>
          <w:sz w:val="10"/>
          <w:szCs w:val="10"/>
        </w:rPr>
      </w:pPr>
    </w:p>
    <w:p>
      <w:pPr>
        <w:spacing w:line="300" w:lineRule="auto"/>
        <w:ind w:firstLine="3600" w:firstLineChars="1500"/>
        <w:rPr>
          <w:rFonts w:ascii="宋体" w:hAnsi="宋体" w:cs="宋体"/>
          <w:color w:val="000000"/>
          <w:szCs w:val="24"/>
        </w:rPr>
      </w:pPr>
      <w:r>
        <w:rPr>
          <w:rFonts w:hint="eastAsia" w:ascii="宋体" w:hAnsi="宋体" w:cs="宋体"/>
          <w:color w:val="000000"/>
          <w:szCs w:val="24"/>
        </w:rPr>
        <w:t>法定代表人或授权代表</w:t>
      </w:r>
      <w:r>
        <w:rPr>
          <w:rFonts w:hint="eastAsia" w:ascii="宋体" w:hAnsi="宋体" w:cs="宋体"/>
          <w:color w:val="000000"/>
          <w:spacing w:val="20"/>
          <w:szCs w:val="24"/>
        </w:rPr>
        <w:t>签字</w:t>
      </w:r>
      <w:r>
        <w:rPr>
          <w:rFonts w:hint="eastAsia" w:ascii="宋体" w:hAnsi="宋体" w:cs="宋体"/>
          <w:color w:val="000000"/>
          <w:szCs w:val="24"/>
        </w:rPr>
        <w:t>（或盖章）</w:t>
      </w:r>
      <w:r>
        <w:rPr>
          <w:rFonts w:hint="eastAsia" w:ascii="宋体" w:hAnsi="宋体" w:cs="宋体"/>
          <w:color w:val="000000"/>
          <w:spacing w:val="20"/>
          <w:szCs w:val="24"/>
        </w:rPr>
        <w:t>：</w:t>
      </w:r>
      <w:r>
        <w:rPr>
          <w:rFonts w:hint="eastAsia" w:ascii="宋体" w:hAnsi="宋体" w:cs="宋体"/>
          <w:color w:val="000000"/>
          <w:szCs w:val="24"/>
        </w:rPr>
        <w:t>___________</w:t>
      </w:r>
      <w:r>
        <w:rPr>
          <w:rFonts w:hint="eastAsia" w:ascii="宋体" w:hAnsi="宋体" w:cs="宋体"/>
          <w:color w:val="000000"/>
          <w:spacing w:val="20"/>
          <w:szCs w:val="24"/>
          <w:u w:val="single"/>
        </w:rPr>
        <w:t xml:space="preserve">      </w:t>
      </w:r>
      <w:r>
        <w:rPr>
          <w:rFonts w:hint="eastAsia" w:ascii="宋体" w:hAnsi="宋体" w:cs="宋体"/>
          <w:color w:val="000000"/>
          <w:u w:val="single"/>
        </w:rPr>
        <w:t xml:space="preserve"> </w:t>
      </w:r>
    </w:p>
    <w:p>
      <w:pPr>
        <w:spacing w:line="300" w:lineRule="auto"/>
        <w:ind w:firstLine="5280" w:firstLineChars="2200"/>
        <w:rPr>
          <w:rFonts w:ascii="宋体" w:hAnsi="宋体" w:cs="宋体"/>
          <w:color w:val="000000"/>
          <w:szCs w:val="24"/>
        </w:rPr>
      </w:pPr>
      <w:r>
        <w:rPr>
          <w:rFonts w:hint="eastAsia" w:ascii="宋体" w:hAnsi="宋体" w:cs="宋体"/>
          <w:color w:val="000000"/>
          <w:szCs w:val="24"/>
        </w:rPr>
        <w:t>投标人（盖章）：__________________</w:t>
      </w:r>
    </w:p>
    <w:p>
      <w:pPr>
        <w:spacing w:line="300" w:lineRule="auto"/>
        <w:ind w:firstLine="480"/>
        <w:rPr>
          <w:rFonts w:ascii="宋体" w:hAnsi="宋体" w:cs="宋体"/>
          <w:color w:val="000000"/>
          <w:szCs w:val="24"/>
        </w:rPr>
      </w:pPr>
      <w:r>
        <w:rPr>
          <w:rFonts w:hint="eastAsia" w:ascii="宋体" w:hAnsi="宋体" w:cs="宋体"/>
          <w:color w:val="000000"/>
          <w:szCs w:val="24"/>
        </w:rPr>
        <w:t xml:space="preserve">                                        日    期：_____年____月____日</w:t>
      </w:r>
    </w:p>
    <w:p>
      <w:pPr>
        <w:ind w:firstLine="480"/>
        <w:sectPr>
          <w:headerReference r:id="rId13" w:type="default"/>
          <w:pgSz w:w="11906" w:h="16838"/>
          <w:pgMar w:top="1418" w:right="1077" w:bottom="1418" w:left="1077" w:header="851" w:footer="992" w:gutter="340"/>
          <w:cols w:space="720" w:num="1"/>
          <w:docGrid w:linePitch="381" w:charSpace="0"/>
        </w:sectPr>
      </w:pPr>
    </w:p>
    <w:p>
      <w:pPr>
        <w:snapToGrid w:val="0"/>
        <w:spacing w:before="100" w:beforeAutospacing="1" w:after="100" w:afterAutospacing="1" w:line="360" w:lineRule="exact"/>
        <w:ind w:firstLine="2715" w:firstLineChars="845"/>
        <w:rPr>
          <w:rFonts w:ascii="宋体" w:hAnsi="宋体" w:cs="宋体"/>
          <w:b/>
          <w:bCs/>
          <w:sz w:val="32"/>
          <w:szCs w:val="32"/>
        </w:rPr>
      </w:pPr>
      <w:r>
        <w:rPr>
          <w:rFonts w:hint="eastAsia" w:ascii="宋体" w:hAnsi="宋体" w:cs="宋体"/>
          <w:b/>
          <w:color w:val="000000"/>
          <w:sz w:val="32"/>
          <w:szCs w:val="32"/>
        </w:rPr>
        <w:t>十二、项目副经理简历表格式</w:t>
      </w:r>
    </w:p>
    <w:p>
      <w:pPr>
        <w:snapToGrid w:val="0"/>
        <w:spacing w:before="100" w:beforeAutospacing="1" w:after="100" w:afterAutospacing="1" w:line="276" w:lineRule="auto"/>
        <w:ind w:firstLine="602"/>
        <w:jc w:val="center"/>
        <w:rPr>
          <w:rFonts w:ascii="宋体" w:hAnsi="宋体" w:cs="宋体"/>
          <w:b/>
          <w:sz w:val="30"/>
          <w:szCs w:val="30"/>
        </w:rPr>
      </w:pPr>
      <w:r>
        <w:rPr>
          <w:rFonts w:hint="eastAsia" w:ascii="宋体" w:hAnsi="宋体" w:cs="宋体"/>
          <w:b/>
          <w:sz w:val="30"/>
          <w:szCs w:val="30"/>
        </w:rPr>
        <w:t>项目副经理简历表</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9"/>
        <w:gridCol w:w="179"/>
        <w:gridCol w:w="1625"/>
        <w:gridCol w:w="1093"/>
        <w:gridCol w:w="1241"/>
        <w:gridCol w:w="1524"/>
        <w:gridCol w:w="273"/>
        <w:gridCol w:w="1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89" w:type="dxa"/>
            <w:vAlign w:val="center"/>
          </w:tcPr>
          <w:p>
            <w:pPr>
              <w:ind w:firstLine="0" w:firstLineChars="0"/>
              <w:rPr>
                <w:rFonts w:ascii="宋体" w:hAnsi="宋体" w:cs="宋体"/>
                <w:color w:val="000000"/>
              </w:rPr>
            </w:pPr>
            <w:r>
              <w:rPr>
                <w:rFonts w:hint="eastAsia" w:ascii="宋体" w:hAnsi="宋体" w:cs="宋体"/>
                <w:color w:val="000000"/>
              </w:rPr>
              <w:t>姓名</w:t>
            </w:r>
          </w:p>
        </w:tc>
        <w:tc>
          <w:tcPr>
            <w:tcW w:w="1804" w:type="dxa"/>
            <w:gridSpan w:val="2"/>
            <w:vAlign w:val="center"/>
          </w:tcPr>
          <w:p>
            <w:pPr>
              <w:ind w:firstLine="0" w:firstLineChars="0"/>
              <w:rPr>
                <w:rFonts w:ascii="宋体" w:hAnsi="宋体" w:cs="宋体"/>
                <w:color w:val="000000"/>
              </w:rPr>
            </w:pPr>
          </w:p>
        </w:tc>
        <w:tc>
          <w:tcPr>
            <w:tcW w:w="1093" w:type="dxa"/>
            <w:vAlign w:val="center"/>
          </w:tcPr>
          <w:p>
            <w:pPr>
              <w:ind w:firstLine="0" w:firstLineChars="0"/>
              <w:rPr>
                <w:rFonts w:ascii="宋体" w:hAnsi="宋体" w:cs="宋体"/>
                <w:color w:val="000000"/>
              </w:rPr>
            </w:pPr>
            <w:r>
              <w:rPr>
                <w:rFonts w:hint="eastAsia" w:ascii="宋体" w:hAnsi="宋体" w:cs="宋体"/>
                <w:color w:val="000000"/>
              </w:rPr>
              <w:t>年龄</w:t>
            </w:r>
          </w:p>
        </w:tc>
        <w:tc>
          <w:tcPr>
            <w:tcW w:w="1241" w:type="dxa"/>
            <w:vAlign w:val="center"/>
          </w:tcPr>
          <w:p>
            <w:pPr>
              <w:ind w:firstLine="0" w:firstLineChars="0"/>
              <w:rPr>
                <w:rFonts w:ascii="宋体" w:hAnsi="宋体" w:cs="宋体"/>
                <w:color w:val="000000"/>
              </w:rPr>
            </w:pPr>
          </w:p>
        </w:tc>
        <w:tc>
          <w:tcPr>
            <w:tcW w:w="1524" w:type="dxa"/>
            <w:vAlign w:val="center"/>
          </w:tcPr>
          <w:p>
            <w:pPr>
              <w:ind w:firstLine="0" w:firstLineChars="0"/>
              <w:rPr>
                <w:rFonts w:ascii="宋体" w:hAnsi="宋体" w:cs="宋体"/>
                <w:color w:val="000000"/>
              </w:rPr>
            </w:pPr>
            <w:r>
              <w:rPr>
                <w:rFonts w:hint="eastAsia" w:ascii="宋体" w:hAnsi="宋体" w:cs="宋体"/>
                <w:color w:val="000000"/>
              </w:rPr>
              <w:t>专业</w:t>
            </w:r>
          </w:p>
        </w:tc>
        <w:tc>
          <w:tcPr>
            <w:tcW w:w="2143" w:type="dxa"/>
            <w:gridSpan w:val="2"/>
            <w:vAlign w:val="center"/>
          </w:tcPr>
          <w:p>
            <w:pPr>
              <w:ind w:firstLine="0" w:firstLineChars="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189" w:type="dxa"/>
            <w:vAlign w:val="center"/>
          </w:tcPr>
          <w:p>
            <w:pPr>
              <w:ind w:firstLine="0" w:firstLineChars="0"/>
              <w:rPr>
                <w:rFonts w:ascii="宋体" w:hAnsi="宋体" w:cs="宋体"/>
                <w:color w:val="000000"/>
              </w:rPr>
            </w:pPr>
            <w:r>
              <w:rPr>
                <w:rFonts w:hint="eastAsia" w:ascii="宋体" w:hAnsi="宋体" w:cs="宋体"/>
              </w:rPr>
              <w:t>资格、职称证书</w:t>
            </w:r>
          </w:p>
        </w:tc>
        <w:tc>
          <w:tcPr>
            <w:tcW w:w="1804" w:type="dxa"/>
            <w:gridSpan w:val="2"/>
            <w:vAlign w:val="center"/>
          </w:tcPr>
          <w:p>
            <w:pPr>
              <w:ind w:firstLine="0" w:firstLineChars="0"/>
              <w:rPr>
                <w:rFonts w:ascii="宋体" w:hAnsi="宋体" w:cs="宋体"/>
                <w:color w:val="000000"/>
              </w:rPr>
            </w:pPr>
          </w:p>
        </w:tc>
        <w:tc>
          <w:tcPr>
            <w:tcW w:w="1093" w:type="dxa"/>
            <w:vAlign w:val="center"/>
          </w:tcPr>
          <w:p>
            <w:pPr>
              <w:ind w:firstLine="0" w:firstLineChars="0"/>
              <w:rPr>
                <w:rFonts w:ascii="宋体" w:hAnsi="宋体" w:cs="宋体"/>
                <w:color w:val="000000"/>
              </w:rPr>
            </w:pPr>
            <w:r>
              <w:rPr>
                <w:rFonts w:hint="eastAsia" w:ascii="宋体" w:hAnsi="宋体" w:cs="宋体"/>
                <w:color w:val="000000"/>
              </w:rPr>
              <w:t>职务</w:t>
            </w:r>
          </w:p>
        </w:tc>
        <w:tc>
          <w:tcPr>
            <w:tcW w:w="1241" w:type="dxa"/>
            <w:vAlign w:val="center"/>
          </w:tcPr>
          <w:p>
            <w:pPr>
              <w:ind w:firstLine="0" w:firstLineChars="0"/>
              <w:rPr>
                <w:rFonts w:ascii="宋体" w:hAnsi="宋体" w:cs="宋体"/>
                <w:color w:val="000000"/>
              </w:rPr>
            </w:pPr>
          </w:p>
        </w:tc>
        <w:tc>
          <w:tcPr>
            <w:tcW w:w="1524" w:type="dxa"/>
            <w:vAlign w:val="center"/>
          </w:tcPr>
          <w:p>
            <w:pPr>
              <w:ind w:firstLine="0" w:firstLineChars="0"/>
              <w:rPr>
                <w:rFonts w:ascii="宋体" w:hAnsi="宋体" w:cs="宋体"/>
                <w:color w:val="000000"/>
              </w:rPr>
            </w:pPr>
            <w:r>
              <w:rPr>
                <w:rFonts w:hint="eastAsia" w:ascii="宋体" w:hAnsi="宋体" w:cs="宋体"/>
                <w:color w:val="000000"/>
              </w:rPr>
              <w:t>拟在本项目</w:t>
            </w:r>
          </w:p>
          <w:p>
            <w:pPr>
              <w:ind w:firstLine="0" w:firstLineChars="0"/>
              <w:rPr>
                <w:rFonts w:ascii="宋体" w:hAnsi="宋体" w:cs="宋体"/>
                <w:color w:val="000000"/>
              </w:rPr>
            </w:pPr>
            <w:r>
              <w:rPr>
                <w:rFonts w:hint="eastAsia" w:ascii="宋体" w:hAnsi="宋体" w:cs="宋体"/>
                <w:color w:val="000000"/>
              </w:rPr>
              <w:t>担任职务</w:t>
            </w:r>
          </w:p>
        </w:tc>
        <w:tc>
          <w:tcPr>
            <w:tcW w:w="2143" w:type="dxa"/>
            <w:gridSpan w:val="2"/>
            <w:vAlign w:val="center"/>
          </w:tcPr>
          <w:p>
            <w:pPr>
              <w:ind w:firstLine="0" w:firstLineChars="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994" w:type="dxa"/>
            <w:gridSpan w:val="8"/>
          </w:tcPr>
          <w:p>
            <w:pPr>
              <w:spacing w:line="380" w:lineRule="exact"/>
              <w:ind w:firstLine="480"/>
              <w:jc w:val="center"/>
              <w:rPr>
                <w:rFonts w:ascii="宋体" w:hAnsi="宋体" w:cs="宋体"/>
              </w:rPr>
            </w:pPr>
            <w:r>
              <w:rPr>
                <w:rFonts w:hint="eastAsia" w:ascii="宋体" w:hAnsi="宋体" w:cs="宋体"/>
              </w:rPr>
              <w:t>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gridSpan w:val="2"/>
            <w:vAlign w:val="center"/>
          </w:tcPr>
          <w:p>
            <w:pPr>
              <w:ind w:firstLine="0" w:firstLineChars="0"/>
              <w:jc w:val="center"/>
              <w:rPr>
                <w:rFonts w:ascii="宋体" w:hAnsi="宋体" w:cs="宋体"/>
                <w:color w:val="000000"/>
              </w:rPr>
            </w:pPr>
            <w:r>
              <w:rPr>
                <w:rFonts w:hint="eastAsia" w:ascii="宋体" w:hAnsi="宋体" w:cs="宋体"/>
                <w:color w:val="000000"/>
              </w:rPr>
              <w:t>委托单位</w:t>
            </w:r>
          </w:p>
        </w:tc>
        <w:tc>
          <w:tcPr>
            <w:tcW w:w="1625" w:type="dxa"/>
            <w:vAlign w:val="center"/>
          </w:tcPr>
          <w:p>
            <w:pPr>
              <w:ind w:firstLine="0" w:firstLineChars="0"/>
              <w:jc w:val="center"/>
              <w:rPr>
                <w:rFonts w:ascii="宋体" w:hAnsi="宋体" w:cs="宋体"/>
                <w:color w:val="000000"/>
              </w:rPr>
            </w:pPr>
            <w:r>
              <w:rPr>
                <w:rFonts w:hint="eastAsia" w:ascii="宋体" w:hAnsi="宋体" w:cs="宋体"/>
                <w:color w:val="000000"/>
              </w:rPr>
              <w:t>参加过的</w:t>
            </w:r>
          </w:p>
          <w:p>
            <w:pPr>
              <w:ind w:firstLine="0" w:firstLineChars="0"/>
              <w:jc w:val="center"/>
              <w:rPr>
                <w:rFonts w:ascii="宋体" w:hAnsi="宋体" w:cs="宋体"/>
                <w:color w:val="000000"/>
              </w:rPr>
            </w:pPr>
            <w:r>
              <w:rPr>
                <w:rFonts w:hint="eastAsia" w:ascii="宋体" w:hAnsi="宋体" w:cs="宋体"/>
                <w:color w:val="000000"/>
              </w:rPr>
              <w:t>项目名称</w:t>
            </w:r>
          </w:p>
        </w:tc>
        <w:tc>
          <w:tcPr>
            <w:tcW w:w="4131" w:type="dxa"/>
            <w:gridSpan w:val="4"/>
            <w:vAlign w:val="center"/>
          </w:tcPr>
          <w:p>
            <w:pPr>
              <w:ind w:firstLine="0" w:firstLineChars="0"/>
              <w:jc w:val="center"/>
              <w:rPr>
                <w:rFonts w:ascii="宋体" w:hAnsi="宋体" w:cs="宋体"/>
                <w:color w:val="000000"/>
              </w:rPr>
            </w:pPr>
            <w:r>
              <w:rPr>
                <w:rFonts w:hint="eastAsia" w:ascii="宋体" w:hAnsi="宋体" w:cs="宋体"/>
                <w:color w:val="000000"/>
              </w:rPr>
              <w:t>担任何职</w:t>
            </w:r>
          </w:p>
        </w:tc>
        <w:tc>
          <w:tcPr>
            <w:tcW w:w="1870" w:type="dxa"/>
            <w:vAlign w:val="center"/>
          </w:tcPr>
          <w:p>
            <w:pPr>
              <w:ind w:firstLine="0" w:firstLineChars="0"/>
              <w:jc w:val="center"/>
              <w:rPr>
                <w:rFonts w:ascii="宋体" w:hAnsi="宋体" w:cs="宋体"/>
                <w:color w:val="000000"/>
              </w:rPr>
            </w:pPr>
            <w:r>
              <w:rPr>
                <w:rFonts w:hint="eastAsia" w:ascii="宋体" w:hAnsi="宋体" w:cs="宋体"/>
                <w:color w:val="000000"/>
              </w:rPr>
              <w:t>成  果</w:t>
            </w:r>
          </w:p>
          <w:p>
            <w:pPr>
              <w:ind w:firstLine="0" w:firstLineChars="0"/>
              <w:jc w:val="center"/>
              <w:rPr>
                <w:rFonts w:ascii="宋体" w:hAnsi="宋体" w:cs="宋体"/>
                <w:color w:val="000000"/>
              </w:rPr>
            </w:pPr>
            <w:r>
              <w:rPr>
                <w:rFonts w:hint="eastAsia" w:ascii="宋体" w:hAnsi="宋体" w:cs="宋体"/>
                <w:color w:val="000000"/>
              </w:rPr>
              <w:t>（获奖情况）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68" w:type="dxa"/>
            <w:gridSpan w:val="2"/>
            <w:vAlign w:val="center"/>
          </w:tcPr>
          <w:p>
            <w:pPr>
              <w:ind w:firstLine="0" w:firstLineChars="0"/>
              <w:rPr>
                <w:rFonts w:ascii="宋体" w:hAnsi="宋体" w:cs="宋体"/>
                <w:color w:val="000000"/>
              </w:rPr>
            </w:pPr>
          </w:p>
        </w:tc>
        <w:tc>
          <w:tcPr>
            <w:tcW w:w="1625" w:type="dxa"/>
            <w:vAlign w:val="center"/>
          </w:tcPr>
          <w:p>
            <w:pPr>
              <w:ind w:firstLine="0" w:firstLineChars="0"/>
              <w:jc w:val="center"/>
              <w:rPr>
                <w:rFonts w:ascii="宋体" w:hAnsi="宋体" w:cs="宋体"/>
                <w:color w:val="000000"/>
              </w:rPr>
            </w:pPr>
          </w:p>
        </w:tc>
        <w:tc>
          <w:tcPr>
            <w:tcW w:w="4131" w:type="dxa"/>
            <w:gridSpan w:val="4"/>
            <w:vAlign w:val="center"/>
          </w:tcPr>
          <w:p>
            <w:pPr>
              <w:ind w:firstLine="0" w:firstLineChars="0"/>
              <w:jc w:val="center"/>
              <w:rPr>
                <w:rFonts w:ascii="宋体" w:hAnsi="宋体" w:cs="宋体"/>
                <w:color w:val="000000"/>
              </w:rPr>
            </w:pPr>
          </w:p>
        </w:tc>
        <w:tc>
          <w:tcPr>
            <w:tcW w:w="1870" w:type="dxa"/>
            <w:vAlign w:val="center"/>
          </w:tcPr>
          <w:p>
            <w:pPr>
              <w:ind w:firstLine="0" w:firstLineChars="0"/>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68" w:type="dxa"/>
            <w:gridSpan w:val="2"/>
            <w:vAlign w:val="center"/>
          </w:tcPr>
          <w:p>
            <w:pPr>
              <w:ind w:firstLine="0" w:firstLineChars="0"/>
              <w:rPr>
                <w:rFonts w:ascii="宋体" w:hAnsi="宋体" w:cs="宋体"/>
                <w:color w:val="000000"/>
              </w:rPr>
            </w:pPr>
          </w:p>
        </w:tc>
        <w:tc>
          <w:tcPr>
            <w:tcW w:w="1625" w:type="dxa"/>
            <w:vAlign w:val="center"/>
          </w:tcPr>
          <w:p>
            <w:pPr>
              <w:ind w:firstLine="0" w:firstLineChars="0"/>
              <w:jc w:val="center"/>
              <w:rPr>
                <w:rFonts w:ascii="宋体" w:hAnsi="宋体" w:cs="宋体"/>
                <w:color w:val="000000"/>
              </w:rPr>
            </w:pPr>
          </w:p>
        </w:tc>
        <w:tc>
          <w:tcPr>
            <w:tcW w:w="4131" w:type="dxa"/>
            <w:gridSpan w:val="4"/>
            <w:vAlign w:val="center"/>
          </w:tcPr>
          <w:p>
            <w:pPr>
              <w:ind w:firstLine="0" w:firstLineChars="0"/>
              <w:jc w:val="center"/>
              <w:rPr>
                <w:rFonts w:ascii="宋体" w:hAnsi="宋体" w:cs="宋体"/>
                <w:color w:val="000000"/>
              </w:rPr>
            </w:pPr>
          </w:p>
        </w:tc>
        <w:tc>
          <w:tcPr>
            <w:tcW w:w="1870" w:type="dxa"/>
            <w:vAlign w:val="center"/>
          </w:tcPr>
          <w:p>
            <w:pPr>
              <w:ind w:firstLine="0" w:firstLineChars="0"/>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68" w:type="dxa"/>
            <w:gridSpan w:val="2"/>
            <w:vAlign w:val="center"/>
          </w:tcPr>
          <w:p>
            <w:pPr>
              <w:ind w:firstLine="0" w:firstLineChars="0"/>
              <w:rPr>
                <w:rFonts w:ascii="宋体" w:hAnsi="宋体" w:cs="宋体"/>
                <w:color w:val="000000"/>
              </w:rPr>
            </w:pPr>
          </w:p>
        </w:tc>
        <w:tc>
          <w:tcPr>
            <w:tcW w:w="1625" w:type="dxa"/>
            <w:vAlign w:val="center"/>
          </w:tcPr>
          <w:p>
            <w:pPr>
              <w:ind w:firstLine="0" w:firstLineChars="0"/>
              <w:jc w:val="center"/>
              <w:rPr>
                <w:rFonts w:ascii="宋体" w:hAnsi="宋体" w:cs="宋体"/>
                <w:color w:val="000000"/>
              </w:rPr>
            </w:pPr>
          </w:p>
        </w:tc>
        <w:tc>
          <w:tcPr>
            <w:tcW w:w="4131" w:type="dxa"/>
            <w:gridSpan w:val="4"/>
            <w:vAlign w:val="center"/>
          </w:tcPr>
          <w:p>
            <w:pPr>
              <w:ind w:firstLine="0" w:firstLineChars="0"/>
              <w:jc w:val="center"/>
              <w:rPr>
                <w:rFonts w:ascii="宋体" w:hAnsi="宋体" w:cs="宋体"/>
                <w:color w:val="000000"/>
              </w:rPr>
            </w:pPr>
          </w:p>
        </w:tc>
        <w:tc>
          <w:tcPr>
            <w:tcW w:w="1870" w:type="dxa"/>
            <w:vAlign w:val="center"/>
          </w:tcPr>
          <w:p>
            <w:pPr>
              <w:ind w:firstLine="0" w:firstLineChars="0"/>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68" w:type="dxa"/>
            <w:gridSpan w:val="2"/>
            <w:vAlign w:val="center"/>
          </w:tcPr>
          <w:p>
            <w:pPr>
              <w:ind w:firstLine="0" w:firstLineChars="0"/>
              <w:rPr>
                <w:rFonts w:ascii="宋体" w:hAnsi="宋体" w:cs="宋体"/>
                <w:color w:val="000000"/>
              </w:rPr>
            </w:pPr>
          </w:p>
        </w:tc>
        <w:tc>
          <w:tcPr>
            <w:tcW w:w="1625" w:type="dxa"/>
            <w:vAlign w:val="center"/>
          </w:tcPr>
          <w:p>
            <w:pPr>
              <w:ind w:firstLine="0" w:firstLineChars="0"/>
              <w:jc w:val="center"/>
              <w:rPr>
                <w:rFonts w:ascii="宋体" w:hAnsi="宋体" w:cs="宋体"/>
                <w:color w:val="000000"/>
              </w:rPr>
            </w:pPr>
          </w:p>
        </w:tc>
        <w:tc>
          <w:tcPr>
            <w:tcW w:w="4131" w:type="dxa"/>
            <w:gridSpan w:val="4"/>
            <w:vAlign w:val="center"/>
          </w:tcPr>
          <w:p>
            <w:pPr>
              <w:ind w:firstLine="0" w:firstLineChars="0"/>
              <w:jc w:val="center"/>
              <w:rPr>
                <w:rFonts w:ascii="宋体" w:hAnsi="宋体" w:cs="宋体"/>
                <w:color w:val="000000"/>
              </w:rPr>
            </w:pPr>
          </w:p>
        </w:tc>
        <w:tc>
          <w:tcPr>
            <w:tcW w:w="1870" w:type="dxa"/>
            <w:vAlign w:val="center"/>
          </w:tcPr>
          <w:p>
            <w:pPr>
              <w:ind w:firstLine="0" w:firstLineChars="0"/>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68" w:type="dxa"/>
            <w:gridSpan w:val="2"/>
            <w:vAlign w:val="center"/>
          </w:tcPr>
          <w:p>
            <w:pPr>
              <w:ind w:firstLine="0" w:firstLineChars="0"/>
              <w:rPr>
                <w:rFonts w:ascii="宋体" w:hAnsi="宋体" w:cs="宋体"/>
                <w:color w:val="000000"/>
              </w:rPr>
            </w:pPr>
          </w:p>
        </w:tc>
        <w:tc>
          <w:tcPr>
            <w:tcW w:w="1625" w:type="dxa"/>
            <w:vAlign w:val="center"/>
          </w:tcPr>
          <w:p>
            <w:pPr>
              <w:ind w:firstLine="0" w:firstLineChars="0"/>
              <w:jc w:val="center"/>
              <w:rPr>
                <w:rFonts w:ascii="宋体" w:hAnsi="宋体" w:cs="宋体"/>
                <w:color w:val="000000"/>
              </w:rPr>
            </w:pPr>
          </w:p>
        </w:tc>
        <w:tc>
          <w:tcPr>
            <w:tcW w:w="4131" w:type="dxa"/>
            <w:gridSpan w:val="4"/>
            <w:vAlign w:val="center"/>
          </w:tcPr>
          <w:p>
            <w:pPr>
              <w:ind w:firstLine="0" w:firstLineChars="0"/>
              <w:jc w:val="center"/>
              <w:rPr>
                <w:rFonts w:ascii="宋体" w:hAnsi="宋体" w:cs="宋体"/>
                <w:color w:val="000000"/>
              </w:rPr>
            </w:pPr>
          </w:p>
        </w:tc>
        <w:tc>
          <w:tcPr>
            <w:tcW w:w="1870" w:type="dxa"/>
            <w:vAlign w:val="center"/>
          </w:tcPr>
          <w:p>
            <w:pPr>
              <w:ind w:firstLine="0" w:firstLineChars="0"/>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68" w:type="dxa"/>
            <w:gridSpan w:val="2"/>
            <w:vAlign w:val="center"/>
          </w:tcPr>
          <w:p>
            <w:pPr>
              <w:ind w:firstLine="0" w:firstLineChars="0"/>
              <w:rPr>
                <w:rFonts w:ascii="宋体" w:hAnsi="宋体" w:cs="宋体"/>
                <w:color w:val="000000"/>
              </w:rPr>
            </w:pPr>
          </w:p>
        </w:tc>
        <w:tc>
          <w:tcPr>
            <w:tcW w:w="1625" w:type="dxa"/>
            <w:vAlign w:val="center"/>
          </w:tcPr>
          <w:p>
            <w:pPr>
              <w:ind w:firstLine="0" w:firstLineChars="0"/>
              <w:jc w:val="center"/>
              <w:rPr>
                <w:rFonts w:ascii="宋体" w:hAnsi="宋体" w:cs="宋体"/>
                <w:color w:val="000000"/>
              </w:rPr>
            </w:pPr>
          </w:p>
        </w:tc>
        <w:tc>
          <w:tcPr>
            <w:tcW w:w="4131" w:type="dxa"/>
            <w:gridSpan w:val="4"/>
            <w:vAlign w:val="center"/>
          </w:tcPr>
          <w:p>
            <w:pPr>
              <w:ind w:firstLine="0" w:firstLineChars="0"/>
              <w:jc w:val="center"/>
              <w:rPr>
                <w:rFonts w:ascii="宋体" w:hAnsi="宋体" w:cs="宋体"/>
                <w:color w:val="000000"/>
              </w:rPr>
            </w:pPr>
          </w:p>
        </w:tc>
        <w:tc>
          <w:tcPr>
            <w:tcW w:w="1870" w:type="dxa"/>
            <w:vAlign w:val="center"/>
          </w:tcPr>
          <w:p>
            <w:pPr>
              <w:ind w:firstLine="0" w:firstLineChars="0"/>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68" w:type="dxa"/>
            <w:gridSpan w:val="2"/>
            <w:vAlign w:val="center"/>
          </w:tcPr>
          <w:p>
            <w:pPr>
              <w:ind w:firstLine="0" w:firstLineChars="0"/>
              <w:rPr>
                <w:rFonts w:ascii="宋体" w:hAnsi="宋体" w:cs="宋体"/>
                <w:color w:val="000000"/>
              </w:rPr>
            </w:pPr>
          </w:p>
        </w:tc>
        <w:tc>
          <w:tcPr>
            <w:tcW w:w="1625" w:type="dxa"/>
            <w:vAlign w:val="center"/>
          </w:tcPr>
          <w:p>
            <w:pPr>
              <w:ind w:firstLine="0" w:firstLineChars="0"/>
              <w:jc w:val="center"/>
              <w:rPr>
                <w:rFonts w:ascii="宋体" w:hAnsi="宋体" w:cs="宋体"/>
                <w:color w:val="000000"/>
              </w:rPr>
            </w:pPr>
          </w:p>
        </w:tc>
        <w:tc>
          <w:tcPr>
            <w:tcW w:w="4131" w:type="dxa"/>
            <w:gridSpan w:val="4"/>
            <w:vAlign w:val="center"/>
          </w:tcPr>
          <w:p>
            <w:pPr>
              <w:ind w:firstLine="0" w:firstLineChars="0"/>
              <w:jc w:val="center"/>
              <w:rPr>
                <w:rFonts w:ascii="宋体" w:hAnsi="宋体" w:cs="宋体"/>
                <w:color w:val="000000"/>
              </w:rPr>
            </w:pPr>
          </w:p>
        </w:tc>
        <w:tc>
          <w:tcPr>
            <w:tcW w:w="1870" w:type="dxa"/>
            <w:vAlign w:val="center"/>
          </w:tcPr>
          <w:p>
            <w:pPr>
              <w:ind w:firstLine="0" w:firstLineChars="0"/>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68" w:type="dxa"/>
            <w:gridSpan w:val="2"/>
            <w:vAlign w:val="center"/>
          </w:tcPr>
          <w:p>
            <w:pPr>
              <w:ind w:firstLine="0" w:firstLineChars="0"/>
              <w:rPr>
                <w:rFonts w:ascii="宋体" w:hAnsi="宋体" w:cs="宋体"/>
                <w:color w:val="000000"/>
              </w:rPr>
            </w:pPr>
          </w:p>
        </w:tc>
        <w:tc>
          <w:tcPr>
            <w:tcW w:w="1625" w:type="dxa"/>
            <w:vAlign w:val="center"/>
          </w:tcPr>
          <w:p>
            <w:pPr>
              <w:ind w:firstLine="0" w:firstLineChars="0"/>
              <w:jc w:val="center"/>
              <w:rPr>
                <w:rFonts w:ascii="宋体" w:hAnsi="宋体" w:cs="宋体"/>
                <w:color w:val="000000"/>
              </w:rPr>
            </w:pPr>
          </w:p>
        </w:tc>
        <w:tc>
          <w:tcPr>
            <w:tcW w:w="4131" w:type="dxa"/>
            <w:gridSpan w:val="4"/>
            <w:vAlign w:val="center"/>
          </w:tcPr>
          <w:p>
            <w:pPr>
              <w:ind w:firstLine="0" w:firstLineChars="0"/>
              <w:jc w:val="center"/>
              <w:rPr>
                <w:rFonts w:ascii="宋体" w:hAnsi="宋体" w:cs="宋体"/>
                <w:color w:val="000000"/>
              </w:rPr>
            </w:pPr>
          </w:p>
        </w:tc>
        <w:tc>
          <w:tcPr>
            <w:tcW w:w="1870" w:type="dxa"/>
            <w:vAlign w:val="center"/>
          </w:tcPr>
          <w:p>
            <w:pPr>
              <w:ind w:firstLine="0" w:firstLineChars="0"/>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68" w:type="dxa"/>
            <w:gridSpan w:val="2"/>
            <w:vAlign w:val="center"/>
          </w:tcPr>
          <w:p>
            <w:pPr>
              <w:tabs>
                <w:tab w:val="left" w:pos="360"/>
                <w:tab w:val="left" w:pos="1800"/>
              </w:tabs>
              <w:spacing w:line="380" w:lineRule="exact"/>
              <w:ind w:firstLine="480"/>
              <w:rPr>
                <w:rFonts w:ascii="宋体" w:hAnsi="宋体" w:cs="宋体"/>
              </w:rPr>
            </w:pPr>
          </w:p>
        </w:tc>
        <w:tc>
          <w:tcPr>
            <w:tcW w:w="1625" w:type="dxa"/>
            <w:vAlign w:val="center"/>
          </w:tcPr>
          <w:p>
            <w:pPr>
              <w:tabs>
                <w:tab w:val="left" w:pos="360"/>
                <w:tab w:val="left" w:pos="1800"/>
              </w:tabs>
              <w:spacing w:line="380" w:lineRule="exact"/>
              <w:ind w:firstLine="480"/>
              <w:jc w:val="center"/>
              <w:rPr>
                <w:rFonts w:ascii="宋体" w:hAnsi="宋体" w:cs="宋体"/>
              </w:rPr>
            </w:pPr>
          </w:p>
        </w:tc>
        <w:tc>
          <w:tcPr>
            <w:tcW w:w="4131" w:type="dxa"/>
            <w:gridSpan w:val="4"/>
            <w:vAlign w:val="center"/>
          </w:tcPr>
          <w:p>
            <w:pPr>
              <w:tabs>
                <w:tab w:val="left" w:pos="360"/>
                <w:tab w:val="left" w:pos="1800"/>
              </w:tabs>
              <w:spacing w:line="380" w:lineRule="exact"/>
              <w:ind w:firstLine="480"/>
              <w:jc w:val="center"/>
              <w:rPr>
                <w:rFonts w:ascii="宋体" w:hAnsi="宋体" w:cs="宋体"/>
              </w:rPr>
            </w:pPr>
          </w:p>
        </w:tc>
        <w:tc>
          <w:tcPr>
            <w:tcW w:w="1870" w:type="dxa"/>
            <w:vAlign w:val="center"/>
          </w:tcPr>
          <w:p>
            <w:pPr>
              <w:tabs>
                <w:tab w:val="left" w:pos="360"/>
                <w:tab w:val="left" w:pos="1800"/>
              </w:tabs>
              <w:spacing w:line="380" w:lineRule="exact"/>
              <w:ind w:firstLine="48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68" w:type="dxa"/>
            <w:gridSpan w:val="2"/>
            <w:vAlign w:val="center"/>
          </w:tcPr>
          <w:p>
            <w:pPr>
              <w:tabs>
                <w:tab w:val="left" w:pos="360"/>
                <w:tab w:val="left" w:pos="1800"/>
              </w:tabs>
              <w:spacing w:line="380" w:lineRule="exact"/>
              <w:ind w:firstLine="480"/>
              <w:rPr>
                <w:rFonts w:ascii="宋体" w:hAnsi="宋体" w:cs="宋体"/>
              </w:rPr>
            </w:pPr>
          </w:p>
        </w:tc>
        <w:tc>
          <w:tcPr>
            <w:tcW w:w="1625" w:type="dxa"/>
            <w:vAlign w:val="center"/>
          </w:tcPr>
          <w:p>
            <w:pPr>
              <w:tabs>
                <w:tab w:val="left" w:pos="360"/>
                <w:tab w:val="left" w:pos="1800"/>
              </w:tabs>
              <w:spacing w:line="380" w:lineRule="exact"/>
              <w:ind w:firstLine="480"/>
              <w:jc w:val="center"/>
              <w:rPr>
                <w:rFonts w:ascii="宋体" w:hAnsi="宋体" w:cs="宋体"/>
              </w:rPr>
            </w:pPr>
          </w:p>
        </w:tc>
        <w:tc>
          <w:tcPr>
            <w:tcW w:w="4131" w:type="dxa"/>
            <w:gridSpan w:val="4"/>
            <w:vAlign w:val="center"/>
          </w:tcPr>
          <w:p>
            <w:pPr>
              <w:tabs>
                <w:tab w:val="left" w:pos="360"/>
                <w:tab w:val="left" w:pos="1800"/>
              </w:tabs>
              <w:spacing w:line="380" w:lineRule="exact"/>
              <w:ind w:firstLine="480"/>
              <w:jc w:val="center"/>
              <w:rPr>
                <w:rFonts w:ascii="宋体" w:hAnsi="宋体" w:cs="宋体"/>
              </w:rPr>
            </w:pPr>
          </w:p>
        </w:tc>
        <w:tc>
          <w:tcPr>
            <w:tcW w:w="1870" w:type="dxa"/>
            <w:vAlign w:val="center"/>
          </w:tcPr>
          <w:p>
            <w:pPr>
              <w:tabs>
                <w:tab w:val="left" w:pos="360"/>
                <w:tab w:val="left" w:pos="1800"/>
              </w:tabs>
              <w:spacing w:line="380" w:lineRule="exact"/>
              <w:ind w:firstLine="480"/>
              <w:jc w:val="center"/>
              <w:rPr>
                <w:rFonts w:ascii="宋体" w:hAnsi="宋体" w:cs="宋体"/>
              </w:rPr>
            </w:pPr>
          </w:p>
        </w:tc>
      </w:tr>
    </w:tbl>
    <w:p>
      <w:pPr>
        <w:snapToGrid w:val="0"/>
        <w:spacing w:before="100" w:beforeAutospacing="1" w:after="100" w:afterAutospacing="1" w:line="360" w:lineRule="exact"/>
        <w:ind w:firstLine="480"/>
        <w:jc w:val="left"/>
        <w:rPr>
          <w:rFonts w:ascii="宋体" w:hAnsi="宋体" w:cs="宋体"/>
          <w:bCs/>
          <w:spacing w:val="20"/>
          <w:szCs w:val="24"/>
        </w:rPr>
      </w:pPr>
      <w:r>
        <w:rPr>
          <w:rFonts w:hint="eastAsia" w:ascii="宋体" w:hAnsi="宋体" w:cs="宋体"/>
          <w:color w:val="000000"/>
          <w:szCs w:val="24"/>
        </w:rPr>
        <w:t>注：各投标人必须如实填写此表格，并提供项目副经理的相关证书、</w:t>
      </w:r>
      <w:r>
        <w:rPr>
          <w:rFonts w:hint="eastAsia" w:ascii="宋体" w:hAnsi="宋体" w:cs="宋体"/>
          <w:szCs w:val="21"/>
        </w:rPr>
        <w:t>近半年内任意一个月在投标单位的社保证明扫描件并CA签章</w:t>
      </w:r>
      <w:r>
        <w:rPr>
          <w:rFonts w:hint="eastAsia" w:ascii="宋体" w:hAnsi="宋体" w:cs="宋体"/>
          <w:color w:val="000000"/>
          <w:szCs w:val="24"/>
        </w:rPr>
        <w:t>。</w:t>
      </w:r>
    </w:p>
    <w:p>
      <w:pPr>
        <w:tabs>
          <w:tab w:val="left" w:pos="1418"/>
        </w:tabs>
        <w:rPr>
          <w:rFonts w:ascii="宋体" w:hAnsi="宋体" w:cs="宋体"/>
          <w:sz w:val="10"/>
          <w:szCs w:val="10"/>
        </w:rPr>
      </w:pPr>
    </w:p>
    <w:p>
      <w:pPr>
        <w:spacing w:line="300" w:lineRule="auto"/>
        <w:ind w:firstLine="3600" w:firstLineChars="1500"/>
        <w:rPr>
          <w:rFonts w:ascii="宋体" w:hAnsi="宋体" w:cs="宋体"/>
          <w:color w:val="000000"/>
          <w:szCs w:val="24"/>
        </w:rPr>
      </w:pPr>
      <w:r>
        <w:rPr>
          <w:rFonts w:hint="eastAsia" w:ascii="宋体" w:hAnsi="宋体" w:cs="宋体"/>
          <w:color w:val="000000"/>
          <w:szCs w:val="24"/>
        </w:rPr>
        <w:t>法定代表人或授权代表</w:t>
      </w:r>
      <w:r>
        <w:rPr>
          <w:rFonts w:hint="eastAsia" w:ascii="宋体" w:hAnsi="宋体" w:cs="宋体"/>
          <w:color w:val="000000"/>
          <w:spacing w:val="20"/>
          <w:szCs w:val="24"/>
        </w:rPr>
        <w:t>签字</w:t>
      </w:r>
      <w:r>
        <w:rPr>
          <w:rFonts w:hint="eastAsia" w:ascii="宋体" w:hAnsi="宋体" w:cs="宋体"/>
          <w:color w:val="000000"/>
          <w:szCs w:val="24"/>
        </w:rPr>
        <w:t>（或盖章）</w:t>
      </w:r>
      <w:r>
        <w:rPr>
          <w:rFonts w:hint="eastAsia" w:ascii="宋体" w:hAnsi="宋体" w:cs="宋体"/>
          <w:color w:val="000000"/>
          <w:spacing w:val="20"/>
          <w:szCs w:val="24"/>
        </w:rPr>
        <w:t>：</w:t>
      </w:r>
      <w:r>
        <w:rPr>
          <w:rFonts w:hint="eastAsia" w:ascii="宋体" w:hAnsi="宋体" w:cs="宋体"/>
          <w:color w:val="000000"/>
          <w:szCs w:val="24"/>
        </w:rPr>
        <w:t>___________</w:t>
      </w:r>
      <w:r>
        <w:rPr>
          <w:rFonts w:hint="eastAsia" w:ascii="宋体" w:hAnsi="宋体" w:cs="宋体"/>
          <w:color w:val="000000"/>
          <w:spacing w:val="20"/>
          <w:szCs w:val="24"/>
          <w:u w:val="single"/>
        </w:rPr>
        <w:t xml:space="preserve">      </w:t>
      </w:r>
      <w:r>
        <w:rPr>
          <w:rFonts w:hint="eastAsia" w:ascii="宋体" w:hAnsi="宋体" w:cs="宋体"/>
          <w:color w:val="000000"/>
          <w:u w:val="single"/>
        </w:rPr>
        <w:t xml:space="preserve"> </w:t>
      </w:r>
    </w:p>
    <w:p>
      <w:pPr>
        <w:spacing w:line="300" w:lineRule="auto"/>
        <w:ind w:firstLine="5280" w:firstLineChars="2200"/>
        <w:rPr>
          <w:rFonts w:ascii="宋体" w:hAnsi="宋体" w:cs="宋体"/>
          <w:color w:val="000000"/>
          <w:szCs w:val="24"/>
        </w:rPr>
      </w:pPr>
      <w:r>
        <w:rPr>
          <w:rFonts w:hint="eastAsia" w:ascii="宋体" w:hAnsi="宋体" w:cs="宋体"/>
          <w:color w:val="000000"/>
          <w:szCs w:val="24"/>
        </w:rPr>
        <w:t>投标人（盖章）：__________________</w:t>
      </w:r>
    </w:p>
    <w:p>
      <w:pPr>
        <w:widowControl/>
        <w:spacing w:line="240" w:lineRule="auto"/>
        <w:ind w:firstLine="0" w:firstLineChars="0"/>
        <w:jc w:val="left"/>
        <w:rPr>
          <w:rFonts w:ascii="宋体" w:hAnsi="宋体" w:cs="宋体"/>
          <w:color w:val="000000"/>
          <w:szCs w:val="24"/>
        </w:rPr>
      </w:pPr>
      <w:r>
        <w:rPr>
          <w:rFonts w:hint="eastAsia" w:ascii="宋体" w:hAnsi="宋体" w:cs="宋体"/>
          <w:color w:val="000000"/>
          <w:szCs w:val="24"/>
        </w:rPr>
        <w:t xml:space="preserve">                                        </w:t>
      </w:r>
      <w:r>
        <w:rPr>
          <w:rFonts w:ascii="宋体" w:hAnsi="宋体" w:cs="宋体"/>
          <w:color w:val="000000"/>
          <w:szCs w:val="24"/>
        </w:rPr>
        <w:t xml:space="preserve">    </w:t>
      </w:r>
      <w:r>
        <w:rPr>
          <w:rFonts w:hint="eastAsia" w:ascii="宋体" w:hAnsi="宋体" w:cs="宋体"/>
          <w:color w:val="000000"/>
          <w:szCs w:val="24"/>
        </w:rPr>
        <w:t>日    期：_____年____月____日</w:t>
      </w:r>
    </w:p>
    <w:p>
      <w:pPr>
        <w:pStyle w:val="35"/>
        <w:ind w:firstLine="643"/>
      </w:pPr>
      <w:r>
        <w:br w:type="page"/>
      </w:r>
    </w:p>
    <w:p>
      <w:pPr>
        <w:widowControl/>
        <w:spacing w:line="240" w:lineRule="auto"/>
        <w:ind w:firstLine="0" w:firstLineChars="0"/>
        <w:jc w:val="left"/>
        <w:rPr>
          <w:rFonts w:ascii="宋体" w:hAnsi="宋体" w:cs="宋体"/>
          <w:b/>
          <w:sz w:val="32"/>
          <w:szCs w:val="32"/>
        </w:rPr>
      </w:pPr>
    </w:p>
    <w:p>
      <w:pPr>
        <w:ind w:firstLine="643"/>
        <w:jc w:val="center"/>
        <w:rPr>
          <w:rFonts w:ascii="宋体" w:hAnsi="宋体" w:cs="宋体"/>
          <w:b/>
          <w:sz w:val="32"/>
          <w:szCs w:val="32"/>
        </w:rPr>
      </w:pPr>
      <w:r>
        <w:rPr>
          <w:rFonts w:hint="eastAsia" w:ascii="宋体" w:hAnsi="宋体" w:cs="宋体"/>
          <w:b/>
          <w:sz w:val="32"/>
          <w:szCs w:val="32"/>
        </w:rPr>
        <w:t>十三、项目其他实施人员一览表格式</w:t>
      </w:r>
    </w:p>
    <w:p>
      <w:pPr>
        <w:ind w:firstLine="643"/>
        <w:jc w:val="center"/>
        <w:rPr>
          <w:rFonts w:ascii="宋体" w:hAnsi="宋体" w:cs="宋体"/>
          <w:b/>
          <w:sz w:val="32"/>
          <w:szCs w:val="32"/>
        </w:rPr>
      </w:pPr>
      <w:r>
        <w:rPr>
          <w:rFonts w:hint="eastAsia" w:ascii="宋体" w:hAnsi="宋体" w:cs="宋体"/>
          <w:b/>
          <w:sz w:val="32"/>
          <w:szCs w:val="32"/>
        </w:rPr>
        <w:t>项目其他实施人员一览表</w:t>
      </w:r>
    </w:p>
    <w:tbl>
      <w:tblPr>
        <w:tblStyle w:val="36"/>
        <w:tblW w:w="9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759"/>
        <w:gridCol w:w="758"/>
        <w:gridCol w:w="2587"/>
        <w:gridCol w:w="885"/>
        <w:gridCol w:w="1905"/>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704" w:type="dxa"/>
            <w:vAlign w:val="center"/>
          </w:tcPr>
          <w:p>
            <w:pPr>
              <w:ind w:firstLine="0" w:firstLineChars="0"/>
              <w:jc w:val="center"/>
              <w:rPr>
                <w:rFonts w:ascii="宋体" w:hAnsi="宋体" w:cs="宋体"/>
                <w:szCs w:val="24"/>
              </w:rPr>
            </w:pPr>
            <w:r>
              <w:rPr>
                <w:rFonts w:hint="eastAsia" w:ascii="宋体" w:hAnsi="宋体" w:cs="宋体"/>
                <w:szCs w:val="24"/>
              </w:rPr>
              <w:t>序号</w:t>
            </w:r>
          </w:p>
        </w:tc>
        <w:tc>
          <w:tcPr>
            <w:tcW w:w="759" w:type="dxa"/>
            <w:vAlign w:val="center"/>
          </w:tcPr>
          <w:p>
            <w:pPr>
              <w:ind w:firstLine="0" w:firstLineChars="0"/>
              <w:jc w:val="center"/>
              <w:rPr>
                <w:rFonts w:ascii="宋体" w:hAnsi="宋体" w:cs="宋体"/>
                <w:szCs w:val="24"/>
              </w:rPr>
            </w:pPr>
            <w:r>
              <w:rPr>
                <w:rFonts w:hint="eastAsia" w:ascii="宋体" w:hAnsi="宋体" w:cs="宋体"/>
                <w:szCs w:val="24"/>
              </w:rPr>
              <w:t>姓名</w:t>
            </w:r>
          </w:p>
        </w:tc>
        <w:tc>
          <w:tcPr>
            <w:tcW w:w="758" w:type="dxa"/>
            <w:vAlign w:val="center"/>
          </w:tcPr>
          <w:p>
            <w:pPr>
              <w:ind w:firstLine="0" w:firstLineChars="0"/>
              <w:jc w:val="center"/>
              <w:rPr>
                <w:rFonts w:ascii="宋体" w:hAnsi="宋体" w:cs="宋体"/>
                <w:szCs w:val="24"/>
              </w:rPr>
            </w:pPr>
            <w:r>
              <w:rPr>
                <w:rFonts w:hint="eastAsia" w:ascii="宋体" w:hAnsi="宋体" w:cs="宋体"/>
                <w:szCs w:val="24"/>
              </w:rPr>
              <w:t>职位</w:t>
            </w:r>
          </w:p>
        </w:tc>
        <w:tc>
          <w:tcPr>
            <w:tcW w:w="2587" w:type="dxa"/>
            <w:vAlign w:val="center"/>
          </w:tcPr>
          <w:p>
            <w:pPr>
              <w:ind w:firstLine="0" w:firstLineChars="0"/>
              <w:jc w:val="center"/>
              <w:rPr>
                <w:rFonts w:ascii="宋体" w:hAnsi="宋体" w:cs="宋体"/>
                <w:szCs w:val="24"/>
              </w:rPr>
            </w:pPr>
            <w:r>
              <w:rPr>
                <w:rFonts w:hint="eastAsia" w:ascii="宋体" w:hAnsi="宋体" w:cs="宋体"/>
                <w:szCs w:val="24"/>
              </w:rPr>
              <w:t>学历、职称、资格证书</w:t>
            </w:r>
          </w:p>
        </w:tc>
        <w:tc>
          <w:tcPr>
            <w:tcW w:w="885" w:type="dxa"/>
            <w:vAlign w:val="center"/>
          </w:tcPr>
          <w:p>
            <w:pPr>
              <w:ind w:firstLine="0" w:firstLineChars="0"/>
              <w:jc w:val="center"/>
              <w:rPr>
                <w:rFonts w:ascii="宋体" w:hAnsi="宋体" w:cs="宋体"/>
                <w:szCs w:val="24"/>
              </w:rPr>
            </w:pPr>
            <w:r>
              <w:rPr>
                <w:rFonts w:hint="eastAsia" w:ascii="宋体" w:hAnsi="宋体" w:cs="宋体"/>
                <w:szCs w:val="24"/>
              </w:rPr>
              <w:t>专业</w:t>
            </w:r>
          </w:p>
        </w:tc>
        <w:tc>
          <w:tcPr>
            <w:tcW w:w="1905" w:type="dxa"/>
            <w:vAlign w:val="center"/>
          </w:tcPr>
          <w:p>
            <w:pPr>
              <w:ind w:firstLine="0" w:firstLineChars="0"/>
              <w:jc w:val="center"/>
              <w:rPr>
                <w:rFonts w:ascii="宋体" w:hAnsi="宋体" w:cs="宋体"/>
                <w:szCs w:val="24"/>
              </w:rPr>
            </w:pPr>
            <w:r>
              <w:rPr>
                <w:rFonts w:hint="eastAsia" w:ascii="宋体" w:hAnsi="宋体" w:cs="宋体"/>
                <w:szCs w:val="24"/>
              </w:rPr>
              <w:t>从事本工作时间</w:t>
            </w:r>
          </w:p>
        </w:tc>
        <w:tc>
          <w:tcPr>
            <w:tcW w:w="1420" w:type="dxa"/>
          </w:tcPr>
          <w:p>
            <w:pPr>
              <w:ind w:firstLine="0" w:firstLineChars="0"/>
              <w:jc w:val="center"/>
              <w:rPr>
                <w:rFonts w:ascii="宋体" w:hAnsi="宋体" w:cs="宋体"/>
                <w:szCs w:val="24"/>
              </w:rPr>
            </w:pPr>
            <w:r>
              <w:rPr>
                <w:rFonts w:hint="eastAsia" w:ascii="宋体" w:hAnsi="宋体" w:cs="宋体"/>
                <w:bCs/>
                <w:szCs w:val="24"/>
              </w:rPr>
              <w:t>在本项目中担任的工作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704" w:type="dxa"/>
          </w:tcPr>
          <w:p>
            <w:pPr>
              <w:adjustRightInd w:val="0"/>
              <w:spacing w:before="120" w:beforeLines="50"/>
              <w:ind w:firstLine="480"/>
              <w:jc w:val="center"/>
              <w:textAlignment w:val="baseline"/>
              <w:rPr>
                <w:rFonts w:ascii="宋体" w:hAnsi="宋体" w:cs="宋体"/>
                <w:szCs w:val="24"/>
              </w:rPr>
            </w:pPr>
          </w:p>
        </w:tc>
        <w:tc>
          <w:tcPr>
            <w:tcW w:w="759" w:type="dxa"/>
          </w:tcPr>
          <w:p>
            <w:pPr>
              <w:adjustRightInd w:val="0"/>
              <w:spacing w:before="120" w:beforeLines="50"/>
              <w:ind w:firstLine="480"/>
              <w:textAlignment w:val="baseline"/>
              <w:rPr>
                <w:rFonts w:ascii="宋体" w:hAnsi="宋体" w:cs="宋体"/>
                <w:szCs w:val="24"/>
              </w:rPr>
            </w:pPr>
          </w:p>
        </w:tc>
        <w:tc>
          <w:tcPr>
            <w:tcW w:w="758" w:type="dxa"/>
          </w:tcPr>
          <w:p>
            <w:pPr>
              <w:adjustRightInd w:val="0"/>
              <w:spacing w:before="120" w:beforeLines="50"/>
              <w:ind w:firstLine="480"/>
              <w:textAlignment w:val="baseline"/>
              <w:rPr>
                <w:rFonts w:ascii="宋体" w:hAnsi="宋体" w:cs="宋体"/>
                <w:szCs w:val="24"/>
              </w:rPr>
            </w:pPr>
          </w:p>
        </w:tc>
        <w:tc>
          <w:tcPr>
            <w:tcW w:w="2587" w:type="dxa"/>
          </w:tcPr>
          <w:p>
            <w:pPr>
              <w:adjustRightInd w:val="0"/>
              <w:spacing w:before="120" w:beforeLines="50"/>
              <w:ind w:firstLine="480"/>
              <w:textAlignment w:val="baseline"/>
              <w:rPr>
                <w:rFonts w:ascii="宋体" w:hAnsi="宋体" w:cs="宋体"/>
                <w:szCs w:val="24"/>
              </w:rPr>
            </w:pPr>
          </w:p>
        </w:tc>
        <w:tc>
          <w:tcPr>
            <w:tcW w:w="885" w:type="dxa"/>
          </w:tcPr>
          <w:p>
            <w:pPr>
              <w:adjustRightInd w:val="0"/>
              <w:spacing w:before="120" w:beforeLines="50"/>
              <w:ind w:firstLine="480"/>
              <w:textAlignment w:val="baseline"/>
              <w:rPr>
                <w:rFonts w:ascii="宋体" w:hAnsi="宋体" w:cs="宋体"/>
                <w:szCs w:val="24"/>
              </w:rPr>
            </w:pPr>
          </w:p>
        </w:tc>
        <w:tc>
          <w:tcPr>
            <w:tcW w:w="1905" w:type="dxa"/>
          </w:tcPr>
          <w:p>
            <w:pPr>
              <w:adjustRightInd w:val="0"/>
              <w:spacing w:before="120" w:beforeLines="50"/>
              <w:ind w:firstLine="480"/>
              <w:textAlignment w:val="baseline"/>
              <w:rPr>
                <w:rFonts w:ascii="宋体" w:hAnsi="宋体" w:cs="宋体"/>
                <w:szCs w:val="24"/>
              </w:rPr>
            </w:pPr>
          </w:p>
        </w:tc>
        <w:tc>
          <w:tcPr>
            <w:tcW w:w="1420" w:type="dxa"/>
          </w:tcPr>
          <w:p>
            <w:pPr>
              <w:adjustRightInd w:val="0"/>
              <w:spacing w:before="120" w:beforeLines="50"/>
              <w:ind w:firstLine="480"/>
              <w:textAlignment w:val="baseline"/>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704" w:type="dxa"/>
          </w:tcPr>
          <w:p>
            <w:pPr>
              <w:adjustRightInd w:val="0"/>
              <w:spacing w:before="120" w:beforeLines="50"/>
              <w:ind w:firstLine="480"/>
              <w:textAlignment w:val="baseline"/>
              <w:rPr>
                <w:rFonts w:ascii="宋体" w:hAnsi="宋体" w:cs="宋体"/>
                <w:szCs w:val="24"/>
              </w:rPr>
            </w:pPr>
          </w:p>
        </w:tc>
        <w:tc>
          <w:tcPr>
            <w:tcW w:w="759" w:type="dxa"/>
          </w:tcPr>
          <w:p>
            <w:pPr>
              <w:adjustRightInd w:val="0"/>
              <w:spacing w:before="120" w:beforeLines="50"/>
              <w:ind w:firstLine="480"/>
              <w:textAlignment w:val="baseline"/>
              <w:rPr>
                <w:rFonts w:ascii="宋体" w:hAnsi="宋体" w:cs="宋体"/>
                <w:szCs w:val="24"/>
              </w:rPr>
            </w:pPr>
          </w:p>
        </w:tc>
        <w:tc>
          <w:tcPr>
            <w:tcW w:w="758" w:type="dxa"/>
          </w:tcPr>
          <w:p>
            <w:pPr>
              <w:adjustRightInd w:val="0"/>
              <w:spacing w:before="120" w:beforeLines="50"/>
              <w:ind w:firstLine="480"/>
              <w:textAlignment w:val="baseline"/>
              <w:rPr>
                <w:rFonts w:ascii="宋体" w:hAnsi="宋体" w:cs="宋体"/>
                <w:szCs w:val="24"/>
              </w:rPr>
            </w:pPr>
          </w:p>
        </w:tc>
        <w:tc>
          <w:tcPr>
            <w:tcW w:w="2587" w:type="dxa"/>
          </w:tcPr>
          <w:p>
            <w:pPr>
              <w:adjustRightInd w:val="0"/>
              <w:spacing w:before="120" w:beforeLines="50"/>
              <w:ind w:firstLine="480"/>
              <w:textAlignment w:val="baseline"/>
              <w:rPr>
                <w:rFonts w:ascii="宋体" w:hAnsi="宋体" w:cs="宋体"/>
                <w:szCs w:val="24"/>
              </w:rPr>
            </w:pPr>
          </w:p>
        </w:tc>
        <w:tc>
          <w:tcPr>
            <w:tcW w:w="885" w:type="dxa"/>
          </w:tcPr>
          <w:p>
            <w:pPr>
              <w:adjustRightInd w:val="0"/>
              <w:spacing w:before="120" w:beforeLines="50"/>
              <w:ind w:firstLine="480"/>
              <w:textAlignment w:val="baseline"/>
              <w:rPr>
                <w:rFonts w:ascii="宋体" w:hAnsi="宋体" w:cs="宋体"/>
                <w:szCs w:val="24"/>
              </w:rPr>
            </w:pPr>
          </w:p>
        </w:tc>
        <w:tc>
          <w:tcPr>
            <w:tcW w:w="1905" w:type="dxa"/>
          </w:tcPr>
          <w:p>
            <w:pPr>
              <w:adjustRightInd w:val="0"/>
              <w:spacing w:before="120" w:beforeLines="50"/>
              <w:ind w:firstLine="480"/>
              <w:textAlignment w:val="baseline"/>
              <w:rPr>
                <w:rFonts w:ascii="宋体" w:hAnsi="宋体" w:cs="宋体"/>
                <w:szCs w:val="24"/>
              </w:rPr>
            </w:pPr>
          </w:p>
        </w:tc>
        <w:tc>
          <w:tcPr>
            <w:tcW w:w="1420" w:type="dxa"/>
          </w:tcPr>
          <w:p>
            <w:pPr>
              <w:adjustRightInd w:val="0"/>
              <w:spacing w:before="120" w:beforeLines="50"/>
              <w:ind w:firstLine="480"/>
              <w:textAlignment w:val="baseline"/>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704" w:type="dxa"/>
          </w:tcPr>
          <w:p>
            <w:pPr>
              <w:adjustRightInd w:val="0"/>
              <w:spacing w:before="120" w:beforeLines="50"/>
              <w:ind w:firstLine="480"/>
              <w:textAlignment w:val="baseline"/>
              <w:rPr>
                <w:rFonts w:ascii="宋体" w:hAnsi="宋体" w:cs="宋体"/>
                <w:szCs w:val="24"/>
              </w:rPr>
            </w:pPr>
          </w:p>
        </w:tc>
        <w:tc>
          <w:tcPr>
            <w:tcW w:w="759" w:type="dxa"/>
          </w:tcPr>
          <w:p>
            <w:pPr>
              <w:adjustRightInd w:val="0"/>
              <w:spacing w:before="120" w:beforeLines="50"/>
              <w:ind w:firstLine="480"/>
              <w:textAlignment w:val="baseline"/>
              <w:rPr>
                <w:rFonts w:ascii="宋体" w:hAnsi="宋体" w:cs="宋体"/>
                <w:szCs w:val="24"/>
              </w:rPr>
            </w:pPr>
          </w:p>
        </w:tc>
        <w:tc>
          <w:tcPr>
            <w:tcW w:w="758" w:type="dxa"/>
          </w:tcPr>
          <w:p>
            <w:pPr>
              <w:adjustRightInd w:val="0"/>
              <w:spacing w:before="120" w:beforeLines="50"/>
              <w:ind w:firstLine="480"/>
              <w:textAlignment w:val="baseline"/>
              <w:rPr>
                <w:rFonts w:ascii="宋体" w:hAnsi="宋体" w:cs="宋体"/>
                <w:szCs w:val="24"/>
              </w:rPr>
            </w:pPr>
          </w:p>
        </w:tc>
        <w:tc>
          <w:tcPr>
            <w:tcW w:w="2587" w:type="dxa"/>
          </w:tcPr>
          <w:p>
            <w:pPr>
              <w:pStyle w:val="19"/>
              <w:adjustRightInd w:val="0"/>
              <w:spacing w:before="120" w:beforeLines="50"/>
              <w:ind w:left="5250" w:leftChars="0" w:firstLine="480"/>
              <w:textAlignment w:val="baseline"/>
              <w:rPr>
                <w:rFonts w:ascii="宋体" w:hAnsi="宋体" w:cs="宋体"/>
                <w:kern w:val="2"/>
              </w:rPr>
            </w:pPr>
          </w:p>
        </w:tc>
        <w:tc>
          <w:tcPr>
            <w:tcW w:w="885" w:type="dxa"/>
          </w:tcPr>
          <w:p>
            <w:pPr>
              <w:adjustRightInd w:val="0"/>
              <w:spacing w:before="120" w:beforeLines="50"/>
              <w:ind w:firstLine="480"/>
              <w:textAlignment w:val="baseline"/>
              <w:rPr>
                <w:rFonts w:ascii="宋体" w:hAnsi="宋体" w:cs="宋体"/>
                <w:szCs w:val="24"/>
              </w:rPr>
            </w:pPr>
          </w:p>
        </w:tc>
        <w:tc>
          <w:tcPr>
            <w:tcW w:w="1905" w:type="dxa"/>
          </w:tcPr>
          <w:p>
            <w:pPr>
              <w:adjustRightInd w:val="0"/>
              <w:spacing w:before="120" w:beforeLines="50"/>
              <w:ind w:firstLine="480"/>
              <w:textAlignment w:val="baseline"/>
              <w:rPr>
                <w:rFonts w:ascii="宋体" w:hAnsi="宋体" w:cs="宋体"/>
                <w:szCs w:val="24"/>
              </w:rPr>
            </w:pPr>
          </w:p>
        </w:tc>
        <w:tc>
          <w:tcPr>
            <w:tcW w:w="1420" w:type="dxa"/>
          </w:tcPr>
          <w:p>
            <w:pPr>
              <w:adjustRightInd w:val="0"/>
              <w:spacing w:before="120" w:beforeLines="50"/>
              <w:ind w:firstLine="480"/>
              <w:textAlignment w:val="baseline"/>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704" w:type="dxa"/>
          </w:tcPr>
          <w:p>
            <w:pPr>
              <w:adjustRightInd w:val="0"/>
              <w:spacing w:before="120" w:beforeLines="50"/>
              <w:ind w:firstLine="480"/>
              <w:textAlignment w:val="baseline"/>
              <w:rPr>
                <w:rFonts w:ascii="宋体" w:hAnsi="宋体" w:cs="宋体"/>
                <w:szCs w:val="24"/>
              </w:rPr>
            </w:pPr>
          </w:p>
        </w:tc>
        <w:tc>
          <w:tcPr>
            <w:tcW w:w="759" w:type="dxa"/>
          </w:tcPr>
          <w:p>
            <w:pPr>
              <w:adjustRightInd w:val="0"/>
              <w:spacing w:before="120" w:beforeLines="50"/>
              <w:ind w:firstLine="480"/>
              <w:textAlignment w:val="baseline"/>
              <w:rPr>
                <w:rFonts w:ascii="宋体" w:hAnsi="宋体" w:cs="宋体"/>
                <w:szCs w:val="24"/>
              </w:rPr>
            </w:pPr>
          </w:p>
        </w:tc>
        <w:tc>
          <w:tcPr>
            <w:tcW w:w="758" w:type="dxa"/>
          </w:tcPr>
          <w:p>
            <w:pPr>
              <w:adjustRightInd w:val="0"/>
              <w:spacing w:before="120" w:beforeLines="50"/>
              <w:ind w:firstLine="480"/>
              <w:textAlignment w:val="baseline"/>
              <w:rPr>
                <w:rFonts w:ascii="宋体" w:hAnsi="宋体" w:cs="宋体"/>
                <w:szCs w:val="24"/>
              </w:rPr>
            </w:pPr>
          </w:p>
        </w:tc>
        <w:tc>
          <w:tcPr>
            <w:tcW w:w="2587" w:type="dxa"/>
          </w:tcPr>
          <w:p>
            <w:pPr>
              <w:adjustRightInd w:val="0"/>
              <w:spacing w:before="120" w:beforeLines="50"/>
              <w:ind w:firstLine="480"/>
              <w:textAlignment w:val="baseline"/>
              <w:rPr>
                <w:rFonts w:ascii="宋体" w:hAnsi="宋体" w:cs="宋体"/>
                <w:szCs w:val="24"/>
              </w:rPr>
            </w:pPr>
          </w:p>
        </w:tc>
        <w:tc>
          <w:tcPr>
            <w:tcW w:w="885" w:type="dxa"/>
          </w:tcPr>
          <w:p>
            <w:pPr>
              <w:adjustRightInd w:val="0"/>
              <w:spacing w:before="120" w:beforeLines="50"/>
              <w:ind w:firstLine="480"/>
              <w:textAlignment w:val="baseline"/>
              <w:rPr>
                <w:rFonts w:ascii="宋体" w:hAnsi="宋体" w:cs="宋体"/>
                <w:szCs w:val="24"/>
              </w:rPr>
            </w:pPr>
          </w:p>
        </w:tc>
        <w:tc>
          <w:tcPr>
            <w:tcW w:w="1905" w:type="dxa"/>
          </w:tcPr>
          <w:p>
            <w:pPr>
              <w:adjustRightInd w:val="0"/>
              <w:spacing w:before="120" w:beforeLines="50"/>
              <w:ind w:firstLine="480"/>
              <w:textAlignment w:val="baseline"/>
              <w:rPr>
                <w:rFonts w:ascii="宋体" w:hAnsi="宋体" w:cs="宋体"/>
                <w:szCs w:val="24"/>
              </w:rPr>
            </w:pPr>
          </w:p>
        </w:tc>
        <w:tc>
          <w:tcPr>
            <w:tcW w:w="1420" w:type="dxa"/>
          </w:tcPr>
          <w:p>
            <w:pPr>
              <w:adjustRightInd w:val="0"/>
              <w:spacing w:before="120" w:beforeLines="50"/>
              <w:ind w:firstLine="480"/>
              <w:textAlignment w:val="baseline"/>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704" w:type="dxa"/>
          </w:tcPr>
          <w:p>
            <w:pPr>
              <w:adjustRightInd w:val="0"/>
              <w:spacing w:before="120" w:beforeLines="50"/>
              <w:ind w:firstLine="480"/>
              <w:textAlignment w:val="baseline"/>
              <w:rPr>
                <w:rFonts w:ascii="宋体" w:hAnsi="宋体" w:cs="宋体"/>
                <w:szCs w:val="24"/>
              </w:rPr>
            </w:pPr>
          </w:p>
        </w:tc>
        <w:tc>
          <w:tcPr>
            <w:tcW w:w="759" w:type="dxa"/>
          </w:tcPr>
          <w:p>
            <w:pPr>
              <w:adjustRightInd w:val="0"/>
              <w:spacing w:before="120" w:beforeLines="50"/>
              <w:ind w:firstLine="480"/>
              <w:textAlignment w:val="baseline"/>
              <w:rPr>
                <w:rFonts w:ascii="宋体" w:hAnsi="宋体" w:cs="宋体"/>
                <w:szCs w:val="24"/>
              </w:rPr>
            </w:pPr>
          </w:p>
        </w:tc>
        <w:tc>
          <w:tcPr>
            <w:tcW w:w="758" w:type="dxa"/>
          </w:tcPr>
          <w:p>
            <w:pPr>
              <w:adjustRightInd w:val="0"/>
              <w:spacing w:before="120" w:beforeLines="50"/>
              <w:ind w:firstLine="480"/>
              <w:textAlignment w:val="baseline"/>
              <w:rPr>
                <w:rFonts w:ascii="宋体" w:hAnsi="宋体" w:cs="宋体"/>
                <w:szCs w:val="24"/>
              </w:rPr>
            </w:pPr>
          </w:p>
        </w:tc>
        <w:tc>
          <w:tcPr>
            <w:tcW w:w="2587" w:type="dxa"/>
          </w:tcPr>
          <w:p>
            <w:pPr>
              <w:adjustRightInd w:val="0"/>
              <w:spacing w:before="120" w:beforeLines="50"/>
              <w:ind w:firstLine="480"/>
              <w:textAlignment w:val="baseline"/>
              <w:rPr>
                <w:rFonts w:ascii="宋体" w:hAnsi="宋体" w:cs="宋体"/>
                <w:szCs w:val="24"/>
              </w:rPr>
            </w:pPr>
          </w:p>
        </w:tc>
        <w:tc>
          <w:tcPr>
            <w:tcW w:w="885" w:type="dxa"/>
          </w:tcPr>
          <w:p>
            <w:pPr>
              <w:adjustRightInd w:val="0"/>
              <w:spacing w:before="120" w:beforeLines="50"/>
              <w:ind w:firstLine="480"/>
              <w:textAlignment w:val="baseline"/>
              <w:rPr>
                <w:rFonts w:ascii="宋体" w:hAnsi="宋体" w:cs="宋体"/>
                <w:szCs w:val="24"/>
              </w:rPr>
            </w:pPr>
          </w:p>
        </w:tc>
        <w:tc>
          <w:tcPr>
            <w:tcW w:w="1905" w:type="dxa"/>
          </w:tcPr>
          <w:p>
            <w:pPr>
              <w:adjustRightInd w:val="0"/>
              <w:spacing w:before="120" w:beforeLines="50"/>
              <w:ind w:firstLine="480"/>
              <w:textAlignment w:val="baseline"/>
              <w:rPr>
                <w:rFonts w:ascii="宋体" w:hAnsi="宋体" w:cs="宋体"/>
                <w:szCs w:val="24"/>
              </w:rPr>
            </w:pPr>
          </w:p>
        </w:tc>
        <w:tc>
          <w:tcPr>
            <w:tcW w:w="1420" w:type="dxa"/>
          </w:tcPr>
          <w:p>
            <w:pPr>
              <w:adjustRightInd w:val="0"/>
              <w:spacing w:before="120" w:beforeLines="50"/>
              <w:ind w:firstLine="480"/>
              <w:textAlignment w:val="baseline"/>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704" w:type="dxa"/>
          </w:tcPr>
          <w:p>
            <w:pPr>
              <w:adjustRightInd w:val="0"/>
              <w:spacing w:before="120" w:beforeLines="50"/>
              <w:ind w:firstLine="480"/>
              <w:textAlignment w:val="baseline"/>
              <w:rPr>
                <w:rFonts w:ascii="宋体" w:hAnsi="宋体" w:cs="宋体"/>
                <w:szCs w:val="24"/>
              </w:rPr>
            </w:pPr>
          </w:p>
        </w:tc>
        <w:tc>
          <w:tcPr>
            <w:tcW w:w="759" w:type="dxa"/>
          </w:tcPr>
          <w:p>
            <w:pPr>
              <w:adjustRightInd w:val="0"/>
              <w:spacing w:before="120" w:beforeLines="50"/>
              <w:ind w:firstLine="480"/>
              <w:textAlignment w:val="baseline"/>
              <w:rPr>
                <w:rFonts w:ascii="宋体" w:hAnsi="宋体" w:cs="宋体"/>
                <w:szCs w:val="24"/>
              </w:rPr>
            </w:pPr>
          </w:p>
        </w:tc>
        <w:tc>
          <w:tcPr>
            <w:tcW w:w="758" w:type="dxa"/>
          </w:tcPr>
          <w:p>
            <w:pPr>
              <w:adjustRightInd w:val="0"/>
              <w:spacing w:before="120" w:beforeLines="50"/>
              <w:ind w:firstLine="480"/>
              <w:textAlignment w:val="baseline"/>
              <w:rPr>
                <w:rFonts w:ascii="宋体" w:hAnsi="宋体" w:cs="宋体"/>
                <w:szCs w:val="24"/>
              </w:rPr>
            </w:pPr>
          </w:p>
        </w:tc>
        <w:tc>
          <w:tcPr>
            <w:tcW w:w="2587" w:type="dxa"/>
          </w:tcPr>
          <w:p>
            <w:pPr>
              <w:adjustRightInd w:val="0"/>
              <w:spacing w:before="120" w:beforeLines="50"/>
              <w:ind w:firstLine="480"/>
              <w:textAlignment w:val="baseline"/>
              <w:rPr>
                <w:rFonts w:ascii="宋体" w:hAnsi="宋体" w:cs="宋体"/>
                <w:szCs w:val="24"/>
              </w:rPr>
            </w:pPr>
          </w:p>
        </w:tc>
        <w:tc>
          <w:tcPr>
            <w:tcW w:w="885" w:type="dxa"/>
          </w:tcPr>
          <w:p>
            <w:pPr>
              <w:adjustRightInd w:val="0"/>
              <w:spacing w:before="120" w:beforeLines="50"/>
              <w:ind w:firstLine="480"/>
              <w:textAlignment w:val="baseline"/>
              <w:rPr>
                <w:rFonts w:ascii="宋体" w:hAnsi="宋体" w:cs="宋体"/>
                <w:szCs w:val="24"/>
              </w:rPr>
            </w:pPr>
          </w:p>
        </w:tc>
        <w:tc>
          <w:tcPr>
            <w:tcW w:w="1905" w:type="dxa"/>
          </w:tcPr>
          <w:p>
            <w:pPr>
              <w:adjustRightInd w:val="0"/>
              <w:spacing w:before="120" w:beforeLines="50"/>
              <w:ind w:firstLine="480"/>
              <w:textAlignment w:val="baseline"/>
              <w:rPr>
                <w:rFonts w:ascii="宋体" w:hAnsi="宋体" w:cs="宋体"/>
                <w:szCs w:val="24"/>
              </w:rPr>
            </w:pPr>
          </w:p>
        </w:tc>
        <w:tc>
          <w:tcPr>
            <w:tcW w:w="1420" w:type="dxa"/>
          </w:tcPr>
          <w:p>
            <w:pPr>
              <w:adjustRightInd w:val="0"/>
              <w:spacing w:before="120" w:beforeLines="50"/>
              <w:ind w:firstLine="480"/>
              <w:textAlignment w:val="baseline"/>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704" w:type="dxa"/>
          </w:tcPr>
          <w:p>
            <w:pPr>
              <w:adjustRightInd w:val="0"/>
              <w:spacing w:before="120" w:beforeLines="50"/>
              <w:ind w:firstLine="480"/>
              <w:textAlignment w:val="baseline"/>
              <w:rPr>
                <w:rFonts w:ascii="宋体" w:hAnsi="宋体" w:cs="宋体"/>
                <w:szCs w:val="24"/>
              </w:rPr>
            </w:pPr>
          </w:p>
        </w:tc>
        <w:tc>
          <w:tcPr>
            <w:tcW w:w="759" w:type="dxa"/>
          </w:tcPr>
          <w:p>
            <w:pPr>
              <w:adjustRightInd w:val="0"/>
              <w:spacing w:before="120" w:beforeLines="50"/>
              <w:ind w:firstLine="480"/>
              <w:textAlignment w:val="baseline"/>
              <w:rPr>
                <w:rFonts w:ascii="宋体" w:hAnsi="宋体" w:cs="宋体"/>
                <w:szCs w:val="24"/>
              </w:rPr>
            </w:pPr>
          </w:p>
        </w:tc>
        <w:tc>
          <w:tcPr>
            <w:tcW w:w="758" w:type="dxa"/>
          </w:tcPr>
          <w:p>
            <w:pPr>
              <w:adjustRightInd w:val="0"/>
              <w:spacing w:before="120" w:beforeLines="50"/>
              <w:ind w:firstLine="480"/>
              <w:textAlignment w:val="baseline"/>
              <w:rPr>
                <w:rFonts w:ascii="宋体" w:hAnsi="宋体" w:cs="宋体"/>
                <w:szCs w:val="24"/>
              </w:rPr>
            </w:pPr>
          </w:p>
        </w:tc>
        <w:tc>
          <w:tcPr>
            <w:tcW w:w="2587" w:type="dxa"/>
          </w:tcPr>
          <w:p>
            <w:pPr>
              <w:adjustRightInd w:val="0"/>
              <w:spacing w:before="120" w:beforeLines="50"/>
              <w:ind w:firstLine="480"/>
              <w:textAlignment w:val="baseline"/>
              <w:rPr>
                <w:rFonts w:ascii="宋体" w:hAnsi="宋体" w:cs="宋体"/>
                <w:szCs w:val="24"/>
              </w:rPr>
            </w:pPr>
          </w:p>
        </w:tc>
        <w:tc>
          <w:tcPr>
            <w:tcW w:w="885" w:type="dxa"/>
          </w:tcPr>
          <w:p>
            <w:pPr>
              <w:adjustRightInd w:val="0"/>
              <w:spacing w:before="120" w:beforeLines="50"/>
              <w:ind w:firstLine="480"/>
              <w:textAlignment w:val="baseline"/>
              <w:rPr>
                <w:rFonts w:ascii="宋体" w:hAnsi="宋体" w:cs="宋体"/>
                <w:szCs w:val="24"/>
              </w:rPr>
            </w:pPr>
          </w:p>
        </w:tc>
        <w:tc>
          <w:tcPr>
            <w:tcW w:w="1905" w:type="dxa"/>
          </w:tcPr>
          <w:p>
            <w:pPr>
              <w:adjustRightInd w:val="0"/>
              <w:spacing w:before="120" w:beforeLines="50"/>
              <w:ind w:firstLine="480"/>
              <w:textAlignment w:val="baseline"/>
              <w:rPr>
                <w:rFonts w:ascii="宋体" w:hAnsi="宋体" w:cs="宋体"/>
                <w:szCs w:val="24"/>
              </w:rPr>
            </w:pPr>
          </w:p>
        </w:tc>
        <w:tc>
          <w:tcPr>
            <w:tcW w:w="1420" w:type="dxa"/>
          </w:tcPr>
          <w:p>
            <w:pPr>
              <w:adjustRightInd w:val="0"/>
              <w:spacing w:before="120" w:beforeLines="50"/>
              <w:ind w:firstLine="480"/>
              <w:textAlignment w:val="baseline"/>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704" w:type="dxa"/>
          </w:tcPr>
          <w:p>
            <w:pPr>
              <w:adjustRightInd w:val="0"/>
              <w:spacing w:before="120" w:beforeLines="50"/>
              <w:ind w:firstLine="480"/>
              <w:textAlignment w:val="baseline"/>
              <w:rPr>
                <w:rFonts w:ascii="宋体" w:hAnsi="宋体" w:cs="宋体"/>
                <w:szCs w:val="24"/>
              </w:rPr>
            </w:pPr>
          </w:p>
        </w:tc>
        <w:tc>
          <w:tcPr>
            <w:tcW w:w="759" w:type="dxa"/>
          </w:tcPr>
          <w:p>
            <w:pPr>
              <w:adjustRightInd w:val="0"/>
              <w:spacing w:before="120" w:beforeLines="50"/>
              <w:ind w:firstLine="480"/>
              <w:textAlignment w:val="baseline"/>
              <w:rPr>
                <w:rFonts w:ascii="宋体" w:hAnsi="宋体" w:cs="宋体"/>
                <w:szCs w:val="24"/>
              </w:rPr>
            </w:pPr>
          </w:p>
        </w:tc>
        <w:tc>
          <w:tcPr>
            <w:tcW w:w="758" w:type="dxa"/>
          </w:tcPr>
          <w:p>
            <w:pPr>
              <w:adjustRightInd w:val="0"/>
              <w:spacing w:before="120" w:beforeLines="50"/>
              <w:ind w:firstLine="480"/>
              <w:textAlignment w:val="baseline"/>
              <w:rPr>
                <w:rFonts w:ascii="宋体" w:hAnsi="宋体" w:cs="宋体"/>
                <w:szCs w:val="24"/>
              </w:rPr>
            </w:pPr>
          </w:p>
        </w:tc>
        <w:tc>
          <w:tcPr>
            <w:tcW w:w="2587" w:type="dxa"/>
          </w:tcPr>
          <w:p>
            <w:pPr>
              <w:adjustRightInd w:val="0"/>
              <w:spacing w:before="120" w:beforeLines="50"/>
              <w:ind w:firstLine="480"/>
              <w:textAlignment w:val="baseline"/>
              <w:rPr>
                <w:rFonts w:ascii="宋体" w:hAnsi="宋体" w:cs="宋体"/>
                <w:szCs w:val="24"/>
              </w:rPr>
            </w:pPr>
          </w:p>
        </w:tc>
        <w:tc>
          <w:tcPr>
            <w:tcW w:w="885" w:type="dxa"/>
          </w:tcPr>
          <w:p>
            <w:pPr>
              <w:adjustRightInd w:val="0"/>
              <w:spacing w:before="120" w:beforeLines="50"/>
              <w:ind w:firstLine="480"/>
              <w:textAlignment w:val="baseline"/>
              <w:rPr>
                <w:rFonts w:ascii="宋体" w:hAnsi="宋体" w:cs="宋体"/>
                <w:szCs w:val="24"/>
              </w:rPr>
            </w:pPr>
          </w:p>
        </w:tc>
        <w:tc>
          <w:tcPr>
            <w:tcW w:w="1905" w:type="dxa"/>
          </w:tcPr>
          <w:p>
            <w:pPr>
              <w:adjustRightInd w:val="0"/>
              <w:spacing w:before="120" w:beforeLines="50"/>
              <w:ind w:firstLine="480"/>
              <w:textAlignment w:val="baseline"/>
              <w:rPr>
                <w:rFonts w:ascii="宋体" w:hAnsi="宋体" w:cs="宋体"/>
                <w:szCs w:val="24"/>
              </w:rPr>
            </w:pPr>
          </w:p>
        </w:tc>
        <w:tc>
          <w:tcPr>
            <w:tcW w:w="1420" w:type="dxa"/>
          </w:tcPr>
          <w:p>
            <w:pPr>
              <w:adjustRightInd w:val="0"/>
              <w:spacing w:before="120" w:beforeLines="50"/>
              <w:ind w:firstLine="480"/>
              <w:textAlignment w:val="baseline"/>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704" w:type="dxa"/>
          </w:tcPr>
          <w:p>
            <w:pPr>
              <w:adjustRightInd w:val="0"/>
              <w:spacing w:before="120" w:beforeLines="50"/>
              <w:ind w:firstLine="480"/>
              <w:textAlignment w:val="baseline"/>
              <w:rPr>
                <w:rFonts w:ascii="宋体" w:hAnsi="宋体" w:cs="宋体"/>
                <w:szCs w:val="24"/>
              </w:rPr>
            </w:pPr>
          </w:p>
        </w:tc>
        <w:tc>
          <w:tcPr>
            <w:tcW w:w="759" w:type="dxa"/>
          </w:tcPr>
          <w:p>
            <w:pPr>
              <w:adjustRightInd w:val="0"/>
              <w:spacing w:before="120" w:beforeLines="50"/>
              <w:ind w:firstLine="480"/>
              <w:textAlignment w:val="baseline"/>
              <w:rPr>
                <w:rFonts w:ascii="宋体" w:hAnsi="宋体" w:cs="宋体"/>
                <w:szCs w:val="24"/>
              </w:rPr>
            </w:pPr>
          </w:p>
        </w:tc>
        <w:tc>
          <w:tcPr>
            <w:tcW w:w="758" w:type="dxa"/>
          </w:tcPr>
          <w:p>
            <w:pPr>
              <w:adjustRightInd w:val="0"/>
              <w:spacing w:before="120" w:beforeLines="50"/>
              <w:ind w:firstLine="480"/>
              <w:textAlignment w:val="baseline"/>
              <w:rPr>
                <w:rFonts w:ascii="宋体" w:hAnsi="宋体" w:cs="宋体"/>
                <w:szCs w:val="24"/>
              </w:rPr>
            </w:pPr>
          </w:p>
        </w:tc>
        <w:tc>
          <w:tcPr>
            <w:tcW w:w="2587" w:type="dxa"/>
          </w:tcPr>
          <w:p>
            <w:pPr>
              <w:adjustRightInd w:val="0"/>
              <w:spacing w:before="120" w:beforeLines="50"/>
              <w:ind w:firstLine="480"/>
              <w:textAlignment w:val="baseline"/>
              <w:rPr>
                <w:rFonts w:ascii="宋体" w:hAnsi="宋体" w:cs="宋体"/>
                <w:szCs w:val="24"/>
              </w:rPr>
            </w:pPr>
          </w:p>
        </w:tc>
        <w:tc>
          <w:tcPr>
            <w:tcW w:w="885" w:type="dxa"/>
          </w:tcPr>
          <w:p>
            <w:pPr>
              <w:adjustRightInd w:val="0"/>
              <w:spacing w:before="120" w:beforeLines="50"/>
              <w:ind w:firstLine="480"/>
              <w:textAlignment w:val="baseline"/>
              <w:rPr>
                <w:rFonts w:ascii="宋体" w:hAnsi="宋体" w:cs="宋体"/>
                <w:szCs w:val="24"/>
              </w:rPr>
            </w:pPr>
          </w:p>
        </w:tc>
        <w:tc>
          <w:tcPr>
            <w:tcW w:w="1905" w:type="dxa"/>
          </w:tcPr>
          <w:p>
            <w:pPr>
              <w:adjustRightInd w:val="0"/>
              <w:spacing w:before="120" w:beforeLines="50"/>
              <w:ind w:firstLine="480"/>
              <w:textAlignment w:val="baseline"/>
              <w:rPr>
                <w:rFonts w:ascii="宋体" w:hAnsi="宋体" w:cs="宋体"/>
                <w:szCs w:val="24"/>
              </w:rPr>
            </w:pPr>
          </w:p>
        </w:tc>
        <w:tc>
          <w:tcPr>
            <w:tcW w:w="1420" w:type="dxa"/>
          </w:tcPr>
          <w:p>
            <w:pPr>
              <w:adjustRightInd w:val="0"/>
              <w:spacing w:before="120" w:beforeLines="50"/>
              <w:ind w:firstLine="480"/>
              <w:textAlignment w:val="baseline"/>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704" w:type="dxa"/>
          </w:tcPr>
          <w:p>
            <w:pPr>
              <w:adjustRightInd w:val="0"/>
              <w:spacing w:before="120" w:beforeLines="50"/>
              <w:ind w:firstLine="480"/>
              <w:textAlignment w:val="baseline"/>
              <w:rPr>
                <w:rFonts w:ascii="宋体" w:hAnsi="宋体" w:cs="宋体"/>
                <w:szCs w:val="24"/>
              </w:rPr>
            </w:pPr>
          </w:p>
        </w:tc>
        <w:tc>
          <w:tcPr>
            <w:tcW w:w="759" w:type="dxa"/>
          </w:tcPr>
          <w:p>
            <w:pPr>
              <w:adjustRightInd w:val="0"/>
              <w:spacing w:before="120" w:beforeLines="50"/>
              <w:ind w:firstLine="480"/>
              <w:textAlignment w:val="baseline"/>
              <w:rPr>
                <w:rFonts w:ascii="宋体" w:hAnsi="宋体" w:cs="宋体"/>
                <w:szCs w:val="24"/>
              </w:rPr>
            </w:pPr>
          </w:p>
        </w:tc>
        <w:tc>
          <w:tcPr>
            <w:tcW w:w="758" w:type="dxa"/>
          </w:tcPr>
          <w:p>
            <w:pPr>
              <w:adjustRightInd w:val="0"/>
              <w:spacing w:before="120" w:beforeLines="50"/>
              <w:ind w:firstLine="480"/>
              <w:textAlignment w:val="baseline"/>
              <w:rPr>
                <w:rFonts w:ascii="宋体" w:hAnsi="宋体" w:cs="宋体"/>
                <w:szCs w:val="24"/>
              </w:rPr>
            </w:pPr>
          </w:p>
        </w:tc>
        <w:tc>
          <w:tcPr>
            <w:tcW w:w="2587" w:type="dxa"/>
          </w:tcPr>
          <w:p>
            <w:pPr>
              <w:adjustRightInd w:val="0"/>
              <w:spacing w:before="120" w:beforeLines="50"/>
              <w:ind w:firstLine="480"/>
              <w:textAlignment w:val="baseline"/>
              <w:rPr>
                <w:rFonts w:ascii="宋体" w:hAnsi="宋体" w:cs="宋体"/>
                <w:szCs w:val="24"/>
              </w:rPr>
            </w:pPr>
          </w:p>
        </w:tc>
        <w:tc>
          <w:tcPr>
            <w:tcW w:w="885" w:type="dxa"/>
          </w:tcPr>
          <w:p>
            <w:pPr>
              <w:adjustRightInd w:val="0"/>
              <w:spacing w:before="120" w:beforeLines="50"/>
              <w:ind w:firstLine="480"/>
              <w:textAlignment w:val="baseline"/>
              <w:rPr>
                <w:rFonts w:ascii="宋体" w:hAnsi="宋体" w:cs="宋体"/>
                <w:szCs w:val="24"/>
              </w:rPr>
            </w:pPr>
          </w:p>
        </w:tc>
        <w:tc>
          <w:tcPr>
            <w:tcW w:w="1905" w:type="dxa"/>
          </w:tcPr>
          <w:p>
            <w:pPr>
              <w:adjustRightInd w:val="0"/>
              <w:spacing w:before="120" w:beforeLines="50"/>
              <w:ind w:firstLine="480"/>
              <w:textAlignment w:val="baseline"/>
              <w:rPr>
                <w:rFonts w:ascii="宋体" w:hAnsi="宋体" w:cs="宋体"/>
                <w:szCs w:val="24"/>
              </w:rPr>
            </w:pPr>
          </w:p>
        </w:tc>
        <w:tc>
          <w:tcPr>
            <w:tcW w:w="1420" w:type="dxa"/>
          </w:tcPr>
          <w:p>
            <w:pPr>
              <w:adjustRightInd w:val="0"/>
              <w:spacing w:before="120" w:beforeLines="50"/>
              <w:ind w:firstLine="480"/>
              <w:textAlignment w:val="baseline"/>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704" w:type="dxa"/>
          </w:tcPr>
          <w:p>
            <w:pPr>
              <w:adjustRightInd w:val="0"/>
              <w:spacing w:before="120" w:beforeLines="50"/>
              <w:ind w:firstLine="480"/>
              <w:jc w:val="center"/>
              <w:textAlignment w:val="baseline"/>
              <w:rPr>
                <w:rFonts w:ascii="宋体" w:hAnsi="宋体" w:cs="宋体"/>
                <w:szCs w:val="24"/>
              </w:rPr>
            </w:pPr>
          </w:p>
        </w:tc>
        <w:tc>
          <w:tcPr>
            <w:tcW w:w="759" w:type="dxa"/>
          </w:tcPr>
          <w:p>
            <w:pPr>
              <w:adjustRightInd w:val="0"/>
              <w:spacing w:before="120" w:beforeLines="50"/>
              <w:ind w:firstLine="480"/>
              <w:textAlignment w:val="baseline"/>
              <w:rPr>
                <w:rFonts w:ascii="宋体" w:hAnsi="宋体" w:cs="宋体"/>
                <w:szCs w:val="24"/>
              </w:rPr>
            </w:pPr>
          </w:p>
        </w:tc>
        <w:tc>
          <w:tcPr>
            <w:tcW w:w="758" w:type="dxa"/>
          </w:tcPr>
          <w:p>
            <w:pPr>
              <w:adjustRightInd w:val="0"/>
              <w:spacing w:before="120" w:beforeLines="50"/>
              <w:ind w:firstLine="480"/>
              <w:textAlignment w:val="baseline"/>
              <w:rPr>
                <w:rFonts w:ascii="宋体" w:hAnsi="宋体" w:cs="宋体"/>
                <w:szCs w:val="24"/>
              </w:rPr>
            </w:pPr>
          </w:p>
        </w:tc>
        <w:tc>
          <w:tcPr>
            <w:tcW w:w="2587" w:type="dxa"/>
          </w:tcPr>
          <w:p>
            <w:pPr>
              <w:adjustRightInd w:val="0"/>
              <w:spacing w:before="120" w:beforeLines="50"/>
              <w:ind w:firstLine="480"/>
              <w:textAlignment w:val="baseline"/>
              <w:rPr>
                <w:rFonts w:ascii="宋体" w:hAnsi="宋体" w:cs="宋体"/>
                <w:szCs w:val="24"/>
              </w:rPr>
            </w:pPr>
          </w:p>
        </w:tc>
        <w:tc>
          <w:tcPr>
            <w:tcW w:w="885" w:type="dxa"/>
          </w:tcPr>
          <w:p>
            <w:pPr>
              <w:adjustRightInd w:val="0"/>
              <w:spacing w:before="120" w:beforeLines="50"/>
              <w:ind w:firstLine="480"/>
              <w:textAlignment w:val="baseline"/>
              <w:rPr>
                <w:rFonts w:ascii="宋体" w:hAnsi="宋体" w:cs="宋体"/>
                <w:szCs w:val="24"/>
              </w:rPr>
            </w:pPr>
          </w:p>
        </w:tc>
        <w:tc>
          <w:tcPr>
            <w:tcW w:w="1905" w:type="dxa"/>
          </w:tcPr>
          <w:p>
            <w:pPr>
              <w:adjustRightInd w:val="0"/>
              <w:spacing w:before="120" w:beforeLines="50"/>
              <w:ind w:firstLine="480"/>
              <w:textAlignment w:val="baseline"/>
              <w:rPr>
                <w:rFonts w:ascii="宋体" w:hAnsi="宋体" w:cs="宋体"/>
                <w:szCs w:val="24"/>
              </w:rPr>
            </w:pPr>
          </w:p>
        </w:tc>
        <w:tc>
          <w:tcPr>
            <w:tcW w:w="1420" w:type="dxa"/>
          </w:tcPr>
          <w:p>
            <w:pPr>
              <w:adjustRightInd w:val="0"/>
              <w:spacing w:before="120" w:beforeLines="50"/>
              <w:ind w:firstLine="480"/>
              <w:textAlignment w:val="baseline"/>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704" w:type="dxa"/>
          </w:tcPr>
          <w:p>
            <w:pPr>
              <w:adjustRightInd w:val="0"/>
              <w:spacing w:before="120" w:beforeLines="50"/>
              <w:ind w:firstLine="480"/>
              <w:textAlignment w:val="baseline"/>
              <w:rPr>
                <w:rFonts w:ascii="宋体" w:hAnsi="宋体" w:cs="宋体"/>
                <w:szCs w:val="24"/>
              </w:rPr>
            </w:pPr>
          </w:p>
        </w:tc>
        <w:tc>
          <w:tcPr>
            <w:tcW w:w="759" w:type="dxa"/>
          </w:tcPr>
          <w:p>
            <w:pPr>
              <w:adjustRightInd w:val="0"/>
              <w:spacing w:before="120" w:beforeLines="50"/>
              <w:ind w:firstLine="480"/>
              <w:textAlignment w:val="baseline"/>
              <w:rPr>
                <w:rFonts w:ascii="宋体" w:hAnsi="宋体" w:cs="宋体"/>
                <w:szCs w:val="24"/>
              </w:rPr>
            </w:pPr>
          </w:p>
        </w:tc>
        <w:tc>
          <w:tcPr>
            <w:tcW w:w="758" w:type="dxa"/>
          </w:tcPr>
          <w:p>
            <w:pPr>
              <w:adjustRightInd w:val="0"/>
              <w:spacing w:before="120" w:beforeLines="50"/>
              <w:ind w:firstLine="480"/>
              <w:textAlignment w:val="baseline"/>
              <w:rPr>
                <w:rFonts w:ascii="宋体" w:hAnsi="宋体" w:cs="宋体"/>
                <w:szCs w:val="24"/>
              </w:rPr>
            </w:pPr>
          </w:p>
        </w:tc>
        <w:tc>
          <w:tcPr>
            <w:tcW w:w="2587" w:type="dxa"/>
          </w:tcPr>
          <w:p>
            <w:pPr>
              <w:adjustRightInd w:val="0"/>
              <w:spacing w:before="120" w:beforeLines="50"/>
              <w:ind w:firstLine="480"/>
              <w:textAlignment w:val="baseline"/>
              <w:rPr>
                <w:rFonts w:ascii="宋体" w:hAnsi="宋体" w:cs="宋体"/>
                <w:szCs w:val="24"/>
              </w:rPr>
            </w:pPr>
          </w:p>
        </w:tc>
        <w:tc>
          <w:tcPr>
            <w:tcW w:w="885" w:type="dxa"/>
          </w:tcPr>
          <w:p>
            <w:pPr>
              <w:adjustRightInd w:val="0"/>
              <w:spacing w:before="120" w:beforeLines="50"/>
              <w:ind w:firstLine="480"/>
              <w:textAlignment w:val="baseline"/>
              <w:rPr>
                <w:rFonts w:ascii="宋体" w:hAnsi="宋体" w:cs="宋体"/>
                <w:szCs w:val="24"/>
              </w:rPr>
            </w:pPr>
          </w:p>
        </w:tc>
        <w:tc>
          <w:tcPr>
            <w:tcW w:w="1905" w:type="dxa"/>
          </w:tcPr>
          <w:p>
            <w:pPr>
              <w:adjustRightInd w:val="0"/>
              <w:spacing w:before="120" w:beforeLines="50"/>
              <w:ind w:firstLine="480"/>
              <w:textAlignment w:val="baseline"/>
              <w:rPr>
                <w:rFonts w:ascii="宋体" w:hAnsi="宋体" w:cs="宋体"/>
                <w:szCs w:val="24"/>
              </w:rPr>
            </w:pPr>
          </w:p>
        </w:tc>
        <w:tc>
          <w:tcPr>
            <w:tcW w:w="1420" w:type="dxa"/>
          </w:tcPr>
          <w:p>
            <w:pPr>
              <w:adjustRightInd w:val="0"/>
              <w:spacing w:before="120" w:beforeLines="50"/>
              <w:ind w:firstLine="480"/>
              <w:textAlignment w:val="baseline"/>
              <w:rPr>
                <w:rFonts w:ascii="宋体" w:hAnsi="宋体" w:cs="宋体"/>
                <w:szCs w:val="24"/>
              </w:rPr>
            </w:pPr>
          </w:p>
        </w:tc>
      </w:tr>
    </w:tbl>
    <w:p>
      <w:pPr>
        <w:snapToGrid w:val="0"/>
        <w:spacing w:before="100" w:beforeAutospacing="1" w:after="100" w:afterAutospacing="1" w:line="360" w:lineRule="exact"/>
        <w:ind w:firstLine="480"/>
        <w:jc w:val="left"/>
        <w:rPr>
          <w:rFonts w:ascii="宋体" w:hAnsi="宋体" w:cs="宋体"/>
          <w:szCs w:val="24"/>
        </w:rPr>
      </w:pPr>
      <w:r>
        <w:rPr>
          <w:rFonts w:hint="eastAsia" w:ascii="宋体" w:hAnsi="宋体" w:cs="宋体"/>
          <w:szCs w:val="24"/>
        </w:rPr>
        <w:t>注：</w:t>
      </w:r>
      <w:r>
        <w:rPr>
          <w:rFonts w:hint="eastAsia" w:ascii="宋体" w:hAnsi="宋体" w:cs="宋体"/>
          <w:color w:val="000000"/>
          <w:szCs w:val="24"/>
        </w:rPr>
        <w:t>各投标人必须如实填写此表格，此表须填写除项目经理、项目副经理以外的其他实施人员信息并提供其人员的相关证书及</w:t>
      </w:r>
      <w:r>
        <w:rPr>
          <w:rFonts w:hint="eastAsia" w:ascii="宋体" w:hAnsi="宋体" w:cs="宋体"/>
          <w:szCs w:val="21"/>
        </w:rPr>
        <w:t>近半年内任意一个月在投标单位的社保证明</w:t>
      </w:r>
      <w:r>
        <w:rPr>
          <w:rFonts w:hint="eastAsia" w:ascii="宋体" w:hAnsi="宋体" w:cs="宋体"/>
          <w:color w:val="000000"/>
          <w:szCs w:val="24"/>
        </w:rPr>
        <w:t>材料</w:t>
      </w:r>
      <w:r>
        <w:rPr>
          <w:rFonts w:hint="eastAsia" w:ascii="宋体" w:hAnsi="宋体" w:cs="宋体"/>
          <w:szCs w:val="21"/>
        </w:rPr>
        <w:t>扫描件并CA签章</w:t>
      </w:r>
      <w:r>
        <w:rPr>
          <w:rFonts w:hint="eastAsia" w:ascii="宋体" w:hAnsi="宋体" w:cs="宋体"/>
          <w:color w:val="000000"/>
          <w:szCs w:val="24"/>
        </w:rPr>
        <w:t>。</w:t>
      </w:r>
    </w:p>
    <w:p>
      <w:pPr>
        <w:tabs>
          <w:tab w:val="left" w:pos="1418"/>
        </w:tabs>
        <w:ind w:firstLine="480"/>
        <w:rPr>
          <w:rFonts w:ascii="宋体" w:hAnsi="宋体" w:cs="宋体"/>
          <w:szCs w:val="24"/>
        </w:rPr>
      </w:pPr>
    </w:p>
    <w:p>
      <w:pPr>
        <w:spacing w:line="300" w:lineRule="auto"/>
        <w:ind w:firstLine="3600" w:firstLineChars="1500"/>
        <w:rPr>
          <w:rFonts w:ascii="宋体" w:hAnsi="宋体" w:cs="宋体"/>
          <w:szCs w:val="24"/>
        </w:rPr>
      </w:pPr>
      <w:r>
        <w:rPr>
          <w:rFonts w:hint="eastAsia" w:ascii="宋体" w:hAnsi="宋体" w:cs="宋体"/>
          <w:szCs w:val="24"/>
        </w:rPr>
        <w:t>法定代表人或授权代表</w:t>
      </w:r>
      <w:r>
        <w:rPr>
          <w:rFonts w:hint="eastAsia" w:ascii="宋体" w:hAnsi="宋体" w:cs="宋体"/>
          <w:spacing w:val="20"/>
          <w:szCs w:val="24"/>
        </w:rPr>
        <w:t>签字</w:t>
      </w:r>
      <w:r>
        <w:rPr>
          <w:rFonts w:hint="eastAsia" w:ascii="宋体" w:hAnsi="宋体" w:cs="宋体"/>
          <w:szCs w:val="24"/>
        </w:rPr>
        <w:t>（或盖章）</w:t>
      </w:r>
      <w:r>
        <w:rPr>
          <w:rFonts w:hint="eastAsia" w:ascii="宋体" w:hAnsi="宋体" w:cs="宋体"/>
          <w:spacing w:val="20"/>
          <w:szCs w:val="24"/>
        </w:rPr>
        <w:t>：</w:t>
      </w:r>
      <w:r>
        <w:rPr>
          <w:rFonts w:hint="eastAsia" w:ascii="宋体" w:hAnsi="宋体" w:cs="宋体"/>
          <w:szCs w:val="24"/>
        </w:rPr>
        <w:t>___________</w:t>
      </w:r>
      <w:r>
        <w:rPr>
          <w:rFonts w:hint="eastAsia" w:ascii="宋体" w:hAnsi="宋体" w:cs="宋体"/>
          <w:spacing w:val="20"/>
          <w:szCs w:val="24"/>
          <w:u w:val="single"/>
        </w:rPr>
        <w:t xml:space="preserve">      </w:t>
      </w:r>
      <w:r>
        <w:rPr>
          <w:rFonts w:hint="eastAsia" w:ascii="宋体" w:hAnsi="宋体" w:cs="宋体"/>
          <w:szCs w:val="24"/>
          <w:u w:val="single"/>
        </w:rPr>
        <w:t xml:space="preserve"> </w:t>
      </w:r>
    </w:p>
    <w:p>
      <w:pPr>
        <w:spacing w:line="300" w:lineRule="auto"/>
        <w:ind w:firstLine="5280" w:firstLineChars="2200"/>
        <w:rPr>
          <w:rFonts w:ascii="宋体" w:hAnsi="宋体" w:cs="宋体"/>
          <w:szCs w:val="24"/>
        </w:rPr>
      </w:pPr>
      <w:r>
        <w:rPr>
          <w:rFonts w:hint="eastAsia" w:ascii="宋体" w:hAnsi="宋体" w:cs="宋体"/>
          <w:szCs w:val="24"/>
        </w:rPr>
        <w:t>投标人（盖章）：__________________</w:t>
      </w:r>
    </w:p>
    <w:p>
      <w:pPr>
        <w:spacing w:line="300" w:lineRule="auto"/>
        <w:ind w:firstLine="480"/>
        <w:rPr>
          <w:rFonts w:ascii="宋体" w:hAnsi="宋体" w:cs="宋体"/>
          <w:szCs w:val="24"/>
        </w:rPr>
      </w:pPr>
      <w:r>
        <w:rPr>
          <w:rFonts w:hint="eastAsia" w:ascii="宋体" w:hAnsi="宋体" w:cs="宋体"/>
          <w:szCs w:val="24"/>
        </w:rPr>
        <w:t xml:space="preserve">                                        日    期：_____年____月____日</w:t>
      </w:r>
    </w:p>
    <w:p>
      <w:pPr>
        <w:pStyle w:val="18"/>
        <w:snapToGrid w:val="0"/>
        <w:spacing w:beforeLines="0" w:beforeAutospacing="1" w:afterLines="0" w:afterAutospacing="1" w:line="276" w:lineRule="auto"/>
        <w:ind w:firstLine="480"/>
        <w:jc w:val="center"/>
        <w:rPr>
          <w:rFonts w:hAnsi="宋体" w:cs="宋体"/>
          <w:sz w:val="24"/>
          <w:szCs w:val="24"/>
        </w:rPr>
        <w:sectPr>
          <w:pgSz w:w="11906" w:h="16838"/>
          <w:pgMar w:top="1418" w:right="1077" w:bottom="1418" w:left="1077" w:header="851" w:footer="992" w:gutter="340"/>
          <w:cols w:space="720" w:num="1"/>
          <w:docGrid w:linePitch="381" w:charSpace="0"/>
        </w:sectPr>
      </w:pPr>
    </w:p>
    <w:p>
      <w:pPr>
        <w:snapToGrid w:val="0"/>
        <w:spacing w:before="100" w:beforeAutospacing="1" w:after="100" w:afterAutospacing="1" w:line="276" w:lineRule="auto"/>
        <w:ind w:firstLine="643"/>
        <w:jc w:val="center"/>
        <w:rPr>
          <w:rFonts w:ascii="宋体" w:hAnsi="宋体" w:cs="宋体"/>
          <w:b/>
          <w:bCs/>
          <w:sz w:val="32"/>
          <w:szCs w:val="32"/>
        </w:rPr>
      </w:pPr>
      <w:r>
        <w:rPr>
          <w:rFonts w:hint="eastAsia" w:ascii="宋体" w:hAnsi="宋体" w:cs="宋体"/>
          <w:b/>
          <w:bCs/>
          <w:sz w:val="32"/>
          <w:szCs w:val="32"/>
        </w:rPr>
        <w:t>十四、投标函格式</w:t>
      </w:r>
    </w:p>
    <w:p>
      <w:pPr>
        <w:snapToGrid w:val="0"/>
        <w:spacing w:before="100" w:beforeAutospacing="1" w:after="100" w:afterAutospacing="1" w:line="276" w:lineRule="auto"/>
        <w:ind w:firstLine="602"/>
        <w:jc w:val="center"/>
        <w:rPr>
          <w:rFonts w:ascii="宋体" w:hAnsi="宋体" w:cs="宋体"/>
          <w:b/>
          <w:bCs/>
          <w:sz w:val="30"/>
          <w:szCs w:val="30"/>
        </w:rPr>
      </w:pPr>
      <w:r>
        <w:rPr>
          <w:rFonts w:hint="eastAsia" w:ascii="宋体" w:hAnsi="宋体" w:cs="宋体"/>
          <w:b/>
          <w:bCs/>
          <w:sz w:val="30"/>
          <w:szCs w:val="30"/>
        </w:rPr>
        <w:t>投 标 函</w:t>
      </w:r>
    </w:p>
    <w:p>
      <w:pPr>
        <w:snapToGrid w:val="0"/>
        <w:spacing w:before="100" w:beforeAutospacing="1" w:after="100" w:afterAutospacing="1" w:line="276" w:lineRule="auto"/>
        <w:ind w:firstLine="480"/>
        <w:rPr>
          <w:rFonts w:ascii="宋体" w:hAnsi="宋体" w:cs="宋体"/>
          <w:szCs w:val="24"/>
        </w:rPr>
      </w:pPr>
      <w:r>
        <w:rPr>
          <w:rFonts w:hint="eastAsia" w:ascii="宋体" w:hAnsi="宋体" w:cs="宋体"/>
          <w:szCs w:val="24"/>
        </w:rPr>
        <w:t>致：</w:t>
      </w:r>
      <w:r>
        <w:rPr>
          <w:rFonts w:hint="eastAsia" w:ascii="宋体" w:hAnsi="宋体" w:cs="宋体"/>
          <w:szCs w:val="24"/>
          <w:u w:val="single"/>
        </w:rPr>
        <w:t xml:space="preserve">                 </w:t>
      </w:r>
      <w:r>
        <w:rPr>
          <w:rFonts w:hint="eastAsia" w:ascii="宋体" w:hAnsi="宋体" w:cs="宋体"/>
          <w:szCs w:val="24"/>
        </w:rPr>
        <w:t>（代理机构名称）：</w:t>
      </w:r>
    </w:p>
    <w:p>
      <w:pPr>
        <w:snapToGrid w:val="0"/>
        <w:spacing w:line="276" w:lineRule="auto"/>
        <w:ind w:firstLine="480"/>
        <w:rPr>
          <w:rFonts w:ascii="宋体" w:hAnsi="宋体" w:cs="宋体"/>
          <w:szCs w:val="24"/>
        </w:rPr>
      </w:pPr>
      <w:r>
        <w:rPr>
          <w:rFonts w:hint="eastAsia" w:ascii="宋体" w:hAnsi="宋体" w:cs="宋体"/>
          <w:szCs w:val="24"/>
        </w:rPr>
        <w:t>根据贵方为</w:t>
      </w:r>
      <w:r>
        <w:rPr>
          <w:rFonts w:hint="eastAsia" w:ascii="宋体" w:hAnsi="宋体" w:cs="宋体"/>
          <w:szCs w:val="24"/>
          <w:u w:val="single"/>
        </w:rPr>
        <w:t xml:space="preserve">                             </w:t>
      </w:r>
      <w:r>
        <w:rPr>
          <w:rFonts w:hint="eastAsia" w:ascii="宋体" w:hAnsi="宋体" w:cs="宋体"/>
          <w:szCs w:val="24"/>
        </w:rPr>
        <w:t>项目的招标公告/投标邀请书</w:t>
      </w:r>
    </w:p>
    <w:p>
      <w:pPr>
        <w:snapToGrid w:val="0"/>
        <w:spacing w:line="276" w:lineRule="auto"/>
        <w:ind w:firstLine="480"/>
        <w:rPr>
          <w:rFonts w:ascii="宋体" w:hAnsi="宋体" w:cs="宋体"/>
          <w:szCs w:val="24"/>
        </w:rPr>
      </w:pPr>
      <w:r>
        <w:rPr>
          <w:rFonts w:hint="eastAsia" w:ascii="宋体" w:hAnsi="宋体" w:cs="宋体"/>
          <w:szCs w:val="24"/>
        </w:rPr>
        <w:t>（项目编号：</w:t>
      </w:r>
      <w:r>
        <w:rPr>
          <w:rFonts w:hint="eastAsia" w:ascii="宋体" w:hAnsi="宋体" w:cs="宋体"/>
          <w:szCs w:val="24"/>
          <w:u w:val="single"/>
        </w:rPr>
        <w:t xml:space="preserve">              </w:t>
      </w:r>
      <w:r>
        <w:rPr>
          <w:rFonts w:hint="eastAsia" w:ascii="宋体" w:hAnsi="宋体" w:cs="宋体"/>
          <w:szCs w:val="24"/>
        </w:rPr>
        <w:t>），签字代表</w:t>
      </w:r>
      <w:r>
        <w:rPr>
          <w:rFonts w:hint="eastAsia" w:ascii="宋体" w:hAnsi="宋体" w:cs="宋体"/>
          <w:szCs w:val="24"/>
          <w:u w:val="single"/>
        </w:rPr>
        <w:t xml:space="preserve">            </w:t>
      </w:r>
      <w:r>
        <w:rPr>
          <w:rFonts w:hint="eastAsia" w:ascii="宋体" w:hAnsi="宋体" w:cs="宋体"/>
          <w:szCs w:val="24"/>
        </w:rPr>
        <w:t>（全名）经正式授权并代表投标人</w:t>
      </w:r>
      <w:r>
        <w:rPr>
          <w:rFonts w:hint="eastAsia" w:ascii="宋体" w:hAnsi="宋体" w:cs="宋体"/>
          <w:szCs w:val="24"/>
          <w:u w:val="single"/>
        </w:rPr>
        <w:t xml:space="preserve">                           </w:t>
      </w:r>
      <w:r>
        <w:rPr>
          <w:rFonts w:hint="eastAsia" w:ascii="宋体" w:hAnsi="宋体" w:cs="宋体"/>
          <w:szCs w:val="24"/>
        </w:rPr>
        <w:t>（投标人名称）提交投标文件。</w:t>
      </w:r>
    </w:p>
    <w:p>
      <w:pPr>
        <w:snapToGrid w:val="0"/>
        <w:spacing w:line="276" w:lineRule="auto"/>
        <w:ind w:firstLine="480"/>
        <w:rPr>
          <w:rFonts w:ascii="宋体" w:hAnsi="宋体" w:cs="宋体"/>
          <w:szCs w:val="24"/>
        </w:rPr>
      </w:pPr>
      <w:r>
        <w:rPr>
          <w:rFonts w:hint="eastAsia" w:ascii="宋体" w:hAnsi="宋体" w:cs="宋体"/>
          <w:szCs w:val="24"/>
        </w:rPr>
        <w:t>据此函，签字代表宣布同意如下：</w:t>
      </w:r>
    </w:p>
    <w:p>
      <w:pPr>
        <w:snapToGrid w:val="0"/>
        <w:spacing w:line="276" w:lineRule="auto"/>
        <w:ind w:firstLine="480"/>
        <w:rPr>
          <w:rFonts w:ascii="宋体" w:hAnsi="宋体" w:cs="宋体"/>
          <w:szCs w:val="24"/>
        </w:rPr>
      </w:pPr>
      <w:r>
        <w:rPr>
          <w:rFonts w:hint="eastAsia" w:ascii="宋体" w:hAnsi="宋体" w:cs="宋体"/>
          <w:szCs w:val="24"/>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276" w:lineRule="auto"/>
        <w:ind w:firstLine="480"/>
        <w:rPr>
          <w:rFonts w:ascii="宋体" w:hAnsi="宋体" w:cs="宋体"/>
          <w:szCs w:val="24"/>
        </w:rPr>
      </w:pPr>
      <w:r>
        <w:rPr>
          <w:rFonts w:hint="eastAsia" w:ascii="宋体" w:hAnsi="宋体" w:cs="宋体"/>
          <w:szCs w:val="24"/>
        </w:rPr>
        <w:t>2.投标人在投标之前已经与贵方进行了充分的沟通，完全理解并接受招标文件的各项规定和要求，对招标文件的合理性、合法性不再有异议。</w:t>
      </w:r>
    </w:p>
    <w:p>
      <w:pPr>
        <w:snapToGrid w:val="0"/>
        <w:spacing w:line="276" w:lineRule="auto"/>
        <w:ind w:firstLine="480"/>
        <w:rPr>
          <w:rFonts w:ascii="宋体" w:hAnsi="宋体" w:cs="宋体"/>
          <w:szCs w:val="24"/>
        </w:rPr>
      </w:pPr>
      <w:r>
        <w:rPr>
          <w:rFonts w:hint="eastAsia" w:ascii="宋体" w:hAnsi="宋体" w:cs="宋体"/>
          <w:szCs w:val="24"/>
        </w:rPr>
        <w:t>3.本投标有效期自开标日起</w:t>
      </w:r>
      <w:r>
        <w:rPr>
          <w:rFonts w:hint="eastAsia" w:ascii="宋体" w:hAnsi="宋体" w:cs="宋体"/>
          <w:szCs w:val="24"/>
          <w:u w:val="single"/>
        </w:rPr>
        <w:t xml:space="preserve"> 90</w:t>
      </w:r>
      <w:r>
        <w:rPr>
          <w:rFonts w:hint="eastAsia" w:ascii="宋体" w:hAnsi="宋体" w:cs="宋体"/>
          <w:szCs w:val="24"/>
        </w:rPr>
        <w:t>个日历日。</w:t>
      </w:r>
    </w:p>
    <w:p>
      <w:pPr>
        <w:snapToGrid w:val="0"/>
        <w:spacing w:line="276" w:lineRule="auto"/>
        <w:ind w:firstLine="480"/>
        <w:rPr>
          <w:rFonts w:ascii="宋体" w:hAnsi="宋体" w:cs="宋体"/>
          <w:szCs w:val="24"/>
        </w:rPr>
      </w:pPr>
      <w:r>
        <w:rPr>
          <w:rFonts w:hint="eastAsia" w:ascii="宋体" w:hAnsi="宋体" w:cs="宋体"/>
          <w:szCs w:val="24"/>
        </w:rPr>
        <w:t>4.如中标，本投标文件至本项目合同履行完毕止均保持有效，本投标人将按“招标文件”及政府采购法律、法规的规定履行合同责任和义务。</w:t>
      </w:r>
    </w:p>
    <w:p>
      <w:pPr>
        <w:snapToGrid w:val="0"/>
        <w:spacing w:line="276" w:lineRule="auto"/>
        <w:ind w:firstLine="480"/>
        <w:rPr>
          <w:rFonts w:ascii="宋体" w:hAnsi="宋体" w:cs="宋体"/>
          <w:szCs w:val="24"/>
        </w:rPr>
      </w:pPr>
      <w:r>
        <w:rPr>
          <w:rFonts w:hint="eastAsia" w:ascii="宋体" w:hAnsi="宋体" w:cs="宋体"/>
          <w:szCs w:val="24"/>
        </w:rPr>
        <w:t>5.投标人同意按照贵方要求提供与投标有关的一切数据或资料。</w:t>
      </w:r>
    </w:p>
    <w:p>
      <w:pPr>
        <w:snapToGrid w:val="0"/>
        <w:spacing w:line="276" w:lineRule="auto"/>
        <w:ind w:firstLine="480"/>
        <w:rPr>
          <w:rFonts w:ascii="宋体" w:hAnsi="宋体" w:cs="宋体"/>
          <w:szCs w:val="24"/>
        </w:rPr>
      </w:pPr>
      <w:r>
        <w:rPr>
          <w:rFonts w:hint="eastAsia" w:ascii="宋体" w:hAnsi="宋体" w:cs="宋体"/>
          <w:szCs w:val="24"/>
        </w:rPr>
        <w:t>6.与本投标有关的一切正式往来信函请寄：</w:t>
      </w:r>
    </w:p>
    <w:p>
      <w:pPr>
        <w:snapToGrid w:val="0"/>
        <w:spacing w:line="276" w:lineRule="auto"/>
        <w:ind w:firstLine="480"/>
        <w:rPr>
          <w:rFonts w:ascii="宋体" w:hAnsi="宋体" w:cs="宋体"/>
          <w:szCs w:val="24"/>
        </w:rPr>
      </w:pPr>
      <w:r>
        <w:rPr>
          <w:rFonts w:hint="eastAsia" w:ascii="宋体" w:hAnsi="宋体" w:cs="宋体"/>
          <w:szCs w:val="24"/>
        </w:rPr>
        <w:t>地址：</w:t>
      </w:r>
      <w:r>
        <w:rPr>
          <w:rFonts w:hint="eastAsia" w:ascii="宋体" w:hAnsi="宋体" w:cs="宋体"/>
          <w:szCs w:val="24"/>
          <w:u w:val="single"/>
        </w:rPr>
        <w:t xml:space="preserve">                     </w:t>
      </w:r>
      <w:r>
        <w:rPr>
          <w:rFonts w:hint="eastAsia" w:ascii="宋体" w:hAnsi="宋体" w:cs="宋体"/>
          <w:szCs w:val="24"/>
        </w:rPr>
        <w:t xml:space="preserve"> 邮编：__________   电话：______________</w:t>
      </w:r>
    </w:p>
    <w:p>
      <w:pPr>
        <w:snapToGrid w:val="0"/>
        <w:spacing w:line="276" w:lineRule="auto"/>
        <w:ind w:firstLine="480"/>
        <w:rPr>
          <w:rFonts w:ascii="宋体" w:hAnsi="宋体" w:cs="宋体"/>
          <w:szCs w:val="24"/>
        </w:rPr>
      </w:pPr>
      <w:r>
        <w:rPr>
          <w:rFonts w:hint="eastAsia" w:ascii="宋体" w:hAnsi="宋体" w:cs="宋体"/>
          <w:szCs w:val="24"/>
        </w:rPr>
        <w:t>传真：______________投标人代表姓名 ___________  职务：</w:t>
      </w:r>
      <w:r>
        <w:rPr>
          <w:rFonts w:hint="eastAsia" w:ascii="宋体" w:hAnsi="宋体" w:cs="宋体"/>
          <w:szCs w:val="24"/>
          <w:u w:val="single"/>
        </w:rPr>
        <w:t>_</w:t>
      </w:r>
      <w:r>
        <w:rPr>
          <w:rFonts w:ascii="宋体" w:hAnsi="宋体" w:cs="宋体"/>
          <w:szCs w:val="24"/>
          <w:u w:val="single"/>
        </w:rPr>
        <w:t>____________</w:t>
      </w:r>
      <w:r>
        <w:rPr>
          <w:rFonts w:hint="eastAsia" w:ascii="宋体" w:hAnsi="宋体" w:cs="宋体"/>
          <w:szCs w:val="24"/>
          <w:u w:val="single"/>
        </w:rPr>
        <w:t xml:space="preserve"> </w:t>
      </w:r>
    </w:p>
    <w:p>
      <w:pPr>
        <w:snapToGrid w:val="0"/>
        <w:spacing w:line="276" w:lineRule="auto"/>
        <w:ind w:firstLine="480"/>
        <w:rPr>
          <w:rFonts w:ascii="宋体" w:hAnsi="宋体" w:cs="宋体"/>
          <w:szCs w:val="24"/>
        </w:rPr>
      </w:pPr>
      <w:r>
        <w:rPr>
          <w:rFonts w:hint="eastAsia" w:ascii="宋体" w:hAnsi="宋体" w:cs="宋体"/>
          <w:szCs w:val="24"/>
        </w:rPr>
        <w:t>投标人名称(公章):___________________</w:t>
      </w:r>
    </w:p>
    <w:p>
      <w:pPr>
        <w:snapToGrid w:val="0"/>
        <w:spacing w:line="276" w:lineRule="auto"/>
        <w:ind w:firstLine="480"/>
        <w:rPr>
          <w:rFonts w:ascii="宋体" w:hAnsi="宋体" w:cs="宋体"/>
          <w:szCs w:val="24"/>
        </w:rPr>
      </w:pPr>
      <w:r>
        <w:rPr>
          <w:rFonts w:hint="eastAsia" w:ascii="宋体" w:hAnsi="宋体" w:cs="宋体"/>
          <w:szCs w:val="24"/>
        </w:rPr>
        <w:t>开户银行：</w:t>
      </w:r>
      <w:r>
        <w:rPr>
          <w:rFonts w:hint="eastAsia" w:ascii="宋体" w:hAnsi="宋体" w:cs="宋体"/>
          <w:szCs w:val="24"/>
          <w:u w:val="single"/>
        </w:rPr>
        <w:t xml:space="preserve">                      </w:t>
      </w:r>
      <w:r>
        <w:rPr>
          <w:rFonts w:hint="eastAsia" w:ascii="宋体" w:hAnsi="宋体" w:cs="宋体"/>
          <w:szCs w:val="24"/>
        </w:rPr>
        <w:t xml:space="preserve">   银行帐号：</w:t>
      </w:r>
      <w:r>
        <w:rPr>
          <w:rFonts w:ascii="宋体" w:hAnsi="宋体" w:cs="宋体"/>
          <w:szCs w:val="24"/>
          <w:u w:val="single"/>
        </w:rPr>
        <w:t>____________________</w:t>
      </w:r>
    </w:p>
    <w:p>
      <w:pPr>
        <w:snapToGrid w:val="0"/>
        <w:spacing w:before="100" w:beforeAutospacing="1" w:after="100" w:afterAutospacing="1" w:line="276" w:lineRule="auto"/>
        <w:ind w:firstLine="480"/>
        <w:rPr>
          <w:rFonts w:ascii="宋体" w:hAnsi="宋体" w:cs="宋体"/>
          <w:szCs w:val="24"/>
        </w:rPr>
      </w:pPr>
      <w:r>
        <w:rPr>
          <w:rFonts w:hint="eastAsia" w:ascii="宋体" w:hAnsi="宋体" w:cs="宋体"/>
          <w:szCs w:val="24"/>
        </w:rPr>
        <w:t>法定代表人或授权代表签字（或盖章）:___________      日期:_____年___月___日</w:t>
      </w:r>
    </w:p>
    <w:p>
      <w:pPr>
        <w:snapToGrid w:val="0"/>
        <w:spacing w:before="100" w:beforeAutospacing="1" w:after="100" w:afterAutospacing="1" w:line="276" w:lineRule="auto"/>
        <w:ind w:firstLine="480"/>
        <w:jc w:val="center"/>
        <w:rPr>
          <w:rFonts w:ascii="宋体" w:hAnsi="宋体" w:cs="宋体"/>
          <w:szCs w:val="24"/>
        </w:rPr>
      </w:pPr>
      <w:r>
        <w:rPr>
          <w:rFonts w:hint="eastAsia" w:ascii="宋体" w:hAnsi="宋体" w:cs="宋体"/>
          <w:szCs w:val="24"/>
        </w:rPr>
        <w:br w:type="page"/>
      </w:r>
    </w:p>
    <w:p>
      <w:pPr>
        <w:snapToGrid w:val="0"/>
        <w:spacing w:before="100" w:beforeAutospacing="1" w:after="100" w:afterAutospacing="1" w:line="276" w:lineRule="auto"/>
        <w:ind w:firstLine="643"/>
        <w:jc w:val="center"/>
        <w:rPr>
          <w:rFonts w:ascii="宋体" w:hAnsi="宋体" w:cs="宋体"/>
          <w:b/>
          <w:bCs/>
          <w:sz w:val="32"/>
          <w:szCs w:val="32"/>
        </w:rPr>
      </w:pPr>
      <w:r>
        <w:rPr>
          <w:rFonts w:hint="eastAsia" w:ascii="宋体" w:hAnsi="宋体" w:cs="宋体"/>
          <w:b/>
          <w:bCs/>
          <w:sz w:val="32"/>
          <w:szCs w:val="32"/>
        </w:rPr>
        <w:t>十五、开标一览表格式</w:t>
      </w:r>
    </w:p>
    <w:p>
      <w:pPr>
        <w:snapToGrid w:val="0"/>
        <w:spacing w:before="100" w:beforeAutospacing="1" w:after="100" w:afterAutospacing="1" w:line="276" w:lineRule="auto"/>
        <w:ind w:firstLine="643"/>
        <w:jc w:val="center"/>
        <w:rPr>
          <w:rFonts w:ascii="宋体" w:hAnsi="宋体" w:cs="宋体"/>
          <w:b/>
          <w:bCs/>
          <w:sz w:val="32"/>
          <w:szCs w:val="32"/>
        </w:rPr>
      </w:pPr>
      <w:r>
        <w:rPr>
          <w:rFonts w:hint="eastAsia" w:ascii="宋体" w:hAnsi="宋体" w:cs="宋体"/>
          <w:b/>
          <w:bCs/>
          <w:sz w:val="32"/>
          <w:szCs w:val="32"/>
        </w:rPr>
        <w:t>开标一览表</w:t>
      </w:r>
    </w:p>
    <w:p>
      <w:pPr>
        <w:spacing w:before="120" w:beforeLines="50"/>
        <w:ind w:firstLine="480"/>
        <w:rPr>
          <w:rFonts w:ascii="宋体" w:hAnsi="宋体" w:cs="宋体"/>
          <w:szCs w:val="24"/>
        </w:rPr>
      </w:pPr>
      <w:r>
        <w:rPr>
          <w:rFonts w:hint="eastAsia" w:ascii="宋体" w:hAnsi="宋体" w:cs="宋体"/>
          <w:szCs w:val="24"/>
        </w:rPr>
        <w:t>投标单位名称（盖章）：__________________</w:t>
      </w:r>
    </w:p>
    <w:p>
      <w:pPr>
        <w:spacing w:before="120" w:beforeLines="50"/>
        <w:ind w:firstLine="480"/>
        <w:rPr>
          <w:rFonts w:ascii="宋体" w:hAnsi="宋体" w:cs="宋体"/>
          <w:szCs w:val="24"/>
          <w:u w:val="single"/>
        </w:rPr>
      </w:pPr>
      <w:r>
        <w:rPr>
          <w:rFonts w:hint="eastAsia" w:ascii="宋体" w:hAnsi="宋体" w:cs="宋体"/>
          <w:szCs w:val="24"/>
        </w:rPr>
        <w:t>项目编号：__________________</w:t>
      </w:r>
    </w:p>
    <w:tbl>
      <w:tblPr>
        <w:tblStyle w:val="3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07"/>
        <w:gridCol w:w="67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0" w:hRule="atLeast"/>
          <w:jc w:val="center"/>
        </w:trPr>
        <w:tc>
          <w:tcPr>
            <w:tcW w:w="2407" w:type="dxa"/>
            <w:vAlign w:val="center"/>
          </w:tcPr>
          <w:p>
            <w:pPr>
              <w:spacing w:line="380" w:lineRule="exact"/>
              <w:ind w:firstLine="0" w:firstLineChars="0"/>
              <w:jc w:val="center"/>
              <w:rPr>
                <w:rFonts w:ascii="宋体" w:hAnsi="宋体" w:cs="宋体"/>
                <w:b/>
                <w:szCs w:val="24"/>
              </w:rPr>
            </w:pPr>
            <w:r>
              <w:rPr>
                <w:rFonts w:hint="eastAsia" w:ascii="宋体" w:hAnsi="宋体" w:cs="宋体"/>
                <w:szCs w:val="24"/>
              </w:rPr>
              <w:t xml:space="preserve">                                          </w:t>
            </w:r>
            <w:r>
              <w:rPr>
                <w:rFonts w:hint="eastAsia" w:ascii="宋体" w:hAnsi="宋体" w:cs="宋体"/>
                <w:b/>
                <w:szCs w:val="24"/>
              </w:rPr>
              <w:t>项目名称</w:t>
            </w:r>
          </w:p>
        </w:tc>
        <w:tc>
          <w:tcPr>
            <w:tcW w:w="6705" w:type="dxa"/>
            <w:vAlign w:val="center"/>
          </w:tcPr>
          <w:p>
            <w:pPr>
              <w:spacing w:line="380" w:lineRule="exact"/>
              <w:ind w:firstLine="0" w:firstLineChars="0"/>
              <w:jc w:val="center"/>
              <w:rPr>
                <w:rFonts w:ascii="宋体" w:hAnsi="宋体" w:cs="宋体"/>
                <w:b/>
                <w:szCs w:val="24"/>
              </w:rPr>
            </w:pPr>
            <w:r>
              <w:rPr>
                <w:rFonts w:hint="eastAsia" w:ascii="宋体" w:hAnsi="宋体" w:cs="宋体"/>
                <w:b/>
                <w:szCs w:val="24"/>
              </w:rPr>
              <w:t>2023年城区信号灯路口配时优化项目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20" w:hRule="atLeast"/>
          <w:jc w:val="center"/>
        </w:trPr>
        <w:tc>
          <w:tcPr>
            <w:tcW w:w="2407" w:type="dxa"/>
            <w:vAlign w:val="center"/>
          </w:tcPr>
          <w:p>
            <w:pPr>
              <w:spacing w:line="380" w:lineRule="exact"/>
              <w:ind w:firstLine="0" w:firstLineChars="0"/>
              <w:jc w:val="center"/>
              <w:rPr>
                <w:rFonts w:ascii="宋体" w:hAnsi="宋体"/>
                <w:b/>
                <w:szCs w:val="24"/>
              </w:rPr>
            </w:pPr>
            <w:r>
              <w:rPr>
                <w:rFonts w:hint="eastAsia" w:ascii="宋体" w:hAnsi="宋体"/>
                <w:b/>
                <w:szCs w:val="24"/>
              </w:rPr>
              <w:t>投标总价</w:t>
            </w:r>
          </w:p>
        </w:tc>
        <w:tc>
          <w:tcPr>
            <w:tcW w:w="6705" w:type="dxa"/>
            <w:vAlign w:val="center"/>
          </w:tcPr>
          <w:p>
            <w:pPr>
              <w:spacing w:line="380" w:lineRule="exact"/>
              <w:ind w:firstLine="241" w:firstLineChars="100"/>
              <w:jc w:val="left"/>
              <w:rPr>
                <w:rFonts w:ascii="宋体" w:hAnsi="宋体"/>
                <w:b/>
                <w:szCs w:val="24"/>
              </w:rPr>
            </w:pPr>
            <w:r>
              <w:rPr>
                <w:rFonts w:hint="eastAsia" w:ascii="宋体" w:hAnsi="宋体"/>
                <w:b/>
                <w:szCs w:val="24"/>
              </w:rPr>
              <w:t>大写：人民币</w:t>
            </w:r>
          </w:p>
          <w:p>
            <w:pPr>
              <w:spacing w:line="380" w:lineRule="exact"/>
              <w:ind w:firstLine="241" w:firstLineChars="100"/>
              <w:jc w:val="left"/>
              <w:rPr>
                <w:rFonts w:ascii="宋体" w:hAnsi="宋体"/>
                <w:b/>
                <w:szCs w:val="24"/>
              </w:rPr>
            </w:pPr>
          </w:p>
          <w:p>
            <w:pPr>
              <w:spacing w:line="380" w:lineRule="exact"/>
              <w:ind w:firstLine="241" w:firstLineChars="100"/>
              <w:jc w:val="left"/>
              <w:rPr>
                <w:rFonts w:ascii="宋体" w:hAnsi="宋体"/>
                <w:b/>
                <w:szCs w:val="24"/>
              </w:rPr>
            </w:pPr>
            <w:r>
              <w:rPr>
                <w:rFonts w:hint="eastAsia" w:ascii="宋体" w:hAnsi="宋体"/>
                <w:b/>
                <w:szCs w:val="24"/>
              </w:rPr>
              <w:t>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5" w:hRule="atLeast"/>
          <w:jc w:val="center"/>
        </w:trPr>
        <w:tc>
          <w:tcPr>
            <w:tcW w:w="2407" w:type="dxa"/>
            <w:vAlign w:val="center"/>
          </w:tcPr>
          <w:p>
            <w:pPr>
              <w:spacing w:line="380" w:lineRule="exact"/>
              <w:ind w:firstLine="0" w:firstLineChars="0"/>
              <w:jc w:val="center"/>
              <w:rPr>
                <w:rFonts w:ascii="宋体" w:hAnsi="宋体" w:cs="宋体"/>
                <w:b/>
                <w:szCs w:val="24"/>
              </w:rPr>
            </w:pPr>
            <w:r>
              <w:rPr>
                <w:rFonts w:hint="eastAsia" w:ascii="宋体" w:hAnsi="宋体" w:cs="宋体"/>
                <w:b/>
                <w:szCs w:val="24"/>
              </w:rPr>
              <w:t>服务期限</w:t>
            </w:r>
          </w:p>
        </w:tc>
        <w:tc>
          <w:tcPr>
            <w:tcW w:w="6705" w:type="dxa"/>
            <w:vAlign w:val="center"/>
          </w:tcPr>
          <w:p>
            <w:pPr>
              <w:ind w:firstLine="0" w:firstLineChars="0"/>
              <w:rPr>
                <w:rFonts w:ascii="宋体" w:hAnsi="宋体" w:cs="宋体"/>
                <w:b/>
                <w:szCs w:val="24"/>
              </w:rPr>
            </w:pPr>
            <w:r>
              <w:rPr>
                <w:rFonts w:hint="eastAsia" w:ascii="宋体" w:hAnsi="宋体" w:cs="宋体"/>
                <w:color w:val="000000" w:themeColor="text1"/>
                <w:szCs w:val="24"/>
              </w:rPr>
              <w:t>本项目服务期自合同签订之日起一年；</w:t>
            </w:r>
            <w:r>
              <w:rPr>
                <w:rFonts w:hint="eastAsia" w:ascii="宋体" w:hAnsi="宋体" w:cs="宋体"/>
                <w:color w:val="000000" w:themeColor="text1"/>
                <w:kern w:val="0"/>
                <w:szCs w:val="24"/>
              </w:rPr>
              <w:t>服务期满后，如中标人提供的服务采购人满意，经双方协商一致并报县财政部门审核同意后可续签服务合同一年。</w:t>
            </w:r>
          </w:p>
        </w:tc>
      </w:tr>
    </w:tbl>
    <w:p>
      <w:pPr>
        <w:adjustRightInd w:val="0"/>
        <w:spacing w:line="300" w:lineRule="auto"/>
        <w:ind w:firstLine="480"/>
        <w:contextualSpacing/>
        <w:rPr>
          <w:rFonts w:ascii="宋体" w:hAnsi="宋体" w:cs="宋体"/>
          <w:szCs w:val="24"/>
        </w:rPr>
      </w:pPr>
      <w:r>
        <w:rPr>
          <w:rFonts w:hint="eastAsia" w:ascii="宋体" w:hAnsi="宋体" w:cs="宋体"/>
          <w:bCs/>
          <w:szCs w:val="24"/>
        </w:rPr>
        <w:t>注</w:t>
      </w:r>
      <w:r>
        <w:rPr>
          <w:rFonts w:hint="eastAsia" w:ascii="宋体" w:hAnsi="宋体" w:cs="宋体"/>
          <w:szCs w:val="24"/>
        </w:rPr>
        <w:t>： 1.报价一经涂改，应在涂改处加盖单位公章或者由法定代表人或被授权人签字或盖章，否则其投标作无效标处理。</w:t>
      </w:r>
    </w:p>
    <w:p>
      <w:pPr>
        <w:spacing w:line="300" w:lineRule="auto"/>
        <w:ind w:firstLine="480"/>
        <w:contextualSpacing/>
        <w:rPr>
          <w:rFonts w:ascii="宋体" w:hAnsi="宋体" w:cs="宋体"/>
          <w:bCs/>
          <w:szCs w:val="24"/>
        </w:rPr>
      </w:pPr>
      <w:r>
        <w:rPr>
          <w:rFonts w:hint="eastAsia" w:ascii="宋体" w:hAnsi="宋体" w:cs="宋体"/>
          <w:szCs w:val="24"/>
        </w:rPr>
        <w:t>2.报价包括完成项目</w:t>
      </w:r>
      <w:r>
        <w:rPr>
          <w:rFonts w:hint="eastAsia" w:ascii="宋体" w:hAnsi="宋体" w:cs="宋体"/>
        </w:rPr>
        <w:t>所需</w:t>
      </w:r>
      <w:r>
        <w:rPr>
          <w:rFonts w:hint="eastAsia" w:ascii="宋体" w:hAnsi="宋体"/>
          <w:szCs w:val="21"/>
        </w:rPr>
        <w:t>人工、材料、标准附件、备品备件、专用工具、包装、运输、装卸、保险、货到就位以及安装、调试、培训、保修、利润、税金、招标代理费等一切费用</w:t>
      </w:r>
      <w:r>
        <w:rPr>
          <w:rFonts w:hint="eastAsia" w:ascii="宋体" w:hAnsi="宋体" w:cs="宋体"/>
          <w:bCs/>
          <w:szCs w:val="24"/>
        </w:rPr>
        <w:t>。</w:t>
      </w:r>
    </w:p>
    <w:p>
      <w:pPr>
        <w:tabs>
          <w:tab w:val="left" w:pos="1418"/>
        </w:tabs>
        <w:ind w:firstLine="3360" w:firstLineChars="1400"/>
        <w:rPr>
          <w:rFonts w:ascii="宋体" w:hAnsi="宋体" w:cs="宋体"/>
          <w:color w:val="000000"/>
          <w:szCs w:val="24"/>
        </w:rPr>
      </w:pPr>
    </w:p>
    <w:p>
      <w:pPr>
        <w:tabs>
          <w:tab w:val="left" w:pos="1418"/>
        </w:tabs>
        <w:ind w:firstLine="3360" w:firstLineChars="1400"/>
        <w:rPr>
          <w:rFonts w:ascii="宋体" w:hAnsi="宋体" w:cs="宋体"/>
          <w:spacing w:val="20"/>
          <w:szCs w:val="24"/>
          <w:u w:val="single"/>
        </w:rPr>
      </w:pPr>
      <w:r>
        <w:rPr>
          <w:rFonts w:hint="eastAsia" w:ascii="宋体" w:hAnsi="宋体" w:cs="宋体"/>
          <w:szCs w:val="24"/>
        </w:rPr>
        <w:t>法定代表人或授权代表</w:t>
      </w:r>
      <w:r>
        <w:rPr>
          <w:rFonts w:hint="eastAsia" w:ascii="宋体" w:hAnsi="宋体" w:cs="宋体"/>
          <w:spacing w:val="20"/>
          <w:szCs w:val="24"/>
        </w:rPr>
        <w:t>签名</w:t>
      </w:r>
      <w:r>
        <w:rPr>
          <w:rFonts w:hint="eastAsia" w:ascii="宋体" w:hAnsi="宋体" w:cs="宋体"/>
          <w:szCs w:val="24"/>
        </w:rPr>
        <w:t>（或盖章）</w:t>
      </w:r>
      <w:r>
        <w:rPr>
          <w:rFonts w:hint="eastAsia" w:ascii="宋体" w:hAnsi="宋体" w:cs="宋体"/>
          <w:spacing w:val="20"/>
          <w:szCs w:val="24"/>
        </w:rPr>
        <w:t>：</w:t>
      </w:r>
      <w:r>
        <w:rPr>
          <w:rFonts w:hint="eastAsia" w:ascii="宋体" w:hAnsi="宋体" w:cs="宋体"/>
          <w:szCs w:val="24"/>
        </w:rPr>
        <w:t>___________</w:t>
      </w:r>
      <w:r>
        <w:rPr>
          <w:rFonts w:hint="eastAsia" w:ascii="宋体" w:hAnsi="宋体" w:cs="宋体"/>
          <w:spacing w:val="20"/>
          <w:szCs w:val="24"/>
          <w:u w:val="single"/>
        </w:rPr>
        <w:t xml:space="preserve">              </w:t>
      </w:r>
    </w:p>
    <w:p>
      <w:pPr>
        <w:snapToGrid w:val="0"/>
        <w:spacing w:before="100" w:beforeAutospacing="1" w:after="100" w:afterAutospacing="1" w:line="276" w:lineRule="auto"/>
        <w:ind w:firstLine="6580" w:firstLineChars="2350"/>
        <w:rPr>
          <w:rFonts w:ascii="宋体" w:hAnsi="宋体" w:cs="宋体"/>
          <w:spacing w:val="20"/>
          <w:szCs w:val="24"/>
          <w:u w:val="single"/>
        </w:rPr>
      </w:pPr>
      <w:r>
        <w:rPr>
          <w:rFonts w:hint="eastAsia" w:ascii="宋体" w:hAnsi="宋体" w:cs="宋体"/>
          <w:spacing w:val="20"/>
          <w:szCs w:val="24"/>
        </w:rPr>
        <w:t>日  期：</w:t>
      </w:r>
      <w:r>
        <w:rPr>
          <w:rFonts w:hint="eastAsia" w:ascii="宋体" w:hAnsi="宋体" w:cs="宋体"/>
          <w:szCs w:val="24"/>
        </w:rPr>
        <w:t>___________</w:t>
      </w:r>
      <w:r>
        <w:rPr>
          <w:rFonts w:hint="eastAsia" w:ascii="宋体" w:hAnsi="宋体" w:cs="宋体"/>
          <w:spacing w:val="20"/>
          <w:szCs w:val="24"/>
          <w:u w:val="single"/>
        </w:rPr>
        <w:t xml:space="preserve"> </w:t>
      </w:r>
    </w:p>
    <w:p>
      <w:pPr>
        <w:spacing w:line="300" w:lineRule="auto"/>
        <w:ind w:firstLine="315" w:firstLineChars="98"/>
        <w:jc w:val="center"/>
        <w:rPr>
          <w:rFonts w:ascii="宋体" w:hAnsi="宋体" w:cs="宋体"/>
          <w:b/>
          <w:bCs/>
          <w:sz w:val="32"/>
          <w:szCs w:val="32"/>
        </w:rPr>
      </w:pPr>
    </w:p>
    <w:p>
      <w:pPr>
        <w:spacing w:line="300" w:lineRule="auto"/>
        <w:ind w:firstLine="315" w:firstLineChars="98"/>
        <w:jc w:val="center"/>
        <w:rPr>
          <w:rFonts w:ascii="宋体" w:hAnsi="宋体" w:cs="宋体"/>
          <w:b/>
          <w:bCs/>
          <w:sz w:val="32"/>
          <w:szCs w:val="32"/>
        </w:rPr>
      </w:pPr>
    </w:p>
    <w:p>
      <w:pPr>
        <w:ind w:firstLine="643"/>
        <w:rPr>
          <w:rFonts w:ascii="宋体" w:hAnsi="宋体" w:cs="宋体"/>
          <w:b/>
          <w:bCs/>
          <w:sz w:val="32"/>
          <w:szCs w:val="32"/>
        </w:rPr>
      </w:pPr>
      <w:r>
        <w:rPr>
          <w:rFonts w:ascii="宋体" w:hAnsi="宋体" w:cs="宋体"/>
          <w:b/>
          <w:bCs/>
          <w:sz w:val="32"/>
          <w:szCs w:val="32"/>
        </w:rPr>
        <w:br w:type="page"/>
      </w:r>
    </w:p>
    <w:p>
      <w:pPr>
        <w:snapToGrid w:val="0"/>
        <w:spacing w:before="100" w:beforeAutospacing="1" w:after="100" w:afterAutospacing="1" w:line="300" w:lineRule="auto"/>
        <w:ind w:firstLine="0" w:firstLineChars="0"/>
        <w:contextualSpacing/>
        <w:jc w:val="center"/>
        <w:rPr>
          <w:rFonts w:ascii="宋体" w:hAnsi="宋体" w:cs="宋体"/>
          <w:b/>
          <w:bCs/>
          <w:color w:val="000000" w:themeColor="text1"/>
          <w:sz w:val="32"/>
          <w:szCs w:val="32"/>
        </w:rPr>
      </w:pPr>
      <w:r>
        <w:rPr>
          <w:rFonts w:hint="eastAsia" w:ascii="宋体" w:hAnsi="宋体" w:cs="宋体"/>
          <w:b/>
          <w:bCs/>
          <w:color w:val="000000" w:themeColor="text1"/>
          <w:sz w:val="32"/>
          <w:szCs w:val="32"/>
        </w:rPr>
        <w:t>十六、投标报价明细表格式</w:t>
      </w:r>
    </w:p>
    <w:p>
      <w:pPr>
        <w:pStyle w:val="18"/>
        <w:snapToGrid w:val="0"/>
        <w:spacing w:beforeLines="0" w:afterLines="0" w:line="300" w:lineRule="auto"/>
        <w:ind w:firstLine="0" w:firstLineChars="0"/>
        <w:contextualSpacing/>
        <w:jc w:val="center"/>
        <w:rPr>
          <w:rFonts w:hAnsi="宋体" w:cs="宋体"/>
          <w:b/>
          <w:bCs/>
          <w:color w:val="000000" w:themeColor="text1"/>
          <w:sz w:val="32"/>
          <w:szCs w:val="32"/>
        </w:rPr>
      </w:pPr>
      <w:r>
        <w:rPr>
          <w:rFonts w:hint="eastAsia" w:hAnsi="宋体" w:cs="宋体"/>
          <w:b/>
          <w:bCs/>
          <w:color w:val="000000" w:themeColor="text1"/>
          <w:sz w:val="32"/>
          <w:szCs w:val="32"/>
        </w:rPr>
        <w:t>投标报价明细表</w:t>
      </w:r>
    </w:p>
    <w:p>
      <w:pPr>
        <w:pStyle w:val="18"/>
        <w:snapToGrid w:val="0"/>
        <w:spacing w:beforeLines="0" w:afterLines="0" w:line="300" w:lineRule="auto"/>
        <w:ind w:firstLine="0" w:firstLineChars="0"/>
        <w:contextualSpacing/>
        <w:rPr>
          <w:rFonts w:hAnsi="宋体" w:cs="宋体"/>
          <w:color w:val="000000" w:themeColor="text1"/>
          <w:sz w:val="24"/>
          <w:szCs w:val="24"/>
        </w:rPr>
      </w:pPr>
      <w:r>
        <w:rPr>
          <w:rFonts w:hint="eastAsia" w:hAnsi="宋体" w:cs="宋体"/>
          <w:color w:val="000000" w:themeColor="text1"/>
          <w:sz w:val="24"/>
          <w:szCs w:val="24"/>
        </w:rPr>
        <w:t xml:space="preserve">                                                   金额单位：人民币（元）</w:t>
      </w:r>
    </w:p>
    <w:tbl>
      <w:tblPr>
        <w:tblStyle w:val="36"/>
        <w:tblW w:w="9869" w:type="dxa"/>
        <w:jc w:val="center"/>
        <w:tblLayout w:type="fixed"/>
        <w:tblCellMar>
          <w:top w:w="0" w:type="dxa"/>
          <w:left w:w="0" w:type="dxa"/>
          <w:bottom w:w="0" w:type="dxa"/>
          <w:right w:w="0" w:type="dxa"/>
        </w:tblCellMar>
      </w:tblPr>
      <w:tblGrid>
        <w:gridCol w:w="609"/>
        <w:gridCol w:w="1640"/>
        <w:gridCol w:w="2458"/>
        <w:gridCol w:w="840"/>
        <w:gridCol w:w="825"/>
        <w:gridCol w:w="1269"/>
        <w:gridCol w:w="1093"/>
        <w:gridCol w:w="1135"/>
      </w:tblGrid>
      <w:tr>
        <w:tblPrEx>
          <w:tblCellMar>
            <w:top w:w="0" w:type="dxa"/>
            <w:left w:w="0" w:type="dxa"/>
            <w:bottom w:w="0" w:type="dxa"/>
            <w:right w:w="0" w:type="dxa"/>
          </w:tblCellMar>
        </w:tblPrEx>
        <w:trPr>
          <w:trHeight w:val="572" w:hRule="atLeast"/>
          <w:jc w:val="center"/>
        </w:trPr>
        <w:tc>
          <w:tcPr>
            <w:tcW w:w="6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djustRightInd w:val="0"/>
              <w:snapToGrid w:val="0"/>
              <w:spacing w:line="300" w:lineRule="auto"/>
              <w:ind w:firstLine="0" w:firstLineChars="0"/>
              <w:jc w:val="center"/>
              <w:rPr>
                <w:rFonts w:ascii="宋体"/>
                <w:color w:val="000000" w:themeColor="text1"/>
                <w:szCs w:val="24"/>
              </w:rPr>
            </w:pPr>
            <w:r>
              <w:rPr>
                <w:rFonts w:hint="eastAsia" w:ascii="宋体"/>
                <w:color w:val="000000" w:themeColor="text1"/>
                <w:szCs w:val="24"/>
              </w:rPr>
              <w:t>序号</w:t>
            </w:r>
          </w:p>
        </w:tc>
        <w:tc>
          <w:tcPr>
            <w:tcW w:w="16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djustRightInd w:val="0"/>
              <w:snapToGrid w:val="0"/>
              <w:spacing w:line="300" w:lineRule="auto"/>
              <w:ind w:firstLine="0" w:firstLineChars="0"/>
              <w:jc w:val="center"/>
              <w:rPr>
                <w:rFonts w:ascii="宋体"/>
                <w:color w:val="000000" w:themeColor="text1"/>
                <w:szCs w:val="24"/>
              </w:rPr>
            </w:pPr>
            <w:r>
              <w:rPr>
                <w:rFonts w:hint="eastAsia" w:ascii="宋体"/>
                <w:color w:val="000000" w:themeColor="text1"/>
                <w:szCs w:val="24"/>
              </w:rPr>
              <w:t>项目内容</w:t>
            </w:r>
          </w:p>
        </w:tc>
        <w:tc>
          <w:tcPr>
            <w:tcW w:w="24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djustRightInd w:val="0"/>
              <w:snapToGrid w:val="0"/>
              <w:spacing w:line="300" w:lineRule="auto"/>
              <w:ind w:firstLine="0" w:firstLineChars="0"/>
              <w:jc w:val="center"/>
              <w:rPr>
                <w:rFonts w:ascii="宋体"/>
                <w:color w:val="000000" w:themeColor="text1"/>
                <w:szCs w:val="24"/>
              </w:rPr>
            </w:pPr>
            <w:r>
              <w:rPr>
                <w:rFonts w:hint="eastAsia" w:ascii="宋体"/>
                <w:color w:val="000000" w:themeColor="text1"/>
                <w:szCs w:val="24"/>
              </w:rPr>
              <w:t>规格</w:t>
            </w:r>
          </w:p>
        </w:tc>
        <w:tc>
          <w:tcPr>
            <w:tcW w:w="840"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widowControl/>
              <w:adjustRightInd w:val="0"/>
              <w:snapToGrid w:val="0"/>
              <w:spacing w:line="300" w:lineRule="auto"/>
              <w:ind w:firstLine="0" w:firstLineChars="0"/>
              <w:jc w:val="center"/>
              <w:rPr>
                <w:rFonts w:ascii="宋体"/>
                <w:color w:val="000000" w:themeColor="text1"/>
                <w:szCs w:val="24"/>
              </w:rPr>
            </w:pPr>
            <w:r>
              <w:rPr>
                <w:rFonts w:hint="eastAsia" w:ascii="宋体"/>
                <w:color w:val="000000" w:themeColor="text1"/>
                <w:szCs w:val="24"/>
              </w:rPr>
              <w:t>数量</w:t>
            </w:r>
          </w:p>
        </w:tc>
        <w:tc>
          <w:tcPr>
            <w:tcW w:w="825" w:type="dxa"/>
            <w:tcBorders>
              <w:top w:val="single" w:color="000000" w:sz="4" w:space="0"/>
              <w:left w:val="single" w:color="auto" w:sz="4" w:space="0"/>
              <w:bottom w:val="single" w:color="000000" w:sz="4" w:space="0"/>
              <w:right w:val="single" w:color="auto" w:sz="4" w:space="0"/>
            </w:tcBorders>
            <w:tcMar>
              <w:top w:w="0" w:type="dxa"/>
              <w:left w:w="108" w:type="dxa"/>
              <w:bottom w:w="0" w:type="dxa"/>
              <w:right w:w="108" w:type="dxa"/>
            </w:tcMar>
            <w:vAlign w:val="center"/>
          </w:tcPr>
          <w:p>
            <w:pPr>
              <w:widowControl/>
              <w:adjustRightInd w:val="0"/>
              <w:snapToGrid w:val="0"/>
              <w:spacing w:line="300" w:lineRule="auto"/>
              <w:ind w:firstLine="0" w:firstLineChars="0"/>
              <w:jc w:val="center"/>
              <w:rPr>
                <w:rFonts w:ascii="宋体"/>
                <w:color w:val="000000" w:themeColor="text1"/>
                <w:szCs w:val="24"/>
              </w:rPr>
            </w:pPr>
            <w:r>
              <w:rPr>
                <w:rFonts w:hint="eastAsia" w:ascii="宋体"/>
                <w:color w:val="000000" w:themeColor="text1"/>
                <w:szCs w:val="24"/>
              </w:rPr>
              <w:t>单位</w:t>
            </w:r>
          </w:p>
        </w:tc>
        <w:tc>
          <w:tcPr>
            <w:tcW w:w="1269" w:type="dxa"/>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tabs>
                <w:tab w:val="left" w:pos="1418"/>
              </w:tabs>
              <w:snapToGrid w:val="0"/>
              <w:spacing w:before="100" w:beforeAutospacing="1" w:after="100" w:afterAutospacing="1" w:line="276" w:lineRule="auto"/>
              <w:ind w:firstLine="0" w:firstLineChars="0"/>
              <w:jc w:val="center"/>
              <w:rPr>
                <w:rFonts w:ascii="宋体" w:hAnsi="宋体" w:cs="宋体"/>
                <w:color w:val="000000" w:themeColor="text1"/>
                <w:spacing w:val="20"/>
                <w:szCs w:val="24"/>
              </w:rPr>
            </w:pPr>
            <w:r>
              <w:rPr>
                <w:rFonts w:hint="eastAsia" w:ascii="宋体" w:hAnsi="宋体" w:cs="宋体"/>
                <w:color w:val="000000" w:themeColor="text1"/>
                <w:szCs w:val="24"/>
              </w:rPr>
              <w:t>单价</w:t>
            </w:r>
          </w:p>
        </w:tc>
        <w:tc>
          <w:tcPr>
            <w:tcW w:w="1093" w:type="dxa"/>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tabs>
                <w:tab w:val="left" w:pos="1418"/>
              </w:tabs>
              <w:snapToGrid w:val="0"/>
              <w:spacing w:before="100" w:beforeAutospacing="1" w:after="100" w:afterAutospacing="1" w:line="276" w:lineRule="auto"/>
              <w:ind w:firstLine="0" w:firstLineChars="0"/>
              <w:jc w:val="center"/>
              <w:rPr>
                <w:rFonts w:ascii="宋体" w:hAnsi="宋体" w:cs="宋体"/>
                <w:color w:val="000000" w:themeColor="text1"/>
                <w:spacing w:val="20"/>
                <w:szCs w:val="24"/>
              </w:rPr>
            </w:pPr>
            <w:r>
              <w:rPr>
                <w:rFonts w:hint="eastAsia" w:ascii="宋体" w:hAnsi="宋体" w:cs="宋体"/>
                <w:color w:val="000000" w:themeColor="text1"/>
                <w:spacing w:val="20"/>
                <w:szCs w:val="24"/>
              </w:rPr>
              <w:t>合价</w:t>
            </w:r>
          </w:p>
        </w:tc>
        <w:tc>
          <w:tcPr>
            <w:tcW w:w="1135" w:type="dxa"/>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widowControl/>
              <w:adjustRightInd w:val="0"/>
              <w:snapToGrid w:val="0"/>
              <w:spacing w:line="300" w:lineRule="auto"/>
              <w:ind w:firstLine="0" w:firstLineChars="0"/>
              <w:jc w:val="center"/>
              <w:rPr>
                <w:rFonts w:ascii="宋体"/>
                <w:color w:val="000000" w:themeColor="text1"/>
                <w:szCs w:val="24"/>
              </w:rPr>
            </w:pPr>
            <w:r>
              <w:rPr>
                <w:rFonts w:hint="eastAsia" w:ascii="宋体"/>
                <w:color w:val="000000" w:themeColor="text1"/>
                <w:szCs w:val="24"/>
              </w:rPr>
              <w:t>备注</w:t>
            </w:r>
          </w:p>
        </w:tc>
      </w:tr>
      <w:tr>
        <w:tblPrEx>
          <w:tblCellMar>
            <w:top w:w="0" w:type="dxa"/>
            <w:left w:w="0" w:type="dxa"/>
            <w:bottom w:w="0" w:type="dxa"/>
            <w:right w:w="0" w:type="dxa"/>
          </w:tblCellMar>
        </w:tblPrEx>
        <w:trPr>
          <w:trHeight w:val="567" w:hRule="atLeast"/>
          <w:jc w:val="center"/>
        </w:trPr>
        <w:tc>
          <w:tcPr>
            <w:tcW w:w="60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djustRightInd w:val="0"/>
              <w:snapToGrid w:val="0"/>
              <w:spacing w:line="300" w:lineRule="auto"/>
              <w:ind w:firstLine="0" w:firstLineChars="0"/>
              <w:jc w:val="center"/>
              <w:rPr>
                <w:rFonts w:ascii="宋体"/>
                <w:color w:val="000000" w:themeColor="text1"/>
                <w:szCs w:val="24"/>
              </w:rPr>
            </w:pPr>
            <w:r>
              <w:rPr>
                <w:rFonts w:hint="eastAsia" w:ascii="宋体"/>
                <w:color w:val="000000" w:themeColor="text1"/>
                <w:szCs w:val="24"/>
              </w:rPr>
              <w:t>1</w:t>
            </w:r>
          </w:p>
        </w:tc>
        <w:tc>
          <w:tcPr>
            <w:tcW w:w="164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djustRightInd w:val="0"/>
              <w:snapToGrid w:val="0"/>
              <w:spacing w:line="300" w:lineRule="auto"/>
              <w:ind w:firstLine="0" w:firstLineChars="0"/>
              <w:jc w:val="center"/>
              <w:rPr>
                <w:rFonts w:ascii="宋体"/>
                <w:color w:val="auto"/>
                <w:szCs w:val="24"/>
                <w:highlight w:val="none"/>
              </w:rPr>
            </w:pPr>
            <w:r>
              <w:rPr>
                <w:rFonts w:hint="eastAsia" w:ascii="宋体"/>
                <w:color w:val="auto"/>
                <w:szCs w:val="24"/>
                <w:highlight w:val="none"/>
              </w:rPr>
              <w:t>路口全年运营维护服务</w:t>
            </w:r>
          </w:p>
        </w:tc>
        <w:tc>
          <w:tcPr>
            <w:tcW w:w="245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djustRightInd w:val="0"/>
              <w:snapToGrid w:val="0"/>
              <w:spacing w:line="300" w:lineRule="auto"/>
              <w:ind w:firstLine="0" w:firstLineChars="0"/>
              <w:jc w:val="center"/>
              <w:rPr>
                <w:rFonts w:ascii="宋体"/>
                <w:color w:val="auto"/>
                <w:szCs w:val="24"/>
                <w:highlight w:val="none"/>
              </w:rPr>
            </w:pPr>
          </w:p>
        </w:tc>
        <w:tc>
          <w:tcPr>
            <w:tcW w:w="840"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snapToGrid w:val="0"/>
              <w:spacing w:line="300" w:lineRule="auto"/>
              <w:ind w:firstLine="0" w:firstLineChars="0"/>
              <w:jc w:val="center"/>
              <w:rPr>
                <w:rFonts w:ascii="宋体"/>
                <w:color w:val="auto"/>
                <w:szCs w:val="24"/>
                <w:highlight w:val="none"/>
              </w:rPr>
            </w:pPr>
            <w:r>
              <w:rPr>
                <w:rFonts w:ascii="宋体"/>
                <w:color w:val="auto"/>
                <w:szCs w:val="24"/>
                <w:highlight w:val="none"/>
              </w:rPr>
              <w:t>290</w:t>
            </w:r>
          </w:p>
        </w:tc>
        <w:tc>
          <w:tcPr>
            <w:tcW w:w="825" w:type="dxa"/>
            <w:tcBorders>
              <w:top w:val="single" w:color="000000" w:sz="4" w:space="0"/>
              <w:left w:val="single" w:color="auto" w:sz="4" w:space="0"/>
              <w:bottom w:val="single" w:color="000000" w:sz="4" w:space="0"/>
              <w:right w:val="single" w:color="auto" w:sz="4" w:space="0"/>
            </w:tcBorders>
            <w:tcMar>
              <w:top w:w="0" w:type="dxa"/>
              <w:left w:w="108" w:type="dxa"/>
              <w:bottom w:w="0" w:type="dxa"/>
              <w:right w:w="108" w:type="dxa"/>
            </w:tcMar>
            <w:vAlign w:val="center"/>
          </w:tcPr>
          <w:p>
            <w:pPr>
              <w:snapToGrid w:val="0"/>
              <w:spacing w:line="300" w:lineRule="auto"/>
              <w:ind w:firstLine="0" w:firstLineChars="0"/>
              <w:jc w:val="center"/>
              <w:rPr>
                <w:rFonts w:ascii="宋体"/>
                <w:color w:val="auto"/>
                <w:szCs w:val="24"/>
                <w:highlight w:val="none"/>
              </w:rPr>
            </w:pPr>
            <w:r>
              <w:rPr>
                <w:rFonts w:hint="eastAsia" w:ascii="宋体"/>
                <w:color w:val="auto"/>
                <w:szCs w:val="24"/>
                <w:highlight w:val="none"/>
              </w:rPr>
              <w:t>个路口</w:t>
            </w:r>
          </w:p>
        </w:tc>
        <w:tc>
          <w:tcPr>
            <w:tcW w:w="1269" w:type="dxa"/>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auto"/>
              <w:ind w:firstLine="0" w:firstLineChars="0"/>
              <w:jc w:val="center"/>
              <w:rPr>
                <w:rFonts w:ascii="宋体"/>
                <w:color w:val="auto"/>
                <w:szCs w:val="24"/>
                <w:highlight w:val="none"/>
              </w:rPr>
            </w:pPr>
          </w:p>
        </w:tc>
        <w:tc>
          <w:tcPr>
            <w:tcW w:w="1093" w:type="dxa"/>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auto"/>
              <w:ind w:firstLine="0" w:firstLineChars="0"/>
              <w:jc w:val="center"/>
              <w:rPr>
                <w:rFonts w:ascii="宋体"/>
                <w:color w:val="000000" w:themeColor="text1"/>
                <w:szCs w:val="24"/>
              </w:rPr>
            </w:pPr>
          </w:p>
        </w:tc>
        <w:tc>
          <w:tcPr>
            <w:tcW w:w="1135" w:type="dxa"/>
            <w:tcBorders>
              <w:top w:val="single" w:color="000000" w:sz="4" w:space="0"/>
              <w:left w:val="single" w:color="auto" w:sz="4" w:space="0"/>
              <w:bottom w:val="single" w:color="000000" w:sz="4" w:space="0"/>
              <w:right w:val="single" w:color="000000" w:sz="4" w:space="0"/>
            </w:tcBorders>
            <w:tcMar>
              <w:top w:w="0" w:type="dxa"/>
              <w:left w:w="108" w:type="dxa"/>
              <w:bottom w:w="0" w:type="dxa"/>
              <w:right w:w="108" w:type="dxa"/>
            </w:tcMar>
            <w:vAlign w:val="center"/>
          </w:tcPr>
          <w:p>
            <w:pPr>
              <w:snapToGrid w:val="0"/>
              <w:spacing w:line="300" w:lineRule="auto"/>
              <w:ind w:firstLine="0" w:firstLineChars="0"/>
              <w:jc w:val="center"/>
              <w:rPr>
                <w:rFonts w:ascii="宋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09" w:type="dxa"/>
            <w:tcMar>
              <w:top w:w="0" w:type="dxa"/>
              <w:left w:w="108" w:type="dxa"/>
              <w:bottom w:w="0" w:type="dxa"/>
              <w:right w:w="108" w:type="dxa"/>
            </w:tcMar>
            <w:vAlign w:val="center"/>
          </w:tcPr>
          <w:p>
            <w:pPr>
              <w:snapToGrid w:val="0"/>
              <w:spacing w:line="300" w:lineRule="auto"/>
              <w:ind w:firstLine="0" w:firstLineChars="0"/>
              <w:jc w:val="center"/>
              <w:rPr>
                <w:rFonts w:ascii="宋体"/>
                <w:color w:val="000000" w:themeColor="text1"/>
                <w:szCs w:val="24"/>
              </w:rPr>
            </w:pPr>
            <w:r>
              <w:rPr>
                <w:rFonts w:hint="eastAsia" w:ascii="宋体"/>
                <w:color w:val="000000" w:themeColor="text1"/>
                <w:szCs w:val="24"/>
              </w:rPr>
              <w:t>2</w:t>
            </w:r>
          </w:p>
        </w:tc>
        <w:tc>
          <w:tcPr>
            <w:tcW w:w="1640" w:type="dxa"/>
            <w:tcMar>
              <w:top w:w="0" w:type="dxa"/>
              <w:left w:w="108" w:type="dxa"/>
              <w:bottom w:w="0" w:type="dxa"/>
              <w:right w:w="108" w:type="dxa"/>
            </w:tcMar>
            <w:vAlign w:val="center"/>
          </w:tcPr>
          <w:p>
            <w:pPr>
              <w:snapToGrid w:val="0"/>
              <w:spacing w:line="300" w:lineRule="auto"/>
              <w:ind w:firstLine="0" w:firstLineChars="0"/>
              <w:jc w:val="center"/>
              <w:rPr>
                <w:rFonts w:ascii="宋体"/>
                <w:color w:val="auto"/>
                <w:szCs w:val="24"/>
                <w:highlight w:val="none"/>
              </w:rPr>
            </w:pPr>
            <w:r>
              <w:rPr>
                <w:rFonts w:hint="eastAsia" w:ascii="宋体"/>
                <w:color w:val="auto"/>
                <w:szCs w:val="24"/>
                <w:highlight w:val="none"/>
              </w:rPr>
              <w:t>绿波标志牌</w:t>
            </w:r>
          </w:p>
        </w:tc>
        <w:tc>
          <w:tcPr>
            <w:tcW w:w="2458" w:type="dxa"/>
            <w:tcMar>
              <w:top w:w="0" w:type="dxa"/>
              <w:left w:w="108" w:type="dxa"/>
              <w:bottom w:w="0" w:type="dxa"/>
              <w:right w:w="108" w:type="dxa"/>
            </w:tcMar>
            <w:vAlign w:val="center"/>
          </w:tcPr>
          <w:p>
            <w:pPr>
              <w:snapToGrid w:val="0"/>
              <w:spacing w:line="300" w:lineRule="auto"/>
              <w:ind w:firstLine="0" w:firstLineChars="0"/>
              <w:jc w:val="center"/>
              <w:rPr>
                <w:rFonts w:ascii="宋体"/>
                <w:color w:val="auto"/>
                <w:szCs w:val="24"/>
                <w:highlight w:val="none"/>
              </w:rPr>
            </w:pPr>
            <w:r>
              <w:rPr>
                <w:rFonts w:hint="eastAsia" w:ascii="宋体"/>
                <w:color w:val="auto"/>
                <w:szCs w:val="24"/>
                <w:highlight w:val="none"/>
              </w:rPr>
              <w:t>1000*1500*2mm铝合金板， V类反光膜，覆膜</w:t>
            </w:r>
          </w:p>
        </w:tc>
        <w:tc>
          <w:tcPr>
            <w:tcW w:w="840" w:type="dxa"/>
            <w:tcMar>
              <w:top w:w="0" w:type="dxa"/>
              <w:left w:w="108" w:type="dxa"/>
              <w:bottom w:w="0" w:type="dxa"/>
              <w:right w:w="108" w:type="dxa"/>
            </w:tcMar>
            <w:vAlign w:val="center"/>
          </w:tcPr>
          <w:p>
            <w:pPr>
              <w:snapToGrid w:val="0"/>
              <w:spacing w:line="300" w:lineRule="auto"/>
              <w:ind w:firstLine="0" w:firstLineChars="0"/>
              <w:jc w:val="center"/>
              <w:rPr>
                <w:rFonts w:ascii="宋体"/>
                <w:color w:val="auto"/>
                <w:szCs w:val="24"/>
                <w:highlight w:val="none"/>
              </w:rPr>
            </w:pPr>
            <w:r>
              <w:rPr>
                <w:rFonts w:ascii="宋体"/>
                <w:color w:val="auto"/>
                <w:szCs w:val="24"/>
                <w:highlight w:val="none"/>
              </w:rPr>
              <w:t>400</w:t>
            </w:r>
          </w:p>
        </w:tc>
        <w:tc>
          <w:tcPr>
            <w:tcW w:w="825" w:type="dxa"/>
            <w:tcMar>
              <w:top w:w="0" w:type="dxa"/>
              <w:left w:w="108" w:type="dxa"/>
              <w:bottom w:w="0" w:type="dxa"/>
              <w:right w:w="108" w:type="dxa"/>
            </w:tcMar>
            <w:vAlign w:val="center"/>
          </w:tcPr>
          <w:p>
            <w:pPr>
              <w:snapToGrid w:val="0"/>
              <w:spacing w:line="300" w:lineRule="auto"/>
              <w:ind w:firstLine="0" w:firstLineChars="0"/>
              <w:jc w:val="center"/>
              <w:rPr>
                <w:rFonts w:ascii="宋体"/>
                <w:color w:val="auto"/>
                <w:szCs w:val="24"/>
                <w:highlight w:val="none"/>
              </w:rPr>
            </w:pPr>
            <w:r>
              <w:rPr>
                <w:rFonts w:hint="eastAsia" w:ascii="宋体"/>
                <w:color w:val="auto"/>
                <w:szCs w:val="24"/>
                <w:highlight w:val="none"/>
              </w:rPr>
              <w:t>块</w:t>
            </w:r>
          </w:p>
        </w:tc>
        <w:tc>
          <w:tcPr>
            <w:tcW w:w="1269" w:type="dxa"/>
            <w:tcMar>
              <w:top w:w="0" w:type="dxa"/>
              <w:left w:w="108" w:type="dxa"/>
              <w:bottom w:w="0" w:type="dxa"/>
              <w:right w:w="108" w:type="dxa"/>
            </w:tcMar>
            <w:vAlign w:val="center"/>
          </w:tcPr>
          <w:p>
            <w:pPr>
              <w:snapToGrid w:val="0"/>
              <w:spacing w:line="300" w:lineRule="auto"/>
              <w:ind w:firstLine="0" w:firstLineChars="0"/>
              <w:jc w:val="center"/>
              <w:rPr>
                <w:rFonts w:ascii="宋体"/>
                <w:color w:val="auto"/>
                <w:szCs w:val="24"/>
                <w:highlight w:val="none"/>
              </w:rPr>
            </w:pPr>
          </w:p>
        </w:tc>
        <w:tc>
          <w:tcPr>
            <w:tcW w:w="1093" w:type="dxa"/>
            <w:tcMar>
              <w:top w:w="0" w:type="dxa"/>
              <w:left w:w="108" w:type="dxa"/>
              <w:bottom w:w="0" w:type="dxa"/>
              <w:right w:w="108" w:type="dxa"/>
            </w:tcMar>
            <w:vAlign w:val="center"/>
          </w:tcPr>
          <w:p>
            <w:pPr>
              <w:snapToGrid w:val="0"/>
              <w:spacing w:line="300" w:lineRule="auto"/>
              <w:ind w:firstLine="0" w:firstLineChars="0"/>
              <w:jc w:val="center"/>
              <w:rPr>
                <w:rFonts w:ascii="宋体"/>
                <w:color w:val="000000" w:themeColor="text1"/>
                <w:szCs w:val="24"/>
                <w:highlight w:val="yellow"/>
              </w:rPr>
            </w:pPr>
          </w:p>
        </w:tc>
        <w:tc>
          <w:tcPr>
            <w:tcW w:w="1135" w:type="dxa"/>
            <w:tcMar>
              <w:top w:w="0" w:type="dxa"/>
              <w:left w:w="108" w:type="dxa"/>
              <w:bottom w:w="0" w:type="dxa"/>
              <w:right w:w="108" w:type="dxa"/>
            </w:tcMar>
            <w:vAlign w:val="center"/>
          </w:tcPr>
          <w:p>
            <w:pPr>
              <w:snapToGrid w:val="0"/>
              <w:spacing w:line="300" w:lineRule="auto"/>
              <w:ind w:firstLine="0" w:firstLineChars="0"/>
              <w:jc w:val="center"/>
              <w:rPr>
                <w:rFonts w:ascii="宋体"/>
                <w:color w:val="000000" w:themeColor="text1"/>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09" w:type="dxa"/>
            <w:tcMar>
              <w:top w:w="0" w:type="dxa"/>
              <w:left w:w="108" w:type="dxa"/>
              <w:bottom w:w="0" w:type="dxa"/>
              <w:right w:w="108" w:type="dxa"/>
            </w:tcMar>
            <w:vAlign w:val="center"/>
          </w:tcPr>
          <w:p>
            <w:pPr>
              <w:snapToGrid w:val="0"/>
              <w:spacing w:line="300" w:lineRule="auto"/>
              <w:ind w:firstLine="0" w:firstLineChars="0"/>
              <w:jc w:val="center"/>
              <w:rPr>
                <w:rFonts w:ascii="宋体"/>
                <w:color w:val="auto"/>
                <w:szCs w:val="24"/>
              </w:rPr>
            </w:pPr>
            <w:r>
              <w:rPr>
                <w:rFonts w:hint="eastAsia" w:ascii="宋体"/>
                <w:color w:val="auto"/>
                <w:szCs w:val="24"/>
              </w:rPr>
              <w:t>3</w:t>
            </w:r>
          </w:p>
        </w:tc>
        <w:tc>
          <w:tcPr>
            <w:tcW w:w="1640" w:type="dxa"/>
            <w:tcMar>
              <w:top w:w="0" w:type="dxa"/>
              <w:left w:w="108" w:type="dxa"/>
              <w:bottom w:w="0" w:type="dxa"/>
              <w:right w:w="108" w:type="dxa"/>
            </w:tcMar>
            <w:vAlign w:val="center"/>
          </w:tcPr>
          <w:p>
            <w:pPr>
              <w:snapToGrid w:val="0"/>
              <w:spacing w:line="300" w:lineRule="auto"/>
              <w:ind w:firstLine="0" w:firstLineChars="0"/>
              <w:jc w:val="center"/>
              <w:rPr>
                <w:rFonts w:ascii="宋体"/>
                <w:color w:val="auto"/>
                <w:szCs w:val="24"/>
              </w:rPr>
            </w:pPr>
            <w:r>
              <w:rPr>
                <w:rFonts w:hint="eastAsia" w:ascii="宋体"/>
                <w:color w:val="auto"/>
                <w:szCs w:val="24"/>
              </w:rPr>
              <w:t>绿波标志牌换膜</w:t>
            </w:r>
          </w:p>
        </w:tc>
        <w:tc>
          <w:tcPr>
            <w:tcW w:w="2458" w:type="dxa"/>
            <w:tcMar>
              <w:top w:w="0" w:type="dxa"/>
              <w:left w:w="108" w:type="dxa"/>
              <w:bottom w:w="0" w:type="dxa"/>
              <w:right w:w="108" w:type="dxa"/>
            </w:tcMar>
            <w:vAlign w:val="center"/>
          </w:tcPr>
          <w:p>
            <w:pPr>
              <w:snapToGrid w:val="0"/>
              <w:spacing w:line="300" w:lineRule="auto"/>
              <w:ind w:firstLine="0" w:firstLineChars="0"/>
              <w:jc w:val="center"/>
              <w:rPr>
                <w:rFonts w:ascii="宋体"/>
                <w:color w:val="auto"/>
                <w:szCs w:val="24"/>
              </w:rPr>
            </w:pPr>
            <w:r>
              <w:rPr>
                <w:rFonts w:hint="eastAsia" w:ascii="宋体"/>
                <w:color w:val="auto"/>
                <w:szCs w:val="24"/>
              </w:rPr>
              <w:t>V类反光膜，覆膜</w:t>
            </w:r>
          </w:p>
        </w:tc>
        <w:tc>
          <w:tcPr>
            <w:tcW w:w="840" w:type="dxa"/>
            <w:tcMar>
              <w:top w:w="0" w:type="dxa"/>
              <w:left w:w="108" w:type="dxa"/>
              <w:bottom w:w="0" w:type="dxa"/>
              <w:right w:w="108" w:type="dxa"/>
            </w:tcMar>
            <w:vAlign w:val="center"/>
          </w:tcPr>
          <w:p>
            <w:pPr>
              <w:snapToGrid w:val="0"/>
              <w:spacing w:line="300" w:lineRule="auto"/>
              <w:ind w:firstLine="0" w:firstLineChars="0"/>
              <w:jc w:val="center"/>
              <w:rPr>
                <w:rFonts w:ascii="宋体"/>
                <w:color w:val="auto"/>
                <w:szCs w:val="24"/>
              </w:rPr>
            </w:pPr>
            <w:r>
              <w:rPr>
                <w:rFonts w:hint="eastAsia" w:ascii="宋体"/>
                <w:color w:val="auto"/>
                <w:szCs w:val="24"/>
              </w:rPr>
              <w:t>90</w:t>
            </w:r>
          </w:p>
        </w:tc>
        <w:tc>
          <w:tcPr>
            <w:tcW w:w="825" w:type="dxa"/>
            <w:tcMar>
              <w:top w:w="0" w:type="dxa"/>
              <w:left w:w="108" w:type="dxa"/>
              <w:bottom w:w="0" w:type="dxa"/>
              <w:right w:w="108" w:type="dxa"/>
            </w:tcMar>
            <w:vAlign w:val="center"/>
          </w:tcPr>
          <w:p>
            <w:pPr>
              <w:snapToGrid w:val="0"/>
              <w:spacing w:line="300" w:lineRule="auto"/>
              <w:ind w:firstLine="0" w:firstLineChars="0"/>
              <w:jc w:val="center"/>
              <w:rPr>
                <w:rFonts w:ascii="宋体"/>
                <w:color w:val="auto"/>
                <w:szCs w:val="24"/>
              </w:rPr>
            </w:pPr>
            <w:r>
              <w:rPr>
                <w:rFonts w:hint="eastAsia" w:ascii="宋体"/>
                <w:color w:val="auto"/>
                <w:szCs w:val="24"/>
              </w:rPr>
              <w:t>平方</w:t>
            </w:r>
          </w:p>
        </w:tc>
        <w:tc>
          <w:tcPr>
            <w:tcW w:w="1269" w:type="dxa"/>
            <w:tcMar>
              <w:top w:w="0" w:type="dxa"/>
              <w:left w:w="108" w:type="dxa"/>
              <w:bottom w:w="0" w:type="dxa"/>
              <w:right w:w="108" w:type="dxa"/>
            </w:tcMar>
            <w:vAlign w:val="center"/>
          </w:tcPr>
          <w:p>
            <w:pPr>
              <w:snapToGrid w:val="0"/>
              <w:spacing w:line="300" w:lineRule="auto"/>
              <w:ind w:firstLine="0" w:firstLineChars="0"/>
              <w:jc w:val="center"/>
              <w:rPr>
                <w:rFonts w:ascii="宋体"/>
                <w:color w:val="auto"/>
                <w:szCs w:val="24"/>
              </w:rPr>
            </w:pPr>
          </w:p>
        </w:tc>
        <w:tc>
          <w:tcPr>
            <w:tcW w:w="1093" w:type="dxa"/>
            <w:tcMar>
              <w:top w:w="0" w:type="dxa"/>
              <w:left w:w="108" w:type="dxa"/>
              <w:bottom w:w="0" w:type="dxa"/>
              <w:right w:w="108" w:type="dxa"/>
            </w:tcMar>
            <w:vAlign w:val="center"/>
          </w:tcPr>
          <w:p>
            <w:pPr>
              <w:snapToGrid w:val="0"/>
              <w:spacing w:line="300" w:lineRule="auto"/>
              <w:ind w:firstLine="0" w:firstLineChars="0"/>
              <w:jc w:val="center"/>
              <w:rPr>
                <w:rFonts w:ascii="宋体"/>
                <w:color w:val="000000" w:themeColor="text1"/>
                <w:szCs w:val="24"/>
              </w:rPr>
            </w:pPr>
          </w:p>
        </w:tc>
        <w:tc>
          <w:tcPr>
            <w:tcW w:w="1135" w:type="dxa"/>
            <w:tcMar>
              <w:top w:w="0" w:type="dxa"/>
              <w:left w:w="108" w:type="dxa"/>
              <w:bottom w:w="0" w:type="dxa"/>
              <w:right w:w="108" w:type="dxa"/>
            </w:tcMar>
            <w:vAlign w:val="center"/>
          </w:tcPr>
          <w:p>
            <w:pPr>
              <w:snapToGrid w:val="0"/>
              <w:spacing w:line="300" w:lineRule="auto"/>
              <w:ind w:firstLine="0" w:firstLineChars="0"/>
              <w:jc w:val="center"/>
              <w:rPr>
                <w:rFonts w:ascii="宋体"/>
                <w:color w:val="000000" w:themeColor="text1"/>
                <w:szCs w:val="24"/>
                <w:highlight w:val="yellow"/>
              </w:rPr>
            </w:pPr>
            <w:r>
              <w:rPr>
                <w:rFonts w:hint="eastAsia" w:ascii="宋体"/>
                <w:color w:val="000000" w:themeColor="text1"/>
                <w:szCs w:val="24"/>
              </w:rPr>
              <w:t>共60块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09" w:type="dxa"/>
            <w:tcMar>
              <w:top w:w="0" w:type="dxa"/>
              <w:left w:w="108" w:type="dxa"/>
              <w:bottom w:w="0" w:type="dxa"/>
              <w:right w:w="108" w:type="dxa"/>
            </w:tcMar>
            <w:vAlign w:val="center"/>
          </w:tcPr>
          <w:p>
            <w:pPr>
              <w:snapToGrid w:val="0"/>
              <w:spacing w:line="300" w:lineRule="auto"/>
              <w:ind w:firstLine="0" w:firstLineChars="0"/>
              <w:jc w:val="center"/>
              <w:rPr>
                <w:rFonts w:ascii="宋体"/>
                <w:color w:val="auto"/>
                <w:szCs w:val="24"/>
              </w:rPr>
            </w:pPr>
            <w:r>
              <w:rPr>
                <w:rFonts w:hint="eastAsia" w:ascii="宋体"/>
                <w:color w:val="auto"/>
                <w:szCs w:val="24"/>
              </w:rPr>
              <w:t>4</w:t>
            </w:r>
          </w:p>
        </w:tc>
        <w:tc>
          <w:tcPr>
            <w:tcW w:w="1640" w:type="dxa"/>
            <w:tcMar>
              <w:top w:w="0" w:type="dxa"/>
              <w:left w:w="108" w:type="dxa"/>
              <w:bottom w:w="0" w:type="dxa"/>
              <w:right w:w="108" w:type="dxa"/>
            </w:tcMar>
            <w:vAlign w:val="center"/>
          </w:tcPr>
          <w:p>
            <w:pPr>
              <w:widowControl/>
              <w:ind w:firstLine="0" w:firstLineChars="0"/>
              <w:textAlignment w:val="center"/>
              <w:rPr>
                <w:rFonts w:ascii="宋体"/>
                <w:color w:val="auto"/>
                <w:szCs w:val="24"/>
              </w:rPr>
            </w:pPr>
            <w:r>
              <w:rPr>
                <w:rFonts w:hint="eastAsia" w:ascii="宋体" w:hAnsi="宋体" w:cs="宋体"/>
                <w:color w:val="auto"/>
                <w:kern w:val="0"/>
                <w:szCs w:val="24"/>
              </w:rPr>
              <w:t>交通信号控制主机</w:t>
            </w:r>
          </w:p>
        </w:tc>
        <w:tc>
          <w:tcPr>
            <w:tcW w:w="2458" w:type="dxa"/>
            <w:tcMar>
              <w:top w:w="0" w:type="dxa"/>
              <w:left w:w="108" w:type="dxa"/>
              <w:bottom w:w="0" w:type="dxa"/>
              <w:right w:w="108" w:type="dxa"/>
            </w:tcMar>
            <w:vAlign w:val="center"/>
          </w:tcPr>
          <w:p>
            <w:pPr>
              <w:widowControl/>
              <w:spacing w:line="240" w:lineRule="auto"/>
              <w:ind w:firstLine="0" w:firstLineChars="0"/>
              <w:jc w:val="center"/>
              <w:textAlignment w:val="center"/>
              <w:rPr>
                <w:rFonts w:ascii="宋体"/>
                <w:color w:val="auto"/>
                <w:szCs w:val="24"/>
              </w:rPr>
            </w:pPr>
            <w:r>
              <w:rPr>
                <w:rFonts w:hint="eastAsia" w:ascii="宋体" w:hAnsi="宋体" w:cs="宋体"/>
                <w:color w:val="auto"/>
                <w:kern w:val="0"/>
                <w:szCs w:val="24"/>
              </w:rPr>
              <w:t>60路独立输出、联网可接入交警大队，与交通信号配时优化软件适配</w:t>
            </w:r>
          </w:p>
        </w:tc>
        <w:tc>
          <w:tcPr>
            <w:tcW w:w="840" w:type="dxa"/>
            <w:tcMar>
              <w:top w:w="0" w:type="dxa"/>
              <w:left w:w="108" w:type="dxa"/>
              <w:bottom w:w="0" w:type="dxa"/>
              <w:right w:w="108" w:type="dxa"/>
            </w:tcMar>
            <w:vAlign w:val="center"/>
          </w:tcPr>
          <w:p>
            <w:pPr>
              <w:widowControl/>
              <w:ind w:firstLine="0" w:firstLineChars="0"/>
              <w:jc w:val="center"/>
              <w:textAlignment w:val="center"/>
              <w:rPr>
                <w:rFonts w:ascii="宋体"/>
                <w:color w:val="auto"/>
                <w:szCs w:val="24"/>
              </w:rPr>
            </w:pPr>
            <w:r>
              <w:rPr>
                <w:rFonts w:hint="eastAsia" w:ascii="宋体" w:hAnsi="宋体" w:cs="宋体"/>
                <w:color w:val="auto"/>
                <w:kern w:val="0"/>
                <w:szCs w:val="24"/>
              </w:rPr>
              <w:t>18</w:t>
            </w:r>
          </w:p>
        </w:tc>
        <w:tc>
          <w:tcPr>
            <w:tcW w:w="825" w:type="dxa"/>
            <w:tcMar>
              <w:top w:w="0" w:type="dxa"/>
              <w:left w:w="108" w:type="dxa"/>
              <w:bottom w:w="0" w:type="dxa"/>
              <w:right w:w="108" w:type="dxa"/>
            </w:tcMar>
            <w:vAlign w:val="center"/>
          </w:tcPr>
          <w:p>
            <w:pPr>
              <w:widowControl/>
              <w:ind w:firstLine="0" w:firstLineChars="0"/>
              <w:jc w:val="center"/>
              <w:textAlignment w:val="center"/>
              <w:rPr>
                <w:rFonts w:ascii="宋体"/>
                <w:color w:val="auto"/>
                <w:szCs w:val="24"/>
              </w:rPr>
            </w:pPr>
            <w:r>
              <w:rPr>
                <w:rFonts w:hint="eastAsia" w:ascii="宋体" w:hAnsi="宋体" w:cs="宋体"/>
                <w:color w:val="auto"/>
                <w:kern w:val="0"/>
                <w:szCs w:val="24"/>
              </w:rPr>
              <w:t>台</w:t>
            </w:r>
          </w:p>
        </w:tc>
        <w:tc>
          <w:tcPr>
            <w:tcW w:w="1269" w:type="dxa"/>
            <w:tcMar>
              <w:top w:w="0" w:type="dxa"/>
              <w:left w:w="108" w:type="dxa"/>
              <w:bottom w:w="0" w:type="dxa"/>
              <w:right w:w="108" w:type="dxa"/>
            </w:tcMar>
            <w:vAlign w:val="center"/>
          </w:tcPr>
          <w:p>
            <w:pPr>
              <w:snapToGrid w:val="0"/>
              <w:spacing w:line="300" w:lineRule="auto"/>
              <w:ind w:firstLine="0" w:firstLineChars="0"/>
              <w:jc w:val="center"/>
              <w:rPr>
                <w:rFonts w:ascii="宋体"/>
                <w:color w:val="auto"/>
                <w:szCs w:val="24"/>
              </w:rPr>
            </w:pPr>
          </w:p>
        </w:tc>
        <w:tc>
          <w:tcPr>
            <w:tcW w:w="1093" w:type="dxa"/>
            <w:tcMar>
              <w:top w:w="0" w:type="dxa"/>
              <w:left w:w="108" w:type="dxa"/>
              <w:bottom w:w="0" w:type="dxa"/>
              <w:right w:w="108" w:type="dxa"/>
            </w:tcMar>
            <w:vAlign w:val="center"/>
          </w:tcPr>
          <w:p>
            <w:pPr>
              <w:snapToGrid w:val="0"/>
              <w:spacing w:line="300" w:lineRule="auto"/>
              <w:ind w:firstLine="0" w:firstLineChars="0"/>
              <w:jc w:val="center"/>
              <w:rPr>
                <w:rFonts w:ascii="宋体"/>
                <w:color w:val="000000" w:themeColor="text1"/>
                <w:szCs w:val="24"/>
              </w:rPr>
            </w:pPr>
          </w:p>
        </w:tc>
        <w:tc>
          <w:tcPr>
            <w:tcW w:w="1135" w:type="dxa"/>
            <w:tcMar>
              <w:top w:w="0" w:type="dxa"/>
              <w:left w:w="108" w:type="dxa"/>
              <w:bottom w:w="0" w:type="dxa"/>
              <w:right w:w="108" w:type="dxa"/>
            </w:tcMar>
            <w:vAlign w:val="center"/>
          </w:tcPr>
          <w:p>
            <w:pPr>
              <w:snapToGrid w:val="0"/>
              <w:spacing w:line="300" w:lineRule="auto"/>
              <w:ind w:firstLine="0" w:firstLineChars="0"/>
              <w:jc w:val="center"/>
              <w:rPr>
                <w:rFonts w:ascii="宋体"/>
                <w:color w:val="000000" w:themeColor="text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641" w:type="dxa"/>
            <w:gridSpan w:val="6"/>
            <w:tcMar>
              <w:top w:w="0" w:type="dxa"/>
              <w:left w:w="108" w:type="dxa"/>
              <w:bottom w:w="0" w:type="dxa"/>
              <w:right w:w="108" w:type="dxa"/>
            </w:tcMar>
            <w:vAlign w:val="center"/>
          </w:tcPr>
          <w:p>
            <w:pPr>
              <w:snapToGrid w:val="0"/>
              <w:spacing w:line="300" w:lineRule="auto"/>
              <w:ind w:firstLine="0" w:firstLineChars="0"/>
              <w:jc w:val="center"/>
              <w:rPr>
                <w:rFonts w:ascii="宋体"/>
                <w:color w:val="000000" w:themeColor="text1"/>
                <w:szCs w:val="24"/>
              </w:rPr>
            </w:pPr>
            <w:r>
              <w:rPr>
                <w:rFonts w:hint="eastAsia" w:ascii="宋体" w:hAnsi="宋体" w:cs="宋体"/>
                <w:color w:val="000000" w:themeColor="text1"/>
                <w:spacing w:val="20"/>
                <w:szCs w:val="24"/>
              </w:rPr>
              <w:t>投标总价</w:t>
            </w:r>
          </w:p>
        </w:tc>
        <w:tc>
          <w:tcPr>
            <w:tcW w:w="1093" w:type="dxa"/>
            <w:tcMar>
              <w:top w:w="0" w:type="dxa"/>
              <w:left w:w="108" w:type="dxa"/>
              <w:bottom w:w="0" w:type="dxa"/>
              <w:right w:w="108" w:type="dxa"/>
            </w:tcMar>
            <w:vAlign w:val="center"/>
          </w:tcPr>
          <w:p>
            <w:pPr>
              <w:snapToGrid w:val="0"/>
              <w:spacing w:line="300" w:lineRule="auto"/>
              <w:ind w:firstLine="0" w:firstLineChars="0"/>
              <w:jc w:val="center"/>
              <w:rPr>
                <w:rFonts w:ascii="宋体"/>
                <w:color w:val="000000" w:themeColor="text1"/>
                <w:szCs w:val="24"/>
              </w:rPr>
            </w:pPr>
          </w:p>
        </w:tc>
        <w:tc>
          <w:tcPr>
            <w:tcW w:w="1135" w:type="dxa"/>
            <w:tcMar>
              <w:top w:w="0" w:type="dxa"/>
              <w:left w:w="108" w:type="dxa"/>
              <w:bottom w:w="0" w:type="dxa"/>
              <w:right w:w="108" w:type="dxa"/>
            </w:tcMar>
            <w:vAlign w:val="center"/>
          </w:tcPr>
          <w:p>
            <w:pPr>
              <w:snapToGrid w:val="0"/>
              <w:spacing w:line="300" w:lineRule="auto"/>
              <w:ind w:firstLine="0" w:firstLineChars="0"/>
              <w:jc w:val="center"/>
              <w:rPr>
                <w:rFonts w:ascii="宋体"/>
                <w:color w:val="000000" w:themeColor="text1"/>
                <w:szCs w:val="24"/>
              </w:rPr>
            </w:pPr>
          </w:p>
        </w:tc>
      </w:tr>
    </w:tbl>
    <w:p>
      <w:pPr>
        <w:spacing w:line="276" w:lineRule="auto"/>
        <w:ind w:firstLine="480"/>
        <w:rPr>
          <w:rFonts w:ascii="宋体" w:hAnsi="宋体" w:cs="宋体"/>
          <w:color w:val="000000" w:themeColor="text1"/>
        </w:rPr>
      </w:pPr>
      <w:r>
        <w:rPr>
          <w:rFonts w:hint="eastAsia" w:ascii="宋体" w:hAnsi="宋体" w:cs="宋体"/>
          <w:color w:val="000000" w:themeColor="text1"/>
        </w:rPr>
        <w:t>注：1.投标报价是履行合同的最终价格，应包括</w:t>
      </w:r>
      <w:r>
        <w:rPr>
          <w:rFonts w:hint="eastAsia" w:ascii="宋体" w:hAnsi="宋体" w:cs="宋体"/>
          <w:color w:val="000000" w:themeColor="text1"/>
          <w:szCs w:val="24"/>
        </w:rPr>
        <w:t>完成项目</w:t>
      </w:r>
      <w:r>
        <w:rPr>
          <w:rFonts w:hint="eastAsia" w:ascii="宋体" w:hAnsi="宋体" w:cs="宋体"/>
          <w:color w:val="000000" w:themeColor="text1"/>
        </w:rPr>
        <w:t>所需</w:t>
      </w:r>
      <w:r>
        <w:rPr>
          <w:rFonts w:hint="eastAsia" w:ascii="宋体" w:hAnsi="宋体"/>
          <w:color w:val="000000" w:themeColor="text1"/>
          <w:szCs w:val="21"/>
        </w:rPr>
        <w:t>人工、材料、标准附件、备品备件、专用工具、包装、运输、装卸、保险、货到就位以及安装、调试、培训、保修、利润、税金、招标代理费等一切费用</w:t>
      </w:r>
      <w:r>
        <w:rPr>
          <w:rFonts w:hint="eastAsia" w:ascii="宋体" w:hAnsi="宋体" w:cs="宋体"/>
          <w:color w:val="000000" w:themeColor="text1"/>
        </w:rPr>
        <w:t>。</w:t>
      </w:r>
    </w:p>
    <w:p>
      <w:pPr>
        <w:tabs>
          <w:tab w:val="left" w:pos="1418"/>
        </w:tabs>
        <w:snapToGrid w:val="0"/>
        <w:spacing w:line="276" w:lineRule="auto"/>
        <w:ind w:firstLine="560"/>
        <w:rPr>
          <w:rFonts w:ascii="宋体" w:hAnsi="宋体" w:cs="宋体"/>
          <w:color w:val="000000" w:themeColor="text1"/>
        </w:rPr>
      </w:pPr>
      <w:r>
        <w:rPr>
          <w:rFonts w:hint="eastAsia" w:ascii="宋体" w:hAnsi="宋体" w:cs="宋体"/>
          <w:color w:val="000000" w:themeColor="text1"/>
          <w:spacing w:val="20"/>
          <w:szCs w:val="20"/>
        </w:rPr>
        <w:t>2.</w:t>
      </w:r>
      <w:r>
        <w:rPr>
          <w:rFonts w:hint="eastAsia" w:ascii="宋体" w:hAnsi="宋体" w:cs="宋体"/>
          <w:color w:val="000000" w:themeColor="text1"/>
        </w:rPr>
        <w:t>“投标报价明细表”为多页的，每页均需加盖投标人公章。</w:t>
      </w:r>
    </w:p>
    <w:p>
      <w:pPr>
        <w:spacing w:line="276" w:lineRule="auto"/>
        <w:ind w:firstLine="560"/>
        <w:rPr>
          <w:rFonts w:ascii="宋体" w:hAnsi="宋体" w:cs="宋体"/>
          <w:color w:val="000000" w:themeColor="text1"/>
        </w:rPr>
      </w:pPr>
      <w:r>
        <w:rPr>
          <w:rFonts w:hint="eastAsia" w:ascii="宋体" w:hAnsi="宋体" w:cs="宋体"/>
          <w:color w:val="000000" w:themeColor="text1"/>
          <w:spacing w:val="20"/>
        </w:rPr>
        <w:t>3.</w:t>
      </w:r>
      <w:r>
        <w:rPr>
          <w:rFonts w:hint="eastAsia" w:ascii="宋体" w:hAnsi="宋体" w:cs="宋体"/>
          <w:color w:val="000000" w:themeColor="text1"/>
        </w:rPr>
        <w:t>投标报价明细表所填内容按采购需求为准。漏报的视同已包含在投标总价内。有重大缺项的将作无效标处理。</w:t>
      </w:r>
    </w:p>
    <w:p>
      <w:pPr>
        <w:spacing w:line="276" w:lineRule="auto"/>
        <w:ind w:firstLine="560"/>
        <w:rPr>
          <w:rFonts w:ascii="宋体" w:hAnsi="宋体" w:cs="宋体"/>
          <w:color w:val="000000" w:themeColor="text1"/>
          <w:spacing w:val="20"/>
        </w:rPr>
      </w:pPr>
      <w:r>
        <w:rPr>
          <w:rFonts w:hint="eastAsia" w:ascii="宋体" w:hAnsi="宋体" w:cs="宋体"/>
          <w:color w:val="000000" w:themeColor="text1"/>
          <w:spacing w:val="20"/>
        </w:rPr>
        <w:t>4</w:t>
      </w:r>
      <w:r>
        <w:rPr>
          <w:rFonts w:ascii="宋体" w:hAnsi="宋体" w:cs="宋体"/>
          <w:color w:val="000000" w:themeColor="text1"/>
          <w:spacing w:val="20"/>
        </w:rPr>
        <w:t>.</w:t>
      </w:r>
      <w:r>
        <w:rPr>
          <w:rFonts w:hint="eastAsia" w:ascii="宋体" w:hAnsi="宋体" w:cs="宋体"/>
          <w:color w:val="000000" w:themeColor="text1"/>
          <w:spacing w:val="20"/>
        </w:rPr>
        <w:t>本项目单价固定，数量按实结算。</w:t>
      </w:r>
    </w:p>
    <w:p>
      <w:pPr>
        <w:spacing w:line="276" w:lineRule="auto"/>
        <w:ind w:firstLine="560"/>
        <w:rPr>
          <w:rFonts w:ascii="宋体" w:hAnsi="宋体" w:cs="宋体"/>
          <w:color w:val="000000" w:themeColor="text1"/>
          <w:spacing w:val="20"/>
        </w:rPr>
      </w:pPr>
      <w:r>
        <w:rPr>
          <w:rFonts w:hint="eastAsia" w:ascii="宋体" w:hAnsi="宋体" w:cs="宋体"/>
          <w:color w:val="000000" w:themeColor="text1"/>
          <w:spacing w:val="20"/>
        </w:rPr>
        <w:t>5</w:t>
      </w:r>
      <w:r>
        <w:rPr>
          <w:rFonts w:ascii="宋体" w:hAnsi="宋体" w:cs="宋体"/>
          <w:color w:val="000000" w:themeColor="text1"/>
          <w:spacing w:val="20"/>
        </w:rPr>
        <w:t>.</w:t>
      </w:r>
      <w:r>
        <w:rPr>
          <w:rFonts w:hint="eastAsia" w:ascii="宋体" w:hAnsi="宋体" w:cs="宋体"/>
          <w:color w:val="000000" w:themeColor="text1"/>
          <w:spacing w:val="20"/>
        </w:rPr>
        <w:t>本表中“投标总价”应与“开标一览表”中的投标总价一致。</w:t>
      </w:r>
    </w:p>
    <w:p>
      <w:pPr>
        <w:pStyle w:val="113"/>
        <w:snapToGrid w:val="0"/>
        <w:spacing w:line="500" w:lineRule="exact"/>
        <w:jc w:val="center"/>
        <w:rPr>
          <w:rFonts w:hint="default" w:hAnsi="宋体" w:eastAsia="宋体" w:cs="宋体"/>
          <w:b/>
          <w:bCs/>
          <w:color w:val="000000"/>
          <w:sz w:val="28"/>
          <w:szCs w:val="28"/>
        </w:rPr>
      </w:pPr>
    </w:p>
    <w:p>
      <w:pPr>
        <w:ind w:firstLine="2400" w:firstLineChars="1000"/>
        <w:contextualSpacing/>
        <w:rPr>
          <w:rFonts w:ascii="宋体" w:hAnsi="宋体" w:cs="宋体"/>
          <w:color w:val="000000"/>
        </w:rPr>
      </w:pPr>
      <w:r>
        <w:rPr>
          <w:rFonts w:hint="eastAsia" w:ascii="宋体" w:hAnsi="宋体" w:cs="宋体"/>
          <w:color w:val="000000"/>
          <w:szCs w:val="24"/>
        </w:rPr>
        <w:t>法定代表人或授权代表</w:t>
      </w:r>
      <w:r>
        <w:rPr>
          <w:rFonts w:hint="eastAsia" w:ascii="宋体" w:hAnsi="宋体" w:cs="宋体"/>
          <w:color w:val="000000"/>
          <w:spacing w:val="20"/>
          <w:szCs w:val="24"/>
        </w:rPr>
        <w:t>签名</w:t>
      </w:r>
      <w:r>
        <w:rPr>
          <w:rFonts w:hint="eastAsia" w:ascii="宋体" w:hAnsi="宋体" w:cs="宋体"/>
          <w:color w:val="000000"/>
          <w:szCs w:val="24"/>
        </w:rPr>
        <w:t>（或盖章）</w:t>
      </w:r>
      <w:r>
        <w:rPr>
          <w:rFonts w:hint="eastAsia" w:ascii="宋体" w:hAnsi="宋体" w:cs="宋体"/>
          <w:color w:val="000000"/>
          <w:spacing w:val="20"/>
          <w:szCs w:val="24"/>
        </w:rPr>
        <w:t>：</w:t>
      </w:r>
      <w:r>
        <w:rPr>
          <w:rFonts w:hint="eastAsia" w:ascii="宋体" w:hAnsi="宋体" w:cs="宋体"/>
          <w:szCs w:val="24"/>
        </w:rPr>
        <w:t>_________________</w:t>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p>
    <w:p>
      <w:pPr>
        <w:ind w:firstLine="480"/>
        <w:contextualSpacing/>
        <w:rPr>
          <w:rFonts w:ascii="宋体" w:hAnsi="宋体" w:cs="宋体"/>
          <w:color w:val="000000"/>
        </w:rPr>
      </w:pPr>
      <w:r>
        <w:rPr>
          <w:rFonts w:hint="eastAsia" w:ascii="宋体" w:hAnsi="宋体" w:cs="宋体"/>
          <w:color w:val="000000"/>
        </w:rPr>
        <w:t xml:space="preserve">                                   投标人（公章）：</w:t>
      </w:r>
      <w:r>
        <w:rPr>
          <w:rFonts w:hint="eastAsia" w:ascii="宋体" w:hAnsi="宋体" w:cs="宋体"/>
          <w:szCs w:val="24"/>
        </w:rPr>
        <w:t>_________________</w:t>
      </w:r>
    </w:p>
    <w:p>
      <w:pPr>
        <w:ind w:firstLine="235" w:firstLineChars="98"/>
        <w:contextualSpacing/>
        <w:jc w:val="center"/>
        <w:rPr>
          <w:rFonts w:ascii="宋体" w:hAnsi="宋体" w:cs="宋体"/>
          <w:color w:val="000000"/>
        </w:rPr>
      </w:pPr>
      <w:r>
        <w:rPr>
          <w:rFonts w:hint="eastAsia" w:ascii="宋体" w:hAnsi="宋体" w:cs="宋体"/>
          <w:color w:val="000000"/>
        </w:rPr>
        <w:t xml:space="preserve">                     日期：</w:t>
      </w:r>
      <w:r>
        <w:rPr>
          <w:rFonts w:hint="eastAsia" w:ascii="宋体" w:hAnsi="宋体" w:cs="宋体"/>
          <w:szCs w:val="24"/>
        </w:rPr>
        <w:t>____</w:t>
      </w:r>
      <w:r>
        <w:rPr>
          <w:rFonts w:hint="eastAsia" w:ascii="宋体" w:hAnsi="宋体" w:cs="宋体"/>
          <w:color w:val="000000"/>
        </w:rPr>
        <w:t>年</w:t>
      </w:r>
      <w:r>
        <w:rPr>
          <w:rFonts w:hint="eastAsia" w:ascii="宋体" w:hAnsi="宋体" w:cs="宋体"/>
          <w:szCs w:val="24"/>
        </w:rPr>
        <w:t>____</w:t>
      </w:r>
      <w:r>
        <w:rPr>
          <w:rFonts w:hint="eastAsia" w:ascii="宋体" w:hAnsi="宋体" w:cs="宋体"/>
          <w:color w:val="000000"/>
        </w:rPr>
        <w:t>月</w:t>
      </w:r>
      <w:r>
        <w:rPr>
          <w:rFonts w:hint="eastAsia" w:ascii="宋体" w:hAnsi="宋体" w:cs="宋体"/>
          <w:szCs w:val="24"/>
        </w:rPr>
        <w:t>____</w:t>
      </w:r>
      <w:r>
        <w:rPr>
          <w:rFonts w:hint="eastAsia" w:ascii="宋体" w:hAnsi="宋体" w:cs="宋体"/>
          <w:color w:val="000000"/>
        </w:rPr>
        <w:t>日</w:t>
      </w:r>
    </w:p>
    <w:p>
      <w:pPr>
        <w:ind w:firstLine="562"/>
        <w:rPr>
          <w:rFonts w:hAnsi="宋体" w:cs="宋体"/>
          <w:b/>
          <w:bCs/>
          <w:color w:val="000000"/>
          <w:sz w:val="28"/>
        </w:rPr>
      </w:pPr>
      <w:r>
        <w:rPr>
          <w:rFonts w:hAnsi="宋体" w:cs="宋体"/>
          <w:b/>
          <w:bCs/>
          <w:color w:val="000000"/>
          <w:sz w:val="28"/>
        </w:rPr>
        <w:br w:type="page"/>
      </w:r>
    </w:p>
    <w:p>
      <w:pPr>
        <w:pStyle w:val="35"/>
        <w:ind w:firstLine="643"/>
      </w:pPr>
    </w:p>
    <w:p>
      <w:pPr>
        <w:pStyle w:val="113"/>
        <w:tabs>
          <w:tab w:val="left" w:pos="480"/>
        </w:tabs>
        <w:snapToGrid w:val="0"/>
        <w:spacing w:line="500" w:lineRule="exact"/>
        <w:jc w:val="center"/>
        <w:rPr>
          <w:rFonts w:hint="default" w:hAnsi="宋体" w:eastAsia="宋体" w:cs="宋体"/>
          <w:b/>
          <w:bCs/>
          <w:color w:val="000000"/>
          <w:sz w:val="28"/>
          <w:szCs w:val="28"/>
        </w:rPr>
      </w:pPr>
      <w:r>
        <w:rPr>
          <w:rFonts w:hAnsi="宋体" w:eastAsia="宋体" w:cs="宋体"/>
          <w:b/>
          <w:bCs/>
          <w:color w:val="000000"/>
          <w:sz w:val="28"/>
          <w:szCs w:val="28"/>
        </w:rPr>
        <w:t>十七、政府采购活动现场确认声明书</w:t>
      </w:r>
    </w:p>
    <w:p>
      <w:pPr>
        <w:pStyle w:val="113"/>
        <w:snapToGrid w:val="0"/>
        <w:spacing w:line="360" w:lineRule="auto"/>
        <w:jc w:val="center"/>
        <w:rPr>
          <w:rFonts w:hint="default" w:hAnsi="宋体" w:eastAsia="宋体" w:cs="宋体"/>
          <w:color w:val="000000"/>
          <w:sz w:val="24"/>
          <w:szCs w:val="24"/>
        </w:rPr>
      </w:pPr>
    </w:p>
    <w:p>
      <w:pPr>
        <w:pStyle w:val="113"/>
        <w:snapToGrid w:val="0"/>
        <w:spacing w:line="360" w:lineRule="auto"/>
        <w:jc w:val="center"/>
        <w:rPr>
          <w:rFonts w:hint="default" w:hAnsi="宋体" w:eastAsia="宋体" w:cs="宋体"/>
          <w:color w:val="000000"/>
          <w:sz w:val="24"/>
          <w:szCs w:val="24"/>
        </w:rPr>
      </w:pPr>
      <w:r>
        <w:rPr>
          <w:rFonts w:hAnsi="宋体" w:eastAsia="宋体" w:cs="宋体"/>
          <w:color w:val="000000"/>
          <w:sz w:val="24"/>
          <w:szCs w:val="24"/>
        </w:rPr>
        <w:t>（要求在</w:t>
      </w:r>
      <w:r>
        <w:rPr>
          <w:rFonts w:hAnsi="宋体" w:eastAsia="宋体" w:cs="宋体"/>
          <w:sz w:val="24"/>
          <w:szCs w:val="24"/>
        </w:rPr>
        <w:t>2023年</w:t>
      </w:r>
      <w:r>
        <w:rPr>
          <w:rFonts w:hint="eastAsia" w:hAnsi="宋体" w:eastAsia="宋体" w:cs="宋体"/>
          <w:sz w:val="24"/>
          <w:szCs w:val="24"/>
          <w:lang w:val="en-US" w:eastAsia="zh-CN"/>
        </w:rPr>
        <w:t>5</w:t>
      </w:r>
      <w:r>
        <w:rPr>
          <w:rFonts w:hAnsi="宋体" w:eastAsia="宋体" w:cs="宋体"/>
          <w:sz w:val="24"/>
          <w:szCs w:val="24"/>
        </w:rPr>
        <w:t>月</w:t>
      </w:r>
      <w:r>
        <w:rPr>
          <w:rFonts w:hint="eastAsia" w:hAnsi="宋体" w:eastAsia="宋体" w:cs="宋体"/>
          <w:sz w:val="24"/>
          <w:szCs w:val="24"/>
          <w:lang w:val="en-US" w:eastAsia="zh-CN"/>
        </w:rPr>
        <w:t>31</w:t>
      </w:r>
      <w:r>
        <w:rPr>
          <w:rFonts w:hAnsi="宋体" w:eastAsia="宋体" w:cs="宋体"/>
          <w:sz w:val="24"/>
          <w:szCs w:val="24"/>
        </w:rPr>
        <w:t>日解密完成后填写并将扫描件发送至</w:t>
      </w:r>
      <w:r>
        <w:rPr>
          <w:rFonts w:hAnsi="宋体" w:eastAsia="宋体" w:cs="宋体"/>
          <w:color w:val="000000"/>
          <w:sz w:val="24"/>
          <w:szCs w:val="24"/>
        </w:rPr>
        <w:t>采购代理机构邮箱（1192873557@qq.com），不需要制作在投标文件中）</w:t>
      </w:r>
    </w:p>
    <w:p>
      <w:pPr>
        <w:pStyle w:val="113"/>
        <w:snapToGrid w:val="0"/>
        <w:spacing w:line="400" w:lineRule="exact"/>
        <w:rPr>
          <w:rFonts w:hint="default" w:hAnsi="宋体" w:eastAsia="宋体" w:cs="宋体"/>
          <w:b/>
          <w:color w:val="000000"/>
          <w:sz w:val="24"/>
          <w:szCs w:val="24"/>
        </w:rPr>
      </w:pPr>
      <w:r>
        <w:rPr>
          <w:rFonts w:hAnsi="宋体" w:eastAsia="宋体" w:cs="宋体"/>
          <w:color w:val="000000"/>
          <w:kern w:val="0"/>
          <w:sz w:val="24"/>
          <w:szCs w:val="24"/>
        </w:rPr>
        <w:t xml:space="preserve"> </w:t>
      </w:r>
      <w:r>
        <w:rPr>
          <w:rFonts w:hAnsi="宋体" w:eastAsia="宋体" w:cs="宋体"/>
          <w:color w:val="000000"/>
          <w:spacing w:val="6"/>
          <w:sz w:val="24"/>
          <w:szCs w:val="24"/>
          <w:u w:val="single"/>
        </w:rPr>
        <w:t>嘉兴市宏泽招标咨询有限公司</w:t>
      </w:r>
      <w:r>
        <w:rPr>
          <w:rFonts w:hAnsi="宋体" w:eastAsia="宋体" w:cs="宋体"/>
          <w:color w:val="000000"/>
          <w:kern w:val="0"/>
          <w:sz w:val="24"/>
          <w:szCs w:val="24"/>
        </w:rPr>
        <w:t>（采购组织机构名称）：</w:t>
      </w:r>
    </w:p>
    <w:p>
      <w:pPr>
        <w:pStyle w:val="18"/>
        <w:snapToGrid w:val="0"/>
        <w:spacing w:beforeLines="0" w:afterLines="0" w:line="500" w:lineRule="exact"/>
        <w:ind w:firstLine="504"/>
        <w:rPr>
          <w:rFonts w:hAnsi="宋体" w:cs="宋体"/>
          <w:color w:val="000000"/>
          <w:spacing w:val="6"/>
          <w:sz w:val="24"/>
          <w:szCs w:val="24"/>
        </w:rPr>
      </w:pPr>
      <w:r>
        <w:rPr>
          <w:rFonts w:hint="eastAsia" w:hAnsi="宋体" w:cs="宋体"/>
          <w:color w:val="000000"/>
          <w:spacing w:val="6"/>
          <w:sz w:val="24"/>
          <w:szCs w:val="24"/>
        </w:rPr>
        <w:t>本人经由</w:t>
      </w:r>
      <w:r>
        <w:rPr>
          <w:rFonts w:hint="eastAsia" w:hAnsi="宋体" w:cs="宋体"/>
          <w:color w:val="000000"/>
          <w:spacing w:val="6"/>
          <w:sz w:val="24"/>
          <w:szCs w:val="24"/>
          <w:u w:val="single"/>
        </w:rPr>
        <w:t xml:space="preserve">                    （单位）</w:t>
      </w:r>
      <w:r>
        <w:rPr>
          <w:rFonts w:hint="eastAsia" w:hAnsi="宋体" w:cs="宋体"/>
          <w:color w:val="000000"/>
          <w:spacing w:val="6"/>
          <w:sz w:val="24"/>
          <w:szCs w:val="24"/>
        </w:rPr>
        <w:t>负责人</w:t>
      </w:r>
      <w:r>
        <w:rPr>
          <w:rFonts w:hint="eastAsia" w:hAnsi="宋体" w:cs="宋体"/>
          <w:color w:val="000000"/>
          <w:spacing w:val="6"/>
          <w:sz w:val="24"/>
          <w:szCs w:val="24"/>
          <w:u w:val="single"/>
        </w:rPr>
        <w:t xml:space="preserve">        （姓名）</w:t>
      </w:r>
      <w:r>
        <w:rPr>
          <w:rFonts w:hint="eastAsia" w:hAnsi="宋体" w:cs="宋体"/>
          <w:color w:val="000000"/>
          <w:spacing w:val="6"/>
          <w:sz w:val="24"/>
          <w:szCs w:val="24"/>
        </w:rPr>
        <w:t>合法授权参加</w:t>
      </w:r>
      <w:r>
        <w:rPr>
          <w:rFonts w:hint="eastAsia" w:hAnsi="宋体" w:cs="宋体"/>
          <w:sz w:val="24"/>
          <w:szCs w:val="24"/>
          <w:u w:val="single"/>
        </w:rPr>
        <w:t>2023年城区信号灯路口配时优化项目</w:t>
      </w:r>
      <w:r>
        <w:rPr>
          <w:rFonts w:hint="eastAsia" w:hAnsi="宋体" w:cs="宋体"/>
          <w:color w:val="000000"/>
          <w:spacing w:val="6"/>
          <w:sz w:val="24"/>
          <w:szCs w:val="24"/>
        </w:rPr>
        <w:t>（编号：</w:t>
      </w:r>
      <w:r>
        <w:rPr>
          <w:rFonts w:hint="eastAsia" w:hAnsi="宋体" w:cs="宋体"/>
          <w:color w:val="000000"/>
          <w:spacing w:val="6"/>
          <w:sz w:val="24"/>
          <w:szCs w:val="24"/>
          <w:u w:val="single"/>
        </w:rPr>
        <w:t xml:space="preserve"> HZZX-2023-G</w:t>
      </w:r>
      <w:r>
        <w:rPr>
          <w:rFonts w:hAnsi="宋体" w:cs="宋体"/>
          <w:color w:val="000000"/>
          <w:spacing w:val="6"/>
          <w:sz w:val="24"/>
          <w:szCs w:val="24"/>
          <w:u w:val="single"/>
        </w:rPr>
        <w:t>11</w:t>
      </w:r>
      <w:r>
        <w:rPr>
          <w:rFonts w:hint="eastAsia" w:hAnsi="宋体" w:cs="宋体"/>
          <w:color w:val="000000"/>
          <w:spacing w:val="6"/>
          <w:sz w:val="24"/>
          <w:szCs w:val="24"/>
        </w:rPr>
        <w:t xml:space="preserve">）政府采购活动，经与本单位法人代表（负责人）联系确认，现就有关公平竞争事项郑重声明如下： </w:t>
      </w:r>
    </w:p>
    <w:p>
      <w:pPr>
        <w:pStyle w:val="114"/>
        <w:widowControl/>
        <w:numPr>
          <w:ilvl w:val="0"/>
          <w:numId w:val="1"/>
        </w:numPr>
        <w:snapToGrid w:val="0"/>
        <w:spacing w:line="400" w:lineRule="exact"/>
        <w:ind w:firstLine="453" w:firstLineChars="189"/>
        <w:rPr>
          <w:rFonts w:hint="default" w:ascii="宋体" w:hAnsi="宋体" w:cs="宋体"/>
          <w:color w:val="000000"/>
          <w:kern w:val="0"/>
          <w:sz w:val="24"/>
          <w:szCs w:val="24"/>
        </w:rPr>
      </w:pPr>
      <w:r>
        <w:rPr>
          <w:rFonts w:ascii="宋体" w:hAnsi="宋体" w:cs="宋体"/>
          <w:color w:val="000000"/>
          <w:kern w:val="0"/>
          <w:sz w:val="24"/>
          <w:szCs w:val="24"/>
        </w:rPr>
        <w:t>本单位与采购人之间 □不存在利害关系 □存在下列利害关系</w:t>
      </w:r>
      <w:r>
        <w:rPr>
          <w:rFonts w:ascii="宋体" w:hAnsi="宋体" w:cs="宋体"/>
          <w:color w:val="000000"/>
          <w:kern w:val="0"/>
          <w:sz w:val="24"/>
          <w:szCs w:val="24"/>
          <w:u w:val="single"/>
        </w:rPr>
        <w:t xml:space="preserve">           </w:t>
      </w:r>
      <w:r>
        <w:rPr>
          <w:rFonts w:ascii="宋体" w:hAnsi="宋体" w:cs="宋体"/>
          <w:color w:val="000000"/>
          <w:kern w:val="0"/>
          <w:sz w:val="24"/>
          <w:szCs w:val="24"/>
        </w:rPr>
        <w:t>：</w:t>
      </w:r>
    </w:p>
    <w:p>
      <w:pPr>
        <w:pStyle w:val="114"/>
        <w:widowControl/>
        <w:snapToGrid w:val="0"/>
        <w:spacing w:line="400" w:lineRule="exact"/>
        <w:rPr>
          <w:rFonts w:hint="default" w:ascii="宋体" w:hAnsi="宋体" w:cs="宋体"/>
          <w:color w:val="000000"/>
          <w:kern w:val="0"/>
          <w:sz w:val="24"/>
          <w:szCs w:val="24"/>
        </w:rPr>
      </w:pPr>
      <w:r>
        <w:rPr>
          <w:rFonts w:ascii="宋体" w:hAnsi="宋体" w:cs="宋体"/>
          <w:color w:val="000000"/>
          <w:kern w:val="0"/>
          <w:sz w:val="24"/>
          <w:szCs w:val="24"/>
        </w:rPr>
        <w:t xml:space="preserve">  A.投资关系    B.行政隶属关系    C.业务指导关系</w:t>
      </w:r>
    </w:p>
    <w:p>
      <w:pPr>
        <w:pStyle w:val="114"/>
        <w:widowControl/>
        <w:snapToGrid w:val="0"/>
        <w:spacing w:line="400" w:lineRule="exact"/>
        <w:rPr>
          <w:rFonts w:hint="default" w:ascii="宋体" w:hAnsi="宋体" w:cs="宋体"/>
          <w:color w:val="000000"/>
          <w:kern w:val="0"/>
          <w:sz w:val="24"/>
          <w:szCs w:val="24"/>
        </w:rPr>
      </w:pPr>
      <w:r>
        <w:rPr>
          <w:rFonts w:ascii="宋体" w:hAnsi="宋体" w:cs="宋体"/>
          <w:color w:val="000000"/>
          <w:kern w:val="0"/>
          <w:sz w:val="24"/>
          <w:szCs w:val="24"/>
        </w:rPr>
        <w:t xml:space="preserve">  D.其他可能</w:t>
      </w:r>
      <w:r>
        <w:rPr>
          <w:rFonts w:ascii="宋体" w:hAnsi="宋体" w:cs="宋体"/>
          <w:color w:val="000000"/>
          <w:sz w:val="24"/>
          <w:szCs w:val="24"/>
        </w:rPr>
        <w:t>影响采购公正的</w:t>
      </w:r>
      <w:r>
        <w:rPr>
          <w:rFonts w:ascii="宋体" w:hAnsi="宋体" w:cs="宋体"/>
          <w:color w:val="000000"/>
          <w:kern w:val="0"/>
          <w:sz w:val="24"/>
          <w:szCs w:val="24"/>
        </w:rPr>
        <w:t>利害关系</w:t>
      </w:r>
      <w:r>
        <w:rPr>
          <w:rFonts w:ascii="宋体" w:hAnsi="宋体" w:cs="宋体"/>
          <w:color w:val="000000"/>
          <w:kern w:val="0"/>
          <w:sz w:val="24"/>
          <w:szCs w:val="24"/>
          <w:u w:val="single"/>
        </w:rPr>
        <w:t xml:space="preserve">（如有，请如实说明）                 </w:t>
      </w:r>
      <w:r>
        <w:rPr>
          <w:rFonts w:ascii="宋体" w:hAnsi="宋体" w:cs="宋体"/>
          <w:color w:val="000000"/>
          <w:kern w:val="0"/>
          <w:sz w:val="24"/>
          <w:szCs w:val="24"/>
        </w:rPr>
        <w:t>。</w:t>
      </w:r>
    </w:p>
    <w:p>
      <w:pPr>
        <w:pStyle w:val="114"/>
        <w:widowControl/>
        <w:snapToGrid w:val="0"/>
        <w:spacing w:line="400" w:lineRule="exact"/>
        <w:rPr>
          <w:rFonts w:hint="default" w:ascii="宋体" w:hAnsi="宋体" w:cs="宋体"/>
          <w:color w:val="000000"/>
          <w:kern w:val="0"/>
          <w:sz w:val="24"/>
          <w:szCs w:val="24"/>
        </w:rPr>
      </w:pPr>
      <w:r>
        <w:rPr>
          <w:rFonts w:ascii="宋体" w:hAnsi="宋体" w:cs="宋体"/>
          <w:color w:val="000000"/>
          <w:spacing w:val="6"/>
          <w:sz w:val="24"/>
          <w:szCs w:val="24"/>
        </w:rPr>
        <w:t xml:space="preserve">  二、</w:t>
      </w:r>
      <w:r>
        <w:rPr>
          <w:rFonts w:ascii="宋体" w:hAnsi="宋体" w:cs="宋体"/>
          <w:color w:val="000000"/>
          <w:kern w:val="0"/>
          <w:sz w:val="24"/>
          <w:szCs w:val="24"/>
        </w:rPr>
        <w:t>现已清楚知道参加本项目采购活动的其他所有供应商名称，本单位 □与其他所有供应商之间均不存在利害关系 □与</w:t>
      </w:r>
      <w:r>
        <w:rPr>
          <w:rFonts w:ascii="宋体" w:hAnsi="宋体" w:cs="宋体"/>
          <w:color w:val="000000"/>
          <w:kern w:val="0"/>
          <w:sz w:val="24"/>
          <w:szCs w:val="24"/>
          <w:u w:val="single"/>
        </w:rPr>
        <w:t xml:space="preserve">               （供应商名称）           </w:t>
      </w:r>
      <w:r>
        <w:rPr>
          <w:rFonts w:ascii="宋体" w:hAnsi="宋体" w:cs="宋体"/>
          <w:color w:val="000000"/>
          <w:kern w:val="0"/>
          <w:sz w:val="24"/>
          <w:szCs w:val="24"/>
        </w:rPr>
        <w:t>之间存在下列利害关系</w:t>
      </w:r>
      <w:r>
        <w:rPr>
          <w:rFonts w:ascii="宋体" w:hAnsi="宋体" w:cs="宋体"/>
          <w:color w:val="000000"/>
          <w:kern w:val="0"/>
          <w:sz w:val="24"/>
          <w:szCs w:val="24"/>
          <w:u w:val="single"/>
        </w:rPr>
        <w:t xml:space="preserve">    </w:t>
      </w:r>
      <w:r>
        <w:rPr>
          <w:rFonts w:ascii="宋体" w:hAnsi="宋体" w:cs="宋体"/>
          <w:color w:val="000000"/>
          <w:kern w:val="0"/>
          <w:sz w:val="24"/>
          <w:szCs w:val="24"/>
        </w:rPr>
        <w:t>：</w:t>
      </w:r>
    </w:p>
    <w:p>
      <w:pPr>
        <w:pStyle w:val="113"/>
        <w:snapToGrid w:val="0"/>
        <w:spacing w:line="400" w:lineRule="exact"/>
        <w:rPr>
          <w:rFonts w:hint="default" w:hAnsi="宋体" w:eastAsia="宋体" w:cs="宋体"/>
          <w:color w:val="000000"/>
          <w:kern w:val="0"/>
          <w:sz w:val="24"/>
          <w:szCs w:val="24"/>
        </w:rPr>
      </w:pPr>
      <w:r>
        <w:rPr>
          <w:rFonts w:hAnsi="宋体" w:eastAsia="宋体" w:cs="宋体"/>
          <w:color w:val="000000"/>
          <w:kern w:val="0"/>
          <w:sz w:val="24"/>
          <w:szCs w:val="24"/>
        </w:rPr>
        <w:t xml:space="preserve">  A.法定代表人或负责人或实际控制人是同一人</w:t>
      </w:r>
    </w:p>
    <w:p>
      <w:pPr>
        <w:pStyle w:val="113"/>
        <w:snapToGrid w:val="0"/>
        <w:spacing w:line="400" w:lineRule="exact"/>
        <w:rPr>
          <w:rFonts w:hint="default" w:hAnsi="宋体" w:eastAsia="宋体" w:cs="宋体"/>
          <w:color w:val="000000"/>
          <w:spacing w:val="6"/>
          <w:sz w:val="24"/>
          <w:szCs w:val="24"/>
        </w:rPr>
      </w:pPr>
      <w:r>
        <w:rPr>
          <w:rFonts w:hAnsi="宋体" w:eastAsia="宋体" w:cs="宋体"/>
          <w:color w:val="000000"/>
          <w:kern w:val="0"/>
          <w:sz w:val="24"/>
          <w:szCs w:val="24"/>
        </w:rPr>
        <w:t xml:space="preserve">  B.法定代表人或负责人或实际控制人是夫妻关系</w:t>
      </w:r>
    </w:p>
    <w:p>
      <w:pPr>
        <w:pStyle w:val="113"/>
        <w:snapToGrid w:val="0"/>
        <w:spacing w:line="400" w:lineRule="exact"/>
        <w:rPr>
          <w:rFonts w:hint="default" w:hAnsi="宋体" w:eastAsia="宋体" w:cs="宋体"/>
          <w:color w:val="000000"/>
          <w:spacing w:val="6"/>
          <w:sz w:val="24"/>
          <w:szCs w:val="24"/>
        </w:rPr>
      </w:pPr>
      <w:r>
        <w:rPr>
          <w:rFonts w:hAnsi="宋体" w:eastAsia="宋体" w:cs="宋体"/>
          <w:color w:val="000000"/>
          <w:kern w:val="0"/>
          <w:sz w:val="24"/>
          <w:szCs w:val="24"/>
        </w:rPr>
        <w:t xml:space="preserve">  C.法定代表人或负责人或实际控制人是直系血亲关系</w:t>
      </w:r>
    </w:p>
    <w:p>
      <w:pPr>
        <w:pStyle w:val="113"/>
        <w:snapToGrid w:val="0"/>
        <w:spacing w:line="400" w:lineRule="exact"/>
        <w:rPr>
          <w:rFonts w:hint="default" w:hAnsi="宋体" w:eastAsia="宋体" w:cs="宋体"/>
          <w:color w:val="000000"/>
          <w:spacing w:val="6"/>
          <w:sz w:val="24"/>
          <w:szCs w:val="24"/>
        </w:rPr>
      </w:pPr>
      <w:r>
        <w:rPr>
          <w:rFonts w:hAnsi="宋体" w:eastAsia="宋体" w:cs="宋体"/>
          <w:color w:val="000000"/>
          <w:kern w:val="0"/>
          <w:sz w:val="24"/>
          <w:szCs w:val="24"/>
        </w:rPr>
        <w:t xml:space="preserve">  D.法定代表人或负责人或实际控制人存在三代以内旁系血亲关系</w:t>
      </w:r>
    </w:p>
    <w:p>
      <w:pPr>
        <w:pStyle w:val="113"/>
        <w:snapToGrid w:val="0"/>
        <w:spacing w:line="400" w:lineRule="exact"/>
        <w:rPr>
          <w:rFonts w:hint="default" w:hAnsi="宋体" w:eastAsia="宋体" w:cs="宋体"/>
          <w:color w:val="000000"/>
          <w:kern w:val="0"/>
          <w:sz w:val="24"/>
          <w:szCs w:val="24"/>
        </w:rPr>
      </w:pPr>
      <w:r>
        <w:rPr>
          <w:rFonts w:hAnsi="宋体" w:eastAsia="宋体" w:cs="宋体"/>
          <w:color w:val="000000"/>
          <w:kern w:val="0"/>
          <w:sz w:val="24"/>
          <w:szCs w:val="24"/>
        </w:rPr>
        <w:t xml:space="preserve">  E.法定代表人或负责人或实际控制人存在近姻亲关系</w:t>
      </w:r>
    </w:p>
    <w:p>
      <w:pPr>
        <w:pStyle w:val="113"/>
        <w:snapToGrid w:val="0"/>
        <w:spacing w:line="400" w:lineRule="exact"/>
        <w:rPr>
          <w:rFonts w:hint="default" w:hAnsi="宋体" w:eastAsia="宋体" w:cs="宋体"/>
          <w:color w:val="000000"/>
          <w:kern w:val="0"/>
          <w:sz w:val="24"/>
          <w:szCs w:val="24"/>
        </w:rPr>
      </w:pPr>
      <w:r>
        <w:rPr>
          <w:rFonts w:hAnsi="宋体" w:eastAsia="宋体" w:cs="宋体"/>
          <w:color w:val="000000"/>
          <w:kern w:val="0"/>
          <w:sz w:val="24"/>
          <w:szCs w:val="24"/>
        </w:rPr>
        <w:t xml:space="preserve">  F.法定代表人或负责人或实际控制人存在股份控制或实际控制关系</w:t>
      </w:r>
    </w:p>
    <w:p>
      <w:pPr>
        <w:pStyle w:val="113"/>
        <w:snapToGrid w:val="0"/>
        <w:spacing w:line="400" w:lineRule="exact"/>
        <w:rPr>
          <w:rFonts w:hint="default"/>
          <w:kern w:val="0"/>
        </w:rPr>
      </w:pPr>
      <w:r>
        <w:rPr>
          <w:kern w:val="0"/>
        </w:rPr>
        <w:t xml:space="preserve"> </w:t>
      </w:r>
      <w:r>
        <w:rPr>
          <w:rFonts w:hAnsi="宋体" w:eastAsia="宋体" w:cs="宋体"/>
          <w:color w:val="000000"/>
          <w:kern w:val="0"/>
          <w:sz w:val="24"/>
          <w:szCs w:val="24"/>
        </w:rPr>
        <w:t xml:space="preserve"> G.存在共同直接或间接投资设立子公司、联营企业和合营企业情况</w:t>
      </w:r>
    </w:p>
    <w:p>
      <w:pPr>
        <w:pStyle w:val="113"/>
        <w:snapToGrid w:val="0"/>
        <w:spacing w:line="400" w:lineRule="exact"/>
        <w:rPr>
          <w:rFonts w:hint="default" w:hAnsi="宋体" w:eastAsia="宋体" w:cs="宋体"/>
          <w:color w:val="000000"/>
          <w:sz w:val="24"/>
          <w:szCs w:val="24"/>
        </w:rPr>
      </w:pPr>
      <w:r>
        <w:rPr>
          <w:rFonts w:hAnsi="宋体" w:eastAsia="宋体" w:cs="宋体"/>
          <w:color w:val="000000"/>
          <w:kern w:val="0"/>
          <w:sz w:val="24"/>
          <w:szCs w:val="24"/>
        </w:rPr>
        <w:t xml:space="preserve">  H.存在分级代理或代销关系、同一生产制造商关系、</w:t>
      </w:r>
      <w:r>
        <w:rPr>
          <w:rFonts w:hAnsi="宋体" w:eastAsia="宋体" w:cs="宋体"/>
          <w:color w:val="000000"/>
          <w:sz w:val="24"/>
          <w:szCs w:val="24"/>
        </w:rPr>
        <w:t>管理关系、重要业务（占主营业务收入50%以上）或重要财务往来关系（如融资）等其他实质性控制关系</w:t>
      </w:r>
    </w:p>
    <w:p>
      <w:pPr>
        <w:pStyle w:val="113"/>
        <w:snapToGrid w:val="0"/>
        <w:spacing w:line="400" w:lineRule="exact"/>
        <w:rPr>
          <w:rFonts w:hint="default" w:hAnsi="宋体" w:eastAsia="宋体" w:cs="宋体"/>
          <w:color w:val="000000"/>
          <w:spacing w:val="6"/>
          <w:sz w:val="24"/>
          <w:szCs w:val="24"/>
        </w:rPr>
      </w:pPr>
      <w:r>
        <w:rPr>
          <w:rFonts w:hAnsi="宋体" w:eastAsia="宋体" w:cs="宋体"/>
          <w:color w:val="000000"/>
          <w:sz w:val="24"/>
          <w:szCs w:val="24"/>
        </w:rPr>
        <w:t xml:space="preserve">    I</w:t>
      </w:r>
      <w:r>
        <w:rPr>
          <w:rFonts w:hAnsi="宋体" w:eastAsia="宋体" w:cs="宋体"/>
          <w:color w:val="000000"/>
          <w:kern w:val="0"/>
          <w:sz w:val="24"/>
          <w:szCs w:val="24"/>
        </w:rPr>
        <w:t>.</w:t>
      </w:r>
      <w:r>
        <w:rPr>
          <w:rFonts w:hAnsi="宋体" w:eastAsia="宋体" w:cs="宋体"/>
          <w:color w:val="000000"/>
          <w:sz w:val="24"/>
          <w:szCs w:val="24"/>
        </w:rPr>
        <w:t>其他利害关系情况</w:t>
      </w:r>
      <w:r>
        <w:rPr>
          <w:rFonts w:hAnsi="宋体" w:eastAsia="宋体" w:cs="宋体"/>
          <w:color w:val="000000"/>
          <w:sz w:val="24"/>
          <w:szCs w:val="24"/>
          <w:u w:val="single"/>
        </w:rPr>
        <w:t xml:space="preserve">                              </w:t>
      </w:r>
      <w:r>
        <w:rPr>
          <w:rFonts w:hAnsi="宋体" w:eastAsia="宋体" w:cs="宋体"/>
          <w:color w:val="000000"/>
          <w:kern w:val="0"/>
          <w:sz w:val="24"/>
          <w:szCs w:val="24"/>
        </w:rPr>
        <w:t>。</w:t>
      </w:r>
    </w:p>
    <w:p>
      <w:pPr>
        <w:pStyle w:val="114"/>
        <w:widowControl/>
        <w:numPr>
          <w:ilvl w:val="0"/>
          <w:numId w:val="2"/>
        </w:numPr>
        <w:snapToGrid w:val="0"/>
        <w:spacing w:line="400" w:lineRule="exact"/>
        <w:ind w:firstLine="453" w:firstLineChars="189"/>
        <w:rPr>
          <w:rFonts w:hint="default" w:ascii="宋体" w:hAnsi="宋体" w:cs="宋体"/>
          <w:color w:val="000000"/>
          <w:kern w:val="0"/>
          <w:sz w:val="24"/>
          <w:szCs w:val="24"/>
        </w:rPr>
      </w:pPr>
      <w:r>
        <w:rPr>
          <w:rFonts w:ascii="宋体" w:hAnsi="宋体" w:cs="宋体"/>
          <w:color w:val="000000"/>
          <w:sz w:val="24"/>
          <w:szCs w:val="24"/>
        </w:rPr>
        <w:t>现已清楚知道并</w:t>
      </w:r>
      <w:r>
        <w:rPr>
          <w:rFonts w:ascii="宋体" w:hAnsi="宋体" w:cs="宋体"/>
          <w:color w:val="000000"/>
          <w:kern w:val="0"/>
          <w:sz w:val="24"/>
          <w:szCs w:val="24"/>
        </w:rPr>
        <w:t>严格遵守政府采购法律法规和现场纪律。</w:t>
      </w:r>
    </w:p>
    <w:p>
      <w:pPr>
        <w:pStyle w:val="114"/>
        <w:widowControl/>
        <w:numPr>
          <w:ilvl w:val="0"/>
          <w:numId w:val="2"/>
        </w:numPr>
        <w:snapToGrid w:val="0"/>
        <w:spacing w:line="400" w:lineRule="exact"/>
        <w:ind w:firstLine="453" w:firstLineChars="189"/>
        <w:rPr>
          <w:rFonts w:hint="default" w:ascii="宋体" w:hAnsi="宋体" w:cs="宋体"/>
          <w:color w:val="000000"/>
          <w:kern w:val="0"/>
          <w:sz w:val="24"/>
          <w:szCs w:val="24"/>
        </w:rPr>
      </w:pPr>
      <w:r>
        <w:rPr>
          <w:rFonts w:ascii="宋体" w:hAnsi="宋体" w:cs="宋体"/>
          <w:color w:val="000000"/>
          <w:kern w:val="0"/>
          <w:sz w:val="24"/>
          <w:szCs w:val="24"/>
        </w:rPr>
        <w:t>我发现</w:t>
      </w:r>
      <w:r>
        <w:rPr>
          <w:rFonts w:ascii="宋体" w:hAnsi="宋体" w:cs="宋体"/>
          <w:color w:val="000000"/>
          <w:kern w:val="0"/>
          <w:sz w:val="24"/>
          <w:szCs w:val="24"/>
          <w:u w:val="single"/>
        </w:rPr>
        <w:t xml:space="preserve">                                  </w:t>
      </w:r>
      <w:r>
        <w:rPr>
          <w:rFonts w:ascii="宋体" w:hAnsi="宋体" w:cs="宋体"/>
          <w:color w:val="000000"/>
          <w:kern w:val="0"/>
          <w:sz w:val="24"/>
          <w:szCs w:val="24"/>
        </w:rPr>
        <w:t>供应商之间存在或可能存在上述第二条第</w:t>
      </w:r>
      <w:r>
        <w:rPr>
          <w:rFonts w:ascii="宋体" w:hAnsi="宋体" w:cs="宋体"/>
          <w:color w:val="000000"/>
          <w:kern w:val="0"/>
          <w:sz w:val="24"/>
          <w:szCs w:val="24"/>
          <w:u w:val="single"/>
        </w:rPr>
        <w:t xml:space="preserve">        </w:t>
      </w:r>
      <w:r>
        <w:rPr>
          <w:rFonts w:ascii="宋体" w:hAnsi="宋体" w:cs="宋体"/>
          <w:color w:val="000000"/>
          <w:kern w:val="0"/>
          <w:sz w:val="24"/>
          <w:szCs w:val="24"/>
        </w:rPr>
        <w:t>项利害关系。</w:t>
      </w:r>
    </w:p>
    <w:p>
      <w:pPr>
        <w:pStyle w:val="113"/>
        <w:snapToGrid w:val="0"/>
        <w:spacing w:line="420" w:lineRule="exact"/>
        <w:ind w:firstLine="480" w:firstLineChars="200"/>
        <w:rPr>
          <w:rFonts w:hint="default" w:hAnsi="宋体" w:eastAsia="宋体" w:cs="宋体"/>
          <w:color w:val="000000"/>
          <w:sz w:val="24"/>
          <w:szCs w:val="24"/>
        </w:rPr>
      </w:pPr>
      <w:r>
        <w:rPr>
          <w:rFonts w:hAnsi="宋体" w:eastAsia="宋体" w:cs="宋体"/>
          <w:color w:val="000000"/>
          <w:sz w:val="24"/>
          <w:szCs w:val="24"/>
        </w:rPr>
        <w:t xml:space="preserve">                       </w:t>
      </w:r>
    </w:p>
    <w:p>
      <w:pPr>
        <w:pStyle w:val="113"/>
        <w:snapToGrid w:val="0"/>
        <w:spacing w:line="420" w:lineRule="exact"/>
        <w:ind w:firstLine="3480" w:firstLineChars="1450"/>
        <w:rPr>
          <w:rFonts w:hint="default" w:hAnsi="宋体" w:eastAsia="宋体" w:cs="宋体"/>
          <w:color w:val="000000"/>
          <w:sz w:val="24"/>
          <w:szCs w:val="24"/>
        </w:rPr>
      </w:pPr>
      <w:r>
        <w:rPr>
          <w:rFonts w:hAnsi="宋体" w:eastAsia="宋体" w:cs="宋体"/>
          <w:color w:val="000000"/>
          <w:sz w:val="24"/>
          <w:szCs w:val="24"/>
        </w:rPr>
        <w:t xml:space="preserve">  （供应商代表签名）:</w:t>
      </w:r>
    </w:p>
    <w:p>
      <w:pPr>
        <w:ind w:firstLine="480"/>
      </w:pPr>
      <w:r>
        <w:rPr>
          <w:rFonts w:hint="eastAsia" w:ascii="宋体" w:hAnsi="宋体" w:cs="宋体"/>
          <w:color w:val="000000"/>
          <w:szCs w:val="24"/>
        </w:rPr>
        <w:t xml:space="preserve">                                      2023年    月    日</w:t>
      </w:r>
    </w:p>
    <w:sectPr>
      <w:headerReference r:id="rId14" w:type="default"/>
      <w:pgSz w:w="11906" w:h="16838"/>
      <w:pgMar w:top="1418" w:right="1077" w:bottom="1418" w:left="1077" w:header="851" w:footer="992" w:gutter="340"/>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auto"/>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楷体_GB2312">
    <w:altName w:val="楷体"/>
    <w:panose1 w:val="00000000000000000000"/>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A0000287" w:usb1="28C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长城仿宋">
    <w:altName w:val="黑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5A5A5" w:sz="4" w:space="1"/>
      </w:pBdr>
      <w:ind w:firstLine="360"/>
      <w:rPr>
        <w:color w:val="7F7F7F"/>
      </w:rPr>
    </w:pPr>
    <w:r>
      <w:pict>
        <v:shape id="_x0000_s2051" o:spid="_x0000_s2051" o:spt="202" type="#_x0000_t202" style="position:absolute;left:0pt;margin-top:0pt;height:144pt;width:144pt;mso-position-horizontal:right;mso-position-horizontal-relative:margin;mso-wrap-style:none;z-index:251657216;mso-width-relative:page;mso-height-relative:page;" filled="f" stroked="f" coordsize="21600,21600">
          <v:path/>
          <v:fill on="f" focussize="0,0"/>
          <v:stroke on="f" weight="1.25pt" joinstyle="miter"/>
          <v:imagedata o:title=""/>
          <o:lock v:ext="edit"/>
          <v:textbox inset="0mm,0mm,0mm,0mm" style="mso-fit-shape-to-text:t;">
            <w:txbxContent>
              <w:p>
                <w:pPr>
                  <w:pStyle w:val="22"/>
                  <w:pBdr>
                    <w:top w:val="single" w:color="A5A5A5" w:sz="4" w:space="1"/>
                  </w:pBdr>
                  <w:ind w:firstLine="360"/>
                </w:pP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5A5A5" w:sz="4" w:space="1"/>
      </w:pBdr>
      <w:ind w:firstLine="360"/>
      <w:rPr>
        <w:color w:val="7F7F7F"/>
      </w:rPr>
    </w:pPr>
    <w:r>
      <w:pict>
        <v:shape id="_x0000_s2052" o:spid="_x0000_s2052" o:spt="202" type="#_x0000_t202" style="position:absolute;left:0pt;margin-left:20.25pt;margin-top:1.8pt;height:17.5pt;width:430.5pt;mso-position-horizontal-relative:margin;mso-wrap-style:none;z-index:251658240;mso-width-relative:page;mso-height-relative:page;" filled="f" stroked="f" coordsize="21600,21600">
          <v:path/>
          <v:fill on="f" focussize="0,0"/>
          <v:stroke on="f" weight="1.25pt" joinstyle="miter"/>
          <v:imagedata o:title=""/>
          <o:lock v:ext="edit"/>
          <v:textbox inset="0mm,0mm,0mm,0mm" style="mso-fit-shape-to-text:t;">
            <w:txbxContent>
              <w:p>
                <w:pPr>
                  <w:pStyle w:val="22"/>
                  <w:ind w:firstLine="360"/>
                </w:pPr>
                <w:r>
                  <w:rPr>
                    <w:rFonts w:hint="eastAsia" w:cs="宋体"/>
                  </w:rPr>
                  <w:t>嘉兴市宏泽招标咨询有限公司</w:t>
                </w:r>
                <w:r>
                  <w:t xml:space="preserve">                    </w:t>
                </w:r>
                <w:r>
                  <w:rPr>
                    <w:rFonts w:hint="eastAsia" w:cs="宋体"/>
                  </w:rPr>
                  <w:t>联系电话：</w:t>
                </w:r>
                <w:r>
                  <w:t xml:space="preserve">0573-84020980            </w:t>
                </w:r>
                <w:r>
                  <w:fldChar w:fldCharType="begin"/>
                </w:r>
                <w:r>
                  <w:instrText xml:space="preserve"> PAGE   \* MERGEFORMAT </w:instrText>
                </w:r>
                <w:r>
                  <w:fldChar w:fldCharType="separate"/>
                </w:r>
                <w:r>
                  <w:rPr>
                    <w:lang w:val="zh-CN"/>
                  </w:rPr>
                  <w:t>4</w:t>
                </w:r>
                <w:r>
                  <w:rPr>
                    <w:lang w:val="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5A5A5" w:sz="4" w:space="1"/>
      </w:pBdr>
      <w:ind w:firstLine="360"/>
      <w:rPr>
        <w:rFonts w:ascii="宋体" w:hAnsi="宋体" w:cs="宋体"/>
        <w:color w:val="7F7F7F"/>
      </w:rPr>
    </w:pPr>
    <w:r>
      <w:pict>
        <v:shape id="文本框 5122" o:spid="_x0000_s2053" o:spt="202" type="#_x0000_t202" style="position:absolute;left:0pt;margin-left:16.8pt;margin-top:2.4pt;height:17.5pt;width:436.55pt;mso-position-horizontal-relative:margin;mso-wrap-style:none;z-index:251658240;mso-width-relative:page;mso-height-relative:page;" filled="f" stroked="f" coordsize="21600,21600">
          <v:path/>
          <v:fill on="f" focussize="0,0"/>
          <v:stroke on="f" weight="1.25pt" joinstyle="miter"/>
          <v:imagedata o:title=""/>
          <o:lock v:ext="edit"/>
          <v:textbox inset="0mm,0mm,0mm,0mm" style="mso-fit-shape-to-text:t;">
            <w:txbxContent>
              <w:p>
                <w:pPr>
                  <w:pStyle w:val="22"/>
                  <w:ind w:firstLine="360"/>
                </w:pPr>
                <w:r>
                  <w:rPr>
                    <w:rFonts w:hint="eastAsia" w:ascii="宋体" w:hAnsi="宋体" w:cs="宋体"/>
                  </w:rPr>
                  <w:t xml:space="preserve">嘉兴市宏泽招标咨询有限公司                    联系电话：0573-84020980            </w:t>
                </w: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lang w:val="zh-CN"/>
                  </w:rPr>
                  <w:t>64</w:t>
                </w:r>
                <w:r>
                  <w:rPr>
                    <w:rFonts w:hint="eastAsia" w:ascii="宋体" w:hAnsi="宋体" w:cs="宋体"/>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left" w:pos="6885"/>
        <w:tab w:val="clear" w:pos="4153"/>
        <w:tab w:val="clear" w:pos="8306"/>
      </w:tabs>
      <w:spacing w:line="240" w:lineRule="auto"/>
      <w:ind w:firstLine="0" w:firstLineChars="0"/>
      <w:contextualSpacing/>
      <w:jc w:val="left"/>
    </w:pPr>
    <w:r>
      <w:rPr>
        <w:rFonts w:hint="eastAsia" w:ascii="宋体" w:hAnsi="宋体" w:cs="宋体"/>
        <w:color w:val="000000"/>
        <w:szCs w:val="24"/>
      </w:rPr>
      <w:t>2023年城区信号灯路口配时优化项目</w:t>
    </w:r>
    <w:r>
      <w:rPr>
        <w:rFonts w:hint="eastAsia" w:ascii="宋体" w:hAnsi="宋体" w:cs="宋体"/>
      </w:rPr>
      <w:t>公开招标采购文件</w:t>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left" w:pos="6885"/>
        <w:tab w:val="clear" w:pos="4153"/>
        <w:tab w:val="clear" w:pos="8306"/>
      </w:tabs>
      <w:spacing w:line="240" w:lineRule="auto"/>
      <w:ind w:firstLine="0" w:firstLineChars="0"/>
      <w:jc w:val="left"/>
    </w:pPr>
    <w:r>
      <w:rPr>
        <w:rFonts w:hint="eastAsia" w:ascii="宋体" w:hAnsi="宋体" w:cs="宋体"/>
        <w:color w:val="000000"/>
        <w:szCs w:val="24"/>
      </w:rPr>
      <w:t>2023年城区信号灯路口配时优化项目</w:t>
    </w:r>
    <w:r>
      <w:rPr>
        <w:rFonts w:hint="eastAsia" w:ascii="宋体" w:hAnsi="宋体" w:cs="宋体"/>
      </w:rPr>
      <w:t>公开招标采购文件</w:t>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left" w:pos="6885"/>
        <w:tab w:val="clear" w:pos="4153"/>
        <w:tab w:val="clear" w:pos="8306"/>
      </w:tabs>
      <w:spacing w:line="240" w:lineRule="auto"/>
      <w:ind w:firstLine="0" w:firstLineChars="0"/>
      <w:jc w:val="left"/>
    </w:pPr>
    <w:r>
      <w:rPr>
        <w:rFonts w:hint="eastAsia" w:ascii="宋体" w:hAnsi="宋体" w:cs="宋体"/>
        <w:color w:val="000000"/>
        <w:szCs w:val="24"/>
      </w:rPr>
      <w:t>2023年城区信号灯路口配时优化项目</w:t>
    </w:r>
    <w:r>
      <w:rPr>
        <w:rFonts w:hint="eastAsia" w:ascii="宋体" w:hAnsi="宋体" w:cs="宋体"/>
      </w:rPr>
      <w:t>公开招标采购文件</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403B5"/>
    <w:multiLevelType w:val="singleLevel"/>
    <w:tmpl w:val="54F403B5"/>
    <w:lvl w:ilvl="0" w:tentative="0">
      <w:start w:val="1"/>
      <w:numFmt w:val="chineseCounting"/>
      <w:suff w:val="nothing"/>
      <w:lvlText w:val="%1、"/>
      <w:lvlJc w:val="left"/>
    </w:lvl>
  </w:abstractNum>
  <w:abstractNum w:abstractNumId="1">
    <w:nsid w:val="557FD3DA"/>
    <w:multiLevelType w:val="singleLevel"/>
    <w:tmpl w:val="557FD3DA"/>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40"/>
  <w:drawingGridVerticalSpacing w:val="38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mI5NTAyOWU4NTA1M2NmMjEwMjk5MTMwZjdkY2U2MjEifQ=="/>
  </w:docVars>
  <w:rsids>
    <w:rsidRoot w:val="00524E3B"/>
    <w:rsid w:val="000004EF"/>
    <w:rsid w:val="000005F8"/>
    <w:rsid w:val="00000E90"/>
    <w:rsid w:val="0000101F"/>
    <w:rsid w:val="00001205"/>
    <w:rsid w:val="000019E1"/>
    <w:rsid w:val="00002279"/>
    <w:rsid w:val="00002796"/>
    <w:rsid w:val="000029E1"/>
    <w:rsid w:val="00003058"/>
    <w:rsid w:val="000033B8"/>
    <w:rsid w:val="000039C0"/>
    <w:rsid w:val="00004822"/>
    <w:rsid w:val="00004F7D"/>
    <w:rsid w:val="0000514E"/>
    <w:rsid w:val="000051F0"/>
    <w:rsid w:val="00005A88"/>
    <w:rsid w:val="00005CDF"/>
    <w:rsid w:val="00005E38"/>
    <w:rsid w:val="000062BD"/>
    <w:rsid w:val="000063FE"/>
    <w:rsid w:val="0000656D"/>
    <w:rsid w:val="0000662F"/>
    <w:rsid w:val="00006B66"/>
    <w:rsid w:val="00007793"/>
    <w:rsid w:val="00007B04"/>
    <w:rsid w:val="00007C20"/>
    <w:rsid w:val="000100E4"/>
    <w:rsid w:val="000104F8"/>
    <w:rsid w:val="00010977"/>
    <w:rsid w:val="00010BEF"/>
    <w:rsid w:val="00011166"/>
    <w:rsid w:val="00011687"/>
    <w:rsid w:val="0001183A"/>
    <w:rsid w:val="00011E59"/>
    <w:rsid w:val="0001245E"/>
    <w:rsid w:val="000124B0"/>
    <w:rsid w:val="0001297E"/>
    <w:rsid w:val="00012D0E"/>
    <w:rsid w:val="0001377B"/>
    <w:rsid w:val="000142A0"/>
    <w:rsid w:val="00014591"/>
    <w:rsid w:val="000145AC"/>
    <w:rsid w:val="000146E5"/>
    <w:rsid w:val="00015644"/>
    <w:rsid w:val="000158F1"/>
    <w:rsid w:val="00015915"/>
    <w:rsid w:val="00016194"/>
    <w:rsid w:val="0001658A"/>
    <w:rsid w:val="000202CF"/>
    <w:rsid w:val="000204AC"/>
    <w:rsid w:val="0002126C"/>
    <w:rsid w:val="000214F7"/>
    <w:rsid w:val="00021794"/>
    <w:rsid w:val="00021BE0"/>
    <w:rsid w:val="00021D5C"/>
    <w:rsid w:val="00021DC7"/>
    <w:rsid w:val="000222A9"/>
    <w:rsid w:val="0002338A"/>
    <w:rsid w:val="0002349B"/>
    <w:rsid w:val="0002382C"/>
    <w:rsid w:val="00025298"/>
    <w:rsid w:val="00025331"/>
    <w:rsid w:val="00025A05"/>
    <w:rsid w:val="00026033"/>
    <w:rsid w:val="0002604E"/>
    <w:rsid w:val="00026175"/>
    <w:rsid w:val="000262DB"/>
    <w:rsid w:val="00026859"/>
    <w:rsid w:val="00026982"/>
    <w:rsid w:val="000272A4"/>
    <w:rsid w:val="00027390"/>
    <w:rsid w:val="000275DA"/>
    <w:rsid w:val="000276DE"/>
    <w:rsid w:val="00027E12"/>
    <w:rsid w:val="0003054F"/>
    <w:rsid w:val="0003085D"/>
    <w:rsid w:val="00030D24"/>
    <w:rsid w:val="00030D57"/>
    <w:rsid w:val="00030FB1"/>
    <w:rsid w:val="00031383"/>
    <w:rsid w:val="00031525"/>
    <w:rsid w:val="000316BD"/>
    <w:rsid w:val="00031743"/>
    <w:rsid w:val="0003191D"/>
    <w:rsid w:val="000338E2"/>
    <w:rsid w:val="00034034"/>
    <w:rsid w:val="00034476"/>
    <w:rsid w:val="000344B0"/>
    <w:rsid w:val="00034707"/>
    <w:rsid w:val="00034F25"/>
    <w:rsid w:val="000356E5"/>
    <w:rsid w:val="00035C86"/>
    <w:rsid w:val="00035C8C"/>
    <w:rsid w:val="00035CBE"/>
    <w:rsid w:val="00036397"/>
    <w:rsid w:val="00036C78"/>
    <w:rsid w:val="00036E5A"/>
    <w:rsid w:val="0003725C"/>
    <w:rsid w:val="0003732E"/>
    <w:rsid w:val="000373C9"/>
    <w:rsid w:val="0003749C"/>
    <w:rsid w:val="000376F9"/>
    <w:rsid w:val="00037700"/>
    <w:rsid w:val="0003779C"/>
    <w:rsid w:val="00037B4B"/>
    <w:rsid w:val="00037E78"/>
    <w:rsid w:val="00040151"/>
    <w:rsid w:val="00040166"/>
    <w:rsid w:val="0004067F"/>
    <w:rsid w:val="00040B62"/>
    <w:rsid w:val="00040D37"/>
    <w:rsid w:val="000410EA"/>
    <w:rsid w:val="0004121C"/>
    <w:rsid w:val="00041CE7"/>
    <w:rsid w:val="00041D35"/>
    <w:rsid w:val="00042130"/>
    <w:rsid w:val="000422E5"/>
    <w:rsid w:val="00042ED0"/>
    <w:rsid w:val="000434AA"/>
    <w:rsid w:val="00043BF1"/>
    <w:rsid w:val="00043CE3"/>
    <w:rsid w:val="00044501"/>
    <w:rsid w:val="00044516"/>
    <w:rsid w:val="00044CB0"/>
    <w:rsid w:val="00044D9A"/>
    <w:rsid w:val="000459BA"/>
    <w:rsid w:val="00046316"/>
    <w:rsid w:val="0004685E"/>
    <w:rsid w:val="0004705E"/>
    <w:rsid w:val="00047B22"/>
    <w:rsid w:val="00047B44"/>
    <w:rsid w:val="00047D09"/>
    <w:rsid w:val="00047FD3"/>
    <w:rsid w:val="00050C6E"/>
    <w:rsid w:val="00050E4C"/>
    <w:rsid w:val="000513F0"/>
    <w:rsid w:val="0005237E"/>
    <w:rsid w:val="0005241B"/>
    <w:rsid w:val="0005283A"/>
    <w:rsid w:val="000529CA"/>
    <w:rsid w:val="00052A2B"/>
    <w:rsid w:val="00052A72"/>
    <w:rsid w:val="00052B15"/>
    <w:rsid w:val="000532B0"/>
    <w:rsid w:val="000532E8"/>
    <w:rsid w:val="000533DB"/>
    <w:rsid w:val="000535BD"/>
    <w:rsid w:val="00053936"/>
    <w:rsid w:val="00053DF0"/>
    <w:rsid w:val="00054135"/>
    <w:rsid w:val="0005457F"/>
    <w:rsid w:val="00054714"/>
    <w:rsid w:val="000547AC"/>
    <w:rsid w:val="00054B8E"/>
    <w:rsid w:val="00054D9A"/>
    <w:rsid w:val="00054FE1"/>
    <w:rsid w:val="0005540F"/>
    <w:rsid w:val="000554CF"/>
    <w:rsid w:val="00055B39"/>
    <w:rsid w:val="00055D38"/>
    <w:rsid w:val="0005601A"/>
    <w:rsid w:val="0005697F"/>
    <w:rsid w:val="00056FA6"/>
    <w:rsid w:val="000571CF"/>
    <w:rsid w:val="000603E3"/>
    <w:rsid w:val="000604A2"/>
    <w:rsid w:val="0006074A"/>
    <w:rsid w:val="00060A13"/>
    <w:rsid w:val="00060E2B"/>
    <w:rsid w:val="000611E0"/>
    <w:rsid w:val="00061BD1"/>
    <w:rsid w:val="00061F02"/>
    <w:rsid w:val="00062443"/>
    <w:rsid w:val="000625D9"/>
    <w:rsid w:val="00062816"/>
    <w:rsid w:val="00062EFE"/>
    <w:rsid w:val="000636DC"/>
    <w:rsid w:val="000641F9"/>
    <w:rsid w:val="000648FF"/>
    <w:rsid w:val="0006532E"/>
    <w:rsid w:val="00065577"/>
    <w:rsid w:val="0006634B"/>
    <w:rsid w:val="000663E7"/>
    <w:rsid w:val="00066562"/>
    <w:rsid w:val="00066D6B"/>
    <w:rsid w:val="00066DD5"/>
    <w:rsid w:val="0007013F"/>
    <w:rsid w:val="000701F4"/>
    <w:rsid w:val="0007087F"/>
    <w:rsid w:val="00070EFB"/>
    <w:rsid w:val="000715B7"/>
    <w:rsid w:val="0007165F"/>
    <w:rsid w:val="00071740"/>
    <w:rsid w:val="00071A39"/>
    <w:rsid w:val="00071D8A"/>
    <w:rsid w:val="00072054"/>
    <w:rsid w:val="00072337"/>
    <w:rsid w:val="0007246A"/>
    <w:rsid w:val="00072660"/>
    <w:rsid w:val="00073637"/>
    <w:rsid w:val="0007373F"/>
    <w:rsid w:val="00073817"/>
    <w:rsid w:val="00073C11"/>
    <w:rsid w:val="00074A43"/>
    <w:rsid w:val="0007541C"/>
    <w:rsid w:val="0007556F"/>
    <w:rsid w:val="00075BB3"/>
    <w:rsid w:val="00075D8A"/>
    <w:rsid w:val="00075DD1"/>
    <w:rsid w:val="00075ECA"/>
    <w:rsid w:val="00076093"/>
    <w:rsid w:val="00076146"/>
    <w:rsid w:val="00076209"/>
    <w:rsid w:val="00076227"/>
    <w:rsid w:val="00076945"/>
    <w:rsid w:val="0007695A"/>
    <w:rsid w:val="00076969"/>
    <w:rsid w:val="0007739B"/>
    <w:rsid w:val="000776D0"/>
    <w:rsid w:val="000779B3"/>
    <w:rsid w:val="00077E84"/>
    <w:rsid w:val="00080150"/>
    <w:rsid w:val="0008084F"/>
    <w:rsid w:val="000808C9"/>
    <w:rsid w:val="00081050"/>
    <w:rsid w:val="00081242"/>
    <w:rsid w:val="000828E1"/>
    <w:rsid w:val="00082EA5"/>
    <w:rsid w:val="00082FBB"/>
    <w:rsid w:val="000837E2"/>
    <w:rsid w:val="00083805"/>
    <w:rsid w:val="00083D5E"/>
    <w:rsid w:val="00084396"/>
    <w:rsid w:val="000843AB"/>
    <w:rsid w:val="000846C3"/>
    <w:rsid w:val="0008502D"/>
    <w:rsid w:val="00085501"/>
    <w:rsid w:val="000855C7"/>
    <w:rsid w:val="00085640"/>
    <w:rsid w:val="00086B15"/>
    <w:rsid w:val="00087342"/>
    <w:rsid w:val="00087684"/>
    <w:rsid w:val="0008769B"/>
    <w:rsid w:val="000876BA"/>
    <w:rsid w:val="0008785E"/>
    <w:rsid w:val="0009022F"/>
    <w:rsid w:val="00090422"/>
    <w:rsid w:val="0009046D"/>
    <w:rsid w:val="000910B4"/>
    <w:rsid w:val="000912FB"/>
    <w:rsid w:val="00091D90"/>
    <w:rsid w:val="0009244B"/>
    <w:rsid w:val="00092672"/>
    <w:rsid w:val="00092D33"/>
    <w:rsid w:val="00093D3D"/>
    <w:rsid w:val="00093E99"/>
    <w:rsid w:val="000946EC"/>
    <w:rsid w:val="00094BAD"/>
    <w:rsid w:val="00094D76"/>
    <w:rsid w:val="00094DAD"/>
    <w:rsid w:val="0009524E"/>
    <w:rsid w:val="000956A8"/>
    <w:rsid w:val="0009587D"/>
    <w:rsid w:val="00095FAB"/>
    <w:rsid w:val="00096086"/>
    <w:rsid w:val="00096197"/>
    <w:rsid w:val="0009651E"/>
    <w:rsid w:val="00096667"/>
    <w:rsid w:val="000969DE"/>
    <w:rsid w:val="00097341"/>
    <w:rsid w:val="00097713"/>
    <w:rsid w:val="000A1146"/>
    <w:rsid w:val="000A11DE"/>
    <w:rsid w:val="000A1697"/>
    <w:rsid w:val="000A1A7F"/>
    <w:rsid w:val="000A1B17"/>
    <w:rsid w:val="000A2135"/>
    <w:rsid w:val="000A24AD"/>
    <w:rsid w:val="000A2E6D"/>
    <w:rsid w:val="000A3255"/>
    <w:rsid w:val="000A3887"/>
    <w:rsid w:val="000A3934"/>
    <w:rsid w:val="000A3D64"/>
    <w:rsid w:val="000A41B2"/>
    <w:rsid w:val="000A44E0"/>
    <w:rsid w:val="000A44F0"/>
    <w:rsid w:val="000A4572"/>
    <w:rsid w:val="000A4FDB"/>
    <w:rsid w:val="000A6535"/>
    <w:rsid w:val="000A6758"/>
    <w:rsid w:val="000A6DFA"/>
    <w:rsid w:val="000A6FB9"/>
    <w:rsid w:val="000A74A9"/>
    <w:rsid w:val="000A7CBC"/>
    <w:rsid w:val="000B0CBA"/>
    <w:rsid w:val="000B0FFC"/>
    <w:rsid w:val="000B11D7"/>
    <w:rsid w:val="000B129E"/>
    <w:rsid w:val="000B1AAA"/>
    <w:rsid w:val="000B1B1E"/>
    <w:rsid w:val="000B23C3"/>
    <w:rsid w:val="000B290D"/>
    <w:rsid w:val="000B2DF0"/>
    <w:rsid w:val="000B3092"/>
    <w:rsid w:val="000B31A4"/>
    <w:rsid w:val="000B3A28"/>
    <w:rsid w:val="000B3AD3"/>
    <w:rsid w:val="000B3F9F"/>
    <w:rsid w:val="000B4C8F"/>
    <w:rsid w:val="000B4D6C"/>
    <w:rsid w:val="000B519C"/>
    <w:rsid w:val="000B5361"/>
    <w:rsid w:val="000B5671"/>
    <w:rsid w:val="000B573C"/>
    <w:rsid w:val="000B5965"/>
    <w:rsid w:val="000B5E8B"/>
    <w:rsid w:val="000B64A5"/>
    <w:rsid w:val="000B67CB"/>
    <w:rsid w:val="000B6BD4"/>
    <w:rsid w:val="000B71A2"/>
    <w:rsid w:val="000B75CB"/>
    <w:rsid w:val="000B791C"/>
    <w:rsid w:val="000B7B7B"/>
    <w:rsid w:val="000B7F36"/>
    <w:rsid w:val="000C024E"/>
    <w:rsid w:val="000C042A"/>
    <w:rsid w:val="000C0ADC"/>
    <w:rsid w:val="000C181A"/>
    <w:rsid w:val="000C1D02"/>
    <w:rsid w:val="000C1D44"/>
    <w:rsid w:val="000C1F24"/>
    <w:rsid w:val="000C2499"/>
    <w:rsid w:val="000C3FF7"/>
    <w:rsid w:val="000C41F6"/>
    <w:rsid w:val="000C432C"/>
    <w:rsid w:val="000C43CD"/>
    <w:rsid w:val="000C446D"/>
    <w:rsid w:val="000C4BC1"/>
    <w:rsid w:val="000C533D"/>
    <w:rsid w:val="000C554E"/>
    <w:rsid w:val="000C5666"/>
    <w:rsid w:val="000C5B2E"/>
    <w:rsid w:val="000C6FA1"/>
    <w:rsid w:val="000C6FF1"/>
    <w:rsid w:val="000C722F"/>
    <w:rsid w:val="000C7BB8"/>
    <w:rsid w:val="000C7D12"/>
    <w:rsid w:val="000D0457"/>
    <w:rsid w:val="000D04CB"/>
    <w:rsid w:val="000D04CD"/>
    <w:rsid w:val="000D053F"/>
    <w:rsid w:val="000D0A5D"/>
    <w:rsid w:val="000D3251"/>
    <w:rsid w:val="000D3DE0"/>
    <w:rsid w:val="000D44A5"/>
    <w:rsid w:val="000D4721"/>
    <w:rsid w:val="000D477B"/>
    <w:rsid w:val="000D48B4"/>
    <w:rsid w:val="000D4B8D"/>
    <w:rsid w:val="000D4EF1"/>
    <w:rsid w:val="000D5117"/>
    <w:rsid w:val="000D53AD"/>
    <w:rsid w:val="000D57DA"/>
    <w:rsid w:val="000D58F3"/>
    <w:rsid w:val="000D59D1"/>
    <w:rsid w:val="000D5D3B"/>
    <w:rsid w:val="000D66AB"/>
    <w:rsid w:val="000D6770"/>
    <w:rsid w:val="000D7025"/>
    <w:rsid w:val="000D71C9"/>
    <w:rsid w:val="000D7600"/>
    <w:rsid w:val="000D77E4"/>
    <w:rsid w:val="000D7B51"/>
    <w:rsid w:val="000D7FC4"/>
    <w:rsid w:val="000E015A"/>
    <w:rsid w:val="000E080D"/>
    <w:rsid w:val="000E0D30"/>
    <w:rsid w:val="000E0D41"/>
    <w:rsid w:val="000E1009"/>
    <w:rsid w:val="000E12DC"/>
    <w:rsid w:val="000E18C0"/>
    <w:rsid w:val="000E1979"/>
    <w:rsid w:val="000E211B"/>
    <w:rsid w:val="000E26FD"/>
    <w:rsid w:val="000E2E1B"/>
    <w:rsid w:val="000E3730"/>
    <w:rsid w:val="000E3B0E"/>
    <w:rsid w:val="000E3D43"/>
    <w:rsid w:val="000E3DE8"/>
    <w:rsid w:val="000E3E38"/>
    <w:rsid w:val="000E4394"/>
    <w:rsid w:val="000E46A3"/>
    <w:rsid w:val="000E4D1D"/>
    <w:rsid w:val="000E4E45"/>
    <w:rsid w:val="000E508A"/>
    <w:rsid w:val="000E53FC"/>
    <w:rsid w:val="000E5FDA"/>
    <w:rsid w:val="000E6213"/>
    <w:rsid w:val="000E634E"/>
    <w:rsid w:val="000E644F"/>
    <w:rsid w:val="000E65B8"/>
    <w:rsid w:val="000E6C7B"/>
    <w:rsid w:val="000E7A18"/>
    <w:rsid w:val="000E7FAB"/>
    <w:rsid w:val="000F08A8"/>
    <w:rsid w:val="000F13E6"/>
    <w:rsid w:val="000F15A4"/>
    <w:rsid w:val="000F1CA4"/>
    <w:rsid w:val="000F1E4F"/>
    <w:rsid w:val="000F1FE0"/>
    <w:rsid w:val="000F202E"/>
    <w:rsid w:val="000F2461"/>
    <w:rsid w:val="000F25E1"/>
    <w:rsid w:val="000F340F"/>
    <w:rsid w:val="000F37EF"/>
    <w:rsid w:val="000F3A4E"/>
    <w:rsid w:val="000F4101"/>
    <w:rsid w:val="000F425F"/>
    <w:rsid w:val="000F4DD5"/>
    <w:rsid w:val="000F51E6"/>
    <w:rsid w:val="000F5B96"/>
    <w:rsid w:val="000F5C70"/>
    <w:rsid w:val="000F5F15"/>
    <w:rsid w:val="000F5FC1"/>
    <w:rsid w:val="000F65FD"/>
    <w:rsid w:val="000F6627"/>
    <w:rsid w:val="000F6F6F"/>
    <w:rsid w:val="000F72E1"/>
    <w:rsid w:val="000F73DD"/>
    <w:rsid w:val="000F791E"/>
    <w:rsid w:val="00100137"/>
    <w:rsid w:val="0010059D"/>
    <w:rsid w:val="0010076A"/>
    <w:rsid w:val="001017DB"/>
    <w:rsid w:val="00101D7A"/>
    <w:rsid w:val="00101E17"/>
    <w:rsid w:val="00101F29"/>
    <w:rsid w:val="001023C8"/>
    <w:rsid w:val="001026A7"/>
    <w:rsid w:val="00102864"/>
    <w:rsid w:val="0010297B"/>
    <w:rsid w:val="00102AE3"/>
    <w:rsid w:val="00102B5B"/>
    <w:rsid w:val="0010316D"/>
    <w:rsid w:val="001033EA"/>
    <w:rsid w:val="0010358A"/>
    <w:rsid w:val="0010376A"/>
    <w:rsid w:val="001037E6"/>
    <w:rsid w:val="001038BB"/>
    <w:rsid w:val="00103C61"/>
    <w:rsid w:val="00103EDC"/>
    <w:rsid w:val="001046FF"/>
    <w:rsid w:val="001048CE"/>
    <w:rsid w:val="00104E4B"/>
    <w:rsid w:val="001054E2"/>
    <w:rsid w:val="00105530"/>
    <w:rsid w:val="0010554D"/>
    <w:rsid w:val="00105B8A"/>
    <w:rsid w:val="00105C41"/>
    <w:rsid w:val="00106223"/>
    <w:rsid w:val="001069ED"/>
    <w:rsid w:val="00106A15"/>
    <w:rsid w:val="00107011"/>
    <w:rsid w:val="0010780C"/>
    <w:rsid w:val="00107C4B"/>
    <w:rsid w:val="00110507"/>
    <w:rsid w:val="00110C32"/>
    <w:rsid w:val="00111B4A"/>
    <w:rsid w:val="00111C43"/>
    <w:rsid w:val="00112177"/>
    <w:rsid w:val="001121C1"/>
    <w:rsid w:val="001129EA"/>
    <w:rsid w:val="0011302D"/>
    <w:rsid w:val="001137E0"/>
    <w:rsid w:val="00113B57"/>
    <w:rsid w:val="00113D0C"/>
    <w:rsid w:val="00114B63"/>
    <w:rsid w:val="00114E66"/>
    <w:rsid w:val="0011513E"/>
    <w:rsid w:val="00115471"/>
    <w:rsid w:val="0011552F"/>
    <w:rsid w:val="00115BC0"/>
    <w:rsid w:val="00115D15"/>
    <w:rsid w:val="00115D17"/>
    <w:rsid w:val="001166CD"/>
    <w:rsid w:val="001168B4"/>
    <w:rsid w:val="00117537"/>
    <w:rsid w:val="00117D12"/>
    <w:rsid w:val="00117F6C"/>
    <w:rsid w:val="001200C5"/>
    <w:rsid w:val="00120230"/>
    <w:rsid w:val="001205EB"/>
    <w:rsid w:val="00120C8D"/>
    <w:rsid w:val="001210E4"/>
    <w:rsid w:val="00121474"/>
    <w:rsid w:val="001217F4"/>
    <w:rsid w:val="0012182D"/>
    <w:rsid w:val="00121D20"/>
    <w:rsid w:val="0012212A"/>
    <w:rsid w:val="0012236C"/>
    <w:rsid w:val="001223E4"/>
    <w:rsid w:val="00122470"/>
    <w:rsid w:val="00122907"/>
    <w:rsid w:val="00122C4B"/>
    <w:rsid w:val="00123F7B"/>
    <w:rsid w:val="001240A0"/>
    <w:rsid w:val="00125098"/>
    <w:rsid w:val="001253DF"/>
    <w:rsid w:val="00125522"/>
    <w:rsid w:val="001257B0"/>
    <w:rsid w:val="00126197"/>
    <w:rsid w:val="00126C16"/>
    <w:rsid w:val="00126C57"/>
    <w:rsid w:val="00126DEA"/>
    <w:rsid w:val="00126F55"/>
    <w:rsid w:val="00127A4B"/>
    <w:rsid w:val="00127AA2"/>
    <w:rsid w:val="00127F7E"/>
    <w:rsid w:val="00130006"/>
    <w:rsid w:val="001306B3"/>
    <w:rsid w:val="001307B2"/>
    <w:rsid w:val="00130BFC"/>
    <w:rsid w:val="00130C25"/>
    <w:rsid w:val="001311A6"/>
    <w:rsid w:val="00131534"/>
    <w:rsid w:val="00131593"/>
    <w:rsid w:val="001317DB"/>
    <w:rsid w:val="00131C33"/>
    <w:rsid w:val="00131F99"/>
    <w:rsid w:val="00132084"/>
    <w:rsid w:val="001323A6"/>
    <w:rsid w:val="001334FC"/>
    <w:rsid w:val="001347A7"/>
    <w:rsid w:val="0013482D"/>
    <w:rsid w:val="0013497C"/>
    <w:rsid w:val="001349C6"/>
    <w:rsid w:val="00134F60"/>
    <w:rsid w:val="001352F1"/>
    <w:rsid w:val="001357C6"/>
    <w:rsid w:val="00135A99"/>
    <w:rsid w:val="00135FDE"/>
    <w:rsid w:val="00136AC1"/>
    <w:rsid w:val="00137529"/>
    <w:rsid w:val="0013790C"/>
    <w:rsid w:val="00140981"/>
    <w:rsid w:val="00140CB3"/>
    <w:rsid w:val="00140FBF"/>
    <w:rsid w:val="00141970"/>
    <w:rsid w:val="00141C4A"/>
    <w:rsid w:val="001422C9"/>
    <w:rsid w:val="00142511"/>
    <w:rsid w:val="001427ED"/>
    <w:rsid w:val="00142B23"/>
    <w:rsid w:val="00142E0C"/>
    <w:rsid w:val="00143132"/>
    <w:rsid w:val="00143182"/>
    <w:rsid w:val="00143672"/>
    <w:rsid w:val="00144069"/>
    <w:rsid w:val="001440A0"/>
    <w:rsid w:val="0014440E"/>
    <w:rsid w:val="0014451E"/>
    <w:rsid w:val="001446B8"/>
    <w:rsid w:val="001453DE"/>
    <w:rsid w:val="00145670"/>
    <w:rsid w:val="001459AD"/>
    <w:rsid w:val="00145AFB"/>
    <w:rsid w:val="001460B9"/>
    <w:rsid w:val="001468EF"/>
    <w:rsid w:val="00146EAB"/>
    <w:rsid w:val="0014780D"/>
    <w:rsid w:val="001478DD"/>
    <w:rsid w:val="00147EA2"/>
    <w:rsid w:val="00147FAC"/>
    <w:rsid w:val="001500F4"/>
    <w:rsid w:val="00150CA5"/>
    <w:rsid w:val="0015137E"/>
    <w:rsid w:val="00151EEB"/>
    <w:rsid w:val="00151EEC"/>
    <w:rsid w:val="001525F2"/>
    <w:rsid w:val="00152632"/>
    <w:rsid w:val="00152A4F"/>
    <w:rsid w:val="00152A7B"/>
    <w:rsid w:val="00152FE3"/>
    <w:rsid w:val="00152FFE"/>
    <w:rsid w:val="00153336"/>
    <w:rsid w:val="00153396"/>
    <w:rsid w:val="00153486"/>
    <w:rsid w:val="001534BE"/>
    <w:rsid w:val="00153CA0"/>
    <w:rsid w:val="00153E41"/>
    <w:rsid w:val="001545D7"/>
    <w:rsid w:val="001551CF"/>
    <w:rsid w:val="00155A35"/>
    <w:rsid w:val="00155CFA"/>
    <w:rsid w:val="001561C1"/>
    <w:rsid w:val="001562F9"/>
    <w:rsid w:val="00156FC1"/>
    <w:rsid w:val="001571B1"/>
    <w:rsid w:val="001572E4"/>
    <w:rsid w:val="00157718"/>
    <w:rsid w:val="001579F8"/>
    <w:rsid w:val="00157C21"/>
    <w:rsid w:val="00157F5A"/>
    <w:rsid w:val="001607B9"/>
    <w:rsid w:val="00160A07"/>
    <w:rsid w:val="00160EC8"/>
    <w:rsid w:val="001614A8"/>
    <w:rsid w:val="00162029"/>
    <w:rsid w:val="00162D2D"/>
    <w:rsid w:val="00163397"/>
    <w:rsid w:val="0016473B"/>
    <w:rsid w:val="00164E77"/>
    <w:rsid w:val="00164F9B"/>
    <w:rsid w:val="0016534E"/>
    <w:rsid w:val="001654AE"/>
    <w:rsid w:val="001657F5"/>
    <w:rsid w:val="001659B7"/>
    <w:rsid w:val="00165D4C"/>
    <w:rsid w:val="0016618E"/>
    <w:rsid w:val="0016625E"/>
    <w:rsid w:val="00166B90"/>
    <w:rsid w:val="00166F5E"/>
    <w:rsid w:val="0016717B"/>
    <w:rsid w:val="0016741B"/>
    <w:rsid w:val="00167A06"/>
    <w:rsid w:val="00167BAF"/>
    <w:rsid w:val="0017058A"/>
    <w:rsid w:val="001706EB"/>
    <w:rsid w:val="00170D68"/>
    <w:rsid w:val="00170F48"/>
    <w:rsid w:val="00171199"/>
    <w:rsid w:val="001728DC"/>
    <w:rsid w:val="0017300E"/>
    <w:rsid w:val="00173C80"/>
    <w:rsid w:val="00174338"/>
    <w:rsid w:val="00174B84"/>
    <w:rsid w:val="001750A8"/>
    <w:rsid w:val="00175263"/>
    <w:rsid w:val="00175296"/>
    <w:rsid w:val="00175741"/>
    <w:rsid w:val="00175D01"/>
    <w:rsid w:val="00175E22"/>
    <w:rsid w:val="00176C29"/>
    <w:rsid w:val="0017779B"/>
    <w:rsid w:val="00177E0D"/>
    <w:rsid w:val="00177E52"/>
    <w:rsid w:val="001802B7"/>
    <w:rsid w:val="0018054D"/>
    <w:rsid w:val="001805FD"/>
    <w:rsid w:val="00180804"/>
    <w:rsid w:val="001816D3"/>
    <w:rsid w:val="001816D5"/>
    <w:rsid w:val="00182457"/>
    <w:rsid w:val="001826BD"/>
    <w:rsid w:val="00182FE5"/>
    <w:rsid w:val="001835EB"/>
    <w:rsid w:val="00183E4E"/>
    <w:rsid w:val="00183F50"/>
    <w:rsid w:val="00184281"/>
    <w:rsid w:val="001845C9"/>
    <w:rsid w:val="001845F3"/>
    <w:rsid w:val="00184DD6"/>
    <w:rsid w:val="0018511F"/>
    <w:rsid w:val="00185727"/>
    <w:rsid w:val="001860AF"/>
    <w:rsid w:val="001872A8"/>
    <w:rsid w:val="001879CA"/>
    <w:rsid w:val="00187C6F"/>
    <w:rsid w:val="00187FBA"/>
    <w:rsid w:val="001905CD"/>
    <w:rsid w:val="00190E42"/>
    <w:rsid w:val="001910B2"/>
    <w:rsid w:val="00191832"/>
    <w:rsid w:val="001919C9"/>
    <w:rsid w:val="00191C0D"/>
    <w:rsid w:val="00191C66"/>
    <w:rsid w:val="00192364"/>
    <w:rsid w:val="00192A08"/>
    <w:rsid w:val="00193144"/>
    <w:rsid w:val="00193154"/>
    <w:rsid w:val="00193340"/>
    <w:rsid w:val="00193D60"/>
    <w:rsid w:val="00194229"/>
    <w:rsid w:val="00194454"/>
    <w:rsid w:val="00194828"/>
    <w:rsid w:val="00194D80"/>
    <w:rsid w:val="00194F94"/>
    <w:rsid w:val="00194FFE"/>
    <w:rsid w:val="00195474"/>
    <w:rsid w:val="0019573E"/>
    <w:rsid w:val="00195740"/>
    <w:rsid w:val="00195A26"/>
    <w:rsid w:val="00195F37"/>
    <w:rsid w:val="00195F5A"/>
    <w:rsid w:val="00195F6E"/>
    <w:rsid w:val="00196ACF"/>
    <w:rsid w:val="001A0266"/>
    <w:rsid w:val="001A040E"/>
    <w:rsid w:val="001A071F"/>
    <w:rsid w:val="001A0A96"/>
    <w:rsid w:val="001A0D45"/>
    <w:rsid w:val="001A0F46"/>
    <w:rsid w:val="001A0F83"/>
    <w:rsid w:val="001A15C2"/>
    <w:rsid w:val="001A19EE"/>
    <w:rsid w:val="001A1B0A"/>
    <w:rsid w:val="001A1E5C"/>
    <w:rsid w:val="001A259C"/>
    <w:rsid w:val="001A29DE"/>
    <w:rsid w:val="001A3443"/>
    <w:rsid w:val="001A3952"/>
    <w:rsid w:val="001A473A"/>
    <w:rsid w:val="001A5BE3"/>
    <w:rsid w:val="001A5DCC"/>
    <w:rsid w:val="001A60B1"/>
    <w:rsid w:val="001A6FCA"/>
    <w:rsid w:val="001A705C"/>
    <w:rsid w:val="001A7205"/>
    <w:rsid w:val="001A72CE"/>
    <w:rsid w:val="001A7328"/>
    <w:rsid w:val="001A74E7"/>
    <w:rsid w:val="001A755A"/>
    <w:rsid w:val="001A7DFE"/>
    <w:rsid w:val="001A7E3E"/>
    <w:rsid w:val="001A7EDC"/>
    <w:rsid w:val="001A7F79"/>
    <w:rsid w:val="001B0079"/>
    <w:rsid w:val="001B0627"/>
    <w:rsid w:val="001B0878"/>
    <w:rsid w:val="001B08A6"/>
    <w:rsid w:val="001B0EF8"/>
    <w:rsid w:val="001B0F10"/>
    <w:rsid w:val="001B0F6A"/>
    <w:rsid w:val="001B0F70"/>
    <w:rsid w:val="001B103D"/>
    <w:rsid w:val="001B1451"/>
    <w:rsid w:val="001B14FB"/>
    <w:rsid w:val="001B15D5"/>
    <w:rsid w:val="001B16E3"/>
    <w:rsid w:val="001B1E58"/>
    <w:rsid w:val="001B25EB"/>
    <w:rsid w:val="001B280B"/>
    <w:rsid w:val="001B2BDF"/>
    <w:rsid w:val="001B2D67"/>
    <w:rsid w:val="001B3192"/>
    <w:rsid w:val="001B36D7"/>
    <w:rsid w:val="001B38FD"/>
    <w:rsid w:val="001B3BED"/>
    <w:rsid w:val="001B4557"/>
    <w:rsid w:val="001B46AE"/>
    <w:rsid w:val="001B4ABF"/>
    <w:rsid w:val="001B511F"/>
    <w:rsid w:val="001B5844"/>
    <w:rsid w:val="001B58E2"/>
    <w:rsid w:val="001B5CDD"/>
    <w:rsid w:val="001B5D13"/>
    <w:rsid w:val="001B5DE8"/>
    <w:rsid w:val="001B5F19"/>
    <w:rsid w:val="001B64D4"/>
    <w:rsid w:val="001B6795"/>
    <w:rsid w:val="001B68BF"/>
    <w:rsid w:val="001B6943"/>
    <w:rsid w:val="001B6E0F"/>
    <w:rsid w:val="001B7B3F"/>
    <w:rsid w:val="001C0059"/>
    <w:rsid w:val="001C071F"/>
    <w:rsid w:val="001C0894"/>
    <w:rsid w:val="001C0E60"/>
    <w:rsid w:val="001C0F94"/>
    <w:rsid w:val="001C1281"/>
    <w:rsid w:val="001C14DD"/>
    <w:rsid w:val="001C22AF"/>
    <w:rsid w:val="001C2BA5"/>
    <w:rsid w:val="001C348E"/>
    <w:rsid w:val="001C3758"/>
    <w:rsid w:val="001C4675"/>
    <w:rsid w:val="001C47BE"/>
    <w:rsid w:val="001C515D"/>
    <w:rsid w:val="001C53CC"/>
    <w:rsid w:val="001C5526"/>
    <w:rsid w:val="001C60C7"/>
    <w:rsid w:val="001C667E"/>
    <w:rsid w:val="001C6702"/>
    <w:rsid w:val="001C670C"/>
    <w:rsid w:val="001C67DE"/>
    <w:rsid w:val="001C6846"/>
    <w:rsid w:val="001C6C89"/>
    <w:rsid w:val="001C77D0"/>
    <w:rsid w:val="001C7A97"/>
    <w:rsid w:val="001C7EB5"/>
    <w:rsid w:val="001D03B3"/>
    <w:rsid w:val="001D03E3"/>
    <w:rsid w:val="001D0CD7"/>
    <w:rsid w:val="001D1153"/>
    <w:rsid w:val="001D118B"/>
    <w:rsid w:val="001D1223"/>
    <w:rsid w:val="001D135A"/>
    <w:rsid w:val="001D1E4B"/>
    <w:rsid w:val="001D203C"/>
    <w:rsid w:val="001D265E"/>
    <w:rsid w:val="001D27D1"/>
    <w:rsid w:val="001D28E0"/>
    <w:rsid w:val="001D2F65"/>
    <w:rsid w:val="001D2FA7"/>
    <w:rsid w:val="001D3145"/>
    <w:rsid w:val="001D31CB"/>
    <w:rsid w:val="001D323D"/>
    <w:rsid w:val="001D407D"/>
    <w:rsid w:val="001D450B"/>
    <w:rsid w:val="001D4918"/>
    <w:rsid w:val="001D4E1D"/>
    <w:rsid w:val="001D5C77"/>
    <w:rsid w:val="001D6A3E"/>
    <w:rsid w:val="001D71C9"/>
    <w:rsid w:val="001D748B"/>
    <w:rsid w:val="001D7529"/>
    <w:rsid w:val="001D7BE2"/>
    <w:rsid w:val="001E0309"/>
    <w:rsid w:val="001E0329"/>
    <w:rsid w:val="001E03AF"/>
    <w:rsid w:val="001E0CEE"/>
    <w:rsid w:val="001E0FEB"/>
    <w:rsid w:val="001E1C98"/>
    <w:rsid w:val="001E1EEB"/>
    <w:rsid w:val="001E23AE"/>
    <w:rsid w:val="001E256E"/>
    <w:rsid w:val="001E2C9F"/>
    <w:rsid w:val="001E2CBF"/>
    <w:rsid w:val="001E2F04"/>
    <w:rsid w:val="001E30EB"/>
    <w:rsid w:val="001E3BEF"/>
    <w:rsid w:val="001E4013"/>
    <w:rsid w:val="001E41A0"/>
    <w:rsid w:val="001E4AD0"/>
    <w:rsid w:val="001E5B4F"/>
    <w:rsid w:val="001E5DB9"/>
    <w:rsid w:val="001E60BA"/>
    <w:rsid w:val="001E6782"/>
    <w:rsid w:val="001E710E"/>
    <w:rsid w:val="001E71FA"/>
    <w:rsid w:val="001E799B"/>
    <w:rsid w:val="001E7DCC"/>
    <w:rsid w:val="001F0028"/>
    <w:rsid w:val="001F0223"/>
    <w:rsid w:val="001F038F"/>
    <w:rsid w:val="001F06CA"/>
    <w:rsid w:val="001F09F4"/>
    <w:rsid w:val="001F1062"/>
    <w:rsid w:val="001F16A4"/>
    <w:rsid w:val="001F1841"/>
    <w:rsid w:val="001F1FF6"/>
    <w:rsid w:val="001F28B4"/>
    <w:rsid w:val="001F2FE9"/>
    <w:rsid w:val="001F310C"/>
    <w:rsid w:val="001F44B1"/>
    <w:rsid w:val="001F4FC6"/>
    <w:rsid w:val="001F552C"/>
    <w:rsid w:val="001F5C9D"/>
    <w:rsid w:val="001F5CF5"/>
    <w:rsid w:val="001F61E6"/>
    <w:rsid w:val="001F6967"/>
    <w:rsid w:val="001F6AB4"/>
    <w:rsid w:val="001F6BBD"/>
    <w:rsid w:val="001F7611"/>
    <w:rsid w:val="001F7813"/>
    <w:rsid w:val="001F7AA5"/>
    <w:rsid w:val="002003ED"/>
    <w:rsid w:val="002006A3"/>
    <w:rsid w:val="0020084B"/>
    <w:rsid w:val="00201FCC"/>
    <w:rsid w:val="0020287F"/>
    <w:rsid w:val="002031F6"/>
    <w:rsid w:val="0020378C"/>
    <w:rsid w:val="00203AA1"/>
    <w:rsid w:val="00203CAF"/>
    <w:rsid w:val="00203E3A"/>
    <w:rsid w:val="00204355"/>
    <w:rsid w:val="002043C7"/>
    <w:rsid w:val="00204D55"/>
    <w:rsid w:val="00205F9E"/>
    <w:rsid w:val="00206C14"/>
    <w:rsid w:val="00206D72"/>
    <w:rsid w:val="0020711F"/>
    <w:rsid w:val="0020736A"/>
    <w:rsid w:val="00207A27"/>
    <w:rsid w:val="00210381"/>
    <w:rsid w:val="00210629"/>
    <w:rsid w:val="002106F6"/>
    <w:rsid w:val="00210797"/>
    <w:rsid w:val="00211157"/>
    <w:rsid w:val="00211485"/>
    <w:rsid w:val="00211BF6"/>
    <w:rsid w:val="00211FA8"/>
    <w:rsid w:val="00212B66"/>
    <w:rsid w:val="00213EDF"/>
    <w:rsid w:val="002140B6"/>
    <w:rsid w:val="0021417F"/>
    <w:rsid w:val="00215244"/>
    <w:rsid w:val="00215513"/>
    <w:rsid w:val="00215E6A"/>
    <w:rsid w:val="00215FD6"/>
    <w:rsid w:val="00216BC4"/>
    <w:rsid w:val="00217632"/>
    <w:rsid w:val="00217708"/>
    <w:rsid w:val="002178A4"/>
    <w:rsid w:val="00217EF5"/>
    <w:rsid w:val="0022012C"/>
    <w:rsid w:val="00220204"/>
    <w:rsid w:val="0022071A"/>
    <w:rsid w:val="0022092D"/>
    <w:rsid w:val="00220A10"/>
    <w:rsid w:val="00220A92"/>
    <w:rsid w:val="00220C03"/>
    <w:rsid w:val="00220C7A"/>
    <w:rsid w:val="00221013"/>
    <w:rsid w:val="0022238A"/>
    <w:rsid w:val="00222653"/>
    <w:rsid w:val="00222BF0"/>
    <w:rsid w:val="00222D42"/>
    <w:rsid w:val="00223343"/>
    <w:rsid w:val="00223694"/>
    <w:rsid w:val="00223C0E"/>
    <w:rsid w:val="0022450B"/>
    <w:rsid w:val="00224C1A"/>
    <w:rsid w:val="002264D4"/>
    <w:rsid w:val="0022657A"/>
    <w:rsid w:val="002265D8"/>
    <w:rsid w:val="0022698C"/>
    <w:rsid w:val="002273B2"/>
    <w:rsid w:val="0022740B"/>
    <w:rsid w:val="002279D8"/>
    <w:rsid w:val="00230F1A"/>
    <w:rsid w:val="00231318"/>
    <w:rsid w:val="00231444"/>
    <w:rsid w:val="00231A3A"/>
    <w:rsid w:val="002322C0"/>
    <w:rsid w:val="00232F73"/>
    <w:rsid w:val="002338B7"/>
    <w:rsid w:val="002340AD"/>
    <w:rsid w:val="002348D7"/>
    <w:rsid w:val="0023493C"/>
    <w:rsid w:val="00234DF2"/>
    <w:rsid w:val="00234E35"/>
    <w:rsid w:val="00235236"/>
    <w:rsid w:val="0023538B"/>
    <w:rsid w:val="00235D3B"/>
    <w:rsid w:val="00236108"/>
    <w:rsid w:val="00236150"/>
    <w:rsid w:val="0023699A"/>
    <w:rsid w:val="002374A7"/>
    <w:rsid w:val="002374D0"/>
    <w:rsid w:val="00237675"/>
    <w:rsid w:val="00237791"/>
    <w:rsid w:val="00241BF1"/>
    <w:rsid w:val="00242734"/>
    <w:rsid w:val="00242903"/>
    <w:rsid w:val="00242FDA"/>
    <w:rsid w:val="00243147"/>
    <w:rsid w:val="00243585"/>
    <w:rsid w:val="002435B8"/>
    <w:rsid w:val="0024478F"/>
    <w:rsid w:val="00244F32"/>
    <w:rsid w:val="00245256"/>
    <w:rsid w:val="00245263"/>
    <w:rsid w:val="00245589"/>
    <w:rsid w:val="00245A58"/>
    <w:rsid w:val="00245D73"/>
    <w:rsid w:val="00245FC2"/>
    <w:rsid w:val="002461B3"/>
    <w:rsid w:val="0024641B"/>
    <w:rsid w:val="002468CB"/>
    <w:rsid w:val="00247A5D"/>
    <w:rsid w:val="00247DCE"/>
    <w:rsid w:val="00247E92"/>
    <w:rsid w:val="002501A3"/>
    <w:rsid w:val="002510AD"/>
    <w:rsid w:val="002512AF"/>
    <w:rsid w:val="0025199C"/>
    <w:rsid w:val="002524A7"/>
    <w:rsid w:val="00252E06"/>
    <w:rsid w:val="00252E30"/>
    <w:rsid w:val="00252E60"/>
    <w:rsid w:val="002530D0"/>
    <w:rsid w:val="0025326D"/>
    <w:rsid w:val="00253670"/>
    <w:rsid w:val="002538D0"/>
    <w:rsid w:val="00253A3E"/>
    <w:rsid w:val="00253E7D"/>
    <w:rsid w:val="0025474D"/>
    <w:rsid w:val="002552E2"/>
    <w:rsid w:val="002557DE"/>
    <w:rsid w:val="00255967"/>
    <w:rsid w:val="00255F21"/>
    <w:rsid w:val="00256370"/>
    <w:rsid w:val="002566DE"/>
    <w:rsid w:val="002569FB"/>
    <w:rsid w:val="002600F8"/>
    <w:rsid w:val="0026011B"/>
    <w:rsid w:val="002607BF"/>
    <w:rsid w:val="00260D18"/>
    <w:rsid w:val="00260F14"/>
    <w:rsid w:val="0026104A"/>
    <w:rsid w:val="00261E56"/>
    <w:rsid w:val="00262124"/>
    <w:rsid w:val="002635D2"/>
    <w:rsid w:val="002638E8"/>
    <w:rsid w:val="00264BA4"/>
    <w:rsid w:val="00264FDF"/>
    <w:rsid w:val="002650F0"/>
    <w:rsid w:val="0026566D"/>
    <w:rsid w:val="00265F8F"/>
    <w:rsid w:val="0026627E"/>
    <w:rsid w:val="0026629E"/>
    <w:rsid w:val="00266651"/>
    <w:rsid w:val="0026692F"/>
    <w:rsid w:val="0026708F"/>
    <w:rsid w:val="00267564"/>
    <w:rsid w:val="0026792E"/>
    <w:rsid w:val="00267A01"/>
    <w:rsid w:val="00267FB8"/>
    <w:rsid w:val="00270570"/>
    <w:rsid w:val="00270981"/>
    <w:rsid w:val="00270F98"/>
    <w:rsid w:val="002714BB"/>
    <w:rsid w:val="002717B6"/>
    <w:rsid w:val="00271D35"/>
    <w:rsid w:val="00272082"/>
    <w:rsid w:val="00272A59"/>
    <w:rsid w:val="00272F9B"/>
    <w:rsid w:val="0027311C"/>
    <w:rsid w:val="002737A3"/>
    <w:rsid w:val="00273E6E"/>
    <w:rsid w:val="00274685"/>
    <w:rsid w:val="00274948"/>
    <w:rsid w:val="00274D84"/>
    <w:rsid w:val="002757A2"/>
    <w:rsid w:val="0027588E"/>
    <w:rsid w:val="00275A81"/>
    <w:rsid w:val="002760B1"/>
    <w:rsid w:val="00276843"/>
    <w:rsid w:val="00276C82"/>
    <w:rsid w:val="00276D9E"/>
    <w:rsid w:val="00276DDB"/>
    <w:rsid w:val="0027702A"/>
    <w:rsid w:val="00277471"/>
    <w:rsid w:val="00280703"/>
    <w:rsid w:val="00280BC4"/>
    <w:rsid w:val="00280D58"/>
    <w:rsid w:val="0028126F"/>
    <w:rsid w:val="00281517"/>
    <w:rsid w:val="00281811"/>
    <w:rsid w:val="0028288A"/>
    <w:rsid w:val="00282BCF"/>
    <w:rsid w:val="00282F77"/>
    <w:rsid w:val="002836ED"/>
    <w:rsid w:val="00283A50"/>
    <w:rsid w:val="00283B2B"/>
    <w:rsid w:val="002844D7"/>
    <w:rsid w:val="00284A6B"/>
    <w:rsid w:val="002850BD"/>
    <w:rsid w:val="002855F5"/>
    <w:rsid w:val="002857DD"/>
    <w:rsid w:val="00286C47"/>
    <w:rsid w:val="00286CC6"/>
    <w:rsid w:val="002870BE"/>
    <w:rsid w:val="00287572"/>
    <w:rsid w:val="00290093"/>
    <w:rsid w:val="00290240"/>
    <w:rsid w:val="002910FD"/>
    <w:rsid w:val="0029179F"/>
    <w:rsid w:val="00291980"/>
    <w:rsid w:val="00292E7E"/>
    <w:rsid w:val="0029375A"/>
    <w:rsid w:val="00293E4D"/>
    <w:rsid w:val="002941D9"/>
    <w:rsid w:val="002943AB"/>
    <w:rsid w:val="0029492C"/>
    <w:rsid w:val="00294DB6"/>
    <w:rsid w:val="00295333"/>
    <w:rsid w:val="0029679A"/>
    <w:rsid w:val="00297052"/>
    <w:rsid w:val="0029753E"/>
    <w:rsid w:val="002975A9"/>
    <w:rsid w:val="002A0400"/>
    <w:rsid w:val="002A0717"/>
    <w:rsid w:val="002A0BE5"/>
    <w:rsid w:val="002A0E41"/>
    <w:rsid w:val="002A11DD"/>
    <w:rsid w:val="002A1454"/>
    <w:rsid w:val="002A1639"/>
    <w:rsid w:val="002A16B8"/>
    <w:rsid w:val="002A2157"/>
    <w:rsid w:val="002A223F"/>
    <w:rsid w:val="002A2301"/>
    <w:rsid w:val="002A2BA9"/>
    <w:rsid w:val="002A35D4"/>
    <w:rsid w:val="002A3D31"/>
    <w:rsid w:val="002A40F6"/>
    <w:rsid w:val="002A4A59"/>
    <w:rsid w:val="002A51B0"/>
    <w:rsid w:val="002A52EA"/>
    <w:rsid w:val="002A550D"/>
    <w:rsid w:val="002A58B1"/>
    <w:rsid w:val="002A7159"/>
    <w:rsid w:val="002A724A"/>
    <w:rsid w:val="002A7B98"/>
    <w:rsid w:val="002A7C15"/>
    <w:rsid w:val="002B0007"/>
    <w:rsid w:val="002B02AA"/>
    <w:rsid w:val="002B03A6"/>
    <w:rsid w:val="002B117F"/>
    <w:rsid w:val="002B13BB"/>
    <w:rsid w:val="002B144A"/>
    <w:rsid w:val="002B1B26"/>
    <w:rsid w:val="002B1E26"/>
    <w:rsid w:val="002B2479"/>
    <w:rsid w:val="002B26F8"/>
    <w:rsid w:val="002B2891"/>
    <w:rsid w:val="002B2A35"/>
    <w:rsid w:val="002B2C35"/>
    <w:rsid w:val="002B31C2"/>
    <w:rsid w:val="002B3CA5"/>
    <w:rsid w:val="002B402C"/>
    <w:rsid w:val="002B47B7"/>
    <w:rsid w:val="002B48CB"/>
    <w:rsid w:val="002B4B74"/>
    <w:rsid w:val="002B4C67"/>
    <w:rsid w:val="002B5A27"/>
    <w:rsid w:val="002B5B2C"/>
    <w:rsid w:val="002B62C8"/>
    <w:rsid w:val="002B68F9"/>
    <w:rsid w:val="002B6925"/>
    <w:rsid w:val="002B6EAB"/>
    <w:rsid w:val="002B7178"/>
    <w:rsid w:val="002B7934"/>
    <w:rsid w:val="002B7F6A"/>
    <w:rsid w:val="002C0CFA"/>
    <w:rsid w:val="002C1549"/>
    <w:rsid w:val="002C1A56"/>
    <w:rsid w:val="002C1D77"/>
    <w:rsid w:val="002C20D4"/>
    <w:rsid w:val="002C2647"/>
    <w:rsid w:val="002C27DD"/>
    <w:rsid w:val="002C27FF"/>
    <w:rsid w:val="002C2A83"/>
    <w:rsid w:val="002C3314"/>
    <w:rsid w:val="002C3396"/>
    <w:rsid w:val="002C379B"/>
    <w:rsid w:val="002C37BE"/>
    <w:rsid w:val="002C3ED6"/>
    <w:rsid w:val="002C4C37"/>
    <w:rsid w:val="002C4C82"/>
    <w:rsid w:val="002C4E76"/>
    <w:rsid w:val="002C4EC2"/>
    <w:rsid w:val="002C51C0"/>
    <w:rsid w:val="002C5560"/>
    <w:rsid w:val="002C68A2"/>
    <w:rsid w:val="002C6FE0"/>
    <w:rsid w:val="002C74C8"/>
    <w:rsid w:val="002C75A2"/>
    <w:rsid w:val="002C76AE"/>
    <w:rsid w:val="002C79A5"/>
    <w:rsid w:val="002C7B91"/>
    <w:rsid w:val="002C7DFF"/>
    <w:rsid w:val="002D004F"/>
    <w:rsid w:val="002D04C0"/>
    <w:rsid w:val="002D0812"/>
    <w:rsid w:val="002D10BC"/>
    <w:rsid w:val="002D1233"/>
    <w:rsid w:val="002D144E"/>
    <w:rsid w:val="002D17D1"/>
    <w:rsid w:val="002D17DA"/>
    <w:rsid w:val="002D2046"/>
    <w:rsid w:val="002D2D3B"/>
    <w:rsid w:val="002D3176"/>
    <w:rsid w:val="002D32A2"/>
    <w:rsid w:val="002D37F6"/>
    <w:rsid w:val="002D3C23"/>
    <w:rsid w:val="002D4139"/>
    <w:rsid w:val="002D4724"/>
    <w:rsid w:val="002D4A72"/>
    <w:rsid w:val="002D508B"/>
    <w:rsid w:val="002D57A1"/>
    <w:rsid w:val="002D5EC8"/>
    <w:rsid w:val="002D6318"/>
    <w:rsid w:val="002D6608"/>
    <w:rsid w:val="002D6733"/>
    <w:rsid w:val="002D6916"/>
    <w:rsid w:val="002D693D"/>
    <w:rsid w:val="002D6A37"/>
    <w:rsid w:val="002D6A67"/>
    <w:rsid w:val="002D6AF7"/>
    <w:rsid w:val="002D7C36"/>
    <w:rsid w:val="002D7EB6"/>
    <w:rsid w:val="002E107A"/>
    <w:rsid w:val="002E1278"/>
    <w:rsid w:val="002E2C94"/>
    <w:rsid w:val="002E32E4"/>
    <w:rsid w:val="002E345F"/>
    <w:rsid w:val="002E4037"/>
    <w:rsid w:val="002E42A9"/>
    <w:rsid w:val="002E4669"/>
    <w:rsid w:val="002E4B94"/>
    <w:rsid w:val="002E4D47"/>
    <w:rsid w:val="002E4DE5"/>
    <w:rsid w:val="002E581D"/>
    <w:rsid w:val="002E5DBD"/>
    <w:rsid w:val="002E60AE"/>
    <w:rsid w:val="002E6326"/>
    <w:rsid w:val="002E65D3"/>
    <w:rsid w:val="002E66B6"/>
    <w:rsid w:val="002E723A"/>
    <w:rsid w:val="002E7307"/>
    <w:rsid w:val="002E7541"/>
    <w:rsid w:val="002E7965"/>
    <w:rsid w:val="002E7AE6"/>
    <w:rsid w:val="002F01DC"/>
    <w:rsid w:val="002F0619"/>
    <w:rsid w:val="002F06D1"/>
    <w:rsid w:val="002F071B"/>
    <w:rsid w:val="002F0734"/>
    <w:rsid w:val="002F171B"/>
    <w:rsid w:val="002F19F3"/>
    <w:rsid w:val="002F1CB5"/>
    <w:rsid w:val="002F21C8"/>
    <w:rsid w:val="002F2648"/>
    <w:rsid w:val="002F34FB"/>
    <w:rsid w:val="002F3CCC"/>
    <w:rsid w:val="002F3D0E"/>
    <w:rsid w:val="002F40E0"/>
    <w:rsid w:val="002F4490"/>
    <w:rsid w:val="002F455D"/>
    <w:rsid w:val="002F46AB"/>
    <w:rsid w:val="002F493A"/>
    <w:rsid w:val="002F4F3E"/>
    <w:rsid w:val="002F5275"/>
    <w:rsid w:val="002F54FC"/>
    <w:rsid w:val="002F5573"/>
    <w:rsid w:val="002F5C1D"/>
    <w:rsid w:val="002F600F"/>
    <w:rsid w:val="002F62CF"/>
    <w:rsid w:val="002F6AA0"/>
    <w:rsid w:val="002F731B"/>
    <w:rsid w:val="002F7675"/>
    <w:rsid w:val="002F7A92"/>
    <w:rsid w:val="002F7D30"/>
    <w:rsid w:val="002F7DA5"/>
    <w:rsid w:val="002F7FE9"/>
    <w:rsid w:val="00300AB1"/>
    <w:rsid w:val="00300D5E"/>
    <w:rsid w:val="00300FA0"/>
    <w:rsid w:val="003013F6"/>
    <w:rsid w:val="00301631"/>
    <w:rsid w:val="00301E17"/>
    <w:rsid w:val="0030265F"/>
    <w:rsid w:val="003028AD"/>
    <w:rsid w:val="00302CFC"/>
    <w:rsid w:val="00303713"/>
    <w:rsid w:val="003039BC"/>
    <w:rsid w:val="00303F7C"/>
    <w:rsid w:val="00304069"/>
    <w:rsid w:val="00304292"/>
    <w:rsid w:val="00304437"/>
    <w:rsid w:val="0030444D"/>
    <w:rsid w:val="00304543"/>
    <w:rsid w:val="00304613"/>
    <w:rsid w:val="00304CED"/>
    <w:rsid w:val="0030516B"/>
    <w:rsid w:val="00306173"/>
    <w:rsid w:val="003061D2"/>
    <w:rsid w:val="003065AF"/>
    <w:rsid w:val="00306790"/>
    <w:rsid w:val="00307011"/>
    <w:rsid w:val="0030799D"/>
    <w:rsid w:val="00310B64"/>
    <w:rsid w:val="00310E01"/>
    <w:rsid w:val="00311038"/>
    <w:rsid w:val="0031104B"/>
    <w:rsid w:val="00311117"/>
    <w:rsid w:val="0031126D"/>
    <w:rsid w:val="003113A8"/>
    <w:rsid w:val="003113C7"/>
    <w:rsid w:val="00311987"/>
    <w:rsid w:val="00311C06"/>
    <w:rsid w:val="003123C2"/>
    <w:rsid w:val="003123C4"/>
    <w:rsid w:val="00312510"/>
    <w:rsid w:val="0031251F"/>
    <w:rsid w:val="003129EB"/>
    <w:rsid w:val="00312D3A"/>
    <w:rsid w:val="00312DB4"/>
    <w:rsid w:val="00313135"/>
    <w:rsid w:val="0031345C"/>
    <w:rsid w:val="003134CC"/>
    <w:rsid w:val="003136E2"/>
    <w:rsid w:val="0031371A"/>
    <w:rsid w:val="00313D53"/>
    <w:rsid w:val="00313D71"/>
    <w:rsid w:val="003144F2"/>
    <w:rsid w:val="00314941"/>
    <w:rsid w:val="00314BB3"/>
    <w:rsid w:val="00314D85"/>
    <w:rsid w:val="00314F36"/>
    <w:rsid w:val="003150A8"/>
    <w:rsid w:val="003151D0"/>
    <w:rsid w:val="003151FE"/>
    <w:rsid w:val="003160FF"/>
    <w:rsid w:val="003164DC"/>
    <w:rsid w:val="00316B76"/>
    <w:rsid w:val="003174CE"/>
    <w:rsid w:val="00317831"/>
    <w:rsid w:val="003204DC"/>
    <w:rsid w:val="00320CBF"/>
    <w:rsid w:val="00320D2C"/>
    <w:rsid w:val="003213AB"/>
    <w:rsid w:val="00321522"/>
    <w:rsid w:val="00321532"/>
    <w:rsid w:val="0032162E"/>
    <w:rsid w:val="003219EC"/>
    <w:rsid w:val="00321D26"/>
    <w:rsid w:val="00322683"/>
    <w:rsid w:val="00323069"/>
    <w:rsid w:val="003231A4"/>
    <w:rsid w:val="003232F5"/>
    <w:rsid w:val="003238B5"/>
    <w:rsid w:val="00323BD8"/>
    <w:rsid w:val="00324259"/>
    <w:rsid w:val="00324303"/>
    <w:rsid w:val="00324A35"/>
    <w:rsid w:val="00324C45"/>
    <w:rsid w:val="00325C1F"/>
    <w:rsid w:val="00325DA8"/>
    <w:rsid w:val="00326728"/>
    <w:rsid w:val="003267C3"/>
    <w:rsid w:val="00326810"/>
    <w:rsid w:val="00326E66"/>
    <w:rsid w:val="0032757B"/>
    <w:rsid w:val="003276C7"/>
    <w:rsid w:val="00327929"/>
    <w:rsid w:val="00327C9B"/>
    <w:rsid w:val="00327EEE"/>
    <w:rsid w:val="003300B6"/>
    <w:rsid w:val="0033071E"/>
    <w:rsid w:val="00330BA1"/>
    <w:rsid w:val="003315AD"/>
    <w:rsid w:val="003323A1"/>
    <w:rsid w:val="00332425"/>
    <w:rsid w:val="00332C7C"/>
    <w:rsid w:val="00332D90"/>
    <w:rsid w:val="00332F9D"/>
    <w:rsid w:val="003331FE"/>
    <w:rsid w:val="003334B7"/>
    <w:rsid w:val="00333595"/>
    <w:rsid w:val="0033495A"/>
    <w:rsid w:val="00334B00"/>
    <w:rsid w:val="00334C3F"/>
    <w:rsid w:val="00334E33"/>
    <w:rsid w:val="00335183"/>
    <w:rsid w:val="00335587"/>
    <w:rsid w:val="00335767"/>
    <w:rsid w:val="0033594F"/>
    <w:rsid w:val="00335CC5"/>
    <w:rsid w:val="003364DF"/>
    <w:rsid w:val="00336C37"/>
    <w:rsid w:val="0033730F"/>
    <w:rsid w:val="0033733B"/>
    <w:rsid w:val="003374BD"/>
    <w:rsid w:val="003376D1"/>
    <w:rsid w:val="00337F65"/>
    <w:rsid w:val="0034015A"/>
    <w:rsid w:val="0034040F"/>
    <w:rsid w:val="00340A93"/>
    <w:rsid w:val="00340B7F"/>
    <w:rsid w:val="00341865"/>
    <w:rsid w:val="00342271"/>
    <w:rsid w:val="003425DE"/>
    <w:rsid w:val="0034283B"/>
    <w:rsid w:val="00342D41"/>
    <w:rsid w:val="00342E15"/>
    <w:rsid w:val="00343317"/>
    <w:rsid w:val="00343754"/>
    <w:rsid w:val="0034375B"/>
    <w:rsid w:val="003437B2"/>
    <w:rsid w:val="003438AD"/>
    <w:rsid w:val="00343C75"/>
    <w:rsid w:val="00343E9B"/>
    <w:rsid w:val="00344430"/>
    <w:rsid w:val="003447F0"/>
    <w:rsid w:val="00345229"/>
    <w:rsid w:val="0034709B"/>
    <w:rsid w:val="00347479"/>
    <w:rsid w:val="0034765B"/>
    <w:rsid w:val="0034792E"/>
    <w:rsid w:val="00347989"/>
    <w:rsid w:val="00347E7F"/>
    <w:rsid w:val="00350231"/>
    <w:rsid w:val="0035089B"/>
    <w:rsid w:val="00350AA3"/>
    <w:rsid w:val="00350C7D"/>
    <w:rsid w:val="00350FA5"/>
    <w:rsid w:val="003513EF"/>
    <w:rsid w:val="00351906"/>
    <w:rsid w:val="00351F00"/>
    <w:rsid w:val="003523CD"/>
    <w:rsid w:val="003527A9"/>
    <w:rsid w:val="00352ABA"/>
    <w:rsid w:val="00352C7C"/>
    <w:rsid w:val="003532F7"/>
    <w:rsid w:val="0035331E"/>
    <w:rsid w:val="00353347"/>
    <w:rsid w:val="0035341F"/>
    <w:rsid w:val="00353946"/>
    <w:rsid w:val="003544A8"/>
    <w:rsid w:val="0035489F"/>
    <w:rsid w:val="00354EC5"/>
    <w:rsid w:val="00354FB9"/>
    <w:rsid w:val="003556BD"/>
    <w:rsid w:val="003557D6"/>
    <w:rsid w:val="00355875"/>
    <w:rsid w:val="003559E6"/>
    <w:rsid w:val="00355AA6"/>
    <w:rsid w:val="00355D35"/>
    <w:rsid w:val="00356528"/>
    <w:rsid w:val="00356980"/>
    <w:rsid w:val="003570F9"/>
    <w:rsid w:val="00357204"/>
    <w:rsid w:val="003576EF"/>
    <w:rsid w:val="00357A04"/>
    <w:rsid w:val="00360BF3"/>
    <w:rsid w:val="00360EB5"/>
    <w:rsid w:val="0036103C"/>
    <w:rsid w:val="00361864"/>
    <w:rsid w:val="0036194A"/>
    <w:rsid w:val="003619A1"/>
    <w:rsid w:val="00361A08"/>
    <w:rsid w:val="00361E78"/>
    <w:rsid w:val="003620AD"/>
    <w:rsid w:val="003621BC"/>
    <w:rsid w:val="00362630"/>
    <w:rsid w:val="003629E4"/>
    <w:rsid w:val="0036312C"/>
    <w:rsid w:val="0036390F"/>
    <w:rsid w:val="003641AC"/>
    <w:rsid w:val="003645B8"/>
    <w:rsid w:val="00364A7D"/>
    <w:rsid w:val="003655EA"/>
    <w:rsid w:val="003656F4"/>
    <w:rsid w:val="003658EE"/>
    <w:rsid w:val="00365DE0"/>
    <w:rsid w:val="003662D9"/>
    <w:rsid w:val="00366734"/>
    <w:rsid w:val="0036680E"/>
    <w:rsid w:val="00366901"/>
    <w:rsid w:val="0036705E"/>
    <w:rsid w:val="00367EDD"/>
    <w:rsid w:val="00367FD9"/>
    <w:rsid w:val="0037024F"/>
    <w:rsid w:val="00370418"/>
    <w:rsid w:val="0037183E"/>
    <w:rsid w:val="003728E1"/>
    <w:rsid w:val="00372D8E"/>
    <w:rsid w:val="00373582"/>
    <w:rsid w:val="00373897"/>
    <w:rsid w:val="00374130"/>
    <w:rsid w:val="00374773"/>
    <w:rsid w:val="003749F8"/>
    <w:rsid w:val="003753E1"/>
    <w:rsid w:val="003759C1"/>
    <w:rsid w:val="00375CA5"/>
    <w:rsid w:val="00375CF0"/>
    <w:rsid w:val="00375E61"/>
    <w:rsid w:val="00375F46"/>
    <w:rsid w:val="00376100"/>
    <w:rsid w:val="00376AB9"/>
    <w:rsid w:val="00376EE4"/>
    <w:rsid w:val="00377018"/>
    <w:rsid w:val="00377AA1"/>
    <w:rsid w:val="00377BB0"/>
    <w:rsid w:val="00380E86"/>
    <w:rsid w:val="003810F7"/>
    <w:rsid w:val="00381579"/>
    <w:rsid w:val="003818E7"/>
    <w:rsid w:val="00382387"/>
    <w:rsid w:val="00382E3F"/>
    <w:rsid w:val="003830B5"/>
    <w:rsid w:val="0038346A"/>
    <w:rsid w:val="00384208"/>
    <w:rsid w:val="00384807"/>
    <w:rsid w:val="00384D5B"/>
    <w:rsid w:val="003850DE"/>
    <w:rsid w:val="00385196"/>
    <w:rsid w:val="003857A6"/>
    <w:rsid w:val="00385E71"/>
    <w:rsid w:val="00385EBA"/>
    <w:rsid w:val="00385F13"/>
    <w:rsid w:val="00386E74"/>
    <w:rsid w:val="003871FA"/>
    <w:rsid w:val="00387201"/>
    <w:rsid w:val="00387476"/>
    <w:rsid w:val="00387715"/>
    <w:rsid w:val="00387724"/>
    <w:rsid w:val="00387769"/>
    <w:rsid w:val="003877A5"/>
    <w:rsid w:val="00387966"/>
    <w:rsid w:val="003879F8"/>
    <w:rsid w:val="00390695"/>
    <w:rsid w:val="003907C8"/>
    <w:rsid w:val="003908BF"/>
    <w:rsid w:val="00390AE4"/>
    <w:rsid w:val="00390C6B"/>
    <w:rsid w:val="00391462"/>
    <w:rsid w:val="0039158B"/>
    <w:rsid w:val="00391836"/>
    <w:rsid w:val="00391927"/>
    <w:rsid w:val="00391C23"/>
    <w:rsid w:val="00391F48"/>
    <w:rsid w:val="003920EC"/>
    <w:rsid w:val="00392249"/>
    <w:rsid w:val="003926D3"/>
    <w:rsid w:val="00392DCD"/>
    <w:rsid w:val="0039301B"/>
    <w:rsid w:val="00393448"/>
    <w:rsid w:val="0039366E"/>
    <w:rsid w:val="00393878"/>
    <w:rsid w:val="003938E5"/>
    <w:rsid w:val="003948A2"/>
    <w:rsid w:val="003948AA"/>
    <w:rsid w:val="0039495E"/>
    <w:rsid w:val="00395284"/>
    <w:rsid w:val="003953AE"/>
    <w:rsid w:val="003955A6"/>
    <w:rsid w:val="00395B42"/>
    <w:rsid w:val="00395BE5"/>
    <w:rsid w:val="00395D93"/>
    <w:rsid w:val="00396353"/>
    <w:rsid w:val="00396BC6"/>
    <w:rsid w:val="00397055"/>
    <w:rsid w:val="003976D7"/>
    <w:rsid w:val="00397C2B"/>
    <w:rsid w:val="00397DB3"/>
    <w:rsid w:val="003A0089"/>
    <w:rsid w:val="003A0599"/>
    <w:rsid w:val="003A079C"/>
    <w:rsid w:val="003A1657"/>
    <w:rsid w:val="003A1EC8"/>
    <w:rsid w:val="003A2472"/>
    <w:rsid w:val="003A2501"/>
    <w:rsid w:val="003A262B"/>
    <w:rsid w:val="003A2719"/>
    <w:rsid w:val="003A3971"/>
    <w:rsid w:val="003A3A0A"/>
    <w:rsid w:val="003A3F15"/>
    <w:rsid w:val="003A414F"/>
    <w:rsid w:val="003A4213"/>
    <w:rsid w:val="003A4B05"/>
    <w:rsid w:val="003A4BB9"/>
    <w:rsid w:val="003A5235"/>
    <w:rsid w:val="003A54D2"/>
    <w:rsid w:val="003A5A51"/>
    <w:rsid w:val="003A6EAE"/>
    <w:rsid w:val="003A76B0"/>
    <w:rsid w:val="003A7D51"/>
    <w:rsid w:val="003B0533"/>
    <w:rsid w:val="003B08D7"/>
    <w:rsid w:val="003B1572"/>
    <w:rsid w:val="003B1E5D"/>
    <w:rsid w:val="003B1E7E"/>
    <w:rsid w:val="003B20F0"/>
    <w:rsid w:val="003B2116"/>
    <w:rsid w:val="003B2A29"/>
    <w:rsid w:val="003B4519"/>
    <w:rsid w:val="003B5101"/>
    <w:rsid w:val="003B5DBB"/>
    <w:rsid w:val="003B5EEF"/>
    <w:rsid w:val="003B5F78"/>
    <w:rsid w:val="003B6B7D"/>
    <w:rsid w:val="003B703E"/>
    <w:rsid w:val="003B7312"/>
    <w:rsid w:val="003B79D4"/>
    <w:rsid w:val="003B7D71"/>
    <w:rsid w:val="003C0A92"/>
    <w:rsid w:val="003C0E94"/>
    <w:rsid w:val="003C1247"/>
    <w:rsid w:val="003C15D4"/>
    <w:rsid w:val="003C17C4"/>
    <w:rsid w:val="003C1AAB"/>
    <w:rsid w:val="003C1D1A"/>
    <w:rsid w:val="003C26B4"/>
    <w:rsid w:val="003C2F6C"/>
    <w:rsid w:val="003C32C6"/>
    <w:rsid w:val="003C333A"/>
    <w:rsid w:val="003C3A52"/>
    <w:rsid w:val="003C3B86"/>
    <w:rsid w:val="003C3F91"/>
    <w:rsid w:val="003C3FA2"/>
    <w:rsid w:val="003C443F"/>
    <w:rsid w:val="003C44F0"/>
    <w:rsid w:val="003C45BF"/>
    <w:rsid w:val="003C4DE8"/>
    <w:rsid w:val="003C560B"/>
    <w:rsid w:val="003C5845"/>
    <w:rsid w:val="003C5AE4"/>
    <w:rsid w:val="003C5FC3"/>
    <w:rsid w:val="003C623F"/>
    <w:rsid w:val="003C6C8F"/>
    <w:rsid w:val="003C7447"/>
    <w:rsid w:val="003C78AE"/>
    <w:rsid w:val="003C78C7"/>
    <w:rsid w:val="003C7A7E"/>
    <w:rsid w:val="003D088B"/>
    <w:rsid w:val="003D10A5"/>
    <w:rsid w:val="003D12BB"/>
    <w:rsid w:val="003D1B7D"/>
    <w:rsid w:val="003D1D29"/>
    <w:rsid w:val="003D1FA9"/>
    <w:rsid w:val="003D285C"/>
    <w:rsid w:val="003D28BC"/>
    <w:rsid w:val="003D2966"/>
    <w:rsid w:val="003D2D07"/>
    <w:rsid w:val="003D32FA"/>
    <w:rsid w:val="003D3BB6"/>
    <w:rsid w:val="003D3C89"/>
    <w:rsid w:val="003D41EB"/>
    <w:rsid w:val="003D4527"/>
    <w:rsid w:val="003D45C8"/>
    <w:rsid w:val="003D4B07"/>
    <w:rsid w:val="003D4BDF"/>
    <w:rsid w:val="003D5E3F"/>
    <w:rsid w:val="003D68EF"/>
    <w:rsid w:val="003D6A05"/>
    <w:rsid w:val="003D7845"/>
    <w:rsid w:val="003D7E8B"/>
    <w:rsid w:val="003E06A3"/>
    <w:rsid w:val="003E075F"/>
    <w:rsid w:val="003E0D4F"/>
    <w:rsid w:val="003E1D4A"/>
    <w:rsid w:val="003E2444"/>
    <w:rsid w:val="003E3423"/>
    <w:rsid w:val="003E35A8"/>
    <w:rsid w:val="003E4682"/>
    <w:rsid w:val="003E46E0"/>
    <w:rsid w:val="003E486B"/>
    <w:rsid w:val="003E49A1"/>
    <w:rsid w:val="003E507F"/>
    <w:rsid w:val="003E5104"/>
    <w:rsid w:val="003E5118"/>
    <w:rsid w:val="003E52CE"/>
    <w:rsid w:val="003E5983"/>
    <w:rsid w:val="003E5BD2"/>
    <w:rsid w:val="003E5C3B"/>
    <w:rsid w:val="003E5E32"/>
    <w:rsid w:val="003E5FA6"/>
    <w:rsid w:val="003E6080"/>
    <w:rsid w:val="003E6084"/>
    <w:rsid w:val="003E61F6"/>
    <w:rsid w:val="003E696F"/>
    <w:rsid w:val="003E701C"/>
    <w:rsid w:val="003E729F"/>
    <w:rsid w:val="003E7B03"/>
    <w:rsid w:val="003E7C00"/>
    <w:rsid w:val="003E7D10"/>
    <w:rsid w:val="003F005B"/>
    <w:rsid w:val="003F060F"/>
    <w:rsid w:val="003F0D17"/>
    <w:rsid w:val="003F11DF"/>
    <w:rsid w:val="003F194B"/>
    <w:rsid w:val="003F2247"/>
    <w:rsid w:val="003F2471"/>
    <w:rsid w:val="003F3329"/>
    <w:rsid w:val="003F3647"/>
    <w:rsid w:val="003F4632"/>
    <w:rsid w:val="003F4AFA"/>
    <w:rsid w:val="003F5B16"/>
    <w:rsid w:val="003F5F5D"/>
    <w:rsid w:val="003F609D"/>
    <w:rsid w:val="003F61F5"/>
    <w:rsid w:val="003F642D"/>
    <w:rsid w:val="003F70F5"/>
    <w:rsid w:val="004002F0"/>
    <w:rsid w:val="004003A2"/>
    <w:rsid w:val="004005BE"/>
    <w:rsid w:val="0040065F"/>
    <w:rsid w:val="004008C2"/>
    <w:rsid w:val="00400DD6"/>
    <w:rsid w:val="00401CA2"/>
    <w:rsid w:val="00402338"/>
    <w:rsid w:val="004023C5"/>
    <w:rsid w:val="004026D8"/>
    <w:rsid w:val="004027B0"/>
    <w:rsid w:val="00402B67"/>
    <w:rsid w:val="00402D2C"/>
    <w:rsid w:val="00402DA8"/>
    <w:rsid w:val="00402FA7"/>
    <w:rsid w:val="004030B1"/>
    <w:rsid w:val="00403677"/>
    <w:rsid w:val="00403773"/>
    <w:rsid w:val="00403DF5"/>
    <w:rsid w:val="0040459B"/>
    <w:rsid w:val="00404809"/>
    <w:rsid w:val="00404DDB"/>
    <w:rsid w:val="00405340"/>
    <w:rsid w:val="004054BF"/>
    <w:rsid w:val="00405E04"/>
    <w:rsid w:val="00406CCE"/>
    <w:rsid w:val="00406FC1"/>
    <w:rsid w:val="00407AB4"/>
    <w:rsid w:val="00407D6C"/>
    <w:rsid w:val="004107E6"/>
    <w:rsid w:val="00410CEF"/>
    <w:rsid w:val="00410DA7"/>
    <w:rsid w:val="004116A8"/>
    <w:rsid w:val="00411C1F"/>
    <w:rsid w:val="004125F4"/>
    <w:rsid w:val="00413DC0"/>
    <w:rsid w:val="00414042"/>
    <w:rsid w:val="00414376"/>
    <w:rsid w:val="00414B11"/>
    <w:rsid w:val="0041538B"/>
    <w:rsid w:val="00415C22"/>
    <w:rsid w:val="00415E9A"/>
    <w:rsid w:val="004161DF"/>
    <w:rsid w:val="0041674F"/>
    <w:rsid w:val="00417308"/>
    <w:rsid w:val="0042045B"/>
    <w:rsid w:val="00420471"/>
    <w:rsid w:val="004209EC"/>
    <w:rsid w:val="00420C88"/>
    <w:rsid w:val="00421624"/>
    <w:rsid w:val="00421877"/>
    <w:rsid w:val="004218E7"/>
    <w:rsid w:val="00421C23"/>
    <w:rsid w:val="00421E64"/>
    <w:rsid w:val="0042226C"/>
    <w:rsid w:val="004222CA"/>
    <w:rsid w:val="004223DE"/>
    <w:rsid w:val="00422596"/>
    <w:rsid w:val="004226C2"/>
    <w:rsid w:val="00422CF0"/>
    <w:rsid w:val="00423503"/>
    <w:rsid w:val="004235F1"/>
    <w:rsid w:val="004236FE"/>
    <w:rsid w:val="004247FA"/>
    <w:rsid w:val="00424D89"/>
    <w:rsid w:val="00425345"/>
    <w:rsid w:val="004264AA"/>
    <w:rsid w:val="00427136"/>
    <w:rsid w:val="004273C9"/>
    <w:rsid w:val="00427A21"/>
    <w:rsid w:val="004307AC"/>
    <w:rsid w:val="00430C70"/>
    <w:rsid w:val="0043112C"/>
    <w:rsid w:val="00431849"/>
    <w:rsid w:val="004325FA"/>
    <w:rsid w:val="0043276E"/>
    <w:rsid w:val="00432A56"/>
    <w:rsid w:val="00432AE4"/>
    <w:rsid w:val="0043343B"/>
    <w:rsid w:val="00433480"/>
    <w:rsid w:val="00433A59"/>
    <w:rsid w:val="00433DB8"/>
    <w:rsid w:val="00434378"/>
    <w:rsid w:val="00434623"/>
    <w:rsid w:val="004348A5"/>
    <w:rsid w:val="004352FC"/>
    <w:rsid w:val="0043538F"/>
    <w:rsid w:val="004358F7"/>
    <w:rsid w:val="00435CDE"/>
    <w:rsid w:val="00435D92"/>
    <w:rsid w:val="004365F3"/>
    <w:rsid w:val="00436F28"/>
    <w:rsid w:val="00437D15"/>
    <w:rsid w:val="0044011C"/>
    <w:rsid w:val="004404E7"/>
    <w:rsid w:val="00440C5B"/>
    <w:rsid w:val="00440EFD"/>
    <w:rsid w:val="004415D4"/>
    <w:rsid w:val="004420A0"/>
    <w:rsid w:val="00442B5A"/>
    <w:rsid w:val="00442BD9"/>
    <w:rsid w:val="004434E4"/>
    <w:rsid w:val="004435BD"/>
    <w:rsid w:val="00443745"/>
    <w:rsid w:val="00443912"/>
    <w:rsid w:val="00443921"/>
    <w:rsid w:val="004441BE"/>
    <w:rsid w:val="00444400"/>
    <w:rsid w:val="00444AE5"/>
    <w:rsid w:val="00444F98"/>
    <w:rsid w:val="004454D9"/>
    <w:rsid w:val="00445D4A"/>
    <w:rsid w:val="00445E0A"/>
    <w:rsid w:val="00446746"/>
    <w:rsid w:val="0044767A"/>
    <w:rsid w:val="00447CB0"/>
    <w:rsid w:val="00447F39"/>
    <w:rsid w:val="004503B0"/>
    <w:rsid w:val="00450636"/>
    <w:rsid w:val="00450D9D"/>
    <w:rsid w:val="00450E1C"/>
    <w:rsid w:val="00451020"/>
    <w:rsid w:val="004515F5"/>
    <w:rsid w:val="004517B8"/>
    <w:rsid w:val="00451852"/>
    <w:rsid w:val="004518FA"/>
    <w:rsid w:val="00451FEE"/>
    <w:rsid w:val="00452012"/>
    <w:rsid w:val="00452381"/>
    <w:rsid w:val="0045253F"/>
    <w:rsid w:val="00452684"/>
    <w:rsid w:val="00452E6F"/>
    <w:rsid w:val="00453242"/>
    <w:rsid w:val="00453CFD"/>
    <w:rsid w:val="00453E54"/>
    <w:rsid w:val="00453FF0"/>
    <w:rsid w:val="00455450"/>
    <w:rsid w:val="004557A5"/>
    <w:rsid w:val="00455B8C"/>
    <w:rsid w:val="00455C42"/>
    <w:rsid w:val="00455DC3"/>
    <w:rsid w:val="0045622E"/>
    <w:rsid w:val="00456EEA"/>
    <w:rsid w:val="00456F43"/>
    <w:rsid w:val="0045717B"/>
    <w:rsid w:val="00457257"/>
    <w:rsid w:val="0045786A"/>
    <w:rsid w:val="00460284"/>
    <w:rsid w:val="00460B0D"/>
    <w:rsid w:val="00460B1A"/>
    <w:rsid w:val="00460E9F"/>
    <w:rsid w:val="00460EF4"/>
    <w:rsid w:val="0046111E"/>
    <w:rsid w:val="0046121F"/>
    <w:rsid w:val="004620E7"/>
    <w:rsid w:val="004621A5"/>
    <w:rsid w:val="00462755"/>
    <w:rsid w:val="004628A9"/>
    <w:rsid w:val="0046451F"/>
    <w:rsid w:val="004658A9"/>
    <w:rsid w:val="00465CD0"/>
    <w:rsid w:val="00465E26"/>
    <w:rsid w:val="00466127"/>
    <w:rsid w:val="0046631F"/>
    <w:rsid w:val="00466808"/>
    <w:rsid w:val="00466E16"/>
    <w:rsid w:val="00466E56"/>
    <w:rsid w:val="00467141"/>
    <w:rsid w:val="004675D0"/>
    <w:rsid w:val="004675F5"/>
    <w:rsid w:val="00467630"/>
    <w:rsid w:val="00467A93"/>
    <w:rsid w:val="00467A9C"/>
    <w:rsid w:val="00467EE1"/>
    <w:rsid w:val="00470037"/>
    <w:rsid w:val="00470058"/>
    <w:rsid w:val="00470165"/>
    <w:rsid w:val="0047066E"/>
    <w:rsid w:val="004713BD"/>
    <w:rsid w:val="00471EF4"/>
    <w:rsid w:val="004721CF"/>
    <w:rsid w:val="004725C9"/>
    <w:rsid w:val="00472831"/>
    <w:rsid w:val="004728CC"/>
    <w:rsid w:val="004728E9"/>
    <w:rsid w:val="0047368E"/>
    <w:rsid w:val="0047370D"/>
    <w:rsid w:val="00474346"/>
    <w:rsid w:val="00474717"/>
    <w:rsid w:val="0047478F"/>
    <w:rsid w:val="00474C66"/>
    <w:rsid w:val="00475213"/>
    <w:rsid w:val="00475521"/>
    <w:rsid w:val="00475701"/>
    <w:rsid w:val="00475BA9"/>
    <w:rsid w:val="00475CC5"/>
    <w:rsid w:val="00476327"/>
    <w:rsid w:val="00476564"/>
    <w:rsid w:val="004766FF"/>
    <w:rsid w:val="00476B3E"/>
    <w:rsid w:val="00476D9A"/>
    <w:rsid w:val="00476E4F"/>
    <w:rsid w:val="00476F2D"/>
    <w:rsid w:val="004772D6"/>
    <w:rsid w:val="00477410"/>
    <w:rsid w:val="0047745B"/>
    <w:rsid w:val="00477995"/>
    <w:rsid w:val="00477A0F"/>
    <w:rsid w:val="00477A8A"/>
    <w:rsid w:val="00477E65"/>
    <w:rsid w:val="004812CF"/>
    <w:rsid w:val="00481399"/>
    <w:rsid w:val="004817AF"/>
    <w:rsid w:val="00481B78"/>
    <w:rsid w:val="00481F7F"/>
    <w:rsid w:val="00482C92"/>
    <w:rsid w:val="0048323A"/>
    <w:rsid w:val="00483D66"/>
    <w:rsid w:val="004842E5"/>
    <w:rsid w:val="00484B44"/>
    <w:rsid w:val="00484C14"/>
    <w:rsid w:val="00484C9F"/>
    <w:rsid w:val="004851FC"/>
    <w:rsid w:val="00485FFC"/>
    <w:rsid w:val="00486027"/>
    <w:rsid w:val="00486930"/>
    <w:rsid w:val="00486C02"/>
    <w:rsid w:val="00486CA0"/>
    <w:rsid w:val="00486E21"/>
    <w:rsid w:val="00486F16"/>
    <w:rsid w:val="00487072"/>
    <w:rsid w:val="00487492"/>
    <w:rsid w:val="00487644"/>
    <w:rsid w:val="0049031D"/>
    <w:rsid w:val="00490B52"/>
    <w:rsid w:val="00490DEB"/>
    <w:rsid w:val="00490F83"/>
    <w:rsid w:val="004910CA"/>
    <w:rsid w:val="00492818"/>
    <w:rsid w:val="00492AC0"/>
    <w:rsid w:val="00492FA0"/>
    <w:rsid w:val="00493639"/>
    <w:rsid w:val="00493B9E"/>
    <w:rsid w:val="0049409B"/>
    <w:rsid w:val="004941B5"/>
    <w:rsid w:val="004947CB"/>
    <w:rsid w:val="00494938"/>
    <w:rsid w:val="004955A2"/>
    <w:rsid w:val="0049570C"/>
    <w:rsid w:val="00495714"/>
    <w:rsid w:val="00495B89"/>
    <w:rsid w:val="00495CC9"/>
    <w:rsid w:val="00495F9C"/>
    <w:rsid w:val="00496828"/>
    <w:rsid w:val="00497EF0"/>
    <w:rsid w:val="004A0024"/>
    <w:rsid w:val="004A00A0"/>
    <w:rsid w:val="004A112C"/>
    <w:rsid w:val="004A1876"/>
    <w:rsid w:val="004A1E14"/>
    <w:rsid w:val="004A26B6"/>
    <w:rsid w:val="004A28E1"/>
    <w:rsid w:val="004A2B5C"/>
    <w:rsid w:val="004A37D3"/>
    <w:rsid w:val="004A3902"/>
    <w:rsid w:val="004A3A6C"/>
    <w:rsid w:val="004A4672"/>
    <w:rsid w:val="004A4767"/>
    <w:rsid w:val="004A4B0E"/>
    <w:rsid w:val="004A4B79"/>
    <w:rsid w:val="004A543E"/>
    <w:rsid w:val="004A5453"/>
    <w:rsid w:val="004A55B3"/>
    <w:rsid w:val="004A5BC6"/>
    <w:rsid w:val="004A5F25"/>
    <w:rsid w:val="004A6476"/>
    <w:rsid w:val="004A6FDD"/>
    <w:rsid w:val="004A706A"/>
    <w:rsid w:val="004A70CD"/>
    <w:rsid w:val="004A73E8"/>
    <w:rsid w:val="004B03EC"/>
    <w:rsid w:val="004B104A"/>
    <w:rsid w:val="004B15CF"/>
    <w:rsid w:val="004B1700"/>
    <w:rsid w:val="004B17FD"/>
    <w:rsid w:val="004B18A4"/>
    <w:rsid w:val="004B217B"/>
    <w:rsid w:val="004B2528"/>
    <w:rsid w:val="004B26F5"/>
    <w:rsid w:val="004B2A38"/>
    <w:rsid w:val="004B2E5D"/>
    <w:rsid w:val="004B31A8"/>
    <w:rsid w:val="004B3208"/>
    <w:rsid w:val="004B3439"/>
    <w:rsid w:val="004B3823"/>
    <w:rsid w:val="004B4153"/>
    <w:rsid w:val="004B41DB"/>
    <w:rsid w:val="004B430F"/>
    <w:rsid w:val="004B433A"/>
    <w:rsid w:val="004B48BA"/>
    <w:rsid w:val="004B4EDE"/>
    <w:rsid w:val="004B5364"/>
    <w:rsid w:val="004B5D7A"/>
    <w:rsid w:val="004B5D94"/>
    <w:rsid w:val="004B6A2C"/>
    <w:rsid w:val="004C0370"/>
    <w:rsid w:val="004C052B"/>
    <w:rsid w:val="004C0BC8"/>
    <w:rsid w:val="004C0DFB"/>
    <w:rsid w:val="004C18B3"/>
    <w:rsid w:val="004C1AE7"/>
    <w:rsid w:val="004C1B32"/>
    <w:rsid w:val="004C1F51"/>
    <w:rsid w:val="004C201F"/>
    <w:rsid w:val="004C2820"/>
    <w:rsid w:val="004C2E2E"/>
    <w:rsid w:val="004C2EB9"/>
    <w:rsid w:val="004C2FC2"/>
    <w:rsid w:val="004C3364"/>
    <w:rsid w:val="004C3583"/>
    <w:rsid w:val="004C38C4"/>
    <w:rsid w:val="004C496A"/>
    <w:rsid w:val="004C5C08"/>
    <w:rsid w:val="004C5E85"/>
    <w:rsid w:val="004C660E"/>
    <w:rsid w:val="004C6CC1"/>
    <w:rsid w:val="004C7108"/>
    <w:rsid w:val="004C78ED"/>
    <w:rsid w:val="004C7A7A"/>
    <w:rsid w:val="004D0400"/>
    <w:rsid w:val="004D070B"/>
    <w:rsid w:val="004D0982"/>
    <w:rsid w:val="004D1D9B"/>
    <w:rsid w:val="004D1D9E"/>
    <w:rsid w:val="004D23A8"/>
    <w:rsid w:val="004D2A34"/>
    <w:rsid w:val="004D2BF8"/>
    <w:rsid w:val="004D2C13"/>
    <w:rsid w:val="004D3620"/>
    <w:rsid w:val="004D3B6D"/>
    <w:rsid w:val="004D407B"/>
    <w:rsid w:val="004D4C62"/>
    <w:rsid w:val="004D4EAB"/>
    <w:rsid w:val="004D506D"/>
    <w:rsid w:val="004D5DFA"/>
    <w:rsid w:val="004D66D9"/>
    <w:rsid w:val="004D7301"/>
    <w:rsid w:val="004D7493"/>
    <w:rsid w:val="004D75BD"/>
    <w:rsid w:val="004D7C62"/>
    <w:rsid w:val="004D7F92"/>
    <w:rsid w:val="004E0086"/>
    <w:rsid w:val="004E05C8"/>
    <w:rsid w:val="004E0930"/>
    <w:rsid w:val="004E208E"/>
    <w:rsid w:val="004E25EB"/>
    <w:rsid w:val="004E2899"/>
    <w:rsid w:val="004E31E8"/>
    <w:rsid w:val="004E371A"/>
    <w:rsid w:val="004E3B66"/>
    <w:rsid w:val="004E43C7"/>
    <w:rsid w:val="004E45CB"/>
    <w:rsid w:val="004E49CD"/>
    <w:rsid w:val="004E4CB0"/>
    <w:rsid w:val="004E4DEF"/>
    <w:rsid w:val="004E51CD"/>
    <w:rsid w:val="004E5208"/>
    <w:rsid w:val="004E5B55"/>
    <w:rsid w:val="004E63C8"/>
    <w:rsid w:val="004E651B"/>
    <w:rsid w:val="004E6CEC"/>
    <w:rsid w:val="004E6DC9"/>
    <w:rsid w:val="004E701F"/>
    <w:rsid w:val="004E75AD"/>
    <w:rsid w:val="004E796C"/>
    <w:rsid w:val="004E7975"/>
    <w:rsid w:val="004F0363"/>
    <w:rsid w:val="004F03F8"/>
    <w:rsid w:val="004F0983"/>
    <w:rsid w:val="004F147D"/>
    <w:rsid w:val="004F17C7"/>
    <w:rsid w:val="004F1808"/>
    <w:rsid w:val="004F1B51"/>
    <w:rsid w:val="004F1C42"/>
    <w:rsid w:val="004F28C0"/>
    <w:rsid w:val="004F3257"/>
    <w:rsid w:val="004F339E"/>
    <w:rsid w:val="004F3CAC"/>
    <w:rsid w:val="004F41FB"/>
    <w:rsid w:val="004F455D"/>
    <w:rsid w:val="004F4877"/>
    <w:rsid w:val="004F4A45"/>
    <w:rsid w:val="004F5112"/>
    <w:rsid w:val="004F51AB"/>
    <w:rsid w:val="004F52A0"/>
    <w:rsid w:val="004F606C"/>
    <w:rsid w:val="004F6595"/>
    <w:rsid w:val="004F66BA"/>
    <w:rsid w:val="004F6A24"/>
    <w:rsid w:val="004F6A83"/>
    <w:rsid w:val="004F6E83"/>
    <w:rsid w:val="004F7C03"/>
    <w:rsid w:val="00500C4F"/>
    <w:rsid w:val="0050173E"/>
    <w:rsid w:val="0050216D"/>
    <w:rsid w:val="00502D8F"/>
    <w:rsid w:val="00502E7C"/>
    <w:rsid w:val="005037A0"/>
    <w:rsid w:val="00503DFB"/>
    <w:rsid w:val="005043C9"/>
    <w:rsid w:val="00504D00"/>
    <w:rsid w:val="00504F8B"/>
    <w:rsid w:val="00505401"/>
    <w:rsid w:val="00505C5E"/>
    <w:rsid w:val="00505F4E"/>
    <w:rsid w:val="00506110"/>
    <w:rsid w:val="005063B7"/>
    <w:rsid w:val="0050642C"/>
    <w:rsid w:val="005068B3"/>
    <w:rsid w:val="00506932"/>
    <w:rsid w:val="00506C05"/>
    <w:rsid w:val="00506DEB"/>
    <w:rsid w:val="0050753D"/>
    <w:rsid w:val="00507585"/>
    <w:rsid w:val="00510880"/>
    <w:rsid w:val="00510A58"/>
    <w:rsid w:val="00511515"/>
    <w:rsid w:val="00512730"/>
    <w:rsid w:val="005133BC"/>
    <w:rsid w:val="00513413"/>
    <w:rsid w:val="0051356E"/>
    <w:rsid w:val="00513882"/>
    <w:rsid w:val="00513B7E"/>
    <w:rsid w:val="0051410C"/>
    <w:rsid w:val="0051470B"/>
    <w:rsid w:val="005148D8"/>
    <w:rsid w:val="00514CCB"/>
    <w:rsid w:val="00515283"/>
    <w:rsid w:val="0051535D"/>
    <w:rsid w:val="00515E00"/>
    <w:rsid w:val="00516665"/>
    <w:rsid w:val="005169F5"/>
    <w:rsid w:val="00517474"/>
    <w:rsid w:val="00517735"/>
    <w:rsid w:val="0051785C"/>
    <w:rsid w:val="005210B8"/>
    <w:rsid w:val="00521C6C"/>
    <w:rsid w:val="00521DAC"/>
    <w:rsid w:val="00521E65"/>
    <w:rsid w:val="005222ED"/>
    <w:rsid w:val="005225E8"/>
    <w:rsid w:val="00522C6F"/>
    <w:rsid w:val="0052308F"/>
    <w:rsid w:val="00523375"/>
    <w:rsid w:val="00523F45"/>
    <w:rsid w:val="00523FDD"/>
    <w:rsid w:val="00524126"/>
    <w:rsid w:val="005241F8"/>
    <w:rsid w:val="00524E3B"/>
    <w:rsid w:val="00524F0D"/>
    <w:rsid w:val="00525F49"/>
    <w:rsid w:val="00526875"/>
    <w:rsid w:val="005274A3"/>
    <w:rsid w:val="00527665"/>
    <w:rsid w:val="00527B28"/>
    <w:rsid w:val="00530005"/>
    <w:rsid w:val="00530470"/>
    <w:rsid w:val="0053080D"/>
    <w:rsid w:val="0053088F"/>
    <w:rsid w:val="00530F54"/>
    <w:rsid w:val="00531465"/>
    <w:rsid w:val="005315EF"/>
    <w:rsid w:val="00531870"/>
    <w:rsid w:val="00531C8D"/>
    <w:rsid w:val="005321A2"/>
    <w:rsid w:val="0053272B"/>
    <w:rsid w:val="00532760"/>
    <w:rsid w:val="005328C8"/>
    <w:rsid w:val="00532D12"/>
    <w:rsid w:val="005337AD"/>
    <w:rsid w:val="0053473A"/>
    <w:rsid w:val="0053478D"/>
    <w:rsid w:val="0053490F"/>
    <w:rsid w:val="00534979"/>
    <w:rsid w:val="00534C09"/>
    <w:rsid w:val="0053572E"/>
    <w:rsid w:val="005359E7"/>
    <w:rsid w:val="00535E25"/>
    <w:rsid w:val="00535F0E"/>
    <w:rsid w:val="005360DD"/>
    <w:rsid w:val="0053629B"/>
    <w:rsid w:val="005363B1"/>
    <w:rsid w:val="005365A4"/>
    <w:rsid w:val="005367ED"/>
    <w:rsid w:val="00536B14"/>
    <w:rsid w:val="0053706E"/>
    <w:rsid w:val="00537C7F"/>
    <w:rsid w:val="00537CBA"/>
    <w:rsid w:val="00540B53"/>
    <w:rsid w:val="00540E96"/>
    <w:rsid w:val="0054119B"/>
    <w:rsid w:val="005412F7"/>
    <w:rsid w:val="0054169C"/>
    <w:rsid w:val="00541ACA"/>
    <w:rsid w:val="00542507"/>
    <w:rsid w:val="00542653"/>
    <w:rsid w:val="005429E2"/>
    <w:rsid w:val="00542F80"/>
    <w:rsid w:val="00543613"/>
    <w:rsid w:val="005441ED"/>
    <w:rsid w:val="005452D8"/>
    <w:rsid w:val="00545520"/>
    <w:rsid w:val="005457CA"/>
    <w:rsid w:val="00545962"/>
    <w:rsid w:val="005461A9"/>
    <w:rsid w:val="005462FF"/>
    <w:rsid w:val="00546584"/>
    <w:rsid w:val="0054689E"/>
    <w:rsid w:val="00546DF1"/>
    <w:rsid w:val="00546F19"/>
    <w:rsid w:val="00546F94"/>
    <w:rsid w:val="00547BD2"/>
    <w:rsid w:val="00550206"/>
    <w:rsid w:val="005504C9"/>
    <w:rsid w:val="0055107C"/>
    <w:rsid w:val="00551169"/>
    <w:rsid w:val="0055172A"/>
    <w:rsid w:val="00551824"/>
    <w:rsid w:val="00551903"/>
    <w:rsid w:val="00551A6F"/>
    <w:rsid w:val="00551EEC"/>
    <w:rsid w:val="005522E1"/>
    <w:rsid w:val="0055238E"/>
    <w:rsid w:val="00552C7F"/>
    <w:rsid w:val="005535EA"/>
    <w:rsid w:val="0055365D"/>
    <w:rsid w:val="00553CDF"/>
    <w:rsid w:val="00553D0A"/>
    <w:rsid w:val="005541AC"/>
    <w:rsid w:val="00554892"/>
    <w:rsid w:val="0055503E"/>
    <w:rsid w:val="00555367"/>
    <w:rsid w:val="005554E3"/>
    <w:rsid w:val="0055692B"/>
    <w:rsid w:val="0055696F"/>
    <w:rsid w:val="00556D5A"/>
    <w:rsid w:val="0056016D"/>
    <w:rsid w:val="00560197"/>
    <w:rsid w:val="00560236"/>
    <w:rsid w:val="00560487"/>
    <w:rsid w:val="00560810"/>
    <w:rsid w:val="0056170D"/>
    <w:rsid w:val="00562512"/>
    <w:rsid w:val="00562639"/>
    <w:rsid w:val="00562A61"/>
    <w:rsid w:val="00563166"/>
    <w:rsid w:val="00563D1A"/>
    <w:rsid w:val="00564212"/>
    <w:rsid w:val="00564340"/>
    <w:rsid w:val="00564762"/>
    <w:rsid w:val="005648C9"/>
    <w:rsid w:val="0056498D"/>
    <w:rsid w:val="005649DB"/>
    <w:rsid w:val="00564B13"/>
    <w:rsid w:val="00564B31"/>
    <w:rsid w:val="00564F33"/>
    <w:rsid w:val="0056586D"/>
    <w:rsid w:val="00565BEC"/>
    <w:rsid w:val="00565DD8"/>
    <w:rsid w:val="005668AE"/>
    <w:rsid w:val="00567097"/>
    <w:rsid w:val="00567A3B"/>
    <w:rsid w:val="00567DD5"/>
    <w:rsid w:val="00567EAF"/>
    <w:rsid w:val="00567F3E"/>
    <w:rsid w:val="005702A7"/>
    <w:rsid w:val="00570593"/>
    <w:rsid w:val="0057108D"/>
    <w:rsid w:val="005715AF"/>
    <w:rsid w:val="00572900"/>
    <w:rsid w:val="00573419"/>
    <w:rsid w:val="00574AD5"/>
    <w:rsid w:val="00574C92"/>
    <w:rsid w:val="00574ED8"/>
    <w:rsid w:val="00574FE5"/>
    <w:rsid w:val="005750C1"/>
    <w:rsid w:val="005753BB"/>
    <w:rsid w:val="0057571D"/>
    <w:rsid w:val="005758AC"/>
    <w:rsid w:val="00576472"/>
    <w:rsid w:val="00577C15"/>
    <w:rsid w:val="00577F18"/>
    <w:rsid w:val="005805D3"/>
    <w:rsid w:val="00580858"/>
    <w:rsid w:val="0058091D"/>
    <w:rsid w:val="00581216"/>
    <w:rsid w:val="00581485"/>
    <w:rsid w:val="00581725"/>
    <w:rsid w:val="00583040"/>
    <w:rsid w:val="005834A9"/>
    <w:rsid w:val="0058355E"/>
    <w:rsid w:val="005835FA"/>
    <w:rsid w:val="00584258"/>
    <w:rsid w:val="00584677"/>
    <w:rsid w:val="005848C9"/>
    <w:rsid w:val="00585121"/>
    <w:rsid w:val="0058587F"/>
    <w:rsid w:val="005859B2"/>
    <w:rsid w:val="00586887"/>
    <w:rsid w:val="00590606"/>
    <w:rsid w:val="005913B5"/>
    <w:rsid w:val="0059154D"/>
    <w:rsid w:val="00592B70"/>
    <w:rsid w:val="00592E00"/>
    <w:rsid w:val="0059380E"/>
    <w:rsid w:val="00593B47"/>
    <w:rsid w:val="00593BAB"/>
    <w:rsid w:val="00594204"/>
    <w:rsid w:val="00594E65"/>
    <w:rsid w:val="005950E6"/>
    <w:rsid w:val="00595A25"/>
    <w:rsid w:val="005960C1"/>
    <w:rsid w:val="00596536"/>
    <w:rsid w:val="005966F9"/>
    <w:rsid w:val="00596EFA"/>
    <w:rsid w:val="00596F21"/>
    <w:rsid w:val="00597563"/>
    <w:rsid w:val="005975B2"/>
    <w:rsid w:val="005978EC"/>
    <w:rsid w:val="005A0039"/>
    <w:rsid w:val="005A048D"/>
    <w:rsid w:val="005A05F8"/>
    <w:rsid w:val="005A082C"/>
    <w:rsid w:val="005A0B83"/>
    <w:rsid w:val="005A0E13"/>
    <w:rsid w:val="005A1236"/>
    <w:rsid w:val="005A17DB"/>
    <w:rsid w:val="005A1854"/>
    <w:rsid w:val="005A1948"/>
    <w:rsid w:val="005A2037"/>
    <w:rsid w:val="005A2039"/>
    <w:rsid w:val="005A226B"/>
    <w:rsid w:val="005A2A0E"/>
    <w:rsid w:val="005A2B83"/>
    <w:rsid w:val="005A2BFE"/>
    <w:rsid w:val="005A2FAD"/>
    <w:rsid w:val="005A3120"/>
    <w:rsid w:val="005A4024"/>
    <w:rsid w:val="005A43D2"/>
    <w:rsid w:val="005A4977"/>
    <w:rsid w:val="005A4C9F"/>
    <w:rsid w:val="005A4DEB"/>
    <w:rsid w:val="005A51DF"/>
    <w:rsid w:val="005A5214"/>
    <w:rsid w:val="005A52B0"/>
    <w:rsid w:val="005A52DC"/>
    <w:rsid w:val="005A566E"/>
    <w:rsid w:val="005A5943"/>
    <w:rsid w:val="005A5E7B"/>
    <w:rsid w:val="005A6287"/>
    <w:rsid w:val="005A6433"/>
    <w:rsid w:val="005A65D9"/>
    <w:rsid w:val="005A6CDC"/>
    <w:rsid w:val="005A78DB"/>
    <w:rsid w:val="005B02B9"/>
    <w:rsid w:val="005B0337"/>
    <w:rsid w:val="005B16C6"/>
    <w:rsid w:val="005B16ED"/>
    <w:rsid w:val="005B16FB"/>
    <w:rsid w:val="005B1740"/>
    <w:rsid w:val="005B1D95"/>
    <w:rsid w:val="005B271B"/>
    <w:rsid w:val="005B2C4C"/>
    <w:rsid w:val="005B2FA3"/>
    <w:rsid w:val="005B35F9"/>
    <w:rsid w:val="005B35FA"/>
    <w:rsid w:val="005B3AA1"/>
    <w:rsid w:val="005B3B21"/>
    <w:rsid w:val="005B4089"/>
    <w:rsid w:val="005B414D"/>
    <w:rsid w:val="005B431B"/>
    <w:rsid w:val="005B4DF5"/>
    <w:rsid w:val="005B6067"/>
    <w:rsid w:val="005B6345"/>
    <w:rsid w:val="005B6458"/>
    <w:rsid w:val="005B6B19"/>
    <w:rsid w:val="005B6B4E"/>
    <w:rsid w:val="005B6E02"/>
    <w:rsid w:val="005B6F01"/>
    <w:rsid w:val="005B756B"/>
    <w:rsid w:val="005B76AB"/>
    <w:rsid w:val="005B7A90"/>
    <w:rsid w:val="005C0023"/>
    <w:rsid w:val="005C0EE6"/>
    <w:rsid w:val="005C0F1C"/>
    <w:rsid w:val="005C13B2"/>
    <w:rsid w:val="005C13F5"/>
    <w:rsid w:val="005C17E1"/>
    <w:rsid w:val="005C1925"/>
    <w:rsid w:val="005C19F0"/>
    <w:rsid w:val="005C2241"/>
    <w:rsid w:val="005C2CCC"/>
    <w:rsid w:val="005C2F97"/>
    <w:rsid w:val="005C308B"/>
    <w:rsid w:val="005C30FE"/>
    <w:rsid w:val="005C3312"/>
    <w:rsid w:val="005C3C5F"/>
    <w:rsid w:val="005C4443"/>
    <w:rsid w:val="005C44D4"/>
    <w:rsid w:val="005C4792"/>
    <w:rsid w:val="005C4C9E"/>
    <w:rsid w:val="005C56EA"/>
    <w:rsid w:val="005C5A1D"/>
    <w:rsid w:val="005C5BE8"/>
    <w:rsid w:val="005C5F4F"/>
    <w:rsid w:val="005C5FA1"/>
    <w:rsid w:val="005C5FB0"/>
    <w:rsid w:val="005C7077"/>
    <w:rsid w:val="005C764E"/>
    <w:rsid w:val="005C78E1"/>
    <w:rsid w:val="005C7AF4"/>
    <w:rsid w:val="005C7E03"/>
    <w:rsid w:val="005D028C"/>
    <w:rsid w:val="005D11C8"/>
    <w:rsid w:val="005D1E76"/>
    <w:rsid w:val="005D26C6"/>
    <w:rsid w:val="005D296D"/>
    <w:rsid w:val="005D2A07"/>
    <w:rsid w:val="005D3745"/>
    <w:rsid w:val="005D3C6B"/>
    <w:rsid w:val="005D46D8"/>
    <w:rsid w:val="005D486B"/>
    <w:rsid w:val="005D4B9D"/>
    <w:rsid w:val="005D4D32"/>
    <w:rsid w:val="005D563B"/>
    <w:rsid w:val="005D5A91"/>
    <w:rsid w:val="005D5B31"/>
    <w:rsid w:val="005D5D16"/>
    <w:rsid w:val="005D5FAB"/>
    <w:rsid w:val="005D60AC"/>
    <w:rsid w:val="005D62A0"/>
    <w:rsid w:val="005D634D"/>
    <w:rsid w:val="005D68AA"/>
    <w:rsid w:val="005D6C8C"/>
    <w:rsid w:val="005D6F54"/>
    <w:rsid w:val="005D7A6A"/>
    <w:rsid w:val="005D7D3E"/>
    <w:rsid w:val="005E0114"/>
    <w:rsid w:val="005E09D0"/>
    <w:rsid w:val="005E0DC5"/>
    <w:rsid w:val="005E197E"/>
    <w:rsid w:val="005E2176"/>
    <w:rsid w:val="005E25D4"/>
    <w:rsid w:val="005E3C04"/>
    <w:rsid w:val="005E3D27"/>
    <w:rsid w:val="005E3F25"/>
    <w:rsid w:val="005E3F60"/>
    <w:rsid w:val="005E4008"/>
    <w:rsid w:val="005E50B4"/>
    <w:rsid w:val="005E50E1"/>
    <w:rsid w:val="005E552F"/>
    <w:rsid w:val="005E56E6"/>
    <w:rsid w:val="005E5AF0"/>
    <w:rsid w:val="005E61DD"/>
    <w:rsid w:val="005E63EA"/>
    <w:rsid w:val="005E6FD7"/>
    <w:rsid w:val="005E71F6"/>
    <w:rsid w:val="005E78F5"/>
    <w:rsid w:val="005F0944"/>
    <w:rsid w:val="005F0A1B"/>
    <w:rsid w:val="005F0CB5"/>
    <w:rsid w:val="005F1412"/>
    <w:rsid w:val="005F1849"/>
    <w:rsid w:val="005F1C67"/>
    <w:rsid w:val="005F1C8E"/>
    <w:rsid w:val="005F20CB"/>
    <w:rsid w:val="005F2336"/>
    <w:rsid w:val="005F275F"/>
    <w:rsid w:val="005F2D63"/>
    <w:rsid w:val="005F3415"/>
    <w:rsid w:val="005F34E0"/>
    <w:rsid w:val="005F4508"/>
    <w:rsid w:val="005F49F5"/>
    <w:rsid w:val="005F4C83"/>
    <w:rsid w:val="005F5898"/>
    <w:rsid w:val="005F5B7D"/>
    <w:rsid w:val="005F61DA"/>
    <w:rsid w:val="005F647D"/>
    <w:rsid w:val="005F6715"/>
    <w:rsid w:val="005F6C80"/>
    <w:rsid w:val="005F6D71"/>
    <w:rsid w:val="005F6F15"/>
    <w:rsid w:val="005F777B"/>
    <w:rsid w:val="005F7BBF"/>
    <w:rsid w:val="005F7CF2"/>
    <w:rsid w:val="0060001D"/>
    <w:rsid w:val="00600057"/>
    <w:rsid w:val="00600C86"/>
    <w:rsid w:val="00600D3B"/>
    <w:rsid w:val="00600E7F"/>
    <w:rsid w:val="006010F3"/>
    <w:rsid w:val="00601C03"/>
    <w:rsid w:val="00601D71"/>
    <w:rsid w:val="006021AA"/>
    <w:rsid w:val="00602A8B"/>
    <w:rsid w:val="00602B02"/>
    <w:rsid w:val="00603739"/>
    <w:rsid w:val="0060392D"/>
    <w:rsid w:val="006045D9"/>
    <w:rsid w:val="0060479C"/>
    <w:rsid w:val="006048D6"/>
    <w:rsid w:val="00604A08"/>
    <w:rsid w:val="0060577F"/>
    <w:rsid w:val="00606571"/>
    <w:rsid w:val="0060707E"/>
    <w:rsid w:val="00610BEA"/>
    <w:rsid w:val="0061129C"/>
    <w:rsid w:val="0061131C"/>
    <w:rsid w:val="00611679"/>
    <w:rsid w:val="00611968"/>
    <w:rsid w:val="0061197C"/>
    <w:rsid w:val="006123AC"/>
    <w:rsid w:val="006125C6"/>
    <w:rsid w:val="00612AEB"/>
    <w:rsid w:val="00612CDA"/>
    <w:rsid w:val="00612F4D"/>
    <w:rsid w:val="006133D3"/>
    <w:rsid w:val="00613425"/>
    <w:rsid w:val="00614659"/>
    <w:rsid w:val="00614675"/>
    <w:rsid w:val="0061473C"/>
    <w:rsid w:val="00614D42"/>
    <w:rsid w:val="00615B9B"/>
    <w:rsid w:val="00616805"/>
    <w:rsid w:val="00617029"/>
    <w:rsid w:val="006170DE"/>
    <w:rsid w:val="00617534"/>
    <w:rsid w:val="0062059C"/>
    <w:rsid w:val="006205B0"/>
    <w:rsid w:val="0062071B"/>
    <w:rsid w:val="0062086F"/>
    <w:rsid w:val="00620B5B"/>
    <w:rsid w:val="00620C68"/>
    <w:rsid w:val="00621231"/>
    <w:rsid w:val="00621A5F"/>
    <w:rsid w:val="00622734"/>
    <w:rsid w:val="00622CA0"/>
    <w:rsid w:val="00624023"/>
    <w:rsid w:val="0062488F"/>
    <w:rsid w:val="006249A6"/>
    <w:rsid w:val="00624A8C"/>
    <w:rsid w:val="00624F0B"/>
    <w:rsid w:val="0062533B"/>
    <w:rsid w:val="00625CA1"/>
    <w:rsid w:val="00626269"/>
    <w:rsid w:val="006268BA"/>
    <w:rsid w:val="0062751A"/>
    <w:rsid w:val="0062797C"/>
    <w:rsid w:val="0063026B"/>
    <w:rsid w:val="006309FE"/>
    <w:rsid w:val="00630B2F"/>
    <w:rsid w:val="00630DF6"/>
    <w:rsid w:val="0063128A"/>
    <w:rsid w:val="00631C2A"/>
    <w:rsid w:val="00631C6A"/>
    <w:rsid w:val="0063226D"/>
    <w:rsid w:val="006329E1"/>
    <w:rsid w:val="00632EAA"/>
    <w:rsid w:val="0063318C"/>
    <w:rsid w:val="006337B0"/>
    <w:rsid w:val="0063415E"/>
    <w:rsid w:val="00634226"/>
    <w:rsid w:val="00634849"/>
    <w:rsid w:val="00635416"/>
    <w:rsid w:val="006354CB"/>
    <w:rsid w:val="00635981"/>
    <w:rsid w:val="00635AD3"/>
    <w:rsid w:val="00635CF0"/>
    <w:rsid w:val="00636328"/>
    <w:rsid w:val="00636731"/>
    <w:rsid w:val="00636A24"/>
    <w:rsid w:val="00637206"/>
    <w:rsid w:val="006373CA"/>
    <w:rsid w:val="0063757E"/>
    <w:rsid w:val="00637962"/>
    <w:rsid w:val="00640739"/>
    <w:rsid w:val="00640EF2"/>
    <w:rsid w:val="006416F0"/>
    <w:rsid w:val="00641841"/>
    <w:rsid w:val="0064185C"/>
    <w:rsid w:val="00641C18"/>
    <w:rsid w:val="006422D4"/>
    <w:rsid w:val="006427BA"/>
    <w:rsid w:val="006428FC"/>
    <w:rsid w:val="00643EA7"/>
    <w:rsid w:val="00644D4B"/>
    <w:rsid w:val="00644E05"/>
    <w:rsid w:val="006453A9"/>
    <w:rsid w:val="00645586"/>
    <w:rsid w:val="00645C68"/>
    <w:rsid w:val="0064601D"/>
    <w:rsid w:val="00646B0E"/>
    <w:rsid w:val="00647349"/>
    <w:rsid w:val="00647825"/>
    <w:rsid w:val="00647B76"/>
    <w:rsid w:val="00647C8F"/>
    <w:rsid w:val="00647C9D"/>
    <w:rsid w:val="00647E89"/>
    <w:rsid w:val="006513B8"/>
    <w:rsid w:val="006515FB"/>
    <w:rsid w:val="006519DA"/>
    <w:rsid w:val="00651D48"/>
    <w:rsid w:val="00652352"/>
    <w:rsid w:val="00652467"/>
    <w:rsid w:val="00652601"/>
    <w:rsid w:val="00652613"/>
    <w:rsid w:val="00652614"/>
    <w:rsid w:val="00652B22"/>
    <w:rsid w:val="00652DA6"/>
    <w:rsid w:val="00653803"/>
    <w:rsid w:val="00653F02"/>
    <w:rsid w:val="006542CC"/>
    <w:rsid w:val="00654529"/>
    <w:rsid w:val="006548DB"/>
    <w:rsid w:val="00654AF2"/>
    <w:rsid w:val="00654DB1"/>
    <w:rsid w:val="006550C8"/>
    <w:rsid w:val="0065569E"/>
    <w:rsid w:val="006561BF"/>
    <w:rsid w:val="006565B6"/>
    <w:rsid w:val="00656633"/>
    <w:rsid w:val="00656B67"/>
    <w:rsid w:val="00656DBB"/>
    <w:rsid w:val="00657000"/>
    <w:rsid w:val="006570A8"/>
    <w:rsid w:val="00657108"/>
    <w:rsid w:val="00657512"/>
    <w:rsid w:val="00657527"/>
    <w:rsid w:val="00657803"/>
    <w:rsid w:val="0066006D"/>
    <w:rsid w:val="00660353"/>
    <w:rsid w:val="00660447"/>
    <w:rsid w:val="0066106B"/>
    <w:rsid w:val="00662316"/>
    <w:rsid w:val="00662741"/>
    <w:rsid w:val="00662CF5"/>
    <w:rsid w:val="00662DDE"/>
    <w:rsid w:val="006630AE"/>
    <w:rsid w:val="006636E0"/>
    <w:rsid w:val="00663802"/>
    <w:rsid w:val="00663AAF"/>
    <w:rsid w:val="00663B06"/>
    <w:rsid w:val="00664EBA"/>
    <w:rsid w:val="00664F75"/>
    <w:rsid w:val="0066526A"/>
    <w:rsid w:val="00665D1D"/>
    <w:rsid w:val="0066622C"/>
    <w:rsid w:val="00666352"/>
    <w:rsid w:val="006669AF"/>
    <w:rsid w:val="00666A6C"/>
    <w:rsid w:val="00666AF3"/>
    <w:rsid w:val="006670C4"/>
    <w:rsid w:val="00667392"/>
    <w:rsid w:val="00667A5F"/>
    <w:rsid w:val="00667C3C"/>
    <w:rsid w:val="00670033"/>
    <w:rsid w:val="00671AA9"/>
    <w:rsid w:val="00671FF9"/>
    <w:rsid w:val="006726B7"/>
    <w:rsid w:val="00672CCC"/>
    <w:rsid w:val="00672D3E"/>
    <w:rsid w:val="00673863"/>
    <w:rsid w:val="00674C28"/>
    <w:rsid w:val="00674C87"/>
    <w:rsid w:val="0067593A"/>
    <w:rsid w:val="00675A2B"/>
    <w:rsid w:val="00676192"/>
    <w:rsid w:val="006761EA"/>
    <w:rsid w:val="0067639A"/>
    <w:rsid w:val="00676529"/>
    <w:rsid w:val="0067686A"/>
    <w:rsid w:val="00676A9D"/>
    <w:rsid w:val="00676CFA"/>
    <w:rsid w:val="0067715E"/>
    <w:rsid w:val="006771D7"/>
    <w:rsid w:val="00677EA9"/>
    <w:rsid w:val="00680441"/>
    <w:rsid w:val="00680534"/>
    <w:rsid w:val="00680D3F"/>
    <w:rsid w:val="00681529"/>
    <w:rsid w:val="00681C1E"/>
    <w:rsid w:val="00681C63"/>
    <w:rsid w:val="00682AD0"/>
    <w:rsid w:val="006832E5"/>
    <w:rsid w:val="00683C6D"/>
    <w:rsid w:val="00684217"/>
    <w:rsid w:val="00684913"/>
    <w:rsid w:val="00685285"/>
    <w:rsid w:val="00685571"/>
    <w:rsid w:val="00685EBA"/>
    <w:rsid w:val="0068633D"/>
    <w:rsid w:val="006864B3"/>
    <w:rsid w:val="00686619"/>
    <w:rsid w:val="00686BAB"/>
    <w:rsid w:val="00686ED4"/>
    <w:rsid w:val="0068755D"/>
    <w:rsid w:val="00687882"/>
    <w:rsid w:val="0068799F"/>
    <w:rsid w:val="0069026E"/>
    <w:rsid w:val="00690D93"/>
    <w:rsid w:val="00690F7C"/>
    <w:rsid w:val="00691AD0"/>
    <w:rsid w:val="00691F4A"/>
    <w:rsid w:val="00692092"/>
    <w:rsid w:val="006920B6"/>
    <w:rsid w:val="006921E4"/>
    <w:rsid w:val="006928EC"/>
    <w:rsid w:val="00692A2E"/>
    <w:rsid w:val="00693440"/>
    <w:rsid w:val="0069381F"/>
    <w:rsid w:val="00693B1D"/>
    <w:rsid w:val="00693D37"/>
    <w:rsid w:val="006945C2"/>
    <w:rsid w:val="00694655"/>
    <w:rsid w:val="006947D7"/>
    <w:rsid w:val="00694C87"/>
    <w:rsid w:val="0069534D"/>
    <w:rsid w:val="00695609"/>
    <w:rsid w:val="006958B9"/>
    <w:rsid w:val="00695C0C"/>
    <w:rsid w:val="00696050"/>
    <w:rsid w:val="00696318"/>
    <w:rsid w:val="006963A3"/>
    <w:rsid w:val="00696430"/>
    <w:rsid w:val="006964AA"/>
    <w:rsid w:val="00696A7B"/>
    <w:rsid w:val="0069732A"/>
    <w:rsid w:val="006973D1"/>
    <w:rsid w:val="00697692"/>
    <w:rsid w:val="00697846"/>
    <w:rsid w:val="006979A2"/>
    <w:rsid w:val="00697B22"/>
    <w:rsid w:val="006A0085"/>
    <w:rsid w:val="006A051A"/>
    <w:rsid w:val="006A05C7"/>
    <w:rsid w:val="006A0647"/>
    <w:rsid w:val="006A0738"/>
    <w:rsid w:val="006A0BFC"/>
    <w:rsid w:val="006A1634"/>
    <w:rsid w:val="006A28FF"/>
    <w:rsid w:val="006A3ECD"/>
    <w:rsid w:val="006A475F"/>
    <w:rsid w:val="006A5193"/>
    <w:rsid w:val="006A541E"/>
    <w:rsid w:val="006A564C"/>
    <w:rsid w:val="006A5820"/>
    <w:rsid w:val="006A5D2B"/>
    <w:rsid w:val="006A6730"/>
    <w:rsid w:val="006A6F0D"/>
    <w:rsid w:val="006A710C"/>
    <w:rsid w:val="006A7665"/>
    <w:rsid w:val="006A7C1D"/>
    <w:rsid w:val="006B0426"/>
    <w:rsid w:val="006B0D89"/>
    <w:rsid w:val="006B0F3C"/>
    <w:rsid w:val="006B13F7"/>
    <w:rsid w:val="006B1D8E"/>
    <w:rsid w:val="006B2292"/>
    <w:rsid w:val="006B29DB"/>
    <w:rsid w:val="006B2C08"/>
    <w:rsid w:val="006B2C56"/>
    <w:rsid w:val="006B380F"/>
    <w:rsid w:val="006B3C6D"/>
    <w:rsid w:val="006B47C3"/>
    <w:rsid w:val="006B4C04"/>
    <w:rsid w:val="006B4F0A"/>
    <w:rsid w:val="006B509E"/>
    <w:rsid w:val="006B55BB"/>
    <w:rsid w:val="006B5799"/>
    <w:rsid w:val="006B5AE1"/>
    <w:rsid w:val="006B5D6C"/>
    <w:rsid w:val="006B634A"/>
    <w:rsid w:val="006B6469"/>
    <w:rsid w:val="006B649A"/>
    <w:rsid w:val="006B672E"/>
    <w:rsid w:val="006B6CA1"/>
    <w:rsid w:val="006B6E63"/>
    <w:rsid w:val="006B757E"/>
    <w:rsid w:val="006B7900"/>
    <w:rsid w:val="006B7C82"/>
    <w:rsid w:val="006C0317"/>
    <w:rsid w:val="006C0556"/>
    <w:rsid w:val="006C1000"/>
    <w:rsid w:val="006C1160"/>
    <w:rsid w:val="006C1A0D"/>
    <w:rsid w:val="006C1BA5"/>
    <w:rsid w:val="006C2039"/>
    <w:rsid w:val="006C257F"/>
    <w:rsid w:val="006C2A3C"/>
    <w:rsid w:val="006C3805"/>
    <w:rsid w:val="006C4139"/>
    <w:rsid w:val="006C4DEB"/>
    <w:rsid w:val="006C4F72"/>
    <w:rsid w:val="006C4FB4"/>
    <w:rsid w:val="006C50E5"/>
    <w:rsid w:val="006C51BF"/>
    <w:rsid w:val="006C5943"/>
    <w:rsid w:val="006C6166"/>
    <w:rsid w:val="006C6426"/>
    <w:rsid w:val="006C6620"/>
    <w:rsid w:val="006C6ABB"/>
    <w:rsid w:val="006C6B8D"/>
    <w:rsid w:val="006C71CB"/>
    <w:rsid w:val="006C72FA"/>
    <w:rsid w:val="006C750F"/>
    <w:rsid w:val="006C7792"/>
    <w:rsid w:val="006C7CDE"/>
    <w:rsid w:val="006C7DB3"/>
    <w:rsid w:val="006D0485"/>
    <w:rsid w:val="006D0D92"/>
    <w:rsid w:val="006D1077"/>
    <w:rsid w:val="006D153A"/>
    <w:rsid w:val="006D1710"/>
    <w:rsid w:val="006D199B"/>
    <w:rsid w:val="006D19B5"/>
    <w:rsid w:val="006D1AD6"/>
    <w:rsid w:val="006D2216"/>
    <w:rsid w:val="006D284B"/>
    <w:rsid w:val="006D2C9B"/>
    <w:rsid w:val="006D32D6"/>
    <w:rsid w:val="006D3A04"/>
    <w:rsid w:val="006D4694"/>
    <w:rsid w:val="006D498E"/>
    <w:rsid w:val="006D55A4"/>
    <w:rsid w:val="006D55F6"/>
    <w:rsid w:val="006D5E27"/>
    <w:rsid w:val="006D6040"/>
    <w:rsid w:val="006D6671"/>
    <w:rsid w:val="006D68AA"/>
    <w:rsid w:val="006D6B90"/>
    <w:rsid w:val="006D6EBC"/>
    <w:rsid w:val="006D6F5B"/>
    <w:rsid w:val="006D6FB6"/>
    <w:rsid w:val="006D746E"/>
    <w:rsid w:val="006D7806"/>
    <w:rsid w:val="006D7D56"/>
    <w:rsid w:val="006D7EAA"/>
    <w:rsid w:val="006E02BF"/>
    <w:rsid w:val="006E0862"/>
    <w:rsid w:val="006E0AD0"/>
    <w:rsid w:val="006E0FDA"/>
    <w:rsid w:val="006E18F1"/>
    <w:rsid w:val="006E191D"/>
    <w:rsid w:val="006E1D07"/>
    <w:rsid w:val="006E1D14"/>
    <w:rsid w:val="006E1F7B"/>
    <w:rsid w:val="006E1F86"/>
    <w:rsid w:val="006E27D2"/>
    <w:rsid w:val="006E2B24"/>
    <w:rsid w:val="006E2F23"/>
    <w:rsid w:val="006E36CD"/>
    <w:rsid w:val="006E3A54"/>
    <w:rsid w:val="006E3FA6"/>
    <w:rsid w:val="006E3FFF"/>
    <w:rsid w:val="006E4C10"/>
    <w:rsid w:val="006E5589"/>
    <w:rsid w:val="006E5AEB"/>
    <w:rsid w:val="006E6C3F"/>
    <w:rsid w:val="006E6CDE"/>
    <w:rsid w:val="006E71A2"/>
    <w:rsid w:val="006E757E"/>
    <w:rsid w:val="006E7A08"/>
    <w:rsid w:val="006E7E11"/>
    <w:rsid w:val="006F0356"/>
    <w:rsid w:val="006F081B"/>
    <w:rsid w:val="006F0FFA"/>
    <w:rsid w:val="006F1067"/>
    <w:rsid w:val="006F2076"/>
    <w:rsid w:val="006F2570"/>
    <w:rsid w:val="006F2D7F"/>
    <w:rsid w:val="006F2DE6"/>
    <w:rsid w:val="006F2E21"/>
    <w:rsid w:val="006F30C2"/>
    <w:rsid w:val="006F30CA"/>
    <w:rsid w:val="006F3374"/>
    <w:rsid w:val="006F33E5"/>
    <w:rsid w:val="006F36E1"/>
    <w:rsid w:val="006F3738"/>
    <w:rsid w:val="006F39AF"/>
    <w:rsid w:val="006F3AEE"/>
    <w:rsid w:val="006F3D9C"/>
    <w:rsid w:val="006F3FBA"/>
    <w:rsid w:val="006F45CB"/>
    <w:rsid w:val="006F4805"/>
    <w:rsid w:val="006F4C9A"/>
    <w:rsid w:val="006F504D"/>
    <w:rsid w:val="006F511F"/>
    <w:rsid w:val="006F54A8"/>
    <w:rsid w:val="006F5C56"/>
    <w:rsid w:val="006F5DB8"/>
    <w:rsid w:val="006F5E83"/>
    <w:rsid w:val="006F5FAA"/>
    <w:rsid w:val="006F64E7"/>
    <w:rsid w:val="006F67FF"/>
    <w:rsid w:val="006F7949"/>
    <w:rsid w:val="006F7A18"/>
    <w:rsid w:val="006F7B34"/>
    <w:rsid w:val="0070093F"/>
    <w:rsid w:val="00700C03"/>
    <w:rsid w:val="00701EA5"/>
    <w:rsid w:val="00701F53"/>
    <w:rsid w:val="00702160"/>
    <w:rsid w:val="0070264F"/>
    <w:rsid w:val="00702D17"/>
    <w:rsid w:val="00703194"/>
    <w:rsid w:val="00703935"/>
    <w:rsid w:val="00703B9C"/>
    <w:rsid w:val="00703C96"/>
    <w:rsid w:val="007040BA"/>
    <w:rsid w:val="00704706"/>
    <w:rsid w:val="00704B3A"/>
    <w:rsid w:val="00704DF8"/>
    <w:rsid w:val="00705133"/>
    <w:rsid w:val="007051E7"/>
    <w:rsid w:val="007053E2"/>
    <w:rsid w:val="00705A26"/>
    <w:rsid w:val="00705D9C"/>
    <w:rsid w:val="00705DEE"/>
    <w:rsid w:val="00706F76"/>
    <w:rsid w:val="00707013"/>
    <w:rsid w:val="0070704D"/>
    <w:rsid w:val="0070730B"/>
    <w:rsid w:val="00707330"/>
    <w:rsid w:val="0070786A"/>
    <w:rsid w:val="00710493"/>
    <w:rsid w:val="007113B1"/>
    <w:rsid w:val="00711560"/>
    <w:rsid w:val="00711645"/>
    <w:rsid w:val="00711C02"/>
    <w:rsid w:val="0071280D"/>
    <w:rsid w:val="00713142"/>
    <w:rsid w:val="0071334A"/>
    <w:rsid w:val="00713701"/>
    <w:rsid w:val="00713AAD"/>
    <w:rsid w:val="00713D12"/>
    <w:rsid w:val="007143C5"/>
    <w:rsid w:val="0071448C"/>
    <w:rsid w:val="007146A2"/>
    <w:rsid w:val="007146C0"/>
    <w:rsid w:val="007148D2"/>
    <w:rsid w:val="00714A3B"/>
    <w:rsid w:val="00714CAA"/>
    <w:rsid w:val="00714DD5"/>
    <w:rsid w:val="007153CC"/>
    <w:rsid w:val="0071573A"/>
    <w:rsid w:val="00715BC2"/>
    <w:rsid w:val="00716306"/>
    <w:rsid w:val="00716A2C"/>
    <w:rsid w:val="00716E82"/>
    <w:rsid w:val="00717629"/>
    <w:rsid w:val="0071795A"/>
    <w:rsid w:val="00717AA4"/>
    <w:rsid w:val="00717BEF"/>
    <w:rsid w:val="00717D4F"/>
    <w:rsid w:val="007207D8"/>
    <w:rsid w:val="00720954"/>
    <w:rsid w:val="007209DB"/>
    <w:rsid w:val="007209DE"/>
    <w:rsid w:val="00720B30"/>
    <w:rsid w:val="007212A7"/>
    <w:rsid w:val="007215A2"/>
    <w:rsid w:val="0072160D"/>
    <w:rsid w:val="00721EE9"/>
    <w:rsid w:val="00722396"/>
    <w:rsid w:val="00722434"/>
    <w:rsid w:val="007224F3"/>
    <w:rsid w:val="0072253B"/>
    <w:rsid w:val="00722677"/>
    <w:rsid w:val="00722DE8"/>
    <w:rsid w:val="00722E02"/>
    <w:rsid w:val="007236D0"/>
    <w:rsid w:val="007239E6"/>
    <w:rsid w:val="00723A01"/>
    <w:rsid w:val="0072412D"/>
    <w:rsid w:val="007242A0"/>
    <w:rsid w:val="0072447E"/>
    <w:rsid w:val="007244CC"/>
    <w:rsid w:val="007245EE"/>
    <w:rsid w:val="0072493E"/>
    <w:rsid w:val="00725201"/>
    <w:rsid w:val="00726274"/>
    <w:rsid w:val="00726418"/>
    <w:rsid w:val="0072665D"/>
    <w:rsid w:val="007268A2"/>
    <w:rsid w:val="00726B0C"/>
    <w:rsid w:val="00726DCF"/>
    <w:rsid w:val="007270C3"/>
    <w:rsid w:val="007270D5"/>
    <w:rsid w:val="007271A9"/>
    <w:rsid w:val="00727430"/>
    <w:rsid w:val="0072749B"/>
    <w:rsid w:val="0072752D"/>
    <w:rsid w:val="00727584"/>
    <w:rsid w:val="00727F8C"/>
    <w:rsid w:val="00730B78"/>
    <w:rsid w:val="00730F11"/>
    <w:rsid w:val="00730F50"/>
    <w:rsid w:val="00731B30"/>
    <w:rsid w:val="00731CA1"/>
    <w:rsid w:val="00731EC2"/>
    <w:rsid w:val="00732324"/>
    <w:rsid w:val="00732816"/>
    <w:rsid w:val="0073287E"/>
    <w:rsid w:val="00732BEE"/>
    <w:rsid w:val="007331B8"/>
    <w:rsid w:val="00733461"/>
    <w:rsid w:val="00734624"/>
    <w:rsid w:val="00734B0B"/>
    <w:rsid w:val="00734CBB"/>
    <w:rsid w:val="00734CF1"/>
    <w:rsid w:val="00734EE1"/>
    <w:rsid w:val="007352D9"/>
    <w:rsid w:val="00735503"/>
    <w:rsid w:val="00735B97"/>
    <w:rsid w:val="00735DE7"/>
    <w:rsid w:val="00736E86"/>
    <w:rsid w:val="00737B74"/>
    <w:rsid w:val="00737F0F"/>
    <w:rsid w:val="00740747"/>
    <w:rsid w:val="00740777"/>
    <w:rsid w:val="0074087A"/>
    <w:rsid w:val="007415EE"/>
    <w:rsid w:val="00741A00"/>
    <w:rsid w:val="00741D36"/>
    <w:rsid w:val="0074215D"/>
    <w:rsid w:val="007426F2"/>
    <w:rsid w:val="00742744"/>
    <w:rsid w:val="00743339"/>
    <w:rsid w:val="00744535"/>
    <w:rsid w:val="00744577"/>
    <w:rsid w:val="0074581B"/>
    <w:rsid w:val="00745AB7"/>
    <w:rsid w:val="007476C0"/>
    <w:rsid w:val="0074797A"/>
    <w:rsid w:val="00750186"/>
    <w:rsid w:val="00750794"/>
    <w:rsid w:val="00750BFF"/>
    <w:rsid w:val="00750E65"/>
    <w:rsid w:val="00750FDE"/>
    <w:rsid w:val="00751176"/>
    <w:rsid w:val="0075125A"/>
    <w:rsid w:val="0075199F"/>
    <w:rsid w:val="007519EB"/>
    <w:rsid w:val="00751C6A"/>
    <w:rsid w:val="00751DC4"/>
    <w:rsid w:val="00752849"/>
    <w:rsid w:val="00752C73"/>
    <w:rsid w:val="00752EE7"/>
    <w:rsid w:val="00753198"/>
    <w:rsid w:val="00753473"/>
    <w:rsid w:val="00753EBB"/>
    <w:rsid w:val="00754A88"/>
    <w:rsid w:val="00754ABA"/>
    <w:rsid w:val="00754CAB"/>
    <w:rsid w:val="00755182"/>
    <w:rsid w:val="00755523"/>
    <w:rsid w:val="00755B08"/>
    <w:rsid w:val="007561CF"/>
    <w:rsid w:val="00756620"/>
    <w:rsid w:val="007572D0"/>
    <w:rsid w:val="0075733D"/>
    <w:rsid w:val="00757687"/>
    <w:rsid w:val="00757963"/>
    <w:rsid w:val="00757B9E"/>
    <w:rsid w:val="00757E44"/>
    <w:rsid w:val="0076011E"/>
    <w:rsid w:val="00760BFB"/>
    <w:rsid w:val="00761549"/>
    <w:rsid w:val="00761CB9"/>
    <w:rsid w:val="007623D8"/>
    <w:rsid w:val="00762BC6"/>
    <w:rsid w:val="007639A5"/>
    <w:rsid w:val="00763E65"/>
    <w:rsid w:val="007642A6"/>
    <w:rsid w:val="0076443C"/>
    <w:rsid w:val="007646F9"/>
    <w:rsid w:val="007648D1"/>
    <w:rsid w:val="00765CE0"/>
    <w:rsid w:val="00765D42"/>
    <w:rsid w:val="00765E66"/>
    <w:rsid w:val="00765FF0"/>
    <w:rsid w:val="007668DC"/>
    <w:rsid w:val="0076699D"/>
    <w:rsid w:val="00766A53"/>
    <w:rsid w:val="00767173"/>
    <w:rsid w:val="0076741B"/>
    <w:rsid w:val="00767714"/>
    <w:rsid w:val="00767C45"/>
    <w:rsid w:val="00770317"/>
    <w:rsid w:val="0077060B"/>
    <w:rsid w:val="00770C99"/>
    <w:rsid w:val="00771895"/>
    <w:rsid w:val="00771C84"/>
    <w:rsid w:val="00772044"/>
    <w:rsid w:val="00772467"/>
    <w:rsid w:val="007724D4"/>
    <w:rsid w:val="00772C76"/>
    <w:rsid w:val="00773468"/>
    <w:rsid w:val="00773573"/>
    <w:rsid w:val="00773B44"/>
    <w:rsid w:val="0077491E"/>
    <w:rsid w:val="007749EA"/>
    <w:rsid w:val="00774A2A"/>
    <w:rsid w:val="00774AFB"/>
    <w:rsid w:val="00774B23"/>
    <w:rsid w:val="00774D7B"/>
    <w:rsid w:val="00774EC7"/>
    <w:rsid w:val="0077603F"/>
    <w:rsid w:val="007761A6"/>
    <w:rsid w:val="00776C6E"/>
    <w:rsid w:val="00776F0F"/>
    <w:rsid w:val="00777612"/>
    <w:rsid w:val="0077787B"/>
    <w:rsid w:val="00777CA4"/>
    <w:rsid w:val="00777FF0"/>
    <w:rsid w:val="00780138"/>
    <w:rsid w:val="00780224"/>
    <w:rsid w:val="0078033F"/>
    <w:rsid w:val="007803B4"/>
    <w:rsid w:val="00780D66"/>
    <w:rsid w:val="00780E1E"/>
    <w:rsid w:val="00781151"/>
    <w:rsid w:val="00781421"/>
    <w:rsid w:val="0078199C"/>
    <w:rsid w:val="00782081"/>
    <w:rsid w:val="0078253C"/>
    <w:rsid w:val="00782C95"/>
    <w:rsid w:val="00783DB2"/>
    <w:rsid w:val="00784DFE"/>
    <w:rsid w:val="00784FC8"/>
    <w:rsid w:val="00785F4D"/>
    <w:rsid w:val="007865F2"/>
    <w:rsid w:val="00786806"/>
    <w:rsid w:val="007868C4"/>
    <w:rsid w:val="00786B3A"/>
    <w:rsid w:val="007877D9"/>
    <w:rsid w:val="00787A24"/>
    <w:rsid w:val="00790106"/>
    <w:rsid w:val="0079086B"/>
    <w:rsid w:val="007919CB"/>
    <w:rsid w:val="00791F18"/>
    <w:rsid w:val="00792A6C"/>
    <w:rsid w:val="007930B2"/>
    <w:rsid w:val="00793869"/>
    <w:rsid w:val="00793D5C"/>
    <w:rsid w:val="007949EB"/>
    <w:rsid w:val="00794B94"/>
    <w:rsid w:val="00794FC0"/>
    <w:rsid w:val="00795839"/>
    <w:rsid w:val="007964B2"/>
    <w:rsid w:val="00796543"/>
    <w:rsid w:val="00796DF4"/>
    <w:rsid w:val="00796EFE"/>
    <w:rsid w:val="00797250"/>
    <w:rsid w:val="007973DF"/>
    <w:rsid w:val="0079768A"/>
    <w:rsid w:val="00797717"/>
    <w:rsid w:val="0079772C"/>
    <w:rsid w:val="007A02A5"/>
    <w:rsid w:val="007A095B"/>
    <w:rsid w:val="007A0B0B"/>
    <w:rsid w:val="007A1064"/>
    <w:rsid w:val="007A11B4"/>
    <w:rsid w:val="007A1541"/>
    <w:rsid w:val="007A167B"/>
    <w:rsid w:val="007A18A1"/>
    <w:rsid w:val="007A1EA6"/>
    <w:rsid w:val="007A22ED"/>
    <w:rsid w:val="007A2456"/>
    <w:rsid w:val="007A2737"/>
    <w:rsid w:val="007A2C71"/>
    <w:rsid w:val="007A3287"/>
    <w:rsid w:val="007A3601"/>
    <w:rsid w:val="007A452A"/>
    <w:rsid w:val="007A45BF"/>
    <w:rsid w:val="007A4BC1"/>
    <w:rsid w:val="007A4D0C"/>
    <w:rsid w:val="007A507B"/>
    <w:rsid w:val="007A50E5"/>
    <w:rsid w:val="007A51B2"/>
    <w:rsid w:val="007A5397"/>
    <w:rsid w:val="007A556E"/>
    <w:rsid w:val="007A55F6"/>
    <w:rsid w:val="007A5A28"/>
    <w:rsid w:val="007A5DBB"/>
    <w:rsid w:val="007B0972"/>
    <w:rsid w:val="007B1AEE"/>
    <w:rsid w:val="007B1C37"/>
    <w:rsid w:val="007B1E43"/>
    <w:rsid w:val="007B21D6"/>
    <w:rsid w:val="007B2657"/>
    <w:rsid w:val="007B3454"/>
    <w:rsid w:val="007B384D"/>
    <w:rsid w:val="007B4C88"/>
    <w:rsid w:val="007B5576"/>
    <w:rsid w:val="007B5BBE"/>
    <w:rsid w:val="007B5D50"/>
    <w:rsid w:val="007B5E51"/>
    <w:rsid w:val="007B64C0"/>
    <w:rsid w:val="007B6712"/>
    <w:rsid w:val="007B6F82"/>
    <w:rsid w:val="007B7981"/>
    <w:rsid w:val="007B7A9C"/>
    <w:rsid w:val="007C0149"/>
    <w:rsid w:val="007C075D"/>
    <w:rsid w:val="007C0D2B"/>
    <w:rsid w:val="007C136C"/>
    <w:rsid w:val="007C1B69"/>
    <w:rsid w:val="007C1ED0"/>
    <w:rsid w:val="007C2518"/>
    <w:rsid w:val="007C26EA"/>
    <w:rsid w:val="007C2D0B"/>
    <w:rsid w:val="007C3AE0"/>
    <w:rsid w:val="007C439A"/>
    <w:rsid w:val="007C4929"/>
    <w:rsid w:val="007C55BF"/>
    <w:rsid w:val="007C5622"/>
    <w:rsid w:val="007C59C2"/>
    <w:rsid w:val="007C5C39"/>
    <w:rsid w:val="007C5F3C"/>
    <w:rsid w:val="007C6A3A"/>
    <w:rsid w:val="007C6A80"/>
    <w:rsid w:val="007C6C38"/>
    <w:rsid w:val="007C6EED"/>
    <w:rsid w:val="007C6F71"/>
    <w:rsid w:val="007C72F9"/>
    <w:rsid w:val="007C7BA6"/>
    <w:rsid w:val="007D0220"/>
    <w:rsid w:val="007D031A"/>
    <w:rsid w:val="007D0C93"/>
    <w:rsid w:val="007D1664"/>
    <w:rsid w:val="007D1BF1"/>
    <w:rsid w:val="007D211A"/>
    <w:rsid w:val="007D2692"/>
    <w:rsid w:val="007D2759"/>
    <w:rsid w:val="007D28B5"/>
    <w:rsid w:val="007D2958"/>
    <w:rsid w:val="007D2C79"/>
    <w:rsid w:val="007D3186"/>
    <w:rsid w:val="007D3348"/>
    <w:rsid w:val="007D36AC"/>
    <w:rsid w:val="007D397F"/>
    <w:rsid w:val="007D3AEA"/>
    <w:rsid w:val="007D3F39"/>
    <w:rsid w:val="007D4133"/>
    <w:rsid w:val="007D4F67"/>
    <w:rsid w:val="007D504F"/>
    <w:rsid w:val="007D60F4"/>
    <w:rsid w:val="007D6181"/>
    <w:rsid w:val="007D69DF"/>
    <w:rsid w:val="007D6AB1"/>
    <w:rsid w:val="007D6DEA"/>
    <w:rsid w:val="007D6F9A"/>
    <w:rsid w:val="007E06A7"/>
    <w:rsid w:val="007E0F97"/>
    <w:rsid w:val="007E1294"/>
    <w:rsid w:val="007E1590"/>
    <w:rsid w:val="007E1F56"/>
    <w:rsid w:val="007E2FF1"/>
    <w:rsid w:val="007E39FB"/>
    <w:rsid w:val="007E3E0F"/>
    <w:rsid w:val="007E4425"/>
    <w:rsid w:val="007E44B6"/>
    <w:rsid w:val="007E45ED"/>
    <w:rsid w:val="007E4804"/>
    <w:rsid w:val="007E48C6"/>
    <w:rsid w:val="007E4D3E"/>
    <w:rsid w:val="007E4ECD"/>
    <w:rsid w:val="007E5DCB"/>
    <w:rsid w:val="007E5E08"/>
    <w:rsid w:val="007E61DF"/>
    <w:rsid w:val="007E61E6"/>
    <w:rsid w:val="007E63F0"/>
    <w:rsid w:val="007E6EE2"/>
    <w:rsid w:val="007E6F9E"/>
    <w:rsid w:val="007E7097"/>
    <w:rsid w:val="007E7199"/>
    <w:rsid w:val="007E75B6"/>
    <w:rsid w:val="007F000F"/>
    <w:rsid w:val="007F05CE"/>
    <w:rsid w:val="007F0995"/>
    <w:rsid w:val="007F164E"/>
    <w:rsid w:val="007F1671"/>
    <w:rsid w:val="007F17FB"/>
    <w:rsid w:val="007F2900"/>
    <w:rsid w:val="007F2A3C"/>
    <w:rsid w:val="007F3491"/>
    <w:rsid w:val="007F3716"/>
    <w:rsid w:val="007F394C"/>
    <w:rsid w:val="007F3D71"/>
    <w:rsid w:val="007F3DDE"/>
    <w:rsid w:val="007F3ED6"/>
    <w:rsid w:val="007F3F90"/>
    <w:rsid w:val="007F4362"/>
    <w:rsid w:val="007F4987"/>
    <w:rsid w:val="007F5880"/>
    <w:rsid w:val="007F5D2C"/>
    <w:rsid w:val="007F5FC4"/>
    <w:rsid w:val="007F601A"/>
    <w:rsid w:val="007F630F"/>
    <w:rsid w:val="007F6E02"/>
    <w:rsid w:val="007F7045"/>
    <w:rsid w:val="007F74C4"/>
    <w:rsid w:val="007F7EF6"/>
    <w:rsid w:val="007F7F6F"/>
    <w:rsid w:val="0080047A"/>
    <w:rsid w:val="0080050B"/>
    <w:rsid w:val="00800D17"/>
    <w:rsid w:val="00800DA4"/>
    <w:rsid w:val="00800EA2"/>
    <w:rsid w:val="00800F7F"/>
    <w:rsid w:val="00801A43"/>
    <w:rsid w:val="00801B4D"/>
    <w:rsid w:val="00801F49"/>
    <w:rsid w:val="00801F50"/>
    <w:rsid w:val="00802B32"/>
    <w:rsid w:val="00802D2B"/>
    <w:rsid w:val="0080338E"/>
    <w:rsid w:val="00803550"/>
    <w:rsid w:val="00803809"/>
    <w:rsid w:val="00803D67"/>
    <w:rsid w:val="008046BC"/>
    <w:rsid w:val="00805064"/>
    <w:rsid w:val="00805246"/>
    <w:rsid w:val="008056BC"/>
    <w:rsid w:val="008059FD"/>
    <w:rsid w:val="00805C73"/>
    <w:rsid w:val="00805E8F"/>
    <w:rsid w:val="0080693F"/>
    <w:rsid w:val="00806F11"/>
    <w:rsid w:val="00806F16"/>
    <w:rsid w:val="00807170"/>
    <w:rsid w:val="00807559"/>
    <w:rsid w:val="0080783F"/>
    <w:rsid w:val="00807B88"/>
    <w:rsid w:val="00807E50"/>
    <w:rsid w:val="00810335"/>
    <w:rsid w:val="0081071D"/>
    <w:rsid w:val="00810B18"/>
    <w:rsid w:val="00811024"/>
    <w:rsid w:val="00811150"/>
    <w:rsid w:val="00811942"/>
    <w:rsid w:val="00811C0F"/>
    <w:rsid w:val="00811EA8"/>
    <w:rsid w:val="00812877"/>
    <w:rsid w:val="0081351A"/>
    <w:rsid w:val="008140C7"/>
    <w:rsid w:val="0081463D"/>
    <w:rsid w:val="00814B70"/>
    <w:rsid w:val="00814C6E"/>
    <w:rsid w:val="00814CFE"/>
    <w:rsid w:val="00815230"/>
    <w:rsid w:val="00815255"/>
    <w:rsid w:val="0081528C"/>
    <w:rsid w:val="008152E6"/>
    <w:rsid w:val="00815594"/>
    <w:rsid w:val="00815632"/>
    <w:rsid w:val="00815775"/>
    <w:rsid w:val="008165DF"/>
    <w:rsid w:val="00816789"/>
    <w:rsid w:val="00816839"/>
    <w:rsid w:val="00816A22"/>
    <w:rsid w:val="00816BFE"/>
    <w:rsid w:val="00816DAF"/>
    <w:rsid w:val="00816F9E"/>
    <w:rsid w:val="00817006"/>
    <w:rsid w:val="00817569"/>
    <w:rsid w:val="008178E0"/>
    <w:rsid w:val="00820169"/>
    <w:rsid w:val="0082048E"/>
    <w:rsid w:val="0082059C"/>
    <w:rsid w:val="00820B09"/>
    <w:rsid w:val="00821792"/>
    <w:rsid w:val="00821A7A"/>
    <w:rsid w:val="00822689"/>
    <w:rsid w:val="00822C5F"/>
    <w:rsid w:val="00822CEA"/>
    <w:rsid w:val="00822D8D"/>
    <w:rsid w:val="008230D7"/>
    <w:rsid w:val="00823106"/>
    <w:rsid w:val="0082310D"/>
    <w:rsid w:val="0082326E"/>
    <w:rsid w:val="00823481"/>
    <w:rsid w:val="00823B26"/>
    <w:rsid w:val="00823DB2"/>
    <w:rsid w:val="00824C62"/>
    <w:rsid w:val="00824F0F"/>
    <w:rsid w:val="008251A6"/>
    <w:rsid w:val="00825273"/>
    <w:rsid w:val="008252E5"/>
    <w:rsid w:val="008254D6"/>
    <w:rsid w:val="008259A6"/>
    <w:rsid w:val="00825CE5"/>
    <w:rsid w:val="0082613D"/>
    <w:rsid w:val="00826281"/>
    <w:rsid w:val="008263E8"/>
    <w:rsid w:val="008266D0"/>
    <w:rsid w:val="008267DA"/>
    <w:rsid w:val="008272FC"/>
    <w:rsid w:val="00827E82"/>
    <w:rsid w:val="00827EDE"/>
    <w:rsid w:val="00830801"/>
    <w:rsid w:val="00830B7B"/>
    <w:rsid w:val="00830C2B"/>
    <w:rsid w:val="008310D8"/>
    <w:rsid w:val="00831464"/>
    <w:rsid w:val="0083176A"/>
    <w:rsid w:val="008323AC"/>
    <w:rsid w:val="00832579"/>
    <w:rsid w:val="008327E5"/>
    <w:rsid w:val="0083369F"/>
    <w:rsid w:val="008337A3"/>
    <w:rsid w:val="00833CE0"/>
    <w:rsid w:val="008340A4"/>
    <w:rsid w:val="008347FF"/>
    <w:rsid w:val="00835575"/>
    <w:rsid w:val="00835702"/>
    <w:rsid w:val="008359E7"/>
    <w:rsid w:val="00836027"/>
    <w:rsid w:val="00836250"/>
    <w:rsid w:val="00836EC1"/>
    <w:rsid w:val="008378A7"/>
    <w:rsid w:val="00837C87"/>
    <w:rsid w:val="00840636"/>
    <w:rsid w:val="00840BA0"/>
    <w:rsid w:val="00840CA2"/>
    <w:rsid w:val="00841471"/>
    <w:rsid w:val="00842316"/>
    <w:rsid w:val="008425DE"/>
    <w:rsid w:val="008427A0"/>
    <w:rsid w:val="008428E2"/>
    <w:rsid w:val="00842C0B"/>
    <w:rsid w:val="00843E4C"/>
    <w:rsid w:val="00843EAA"/>
    <w:rsid w:val="0084439C"/>
    <w:rsid w:val="00844768"/>
    <w:rsid w:val="00844AED"/>
    <w:rsid w:val="00844D24"/>
    <w:rsid w:val="00844E1E"/>
    <w:rsid w:val="0084515D"/>
    <w:rsid w:val="0084537E"/>
    <w:rsid w:val="00845471"/>
    <w:rsid w:val="0084566E"/>
    <w:rsid w:val="00845790"/>
    <w:rsid w:val="00847F5C"/>
    <w:rsid w:val="008512DB"/>
    <w:rsid w:val="008513E3"/>
    <w:rsid w:val="008515B4"/>
    <w:rsid w:val="0085197D"/>
    <w:rsid w:val="00851C22"/>
    <w:rsid w:val="00851C4B"/>
    <w:rsid w:val="00852266"/>
    <w:rsid w:val="008522B1"/>
    <w:rsid w:val="0085252D"/>
    <w:rsid w:val="00852CCD"/>
    <w:rsid w:val="00852CFE"/>
    <w:rsid w:val="008532B6"/>
    <w:rsid w:val="0085437F"/>
    <w:rsid w:val="00854438"/>
    <w:rsid w:val="00854642"/>
    <w:rsid w:val="00854BCB"/>
    <w:rsid w:val="00855523"/>
    <w:rsid w:val="008555DD"/>
    <w:rsid w:val="00855DCE"/>
    <w:rsid w:val="00855E45"/>
    <w:rsid w:val="00856DDD"/>
    <w:rsid w:val="00856E52"/>
    <w:rsid w:val="008572F5"/>
    <w:rsid w:val="00857812"/>
    <w:rsid w:val="0085790E"/>
    <w:rsid w:val="00857C98"/>
    <w:rsid w:val="00862084"/>
    <w:rsid w:val="00862D9A"/>
    <w:rsid w:val="00863357"/>
    <w:rsid w:val="00864218"/>
    <w:rsid w:val="00864250"/>
    <w:rsid w:val="0086432E"/>
    <w:rsid w:val="008644F3"/>
    <w:rsid w:val="008645A0"/>
    <w:rsid w:val="008649E4"/>
    <w:rsid w:val="0086512A"/>
    <w:rsid w:val="008659EF"/>
    <w:rsid w:val="00865BFE"/>
    <w:rsid w:val="00865D7A"/>
    <w:rsid w:val="008661BB"/>
    <w:rsid w:val="008663B3"/>
    <w:rsid w:val="0086641A"/>
    <w:rsid w:val="0086644F"/>
    <w:rsid w:val="00866A1E"/>
    <w:rsid w:val="00866B79"/>
    <w:rsid w:val="00866CC8"/>
    <w:rsid w:val="00867188"/>
    <w:rsid w:val="008672BC"/>
    <w:rsid w:val="00867A3A"/>
    <w:rsid w:val="00867C77"/>
    <w:rsid w:val="00867CEA"/>
    <w:rsid w:val="00870051"/>
    <w:rsid w:val="008702E4"/>
    <w:rsid w:val="008707A9"/>
    <w:rsid w:val="00870A59"/>
    <w:rsid w:val="008710A1"/>
    <w:rsid w:val="00871D1E"/>
    <w:rsid w:val="00872768"/>
    <w:rsid w:val="00872C74"/>
    <w:rsid w:val="0087312E"/>
    <w:rsid w:val="00873331"/>
    <w:rsid w:val="008738BA"/>
    <w:rsid w:val="00873B2D"/>
    <w:rsid w:val="00873CBB"/>
    <w:rsid w:val="00873CEF"/>
    <w:rsid w:val="00873D75"/>
    <w:rsid w:val="00873DDA"/>
    <w:rsid w:val="00873F64"/>
    <w:rsid w:val="008747C0"/>
    <w:rsid w:val="00874E39"/>
    <w:rsid w:val="00874F9B"/>
    <w:rsid w:val="008751E3"/>
    <w:rsid w:val="0087523E"/>
    <w:rsid w:val="00876449"/>
    <w:rsid w:val="00876DB8"/>
    <w:rsid w:val="008770ED"/>
    <w:rsid w:val="008772BB"/>
    <w:rsid w:val="008776DA"/>
    <w:rsid w:val="0087778C"/>
    <w:rsid w:val="00877BD1"/>
    <w:rsid w:val="00880DE2"/>
    <w:rsid w:val="008813F3"/>
    <w:rsid w:val="00881A99"/>
    <w:rsid w:val="00882259"/>
    <w:rsid w:val="008827A9"/>
    <w:rsid w:val="00882825"/>
    <w:rsid w:val="0088295D"/>
    <w:rsid w:val="00882B4A"/>
    <w:rsid w:val="008839A4"/>
    <w:rsid w:val="00883C4F"/>
    <w:rsid w:val="0088403D"/>
    <w:rsid w:val="00884191"/>
    <w:rsid w:val="008849D8"/>
    <w:rsid w:val="00884A26"/>
    <w:rsid w:val="0088543A"/>
    <w:rsid w:val="00885507"/>
    <w:rsid w:val="00885BF8"/>
    <w:rsid w:val="00886393"/>
    <w:rsid w:val="00886E88"/>
    <w:rsid w:val="008872C7"/>
    <w:rsid w:val="00887930"/>
    <w:rsid w:val="00890462"/>
    <w:rsid w:val="008904EB"/>
    <w:rsid w:val="00890574"/>
    <w:rsid w:val="00890B1B"/>
    <w:rsid w:val="00890B53"/>
    <w:rsid w:val="00890EF4"/>
    <w:rsid w:val="008915BE"/>
    <w:rsid w:val="00891643"/>
    <w:rsid w:val="008917ED"/>
    <w:rsid w:val="008925CA"/>
    <w:rsid w:val="00892E79"/>
    <w:rsid w:val="00892FF8"/>
    <w:rsid w:val="00893A52"/>
    <w:rsid w:val="00893ACE"/>
    <w:rsid w:val="008943EA"/>
    <w:rsid w:val="0089576C"/>
    <w:rsid w:val="00897179"/>
    <w:rsid w:val="008973AC"/>
    <w:rsid w:val="008A015A"/>
    <w:rsid w:val="008A040E"/>
    <w:rsid w:val="008A05A2"/>
    <w:rsid w:val="008A0978"/>
    <w:rsid w:val="008A0CB7"/>
    <w:rsid w:val="008A1198"/>
    <w:rsid w:val="008A1259"/>
    <w:rsid w:val="008A1630"/>
    <w:rsid w:val="008A1700"/>
    <w:rsid w:val="008A1764"/>
    <w:rsid w:val="008A1A6D"/>
    <w:rsid w:val="008A1EC9"/>
    <w:rsid w:val="008A35C4"/>
    <w:rsid w:val="008A3CE8"/>
    <w:rsid w:val="008A43B0"/>
    <w:rsid w:val="008A4593"/>
    <w:rsid w:val="008A47E8"/>
    <w:rsid w:val="008A5095"/>
    <w:rsid w:val="008A55A5"/>
    <w:rsid w:val="008A5974"/>
    <w:rsid w:val="008A5A89"/>
    <w:rsid w:val="008A645B"/>
    <w:rsid w:val="008B005E"/>
    <w:rsid w:val="008B0335"/>
    <w:rsid w:val="008B0872"/>
    <w:rsid w:val="008B20B6"/>
    <w:rsid w:val="008B3241"/>
    <w:rsid w:val="008B35FE"/>
    <w:rsid w:val="008B3832"/>
    <w:rsid w:val="008B419D"/>
    <w:rsid w:val="008B4482"/>
    <w:rsid w:val="008B47A7"/>
    <w:rsid w:val="008B49EC"/>
    <w:rsid w:val="008B4B36"/>
    <w:rsid w:val="008B51B1"/>
    <w:rsid w:val="008B60BE"/>
    <w:rsid w:val="008B6B68"/>
    <w:rsid w:val="008B6D8D"/>
    <w:rsid w:val="008B73FC"/>
    <w:rsid w:val="008C018A"/>
    <w:rsid w:val="008C0254"/>
    <w:rsid w:val="008C040E"/>
    <w:rsid w:val="008C0FA0"/>
    <w:rsid w:val="008C14FC"/>
    <w:rsid w:val="008C1A24"/>
    <w:rsid w:val="008C25F9"/>
    <w:rsid w:val="008C271A"/>
    <w:rsid w:val="008C2B17"/>
    <w:rsid w:val="008C3EB7"/>
    <w:rsid w:val="008C44D2"/>
    <w:rsid w:val="008C47AB"/>
    <w:rsid w:val="008C61A7"/>
    <w:rsid w:val="008C6E31"/>
    <w:rsid w:val="008C6F9B"/>
    <w:rsid w:val="008C75F7"/>
    <w:rsid w:val="008C7BBE"/>
    <w:rsid w:val="008D04BE"/>
    <w:rsid w:val="008D073B"/>
    <w:rsid w:val="008D14F1"/>
    <w:rsid w:val="008D1966"/>
    <w:rsid w:val="008D1981"/>
    <w:rsid w:val="008D1A2F"/>
    <w:rsid w:val="008D2118"/>
    <w:rsid w:val="008D221F"/>
    <w:rsid w:val="008D2229"/>
    <w:rsid w:val="008D23E7"/>
    <w:rsid w:val="008D3E49"/>
    <w:rsid w:val="008D45A6"/>
    <w:rsid w:val="008D4675"/>
    <w:rsid w:val="008D4795"/>
    <w:rsid w:val="008D47C7"/>
    <w:rsid w:val="008D49F9"/>
    <w:rsid w:val="008D4AA9"/>
    <w:rsid w:val="008D542E"/>
    <w:rsid w:val="008D6238"/>
    <w:rsid w:val="008D6C20"/>
    <w:rsid w:val="008D6D23"/>
    <w:rsid w:val="008D742F"/>
    <w:rsid w:val="008D7ECD"/>
    <w:rsid w:val="008E143E"/>
    <w:rsid w:val="008E22AD"/>
    <w:rsid w:val="008E2366"/>
    <w:rsid w:val="008E2AB2"/>
    <w:rsid w:val="008E383B"/>
    <w:rsid w:val="008E3EF1"/>
    <w:rsid w:val="008E40FE"/>
    <w:rsid w:val="008E5369"/>
    <w:rsid w:val="008E69A8"/>
    <w:rsid w:val="008E6D08"/>
    <w:rsid w:val="008E6DE0"/>
    <w:rsid w:val="008E6F5A"/>
    <w:rsid w:val="008E71B2"/>
    <w:rsid w:val="008E7862"/>
    <w:rsid w:val="008F05C6"/>
    <w:rsid w:val="008F09C2"/>
    <w:rsid w:val="008F0D51"/>
    <w:rsid w:val="008F0E8E"/>
    <w:rsid w:val="008F1175"/>
    <w:rsid w:val="008F253E"/>
    <w:rsid w:val="008F2BE9"/>
    <w:rsid w:val="008F2E29"/>
    <w:rsid w:val="008F2E8F"/>
    <w:rsid w:val="008F3160"/>
    <w:rsid w:val="008F3614"/>
    <w:rsid w:val="008F37CA"/>
    <w:rsid w:val="008F3D2E"/>
    <w:rsid w:val="008F3DA3"/>
    <w:rsid w:val="008F3F24"/>
    <w:rsid w:val="008F42B0"/>
    <w:rsid w:val="008F493F"/>
    <w:rsid w:val="008F4C37"/>
    <w:rsid w:val="008F5006"/>
    <w:rsid w:val="008F5529"/>
    <w:rsid w:val="008F593A"/>
    <w:rsid w:val="008F5ACF"/>
    <w:rsid w:val="008F5B18"/>
    <w:rsid w:val="008F5C1F"/>
    <w:rsid w:val="008F6108"/>
    <w:rsid w:val="008F691D"/>
    <w:rsid w:val="008F6C65"/>
    <w:rsid w:val="008F78F8"/>
    <w:rsid w:val="00900AA2"/>
    <w:rsid w:val="00900B20"/>
    <w:rsid w:val="00900C24"/>
    <w:rsid w:val="009010BA"/>
    <w:rsid w:val="009011CA"/>
    <w:rsid w:val="00901285"/>
    <w:rsid w:val="00901760"/>
    <w:rsid w:val="00901BE3"/>
    <w:rsid w:val="00902414"/>
    <w:rsid w:val="00902E93"/>
    <w:rsid w:val="009030CF"/>
    <w:rsid w:val="009030FE"/>
    <w:rsid w:val="0090316D"/>
    <w:rsid w:val="0090320B"/>
    <w:rsid w:val="0090373A"/>
    <w:rsid w:val="0090393E"/>
    <w:rsid w:val="00903B54"/>
    <w:rsid w:val="00903FCA"/>
    <w:rsid w:val="009042AD"/>
    <w:rsid w:val="009047C8"/>
    <w:rsid w:val="00904DE5"/>
    <w:rsid w:val="00904DF8"/>
    <w:rsid w:val="00904FBA"/>
    <w:rsid w:val="00905013"/>
    <w:rsid w:val="00905159"/>
    <w:rsid w:val="00905963"/>
    <w:rsid w:val="00905CF5"/>
    <w:rsid w:val="00905EA4"/>
    <w:rsid w:val="00906145"/>
    <w:rsid w:val="009061A8"/>
    <w:rsid w:val="0090698D"/>
    <w:rsid w:val="00906995"/>
    <w:rsid w:val="009071F9"/>
    <w:rsid w:val="00907693"/>
    <w:rsid w:val="0090779D"/>
    <w:rsid w:val="00910057"/>
    <w:rsid w:val="00910157"/>
    <w:rsid w:val="00910907"/>
    <w:rsid w:val="00910AF9"/>
    <w:rsid w:val="00910D2C"/>
    <w:rsid w:val="009118BA"/>
    <w:rsid w:val="00911E61"/>
    <w:rsid w:val="009125C0"/>
    <w:rsid w:val="009126AD"/>
    <w:rsid w:val="009132A7"/>
    <w:rsid w:val="00913592"/>
    <w:rsid w:val="00913600"/>
    <w:rsid w:val="009142DF"/>
    <w:rsid w:val="00914CD8"/>
    <w:rsid w:val="009150D6"/>
    <w:rsid w:val="009154DD"/>
    <w:rsid w:val="00915EE4"/>
    <w:rsid w:val="00916170"/>
    <w:rsid w:val="0091667C"/>
    <w:rsid w:val="00916D7A"/>
    <w:rsid w:val="00916FF6"/>
    <w:rsid w:val="0091717A"/>
    <w:rsid w:val="00917387"/>
    <w:rsid w:val="0092003D"/>
    <w:rsid w:val="009201E1"/>
    <w:rsid w:val="00920270"/>
    <w:rsid w:val="00920B65"/>
    <w:rsid w:val="00921B66"/>
    <w:rsid w:val="0092242B"/>
    <w:rsid w:val="00922AD1"/>
    <w:rsid w:val="009245E6"/>
    <w:rsid w:val="0092488C"/>
    <w:rsid w:val="00925403"/>
    <w:rsid w:val="00925725"/>
    <w:rsid w:val="0092632E"/>
    <w:rsid w:val="00926589"/>
    <w:rsid w:val="009265D3"/>
    <w:rsid w:val="00926817"/>
    <w:rsid w:val="00926CF7"/>
    <w:rsid w:val="00926FF7"/>
    <w:rsid w:val="0092751D"/>
    <w:rsid w:val="00927C5B"/>
    <w:rsid w:val="00930379"/>
    <w:rsid w:val="00930388"/>
    <w:rsid w:val="00930599"/>
    <w:rsid w:val="009308A0"/>
    <w:rsid w:val="00930FF6"/>
    <w:rsid w:val="009318B6"/>
    <w:rsid w:val="009323CC"/>
    <w:rsid w:val="00932819"/>
    <w:rsid w:val="009331B4"/>
    <w:rsid w:val="00933782"/>
    <w:rsid w:val="00933CBB"/>
    <w:rsid w:val="00933E9D"/>
    <w:rsid w:val="0093434B"/>
    <w:rsid w:val="00935147"/>
    <w:rsid w:val="00935AC0"/>
    <w:rsid w:val="00935B43"/>
    <w:rsid w:val="00935BA7"/>
    <w:rsid w:val="009361F4"/>
    <w:rsid w:val="00936280"/>
    <w:rsid w:val="0093646F"/>
    <w:rsid w:val="00936DB2"/>
    <w:rsid w:val="00936EC5"/>
    <w:rsid w:val="009371DF"/>
    <w:rsid w:val="00937956"/>
    <w:rsid w:val="00937EB6"/>
    <w:rsid w:val="0094060D"/>
    <w:rsid w:val="009406DD"/>
    <w:rsid w:val="0094088C"/>
    <w:rsid w:val="00940EC8"/>
    <w:rsid w:val="00940F9E"/>
    <w:rsid w:val="00941972"/>
    <w:rsid w:val="00941B2E"/>
    <w:rsid w:val="009422C4"/>
    <w:rsid w:val="00942740"/>
    <w:rsid w:val="00942966"/>
    <w:rsid w:val="00942DBC"/>
    <w:rsid w:val="009430CA"/>
    <w:rsid w:val="0094394B"/>
    <w:rsid w:val="009439E8"/>
    <w:rsid w:val="0094447F"/>
    <w:rsid w:val="00944954"/>
    <w:rsid w:val="00945764"/>
    <w:rsid w:val="00945CDF"/>
    <w:rsid w:val="00947143"/>
    <w:rsid w:val="009472B2"/>
    <w:rsid w:val="00947EA2"/>
    <w:rsid w:val="00947FCA"/>
    <w:rsid w:val="009505E7"/>
    <w:rsid w:val="00950F50"/>
    <w:rsid w:val="00951A58"/>
    <w:rsid w:val="00951AAB"/>
    <w:rsid w:val="00951C45"/>
    <w:rsid w:val="00952EA8"/>
    <w:rsid w:val="00952EDF"/>
    <w:rsid w:val="00952F36"/>
    <w:rsid w:val="00954070"/>
    <w:rsid w:val="0095435B"/>
    <w:rsid w:val="0095474D"/>
    <w:rsid w:val="009547A9"/>
    <w:rsid w:val="00955619"/>
    <w:rsid w:val="009559D7"/>
    <w:rsid w:val="00955D45"/>
    <w:rsid w:val="00957224"/>
    <w:rsid w:val="009578A0"/>
    <w:rsid w:val="00957D9B"/>
    <w:rsid w:val="009603F0"/>
    <w:rsid w:val="0096048A"/>
    <w:rsid w:val="0096049B"/>
    <w:rsid w:val="0096060F"/>
    <w:rsid w:val="0096079B"/>
    <w:rsid w:val="00960B95"/>
    <w:rsid w:val="00960D61"/>
    <w:rsid w:val="00962225"/>
    <w:rsid w:val="0096255E"/>
    <w:rsid w:val="0096264D"/>
    <w:rsid w:val="00962744"/>
    <w:rsid w:val="009636FA"/>
    <w:rsid w:val="00963B6C"/>
    <w:rsid w:val="00963DF2"/>
    <w:rsid w:val="00964357"/>
    <w:rsid w:val="00964407"/>
    <w:rsid w:val="009646BF"/>
    <w:rsid w:val="00964D94"/>
    <w:rsid w:val="00965327"/>
    <w:rsid w:val="00965929"/>
    <w:rsid w:val="00965DBC"/>
    <w:rsid w:val="009662F3"/>
    <w:rsid w:val="0096642D"/>
    <w:rsid w:val="00966446"/>
    <w:rsid w:val="00966A49"/>
    <w:rsid w:val="00966B4A"/>
    <w:rsid w:val="00970339"/>
    <w:rsid w:val="0097118B"/>
    <w:rsid w:val="009711FC"/>
    <w:rsid w:val="00971224"/>
    <w:rsid w:val="009721E9"/>
    <w:rsid w:val="00972762"/>
    <w:rsid w:val="00972B79"/>
    <w:rsid w:val="009733CA"/>
    <w:rsid w:val="009737FF"/>
    <w:rsid w:val="00973F1D"/>
    <w:rsid w:val="009757B5"/>
    <w:rsid w:val="00975973"/>
    <w:rsid w:val="00975AF4"/>
    <w:rsid w:val="00975C6E"/>
    <w:rsid w:val="009765A1"/>
    <w:rsid w:val="009767FE"/>
    <w:rsid w:val="00977949"/>
    <w:rsid w:val="00980B88"/>
    <w:rsid w:val="00980BF5"/>
    <w:rsid w:val="009810B1"/>
    <w:rsid w:val="009819EA"/>
    <w:rsid w:val="009826EE"/>
    <w:rsid w:val="00982DA1"/>
    <w:rsid w:val="00982F62"/>
    <w:rsid w:val="00983407"/>
    <w:rsid w:val="00983543"/>
    <w:rsid w:val="009839BF"/>
    <w:rsid w:val="00983F59"/>
    <w:rsid w:val="00983FFB"/>
    <w:rsid w:val="009843B0"/>
    <w:rsid w:val="009843C2"/>
    <w:rsid w:val="00984B5F"/>
    <w:rsid w:val="00984BA7"/>
    <w:rsid w:val="00984C88"/>
    <w:rsid w:val="00984CD9"/>
    <w:rsid w:val="00984F42"/>
    <w:rsid w:val="00985130"/>
    <w:rsid w:val="00985A9D"/>
    <w:rsid w:val="009868D7"/>
    <w:rsid w:val="00986C75"/>
    <w:rsid w:val="00986D0A"/>
    <w:rsid w:val="00986EAD"/>
    <w:rsid w:val="00987497"/>
    <w:rsid w:val="0099017C"/>
    <w:rsid w:val="009907D8"/>
    <w:rsid w:val="0099120D"/>
    <w:rsid w:val="0099169B"/>
    <w:rsid w:val="00991C38"/>
    <w:rsid w:val="00991C5B"/>
    <w:rsid w:val="00991C5C"/>
    <w:rsid w:val="0099211D"/>
    <w:rsid w:val="0099322C"/>
    <w:rsid w:val="009935B2"/>
    <w:rsid w:val="00993A6D"/>
    <w:rsid w:val="00993D6D"/>
    <w:rsid w:val="00993F1E"/>
    <w:rsid w:val="00993F2E"/>
    <w:rsid w:val="00994B06"/>
    <w:rsid w:val="00994CBF"/>
    <w:rsid w:val="00994DF2"/>
    <w:rsid w:val="00994E95"/>
    <w:rsid w:val="00995212"/>
    <w:rsid w:val="00995DB6"/>
    <w:rsid w:val="0099618C"/>
    <w:rsid w:val="009961F3"/>
    <w:rsid w:val="009962CB"/>
    <w:rsid w:val="009967D0"/>
    <w:rsid w:val="00996A08"/>
    <w:rsid w:val="00996B12"/>
    <w:rsid w:val="00997343"/>
    <w:rsid w:val="009974B3"/>
    <w:rsid w:val="009975E7"/>
    <w:rsid w:val="00997A6F"/>
    <w:rsid w:val="00997D81"/>
    <w:rsid w:val="009A01E8"/>
    <w:rsid w:val="009A0331"/>
    <w:rsid w:val="009A0629"/>
    <w:rsid w:val="009A0A1F"/>
    <w:rsid w:val="009A0E82"/>
    <w:rsid w:val="009A1762"/>
    <w:rsid w:val="009A1A72"/>
    <w:rsid w:val="009A255B"/>
    <w:rsid w:val="009A2855"/>
    <w:rsid w:val="009A3331"/>
    <w:rsid w:val="009A3AF2"/>
    <w:rsid w:val="009A3E75"/>
    <w:rsid w:val="009A3EFE"/>
    <w:rsid w:val="009A4798"/>
    <w:rsid w:val="009A4A06"/>
    <w:rsid w:val="009A4E2F"/>
    <w:rsid w:val="009A651E"/>
    <w:rsid w:val="009A6E13"/>
    <w:rsid w:val="009A7688"/>
    <w:rsid w:val="009B0400"/>
    <w:rsid w:val="009B0526"/>
    <w:rsid w:val="009B07D0"/>
    <w:rsid w:val="009B07F6"/>
    <w:rsid w:val="009B0EE0"/>
    <w:rsid w:val="009B1204"/>
    <w:rsid w:val="009B126C"/>
    <w:rsid w:val="009B1315"/>
    <w:rsid w:val="009B1768"/>
    <w:rsid w:val="009B20B5"/>
    <w:rsid w:val="009B238E"/>
    <w:rsid w:val="009B2589"/>
    <w:rsid w:val="009B25EB"/>
    <w:rsid w:val="009B29F5"/>
    <w:rsid w:val="009B2A03"/>
    <w:rsid w:val="009B306E"/>
    <w:rsid w:val="009B3344"/>
    <w:rsid w:val="009B419C"/>
    <w:rsid w:val="009B4713"/>
    <w:rsid w:val="009B4755"/>
    <w:rsid w:val="009B4A43"/>
    <w:rsid w:val="009B4B3F"/>
    <w:rsid w:val="009B4B60"/>
    <w:rsid w:val="009B59A8"/>
    <w:rsid w:val="009B60C5"/>
    <w:rsid w:val="009B66C2"/>
    <w:rsid w:val="009B6F02"/>
    <w:rsid w:val="009B721C"/>
    <w:rsid w:val="009B7B8D"/>
    <w:rsid w:val="009B7D5F"/>
    <w:rsid w:val="009B7EB3"/>
    <w:rsid w:val="009B7FC7"/>
    <w:rsid w:val="009C0646"/>
    <w:rsid w:val="009C068D"/>
    <w:rsid w:val="009C08FA"/>
    <w:rsid w:val="009C096E"/>
    <w:rsid w:val="009C0BD0"/>
    <w:rsid w:val="009C1854"/>
    <w:rsid w:val="009C1BD3"/>
    <w:rsid w:val="009C1DC9"/>
    <w:rsid w:val="009C22A0"/>
    <w:rsid w:val="009C308E"/>
    <w:rsid w:val="009C365C"/>
    <w:rsid w:val="009C3CCD"/>
    <w:rsid w:val="009C3E09"/>
    <w:rsid w:val="009C3F2C"/>
    <w:rsid w:val="009C470F"/>
    <w:rsid w:val="009C4FDC"/>
    <w:rsid w:val="009C5088"/>
    <w:rsid w:val="009C5CCB"/>
    <w:rsid w:val="009C654F"/>
    <w:rsid w:val="009C68B5"/>
    <w:rsid w:val="009C69F1"/>
    <w:rsid w:val="009C7082"/>
    <w:rsid w:val="009C7D17"/>
    <w:rsid w:val="009C7FF6"/>
    <w:rsid w:val="009D0247"/>
    <w:rsid w:val="009D0D56"/>
    <w:rsid w:val="009D0E10"/>
    <w:rsid w:val="009D11F2"/>
    <w:rsid w:val="009D163F"/>
    <w:rsid w:val="009D1AF6"/>
    <w:rsid w:val="009D1D2C"/>
    <w:rsid w:val="009D1F0F"/>
    <w:rsid w:val="009D302E"/>
    <w:rsid w:val="009D3A0F"/>
    <w:rsid w:val="009D3B73"/>
    <w:rsid w:val="009D503E"/>
    <w:rsid w:val="009D5150"/>
    <w:rsid w:val="009D5BA9"/>
    <w:rsid w:val="009D5E38"/>
    <w:rsid w:val="009D6BEA"/>
    <w:rsid w:val="009D72BA"/>
    <w:rsid w:val="009D748F"/>
    <w:rsid w:val="009D7D71"/>
    <w:rsid w:val="009D7E5B"/>
    <w:rsid w:val="009E0357"/>
    <w:rsid w:val="009E086D"/>
    <w:rsid w:val="009E1002"/>
    <w:rsid w:val="009E12FF"/>
    <w:rsid w:val="009E17D8"/>
    <w:rsid w:val="009E1A19"/>
    <w:rsid w:val="009E1B38"/>
    <w:rsid w:val="009E1D22"/>
    <w:rsid w:val="009E1D27"/>
    <w:rsid w:val="009E26C8"/>
    <w:rsid w:val="009E2A90"/>
    <w:rsid w:val="009E2BBB"/>
    <w:rsid w:val="009E2EFE"/>
    <w:rsid w:val="009E2FF8"/>
    <w:rsid w:val="009E32E2"/>
    <w:rsid w:val="009E38FB"/>
    <w:rsid w:val="009E3909"/>
    <w:rsid w:val="009E393D"/>
    <w:rsid w:val="009E3A2C"/>
    <w:rsid w:val="009E3F0D"/>
    <w:rsid w:val="009E4037"/>
    <w:rsid w:val="009E4643"/>
    <w:rsid w:val="009E4B00"/>
    <w:rsid w:val="009E4F6D"/>
    <w:rsid w:val="009E5284"/>
    <w:rsid w:val="009E583A"/>
    <w:rsid w:val="009E5E9A"/>
    <w:rsid w:val="009E612B"/>
    <w:rsid w:val="009E6781"/>
    <w:rsid w:val="009E67A7"/>
    <w:rsid w:val="009F0144"/>
    <w:rsid w:val="009F01A3"/>
    <w:rsid w:val="009F0315"/>
    <w:rsid w:val="009F03E0"/>
    <w:rsid w:val="009F0CD9"/>
    <w:rsid w:val="009F0EBB"/>
    <w:rsid w:val="009F15A2"/>
    <w:rsid w:val="009F1ADE"/>
    <w:rsid w:val="009F1ED6"/>
    <w:rsid w:val="009F26E1"/>
    <w:rsid w:val="009F2957"/>
    <w:rsid w:val="009F29DF"/>
    <w:rsid w:val="009F2B91"/>
    <w:rsid w:val="009F2CCC"/>
    <w:rsid w:val="009F2D87"/>
    <w:rsid w:val="009F2FFF"/>
    <w:rsid w:val="009F3A27"/>
    <w:rsid w:val="009F4767"/>
    <w:rsid w:val="009F5A23"/>
    <w:rsid w:val="009F60F3"/>
    <w:rsid w:val="009F643A"/>
    <w:rsid w:val="009F69E6"/>
    <w:rsid w:val="009F6C9F"/>
    <w:rsid w:val="009F73D8"/>
    <w:rsid w:val="009F7548"/>
    <w:rsid w:val="009F7617"/>
    <w:rsid w:val="00A00152"/>
    <w:rsid w:val="00A00D14"/>
    <w:rsid w:val="00A00FF0"/>
    <w:rsid w:val="00A016D5"/>
    <w:rsid w:val="00A01C5D"/>
    <w:rsid w:val="00A0211D"/>
    <w:rsid w:val="00A02124"/>
    <w:rsid w:val="00A02231"/>
    <w:rsid w:val="00A02281"/>
    <w:rsid w:val="00A02388"/>
    <w:rsid w:val="00A0294C"/>
    <w:rsid w:val="00A02FB3"/>
    <w:rsid w:val="00A03125"/>
    <w:rsid w:val="00A03353"/>
    <w:rsid w:val="00A03CF6"/>
    <w:rsid w:val="00A03D41"/>
    <w:rsid w:val="00A04784"/>
    <w:rsid w:val="00A04A14"/>
    <w:rsid w:val="00A04A87"/>
    <w:rsid w:val="00A04B03"/>
    <w:rsid w:val="00A059A6"/>
    <w:rsid w:val="00A05B12"/>
    <w:rsid w:val="00A05EEB"/>
    <w:rsid w:val="00A06122"/>
    <w:rsid w:val="00A0634D"/>
    <w:rsid w:val="00A0684F"/>
    <w:rsid w:val="00A0685F"/>
    <w:rsid w:val="00A06D88"/>
    <w:rsid w:val="00A06E10"/>
    <w:rsid w:val="00A0785D"/>
    <w:rsid w:val="00A109A6"/>
    <w:rsid w:val="00A10AA4"/>
    <w:rsid w:val="00A10EC7"/>
    <w:rsid w:val="00A1136C"/>
    <w:rsid w:val="00A11945"/>
    <w:rsid w:val="00A120C4"/>
    <w:rsid w:val="00A1281F"/>
    <w:rsid w:val="00A12918"/>
    <w:rsid w:val="00A12986"/>
    <w:rsid w:val="00A135A7"/>
    <w:rsid w:val="00A13AF9"/>
    <w:rsid w:val="00A13F9F"/>
    <w:rsid w:val="00A14091"/>
    <w:rsid w:val="00A143A0"/>
    <w:rsid w:val="00A143A2"/>
    <w:rsid w:val="00A1497C"/>
    <w:rsid w:val="00A14BA7"/>
    <w:rsid w:val="00A1537D"/>
    <w:rsid w:val="00A15B36"/>
    <w:rsid w:val="00A15C05"/>
    <w:rsid w:val="00A15E0C"/>
    <w:rsid w:val="00A16659"/>
    <w:rsid w:val="00A16DD0"/>
    <w:rsid w:val="00A16E34"/>
    <w:rsid w:val="00A17366"/>
    <w:rsid w:val="00A17BBD"/>
    <w:rsid w:val="00A20019"/>
    <w:rsid w:val="00A20097"/>
    <w:rsid w:val="00A21208"/>
    <w:rsid w:val="00A21265"/>
    <w:rsid w:val="00A2153D"/>
    <w:rsid w:val="00A21C0D"/>
    <w:rsid w:val="00A21CF4"/>
    <w:rsid w:val="00A21E99"/>
    <w:rsid w:val="00A2212E"/>
    <w:rsid w:val="00A22336"/>
    <w:rsid w:val="00A2250A"/>
    <w:rsid w:val="00A22FB4"/>
    <w:rsid w:val="00A24839"/>
    <w:rsid w:val="00A248F7"/>
    <w:rsid w:val="00A24AE0"/>
    <w:rsid w:val="00A24AE7"/>
    <w:rsid w:val="00A24B64"/>
    <w:rsid w:val="00A24DE4"/>
    <w:rsid w:val="00A2601D"/>
    <w:rsid w:val="00A266F0"/>
    <w:rsid w:val="00A268E0"/>
    <w:rsid w:val="00A27AD4"/>
    <w:rsid w:val="00A27B98"/>
    <w:rsid w:val="00A27D26"/>
    <w:rsid w:val="00A30305"/>
    <w:rsid w:val="00A30424"/>
    <w:rsid w:val="00A30C56"/>
    <w:rsid w:val="00A30E4E"/>
    <w:rsid w:val="00A310FA"/>
    <w:rsid w:val="00A31693"/>
    <w:rsid w:val="00A3178E"/>
    <w:rsid w:val="00A31A5D"/>
    <w:rsid w:val="00A32A22"/>
    <w:rsid w:val="00A33238"/>
    <w:rsid w:val="00A3347B"/>
    <w:rsid w:val="00A33514"/>
    <w:rsid w:val="00A33763"/>
    <w:rsid w:val="00A33981"/>
    <w:rsid w:val="00A34365"/>
    <w:rsid w:val="00A348CC"/>
    <w:rsid w:val="00A351EE"/>
    <w:rsid w:val="00A357A1"/>
    <w:rsid w:val="00A358C4"/>
    <w:rsid w:val="00A359AC"/>
    <w:rsid w:val="00A3626D"/>
    <w:rsid w:val="00A368D7"/>
    <w:rsid w:val="00A36DFC"/>
    <w:rsid w:val="00A37742"/>
    <w:rsid w:val="00A37743"/>
    <w:rsid w:val="00A37A6B"/>
    <w:rsid w:val="00A40036"/>
    <w:rsid w:val="00A402AF"/>
    <w:rsid w:val="00A4084F"/>
    <w:rsid w:val="00A408B0"/>
    <w:rsid w:val="00A412A5"/>
    <w:rsid w:val="00A41D80"/>
    <w:rsid w:val="00A42122"/>
    <w:rsid w:val="00A42FD8"/>
    <w:rsid w:val="00A43BD2"/>
    <w:rsid w:val="00A440DC"/>
    <w:rsid w:val="00A44266"/>
    <w:rsid w:val="00A4441E"/>
    <w:rsid w:val="00A447C5"/>
    <w:rsid w:val="00A44E90"/>
    <w:rsid w:val="00A44EDC"/>
    <w:rsid w:val="00A4589C"/>
    <w:rsid w:val="00A45912"/>
    <w:rsid w:val="00A45AA4"/>
    <w:rsid w:val="00A45D19"/>
    <w:rsid w:val="00A45E5C"/>
    <w:rsid w:val="00A465F5"/>
    <w:rsid w:val="00A466D2"/>
    <w:rsid w:val="00A4686D"/>
    <w:rsid w:val="00A4703D"/>
    <w:rsid w:val="00A47304"/>
    <w:rsid w:val="00A47712"/>
    <w:rsid w:val="00A50282"/>
    <w:rsid w:val="00A50BDA"/>
    <w:rsid w:val="00A511CC"/>
    <w:rsid w:val="00A5181B"/>
    <w:rsid w:val="00A519E7"/>
    <w:rsid w:val="00A51B00"/>
    <w:rsid w:val="00A52815"/>
    <w:rsid w:val="00A5290F"/>
    <w:rsid w:val="00A52BFD"/>
    <w:rsid w:val="00A52C4C"/>
    <w:rsid w:val="00A52C60"/>
    <w:rsid w:val="00A52FC1"/>
    <w:rsid w:val="00A53736"/>
    <w:rsid w:val="00A53DDA"/>
    <w:rsid w:val="00A5411B"/>
    <w:rsid w:val="00A54168"/>
    <w:rsid w:val="00A54440"/>
    <w:rsid w:val="00A54981"/>
    <w:rsid w:val="00A556C4"/>
    <w:rsid w:val="00A557A7"/>
    <w:rsid w:val="00A5616B"/>
    <w:rsid w:val="00A5697F"/>
    <w:rsid w:val="00A5702A"/>
    <w:rsid w:val="00A570AC"/>
    <w:rsid w:val="00A5712A"/>
    <w:rsid w:val="00A5729A"/>
    <w:rsid w:val="00A57304"/>
    <w:rsid w:val="00A578D7"/>
    <w:rsid w:val="00A5796B"/>
    <w:rsid w:val="00A60D80"/>
    <w:rsid w:val="00A615E5"/>
    <w:rsid w:val="00A61689"/>
    <w:rsid w:val="00A622E2"/>
    <w:rsid w:val="00A6335B"/>
    <w:rsid w:val="00A6481E"/>
    <w:rsid w:val="00A648B4"/>
    <w:rsid w:val="00A64A37"/>
    <w:rsid w:val="00A6589B"/>
    <w:rsid w:val="00A664A1"/>
    <w:rsid w:val="00A67C3F"/>
    <w:rsid w:val="00A700E8"/>
    <w:rsid w:val="00A701AE"/>
    <w:rsid w:val="00A708B9"/>
    <w:rsid w:val="00A70B45"/>
    <w:rsid w:val="00A70C49"/>
    <w:rsid w:val="00A71096"/>
    <w:rsid w:val="00A71290"/>
    <w:rsid w:val="00A713D8"/>
    <w:rsid w:val="00A71662"/>
    <w:rsid w:val="00A71A59"/>
    <w:rsid w:val="00A727BA"/>
    <w:rsid w:val="00A72AAB"/>
    <w:rsid w:val="00A72DA3"/>
    <w:rsid w:val="00A73183"/>
    <w:rsid w:val="00A731B7"/>
    <w:rsid w:val="00A732F9"/>
    <w:rsid w:val="00A736F2"/>
    <w:rsid w:val="00A73D79"/>
    <w:rsid w:val="00A74CCD"/>
    <w:rsid w:val="00A759BD"/>
    <w:rsid w:val="00A75DFB"/>
    <w:rsid w:val="00A75F82"/>
    <w:rsid w:val="00A7605F"/>
    <w:rsid w:val="00A76AAE"/>
    <w:rsid w:val="00A7703D"/>
    <w:rsid w:val="00A777BB"/>
    <w:rsid w:val="00A802C0"/>
    <w:rsid w:val="00A806FE"/>
    <w:rsid w:val="00A8095E"/>
    <w:rsid w:val="00A80C0B"/>
    <w:rsid w:val="00A80DFE"/>
    <w:rsid w:val="00A81238"/>
    <w:rsid w:val="00A8231D"/>
    <w:rsid w:val="00A824FB"/>
    <w:rsid w:val="00A82601"/>
    <w:rsid w:val="00A82868"/>
    <w:rsid w:val="00A82951"/>
    <w:rsid w:val="00A82D5E"/>
    <w:rsid w:val="00A82E6F"/>
    <w:rsid w:val="00A83063"/>
    <w:rsid w:val="00A83AFE"/>
    <w:rsid w:val="00A83F0D"/>
    <w:rsid w:val="00A83F62"/>
    <w:rsid w:val="00A84AC7"/>
    <w:rsid w:val="00A84CF1"/>
    <w:rsid w:val="00A84E8A"/>
    <w:rsid w:val="00A857C8"/>
    <w:rsid w:val="00A85929"/>
    <w:rsid w:val="00A85DBE"/>
    <w:rsid w:val="00A85F66"/>
    <w:rsid w:val="00A860D3"/>
    <w:rsid w:val="00A8642A"/>
    <w:rsid w:val="00A8669B"/>
    <w:rsid w:val="00A86719"/>
    <w:rsid w:val="00A86746"/>
    <w:rsid w:val="00A86CB6"/>
    <w:rsid w:val="00A86D1C"/>
    <w:rsid w:val="00A86D98"/>
    <w:rsid w:val="00A86F9D"/>
    <w:rsid w:val="00A87505"/>
    <w:rsid w:val="00A90110"/>
    <w:rsid w:val="00A902D3"/>
    <w:rsid w:val="00A91138"/>
    <w:rsid w:val="00A919AB"/>
    <w:rsid w:val="00A91CBB"/>
    <w:rsid w:val="00A9238B"/>
    <w:rsid w:val="00A92847"/>
    <w:rsid w:val="00A92B9E"/>
    <w:rsid w:val="00A932E3"/>
    <w:rsid w:val="00A93B34"/>
    <w:rsid w:val="00A93C7D"/>
    <w:rsid w:val="00A93D4F"/>
    <w:rsid w:val="00A9401D"/>
    <w:rsid w:val="00A94216"/>
    <w:rsid w:val="00A9448D"/>
    <w:rsid w:val="00A945D8"/>
    <w:rsid w:val="00A9483E"/>
    <w:rsid w:val="00A94E1B"/>
    <w:rsid w:val="00A95E3D"/>
    <w:rsid w:val="00A9632C"/>
    <w:rsid w:val="00A964B5"/>
    <w:rsid w:val="00A9662A"/>
    <w:rsid w:val="00A969FD"/>
    <w:rsid w:val="00A96CE6"/>
    <w:rsid w:val="00A9770F"/>
    <w:rsid w:val="00AA0421"/>
    <w:rsid w:val="00AA049B"/>
    <w:rsid w:val="00AA0A17"/>
    <w:rsid w:val="00AA0C87"/>
    <w:rsid w:val="00AA0DA1"/>
    <w:rsid w:val="00AA0E4B"/>
    <w:rsid w:val="00AA11D6"/>
    <w:rsid w:val="00AA12CE"/>
    <w:rsid w:val="00AA1309"/>
    <w:rsid w:val="00AA1433"/>
    <w:rsid w:val="00AA183F"/>
    <w:rsid w:val="00AA1B9C"/>
    <w:rsid w:val="00AA1DB0"/>
    <w:rsid w:val="00AA20A9"/>
    <w:rsid w:val="00AA3529"/>
    <w:rsid w:val="00AA365B"/>
    <w:rsid w:val="00AA3B8E"/>
    <w:rsid w:val="00AA3F2F"/>
    <w:rsid w:val="00AA487E"/>
    <w:rsid w:val="00AA5261"/>
    <w:rsid w:val="00AA55BB"/>
    <w:rsid w:val="00AA5D20"/>
    <w:rsid w:val="00AA5E95"/>
    <w:rsid w:val="00AA5F06"/>
    <w:rsid w:val="00AA6137"/>
    <w:rsid w:val="00AA624D"/>
    <w:rsid w:val="00AA66D8"/>
    <w:rsid w:val="00AA6801"/>
    <w:rsid w:val="00AA6FCA"/>
    <w:rsid w:val="00AA77B6"/>
    <w:rsid w:val="00AA7D2C"/>
    <w:rsid w:val="00AB00BC"/>
    <w:rsid w:val="00AB0598"/>
    <w:rsid w:val="00AB0990"/>
    <w:rsid w:val="00AB0F77"/>
    <w:rsid w:val="00AB1166"/>
    <w:rsid w:val="00AB1502"/>
    <w:rsid w:val="00AB19C1"/>
    <w:rsid w:val="00AB1FBA"/>
    <w:rsid w:val="00AB2206"/>
    <w:rsid w:val="00AB242D"/>
    <w:rsid w:val="00AB27B5"/>
    <w:rsid w:val="00AB2D42"/>
    <w:rsid w:val="00AB3873"/>
    <w:rsid w:val="00AB3A73"/>
    <w:rsid w:val="00AB3EA1"/>
    <w:rsid w:val="00AB4231"/>
    <w:rsid w:val="00AB4422"/>
    <w:rsid w:val="00AB44A3"/>
    <w:rsid w:val="00AB4896"/>
    <w:rsid w:val="00AB4FBA"/>
    <w:rsid w:val="00AB4FE0"/>
    <w:rsid w:val="00AB5342"/>
    <w:rsid w:val="00AB56D8"/>
    <w:rsid w:val="00AB5ABE"/>
    <w:rsid w:val="00AB61F8"/>
    <w:rsid w:val="00AB64F3"/>
    <w:rsid w:val="00AB650F"/>
    <w:rsid w:val="00AB7378"/>
    <w:rsid w:val="00AB78C9"/>
    <w:rsid w:val="00AB7AEA"/>
    <w:rsid w:val="00AB7B69"/>
    <w:rsid w:val="00AB7DDB"/>
    <w:rsid w:val="00AB7F34"/>
    <w:rsid w:val="00AC064D"/>
    <w:rsid w:val="00AC08F9"/>
    <w:rsid w:val="00AC0DF0"/>
    <w:rsid w:val="00AC13DF"/>
    <w:rsid w:val="00AC18D3"/>
    <w:rsid w:val="00AC2546"/>
    <w:rsid w:val="00AC2607"/>
    <w:rsid w:val="00AC28D6"/>
    <w:rsid w:val="00AC2B4B"/>
    <w:rsid w:val="00AC310A"/>
    <w:rsid w:val="00AC340B"/>
    <w:rsid w:val="00AC4379"/>
    <w:rsid w:val="00AC4CA7"/>
    <w:rsid w:val="00AC50D8"/>
    <w:rsid w:val="00AC5276"/>
    <w:rsid w:val="00AC5307"/>
    <w:rsid w:val="00AC586C"/>
    <w:rsid w:val="00AC597A"/>
    <w:rsid w:val="00AC5B49"/>
    <w:rsid w:val="00AC5BAD"/>
    <w:rsid w:val="00AC5E10"/>
    <w:rsid w:val="00AC6119"/>
    <w:rsid w:val="00AC624D"/>
    <w:rsid w:val="00AC65D3"/>
    <w:rsid w:val="00AC6C4F"/>
    <w:rsid w:val="00AC7049"/>
    <w:rsid w:val="00AC72CC"/>
    <w:rsid w:val="00AC7804"/>
    <w:rsid w:val="00AC7FA6"/>
    <w:rsid w:val="00AD00AF"/>
    <w:rsid w:val="00AD0DEE"/>
    <w:rsid w:val="00AD100D"/>
    <w:rsid w:val="00AD1440"/>
    <w:rsid w:val="00AD173F"/>
    <w:rsid w:val="00AD1AE2"/>
    <w:rsid w:val="00AD1B6F"/>
    <w:rsid w:val="00AD2472"/>
    <w:rsid w:val="00AD359B"/>
    <w:rsid w:val="00AD3879"/>
    <w:rsid w:val="00AD3D0A"/>
    <w:rsid w:val="00AD4838"/>
    <w:rsid w:val="00AD51D3"/>
    <w:rsid w:val="00AD65C6"/>
    <w:rsid w:val="00AD6675"/>
    <w:rsid w:val="00AD66B2"/>
    <w:rsid w:val="00AD6D5E"/>
    <w:rsid w:val="00AD6E41"/>
    <w:rsid w:val="00AD73B5"/>
    <w:rsid w:val="00AD741C"/>
    <w:rsid w:val="00AD75A0"/>
    <w:rsid w:val="00AD7BE6"/>
    <w:rsid w:val="00AE0349"/>
    <w:rsid w:val="00AE03BB"/>
    <w:rsid w:val="00AE0578"/>
    <w:rsid w:val="00AE0A64"/>
    <w:rsid w:val="00AE0E25"/>
    <w:rsid w:val="00AE0EFE"/>
    <w:rsid w:val="00AE2737"/>
    <w:rsid w:val="00AE2743"/>
    <w:rsid w:val="00AE3128"/>
    <w:rsid w:val="00AE3259"/>
    <w:rsid w:val="00AE3510"/>
    <w:rsid w:val="00AE38ED"/>
    <w:rsid w:val="00AE46DD"/>
    <w:rsid w:val="00AE4F75"/>
    <w:rsid w:val="00AE5757"/>
    <w:rsid w:val="00AE5C52"/>
    <w:rsid w:val="00AE641C"/>
    <w:rsid w:val="00AE6646"/>
    <w:rsid w:val="00AE681F"/>
    <w:rsid w:val="00AE69E3"/>
    <w:rsid w:val="00AE6DEE"/>
    <w:rsid w:val="00AE6ED4"/>
    <w:rsid w:val="00AE755A"/>
    <w:rsid w:val="00AE759A"/>
    <w:rsid w:val="00AE7B53"/>
    <w:rsid w:val="00AE7BEB"/>
    <w:rsid w:val="00AF0160"/>
    <w:rsid w:val="00AF075A"/>
    <w:rsid w:val="00AF0F24"/>
    <w:rsid w:val="00AF1295"/>
    <w:rsid w:val="00AF136F"/>
    <w:rsid w:val="00AF15A8"/>
    <w:rsid w:val="00AF1945"/>
    <w:rsid w:val="00AF1B99"/>
    <w:rsid w:val="00AF4910"/>
    <w:rsid w:val="00AF592E"/>
    <w:rsid w:val="00AF5FAC"/>
    <w:rsid w:val="00AF65EA"/>
    <w:rsid w:val="00AF6728"/>
    <w:rsid w:val="00AF6FF0"/>
    <w:rsid w:val="00AF7287"/>
    <w:rsid w:val="00AF7861"/>
    <w:rsid w:val="00AF7C05"/>
    <w:rsid w:val="00B0024B"/>
    <w:rsid w:val="00B00302"/>
    <w:rsid w:val="00B00E8C"/>
    <w:rsid w:val="00B012BC"/>
    <w:rsid w:val="00B012CC"/>
    <w:rsid w:val="00B015CA"/>
    <w:rsid w:val="00B02AA9"/>
    <w:rsid w:val="00B02CD9"/>
    <w:rsid w:val="00B03218"/>
    <w:rsid w:val="00B033E0"/>
    <w:rsid w:val="00B033EF"/>
    <w:rsid w:val="00B03E50"/>
    <w:rsid w:val="00B04A15"/>
    <w:rsid w:val="00B04C4F"/>
    <w:rsid w:val="00B04D27"/>
    <w:rsid w:val="00B04F32"/>
    <w:rsid w:val="00B0559B"/>
    <w:rsid w:val="00B05AD4"/>
    <w:rsid w:val="00B05BE3"/>
    <w:rsid w:val="00B061D1"/>
    <w:rsid w:val="00B062BC"/>
    <w:rsid w:val="00B0657F"/>
    <w:rsid w:val="00B067ED"/>
    <w:rsid w:val="00B06D5B"/>
    <w:rsid w:val="00B0763E"/>
    <w:rsid w:val="00B10148"/>
    <w:rsid w:val="00B10671"/>
    <w:rsid w:val="00B10951"/>
    <w:rsid w:val="00B10D5A"/>
    <w:rsid w:val="00B1131A"/>
    <w:rsid w:val="00B114E3"/>
    <w:rsid w:val="00B11914"/>
    <w:rsid w:val="00B11ADF"/>
    <w:rsid w:val="00B12535"/>
    <w:rsid w:val="00B12693"/>
    <w:rsid w:val="00B12A77"/>
    <w:rsid w:val="00B13321"/>
    <w:rsid w:val="00B13474"/>
    <w:rsid w:val="00B141E6"/>
    <w:rsid w:val="00B14321"/>
    <w:rsid w:val="00B14933"/>
    <w:rsid w:val="00B15099"/>
    <w:rsid w:val="00B15400"/>
    <w:rsid w:val="00B15631"/>
    <w:rsid w:val="00B15742"/>
    <w:rsid w:val="00B15B49"/>
    <w:rsid w:val="00B1611F"/>
    <w:rsid w:val="00B1651B"/>
    <w:rsid w:val="00B16639"/>
    <w:rsid w:val="00B170E0"/>
    <w:rsid w:val="00B1724B"/>
    <w:rsid w:val="00B17AFA"/>
    <w:rsid w:val="00B20188"/>
    <w:rsid w:val="00B20227"/>
    <w:rsid w:val="00B2028A"/>
    <w:rsid w:val="00B21345"/>
    <w:rsid w:val="00B21759"/>
    <w:rsid w:val="00B217B3"/>
    <w:rsid w:val="00B21AFA"/>
    <w:rsid w:val="00B226F4"/>
    <w:rsid w:val="00B227FC"/>
    <w:rsid w:val="00B22A03"/>
    <w:rsid w:val="00B22AD4"/>
    <w:rsid w:val="00B23C5A"/>
    <w:rsid w:val="00B23F7E"/>
    <w:rsid w:val="00B249E2"/>
    <w:rsid w:val="00B24CF1"/>
    <w:rsid w:val="00B25438"/>
    <w:rsid w:val="00B2573C"/>
    <w:rsid w:val="00B257D6"/>
    <w:rsid w:val="00B25ABC"/>
    <w:rsid w:val="00B2691F"/>
    <w:rsid w:val="00B26E38"/>
    <w:rsid w:val="00B26F68"/>
    <w:rsid w:val="00B2787B"/>
    <w:rsid w:val="00B27F24"/>
    <w:rsid w:val="00B3007A"/>
    <w:rsid w:val="00B30722"/>
    <w:rsid w:val="00B308AE"/>
    <w:rsid w:val="00B30A72"/>
    <w:rsid w:val="00B30BCC"/>
    <w:rsid w:val="00B3161F"/>
    <w:rsid w:val="00B316C7"/>
    <w:rsid w:val="00B318C4"/>
    <w:rsid w:val="00B32236"/>
    <w:rsid w:val="00B3231E"/>
    <w:rsid w:val="00B325CE"/>
    <w:rsid w:val="00B32D47"/>
    <w:rsid w:val="00B3378E"/>
    <w:rsid w:val="00B33E5B"/>
    <w:rsid w:val="00B341C2"/>
    <w:rsid w:val="00B347D9"/>
    <w:rsid w:val="00B3485D"/>
    <w:rsid w:val="00B34B9E"/>
    <w:rsid w:val="00B34FFF"/>
    <w:rsid w:val="00B3518F"/>
    <w:rsid w:val="00B3523B"/>
    <w:rsid w:val="00B361AA"/>
    <w:rsid w:val="00B36295"/>
    <w:rsid w:val="00B36303"/>
    <w:rsid w:val="00B365BA"/>
    <w:rsid w:val="00B36FD9"/>
    <w:rsid w:val="00B372D0"/>
    <w:rsid w:val="00B373BA"/>
    <w:rsid w:val="00B376D4"/>
    <w:rsid w:val="00B37AA0"/>
    <w:rsid w:val="00B37DA1"/>
    <w:rsid w:val="00B37F89"/>
    <w:rsid w:val="00B408E1"/>
    <w:rsid w:val="00B410DA"/>
    <w:rsid w:val="00B4131B"/>
    <w:rsid w:val="00B425E5"/>
    <w:rsid w:val="00B42876"/>
    <w:rsid w:val="00B428F3"/>
    <w:rsid w:val="00B42FFA"/>
    <w:rsid w:val="00B430BF"/>
    <w:rsid w:val="00B43CF2"/>
    <w:rsid w:val="00B44502"/>
    <w:rsid w:val="00B44872"/>
    <w:rsid w:val="00B44CF5"/>
    <w:rsid w:val="00B45035"/>
    <w:rsid w:val="00B45148"/>
    <w:rsid w:val="00B452FF"/>
    <w:rsid w:val="00B45444"/>
    <w:rsid w:val="00B455B5"/>
    <w:rsid w:val="00B45DC5"/>
    <w:rsid w:val="00B45EE5"/>
    <w:rsid w:val="00B45F0E"/>
    <w:rsid w:val="00B4632B"/>
    <w:rsid w:val="00B463FC"/>
    <w:rsid w:val="00B467A7"/>
    <w:rsid w:val="00B473A1"/>
    <w:rsid w:val="00B47A88"/>
    <w:rsid w:val="00B47F18"/>
    <w:rsid w:val="00B507EB"/>
    <w:rsid w:val="00B50E06"/>
    <w:rsid w:val="00B50F00"/>
    <w:rsid w:val="00B50F18"/>
    <w:rsid w:val="00B51151"/>
    <w:rsid w:val="00B5125D"/>
    <w:rsid w:val="00B51288"/>
    <w:rsid w:val="00B5146D"/>
    <w:rsid w:val="00B51482"/>
    <w:rsid w:val="00B51576"/>
    <w:rsid w:val="00B52781"/>
    <w:rsid w:val="00B5345C"/>
    <w:rsid w:val="00B53544"/>
    <w:rsid w:val="00B53E2C"/>
    <w:rsid w:val="00B544E0"/>
    <w:rsid w:val="00B5465A"/>
    <w:rsid w:val="00B54A69"/>
    <w:rsid w:val="00B54E27"/>
    <w:rsid w:val="00B55280"/>
    <w:rsid w:val="00B553CE"/>
    <w:rsid w:val="00B55433"/>
    <w:rsid w:val="00B563F5"/>
    <w:rsid w:val="00B56905"/>
    <w:rsid w:val="00B56D1E"/>
    <w:rsid w:val="00B56EBE"/>
    <w:rsid w:val="00B57EE1"/>
    <w:rsid w:val="00B60130"/>
    <w:rsid w:val="00B601F6"/>
    <w:rsid w:val="00B60C07"/>
    <w:rsid w:val="00B6129F"/>
    <w:rsid w:val="00B61336"/>
    <w:rsid w:val="00B61E8E"/>
    <w:rsid w:val="00B61F61"/>
    <w:rsid w:val="00B620F0"/>
    <w:rsid w:val="00B625AA"/>
    <w:rsid w:val="00B62603"/>
    <w:rsid w:val="00B62A75"/>
    <w:rsid w:val="00B62C1B"/>
    <w:rsid w:val="00B62D2E"/>
    <w:rsid w:val="00B62D38"/>
    <w:rsid w:val="00B63480"/>
    <w:rsid w:val="00B6376A"/>
    <w:rsid w:val="00B63C48"/>
    <w:rsid w:val="00B63C9A"/>
    <w:rsid w:val="00B63FEE"/>
    <w:rsid w:val="00B64522"/>
    <w:rsid w:val="00B64F98"/>
    <w:rsid w:val="00B6530B"/>
    <w:rsid w:val="00B656FD"/>
    <w:rsid w:val="00B65713"/>
    <w:rsid w:val="00B659F5"/>
    <w:rsid w:val="00B65F24"/>
    <w:rsid w:val="00B65FCA"/>
    <w:rsid w:val="00B66096"/>
    <w:rsid w:val="00B66170"/>
    <w:rsid w:val="00B67808"/>
    <w:rsid w:val="00B678F0"/>
    <w:rsid w:val="00B67B00"/>
    <w:rsid w:val="00B70429"/>
    <w:rsid w:val="00B7049C"/>
    <w:rsid w:val="00B70869"/>
    <w:rsid w:val="00B71261"/>
    <w:rsid w:val="00B71305"/>
    <w:rsid w:val="00B72A61"/>
    <w:rsid w:val="00B72AF4"/>
    <w:rsid w:val="00B72C34"/>
    <w:rsid w:val="00B72C68"/>
    <w:rsid w:val="00B72FAC"/>
    <w:rsid w:val="00B73253"/>
    <w:rsid w:val="00B73255"/>
    <w:rsid w:val="00B74195"/>
    <w:rsid w:val="00B7456F"/>
    <w:rsid w:val="00B7459A"/>
    <w:rsid w:val="00B7479F"/>
    <w:rsid w:val="00B74A1E"/>
    <w:rsid w:val="00B74E16"/>
    <w:rsid w:val="00B751AF"/>
    <w:rsid w:val="00B75736"/>
    <w:rsid w:val="00B75E23"/>
    <w:rsid w:val="00B76A82"/>
    <w:rsid w:val="00B76DB9"/>
    <w:rsid w:val="00B76DEB"/>
    <w:rsid w:val="00B7780A"/>
    <w:rsid w:val="00B779AC"/>
    <w:rsid w:val="00B8046E"/>
    <w:rsid w:val="00B80477"/>
    <w:rsid w:val="00B807B9"/>
    <w:rsid w:val="00B808C1"/>
    <w:rsid w:val="00B809F1"/>
    <w:rsid w:val="00B80CBE"/>
    <w:rsid w:val="00B80E8E"/>
    <w:rsid w:val="00B8120B"/>
    <w:rsid w:val="00B813AE"/>
    <w:rsid w:val="00B81471"/>
    <w:rsid w:val="00B81898"/>
    <w:rsid w:val="00B81941"/>
    <w:rsid w:val="00B81D68"/>
    <w:rsid w:val="00B81DB0"/>
    <w:rsid w:val="00B81F45"/>
    <w:rsid w:val="00B825DB"/>
    <w:rsid w:val="00B82AB5"/>
    <w:rsid w:val="00B82E90"/>
    <w:rsid w:val="00B83B1A"/>
    <w:rsid w:val="00B840F7"/>
    <w:rsid w:val="00B8477A"/>
    <w:rsid w:val="00B850CA"/>
    <w:rsid w:val="00B85151"/>
    <w:rsid w:val="00B852BC"/>
    <w:rsid w:val="00B85321"/>
    <w:rsid w:val="00B853E4"/>
    <w:rsid w:val="00B85665"/>
    <w:rsid w:val="00B8581B"/>
    <w:rsid w:val="00B859C9"/>
    <w:rsid w:val="00B86134"/>
    <w:rsid w:val="00B8634C"/>
    <w:rsid w:val="00B86466"/>
    <w:rsid w:val="00B864F1"/>
    <w:rsid w:val="00B8692C"/>
    <w:rsid w:val="00B86FC5"/>
    <w:rsid w:val="00B87417"/>
    <w:rsid w:val="00B87603"/>
    <w:rsid w:val="00B9042F"/>
    <w:rsid w:val="00B9092F"/>
    <w:rsid w:val="00B913EA"/>
    <w:rsid w:val="00B9155A"/>
    <w:rsid w:val="00B919FD"/>
    <w:rsid w:val="00B91D79"/>
    <w:rsid w:val="00B92632"/>
    <w:rsid w:val="00B92A8F"/>
    <w:rsid w:val="00B93957"/>
    <w:rsid w:val="00B940F3"/>
    <w:rsid w:val="00B9416D"/>
    <w:rsid w:val="00B9547D"/>
    <w:rsid w:val="00B95635"/>
    <w:rsid w:val="00B95778"/>
    <w:rsid w:val="00B958FB"/>
    <w:rsid w:val="00B95AD1"/>
    <w:rsid w:val="00B95D3A"/>
    <w:rsid w:val="00B95DD2"/>
    <w:rsid w:val="00B964CD"/>
    <w:rsid w:val="00B966DD"/>
    <w:rsid w:val="00B96732"/>
    <w:rsid w:val="00B96A6A"/>
    <w:rsid w:val="00B96AE8"/>
    <w:rsid w:val="00B97691"/>
    <w:rsid w:val="00B97923"/>
    <w:rsid w:val="00BA07A7"/>
    <w:rsid w:val="00BA08DB"/>
    <w:rsid w:val="00BA09C8"/>
    <w:rsid w:val="00BA0B9F"/>
    <w:rsid w:val="00BA0DAA"/>
    <w:rsid w:val="00BA0DCC"/>
    <w:rsid w:val="00BA1BB2"/>
    <w:rsid w:val="00BA2904"/>
    <w:rsid w:val="00BA2A45"/>
    <w:rsid w:val="00BA2EEE"/>
    <w:rsid w:val="00BA4713"/>
    <w:rsid w:val="00BA48AA"/>
    <w:rsid w:val="00BA49A5"/>
    <w:rsid w:val="00BA4F64"/>
    <w:rsid w:val="00BA4FE6"/>
    <w:rsid w:val="00BA571A"/>
    <w:rsid w:val="00BA5F3F"/>
    <w:rsid w:val="00BA6011"/>
    <w:rsid w:val="00BA6027"/>
    <w:rsid w:val="00BA6A0D"/>
    <w:rsid w:val="00BA6EA2"/>
    <w:rsid w:val="00BA78C9"/>
    <w:rsid w:val="00BA7DDA"/>
    <w:rsid w:val="00BA7EA6"/>
    <w:rsid w:val="00BB015E"/>
    <w:rsid w:val="00BB02E1"/>
    <w:rsid w:val="00BB07A5"/>
    <w:rsid w:val="00BB1206"/>
    <w:rsid w:val="00BB1460"/>
    <w:rsid w:val="00BB1A4B"/>
    <w:rsid w:val="00BB1F96"/>
    <w:rsid w:val="00BB2271"/>
    <w:rsid w:val="00BB2674"/>
    <w:rsid w:val="00BB2A30"/>
    <w:rsid w:val="00BB2C70"/>
    <w:rsid w:val="00BB2C86"/>
    <w:rsid w:val="00BB34FC"/>
    <w:rsid w:val="00BB3507"/>
    <w:rsid w:val="00BB38D5"/>
    <w:rsid w:val="00BB3AFA"/>
    <w:rsid w:val="00BB3F15"/>
    <w:rsid w:val="00BB46E4"/>
    <w:rsid w:val="00BB47CE"/>
    <w:rsid w:val="00BB4B42"/>
    <w:rsid w:val="00BB4E00"/>
    <w:rsid w:val="00BB531E"/>
    <w:rsid w:val="00BB5FD3"/>
    <w:rsid w:val="00BB614F"/>
    <w:rsid w:val="00BB6D86"/>
    <w:rsid w:val="00BB7312"/>
    <w:rsid w:val="00BC0E2C"/>
    <w:rsid w:val="00BC12E1"/>
    <w:rsid w:val="00BC1793"/>
    <w:rsid w:val="00BC1D35"/>
    <w:rsid w:val="00BC2830"/>
    <w:rsid w:val="00BC2935"/>
    <w:rsid w:val="00BC2AB3"/>
    <w:rsid w:val="00BC3009"/>
    <w:rsid w:val="00BC4AF3"/>
    <w:rsid w:val="00BC510B"/>
    <w:rsid w:val="00BC5924"/>
    <w:rsid w:val="00BC6CBB"/>
    <w:rsid w:val="00BC6E31"/>
    <w:rsid w:val="00BC6F9B"/>
    <w:rsid w:val="00BC770C"/>
    <w:rsid w:val="00BC798E"/>
    <w:rsid w:val="00BC7AD7"/>
    <w:rsid w:val="00BD0B7C"/>
    <w:rsid w:val="00BD0C25"/>
    <w:rsid w:val="00BD124D"/>
    <w:rsid w:val="00BD1450"/>
    <w:rsid w:val="00BD165D"/>
    <w:rsid w:val="00BD170D"/>
    <w:rsid w:val="00BD1899"/>
    <w:rsid w:val="00BD1B78"/>
    <w:rsid w:val="00BD1CDD"/>
    <w:rsid w:val="00BD23F2"/>
    <w:rsid w:val="00BD2BD6"/>
    <w:rsid w:val="00BD2E67"/>
    <w:rsid w:val="00BD2FB7"/>
    <w:rsid w:val="00BD303D"/>
    <w:rsid w:val="00BD32AD"/>
    <w:rsid w:val="00BD3FBD"/>
    <w:rsid w:val="00BD41C6"/>
    <w:rsid w:val="00BD4373"/>
    <w:rsid w:val="00BD44FD"/>
    <w:rsid w:val="00BD46CB"/>
    <w:rsid w:val="00BD48A0"/>
    <w:rsid w:val="00BD53CB"/>
    <w:rsid w:val="00BD5511"/>
    <w:rsid w:val="00BD57FD"/>
    <w:rsid w:val="00BD5F5B"/>
    <w:rsid w:val="00BD5F78"/>
    <w:rsid w:val="00BD650E"/>
    <w:rsid w:val="00BD6DC0"/>
    <w:rsid w:val="00BD7002"/>
    <w:rsid w:val="00BD7017"/>
    <w:rsid w:val="00BD780A"/>
    <w:rsid w:val="00BE043F"/>
    <w:rsid w:val="00BE0E2A"/>
    <w:rsid w:val="00BE0F1C"/>
    <w:rsid w:val="00BE0F1E"/>
    <w:rsid w:val="00BE1230"/>
    <w:rsid w:val="00BE1587"/>
    <w:rsid w:val="00BE16C2"/>
    <w:rsid w:val="00BE16FD"/>
    <w:rsid w:val="00BE1CC7"/>
    <w:rsid w:val="00BE216A"/>
    <w:rsid w:val="00BE2449"/>
    <w:rsid w:val="00BE3A0A"/>
    <w:rsid w:val="00BE3FDA"/>
    <w:rsid w:val="00BE429C"/>
    <w:rsid w:val="00BE42D6"/>
    <w:rsid w:val="00BE573D"/>
    <w:rsid w:val="00BE6008"/>
    <w:rsid w:val="00BE6072"/>
    <w:rsid w:val="00BE704A"/>
    <w:rsid w:val="00BE7075"/>
    <w:rsid w:val="00BE77E5"/>
    <w:rsid w:val="00BE79D2"/>
    <w:rsid w:val="00BE7EC4"/>
    <w:rsid w:val="00BF03BA"/>
    <w:rsid w:val="00BF045F"/>
    <w:rsid w:val="00BF04F7"/>
    <w:rsid w:val="00BF07F8"/>
    <w:rsid w:val="00BF0A64"/>
    <w:rsid w:val="00BF1111"/>
    <w:rsid w:val="00BF11C8"/>
    <w:rsid w:val="00BF196F"/>
    <w:rsid w:val="00BF1C46"/>
    <w:rsid w:val="00BF228A"/>
    <w:rsid w:val="00BF23F5"/>
    <w:rsid w:val="00BF244D"/>
    <w:rsid w:val="00BF2474"/>
    <w:rsid w:val="00BF25B1"/>
    <w:rsid w:val="00BF33FC"/>
    <w:rsid w:val="00BF3732"/>
    <w:rsid w:val="00BF38C2"/>
    <w:rsid w:val="00BF4B7C"/>
    <w:rsid w:val="00BF4E81"/>
    <w:rsid w:val="00BF54CC"/>
    <w:rsid w:val="00BF5ABF"/>
    <w:rsid w:val="00BF5ACC"/>
    <w:rsid w:val="00BF5E5E"/>
    <w:rsid w:val="00BF6117"/>
    <w:rsid w:val="00BF63C5"/>
    <w:rsid w:val="00BF6597"/>
    <w:rsid w:val="00BF665C"/>
    <w:rsid w:val="00BF6F6D"/>
    <w:rsid w:val="00BF749F"/>
    <w:rsid w:val="00BF7927"/>
    <w:rsid w:val="00BF799F"/>
    <w:rsid w:val="00BF7B3A"/>
    <w:rsid w:val="00BF7C31"/>
    <w:rsid w:val="00BF7DD7"/>
    <w:rsid w:val="00C00584"/>
    <w:rsid w:val="00C00BD5"/>
    <w:rsid w:val="00C00E2C"/>
    <w:rsid w:val="00C01548"/>
    <w:rsid w:val="00C02F87"/>
    <w:rsid w:val="00C032F3"/>
    <w:rsid w:val="00C03696"/>
    <w:rsid w:val="00C03924"/>
    <w:rsid w:val="00C039B0"/>
    <w:rsid w:val="00C03C3C"/>
    <w:rsid w:val="00C03D1A"/>
    <w:rsid w:val="00C045AA"/>
    <w:rsid w:val="00C045DD"/>
    <w:rsid w:val="00C048C1"/>
    <w:rsid w:val="00C04989"/>
    <w:rsid w:val="00C052CF"/>
    <w:rsid w:val="00C05617"/>
    <w:rsid w:val="00C05736"/>
    <w:rsid w:val="00C05993"/>
    <w:rsid w:val="00C05A93"/>
    <w:rsid w:val="00C05D58"/>
    <w:rsid w:val="00C06995"/>
    <w:rsid w:val="00C075CE"/>
    <w:rsid w:val="00C07721"/>
    <w:rsid w:val="00C10AA4"/>
    <w:rsid w:val="00C10D52"/>
    <w:rsid w:val="00C10E3E"/>
    <w:rsid w:val="00C10FBA"/>
    <w:rsid w:val="00C11173"/>
    <w:rsid w:val="00C11179"/>
    <w:rsid w:val="00C11373"/>
    <w:rsid w:val="00C11452"/>
    <w:rsid w:val="00C12304"/>
    <w:rsid w:val="00C12554"/>
    <w:rsid w:val="00C12728"/>
    <w:rsid w:val="00C1293A"/>
    <w:rsid w:val="00C12ACF"/>
    <w:rsid w:val="00C12C1C"/>
    <w:rsid w:val="00C13355"/>
    <w:rsid w:val="00C1353F"/>
    <w:rsid w:val="00C135A5"/>
    <w:rsid w:val="00C135AA"/>
    <w:rsid w:val="00C13803"/>
    <w:rsid w:val="00C14359"/>
    <w:rsid w:val="00C14CB7"/>
    <w:rsid w:val="00C15C0D"/>
    <w:rsid w:val="00C164C7"/>
    <w:rsid w:val="00C167D9"/>
    <w:rsid w:val="00C16A81"/>
    <w:rsid w:val="00C16C35"/>
    <w:rsid w:val="00C1706A"/>
    <w:rsid w:val="00C1742F"/>
    <w:rsid w:val="00C1797F"/>
    <w:rsid w:val="00C17A6F"/>
    <w:rsid w:val="00C17C7E"/>
    <w:rsid w:val="00C17F17"/>
    <w:rsid w:val="00C202A0"/>
    <w:rsid w:val="00C20972"/>
    <w:rsid w:val="00C20AAE"/>
    <w:rsid w:val="00C20AD4"/>
    <w:rsid w:val="00C20D5E"/>
    <w:rsid w:val="00C210E1"/>
    <w:rsid w:val="00C2144A"/>
    <w:rsid w:val="00C21680"/>
    <w:rsid w:val="00C217CF"/>
    <w:rsid w:val="00C22096"/>
    <w:rsid w:val="00C222EA"/>
    <w:rsid w:val="00C2236E"/>
    <w:rsid w:val="00C22842"/>
    <w:rsid w:val="00C22E19"/>
    <w:rsid w:val="00C22F40"/>
    <w:rsid w:val="00C22FA2"/>
    <w:rsid w:val="00C23054"/>
    <w:rsid w:val="00C236D1"/>
    <w:rsid w:val="00C236DC"/>
    <w:rsid w:val="00C2373F"/>
    <w:rsid w:val="00C23A41"/>
    <w:rsid w:val="00C23E0D"/>
    <w:rsid w:val="00C24627"/>
    <w:rsid w:val="00C24FCC"/>
    <w:rsid w:val="00C251AB"/>
    <w:rsid w:val="00C25729"/>
    <w:rsid w:val="00C257B5"/>
    <w:rsid w:val="00C25CA6"/>
    <w:rsid w:val="00C25D07"/>
    <w:rsid w:val="00C25E83"/>
    <w:rsid w:val="00C26634"/>
    <w:rsid w:val="00C26C3A"/>
    <w:rsid w:val="00C26C9F"/>
    <w:rsid w:val="00C26D49"/>
    <w:rsid w:val="00C27006"/>
    <w:rsid w:val="00C271EF"/>
    <w:rsid w:val="00C2757C"/>
    <w:rsid w:val="00C30F5F"/>
    <w:rsid w:val="00C31025"/>
    <w:rsid w:val="00C31289"/>
    <w:rsid w:val="00C318A5"/>
    <w:rsid w:val="00C320AE"/>
    <w:rsid w:val="00C326A5"/>
    <w:rsid w:val="00C32B6E"/>
    <w:rsid w:val="00C32CC6"/>
    <w:rsid w:val="00C34244"/>
    <w:rsid w:val="00C344CC"/>
    <w:rsid w:val="00C3477C"/>
    <w:rsid w:val="00C34A01"/>
    <w:rsid w:val="00C3567D"/>
    <w:rsid w:val="00C36207"/>
    <w:rsid w:val="00C3695C"/>
    <w:rsid w:val="00C36AAB"/>
    <w:rsid w:val="00C36C30"/>
    <w:rsid w:val="00C36D06"/>
    <w:rsid w:val="00C37036"/>
    <w:rsid w:val="00C3758E"/>
    <w:rsid w:val="00C379CB"/>
    <w:rsid w:val="00C37E56"/>
    <w:rsid w:val="00C4078B"/>
    <w:rsid w:val="00C407E9"/>
    <w:rsid w:val="00C40C25"/>
    <w:rsid w:val="00C40D7D"/>
    <w:rsid w:val="00C41236"/>
    <w:rsid w:val="00C41A16"/>
    <w:rsid w:val="00C42712"/>
    <w:rsid w:val="00C4278A"/>
    <w:rsid w:val="00C42A77"/>
    <w:rsid w:val="00C42D7B"/>
    <w:rsid w:val="00C43031"/>
    <w:rsid w:val="00C43061"/>
    <w:rsid w:val="00C432ED"/>
    <w:rsid w:val="00C43434"/>
    <w:rsid w:val="00C43514"/>
    <w:rsid w:val="00C4447B"/>
    <w:rsid w:val="00C44B78"/>
    <w:rsid w:val="00C450F5"/>
    <w:rsid w:val="00C46236"/>
    <w:rsid w:val="00C46368"/>
    <w:rsid w:val="00C4674D"/>
    <w:rsid w:val="00C46889"/>
    <w:rsid w:val="00C46F0E"/>
    <w:rsid w:val="00C4704E"/>
    <w:rsid w:val="00C470CF"/>
    <w:rsid w:val="00C473E5"/>
    <w:rsid w:val="00C47470"/>
    <w:rsid w:val="00C50272"/>
    <w:rsid w:val="00C50552"/>
    <w:rsid w:val="00C50DF0"/>
    <w:rsid w:val="00C50FA1"/>
    <w:rsid w:val="00C5128B"/>
    <w:rsid w:val="00C514EE"/>
    <w:rsid w:val="00C51706"/>
    <w:rsid w:val="00C51DD2"/>
    <w:rsid w:val="00C529FD"/>
    <w:rsid w:val="00C52AB1"/>
    <w:rsid w:val="00C53049"/>
    <w:rsid w:val="00C532AF"/>
    <w:rsid w:val="00C534D8"/>
    <w:rsid w:val="00C5362A"/>
    <w:rsid w:val="00C53716"/>
    <w:rsid w:val="00C53CA7"/>
    <w:rsid w:val="00C540A6"/>
    <w:rsid w:val="00C542CD"/>
    <w:rsid w:val="00C54A08"/>
    <w:rsid w:val="00C54D70"/>
    <w:rsid w:val="00C551BA"/>
    <w:rsid w:val="00C55AB9"/>
    <w:rsid w:val="00C55B13"/>
    <w:rsid w:val="00C55E27"/>
    <w:rsid w:val="00C561FC"/>
    <w:rsid w:val="00C562D9"/>
    <w:rsid w:val="00C56C9A"/>
    <w:rsid w:val="00C56CBF"/>
    <w:rsid w:val="00C56D9A"/>
    <w:rsid w:val="00C56DE8"/>
    <w:rsid w:val="00C576D6"/>
    <w:rsid w:val="00C57E33"/>
    <w:rsid w:val="00C6030C"/>
    <w:rsid w:val="00C608AD"/>
    <w:rsid w:val="00C60DC5"/>
    <w:rsid w:val="00C61163"/>
    <w:rsid w:val="00C6182F"/>
    <w:rsid w:val="00C62A49"/>
    <w:rsid w:val="00C62B34"/>
    <w:rsid w:val="00C62CB8"/>
    <w:rsid w:val="00C62E06"/>
    <w:rsid w:val="00C6329A"/>
    <w:rsid w:val="00C6331B"/>
    <w:rsid w:val="00C63340"/>
    <w:rsid w:val="00C63459"/>
    <w:rsid w:val="00C63841"/>
    <w:rsid w:val="00C63DD1"/>
    <w:rsid w:val="00C643BA"/>
    <w:rsid w:val="00C643D7"/>
    <w:rsid w:val="00C6465E"/>
    <w:rsid w:val="00C647FF"/>
    <w:rsid w:val="00C64820"/>
    <w:rsid w:val="00C651BF"/>
    <w:rsid w:val="00C65B18"/>
    <w:rsid w:val="00C65E21"/>
    <w:rsid w:val="00C6636C"/>
    <w:rsid w:val="00C66374"/>
    <w:rsid w:val="00C668CB"/>
    <w:rsid w:val="00C66B78"/>
    <w:rsid w:val="00C66D9F"/>
    <w:rsid w:val="00C70759"/>
    <w:rsid w:val="00C70889"/>
    <w:rsid w:val="00C70AB2"/>
    <w:rsid w:val="00C70CE5"/>
    <w:rsid w:val="00C72309"/>
    <w:rsid w:val="00C72BC3"/>
    <w:rsid w:val="00C72FC5"/>
    <w:rsid w:val="00C73045"/>
    <w:rsid w:val="00C73521"/>
    <w:rsid w:val="00C737DD"/>
    <w:rsid w:val="00C73D64"/>
    <w:rsid w:val="00C73DBC"/>
    <w:rsid w:val="00C73FBF"/>
    <w:rsid w:val="00C741DB"/>
    <w:rsid w:val="00C74DC3"/>
    <w:rsid w:val="00C74FAF"/>
    <w:rsid w:val="00C750B2"/>
    <w:rsid w:val="00C752F7"/>
    <w:rsid w:val="00C75693"/>
    <w:rsid w:val="00C759DC"/>
    <w:rsid w:val="00C75AC4"/>
    <w:rsid w:val="00C75C34"/>
    <w:rsid w:val="00C761EF"/>
    <w:rsid w:val="00C763DB"/>
    <w:rsid w:val="00C76739"/>
    <w:rsid w:val="00C7700F"/>
    <w:rsid w:val="00C7726B"/>
    <w:rsid w:val="00C772B2"/>
    <w:rsid w:val="00C77A04"/>
    <w:rsid w:val="00C77A64"/>
    <w:rsid w:val="00C77D83"/>
    <w:rsid w:val="00C77FD4"/>
    <w:rsid w:val="00C8010C"/>
    <w:rsid w:val="00C806DE"/>
    <w:rsid w:val="00C80D28"/>
    <w:rsid w:val="00C817C8"/>
    <w:rsid w:val="00C81E48"/>
    <w:rsid w:val="00C830AD"/>
    <w:rsid w:val="00C8402F"/>
    <w:rsid w:val="00C8506B"/>
    <w:rsid w:val="00C85A49"/>
    <w:rsid w:val="00C864E3"/>
    <w:rsid w:val="00C8658D"/>
    <w:rsid w:val="00C865B4"/>
    <w:rsid w:val="00C86A0B"/>
    <w:rsid w:val="00C86B9E"/>
    <w:rsid w:val="00C873A2"/>
    <w:rsid w:val="00C87ED3"/>
    <w:rsid w:val="00C9002A"/>
    <w:rsid w:val="00C90EE0"/>
    <w:rsid w:val="00C916DF"/>
    <w:rsid w:val="00C91833"/>
    <w:rsid w:val="00C91979"/>
    <w:rsid w:val="00C91B58"/>
    <w:rsid w:val="00C91CEC"/>
    <w:rsid w:val="00C928BB"/>
    <w:rsid w:val="00C92A62"/>
    <w:rsid w:val="00C92CBB"/>
    <w:rsid w:val="00C93112"/>
    <w:rsid w:val="00C93C46"/>
    <w:rsid w:val="00C94194"/>
    <w:rsid w:val="00C94252"/>
    <w:rsid w:val="00C9445B"/>
    <w:rsid w:val="00C944ED"/>
    <w:rsid w:val="00C94B04"/>
    <w:rsid w:val="00C94DAF"/>
    <w:rsid w:val="00C95ED7"/>
    <w:rsid w:val="00C969BB"/>
    <w:rsid w:val="00C96A31"/>
    <w:rsid w:val="00C96B21"/>
    <w:rsid w:val="00C96DE0"/>
    <w:rsid w:val="00C9767F"/>
    <w:rsid w:val="00C97874"/>
    <w:rsid w:val="00C97AFF"/>
    <w:rsid w:val="00C97D97"/>
    <w:rsid w:val="00CA07EC"/>
    <w:rsid w:val="00CA0973"/>
    <w:rsid w:val="00CA0AE7"/>
    <w:rsid w:val="00CA0B91"/>
    <w:rsid w:val="00CA135E"/>
    <w:rsid w:val="00CA142B"/>
    <w:rsid w:val="00CA1599"/>
    <w:rsid w:val="00CA2015"/>
    <w:rsid w:val="00CA2904"/>
    <w:rsid w:val="00CA30AB"/>
    <w:rsid w:val="00CA36BC"/>
    <w:rsid w:val="00CA3A8A"/>
    <w:rsid w:val="00CA3CC7"/>
    <w:rsid w:val="00CA3FD8"/>
    <w:rsid w:val="00CA3FFC"/>
    <w:rsid w:val="00CA4215"/>
    <w:rsid w:val="00CA4CA1"/>
    <w:rsid w:val="00CA52DE"/>
    <w:rsid w:val="00CA57A7"/>
    <w:rsid w:val="00CA6403"/>
    <w:rsid w:val="00CA6A5E"/>
    <w:rsid w:val="00CA7420"/>
    <w:rsid w:val="00CA75BB"/>
    <w:rsid w:val="00CB094D"/>
    <w:rsid w:val="00CB0A90"/>
    <w:rsid w:val="00CB1245"/>
    <w:rsid w:val="00CB12DB"/>
    <w:rsid w:val="00CB17A3"/>
    <w:rsid w:val="00CB194F"/>
    <w:rsid w:val="00CB19E4"/>
    <w:rsid w:val="00CB1EA5"/>
    <w:rsid w:val="00CB1FAA"/>
    <w:rsid w:val="00CB2069"/>
    <w:rsid w:val="00CB2339"/>
    <w:rsid w:val="00CB249D"/>
    <w:rsid w:val="00CB2589"/>
    <w:rsid w:val="00CB262A"/>
    <w:rsid w:val="00CB2670"/>
    <w:rsid w:val="00CB267D"/>
    <w:rsid w:val="00CB3DD1"/>
    <w:rsid w:val="00CB48DE"/>
    <w:rsid w:val="00CB4A1F"/>
    <w:rsid w:val="00CB4A50"/>
    <w:rsid w:val="00CB4B7C"/>
    <w:rsid w:val="00CB5B53"/>
    <w:rsid w:val="00CB68D3"/>
    <w:rsid w:val="00CB75A5"/>
    <w:rsid w:val="00CB7B67"/>
    <w:rsid w:val="00CB7FCA"/>
    <w:rsid w:val="00CC0103"/>
    <w:rsid w:val="00CC02E9"/>
    <w:rsid w:val="00CC0866"/>
    <w:rsid w:val="00CC0E29"/>
    <w:rsid w:val="00CC0E4C"/>
    <w:rsid w:val="00CC0FF9"/>
    <w:rsid w:val="00CC1186"/>
    <w:rsid w:val="00CC14A1"/>
    <w:rsid w:val="00CC1CCF"/>
    <w:rsid w:val="00CC1D2E"/>
    <w:rsid w:val="00CC1F62"/>
    <w:rsid w:val="00CC1F99"/>
    <w:rsid w:val="00CC201D"/>
    <w:rsid w:val="00CC2094"/>
    <w:rsid w:val="00CC2CC4"/>
    <w:rsid w:val="00CC31D1"/>
    <w:rsid w:val="00CC3E18"/>
    <w:rsid w:val="00CC4065"/>
    <w:rsid w:val="00CC4241"/>
    <w:rsid w:val="00CC4C33"/>
    <w:rsid w:val="00CC5789"/>
    <w:rsid w:val="00CC5BDB"/>
    <w:rsid w:val="00CC64A4"/>
    <w:rsid w:val="00CC6ECA"/>
    <w:rsid w:val="00CC72E1"/>
    <w:rsid w:val="00CC7461"/>
    <w:rsid w:val="00CC755B"/>
    <w:rsid w:val="00CC77E3"/>
    <w:rsid w:val="00CC7EB8"/>
    <w:rsid w:val="00CD0341"/>
    <w:rsid w:val="00CD0C49"/>
    <w:rsid w:val="00CD114D"/>
    <w:rsid w:val="00CD1441"/>
    <w:rsid w:val="00CD182D"/>
    <w:rsid w:val="00CD1D17"/>
    <w:rsid w:val="00CD1DCB"/>
    <w:rsid w:val="00CD1E92"/>
    <w:rsid w:val="00CD2491"/>
    <w:rsid w:val="00CD271D"/>
    <w:rsid w:val="00CD2BB5"/>
    <w:rsid w:val="00CD2C10"/>
    <w:rsid w:val="00CD3364"/>
    <w:rsid w:val="00CD352D"/>
    <w:rsid w:val="00CD3550"/>
    <w:rsid w:val="00CD35B6"/>
    <w:rsid w:val="00CD411E"/>
    <w:rsid w:val="00CD4F05"/>
    <w:rsid w:val="00CD52D5"/>
    <w:rsid w:val="00CD54D3"/>
    <w:rsid w:val="00CD583D"/>
    <w:rsid w:val="00CD5AA2"/>
    <w:rsid w:val="00CD66F3"/>
    <w:rsid w:val="00CD6710"/>
    <w:rsid w:val="00CD75CF"/>
    <w:rsid w:val="00CD78EA"/>
    <w:rsid w:val="00CD79DA"/>
    <w:rsid w:val="00CD7CC4"/>
    <w:rsid w:val="00CD7E9F"/>
    <w:rsid w:val="00CE0030"/>
    <w:rsid w:val="00CE015D"/>
    <w:rsid w:val="00CE125D"/>
    <w:rsid w:val="00CE12CD"/>
    <w:rsid w:val="00CE142A"/>
    <w:rsid w:val="00CE1568"/>
    <w:rsid w:val="00CE1C0E"/>
    <w:rsid w:val="00CE1D0E"/>
    <w:rsid w:val="00CE2BE9"/>
    <w:rsid w:val="00CE32AF"/>
    <w:rsid w:val="00CE393D"/>
    <w:rsid w:val="00CE3B77"/>
    <w:rsid w:val="00CE45CD"/>
    <w:rsid w:val="00CE4BC1"/>
    <w:rsid w:val="00CE4E16"/>
    <w:rsid w:val="00CE5150"/>
    <w:rsid w:val="00CE52C8"/>
    <w:rsid w:val="00CE546A"/>
    <w:rsid w:val="00CE546D"/>
    <w:rsid w:val="00CE5F54"/>
    <w:rsid w:val="00CE6381"/>
    <w:rsid w:val="00CE6543"/>
    <w:rsid w:val="00CE6690"/>
    <w:rsid w:val="00CE6FBC"/>
    <w:rsid w:val="00CE71FD"/>
    <w:rsid w:val="00CE7383"/>
    <w:rsid w:val="00CE743D"/>
    <w:rsid w:val="00CE7FB2"/>
    <w:rsid w:val="00CF0035"/>
    <w:rsid w:val="00CF009C"/>
    <w:rsid w:val="00CF0A3A"/>
    <w:rsid w:val="00CF0D10"/>
    <w:rsid w:val="00CF0E18"/>
    <w:rsid w:val="00CF0E7F"/>
    <w:rsid w:val="00CF14B7"/>
    <w:rsid w:val="00CF15C6"/>
    <w:rsid w:val="00CF1870"/>
    <w:rsid w:val="00CF1AFE"/>
    <w:rsid w:val="00CF1BEE"/>
    <w:rsid w:val="00CF1C94"/>
    <w:rsid w:val="00CF2315"/>
    <w:rsid w:val="00CF2733"/>
    <w:rsid w:val="00CF282A"/>
    <w:rsid w:val="00CF3001"/>
    <w:rsid w:val="00CF31BA"/>
    <w:rsid w:val="00CF375D"/>
    <w:rsid w:val="00CF47D6"/>
    <w:rsid w:val="00CF4AAA"/>
    <w:rsid w:val="00CF4E14"/>
    <w:rsid w:val="00CF540C"/>
    <w:rsid w:val="00CF5792"/>
    <w:rsid w:val="00CF5E84"/>
    <w:rsid w:val="00CF664D"/>
    <w:rsid w:val="00CF6F51"/>
    <w:rsid w:val="00CF701F"/>
    <w:rsid w:val="00CF7050"/>
    <w:rsid w:val="00CF7B01"/>
    <w:rsid w:val="00CF7C7C"/>
    <w:rsid w:val="00CF7EFC"/>
    <w:rsid w:val="00D005DA"/>
    <w:rsid w:val="00D00E23"/>
    <w:rsid w:val="00D01167"/>
    <w:rsid w:val="00D01176"/>
    <w:rsid w:val="00D018E5"/>
    <w:rsid w:val="00D02803"/>
    <w:rsid w:val="00D02A7A"/>
    <w:rsid w:val="00D03C34"/>
    <w:rsid w:val="00D042FD"/>
    <w:rsid w:val="00D04E61"/>
    <w:rsid w:val="00D054CD"/>
    <w:rsid w:val="00D05548"/>
    <w:rsid w:val="00D06C80"/>
    <w:rsid w:val="00D06F2F"/>
    <w:rsid w:val="00D07550"/>
    <w:rsid w:val="00D076B2"/>
    <w:rsid w:val="00D0779B"/>
    <w:rsid w:val="00D07ED9"/>
    <w:rsid w:val="00D1036B"/>
    <w:rsid w:val="00D10882"/>
    <w:rsid w:val="00D10925"/>
    <w:rsid w:val="00D10926"/>
    <w:rsid w:val="00D10A72"/>
    <w:rsid w:val="00D10E49"/>
    <w:rsid w:val="00D11A84"/>
    <w:rsid w:val="00D11C31"/>
    <w:rsid w:val="00D11ED5"/>
    <w:rsid w:val="00D13311"/>
    <w:rsid w:val="00D13342"/>
    <w:rsid w:val="00D13CF6"/>
    <w:rsid w:val="00D13F9F"/>
    <w:rsid w:val="00D14547"/>
    <w:rsid w:val="00D14618"/>
    <w:rsid w:val="00D14788"/>
    <w:rsid w:val="00D15091"/>
    <w:rsid w:val="00D1545E"/>
    <w:rsid w:val="00D15FED"/>
    <w:rsid w:val="00D16064"/>
    <w:rsid w:val="00D1634F"/>
    <w:rsid w:val="00D16BCE"/>
    <w:rsid w:val="00D16DF8"/>
    <w:rsid w:val="00D17B66"/>
    <w:rsid w:val="00D20949"/>
    <w:rsid w:val="00D212FB"/>
    <w:rsid w:val="00D21F8E"/>
    <w:rsid w:val="00D22468"/>
    <w:rsid w:val="00D228E9"/>
    <w:rsid w:val="00D229C6"/>
    <w:rsid w:val="00D22F32"/>
    <w:rsid w:val="00D2310C"/>
    <w:rsid w:val="00D23136"/>
    <w:rsid w:val="00D233F3"/>
    <w:rsid w:val="00D234F4"/>
    <w:rsid w:val="00D23820"/>
    <w:rsid w:val="00D23D44"/>
    <w:rsid w:val="00D24766"/>
    <w:rsid w:val="00D248BF"/>
    <w:rsid w:val="00D25653"/>
    <w:rsid w:val="00D2565A"/>
    <w:rsid w:val="00D25929"/>
    <w:rsid w:val="00D25996"/>
    <w:rsid w:val="00D26AE2"/>
    <w:rsid w:val="00D26BB6"/>
    <w:rsid w:val="00D2764A"/>
    <w:rsid w:val="00D276C3"/>
    <w:rsid w:val="00D277E0"/>
    <w:rsid w:val="00D27A7C"/>
    <w:rsid w:val="00D27FD8"/>
    <w:rsid w:val="00D30779"/>
    <w:rsid w:val="00D30971"/>
    <w:rsid w:val="00D30E01"/>
    <w:rsid w:val="00D31278"/>
    <w:rsid w:val="00D315DF"/>
    <w:rsid w:val="00D31642"/>
    <w:rsid w:val="00D316CF"/>
    <w:rsid w:val="00D31D23"/>
    <w:rsid w:val="00D324F8"/>
    <w:rsid w:val="00D3275A"/>
    <w:rsid w:val="00D3317A"/>
    <w:rsid w:val="00D33372"/>
    <w:rsid w:val="00D33675"/>
    <w:rsid w:val="00D336A2"/>
    <w:rsid w:val="00D336F4"/>
    <w:rsid w:val="00D337D9"/>
    <w:rsid w:val="00D3430E"/>
    <w:rsid w:val="00D34E73"/>
    <w:rsid w:val="00D34F32"/>
    <w:rsid w:val="00D355B4"/>
    <w:rsid w:val="00D35EB7"/>
    <w:rsid w:val="00D40819"/>
    <w:rsid w:val="00D40A7B"/>
    <w:rsid w:val="00D40CA9"/>
    <w:rsid w:val="00D40FD6"/>
    <w:rsid w:val="00D41013"/>
    <w:rsid w:val="00D414A4"/>
    <w:rsid w:val="00D427A0"/>
    <w:rsid w:val="00D42932"/>
    <w:rsid w:val="00D42B14"/>
    <w:rsid w:val="00D42CCB"/>
    <w:rsid w:val="00D431B1"/>
    <w:rsid w:val="00D434A1"/>
    <w:rsid w:val="00D43E78"/>
    <w:rsid w:val="00D44317"/>
    <w:rsid w:val="00D44722"/>
    <w:rsid w:val="00D44A94"/>
    <w:rsid w:val="00D464CE"/>
    <w:rsid w:val="00D4677A"/>
    <w:rsid w:val="00D4698F"/>
    <w:rsid w:val="00D46AD7"/>
    <w:rsid w:val="00D472D1"/>
    <w:rsid w:val="00D4768F"/>
    <w:rsid w:val="00D4784D"/>
    <w:rsid w:val="00D50752"/>
    <w:rsid w:val="00D50843"/>
    <w:rsid w:val="00D508CB"/>
    <w:rsid w:val="00D50F15"/>
    <w:rsid w:val="00D512F4"/>
    <w:rsid w:val="00D51365"/>
    <w:rsid w:val="00D5147E"/>
    <w:rsid w:val="00D51995"/>
    <w:rsid w:val="00D52DE3"/>
    <w:rsid w:val="00D53B1A"/>
    <w:rsid w:val="00D53EA1"/>
    <w:rsid w:val="00D54E62"/>
    <w:rsid w:val="00D55D51"/>
    <w:rsid w:val="00D56059"/>
    <w:rsid w:val="00D560FE"/>
    <w:rsid w:val="00D56850"/>
    <w:rsid w:val="00D5698A"/>
    <w:rsid w:val="00D56D9E"/>
    <w:rsid w:val="00D5730F"/>
    <w:rsid w:val="00D57D56"/>
    <w:rsid w:val="00D57EE0"/>
    <w:rsid w:val="00D60D00"/>
    <w:rsid w:val="00D60EBA"/>
    <w:rsid w:val="00D62142"/>
    <w:rsid w:val="00D62495"/>
    <w:rsid w:val="00D62F8C"/>
    <w:rsid w:val="00D632F8"/>
    <w:rsid w:val="00D63D81"/>
    <w:rsid w:val="00D6419F"/>
    <w:rsid w:val="00D652CD"/>
    <w:rsid w:val="00D65467"/>
    <w:rsid w:val="00D6549D"/>
    <w:rsid w:val="00D658B9"/>
    <w:rsid w:val="00D65CA9"/>
    <w:rsid w:val="00D660E9"/>
    <w:rsid w:val="00D661F6"/>
    <w:rsid w:val="00D6632A"/>
    <w:rsid w:val="00D66499"/>
    <w:rsid w:val="00D665A4"/>
    <w:rsid w:val="00D66BA4"/>
    <w:rsid w:val="00D66C00"/>
    <w:rsid w:val="00D66CE9"/>
    <w:rsid w:val="00D66DEB"/>
    <w:rsid w:val="00D66FA2"/>
    <w:rsid w:val="00D66FEB"/>
    <w:rsid w:val="00D67115"/>
    <w:rsid w:val="00D679F0"/>
    <w:rsid w:val="00D67BE0"/>
    <w:rsid w:val="00D70652"/>
    <w:rsid w:val="00D70BF0"/>
    <w:rsid w:val="00D7151B"/>
    <w:rsid w:val="00D71B62"/>
    <w:rsid w:val="00D72664"/>
    <w:rsid w:val="00D72BA3"/>
    <w:rsid w:val="00D72C45"/>
    <w:rsid w:val="00D731DA"/>
    <w:rsid w:val="00D7341D"/>
    <w:rsid w:val="00D73775"/>
    <w:rsid w:val="00D73F73"/>
    <w:rsid w:val="00D7407E"/>
    <w:rsid w:val="00D74116"/>
    <w:rsid w:val="00D74585"/>
    <w:rsid w:val="00D748EC"/>
    <w:rsid w:val="00D74BDC"/>
    <w:rsid w:val="00D74BE4"/>
    <w:rsid w:val="00D74F91"/>
    <w:rsid w:val="00D754B9"/>
    <w:rsid w:val="00D75940"/>
    <w:rsid w:val="00D75DC7"/>
    <w:rsid w:val="00D75EB0"/>
    <w:rsid w:val="00D7607E"/>
    <w:rsid w:val="00D764DB"/>
    <w:rsid w:val="00D7660E"/>
    <w:rsid w:val="00D7669B"/>
    <w:rsid w:val="00D76C29"/>
    <w:rsid w:val="00D77987"/>
    <w:rsid w:val="00D77FE3"/>
    <w:rsid w:val="00D800BB"/>
    <w:rsid w:val="00D80B9C"/>
    <w:rsid w:val="00D80E45"/>
    <w:rsid w:val="00D8120C"/>
    <w:rsid w:val="00D816DF"/>
    <w:rsid w:val="00D818CA"/>
    <w:rsid w:val="00D81A8E"/>
    <w:rsid w:val="00D81D80"/>
    <w:rsid w:val="00D81F56"/>
    <w:rsid w:val="00D82179"/>
    <w:rsid w:val="00D82853"/>
    <w:rsid w:val="00D82906"/>
    <w:rsid w:val="00D82EA4"/>
    <w:rsid w:val="00D82F49"/>
    <w:rsid w:val="00D8332F"/>
    <w:rsid w:val="00D8365E"/>
    <w:rsid w:val="00D839D1"/>
    <w:rsid w:val="00D84004"/>
    <w:rsid w:val="00D841E0"/>
    <w:rsid w:val="00D84207"/>
    <w:rsid w:val="00D8460D"/>
    <w:rsid w:val="00D84B50"/>
    <w:rsid w:val="00D85D2D"/>
    <w:rsid w:val="00D85FE2"/>
    <w:rsid w:val="00D86A25"/>
    <w:rsid w:val="00D87275"/>
    <w:rsid w:val="00D8738B"/>
    <w:rsid w:val="00D87413"/>
    <w:rsid w:val="00D877C6"/>
    <w:rsid w:val="00D9094C"/>
    <w:rsid w:val="00D90D3E"/>
    <w:rsid w:val="00D913DB"/>
    <w:rsid w:val="00D91810"/>
    <w:rsid w:val="00D91FB8"/>
    <w:rsid w:val="00D92978"/>
    <w:rsid w:val="00D92997"/>
    <w:rsid w:val="00D92F03"/>
    <w:rsid w:val="00D930D3"/>
    <w:rsid w:val="00D932AE"/>
    <w:rsid w:val="00D93A10"/>
    <w:rsid w:val="00D9425B"/>
    <w:rsid w:val="00D96073"/>
    <w:rsid w:val="00D96638"/>
    <w:rsid w:val="00D96E72"/>
    <w:rsid w:val="00D97280"/>
    <w:rsid w:val="00D972CE"/>
    <w:rsid w:val="00DA011A"/>
    <w:rsid w:val="00DA01E2"/>
    <w:rsid w:val="00DA1009"/>
    <w:rsid w:val="00DA12E7"/>
    <w:rsid w:val="00DA1F8C"/>
    <w:rsid w:val="00DA2418"/>
    <w:rsid w:val="00DA2510"/>
    <w:rsid w:val="00DA2972"/>
    <w:rsid w:val="00DA3AE6"/>
    <w:rsid w:val="00DA3DE7"/>
    <w:rsid w:val="00DA3EE6"/>
    <w:rsid w:val="00DA4411"/>
    <w:rsid w:val="00DA4617"/>
    <w:rsid w:val="00DA4A1F"/>
    <w:rsid w:val="00DA5088"/>
    <w:rsid w:val="00DA5AA1"/>
    <w:rsid w:val="00DA5B62"/>
    <w:rsid w:val="00DA5F6D"/>
    <w:rsid w:val="00DA623C"/>
    <w:rsid w:val="00DA6AB6"/>
    <w:rsid w:val="00DA6B98"/>
    <w:rsid w:val="00DA7639"/>
    <w:rsid w:val="00DA792D"/>
    <w:rsid w:val="00DB05F1"/>
    <w:rsid w:val="00DB0BCE"/>
    <w:rsid w:val="00DB13CE"/>
    <w:rsid w:val="00DB1E71"/>
    <w:rsid w:val="00DB2533"/>
    <w:rsid w:val="00DB2892"/>
    <w:rsid w:val="00DB2B76"/>
    <w:rsid w:val="00DB2DFB"/>
    <w:rsid w:val="00DB2EFD"/>
    <w:rsid w:val="00DB35AD"/>
    <w:rsid w:val="00DB3AF6"/>
    <w:rsid w:val="00DB3CB8"/>
    <w:rsid w:val="00DB3F34"/>
    <w:rsid w:val="00DB42B4"/>
    <w:rsid w:val="00DB43F2"/>
    <w:rsid w:val="00DB4468"/>
    <w:rsid w:val="00DB476F"/>
    <w:rsid w:val="00DB4A70"/>
    <w:rsid w:val="00DB4BC1"/>
    <w:rsid w:val="00DB4C72"/>
    <w:rsid w:val="00DB5076"/>
    <w:rsid w:val="00DB536C"/>
    <w:rsid w:val="00DB573C"/>
    <w:rsid w:val="00DB5D1B"/>
    <w:rsid w:val="00DB605F"/>
    <w:rsid w:val="00DB6597"/>
    <w:rsid w:val="00DB6D94"/>
    <w:rsid w:val="00DB7105"/>
    <w:rsid w:val="00DB7146"/>
    <w:rsid w:val="00DB75D9"/>
    <w:rsid w:val="00DB7BC7"/>
    <w:rsid w:val="00DB7C9E"/>
    <w:rsid w:val="00DB7FEC"/>
    <w:rsid w:val="00DC04D6"/>
    <w:rsid w:val="00DC090E"/>
    <w:rsid w:val="00DC0E92"/>
    <w:rsid w:val="00DC0F0E"/>
    <w:rsid w:val="00DC23E9"/>
    <w:rsid w:val="00DC2615"/>
    <w:rsid w:val="00DC275D"/>
    <w:rsid w:val="00DC2AFE"/>
    <w:rsid w:val="00DC2BCB"/>
    <w:rsid w:val="00DC2C20"/>
    <w:rsid w:val="00DC2C26"/>
    <w:rsid w:val="00DC3087"/>
    <w:rsid w:val="00DC33FB"/>
    <w:rsid w:val="00DC351C"/>
    <w:rsid w:val="00DC3FBC"/>
    <w:rsid w:val="00DC5179"/>
    <w:rsid w:val="00DC5970"/>
    <w:rsid w:val="00DC6004"/>
    <w:rsid w:val="00DC64B2"/>
    <w:rsid w:val="00DC64DE"/>
    <w:rsid w:val="00DC667B"/>
    <w:rsid w:val="00DC682C"/>
    <w:rsid w:val="00DC6C7E"/>
    <w:rsid w:val="00DC7427"/>
    <w:rsid w:val="00DC781C"/>
    <w:rsid w:val="00DC786C"/>
    <w:rsid w:val="00DC7A09"/>
    <w:rsid w:val="00DC7DF6"/>
    <w:rsid w:val="00DD03C4"/>
    <w:rsid w:val="00DD223B"/>
    <w:rsid w:val="00DD2620"/>
    <w:rsid w:val="00DD27BD"/>
    <w:rsid w:val="00DD28E6"/>
    <w:rsid w:val="00DD2953"/>
    <w:rsid w:val="00DD2BD9"/>
    <w:rsid w:val="00DD2C3C"/>
    <w:rsid w:val="00DD319D"/>
    <w:rsid w:val="00DD380C"/>
    <w:rsid w:val="00DD3E3F"/>
    <w:rsid w:val="00DD4308"/>
    <w:rsid w:val="00DD436A"/>
    <w:rsid w:val="00DD4D2C"/>
    <w:rsid w:val="00DD67A8"/>
    <w:rsid w:val="00DD6AB6"/>
    <w:rsid w:val="00DD6B67"/>
    <w:rsid w:val="00DD6D4B"/>
    <w:rsid w:val="00DD73D2"/>
    <w:rsid w:val="00DD784E"/>
    <w:rsid w:val="00DD799D"/>
    <w:rsid w:val="00DD7C43"/>
    <w:rsid w:val="00DD7E4D"/>
    <w:rsid w:val="00DE06C8"/>
    <w:rsid w:val="00DE070E"/>
    <w:rsid w:val="00DE088D"/>
    <w:rsid w:val="00DE0D66"/>
    <w:rsid w:val="00DE1094"/>
    <w:rsid w:val="00DE20EB"/>
    <w:rsid w:val="00DE226C"/>
    <w:rsid w:val="00DE2435"/>
    <w:rsid w:val="00DE2B1D"/>
    <w:rsid w:val="00DE3293"/>
    <w:rsid w:val="00DE3A9F"/>
    <w:rsid w:val="00DE3D63"/>
    <w:rsid w:val="00DE48F7"/>
    <w:rsid w:val="00DE4921"/>
    <w:rsid w:val="00DE538D"/>
    <w:rsid w:val="00DE55EF"/>
    <w:rsid w:val="00DE55F6"/>
    <w:rsid w:val="00DE56EC"/>
    <w:rsid w:val="00DE595C"/>
    <w:rsid w:val="00DE64A2"/>
    <w:rsid w:val="00DE64F4"/>
    <w:rsid w:val="00DE6A27"/>
    <w:rsid w:val="00DF0AE0"/>
    <w:rsid w:val="00DF0C1B"/>
    <w:rsid w:val="00DF1965"/>
    <w:rsid w:val="00DF2203"/>
    <w:rsid w:val="00DF231C"/>
    <w:rsid w:val="00DF26B9"/>
    <w:rsid w:val="00DF2904"/>
    <w:rsid w:val="00DF2BC2"/>
    <w:rsid w:val="00DF2D56"/>
    <w:rsid w:val="00DF2F63"/>
    <w:rsid w:val="00DF2FED"/>
    <w:rsid w:val="00DF31FF"/>
    <w:rsid w:val="00DF3BBB"/>
    <w:rsid w:val="00DF446E"/>
    <w:rsid w:val="00DF49D7"/>
    <w:rsid w:val="00DF4B9F"/>
    <w:rsid w:val="00DF4C20"/>
    <w:rsid w:val="00DF4C6F"/>
    <w:rsid w:val="00DF4E4C"/>
    <w:rsid w:val="00DF5946"/>
    <w:rsid w:val="00DF5CB8"/>
    <w:rsid w:val="00DF5E9D"/>
    <w:rsid w:val="00DF6289"/>
    <w:rsid w:val="00DF62CF"/>
    <w:rsid w:val="00DF6336"/>
    <w:rsid w:val="00DF6B0F"/>
    <w:rsid w:val="00DF6B5E"/>
    <w:rsid w:val="00DF7A0C"/>
    <w:rsid w:val="00DF7DE1"/>
    <w:rsid w:val="00E000D2"/>
    <w:rsid w:val="00E004EA"/>
    <w:rsid w:val="00E00D89"/>
    <w:rsid w:val="00E01061"/>
    <w:rsid w:val="00E0111B"/>
    <w:rsid w:val="00E01164"/>
    <w:rsid w:val="00E01DE9"/>
    <w:rsid w:val="00E01E48"/>
    <w:rsid w:val="00E0215F"/>
    <w:rsid w:val="00E02398"/>
    <w:rsid w:val="00E0273C"/>
    <w:rsid w:val="00E02C24"/>
    <w:rsid w:val="00E02DDA"/>
    <w:rsid w:val="00E035F2"/>
    <w:rsid w:val="00E0384D"/>
    <w:rsid w:val="00E0388C"/>
    <w:rsid w:val="00E04148"/>
    <w:rsid w:val="00E043A1"/>
    <w:rsid w:val="00E04560"/>
    <w:rsid w:val="00E04602"/>
    <w:rsid w:val="00E0493E"/>
    <w:rsid w:val="00E050DB"/>
    <w:rsid w:val="00E05131"/>
    <w:rsid w:val="00E05427"/>
    <w:rsid w:val="00E0586F"/>
    <w:rsid w:val="00E05C08"/>
    <w:rsid w:val="00E05E10"/>
    <w:rsid w:val="00E067B7"/>
    <w:rsid w:val="00E0688E"/>
    <w:rsid w:val="00E06BD0"/>
    <w:rsid w:val="00E0712A"/>
    <w:rsid w:val="00E07277"/>
    <w:rsid w:val="00E07311"/>
    <w:rsid w:val="00E07663"/>
    <w:rsid w:val="00E10137"/>
    <w:rsid w:val="00E108B7"/>
    <w:rsid w:val="00E115F5"/>
    <w:rsid w:val="00E11705"/>
    <w:rsid w:val="00E118CC"/>
    <w:rsid w:val="00E119C9"/>
    <w:rsid w:val="00E11FB4"/>
    <w:rsid w:val="00E1320E"/>
    <w:rsid w:val="00E133A5"/>
    <w:rsid w:val="00E13A71"/>
    <w:rsid w:val="00E13C54"/>
    <w:rsid w:val="00E143C5"/>
    <w:rsid w:val="00E148ED"/>
    <w:rsid w:val="00E14A4A"/>
    <w:rsid w:val="00E14AA2"/>
    <w:rsid w:val="00E14C27"/>
    <w:rsid w:val="00E15254"/>
    <w:rsid w:val="00E15AD3"/>
    <w:rsid w:val="00E15BAC"/>
    <w:rsid w:val="00E15E84"/>
    <w:rsid w:val="00E17747"/>
    <w:rsid w:val="00E17D5D"/>
    <w:rsid w:val="00E17DB9"/>
    <w:rsid w:val="00E204D9"/>
    <w:rsid w:val="00E21363"/>
    <w:rsid w:val="00E21FAE"/>
    <w:rsid w:val="00E22731"/>
    <w:rsid w:val="00E22952"/>
    <w:rsid w:val="00E22BFC"/>
    <w:rsid w:val="00E22C7F"/>
    <w:rsid w:val="00E22D35"/>
    <w:rsid w:val="00E22FB8"/>
    <w:rsid w:val="00E24DA9"/>
    <w:rsid w:val="00E2519C"/>
    <w:rsid w:val="00E2528D"/>
    <w:rsid w:val="00E25558"/>
    <w:rsid w:val="00E25653"/>
    <w:rsid w:val="00E2683E"/>
    <w:rsid w:val="00E268B2"/>
    <w:rsid w:val="00E26A8F"/>
    <w:rsid w:val="00E26CA8"/>
    <w:rsid w:val="00E26F2E"/>
    <w:rsid w:val="00E278A5"/>
    <w:rsid w:val="00E27990"/>
    <w:rsid w:val="00E27AF4"/>
    <w:rsid w:val="00E302FF"/>
    <w:rsid w:val="00E306C4"/>
    <w:rsid w:val="00E30D65"/>
    <w:rsid w:val="00E318A6"/>
    <w:rsid w:val="00E31C3F"/>
    <w:rsid w:val="00E329E3"/>
    <w:rsid w:val="00E3362E"/>
    <w:rsid w:val="00E33AF9"/>
    <w:rsid w:val="00E34B94"/>
    <w:rsid w:val="00E35885"/>
    <w:rsid w:val="00E35C9B"/>
    <w:rsid w:val="00E35ED8"/>
    <w:rsid w:val="00E36410"/>
    <w:rsid w:val="00E366CC"/>
    <w:rsid w:val="00E36A40"/>
    <w:rsid w:val="00E37310"/>
    <w:rsid w:val="00E37474"/>
    <w:rsid w:val="00E377C1"/>
    <w:rsid w:val="00E37B0D"/>
    <w:rsid w:val="00E37C35"/>
    <w:rsid w:val="00E40AC8"/>
    <w:rsid w:val="00E40BB2"/>
    <w:rsid w:val="00E417F5"/>
    <w:rsid w:val="00E41D61"/>
    <w:rsid w:val="00E4228E"/>
    <w:rsid w:val="00E42B18"/>
    <w:rsid w:val="00E42BFF"/>
    <w:rsid w:val="00E42E5F"/>
    <w:rsid w:val="00E43C57"/>
    <w:rsid w:val="00E440F1"/>
    <w:rsid w:val="00E44184"/>
    <w:rsid w:val="00E44CE1"/>
    <w:rsid w:val="00E452A3"/>
    <w:rsid w:val="00E455F6"/>
    <w:rsid w:val="00E45D01"/>
    <w:rsid w:val="00E45ED3"/>
    <w:rsid w:val="00E4601F"/>
    <w:rsid w:val="00E466B8"/>
    <w:rsid w:val="00E5073D"/>
    <w:rsid w:val="00E51F86"/>
    <w:rsid w:val="00E524F7"/>
    <w:rsid w:val="00E533A6"/>
    <w:rsid w:val="00E543BC"/>
    <w:rsid w:val="00E54A2E"/>
    <w:rsid w:val="00E54D5F"/>
    <w:rsid w:val="00E5522C"/>
    <w:rsid w:val="00E5572B"/>
    <w:rsid w:val="00E56083"/>
    <w:rsid w:val="00E5611C"/>
    <w:rsid w:val="00E563C2"/>
    <w:rsid w:val="00E564E2"/>
    <w:rsid w:val="00E56590"/>
    <w:rsid w:val="00E56DFA"/>
    <w:rsid w:val="00E57655"/>
    <w:rsid w:val="00E578AF"/>
    <w:rsid w:val="00E57943"/>
    <w:rsid w:val="00E57EF2"/>
    <w:rsid w:val="00E60065"/>
    <w:rsid w:val="00E60182"/>
    <w:rsid w:val="00E604FE"/>
    <w:rsid w:val="00E60E61"/>
    <w:rsid w:val="00E6100B"/>
    <w:rsid w:val="00E61341"/>
    <w:rsid w:val="00E6182F"/>
    <w:rsid w:val="00E61BBD"/>
    <w:rsid w:val="00E61C74"/>
    <w:rsid w:val="00E62069"/>
    <w:rsid w:val="00E62307"/>
    <w:rsid w:val="00E625D8"/>
    <w:rsid w:val="00E63300"/>
    <w:rsid w:val="00E63AA5"/>
    <w:rsid w:val="00E63B2F"/>
    <w:rsid w:val="00E63DDD"/>
    <w:rsid w:val="00E63F30"/>
    <w:rsid w:val="00E64048"/>
    <w:rsid w:val="00E64699"/>
    <w:rsid w:val="00E65A60"/>
    <w:rsid w:val="00E6621A"/>
    <w:rsid w:val="00E6624B"/>
    <w:rsid w:val="00E663C0"/>
    <w:rsid w:val="00E66824"/>
    <w:rsid w:val="00E66DA0"/>
    <w:rsid w:val="00E66F58"/>
    <w:rsid w:val="00E678F6"/>
    <w:rsid w:val="00E679CB"/>
    <w:rsid w:val="00E67CDB"/>
    <w:rsid w:val="00E704B5"/>
    <w:rsid w:val="00E70968"/>
    <w:rsid w:val="00E709BB"/>
    <w:rsid w:val="00E70AAE"/>
    <w:rsid w:val="00E70BF3"/>
    <w:rsid w:val="00E717AC"/>
    <w:rsid w:val="00E71F65"/>
    <w:rsid w:val="00E72774"/>
    <w:rsid w:val="00E72C68"/>
    <w:rsid w:val="00E72CEE"/>
    <w:rsid w:val="00E72DEB"/>
    <w:rsid w:val="00E72E42"/>
    <w:rsid w:val="00E72E4B"/>
    <w:rsid w:val="00E734C3"/>
    <w:rsid w:val="00E734E0"/>
    <w:rsid w:val="00E73929"/>
    <w:rsid w:val="00E73A0B"/>
    <w:rsid w:val="00E73E9B"/>
    <w:rsid w:val="00E74ED4"/>
    <w:rsid w:val="00E75774"/>
    <w:rsid w:val="00E760C2"/>
    <w:rsid w:val="00E766F7"/>
    <w:rsid w:val="00E7673F"/>
    <w:rsid w:val="00E7678C"/>
    <w:rsid w:val="00E768E7"/>
    <w:rsid w:val="00E76E34"/>
    <w:rsid w:val="00E76E73"/>
    <w:rsid w:val="00E77316"/>
    <w:rsid w:val="00E77578"/>
    <w:rsid w:val="00E8007F"/>
    <w:rsid w:val="00E80B53"/>
    <w:rsid w:val="00E811B2"/>
    <w:rsid w:val="00E81726"/>
    <w:rsid w:val="00E82922"/>
    <w:rsid w:val="00E82C9E"/>
    <w:rsid w:val="00E83770"/>
    <w:rsid w:val="00E83B69"/>
    <w:rsid w:val="00E83C5A"/>
    <w:rsid w:val="00E83F9F"/>
    <w:rsid w:val="00E84644"/>
    <w:rsid w:val="00E84792"/>
    <w:rsid w:val="00E84FFD"/>
    <w:rsid w:val="00E851C1"/>
    <w:rsid w:val="00E8544C"/>
    <w:rsid w:val="00E85995"/>
    <w:rsid w:val="00E8599D"/>
    <w:rsid w:val="00E8625E"/>
    <w:rsid w:val="00E8629F"/>
    <w:rsid w:val="00E86561"/>
    <w:rsid w:val="00E86601"/>
    <w:rsid w:val="00E86FBA"/>
    <w:rsid w:val="00E87263"/>
    <w:rsid w:val="00E87A33"/>
    <w:rsid w:val="00E908AC"/>
    <w:rsid w:val="00E90C78"/>
    <w:rsid w:val="00E91047"/>
    <w:rsid w:val="00E91BBC"/>
    <w:rsid w:val="00E91D5C"/>
    <w:rsid w:val="00E92424"/>
    <w:rsid w:val="00E927ED"/>
    <w:rsid w:val="00E92966"/>
    <w:rsid w:val="00E92CE5"/>
    <w:rsid w:val="00E9352B"/>
    <w:rsid w:val="00E93C07"/>
    <w:rsid w:val="00E94832"/>
    <w:rsid w:val="00E9483D"/>
    <w:rsid w:val="00E94BBA"/>
    <w:rsid w:val="00E95055"/>
    <w:rsid w:val="00E9527A"/>
    <w:rsid w:val="00E95419"/>
    <w:rsid w:val="00E9563F"/>
    <w:rsid w:val="00E95A76"/>
    <w:rsid w:val="00E95C25"/>
    <w:rsid w:val="00E95E02"/>
    <w:rsid w:val="00E95E07"/>
    <w:rsid w:val="00E964B1"/>
    <w:rsid w:val="00E969EB"/>
    <w:rsid w:val="00E96C7F"/>
    <w:rsid w:val="00E96D55"/>
    <w:rsid w:val="00E96D99"/>
    <w:rsid w:val="00E97824"/>
    <w:rsid w:val="00E97CC1"/>
    <w:rsid w:val="00EA0147"/>
    <w:rsid w:val="00EA09AB"/>
    <w:rsid w:val="00EA09DB"/>
    <w:rsid w:val="00EA0E3F"/>
    <w:rsid w:val="00EA1B91"/>
    <w:rsid w:val="00EA246E"/>
    <w:rsid w:val="00EA47F5"/>
    <w:rsid w:val="00EA5041"/>
    <w:rsid w:val="00EA5BB6"/>
    <w:rsid w:val="00EA5FA4"/>
    <w:rsid w:val="00EA5FE8"/>
    <w:rsid w:val="00EA6404"/>
    <w:rsid w:val="00EA69EE"/>
    <w:rsid w:val="00EA6A2C"/>
    <w:rsid w:val="00EA6B5F"/>
    <w:rsid w:val="00EA6DDF"/>
    <w:rsid w:val="00EA7349"/>
    <w:rsid w:val="00EA7AE6"/>
    <w:rsid w:val="00EA7B76"/>
    <w:rsid w:val="00EB062B"/>
    <w:rsid w:val="00EB111A"/>
    <w:rsid w:val="00EB1344"/>
    <w:rsid w:val="00EB18C1"/>
    <w:rsid w:val="00EB199D"/>
    <w:rsid w:val="00EB1EB1"/>
    <w:rsid w:val="00EB3071"/>
    <w:rsid w:val="00EB3416"/>
    <w:rsid w:val="00EB385B"/>
    <w:rsid w:val="00EB3A9F"/>
    <w:rsid w:val="00EB451E"/>
    <w:rsid w:val="00EB4E12"/>
    <w:rsid w:val="00EB5053"/>
    <w:rsid w:val="00EB5596"/>
    <w:rsid w:val="00EB5885"/>
    <w:rsid w:val="00EB5B7E"/>
    <w:rsid w:val="00EB63AA"/>
    <w:rsid w:val="00EB6928"/>
    <w:rsid w:val="00EB6A68"/>
    <w:rsid w:val="00EB6B7D"/>
    <w:rsid w:val="00EB6BE3"/>
    <w:rsid w:val="00EB7140"/>
    <w:rsid w:val="00EB797F"/>
    <w:rsid w:val="00EC05E3"/>
    <w:rsid w:val="00EC06D7"/>
    <w:rsid w:val="00EC1137"/>
    <w:rsid w:val="00EC14F6"/>
    <w:rsid w:val="00EC1A40"/>
    <w:rsid w:val="00EC1A9D"/>
    <w:rsid w:val="00EC1FE3"/>
    <w:rsid w:val="00EC26C2"/>
    <w:rsid w:val="00EC2959"/>
    <w:rsid w:val="00EC2C34"/>
    <w:rsid w:val="00EC3678"/>
    <w:rsid w:val="00EC3AD5"/>
    <w:rsid w:val="00EC3D7C"/>
    <w:rsid w:val="00EC3DE5"/>
    <w:rsid w:val="00EC4BEC"/>
    <w:rsid w:val="00EC4C5C"/>
    <w:rsid w:val="00EC5757"/>
    <w:rsid w:val="00EC579A"/>
    <w:rsid w:val="00EC5A85"/>
    <w:rsid w:val="00EC5AEB"/>
    <w:rsid w:val="00EC6374"/>
    <w:rsid w:val="00EC63AB"/>
    <w:rsid w:val="00EC6A15"/>
    <w:rsid w:val="00EC78B0"/>
    <w:rsid w:val="00EC793E"/>
    <w:rsid w:val="00EC7AC6"/>
    <w:rsid w:val="00EC7BA5"/>
    <w:rsid w:val="00EC7C50"/>
    <w:rsid w:val="00ED020F"/>
    <w:rsid w:val="00ED0F6B"/>
    <w:rsid w:val="00ED1296"/>
    <w:rsid w:val="00ED135C"/>
    <w:rsid w:val="00ED14DB"/>
    <w:rsid w:val="00ED1A88"/>
    <w:rsid w:val="00ED21AA"/>
    <w:rsid w:val="00ED242F"/>
    <w:rsid w:val="00ED2AEB"/>
    <w:rsid w:val="00ED3066"/>
    <w:rsid w:val="00ED3114"/>
    <w:rsid w:val="00ED3128"/>
    <w:rsid w:val="00ED338F"/>
    <w:rsid w:val="00ED434C"/>
    <w:rsid w:val="00ED44CB"/>
    <w:rsid w:val="00ED4A10"/>
    <w:rsid w:val="00ED4E8B"/>
    <w:rsid w:val="00ED518E"/>
    <w:rsid w:val="00ED54A0"/>
    <w:rsid w:val="00ED54C8"/>
    <w:rsid w:val="00ED58DF"/>
    <w:rsid w:val="00ED5A27"/>
    <w:rsid w:val="00ED5D20"/>
    <w:rsid w:val="00ED5FD3"/>
    <w:rsid w:val="00ED6208"/>
    <w:rsid w:val="00ED6362"/>
    <w:rsid w:val="00ED739C"/>
    <w:rsid w:val="00ED73A2"/>
    <w:rsid w:val="00ED74AF"/>
    <w:rsid w:val="00ED7DB1"/>
    <w:rsid w:val="00ED7ED6"/>
    <w:rsid w:val="00EE0227"/>
    <w:rsid w:val="00EE0ECB"/>
    <w:rsid w:val="00EE12FF"/>
    <w:rsid w:val="00EE15F8"/>
    <w:rsid w:val="00EE1E32"/>
    <w:rsid w:val="00EE2D7D"/>
    <w:rsid w:val="00EE3B2D"/>
    <w:rsid w:val="00EE4947"/>
    <w:rsid w:val="00EE4F3A"/>
    <w:rsid w:val="00EE5BDB"/>
    <w:rsid w:val="00EE5F06"/>
    <w:rsid w:val="00EE5F68"/>
    <w:rsid w:val="00EE6046"/>
    <w:rsid w:val="00EE68E4"/>
    <w:rsid w:val="00EE68EB"/>
    <w:rsid w:val="00EE6970"/>
    <w:rsid w:val="00EE6C70"/>
    <w:rsid w:val="00EE73C3"/>
    <w:rsid w:val="00EE7611"/>
    <w:rsid w:val="00EE7AF4"/>
    <w:rsid w:val="00EE7F13"/>
    <w:rsid w:val="00EF002A"/>
    <w:rsid w:val="00EF0548"/>
    <w:rsid w:val="00EF0577"/>
    <w:rsid w:val="00EF0796"/>
    <w:rsid w:val="00EF175A"/>
    <w:rsid w:val="00EF241F"/>
    <w:rsid w:val="00EF35EB"/>
    <w:rsid w:val="00EF36F3"/>
    <w:rsid w:val="00EF3B00"/>
    <w:rsid w:val="00EF3F0F"/>
    <w:rsid w:val="00EF420E"/>
    <w:rsid w:val="00EF461C"/>
    <w:rsid w:val="00EF491D"/>
    <w:rsid w:val="00EF4A7D"/>
    <w:rsid w:val="00EF54E3"/>
    <w:rsid w:val="00EF5BDD"/>
    <w:rsid w:val="00EF5F51"/>
    <w:rsid w:val="00EF6004"/>
    <w:rsid w:val="00EF7C8D"/>
    <w:rsid w:val="00F004D2"/>
    <w:rsid w:val="00F00AE7"/>
    <w:rsid w:val="00F01171"/>
    <w:rsid w:val="00F01193"/>
    <w:rsid w:val="00F01744"/>
    <w:rsid w:val="00F0238B"/>
    <w:rsid w:val="00F031D3"/>
    <w:rsid w:val="00F0325F"/>
    <w:rsid w:val="00F03338"/>
    <w:rsid w:val="00F043CD"/>
    <w:rsid w:val="00F04BEA"/>
    <w:rsid w:val="00F04CF7"/>
    <w:rsid w:val="00F04FBE"/>
    <w:rsid w:val="00F04FF6"/>
    <w:rsid w:val="00F0519F"/>
    <w:rsid w:val="00F059B7"/>
    <w:rsid w:val="00F05B4B"/>
    <w:rsid w:val="00F06333"/>
    <w:rsid w:val="00F066BE"/>
    <w:rsid w:val="00F06794"/>
    <w:rsid w:val="00F069F2"/>
    <w:rsid w:val="00F06E69"/>
    <w:rsid w:val="00F06E91"/>
    <w:rsid w:val="00F070A0"/>
    <w:rsid w:val="00F07446"/>
    <w:rsid w:val="00F1014B"/>
    <w:rsid w:val="00F1082B"/>
    <w:rsid w:val="00F112AC"/>
    <w:rsid w:val="00F1197C"/>
    <w:rsid w:val="00F12FC2"/>
    <w:rsid w:val="00F13608"/>
    <w:rsid w:val="00F137CD"/>
    <w:rsid w:val="00F13CB7"/>
    <w:rsid w:val="00F13E69"/>
    <w:rsid w:val="00F14046"/>
    <w:rsid w:val="00F143FC"/>
    <w:rsid w:val="00F147D9"/>
    <w:rsid w:val="00F14CF7"/>
    <w:rsid w:val="00F14DCB"/>
    <w:rsid w:val="00F15309"/>
    <w:rsid w:val="00F153EB"/>
    <w:rsid w:val="00F15AFC"/>
    <w:rsid w:val="00F1609A"/>
    <w:rsid w:val="00F1780C"/>
    <w:rsid w:val="00F17CCD"/>
    <w:rsid w:val="00F2005B"/>
    <w:rsid w:val="00F203DF"/>
    <w:rsid w:val="00F20917"/>
    <w:rsid w:val="00F209D2"/>
    <w:rsid w:val="00F20E0B"/>
    <w:rsid w:val="00F20E5F"/>
    <w:rsid w:val="00F2102E"/>
    <w:rsid w:val="00F2123D"/>
    <w:rsid w:val="00F21335"/>
    <w:rsid w:val="00F21467"/>
    <w:rsid w:val="00F21991"/>
    <w:rsid w:val="00F23084"/>
    <w:rsid w:val="00F2315F"/>
    <w:rsid w:val="00F233EF"/>
    <w:rsid w:val="00F23479"/>
    <w:rsid w:val="00F23646"/>
    <w:rsid w:val="00F23C8D"/>
    <w:rsid w:val="00F241DD"/>
    <w:rsid w:val="00F244BA"/>
    <w:rsid w:val="00F24F71"/>
    <w:rsid w:val="00F25B5D"/>
    <w:rsid w:val="00F25B74"/>
    <w:rsid w:val="00F26559"/>
    <w:rsid w:val="00F265B9"/>
    <w:rsid w:val="00F2718B"/>
    <w:rsid w:val="00F30F53"/>
    <w:rsid w:val="00F31054"/>
    <w:rsid w:val="00F3138A"/>
    <w:rsid w:val="00F31EF9"/>
    <w:rsid w:val="00F32302"/>
    <w:rsid w:val="00F32392"/>
    <w:rsid w:val="00F32796"/>
    <w:rsid w:val="00F33D94"/>
    <w:rsid w:val="00F33FC6"/>
    <w:rsid w:val="00F3437A"/>
    <w:rsid w:val="00F346C8"/>
    <w:rsid w:val="00F34BD0"/>
    <w:rsid w:val="00F3615F"/>
    <w:rsid w:val="00F36349"/>
    <w:rsid w:val="00F36440"/>
    <w:rsid w:val="00F37ED2"/>
    <w:rsid w:val="00F40195"/>
    <w:rsid w:val="00F401B0"/>
    <w:rsid w:val="00F40329"/>
    <w:rsid w:val="00F40D5D"/>
    <w:rsid w:val="00F41AEC"/>
    <w:rsid w:val="00F4251F"/>
    <w:rsid w:val="00F434EA"/>
    <w:rsid w:val="00F4359F"/>
    <w:rsid w:val="00F43CA9"/>
    <w:rsid w:val="00F43CEC"/>
    <w:rsid w:val="00F440CA"/>
    <w:rsid w:val="00F441F8"/>
    <w:rsid w:val="00F4434E"/>
    <w:rsid w:val="00F44624"/>
    <w:rsid w:val="00F44930"/>
    <w:rsid w:val="00F449CC"/>
    <w:rsid w:val="00F44DDB"/>
    <w:rsid w:val="00F45419"/>
    <w:rsid w:val="00F45522"/>
    <w:rsid w:val="00F4614E"/>
    <w:rsid w:val="00F46EF2"/>
    <w:rsid w:val="00F472F0"/>
    <w:rsid w:val="00F473B2"/>
    <w:rsid w:val="00F4752B"/>
    <w:rsid w:val="00F4771C"/>
    <w:rsid w:val="00F50025"/>
    <w:rsid w:val="00F50442"/>
    <w:rsid w:val="00F50896"/>
    <w:rsid w:val="00F50DA8"/>
    <w:rsid w:val="00F51003"/>
    <w:rsid w:val="00F5169D"/>
    <w:rsid w:val="00F51828"/>
    <w:rsid w:val="00F51934"/>
    <w:rsid w:val="00F522DA"/>
    <w:rsid w:val="00F524B0"/>
    <w:rsid w:val="00F53072"/>
    <w:rsid w:val="00F531CD"/>
    <w:rsid w:val="00F5369E"/>
    <w:rsid w:val="00F53A2D"/>
    <w:rsid w:val="00F53C16"/>
    <w:rsid w:val="00F545D7"/>
    <w:rsid w:val="00F5471C"/>
    <w:rsid w:val="00F54AA5"/>
    <w:rsid w:val="00F54DBD"/>
    <w:rsid w:val="00F553F9"/>
    <w:rsid w:val="00F5555C"/>
    <w:rsid w:val="00F5568B"/>
    <w:rsid w:val="00F55720"/>
    <w:rsid w:val="00F5583B"/>
    <w:rsid w:val="00F55CEB"/>
    <w:rsid w:val="00F55FEA"/>
    <w:rsid w:val="00F56DA4"/>
    <w:rsid w:val="00F5781C"/>
    <w:rsid w:val="00F57EC7"/>
    <w:rsid w:val="00F60BB2"/>
    <w:rsid w:val="00F615BD"/>
    <w:rsid w:val="00F63D5D"/>
    <w:rsid w:val="00F63DE8"/>
    <w:rsid w:val="00F63FEE"/>
    <w:rsid w:val="00F6406F"/>
    <w:rsid w:val="00F64669"/>
    <w:rsid w:val="00F6480E"/>
    <w:rsid w:val="00F649F2"/>
    <w:rsid w:val="00F64EE5"/>
    <w:rsid w:val="00F65A92"/>
    <w:rsid w:val="00F65FDF"/>
    <w:rsid w:val="00F6600F"/>
    <w:rsid w:val="00F6629F"/>
    <w:rsid w:val="00F66763"/>
    <w:rsid w:val="00F70341"/>
    <w:rsid w:val="00F7059C"/>
    <w:rsid w:val="00F706FD"/>
    <w:rsid w:val="00F7092B"/>
    <w:rsid w:val="00F71512"/>
    <w:rsid w:val="00F7197A"/>
    <w:rsid w:val="00F7198D"/>
    <w:rsid w:val="00F7246C"/>
    <w:rsid w:val="00F72801"/>
    <w:rsid w:val="00F74261"/>
    <w:rsid w:val="00F751F2"/>
    <w:rsid w:val="00F76022"/>
    <w:rsid w:val="00F7692E"/>
    <w:rsid w:val="00F76A78"/>
    <w:rsid w:val="00F76E04"/>
    <w:rsid w:val="00F76F2E"/>
    <w:rsid w:val="00F771B0"/>
    <w:rsid w:val="00F77B5D"/>
    <w:rsid w:val="00F77BDA"/>
    <w:rsid w:val="00F802B5"/>
    <w:rsid w:val="00F803FD"/>
    <w:rsid w:val="00F809D2"/>
    <w:rsid w:val="00F816C6"/>
    <w:rsid w:val="00F820EC"/>
    <w:rsid w:val="00F824E7"/>
    <w:rsid w:val="00F8252D"/>
    <w:rsid w:val="00F82567"/>
    <w:rsid w:val="00F82834"/>
    <w:rsid w:val="00F8289B"/>
    <w:rsid w:val="00F828C3"/>
    <w:rsid w:val="00F83006"/>
    <w:rsid w:val="00F8464C"/>
    <w:rsid w:val="00F84754"/>
    <w:rsid w:val="00F84F3E"/>
    <w:rsid w:val="00F857D7"/>
    <w:rsid w:val="00F859C5"/>
    <w:rsid w:val="00F85B15"/>
    <w:rsid w:val="00F86BAA"/>
    <w:rsid w:val="00F86C12"/>
    <w:rsid w:val="00F86D9B"/>
    <w:rsid w:val="00F86EA0"/>
    <w:rsid w:val="00F871B8"/>
    <w:rsid w:val="00F8735F"/>
    <w:rsid w:val="00F90053"/>
    <w:rsid w:val="00F9023E"/>
    <w:rsid w:val="00F90399"/>
    <w:rsid w:val="00F9055C"/>
    <w:rsid w:val="00F905C0"/>
    <w:rsid w:val="00F91269"/>
    <w:rsid w:val="00F91301"/>
    <w:rsid w:val="00F91370"/>
    <w:rsid w:val="00F915F1"/>
    <w:rsid w:val="00F91D79"/>
    <w:rsid w:val="00F91DFE"/>
    <w:rsid w:val="00F91FAD"/>
    <w:rsid w:val="00F9211C"/>
    <w:rsid w:val="00F92636"/>
    <w:rsid w:val="00F92833"/>
    <w:rsid w:val="00F9386A"/>
    <w:rsid w:val="00F93D6E"/>
    <w:rsid w:val="00F9430D"/>
    <w:rsid w:val="00F9468C"/>
    <w:rsid w:val="00F94776"/>
    <w:rsid w:val="00F94C51"/>
    <w:rsid w:val="00F94C90"/>
    <w:rsid w:val="00F9599E"/>
    <w:rsid w:val="00F95A24"/>
    <w:rsid w:val="00F95C96"/>
    <w:rsid w:val="00F95D38"/>
    <w:rsid w:val="00F96111"/>
    <w:rsid w:val="00F9624B"/>
    <w:rsid w:val="00F9691B"/>
    <w:rsid w:val="00F973E0"/>
    <w:rsid w:val="00F97850"/>
    <w:rsid w:val="00F97A45"/>
    <w:rsid w:val="00FA043D"/>
    <w:rsid w:val="00FA0544"/>
    <w:rsid w:val="00FA07F4"/>
    <w:rsid w:val="00FA13C9"/>
    <w:rsid w:val="00FA152E"/>
    <w:rsid w:val="00FA16F6"/>
    <w:rsid w:val="00FA2277"/>
    <w:rsid w:val="00FA2AA0"/>
    <w:rsid w:val="00FA304B"/>
    <w:rsid w:val="00FA30B5"/>
    <w:rsid w:val="00FA32D8"/>
    <w:rsid w:val="00FA35D6"/>
    <w:rsid w:val="00FA35F2"/>
    <w:rsid w:val="00FA4093"/>
    <w:rsid w:val="00FA4774"/>
    <w:rsid w:val="00FA4C20"/>
    <w:rsid w:val="00FA5410"/>
    <w:rsid w:val="00FA5B28"/>
    <w:rsid w:val="00FA6342"/>
    <w:rsid w:val="00FA66E4"/>
    <w:rsid w:val="00FA6EC4"/>
    <w:rsid w:val="00FA74BE"/>
    <w:rsid w:val="00FB0716"/>
    <w:rsid w:val="00FB075E"/>
    <w:rsid w:val="00FB0A2C"/>
    <w:rsid w:val="00FB0ADA"/>
    <w:rsid w:val="00FB0B28"/>
    <w:rsid w:val="00FB0D8F"/>
    <w:rsid w:val="00FB0DF3"/>
    <w:rsid w:val="00FB0EF8"/>
    <w:rsid w:val="00FB1DB9"/>
    <w:rsid w:val="00FB2181"/>
    <w:rsid w:val="00FB2AE2"/>
    <w:rsid w:val="00FB2EF6"/>
    <w:rsid w:val="00FB4213"/>
    <w:rsid w:val="00FB42EF"/>
    <w:rsid w:val="00FB46C8"/>
    <w:rsid w:val="00FB56D4"/>
    <w:rsid w:val="00FB571C"/>
    <w:rsid w:val="00FB58BD"/>
    <w:rsid w:val="00FB5C37"/>
    <w:rsid w:val="00FB5CA7"/>
    <w:rsid w:val="00FB5DC8"/>
    <w:rsid w:val="00FB7004"/>
    <w:rsid w:val="00FB700B"/>
    <w:rsid w:val="00FB783C"/>
    <w:rsid w:val="00FC027D"/>
    <w:rsid w:val="00FC0DFA"/>
    <w:rsid w:val="00FC1E63"/>
    <w:rsid w:val="00FC23BE"/>
    <w:rsid w:val="00FC2C2A"/>
    <w:rsid w:val="00FC34A2"/>
    <w:rsid w:val="00FC3906"/>
    <w:rsid w:val="00FC3BDC"/>
    <w:rsid w:val="00FC41DC"/>
    <w:rsid w:val="00FC4202"/>
    <w:rsid w:val="00FC44B8"/>
    <w:rsid w:val="00FC4564"/>
    <w:rsid w:val="00FC4AB8"/>
    <w:rsid w:val="00FC5423"/>
    <w:rsid w:val="00FC5CBF"/>
    <w:rsid w:val="00FC5E72"/>
    <w:rsid w:val="00FC616D"/>
    <w:rsid w:val="00FC6293"/>
    <w:rsid w:val="00FC67F9"/>
    <w:rsid w:val="00FC73CC"/>
    <w:rsid w:val="00FC7A09"/>
    <w:rsid w:val="00FC7ADF"/>
    <w:rsid w:val="00FC7AEA"/>
    <w:rsid w:val="00FC7C68"/>
    <w:rsid w:val="00FD0225"/>
    <w:rsid w:val="00FD0C5C"/>
    <w:rsid w:val="00FD206B"/>
    <w:rsid w:val="00FD218E"/>
    <w:rsid w:val="00FD2315"/>
    <w:rsid w:val="00FD2881"/>
    <w:rsid w:val="00FD2FC1"/>
    <w:rsid w:val="00FD3360"/>
    <w:rsid w:val="00FD3505"/>
    <w:rsid w:val="00FD38C6"/>
    <w:rsid w:val="00FD4708"/>
    <w:rsid w:val="00FD4B85"/>
    <w:rsid w:val="00FD4D23"/>
    <w:rsid w:val="00FD5089"/>
    <w:rsid w:val="00FD50F2"/>
    <w:rsid w:val="00FD5231"/>
    <w:rsid w:val="00FD5652"/>
    <w:rsid w:val="00FD5CD4"/>
    <w:rsid w:val="00FD6CF8"/>
    <w:rsid w:val="00FD775F"/>
    <w:rsid w:val="00FD77E1"/>
    <w:rsid w:val="00FD7B08"/>
    <w:rsid w:val="00FD7CAA"/>
    <w:rsid w:val="00FE04B7"/>
    <w:rsid w:val="00FE06EC"/>
    <w:rsid w:val="00FE1D55"/>
    <w:rsid w:val="00FE1D69"/>
    <w:rsid w:val="00FE1EB0"/>
    <w:rsid w:val="00FE26F3"/>
    <w:rsid w:val="00FE299D"/>
    <w:rsid w:val="00FE31BC"/>
    <w:rsid w:val="00FE36E2"/>
    <w:rsid w:val="00FE4082"/>
    <w:rsid w:val="00FE42C2"/>
    <w:rsid w:val="00FE5235"/>
    <w:rsid w:val="00FE56A9"/>
    <w:rsid w:val="00FE5F7E"/>
    <w:rsid w:val="00FE6518"/>
    <w:rsid w:val="00FE6B0C"/>
    <w:rsid w:val="00FE6F06"/>
    <w:rsid w:val="00FE715F"/>
    <w:rsid w:val="00FE73D0"/>
    <w:rsid w:val="00FE7601"/>
    <w:rsid w:val="00FE7BAB"/>
    <w:rsid w:val="00FF050E"/>
    <w:rsid w:val="00FF0694"/>
    <w:rsid w:val="00FF0E83"/>
    <w:rsid w:val="00FF10E2"/>
    <w:rsid w:val="00FF1488"/>
    <w:rsid w:val="00FF14B5"/>
    <w:rsid w:val="00FF152B"/>
    <w:rsid w:val="00FF15B9"/>
    <w:rsid w:val="00FF1746"/>
    <w:rsid w:val="00FF1A15"/>
    <w:rsid w:val="00FF1AE0"/>
    <w:rsid w:val="00FF1AFB"/>
    <w:rsid w:val="00FF1B36"/>
    <w:rsid w:val="00FF1FD5"/>
    <w:rsid w:val="00FF219C"/>
    <w:rsid w:val="00FF21E6"/>
    <w:rsid w:val="00FF2663"/>
    <w:rsid w:val="00FF270E"/>
    <w:rsid w:val="00FF2FAF"/>
    <w:rsid w:val="00FF3DE4"/>
    <w:rsid w:val="00FF4487"/>
    <w:rsid w:val="00FF4FBA"/>
    <w:rsid w:val="00FF5178"/>
    <w:rsid w:val="00FF5B6C"/>
    <w:rsid w:val="00FF5BA7"/>
    <w:rsid w:val="00FF5CE6"/>
    <w:rsid w:val="00FF5FF4"/>
    <w:rsid w:val="00FF6007"/>
    <w:rsid w:val="00FF6010"/>
    <w:rsid w:val="00FF6343"/>
    <w:rsid w:val="00FF63E4"/>
    <w:rsid w:val="00FF6989"/>
    <w:rsid w:val="00FF6B71"/>
    <w:rsid w:val="00FF7508"/>
    <w:rsid w:val="00FF75FA"/>
    <w:rsid w:val="00FF770F"/>
    <w:rsid w:val="00FF7CA5"/>
    <w:rsid w:val="0134228D"/>
    <w:rsid w:val="016D3329"/>
    <w:rsid w:val="01700DB5"/>
    <w:rsid w:val="01890DEC"/>
    <w:rsid w:val="01AC6C80"/>
    <w:rsid w:val="01C359E0"/>
    <w:rsid w:val="01D45093"/>
    <w:rsid w:val="01D867AF"/>
    <w:rsid w:val="01E51D28"/>
    <w:rsid w:val="01FA0C29"/>
    <w:rsid w:val="02760DDE"/>
    <w:rsid w:val="02D358B6"/>
    <w:rsid w:val="02E87294"/>
    <w:rsid w:val="02EA3D4F"/>
    <w:rsid w:val="032F66E9"/>
    <w:rsid w:val="03360276"/>
    <w:rsid w:val="036E182B"/>
    <w:rsid w:val="038A0A36"/>
    <w:rsid w:val="03A530EE"/>
    <w:rsid w:val="03AB0E87"/>
    <w:rsid w:val="03C51274"/>
    <w:rsid w:val="03D30786"/>
    <w:rsid w:val="03D30C30"/>
    <w:rsid w:val="03F337FC"/>
    <w:rsid w:val="04057262"/>
    <w:rsid w:val="043D2FE0"/>
    <w:rsid w:val="043D31F3"/>
    <w:rsid w:val="04454D61"/>
    <w:rsid w:val="044E6290"/>
    <w:rsid w:val="044E6464"/>
    <w:rsid w:val="04633518"/>
    <w:rsid w:val="04975E6F"/>
    <w:rsid w:val="04B661D1"/>
    <w:rsid w:val="04C95EC8"/>
    <w:rsid w:val="04D53A1E"/>
    <w:rsid w:val="051214CD"/>
    <w:rsid w:val="051E426E"/>
    <w:rsid w:val="05226002"/>
    <w:rsid w:val="052A18B5"/>
    <w:rsid w:val="052F6128"/>
    <w:rsid w:val="056C2F6B"/>
    <w:rsid w:val="05780245"/>
    <w:rsid w:val="057D3FDA"/>
    <w:rsid w:val="05971879"/>
    <w:rsid w:val="05A47CE2"/>
    <w:rsid w:val="05B36D03"/>
    <w:rsid w:val="05B46917"/>
    <w:rsid w:val="05C52E2E"/>
    <w:rsid w:val="05D11DD1"/>
    <w:rsid w:val="05D12069"/>
    <w:rsid w:val="05D843C4"/>
    <w:rsid w:val="05F17AD2"/>
    <w:rsid w:val="05F50713"/>
    <w:rsid w:val="05F7184A"/>
    <w:rsid w:val="05FF330F"/>
    <w:rsid w:val="06055537"/>
    <w:rsid w:val="06146BE2"/>
    <w:rsid w:val="064F2805"/>
    <w:rsid w:val="06607C0F"/>
    <w:rsid w:val="068C5C42"/>
    <w:rsid w:val="06935D11"/>
    <w:rsid w:val="06AE5E70"/>
    <w:rsid w:val="06BB3F60"/>
    <w:rsid w:val="06D73364"/>
    <w:rsid w:val="06E0388A"/>
    <w:rsid w:val="077D762E"/>
    <w:rsid w:val="0784238D"/>
    <w:rsid w:val="078D1E52"/>
    <w:rsid w:val="07AC1AA3"/>
    <w:rsid w:val="07C808C8"/>
    <w:rsid w:val="07CC4C58"/>
    <w:rsid w:val="07E24397"/>
    <w:rsid w:val="07FF3FE1"/>
    <w:rsid w:val="08007B64"/>
    <w:rsid w:val="0816261C"/>
    <w:rsid w:val="086F06C6"/>
    <w:rsid w:val="087679C6"/>
    <w:rsid w:val="089D7C92"/>
    <w:rsid w:val="08CB697C"/>
    <w:rsid w:val="08E67B94"/>
    <w:rsid w:val="08EB5F92"/>
    <w:rsid w:val="090F0736"/>
    <w:rsid w:val="092C3DD0"/>
    <w:rsid w:val="09345980"/>
    <w:rsid w:val="093B3D23"/>
    <w:rsid w:val="09476E41"/>
    <w:rsid w:val="094F5AEA"/>
    <w:rsid w:val="098C2D40"/>
    <w:rsid w:val="099B3A8D"/>
    <w:rsid w:val="09BE6273"/>
    <w:rsid w:val="09DE3EF3"/>
    <w:rsid w:val="09FA094E"/>
    <w:rsid w:val="0A155AE0"/>
    <w:rsid w:val="0A1C03B9"/>
    <w:rsid w:val="0A1D5803"/>
    <w:rsid w:val="0A6D0068"/>
    <w:rsid w:val="0A7E138F"/>
    <w:rsid w:val="0A862810"/>
    <w:rsid w:val="0AAD12F9"/>
    <w:rsid w:val="0ACB4992"/>
    <w:rsid w:val="0AD11383"/>
    <w:rsid w:val="0AD610C1"/>
    <w:rsid w:val="0AE72ED3"/>
    <w:rsid w:val="0AE85C74"/>
    <w:rsid w:val="0AFD4060"/>
    <w:rsid w:val="0B1D6777"/>
    <w:rsid w:val="0B3722EB"/>
    <w:rsid w:val="0B4130E5"/>
    <w:rsid w:val="0B435C0D"/>
    <w:rsid w:val="0B4E1B4B"/>
    <w:rsid w:val="0B536C61"/>
    <w:rsid w:val="0B5A2550"/>
    <w:rsid w:val="0B5E59BF"/>
    <w:rsid w:val="0B9628E2"/>
    <w:rsid w:val="0B9A4CCF"/>
    <w:rsid w:val="0BB4329D"/>
    <w:rsid w:val="0BD8492C"/>
    <w:rsid w:val="0C116A04"/>
    <w:rsid w:val="0C163DE3"/>
    <w:rsid w:val="0C3F2AAA"/>
    <w:rsid w:val="0C480C6B"/>
    <w:rsid w:val="0C4851C9"/>
    <w:rsid w:val="0C733348"/>
    <w:rsid w:val="0C7A5F19"/>
    <w:rsid w:val="0C8F572B"/>
    <w:rsid w:val="0C992000"/>
    <w:rsid w:val="0CB570E1"/>
    <w:rsid w:val="0CB90BFD"/>
    <w:rsid w:val="0CBB2456"/>
    <w:rsid w:val="0CBC0D44"/>
    <w:rsid w:val="0CD53B6E"/>
    <w:rsid w:val="0CDC153A"/>
    <w:rsid w:val="0CDF7504"/>
    <w:rsid w:val="0CE114E8"/>
    <w:rsid w:val="0CE55771"/>
    <w:rsid w:val="0D0A2610"/>
    <w:rsid w:val="0D165B07"/>
    <w:rsid w:val="0D24669F"/>
    <w:rsid w:val="0D351E64"/>
    <w:rsid w:val="0D4B0440"/>
    <w:rsid w:val="0D4F03DA"/>
    <w:rsid w:val="0D6A6DAE"/>
    <w:rsid w:val="0D985744"/>
    <w:rsid w:val="0D997A8E"/>
    <w:rsid w:val="0D9B555D"/>
    <w:rsid w:val="0DAA3522"/>
    <w:rsid w:val="0DD21C91"/>
    <w:rsid w:val="0E001988"/>
    <w:rsid w:val="0E045EFA"/>
    <w:rsid w:val="0E0A0581"/>
    <w:rsid w:val="0E2A3DC1"/>
    <w:rsid w:val="0E432964"/>
    <w:rsid w:val="0E4E52DE"/>
    <w:rsid w:val="0E6902AD"/>
    <w:rsid w:val="0E7C2AEA"/>
    <w:rsid w:val="0EB1019F"/>
    <w:rsid w:val="0EE63683"/>
    <w:rsid w:val="0F0174BB"/>
    <w:rsid w:val="0F050418"/>
    <w:rsid w:val="0F110C78"/>
    <w:rsid w:val="0F5349A7"/>
    <w:rsid w:val="0F644451"/>
    <w:rsid w:val="0F8A5245"/>
    <w:rsid w:val="0F9105DC"/>
    <w:rsid w:val="0FA31218"/>
    <w:rsid w:val="0FD12D22"/>
    <w:rsid w:val="0FD218A9"/>
    <w:rsid w:val="0FDF75FB"/>
    <w:rsid w:val="0FEE45C3"/>
    <w:rsid w:val="0FFC054C"/>
    <w:rsid w:val="0FFC76CD"/>
    <w:rsid w:val="100A0165"/>
    <w:rsid w:val="10116E76"/>
    <w:rsid w:val="103403E8"/>
    <w:rsid w:val="104A3065"/>
    <w:rsid w:val="10790AA3"/>
    <w:rsid w:val="108C69DE"/>
    <w:rsid w:val="1094347E"/>
    <w:rsid w:val="10964EF8"/>
    <w:rsid w:val="10B0393A"/>
    <w:rsid w:val="10C46432"/>
    <w:rsid w:val="10D86C00"/>
    <w:rsid w:val="10DF695A"/>
    <w:rsid w:val="112355EC"/>
    <w:rsid w:val="113147B9"/>
    <w:rsid w:val="11885720"/>
    <w:rsid w:val="119A267F"/>
    <w:rsid w:val="11AD2466"/>
    <w:rsid w:val="11B30F31"/>
    <w:rsid w:val="11B33EF7"/>
    <w:rsid w:val="11BF41A1"/>
    <w:rsid w:val="11C85CC6"/>
    <w:rsid w:val="11E11036"/>
    <w:rsid w:val="11EA2C7E"/>
    <w:rsid w:val="11F70D4B"/>
    <w:rsid w:val="123352C9"/>
    <w:rsid w:val="12473BD6"/>
    <w:rsid w:val="12484B4C"/>
    <w:rsid w:val="124A2B01"/>
    <w:rsid w:val="124F564F"/>
    <w:rsid w:val="12697B12"/>
    <w:rsid w:val="12783D31"/>
    <w:rsid w:val="127C597B"/>
    <w:rsid w:val="12805C0D"/>
    <w:rsid w:val="129C35A2"/>
    <w:rsid w:val="12AB27B5"/>
    <w:rsid w:val="12AC235B"/>
    <w:rsid w:val="12BA18A3"/>
    <w:rsid w:val="12E82BBB"/>
    <w:rsid w:val="12F4218D"/>
    <w:rsid w:val="12F81A24"/>
    <w:rsid w:val="13374289"/>
    <w:rsid w:val="13413E8C"/>
    <w:rsid w:val="13427B1B"/>
    <w:rsid w:val="134879D8"/>
    <w:rsid w:val="137D070B"/>
    <w:rsid w:val="138B0DA5"/>
    <w:rsid w:val="13990BE8"/>
    <w:rsid w:val="139F1540"/>
    <w:rsid w:val="13B02513"/>
    <w:rsid w:val="13B94A83"/>
    <w:rsid w:val="13CD1D23"/>
    <w:rsid w:val="13D369E3"/>
    <w:rsid w:val="13D50411"/>
    <w:rsid w:val="140A1D14"/>
    <w:rsid w:val="146870E8"/>
    <w:rsid w:val="147A7419"/>
    <w:rsid w:val="148D2D4C"/>
    <w:rsid w:val="14C55FF0"/>
    <w:rsid w:val="14D84DBF"/>
    <w:rsid w:val="152B60A2"/>
    <w:rsid w:val="152E5EA1"/>
    <w:rsid w:val="15342CB2"/>
    <w:rsid w:val="153704C4"/>
    <w:rsid w:val="15677C9D"/>
    <w:rsid w:val="157C74D9"/>
    <w:rsid w:val="15A64FE6"/>
    <w:rsid w:val="15B57DDE"/>
    <w:rsid w:val="15FD388C"/>
    <w:rsid w:val="1638282C"/>
    <w:rsid w:val="16393F3A"/>
    <w:rsid w:val="166B702A"/>
    <w:rsid w:val="16B742C5"/>
    <w:rsid w:val="16BA20C3"/>
    <w:rsid w:val="16C53A03"/>
    <w:rsid w:val="16E608EA"/>
    <w:rsid w:val="16F52E66"/>
    <w:rsid w:val="16F723A3"/>
    <w:rsid w:val="16F77E06"/>
    <w:rsid w:val="1702140C"/>
    <w:rsid w:val="17175B41"/>
    <w:rsid w:val="173739FB"/>
    <w:rsid w:val="1765171B"/>
    <w:rsid w:val="177C39A7"/>
    <w:rsid w:val="178B0116"/>
    <w:rsid w:val="17977A78"/>
    <w:rsid w:val="17B5323C"/>
    <w:rsid w:val="17B607F9"/>
    <w:rsid w:val="17B76382"/>
    <w:rsid w:val="17B936E1"/>
    <w:rsid w:val="17C67D1F"/>
    <w:rsid w:val="17D45DF7"/>
    <w:rsid w:val="180F0BBA"/>
    <w:rsid w:val="18101849"/>
    <w:rsid w:val="18170A63"/>
    <w:rsid w:val="183414F1"/>
    <w:rsid w:val="184C0855"/>
    <w:rsid w:val="18610CDC"/>
    <w:rsid w:val="186F473B"/>
    <w:rsid w:val="18A07CAB"/>
    <w:rsid w:val="18B72CEF"/>
    <w:rsid w:val="18D26527"/>
    <w:rsid w:val="19211619"/>
    <w:rsid w:val="19264A04"/>
    <w:rsid w:val="19326A25"/>
    <w:rsid w:val="193A691F"/>
    <w:rsid w:val="19572B4C"/>
    <w:rsid w:val="195D3688"/>
    <w:rsid w:val="19AB5A4D"/>
    <w:rsid w:val="19B2076C"/>
    <w:rsid w:val="19C35AB3"/>
    <w:rsid w:val="19FF7081"/>
    <w:rsid w:val="1A0E48E2"/>
    <w:rsid w:val="1A163D48"/>
    <w:rsid w:val="1A217672"/>
    <w:rsid w:val="1A2E248C"/>
    <w:rsid w:val="1A427322"/>
    <w:rsid w:val="1A476C0F"/>
    <w:rsid w:val="1A72093E"/>
    <w:rsid w:val="1A7672D6"/>
    <w:rsid w:val="1A792CB9"/>
    <w:rsid w:val="1ABD0F4D"/>
    <w:rsid w:val="1ABD556D"/>
    <w:rsid w:val="1ABE4616"/>
    <w:rsid w:val="1AD746F8"/>
    <w:rsid w:val="1AE244B8"/>
    <w:rsid w:val="1AEA0851"/>
    <w:rsid w:val="1B081E0B"/>
    <w:rsid w:val="1B0F77D8"/>
    <w:rsid w:val="1B133819"/>
    <w:rsid w:val="1B146B8F"/>
    <w:rsid w:val="1B175D03"/>
    <w:rsid w:val="1B326C4D"/>
    <w:rsid w:val="1B3D21AB"/>
    <w:rsid w:val="1B4B22F1"/>
    <w:rsid w:val="1B6B159E"/>
    <w:rsid w:val="1B702498"/>
    <w:rsid w:val="1B7244F2"/>
    <w:rsid w:val="1B9D12F4"/>
    <w:rsid w:val="1BAE4D2B"/>
    <w:rsid w:val="1BBF7504"/>
    <w:rsid w:val="1C0C0181"/>
    <w:rsid w:val="1C0C2CEF"/>
    <w:rsid w:val="1C5448D1"/>
    <w:rsid w:val="1C635093"/>
    <w:rsid w:val="1C6A626C"/>
    <w:rsid w:val="1C732978"/>
    <w:rsid w:val="1C76198C"/>
    <w:rsid w:val="1C9B2B55"/>
    <w:rsid w:val="1CA02563"/>
    <w:rsid w:val="1CA814B4"/>
    <w:rsid w:val="1CD35FB2"/>
    <w:rsid w:val="1CEE56E4"/>
    <w:rsid w:val="1D0A51CC"/>
    <w:rsid w:val="1D0D0CC5"/>
    <w:rsid w:val="1D4E76BA"/>
    <w:rsid w:val="1D52159B"/>
    <w:rsid w:val="1D602547"/>
    <w:rsid w:val="1D72118C"/>
    <w:rsid w:val="1D8C71A4"/>
    <w:rsid w:val="1D8D25E8"/>
    <w:rsid w:val="1DB04E78"/>
    <w:rsid w:val="1DE5260B"/>
    <w:rsid w:val="1DF84F0F"/>
    <w:rsid w:val="1E156B3F"/>
    <w:rsid w:val="1E426463"/>
    <w:rsid w:val="1E4271AA"/>
    <w:rsid w:val="1E4D738F"/>
    <w:rsid w:val="1E713DF6"/>
    <w:rsid w:val="1E812E67"/>
    <w:rsid w:val="1E835238"/>
    <w:rsid w:val="1E8A1C67"/>
    <w:rsid w:val="1EBA0BD2"/>
    <w:rsid w:val="1ECA3890"/>
    <w:rsid w:val="1EF84EEB"/>
    <w:rsid w:val="1F042DEE"/>
    <w:rsid w:val="1F217946"/>
    <w:rsid w:val="1F6577E7"/>
    <w:rsid w:val="1F7472AE"/>
    <w:rsid w:val="1FC65F5C"/>
    <w:rsid w:val="1FD026C3"/>
    <w:rsid w:val="1FEC6832"/>
    <w:rsid w:val="1FF03786"/>
    <w:rsid w:val="20105A78"/>
    <w:rsid w:val="203C12D0"/>
    <w:rsid w:val="20436B38"/>
    <w:rsid w:val="2066127D"/>
    <w:rsid w:val="20676B1C"/>
    <w:rsid w:val="20927149"/>
    <w:rsid w:val="20B679DB"/>
    <w:rsid w:val="20BE31A2"/>
    <w:rsid w:val="20EB452E"/>
    <w:rsid w:val="20FC03B3"/>
    <w:rsid w:val="21017637"/>
    <w:rsid w:val="21941472"/>
    <w:rsid w:val="21C94DFE"/>
    <w:rsid w:val="22061E72"/>
    <w:rsid w:val="2220223C"/>
    <w:rsid w:val="22506882"/>
    <w:rsid w:val="225B2FB1"/>
    <w:rsid w:val="22607728"/>
    <w:rsid w:val="2296450F"/>
    <w:rsid w:val="22A376ED"/>
    <w:rsid w:val="22CB0D30"/>
    <w:rsid w:val="22DD1922"/>
    <w:rsid w:val="22E01E12"/>
    <w:rsid w:val="2305498F"/>
    <w:rsid w:val="23124414"/>
    <w:rsid w:val="232B5226"/>
    <w:rsid w:val="237D50F5"/>
    <w:rsid w:val="23830BB0"/>
    <w:rsid w:val="23A305E6"/>
    <w:rsid w:val="24390D52"/>
    <w:rsid w:val="245C06A9"/>
    <w:rsid w:val="249D393C"/>
    <w:rsid w:val="24AF57DE"/>
    <w:rsid w:val="24C26DBE"/>
    <w:rsid w:val="24E664E2"/>
    <w:rsid w:val="24E92140"/>
    <w:rsid w:val="24FF6673"/>
    <w:rsid w:val="25253588"/>
    <w:rsid w:val="25333F20"/>
    <w:rsid w:val="25455AC6"/>
    <w:rsid w:val="25486AFC"/>
    <w:rsid w:val="25836B10"/>
    <w:rsid w:val="258A75A4"/>
    <w:rsid w:val="2591501C"/>
    <w:rsid w:val="25B05F47"/>
    <w:rsid w:val="25B51205"/>
    <w:rsid w:val="25E02651"/>
    <w:rsid w:val="25E17B67"/>
    <w:rsid w:val="25EC3DE7"/>
    <w:rsid w:val="2642495F"/>
    <w:rsid w:val="268A3AF4"/>
    <w:rsid w:val="26967BCA"/>
    <w:rsid w:val="26A70543"/>
    <w:rsid w:val="26B422CD"/>
    <w:rsid w:val="26D43F07"/>
    <w:rsid w:val="26ED7CAC"/>
    <w:rsid w:val="271514CB"/>
    <w:rsid w:val="27157B02"/>
    <w:rsid w:val="272D5744"/>
    <w:rsid w:val="272F7A19"/>
    <w:rsid w:val="27426FB7"/>
    <w:rsid w:val="27593180"/>
    <w:rsid w:val="277631B9"/>
    <w:rsid w:val="279E773F"/>
    <w:rsid w:val="27BD648A"/>
    <w:rsid w:val="27CF7BC1"/>
    <w:rsid w:val="27DD4219"/>
    <w:rsid w:val="27ED2E35"/>
    <w:rsid w:val="27F379B4"/>
    <w:rsid w:val="280855FA"/>
    <w:rsid w:val="280F461B"/>
    <w:rsid w:val="282F0269"/>
    <w:rsid w:val="2837711A"/>
    <w:rsid w:val="28382168"/>
    <w:rsid w:val="28733F45"/>
    <w:rsid w:val="28883B3E"/>
    <w:rsid w:val="288D3E4E"/>
    <w:rsid w:val="28B655A4"/>
    <w:rsid w:val="28DA31DD"/>
    <w:rsid w:val="290A2815"/>
    <w:rsid w:val="291D0FC6"/>
    <w:rsid w:val="292444AB"/>
    <w:rsid w:val="292D49D8"/>
    <w:rsid w:val="293E0BFC"/>
    <w:rsid w:val="297325D4"/>
    <w:rsid w:val="29787A45"/>
    <w:rsid w:val="297F3939"/>
    <w:rsid w:val="2988434F"/>
    <w:rsid w:val="29B200F9"/>
    <w:rsid w:val="29C3792D"/>
    <w:rsid w:val="29C40E68"/>
    <w:rsid w:val="2A0442B7"/>
    <w:rsid w:val="2A1F0193"/>
    <w:rsid w:val="2A30157C"/>
    <w:rsid w:val="2A3D5428"/>
    <w:rsid w:val="2A3E4665"/>
    <w:rsid w:val="2A423BE6"/>
    <w:rsid w:val="2A444FA7"/>
    <w:rsid w:val="2AB148A4"/>
    <w:rsid w:val="2AB87CB7"/>
    <w:rsid w:val="2AD411AD"/>
    <w:rsid w:val="2B1B4747"/>
    <w:rsid w:val="2B2F74E2"/>
    <w:rsid w:val="2BA26207"/>
    <w:rsid w:val="2BB86B45"/>
    <w:rsid w:val="2BC27E49"/>
    <w:rsid w:val="2BC27FDB"/>
    <w:rsid w:val="2BDA73BA"/>
    <w:rsid w:val="2BDE4F3E"/>
    <w:rsid w:val="2BDE5DDC"/>
    <w:rsid w:val="2BE55FA7"/>
    <w:rsid w:val="2BEB30D7"/>
    <w:rsid w:val="2BF104A7"/>
    <w:rsid w:val="2C022B1F"/>
    <w:rsid w:val="2C303803"/>
    <w:rsid w:val="2C423E46"/>
    <w:rsid w:val="2C523EA6"/>
    <w:rsid w:val="2C6A6BE6"/>
    <w:rsid w:val="2C6C31F6"/>
    <w:rsid w:val="2C6E5C2B"/>
    <w:rsid w:val="2C756248"/>
    <w:rsid w:val="2C8349FD"/>
    <w:rsid w:val="2C8621FE"/>
    <w:rsid w:val="2C9B36E8"/>
    <w:rsid w:val="2CB978D7"/>
    <w:rsid w:val="2CF55A62"/>
    <w:rsid w:val="2CFB7713"/>
    <w:rsid w:val="2D102BB9"/>
    <w:rsid w:val="2D113EE6"/>
    <w:rsid w:val="2D265909"/>
    <w:rsid w:val="2D9F55ED"/>
    <w:rsid w:val="2DC546BE"/>
    <w:rsid w:val="2DD336EC"/>
    <w:rsid w:val="2DDC305C"/>
    <w:rsid w:val="2DDD2AEF"/>
    <w:rsid w:val="2DDD2F9D"/>
    <w:rsid w:val="2DFF47C9"/>
    <w:rsid w:val="2E087536"/>
    <w:rsid w:val="2E0A19D1"/>
    <w:rsid w:val="2E374561"/>
    <w:rsid w:val="2E404529"/>
    <w:rsid w:val="2E5262DE"/>
    <w:rsid w:val="2E6745DF"/>
    <w:rsid w:val="2E823F34"/>
    <w:rsid w:val="2E8A2E34"/>
    <w:rsid w:val="2E90748E"/>
    <w:rsid w:val="2EA026D0"/>
    <w:rsid w:val="2EA12AD6"/>
    <w:rsid w:val="2EA817F3"/>
    <w:rsid w:val="2EBC6814"/>
    <w:rsid w:val="2EC05711"/>
    <w:rsid w:val="2EDA2698"/>
    <w:rsid w:val="2EE159A6"/>
    <w:rsid w:val="2F016D4D"/>
    <w:rsid w:val="2F0B500D"/>
    <w:rsid w:val="2F150591"/>
    <w:rsid w:val="2F4B4CFE"/>
    <w:rsid w:val="2F7827A0"/>
    <w:rsid w:val="2F8B6AC3"/>
    <w:rsid w:val="2F8D3501"/>
    <w:rsid w:val="2F906ACD"/>
    <w:rsid w:val="2F9F64AB"/>
    <w:rsid w:val="2FDE2016"/>
    <w:rsid w:val="30022B09"/>
    <w:rsid w:val="30071B87"/>
    <w:rsid w:val="302C3166"/>
    <w:rsid w:val="308264F5"/>
    <w:rsid w:val="3087356E"/>
    <w:rsid w:val="308A506E"/>
    <w:rsid w:val="30DA427D"/>
    <w:rsid w:val="30FB13FB"/>
    <w:rsid w:val="31012BF3"/>
    <w:rsid w:val="310F24B7"/>
    <w:rsid w:val="31107923"/>
    <w:rsid w:val="31260E58"/>
    <w:rsid w:val="31400FF7"/>
    <w:rsid w:val="31601805"/>
    <w:rsid w:val="31927E60"/>
    <w:rsid w:val="319A3263"/>
    <w:rsid w:val="31A8144E"/>
    <w:rsid w:val="31A94B75"/>
    <w:rsid w:val="31D712B2"/>
    <w:rsid w:val="31DA58A8"/>
    <w:rsid w:val="31F008FB"/>
    <w:rsid w:val="323158B1"/>
    <w:rsid w:val="324F3411"/>
    <w:rsid w:val="32552F74"/>
    <w:rsid w:val="327A27D0"/>
    <w:rsid w:val="32840341"/>
    <w:rsid w:val="3297595C"/>
    <w:rsid w:val="329B0615"/>
    <w:rsid w:val="32BD07AC"/>
    <w:rsid w:val="32BD5557"/>
    <w:rsid w:val="33004825"/>
    <w:rsid w:val="332F0B57"/>
    <w:rsid w:val="333577A1"/>
    <w:rsid w:val="33555178"/>
    <w:rsid w:val="33675E7D"/>
    <w:rsid w:val="336828E9"/>
    <w:rsid w:val="336F0DF4"/>
    <w:rsid w:val="339B3875"/>
    <w:rsid w:val="33A17EC7"/>
    <w:rsid w:val="33BC3FE1"/>
    <w:rsid w:val="33EF30E5"/>
    <w:rsid w:val="340D6CEE"/>
    <w:rsid w:val="34254555"/>
    <w:rsid w:val="34360AC1"/>
    <w:rsid w:val="344F3D37"/>
    <w:rsid w:val="345B56A2"/>
    <w:rsid w:val="346B5D5F"/>
    <w:rsid w:val="34780B7D"/>
    <w:rsid w:val="348107B8"/>
    <w:rsid w:val="348B253B"/>
    <w:rsid w:val="34947545"/>
    <w:rsid w:val="34A90D85"/>
    <w:rsid w:val="34D91F08"/>
    <w:rsid w:val="34D97B1A"/>
    <w:rsid w:val="34FA3790"/>
    <w:rsid w:val="350644E0"/>
    <w:rsid w:val="351126C0"/>
    <w:rsid w:val="351548C5"/>
    <w:rsid w:val="35266EC4"/>
    <w:rsid w:val="35366B03"/>
    <w:rsid w:val="35382B67"/>
    <w:rsid w:val="35413A65"/>
    <w:rsid w:val="35453DC9"/>
    <w:rsid w:val="35502F57"/>
    <w:rsid w:val="355F239F"/>
    <w:rsid w:val="35942138"/>
    <w:rsid w:val="35B40C1C"/>
    <w:rsid w:val="35C3613B"/>
    <w:rsid w:val="35C65168"/>
    <w:rsid w:val="35E464E9"/>
    <w:rsid w:val="36105B3F"/>
    <w:rsid w:val="36282054"/>
    <w:rsid w:val="363300F0"/>
    <w:rsid w:val="3633690D"/>
    <w:rsid w:val="36381C4C"/>
    <w:rsid w:val="366E41AD"/>
    <w:rsid w:val="369A0FD2"/>
    <w:rsid w:val="36B052BF"/>
    <w:rsid w:val="36B93EB7"/>
    <w:rsid w:val="36E1045F"/>
    <w:rsid w:val="36E2669F"/>
    <w:rsid w:val="370D3758"/>
    <w:rsid w:val="37172031"/>
    <w:rsid w:val="372201F5"/>
    <w:rsid w:val="37526FE9"/>
    <w:rsid w:val="376045B0"/>
    <w:rsid w:val="3789014E"/>
    <w:rsid w:val="379310C3"/>
    <w:rsid w:val="37C21647"/>
    <w:rsid w:val="37FE466F"/>
    <w:rsid w:val="38413FCA"/>
    <w:rsid w:val="38491B3C"/>
    <w:rsid w:val="387C1BDE"/>
    <w:rsid w:val="3881572F"/>
    <w:rsid w:val="38C71B6D"/>
    <w:rsid w:val="38EA6549"/>
    <w:rsid w:val="39154E19"/>
    <w:rsid w:val="39433A4F"/>
    <w:rsid w:val="394634C4"/>
    <w:rsid w:val="394B0481"/>
    <w:rsid w:val="39561F96"/>
    <w:rsid w:val="39622DAE"/>
    <w:rsid w:val="39804D6A"/>
    <w:rsid w:val="3985224C"/>
    <w:rsid w:val="399E5CC2"/>
    <w:rsid w:val="39A52A9C"/>
    <w:rsid w:val="39C866A0"/>
    <w:rsid w:val="39CB0C32"/>
    <w:rsid w:val="3A4F7703"/>
    <w:rsid w:val="3A5D31CE"/>
    <w:rsid w:val="3A963F52"/>
    <w:rsid w:val="3AB431AA"/>
    <w:rsid w:val="3ABB1BB9"/>
    <w:rsid w:val="3AC7454D"/>
    <w:rsid w:val="3B1339F4"/>
    <w:rsid w:val="3B1D0171"/>
    <w:rsid w:val="3B2163D1"/>
    <w:rsid w:val="3B241DA1"/>
    <w:rsid w:val="3B8B3D0E"/>
    <w:rsid w:val="3B8F6A4B"/>
    <w:rsid w:val="3BAC1BCF"/>
    <w:rsid w:val="3BD93B56"/>
    <w:rsid w:val="3BDB3FC9"/>
    <w:rsid w:val="3BE40231"/>
    <w:rsid w:val="3BEE647B"/>
    <w:rsid w:val="3C153334"/>
    <w:rsid w:val="3C454C24"/>
    <w:rsid w:val="3C4F04BB"/>
    <w:rsid w:val="3C5B0AFA"/>
    <w:rsid w:val="3C6D4F97"/>
    <w:rsid w:val="3C74072E"/>
    <w:rsid w:val="3C76498D"/>
    <w:rsid w:val="3C7D0B51"/>
    <w:rsid w:val="3C98759B"/>
    <w:rsid w:val="3CCD1317"/>
    <w:rsid w:val="3CE52F51"/>
    <w:rsid w:val="3CE80C8F"/>
    <w:rsid w:val="3D421A62"/>
    <w:rsid w:val="3D42217E"/>
    <w:rsid w:val="3D48263E"/>
    <w:rsid w:val="3D522F6E"/>
    <w:rsid w:val="3D5355AB"/>
    <w:rsid w:val="3D7A50E8"/>
    <w:rsid w:val="3D7C0FDD"/>
    <w:rsid w:val="3D86169D"/>
    <w:rsid w:val="3D9D7BE1"/>
    <w:rsid w:val="3DA32133"/>
    <w:rsid w:val="3DCB445C"/>
    <w:rsid w:val="3DCE1A8F"/>
    <w:rsid w:val="3E091F77"/>
    <w:rsid w:val="3E22016C"/>
    <w:rsid w:val="3E3B3B1B"/>
    <w:rsid w:val="3E463FB8"/>
    <w:rsid w:val="3E4A5376"/>
    <w:rsid w:val="3E5139EB"/>
    <w:rsid w:val="3E5E5F05"/>
    <w:rsid w:val="3E6B48FC"/>
    <w:rsid w:val="3E8037EE"/>
    <w:rsid w:val="3E8F44E4"/>
    <w:rsid w:val="3EBE6B05"/>
    <w:rsid w:val="3ED97F08"/>
    <w:rsid w:val="3EE7560E"/>
    <w:rsid w:val="3EF3621C"/>
    <w:rsid w:val="3EFF24F6"/>
    <w:rsid w:val="3F1A40D3"/>
    <w:rsid w:val="3F3C376F"/>
    <w:rsid w:val="3F4F014D"/>
    <w:rsid w:val="3F5162D0"/>
    <w:rsid w:val="3F6430E7"/>
    <w:rsid w:val="3F7D5B91"/>
    <w:rsid w:val="3FAC2C4B"/>
    <w:rsid w:val="3FC11171"/>
    <w:rsid w:val="3FC6798A"/>
    <w:rsid w:val="3FCF2079"/>
    <w:rsid w:val="3FD51A42"/>
    <w:rsid w:val="3FE82B80"/>
    <w:rsid w:val="3FEA4181"/>
    <w:rsid w:val="3FEB0EF5"/>
    <w:rsid w:val="400C40E6"/>
    <w:rsid w:val="40132525"/>
    <w:rsid w:val="4029142E"/>
    <w:rsid w:val="403A3AEF"/>
    <w:rsid w:val="407409AE"/>
    <w:rsid w:val="40AF3630"/>
    <w:rsid w:val="40CD28F9"/>
    <w:rsid w:val="40D1511F"/>
    <w:rsid w:val="40DB3267"/>
    <w:rsid w:val="40E220E1"/>
    <w:rsid w:val="40F044EB"/>
    <w:rsid w:val="41036469"/>
    <w:rsid w:val="412E36B4"/>
    <w:rsid w:val="412F6BF0"/>
    <w:rsid w:val="414A3ABE"/>
    <w:rsid w:val="416D78B4"/>
    <w:rsid w:val="417117E7"/>
    <w:rsid w:val="41A61CDB"/>
    <w:rsid w:val="41BC0672"/>
    <w:rsid w:val="41C81D6A"/>
    <w:rsid w:val="41F0145A"/>
    <w:rsid w:val="41F71F92"/>
    <w:rsid w:val="426A7ED0"/>
    <w:rsid w:val="4285159C"/>
    <w:rsid w:val="4285755C"/>
    <w:rsid w:val="429217D3"/>
    <w:rsid w:val="42A24789"/>
    <w:rsid w:val="42C30F55"/>
    <w:rsid w:val="42CE286D"/>
    <w:rsid w:val="42E672C9"/>
    <w:rsid w:val="42F35F03"/>
    <w:rsid w:val="430538E7"/>
    <w:rsid w:val="43287DD0"/>
    <w:rsid w:val="432F6282"/>
    <w:rsid w:val="4338571D"/>
    <w:rsid w:val="435C6C59"/>
    <w:rsid w:val="437F1B4B"/>
    <w:rsid w:val="43810DB0"/>
    <w:rsid w:val="43CF1632"/>
    <w:rsid w:val="43D14A7A"/>
    <w:rsid w:val="43D456A0"/>
    <w:rsid w:val="43D8251B"/>
    <w:rsid w:val="43DA29B1"/>
    <w:rsid w:val="43E013B3"/>
    <w:rsid w:val="43EE213F"/>
    <w:rsid w:val="43F323CE"/>
    <w:rsid w:val="43F34E0F"/>
    <w:rsid w:val="440B249A"/>
    <w:rsid w:val="44281D9A"/>
    <w:rsid w:val="44502957"/>
    <w:rsid w:val="445D371E"/>
    <w:rsid w:val="447875A3"/>
    <w:rsid w:val="448F2CD7"/>
    <w:rsid w:val="44A668B8"/>
    <w:rsid w:val="44B3389B"/>
    <w:rsid w:val="44B9640E"/>
    <w:rsid w:val="44E51ABD"/>
    <w:rsid w:val="44FB10C8"/>
    <w:rsid w:val="45042613"/>
    <w:rsid w:val="45164373"/>
    <w:rsid w:val="45413196"/>
    <w:rsid w:val="4566652D"/>
    <w:rsid w:val="457B63BA"/>
    <w:rsid w:val="459950F8"/>
    <w:rsid w:val="459B0CE9"/>
    <w:rsid w:val="45DE6F05"/>
    <w:rsid w:val="45EE0CEB"/>
    <w:rsid w:val="45F64B7F"/>
    <w:rsid w:val="45FF6070"/>
    <w:rsid w:val="462130F8"/>
    <w:rsid w:val="462946BC"/>
    <w:rsid w:val="462C487D"/>
    <w:rsid w:val="463740A9"/>
    <w:rsid w:val="46503D2B"/>
    <w:rsid w:val="46644AC6"/>
    <w:rsid w:val="467950D1"/>
    <w:rsid w:val="4689676F"/>
    <w:rsid w:val="46AA555C"/>
    <w:rsid w:val="46F952EF"/>
    <w:rsid w:val="471D7B5D"/>
    <w:rsid w:val="471F637D"/>
    <w:rsid w:val="4730080C"/>
    <w:rsid w:val="474833BA"/>
    <w:rsid w:val="475734F9"/>
    <w:rsid w:val="47712A1C"/>
    <w:rsid w:val="47824940"/>
    <w:rsid w:val="47A602C9"/>
    <w:rsid w:val="47C12A39"/>
    <w:rsid w:val="47E83F78"/>
    <w:rsid w:val="47F20E02"/>
    <w:rsid w:val="480E15E3"/>
    <w:rsid w:val="48244FBC"/>
    <w:rsid w:val="48344057"/>
    <w:rsid w:val="484A42F6"/>
    <w:rsid w:val="484B0320"/>
    <w:rsid w:val="484E5CBC"/>
    <w:rsid w:val="48523E3F"/>
    <w:rsid w:val="486368FF"/>
    <w:rsid w:val="487F7275"/>
    <w:rsid w:val="48912004"/>
    <w:rsid w:val="489D706D"/>
    <w:rsid w:val="48A2602D"/>
    <w:rsid w:val="48AB73B6"/>
    <w:rsid w:val="48C626B1"/>
    <w:rsid w:val="48D306A1"/>
    <w:rsid w:val="49454BAA"/>
    <w:rsid w:val="494653E2"/>
    <w:rsid w:val="4968395A"/>
    <w:rsid w:val="497A0F95"/>
    <w:rsid w:val="49865916"/>
    <w:rsid w:val="498B1443"/>
    <w:rsid w:val="4997589C"/>
    <w:rsid w:val="49BD64AA"/>
    <w:rsid w:val="4A1445C4"/>
    <w:rsid w:val="4A3B7E6E"/>
    <w:rsid w:val="4A63446D"/>
    <w:rsid w:val="4A742776"/>
    <w:rsid w:val="4A8018B7"/>
    <w:rsid w:val="4A8665BE"/>
    <w:rsid w:val="4A883A0B"/>
    <w:rsid w:val="4A8E78F6"/>
    <w:rsid w:val="4A932334"/>
    <w:rsid w:val="4A9B3C61"/>
    <w:rsid w:val="4AA272E0"/>
    <w:rsid w:val="4AA344D5"/>
    <w:rsid w:val="4AFE38DE"/>
    <w:rsid w:val="4B293BB2"/>
    <w:rsid w:val="4B3267DC"/>
    <w:rsid w:val="4B333C02"/>
    <w:rsid w:val="4B482E15"/>
    <w:rsid w:val="4B886A9D"/>
    <w:rsid w:val="4BA0548E"/>
    <w:rsid w:val="4BCA3058"/>
    <w:rsid w:val="4BD059BA"/>
    <w:rsid w:val="4BD300C3"/>
    <w:rsid w:val="4BDF7015"/>
    <w:rsid w:val="4BE51BB5"/>
    <w:rsid w:val="4BEA15F4"/>
    <w:rsid w:val="4C08150D"/>
    <w:rsid w:val="4C1B025C"/>
    <w:rsid w:val="4C252FA3"/>
    <w:rsid w:val="4C2E1662"/>
    <w:rsid w:val="4C5E3264"/>
    <w:rsid w:val="4C637FE0"/>
    <w:rsid w:val="4C762BA5"/>
    <w:rsid w:val="4CA27465"/>
    <w:rsid w:val="4CC415B6"/>
    <w:rsid w:val="4CCE366C"/>
    <w:rsid w:val="4CEE666D"/>
    <w:rsid w:val="4CF626C6"/>
    <w:rsid w:val="4D046DD3"/>
    <w:rsid w:val="4D3B79B5"/>
    <w:rsid w:val="4D4306C8"/>
    <w:rsid w:val="4D477B55"/>
    <w:rsid w:val="4D485C7F"/>
    <w:rsid w:val="4DA712FA"/>
    <w:rsid w:val="4DA77604"/>
    <w:rsid w:val="4DB64C5C"/>
    <w:rsid w:val="4DB86720"/>
    <w:rsid w:val="4DF35CFB"/>
    <w:rsid w:val="4E167C21"/>
    <w:rsid w:val="4E660D6D"/>
    <w:rsid w:val="4E712CEB"/>
    <w:rsid w:val="4E7F3F8C"/>
    <w:rsid w:val="4EA61152"/>
    <w:rsid w:val="4EAA6232"/>
    <w:rsid w:val="4EB451CD"/>
    <w:rsid w:val="4EB90991"/>
    <w:rsid w:val="4F2A5C04"/>
    <w:rsid w:val="4F365D17"/>
    <w:rsid w:val="4F425A9E"/>
    <w:rsid w:val="4F563276"/>
    <w:rsid w:val="4F6F01EF"/>
    <w:rsid w:val="4FA94FC5"/>
    <w:rsid w:val="4FC85AA4"/>
    <w:rsid w:val="4FD74C8D"/>
    <w:rsid w:val="4FD8345A"/>
    <w:rsid w:val="4FE94FD4"/>
    <w:rsid w:val="4FEE15B4"/>
    <w:rsid w:val="4FFD2985"/>
    <w:rsid w:val="50037723"/>
    <w:rsid w:val="501A7051"/>
    <w:rsid w:val="503743F8"/>
    <w:rsid w:val="504A6F3B"/>
    <w:rsid w:val="505E61FB"/>
    <w:rsid w:val="506C4EAE"/>
    <w:rsid w:val="50744682"/>
    <w:rsid w:val="50753CC1"/>
    <w:rsid w:val="509D5F8C"/>
    <w:rsid w:val="50AA2604"/>
    <w:rsid w:val="50AC2A18"/>
    <w:rsid w:val="50C77B6A"/>
    <w:rsid w:val="50D10993"/>
    <w:rsid w:val="50E1514F"/>
    <w:rsid w:val="510A4025"/>
    <w:rsid w:val="513A6667"/>
    <w:rsid w:val="5153698B"/>
    <w:rsid w:val="516010A7"/>
    <w:rsid w:val="516109FB"/>
    <w:rsid w:val="516E5DCE"/>
    <w:rsid w:val="51A55368"/>
    <w:rsid w:val="51AB787F"/>
    <w:rsid w:val="51AE28CC"/>
    <w:rsid w:val="51BE5771"/>
    <w:rsid w:val="51D27F79"/>
    <w:rsid w:val="51F9528D"/>
    <w:rsid w:val="52012FFE"/>
    <w:rsid w:val="520D10FD"/>
    <w:rsid w:val="52267B59"/>
    <w:rsid w:val="5229652A"/>
    <w:rsid w:val="524A7DEE"/>
    <w:rsid w:val="52594F18"/>
    <w:rsid w:val="526409A7"/>
    <w:rsid w:val="526B7B49"/>
    <w:rsid w:val="52725A08"/>
    <w:rsid w:val="527A302F"/>
    <w:rsid w:val="528672BE"/>
    <w:rsid w:val="528C69AA"/>
    <w:rsid w:val="528D18A0"/>
    <w:rsid w:val="52C55B5C"/>
    <w:rsid w:val="52D23681"/>
    <w:rsid w:val="52F93B9B"/>
    <w:rsid w:val="530243FB"/>
    <w:rsid w:val="530D2C13"/>
    <w:rsid w:val="53262234"/>
    <w:rsid w:val="53656C55"/>
    <w:rsid w:val="537C7E04"/>
    <w:rsid w:val="53F342B2"/>
    <w:rsid w:val="54032253"/>
    <w:rsid w:val="54102C67"/>
    <w:rsid w:val="54231EC5"/>
    <w:rsid w:val="542B552C"/>
    <w:rsid w:val="544E7F31"/>
    <w:rsid w:val="549B1E25"/>
    <w:rsid w:val="54E12461"/>
    <w:rsid w:val="54E63DB5"/>
    <w:rsid w:val="54FA1B14"/>
    <w:rsid w:val="55006BAB"/>
    <w:rsid w:val="55065CEA"/>
    <w:rsid w:val="55284E03"/>
    <w:rsid w:val="554927D3"/>
    <w:rsid w:val="55657192"/>
    <w:rsid w:val="558A5361"/>
    <w:rsid w:val="558D5599"/>
    <w:rsid w:val="55A85294"/>
    <w:rsid w:val="55D51417"/>
    <w:rsid w:val="5610122D"/>
    <w:rsid w:val="56160288"/>
    <w:rsid w:val="562B67B1"/>
    <w:rsid w:val="563C5040"/>
    <w:rsid w:val="5654125A"/>
    <w:rsid w:val="56584B55"/>
    <w:rsid w:val="566C5A93"/>
    <w:rsid w:val="566E2566"/>
    <w:rsid w:val="56822CF4"/>
    <w:rsid w:val="56AF3844"/>
    <w:rsid w:val="56B874D0"/>
    <w:rsid w:val="56C45121"/>
    <w:rsid w:val="56D92559"/>
    <w:rsid w:val="56E0464E"/>
    <w:rsid w:val="56EA2AD6"/>
    <w:rsid w:val="56EF57DA"/>
    <w:rsid w:val="56FE7492"/>
    <w:rsid w:val="57225C3A"/>
    <w:rsid w:val="572E2719"/>
    <w:rsid w:val="573869A1"/>
    <w:rsid w:val="57520404"/>
    <w:rsid w:val="57577B43"/>
    <w:rsid w:val="57686B39"/>
    <w:rsid w:val="57926E1F"/>
    <w:rsid w:val="579C4060"/>
    <w:rsid w:val="57A348C8"/>
    <w:rsid w:val="57C27BC3"/>
    <w:rsid w:val="57C63E30"/>
    <w:rsid w:val="57C96C4F"/>
    <w:rsid w:val="57CA617B"/>
    <w:rsid w:val="57DF5F9E"/>
    <w:rsid w:val="57F97E5F"/>
    <w:rsid w:val="57FF0A89"/>
    <w:rsid w:val="58276F3B"/>
    <w:rsid w:val="58356142"/>
    <w:rsid w:val="583B2948"/>
    <w:rsid w:val="583D735C"/>
    <w:rsid w:val="584138AE"/>
    <w:rsid w:val="584938F8"/>
    <w:rsid w:val="584B0036"/>
    <w:rsid w:val="585A655A"/>
    <w:rsid w:val="5876698B"/>
    <w:rsid w:val="58920227"/>
    <w:rsid w:val="58960D98"/>
    <w:rsid w:val="589D6A03"/>
    <w:rsid w:val="58A41922"/>
    <w:rsid w:val="58B60DFB"/>
    <w:rsid w:val="59526646"/>
    <w:rsid w:val="595F0DAA"/>
    <w:rsid w:val="59683016"/>
    <w:rsid w:val="596C04B7"/>
    <w:rsid w:val="59D112FE"/>
    <w:rsid w:val="59F6399F"/>
    <w:rsid w:val="5A2D6EF5"/>
    <w:rsid w:val="5A6B568E"/>
    <w:rsid w:val="5A934734"/>
    <w:rsid w:val="5AB91B43"/>
    <w:rsid w:val="5AC271F7"/>
    <w:rsid w:val="5AC638AA"/>
    <w:rsid w:val="5ACB747D"/>
    <w:rsid w:val="5B0000F2"/>
    <w:rsid w:val="5B0D0CCA"/>
    <w:rsid w:val="5B2034EA"/>
    <w:rsid w:val="5B9779A7"/>
    <w:rsid w:val="5BB34F83"/>
    <w:rsid w:val="5BB90117"/>
    <w:rsid w:val="5C1A5FEB"/>
    <w:rsid w:val="5C23278C"/>
    <w:rsid w:val="5C384EF5"/>
    <w:rsid w:val="5C73411C"/>
    <w:rsid w:val="5C8D3517"/>
    <w:rsid w:val="5C9C1F8A"/>
    <w:rsid w:val="5CA94CEE"/>
    <w:rsid w:val="5CC31912"/>
    <w:rsid w:val="5CD87FCE"/>
    <w:rsid w:val="5CE21CAF"/>
    <w:rsid w:val="5CE450FE"/>
    <w:rsid w:val="5CE8554B"/>
    <w:rsid w:val="5CFE752C"/>
    <w:rsid w:val="5D34581D"/>
    <w:rsid w:val="5D3503EA"/>
    <w:rsid w:val="5D397D2C"/>
    <w:rsid w:val="5D442CD9"/>
    <w:rsid w:val="5D6F347F"/>
    <w:rsid w:val="5D85579C"/>
    <w:rsid w:val="5D97555B"/>
    <w:rsid w:val="5D9B549E"/>
    <w:rsid w:val="5DA07512"/>
    <w:rsid w:val="5DDE158C"/>
    <w:rsid w:val="5DE2034D"/>
    <w:rsid w:val="5DE2243A"/>
    <w:rsid w:val="5DF16612"/>
    <w:rsid w:val="5E01163E"/>
    <w:rsid w:val="5E0C16C2"/>
    <w:rsid w:val="5E2362AB"/>
    <w:rsid w:val="5E3758E0"/>
    <w:rsid w:val="5E460C00"/>
    <w:rsid w:val="5E6462ED"/>
    <w:rsid w:val="5EB053AB"/>
    <w:rsid w:val="5EB06DA1"/>
    <w:rsid w:val="5EB77BF4"/>
    <w:rsid w:val="5EDB1A44"/>
    <w:rsid w:val="5EF70725"/>
    <w:rsid w:val="5F116334"/>
    <w:rsid w:val="5F167628"/>
    <w:rsid w:val="5F187367"/>
    <w:rsid w:val="5F460512"/>
    <w:rsid w:val="5F4D40ED"/>
    <w:rsid w:val="5F5B6097"/>
    <w:rsid w:val="5F672E5B"/>
    <w:rsid w:val="5F704C52"/>
    <w:rsid w:val="5F8435C6"/>
    <w:rsid w:val="5FBB3692"/>
    <w:rsid w:val="5FBD1A76"/>
    <w:rsid w:val="5FCC4A9B"/>
    <w:rsid w:val="5FCF0476"/>
    <w:rsid w:val="5FDD542D"/>
    <w:rsid w:val="5FE343FF"/>
    <w:rsid w:val="60335D24"/>
    <w:rsid w:val="603A2D0F"/>
    <w:rsid w:val="603E133A"/>
    <w:rsid w:val="60440EA7"/>
    <w:rsid w:val="609D2B3A"/>
    <w:rsid w:val="60A63145"/>
    <w:rsid w:val="60B13425"/>
    <w:rsid w:val="60BA7212"/>
    <w:rsid w:val="60C80A52"/>
    <w:rsid w:val="60E27633"/>
    <w:rsid w:val="60E370E1"/>
    <w:rsid w:val="6115743B"/>
    <w:rsid w:val="6118219C"/>
    <w:rsid w:val="6181590D"/>
    <w:rsid w:val="61882537"/>
    <w:rsid w:val="619D4D82"/>
    <w:rsid w:val="61B057CE"/>
    <w:rsid w:val="61C10180"/>
    <w:rsid w:val="61DF65A1"/>
    <w:rsid w:val="620879B6"/>
    <w:rsid w:val="62144776"/>
    <w:rsid w:val="62165B70"/>
    <w:rsid w:val="624A6D69"/>
    <w:rsid w:val="62511E62"/>
    <w:rsid w:val="625978FB"/>
    <w:rsid w:val="625D6EB4"/>
    <w:rsid w:val="627C4E07"/>
    <w:rsid w:val="62A60AF3"/>
    <w:rsid w:val="6300329D"/>
    <w:rsid w:val="631A0AF4"/>
    <w:rsid w:val="63357CF9"/>
    <w:rsid w:val="633C3E81"/>
    <w:rsid w:val="63417443"/>
    <w:rsid w:val="634718F8"/>
    <w:rsid w:val="634F14DE"/>
    <w:rsid w:val="635271AC"/>
    <w:rsid w:val="63CA5038"/>
    <w:rsid w:val="63DF412E"/>
    <w:rsid w:val="63F611BE"/>
    <w:rsid w:val="6411441D"/>
    <w:rsid w:val="643E4803"/>
    <w:rsid w:val="64404CE4"/>
    <w:rsid w:val="644305A9"/>
    <w:rsid w:val="644E3A73"/>
    <w:rsid w:val="646A5C3F"/>
    <w:rsid w:val="64925E0B"/>
    <w:rsid w:val="64A44582"/>
    <w:rsid w:val="64AE177E"/>
    <w:rsid w:val="64D21B54"/>
    <w:rsid w:val="64D60666"/>
    <w:rsid w:val="64E77431"/>
    <w:rsid w:val="64F60F67"/>
    <w:rsid w:val="65036FA9"/>
    <w:rsid w:val="6512148E"/>
    <w:rsid w:val="6532064B"/>
    <w:rsid w:val="65400C77"/>
    <w:rsid w:val="657D6AE7"/>
    <w:rsid w:val="65935C2B"/>
    <w:rsid w:val="65A643DB"/>
    <w:rsid w:val="65AB0FF3"/>
    <w:rsid w:val="65B64924"/>
    <w:rsid w:val="65CD72D9"/>
    <w:rsid w:val="66154489"/>
    <w:rsid w:val="66234A68"/>
    <w:rsid w:val="662B4B5B"/>
    <w:rsid w:val="662E3C5A"/>
    <w:rsid w:val="66524C20"/>
    <w:rsid w:val="666B40AB"/>
    <w:rsid w:val="66A05930"/>
    <w:rsid w:val="66AF05D0"/>
    <w:rsid w:val="66CC4B63"/>
    <w:rsid w:val="66DD782D"/>
    <w:rsid w:val="66E71594"/>
    <w:rsid w:val="66EB350E"/>
    <w:rsid w:val="671C19A2"/>
    <w:rsid w:val="67361909"/>
    <w:rsid w:val="673D11D9"/>
    <w:rsid w:val="674B37D3"/>
    <w:rsid w:val="6761151E"/>
    <w:rsid w:val="67777A7E"/>
    <w:rsid w:val="6779514F"/>
    <w:rsid w:val="67937A78"/>
    <w:rsid w:val="67AC67D9"/>
    <w:rsid w:val="67B505D6"/>
    <w:rsid w:val="67C646E4"/>
    <w:rsid w:val="67CE19EE"/>
    <w:rsid w:val="67CF78E2"/>
    <w:rsid w:val="67D612EC"/>
    <w:rsid w:val="67D65FBA"/>
    <w:rsid w:val="67FF38D2"/>
    <w:rsid w:val="68061691"/>
    <w:rsid w:val="68100949"/>
    <w:rsid w:val="68203D10"/>
    <w:rsid w:val="683728A9"/>
    <w:rsid w:val="68407CCF"/>
    <w:rsid w:val="68454692"/>
    <w:rsid w:val="68C046B7"/>
    <w:rsid w:val="68E424F2"/>
    <w:rsid w:val="68EB0259"/>
    <w:rsid w:val="691E73F0"/>
    <w:rsid w:val="69283B12"/>
    <w:rsid w:val="694170DA"/>
    <w:rsid w:val="69451A1A"/>
    <w:rsid w:val="695D5EF8"/>
    <w:rsid w:val="698F5A9E"/>
    <w:rsid w:val="69B66B69"/>
    <w:rsid w:val="69D5604B"/>
    <w:rsid w:val="69FE44F1"/>
    <w:rsid w:val="69FF65C7"/>
    <w:rsid w:val="6A26310F"/>
    <w:rsid w:val="6A400F60"/>
    <w:rsid w:val="6A576D32"/>
    <w:rsid w:val="6A7248D0"/>
    <w:rsid w:val="6A830F9E"/>
    <w:rsid w:val="6AB37558"/>
    <w:rsid w:val="6AB8557D"/>
    <w:rsid w:val="6ABD2874"/>
    <w:rsid w:val="6AC71A1A"/>
    <w:rsid w:val="6AD631B3"/>
    <w:rsid w:val="6ADF3C04"/>
    <w:rsid w:val="6AF13EB3"/>
    <w:rsid w:val="6AF9354E"/>
    <w:rsid w:val="6B161C09"/>
    <w:rsid w:val="6B1718A3"/>
    <w:rsid w:val="6B2527AA"/>
    <w:rsid w:val="6B3E0AFB"/>
    <w:rsid w:val="6B5E68AE"/>
    <w:rsid w:val="6B88227B"/>
    <w:rsid w:val="6B8F3DAE"/>
    <w:rsid w:val="6B9F3DD3"/>
    <w:rsid w:val="6BB9397F"/>
    <w:rsid w:val="6BB97F4C"/>
    <w:rsid w:val="6BCD0996"/>
    <w:rsid w:val="6BE17EC5"/>
    <w:rsid w:val="6C022EF5"/>
    <w:rsid w:val="6C095FFD"/>
    <w:rsid w:val="6C3C26F7"/>
    <w:rsid w:val="6C3E1496"/>
    <w:rsid w:val="6C4F292A"/>
    <w:rsid w:val="6C784968"/>
    <w:rsid w:val="6C934A49"/>
    <w:rsid w:val="6C9F70F4"/>
    <w:rsid w:val="6CC36FD4"/>
    <w:rsid w:val="6CD67939"/>
    <w:rsid w:val="6CE16A99"/>
    <w:rsid w:val="6D132BAE"/>
    <w:rsid w:val="6D1B154C"/>
    <w:rsid w:val="6D4C39E0"/>
    <w:rsid w:val="6DBA30A2"/>
    <w:rsid w:val="6DD03DDD"/>
    <w:rsid w:val="6E0765D6"/>
    <w:rsid w:val="6E186368"/>
    <w:rsid w:val="6E1D7EFA"/>
    <w:rsid w:val="6E686CFA"/>
    <w:rsid w:val="6E912F62"/>
    <w:rsid w:val="6EA47B25"/>
    <w:rsid w:val="6EAD7D17"/>
    <w:rsid w:val="6F277243"/>
    <w:rsid w:val="6F4E7B0E"/>
    <w:rsid w:val="6F6A133A"/>
    <w:rsid w:val="6F7C2AB0"/>
    <w:rsid w:val="6F7F6D96"/>
    <w:rsid w:val="6FC4081A"/>
    <w:rsid w:val="6FCA3605"/>
    <w:rsid w:val="6FF50E6B"/>
    <w:rsid w:val="70066C14"/>
    <w:rsid w:val="701279FC"/>
    <w:rsid w:val="701A6BE9"/>
    <w:rsid w:val="70232CE3"/>
    <w:rsid w:val="703C239F"/>
    <w:rsid w:val="704A0E9A"/>
    <w:rsid w:val="706D1456"/>
    <w:rsid w:val="70777DE6"/>
    <w:rsid w:val="707E6971"/>
    <w:rsid w:val="70875CA3"/>
    <w:rsid w:val="708C2304"/>
    <w:rsid w:val="70A53478"/>
    <w:rsid w:val="70B22275"/>
    <w:rsid w:val="70B23373"/>
    <w:rsid w:val="70DB1BC1"/>
    <w:rsid w:val="70DD1926"/>
    <w:rsid w:val="70E41B98"/>
    <w:rsid w:val="713F2AFD"/>
    <w:rsid w:val="71952910"/>
    <w:rsid w:val="71981217"/>
    <w:rsid w:val="71B84ACA"/>
    <w:rsid w:val="71BC32BD"/>
    <w:rsid w:val="71D17C92"/>
    <w:rsid w:val="71D679F7"/>
    <w:rsid w:val="71DC6DEC"/>
    <w:rsid w:val="720D62FA"/>
    <w:rsid w:val="722B7F7E"/>
    <w:rsid w:val="72326B0E"/>
    <w:rsid w:val="72472E01"/>
    <w:rsid w:val="7268775B"/>
    <w:rsid w:val="727541CF"/>
    <w:rsid w:val="72B35F16"/>
    <w:rsid w:val="72D93FE7"/>
    <w:rsid w:val="72DB5B48"/>
    <w:rsid w:val="73093CE5"/>
    <w:rsid w:val="730E7F44"/>
    <w:rsid w:val="732832DD"/>
    <w:rsid w:val="73410FF4"/>
    <w:rsid w:val="735A1499"/>
    <w:rsid w:val="73666ABD"/>
    <w:rsid w:val="738810BD"/>
    <w:rsid w:val="738A5D60"/>
    <w:rsid w:val="738B3F56"/>
    <w:rsid w:val="738C741C"/>
    <w:rsid w:val="73916994"/>
    <w:rsid w:val="73A3131E"/>
    <w:rsid w:val="73B1192F"/>
    <w:rsid w:val="73CE2E29"/>
    <w:rsid w:val="73DA0609"/>
    <w:rsid w:val="73F054DC"/>
    <w:rsid w:val="74063A0F"/>
    <w:rsid w:val="74085DBE"/>
    <w:rsid w:val="740C668D"/>
    <w:rsid w:val="7419604D"/>
    <w:rsid w:val="741B029F"/>
    <w:rsid w:val="741D3F96"/>
    <w:rsid w:val="7422753E"/>
    <w:rsid w:val="74275EEF"/>
    <w:rsid w:val="74311C74"/>
    <w:rsid w:val="743A3238"/>
    <w:rsid w:val="74417D9A"/>
    <w:rsid w:val="7442265A"/>
    <w:rsid w:val="747A6B56"/>
    <w:rsid w:val="74A130CB"/>
    <w:rsid w:val="74A847D8"/>
    <w:rsid w:val="74BC2EAC"/>
    <w:rsid w:val="74BF79E8"/>
    <w:rsid w:val="74CD7D3E"/>
    <w:rsid w:val="74DD1A7B"/>
    <w:rsid w:val="74E46DE7"/>
    <w:rsid w:val="74FF1F41"/>
    <w:rsid w:val="75186034"/>
    <w:rsid w:val="7546513A"/>
    <w:rsid w:val="75642786"/>
    <w:rsid w:val="756E76CB"/>
    <w:rsid w:val="75C625B2"/>
    <w:rsid w:val="75F760D0"/>
    <w:rsid w:val="75FF1C9D"/>
    <w:rsid w:val="761651E1"/>
    <w:rsid w:val="76193CFE"/>
    <w:rsid w:val="762761CC"/>
    <w:rsid w:val="764B5B94"/>
    <w:rsid w:val="765D278B"/>
    <w:rsid w:val="765D642D"/>
    <w:rsid w:val="76796A38"/>
    <w:rsid w:val="76814719"/>
    <w:rsid w:val="76A6131D"/>
    <w:rsid w:val="76C43B6A"/>
    <w:rsid w:val="76C84BB4"/>
    <w:rsid w:val="76DC70E2"/>
    <w:rsid w:val="770F655C"/>
    <w:rsid w:val="77256260"/>
    <w:rsid w:val="77387F4E"/>
    <w:rsid w:val="774775C9"/>
    <w:rsid w:val="77944A0C"/>
    <w:rsid w:val="77DC410A"/>
    <w:rsid w:val="77E802DD"/>
    <w:rsid w:val="77EF1EFC"/>
    <w:rsid w:val="78082EA5"/>
    <w:rsid w:val="78191973"/>
    <w:rsid w:val="78246762"/>
    <w:rsid w:val="783A2570"/>
    <w:rsid w:val="785D0C51"/>
    <w:rsid w:val="789F729D"/>
    <w:rsid w:val="78A332F6"/>
    <w:rsid w:val="78AC2C1A"/>
    <w:rsid w:val="78BA77AD"/>
    <w:rsid w:val="78D76289"/>
    <w:rsid w:val="78FA6091"/>
    <w:rsid w:val="78FE02F9"/>
    <w:rsid w:val="791378D9"/>
    <w:rsid w:val="7918120A"/>
    <w:rsid w:val="791D484E"/>
    <w:rsid w:val="792B7ADB"/>
    <w:rsid w:val="79673907"/>
    <w:rsid w:val="7972455A"/>
    <w:rsid w:val="79843AB5"/>
    <w:rsid w:val="79F206CA"/>
    <w:rsid w:val="79F556E7"/>
    <w:rsid w:val="79FA5EC6"/>
    <w:rsid w:val="79FD3647"/>
    <w:rsid w:val="7A1B6439"/>
    <w:rsid w:val="7A3D4FF8"/>
    <w:rsid w:val="7A62009D"/>
    <w:rsid w:val="7A707A0C"/>
    <w:rsid w:val="7A7F1012"/>
    <w:rsid w:val="7A991F5F"/>
    <w:rsid w:val="7A9F31FC"/>
    <w:rsid w:val="7AA722B0"/>
    <w:rsid w:val="7AA95331"/>
    <w:rsid w:val="7AD41BFE"/>
    <w:rsid w:val="7AE101C7"/>
    <w:rsid w:val="7AE57976"/>
    <w:rsid w:val="7B244E36"/>
    <w:rsid w:val="7B274214"/>
    <w:rsid w:val="7B333296"/>
    <w:rsid w:val="7B5529ED"/>
    <w:rsid w:val="7B716015"/>
    <w:rsid w:val="7B83131D"/>
    <w:rsid w:val="7BA557B9"/>
    <w:rsid w:val="7BA7367B"/>
    <w:rsid w:val="7BB10658"/>
    <w:rsid w:val="7BDD4B02"/>
    <w:rsid w:val="7C1E1019"/>
    <w:rsid w:val="7C5B1B71"/>
    <w:rsid w:val="7C916D05"/>
    <w:rsid w:val="7CA9518B"/>
    <w:rsid w:val="7CC952AA"/>
    <w:rsid w:val="7CD62495"/>
    <w:rsid w:val="7CF02947"/>
    <w:rsid w:val="7D032647"/>
    <w:rsid w:val="7D312C84"/>
    <w:rsid w:val="7D553317"/>
    <w:rsid w:val="7D5D566D"/>
    <w:rsid w:val="7D8A7BB3"/>
    <w:rsid w:val="7DA22646"/>
    <w:rsid w:val="7DBD1C4E"/>
    <w:rsid w:val="7DE33872"/>
    <w:rsid w:val="7E025E1B"/>
    <w:rsid w:val="7E1E5C06"/>
    <w:rsid w:val="7E351709"/>
    <w:rsid w:val="7E475EBF"/>
    <w:rsid w:val="7E4A2CB2"/>
    <w:rsid w:val="7E653615"/>
    <w:rsid w:val="7E7D50EC"/>
    <w:rsid w:val="7E8B43F6"/>
    <w:rsid w:val="7EB77ECD"/>
    <w:rsid w:val="7EDC3C5E"/>
    <w:rsid w:val="7F271E86"/>
    <w:rsid w:val="7F745F2F"/>
    <w:rsid w:val="7F7B15F0"/>
    <w:rsid w:val="7FA919BF"/>
    <w:rsid w:val="7FB606F2"/>
    <w:rsid w:val="7FCA13CF"/>
    <w:rsid w:val="7FD33338"/>
    <w:rsid w:val="7FDE06A5"/>
    <w:rsid w:val="7FE809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9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qFormat="1" w:unhideWhenUsed="0" w:uiPriority="0" w:semiHidden="0" w:name="toc 6"/>
    <w:lsdException w:uiPriority="0" w:name="toc 7"/>
    <w:lsdException w:uiPriority="0" w:name="toc 8"/>
    <w:lsdException w:uiPriority="0" w:name="toc 9"/>
    <w:lsdException w:qFormat="1" w:unhideWhenUsed="0" w:uiPriority="0" w:semiHidden="0" w:name="Normal Indent"/>
    <w:lsdException w:uiPriority="99" w:name="footnote text" w:locked="1"/>
    <w:lsdException w:qFormat="1" w:unhideWhenUsed="0" w:uiPriority="0" w:name="annotation text" w:locked="1"/>
    <w:lsdException w:qFormat="1" w:unhideWhenUsed="0" w:uiPriority="0" w:semiHidden="0" w:name="header"/>
    <w:lsdException w:qFormat="1" w:unhideWhenUsed="0" w:uiPriority="0"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0" w:name="annotation reference" w:locked="1"/>
    <w:lsdException w:qFormat="1" w:unhideWhenUsed="0" w:uiPriority="99" w:name="line number"/>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name="List"/>
    <w:lsdException w:uiPriority="99" w:name="List Bullet" w:locked="1"/>
    <w:lsdException w:qFormat="1" w:unhideWhenUsed="0" w:uiPriority="99" w:name="List Number"/>
    <w:lsdException w:qFormat="1" w:unhideWhenUsed="0" w:uiPriority="99" w:name="List 2"/>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qFormat="1" w:unhideWhenUsed="0" w:uiPriority="99" w:name="List Number 3"/>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qFormat="1" w:unhideWhenUsed="0" w:uiPriority="0"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qFormat="1" w:unhideWhenUsed="0" w:uiPriority="0" w:semiHidden="0" w:name="Body Text First Indent" w:locked="1"/>
    <w:lsdException w:qFormat="1" w:uiPriority="99" w:semiHidden="0" w:name="Body Text First Indent 2" w:locked="1"/>
    <w:lsdException w:uiPriority="99" w:name="Note Heading" w:locked="1"/>
    <w:lsdException w:qFormat="1" w:unhideWhenUsed="0" w:uiPriority="99" w:name="Body Text 2"/>
    <w:lsdException w:qFormat="1" w:unhideWhenUsed="0" w:uiPriority="99" w:name="Body Text 3"/>
    <w:lsdException w:qFormat="1" w:unhideWhenUsed="0" w:uiPriority="99" w:name="Body Text Indent 2"/>
    <w:lsdException w:qFormat="1" w:unhideWhenUsed="0" w:uiPriority="99" w:semiHidden="0" w:name="Body Text Indent 3"/>
    <w:lsdException w:uiPriority="99" w:name="Block Text" w:locked="1"/>
    <w:lsdException w:qFormat="1" w:unhideWhenUsed="0" w:uiPriority="99" w:semiHidden="0" w:name="Hyperlink"/>
    <w:lsdException w:qFormat="1" w:uiPriority="99" w:name="FollowedHyperlink" w:locked="1"/>
    <w:lsdException w:qFormat="1" w:unhideWhenUsed="0" w:uiPriority="0" w:semiHidden="0" w:name="Strong"/>
    <w:lsdException w:qFormat="1" w:unhideWhenUsed="0" w:uiPriority="0" w:semiHidden="0" w:name="Emphasis"/>
    <w:lsdException w:qFormat="1" w:unhideWhenUsed="0" w:uiPriority="99" w:name="Document Map"/>
    <w:lsdException w:qFormat="1" w:unhideWhenUsed="0" w:uiPriority="0" w:semiHidden="0" w:name="Plain Text"/>
    <w:lsdException w:uiPriority="99" w:name="E-mail Signature" w:locked="1"/>
    <w:lsdException w:qFormat="1" w:uiPriority="0"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ocked="1"/>
    <w:lsdException w:uiPriority="99" w:name="HTML Sample" w:locked="1"/>
    <w:lsdException w:uiPriority="99" w:name="HTML Typewriter" w:locked="1"/>
    <w:lsdException w:uiPriority="99" w:name="HTML Variable" w:locked="1"/>
    <w:lsdException w:uiPriority="99" w:name="Normal Table"/>
    <w:lsdException w:qFormat="1" w:unhideWhenUsed="0" w:uiPriority="0"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0" w:semiHidden="0" w:name="Balloon Text"/>
    <w:lsdException w:qFormat="1" w:unhideWhenUsed="0" w:uiPriority="3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宋体" w:cs="Times New Roman"/>
      <w:kern w:val="2"/>
      <w:sz w:val="24"/>
      <w:szCs w:val="28"/>
      <w:lang w:val="en-US" w:eastAsia="zh-CN" w:bidi="ar-SA"/>
    </w:rPr>
  </w:style>
  <w:style w:type="paragraph" w:styleId="4">
    <w:name w:val="heading 1"/>
    <w:basedOn w:val="1"/>
    <w:next w:val="1"/>
    <w:link w:val="72"/>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69"/>
    <w:qFormat/>
    <w:uiPriority w:val="99"/>
    <w:pPr>
      <w:keepNext/>
      <w:keepLines/>
      <w:spacing w:before="260" w:after="260" w:line="415" w:lineRule="auto"/>
      <w:outlineLvl w:val="1"/>
    </w:pPr>
    <w:rPr>
      <w:rFonts w:ascii="Arial" w:hAnsi="Arial" w:eastAsia="黑体"/>
      <w:b/>
      <w:bCs/>
      <w:sz w:val="32"/>
      <w:szCs w:val="32"/>
    </w:rPr>
  </w:style>
  <w:style w:type="paragraph" w:styleId="6">
    <w:name w:val="heading 3"/>
    <w:basedOn w:val="1"/>
    <w:next w:val="1"/>
    <w:link w:val="51"/>
    <w:qFormat/>
    <w:uiPriority w:val="99"/>
    <w:pPr>
      <w:keepNext/>
      <w:keepLines/>
      <w:spacing w:before="260" w:after="260" w:line="416" w:lineRule="auto"/>
      <w:outlineLvl w:val="2"/>
    </w:pPr>
    <w:rPr>
      <w:b/>
      <w:bCs/>
      <w:sz w:val="32"/>
      <w:szCs w:val="32"/>
    </w:rPr>
  </w:style>
  <w:style w:type="paragraph" w:styleId="7">
    <w:name w:val="heading 4"/>
    <w:basedOn w:val="1"/>
    <w:next w:val="1"/>
    <w:link w:val="64"/>
    <w:qFormat/>
    <w:uiPriority w:val="0"/>
    <w:pPr>
      <w:keepNext/>
      <w:keepLines/>
      <w:spacing w:before="280" w:after="290" w:line="376" w:lineRule="auto"/>
      <w:outlineLvl w:val="3"/>
    </w:pPr>
    <w:rPr>
      <w:rFonts w:ascii="Cambria" w:hAnsi="Cambria"/>
      <w:b/>
      <w:bCs/>
      <w:sz w:val="28"/>
    </w:rPr>
  </w:style>
  <w:style w:type="character" w:default="1" w:styleId="38">
    <w:name w:val="Default Paragraph Font"/>
    <w:semiHidden/>
    <w:unhideWhenUsed/>
    <w:uiPriority w:val="1"/>
  </w:style>
  <w:style w:type="table" w:default="1" w:styleId="36">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link w:val="79"/>
    <w:unhideWhenUsed/>
    <w:qFormat/>
    <w:locked/>
    <w:uiPriority w:val="99"/>
    <w:pPr>
      <w:spacing w:after="120"/>
      <w:ind w:left="420" w:leftChars="200" w:firstLine="420"/>
    </w:pPr>
  </w:style>
  <w:style w:type="paragraph" w:styleId="3">
    <w:name w:val="Body Text Indent"/>
    <w:basedOn w:val="1"/>
    <w:link w:val="71"/>
    <w:qFormat/>
    <w:uiPriority w:val="99"/>
    <w:pPr>
      <w:spacing w:line="200" w:lineRule="atLeast"/>
      <w:ind w:firstLine="301"/>
    </w:pPr>
    <w:rPr>
      <w:kern w:val="0"/>
      <w:szCs w:val="24"/>
    </w:rPr>
  </w:style>
  <w:style w:type="paragraph" w:styleId="8">
    <w:name w:val="List Number"/>
    <w:basedOn w:val="1"/>
    <w:semiHidden/>
    <w:qFormat/>
    <w:uiPriority w:val="99"/>
    <w:pPr>
      <w:widowControl/>
      <w:tabs>
        <w:tab w:val="left" w:pos="900"/>
      </w:tabs>
      <w:spacing w:afterLines="50"/>
      <w:ind w:left="900" w:hanging="720"/>
      <w:jc w:val="left"/>
    </w:pPr>
    <w:rPr>
      <w:kern w:val="0"/>
      <w:szCs w:val="24"/>
    </w:rPr>
  </w:style>
  <w:style w:type="paragraph" w:styleId="9">
    <w:name w:val="Normal Indent"/>
    <w:basedOn w:val="1"/>
    <w:link w:val="54"/>
    <w:qFormat/>
    <w:uiPriority w:val="0"/>
    <w:pPr>
      <w:ind w:firstLine="420"/>
    </w:pPr>
    <w:rPr>
      <w:sz w:val="21"/>
      <w:szCs w:val="21"/>
    </w:rPr>
  </w:style>
  <w:style w:type="paragraph" w:styleId="10">
    <w:name w:val="caption"/>
    <w:basedOn w:val="1"/>
    <w:next w:val="1"/>
    <w:qFormat/>
    <w:uiPriority w:val="99"/>
    <w:pPr>
      <w:spacing w:before="152" w:after="160"/>
    </w:pPr>
    <w:rPr>
      <w:rFonts w:ascii="Arial" w:hAnsi="Arial" w:eastAsia="黑体" w:cs="Arial"/>
      <w:sz w:val="20"/>
      <w:szCs w:val="20"/>
    </w:rPr>
  </w:style>
  <w:style w:type="paragraph" w:styleId="11">
    <w:name w:val="Document Map"/>
    <w:basedOn w:val="1"/>
    <w:link w:val="73"/>
    <w:semiHidden/>
    <w:qFormat/>
    <w:uiPriority w:val="99"/>
    <w:rPr>
      <w:rFonts w:ascii="宋体"/>
      <w:sz w:val="18"/>
      <w:szCs w:val="18"/>
    </w:rPr>
  </w:style>
  <w:style w:type="paragraph" w:styleId="12">
    <w:name w:val="annotation text"/>
    <w:basedOn w:val="1"/>
    <w:link w:val="46"/>
    <w:semiHidden/>
    <w:qFormat/>
    <w:locked/>
    <w:uiPriority w:val="0"/>
    <w:pPr>
      <w:jc w:val="left"/>
    </w:pPr>
    <w:rPr>
      <w:sz w:val="21"/>
      <w:szCs w:val="22"/>
    </w:rPr>
  </w:style>
  <w:style w:type="paragraph" w:styleId="13">
    <w:name w:val="Body Text 3"/>
    <w:basedOn w:val="1"/>
    <w:link w:val="53"/>
    <w:semiHidden/>
    <w:qFormat/>
    <w:uiPriority w:val="99"/>
    <w:pPr>
      <w:snapToGrid w:val="0"/>
      <w:spacing w:before="50" w:after="50"/>
    </w:pPr>
    <w:rPr>
      <w:kern w:val="0"/>
      <w:sz w:val="16"/>
      <w:szCs w:val="16"/>
    </w:rPr>
  </w:style>
  <w:style w:type="paragraph" w:styleId="14">
    <w:name w:val="Body Text"/>
    <w:basedOn w:val="1"/>
    <w:next w:val="1"/>
    <w:link w:val="81"/>
    <w:qFormat/>
    <w:uiPriority w:val="0"/>
    <w:pPr>
      <w:spacing w:after="120"/>
    </w:pPr>
    <w:rPr>
      <w:kern w:val="0"/>
      <w:szCs w:val="24"/>
    </w:rPr>
  </w:style>
  <w:style w:type="paragraph" w:styleId="15">
    <w:name w:val="List Number 3"/>
    <w:basedOn w:val="1"/>
    <w:semiHidden/>
    <w:qFormat/>
    <w:uiPriority w:val="99"/>
    <w:pPr>
      <w:tabs>
        <w:tab w:val="left" w:pos="1480"/>
      </w:tabs>
      <w:ind w:left="720" w:leftChars="400" w:hanging="200" w:hangingChars="200"/>
    </w:pPr>
    <w:rPr>
      <w:sz w:val="21"/>
      <w:szCs w:val="21"/>
    </w:rPr>
  </w:style>
  <w:style w:type="paragraph" w:styleId="16">
    <w:name w:val="List 2"/>
    <w:basedOn w:val="1"/>
    <w:semiHidden/>
    <w:qFormat/>
    <w:uiPriority w:val="99"/>
    <w:pPr>
      <w:ind w:left="200" w:leftChars="200" w:hanging="200" w:hangingChars="200"/>
    </w:pPr>
  </w:style>
  <w:style w:type="paragraph" w:styleId="17">
    <w:name w:val="toc 3"/>
    <w:basedOn w:val="1"/>
    <w:next w:val="1"/>
    <w:qFormat/>
    <w:uiPriority w:val="39"/>
    <w:pPr>
      <w:ind w:left="840" w:leftChars="400"/>
    </w:pPr>
  </w:style>
  <w:style w:type="paragraph" w:styleId="18">
    <w:name w:val="Plain Text"/>
    <w:basedOn w:val="1"/>
    <w:next w:val="1"/>
    <w:link w:val="47"/>
    <w:qFormat/>
    <w:uiPriority w:val="0"/>
    <w:pPr>
      <w:spacing w:beforeLines="50" w:afterLines="50" w:line="400" w:lineRule="atLeast"/>
    </w:pPr>
    <w:rPr>
      <w:rFonts w:ascii="宋体" w:hAnsi="Courier New"/>
      <w:kern w:val="0"/>
      <w:sz w:val="21"/>
      <w:szCs w:val="21"/>
    </w:rPr>
  </w:style>
  <w:style w:type="paragraph" w:styleId="19">
    <w:name w:val="Date"/>
    <w:basedOn w:val="1"/>
    <w:next w:val="1"/>
    <w:link w:val="56"/>
    <w:qFormat/>
    <w:uiPriority w:val="99"/>
    <w:pPr>
      <w:ind w:left="2500" w:leftChars="2500"/>
    </w:pPr>
    <w:rPr>
      <w:kern w:val="0"/>
      <w:szCs w:val="24"/>
    </w:rPr>
  </w:style>
  <w:style w:type="paragraph" w:styleId="20">
    <w:name w:val="Body Text Indent 2"/>
    <w:basedOn w:val="1"/>
    <w:next w:val="2"/>
    <w:link w:val="60"/>
    <w:semiHidden/>
    <w:qFormat/>
    <w:uiPriority w:val="99"/>
    <w:pPr>
      <w:snapToGrid w:val="0"/>
      <w:ind w:firstLine="542" w:firstLineChars="225"/>
    </w:pPr>
    <w:rPr>
      <w:rFonts w:ascii="仿宋_GB2312" w:hAnsi="宋体"/>
      <w:b/>
      <w:bCs/>
      <w:color w:val="000000"/>
      <w:szCs w:val="24"/>
    </w:rPr>
  </w:style>
  <w:style w:type="paragraph" w:styleId="21">
    <w:name w:val="Balloon Text"/>
    <w:basedOn w:val="1"/>
    <w:link w:val="55"/>
    <w:qFormat/>
    <w:uiPriority w:val="0"/>
    <w:rPr>
      <w:sz w:val="18"/>
      <w:szCs w:val="18"/>
    </w:rPr>
  </w:style>
  <w:style w:type="paragraph" w:styleId="22">
    <w:name w:val="footer"/>
    <w:basedOn w:val="1"/>
    <w:link w:val="61"/>
    <w:qFormat/>
    <w:uiPriority w:val="0"/>
    <w:pPr>
      <w:tabs>
        <w:tab w:val="center" w:pos="4153"/>
        <w:tab w:val="right" w:pos="8306"/>
      </w:tabs>
      <w:snapToGrid w:val="0"/>
      <w:jc w:val="left"/>
    </w:pPr>
    <w:rPr>
      <w:sz w:val="18"/>
      <w:szCs w:val="18"/>
    </w:rPr>
  </w:style>
  <w:style w:type="paragraph" w:styleId="23">
    <w:name w:val="header"/>
    <w:basedOn w:val="1"/>
    <w:link w:val="63"/>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39"/>
    <w:rPr>
      <w:sz w:val="21"/>
      <w:szCs w:val="21"/>
    </w:rPr>
  </w:style>
  <w:style w:type="paragraph" w:styleId="25">
    <w:name w:val="Subtitle"/>
    <w:basedOn w:val="1"/>
    <w:next w:val="1"/>
    <w:link w:val="68"/>
    <w:qFormat/>
    <w:uiPriority w:val="0"/>
    <w:pPr>
      <w:spacing w:before="240" w:after="60" w:line="312" w:lineRule="auto"/>
      <w:jc w:val="center"/>
      <w:outlineLvl w:val="1"/>
    </w:pPr>
    <w:rPr>
      <w:rFonts w:ascii="Cambria" w:hAnsi="Cambria"/>
      <w:b/>
      <w:bCs/>
      <w:kern w:val="28"/>
      <w:sz w:val="32"/>
      <w:szCs w:val="32"/>
    </w:rPr>
  </w:style>
  <w:style w:type="paragraph" w:styleId="26">
    <w:name w:val="List"/>
    <w:basedOn w:val="1"/>
    <w:semiHidden/>
    <w:qFormat/>
    <w:uiPriority w:val="99"/>
    <w:pPr>
      <w:ind w:left="200" w:hanging="200" w:hangingChars="200"/>
    </w:pPr>
  </w:style>
  <w:style w:type="paragraph" w:styleId="27">
    <w:name w:val="toc 6"/>
    <w:basedOn w:val="1"/>
    <w:next w:val="1"/>
    <w:qFormat/>
    <w:uiPriority w:val="0"/>
    <w:pPr>
      <w:ind w:left="1050"/>
      <w:jc w:val="left"/>
    </w:pPr>
    <w:rPr>
      <w:sz w:val="18"/>
      <w:szCs w:val="18"/>
    </w:rPr>
  </w:style>
  <w:style w:type="paragraph" w:styleId="28">
    <w:name w:val="Body Text Indent 3"/>
    <w:basedOn w:val="1"/>
    <w:link w:val="48"/>
    <w:qFormat/>
    <w:uiPriority w:val="99"/>
    <w:pPr>
      <w:spacing w:after="120"/>
      <w:ind w:left="420" w:leftChars="200"/>
    </w:pPr>
    <w:rPr>
      <w:sz w:val="16"/>
      <w:szCs w:val="16"/>
    </w:rPr>
  </w:style>
  <w:style w:type="paragraph" w:styleId="29">
    <w:name w:val="toc 2"/>
    <w:basedOn w:val="1"/>
    <w:next w:val="1"/>
    <w:qFormat/>
    <w:uiPriority w:val="39"/>
    <w:pPr>
      <w:ind w:left="420" w:leftChars="200"/>
    </w:pPr>
  </w:style>
  <w:style w:type="paragraph" w:styleId="30">
    <w:name w:val="Body Text 2"/>
    <w:basedOn w:val="1"/>
    <w:link w:val="62"/>
    <w:semiHidden/>
    <w:qFormat/>
    <w:uiPriority w:val="99"/>
    <w:pPr>
      <w:widowControl/>
      <w:snapToGrid w:val="0"/>
      <w:spacing w:before="50" w:afterLines="50" w:line="400" w:lineRule="atLeast"/>
      <w:jc w:val="left"/>
    </w:pPr>
    <w:rPr>
      <w:kern w:val="0"/>
      <w:szCs w:val="24"/>
    </w:rPr>
  </w:style>
  <w:style w:type="paragraph" w:styleId="31">
    <w:name w:val="HTML Preformatted"/>
    <w:basedOn w:val="1"/>
    <w:qFormat/>
    <w:locked/>
    <w:uiPriority w:val="99"/>
    <w:rPr>
      <w:rFonts w:ascii="Arial Unicode MS" w:hAnsi="Arial Unicode MS" w:eastAsia="Arial Unicode MS"/>
      <w:szCs w:val="22"/>
    </w:rPr>
  </w:style>
  <w:style w:type="paragraph" w:styleId="32">
    <w:name w:val="Normal (Web)"/>
    <w:basedOn w:val="1"/>
    <w:unhideWhenUsed/>
    <w:qFormat/>
    <w:locked/>
    <w:uiPriority w:val="0"/>
  </w:style>
  <w:style w:type="paragraph" w:styleId="33">
    <w:name w:val="Title"/>
    <w:basedOn w:val="1"/>
    <w:next w:val="1"/>
    <w:link w:val="77"/>
    <w:qFormat/>
    <w:uiPriority w:val="0"/>
    <w:pPr>
      <w:spacing w:before="240" w:after="60"/>
      <w:jc w:val="center"/>
      <w:outlineLvl w:val="0"/>
    </w:pPr>
    <w:rPr>
      <w:rFonts w:ascii="Cambria" w:hAnsi="Cambria"/>
      <w:b/>
      <w:bCs/>
      <w:sz w:val="32"/>
      <w:szCs w:val="32"/>
    </w:rPr>
  </w:style>
  <w:style w:type="paragraph" w:styleId="34">
    <w:name w:val="annotation subject"/>
    <w:basedOn w:val="12"/>
    <w:next w:val="12"/>
    <w:semiHidden/>
    <w:qFormat/>
    <w:locked/>
    <w:uiPriority w:val="0"/>
    <w:rPr>
      <w:b/>
      <w:bCs/>
      <w:sz w:val="28"/>
      <w:szCs w:val="28"/>
    </w:rPr>
  </w:style>
  <w:style w:type="paragraph" w:styleId="35">
    <w:name w:val="Body Text First Indent"/>
    <w:basedOn w:val="14"/>
    <w:next w:val="1"/>
    <w:qFormat/>
    <w:locked/>
    <w:uiPriority w:val="0"/>
    <w:pPr>
      <w:ind w:firstLine="420"/>
    </w:pPr>
    <w:rPr>
      <w:rFonts w:eastAsia="楷体_GB2312"/>
      <w:b/>
      <w:bCs/>
      <w:sz w:val="32"/>
      <w:szCs w:val="20"/>
    </w:rPr>
  </w:style>
  <w:style w:type="table" w:styleId="37">
    <w:name w:val="Table Grid"/>
    <w:basedOn w:val="36"/>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9">
    <w:name w:val="Strong"/>
    <w:qFormat/>
    <w:uiPriority w:val="0"/>
    <w:rPr>
      <w:b/>
    </w:rPr>
  </w:style>
  <w:style w:type="character" w:styleId="40">
    <w:name w:val="page number"/>
    <w:qFormat/>
    <w:locked/>
    <w:uiPriority w:val="0"/>
  </w:style>
  <w:style w:type="character" w:styleId="41">
    <w:name w:val="FollowedHyperlink"/>
    <w:basedOn w:val="38"/>
    <w:semiHidden/>
    <w:unhideWhenUsed/>
    <w:qFormat/>
    <w:locked/>
    <w:uiPriority w:val="99"/>
    <w:rPr>
      <w:color w:val="800080"/>
      <w:u w:val="single"/>
    </w:rPr>
  </w:style>
  <w:style w:type="character" w:styleId="42">
    <w:name w:val="line number"/>
    <w:semiHidden/>
    <w:qFormat/>
    <w:uiPriority w:val="99"/>
    <w:rPr>
      <w:rFonts w:cs="Times New Roman"/>
    </w:rPr>
  </w:style>
  <w:style w:type="character" w:styleId="43">
    <w:name w:val="Hyperlink"/>
    <w:qFormat/>
    <w:uiPriority w:val="99"/>
    <w:rPr>
      <w:rFonts w:cs="Times New Roman"/>
      <w:color w:val="0000FF"/>
      <w:u w:val="single"/>
    </w:rPr>
  </w:style>
  <w:style w:type="character" w:styleId="44">
    <w:name w:val="annotation reference"/>
    <w:semiHidden/>
    <w:qFormat/>
    <w:locked/>
    <w:uiPriority w:val="0"/>
    <w:rPr>
      <w:sz w:val="21"/>
      <w:szCs w:val="21"/>
    </w:rPr>
  </w:style>
  <w:style w:type="paragraph" w:customStyle="1" w:styleId="45">
    <w:name w:val="[Normal]"/>
    <w:qFormat/>
    <w:uiPriority w:val="0"/>
    <w:rPr>
      <w:rFonts w:ascii="宋体" w:hAnsi="宋体" w:eastAsia="宋体" w:cs="Times New Roman"/>
      <w:sz w:val="24"/>
      <w:lang w:val="en-US" w:eastAsia="en-US" w:bidi="ar-SA"/>
    </w:rPr>
  </w:style>
  <w:style w:type="character" w:customStyle="1" w:styleId="46">
    <w:name w:val="批注文字 字符"/>
    <w:link w:val="12"/>
    <w:semiHidden/>
    <w:qFormat/>
    <w:uiPriority w:val="0"/>
    <w:rPr>
      <w:kern w:val="2"/>
      <w:sz w:val="21"/>
      <w:szCs w:val="22"/>
    </w:rPr>
  </w:style>
  <w:style w:type="character" w:customStyle="1" w:styleId="47">
    <w:name w:val="纯文本 字符"/>
    <w:link w:val="18"/>
    <w:qFormat/>
    <w:locked/>
    <w:uiPriority w:val="0"/>
    <w:rPr>
      <w:rFonts w:ascii="宋体" w:hAnsi="Courier New" w:cs="宋体"/>
      <w:sz w:val="21"/>
      <w:szCs w:val="21"/>
    </w:rPr>
  </w:style>
  <w:style w:type="character" w:customStyle="1" w:styleId="48">
    <w:name w:val="正文文本缩进 3 字符"/>
    <w:link w:val="28"/>
    <w:qFormat/>
    <w:locked/>
    <w:uiPriority w:val="99"/>
    <w:rPr>
      <w:rFonts w:cs="Times New Roman"/>
      <w:kern w:val="2"/>
      <w:sz w:val="16"/>
      <w:szCs w:val="16"/>
    </w:rPr>
  </w:style>
  <w:style w:type="character" w:customStyle="1" w:styleId="49">
    <w:name w:val="UserStyle_6"/>
    <w:link w:val="50"/>
    <w:qFormat/>
    <w:uiPriority w:val="0"/>
    <w:rPr>
      <w:rFonts w:ascii="宋体" w:hAnsi="Courier New"/>
      <w:kern w:val="2"/>
      <w:sz w:val="24"/>
      <w:szCs w:val="24"/>
    </w:rPr>
  </w:style>
  <w:style w:type="paragraph" w:customStyle="1" w:styleId="50">
    <w:name w:val="PlainText"/>
    <w:basedOn w:val="1"/>
    <w:next w:val="1"/>
    <w:link w:val="49"/>
    <w:qFormat/>
    <w:uiPriority w:val="0"/>
    <w:pPr>
      <w:widowControl/>
      <w:spacing w:before="156" w:after="156" w:line="400" w:lineRule="exact"/>
      <w:ind w:firstLine="0" w:firstLineChars="0"/>
      <w:textAlignment w:val="baseline"/>
    </w:pPr>
    <w:rPr>
      <w:rFonts w:ascii="宋体" w:hAnsi="Courier New"/>
      <w:szCs w:val="24"/>
    </w:rPr>
  </w:style>
  <w:style w:type="character" w:customStyle="1" w:styleId="51">
    <w:name w:val="标题 3 字符"/>
    <w:link w:val="6"/>
    <w:semiHidden/>
    <w:qFormat/>
    <w:locked/>
    <w:uiPriority w:val="99"/>
    <w:rPr>
      <w:rFonts w:cs="Times New Roman"/>
      <w:b/>
      <w:bCs/>
      <w:kern w:val="2"/>
      <w:sz w:val="32"/>
      <w:szCs w:val="32"/>
    </w:rPr>
  </w:style>
  <w:style w:type="character" w:customStyle="1" w:styleId="52">
    <w:name w:val="font01"/>
    <w:qFormat/>
    <w:uiPriority w:val="0"/>
    <w:rPr>
      <w:rFonts w:hint="eastAsia" w:ascii="宋体" w:hAnsi="宋体" w:eastAsia="宋体" w:cs="宋体"/>
      <w:color w:val="000000"/>
      <w:sz w:val="24"/>
      <w:szCs w:val="24"/>
      <w:u w:val="none"/>
    </w:rPr>
  </w:style>
  <w:style w:type="character" w:customStyle="1" w:styleId="53">
    <w:name w:val="正文文本 3 字符"/>
    <w:link w:val="13"/>
    <w:semiHidden/>
    <w:qFormat/>
    <w:locked/>
    <w:uiPriority w:val="99"/>
    <w:rPr>
      <w:rFonts w:cs="Times New Roman"/>
      <w:sz w:val="16"/>
      <w:szCs w:val="16"/>
    </w:rPr>
  </w:style>
  <w:style w:type="character" w:customStyle="1" w:styleId="54">
    <w:name w:val="正文缩进 字符"/>
    <w:link w:val="9"/>
    <w:qFormat/>
    <w:uiPriority w:val="0"/>
    <w:rPr>
      <w:kern w:val="2"/>
      <w:sz w:val="21"/>
      <w:szCs w:val="21"/>
    </w:rPr>
  </w:style>
  <w:style w:type="character" w:customStyle="1" w:styleId="55">
    <w:name w:val="批注框文本 字符"/>
    <w:link w:val="21"/>
    <w:qFormat/>
    <w:locked/>
    <w:uiPriority w:val="0"/>
    <w:rPr>
      <w:rFonts w:cs="Times New Roman"/>
      <w:kern w:val="2"/>
      <w:sz w:val="18"/>
      <w:szCs w:val="18"/>
    </w:rPr>
  </w:style>
  <w:style w:type="character" w:customStyle="1" w:styleId="56">
    <w:name w:val="日期 字符"/>
    <w:link w:val="19"/>
    <w:semiHidden/>
    <w:qFormat/>
    <w:locked/>
    <w:uiPriority w:val="99"/>
    <w:rPr>
      <w:rFonts w:cs="Times New Roman"/>
      <w:sz w:val="24"/>
      <w:szCs w:val="24"/>
    </w:rPr>
  </w:style>
  <w:style w:type="character" w:customStyle="1" w:styleId="57">
    <w:name w:val="纯文本 Char2"/>
    <w:qFormat/>
    <w:uiPriority w:val="0"/>
    <w:rPr>
      <w:rFonts w:ascii="宋体" w:hAnsi="Courier New"/>
      <w:kern w:val="2"/>
      <w:sz w:val="24"/>
      <w:szCs w:val="24"/>
    </w:rPr>
  </w:style>
  <w:style w:type="character" w:customStyle="1" w:styleId="58">
    <w:name w:val="UserStyle_0"/>
    <w:link w:val="59"/>
    <w:qFormat/>
    <w:uiPriority w:val="0"/>
    <w:rPr>
      <w:kern w:val="44"/>
      <w:sz w:val="44"/>
      <w:szCs w:val="44"/>
    </w:rPr>
  </w:style>
  <w:style w:type="paragraph" w:customStyle="1" w:styleId="59">
    <w:name w:val="Heading1"/>
    <w:basedOn w:val="1"/>
    <w:next w:val="1"/>
    <w:link w:val="58"/>
    <w:qFormat/>
    <w:uiPriority w:val="0"/>
    <w:pPr>
      <w:keepNext/>
      <w:keepLines/>
      <w:widowControl/>
      <w:spacing w:before="340" w:after="330" w:line="578" w:lineRule="auto"/>
      <w:ind w:firstLine="0" w:firstLineChars="0"/>
      <w:textAlignment w:val="baseline"/>
    </w:pPr>
    <w:rPr>
      <w:kern w:val="44"/>
      <w:sz w:val="44"/>
      <w:szCs w:val="44"/>
    </w:rPr>
  </w:style>
  <w:style w:type="character" w:customStyle="1" w:styleId="60">
    <w:name w:val="正文文本缩进 2 字符"/>
    <w:link w:val="20"/>
    <w:semiHidden/>
    <w:qFormat/>
    <w:locked/>
    <w:uiPriority w:val="99"/>
    <w:rPr>
      <w:rFonts w:ascii="仿宋_GB2312" w:hAnsi="宋体" w:cs="仿宋_GB2312"/>
      <w:b/>
      <w:bCs/>
      <w:color w:val="000000"/>
      <w:kern w:val="2"/>
      <w:sz w:val="24"/>
      <w:szCs w:val="24"/>
    </w:rPr>
  </w:style>
  <w:style w:type="character" w:customStyle="1" w:styleId="61">
    <w:name w:val="页脚 字符"/>
    <w:link w:val="22"/>
    <w:qFormat/>
    <w:locked/>
    <w:uiPriority w:val="99"/>
    <w:rPr>
      <w:rFonts w:cs="Times New Roman"/>
      <w:kern w:val="2"/>
      <w:sz w:val="18"/>
      <w:szCs w:val="18"/>
    </w:rPr>
  </w:style>
  <w:style w:type="character" w:customStyle="1" w:styleId="62">
    <w:name w:val="正文文本 2 字符"/>
    <w:link w:val="30"/>
    <w:semiHidden/>
    <w:qFormat/>
    <w:locked/>
    <w:uiPriority w:val="99"/>
    <w:rPr>
      <w:rFonts w:cs="Times New Roman"/>
      <w:sz w:val="24"/>
      <w:szCs w:val="24"/>
    </w:rPr>
  </w:style>
  <w:style w:type="character" w:customStyle="1" w:styleId="63">
    <w:name w:val="页眉 字符"/>
    <w:link w:val="23"/>
    <w:qFormat/>
    <w:locked/>
    <w:uiPriority w:val="0"/>
    <w:rPr>
      <w:rFonts w:cs="Times New Roman"/>
      <w:kern w:val="2"/>
      <w:sz w:val="18"/>
      <w:szCs w:val="18"/>
    </w:rPr>
  </w:style>
  <w:style w:type="character" w:customStyle="1" w:styleId="64">
    <w:name w:val="标题 4 字符"/>
    <w:link w:val="7"/>
    <w:semiHidden/>
    <w:qFormat/>
    <w:uiPriority w:val="0"/>
    <w:rPr>
      <w:rFonts w:ascii="Cambria" w:hAnsi="Cambria" w:eastAsia="宋体" w:cs="Times New Roman"/>
      <w:b/>
      <w:bCs/>
      <w:kern w:val="2"/>
      <w:sz w:val="28"/>
      <w:szCs w:val="28"/>
    </w:rPr>
  </w:style>
  <w:style w:type="character" w:customStyle="1" w:styleId="65">
    <w:name w:val="正文2 Char Char"/>
    <w:link w:val="66"/>
    <w:qFormat/>
    <w:uiPriority w:val="0"/>
    <w:rPr>
      <w:kern w:val="2"/>
      <w:sz w:val="24"/>
    </w:rPr>
  </w:style>
  <w:style w:type="paragraph" w:customStyle="1" w:styleId="66">
    <w:name w:val="正文2"/>
    <w:basedOn w:val="1"/>
    <w:link w:val="65"/>
    <w:qFormat/>
    <w:uiPriority w:val="0"/>
    <w:pPr>
      <w:spacing w:before="156"/>
      <w:ind w:firstLine="510"/>
    </w:pPr>
    <w:rPr>
      <w:szCs w:val="20"/>
    </w:rPr>
  </w:style>
  <w:style w:type="character" w:customStyle="1" w:styleId="67">
    <w:name w:val="op-map-singlepoint-info-right1"/>
    <w:qFormat/>
    <w:uiPriority w:val="0"/>
  </w:style>
  <w:style w:type="character" w:customStyle="1" w:styleId="68">
    <w:name w:val="副标题 字符"/>
    <w:link w:val="25"/>
    <w:qFormat/>
    <w:uiPriority w:val="0"/>
    <w:rPr>
      <w:rFonts w:ascii="Cambria" w:hAnsi="Cambria" w:cs="Times New Roman"/>
      <w:b/>
      <w:bCs/>
      <w:kern w:val="28"/>
      <w:sz w:val="32"/>
      <w:szCs w:val="32"/>
    </w:rPr>
  </w:style>
  <w:style w:type="character" w:customStyle="1" w:styleId="69">
    <w:name w:val="标题 2 字符"/>
    <w:link w:val="5"/>
    <w:qFormat/>
    <w:locked/>
    <w:uiPriority w:val="99"/>
    <w:rPr>
      <w:rFonts w:ascii="Arial" w:hAnsi="Arial" w:eastAsia="黑体" w:cs="Arial"/>
      <w:b/>
      <w:bCs/>
      <w:kern w:val="2"/>
      <w:sz w:val="32"/>
      <w:szCs w:val="32"/>
    </w:rPr>
  </w:style>
  <w:style w:type="character" w:customStyle="1" w:styleId="70">
    <w:name w:val="font21"/>
    <w:qFormat/>
    <w:uiPriority w:val="0"/>
    <w:rPr>
      <w:rFonts w:hint="eastAsia" w:ascii="宋体" w:hAnsi="宋体" w:eastAsia="宋体" w:cs="宋体"/>
      <w:color w:val="FF0000"/>
      <w:sz w:val="24"/>
      <w:szCs w:val="24"/>
      <w:u w:val="none"/>
    </w:rPr>
  </w:style>
  <w:style w:type="character" w:customStyle="1" w:styleId="71">
    <w:name w:val="正文文本缩进 字符"/>
    <w:link w:val="3"/>
    <w:semiHidden/>
    <w:qFormat/>
    <w:locked/>
    <w:uiPriority w:val="99"/>
    <w:rPr>
      <w:rFonts w:cs="Times New Roman"/>
      <w:sz w:val="24"/>
      <w:szCs w:val="24"/>
    </w:rPr>
  </w:style>
  <w:style w:type="character" w:customStyle="1" w:styleId="72">
    <w:name w:val="标题 1 字符"/>
    <w:link w:val="4"/>
    <w:qFormat/>
    <w:locked/>
    <w:uiPriority w:val="9"/>
    <w:rPr>
      <w:rFonts w:cs="Times New Roman"/>
      <w:b/>
      <w:bCs/>
      <w:kern w:val="44"/>
      <w:sz w:val="44"/>
      <w:szCs w:val="44"/>
    </w:rPr>
  </w:style>
  <w:style w:type="character" w:customStyle="1" w:styleId="73">
    <w:name w:val="文档结构图 字符"/>
    <w:link w:val="11"/>
    <w:semiHidden/>
    <w:qFormat/>
    <w:locked/>
    <w:uiPriority w:val="99"/>
    <w:rPr>
      <w:rFonts w:ascii="宋体" w:cs="宋体"/>
      <w:kern w:val="2"/>
      <w:sz w:val="18"/>
      <w:szCs w:val="18"/>
    </w:rPr>
  </w:style>
  <w:style w:type="character" w:customStyle="1" w:styleId="74">
    <w:name w:val="BZ_正文 Char"/>
    <w:link w:val="75"/>
    <w:qFormat/>
    <w:uiPriority w:val="0"/>
    <w:rPr>
      <w:kern w:val="2"/>
      <w:sz w:val="24"/>
      <w:szCs w:val="24"/>
    </w:rPr>
  </w:style>
  <w:style w:type="paragraph" w:customStyle="1" w:styleId="75">
    <w:name w:val="BZ_正文"/>
    <w:basedOn w:val="1"/>
    <w:link w:val="74"/>
    <w:qFormat/>
    <w:uiPriority w:val="0"/>
    <w:rPr>
      <w:szCs w:val="24"/>
    </w:rPr>
  </w:style>
  <w:style w:type="character" w:customStyle="1" w:styleId="76">
    <w:name w:val="so-ask-best"/>
    <w:qFormat/>
    <w:uiPriority w:val="0"/>
  </w:style>
  <w:style w:type="character" w:customStyle="1" w:styleId="77">
    <w:name w:val="标题 字符"/>
    <w:link w:val="33"/>
    <w:qFormat/>
    <w:uiPriority w:val="0"/>
    <w:rPr>
      <w:rFonts w:ascii="Cambria" w:hAnsi="Cambria" w:cs="Times New Roman"/>
      <w:b/>
      <w:bCs/>
      <w:kern w:val="2"/>
      <w:sz w:val="32"/>
      <w:szCs w:val="32"/>
    </w:rPr>
  </w:style>
  <w:style w:type="character" w:customStyle="1" w:styleId="78">
    <w:name w:val="NormalCharacter"/>
    <w:qFormat/>
    <w:uiPriority w:val="0"/>
    <w:rPr>
      <w:rFonts w:ascii="Calibri" w:hAnsi="Calibri" w:eastAsia="宋体"/>
    </w:rPr>
  </w:style>
  <w:style w:type="character" w:customStyle="1" w:styleId="79">
    <w:name w:val="正文首行缩进 2 字符"/>
    <w:link w:val="2"/>
    <w:qFormat/>
    <w:uiPriority w:val="99"/>
    <w:rPr>
      <w:rFonts w:cs="Times New Roman"/>
      <w:kern w:val="2"/>
      <w:sz w:val="24"/>
      <w:szCs w:val="28"/>
    </w:rPr>
  </w:style>
  <w:style w:type="character" w:customStyle="1" w:styleId="80">
    <w:name w:val="纯文本 Char1"/>
    <w:qFormat/>
    <w:uiPriority w:val="0"/>
    <w:rPr>
      <w:rFonts w:ascii="宋体" w:hAnsi="Courier New"/>
      <w:sz w:val="24"/>
      <w:szCs w:val="24"/>
    </w:rPr>
  </w:style>
  <w:style w:type="character" w:customStyle="1" w:styleId="81">
    <w:name w:val="正文文本 字符"/>
    <w:link w:val="14"/>
    <w:semiHidden/>
    <w:qFormat/>
    <w:locked/>
    <w:uiPriority w:val="99"/>
    <w:rPr>
      <w:rFonts w:cs="Times New Roman"/>
      <w:sz w:val="24"/>
      <w:szCs w:val="24"/>
    </w:rPr>
  </w:style>
  <w:style w:type="paragraph" w:styleId="82">
    <w:name w:val="List Paragraph"/>
    <w:basedOn w:val="1"/>
    <w:qFormat/>
    <w:uiPriority w:val="34"/>
    <w:pPr>
      <w:ind w:firstLine="420"/>
    </w:pPr>
    <w:rPr>
      <w:sz w:val="21"/>
      <w:szCs w:val="21"/>
    </w:rPr>
  </w:style>
  <w:style w:type="paragraph" w:customStyle="1" w:styleId="83">
    <w:name w:val="正文3"/>
    <w:qFormat/>
    <w:uiPriority w:val="0"/>
    <w:pPr>
      <w:widowControl w:val="0"/>
      <w:jc w:val="both"/>
    </w:pPr>
    <w:rPr>
      <w:rFonts w:hint="eastAsia" w:ascii="Times New Roman" w:hAnsi="Times New Roman" w:eastAsia="宋体" w:cs="Times New Roman"/>
      <w:kern w:val="2"/>
      <w:sz w:val="21"/>
      <w:szCs w:val="22"/>
      <w:lang w:val="en-US" w:eastAsia="zh-CN" w:bidi="ar-SA"/>
    </w:rPr>
  </w:style>
  <w:style w:type="paragraph" w:customStyle="1" w:styleId="84">
    <w:name w:val="Char2"/>
    <w:basedOn w:val="1"/>
    <w:qFormat/>
    <w:uiPriority w:val="99"/>
    <w:rPr>
      <w:rFonts w:ascii="仿宋_GB2312" w:eastAsia="仿宋_GB2312" w:cs="仿宋_GB2312"/>
      <w:b/>
      <w:bCs/>
      <w:sz w:val="32"/>
      <w:szCs w:val="32"/>
    </w:rPr>
  </w:style>
  <w:style w:type="paragraph" w:customStyle="1" w:styleId="85">
    <w:name w:val="Char Char Char Char Char Char Char1 Char"/>
    <w:basedOn w:val="1"/>
    <w:qFormat/>
    <w:uiPriority w:val="0"/>
    <w:rPr>
      <w:rFonts w:ascii="Tahoma" w:hAnsi="Tahoma"/>
      <w:szCs w:val="20"/>
    </w:rPr>
  </w:style>
  <w:style w:type="paragraph" w:customStyle="1" w:styleId="86">
    <w:name w:val="正文文本缩进1"/>
    <w:basedOn w:val="1"/>
    <w:next w:val="1"/>
    <w:qFormat/>
    <w:uiPriority w:val="0"/>
    <w:pPr>
      <w:spacing w:after="120"/>
      <w:ind w:left="420" w:leftChars="200"/>
    </w:pPr>
  </w:style>
  <w:style w:type="paragraph" w:customStyle="1" w:styleId="87">
    <w:name w:val="正文段"/>
    <w:basedOn w:val="1"/>
    <w:qFormat/>
    <w:uiPriority w:val="99"/>
    <w:pPr>
      <w:widowControl/>
      <w:snapToGrid w:val="0"/>
      <w:spacing w:afterLines="50"/>
    </w:pPr>
    <w:rPr>
      <w:kern w:val="0"/>
      <w:szCs w:val="24"/>
    </w:rPr>
  </w:style>
  <w:style w:type="paragraph" w:customStyle="1" w:styleId="88">
    <w:name w:val="179"/>
    <w:basedOn w:val="1"/>
    <w:qFormat/>
    <w:uiPriority w:val="0"/>
    <w:pPr>
      <w:widowControl/>
      <w:spacing w:line="240" w:lineRule="auto"/>
      <w:ind w:firstLine="420"/>
      <w:textAlignment w:val="baseline"/>
    </w:pPr>
    <w:rPr>
      <w:rFonts w:ascii="Wingdings" w:hAnsi="Wingdings"/>
      <w:kern w:val="0"/>
      <w:sz w:val="20"/>
      <w:szCs w:val="20"/>
    </w:rPr>
  </w:style>
  <w:style w:type="paragraph" w:customStyle="1" w:styleId="89">
    <w:name w:val="Char Char Char Char Char Char Char Char Char Char Char Char Char Char Char Char"/>
    <w:basedOn w:val="1"/>
    <w:qFormat/>
    <w:uiPriority w:val="99"/>
    <w:rPr>
      <w:sz w:val="21"/>
      <w:szCs w:val="21"/>
    </w:rPr>
  </w:style>
  <w:style w:type="paragraph" w:customStyle="1" w:styleId="90">
    <w:name w:val="默认段落字体 Para Char Char Char Char Char Char Char Char Char1 Char Char Char Char"/>
    <w:basedOn w:val="1"/>
    <w:qFormat/>
    <w:uiPriority w:val="0"/>
    <w:rPr>
      <w:rFonts w:ascii="Tahoma" w:hAnsi="Tahoma" w:cs="Tahoma"/>
      <w:szCs w:val="24"/>
    </w:rPr>
  </w:style>
  <w:style w:type="paragraph" w:customStyle="1" w:styleId="91">
    <w:name w:val="正文文本首行缩进 21"/>
    <w:basedOn w:val="86"/>
    <w:qFormat/>
    <w:uiPriority w:val="0"/>
    <w:pPr>
      <w:ind w:firstLine="420"/>
    </w:pPr>
    <w:rPr>
      <w:rFonts w:cs="宋体"/>
    </w:rPr>
  </w:style>
  <w:style w:type="paragraph" w:customStyle="1" w:styleId="92">
    <w:name w:val="Char Char Char Char Char Char"/>
    <w:basedOn w:val="1"/>
    <w:qFormat/>
    <w:uiPriority w:val="99"/>
    <w:rPr>
      <w:rFonts w:ascii="Tahoma" w:hAnsi="Tahoma" w:cs="Tahoma"/>
      <w:szCs w:val="24"/>
    </w:rPr>
  </w:style>
  <w:style w:type="paragraph" w:customStyle="1" w:styleId="93">
    <w:name w:val="acxspmiddle"/>
    <w:basedOn w:val="1"/>
    <w:qFormat/>
    <w:uiPriority w:val="0"/>
    <w:pPr>
      <w:widowControl/>
      <w:spacing w:before="100" w:beforeAutospacing="1" w:after="100" w:afterAutospacing="1"/>
      <w:jc w:val="left"/>
    </w:pPr>
    <w:rPr>
      <w:rFonts w:ascii="宋体" w:hAnsi="宋体" w:cs="宋体"/>
      <w:kern w:val="0"/>
      <w:szCs w:val="24"/>
    </w:rPr>
  </w:style>
  <w:style w:type="paragraph" w:customStyle="1" w:styleId="94">
    <w:name w:val="TOC 标题1"/>
    <w:basedOn w:val="4"/>
    <w:next w:val="1"/>
    <w:qFormat/>
    <w:uiPriority w:val="39"/>
    <w:pPr>
      <w:widowControl/>
      <w:spacing w:before="480" w:after="0" w:line="276" w:lineRule="auto"/>
      <w:jc w:val="left"/>
      <w:outlineLvl w:val="9"/>
    </w:pPr>
    <w:rPr>
      <w:rFonts w:ascii="Cambria" w:hAnsi="Cambria" w:cs="Cambria"/>
      <w:color w:val="365F91"/>
      <w:kern w:val="0"/>
      <w:sz w:val="28"/>
      <w:szCs w:val="28"/>
    </w:rPr>
  </w:style>
  <w:style w:type="paragraph" w:customStyle="1" w:styleId="95">
    <w:name w:val="p0"/>
    <w:basedOn w:val="1"/>
    <w:qFormat/>
    <w:uiPriority w:val="99"/>
    <w:pPr>
      <w:widowControl/>
    </w:pPr>
    <w:rPr>
      <w:kern w:val="0"/>
      <w:sz w:val="21"/>
      <w:szCs w:val="21"/>
    </w:rPr>
  </w:style>
  <w:style w:type="paragraph" w:customStyle="1" w:styleId="96">
    <w:name w:val="纯文本1"/>
    <w:basedOn w:val="83"/>
    <w:qFormat/>
    <w:uiPriority w:val="0"/>
    <w:pPr>
      <w:tabs>
        <w:tab w:val="left" w:pos="0"/>
      </w:tabs>
      <w:adjustRightInd w:val="0"/>
      <w:textAlignment w:val="baseline"/>
    </w:pPr>
    <w:rPr>
      <w:rFonts w:ascii="宋体" w:hAnsi="Courier New" w:eastAsia="楷体_GB2312"/>
      <w:sz w:val="26"/>
      <w:szCs w:val="20"/>
    </w:rPr>
  </w:style>
  <w:style w:type="paragraph" w:customStyle="1" w:styleId="97">
    <w:name w:val="_Style 2"/>
    <w:basedOn w:val="1"/>
    <w:qFormat/>
    <w:uiPriority w:val="0"/>
    <w:pPr>
      <w:ind w:firstLine="420"/>
    </w:pPr>
    <w:rPr>
      <w:rFonts w:ascii="Calibri" w:hAnsi="Calibri"/>
      <w:szCs w:val="22"/>
    </w:rPr>
  </w:style>
  <w:style w:type="paragraph" w:customStyle="1" w:styleId="98">
    <w:name w:val="UserStyle_158"/>
    <w:basedOn w:val="1"/>
    <w:qFormat/>
    <w:uiPriority w:val="0"/>
    <w:pPr>
      <w:jc w:val="center"/>
      <w:textAlignment w:val="baseline"/>
    </w:pPr>
    <w:rPr>
      <w:sz w:val="21"/>
      <w:szCs w:val="21"/>
    </w:rPr>
  </w:style>
  <w:style w:type="paragraph" w:customStyle="1" w:styleId="99">
    <w:name w:val="Char"/>
    <w:basedOn w:val="1"/>
    <w:qFormat/>
    <w:uiPriority w:val="99"/>
    <w:rPr>
      <w:rFonts w:ascii="仿宋_GB2312" w:eastAsia="仿宋_GB2312" w:cs="仿宋_GB2312"/>
      <w:b/>
      <w:bCs/>
      <w:sz w:val="32"/>
      <w:szCs w:val="32"/>
    </w:rPr>
  </w:style>
  <w:style w:type="paragraph" w:customStyle="1" w:styleId="100">
    <w:name w:val="列出段落1"/>
    <w:basedOn w:val="1"/>
    <w:qFormat/>
    <w:uiPriority w:val="99"/>
    <w:pPr>
      <w:ind w:firstLine="420"/>
    </w:pPr>
  </w:style>
  <w:style w:type="paragraph" w:customStyle="1" w:styleId="101">
    <w:name w:val="DAS正文"/>
    <w:basedOn w:val="1"/>
    <w:qFormat/>
    <w:uiPriority w:val="0"/>
    <w:pPr>
      <w:tabs>
        <w:tab w:val="left" w:pos="1200"/>
      </w:tabs>
      <w:spacing w:line="360" w:lineRule="exact"/>
      <w:ind w:left="-17" w:leftChars="-8" w:right="181" w:firstLine="632" w:firstLineChars="300"/>
    </w:pPr>
    <w:rPr>
      <w:rFonts w:ascii="Verdana" w:hAnsi="Verdana"/>
      <w:b/>
      <w:bCs/>
      <w:szCs w:val="21"/>
    </w:rPr>
  </w:style>
  <w:style w:type="paragraph" w:customStyle="1" w:styleId="102">
    <w:name w:val="修订1"/>
    <w:unhideWhenUsed/>
    <w:qFormat/>
    <w:uiPriority w:val="99"/>
    <w:rPr>
      <w:rFonts w:ascii="Times New Roman" w:hAnsi="Times New Roman" w:eastAsia="宋体" w:cs="Times New Roman"/>
      <w:kern w:val="2"/>
      <w:sz w:val="28"/>
      <w:szCs w:val="28"/>
      <w:lang w:val="en-US" w:eastAsia="zh-CN" w:bidi="ar-SA"/>
    </w:rPr>
  </w:style>
  <w:style w:type="paragraph" w:customStyle="1" w:styleId="103">
    <w:name w:val="Char Char Char Char"/>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104">
    <w:name w:val="Char Char Char Char Char Char Char Char Char"/>
    <w:basedOn w:val="1"/>
    <w:qFormat/>
    <w:uiPriority w:val="0"/>
    <w:pPr>
      <w:widowControl/>
      <w:spacing w:after="160" w:line="240" w:lineRule="exact"/>
      <w:jc w:val="left"/>
    </w:pPr>
    <w:rPr>
      <w:sz w:val="21"/>
      <w:szCs w:val="20"/>
    </w:rPr>
  </w:style>
  <w:style w:type="paragraph" w:customStyle="1" w:styleId="105">
    <w:name w:val="Default"/>
    <w:qFormat/>
    <w:uiPriority w:val="0"/>
    <w:pPr>
      <w:widowControl w:val="0"/>
      <w:autoSpaceDE w:val="0"/>
      <w:autoSpaceDN w:val="0"/>
      <w:adjustRightInd w:val="0"/>
      <w:spacing w:before="120" w:after="120"/>
    </w:pPr>
    <w:rPr>
      <w:rFonts w:ascii="宋体" w:hAnsi="Times New Roman" w:eastAsia="宋体" w:cs="宋体"/>
      <w:color w:val="000000"/>
      <w:sz w:val="24"/>
      <w:szCs w:val="24"/>
      <w:lang w:val="en-US" w:eastAsia="zh-CN" w:bidi="ar-SA"/>
    </w:rPr>
  </w:style>
  <w:style w:type="paragraph" w:customStyle="1" w:styleId="106">
    <w:name w:val="表格正文"/>
    <w:basedOn w:val="1"/>
    <w:qFormat/>
    <w:uiPriority w:val="0"/>
    <w:rPr>
      <w:rFonts w:ascii="宋体" w:hAnsi="宋体"/>
      <w:kern w:val="0"/>
      <w:sz w:val="21"/>
      <w:szCs w:val="20"/>
    </w:rPr>
  </w:style>
  <w:style w:type="paragraph" w:customStyle="1" w:styleId="107">
    <w:name w:val="UserStyle_26"/>
    <w:basedOn w:val="1"/>
    <w:qFormat/>
    <w:uiPriority w:val="0"/>
    <w:pPr>
      <w:widowControl/>
      <w:tabs>
        <w:tab w:val="left" w:pos="1418"/>
      </w:tabs>
      <w:ind w:firstLine="0" w:firstLineChars="0"/>
      <w:jc w:val="center"/>
      <w:textAlignment w:val="baseline"/>
    </w:pPr>
    <w:rPr>
      <w:rFonts w:ascii="仿宋_GB2312" w:hAnsi="Calibri" w:eastAsia="仿宋_GB2312"/>
      <w:spacing w:val="-20"/>
      <w:kern w:val="0"/>
      <w:szCs w:val="24"/>
    </w:rPr>
  </w:style>
  <w:style w:type="paragraph" w:customStyle="1" w:styleId="108">
    <w:name w:val="标书正文"/>
    <w:basedOn w:val="1"/>
    <w:qFormat/>
    <w:uiPriority w:val="0"/>
    <w:pPr>
      <w:widowControl/>
    </w:pPr>
    <w:rPr>
      <w:rFonts w:ascii="宋体" w:hAnsi="宋体"/>
      <w:color w:val="000000"/>
      <w:kern w:val="0"/>
      <w:szCs w:val="24"/>
    </w:rPr>
  </w:style>
  <w:style w:type="paragraph" w:customStyle="1" w:styleId="109">
    <w:name w:val="Char Char4 Char Char Char Char Char Char Char Char"/>
    <w:basedOn w:val="1"/>
    <w:qFormat/>
    <w:uiPriority w:val="0"/>
    <w:rPr>
      <w:sz w:val="21"/>
      <w:szCs w:val="20"/>
    </w:rPr>
  </w:style>
  <w:style w:type="paragraph" w:customStyle="1" w:styleId="110">
    <w:name w:val="Char1"/>
    <w:basedOn w:val="1"/>
    <w:qFormat/>
    <w:uiPriority w:val="0"/>
    <w:pPr>
      <w:spacing w:line="380" w:lineRule="exact"/>
      <w:jc w:val="center"/>
      <w:outlineLvl w:val="1"/>
    </w:pPr>
    <w:rPr>
      <w:rFonts w:ascii="宋体" w:hAnsi="宋体"/>
      <w:b/>
      <w:bCs/>
      <w:sz w:val="30"/>
      <w:szCs w:val="30"/>
    </w:rPr>
  </w:style>
  <w:style w:type="paragraph" w:customStyle="1" w:styleId="111">
    <w:name w:val="无间隔1"/>
    <w:qFormat/>
    <w:uiPriority w:val="99"/>
    <w:pPr>
      <w:adjustRightInd w:val="0"/>
      <w:snapToGrid w:val="0"/>
    </w:pPr>
    <w:rPr>
      <w:rFonts w:ascii="Tahoma" w:hAnsi="Tahoma" w:eastAsia="微软雅黑" w:cs="Times New Roman"/>
      <w:sz w:val="22"/>
      <w:szCs w:val="22"/>
      <w:lang w:val="en-US" w:eastAsia="zh-CN" w:bidi="ar-SA"/>
    </w:rPr>
  </w:style>
  <w:style w:type="paragraph" w:customStyle="1" w:styleId="112">
    <w:name w:val="msoplaintextcxsplast"/>
    <w:basedOn w:val="1"/>
    <w:qFormat/>
    <w:uiPriority w:val="0"/>
    <w:pPr>
      <w:widowControl/>
      <w:spacing w:before="100" w:beforeAutospacing="1" w:after="100" w:afterAutospacing="1"/>
      <w:jc w:val="left"/>
    </w:pPr>
    <w:rPr>
      <w:rFonts w:ascii="宋体" w:hAnsi="宋体" w:cs="宋体"/>
      <w:kern w:val="0"/>
      <w:szCs w:val="24"/>
    </w:rPr>
  </w:style>
  <w:style w:type="paragraph" w:customStyle="1" w:styleId="113">
    <w:name w:val="纯文本2"/>
    <w:basedOn w:val="114"/>
    <w:qFormat/>
    <w:uiPriority w:val="0"/>
    <w:pPr>
      <w:adjustRightInd w:val="0"/>
      <w:textAlignment w:val="baseline"/>
    </w:pPr>
    <w:rPr>
      <w:rFonts w:ascii="宋体" w:hAnsi="Courier New" w:eastAsia="楷体_GB2312"/>
      <w:sz w:val="26"/>
      <w:szCs w:val="20"/>
    </w:rPr>
  </w:style>
  <w:style w:type="paragraph" w:customStyle="1" w:styleId="114">
    <w:name w:val="正文1"/>
    <w:qFormat/>
    <w:uiPriority w:val="0"/>
    <w:pPr>
      <w:widowControl w:val="0"/>
      <w:jc w:val="both"/>
    </w:pPr>
    <w:rPr>
      <w:rFonts w:hint="eastAsia" w:ascii="Times New Roman" w:hAnsi="Times New Roman" w:eastAsia="宋体" w:cs="Times New Roman"/>
      <w:kern w:val="2"/>
      <w:sz w:val="21"/>
      <w:szCs w:val="22"/>
      <w:lang w:val="en-US" w:eastAsia="zh-CN" w:bidi="ar-SA"/>
    </w:rPr>
  </w:style>
  <w:style w:type="paragraph" w:customStyle="1" w:styleId="115">
    <w:name w:val="Char Char3 Char Char"/>
    <w:basedOn w:val="1"/>
    <w:qFormat/>
    <w:uiPriority w:val="0"/>
    <w:rPr>
      <w:sz w:val="21"/>
      <w:szCs w:val="22"/>
    </w:rPr>
  </w:style>
  <w:style w:type="paragraph" w:customStyle="1" w:styleId="116">
    <w:name w:val="列出段落11"/>
    <w:basedOn w:val="1"/>
    <w:qFormat/>
    <w:uiPriority w:val="34"/>
    <w:pPr>
      <w:ind w:firstLine="420"/>
    </w:pPr>
    <w:rPr>
      <w:rFonts w:ascii="Calibri" w:hAnsi="Calibri"/>
      <w:sz w:val="21"/>
      <w:szCs w:val="22"/>
    </w:rPr>
  </w:style>
  <w:style w:type="paragraph" w:customStyle="1" w:styleId="117">
    <w:name w:val="表内文字"/>
    <w:basedOn w:val="1"/>
    <w:qFormat/>
    <w:uiPriority w:val="0"/>
    <w:pPr>
      <w:tabs>
        <w:tab w:val="left" w:pos="1418"/>
      </w:tabs>
      <w:spacing w:before="100" w:beforeAutospacing="1" w:after="100" w:afterAutospacing="1"/>
      <w:ind w:firstLine="400"/>
    </w:pPr>
    <w:rPr>
      <w:rFonts w:ascii="宋体" w:hAnsi="宋体" w:cs="仿宋_GB2312"/>
      <w:spacing w:val="-20"/>
      <w:kern w:val="0"/>
      <w:szCs w:val="24"/>
    </w:rPr>
  </w:style>
  <w:style w:type="paragraph" w:customStyle="1" w:styleId="118">
    <w:name w:val="正文11"/>
    <w:basedOn w:val="1"/>
    <w:qFormat/>
    <w:uiPriority w:val="0"/>
    <w:pPr>
      <w:tabs>
        <w:tab w:val="left" w:pos="0"/>
      </w:tabs>
    </w:pPr>
    <w:rPr>
      <w:rFonts w:ascii="Arial" w:hAnsi="Arial" w:eastAsia="仿宋_GB2312" w:cs="Arial"/>
      <w:b/>
      <w:szCs w:val="24"/>
    </w:rPr>
  </w:style>
  <w:style w:type="paragraph" w:customStyle="1" w:styleId="119">
    <w:name w:val="msonormal"/>
    <w:basedOn w:val="1"/>
    <w:qFormat/>
    <w:uiPriority w:val="0"/>
    <w:pPr>
      <w:widowControl/>
      <w:spacing w:before="100" w:beforeAutospacing="1" w:after="100" w:afterAutospacing="1" w:line="240" w:lineRule="auto"/>
      <w:ind w:firstLine="0" w:firstLineChars="0"/>
      <w:jc w:val="left"/>
    </w:pPr>
    <w:rPr>
      <w:rFonts w:ascii="宋体" w:hAnsi="宋体" w:cs="宋体"/>
      <w:kern w:val="0"/>
      <w:szCs w:val="24"/>
    </w:rPr>
  </w:style>
  <w:style w:type="paragraph" w:customStyle="1" w:styleId="120">
    <w:name w:val="xl65"/>
    <w:basedOn w:val="1"/>
    <w:qFormat/>
    <w:uiPriority w:val="0"/>
    <w:pPr>
      <w:widowControl/>
      <w:spacing w:before="100" w:beforeAutospacing="1" w:after="100" w:afterAutospacing="1" w:line="240" w:lineRule="auto"/>
      <w:ind w:firstLine="0" w:firstLineChars="0"/>
      <w:jc w:val="left"/>
    </w:pPr>
    <w:rPr>
      <w:rFonts w:ascii="宋体" w:hAnsi="宋体" w:cs="宋体"/>
      <w:kern w:val="0"/>
      <w:szCs w:val="24"/>
    </w:rPr>
  </w:style>
  <w:style w:type="paragraph" w:customStyle="1" w:styleId="121">
    <w:name w:val="xl66"/>
    <w:basedOn w:val="1"/>
    <w:qFormat/>
    <w:uiPriority w:val="0"/>
    <w:pPr>
      <w:widowControl/>
      <w:spacing w:before="100" w:beforeAutospacing="1" w:after="100" w:afterAutospacing="1" w:line="240" w:lineRule="auto"/>
      <w:ind w:firstLine="0" w:firstLineChars="0"/>
      <w:jc w:val="left"/>
    </w:pPr>
    <w:rPr>
      <w:rFonts w:ascii="宋体" w:hAnsi="宋体" w:cs="宋体"/>
      <w:kern w:val="0"/>
      <w:szCs w:val="24"/>
    </w:rPr>
  </w:style>
  <w:style w:type="paragraph" w:customStyle="1" w:styleId="12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rFonts w:ascii="宋体" w:hAnsi="宋体" w:cs="宋体"/>
      <w:b/>
      <w:bCs/>
      <w:kern w:val="0"/>
      <w:szCs w:val="24"/>
    </w:rPr>
  </w:style>
  <w:style w:type="paragraph" w:customStyle="1" w:styleId="12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b/>
      <w:bCs/>
      <w:kern w:val="0"/>
      <w:szCs w:val="24"/>
    </w:rPr>
  </w:style>
  <w:style w:type="paragraph" w:customStyle="1" w:styleId="12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b/>
      <w:bCs/>
      <w:kern w:val="0"/>
      <w:szCs w:val="24"/>
    </w:rPr>
  </w:style>
  <w:style w:type="paragraph" w:customStyle="1" w:styleId="125">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Cs w:val="24"/>
    </w:rPr>
  </w:style>
  <w:style w:type="paragraph" w:customStyle="1" w:styleId="126">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color w:val="000000"/>
      <w:kern w:val="0"/>
      <w:szCs w:val="24"/>
    </w:rPr>
  </w:style>
  <w:style w:type="paragraph" w:customStyle="1" w:styleId="127">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color w:val="000000"/>
      <w:kern w:val="0"/>
      <w:szCs w:val="24"/>
    </w:rPr>
  </w:style>
  <w:style w:type="paragraph" w:customStyle="1" w:styleId="128">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Cs w:val="24"/>
    </w:rPr>
  </w:style>
  <w:style w:type="paragraph" w:customStyle="1" w:styleId="129">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Cs w:val="24"/>
    </w:rPr>
  </w:style>
  <w:style w:type="paragraph" w:customStyle="1" w:styleId="130">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kern w:val="0"/>
      <w:szCs w:val="24"/>
    </w:rPr>
  </w:style>
  <w:style w:type="paragraph" w:customStyle="1" w:styleId="131">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kern w:val="0"/>
      <w:szCs w:val="24"/>
    </w:rPr>
  </w:style>
  <w:style w:type="paragraph" w:customStyle="1" w:styleId="132">
    <w:name w:val="xl77"/>
    <w:basedOn w:val="1"/>
    <w:qFormat/>
    <w:uiPriority w:val="0"/>
    <w:pPr>
      <w:widowControl/>
      <w:spacing w:before="100" w:beforeAutospacing="1" w:after="100" w:afterAutospacing="1" w:line="240" w:lineRule="auto"/>
      <w:ind w:firstLine="0" w:firstLineChars="0"/>
      <w:jc w:val="center"/>
    </w:pPr>
    <w:rPr>
      <w:rFonts w:ascii="宋体" w:hAnsi="宋体" w:cs="宋体"/>
      <w:b/>
      <w:bCs/>
      <w:kern w:val="0"/>
      <w:sz w:val="28"/>
    </w:rPr>
  </w:style>
  <w:style w:type="paragraph" w:customStyle="1" w:styleId="133">
    <w:name w:val="xl78"/>
    <w:basedOn w:val="1"/>
    <w:qFormat/>
    <w:uiPriority w:val="0"/>
    <w:pPr>
      <w:widowControl/>
      <w:spacing w:before="100" w:beforeAutospacing="1" w:after="100" w:afterAutospacing="1" w:line="240" w:lineRule="auto"/>
      <w:ind w:firstLine="0" w:firstLineChars="0"/>
      <w:jc w:val="left"/>
    </w:pPr>
    <w:rPr>
      <w:rFonts w:ascii="宋体" w:hAnsi="宋体" w:cs="宋体"/>
      <w:b/>
      <w:bCs/>
      <w:kern w:val="0"/>
      <w:sz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2.png"/><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2051"/>
    <customShpInfo spid="_x0000_s2052"/>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66</Pages>
  <Words>6970</Words>
  <Characters>39731</Characters>
  <Lines>331</Lines>
  <Paragraphs>93</Paragraphs>
  <TotalTime>16</TotalTime>
  <ScaleCrop>false</ScaleCrop>
  <LinksUpToDate>false</LinksUpToDate>
  <CharactersWithSpaces>46608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2022-04-12T08:49:00Z</dcterms:created>
  <dc:creator>Administrator</dc:creator>
  <cp:lastModifiedBy>DELL</cp:lastModifiedBy>
  <cp:lastPrinted>2023-05-08T10:40:11Z</cp:lastPrinted>
  <dcterms:modified xsi:type="dcterms:W3CDTF">2023-05-08T11:19:19Z</dcterms:modified>
  <dc:title>浙江省政府采购招标文件</dc:title>
  <cp:revision>546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7BDAB197ACBB481B8888649F5A107EBC</vt:lpwstr>
  </property>
</Properties>
</file>