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firstLine="0" w:firstLineChars="0"/>
        <w:jc w:val="center"/>
        <w:rPr>
          <w:rFonts w:ascii="楷体" w:hAnsi="楷体" w:eastAsia="楷体" w:cs="楷体"/>
          <w:b/>
          <w:bCs/>
          <w:color w:val="000000"/>
          <w:sz w:val="52"/>
          <w:szCs w:val="52"/>
        </w:rPr>
      </w:pPr>
      <w:r>
        <w:rPr>
          <w:rFonts w:hint="eastAsia" w:ascii="楷体" w:hAnsi="楷体" w:eastAsia="楷体" w:cs="楷体"/>
          <w:b/>
          <w:bCs/>
          <w:color w:val="000000"/>
          <w:sz w:val="52"/>
          <w:szCs w:val="52"/>
        </w:rPr>
        <w:t>2023年嘉善县水文测站设施设备运维项目</w:t>
      </w: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2"/>
        <w:ind w:firstLine="643"/>
      </w:pPr>
    </w:p>
    <w:p>
      <w:pPr>
        <w:pStyle w:val="10"/>
        <w:ind w:firstLine="720"/>
        <w:rPr>
          <w:rFonts w:ascii="楷体" w:hAnsi="楷体" w:eastAsia="楷体" w:cs="楷体"/>
          <w:color w:val="000000"/>
          <w:sz w:val="36"/>
          <w:szCs w:val="36"/>
        </w:rPr>
      </w:pPr>
    </w:p>
    <w:p>
      <w:pPr>
        <w:pStyle w:val="10"/>
        <w:ind w:firstLine="720"/>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pStyle w:val="45"/>
        <w:rPr>
          <w:lang w:eastAsia="zh-CN"/>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项目编号：HZZX-2023-G03</w:t>
      </w:r>
    </w:p>
    <w:p>
      <w:pPr>
        <w:pStyle w:val="19"/>
        <w:snapToGrid w:val="0"/>
        <w:spacing w:beforeLines="0" w:afterLines="0" w:line="276" w:lineRule="auto"/>
        <w:ind w:left="2106" w:leftChars="250" w:hanging="1506" w:hangingChars="500"/>
        <w:rPr>
          <w:rFonts w:ascii="楷体" w:hAnsi="楷体" w:eastAsia="楷体" w:cs="楷体"/>
          <w:b/>
          <w:bCs/>
          <w:color w:val="000000"/>
          <w:sz w:val="30"/>
          <w:szCs w:val="30"/>
        </w:rPr>
      </w:pPr>
      <w:r>
        <w:rPr>
          <w:rFonts w:hint="eastAsia" w:ascii="楷体" w:hAnsi="楷体" w:eastAsia="楷体" w:cs="楷体"/>
          <w:b/>
          <w:bCs/>
          <w:color w:val="000000"/>
          <w:sz w:val="30"/>
          <w:szCs w:val="30"/>
        </w:rPr>
        <w:t>项目名称：2023年嘉善县水文测站设施设备运维项目</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采购单位：嘉善县水利局</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2023年1月</w:t>
      </w:r>
    </w:p>
    <w:p>
      <w:pPr>
        <w:pStyle w:val="19"/>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4"/>
        <w:ind w:firstLine="723"/>
        <w:jc w:val="center"/>
        <w:rPr>
          <w:color w:val="000000"/>
          <w:sz w:val="36"/>
          <w:lang w:val="zh-CN"/>
        </w:rPr>
      </w:pPr>
      <w:bookmarkStart w:id="0" w:name="_Toc18407"/>
      <w:bookmarkStart w:id="1" w:name="_Toc2768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6"/>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12</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15</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16</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20</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21</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22</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22</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4"/>
        <w:spacing w:line="300" w:lineRule="auto"/>
        <w:ind w:firstLine="643"/>
      </w:pPr>
      <w:bookmarkStart w:id="2" w:name="_Toc23337"/>
      <w:r>
        <w:rPr>
          <w:rFonts w:hint="eastAsia"/>
        </w:rPr>
        <w:t>第一章  公开招标采购公告</w:t>
      </w:r>
      <w:bookmarkEnd w:id="2"/>
    </w:p>
    <w:p>
      <w:pPr>
        <w:pStyle w:val="4"/>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u w:val="single"/>
        </w:rPr>
        <w:t>2023年嘉善县水文测站设施设备运维项目</w:t>
      </w:r>
      <w:r>
        <w:rPr>
          <w:rFonts w:hint="eastAsia" w:ascii="宋体" w:hAnsi="宋体" w:cs="宋体"/>
          <w:szCs w:val="24"/>
        </w:rPr>
        <w:t>招标项目的潜在投标人应在</w:t>
      </w:r>
      <w:r>
        <w:rPr>
          <w:rFonts w:hint="eastAsia" w:ascii="宋体" w:hAnsi="宋体" w:cs="宋体"/>
          <w:szCs w:val="24"/>
          <w:u w:val="single"/>
        </w:rPr>
        <w:t>政采云平台（</w:t>
      </w:r>
      <w:r>
        <w:fldChar w:fldCharType="begin"/>
      </w:r>
      <w:r>
        <w:instrText xml:space="preserve"> HYPERLINK "https://www.zcygov.cn/）获取（下载）招标文件，并于2022年7月" </w:instrText>
      </w:r>
      <w:r>
        <w:fldChar w:fldCharType="separate"/>
      </w:r>
      <w:r>
        <w:rPr>
          <w:rStyle w:val="42"/>
          <w:rFonts w:hint="eastAsia" w:ascii="宋体" w:hAnsi="宋体" w:cs="宋体"/>
          <w:color w:val="auto"/>
          <w:szCs w:val="24"/>
        </w:rPr>
        <w:t>https://www.zcygov.cn/）获取（下载）招标文件，并于2023</w:t>
      </w:r>
      <w:r>
        <w:rPr>
          <w:rStyle w:val="42"/>
          <w:rFonts w:hint="eastAsia" w:ascii="宋体" w:hAnsi="宋体" w:cs="宋体"/>
          <w:bCs/>
          <w:color w:val="auto"/>
          <w:szCs w:val="24"/>
        </w:rPr>
        <w:t>年2月</w:t>
      </w:r>
      <w:r>
        <w:rPr>
          <w:rStyle w:val="42"/>
          <w:rFonts w:hint="eastAsia" w:ascii="宋体" w:hAnsi="宋体" w:cs="宋体"/>
          <w:bCs/>
          <w:color w:val="auto"/>
          <w:szCs w:val="24"/>
        </w:rPr>
        <w:fldChar w:fldCharType="end"/>
      </w:r>
      <w:r>
        <w:rPr>
          <w:rFonts w:hint="eastAsia" w:ascii="宋体" w:hAnsi="宋体" w:cs="宋体"/>
          <w:bCs/>
          <w:szCs w:val="24"/>
          <w:u w:val="single"/>
          <w:lang w:val="en-US" w:eastAsia="zh-CN"/>
        </w:rPr>
        <w:t>8</w:t>
      </w:r>
      <w:r>
        <w:rPr>
          <w:rFonts w:hint="eastAsia" w:ascii="宋体" w:hAnsi="宋体" w:cs="宋体"/>
          <w:bCs/>
          <w:szCs w:val="24"/>
          <w:u w:val="single"/>
        </w:rPr>
        <w:t>日</w:t>
      </w:r>
      <w:r>
        <w:rPr>
          <w:rFonts w:ascii="宋体" w:hAnsi="宋体" w:cs="宋体"/>
          <w:bCs/>
          <w:szCs w:val="24"/>
          <w:u w:val="single"/>
        </w:rPr>
        <w:t>14</w:t>
      </w:r>
      <w:r>
        <w:rPr>
          <w:rFonts w:hint="eastAsia" w:ascii="宋体" w:hAnsi="宋体" w:cs="宋体"/>
          <w:bCs/>
          <w:szCs w:val="24"/>
          <w:u w:val="single"/>
        </w:rPr>
        <w:t>点0</w:t>
      </w:r>
      <w:r>
        <w:rPr>
          <w:rFonts w:ascii="宋体" w:hAnsi="宋体" w:cs="宋体"/>
          <w:bCs/>
          <w:szCs w:val="24"/>
          <w:u w:val="single"/>
        </w:rPr>
        <w:t>0</w:t>
      </w:r>
      <w:r>
        <w:rPr>
          <w:rFonts w:hint="eastAsia" w:ascii="宋体" w:hAnsi="宋体" w:cs="宋体"/>
          <w:bCs/>
          <w:szCs w:val="24"/>
          <w:u w:val="single"/>
        </w:rPr>
        <w:t>分</w:t>
      </w:r>
      <w:r>
        <w:rPr>
          <w:rFonts w:hint="eastAsia" w:ascii="宋体" w:hAnsi="宋体" w:cs="宋体"/>
          <w:bCs/>
          <w:szCs w:val="24"/>
        </w:rPr>
        <w:t>（北京时间）前递交（上传）投标文件</w:t>
      </w:r>
      <w:r>
        <w:rPr>
          <w:rFonts w:hint="eastAsia" w:ascii="宋体" w:hAnsi="宋体" w:cs="宋体"/>
          <w:szCs w:val="24"/>
        </w:rPr>
        <w:t>。</w:t>
      </w:r>
    </w:p>
    <w:p>
      <w:pPr>
        <w:spacing w:line="300" w:lineRule="auto"/>
        <w:ind w:firstLine="482"/>
        <w:rPr>
          <w:b/>
          <w:bCs/>
          <w:szCs w:val="24"/>
        </w:rPr>
      </w:pPr>
      <w:bookmarkStart w:id="3" w:name="_Toc28359002"/>
      <w:bookmarkStart w:id="4" w:name="_Toc35393790"/>
      <w:bookmarkStart w:id="5" w:name="_Toc28359079"/>
      <w:bookmarkStart w:id="6" w:name="_Toc35393621"/>
      <w:bookmarkStart w:id="7" w:name="_Hlk24379207"/>
      <w:r>
        <w:rPr>
          <w:rFonts w:hint="eastAsia"/>
          <w:b/>
          <w:bCs/>
          <w:szCs w:val="24"/>
        </w:rPr>
        <w:t>一、项目基本情况</w:t>
      </w:r>
      <w:bookmarkEnd w:id="3"/>
      <w:bookmarkEnd w:id="4"/>
      <w:bookmarkEnd w:id="5"/>
      <w:bookmarkEnd w:id="6"/>
    </w:p>
    <w:p>
      <w:pPr>
        <w:spacing w:line="300" w:lineRule="auto"/>
        <w:ind w:firstLine="480"/>
        <w:rPr>
          <w:rFonts w:ascii="宋体" w:hAnsi="宋体" w:cs="宋体"/>
          <w:szCs w:val="24"/>
        </w:rPr>
      </w:pPr>
      <w:r>
        <w:rPr>
          <w:rFonts w:hint="eastAsia" w:ascii="宋体" w:hAnsi="宋体" w:cs="宋体"/>
          <w:szCs w:val="24"/>
        </w:rPr>
        <w:t>项目编号：HZZX-2023-G03</w:t>
      </w:r>
    </w:p>
    <w:p>
      <w:pPr>
        <w:spacing w:line="300" w:lineRule="auto"/>
        <w:ind w:left="1680" w:leftChars="200" w:hanging="1200" w:hangingChars="500"/>
        <w:rPr>
          <w:rFonts w:ascii="宋体" w:hAnsi="宋体" w:cs="宋体"/>
          <w:szCs w:val="24"/>
        </w:rPr>
      </w:pPr>
      <w:r>
        <w:rPr>
          <w:rFonts w:hint="eastAsia" w:ascii="宋体" w:hAnsi="宋体" w:cs="宋体"/>
          <w:szCs w:val="24"/>
        </w:rPr>
        <w:t>项目名称：</w:t>
      </w:r>
      <w:bookmarkEnd w:id="7"/>
      <w:r>
        <w:rPr>
          <w:rFonts w:hint="eastAsia" w:ascii="宋体" w:hAnsi="宋体" w:cs="宋体"/>
          <w:szCs w:val="24"/>
        </w:rPr>
        <w:t>2023年嘉善县水文测站设施设备运维项目</w:t>
      </w:r>
    </w:p>
    <w:p>
      <w:pPr>
        <w:spacing w:line="300" w:lineRule="auto"/>
        <w:ind w:firstLine="480"/>
        <w:rPr>
          <w:rFonts w:ascii="宋体" w:hAnsi="宋体" w:cs="宋体"/>
          <w:szCs w:val="24"/>
        </w:rPr>
      </w:pPr>
      <w:r>
        <w:rPr>
          <w:rFonts w:hint="eastAsia" w:ascii="宋体" w:hAnsi="宋体" w:cs="宋体"/>
          <w:szCs w:val="24"/>
        </w:rPr>
        <w:t>预算金额：150.00万元</w:t>
      </w:r>
    </w:p>
    <w:p>
      <w:pPr>
        <w:spacing w:line="300" w:lineRule="auto"/>
        <w:ind w:firstLine="480"/>
      </w:pPr>
      <w:r>
        <w:rPr>
          <w:rFonts w:hint="eastAsia" w:ascii="宋体" w:hAnsi="宋体" w:cs="宋体"/>
          <w:szCs w:val="24"/>
        </w:rPr>
        <w:t>最高限价（如有）：150.00万元</w:t>
      </w:r>
    </w:p>
    <w:p>
      <w:pPr>
        <w:spacing w:line="300" w:lineRule="auto"/>
        <w:ind w:firstLine="482"/>
        <w:rPr>
          <w:rFonts w:ascii="宋体" w:hAnsi="宋体" w:cs="宋体"/>
          <w:b/>
          <w:bCs/>
          <w:szCs w:val="24"/>
        </w:rPr>
      </w:pPr>
      <w:r>
        <w:rPr>
          <w:rFonts w:hint="eastAsia" w:ascii="宋体" w:hAnsi="宋体" w:cs="宋体"/>
          <w:b/>
          <w:bCs/>
          <w:szCs w:val="24"/>
        </w:rPr>
        <w:t>采购需求（概述）：</w:t>
      </w:r>
    </w:p>
    <w:tbl>
      <w:tblPr>
        <w:tblStyle w:val="36"/>
        <w:tblW w:w="9687" w:type="dxa"/>
        <w:tblInd w:w="0" w:type="dxa"/>
        <w:tblLayout w:type="autofit"/>
        <w:tblCellMar>
          <w:top w:w="0" w:type="dxa"/>
          <w:left w:w="0" w:type="dxa"/>
          <w:bottom w:w="0" w:type="dxa"/>
          <w:right w:w="0" w:type="dxa"/>
        </w:tblCellMar>
      </w:tblPr>
      <w:tblGrid>
        <w:gridCol w:w="721"/>
        <w:gridCol w:w="1884"/>
        <w:gridCol w:w="825"/>
        <w:gridCol w:w="5493"/>
        <w:gridCol w:w="764"/>
      </w:tblGrid>
      <w:tr>
        <w:tblPrEx>
          <w:tblCellMar>
            <w:top w:w="0" w:type="dxa"/>
            <w:left w:w="0" w:type="dxa"/>
            <w:bottom w:w="0" w:type="dxa"/>
            <w:right w:w="0" w:type="dxa"/>
          </w:tblCellMar>
        </w:tblPrEx>
        <w:trPr>
          <w:trHeight w:val="426"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序号</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项目内容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数量</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工作内容</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b/>
                <w:bCs/>
                <w:sz w:val="21"/>
                <w:szCs w:val="21"/>
              </w:rPr>
            </w:pPr>
            <w:r>
              <w:rPr>
                <w:rFonts w:hint="eastAsia" w:ascii="宋体" w:hAnsi="宋体" w:cs="宋体"/>
                <w:b/>
                <w:bCs/>
                <w:kern w:val="0"/>
                <w:sz w:val="21"/>
                <w:szCs w:val="21"/>
                <w:lang w:bidi="ar"/>
              </w:rPr>
              <w:t>备注</w:t>
            </w:r>
          </w:p>
        </w:tc>
      </w:tr>
      <w:tr>
        <w:tblPrEx>
          <w:tblCellMar>
            <w:top w:w="0" w:type="dxa"/>
            <w:left w:w="0" w:type="dxa"/>
            <w:bottom w:w="0" w:type="dxa"/>
            <w:right w:w="0" w:type="dxa"/>
          </w:tblCellMar>
        </w:tblPrEx>
        <w:trPr>
          <w:trHeight w:val="628"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一</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外港水位站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12站</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嘉善、西塘、陶庄等12个外港水位站的水位遥测和10个外港视频水位（干窑、罗星无视频水位）设备维护（包含站房日常卫生、绿化养护、消防安全等），12个外港水位站水尺的更新升级等。</w:t>
            </w:r>
          </w:p>
        </w:tc>
        <w:tc>
          <w:tcPr>
            <w:tcW w:w="764" w:type="dxa"/>
            <w:vMerge w:val="restart"/>
            <w:tcBorders>
              <w:top w:val="single" w:color="000000" w:sz="4" w:space="0"/>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kern w:val="0"/>
                <w:sz w:val="21"/>
                <w:szCs w:val="21"/>
                <w:lang w:bidi="ar"/>
              </w:rPr>
              <w:t>详见第二章采购需求</w:t>
            </w:r>
          </w:p>
        </w:tc>
      </w:tr>
      <w:tr>
        <w:tblPrEx>
          <w:tblCellMar>
            <w:top w:w="0" w:type="dxa"/>
            <w:left w:w="0" w:type="dxa"/>
            <w:bottom w:w="0" w:type="dxa"/>
            <w:right w:w="0" w:type="dxa"/>
          </w:tblCellMar>
        </w:tblPrEx>
        <w:trPr>
          <w:trHeight w:val="628"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二</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kern w:val="0"/>
                <w:sz w:val="21"/>
                <w:szCs w:val="21"/>
                <w:lang w:bidi="ar"/>
              </w:rPr>
              <w:t>自动测流站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17站</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sz w:val="21"/>
                <w:szCs w:val="21"/>
              </w:rPr>
              <w:t>横港大桥、枫泾塘、茜泾塘等17个ADCP自动测流站的监测设备维护。</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937" w:hRule="atLeast"/>
        </w:trPr>
        <w:tc>
          <w:tcPr>
            <w:tcW w:w="72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三</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sz w:val="21"/>
                <w:szCs w:val="21"/>
              </w:rPr>
              <w:t>地下水和雨量站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kern w:val="0"/>
                <w:sz w:val="21"/>
                <w:szCs w:val="21"/>
                <w:lang w:bidi="ar"/>
              </w:rPr>
              <w:t>5+3站</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sz w:val="21"/>
                <w:szCs w:val="21"/>
              </w:rPr>
              <w:t>杨庙、汾玉等5个地下水测站和嘉善、罗星、西塘三个雨量站的设备维护</w:t>
            </w:r>
            <w:r>
              <w:rPr>
                <w:rFonts w:hint="eastAsia" w:ascii="宋体" w:hAnsi="宋体" w:cs="宋体"/>
                <w:kern w:val="0"/>
                <w:sz w:val="21"/>
                <w:szCs w:val="21"/>
                <w:lang w:bidi="ar"/>
              </w:rPr>
              <w:t>等</w:t>
            </w:r>
            <w:r>
              <w:rPr>
                <w:rFonts w:hint="eastAsia" w:ascii="宋体" w:hAnsi="宋体" w:cs="宋体"/>
                <w:sz w:val="21"/>
                <w:szCs w:val="21"/>
              </w:rPr>
              <w:t>。</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5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0" w:firstLineChars="0"/>
              <w:jc w:val="center"/>
              <w:textAlignment w:val="center"/>
              <w:rPr>
                <w:rFonts w:ascii="宋体" w:hAnsi="宋体" w:cs="宋体"/>
                <w:sz w:val="21"/>
                <w:szCs w:val="21"/>
              </w:rPr>
            </w:pPr>
            <w:r>
              <w:rPr>
                <w:rFonts w:hint="eastAsia" w:ascii="宋体" w:hAnsi="宋体" w:cs="宋体"/>
                <w:sz w:val="21"/>
                <w:szCs w:val="21"/>
              </w:rPr>
              <w:t>四</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圩区水位站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95站</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sz w:val="21"/>
                <w:szCs w:val="21"/>
              </w:rPr>
            </w:pPr>
            <w:r>
              <w:rPr>
                <w:rFonts w:hint="eastAsia" w:ascii="宋体" w:hAnsi="宋体" w:cs="宋体"/>
                <w:sz w:val="21"/>
                <w:szCs w:val="21"/>
              </w:rPr>
              <w:t>全县各乡镇街道，圩区内部95个内港水位遥测设备的维护。</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5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五</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水文信息网络和公众号</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1+1</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保障全县水文通讯网络畅通，水文网站和公众号数据实时更新。</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5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六</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水文数据数字化</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1项</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对现有水文历史数据进行数字化整理整编，形成电子化文档，使数据便于存储、查询、查看（图表），进一步挖掘其中蕴含的经验规律。</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5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七</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横港大桥站修缮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1站</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包含但不限于卫生设备修缮改造。</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5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八</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地下水测站迁移改造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1站</w:t>
            </w: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对一个现有地下水测站改造升级，需迁移打井。</w:t>
            </w:r>
          </w:p>
        </w:tc>
        <w:tc>
          <w:tcPr>
            <w:tcW w:w="764" w:type="dxa"/>
            <w:vMerge w:val="continue"/>
            <w:tcBorders>
              <w:left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5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kern w:val="0"/>
                <w:sz w:val="21"/>
                <w:szCs w:val="21"/>
                <w:lang w:bidi="ar"/>
              </w:rPr>
              <w:t>九</w:t>
            </w:r>
          </w:p>
        </w:tc>
        <w:tc>
          <w:tcPr>
            <w:tcW w:w="188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辅助巡测和其他</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p>
        </w:tc>
        <w:tc>
          <w:tcPr>
            <w:tcW w:w="54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hint="eastAsia" w:ascii="宋体" w:hAnsi="宋体" w:eastAsia="宋体" w:cs="宋体"/>
                <w:kern w:val="0"/>
                <w:sz w:val="21"/>
                <w:szCs w:val="21"/>
                <w:lang w:eastAsia="zh-CN" w:bidi="ar"/>
              </w:rPr>
            </w:pPr>
            <w:r>
              <w:rPr>
                <w:rFonts w:hint="eastAsia" w:ascii="宋体" w:hAnsi="宋体" w:cs="宋体"/>
                <w:kern w:val="0"/>
                <w:sz w:val="21"/>
                <w:szCs w:val="21"/>
                <w:lang w:bidi="ar"/>
              </w:rPr>
              <w:t>为杭嘉湖巡测线测量和其他水文测验提供必要人力和交通等辅助</w:t>
            </w:r>
            <w:r>
              <w:rPr>
                <w:rFonts w:hint="eastAsia" w:ascii="宋体" w:hAnsi="宋体" w:cs="宋体"/>
                <w:kern w:val="0"/>
                <w:sz w:val="21"/>
                <w:szCs w:val="21"/>
                <w:lang w:eastAsia="zh-CN" w:bidi="ar"/>
              </w:rPr>
              <w:t>。</w:t>
            </w:r>
          </w:p>
        </w:tc>
        <w:tc>
          <w:tcPr>
            <w:tcW w:w="764" w:type="dxa"/>
            <w:vMerge w:val="continue"/>
            <w:tcBorders>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bl>
    <w:p>
      <w:pPr>
        <w:ind w:firstLine="482"/>
        <w:rPr>
          <w:rFonts w:ascii="宋体" w:hAnsi="宋体" w:cs="宋体"/>
          <w:b/>
          <w:color w:val="auto"/>
          <w:kern w:val="44"/>
          <w:szCs w:val="24"/>
          <w:lang w:val="zh-CN"/>
        </w:rPr>
      </w:pPr>
      <w:r>
        <w:rPr>
          <w:rFonts w:hint="eastAsia" w:ascii="宋体" w:hAnsi="宋体" w:cs="宋体"/>
          <w:b/>
          <w:kern w:val="44"/>
          <w:szCs w:val="24"/>
          <w:lang w:val="zh-CN"/>
        </w:rPr>
        <w:t>备注：</w:t>
      </w:r>
      <w:r>
        <w:rPr>
          <w:rFonts w:hint="eastAsia" w:ascii="宋体" w:hAnsi="宋体" w:cs="宋体"/>
          <w:szCs w:val="24"/>
        </w:rPr>
        <w:t>政府采购计</w:t>
      </w:r>
      <w:r>
        <w:rPr>
          <w:rFonts w:hint="eastAsia" w:ascii="宋体" w:hAnsi="宋体" w:cs="宋体"/>
          <w:color w:val="auto"/>
          <w:szCs w:val="24"/>
        </w:rPr>
        <w:t>划编号：善财采确临[2023]</w:t>
      </w:r>
      <w:r>
        <w:rPr>
          <w:rFonts w:ascii="宋体" w:hAnsi="宋体" w:cs="宋体"/>
          <w:color w:val="auto"/>
          <w:szCs w:val="24"/>
        </w:rPr>
        <w:t>86</w:t>
      </w:r>
      <w:r>
        <w:rPr>
          <w:rFonts w:hint="eastAsia" w:ascii="宋体" w:hAnsi="宋体" w:cs="宋体"/>
          <w:color w:val="auto"/>
          <w:szCs w:val="24"/>
        </w:rPr>
        <w:t>号</w:t>
      </w:r>
    </w:p>
    <w:p>
      <w:pPr>
        <w:spacing w:line="300" w:lineRule="auto"/>
        <w:ind w:firstLine="482"/>
        <w:rPr>
          <w:rFonts w:ascii="宋体" w:hAnsi="宋体" w:cs="宋体"/>
          <w:b/>
          <w:color w:val="FF0000"/>
          <w:kern w:val="44"/>
          <w:szCs w:val="24"/>
          <w:lang w:val="zh-CN"/>
        </w:rPr>
      </w:pPr>
      <w:r>
        <w:rPr>
          <w:rFonts w:hint="eastAsia" w:ascii="宋体" w:hAnsi="宋体" w:cs="宋体"/>
          <w:b/>
          <w:color w:val="auto"/>
          <w:kern w:val="44"/>
          <w:szCs w:val="24"/>
          <w:lang w:val="zh-CN"/>
        </w:rPr>
        <w:t>合同履行期限：</w:t>
      </w:r>
      <w:r>
        <w:rPr>
          <w:rFonts w:hint="eastAsia" w:ascii="宋体" w:hAnsi="宋体"/>
          <w:color w:val="auto"/>
          <w:szCs w:val="21"/>
        </w:rPr>
        <w:t>合同签订之日起至2024年1月31日</w:t>
      </w:r>
      <w:r>
        <w:rPr>
          <w:rFonts w:hint="eastAsia" w:ascii="宋体" w:hAnsi="宋体" w:cs="宋体"/>
          <w:color w:val="auto"/>
          <w:szCs w:val="24"/>
        </w:rPr>
        <w:t xml:space="preserve">   </w:t>
      </w:r>
      <w:r>
        <w:rPr>
          <w:rFonts w:hint="eastAsia" w:ascii="宋体" w:hAnsi="宋体" w:cs="宋体"/>
          <w:color w:val="FF0000"/>
          <w:szCs w:val="24"/>
        </w:rPr>
        <w:t xml:space="preserve"> </w:t>
      </w:r>
    </w:p>
    <w:p>
      <w:pPr>
        <w:ind w:firstLine="482"/>
        <w:rPr>
          <w:rFonts w:ascii="宋体" w:hAnsi="宋体" w:cs="宋体"/>
          <w:b/>
          <w:bCs/>
          <w:szCs w:val="24"/>
        </w:rPr>
      </w:pPr>
      <w:r>
        <w:rPr>
          <w:rFonts w:hint="eastAsia" w:ascii="宋体" w:hAnsi="宋体" w:cs="宋体"/>
          <w:b/>
          <w:bCs/>
          <w:szCs w:val="24"/>
        </w:rPr>
        <w:t>本项目（否）接受联合体投标。</w:t>
      </w:r>
    </w:p>
    <w:p>
      <w:pPr>
        <w:spacing w:line="300" w:lineRule="auto"/>
        <w:ind w:firstLine="482"/>
        <w:rPr>
          <w:b/>
          <w:bCs/>
          <w:szCs w:val="24"/>
        </w:rPr>
      </w:pPr>
      <w:bookmarkStart w:id="8" w:name="_Toc28359080"/>
      <w:bookmarkStart w:id="9" w:name="_Toc28359003"/>
      <w:bookmarkStart w:id="10" w:name="_Toc35393791"/>
      <w:bookmarkStart w:id="11" w:name="_Toc35393622"/>
      <w:r>
        <w:rPr>
          <w:rFonts w:hint="eastAsia"/>
          <w:b/>
          <w:bCs/>
          <w:szCs w:val="24"/>
        </w:rPr>
        <w:t>二、申请人的资格要求：</w:t>
      </w:r>
      <w:bookmarkEnd w:id="8"/>
      <w:bookmarkEnd w:id="9"/>
      <w:bookmarkEnd w:id="10"/>
      <w:bookmarkEnd w:id="11"/>
    </w:p>
    <w:p>
      <w:pPr>
        <w:snapToGrid w:val="0"/>
        <w:spacing w:line="300" w:lineRule="auto"/>
        <w:ind w:firstLine="480"/>
        <w:contextualSpacing/>
        <w:rPr>
          <w:rFonts w:ascii="宋体" w:hAnsi="宋体" w:cs="宋体"/>
          <w:szCs w:val="24"/>
        </w:rPr>
      </w:pPr>
      <w:bookmarkStart w:id="12" w:name="_Toc28359004"/>
      <w:bookmarkStart w:id="13" w:name="_Toc28359081"/>
      <w:r>
        <w:rPr>
          <w:rFonts w:hint="eastAsia" w:ascii="宋体" w:hAnsi="宋体" w:cs="宋体"/>
          <w:szCs w:val="24"/>
        </w:rPr>
        <w:t>（一）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ascii="宋体" w:hAnsi="宋体" w:cs="宋体"/>
          <w:color w:val="FF0000"/>
          <w:szCs w:val="24"/>
        </w:rPr>
      </w:pPr>
      <w:r>
        <w:rPr>
          <w:rFonts w:hint="eastAsia" w:ascii="宋体" w:hAnsi="宋体" w:cs="宋体"/>
          <w:szCs w:val="24"/>
        </w:rPr>
        <w:t>（二）落实政府采购政策需满足的资格要求：</w:t>
      </w:r>
      <w:r>
        <w:rPr>
          <w:rFonts w:hint="eastAsia" w:ascii="宋体" w:hAnsi="宋体" w:cs="宋体"/>
          <w:b/>
          <w:kern w:val="0"/>
        </w:rPr>
        <w:t>专</w:t>
      </w:r>
      <w:r>
        <w:rPr>
          <w:rFonts w:hint="eastAsia" w:ascii="宋体" w:hAnsi="宋体" w:cs="宋体"/>
          <w:b/>
        </w:rPr>
        <w:t>门面向中小企业：服务全部由符合政策要求的中小企业承接，提供中小企业声明函。</w:t>
      </w:r>
    </w:p>
    <w:p>
      <w:pPr>
        <w:snapToGrid w:val="0"/>
        <w:spacing w:line="300" w:lineRule="auto"/>
        <w:ind w:firstLine="480"/>
        <w:contextualSpacing/>
        <w:rPr>
          <w:rFonts w:ascii="宋体" w:hAnsi="宋体" w:cs="宋体"/>
          <w:b/>
          <w:bCs/>
          <w:szCs w:val="24"/>
        </w:rPr>
      </w:pPr>
      <w:r>
        <w:rPr>
          <w:rFonts w:hint="eastAsia" w:ascii="宋体" w:hAnsi="宋体" w:cs="宋体"/>
          <w:szCs w:val="24"/>
        </w:rPr>
        <w:t>（三）本项目的特定资格要求：无</w:t>
      </w:r>
      <w:r>
        <w:rPr>
          <w:rFonts w:hint="eastAsia" w:ascii="宋体" w:hAnsi="宋体"/>
          <w:b/>
          <w:bCs/>
        </w:rPr>
        <w:t>。</w:t>
      </w:r>
    </w:p>
    <w:bookmarkEnd w:id="12"/>
    <w:bookmarkEnd w:id="13"/>
    <w:p>
      <w:pPr>
        <w:spacing w:line="300" w:lineRule="auto"/>
        <w:ind w:firstLine="482"/>
        <w:rPr>
          <w:b/>
          <w:bCs/>
          <w:szCs w:val="24"/>
        </w:rPr>
      </w:pPr>
      <w:r>
        <w:rPr>
          <w:rFonts w:hint="eastAsia"/>
          <w:b/>
          <w:bCs/>
          <w:szCs w:val="24"/>
        </w:rPr>
        <w:t>三、获取招标文件</w:t>
      </w:r>
    </w:p>
    <w:p>
      <w:pPr>
        <w:spacing w:line="300" w:lineRule="auto"/>
        <w:ind w:firstLine="480"/>
        <w:jc w:val="left"/>
        <w:rPr>
          <w:rFonts w:ascii="宋体" w:hAnsi="宋体" w:cs="宋体"/>
        </w:rPr>
      </w:pPr>
      <w:r>
        <w:rPr>
          <w:rFonts w:hint="eastAsia" w:ascii="宋体" w:hAnsi="宋体" w:cs="宋体"/>
        </w:rPr>
        <w:t>时间：/至2023年</w:t>
      </w:r>
      <w:r>
        <w:rPr>
          <w:rFonts w:hint="eastAsia" w:ascii="宋体" w:hAnsi="宋体" w:cs="宋体"/>
          <w:lang w:eastAsia="zh-CN"/>
        </w:rPr>
        <w:t>2月8日</w:t>
      </w:r>
      <w:r>
        <w:rPr>
          <w:rFonts w:hint="eastAsia" w:ascii="宋体" w:hAnsi="宋体" w:cs="宋体"/>
        </w:rPr>
        <w:t>，每天上午00:00至12:00，下午12:00至23:59（北京时间，线上获取法定节假日均可，线下获取文件法定节假日除外）</w:t>
      </w:r>
    </w:p>
    <w:p>
      <w:pPr>
        <w:spacing w:line="300" w:lineRule="auto"/>
        <w:ind w:firstLine="480"/>
        <w:jc w:val="left"/>
        <w:rPr>
          <w:rFonts w:ascii="宋体" w:hAnsi="宋体" w:cs="宋体"/>
        </w:rPr>
      </w:pPr>
      <w:r>
        <w:rPr>
          <w:rFonts w:hint="eastAsia" w:ascii="宋体" w:hAnsi="宋体" w:cs="宋体"/>
        </w:rPr>
        <w:t>地点（网址）：政采云平台https://www.zcygov.cn/ </w:t>
      </w:r>
    </w:p>
    <w:p>
      <w:pPr>
        <w:spacing w:line="300" w:lineRule="auto"/>
        <w:ind w:firstLine="480"/>
        <w:jc w:val="left"/>
        <w:rPr>
          <w:rFonts w:ascii="宋体" w:hAnsi="宋体" w:cs="宋体"/>
        </w:rPr>
      </w:pPr>
      <w:r>
        <w:rPr>
          <w:rFonts w:hint="eastAsia" w:ascii="宋体" w:hAnsi="宋体" w:cs="宋体"/>
        </w:rPr>
        <w:t>方式：供应商登录政采云平台https://www.zcygov.cn/在线申请获取采购文件（进入“项目采购”应用，在获取采购文件菜单中选择项目，申请获取采购文件） </w:t>
      </w:r>
    </w:p>
    <w:p>
      <w:pPr>
        <w:spacing w:line="300" w:lineRule="auto"/>
        <w:ind w:firstLine="480"/>
        <w:jc w:val="left"/>
        <w:rPr>
          <w:rFonts w:ascii="宋体" w:hAnsi="宋体" w:cs="宋体"/>
        </w:rPr>
      </w:pPr>
      <w:r>
        <w:rPr>
          <w:rFonts w:hint="eastAsia" w:ascii="宋体" w:hAnsi="宋体" w:cs="宋体"/>
        </w:rPr>
        <w:t>售价（元）：0 </w:t>
      </w:r>
    </w:p>
    <w:p>
      <w:pPr>
        <w:spacing w:line="300" w:lineRule="auto"/>
        <w:ind w:firstLine="482"/>
        <w:rPr>
          <w:b/>
          <w:bCs/>
          <w:szCs w:val="24"/>
        </w:rPr>
      </w:pPr>
      <w:r>
        <w:rPr>
          <w:rFonts w:hint="eastAsia"/>
          <w:b/>
          <w:bCs/>
          <w:szCs w:val="24"/>
        </w:rPr>
        <w:t>四、提交投标文件截止时间、开标时间和地点</w:t>
      </w:r>
    </w:p>
    <w:p>
      <w:pPr>
        <w:spacing w:line="300" w:lineRule="auto"/>
        <w:ind w:firstLine="480"/>
        <w:jc w:val="left"/>
        <w:rPr>
          <w:rFonts w:ascii="宋体" w:hAnsi="宋体" w:cs="宋体"/>
          <w:szCs w:val="24"/>
        </w:rPr>
      </w:pPr>
      <w:r>
        <w:rPr>
          <w:rFonts w:hint="eastAsia" w:ascii="宋体" w:hAnsi="宋体" w:cs="宋体"/>
          <w:szCs w:val="24"/>
        </w:rPr>
        <w:t>提交投标文件截止时间：2023年</w:t>
      </w:r>
      <w:r>
        <w:rPr>
          <w:rFonts w:hint="eastAsia" w:ascii="宋体" w:hAnsi="宋体" w:cs="宋体"/>
          <w:szCs w:val="24"/>
          <w:lang w:eastAsia="zh-CN"/>
        </w:rPr>
        <w:t>2月8日</w:t>
      </w:r>
      <w:r>
        <w:rPr>
          <w:rFonts w:hint="eastAsia" w:ascii="宋体" w:hAnsi="宋体" w:cs="宋体"/>
          <w:szCs w:val="24"/>
        </w:rPr>
        <w:t>14:00（北京时间）</w:t>
      </w:r>
    </w:p>
    <w:p>
      <w:pPr>
        <w:spacing w:line="300" w:lineRule="auto"/>
        <w:ind w:firstLine="480"/>
        <w:jc w:val="left"/>
        <w:rPr>
          <w:rFonts w:ascii="宋体" w:hAnsi="宋体" w:cs="宋体"/>
          <w:szCs w:val="24"/>
        </w:rPr>
      </w:pPr>
      <w:r>
        <w:rPr>
          <w:rFonts w:hint="eastAsia" w:ascii="宋体" w:hAnsi="宋体" w:cs="宋体"/>
          <w:szCs w:val="24"/>
        </w:rPr>
        <w:t>投标地点（网址）：政采云平台（https://www.zcygov.cn/） </w:t>
      </w:r>
    </w:p>
    <w:p>
      <w:pPr>
        <w:spacing w:line="300" w:lineRule="auto"/>
        <w:ind w:firstLine="480"/>
        <w:jc w:val="left"/>
        <w:rPr>
          <w:rFonts w:ascii="宋体" w:hAnsi="宋体" w:cs="宋体"/>
          <w:szCs w:val="24"/>
        </w:rPr>
      </w:pPr>
      <w:r>
        <w:rPr>
          <w:rFonts w:hint="eastAsia" w:ascii="宋体" w:hAnsi="宋体" w:cs="宋体"/>
          <w:szCs w:val="24"/>
        </w:rPr>
        <w:t>开标时间：2023年</w:t>
      </w:r>
      <w:r>
        <w:rPr>
          <w:rFonts w:hint="eastAsia" w:ascii="宋体" w:hAnsi="宋体" w:cs="宋体"/>
          <w:szCs w:val="24"/>
          <w:lang w:eastAsia="zh-CN"/>
        </w:rPr>
        <w:t>2月8日</w:t>
      </w:r>
      <w:r>
        <w:rPr>
          <w:rFonts w:hint="eastAsia" w:ascii="宋体" w:hAnsi="宋体" w:cs="宋体"/>
          <w:szCs w:val="24"/>
        </w:rPr>
        <w:t>14:00 </w:t>
      </w:r>
    </w:p>
    <w:p>
      <w:pPr>
        <w:spacing w:line="300" w:lineRule="auto"/>
        <w:ind w:firstLine="480"/>
        <w:jc w:val="left"/>
        <w:rPr>
          <w:rFonts w:ascii="宋体" w:hAnsi="宋体" w:cs="宋体"/>
          <w:szCs w:val="24"/>
        </w:rPr>
      </w:pPr>
      <w:r>
        <w:rPr>
          <w:rFonts w:hint="eastAsia" w:ascii="宋体" w:hAnsi="宋体" w:cs="宋体"/>
          <w:szCs w:val="24"/>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0"/>
        <w:rPr>
          <w:rFonts w:ascii="宋体" w:hAnsi="宋体" w:cs="宋体"/>
        </w:rPr>
      </w:pPr>
      <w:r>
        <w:rPr>
          <w:rFonts w:hint="eastAsia" w:ascii="宋体" w:hAnsi="宋体" w:cs="宋体"/>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ascii="宋体" w:hAnsi="宋体" w:cs="宋体"/>
          <w:u w:val="single"/>
        </w:rPr>
      </w:pPr>
      <w:r>
        <w:rPr>
          <w:rFonts w:hint="eastAsia" w:ascii="宋体" w:hAnsi="宋体" w:cs="宋体"/>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顺丰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fldChar w:fldCharType="begin"/>
      </w:r>
      <w:r>
        <w:instrText xml:space="preserve"> HYPERLINK "http://www.jxzbtb.cn/zxfw/005012/20181016/7e541bf4-ad29-4286-ace8-d12c1b2c54fc.html" </w:instrText>
      </w:r>
      <w:r>
        <w:fldChar w:fldCharType="separate"/>
      </w:r>
      <w:r>
        <w:rPr>
          <w:rFonts w:hint="eastAsia" w:ascii="宋体" w:hAnsi="宋体" w:cs="宋体"/>
          <w:u w:val="single"/>
        </w:rPr>
        <w:t>http://www.jxzbtb.cn/zxfw/005012/20181016/7e541bf4-ad29-4286-ace8-d12c1b2c54fc.html</w:t>
      </w:r>
      <w:r>
        <w:rPr>
          <w:rFonts w:hint="eastAsia" w:ascii="宋体" w:hAnsi="宋体" w:cs="宋体"/>
          <w:u w:val="single"/>
        </w:rPr>
        <w:fldChar w:fldCharType="end"/>
      </w:r>
    </w:p>
    <w:p>
      <w:pPr>
        <w:spacing w:line="300" w:lineRule="auto"/>
        <w:ind w:firstLine="482"/>
        <w:rPr>
          <w:b/>
          <w:bCs/>
          <w:szCs w:val="24"/>
        </w:rPr>
      </w:pPr>
      <w:bookmarkStart w:id="14" w:name="_Toc28359085"/>
      <w:bookmarkStart w:id="15" w:name="_Toc35393796"/>
      <w:bookmarkStart w:id="16" w:name="_Toc35393627"/>
      <w:bookmarkStart w:id="17" w:name="_Toc28359008"/>
      <w:r>
        <w:rPr>
          <w:rFonts w:hint="eastAsia"/>
          <w:b/>
          <w:bCs/>
          <w:szCs w:val="24"/>
        </w:rPr>
        <w:t>七、对本次招标提出询问，请按以下方式联系。</w:t>
      </w:r>
      <w:bookmarkEnd w:id="14"/>
      <w:bookmarkEnd w:id="15"/>
      <w:bookmarkEnd w:id="16"/>
      <w:bookmarkEnd w:id="17"/>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1.采购人名称：嘉善县水利局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项目联系人：吴骏彦</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w:t>
      </w:r>
      <w:r>
        <w:rPr>
          <w:rFonts w:hint="eastAsia" w:ascii="宋体" w:hAnsi="宋体" w:cs="宋体"/>
        </w:rPr>
        <w:t>0573-84123229</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地址：</w:t>
      </w:r>
      <w:r>
        <w:rPr>
          <w:rFonts w:hint="eastAsia" w:ascii="宋体" w:hAnsi="宋体" w:cs="宋体"/>
        </w:rPr>
        <w:t>嘉善县环北东路138号</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质疑答复联系人：</w:t>
      </w:r>
      <w:r>
        <w:rPr>
          <w:rFonts w:hint="eastAsia" w:ascii="宋体" w:hAnsi="宋体" w:cs="宋体"/>
          <w:szCs w:val="24"/>
        </w:rPr>
        <w:t>杨国华</w:t>
      </w: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联系电话：</w:t>
      </w:r>
      <w:r>
        <w:rPr>
          <w:rFonts w:hint="eastAsia" w:ascii="宋体" w:hAnsi="宋体" w:cs="宋体"/>
          <w:szCs w:val="24"/>
        </w:rPr>
        <w:t>0573-84123553</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质疑答复联系人：金丽姗</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p>
    <w:p>
      <w:pPr>
        <w:widowControl/>
        <w:shd w:val="clear" w:color="auto" w:fill="FFFFFF"/>
        <w:spacing w:line="300" w:lineRule="auto"/>
        <w:ind w:firstLine="480"/>
        <w:jc w:val="left"/>
        <w:rPr>
          <w:rFonts w:ascii="宋体" w:hAnsi="宋体" w:cs="宋体"/>
          <w:color w:val="000000"/>
          <w:szCs w:val="24"/>
        </w:rPr>
      </w:pPr>
      <w:r>
        <w:rPr>
          <w:rFonts w:hint="eastAsia" w:ascii="宋体" w:hAnsi="宋体" w:cs="宋体"/>
          <w:color w:val="000000"/>
          <w:szCs w:val="24"/>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pPr>
      <w:r>
        <w:rPr>
          <w:rFonts w:hint="eastAsia" w:ascii="宋体" w:hAnsi="宋体" w:cs="宋体"/>
          <w:color w:val="000000"/>
          <w:szCs w:val="24"/>
        </w:rPr>
        <w:t>CA问题联系电话（人工）：汇信CA 400-888-4636；天谷CA 400-087-8198。</w:t>
      </w:r>
    </w:p>
    <w:p>
      <w:pPr>
        <w:pStyle w:val="2"/>
        <w:ind w:firstLine="643"/>
        <w:sectPr>
          <w:footerReference r:id="rId11" w:type="default"/>
          <w:pgSz w:w="11906" w:h="16838"/>
          <w:pgMar w:top="1418" w:right="1077" w:bottom="1418" w:left="1077" w:header="851" w:footer="851" w:gutter="340"/>
          <w:pgNumType w:start="1"/>
          <w:cols w:space="720" w:num="1"/>
          <w:docGrid w:linePitch="381" w:charSpace="0"/>
        </w:sectPr>
      </w:pPr>
    </w:p>
    <w:p>
      <w:pPr>
        <w:pStyle w:val="34"/>
        <w:spacing w:before="0" w:after="0"/>
        <w:ind w:firstLine="643"/>
      </w:pPr>
      <w:bookmarkStart w:id="18" w:name="_Toc13127"/>
      <w:r>
        <w:rPr>
          <w:rFonts w:hint="eastAsia"/>
        </w:rPr>
        <w:t>第二章  采购需求</w:t>
      </w:r>
      <w:bookmarkEnd w:id="18"/>
    </w:p>
    <w:p>
      <w:pPr>
        <w:pStyle w:val="19"/>
        <w:snapToGrid w:val="0"/>
        <w:spacing w:beforeLines="0" w:afterLines="0" w:line="300" w:lineRule="auto"/>
        <w:ind w:firstLine="480"/>
        <w:rPr>
          <w:rFonts w:hAnsi="宋体" w:cs="宋体"/>
          <w:sz w:val="24"/>
          <w:szCs w:val="24"/>
        </w:rPr>
      </w:pPr>
      <w:r>
        <w:rPr>
          <w:rFonts w:hint="eastAsia" w:hAnsi="宋体" w:cs="宋体"/>
          <w:sz w:val="24"/>
          <w:szCs w:val="24"/>
        </w:rPr>
        <w:t>编号：HZZX-2023-G03</w:t>
      </w:r>
    </w:p>
    <w:p>
      <w:pPr>
        <w:pStyle w:val="19"/>
        <w:snapToGrid w:val="0"/>
        <w:spacing w:beforeLines="0" w:afterLines="0" w:line="300" w:lineRule="auto"/>
        <w:ind w:firstLine="480"/>
        <w:rPr>
          <w:rFonts w:hAnsi="宋体" w:cs="宋体"/>
          <w:sz w:val="24"/>
          <w:szCs w:val="24"/>
        </w:rPr>
      </w:pPr>
      <w:r>
        <w:rPr>
          <w:rFonts w:hint="eastAsia" w:hAnsi="宋体" w:cs="宋体"/>
          <w:sz w:val="24"/>
          <w:szCs w:val="24"/>
        </w:rPr>
        <w:t>采购单位名称：</w:t>
      </w:r>
      <w:r>
        <w:rPr>
          <w:rFonts w:hint="eastAsia" w:hAnsi="宋体" w:cs="宋体"/>
          <w:sz w:val="24"/>
        </w:rPr>
        <w:t>嘉善县水利局</w:t>
      </w:r>
    </w:p>
    <w:p>
      <w:pPr>
        <w:pStyle w:val="19"/>
        <w:snapToGrid w:val="0"/>
        <w:spacing w:beforeLines="0" w:afterLines="0" w:line="300" w:lineRule="auto"/>
        <w:ind w:left="1680" w:leftChars="200" w:hanging="1200" w:hangingChars="500"/>
        <w:rPr>
          <w:rFonts w:hAnsi="宋体" w:cs="宋体"/>
          <w:sz w:val="24"/>
        </w:rPr>
      </w:pPr>
      <w:r>
        <w:rPr>
          <w:rFonts w:hint="eastAsia" w:hAnsi="宋体" w:cs="宋体"/>
          <w:sz w:val="24"/>
          <w:szCs w:val="24"/>
        </w:rPr>
        <w:t>项目名</w:t>
      </w:r>
      <w:r>
        <w:rPr>
          <w:rFonts w:hint="eastAsia" w:hAnsi="宋体" w:cs="宋体"/>
          <w:sz w:val="24"/>
        </w:rPr>
        <w:t>称：2023年嘉善县水文测站设施设备运维项目</w:t>
      </w:r>
    </w:p>
    <w:p>
      <w:pPr>
        <w:spacing w:line="300" w:lineRule="auto"/>
        <w:ind w:firstLine="0" w:firstLineChars="0"/>
        <w:rPr>
          <w:rFonts w:ascii="宋体" w:hAnsi="宋体" w:cs="宋体"/>
          <w:b/>
          <w:bCs/>
          <w:szCs w:val="24"/>
        </w:rPr>
      </w:pPr>
    </w:p>
    <w:p>
      <w:pPr>
        <w:spacing w:line="300" w:lineRule="auto"/>
        <w:ind w:firstLine="482"/>
        <w:rPr>
          <w:rFonts w:ascii="宋体" w:hAnsi="宋体"/>
          <w:color w:val="auto"/>
          <w:szCs w:val="21"/>
        </w:rPr>
      </w:pPr>
      <w:bookmarkStart w:id="19" w:name="_Toc21356"/>
      <w:r>
        <w:rPr>
          <w:rFonts w:hint="eastAsia" w:ascii="宋体" w:hAnsi="宋体"/>
          <w:b/>
          <w:szCs w:val="21"/>
        </w:rPr>
        <w:t>一、项目名称：</w:t>
      </w:r>
      <w:r>
        <w:rPr>
          <w:rFonts w:hint="eastAsia" w:ascii="宋体" w:hAnsi="宋体"/>
          <w:szCs w:val="21"/>
        </w:rPr>
        <w:t>2023</w:t>
      </w:r>
      <w:r>
        <w:rPr>
          <w:rFonts w:hint="eastAsia" w:ascii="宋体" w:hAnsi="宋体"/>
          <w:color w:val="auto"/>
          <w:szCs w:val="21"/>
        </w:rPr>
        <w:t>年嘉善县水文测站设施设备运维项目</w:t>
      </w:r>
    </w:p>
    <w:p>
      <w:pPr>
        <w:spacing w:line="300" w:lineRule="auto"/>
        <w:ind w:firstLine="480"/>
        <w:rPr>
          <w:rFonts w:ascii="宋体" w:hAnsi="宋体"/>
          <w:color w:val="auto"/>
          <w:szCs w:val="21"/>
        </w:rPr>
      </w:pPr>
      <w:r>
        <w:rPr>
          <w:rFonts w:hint="eastAsia" w:ascii="宋体" w:hAnsi="宋体"/>
          <w:color w:val="auto"/>
          <w:szCs w:val="21"/>
        </w:rPr>
        <w:t>二、</w:t>
      </w:r>
      <w:r>
        <w:rPr>
          <w:rFonts w:hint="eastAsia" w:ascii="宋体" w:hAnsi="宋体"/>
          <w:b/>
          <w:color w:val="auto"/>
        </w:rPr>
        <w:t>项目</w:t>
      </w:r>
      <w:r>
        <w:rPr>
          <w:rFonts w:hint="eastAsia" w:ascii="宋体" w:hAnsi="宋体"/>
          <w:b/>
          <w:color w:val="auto"/>
          <w:szCs w:val="21"/>
        </w:rPr>
        <w:t>地点：</w:t>
      </w:r>
      <w:r>
        <w:rPr>
          <w:rFonts w:hint="eastAsia" w:ascii="宋体" w:hAnsi="宋体"/>
          <w:color w:val="auto"/>
          <w:szCs w:val="21"/>
        </w:rPr>
        <w:t>嘉善县各水文测站</w:t>
      </w:r>
    </w:p>
    <w:p>
      <w:pPr>
        <w:spacing w:line="300" w:lineRule="auto"/>
        <w:ind w:firstLine="482"/>
        <w:rPr>
          <w:rFonts w:ascii="宋体" w:hAnsi="宋体"/>
          <w:color w:val="auto"/>
          <w:szCs w:val="21"/>
        </w:rPr>
      </w:pPr>
      <w:r>
        <w:rPr>
          <w:rFonts w:hint="eastAsia" w:ascii="宋体" w:hAnsi="宋体"/>
          <w:b/>
          <w:color w:val="auto"/>
          <w:szCs w:val="21"/>
        </w:rPr>
        <w:t>三、管理运行时间：</w:t>
      </w:r>
      <w:r>
        <w:rPr>
          <w:rFonts w:hint="eastAsia" w:ascii="宋体" w:hAnsi="宋体"/>
          <w:color w:val="auto"/>
          <w:szCs w:val="21"/>
        </w:rPr>
        <w:t>合同签订之日起至2024年1月31日</w:t>
      </w:r>
    </w:p>
    <w:p>
      <w:pPr>
        <w:spacing w:line="300" w:lineRule="auto"/>
        <w:ind w:firstLine="482"/>
        <w:rPr>
          <w:rFonts w:ascii="宋体" w:hAnsi="宋体" w:cs="宋体"/>
          <w:szCs w:val="24"/>
        </w:rPr>
      </w:pPr>
      <w:r>
        <w:rPr>
          <w:rFonts w:hint="eastAsia" w:ascii="宋体" w:hAnsi="宋体"/>
          <w:b/>
          <w:szCs w:val="21"/>
        </w:rPr>
        <w:t>四、项目内容：</w:t>
      </w:r>
    </w:p>
    <w:p>
      <w:pPr>
        <w:spacing w:line="300" w:lineRule="auto"/>
        <w:ind w:firstLine="0" w:firstLineChars="0"/>
        <w:jc w:val="center"/>
        <w:rPr>
          <w:rFonts w:ascii="宋体" w:hAnsi="宋体" w:cs="宋体"/>
          <w:b/>
          <w:bCs/>
          <w:szCs w:val="24"/>
        </w:rPr>
      </w:pPr>
      <w:r>
        <w:rPr>
          <w:rFonts w:hint="eastAsia" w:ascii="宋体" w:hAnsi="宋体" w:cs="宋体"/>
          <w:b/>
          <w:bCs/>
          <w:szCs w:val="24"/>
        </w:rPr>
        <w:t>表1      工作内容及工作要求汇总表</w:t>
      </w:r>
    </w:p>
    <w:tbl>
      <w:tblPr>
        <w:tblStyle w:val="36"/>
        <w:tblW w:w="9669" w:type="dxa"/>
        <w:tblInd w:w="91" w:type="dxa"/>
        <w:tblLayout w:type="autofit"/>
        <w:tblCellMar>
          <w:top w:w="0" w:type="dxa"/>
          <w:left w:w="0" w:type="dxa"/>
          <w:bottom w:w="0" w:type="dxa"/>
          <w:right w:w="0" w:type="dxa"/>
        </w:tblCellMar>
      </w:tblPr>
      <w:tblGrid>
        <w:gridCol w:w="698"/>
        <w:gridCol w:w="2578"/>
        <w:gridCol w:w="896"/>
        <w:gridCol w:w="4735"/>
        <w:gridCol w:w="762"/>
      </w:tblGrid>
      <w:tr>
        <w:tblPrEx>
          <w:tblCellMar>
            <w:top w:w="0" w:type="dxa"/>
            <w:left w:w="0" w:type="dxa"/>
            <w:bottom w:w="0" w:type="dxa"/>
            <w:right w:w="0" w:type="dxa"/>
          </w:tblCellMar>
        </w:tblPrEx>
        <w:trPr>
          <w:trHeight w:val="580" w:hRule="atLeast"/>
          <w:tblHead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项目工作内容</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站点</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工作要求</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0" w:type="dxa"/>
            <w:bottom w:w="0" w:type="dxa"/>
            <w:right w:w="0" w:type="dxa"/>
          </w:tblCellMar>
        </w:tblPrEx>
        <w:trPr>
          <w:trHeight w:val="420" w:hRule="atLeast"/>
        </w:trPr>
        <w:tc>
          <w:tcPr>
            <w:tcW w:w="4172"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一、水文测站设施及设备维护</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rPr>
          <w:trHeight w:val="4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4个国家基本站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水尺高程测量为汛前讯后各一次，做好每日视频校测，并记载登记。各站视频可接入县应急局指挥系统，和县水利局河湖管护平台。</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8个专用水位站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做好每日视频校测，各站视频可接入县应急局指挥系统，和县水利局河湖管护平台。每年一次水尺高程测量。</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雨量站维护和校核</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汛前做好注水试验校核，每月巡检不少于1次，并作雨量校核（现场计量）；故障维修及时。（含太阳能板、蓄电池、通信模块、雨量计、室外箱、通信费、电缆线配件更换）</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7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sz w:val="21"/>
                <w:szCs w:val="21"/>
              </w:rPr>
            </w:pPr>
            <w:r>
              <w:rPr>
                <w:rFonts w:hint="eastAsia"/>
                <w:sz w:val="21"/>
                <w:szCs w:val="21"/>
              </w:rPr>
              <w:t>多普勒设备维护、维修（巡测线流量基点站、专用流量站）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17站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巡检不少于4次；出现故障及时维修。（含太阳能板、蓄电池、通信模块、室外箱、通信费、电缆线配件更换）</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地下水位站校测、维护</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每年不少于二次校测、巡检不少于6次，设备维护。（含太阳能板、蓄电池、通信模块、室外箱、通信费、电缆线配件更换）</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84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6</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kern w:val="0"/>
                <w:sz w:val="21"/>
                <w:szCs w:val="21"/>
                <w:lang w:bidi="ar"/>
              </w:rPr>
              <w:t>圩区水位站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95站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两月一次巡查，保证设备运行良好，水位合理不失真。</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6</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地下水位站高程校测</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每年接测一次。（含计算成果上报）</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7</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物业及标准化测站管理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保证环境卫生、绿化修剪、标志标牌完整等。</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水位测井清淤清障</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每年一次做好水位测井清淤，防止水位失真，测验段周边有影响水位测验的杂物及时清除。</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40" w:hRule="atLeast"/>
        </w:trPr>
        <w:tc>
          <w:tcPr>
            <w:tcW w:w="417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二、水文信息管理系统维护</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66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水文信息网络维护（含水位、流量、雨量、地下水位等）</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全部</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汛期期间将信息监视结果8:30前发布至微信群，应急响应期间加密监视检查。确保系统平台数据正常、出现设备故障或异常及时维修。</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微信公众号平台维护和通信费续交等</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全部</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水文站所属水雨情、流量、地下水位等站。</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4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标准化管理平台维护、巡检登记</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针对国家基本站（嘉善、西塘、陶庄、横港大桥），做好巡检维护、维修登记，以及每日水位登记。</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40" w:hRule="atLeast"/>
        </w:trPr>
        <w:tc>
          <w:tcPr>
            <w:tcW w:w="4172"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三、水文测验辅助</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6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多普勒流速比测或校测（杭嘉湖水文巡测线各站）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比测每站不少于30次。（含相关分析、一算二校）</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杭嘉湖水文巡线流量测验（含大断面测量）</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4段20个断面</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每段流量巡测不少于30次，含定线、一算二校。</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杭嘉湖巡测线水量资料整编（含每月汇总上报)</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8站4段</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完成一算二校工作。（按省中心要求整编）</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多普勒流速校测（本县南线各站）</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7站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比测或校测每站不少于10次。（含相关分析、一算二校）</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本县南线流量巡测线流量测验</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4段21个断面</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每段流量巡测不少于15次。</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6</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大区资料整编</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做好潮水位、雨量整编校核等。</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4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7</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地下水位资料整编</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年未一次性按要求完成整编。</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60" w:hRule="atLeast"/>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特殊水情下的外业测量、服务等</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1项</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含应急响应或特殊水情下的测验工作。</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360" w:hRule="atLeast"/>
        </w:trPr>
        <w:tc>
          <w:tcPr>
            <w:tcW w:w="4172" w:type="dxa"/>
            <w:gridSpan w:val="3"/>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四、水文设施改造和数字化</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1</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color w:val="FF0000"/>
                <w:sz w:val="21"/>
                <w:szCs w:val="21"/>
              </w:rPr>
            </w:pPr>
            <w:r>
              <w:rPr>
                <w:rFonts w:hint="eastAsia" w:ascii="宋体" w:hAnsi="宋体" w:cs="宋体"/>
                <w:kern w:val="0"/>
                <w:sz w:val="21"/>
                <w:szCs w:val="21"/>
                <w:lang w:bidi="ar"/>
              </w:rPr>
              <w:t>地下水测站迁移改造</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1站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color w:val="FF0000"/>
                <w:sz w:val="21"/>
                <w:szCs w:val="21"/>
              </w:rPr>
            </w:pPr>
            <w:r>
              <w:rPr>
                <w:rFonts w:hint="eastAsia" w:ascii="宋体" w:hAnsi="宋体" w:cs="宋体"/>
                <w:sz w:val="21"/>
                <w:szCs w:val="21"/>
              </w:rPr>
              <w:t>迁移新建的地下水监测井，要求监测承压层不变，即仍监测承压Ⅱ层孔隙水，设计井深为150m，孔径ø400mm，钻井井深根据实际地层情况确定，要求安装浮子式水位计，４G遥测终端支持浙江省水利防汛通信系统平台；布设水准点、标志标牌。现场具备施工条件、甲方通知开工后60天内完工并通过验收。</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 xml:space="preserve"> </w:t>
            </w:r>
          </w:p>
        </w:tc>
      </w:tr>
      <w:tr>
        <w:tblPrEx>
          <w:tblCellMar>
            <w:top w:w="0" w:type="dxa"/>
            <w:left w:w="0" w:type="dxa"/>
            <w:bottom w:w="0" w:type="dxa"/>
            <w:right w:w="0"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2</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color w:val="FF0000"/>
                <w:sz w:val="21"/>
                <w:szCs w:val="21"/>
              </w:rPr>
            </w:pPr>
            <w:r>
              <w:rPr>
                <w:rFonts w:hint="eastAsia" w:ascii="宋体" w:hAnsi="宋体" w:cs="宋体"/>
                <w:sz w:val="21"/>
                <w:szCs w:val="21"/>
              </w:rPr>
              <w:t>横港大桥站修缮</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1站</w:t>
            </w:r>
          </w:p>
        </w:tc>
        <w:tc>
          <w:tcPr>
            <w:tcW w:w="473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宋体" w:hAnsi="宋体" w:cs="宋体"/>
                <w:color w:val="auto"/>
                <w:kern w:val="0"/>
                <w:sz w:val="21"/>
                <w:szCs w:val="21"/>
                <w:lang w:bidi="ar"/>
              </w:rPr>
            </w:pPr>
            <w:bookmarkStart w:id="34" w:name="_GoBack"/>
            <w:r>
              <w:rPr>
                <w:rFonts w:hint="eastAsia" w:ascii="宋体" w:hAnsi="宋体" w:cs="宋体"/>
                <w:color w:val="auto"/>
                <w:kern w:val="0"/>
                <w:sz w:val="21"/>
                <w:szCs w:val="21"/>
                <w:lang w:bidi="ar"/>
              </w:rPr>
              <w:t>包含但不限于卫生设备修缮改造。包括两个卫生间</w:t>
            </w:r>
            <w:r>
              <w:rPr>
                <w:rFonts w:hint="eastAsia" w:ascii="宋体" w:hAnsi="宋体" w:cs="宋体"/>
                <w:color w:val="auto"/>
                <w:kern w:val="0"/>
                <w:sz w:val="21"/>
                <w:szCs w:val="21"/>
                <w:lang w:eastAsia="zh-CN" w:bidi="ar"/>
              </w:rPr>
              <w:t>（面积各约</w:t>
            </w:r>
            <w:r>
              <w:rPr>
                <w:rFonts w:hint="eastAsia" w:ascii="宋体" w:hAnsi="宋体" w:cs="宋体"/>
                <w:color w:val="auto"/>
                <w:kern w:val="0"/>
                <w:sz w:val="21"/>
                <w:szCs w:val="21"/>
                <w:lang w:val="en-US" w:eastAsia="zh-CN" w:bidi="ar"/>
              </w:rPr>
              <w:t>6平方米</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瓷砖</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eastAsia="zh-CN" w:bidi="ar"/>
              </w:rPr>
              <w:t>诺贝尔、东鹏、</w:t>
            </w:r>
            <w:r>
              <w:rPr>
                <w:rFonts w:hint="eastAsia" w:ascii="宋体" w:hAnsi="宋体" w:cs="宋体"/>
                <w:color w:val="auto"/>
                <w:kern w:val="0"/>
                <w:sz w:val="21"/>
                <w:szCs w:val="21"/>
                <w:lang w:val="en-US" w:eastAsia="zh-CN" w:bidi="ar"/>
              </w:rPr>
              <w:t>冠珠等相当品牌</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、洁具</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恒洁、箭牌、九牧等</w:t>
            </w:r>
            <w:r>
              <w:rPr>
                <w:rFonts w:hint="eastAsia" w:ascii="宋体" w:hAnsi="宋体" w:cs="宋体"/>
                <w:color w:val="auto"/>
                <w:kern w:val="0"/>
                <w:sz w:val="21"/>
                <w:szCs w:val="21"/>
                <w:lang w:val="en-US" w:eastAsia="zh-CN" w:bidi="ar"/>
              </w:rPr>
              <w:t>相当品牌</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实木</w:t>
            </w:r>
            <w:r>
              <w:rPr>
                <w:rFonts w:hint="eastAsia" w:ascii="宋体" w:hAnsi="宋体" w:cs="宋体"/>
                <w:color w:val="auto"/>
                <w:kern w:val="0"/>
                <w:sz w:val="21"/>
                <w:szCs w:val="21"/>
                <w:lang w:bidi="ar"/>
              </w:rPr>
              <w:t>门等。</w:t>
            </w:r>
          </w:p>
          <w:p>
            <w:pPr>
              <w:spacing w:line="300" w:lineRule="auto"/>
              <w:ind w:firstLine="0" w:firstLineChars="0"/>
              <w:rPr>
                <w:rFonts w:ascii="宋体" w:hAnsi="宋体" w:cs="宋体"/>
                <w:color w:val="FF0000"/>
                <w:sz w:val="21"/>
                <w:szCs w:val="21"/>
              </w:rPr>
            </w:pPr>
            <w:r>
              <w:rPr>
                <w:rFonts w:hint="eastAsia" w:ascii="宋体" w:hAnsi="宋体" w:cs="宋体"/>
                <w:color w:val="auto"/>
                <w:kern w:val="0"/>
                <w:sz w:val="21"/>
                <w:szCs w:val="21"/>
                <w:lang w:bidi="ar"/>
              </w:rPr>
              <w:t>注：</w:t>
            </w:r>
            <w:r>
              <w:rPr>
                <w:rFonts w:hint="eastAsia" w:ascii="宋体" w:hAnsi="宋体" w:cs="宋体"/>
                <w:color w:val="auto"/>
                <w:kern w:val="0"/>
                <w:sz w:val="21"/>
                <w:szCs w:val="21"/>
                <w:lang w:val="en-GB" w:bidi="ar"/>
              </w:rPr>
              <w:t>除采购文件推荐的品牌外，欢迎其他能满足本项目技术需求且性能与所推荐的品牌相当的产品参加，但应在投标文件中提供所投品牌与推荐的品牌相当的证明材料。</w:t>
            </w:r>
            <w:r>
              <w:rPr>
                <w:rFonts w:hint="eastAsia" w:ascii="宋体" w:hAnsi="宋体" w:cs="宋体"/>
                <w:color w:val="auto"/>
                <w:kern w:val="0"/>
                <w:sz w:val="21"/>
                <w:szCs w:val="21"/>
                <w:lang w:bidi="ar"/>
              </w:rPr>
              <w:t>所有推荐的品牌均为中国制造。</w:t>
            </w:r>
            <w:bookmarkEnd w:id="34"/>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水文数据数字化</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sz w:val="21"/>
                <w:szCs w:val="21"/>
              </w:rPr>
              <w:t>1项</w:t>
            </w:r>
          </w:p>
        </w:tc>
        <w:tc>
          <w:tcPr>
            <w:tcW w:w="47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对现有水文历史数据进行数字化整理整编，形成电子化文档，使数据便于存储、查询、查看（图表），进一步挖掘其中蕴含的经验规律。4月前基本方案通过业主审核，9月前出基本成果。</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0" w:type="dxa"/>
            <w:bottom w:w="0" w:type="dxa"/>
            <w:right w:w="0" w:type="dxa"/>
          </w:tblCellMar>
        </w:tblPrEx>
        <w:trPr>
          <w:trHeight w:val="600" w:hRule="atLeast"/>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w:t>
            </w:r>
          </w:p>
        </w:tc>
        <w:tc>
          <w:tcPr>
            <w:tcW w:w="257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水尺改造升级</w:t>
            </w:r>
          </w:p>
        </w:tc>
        <w:tc>
          <w:tcPr>
            <w:tcW w:w="89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12站</w:t>
            </w:r>
          </w:p>
        </w:tc>
        <w:tc>
          <w:tcPr>
            <w:tcW w:w="473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对12个外港水位站水尺的改造升级，基本站4月前完成，其他站8月前完成。水尺顶高程不小于</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米（吴淞，下同），并可观测1.5米的低水位。每支水尺顶增加水尺顶高程标识，并在半米和整米处做好标识，使用不锈钢材质，靠桩选用不锈钢材质或水泥墩；横截面尺寸不小于:100mm×100mm规格。</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bl>
    <w:p>
      <w:pPr>
        <w:spacing w:line="300" w:lineRule="auto"/>
        <w:ind w:firstLine="482"/>
        <w:rPr>
          <w:rFonts w:ascii="宋体" w:hAnsi="宋体" w:cs="宋体"/>
          <w:b/>
          <w:szCs w:val="24"/>
        </w:rPr>
      </w:pPr>
    </w:p>
    <w:p>
      <w:pPr>
        <w:spacing w:line="300" w:lineRule="auto"/>
        <w:ind w:firstLine="482"/>
        <w:jc w:val="center"/>
        <w:rPr>
          <w:rFonts w:ascii="宋体" w:hAnsi="宋体" w:cs="宋体"/>
          <w:b/>
          <w:szCs w:val="24"/>
        </w:rPr>
      </w:pPr>
      <w:r>
        <w:rPr>
          <w:rFonts w:hint="eastAsia" w:ascii="宋体" w:hAnsi="宋体" w:cs="宋体"/>
          <w:b/>
          <w:szCs w:val="24"/>
        </w:rPr>
        <w:t>表2      嘉善水文测站</w:t>
      </w:r>
    </w:p>
    <w:tbl>
      <w:tblPr>
        <w:tblStyle w:val="36"/>
        <w:tblW w:w="5010" w:type="pct"/>
        <w:tblInd w:w="0" w:type="dxa"/>
        <w:tblLayout w:type="autofit"/>
        <w:tblCellMar>
          <w:top w:w="0" w:type="dxa"/>
          <w:left w:w="0" w:type="dxa"/>
          <w:bottom w:w="0" w:type="dxa"/>
          <w:right w:w="0" w:type="dxa"/>
        </w:tblCellMar>
      </w:tblPr>
      <w:tblGrid>
        <w:gridCol w:w="2051"/>
        <w:gridCol w:w="7390"/>
      </w:tblGrid>
      <w:tr>
        <w:tblPrEx>
          <w:tblCellMar>
            <w:top w:w="0" w:type="dxa"/>
            <w:left w:w="0" w:type="dxa"/>
            <w:bottom w:w="0" w:type="dxa"/>
            <w:right w:w="0" w:type="dxa"/>
          </w:tblCellMar>
        </w:tblPrEx>
        <w:trPr>
          <w:trHeight w:val="270" w:hRule="atLeast"/>
          <w:tblHeader/>
        </w:trPr>
        <w:tc>
          <w:tcPr>
            <w:tcW w:w="1231" w:type="pct"/>
            <w:tcBorders>
              <w:top w:val="single" w:color="000000" w:sz="4" w:space="0"/>
              <w:left w:val="single" w:color="000000" w:sz="4" w:space="0"/>
              <w:bottom w:val="single" w:color="000000" w:sz="4" w:space="0"/>
              <w:right w:val="single" w:color="000000" w:sz="4" w:space="0"/>
            </w:tcBorders>
            <w:noWrap/>
            <w:vAlign w:val="center"/>
          </w:tcPr>
          <w:p>
            <w:pPr>
              <w:widowControl/>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类别</w:t>
            </w:r>
          </w:p>
        </w:tc>
        <w:tc>
          <w:tcPr>
            <w:tcW w:w="3768" w:type="pct"/>
            <w:tcBorders>
              <w:top w:val="single" w:color="000000" w:sz="4" w:space="0"/>
              <w:left w:val="single" w:color="000000" w:sz="4" w:space="0"/>
              <w:bottom w:val="single" w:color="000000" w:sz="4" w:space="0"/>
              <w:right w:val="single" w:color="000000" w:sz="4" w:space="0"/>
            </w:tcBorders>
            <w:noWrap/>
            <w:vAlign w:val="center"/>
          </w:tcPr>
          <w:p>
            <w:pPr>
              <w:widowControl/>
              <w:ind w:firstLine="422"/>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站点名称</w:t>
            </w:r>
          </w:p>
        </w:tc>
      </w:tr>
      <w:tr>
        <w:tblPrEx>
          <w:tblCellMar>
            <w:top w:w="0" w:type="dxa"/>
            <w:left w:w="0" w:type="dxa"/>
            <w:bottom w:w="0" w:type="dxa"/>
            <w:right w:w="0" w:type="dxa"/>
          </w:tblCellMar>
        </w:tblPrEx>
        <w:trPr>
          <w:trHeight w:val="270" w:hRule="atLeast"/>
        </w:trPr>
        <w:tc>
          <w:tcPr>
            <w:tcW w:w="1231"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国家基本站</w:t>
            </w:r>
          </w:p>
        </w:tc>
        <w:tc>
          <w:tcPr>
            <w:tcW w:w="3768"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横港大桥、嘉善、西塘、陶庄（外）</w:t>
            </w:r>
          </w:p>
        </w:tc>
      </w:tr>
      <w:tr>
        <w:tblPrEx>
          <w:tblCellMar>
            <w:top w:w="0" w:type="dxa"/>
            <w:left w:w="0" w:type="dxa"/>
            <w:bottom w:w="0" w:type="dxa"/>
            <w:right w:w="0" w:type="dxa"/>
          </w:tblCellMar>
        </w:tblPrEx>
        <w:trPr>
          <w:trHeight w:val="270" w:hRule="atLeast"/>
        </w:trPr>
        <w:tc>
          <w:tcPr>
            <w:tcW w:w="1231"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专用水位站</w:t>
            </w:r>
          </w:p>
        </w:tc>
        <w:tc>
          <w:tcPr>
            <w:tcW w:w="3768"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大云、干窑、罗星、惠民、池家浜、清凉、天凝、丁栅</w:t>
            </w:r>
          </w:p>
        </w:tc>
      </w:tr>
      <w:tr>
        <w:tblPrEx>
          <w:tblCellMar>
            <w:top w:w="0" w:type="dxa"/>
            <w:left w:w="0" w:type="dxa"/>
            <w:bottom w:w="0" w:type="dxa"/>
            <w:right w:w="0" w:type="dxa"/>
          </w:tblCellMar>
        </w:tblPrEx>
        <w:trPr>
          <w:trHeight w:val="408" w:hRule="atLeast"/>
        </w:trPr>
        <w:tc>
          <w:tcPr>
            <w:tcW w:w="1231" w:type="pct"/>
            <w:tcBorders>
              <w:top w:val="single" w:color="000000" w:sz="4" w:space="0"/>
              <w:left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流量站点</w:t>
            </w:r>
          </w:p>
        </w:tc>
        <w:tc>
          <w:tcPr>
            <w:tcW w:w="3768" w:type="pct"/>
            <w:tcBorders>
              <w:top w:val="single" w:color="000000" w:sz="4" w:space="0"/>
              <w:left w:val="single" w:color="000000" w:sz="4" w:space="0"/>
              <w:bottom w:val="single" w:color="000000" w:sz="4" w:space="0"/>
              <w:right w:val="single" w:color="000000" w:sz="4" w:space="0"/>
            </w:tcBorders>
            <w:noWrap/>
            <w:vAlign w:val="center"/>
          </w:tcPr>
          <w:p>
            <w:pPr>
              <w:widowControl/>
              <w:ind w:firstLine="210" w:firstLineChars="100"/>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横港大桥、陶庄（外）、池家浜、横枫泾港、丁栅闸、大舜、梅潭港、清凉、</w:t>
            </w:r>
          </w:p>
          <w:p>
            <w:pPr>
              <w:widowControl/>
              <w:ind w:firstLine="210" w:firstLineChars="100"/>
              <w:textAlignment w:val="center"/>
              <w:rPr>
                <w:rFonts w:ascii="宋体" w:hAnsi="宋体" w:cs="宋体"/>
                <w:color w:val="000000"/>
                <w:sz w:val="21"/>
                <w:szCs w:val="21"/>
              </w:rPr>
            </w:pPr>
            <w:r>
              <w:rPr>
                <w:rFonts w:hint="eastAsia" w:ascii="宋体" w:hAnsi="宋体" w:cs="宋体"/>
                <w:color w:val="000000"/>
                <w:kern w:val="0"/>
                <w:sz w:val="21"/>
                <w:szCs w:val="21"/>
                <w:lang w:bidi="ar"/>
              </w:rPr>
              <w:t>柏树桥港、白水塘、伍子塘、三店塘、大寨河、善西、天凝、枫泾塘、茜泾塘</w:t>
            </w:r>
          </w:p>
        </w:tc>
      </w:tr>
      <w:tr>
        <w:tblPrEx>
          <w:tblCellMar>
            <w:top w:w="0" w:type="dxa"/>
            <w:left w:w="0" w:type="dxa"/>
            <w:bottom w:w="0" w:type="dxa"/>
            <w:right w:w="0" w:type="dxa"/>
          </w:tblCellMar>
        </w:tblPrEx>
        <w:trPr>
          <w:trHeight w:val="270" w:hRule="atLeast"/>
        </w:trPr>
        <w:tc>
          <w:tcPr>
            <w:tcW w:w="1231"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地下水站</w:t>
            </w:r>
          </w:p>
        </w:tc>
        <w:tc>
          <w:tcPr>
            <w:tcW w:w="3768"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嘉善、天凝、汾玉、丁栅、杨庙</w:t>
            </w:r>
          </w:p>
        </w:tc>
      </w:tr>
      <w:tr>
        <w:tblPrEx>
          <w:tblCellMar>
            <w:top w:w="0" w:type="dxa"/>
            <w:left w:w="0" w:type="dxa"/>
            <w:bottom w:w="0" w:type="dxa"/>
            <w:right w:w="0" w:type="dxa"/>
          </w:tblCellMar>
        </w:tblPrEx>
        <w:trPr>
          <w:trHeight w:val="270" w:hRule="atLeast"/>
        </w:trPr>
        <w:tc>
          <w:tcPr>
            <w:tcW w:w="1231"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雨量站</w:t>
            </w:r>
          </w:p>
        </w:tc>
        <w:tc>
          <w:tcPr>
            <w:tcW w:w="3768" w:type="pct"/>
            <w:tcBorders>
              <w:top w:val="single" w:color="000000" w:sz="4" w:space="0"/>
              <w:left w:val="single" w:color="000000" w:sz="4" w:space="0"/>
              <w:bottom w:val="single" w:color="000000" w:sz="4" w:space="0"/>
              <w:right w:val="single" w:color="000000" w:sz="4" w:space="0"/>
            </w:tcBorders>
            <w:noWrap/>
            <w:vAlign w:val="center"/>
          </w:tcPr>
          <w:p>
            <w:pPr>
              <w:widowControl/>
              <w:ind w:firstLine="420"/>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嘉善、罗星、西塘</w:t>
            </w:r>
          </w:p>
        </w:tc>
      </w:tr>
    </w:tbl>
    <w:p>
      <w:pPr>
        <w:spacing w:line="300" w:lineRule="auto"/>
        <w:ind w:firstLine="482"/>
        <w:rPr>
          <w:rFonts w:ascii="宋体" w:hAnsi="宋体" w:cs="宋体"/>
          <w:b/>
          <w:szCs w:val="24"/>
        </w:rPr>
      </w:pPr>
    </w:p>
    <w:p>
      <w:pPr>
        <w:spacing w:line="300" w:lineRule="auto"/>
        <w:ind w:firstLine="482"/>
        <w:jc w:val="center"/>
        <w:rPr>
          <w:rFonts w:ascii="宋体" w:hAnsi="宋体" w:cs="宋体"/>
          <w:b/>
          <w:szCs w:val="24"/>
        </w:rPr>
      </w:pPr>
      <w:r>
        <w:rPr>
          <w:rFonts w:hint="eastAsia" w:ascii="宋体" w:hAnsi="宋体" w:cs="宋体"/>
          <w:b/>
          <w:szCs w:val="24"/>
        </w:rPr>
        <w:t>表3  嘉善县圩内水位站</w:t>
      </w:r>
    </w:p>
    <w:tbl>
      <w:tblPr>
        <w:tblStyle w:val="36"/>
        <w:tblW w:w="5000" w:type="pct"/>
        <w:jc w:val="center"/>
        <w:tblLayout w:type="autofit"/>
        <w:tblCellMar>
          <w:top w:w="0" w:type="dxa"/>
          <w:left w:w="0" w:type="dxa"/>
          <w:bottom w:w="0" w:type="dxa"/>
          <w:right w:w="0" w:type="dxa"/>
        </w:tblCellMar>
      </w:tblPr>
      <w:tblGrid>
        <w:gridCol w:w="931"/>
        <w:gridCol w:w="1533"/>
        <w:gridCol w:w="1510"/>
        <w:gridCol w:w="1214"/>
        <w:gridCol w:w="1214"/>
        <w:gridCol w:w="1510"/>
        <w:gridCol w:w="1510"/>
      </w:tblGrid>
      <w:tr>
        <w:tblPrEx>
          <w:tblCellMar>
            <w:top w:w="0" w:type="dxa"/>
            <w:left w:w="0" w:type="dxa"/>
            <w:bottom w:w="0" w:type="dxa"/>
            <w:right w:w="0" w:type="dxa"/>
          </w:tblCellMar>
        </w:tblPrEx>
        <w:trPr>
          <w:trHeight w:val="285" w:hRule="atLeast"/>
          <w:tblHeader/>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序号</w:t>
            </w:r>
          </w:p>
        </w:tc>
        <w:tc>
          <w:tcPr>
            <w:tcW w:w="813"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测站名称</w:t>
            </w:r>
          </w:p>
        </w:tc>
        <w:tc>
          <w:tcPr>
            <w:tcW w:w="80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ID号</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测站类型</w:t>
            </w:r>
          </w:p>
        </w:tc>
        <w:tc>
          <w:tcPr>
            <w:tcW w:w="644"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圩区划分</w:t>
            </w:r>
          </w:p>
        </w:tc>
        <w:tc>
          <w:tcPr>
            <w:tcW w:w="80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东经</w:t>
            </w:r>
          </w:p>
        </w:tc>
        <w:tc>
          <w:tcPr>
            <w:tcW w:w="801"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北纬</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青龙港闸外</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18457334485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天凝圩区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120.7933903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30.92630411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北小圩闸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18457341020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120.7842064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30.94068811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和尚港南闸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120.7719326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30.92832886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陶墓中浜闸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120.7741642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30.91334469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钮家湾闸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18457341017</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120.7713962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30.90848906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顺六港北口闸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18457341022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120.8083087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30.90807943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厍港南口闸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18457341019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120.8414876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30.91475301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蝴蝶港闸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18457341011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120.8157545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30.84270438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西厍浜闸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120.8024132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30.85367009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荷花池闸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18457341023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120.8503443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30.90244564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卫生院</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18457341015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120.81164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30.89381942</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毛家浜闸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18457341013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120.8291495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30.87927184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钳成港闸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18457341025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120.8163661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30.8559819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薛家桥闸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120.8147943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30.92806657</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蒋家浜闸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18457341037</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120.8259737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30.85314509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油车港闸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120.7981968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30.84111537</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张太和浜闸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18457341021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120.852592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30.91930459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南龙港西口闸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18457341016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120.8183402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30.84268595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下甸庙</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18457334481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王凝圩区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120.8467877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30.94955394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温草泾</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18457334484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120.8421421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30.97720436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殷家港闸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18457341006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120.7894421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30.89824771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老变电所</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18457323734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陶庄圩区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120.8092421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30.97026376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利壳港闸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13957382694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120.7763636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30.95588881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河泥田港闸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13957382664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120.7644868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30.96464743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冯家港闸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13957382994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120.7857943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30.96841008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米厂桥闸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13957382084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120.8089685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30.97378241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民主老村部</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13957382644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120.83166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30.9820335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南成港闸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13957382514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120.7892275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30.94952174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陈家埭闸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18457334483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120.813024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30.96375505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横港闸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13957382954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120.7855046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30.9793706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汾湖村部后</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13957382374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120.7812077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30.99141054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西浒港北闸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13957382854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120.7687783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30.99345691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东港桥</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13456218649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120.8216876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31.0036053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贺汇南厅</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15257314524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120.827862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30.9876488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东珠浜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13758082070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120.8409834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30.98169317</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陈河港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13758082010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120.83534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30.99372362</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陶字圩</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13758082279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120.8324218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30.97467471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北许港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13758081769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120.7805371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30.97383761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周四浜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13957381494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干窑圩区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120.9275866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30.90865015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北范泾港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13957381704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120.9067404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30.91059243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范南港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13957381489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120.9070247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30.9014376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前江泾港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120.8628005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30.90036511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杜家浜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120.8757877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30.9182415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潘圩渡港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13957381834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120.858568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30.86874648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让巷西港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120.8716732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30.88029853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干窑市河</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18457341027</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120.8854973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30.88563898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急水桥水闸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18457349486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西塘圩区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120.8914948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30.92195996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肖家港北闸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13957382334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120.8351684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30.97128027</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北长河水闸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13957382734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120.8227658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30.96431624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港娄口闸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13957382874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120.8462942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30.95429708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李家埭西闸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13957382924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120.8072627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30.94770907</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天丝桥套闸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13957382574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120.8773327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30.97243936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杀牛浜水闸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13957381974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120.8462459</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30.97354784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高家浜套闸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18457349484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120.8897889</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30.92693915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唐家港水闸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120.9117508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30.97863933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东塘桥水闸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18457349485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120.940724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30.96490503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钱家浜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13957381864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120.8655953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30.98373514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台胞水闸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13957381946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120.8716464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30.99094608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杨坟头</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13957382046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120.8782768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30.97954997</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东浜口闸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18457341003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120.9140897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30.98175756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肖行港水闸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13957381432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120.9054208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30.98807649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长港水闸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13957382774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120.8559608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30.96395285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高家浜西水闸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120.8856797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30.9237455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柱头港闸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18457341063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魏塘圩区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120.8726603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30.83518286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孙家湾</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120.9550953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30.89478611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花神庵北港闸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13706592942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120.9705448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30.90187488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小堰港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18457318493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120.9729481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30.89535691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格漏浜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18457325423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120.8990264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30.8788851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小腰子港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18457325408</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120.9216267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30.88683133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三泾港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13456218473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120.8829761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30.8531543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前港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13957382149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120.8862162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30.85526349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西招圩河</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13957382004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120.8875412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30.87022452</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姜河浜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13758082983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120.9761131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30.90590696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湘家浜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18457341030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120.9545964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30.89141646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新景港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18457341007</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姚庄圩区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120.9708667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30.93131069</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界泾港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13486305422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120.938707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30.98073655</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杨家浜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13706581984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120.9495485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30.96499243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东横港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13486305849</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120.9810752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30.953446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横爿港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13486307478</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120.9761667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30.93863601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火烧浜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13486312984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120.967809</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30.98173916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俞汇市河</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13486313040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120.9736669</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30.97842316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清凉市河</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13486308418</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120.9864879</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30.91671358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北姚浜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13486305145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120.9504765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30.95403026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姚庄港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13486309481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120.9508896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30.90958908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南姚浜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13486313034</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120.9485668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30.9499358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86</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沿水浜</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13957381473</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120.988934</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30.91280161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87</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窑浜斗</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18457341002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120.9886336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30.90995728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88</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莲花泾港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13486309480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120.9593761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30.93189968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89</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小桥港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13486304048</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120.9388733</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30.99280391</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90</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嘉善塘</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18457341062</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惠民街道</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120.970121</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30.83999154</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91</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花神庵闸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18457341061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120.9717786</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30.84783968</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92</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窑港</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18457317491</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120.9712958</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30.8390243</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93</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张家港桥</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18457341056</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rPr>
                <w:rFonts w:ascii="宋体" w:hAnsi="宋体" w:cs="宋体"/>
                <w:color w:val="000000"/>
                <w:sz w:val="21"/>
                <w:szCs w:val="21"/>
              </w:rPr>
            </w:pP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120.9472525</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30.83575402</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94</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西厍浜闸</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18457341060</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罗星街道</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120.8951747</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30.81558176</w:t>
            </w:r>
          </w:p>
        </w:tc>
      </w:tr>
      <w:tr>
        <w:tblPrEx>
          <w:tblCellMar>
            <w:top w:w="0" w:type="dxa"/>
            <w:left w:w="0" w:type="dxa"/>
            <w:bottom w:w="0" w:type="dxa"/>
            <w:right w:w="0" w:type="dxa"/>
          </w:tblCellMar>
        </w:tblPrEx>
        <w:trPr>
          <w:trHeight w:val="285" w:hRule="atLeast"/>
          <w:jc w:val="center"/>
        </w:trPr>
        <w:tc>
          <w:tcPr>
            <w:tcW w:w="49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95</w:t>
            </w:r>
          </w:p>
        </w:tc>
        <w:tc>
          <w:tcPr>
            <w:tcW w:w="813"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陈窑港(砖桥)</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18457341055</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水位雨量</w:t>
            </w:r>
          </w:p>
        </w:tc>
        <w:tc>
          <w:tcPr>
            <w:tcW w:w="644"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大云圩区</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120.9466732</w:t>
            </w:r>
          </w:p>
        </w:tc>
        <w:tc>
          <w:tcPr>
            <w:tcW w:w="801" w:type="pct"/>
            <w:tcBorders>
              <w:top w:val="single" w:color="000000" w:sz="4" w:space="0"/>
              <w:left w:val="single" w:color="000000" w:sz="4" w:space="0"/>
              <w:bottom w:val="single" w:color="000000" w:sz="4" w:space="0"/>
              <w:right w:val="single" w:color="000000" w:sz="4" w:space="0"/>
            </w:tcBorders>
            <w:noWrap/>
            <w:vAlign w:val="center"/>
          </w:tcPr>
          <w:p>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30.80739465</w:t>
            </w:r>
          </w:p>
        </w:tc>
      </w:tr>
    </w:tbl>
    <w:p>
      <w:pPr>
        <w:spacing w:line="300" w:lineRule="auto"/>
        <w:ind w:firstLine="482"/>
        <w:rPr>
          <w:rFonts w:ascii="宋体" w:hAnsi="宋体" w:cs="宋体"/>
          <w:b/>
          <w:szCs w:val="24"/>
        </w:rPr>
      </w:pPr>
      <w:r>
        <w:rPr>
          <w:rFonts w:hint="eastAsia" w:ascii="宋体" w:hAnsi="宋体" w:cs="宋体"/>
          <w:b/>
          <w:szCs w:val="24"/>
        </w:rPr>
        <w:t>五、具体工作要求：</w:t>
      </w:r>
    </w:p>
    <w:p>
      <w:pPr>
        <w:spacing w:line="300" w:lineRule="auto"/>
        <w:ind w:firstLine="480"/>
        <w:rPr>
          <w:rFonts w:ascii="宋体" w:hAnsi="宋体" w:cs="宋体"/>
        </w:rPr>
      </w:pPr>
      <w:r>
        <w:rPr>
          <w:rFonts w:hint="eastAsia" w:ascii="宋体" w:hAnsi="宋体" w:cs="宋体"/>
        </w:rPr>
        <w:t>（1）每天检查水文系统信息应用软件、网络通信及信息服务运行情况，确保系统正常稳定运行；检查所属水雨情遥测、流量自动监测、地下水监测设备数据接收、处理与传输情况，并在汛期中，将检查情况每日8:30前发微信群。定期开展遥测数据比对，保证遥测数据真实准确，设备正常稳定运行。应急响应期间加密监视检查。</w:t>
      </w:r>
    </w:p>
    <w:p>
      <w:pPr>
        <w:spacing w:line="300" w:lineRule="auto"/>
        <w:ind w:firstLine="480"/>
        <w:rPr>
          <w:rFonts w:ascii="宋体" w:hAnsi="宋体" w:cs="宋体"/>
        </w:rPr>
      </w:pPr>
      <w:r>
        <w:rPr>
          <w:rFonts w:hint="eastAsia" w:ascii="宋体" w:hAnsi="宋体" w:cs="宋体"/>
        </w:rPr>
        <w:t>（2）应急响应期间，安排人员值班对系统运行24小时进行监控。</w:t>
      </w:r>
    </w:p>
    <w:p>
      <w:pPr>
        <w:spacing w:line="300" w:lineRule="auto"/>
        <w:ind w:firstLine="480"/>
        <w:rPr>
          <w:rFonts w:ascii="宋体" w:hAnsi="宋体" w:cs="宋体"/>
        </w:rPr>
      </w:pPr>
      <w:r>
        <w:rPr>
          <w:rFonts w:hint="eastAsia" w:ascii="宋体" w:hAnsi="宋体" w:cs="宋体"/>
        </w:rPr>
        <w:t>（3）对遥测站设备进行汛前、汛中、汛后的三次设备定期维护、巡检，以及对雨量站进行汛前一次雨量注水试验。</w:t>
      </w:r>
    </w:p>
    <w:p>
      <w:pPr>
        <w:spacing w:line="300" w:lineRule="auto"/>
        <w:ind w:firstLine="480"/>
        <w:rPr>
          <w:rFonts w:ascii="宋体" w:hAnsi="宋体" w:cs="宋体"/>
        </w:rPr>
      </w:pPr>
      <w:r>
        <w:rPr>
          <w:rFonts w:hint="eastAsia" w:ascii="宋体" w:hAnsi="宋体" w:cs="宋体"/>
        </w:rPr>
        <w:t>（4）做好应急响应期间的特别维护检查工作。</w:t>
      </w:r>
    </w:p>
    <w:p>
      <w:pPr>
        <w:spacing w:line="300" w:lineRule="auto"/>
        <w:ind w:firstLine="480"/>
        <w:rPr>
          <w:rFonts w:ascii="宋体" w:hAnsi="宋体" w:cs="宋体"/>
        </w:rPr>
      </w:pPr>
      <w:r>
        <w:rPr>
          <w:rFonts w:hint="eastAsia" w:ascii="宋体" w:hAnsi="宋体" w:cs="宋体"/>
        </w:rPr>
        <w:t>（5）遇设备故障或特殊情况，及时出车应急维修排除故障。</w:t>
      </w:r>
    </w:p>
    <w:p>
      <w:pPr>
        <w:spacing w:line="300" w:lineRule="auto"/>
        <w:ind w:firstLine="480"/>
        <w:rPr>
          <w:rFonts w:ascii="宋体" w:hAnsi="宋体" w:cs="宋体"/>
        </w:rPr>
      </w:pPr>
      <w:r>
        <w:rPr>
          <w:rFonts w:hint="eastAsia" w:ascii="宋体" w:hAnsi="宋体" w:cs="宋体"/>
        </w:rPr>
        <w:t>设备出现故障或异常时必须及时修复，在自查发现或接到业主要求抢修电话后，必须及时作出响应，并采取通过电话排障、网络在线排障以及现场排障三位一体方式进行。当需要去现场排障的应在响应后立即去现场，并进行修复。修复要求：应急响应期，不超过4小时；一般汛期（4月15日～10月15日）不超过8小时；非汛期不超过24小时。若遇特殊情况无法及时修复的，需及时报告管理单位，并提出维修计划或方案。运维公司必须开通24小时服务热线。</w:t>
      </w:r>
    </w:p>
    <w:p>
      <w:pPr>
        <w:spacing w:line="300" w:lineRule="auto"/>
        <w:ind w:firstLine="480"/>
        <w:rPr>
          <w:rFonts w:ascii="宋体" w:hAnsi="宋体" w:cs="宋体"/>
        </w:rPr>
      </w:pPr>
      <w:r>
        <w:rPr>
          <w:rFonts w:hint="eastAsia" w:ascii="宋体" w:hAnsi="宋体" w:cs="宋体"/>
        </w:rPr>
        <w:t>（6）对多普勒测流设备定期维护，主要包括设备维护清洗；水草等漂浮物清理；电源电压检查等。</w:t>
      </w:r>
    </w:p>
    <w:p>
      <w:pPr>
        <w:spacing w:line="300" w:lineRule="auto"/>
        <w:ind w:firstLine="480"/>
        <w:rPr>
          <w:rFonts w:ascii="宋体" w:hAnsi="宋体" w:cs="宋体"/>
        </w:rPr>
      </w:pPr>
      <w:r>
        <w:rPr>
          <w:rFonts w:hint="eastAsia" w:ascii="宋体" w:hAnsi="宋体" w:cs="宋体"/>
        </w:rPr>
        <w:t>（7）多普勒流速比测、率定，按照《嘉善县水文测站任务书》要求执行。涨落潮流速点子大小均匀分布，具有大潮汐、小潮汐流速点子合理分布。</w:t>
      </w:r>
    </w:p>
    <w:p>
      <w:pPr>
        <w:spacing w:line="300" w:lineRule="auto"/>
        <w:ind w:firstLine="480"/>
        <w:rPr>
          <w:rFonts w:ascii="宋体" w:hAnsi="宋体" w:cs="宋体"/>
        </w:rPr>
      </w:pPr>
      <w:r>
        <w:rPr>
          <w:rFonts w:hint="eastAsia" w:ascii="宋体" w:hAnsi="宋体" w:cs="宋体"/>
        </w:rPr>
        <w:t>（8）杭嘉湖巡测线流量，按要求测次数全年不少于30次，并完成巡测断面流量相关率定分析。本县南部区域巡测线流量，根据当年洪水位情况进行巡测，按能计算进出水量为要求。</w:t>
      </w:r>
    </w:p>
    <w:p>
      <w:pPr>
        <w:spacing w:line="300" w:lineRule="auto"/>
        <w:ind w:firstLine="480"/>
        <w:rPr>
          <w:rFonts w:ascii="宋体" w:hAnsi="宋体" w:cs="宋体"/>
        </w:rPr>
      </w:pPr>
      <w:r>
        <w:rPr>
          <w:rFonts w:hint="eastAsia" w:ascii="宋体" w:hAnsi="宋体" w:cs="宋体"/>
        </w:rPr>
        <w:t>（9）按整编时间要求，完成各站流量站和4个巡测段的潮流量资料整编，以及各相关实测成果表、整编表和汇总表等，并完成一算二校；按时完成每月水量上报工作。</w:t>
      </w:r>
    </w:p>
    <w:p>
      <w:pPr>
        <w:spacing w:line="300" w:lineRule="auto"/>
        <w:ind w:firstLine="480"/>
        <w:rPr>
          <w:rFonts w:ascii="宋体" w:hAnsi="宋体" w:cs="宋体"/>
        </w:rPr>
      </w:pPr>
      <w:r>
        <w:rPr>
          <w:rFonts w:hint="eastAsia" w:ascii="宋体" w:hAnsi="宋体" w:cs="宋体"/>
        </w:rPr>
        <w:t>（10）嘉善站、西塘站、陶庄（外）站、横港大桥站每日上下午各一次的远程视频水尺观读，进行水位校测、并记载。注意水尺是否变动；保证水尺读取水位与遥测水位的一致性。其他外港水位站每天一次远程视频水位校核。</w:t>
      </w:r>
    </w:p>
    <w:p>
      <w:pPr>
        <w:spacing w:line="300" w:lineRule="auto"/>
        <w:ind w:firstLine="480"/>
        <w:rPr>
          <w:rFonts w:ascii="宋体" w:hAnsi="宋体" w:cs="宋体"/>
        </w:rPr>
      </w:pPr>
      <w:r>
        <w:rPr>
          <w:rFonts w:hint="eastAsia" w:ascii="宋体" w:hAnsi="宋体" w:cs="宋体"/>
        </w:rPr>
        <w:t>（11）做好嘉善站雨量观测“无人值守”资料的每月一次量测、对比分析。</w:t>
      </w:r>
    </w:p>
    <w:p>
      <w:pPr>
        <w:spacing w:line="300" w:lineRule="auto"/>
        <w:ind w:firstLine="480"/>
        <w:rPr>
          <w:rFonts w:ascii="宋体" w:hAnsi="宋体" w:cs="宋体"/>
        </w:rPr>
      </w:pPr>
      <w:r>
        <w:rPr>
          <w:rFonts w:hint="eastAsia" w:ascii="宋体" w:hAnsi="宋体" w:cs="宋体"/>
        </w:rPr>
        <w:t>（12）按时完成每月大区资料整编、年度资料汇总整编工作。</w:t>
      </w:r>
    </w:p>
    <w:p>
      <w:pPr>
        <w:spacing w:line="300" w:lineRule="auto"/>
        <w:ind w:firstLine="480"/>
        <w:rPr>
          <w:rFonts w:ascii="宋体" w:hAnsi="宋体" w:cs="宋体"/>
        </w:rPr>
      </w:pPr>
      <w:r>
        <w:rPr>
          <w:rFonts w:hint="eastAsia" w:ascii="宋体" w:hAnsi="宋体" w:cs="宋体"/>
        </w:rPr>
        <w:t>（13）物业及标准化测站管理，确保各站环境卫生、绿化修剪、标志标牌完整。</w:t>
      </w:r>
    </w:p>
    <w:p>
      <w:pPr>
        <w:spacing w:line="300" w:lineRule="auto"/>
        <w:ind w:firstLine="480"/>
        <w:rPr>
          <w:rFonts w:ascii="宋体" w:hAnsi="宋体" w:cs="宋体"/>
        </w:rPr>
      </w:pPr>
      <w:r>
        <w:rPr>
          <w:rFonts w:hint="eastAsia" w:ascii="宋体" w:hAnsi="宋体" w:cs="宋体"/>
        </w:rPr>
        <w:t>（14）做好测站标准化管理、检查的平台录入登记，以及测站标准化管理平台的运行维护。</w:t>
      </w:r>
    </w:p>
    <w:p>
      <w:pPr>
        <w:spacing w:line="300" w:lineRule="auto"/>
        <w:ind w:firstLine="480"/>
        <w:rPr>
          <w:rFonts w:ascii="宋体" w:hAnsi="宋体" w:cs="宋体"/>
        </w:rPr>
      </w:pPr>
      <w:r>
        <w:rPr>
          <w:rFonts w:hint="eastAsia" w:ascii="宋体" w:hAnsi="宋体" w:cs="宋体"/>
        </w:rPr>
        <w:t>（15）地下水监测站深井建设，按照监测站标准进行建设。</w:t>
      </w:r>
    </w:p>
    <w:p>
      <w:pPr>
        <w:spacing w:line="300" w:lineRule="auto"/>
        <w:ind w:firstLine="480"/>
        <w:rPr>
          <w:rFonts w:ascii="宋体" w:hAnsi="宋体" w:cs="宋体"/>
        </w:rPr>
      </w:pPr>
      <w:r>
        <w:rPr>
          <w:rFonts w:hint="eastAsia" w:ascii="宋体" w:hAnsi="宋体" w:cs="宋体"/>
        </w:rPr>
        <w:t>（16）测站有影响到水文测验观测的淤积、障碍物等，应及时清除。</w:t>
      </w:r>
    </w:p>
    <w:p>
      <w:pPr>
        <w:spacing w:line="300" w:lineRule="auto"/>
        <w:ind w:firstLine="480"/>
      </w:pPr>
      <w:r>
        <w:rPr>
          <w:rFonts w:hint="eastAsia"/>
        </w:rPr>
        <w:br w:type="page"/>
      </w:r>
    </w:p>
    <w:p>
      <w:pPr>
        <w:pStyle w:val="34"/>
        <w:ind w:firstLine="0" w:firstLineChars="0"/>
      </w:pPr>
      <w:r>
        <w:rPr>
          <w:rFonts w:hint="eastAsia"/>
        </w:rPr>
        <w:t>第三章  投标人须知</w:t>
      </w:r>
      <w:bookmarkEnd w:id="19"/>
    </w:p>
    <w:p>
      <w:pPr>
        <w:pStyle w:val="6"/>
        <w:spacing w:before="0" w:after="0" w:line="240" w:lineRule="auto"/>
        <w:ind w:firstLine="755" w:firstLineChars="235"/>
        <w:jc w:val="center"/>
        <w:rPr>
          <w:rFonts w:ascii="宋体" w:hAnsi="宋体" w:cs="宋体"/>
        </w:rPr>
      </w:pPr>
      <w:bookmarkStart w:id="20" w:name="_Toc29102"/>
      <w:r>
        <w:rPr>
          <w:rFonts w:hint="eastAsia" w:ascii="宋体" w:hAnsi="宋体" w:cs="宋体"/>
        </w:rPr>
        <w:t>一、前附表</w:t>
      </w:r>
      <w:bookmarkEnd w:id="20"/>
    </w:p>
    <w:tbl>
      <w:tblPr>
        <w:tblStyle w:val="36"/>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2023年嘉善县水文测站设施设备运维项目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autoSpaceDE w:val="0"/>
              <w:autoSpaceDN w:val="0"/>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2023年</w:t>
            </w:r>
            <w:r>
              <w:rPr>
                <w:rFonts w:hint="eastAsia" w:ascii="宋体" w:hAnsi="宋体" w:cs="宋体"/>
                <w:szCs w:val="24"/>
                <w:lang w:eastAsia="zh-CN"/>
              </w:rPr>
              <w:t>2月8日</w:t>
            </w:r>
            <w:r>
              <w:rPr>
                <w:rFonts w:ascii="宋体" w:hAnsi="宋体" w:cs="宋体"/>
                <w:szCs w:val="24"/>
              </w:rPr>
              <w:t>14</w:t>
            </w:r>
            <w:r>
              <w:rPr>
                <w:rFonts w:hint="eastAsia" w:ascii="宋体" w:hAnsi="宋体" w:cs="宋体"/>
                <w:szCs w:val="24"/>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投标人无需到开标现场，只需准时在线参加。开标时间后半小时小时内（2023年</w:t>
            </w:r>
            <w:r>
              <w:rPr>
                <w:rFonts w:hint="eastAsia" w:ascii="宋体" w:hAnsi="宋体" w:cs="宋体"/>
                <w:b/>
                <w:szCs w:val="24"/>
                <w:lang w:eastAsia="zh-CN"/>
              </w:rPr>
              <w:t>2月8日</w:t>
            </w:r>
            <w:r>
              <w:rPr>
                <w:rFonts w:ascii="宋体" w:hAnsi="宋体" w:cs="宋体"/>
                <w:b/>
                <w:szCs w:val="24"/>
              </w:rPr>
              <w:t>1</w:t>
            </w:r>
            <w:r>
              <w:rPr>
                <w:rFonts w:hint="eastAsia" w:ascii="宋体" w:hAnsi="宋体" w:cs="宋体"/>
                <w:b/>
                <w:szCs w:val="24"/>
              </w:rPr>
              <w:t>4：3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wordWrap w:val="0"/>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本项目预算价为人民币150.00万元，采购上限价为人民币150.00万元，超采购上限价的投标文件无效。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履约保证金的收取及退还</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olor w:val="auto"/>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autoSpaceDE w:val="0"/>
              <w:autoSpaceDN w:val="0"/>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auto"/>
              <w:ind w:firstLine="0" w:firstLineChars="0"/>
              <w:textAlignment w:val="bottom"/>
              <w:rPr>
                <w:rFonts w:ascii="宋体" w:hAnsi="宋体" w:cs="宋体"/>
                <w:szCs w:val="24"/>
              </w:rPr>
            </w:pPr>
            <w:r>
              <w:rPr>
                <w:rFonts w:hint="eastAsia" w:ascii="宋体" w:hAnsi="宋体" w:cs="宋体"/>
                <w:szCs w:val="24"/>
              </w:rPr>
              <w:t>付款方式</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color w:val="auto"/>
              </w:rPr>
            </w:pPr>
            <w:r>
              <w:rPr>
                <w:rFonts w:hint="eastAsia" w:ascii="宋体" w:hAnsi="宋体" w:cs="宋体"/>
                <w:color w:val="auto"/>
                <w:szCs w:val="24"/>
              </w:rPr>
              <w:t>合同生效后支付</w:t>
            </w:r>
            <w:r>
              <w:rPr>
                <w:rFonts w:hint="eastAsia" w:ascii="宋体" w:hAnsi="宋体"/>
                <w:color w:val="auto"/>
              </w:rPr>
              <w:t>合同金额的40%，2023年7月31日前根据考核情况支付合同金额的40%，2023年12月31日前根据考核情况付清余款（</w:t>
            </w:r>
            <w:r>
              <w:rPr>
                <w:rFonts w:hint="eastAsia" w:ascii="宋体" w:hAnsi="宋体" w:cs="宋体"/>
                <w:bCs/>
                <w:color w:val="auto"/>
                <w:szCs w:val="24"/>
              </w:rPr>
              <w:t>《2023年度嘉善县水文测站设施设备运维项目考核测评表》见附件</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r>
              <w:rPr>
                <w:rFonts w:hint="eastAsia" w:ascii="宋体" w:hAnsi="宋体" w:cs="宋体"/>
                <w:szCs w:val="24"/>
              </w:rPr>
              <w:t>招标代理服务费</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rPr>
            </w:pPr>
            <w:r>
              <w:rPr>
                <w:rFonts w:hint="eastAsia" w:ascii="宋体" w:hAnsi="宋体" w:cs="宋体"/>
              </w:rPr>
              <w:t>本项目招标代理服务费由中标单位支付。</w:t>
            </w:r>
          </w:p>
          <w:p>
            <w:pPr>
              <w:snapToGrid w:val="0"/>
              <w:spacing w:line="300" w:lineRule="auto"/>
              <w:ind w:firstLine="0" w:firstLineChars="0"/>
              <w:contextualSpacing/>
              <w:rPr>
                <w:rFonts w:ascii="宋体" w:hAnsi="宋体" w:cs="宋体"/>
              </w:rPr>
            </w:pPr>
            <w:r>
              <w:rPr>
                <w:rFonts w:hint="eastAsia" w:ascii="宋体" w:hAnsi="宋体" w:cs="宋体"/>
                <w:b/>
              </w:rPr>
              <w:t>本项目为服务招标，招标代理服务费按国家收费标准下浮25%收取</w:t>
            </w:r>
            <w:r>
              <w:rPr>
                <w:rFonts w:hint="eastAsia" w:ascii="宋体" w:hAnsi="宋体" w:cs="宋体"/>
              </w:rPr>
              <w:t>，投标人须按以下招标代理取费依据自行计算招标代理服务费并考虑在投标报价中，结算时不得以此理由向招标人提出索赔。招标代理服务费须在领取中标通知书时，由中标单位支付给招标代理机构。</w:t>
            </w:r>
          </w:p>
          <w:p>
            <w:pPr>
              <w:snapToGrid w:val="0"/>
              <w:spacing w:line="300" w:lineRule="auto"/>
              <w:ind w:firstLine="0" w:firstLineChars="0"/>
              <w:contextualSpacing/>
              <w:rPr>
                <w:rFonts w:ascii="宋体" w:hAnsi="宋体" w:cs="宋体"/>
              </w:rPr>
            </w:pPr>
            <w:r>
              <w:rPr>
                <w:rFonts w:hint="eastAsia" w:ascii="宋体" w:hAnsi="宋体" w:cs="宋体"/>
              </w:rPr>
              <w:t>招标代理服务费收费标准参照《关于降低部分建设项目收费标准规范收费行为等有关问题的通知》（发改价格[2011]534号），服务类型为服务招标，具体如下：</w:t>
            </w:r>
          </w:p>
          <w:tbl>
            <w:tblPr>
              <w:tblStyle w:val="36"/>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中标金额（万元）</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100以下</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100-500</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500-1000</w:t>
                  </w:r>
                </w:p>
              </w:tc>
              <w:tc>
                <w:tcPr>
                  <w:tcW w:w="2293" w:type="dxa"/>
                </w:tcPr>
                <w:p>
                  <w:pPr>
                    <w:snapToGrid w:val="0"/>
                    <w:spacing w:before="100" w:beforeAutospacing="1" w:after="100" w:afterAutospacing="1" w:line="300" w:lineRule="auto"/>
                    <w:ind w:firstLine="480"/>
                    <w:jc w:val="center"/>
                    <w:rPr>
                      <w:rFonts w:ascii="宋体" w:hAnsi="宋体" w:cs="宋体"/>
                    </w:rPr>
                  </w:pPr>
                  <w:r>
                    <w:rPr>
                      <w:rFonts w:hint="eastAsia" w:ascii="宋体" w:hAnsi="宋体" w:cs="宋体"/>
                    </w:rPr>
                    <w:t>0.45%</w:t>
                  </w:r>
                </w:p>
              </w:tc>
            </w:tr>
          </w:tbl>
          <w:p>
            <w:pPr>
              <w:snapToGrid w:val="0"/>
              <w:spacing w:line="300" w:lineRule="auto"/>
              <w:ind w:firstLine="0" w:firstLineChars="0"/>
              <w:rPr>
                <w:rFonts w:ascii="宋体" w:hAnsi="宋体" w:cs="宋体"/>
                <w:szCs w:val="24"/>
              </w:rPr>
            </w:pPr>
            <w:r>
              <w:rPr>
                <w:rFonts w:hint="eastAsia" w:ascii="宋体" w:hAnsi="宋体" w:cs="宋体"/>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6"/>
        <w:spacing w:before="0" w:after="0" w:line="300" w:lineRule="auto"/>
        <w:ind w:firstLine="643"/>
        <w:jc w:val="center"/>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1" w:name="_Toc29258"/>
      <w:r>
        <w:rPr>
          <w:rFonts w:hint="eastAsia" w:ascii="宋体" w:hAnsi="宋体" w:cs="宋体"/>
        </w:rPr>
        <w:t>二、总  则</w:t>
      </w:r>
      <w:bookmarkEnd w:id="21"/>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 适用范围</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本采购文件适用于</w:t>
      </w:r>
      <w:r>
        <w:rPr>
          <w:rFonts w:hint="eastAsia" w:ascii="宋体" w:hAnsi="宋体" w:cs="宋体"/>
          <w:b/>
          <w:szCs w:val="24"/>
        </w:rPr>
        <w:t>2023年嘉善县水文测站设施设备运维项目</w:t>
      </w:r>
      <w:r>
        <w:rPr>
          <w:rFonts w:hint="eastAsia" w:ascii="宋体" w:hAnsi="宋体" w:cs="宋体"/>
          <w:color w:val="000000"/>
          <w:szCs w:val="24"/>
        </w:rPr>
        <w:t>的招标、投标、评标、定标、验收、合同履约、付款等（法律、法规另有规定的，从其规定）。</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（二）定义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1．招标采购单位系指</w:t>
      </w:r>
      <w:r>
        <w:rPr>
          <w:rFonts w:hint="eastAsia" w:ascii="宋体" w:hAnsi="宋体" w:cs="宋体"/>
          <w:szCs w:val="24"/>
        </w:rPr>
        <w:t>嘉善县水利局</w:t>
      </w:r>
      <w:r>
        <w:rPr>
          <w:rFonts w:hint="eastAsia" w:ascii="宋体" w:hAnsi="宋体" w:cs="宋体"/>
          <w:color w:val="000000"/>
          <w:szCs w:val="24"/>
        </w:rPr>
        <w:t>。</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2．代理机构系指嘉兴市宏泽招标咨询有限公司。</w:t>
      </w:r>
    </w:p>
    <w:p>
      <w:pPr>
        <w:snapToGrid w:val="0"/>
        <w:spacing w:line="300" w:lineRule="auto"/>
        <w:ind w:firstLine="480"/>
        <w:rPr>
          <w:rFonts w:ascii="宋体" w:hAnsi="宋体" w:cs="宋体"/>
          <w:szCs w:val="24"/>
        </w:rPr>
      </w:pPr>
      <w:r>
        <w:rPr>
          <w:rFonts w:hint="eastAsia" w:ascii="宋体" w:hAnsi="宋体" w:cs="宋体"/>
          <w:szCs w:val="24"/>
        </w:rPr>
        <w:t>3．“投标人”系指向招标方提交投标文件的单位。</w:t>
      </w:r>
    </w:p>
    <w:p>
      <w:pPr>
        <w:snapToGrid w:val="0"/>
        <w:spacing w:line="300" w:lineRule="auto"/>
        <w:ind w:firstLine="480"/>
        <w:rPr>
          <w:rFonts w:ascii="宋体" w:hAnsi="宋体" w:cs="宋体"/>
          <w:color w:val="000000"/>
          <w:szCs w:val="24"/>
        </w:rPr>
      </w:pPr>
      <w:r>
        <w:rPr>
          <w:rFonts w:hint="eastAsia" w:ascii="宋体" w:hAnsi="宋体" w:cs="宋体"/>
          <w:szCs w:val="24"/>
        </w:rPr>
        <w:t>4．“产品”系指供方按招标文件规定，</w:t>
      </w:r>
      <w:r>
        <w:rPr>
          <w:rFonts w:hint="eastAsia" w:ascii="宋体" w:hAnsi="宋体" w:cs="宋体"/>
          <w:color w:val="000000"/>
          <w:szCs w:val="24"/>
        </w:rPr>
        <w:t>须向采购人提供的一切设备、保险、税金、备品备件、工具、手册及其它有关技术资料和材料。</w:t>
      </w:r>
    </w:p>
    <w:p>
      <w:pPr>
        <w:snapToGrid w:val="0"/>
        <w:spacing w:line="300" w:lineRule="auto"/>
        <w:ind w:firstLine="480"/>
        <w:rPr>
          <w:rFonts w:ascii="宋体" w:hAnsi="宋体" w:cs="宋体"/>
          <w:szCs w:val="24"/>
        </w:rPr>
      </w:pPr>
      <w:r>
        <w:rPr>
          <w:rFonts w:hint="eastAsia" w:ascii="宋体" w:hAnsi="宋体" w:cs="宋体"/>
          <w:szCs w:val="24"/>
        </w:rPr>
        <w:t>5．“服务”系指招标文件规定投标人须承担的</w:t>
      </w:r>
      <w:r>
        <w:rPr>
          <w:rFonts w:hint="eastAsia" w:ascii="宋体" w:hAnsi="宋体" w:cs="宋体"/>
          <w:color w:val="000000"/>
          <w:szCs w:val="24"/>
        </w:rPr>
        <w:t>安装、调试、技术协助、校准、培训、技术指导以及其他类似的义务。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6．“项目”系指投标人按招标文件规定向采购人提供的产品和服务。</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7．“书面形式”包括信函、传真、电报等。</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8．“▲”系指实质性要求条款。</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（三）招标方式</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本次招标采用</w:t>
      </w:r>
      <w:r>
        <w:rPr>
          <w:rFonts w:hint="eastAsia" w:ascii="宋体" w:hAnsi="宋体" w:cs="宋体"/>
          <w:b/>
          <w:bCs/>
          <w:color w:val="000000"/>
          <w:szCs w:val="24"/>
        </w:rPr>
        <w:t>公开招标</w:t>
      </w:r>
      <w:r>
        <w:rPr>
          <w:rFonts w:hint="eastAsia" w:ascii="宋体" w:hAnsi="宋体" w:cs="宋体"/>
          <w:color w:val="000000"/>
          <w:szCs w:val="24"/>
        </w:rPr>
        <w:t>方式进行。</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（四）投标委托</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如投标人代表不是法定代表人，须有法定代表人出具的授权委托书。（格式见第六章）。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（五）投标费用</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不论投标结果如何，投标人均应自行承担所有与投标有关的全部费用。</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（六）联合体投标</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▲本项目不接受联合体投标。</w:t>
      </w:r>
    </w:p>
    <w:p>
      <w:pPr>
        <w:snapToGrid w:val="0"/>
        <w:spacing w:line="300" w:lineRule="auto"/>
        <w:ind w:firstLine="472" w:firstLineChars="196"/>
        <w:rPr>
          <w:rFonts w:ascii="宋体" w:hAnsi="宋体" w:cs="宋体"/>
          <w:b/>
          <w:kern w:val="0"/>
          <w:szCs w:val="24"/>
        </w:rPr>
      </w:pPr>
      <w:r>
        <w:rPr>
          <w:rFonts w:hint="eastAsia" w:ascii="宋体" w:hAnsi="宋体" w:cs="宋体"/>
          <w:b/>
          <w:bCs/>
          <w:szCs w:val="24"/>
        </w:rPr>
        <w:t>（七）</w:t>
      </w:r>
      <w:r>
        <w:rPr>
          <w:rFonts w:hint="eastAsia" w:ascii="宋体" w:hAnsi="宋体" w:cs="宋体"/>
          <w:b/>
          <w:kern w:val="0"/>
          <w:szCs w:val="24"/>
        </w:rPr>
        <w:t>转包与分包</w:t>
      </w:r>
    </w:p>
    <w:p>
      <w:pPr>
        <w:adjustRightInd w:val="0"/>
        <w:snapToGrid w:val="0"/>
        <w:spacing w:line="300" w:lineRule="auto"/>
        <w:ind w:firstLine="480"/>
        <w:rPr>
          <w:rFonts w:ascii="宋体" w:hAnsi="宋体" w:cs="宋体"/>
          <w:kern w:val="0"/>
          <w:szCs w:val="24"/>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snapToGrid w:val="0"/>
        <w:spacing w:line="300" w:lineRule="auto"/>
        <w:ind w:firstLine="480"/>
        <w:contextualSpacing/>
        <w:rPr>
          <w:rFonts w:ascii="宋体" w:hAnsi="宋体" w:cs="宋体"/>
          <w:kern w:val="0"/>
          <w:szCs w:val="24"/>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若要分包须征得采购人书面同意。</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（八）特别说明：</w:t>
      </w:r>
    </w:p>
    <w:p>
      <w:pPr>
        <w:pStyle w:val="19"/>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snapToGrid w:val="0"/>
        <w:spacing w:beforeLines="0" w:afterLines="0" w:line="300" w:lineRule="auto"/>
        <w:ind w:left="2" w:leftChars="1" w:firstLine="480"/>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snapToGrid w:val="0"/>
        <w:spacing w:beforeLines="0" w:afterLines="0" w:line="300" w:lineRule="auto"/>
        <w:ind w:left="2" w:leftChars="1" w:firstLine="480"/>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2．投标人投标所使用的资格、信誉、荣誉、业绩与企业认证必须为本法人所拥有。投标人投标所使用的采购项目实施人员</w:t>
      </w:r>
      <w:r>
        <w:rPr>
          <w:rFonts w:hint="eastAsia" w:ascii="宋体" w:hAnsi="宋体" w:cs="宋体"/>
          <w:color w:val="000000"/>
          <w:szCs w:val="24"/>
        </w:rPr>
        <w:t>必须为本法人员工（或必须为本法人或控股公司正式员工）。</w:t>
      </w:r>
    </w:p>
    <w:p>
      <w:pPr>
        <w:snapToGrid w:val="0"/>
        <w:spacing w:line="300" w:lineRule="auto"/>
        <w:ind w:firstLine="480"/>
        <w:rPr>
          <w:rFonts w:ascii="宋体" w:hAnsi="宋体" w:cs="宋体"/>
          <w:color w:val="000000"/>
          <w:kern w:val="0"/>
          <w:szCs w:val="24"/>
        </w:rPr>
      </w:pPr>
      <w:r>
        <w:rPr>
          <w:rFonts w:hint="eastAsia" w:ascii="宋体" w:hAnsi="宋体" w:cs="宋体"/>
          <w:color w:val="000000"/>
          <w:kern w:val="0"/>
          <w:szCs w:val="24"/>
        </w:rPr>
        <w:t>3．投标人应仔细阅读招标文件的所有内容，按照招标文件的要求提交投标文件，并对所提供的全部资料的真实性承担法律责任。</w:t>
      </w:r>
    </w:p>
    <w:p>
      <w:pPr>
        <w:adjustRightInd w:val="0"/>
        <w:snapToGrid w:val="0"/>
        <w:spacing w:line="300" w:lineRule="auto"/>
        <w:ind w:firstLine="480"/>
        <w:rPr>
          <w:rFonts w:ascii="仿宋_GB2312" w:hAnsi="宋体" w:cs="宋体"/>
          <w:kern w:val="0"/>
          <w:szCs w:val="24"/>
        </w:rPr>
      </w:pPr>
      <w:r>
        <w:rPr>
          <w:rFonts w:hint="eastAsia" w:ascii="宋体" w:hAnsi="宋体" w:cs="宋体"/>
          <w:color w:val="000000"/>
          <w:kern w:val="0"/>
          <w:szCs w:val="24"/>
        </w:rPr>
        <w:t>4．投标人在投标活动中提供任何虚假材料，其投标无效，并报监管部门查处；中标后发现的，中标人须依照《中华人民共和国消费者权益保护法》</w:t>
      </w:r>
      <w:r>
        <w:rPr>
          <w:rFonts w:ascii="宋体" w:hAnsi="宋体" w:cs="宋体"/>
          <w:kern w:val="0"/>
          <w:szCs w:val="24"/>
        </w:rPr>
        <w:t>第55条之规定赔偿采购人</w:t>
      </w:r>
      <w:r>
        <w:rPr>
          <w:rFonts w:hint="eastAsia" w:ascii="宋体" w:hAnsi="宋体" w:cs="宋体"/>
          <w:kern w:val="0"/>
          <w:szCs w:val="24"/>
        </w:rPr>
        <w:t>，</w:t>
      </w:r>
      <w:r>
        <w:rPr>
          <w:rFonts w:ascii="宋体" w:hAnsi="宋体" w:cs="宋体"/>
          <w:kern w:val="0"/>
          <w:szCs w:val="24"/>
        </w:rPr>
        <w:t>且民事赔偿并不免除违法</w:t>
      </w:r>
      <w:r>
        <w:rPr>
          <w:rFonts w:hint="eastAsia" w:ascii="宋体" w:hAnsi="宋体" w:cs="宋体"/>
          <w:kern w:val="0"/>
          <w:szCs w:val="24"/>
        </w:rPr>
        <w:t>供应商</w:t>
      </w:r>
      <w:r>
        <w:rPr>
          <w:rFonts w:ascii="宋体" w:hAnsi="宋体" w:cs="宋体"/>
          <w:kern w:val="0"/>
          <w:szCs w:val="24"/>
        </w:rPr>
        <w:t>的行政与刑事责任。</w:t>
      </w:r>
    </w:p>
    <w:p>
      <w:pPr>
        <w:pStyle w:val="19"/>
        <w:snapToGrid w:val="0"/>
        <w:spacing w:beforeLines="0" w:afterLines="0" w:line="300" w:lineRule="auto"/>
        <w:ind w:firstLine="482"/>
        <w:rPr>
          <w:rFonts w:hAnsi="宋体" w:cs="宋体"/>
          <w:b/>
          <w:bCs/>
          <w:color w:val="000000"/>
          <w:sz w:val="24"/>
          <w:szCs w:val="24"/>
        </w:rPr>
      </w:pPr>
      <w:r>
        <w:rPr>
          <w:rFonts w:hint="eastAsia" w:hAnsi="宋体" w:cs="宋体"/>
          <w:b/>
          <w:bCs/>
          <w:color w:val="000000"/>
          <w:sz w:val="24"/>
          <w:szCs w:val="24"/>
        </w:rPr>
        <w:t>（九）质疑和投诉</w:t>
      </w:r>
    </w:p>
    <w:p>
      <w:pPr>
        <w:pStyle w:val="19"/>
        <w:adjustRightInd w:val="0"/>
        <w:snapToGrid w:val="0"/>
        <w:spacing w:beforeLines="0" w:afterLines="0" w:line="300" w:lineRule="auto"/>
        <w:ind w:firstLine="480"/>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19"/>
        <w:adjustRightInd w:val="0"/>
        <w:snapToGrid w:val="0"/>
        <w:spacing w:beforeLines="0" w:afterLines="0" w:line="300" w:lineRule="auto"/>
        <w:ind w:firstLine="480"/>
        <w:rPr>
          <w:rFonts w:hAnsi="宋体" w:cs="宋体"/>
          <w:sz w:val="24"/>
          <w:szCs w:val="24"/>
        </w:rPr>
      </w:pPr>
      <w:r>
        <w:rPr>
          <w:rFonts w:hint="eastAsia" w:hAnsi="宋体" w:cs="宋体"/>
          <w:sz w:val="24"/>
          <w:szCs w:val="24"/>
        </w:rPr>
        <w:t>对质疑期限的计算，按下列规定：</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19"/>
        <w:adjustRightInd w:val="0"/>
        <w:snapToGrid w:val="0"/>
        <w:spacing w:beforeLines="0" w:afterLines="0" w:line="300" w:lineRule="auto"/>
        <w:ind w:firstLine="480"/>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adjustRightInd w:val="0"/>
        <w:snapToGrid w:val="0"/>
        <w:spacing w:line="300" w:lineRule="auto"/>
        <w:ind w:firstLine="480"/>
        <w:rPr>
          <w:rFonts w:ascii="宋体" w:hAnsi="宋体" w:cs="宋体"/>
          <w:szCs w:val="24"/>
        </w:rPr>
      </w:pPr>
      <w:r>
        <w:rPr>
          <w:rFonts w:hint="eastAsia" w:ascii="宋体" w:hAnsi="宋体" w:cs="宋体"/>
          <w:kern w:val="0"/>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6"/>
        <w:spacing w:before="0" w:after="0" w:line="300" w:lineRule="auto"/>
        <w:ind w:firstLine="643"/>
        <w:jc w:val="center"/>
        <w:rPr>
          <w:rFonts w:ascii="宋体" w:hAnsi="宋体" w:cs="宋体"/>
        </w:rPr>
      </w:pPr>
      <w:bookmarkStart w:id="22" w:name="_Toc6142"/>
      <w:r>
        <w:rPr>
          <w:rFonts w:hint="eastAsia" w:ascii="宋体" w:hAnsi="宋体" w:cs="宋体"/>
        </w:rPr>
        <w:t>三、采购文件</w:t>
      </w:r>
      <w:bookmarkEnd w:id="22"/>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（一）采购文件的构成。本采购文件由以下部份组成：</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1.采购公告</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2.采购需求</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3.投标人须知</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4.评标办法及标准</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5.合同主要条款</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6.投标文件格式</w:t>
      </w:r>
    </w:p>
    <w:p>
      <w:pPr>
        <w:snapToGrid w:val="0"/>
        <w:spacing w:line="300" w:lineRule="auto"/>
        <w:ind w:firstLine="480"/>
        <w:jc w:val="left"/>
        <w:rPr>
          <w:rFonts w:ascii="宋体" w:hAnsi="宋体" w:cs="宋体"/>
          <w:color w:val="000000"/>
          <w:szCs w:val="24"/>
        </w:rPr>
      </w:pPr>
      <w:r>
        <w:rPr>
          <w:rFonts w:hint="eastAsia" w:ascii="宋体" w:hAnsi="宋体" w:cs="宋体"/>
          <w:color w:val="000000"/>
          <w:szCs w:val="24"/>
        </w:rPr>
        <w:t>7.本项目采购文件的澄清、答复、修改、补充的内容</w:t>
      </w:r>
      <w:r>
        <w:rPr>
          <w:rFonts w:hint="eastAsia" w:ascii="宋体" w:hAnsi="宋体" w:cs="宋体"/>
          <w:szCs w:val="24"/>
        </w:rPr>
        <w:t>（所有内容将以电子文档形式上传于浙江省政府采购网网站（</w:t>
      </w:r>
      <w:r>
        <w:fldChar w:fldCharType="begin"/>
      </w:r>
      <w:r>
        <w:instrText xml:space="preserve"> HYPERLINK "http://zfcg.czt.zj.gov.cn/" </w:instrText>
      </w:r>
      <w:r>
        <w:fldChar w:fldCharType="separate"/>
      </w:r>
      <w:r>
        <w:rPr>
          <w:rStyle w:val="42"/>
          <w:rFonts w:hint="eastAsia" w:ascii="宋体" w:hAnsi="宋体" w:cs="宋体"/>
          <w:szCs w:val="24"/>
        </w:rPr>
        <w:t>http://zfcg.czt.zj.gov.cn/</w:t>
      </w:r>
      <w:r>
        <w:rPr>
          <w:rStyle w:val="42"/>
          <w:rFonts w:hint="eastAsia" w:ascii="宋体" w:hAnsi="宋体" w:cs="宋体"/>
          <w:szCs w:val="24"/>
        </w:rPr>
        <w:fldChar w:fldCharType="end"/>
      </w:r>
      <w:r>
        <w:rPr>
          <w:rFonts w:hint="eastAsia" w:ascii="宋体" w:hAnsi="宋体" w:cs="宋体"/>
          <w:szCs w:val="24"/>
        </w:rPr>
        <w:t>）。澄清、答复、修改、补充的内容均作为招标文件的组成部分，具有约束作用。投标人必须自行下载。）</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（二）投标人的风险</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投标人没有按照采购文件要求提供全部资料，或者投标人没有对采购文件在各方面作出实质性响应是投标人的风险，并可能导致其投标被拒绝。</w:t>
      </w:r>
    </w:p>
    <w:p>
      <w:pPr>
        <w:pStyle w:val="9"/>
        <w:widowControl w:val="0"/>
        <w:snapToGrid w:val="0"/>
        <w:spacing w:afterLines="0" w:line="300" w:lineRule="auto"/>
        <w:ind w:left="0" w:firstLine="482"/>
        <w:jc w:val="both"/>
        <w:rPr>
          <w:rFonts w:ascii="宋体" w:hAnsi="宋体" w:cs="宋体"/>
          <w:b/>
          <w:bCs/>
          <w:color w:val="000000"/>
        </w:rPr>
      </w:pPr>
      <w:r>
        <w:rPr>
          <w:rFonts w:hint="eastAsia" w:ascii="宋体" w:hAnsi="宋体" w:cs="宋体"/>
          <w:b/>
          <w:bCs/>
          <w:color w:val="000000"/>
          <w:kern w:val="2"/>
        </w:rPr>
        <w:t>（三）采购文件的澄清与修改</w:t>
      </w:r>
      <w:r>
        <w:rPr>
          <w:rFonts w:hint="eastAsia" w:ascii="宋体" w:hAnsi="宋体" w:cs="宋体"/>
          <w:b/>
          <w:bCs/>
          <w:color w:val="000000"/>
        </w:rPr>
        <w:t xml:space="preserve"> </w:t>
      </w:r>
    </w:p>
    <w:p>
      <w:pPr>
        <w:snapToGrid w:val="0"/>
        <w:spacing w:line="300" w:lineRule="auto"/>
        <w:ind w:firstLine="480"/>
        <w:rPr>
          <w:rFonts w:ascii="宋体" w:hAnsi="宋体" w:cs="宋体"/>
          <w:color w:val="000000"/>
          <w:szCs w:val="24"/>
        </w:rPr>
      </w:pPr>
      <w:r>
        <w:rPr>
          <w:rFonts w:hint="eastAsia" w:ascii="宋体" w:hAnsi="宋体" w:cs="宋体"/>
          <w:color w:val="000000"/>
          <w:szCs w:val="24"/>
        </w:rPr>
        <w:t>1．</w:t>
      </w:r>
      <w:r>
        <w:rPr>
          <w:rFonts w:hint="eastAsia" w:ascii="宋体" w:hAnsi="宋体" w:cs="宋体"/>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adjustRightInd w:val="0"/>
        <w:snapToGrid w:val="0"/>
        <w:spacing w:line="300" w:lineRule="auto"/>
        <w:ind w:firstLine="480"/>
        <w:rPr>
          <w:rFonts w:ascii="宋体" w:hAnsi="宋体" w:cs="宋体"/>
          <w:szCs w:val="24"/>
        </w:rPr>
      </w:pPr>
      <w:r>
        <w:rPr>
          <w:rFonts w:hint="eastAsia" w:ascii="宋体" w:hAnsi="宋体" w:cs="宋体"/>
          <w:szCs w:val="24"/>
        </w:rPr>
        <w:t>2．采购代理机构必须以书面形式答复投标人要求澄清的问题，并将不包含问题来源的答复书面通知所有获取采购文件的投标人；除书面答复以外的其他澄清方式及澄清内容均无效。</w:t>
      </w:r>
    </w:p>
    <w:p>
      <w:pPr>
        <w:adjustRightInd w:val="0"/>
        <w:snapToGrid w:val="0"/>
        <w:spacing w:line="300" w:lineRule="auto"/>
        <w:ind w:firstLine="480"/>
        <w:rPr>
          <w:rFonts w:ascii="宋体" w:hAnsi="宋体" w:cs="宋体"/>
          <w:szCs w:val="24"/>
        </w:rPr>
      </w:pPr>
      <w:r>
        <w:rPr>
          <w:rFonts w:hint="eastAsia" w:ascii="宋体" w:hAnsi="宋体" w:cs="宋体"/>
          <w:szCs w:val="24"/>
        </w:rPr>
        <w:t>3．采购文件澄清、答复、修改、补充的内容为采购文件的组成部分。当采购文件与采购文件的答复、澄清、修改、补充通知就同一内容的表述不一致时，以最后发出的书面文件为准。</w:t>
      </w:r>
    </w:p>
    <w:p>
      <w:pPr>
        <w:adjustRightInd w:val="0"/>
        <w:snapToGrid w:val="0"/>
        <w:spacing w:line="300" w:lineRule="auto"/>
        <w:ind w:firstLine="480"/>
        <w:rPr>
          <w:rFonts w:ascii="宋体" w:hAnsi="宋体" w:cs="宋体"/>
          <w:szCs w:val="24"/>
        </w:rPr>
      </w:pPr>
      <w:r>
        <w:rPr>
          <w:rFonts w:hint="eastAsia" w:ascii="宋体" w:hAnsi="宋体" w:cs="宋体"/>
          <w:szCs w:val="24"/>
        </w:rPr>
        <w:t>4．采购文件的澄清、答复、修改或补充都应该通过本代理机构以法定形式发布，采购人未通过本机构，不得擅自澄清、答复、修改或补充采购文件。</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3" w:name="_Toc17209"/>
      <w:r>
        <w:rPr>
          <w:rFonts w:hint="eastAsia" w:ascii="宋体" w:hAnsi="宋体" w:cs="宋体"/>
        </w:rPr>
        <w:t>四、投标文件的编制</w:t>
      </w:r>
      <w:bookmarkEnd w:id="23"/>
    </w:p>
    <w:p>
      <w:pPr>
        <w:snapToGrid w:val="0"/>
        <w:spacing w:line="300" w:lineRule="auto"/>
        <w:ind w:firstLine="482"/>
        <w:jc w:val="left"/>
        <w:rPr>
          <w:rFonts w:ascii="宋体" w:hAnsi="宋体" w:cs="宋体"/>
          <w:b/>
          <w:bCs/>
          <w:color w:val="000000"/>
          <w:szCs w:val="24"/>
        </w:rPr>
      </w:pPr>
      <w:r>
        <w:rPr>
          <w:rFonts w:hint="eastAsia" w:ascii="宋体" w:hAnsi="宋体" w:cs="宋体"/>
          <w:b/>
          <w:bCs/>
          <w:color w:val="000000"/>
          <w:szCs w:val="24"/>
        </w:rPr>
        <w:t>本项目所涉投标文件格式请详见第六章，未给出的格式请自拟。资信商务及技术文件中不得出现报价，否则投标文件将被视为无效。</w:t>
      </w:r>
    </w:p>
    <w:p>
      <w:pPr>
        <w:snapToGrid w:val="0"/>
        <w:spacing w:line="300" w:lineRule="auto"/>
        <w:ind w:firstLine="482"/>
        <w:rPr>
          <w:b/>
          <w:szCs w:val="24"/>
        </w:rPr>
      </w:pPr>
      <w:r>
        <w:rPr>
          <w:rFonts w:hint="eastAsia"/>
          <w:b/>
          <w:szCs w:val="24"/>
        </w:rPr>
        <w:t>在电子投标文件中所有需要加盖公章的均采用CA签章。</w:t>
      </w:r>
    </w:p>
    <w:p>
      <w:pPr>
        <w:snapToGrid w:val="0"/>
        <w:spacing w:line="300" w:lineRule="auto"/>
        <w:ind w:firstLine="482"/>
        <w:rPr>
          <w:rFonts w:ascii="宋体" w:hAnsi="宋体" w:cs="宋体"/>
          <w:b/>
          <w:bCs/>
          <w:color w:val="000000"/>
          <w:szCs w:val="24"/>
        </w:rPr>
      </w:pPr>
      <w:r>
        <w:rPr>
          <w:rFonts w:hint="eastAsia" w:ascii="宋体" w:hAnsi="宋体" w:cs="宋体"/>
          <w:b/>
          <w:bCs/>
          <w:color w:val="000000"/>
          <w:szCs w:val="24"/>
        </w:rPr>
        <w:t>（一）投标文件的组成</w:t>
      </w:r>
    </w:p>
    <w:p>
      <w:pPr>
        <w:snapToGrid w:val="0"/>
        <w:spacing w:line="300" w:lineRule="auto"/>
        <w:ind w:firstLine="480"/>
        <w:jc w:val="left"/>
        <w:rPr>
          <w:rFonts w:ascii="宋体" w:hAnsi="宋体"/>
          <w:szCs w:val="24"/>
        </w:rPr>
      </w:pPr>
      <w:r>
        <w:rPr>
          <w:rFonts w:hint="eastAsia" w:ascii="宋体" w:hAnsi="宋体"/>
          <w:szCs w:val="24"/>
        </w:rPr>
        <w:t>投标文件由资信商务及技术文件及投标报价文件两部份组成。</w:t>
      </w:r>
    </w:p>
    <w:p>
      <w:pPr>
        <w:snapToGrid w:val="0"/>
        <w:spacing w:line="300" w:lineRule="auto"/>
        <w:ind w:left="482" w:firstLine="0" w:firstLineChars="0"/>
        <w:contextualSpacing/>
        <w:jc w:val="left"/>
        <w:rPr>
          <w:rFonts w:ascii="宋体" w:hAnsi="宋体" w:cs="宋体"/>
          <w:b/>
          <w:bCs/>
          <w:color w:val="000000"/>
          <w:szCs w:val="24"/>
        </w:rPr>
      </w:pPr>
      <w:r>
        <w:rPr>
          <w:rFonts w:hint="eastAsia" w:ascii="宋体" w:hAnsi="宋体" w:cs="宋体"/>
          <w:b/>
          <w:bCs/>
          <w:color w:val="000000"/>
          <w:szCs w:val="24"/>
        </w:rPr>
        <w:t>1.资信商务及技术文件：</w:t>
      </w:r>
    </w:p>
    <w:p>
      <w:pPr>
        <w:snapToGrid w:val="0"/>
        <w:spacing w:line="300" w:lineRule="auto"/>
        <w:ind w:firstLine="472" w:firstLineChars="196"/>
        <w:contextualSpacing/>
        <w:jc w:val="left"/>
        <w:rPr>
          <w:rFonts w:ascii="宋体" w:hAnsi="宋体" w:cs="宋体"/>
          <w:b/>
          <w:bCs/>
          <w:color w:val="000000"/>
          <w:szCs w:val="24"/>
        </w:rPr>
      </w:pPr>
      <w:r>
        <w:rPr>
          <w:rFonts w:hint="eastAsia" w:ascii="宋体" w:hAnsi="宋体" w:cs="宋体"/>
          <w:b/>
          <w:bCs/>
          <w:color w:val="000000"/>
          <w:szCs w:val="24"/>
        </w:rPr>
        <w:t>1.1资信及商务文件</w:t>
      </w:r>
    </w:p>
    <w:p>
      <w:pPr>
        <w:snapToGrid w:val="0"/>
        <w:spacing w:line="300" w:lineRule="auto"/>
        <w:ind w:firstLine="480"/>
        <w:contextualSpacing/>
        <w:jc w:val="left"/>
        <w:rPr>
          <w:rFonts w:ascii="宋体" w:hAnsi="宋体" w:cs="宋体"/>
          <w:szCs w:val="24"/>
        </w:rPr>
      </w:pPr>
      <w:r>
        <w:rPr>
          <w:rFonts w:hint="eastAsia" w:ascii="宋体" w:hAnsi="宋体" w:cs="宋体"/>
          <w:szCs w:val="24"/>
        </w:rPr>
        <w:t>（1）资格文件：符合合格投标人资格要求的证明材料（格式见第六章）；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（2）投标声明书（格式见第六章）；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（3）诚信承诺书（格式见第六章）；</w:t>
      </w:r>
    </w:p>
    <w:p>
      <w:pPr>
        <w:snapToGrid w:val="0"/>
        <w:spacing w:line="300" w:lineRule="auto"/>
        <w:ind w:firstLine="480"/>
        <w:contextualSpacing/>
        <w:jc w:val="left"/>
        <w:rPr>
          <w:rFonts w:ascii="宋体" w:hAnsi="宋体" w:cs="宋体"/>
          <w:szCs w:val="24"/>
        </w:rPr>
      </w:pPr>
      <w:r>
        <w:rPr>
          <w:rFonts w:hint="eastAsia" w:ascii="宋体" w:hAnsi="宋体" w:cs="宋体"/>
          <w:szCs w:val="24"/>
        </w:rPr>
        <w:t>（4）法定代表人授权委托书（格式见第六章）；</w:t>
      </w:r>
    </w:p>
    <w:p>
      <w:pPr>
        <w:snapToGrid w:val="0"/>
        <w:spacing w:line="300" w:lineRule="auto"/>
        <w:ind w:firstLine="480"/>
        <w:contextualSpacing/>
        <w:jc w:val="left"/>
        <w:rPr>
          <w:rFonts w:ascii="宋体" w:hAnsi="宋体" w:cs="宋体"/>
          <w:szCs w:val="24"/>
          <w:lang w:val="zh-CN"/>
        </w:rPr>
      </w:pPr>
      <w:r>
        <w:rPr>
          <w:rFonts w:hint="eastAsia" w:ascii="宋体" w:hAnsi="宋体" w:cs="宋体"/>
          <w:szCs w:val="24"/>
        </w:rPr>
        <w:t>（5）投标人基本情况表（格式见第六章）；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（6）同类项目业绩表（格式见第六章）；</w:t>
      </w:r>
    </w:p>
    <w:p>
      <w:pPr>
        <w:snapToGrid w:val="0"/>
        <w:spacing w:line="307" w:lineRule="auto"/>
        <w:ind w:firstLine="480"/>
        <w:contextualSpacing/>
        <w:jc w:val="left"/>
        <w:rPr>
          <w:rFonts w:ascii="宋体" w:hAnsi="宋体" w:cs="宋体"/>
          <w:szCs w:val="24"/>
        </w:rPr>
      </w:pPr>
      <w:r>
        <w:rPr>
          <w:rFonts w:hint="eastAsia" w:ascii="宋体" w:hAnsi="宋体" w:cs="宋体"/>
          <w:szCs w:val="24"/>
        </w:rPr>
        <w:t>（7）业绩证明材料（如有）；</w:t>
      </w:r>
    </w:p>
    <w:p>
      <w:pPr>
        <w:snapToGrid w:val="0"/>
        <w:spacing w:line="307" w:lineRule="auto"/>
        <w:ind w:firstLine="480"/>
        <w:contextualSpacing/>
        <w:jc w:val="left"/>
        <w:rPr>
          <w:rFonts w:ascii="宋体" w:hAnsi="宋体" w:cs="宋体"/>
          <w:szCs w:val="24"/>
        </w:rPr>
      </w:pPr>
      <w:r>
        <w:rPr>
          <w:rFonts w:hint="eastAsia" w:ascii="宋体" w:hAnsi="宋体" w:cs="宋体"/>
          <w:szCs w:val="24"/>
        </w:rPr>
        <w:t>（8）相关证书（如有）；</w:t>
      </w:r>
    </w:p>
    <w:p>
      <w:pPr>
        <w:snapToGrid w:val="0"/>
        <w:spacing w:line="300" w:lineRule="auto"/>
        <w:ind w:firstLine="480"/>
        <w:contextualSpacing/>
        <w:rPr>
          <w:rFonts w:ascii="宋体" w:hAnsi="宋体" w:cs="宋体"/>
          <w:szCs w:val="24"/>
        </w:rPr>
      </w:pPr>
      <w:r>
        <w:rPr>
          <w:rFonts w:hint="eastAsia" w:ascii="宋体" w:hAnsi="宋体" w:cs="宋体"/>
          <w:szCs w:val="24"/>
        </w:rPr>
        <w:t>（9）投标人需要说明的其他内容（未尽事宜可按评分细则部分制作）。</w:t>
      </w:r>
    </w:p>
    <w:p>
      <w:pPr>
        <w:snapToGrid w:val="0"/>
        <w:spacing w:line="300" w:lineRule="auto"/>
        <w:ind w:firstLine="482"/>
        <w:contextualSpacing/>
        <w:rPr>
          <w:rFonts w:ascii="宋体" w:hAnsi="宋体" w:cs="宋体"/>
          <w:b/>
          <w:bCs/>
          <w:szCs w:val="24"/>
        </w:rPr>
      </w:pPr>
      <w:r>
        <w:rPr>
          <w:rFonts w:hint="eastAsia" w:ascii="宋体" w:hAnsi="宋体" w:cs="宋体"/>
          <w:b/>
          <w:bCs/>
          <w:szCs w:val="24"/>
        </w:rPr>
        <w:t>1.2技术文件：</w:t>
      </w:r>
    </w:p>
    <w:p>
      <w:pPr>
        <w:snapToGrid w:val="0"/>
        <w:spacing w:line="308" w:lineRule="auto"/>
        <w:ind w:firstLine="480"/>
        <w:contextualSpacing/>
        <w:jc w:val="left"/>
        <w:rPr>
          <w:rFonts w:ascii="宋体" w:hAnsi="宋体"/>
          <w:color w:val="000000"/>
          <w:szCs w:val="24"/>
        </w:rPr>
      </w:pPr>
      <w:r>
        <w:rPr>
          <w:rFonts w:hint="eastAsia" w:ascii="宋体" w:hAnsi="宋体"/>
          <w:color w:val="000000"/>
          <w:szCs w:val="24"/>
        </w:rPr>
        <w:t>（1）</w:t>
      </w:r>
      <w:r>
        <w:rPr>
          <w:rFonts w:hint="eastAsia" w:ascii="宋体" w:hAnsi="宋体" w:cs="宋体"/>
          <w:color w:val="000000"/>
          <w:szCs w:val="24"/>
        </w:rPr>
        <w:t>项目负责人简历表（格式见第六章）</w:t>
      </w:r>
      <w:r>
        <w:rPr>
          <w:rFonts w:hint="eastAsia" w:ascii="宋体" w:hAnsi="宋体"/>
          <w:color w:val="000000"/>
          <w:szCs w:val="24"/>
        </w:rPr>
        <w:t>；</w:t>
      </w:r>
    </w:p>
    <w:p>
      <w:pPr>
        <w:snapToGrid w:val="0"/>
        <w:spacing w:line="308" w:lineRule="auto"/>
        <w:ind w:firstLine="480"/>
        <w:contextualSpacing/>
        <w:jc w:val="left"/>
        <w:rPr>
          <w:rFonts w:ascii="宋体" w:hAnsi="宋体" w:cs="宋体"/>
          <w:color w:val="000000"/>
          <w:szCs w:val="24"/>
        </w:rPr>
      </w:pPr>
      <w:r>
        <w:rPr>
          <w:rFonts w:hint="eastAsia" w:ascii="宋体" w:hAnsi="宋体" w:cs="宋体"/>
          <w:color w:val="000000"/>
          <w:szCs w:val="24"/>
        </w:rPr>
        <w:t>（2）项目技术负责人简历表（格式见第六章）；</w:t>
      </w:r>
    </w:p>
    <w:p>
      <w:pPr>
        <w:snapToGrid w:val="0"/>
        <w:spacing w:line="308" w:lineRule="auto"/>
        <w:ind w:firstLine="480"/>
        <w:contextualSpacing/>
        <w:jc w:val="left"/>
        <w:rPr>
          <w:rFonts w:ascii="宋体" w:hAnsi="宋体"/>
          <w:color w:val="000000"/>
          <w:szCs w:val="24"/>
        </w:rPr>
      </w:pPr>
      <w:r>
        <w:rPr>
          <w:rFonts w:hint="eastAsia" w:ascii="宋体" w:hAnsi="宋体"/>
          <w:color w:val="000000"/>
          <w:szCs w:val="24"/>
        </w:rPr>
        <w:t>（</w:t>
      </w:r>
      <w:r>
        <w:rPr>
          <w:rFonts w:ascii="宋体" w:hAnsi="宋体"/>
          <w:color w:val="000000"/>
          <w:szCs w:val="24"/>
        </w:rPr>
        <w:t>3</w:t>
      </w:r>
      <w:r>
        <w:rPr>
          <w:rFonts w:hint="eastAsia" w:ascii="宋体" w:hAnsi="宋体"/>
          <w:color w:val="000000"/>
          <w:szCs w:val="24"/>
        </w:rPr>
        <w:t>）</w:t>
      </w:r>
      <w:r>
        <w:rPr>
          <w:rFonts w:hint="eastAsia" w:ascii="宋体" w:hAnsi="宋体" w:cs="宋体"/>
          <w:color w:val="000000"/>
          <w:szCs w:val="24"/>
        </w:rPr>
        <w:t>项目其他实施人员一览表（格式见第六章）</w:t>
      </w:r>
      <w:r>
        <w:rPr>
          <w:rFonts w:hint="eastAsia" w:ascii="宋体" w:hAnsi="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（4）项目技术方案（包括</w:t>
      </w:r>
      <w:r>
        <w:rPr>
          <w:rStyle w:val="78"/>
          <w:rFonts w:hint="eastAsia" w:ascii="宋体" w:hAnsi="宋体" w:cs="宋体"/>
          <w:szCs w:val="24"/>
        </w:rPr>
        <w:t>项目实施方案及设计，对本项目维护管理及建设思路、原则、特点、技术要求的理解，对项目重难点及解决方案的详细阐述及解决方案，对水文数据数字化解决方案的阐述等</w:t>
      </w:r>
      <w:r>
        <w:rPr>
          <w:rFonts w:hint="eastAsia" w:ascii="宋体" w:hAnsi="宋体" w:cs="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（5）</w:t>
      </w:r>
      <w:r>
        <w:rPr>
          <w:rStyle w:val="78"/>
          <w:rFonts w:hint="eastAsia" w:ascii="宋体" w:hAnsi="宋体" w:cs="宋体"/>
          <w:szCs w:val="24"/>
        </w:rPr>
        <w:t>组织实施方案</w:t>
      </w:r>
      <w:r>
        <w:rPr>
          <w:rFonts w:hint="eastAsia" w:ascii="宋体" w:hAnsi="宋体" w:cs="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olor w:val="0C0C0C"/>
          <w:szCs w:val="24"/>
        </w:rPr>
        <w:t>（6）质量保证措施</w:t>
      </w:r>
      <w:r>
        <w:rPr>
          <w:rFonts w:hint="eastAsia" w:ascii="宋体" w:hAnsi="宋体" w:cs="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olor w:val="0C0C0C"/>
          <w:szCs w:val="24"/>
        </w:rPr>
        <w:t>（7）</w:t>
      </w:r>
      <w:r>
        <w:rPr>
          <w:rStyle w:val="78"/>
          <w:rFonts w:hint="eastAsia" w:ascii="宋体" w:hAnsi="宋体" w:cs="宋体"/>
          <w:szCs w:val="24"/>
          <w:lang w:val="zh-CN"/>
        </w:rPr>
        <w:t>售后服务响应及其他优惠承诺</w:t>
      </w:r>
      <w:r>
        <w:rPr>
          <w:rFonts w:hint="eastAsia" w:ascii="宋体" w:hAnsi="宋体" w:cs="宋体"/>
          <w:color w:val="000000"/>
          <w:szCs w:val="24"/>
        </w:rPr>
        <w:t>；</w:t>
      </w:r>
    </w:p>
    <w:p>
      <w:pPr>
        <w:snapToGrid w:val="0"/>
        <w:spacing w:line="307" w:lineRule="auto"/>
        <w:ind w:firstLine="480"/>
        <w:contextualSpacing/>
        <w:jc w:val="left"/>
        <w:rPr>
          <w:rFonts w:ascii="宋体" w:hAnsi="宋体" w:cs="宋体"/>
          <w:color w:val="000000"/>
          <w:szCs w:val="24"/>
        </w:rPr>
      </w:pPr>
      <w:r>
        <w:rPr>
          <w:rFonts w:hint="eastAsia" w:ascii="宋体" w:hAnsi="宋体" w:cs="宋体"/>
          <w:color w:val="000000"/>
          <w:szCs w:val="24"/>
        </w:rPr>
        <w:t>（8）</w:t>
      </w:r>
      <w:r>
        <w:rPr>
          <w:rStyle w:val="78"/>
          <w:rFonts w:hint="eastAsia" w:ascii="宋体" w:hAnsi="宋体" w:cs="宋体"/>
          <w:szCs w:val="24"/>
        </w:rPr>
        <w:t>技术培训方案</w:t>
      </w:r>
      <w:r>
        <w:rPr>
          <w:rFonts w:hint="eastAsia" w:ascii="宋体" w:hAnsi="宋体" w:cs="宋体"/>
          <w:color w:val="000000"/>
          <w:szCs w:val="24"/>
        </w:rPr>
        <w:t>；</w:t>
      </w:r>
    </w:p>
    <w:p>
      <w:pPr>
        <w:snapToGrid w:val="0"/>
        <w:spacing w:line="308" w:lineRule="auto"/>
        <w:ind w:firstLine="480"/>
        <w:contextualSpacing/>
        <w:jc w:val="left"/>
        <w:rPr>
          <w:rFonts w:ascii="宋体" w:hAnsi="宋体"/>
          <w:color w:val="0C0C0C"/>
          <w:szCs w:val="24"/>
        </w:rPr>
      </w:pPr>
      <w:r>
        <w:rPr>
          <w:rFonts w:hint="eastAsia" w:ascii="宋体" w:hAnsi="宋体"/>
          <w:color w:val="0C0C0C"/>
          <w:szCs w:val="24"/>
        </w:rPr>
        <w:t>（9）</w:t>
      </w:r>
      <w:r>
        <w:rPr>
          <w:rStyle w:val="78"/>
          <w:rFonts w:hint="eastAsia" w:ascii="宋体" w:hAnsi="宋体" w:cs="宋体"/>
          <w:color w:val="000000"/>
          <w:szCs w:val="24"/>
        </w:rPr>
        <w:t>合理化建议；</w:t>
      </w:r>
    </w:p>
    <w:p>
      <w:pPr>
        <w:snapToGrid w:val="0"/>
        <w:spacing w:line="300" w:lineRule="auto"/>
        <w:ind w:firstLine="480"/>
        <w:contextualSpacing/>
        <w:rPr>
          <w:rFonts w:ascii="宋体" w:hAnsi="宋体"/>
          <w:color w:val="0C0C0C"/>
          <w:szCs w:val="24"/>
        </w:rPr>
      </w:pPr>
      <w:r>
        <w:rPr>
          <w:rFonts w:hint="eastAsia" w:ascii="宋体" w:hAnsi="宋体"/>
          <w:color w:val="0C0C0C"/>
          <w:szCs w:val="24"/>
        </w:rPr>
        <w:t>（10）投标人根据评标办法及采购需求需要提供的其他资料。</w:t>
      </w:r>
    </w:p>
    <w:p>
      <w:pPr>
        <w:snapToGrid w:val="0"/>
        <w:spacing w:line="300" w:lineRule="auto"/>
        <w:ind w:firstLine="482"/>
        <w:contextualSpacing/>
        <w:rPr>
          <w:rFonts w:ascii="宋体" w:hAnsi="宋体" w:cs="宋体"/>
          <w:b/>
          <w:bCs/>
          <w:szCs w:val="24"/>
        </w:rPr>
      </w:pPr>
      <w:r>
        <w:rPr>
          <w:rFonts w:hint="eastAsia" w:ascii="宋体" w:hAnsi="宋体" w:cs="宋体"/>
          <w:b/>
          <w:bCs/>
          <w:szCs w:val="24"/>
        </w:rPr>
        <w:t>2．投标报价文件：</w:t>
      </w:r>
    </w:p>
    <w:p>
      <w:pPr>
        <w:snapToGrid w:val="0"/>
        <w:spacing w:line="300" w:lineRule="auto"/>
        <w:ind w:firstLine="480"/>
        <w:contextualSpacing/>
        <w:rPr>
          <w:rFonts w:ascii="宋体" w:hAnsi="宋体" w:cs="宋体"/>
          <w:szCs w:val="24"/>
        </w:rPr>
      </w:pPr>
      <w:r>
        <w:rPr>
          <w:rFonts w:hint="eastAsia" w:ascii="宋体" w:hAnsi="宋体" w:cs="宋体"/>
          <w:szCs w:val="24"/>
        </w:rPr>
        <w:t xml:space="preserve">（1）投标函（格式见第六章）； </w:t>
      </w:r>
    </w:p>
    <w:p>
      <w:pPr>
        <w:snapToGrid w:val="0"/>
        <w:spacing w:line="300" w:lineRule="auto"/>
        <w:ind w:firstLine="480"/>
        <w:contextualSpacing/>
        <w:jc w:val="left"/>
        <w:rPr>
          <w:rFonts w:ascii="宋体" w:hAnsi="宋体" w:cs="宋体"/>
          <w:szCs w:val="24"/>
        </w:rPr>
      </w:pPr>
      <w:r>
        <w:rPr>
          <w:rFonts w:hint="eastAsia" w:ascii="宋体" w:hAnsi="宋体" w:cs="宋体"/>
          <w:szCs w:val="24"/>
        </w:rPr>
        <w:t>（2）开标一览表（格式见第六章）；</w:t>
      </w:r>
    </w:p>
    <w:p>
      <w:pPr>
        <w:snapToGrid w:val="0"/>
        <w:spacing w:line="300" w:lineRule="auto"/>
        <w:ind w:firstLine="480"/>
        <w:contextualSpacing/>
        <w:rPr>
          <w:rFonts w:ascii="宋体" w:hAnsi="宋体" w:cs="宋体"/>
          <w:szCs w:val="24"/>
        </w:rPr>
      </w:pPr>
      <w:r>
        <w:rPr>
          <w:rFonts w:hint="eastAsia" w:ascii="宋体" w:hAnsi="宋体" w:cs="宋体"/>
          <w:szCs w:val="24"/>
        </w:rPr>
        <w:t>（3）投标报价明细表（</w:t>
      </w:r>
      <w:r>
        <w:rPr>
          <w:rFonts w:hint="eastAsia" w:ascii="宋体" w:hAnsi="宋体" w:cs="宋体"/>
          <w:color w:val="000000"/>
          <w:szCs w:val="24"/>
        </w:rPr>
        <w:t>格式见第六章</w:t>
      </w:r>
      <w:r>
        <w:rPr>
          <w:rFonts w:hint="eastAsia" w:ascii="宋体" w:hAnsi="宋体" w:cs="宋体"/>
          <w:szCs w:val="24"/>
        </w:rPr>
        <w:t>）；</w:t>
      </w:r>
    </w:p>
    <w:p>
      <w:pPr>
        <w:snapToGrid w:val="0"/>
        <w:spacing w:line="300" w:lineRule="auto"/>
        <w:ind w:firstLine="480"/>
        <w:contextualSpacing/>
        <w:rPr>
          <w:rFonts w:ascii="宋体" w:hAnsi="宋体" w:cs="宋体"/>
          <w:szCs w:val="24"/>
        </w:rPr>
      </w:pPr>
      <w:r>
        <w:rPr>
          <w:rFonts w:hint="eastAsia" w:ascii="宋体" w:hAnsi="宋体" w:cs="宋体"/>
          <w:szCs w:val="24"/>
        </w:rPr>
        <w:t>（4）投标人需要说明的其他事项。</w:t>
      </w:r>
    </w:p>
    <w:p>
      <w:pPr>
        <w:pStyle w:val="31"/>
        <w:widowControl w:val="0"/>
        <w:spacing w:before="0" w:afterLines="0" w:line="300" w:lineRule="auto"/>
        <w:ind w:firstLine="482"/>
        <w:contextualSpacing/>
        <w:jc w:val="both"/>
        <w:rPr>
          <w:rFonts w:ascii="宋体" w:hAnsi="宋体" w:cs="宋体"/>
        </w:rPr>
      </w:pPr>
      <w:r>
        <w:rPr>
          <w:rFonts w:hint="eastAsia" w:ascii="宋体" w:hAnsi="宋体" w:cs="宋体"/>
          <w:b/>
          <w:bCs/>
        </w:rPr>
        <w:t>注：法定代表人授权委托书、投标声明书必须由法定代表人签名（或盖章）并加盖CA公章；诚信承诺书、投标函、开标一览表、投标报价明细表、投标人基本情况表、同类项目业绩表、项目负责人简历表、项目技术负责人简历表、项目其他实施人员一览表、残疾人福利性单位声明函必须由法定代表人或授权代表签名（或盖章）并加盖CA公章；中小企业声明函必须加盖CA公章；签章不齐的视同未提供。</w:t>
      </w:r>
    </w:p>
    <w:p>
      <w:pPr>
        <w:snapToGrid w:val="0"/>
        <w:spacing w:line="300" w:lineRule="auto"/>
        <w:ind w:firstLine="482"/>
        <w:rPr>
          <w:rFonts w:ascii="宋体" w:hAnsi="宋体" w:cs="宋体"/>
          <w:b/>
          <w:bCs/>
          <w:szCs w:val="24"/>
        </w:rPr>
      </w:pPr>
      <w:r>
        <w:rPr>
          <w:rFonts w:hint="eastAsia" w:ascii="宋体" w:hAnsi="宋体" w:cs="宋体"/>
          <w:b/>
          <w:bCs/>
          <w:szCs w:val="24"/>
        </w:rPr>
        <w:t>（二）投标文件的语言及计量</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投标文件以及投标方与采购方就有关投标事宜的所有来往函电，均应以中文汉语书写。除签名、盖章、专用名称等特殊情形外，以中文汉语以外的文字表述的投标文件视同未提供。</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投标计量单位，采购文件已有明确规定的，使用采购文件规定的计量单位；采购文件没有规定的，应采用中华人民共和国法定计量单位（货币单位：人民币元），否则视同未响应。</w:t>
      </w:r>
    </w:p>
    <w:p>
      <w:pPr>
        <w:snapToGrid w:val="0"/>
        <w:spacing w:line="300" w:lineRule="auto"/>
        <w:ind w:firstLine="482"/>
        <w:rPr>
          <w:rFonts w:ascii="宋体" w:hAnsi="宋体" w:cs="宋体"/>
          <w:b/>
          <w:bCs/>
          <w:szCs w:val="24"/>
        </w:rPr>
      </w:pPr>
      <w:r>
        <w:rPr>
          <w:rFonts w:hint="eastAsia" w:ascii="宋体" w:hAnsi="宋体" w:cs="宋体"/>
          <w:b/>
          <w:bCs/>
          <w:szCs w:val="24"/>
        </w:rPr>
        <w:t>（三）投标报价</w:t>
      </w:r>
    </w:p>
    <w:p>
      <w:pPr>
        <w:adjustRightInd w:val="0"/>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投标报价应按采购文件中相关附表格式填写。</w:t>
      </w:r>
    </w:p>
    <w:p>
      <w:pPr>
        <w:adjustRightInd w:val="0"/>
        <w:snapToGrid w:val="0"/>
        <w:spacing w:line="300" w:lineRule="auto"/>
        <w:ind w:firstLine="480"/>
        <w:rPr>
          <w:rFonts w:ascii="宋体" w:hAnsi="宋体" w:cs="宋体"/>
          <w:bCs/>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投标报价是履行合同的最终价格，应包括完成项目所需人工费、材料费、设备费、交通费、管理费、税费、利润、招标代理服务费等全部费用</w:t>
      </w:r>
      <w:r>
        <w:rPr>
          <w:rFonts w:hint="eastAsia" w:ascii="宋体" w:hAnsi="宋体" w:cs="宋体"/>
          <w:bCs/>
          <w:szCs w:val="24"/>
        </w:rPr>
        <w:t>。</w:t>
      </w:r>
    </w:p>
    <w:p>
      <w:pPr>
        <w:adjustRightInd w:val="0"/>
        <w:snapToGrid w:val="0"/>
        <w:spacing w:line="300" w:lineRule="auto"/>
        <w:ind w:firstLine="480"/>
        <w:rPr>
          <w:rFonts w:ascii="宋体" w:hAnsi="宋体" w:cs="宋体"/>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投标文件只允许有一个报价，有选择的或有条件的报价将不予接受。</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（四）投标文件的有效期</w:t>
      </w:r>
    </w:p>
    <w:p>
      <w:pPr>
        <w:snapToGrid w:val="0"/>
        <w:spacing w:line="300" w:lineRule="auto"/>
        <w:ind w:firstLine="480"/>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szCs w:val="24"/>
        </w:rPr>
        <w:t>自投标截止日起</w:t>
      </w:r>
      <w:r>
        <w:rPr>
          <w:rFonts w:hint="eastAsia" w:ascii="宋体" w:hAnsi="宋体" w:cs="宋体"/>
          <w:b/>
          <w:bCs/>
          <w:szCs w:val="24"/>
        </w:rPr>
        <w:t>90天</w:t>
      </w:r>
      <w:r>
        <w:rPr>
          <w:rFonts w:hint="eastAsia" w:ascii="宋体" w:hAnsi="宋体" w:cs="宋体"/>
          <w:szCs w:val="24"/>
        </w:rPr>
        <w:t>投标书应保持有效。有效期不足的投标文件将被拒绝。</w:t>
      </w:r>
    </w:p>
    <w:p>
      <w:pPr>
        <w:snapToGrid w:val="0"/>
        <w:spacing w:line="300" w:lineRule="auto"/>
        <w:ind w:firstLine="480"/>
        <w:rPr>
          <w:rFonts w:ascii="宋体" w:hAnsi="宋体" w:cs="宋体"/>
          <w:szCs w:val="24"/>
        </w:rPr>
      </w:pPr>
      <w:r>
        <w:rPr>
          <w:rFonts w:hint="eastAsia" w:ascii="宋体" w:hAnsi="宋体" w:cs="宋体"/>
          <w:szCs w:val="24"/>
        </w:rPr>
        <w:t>2</w:t>
      </w:r>
      <w:r>
        <w:rPr>
          <w:rFonts w:hint="eastAsia" w:ascii="宋体" w:hAnsi="宋体" w:cs="宋体"/>
          <w:kern w:val="0"/>
          <w:szCs w:val="24"/>
        </w:rPr>
        <w:t>．</w:t>
      </w:r>
      <w:r>
        <w:rPr>
          <w:rFonts w:hint="eastAsia" w:ascii="宋体" w:hAnsi="宋体" w:cs="宋体"/>
          <w:szCs w:val="24"/>
        </w:rPr>
        <w:t>在特殊情况下，招标人可与投标人协商延长投标书的有效期，这种要求和答复均以书面形式进行。</w:t>
      </w:r>
    </w:p>
    <w:p>
      <w:pPr>
        <w:snapToGrid w:val="0"/>
        <w:spacing w:line="300" w:lineRule="auto"/>
        <w:ind w:firstLine="480"/>
        <w:rPr>
          <w:rFonts w:ascii="宋体" w:hAnsi="宋体" w:cs="宋体"/>
          <w:b/>
          <w:bCs/>
          <w:szCs w:val="24"/>
        </w:rPr>
      </w:pPr>
      <w:r>
        <w:rPr>
          <w:rFonts w:hint="eastAsia" w:ascii="宋体" w:hAnsi="宋体" w:cs="宋体"/>
          <w:szCs w:val="24"/>
        </w:rPr>
        <w:t>3</w:t>
      </w:r>
      <w:r>
        <w:rPr>
          <w:rFonts w:hint="eastAsia" w:ascii="宋体" w:hAnsi="宋体" w:cs="宋体"/>
          <w:kern w:val="0"/>
          <w:szCs w:val="24"/>
        </w:rPr>
        <w:t>．</w:t>
      </w:r>
      <w:r>
        <w:rPr>
          <w:rFonts w:hint="eastAsia" w:ascii="宋体" w:hAnsi="宋体" w:cs="宋体"/>
          <w:szCs w:val="24"/>
        </w:rPr>
        <w:t>投标人可拒绝接受延期要求。同意延长有效期的不能修改投标文件。</w:t>
      </w:r>
    </w:p>
    <w:p>
      <w:pPr>
        <w:snapToGrid w:val="0"/>
        <w:spacing w:line="300" w:lineRule="auto"/>
        <w:ind w:firstLine="480"/>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中标人的投标文件自开标之日起至合同履行完毕止均应保持有效。</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（五）投标文件的递交</w:t>
      </w:r>
    </w:p>
    <w:p>
      <w:pPr>
        <w:snapToGrid w:val="0"/>
        <w:spacing w:before="120" w:beforeLines="50" w:line="300" w:lineRule="auto"/>
        <w:ind w:firstLine="472" w:firstLineChars="196"/>
        <w:jc w:val="left"/>
        <w:outlineLvl w:val="0"/>
        <w:rPr>
          <w:rFonts w:ascii="宋体" w:hAnsi="宋体"/>
          <w:b/>
          <w:szCs w:val="24"/>
        </w:rPr>
      </w:pPr>
      <w:bookmarkStart w:id="24" w:name="_Toc29615"/>
      <w:r>
        <w:rPr>
          <w:rFonts w:hint="eastAsia" w:ascii="宋体" w:hAnsi="宋体"/>
          <w:b/>
          <w:szCs w:val="24"/>
        </w:rPr>
        <w:t>电子投标</w:t>
      </w:r>
      <w:r>
        <w:rPr>
          <w:rFonts w:ascii="宋体" w:hAnsi="宋体"/>
          <w:b/>
          <w:szCs w:val="24"/>
        </w:rPr>
        <w:t>文件</w:t>
      </w:r>
      <w:bookmarkEnd w:id="24"/>
    </w:p>
    <w:p>
      <w:pPr>
        <w:snapToGrid w:val="0"/>
        <w:spacing w:line="300" w:lineRule="auto"/>
        <w:ind w:firstLine="470" w:firstLineChars="196"/>
        <w:jc w:val="left"/>
        <w:outlineLvl w:val="0"/>
        <w:rPr>
          <w:rFonts w:ascii="宋体" w:hAnsi="宋体"/>
          <w:kern w:val="0"/>
          <w:szCs w:val="24"/>
        </w:rPr>
      </w:pPr>
      <w:bookmarkStart w:id="25" w:name="_Toc30278"/>
      <w:r>
        <w:rPr>
          <w:rFonts w:hint="eastAsia" w:ascii="宋体" w:hAnsi="宋体"/>
          <w:kern w:val="0"/>
          <w:szCs w:val="24"/>
        </w:rPr>
        <w:t>电子投标文件按政采云平台供应商电子招投标操作指南（</w:t>
      </w:r>
      <w:bookmarkEnd w:id="25"/>
      <w:r>
        <w:rPr>
          <w:rFonts w:hint="eastAsia" w:ascii="宋体" w:hAnsi="宋体"/>
          <w:kern w:val="0"/>
          <w:szCs w:val="24"/>
        </w:rPr>
        <w:t>网址：</w:t>
      </w:r>
      <w:r>
        <w:rPr>
          <w:rFonts w:hint="eastAsia" w:ascii="宋体" w:hAnsi="宋体" w:cs="宋体"/>
          <w:kern w:val="0"/>
          <w:sz w:val="24"/>
        </w:rPr>
        <w:fldChar w:fldCharType="begin"/>
      </w:r>
      <w:r>
        <w:rPr>
          <w:rFonts w:hint="eastAsia" w:ascii="宋体" w:hAnsi="宋体" w:cs="宋体"/>
          <w:kern w:val="0"/>
          <w:sz w:val="24"/>
        </w:rPr>
        <w:instrText xml:space="preserve"> HYPERLINK "https://help.zcygov.cn/web/site_2/2018/12-28/2573.html）及本招标文件规定的格式和顺序编制电子投标文件并进行关联定位。" </w:instrText>
      </w:r>
      <w:r>
        <w:rPr>
          <w:rFonts w:hint="eastAsia" w:ascii="宋体" w:hAnsi="宋体" w:cs="宋体"/>
          <w:kern w:val="0"/>
          <w:sz w:val="24"/>
        </w:rPr>
        <w:fldChar w:fldCharType="separate"/>
      </w:r>
      <w:r>
        <w:rPr>
          <w:rFonts w:hint="eastAsia" w:ascii="宋体" w:hAnsi="宋体" w:cs="宋体"/>
          <w:kern w:val="0"/>
          <w:sz w:val="24"/>
          <w:szCs w:val="22"/>
        </w:rPr>
        <w:fldChar w:fldCharType="begin"/>
      </w:r>
      <w:r>
        <w:rPr>
          <w:rStyle w:val="42"/>
          <w:rFonts w:hint="eastAsia" w:ascii="宋体" w:hAnsi="宋体" w:cs="宋体"/>
          <w:color w:val="auto"/>
          <w:kern w:val="0"/>
          <w:sz w:val="24"/>
          <w:szCs w:val="22"/>
        </w:rPr>
        <w:instrText xml:space="preserve"> HYPERLINK "https://service.zcygov.cn/" \l "/knowledges/CW1EtGwBFdiHxlNd6I3m/6IMVAG0BFdiHxlNdQ8Na" </w:instrText>
      </w:r>
      <w:r>
        <w:rPr>
          <w:rFonts w:hint="eastAsia" w:ascii="宋体" w:hAnsi="宋体" w:cs="宋体"/>
          <w:kern w:val="0"/>
          <w:sz w:val="24"/>
          <w:szCs w:val="22"/>
        </w:rPr>
        <w:fldChar w:fldCharType="separate"/>
      </w:r>
      <w:r>
        <w:rPr>
          <w:rStyle w:val="42"/>
          <w:rFonts w:hint="eastAsia" w:ascii="宋体" w:hAnsi="宋体" w:cs="宋体"/>
          <w:color w:val="auto"/>
          <w:kern w:val="0"/>
          <w:sz w:val="24"/>
          <w:szCs w:val="22"/>
        </w:rPr>
        <w:t>https://service.zcygov.cn/#/knowledges/CW1EtGwBFdiHxlNd6I3m/6IMVAG0BFdiHxlNdQ8Na</w:t>
      </w:r>
      <w:r>
        <w:rPr>
          <w:rFonts w:hint="eastAsia" w:ascii="宋体" w:hAnsi="宋体" w:cs="宋体"/>
          <w:kern w:val="0"/>
          <w:sz w:val="24"/>
          <w:szCs w:val="22"/>
        </w:rPr>
        <w:fldChar w:fldCharType="end"/>
      </w:r>
      <w:r>
        <w:rPr>
          <w:rStyle w:val="42"/>
          <w:rFonts w:hint="eastAsia" w:ascii="宋体" w:hAnsi="宋体" w:cs="宋体"/>
          <w:color w:val="auto"/>
          <w:kern w:val="0"/>
          <w:sz w:val="24"/>
        </w:rPr>
        <w:t>）及本</w:t>
      </w:r>
      <w:r>
        <w:rPr>
          <w:rStyle w:val="42"/>
          <w:rFonts w:hint="eastAsia" w:ascii="宋体" w:hAnsi="宋体" w:cs="宋体"/>
          <w:color w:val="auto"/>
          <w:kern w:val="0"/>
          <w:sz w:val="24"/>
          <w:lang w:val="en-US" w:eastAsia="zh-CN"/>
        </w:rPr>
        <w:t>招标</w:t>
      </w:r>
      <w:r>
        <w:rPr>
          <w:rStyle w:val="42"/>
          <w:rFonts w:hint="eastAsia" w:ascii="宋体" w:hAnsi="宋体" w:cs="宋体"/>
          <w:color w:val="auto"/>
          <w:kern w:val="0"/>
          <w:sz w:val="24"/>
        </w:rPr>
        <w:t>文件规定的格式和顺序编制电子</w:t>
      </w:r>
      <w:r>
        <w:rPr>
          <w:rStyle w:val="42"/>
          <w:rFonts w:hint="eastAsia" w:ascii="宋体" w:hAnsi="宋体" w:cs="宋体"/>
          <w:color w:val="auto"/>
          <w:kern w:val="0"/>
          <w:sz w:val="24"/>
          <w:lang w:val="en-US" w:eastAsia="zh-CN"/>
        </w:rPr>
        <w:t>投标</w:t>
      </w:r>
      <w:r>
        <w:rPr>
          <w:rStyle w:val="42"/>
          <w:rFonts w:hint="eastAsia" w:ascii="宋体" w:hAnsi="宋体" w:cs="宋体"/>
          <w:color w:val="auto"/>
          <w:kern w:val="0"/>
          <w:sz w:val="24"/>
        </w:rPr>
        <w:t>文件并进行关联定位。</w:t>
      </w:r>
      <w:r>
        <w:rPr>
          <w:rFonts w:hint="eastAsia" w:ascii="宋体" w:hAnsi="宋体" w:cs="宋体"/>
          <w:kern w:val="0"/>
          <w:sz w:val="24"/>
        </w:rPr>
        <w:fldChar w:fldCharType="end"/>
      </w:r>
    </w:p>
    <w:p>
      <w:pPr>
        <w:tabs>
          <w:tab w:val="left" w:pos="2212"/>
        </w:tabs>
        <w:adjustRightInd w:val="0"/>
        <w:snapToGrid w:val="0"/>
        <w:spacing w:line="300" w:lineRule="auto"/>
        <w:ind w:firstLine="480"/>
        <w:rPr>
          <w:rFonts w:ascii="新宋体" w:hAnsi="新宋体" w:eastAsia="新宋体" w:cs="Courier New"/>
          <w:szCs w:val="24"/>
        </w:rPr>
      </w:pPr>
      <w:r>
        <w:rPr>
          <w:rFonts w:hint="eastAsia" w:ascii="宋体" w:hAnsi="宋体" w:eastAsia="新宋体"/>
          <w:bCs/>
          <w:szCs w:val="24"/>
        </w:rPr>
        <w:t>1.</w:t>
      </w:r>
      <w:r>
        <w:rPr>
          <w:rFonts w:hint="eastAsia" w:ascii="新宋体" w:hAnsi="新宋体" w:eastAsia="新宋体" w:cs="Courier New"/>
          <w:bCs/>
          <w:szCs w:val="24"/>
        </w:rPr>
        <w:t>投</w:t>
      </w:r>
      <w:r>
        <w:rPr>
          <w:rFonts w:hint="eastAsia" w:ascii="新宋体" w:hAnsi="新宋体" w:eastAsia="新宋体" w:cs="Courier New"/>
          <w:szCs w:val="24"/>
        </w:rPr>
        <w:t>标人应于2023年</w:t>
      </w:r>
      <w:r>
        <w:rPr>
          <w:rFonts w:hint="eastAsia" w:ascii="新宋体" w:hAnsi="新宋体" w:eastAsia="新宋体" w:cs="Courier New"/>
          <w:szCs w:val="24"/>
          <w:lang w:eastAsia="zh-CN"/>
        </w:rPr>
        <w:t>2月8日</w:t>
      </w:r>
      <w:r>
        <w:rPr>
          <w:rFonts w:ascii="新宋体" w:hAnsi="新宋体" w:eastAsia="新宋体" w:cs="Courier New"/>
          <w:szCs w:val="24"/>
        </w:rPr>
        <w:t>14：</w:t>
      </w:r>
      <w:r>
        <w:rPr>
          <w:rFonts w:hint="eastAsia" w:ascii="新宋体" w:hAnsi="新宋体" w:eastAsia="新宋体" w:cs="Courier New"/>
          <w:szCs w:val="24"/>
        </w:rPr>
        <w:t>0</w:t>
      </w:r>
      <w:r>
        <w:rPr>
          <w:rFonts w:ascii="新宋体" w:hAnsi="新宋体" w:eastAsia="新宋体" w:cs="Courier New"/>
          <w:szCs w:val="24"/>
        </w:rPr>
        <w:t>0</w:t>
      </w:r>
      <w:r>
        <w:rPr>
          <w:rFonts w:hint="eastAsia" w:ascii="新宋体" w:hAnsi="新宋体" w:eastAsia="新宋体" w:cs="Courier New"/>
          <w:szCs w:val="24"/>
        </w:rPr>
        <w:t>前在“政采云”上自行加密上传电子投标文件，</w:t>
      </w:r>
      <w:r>
        <w:rPr>
          <w:rFonts w:ascii="新宋体" w:hAnsi="新宋体" w:eastAsia="新宋体" w:cs="Courier New"/>
          <w:szCs w:val="24"/>
        </w:rPr>
        <w:t>逾期</w:t>
      </w:r>
      <w:r>
        <w:rPr>
          <w:rFonts w:hint="eastAsia" w:ascii="新宋体" w:hAnsi="新宋体" w:eastAsia="新宋体" w:cs="Courier New"/>
          <w:szCs w:val="24"/>
        </w:rPr>
        <w:t>上传</w:t>
      </w:r>
      <w:r>
        <w:rPr>
          <w:rFonts w:ascii="新宋体" w:hAnsi="新宋体" w:eastAsia="新宋体" w:cs="Courier New"/>
          <w:szCs w:val="24"/>
        </w:rPr>
        <w:t>或未按要求</w:t>
      </w:r>
      <w:r>
        <w:rPr>
          <w:rFonts w:hint="eastAsia" w:ascii="新宋体" w:hAnsi="新宋体" w:eastAsia="新宋体" w:cs="Courier New"/>
          <w:szCs w:val="24"/>
        </w:rPr>
        <w:t>上传</w:t>
      </w:r>
      <w:r>
        <w:rPr>
          <w:rFonts w:ascii="新宋体" w:hAnsi="新宋体" w:eastAsia="新宋体" w:cs="Courier New"/>
          <w:szCs w:val="24"/>
        </w:rPr>
        <w:t>的投标文件将予以拒收。</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2.代理机构在规定的投标截止时间以后“政采云平台”将不接收投标文件。</w:t>
      </w:r>
    </w:p>
    <w:p>
      <w:pPr>
        <w:pStyle w:val="19"/>
        <w:spacing w:beforeLines="0" w:afterLines="0" w:line="300" w:lineRule="auto"/>
        <w:ind w:firstLine="482"/>
        <w:rPr>
          <w:rFonts w:hAnsi="宋体" w:cs="宋体"/>
          <w:b/>
          <w:bCs/>
          <w:sz w:val="24"/>
          <w:szCs w:val="24"/>
        </w:rPr>
      </w:pPr>
      <w:r>
        <w:rPr>
          <w:rFonts w:hint="eastAsia" w:hAnsi="宋体" w:cs="宋体"/>
          <w:b/>
          <w:bCs/>
          <w:sz w:val="24"/>
          <w:szCs w:val="24"/>
        </w:rPr>
        <w:t>投标文件解密</w:t>
      </w:r>
    </w:p>
    <w:p>
      <w:pPr>
        <w:tabs>
          <w:tab w:val="left" w:pos="2212"/>
        </w:tabs>
        <w:adjustRightInd w:val="0"/>
        <w:snapToGrid w:val="0"/>
        <w:spacing w:line="300" w:lineRule="auto"/>
        <w:ind w:firstLine="480"/>
        <w:rPr>
          <w:rFonts w:ascii="宋体" w:hAnsi="宋体" w:cs="宋体"/>
          <w:szCs w:val="24"/>
        </w:rPr>
      </w:pPr>
      <w:r>
        <w:rPr>
          <w:rFonts w:hint="eastAsia" w:ascii="宋体" w:hAnsi="宋体" w:cs="宋体"/>
          <w:szCs w:val="24"/>
        </w:rPr>
        <w:t>开标时间后半小时内（2023年</w:t>
      </w:r>
      <w:r>
        <w:rPr>
          <w:rFonts w:hint="eastAsia" w:ascii="宋体" w:hAnsi="宋体" w:cs="宋体"/>
          <w:szCs w:val="24"/>
          <w:lang w:eastAsia="zh-CN"/>
        </w:rPr>
        <w:t>2月8日</w:t>
      </w:r>
      <w:r>
        <w:rPr>
          <w:rFonts w:ascii="宋体" w:hAnsi="宋体" w:cs="宋体"/>
          <w:szCs w:val="24"/>
        </w:rPr>
        <w:t>1</w:t>
      </w:r>
      <w:r>
        <w:rPr>
          <w:rFonts w:hint="eastAsia" w:ascii="宋体" w:hAnsi="宋体" w:cs="宋体"/>
          <w:szCs w:val="24"/>
        </w:rPr>
        <w:t>4:30前）供应商可以登录“政采云”平台，用“项目采购-开标评标”功能进行解密投标文件。若供应商在规定时间内（2023年</w:t>
      </w:r>
      <w:r>
        <w:rPr>
          <w:rFonts w:hint="eastAsia" w:ascii="宋体" w:hAnsi="宋体" w:cs="宋体"/>
          <w:szCs w:val="24"/>
          <w:lang w:eastAsia="zh-CN"/>
        </w:rPr>
        <w:t>2月8日</w:t>
      </w:r>
      <w:r>
        <w:rPr>
          <w:rFonts w:hint="eastAsia" w:ascii="宋体" w:hAnsi="宋体" w:cs="宋体"/>
          <w:szCs w:val="24"/>
        </w:rPr>
        <w:t>14:3</w:t>
      </w:r>
      <w:r>
        <w:rPr>
          <w:rFonts w:ascii="宋体" w:hAnsi="宋体" w:cs="宋体"/>
          <w:szCs w:val="24"/>
        </w:rPr>
        <w:t>0</w:t>
      </w:r>
      <w:r>
        <w:rPr>
          <w:rFonts w:hint="eastAsia" w:ascii="宋体" w:hAnsi="宋体" w:cs="宋体"/>
          <w:szCs w:val="24"/>
        </w:rPr>
        <w:t>前）无法解密或解密失败，将导致投标无效或失败。</w:t>
      </w:r>
    </w:p>
    <w:p>
      <w:pPr>
        <w:pStyle w:val="19"/>
        <w:adjustRightInd w:val="0"/>
        <w:snapToGrid w:val="0"/>
        <w:spacing w:beforeLines="0" w:afterLines="0" w:line="300" w:lineRule="auto"/>
        <w:ind w:firstLine="480"/>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2023年</w:t>
      </w:r>
      <w:r>
        <w:rPr>
          <w:rFonts w:hint="eastAsia" w:hAnsi="宋体"/>
          <w:b/>
          <w:sz w:val="24"/>
          <w:szCs w:val="24"/>
          <w:lang w:eastAsia="zh-CN"/>
        </w:rPr>
        <w:t>2月8日</w:t>
      </w:r>
      <w:r>
        <w:rPr>
          <w:rFonts w:hAnsi="宋体"/>
          <w:b/>
          <w:sz w:val="24"/>
          <w:szCs w:val="24"/>
        </w:rPr>
        <w:t>14:</w:t>
      </w:r>
      <w:r>
        <w:rPr>
          <w:rFonts w:hint="eastAsia" w:hAnsi="宋体"/>
          <w:b/>
          <w:sz w:val="24"/>
          <w:szCs w:val="24"/>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）装袋密封后邮寄或直接送达至嘉兴市宏泽招标咨询有限公司，密封袋上有接缝处均需加盖单位公章和法定代表人印章（送达地址：嘉善县罗星街道乔克国贸中心2-1407室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snapToGrid w:val="0"/>
        <w:spacing w:line="300" w:lineRule="auto"/>
        <w:ind w:firstLine="480"/>
        <w:jc w:val="left"/>
        <w:rPr>
          <w:rFonts w:ascii="新宋体" w:hAnsi="新宋体" w:eastAsia="新宋体" w:cs="Courier New"/>
          <w:szCs w:val="24"/>
        </w:rPr>
      </w:pPr>
      <w:r>
        <w:rPr>
          <w:rFonts w:hint="eastAsia" w:ascii="宋体" w:hAnsi="宋体"/>
          <w:bCs/>
          <w:szCs w:val="24"/>
        </w:rPr>
        <w:t>3.</w:t>
      </w:r>
      <w:r>
        <w:rPr>
          <w:rFonts w:hint="eastAsia" w:ascii="新宋体" w:hAnsi="新宋体" w:eastAsia="新宋体" w:cs="Courier New"/>
          <w:szCs w:val="24"/>
        </w:rPr>
        <w:t>投标人在提交投标文件以后，在规定的投标截止时间之前，可以以重新补充修改或撤回已上传的投标文件，补充、修改的内容为投标文件的组成部分。</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在投标截止时间之后，投标人不得对其投标做任何修改。</w:t>
      </w:r>
    </w:p>
    <w:p>
      <w:pPr>
        <w:tabs>
          <w:tab w:val="left" w:pos="2212"/>
        </w:tabs>
        <w:adjustRightInd w:val="0"/>
        <w:snapToGrid w:val="0"/>
        <w:spacing w:line="300" w:lineRule="auto"/>
        <w:ind w:firstLine="480"/>
        <w:rPr>
          <w:rFonts w:ascii="新宋体" w:hAnsi="新宋体" w:eastAsia="新宋体" w:cs="Courier New"/>
          <w:szCs w:val="24"/>
        </w:rPr>
      </w:pPr>
      <w:r>
        <w:rPr>
          <w:rFonts w:hint="eastAsia" w:ascii="新宋体" w:hAnsi="新宋体" w:eastAsia="新宋体" w:cs="Courier New"/>
          <w:szCs w:val="24"/>
        </w:rPr>
        <w:t>从投标截止时间至投标人在投标书格式中确定的投标有效期期满这段时间内，投标人不得撤回其投标。</w:t>
      </w:r>
    </w:p>
    <w:p>
      <w:pPr>
        <w:pStyle w:val="9"/>
        <w:widowControl w:val="0"/>
        <w:snapToGrid w:val="0"/>
        <w:spacing w:afterLines="0" w:line="300" w:lineRule="auto"/>
        <w:ind w:left="0" w:firstLine="482"/>
        <w:jc w:val="both"/>
        <w:rPr>
          <w:rFonts w:ascii="宋体" w:hAnsi="宋体" w:cs="宋体"/>
          <w:b/>
          <w:bCs/>
        </w:rPr>
      </w:pPr>
      <w:r>
        <w:rPr>
          <w:rFonts w:hint="eastAsia" w:ascii="宋体" w:hAnsi="宋体" w:cs="宋体"/>
          <w:b/>
          <w:bCs/>
        </w:rPr>
        <w:t>（六）投标无效的情形</w:t>
      </w:r>
    </w:p>
    <w:p>
      <w:pPr>
        <w:snapToGrid w:val="0"/>
        <w:spacing w:line="300" w:lineRule="auto"/>
        <w:ind w:firstLine="480"/>
        <w:jc w:val="left"/>
        <w:rPr>
          <w:rFonts w:ascii="宋体" w:hAnsi="宋体" w:cs="宋体"/>
          <w:bCs/>
          <w:szCs w:val="24"/>
        </w:rPr>
      </w:pPr>
      <w:r>
        <w:rPr>
          <w:rFonts w:hint="eastAsia" w:ascii="宋体" w:hAnsi="宋体" w:cs="宋体"/>
          <w:bCs/>
          <w:szCs w:val="24"/>
        </w:rPr>
        <w:t>根据《政府采购货物和服务招标投标管理办法》有下列情形之一的，视为投标人串通投标，其投标无效：</w:t>
      </w:r>
    </w:p>
    <w:p>
      <w:pPr>
        <w:snapToGrid w:val="0"/>
        <w:spacing w:line="300" w:lineRule="auto"/>
        <w:ind w:firstLine="480"/>
        <w:jc w:val="left"/>
        <w:rPr>
          <w:rFonts w:ascii="宋体" w:hAnsi="宋体" w:cs="宋体"/>
          <w:bCs/>
          <w:szCs w:val="24"/>
        </w:rPr>
      </w:pPr>
      <w:r>
        <w:rPr>
          <w:rFonts w:hint="eastAsia" w:ascii="宋体" w:hAnsi="宋体" w:cs="宋体"/>
          <w:bCs/>
          <w:szCs w:val="24"/>
        </w:rPr>
        <w:t>(一)不同投标人的投标文件由同一单位或者个人编制；</w:t>
      </w:r>
    </w:p>
    <w:p>
      <w:pPr>
        <w:snapToGrid w:val="0"/>
        <w:spacing w:line="300" w:lineRule="auto"/>
        <w:ind w:firstLine="480"/>
        <w:jc w:val="left"/>
        <w:rPr>
          <w:rFonts w:ascii="宋体" w:hAnsi="宋体" w:cs="宋体"/>
          <w:bCs/>
          <w:szCs w:val="24"/>
        </w:rPr>
      </w:pPr>
      <w:r>
        <w:rPr>
          <w:rFonts w:hint="eastAsia" w:ascii="宋体" w:hAnsi="宋体" w:cs="宋体"/>
          <w:bCs/>
          <w:szCs w:val="24"/>
        </w:rPr>
        <w:t>(二)不同投标人委托同一单位或者个人办理投标事宜；</w:t>
      </w:r>
    </w:p>
    <w:p>
      <w:pPr>
        <w:snapToGrid w:val="0"/>
        <w:spacing w:line="300" w:lineRule="auto"/>
        <w:ind w:firstLine="480"/>
        <w:jc w:val="left"/>
        <w:rPr>
          <w:rFonts w:ascii="宋体" w:hAnsi="宋体" w:cs="宋体"/>
          <w:bCs/>
          <w:szCs w:val="24"/>
        </w:rPr>
      </w:pPr>
      <w:r>
        <w:rPr>
          <w:rFonts w:hint="eastAsia" w:ascii="宋体" w:hAnsi="宋体" w:cs="宋体"/>
          <w:bCs/>
          <w:szCs w:val="24"/>
        </w:rPr>
        <w:t>(三)不同投标人的投标文件载明的项目管理成员或者联系人员为同一人；</w:t>
      </w:r>
    </w:p>
    <w:p>
      <w:pPr>
        <w:snapToGrid w:val="0"/>
        <w:spacing w:line="300" w:lineRule="auto"/>
        <w:ind w:firstLine="480"/>
        <w:jc w:val="left"/>
        <w:rPr>
          <w:rFonts w:ascii="宋体" w:hAnsi="宋体" w:cs="宋体"/>
          <w:bCs/>
          <w:szCs w:val="24"/>
        </w:rPr>
      </w:pPr>
      <w:r>
        <w:rPr>
          <w:rFonts w:hint="eastAsia" w:ascii="宋体" w:hAnsi="宋体" w:cs="宋体"/>
          <w:bCs/>
          <w:szCs w:val="24"/>
        </w:rPr>
        <w:t>(四)不同投标人的投标文件异常一致或者投标报价呈规律性差异；</w:t>
      </w:r>
    </w:p>
    <w:p>
      <w:pPr>
        <w:snapToGrid w:val="0"/>
        <w:spacing w:line="300" w:lineRule="auto"/>
        <w:ind w:firstLine="480"/>
        <w:jc w:val="left"/>
        <w:rPr>
          <w:rFonts w:ascii="宋体" w:hAnsi="宋体" w:cs="宋体"/>
          <w:bCs/>
          <w:szCs w:val="24"/>
        </w:rPr>
      </w:pPr>
      <w:r>
        <w:rPr>
          <w:rFonts w:hint="eastAsia" w:ascii="宋体" w:hAnsi="宋体" w:cs="宋体"/>
          <w:bCs/>
          <w:szCs w:val="24"/>
        </w:rPr>
        <w:t>(五)不同投标人的投标文件相互混装；</w:t>
      </w:r>
    </w:p>
    <w:p>
      <w:pPr>
        <w:pStyle w:val="9"/>
        <w:widowControl w:val="0"/>
        <w:snapToGrid w:val="0"/>
        <w:spacing w:afterLines="0" w:line="300" w:lineRule="auto"/>
        <w:ind w:left="0" w:firstLine="480"/>
        <w:jc w:val="both"/>
        <w:rPr>
          <w:rFonts w:ascii="宋体" w:hAnsi="宋体" w:cs="宋体"/>
          <w:b/>
          <w:bCs/>
        </w:rPr>
      </w:pPr>
      <w:r>
        <w:rPr>
          <w:rFonts w:hint="eastAsia" w:ascii="宋体" w:hAnsi="宋体" w:cs="宋体"/>
          <w:bCs/>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00" w:lineRule="auto"/>
        <w:ind w:firstLine="472" w:firstLineChars="196"/>
        <w:rPr>
          <w:rFonts w:ascii="宋体" w:hAnsi="宋体"/>
          <w:b/>
          <w:bCs/>
          <w:szCs w:val="24"/>
        </w:rPr>
      </w:pPr>
      <w:r>
        <w:rPr>
          <w:rFonts w:hint="eastAsia" w:ascii="宋体" w:hAnsi="宋体"/>
          <w:b/>
          <w:bCs/>
          <w:szCs w:val="24"/>
        </w:rPr>
        <w:t>1.</w:t>
      </w:r>
      <w:r>
        <w:rPr>
          <w:rFonts w:ascii="宋体" w:hAnsi="宋体"/>
          <w:b/>
          <w:bCs/>
          <w:szCs w:val="24"/>
        </w:rPr>
        <w:t>电子投标文件解密失败的，且未在规定时间内提交备份投标文件的</w:t>
      </w:r>
      <w:r>
        <w:rPr>
          <w:rFonts w:hint="eastAsia" w:ascii="宋体" w:hAnsi="宋体"/>
          <w:b/>
          <w:bCs/>
          <w:szCs w:val="24"/>
        </w:rPr>
        <w:t>。</w:t>
      </w:r>
    </w:p>
    <w:p>
      <w:pPr>
        <w:pStyle w:val="9"/>
        <w:widowControl w:val="0"/>
        <w:snapToGrid w:val="0"/>
        <w:spacing w:afterLines="0" w:line="300" w:lineRule="auto"/>
        <w:ind w:left="0" w:firstLine="482"/>
        <w:jc w:val="both"/>
        <w:rPr>
          <w:rFonts w:ascii="宋体" w:hAnsi="宋体" w:cs="宋体"/>
          <w:b/>
        </w:rPr>
      </w:pPr>
      <w:r>
        <w:rPr>
          <w:rFonts w:hint="eastAsia" w:ascii="宋体" w:hAnsi="宋体" w:cs="宋体"/>
          <w:b/>
        </w:rPr>
        <w:t>2.未通过资格审查、资信商务及技术文件符合性审查、技术评审、报价评审的投标文件均被视为无效，具体详见第四章评标办法第二条评标程序。</w:t>
      </w:r>
    </w:p>
    <w:p>
      <w:pPr>
        <w:pStyle w:val="15"/>
        <w:snapToGrid w:val="0"/>
        <w:spacing w:line="300" w:lineRule="auto"/>
        <w:ind w:firstLine="472" w:firstLineChars="196"/>
        <w:rPr>
          <w:rFonts w:ascii="宋体" w:hAnsi="宋体" w:cs="宋体"/>
          <w:b/>
          <w:bCs/>
          <w:color w:val="000000"/>
        </w:rPr>
      </w:pPr>
      <w:r>
        <w:rPr>
          <w:rFonts w:hint="eastAsia" w:ascii="宋体" w:hAnsi="宋体" w:cs="宋体"/>
          <w:b/>
          <w:bCs/>
          <w:color w:val="000000"/>
        </w:rPr>
        <w:t>3.被拒绝的投标文件为无效。</w:t>
      </w:r>
    </w:p>
    <w:p>
      <w:pPr>
        <w:pStyle w:val="6"/>
        <w:spacing w:before="0" w:after="0" w:line="300" w:lineRule="auto"/>
        <w:ind w:firstLine="643"/>
        <w:jc w:val="center"/>
        <w:rPr>
          <w:rFonts w:ascii="宋体" w:hAnsi="宋体" w:cs="宋体"/>
        </w:rPr>
      </w:pPr>
      <w:bookmarkStart w:id="26" w:name="_五、开标"/>
      <w:bookmarkEnd w:id="26"/>
      <w:bookmarkStart w:id="27" w:name="_Toc29513"/>
      <w:r>
        <w:rPr>
          <w:rFonts w:hint="eastAsia" w:ascii="宋体" w:hAnsi="宋体" w:cs="宋体"/>
        </w:rPr>
        <w:t>五、开标</w:t>
      </w:r>
      <w:bookmarkEnd w:id="27"/>
    </w:p>
    <w:p>
      <w:pPr>
        <w:pStyle w:val="19"/>
        <w:snapToGrid w:val="0"/>
        <w:spacing w:beforeLines="0" w:afterLines="0" w:line="300" w:lineRule="auto"/>
        <w:ind w:firstLine="482"/>
        <w:rPr>
          <w:rFonts w:hAnsi="宋体" w:cs="宋体"/>
          <w:b/>
          <w:bCs/>
          <w:sz w:val="24"/>
          <w:szCs w:val="24"/>
        </w:rPr>
      </w:pPr>
      <w:r>
        <w:rPr>
          <w:rFonts w:hint="eastAsia" w:hAnsi="宋体" w:cs="宋体"/>
          <w:b/>
          <w:bCs/>
          <w:sz w:val="24"/>
          <w:szCs w:val="24"/>
        </w:rPr>
        <w:t>(一)采购代理机构职责</w:t>
      </w:r>
    </w:p>
    <w:p>
      <w:pPr>
        <w:pStyle w:val="15"/>
        <w:snapToGrid w:val="0"/>
        <w:spacing w:line="300" w:lineRule="auto"/>
        <w:ind w:firstLine="480"/>
        <w:contextualSpacing/>
        <w:rPr>
          <w:rFonts w:ascii="宋体" w:hAnsi="宋体" w:cs="宋体"/>
        </w:rPr>
      </w:pPr>
      <w:r>
        <w:rPr>
          <w:rFonts w:hint="eastAsia" w:ascii="宋体" w:hAnsi="宋体" w:cs="宋体"/>
        </w:rPr>
        <w:t>采购代理机构负责组织评标工作，并履行下列职责：</w:t>
      </w:r>
    </w:p>
    <w:p>
      <w:pPr>
        <w:pStyle w:val="15"/>
        <w:snapToGrid w:val="0"/>
        <w:spacing w:line="300" w:lineRule="auto"/>
        <w:ind w:firstLine="480"/>
        <w:contextualSpacing/>
        <w:rPr>
          <w:rFonts w:ascii="宋体" w:hAnsi="宋体" w:cs="宋体"/>
        </w:rPr>
      </w:pPr>
      <w:r>
        <w:rPr>
          <w:rFonts w:hint="eastAsia" w:ascii="宋体" w:hAnsi="宋体" w:cs="宋体"/>
        </w:rPr>
        <w:t>1．核对评审专家身份和采购人代表授权函，对评审专家在政府采购活动中的职责履行情况予以记录，并及时将有关违法违规行为向财政部门报告；</w:t>
      </w:r>
    </w:p>
    <w:p>
      <w:pPr>
        <w:pStyle w:val="15"/>
        <w:snapToGrid w:val="0"/>
        <w:spacing w:line="300" w:lineRule="auto"/>
        <w:ind w:firstLine="480"/>
        <w:contextualSpacing/>
        <w:rPr>
          <w:rFonts w:ascii="宋体" w:hAnsi="宋体" w:cs="宋体"/>
        </w:rPr>
      </w:pPr>
      <w:r>
        <w:rPr>
          <w:rFonts w:hint="eastAsia" w:ascii="宋体" w:hAnsi="宋体" w:cs="宋体"/>
        </w:rPr>
        <w:t>2．宣布评标纪律；</w:t>
      </w:r>
    </w:p>
    <w:p>
      <w:pPr>
        <w:pStyle w:val="15"/>
        <w:snapToGrid w:val="0"/>
        <w:spacing w:line="300" w:lineRule="auto"/>
        <w:ind w:firstLine="480"/>
        <w:contextualSpacing/>
        <w:rPr>
          <w:rFonts w:ascii="宋体" w:hAnsi="宋体" w:cs="宋体"/>
        </w:rPr>
      </w:pPr>
      <w:r>
        <w:rPr>
          <w:rFonts w:hint="eastAsia" w:ascii="宋体" w:hAnsi="宋体" w:cs="宋体"/>
        </w:rPr>
        <w:t>3．公布投标人名单，告知评审专家应当回避的情形；</w:t>
      </w:r>
    </w:p>
    <w:p>
      <w:pPr>
        <w:pStyle w:val="15"/>
        <w:snapToGrid w:val="0"/>
        <w:spacing w:line="300" w:lineRule="auto"/>
        <w:ind w:firstLine="480"/>
        <w:contextualSpacing/>
        <w:rPr>
          <w:rFonts w:ascii="宋体" w:hAnsi="宋体" w:cs="宋体"/>
        </w:rPr>
      </w:pPr>
      <w:r>
        <w:rPr>
          <w:rFonts w:hint="eastAsia" w:ascii="宋体" w:hAnsi="宋体" w:cs="宋体"/>
        </w:rPr>
        <w:t>4．组织评标委员会推选评标组长，采购人代表不得担任组长；</w:t>
      </w:r>
    </w:p>
    <w:p>
      <w:pPr>
        <w:pStyle w:val="15"/>
        <w:snapToGrid w:val="0"/>
        <w:spacing w:line="300" w:lineRule="auto"/>
        <w:ind w:firstLine="480"/>
        <w:contextualSpacing/>
        <w:rPr>
          <w:rFonts w:ascii="宋体" w:hAnsi="宋体" w:cs="宋体"/>
        </w:rPr>
      </w:pPr>
      <w:r>
        <w:rPr>
          <w:rFonts w:hint="eastAsia" w:ascii="宋体" w:hAnsi="宋体" w:cs="宋体"/>
        </w:rPr>
        <w:t>5．在评标期间采取必要的通讯管理措施，保证评标活动不受外界干扰；</w:t>
      </w:r>
    </w:p>
    <w:p>
      <w:pPr>
        <w:pStyle w:val="15"/>
        <w:snapToGrid w:val="0"/>
        <w:spacing w:line="300" w:lineRule="auto"/>
        <w:ind w:firstLine="480"/>
        <w:contextualSpacing/>
        <w:rPr>
          <w:rFonts w:ascii="宋体" w:hAnsi="宋体" w:cs="宋体"/>
        </w:rPr>
      </w:pPr>
      <w:r>
        <w:rPr>
          <w:rFonts w:hint="eastAsia" w:ascii="宋体" w:hAnsi="宋体" w:cs="宋体"/>
        </w:rPr>
        <w:t>6．根据评标委员会的要求介绍政府采购相关政策法规、招标文件；</w:t>
      </w:r>
    </w:p>
    <w:p>
      <w:pPr>
        <w:pStyle w:val="15"/>
        <w:snapToGrid w:val="0"/>
        <w:spacing w:line="300" w:lineRule="auto"/>
        <w:ind w:firstLine="480"/>
        <w:contextualSpacing/>
        <w:rPr>
          <w:rFonts w:ascii="宋体" w:hAnsi="宋体" w:cs="宋体"/>
        </w:rPr>
      </w:pPr>
      <w:r>
        <w:rPr>
          <w:rFonts w:hint="eastAsia" w:ascii="宋体" w:hAnsi="宋体" w:cs="宋体"/>
        </w:rPr>
        <w:t>7．维护评标秩序，监督评标委员会依照招标文件规定的评标程序、方法和标准进行独立评审，及时制止和纠正采购人代表、评审专家的倾向性言论或者违法违规行为；</w:t>
      </w:r>
    </w:p>
    <w:p>
      <w:pPr>
        <w:pStyle w:val="15"/>
        <w:snapToGrid w:val="0"/>
        <w:spacing w:line="300" w:lineRule="auto"/>
        <w:ind w:firstLine="480"/>
        <w:contextualSpacing/>
        <w:rPr>
          <w:rFonts w:ascii="宋体" w:hAnsi="宋体" w:cs="宋体"/>
        </w:rPr>
      </w:pPr>
      <w:r>
        <w:rPr>
          <w:rFonts w:hint="eastAsia" w:ascii="宋体" w:hAnsi="宋体" w:cs="宋体"/>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snapToGrid w:val="0"/>
        <w:spacing w:line="300" w:lineRule="auto"/>
        <w:ind w:firstLine="480"/>
        <w:contextualSpacing/>
        <w:rPr>
          <w:rFonts w:ascii="宋体" w:hAnsi="宋体" w:cs="宋体"/>
        </w:rPr>
      </w:pPr>
      <w:r>
        <w:rPr>
          <w:rFonts w:hint="eastAsia" w:ascii="宋体" w:hAnsi="宋体" w:cs="宋体"/>
        </w:rPr>
        <w:t>9．处理与评标有关的其他事项。</w:t>
      </w:r>
    </w:p>
    <w:p>
      <w:pPr>
        <w:pStyle w:val="15"/>
        <w:snapToGrid w:val="0"/>
        <w:spacing w:line="300" w:lineRule="auto"/>
        <w:ind w:firstLine="472" w:firstLineChars="196"/>
        <w:contextualSpacing/>
        <w:rPr>
          <w:rFonts w:hAnsi="宋体"/>
        </w:rPr>
      </w:pPr>
      <w:r>
        <w:rPr>
          <w:rFonts w:hint="eastAsia" w:hAnsi="宋体"/>
          <w:b/>
          <w:bCs/>
        </w:rPr>
        <w:t>（二）</w:t>
      </w:r>
      <w:r>
        <w:rPr>
          <w:rFonts w:hint="eastAsia" w:hAnsi="宋体"/>
        </w:rPr>
        <w:t>本项目实行电子开评标，投标人无需前往开评标现场，只需在规定时间内在“政采云”平台上上传电子投标文件和准时在线上参加开标。</w:t>
      </w:r>
    </w:p>
    <w:p>
      <w:pPr>
        <w:pStyle w:val="15"/>
        <w:snapToGrid w:val="0"/>
        <w:spacing w:line="300" w:lineRule="auto"/>
        <w:ind w:firstLine="472" w:firstLineChars="196"/>
        <w:contextualSpacing/>
        <w:rPr>
          <w:rFonts w:hAnsi="宋体"/>
          <w:b/>
          <w:bCs/>
        </w:rPr>
      </w:pPr>
      <w:r>
        <w:rPr>
          <w:rFonts w:hint="eastAsia" w:hAnsi="宋体"/>
          <w:b/>
          <w:bCs/>
        </w:rPr>
        <w:t>（三）电子开评标及评审程序</w:t>
      </w:r>
    </w:p>
    <w:p>
      <w:pPr>
        <w:pStyle w:val="15"/>
        <w:snapToGrid w:val="0"/>
        <w:spacing w:line="300" w:lineRule="auto"/>
        <w:ind w:firstLine="470" w:firstLineChars="196"/>
        <w:contextualSpacing/>
        <w:rPr>
          <w:rFonts w:ascii="宋体" w:hAnsi="宋体" w:cs="宋体"/>
        </w:rPr>
      </w:pPr>
      <w:r>
        <w:rPr>
          <w:rFonts w:hint="eastAsia" w:ascii="宋体" w:hAnsi="宋体" w:cs="宋体"/>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snapToGrid w:val="0"/>
        <w:spacing w:line="300" w:lineRule="auto"/>
        <w:ind w:firstLine="470" w:firstLineChars="196"/>
        <w:contextualSpacing/>
        <w:rPr>
          <w:rFonts w:ascii="宋体" w:hAnsi="宋体" w:cs="宋体"/>
        </w:rPr>
      </w:pPr>
      <w:r>
        <w:rPr>
          <w:rFonts w:hint="eastAsia" w:ascii="宋体" w:hAnsi="宋体" w:cs="宋体"/>
        </w:rPr>
        <w:t>2．采购人或代理机构对投标人的资格审查文件和评标委员会对投标人的资信商务及技术响应文件进行评审；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3．评标委员会对报价文件进行评审；</w:t>
      </w:r>
    </w:p>
    <w:p>
      <w:pPr>
        <w:pStyle w:val="15"/>
        <w:snapToGrid w:val="0"/>
        <w:spacing w:line="300" w:lineRule="auto"/>
        <w:ind w:firstLine="470" w:firstLineChars="196"/>
        <w:contextualSpacing/>
        <w:rPr>
          <w:rFonts w:ascii="宋体" w:hAnsi="宋体" w:cs="宋体"/>
        </w:rPr>
      </w:pPr>
      <w:r>
        <w:rPr>
          <w:rFonts w:hint="eastAsia" w:ascii="宋体" w:hAnsi="宋体" w:cs="宋体"/>
        </w:rPr>
        <w:t>4．在系统上公布评审结果。</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8" w:name="_Toc27612"/>
      <w:r>
        <w:rPr>
          <w:rFonts w:hint="eastAsia" w:ascii="宋体" w:hAnsi="宋体" w:cs="宋体"/>
        </w:rPr>
        <w:t>六、评标</w:t>
      </w:r>
      <w:bookmarkEnd w:id="28"/>
    </w:p>
    <w:p>
      <w:pPr>
        <w:pStyle w:val="19"/>
        <w:snapToGrid w:val="0"/>
        <w:spacing w:beforeLines="0" w:afterLines="0" w:line="300" w:lineRule="auto"/>
        <w:ind w:firstLine="482"/>
        <w:rPr>
          <w:rFonts w:hAnsi="宋体" w:cs="宋体"/>
          <w:b/>
          <w:bCs/>
          <w:sz w:val="24"/>
          <w:szCs w:val="24"/>
        </w:rPr>
      </w:pPr>
      <w:r>
        <w:rPr>
          <w:rFonts w:hint="eastAsia" w:hAnsi="宋体" w:cs="宋体"/>
          <w:b/>
          <w:bCs/>
          <w:sz w:val="24"/>
          <w:szCs w:val="24"/>
        </w:rPr>
        <w:t>（一）组建评标委员会</w:t>
      </w:r>
    </w:p>
    <w:p>
      <w:pPr>
        <w:snapToGrid w:val="0"/>
        <w:spacing w:line="300" w:lineRule="auto"/>
        <w:ind w:firstLine="480"/>
        <w:rPr>
          <w:rFonts w:ascii="宋体" w:hAnsi="宋体" w:cs="宋体"/>
          <w:szCs w:val="24"/>
        </w:rPr>
      </w:pPr>
      <w:r>
        <w:rPr>
          <w:rFonts w:hint="eastAsia" w:ascii="宋体" w:hAnsi="宋体" w:cs="宋体"/>
          <w:szCs w:val="24"/>
        </w:rPr>
        <w:t>本项目评标委员会由政府采购评审专家4人和采购人代表1人，共5人组成。</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评标委员会负责具体评标事务，并独立履行下列职责：</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1．审查、评价投标文件是否符合招标文件的商务、技术等实质性要求；</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2．要求投标人对投标文件有关事项作出澄清或者说明；</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3．对投标文件进行比较和评价；</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4．确定中标候选人名单；</w:t>
      </w:r>
    </w:p>
    <w:p>
      <w:pPr>
        <w:widowControl/>
        <w:shd w:val="clear" w:color="auto" w:fill="FFFFFF"/>
        <w:spacing w:line="300" w:lineRule="auto"/>
        <w:ind w:firstLine="480"/>
        <w:jc w:val="left"/>
        <w:rPr>
          <w:rFonts w:ascii="宋体" w:hAnsi="宋体" w:cs="宋体"/>
          <w:color w:val="000000"/>
          <w:kern w:val="0"/>
          <w:szCs w:val="24"/>
        </w:rPr>
      </w:pPr>
      <w:r>
        <w:rPr>
          <w:rFonts w:hint="eastAsia" w:ascii="宋体" w:hAnsi="宋体" w:cs="宋体"/>
          <w:color w:val="000000"/>
          <w:kern w:val="0"/>
          <w:szCs w:val="24"/>
        </w:rPr>
        <w:t>5．向采购人、代理机构或者有关部门报告评标中发现的违法行为。</w:t>
      </w:r>
    </w:p>
    <w:p>
      <w:pPr>
        <w:snapToGrid w:val="0"/>
        <w:spacing w:line="300" w:lineRule="auto"/>
        <w:ind w:firstLine="482"/>
        <w:rPr>
          <w:rFonts w:ascii="宋体" w:hAnsi="宋体" w:cs="宋体"/>
          <w:szCs w:val="24"/>
        </w:rPr>
      </w:pPr>
      <w:r>
        <w:rPr>
          <w:rFonts w:hint="eastAsia" w:ascii="宋体" w:hAnsi="宋体" w:cs="宋体"/>
          <w:b/>
          <w:kern w:val="0"/>
          <w:szCs w:val="24"/>
          <w:u w:val="single"/>
        </w:rPr>
        <w:t>除采购人代表、评标现场组织人员外，采购人的其他工作人员以及与评标工作无关的人员不得进入评标现场。</w:t>
      </w:r>
    </w:p>
    <w:p>
      <w:pPr>
        <w:pStyle w:val="19"/>
        <w:snapToGrid w:val="0"/>
        <w:spacing w:beforeLines="0" w:afterLines="0" w:line="300" w:lineRule="auto"/>
        <w:ind w:firstLine="482"/>
        <w:contextualSpacing/>
        <w:rPr>
          <w:rFonts w:hAnsi="宋体" w:cs="宋体"/>
          <w:b/>
          <w:bCs/>
          <w:sz w:val="24"/>
          <w:szCs w:val="24"/>
        </w:rPr>
      </w:pPr>
      <w:r>
        <w:rPr>
          <w:rFonts w:hint="eastAsia" w:hAnsi="宋体" w:cs="宋体"/>
          <w:b/>
          <w:bCs/>
          <w:sz w:val="24"/>
          <w:szCs w:val="24"/>
        </w:rPr>
        <w:t>（二）评标的方式</w:t>
      </w:r>
    </w:p>
    <w:p>
      <w:pPr>
        <w:snapToGrid w:val="0"/>
        <w:spacing w:line="300" w:lineRule="auto"/>
        <w:ind w:firstLine="480"/>
        <w:contextualSpacing/>
        <w:rPr>
          <w:rFonts w:ascii="宋体" w:hAnsi="宋体" w:cs="宋体"/>
          <w:szCs w:val="24"/>
        </w:rPr>
      </w:pPr>
      <w:r>
        <w:rPr>
          <w:rFonts w:hint="eastAsia" w:ascii="宋体" w:hAnsi="宋体" w:cs="宋体"/>
          <w:szCs w:val="24"/>
        </w:rPr>
        <w:t>本项目采用不公开方式评标，评标的依据为采购文件和投标文件。</w:t>
      </w:r>
    </w:p>
    <w:p>
      <w:pPr>
        <w:pStyle w:val="19"/>
        <w:snapToGrid w:val="0"/>
        <w:spacing w:beforeLines="0" w:afterLines="0" w:line="300" w:lineRule="auto"/>
        <w:ind w:firstLine="482"/>
        <w:contextualSpacing/>
        <w:rPr>
          <w:rFonts w:hAnsi="宋体" w:cs="宋体"/>
          <w:b/>
          <w:bCs/>
          <w:sz w:val="24"/>
          <w:szCs w:val="24"/>
        </w:rPr>
      </w:pPr>
      <w:r>
        <w:rPr>
          <w:rFonts w:hint="eastAsia" w:hAnsi="宋体" w:cs="宋体"/>
          <w:b/>
          <w:bCs/>
          <w:sz w:val="24"/>
          <w:szCs w:val="24"/>
        </w:rPr>
        <w:t>（三）评标程序</w:t>
      </w:r>
    </w:p>
    <w:p>
      <w:pPr>
        <w:snapToGrid w:val="0"/>
        <w:spacing w:line="300" w:lineRule="auto"/>
        <w:ind w:firstLine="480"/>
        <w:contextualSpacing/>
        <w:rPr>
          <w:rFonts w:ascii="宋体" w:hAnsi="宋体" w:cs="宋体"/>
          <w:szCs w:val="24"/>
        </w:rPr>
      </w:pPr>
      <w:r>
        <w:rPr>
          <w:rFonts w:hint="eastAsia" w:ascii="宋体" w:hAnsi="宋体" w:cs="宋体"/>
          <w:szCs w:val="24"/>
        </w:rPr>
        <w:t>采购人可以在评标前说明项目背景和采购需求，说明内容不得含有歧视性、倾向性意见，不得超出招标文件所述范围。说明应当提交书面材料，并随采购文件一并存档。</w:t>
      </w:r>
    </w:p>
    <w:p>
      <w:pPr>
        <w:snapToGrid w:val="0"/>
        <w:spacing w:line="300" w:lineRule="auto"/>
        <w:ind w:firstLine="480"/>
        <w:contextualSpacing/>
        <w:rPr>
          <w:rFonts w:ascii="宋体" w:hAnsi="宋体" w:cs="宋体"/>
          <w:szCs w:val="24"/>
        </w:rPr>
      </w:pPr>
      <w:r>
        <w:rPr>
          <w:rFonts w:hint="eastAsia" w:ascii="宋体" w:hAnsi="宋体" w:cs="宋体"/>
          <w:szCs w:val="24"/>
        </w:rPr>
        <w:t>具体评标程序详见第四章评标办法。</w:t>
      </w:r>
    </w:p>
    <w:p>
      <w:pPr>
        <w:pStyle w:val="19"/>
        <w:snapToGrid w:val="0"/>
        <w:spacing w:beforeLines="0" w:afterLines="0" w:line="300" w:lineRule="auto"/>
        <w:ind w:firstLine="482"/>
        <w:contextualSpacing/>
        <w:jc w:val="left"/>
        <w:rPr>
          <w:rFonts w:hAnsi="宋体" w:cs="宋体"/>
          <w:b/>
          <w:bCs/>
          <w:sz w:val="24"/>
          <w:szCs w:val="24"/>
        </w:rPr>
      </w:pPr>
      <w:r>
        <w:rPr>
          <w:rFonts w:hint="eastAsia" w:hAnsi="宋体" w:cs="宋体"/>
          <w:b/>
          <w:bCs/>
          <w:sz w:val="24"/>
          <w:szCs w:val="24"/>
        </w:rPr>
        <w:t>（四）错误修正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投标文件报价出现前后不一致的，按照下列规定修正：</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1</w:t>
      </w:r>
      <w:r>
        <w:rPr>
          <w:rFonts w:hint="eastAsia" w:ascii="宋体" w:hAnsi="宋体" w:cs="宋体"/>
          <w:color w:val="000000"/>
          <w:kern w:val="0"/>
          <w:szCs w:val="24"/>
        </w:rPr>
        <w:t>．投标文件中</w:t>
      </w:r>
      <w:r>
        <w:rPr>
          <w:rFonts w:hint="eastAsia" w:ascii="宋体" w:hAnsi="宋体" w:cs="宋体"/>
          <w:color w:val="000000"/>
          <w:szCs w:val="24"/>
        </w:rPr>
        <w:t>开标一览表内容与投标文件中相应内容不一致的，</w:t>
      </w:r>
      <w:r>
        <w:rPr>
          <w:rFonts w:hint="eastAsia" w:ascii="宋体" w:hAnsi="宋体" w:cs="宋体"/>
          <w:color w:val="000000"/>
          <w:kern w:val="0"/>
          <w:szCs w:val="24"/>
        </w:rPr>
        <w:t>以开标一览表为准；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2</w:t>
      </w:r>
      <w:r>
        <w:rPr>
          <w:rFonts w:hint="eastAsia" w:ascii="宋体" w:hAnsi="宋体" w:cs="宋体"/>
          <w:color w:val="000000"/>
          <w:kern w:val="0"/>
          <w:szCs w:val="24"/>
        </w:rPr>
        <w:t>．</w:t>
      </w:r>
      <w:r>
        <w:rPr>
          <w:rFonts w:hint="eastAsia" w:ascii="宋体" w:hAnsi="宋体" w:cs="宋体"/>
          <w:color w:val="000000"/>
          <w:szCs w:val="24"/>
        </w:rPr>
        <w:t>大写金额和小写金额不一致的，以大写金额为准；</w:t>
      </w:r>
    </w:p>
    <w:p>
      <w:pPr>
        <w:snapToGrid w:val="0"/>
        <w:spacing w:line="300" w:lineRule="auto"/>
        <w:ind w:firstLine="480"/>
        <w:contextualSpacing/>
        <w:rPr>
          <w:rFonts w:ascii="宋体" w:hAnsi="宋体" w:cs="宋体"/>
          <w:color w:val="000000"/>
          <w:szCs w:val="24"/>
        </w:rPr>
      </w:pPr>
      <w:r>
        <w:rPr>
          <w:rFonts w:hint="eastAsia" w:ascii="宋体" w:hAnsi="宋体" w:cs="宋体"/>
          <w:color w:val="000000"/>
          <w:szCs w:val="24"/>
        </w:rPr>
        <w:t>3</w:t>
      </w:r>
      <w:r>
        <w:rPr>
          <w:rFonts w:hint="eastAsia" w:ascii="宋体" w:hAnsi="宋体" w:cs="宋体"/>
          <w:color w:val="000000"/>
          <w:kern w:val="0"/>
          <w:szCs w:val="24"/>
        </w:rPr>
        <w:t>．</w:t>
      </w:r>
      <w:r>
        <w:rPr>
          <w:rFonts w:hint="eastAsia" w:ascii="宋体" w:hAnsi="宋体" w:cs="宋体"/>
          <w:color w:val="000000"/>
          <w:szCs w:val="24"/>
        </w:rPr>
        <w:t>单价金额小数点或者百分比有明显错位的，以开标一览表的总价为准，并修改单价；</w:t>
      </w:r>
    </w:p>
    <w:p>
      <w:pPr>
        <w:snapToGrid w:val="0"/>
        <w:spacing w:line="300" w:lineRule="auto"/>
        <w:ind w:firstLine="480"/>
        <w:contextualSpacing/>
        <w:rPr>
          <w:rFonts w:ascii="宋体" w:hAnsi="宋体" w:cs="宋体"/>
          <w:szCs w:val="24"/>
        </w:rPr>
      </w:pPr>
      <w:r>
        <w:rPr>
          <w:rFonts w:hint="eastAsia" w:ascii="宋体" w:hAnsi="宋体" w:cs="宋体"/>
          <w:szCs w:val="24"/>
        </w:rPr>
        <w:t>4</w:t>
      </w:r>
      <w:r>
        <w:rPr>
          <w:rFonts w:hint="eastAsia" w:ascii="宋体" w:hAnsi="宋体" w:cs="宋体"/>
          <w:kern w:val="0"/>
          <w:szCs w:val="24"/>
        </w:rPr>
        <w:t>．</w:t>
      </w:r>
      <w:r>
        <w:rPr>
          <w:rFonts w:hint="eastAsia" w:ascii="宋体" w:hAnsi="宋体" w:cs="宋体"/>
          <w:szCs w:val="24"/>
        </w:rPr>
        <w:t>总价金额与按单价汇总金额不一致的，以单价金额计算结果为准。</w:t>
      </w:r>
    </w:p>
    <w:p>
      <w:pPr>
        <w:snapToGrid w:val="0"/>
        <w:spacing w:line="300" w:lineRule="auto"/>
        <w:ind w:firstLine="482"/>
        <w:contextualSpacing/>
        <w:rPr>
          <w:rFonts w:ascii="宋体" w:hAnsi="宋体" w:cs="宋体"/>
          <w:szCs w:val="24"/>
        </w:rPr>
      </w:pPr>
      <w:r>
        <w:rPr>
          <w:rFonts w:hint="eastAsia" w:ascii="宋体" w:hAnsi="宋体" w:cs="宋体"/>
          <w:b/>
          <w:szCs w:val="24"/>
        </w:rPr>
        <w:t>5.客户端填写的报价与以pdf格式上传文件中的报价不一致的，应以Pdf格式上传文件中的报价为准。</w:t>
      </w:r>
    </w:p>
    <w:p>
      <w:pPr>
        <w:snapToGrid w:val="0"/>
        <w:spacing w:line="300" w:lineRule="auto"/>
        <w:ind w:firstLine="480"/>
        <w:contextualSpacing/>
        <w:rPr>
          <w:rFonts w:ascii="宋体" w:hAnsi="宋体" w:cs="宋体"/>
          <w:szCs w:val="24"/>
        </w:rPr>
      </w:pPr>
      <w:r>
        <w:rPr>
          <w:rFonts w:hint="eastAsia" w:ascii="宋体" w:hAnsi="宋体" w:cs="宋体"/>
          <w:szCs w:val="24"/>
        </w:rPr>
        <w:t>同时出现两种以上不一致的，按照上述规定的顺序修正。修正后的报价，经投标人法定代表人或其授权的代表确认后产生约束力，投标人不确认的，其投标无效。</w:t>
      </w:r>
    </w:p>
    <w:p>
      <w:pPr>
        <w:snapToGrid w:val="0"/>
        <w:spacing w:line="300" w:lineRule="auto"/>
        <w:ind w:firstLine="482"/>
        <w:contextualSpacing/>
        <w:rPr>
          <w:rFonts w:ascii="宋体" w:hAnsi="宋体"/>
          <w:b/>
          <w:szCs w:val="24"/>
        </w:rPr>
      </w:pPr>
      <w:r>
        <w:rPr>
          <w:rFonts w:hint="eastAsia" w:ascii="宋体" w:hAnsi="宋体"/>
          <w:b/>
          <w:szCs w:val="24"/>
        </w:rPr>
        <w:t>（五）澄清问题的形式</w:t>
      </w:r>
    </w:p>
    <w:p>
      <w:pPr>
        <w:spacing w:line="300" w:lineRule="auto"/>
        <w:ind w:firstLine="480"/>
        <w:contextualSpacing/>
        <w:rPr>
          <w:rFonts w:ascii="宋体" w:hAnsi="宋体"/>
          <w:szCs w:val="24"/>
        </w:rPr>
      </w:pPr>
      <w:r>
        <w:rPr>
          <w:rFonts w:hint="eastAsia" w:ascii="宋体" w:hAnsi="宋体"/>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tabs>
          <w:tab w:val="left" w:pos="0"/>
        </w:tabs>
        <w:spacing w:beforeLines="0" w:afterLines="0" w:line="300" w:lineRule="auto"/>
        <w:ind w:firstLine="480"/>
        <w:contextualSpacing/>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snapToGrid w:val="0"/>
        <w:spacing w:beforeLines="0" w:afterLines="0" w:line="300" w:lineRule="auto"/>
        <w:ind w:firstLine="482"/>
        <w:contextualSpacing/>
        <w:jc w:val="left"/>
        <w:rPr>
          <w:rFonts w:hAnsi="宋体" w:cs="宋体"/>
          <w:b/>
          <w:bCs/>
          <w:sz w:val="24"/>
          <w:szCs w:val="24"/>
        </w:rPr>
      </w:pPr>
      <w:r>
        <w:rPr>
          <w:rFonts w:hint="eastAsia" w:hAnsi="宋体" w:cs="宋体"/>
          <w:b/>
          <w:bCs/>
          <w:sz w:val="24"/>
          <w:szCs w:val="24"/>
        </w:rPr>
        <w:t>（六）评标原则和评标办法</w:t>
      </w:r>
    </w:p>
    <w:p>
      <w:pPr>
        <w:snapToGrid w:val="0"/>
        <w:spacing w:line="300" w:lineRule="auto"/>
        <w:ind w:firstLine="480"/>
        <w:contextualSpacing/>
        <w:rPr>
          <w:rFonts w:ascii="宋体" w:hAnsi="宋体" w:cs="宋体"/>
          <w:szCs w:val="24"/>
        </w:rPr>
      </w:pPr>
      <w:r>
        <w:rPr>
          <w:rFonts w:hint="eastAsia" w:ascii="宋体" w:hAnsi="宋体" w:cs="宋体"/>
          <w:szCs w:val="24"/>
        </w:rPr>
        <w:t>1</w:t>
      </w:r>
      <w:r>
        <w:rPr>
          <w:rFonts w:hint="eastAsia" w:ascii="宋体" w:hAnsi="宋体" w:cs="宋体"/>
          <w:kern w:val="0"/>
          <w:szCs w:val="24"/>
        </w:rPr>
        <w:t>．</w:t>
      </w:r>
      <w:r>
        <w:rPr>
          <w:rFonts w:hint="eastAsia" w:ascii="宋体" w:hAnsi="宋体" w:cs="宋体"/>
          <w:b/>
          <w:bCs/>
          <w:szCs w:val="24"/>
        </w:rPr>
        <w:t>评标原则</w:t>
      </w:r>
      <w:r>
        <w:rPr>
          <w:rFonts w:hint="eastAsia" w:ascii="宋体" w:hAnsi="宋体" w:cs="宋体"/>
          <w:szCs w:val="24"/>
        </w:rPr>
        <w:t>。评标委员会必须</w:t>
      </w:r>
      <w:r>
        <w:rPr>
          <w:rFonts w:hint="eastAsia" w:ascii="宋体" w:hAnsi="宋体" w:cs="宋体"/>
          <w:b/>
          <w:bCs/>
          <w:szCs w:val="24"/>
        </w:rPr>
        <w:t>遵循公开透明原则、公平竞争原则、公正原则和诚实信用原则</w:t>
      </w:r>
      <w:r>
        <w:rPr>
          <w:rFonts w:hint="eastAsia" w:ascii="宋体" w:hAnsi="宋体" w:cs="宋体"/>
          <w:szCs w:val="24"/>
        </w:rPr>
        <w:t>。不带任何倾向性和启发性；不得向外界透露任何与评标有关的内容；任何单位和个人不得干扰、影响评标的正常进行；评标委员会及有关工作人员不得私下与投标人接触。</w:t>
      </w:r>
    </w:p>
    <w:p>
      <w:pPr>
        <w:snapToGrid w:val="0"/>
        <w:spacing w:line="300" w:lineRule="auto"/>
        <w:ind w:firstLine="480"/>
        <w:contextualSpacing/>
        <w:rPr>
          <w:rFonts w:ascii="宋体" w:hAnsi="宋体" w:cs="宋体"/>
          <w:szCs w:val="24"/>
        </w:rPr>
      </w:pPr>
      <w:r>
        <w:rPr>
          <w:rFonts w:hint="eastAsia" w:ascii="宋体" w:hAnsi="宋体" w:cs="宋体"/>
          <w:bCs/>
          <w:szCs w:val="24"/>
        </w:rPr>
        <w:t>2</w:t>
      </w:r>
      <w:r>
        <w:rPr>
          <w:rFonts w:hint="eastAsia" w:ascii="宋体" w:hAnsi="宋体" w:cs="宋体"/>
          <w:kern w:val="0"/>
          <w:szCs w:val="24"/>
        </w:rPr>
        <w:t>．</w:t>
      </w:r>
      <w:r>
        <w:rPr>
          <w:rFonts w:hint="eastAsia" w:ascii="宋体" w:hAnsi="宋体" w:cs="宋体"/>
          <w:b/>
          <w:bCs/>
          <w:szCs w:val="24"/>
        </w:rPr>
        <w:t>评标办法</w:t>
      </w:r>
      <w:r>
        <w:rPr>
          <w:rFonts w:hint="eastAsia" w:ascii="宋体" w:hAnsi="宋体" w:cs="宋体"/>
          <w:szCs w:val="24"/>
        </w:rPr>
        <w:t>。本项目评标办法是综合评分法 ，具体评标内容及评分标准等详见《第四章：评标办法及评分标准》。</w:t>
      </w:r>
    </w:p>
    <w:p>
      <w:pPr>
        <w:pStyle w:val="19"/>
        <w:snapToGrid w:val="0"/>
        <w:spacing w:beforeLines="0" w:afterLines="0" w:line="300" w:lineRule="auto"/>
        <w:ind w:firstLine="482"/>
        <w:contextualSpacing/>
        <w:jc w:val="left"/>
        <w:rPr>
          <w:rFonts w:hAnsi="宋体" w:cs="宋体"/>
          <w:b/>
          <w:bCs/>
          <w:sz w:val="24"/>
          <w:szCs w:val="24"/>
        </w:rPr>
      </w:pPr>
      <w:r>
        <w:rPr>
          <w:rFonts w:hint="eastAsia" w:hAnsi="宋体" w:cs="宋体"/>
          <w:b/>
          <w:bCs/>
          <w:sz w:val="24"/>
          <w:szCs w:val="24"/>
        </w:rPr>
        <w:t>（七）评标过程的监控</w:t>
      </w:r>
    </w:p>
    <w:p>
      <w:pPr>
        <w:snapToGrid w:val="0"/>
        <w:spacing w:line="300" w:lineRule="auto"/>
        <w:ind w:firstLine="480"/>
        <w:contextualSpacing/>
        <w:rPr>
          <w:rFonts w:ascii="宋体" w:hAnsi="宋体" w:cs="宋体"/>
          <w:szCs w:val="24"/>
        </w:rPr>
      </w:pPr>
      <w:r>
        <w:rPr>
          <w:rFonts w:hint="eastAsia" w:ascii="宋体" w:hAnsi="宋体" w:cs="宋体"/>
          <w:szCs w:val="24"/>
        </w:rPr>
        <w:t>本项目评标过程实行全程录音、录像监控，并由相关监督管理部门进行现场监督。投标人在评标过程中所进行的试图影响评标结果的不公正活动，可能导致其投标被拒绝。</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29" w:name="_Toc31102"/>
      <w:r>
        <w:rPr>
          <w:rFonts w:hint="eastAsia" w:ascii="宋体" w:hAnsi="宋体" w:cs="宋体"/>
        </w:rPr>
        <w:t>七、定标</w:t>
      </w:r>
      <w:bookmarkEnd w:id="29"/>
    </w:p>
    <w:p>
      <w:pPr>
        <w:snapToGrid w:val="0"/>
        <w:spacing w:line="300" w:lineRule="auto"/>
        <w:ind w:firstLine="480"/>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adjustRightInd w:val="0"/>
        <w:snapToGrid w:val="0"/>
        <w:spacing w:line="300" w:lineRule="auto"/>
        <w:ind w:firstLine="480"/>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adjustRightInd w:val="0"/>
        <w:snapToGrid w:val="0"/>
        <w:spacing w:line="300" w:lineRule="auto"/>
        <w:ind w:firstLine="480"/>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6"/>
        <w:spacing w:before="0" w:after="0" w:line="300" w:lineRule="auto"/>
        <w:ind w:firstLine="643"/>
        <w:jc w:val="center"/>
        <w:rPr>
          <w:rFonts w:ascii="宋体" w:hAnsi="宋体" w:cs="宋体"/>
        </w:rPr>
      </w:pPr>
      <w:r>
        <w:rPr>
          <w:rFonts w:hint="eastAsia" w:ascii="宋体" w:hAnsi="宋体" w:cs="宋体"/>
        </w:rPr>
        <w:t xml:space="preserve"> </w:t>
      </w:r>
      <w:bookmarkStart w:id="30" w:name="_Toc22515"/>
      <w:r>
        <w:rPr>
          <w:rFonts w:hint="eastAsia" w:ascii="宋体" w:hAnsi="宋体" w:cs="宋体"/>
        </w:rPr>
        <w:t>八、合同授予</w:t>
      </w:r>
      <w:bookmarkEnd w:id="30"/>
    </w:p>
    <w:p>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（一）签订合同</w:t>
      </w:r>
    </w:p>
    <w:p>
      <w:pPr>
        <w:snapToGrid w:val="0"/>
        <w:spacing w:line="300" w:lineRule="auto"/>
        <w:ind w:firstLine="480"/>
        <w:rPr>
          <w:rFonts w:ascii="宋体" w:hAnsi="宋体" w:cs="宋体"/>
          <w:szCs w:val="24"/>
        </w:rPr>
      </w:pPr>
      <w:r>
        <w:rPr>
          <w:rFonts w:hint="eastAsia" w:ascii="宋体" w:hAnsi="宋体" w:cs="宋体"/>
          <w:szCs w:val="24"/>
        </w:rPr>
        <w:t>1．中标人应自接到中标通知书后</w:t>
      </w:r>
      <w:r>
        <w:rPr>
          <w:rFonts w:hint="eastAsia" w:ascii="宋体" w:hAnsi="宋体" w:cs="宋体"/>
          <w:szCs w:val="24"/>
          <w:u w:val="single"/>
        </w:rPr>
        <w:t xml:space="preserve"> </w:t>
      </w:r>
      <w:r>
        <w:rPr>
          <w:rFonts w:hint="eastAsia" w:ascii="宋体" w:hAnsi="宋体" w:cs="宋体"/>
          <w:b/>
          <w:bCs/>
          <w:szCs w:val="24"/>
          <w:u w:val="single"/>
        </w:rPr>
        <w:t xml:space="preserve">30 </w:t>
      </w:r>
      <w:r>
        <w:rPr>
          <w:rFonts w:hint="eastAsia" w:ascii="宋体" w:hAnsi="宋体" w:cs="宋体"/>
          <w:szCs w:val="24"/>
        </w:rPr>
        <w:t>天内与采购人签订合同。同时，采购代理机构对合同内容进行审查，如发现与采购结果和投标承诺内容不一致的，应予以纠正。</w:t>
      </w:r>
    </w:p>
    <w:p>
      <w:pPr>
        <w:snapToGrid w:val="0"/>
        <w:spacing w:line="300" w:lineRule="auto"/>
        <w:ind w:firstLine="480"/>
        <w:rPr>
          <w:rFonts w:ascii="宋体" w:hAnsi="宋体" w:cs="宋体"/>
          <w:szCs w:val="24"/>
        </w:rPr>
      </w:pPr>
      <w:r>
        <w:rPr>
          <w:rFonts w:hint="eastAsia" w:ascii="宋体" w:hAnsi="宋体" w:cs="宋体"/>
          <w:szCs w:val="24"/>
        </w:rPr>
        <w:t>2．中标人拖延、拒签合同的，将被取消中标资格。</w:t>
      </w:r>
    </w:p>
    <w:p>
      <w:pPr>
        <w:pStyle w:val="19"/>
        <w:snapToGrid w:val="0"/>
        <w:spacing w:beforeLines="0" w:afterLines="0" w:line="300" w:lineRule="auto"/>
        <w:ind w:firstLine="482"/>
        <w:jc w:val="left"/>
        <w:rPr>
          <w:rFonts w:hAnsi="宋体" w:cs="宋体"/>
          <w:b/>
          <w:bCs/>
          <w:sz w:val="24"/>
          <w:szCs w:val="24"/>
        </w:rPr>
      </w:pPr>
      <w:r>
        <w:rPr>
          <w:rFonts w:hint="eastAsia" w:hAnsi="宋体" w:cs="宋体"/>
          <w:b/>
          <w:bCs/>
          <w:sz w:val="24"/>
          <w:szCs w:val="24"/>
        </w:rPr>
        <w:t>（二）履约保证金</w:t>
      </w:r>
    </w:p>
    <w:p>
      <w:pPr>
        <w:snapToGrid w:val="0"/>
        <w:spacing w:line="300" w:lineRule="auto"/>
        <w:ind w:firstLine="480"/>
        <w:rPr>
          <w:rFonts w:ascii="宋体" w:hAnsi="宋体" w:cs="宋体"/>
          <w:szCs w:val="24"/>
        </w:rPr>
      </w:pPr>
      <w:r>
        <w:rPr>
          <w:rFonts w:hint="eastAsia" w:ascii="宋体" w:hAnsi="宋体" w:cs="宋体"/>
          <w:szCs w:val="24"/>
        </w:rPr>
        <w:t>1．本项目不设置履约保证金。</w:t>
      </w:r>
    </w:p>
    <w:p>
      <w:pPr>
        <w:snapToGrid w:val="0"/>
        <w:spacing w:line="300" w:lineRule="auto"/>
        <w:ind w:firstLine="480"/>
        <w:rPr>
          <w:rFonts w:ascii="宋体" w:hAnsi="宋体" w:cs="宋体"/>
          <w:szCs w:val="24"/>
        </w:rPr>
      </w:pPr>
      <w:r>
        <w:rPr>
          <w:rFonts w:hint="eastAsia" w:ascii="宋体" w:hAnsi="宋体" w:cs="宋体"/>
          <w:szCs w:val="24"/>
        </w:rPr>
        <w:t>2．签订合同后，如中标人不按双方签订合同约定履约，按实际损失赔偿采购单位。</w:t>
      </w:r>
    </w:p>
    <w:p>
      <w:pPr>
        <w:snapToGrid w:val="0"/>
        <w:spacing w:line="300" w:lineRule="auto"/>
        <w:ind w:firstLine="723"/>
        <w:rPr>
          <w:rFonts w:ascii="宋体" w:hAnsi="宋体" w:cs="宋体"/>
          <w:b/>
          <w:color w:val="000000"/>
          <w:sz w:val="15"/>
          <w:szCs w:val="15"/>
        </w:rPr>
      </w:pPr>
      <w:r>
        <w:rPr>
          <w:rFonts w:hint="eastAsia" w:ascii="宋体" w:hAnsi="宋体" w:cs="宋体"/>
          <w:b/>
          <w:color w:val="000000"/>
          <w:sz w:val="36"/>
          <w:szCs w:val="36"/>
        </w:rPr>
        <w:br w:type="page"/>
      </w:r>
    </w:p>
    <w:p>
      <w:pPr>
        <w:pStyle w:val="34"/>
        <w:ind w:firstLine="643"/>
      </w:pPr>
      <w:bookmarkStart w:id="31" w:name="_Toc7734"/>
      <w:r>
        <w:rPr>
          <w:rFonts w:hint="eastAsia"/>
        </w:rPr>
        <w:t>第四章  评标办法</w:t>
      </w:r>
      <w:bookmarkEnd w:id="31"/>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rPr>
        <w:t>2023年嘉善县水文测站设施设备运维项目评标办法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rPr>
        <w:t>2023年嘉善县水文测站设施设备运维项目</w:t>
      </w:r>
      <w:r>
        <w:rPr>
          <w:rFonts w:hint="eastAsia" w:ascii="宋体" w:hAnsi="宋体" w:cs="宋体"/>
          <w:color w:val="000000"/>
          <w:szCs w:val="24"/>
        </w:rPr>
        <w:t>政府采购项目的评标。</w:t>
      </w:r>
    </w:p>
    <w:p>
      <w:pPr>
        <w:pStyle w:val="21"/>
        <w:spacing w:line="300" w:lineRule="auto"/>
        <w:ind w:firstLine="482" w:firstLineChars="200"/>
        <w:jc w:val="left"/>
        <w:rPr>
          <w:rFonts w:ascii="宋体" w:cs="宋体"/>
        </w:rPr>
      </w:pPr>
      <w:r>
        <w:rPr>
          <w:rFonts w:hint="eastAsia" w:ascii="宋体" w:cs="宋体"/>
        </w:rPr>
        <w:t>一、总则</w:t>
      </w:r>
    </w:p>
    <w:p>
      <w:pPr>
        <w:spacing w:line="300" w:lineRule="auto"/>
        <w:ind w:firstLine="480"/>
        <w:rPr>
          <w:rFonts w:ascii="宋体" w:hAnsi="宋体" w:cs="宋体"/>
          <w:b/>
          <w:bCs/>
          <w:color w:val="000000"/>
          <w:szCs w:val="24"/>
        </w:rPr>
      </w:pPr>
      <w:r>
        <w:rPr>
          <w:rFonts w:hint="eastAsia" w:ascii="宋体" w:hAnsi="宋体" w:cs="宋体"/>
          <w:color w:val="000000"/>
          <w:szCs w:val="24"/>
        </w:rPr>
        <w:t>本次评标采用综合评分法，总分为100分，其中价格分30分、技术资信商务分70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Cs w:val="24"/>
        </w:rPr>
        <w:t>中标人拒绝与采购人签订合同的，采购人可以按照评审报告推荐的中标候选人名单顺序，确定下一候选人为中标人，也可以重新开展政府采购活动。</w:t>
      </w:r>
    </w:p>
    <w:p>
      <w:pPr>
        <w:pStyle w:val="21"/>
        <w:spacing w:line="300" w:lineRule="auto"/>
        <w:ind w:firstLine="482" w:firstLineChars="200"/>
        <w:jc w:val="left"/>
        <w:rPr>
          <w:rFonts w:ascii="宋体" w:cs="宋体"/>
          <w:color w:val="auto"/>
        </w:rPr>
      </w:pPr>
      <w:r>
        <w:rPr>
          <w:rFonts w:hint="eastAsia" w:ascii="宋体" w:cs="宋体"/>
          <w:color w:val="auto"/>
        </w:rPr>
        <w:t>二、评标程序</w:t>
      </w:r>
    </w:p>
    <w:p>
      <w:pPr>
        <w:snapToGrid w:val="0"/>
        <w:spacing w:line="300" w:lineRule="auto"/>
        <w:ind w:firstLine="482"/>
        <w:rPr>
          <w:rFonts w:ascii="宋体" w:hAnsi="宋体" w:cs="宋体"/>
          <w:b/>
          <w:szCs w:val="24"/>
        </w:rPr>
      </w:pPr>
      <w:r>
        <w:rPr>
          <w:rFonts w:hint="eastAsia" w:ascii="宋体" w:hAnsi="宋体" w:cs="宋体"/>
          <w:b/>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Cs w:val="24"/>
        </w:rPr>
      </w:pPr>
      <w:r>
        <w:rPr>
          <w:rFonts w:hint="eastAsia" w:ascii="宋体" w:hAnsi="宋体" w:cs="宋体"/>
          <w:b/>
          <w:szCs w:val="24"/>
        </w:rPr>
        <w:t>（二）评标委员会对</w:t>
      </w:r>
      <w:r>
        <w:rPr>
          <w:rFonts w:hint="eastAsia" w:ascii="宋体" w:hAnsi="宋体" w:cs="宋体"/>
          <w:b/>
          <w:bCs/>
          <w:szCs w:val="24"/>
        </w:rPr>
        <w:t>资信商务及</w:t>
      </w:r>
      <w:r>
        <w:rPr>
          <w:rFonts w:hint="eastAsia" w:ascii="宋体" w:hAnsi="宋体" w:cs="宋体"/>
          <w:b/>
          <w:szCs w:val="24"/>
        </w:rPr>
        <w:t>技术文件进行符合性审查、技术评审，对报价文件进行报价评审。</w:t>
      </w:r>
    </w:p>
    <w:p>
      <w:pPr>
        <w:snapToGrid w:val="0"/>
        <w:spacing w:line="300" w:lineRule="auto"/>
        <w:ind w:firstLine="472" w:firstLineChars="196"/>
        <w:rPr>
          <w:rFonts w:ascii="宋体" w:hAnsi="宋体" w:cs="宋体"/>
          <w:b/>
          <w:bCs/>
          <w:szCs w:val="24"/>
        </w:rPr>
      </w:pPr>
      <w:r>
        <w:rPr>
          <w:rFonts w:hint="eastAsia" w:ascii="宋体" w:hAnsi="宋体" w:cs="宋体"/>
          <w:b/>
          <w:bCs/>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szCs w:val="24"/>
        </w:rPr>
      </w:pPr>
      <w:r>
        <w:rPr>
          <w:rFonts w:hint="eastAsia" w:ascii="宋体" w:hAnsi="宋体" w:cs="宋体"/>
          <w:bCs/>
          <w:szCs w:val="24"/>
        </w:rPr>
        <w:t>（1）</w:t>
      </w:r>
      <w:r>
        <w:rPr>
          <w:rFonts w:ascii="宋体" w:hAnsi="宋体"/>
          <w:szCs w:val="24"/>
        </w:rPr>
        <w:t>电子投标文件未按规定要求提供电子签章的</w:t>
      </w:r>
      <w:r>
        <w:rPr>
          <w:rFonts w:hint="eastAsia" w:ascii="宋体" w:hAnsi="宋体"/>
          <w:szCs w:val="24"/>
        </w:rPr>
        <w:t>；</w:t>
      </w:r>
    </w:p>
    <w:p>
      <w:pPr>
        <w:snapToGrid w:val="0"/>
        <w:spacing w:line="440" w:lineRule="exact"/>
        <w:ind w:firstLine="470" w:firstLineChars="196"/>
        <w:rPr>
          <w:rFonts w:ascii="宋体" w:hAnsi="宋体" w:cs="宋体"/>
          <w:bCs/>
          <w:szCs w:val="24"/>
        </w:rPr>
      </w:pPr>
      <w:r>
        <w:rPr>
          <w:rFonts w:hint="eastAsia" w:ascii="宋体" w:hAnsi="宋体" w:cs="宋体"/>
          <w:szCs w:val="24"/>
        </w:rPr>
        <w:t>（2）</w:t>
      </w:r>
      <w:r>
        <w:rPr>
          <w:rFonts w:hint="eastAsia" w:ascii="宋体" w:hAnsi="宋体" w:cs="宋体"/>
          <w:bCs/>
          <w:szCs w:val="24"/>
        </w:rPr>
        <w:t>在资信商务及技术文件中出现报价的；</w:t>
      </w:r>
    </w:p>
    <w:p>
      <w:pPr>
        <w:snapToGrid w:val="0"/>
        <w:spacing w:line="440" w:lineRule="exact"/>
        <w:ind w:firstLine="470" w:firstLineChars="196"/>
        <w:rPr>
          <w:rFonts w:ascii="宋体" w:hAnsi="宋体" w:cs="宋体"/>
          <w:bCs/>
          <w:kern w:val="0"/>
          <w:szCs w:val="24"/>
        </w:rPr>
      </w:pPr>
      <w:r>
        <w:rPr>
          <w:rFonts w:hint="eastAsia" w:ascii="宋体" w:hAnsi="宋体" w:cs="宋体"/>
          <w:szCs w:val="24"/>
        </w:rPr>
        <w:t>（3）</w:t>
      </w:r>
      <w:r>
        <w:rPr>
          <w:rFonts w:hint="eastAsia" w:ascii="宋体" w:hAnsi="宋体" w:cs="宋体"/>
          <w:bCs/>
          <w:szCs w:val="24"/>
        </w:rPr>
        <w:t>资信商务及技术文件</w:t>
      </w:r>
      <w:r>
        <w:rPr>
          <w:rFonts w:hint="eastAsia" w:ascii="宋体" w:hAnsi="宋体" w:cs="宋体"/>
          <w:szCs w:val="24"/>
        </w:rPr>
        <w:t>无法定代表人或授权代表签字</w:t>
      </w:r>
      <w:r>
        <w:rPr>
          <w:rFonts w:hint="eastAsia" w:ascii="宋体" w:hAnsi="宋体" w:cs="宋体"/>
          <w:color w:val="000000"/>
          <w:szCs w:val="24"/>
        </w:rPr>
        <w:t>（或盖章）</w:t>
      </w:r>
      <w:r>
        <w:rPr>
          <w:rFonts w:hint="eastAsia" w:ascii="宋体" w:hAnsi="宋体" w:cs="宋体"/>
          <w:szCs w:val="24"/>
        </w:rPr>
        <w:t>，或未</w:t>
      </w:r>
      <w:r>
        <w:rPr>
          <w:rFonts w:hint="eastAsia" w:ascii="宋体" w:hAnsi="宋体" w:cs="宋体"/>
          <w:bCs/>
          <w:kern w:val="0"/>
          <w:szCs w:val="24"/>
        </w:rPr>
        <w:t>提供法定代表人授权委托书、投标声明书或者填写项目不齐全的；</w:t>
      </w:r>
    </w:p>
    <w:p>
      <w:pPr>
        <w:snapToGrid w:val="0"/>
        <w:spacing w:line="440" w:lineRule="exact"/>
        <w:ind w:firstLine="470" w:firstLineChars="196"/>
        <w:rPr>
          <w:rFonts w:ascii="宋体" w:hAnsi="宋体" w:cs="宋体"/>
          <w:szCs w:val="24"/>
        </w:rPr>
      </w:pPr>
      <w:r>
        <w:rPr>
          <w:rFonts w:hint="eastAsia" w:ascii="宋体" w:hAnsi="宋体" w:cs="宋体"/>
          <w:szCs w:val="24"/>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rPr>
      </w:pPr>
      <w:r>
        <w:rPr>
          <w:rFonts w:hint="eastAsia" w:ascii="宋体" w:hAnsi="宋体" w:cs="宋体"/>
          <w:kern w:val="2"/>
        </w:rPr>
        <w:t>（5）</w:t>
      </w:r>
      <w:r>
        <w:rPr>
          <w:rFonts w:hint="eastAsia" w:ascii="宋体" w:hAnsi="宋体" w:cs="宋体"/>
          <w:bCs/>
        </w:rPr>
        <w:t>资信商务及技术文件</w:t>
      </w:r>
      <w:r>
        <w:rPr>
          <w:rFonts w:hint="eastAsia" w:ascii="宋体" w:hAnsi="宋体" w:cs="宋体"/>
          <w:kern w:val="2"/>
        </w:rPr>
        <w:t>格式不规范、项目不齐全或者内容虚假的；</w:t>
      </w:r>
    </w:p>
    <w:p>
      <w:pPr>
        <w:pStyle w:val="15"/>
        <w:snapToGrid w:val="0"/>
        <w:spacing w:line="440" w:lineRule="exact"/>
        <w:ind w:firstLine="470" w:firstLineChars="196"/>
        <w:rPr>
          <w:rFonts w:ascii="宋体" w:hAnsi="宋体" w:cs="宋体"/>
          <w:kern w:val="2"/>
        </w:rPr>
      </w:pPr>
      <w:r>
        <w:rPr>
          <w:rFonts w:hint="eastAsia" w:ascii="宋体" w:hAnsi="宋体" w:cs="宋体"/>
          <w:kern w:val="2"/>
        </w:rPr>
        <w:t>（6）</w:t>
      </w:r>
      <w:r>
        <w:rPr>
          <w:rFonts w:hint="eastAsia" w:ascii="宋体" w:hAnsi="宋体" w:cs="宋体"/>
          <w:bCs/>
        </w:rPr>
        <w:t>资信商务及技术文件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szCs w:val="24"/>
        </w:rPr>
      </w:pPr>
      <w:r>
        <w:rPr>
          <w:rFonts w:hint="eastAsia" w:ascii="宋体" w:hAnsi="宋体" w:cs="宋体"/>
          <w:bCs/>
          <w:kern w:val="0"/>
          <w:szCs w:val="24"/>
        </w:rPr>
        <w:t>（7）未实质性响应采购文件要求或者投标文件有采购方不能接受的附加条件的；</w:t>
      </w:r>
    </w:p>
    <w:p>
      <w:pPr>
        <w:snapToGrid w:val="0"/>
        <w:spacing w:line="440" w:lineRule="exact"/>
        <w:ind w:firstLine="470" w:firstLineChars="196"/>
        <w:rPr>
          <w:rFonts w:ascii="宋体" w:hAnsi="宋体" w:cs="宋体"/>
          <w:bCs/>
          <w:kern w:val="0"/>
          <w:szCs w:val="24"/>
        </w:rPr>
      </w:pPr>
      <w:r>
        <w:rPr>
          <w:rFonts w:hint="eastAsia" w:ascii="宋体" w:hAnsi="宋体" w:cs="宋体"/>
          <w:bCs/>
          <w:kern w:val="0"/>
          <w:szCs w:val="24"/>
        </w:rPr>
        <w:t>（8）不符合本采购文件中的实质性要求条款。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2.在技术评审时，如发现下列情形之一的，投标文件将被视为无效：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rPr>
      </w:pPr>
      <w:r>
        <w:rPr>
          <w:rFonts w:hint="eastAsia" w:ascii="宋体" w:hAnsi="宋体" w:cs="宋体"/>
        </w:rPr>
        <w:t>（2）</w:t>
      </w:r>
      <w:r>
        <w:rPr>
          <w:rFonts w:hint="eastAsia" w:ascii="宋体" w:hAnsi="宋体" w:cs="宋体"/>
          <w:snapToGrid w:val="0"/>
        </w:rPr>
        <w:t>明显不符合招标文件要求的规格型号、质量标准，或者与</w:t>
      </w:r>
      <w:r>
        <w:rPr>
          <w:rFonts w:hint="eastAsia" w:ascii="宋体" w:hAnsi="宋体" w:cs="宋体"/>
        </w:rPr>
        <w:t>招标文件中标“▲”的技术指标、主要功能项目发生实质性偏离的；</w:t>
      </w:r>
    </w:p>
    <w:p>
      <w:pPr>
        <w:pStyle w:val="15"/>
        <w:snapToGrid w:val="0"/>
        <w:spacing w:line="300" w:lineRule="auto"/>
        <w:ind w:firstLine="470" w:firstLineChars="196"/>
        <w:rPr>
          <w:rFonts w:ascii="宋体" w:hAnsi="宋体" w:cs="宋体"/>
        </w:rPr>
      </w:pPr>
      <w:r>
        <w:rPr>
          <w:rFonts w:hint="eastAsia" w:ascii="宋体" w:hAnsi="宋体" w:cs="宋体"/>
        </w:rPr>
        <w:t>（3）投标技术方案不明确，存在一个或一个以上备选（替代）投标方案的；</w:t>
      </w:r>
    </w:p>
    <w:p>
      <w:pPr>
        <w:pStyle w:val="15"/>
        <w:snapToGrid w:val="0"/>
        <w:spacing w:line="300" w:lineRule="auto"/>
        <w:ind w:firstLine="470" w:firstLineChars="196"/>
        <w:rPr>
          <w:rFonts w:ascii="宋体" w:hAnsi="宋体" w:cs="宋体"/>
        </w:rPr>
      </w:pPr>
      <w:r>
        <w:rPr>
          <w:rFonts w:hint="eastAsia" w:ascii="宋体" w:hAnsi="宋体" w:cs="宋体"/>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rPr>
      </w:pPr>
      <w:r>
        <w:rPr>
          <w:rFonts w:hint="eastAsia" w:ascii="宋体" w:hAnsi="宋体" w:cs="宋体"/>
        </w:rPr>
        <w:t>（5）不符合本采购文件中的实质性要求条款。</w:t>
      </w:r>
    </w:p>
    <w:p>
      <w:pPr>
        <w:pStyle w:val="15"/>
        <w:snapToGrid w:val="0"/>
        <w:spacing w:line="300" w:lineRule="auto"/>
        <w:ind w:firstLine="472" w:firstLineChars="196"/>
        <w:rPr>
          <w:rFonts w:ascii="宋体" w:hAnsi="宋体" w:cs="宋体"/>
          <w:b/>
          <w:bCs/>
        </w:rPr>
      </w:pPr>
      <w:r>
        <w:rPr>
          <w:rFonts w:hint="eastAsia" w:ascii="宋体" w:hAnsi="宋体" w:cs="宋体"/>
          <w:b/>
          <w:bCs/>
        </w:rPr>
        <w:t>3.在报价评审时，如发现下列情形之一的，投标文件将被视为无效：</w:t>
      </w:r>
    </w:p>
    <w:p>
      <w:pPr>
        <w:pStyle w:val="15"/>
        <w:snapToGrid w:val="0"/>
        <w:spacing w:line="300" w:lineRule="auto"/>
        <w:ind w:firstLine="470" w:firstLineChars="196"/>
        <w:rPr>
          <w:rFonts w:ascii="宋体" w:hAnsi="宋体" w:cs="宋体"/>
        </w:rPr>
      </w:pPr>
      <w:r>
        <w:rPr>
          <w:rFonts w:hint="eastAsia" w:ascii="宋体" w:hAnsi="宋体" w:cs="宋体"/>
        </w:rPr>
        <w:t>（1）未采用人民币报价或者未按照招标文件标明的币种报价的；</w:t>
      </w:r>
    </w:p>
    <w:p>
      <w:pPr>
        <w:pStyle w:val="15"/>
        <w:snapToGrid w:val="0"/>
        <w:spacing w:line="300" w:lineRule="auto"/>
        <w:ind w:firstLine="470" w:firstLineChars="196"/>
        <w:rPr>
          <w:rFonts w:ascii="宋体" w:hAnsi="宋体" w:cs="宋体"/>
        </w:rPr>
      </w:pPr>
      <w:r>
        <w:rPr>
          <w:rFonts w:hint="eastAsia" w:ascii="宋体" w:hAnsi="宋体" w:cs="宋体"/>
        </w:rPr>
        <w:t>（2）投标报价具有选择性或者开标价格与投标文件承诺的优惠（折扣）价格不一致的；</w:t>
      </w:r>
    </w:p>
    <w:p>
      <w:pPr>
        <w:pStyle w:val="15"/>
        <w:snapToGrid w:val="0"/>
        <w:spacing w:line="300" w:lineRule="auto"/>
        <w:ind w:firstLine="470" w:firstLineChars="196"/>
        <w:rPr>
          <w:rFonts w:ascii="宋体" w:hAnsi="宋体" w:cs="宋体"/>
        </w:rPr>
      </w:pPr>
      <w:r>
        <w:rPr>
          <w:rFonts w:hint="eastAsia" w:ascii="宋体" w:hAnsi="宋体" w:cs="宋体"/>
        </w:rPr>
        <w:t>（3）投标报价超过采购上限价的；</w:t>
      </w:r>
    </w:p>
    <w:p>
      <w:pPr>
        <w:pStyle w:val="15"/>
        <w:snapToGrid w:val="0"/>
        <w:spacing w:line="300" w:lineRule="auto"/>
        <w:ind w:firstLine="470" w:firstLineChars="196"/>
        <w:rPr>
          <w:rFonts w:ascii="宋体" w:hAnsi="宋体" w:cs="宋体"/>
        </w:rPr>
      </w:pPr>
      <w:r>
        <w:rPr>
          <w:rFonts w:hint="eastAsia" w:ascii="宋体" w:hAnsi="宋体" w:cs="宋体"/>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rPr>
      </w:pPr>
      <w:r>
        <w:rPr>
          <w:rFonts w:hint="eastAsia" w:ascii="宋体" w:hAnsi="宋体" w:cs="宋体"/>
        </w:rPr>
        <w:t>（5）投标有效期、管理运行时间等条款不能满足招标文件要求的；</w:t>
      </w:r>
    </w:p>
    <w:p>
      <w:pPr>
        <w:pStyle w:val="15"/>
        <w:snapToGrid w:val="0"/>
        <w:spacing w:line="300" w:lineRule="auto"/>
        <w:ind w:firstLine="470" w:firstLineChars="196"/>
        <w:rPr>
          <w:rFonts w:ascii="宋体" w:hAnsi="宋体" w:cs="宋体"/>
        </w:rPr>
      </w:pPr>
      <w:r>
        <w:rPr>
          <w:rFonts w:hint="eastAsia" w:ascii="宋体" w:hAnsi="宋体" w:cs="宋体"/>
        </w:rPr>
        <w:t>（6）报价文件无法定代表人或授权代表签字</w:t>
      </w:r>
      <w:r>
        <w:rPr>
          <w:rFonts w:hint="eastAsia" w:ascii="宋体" w:hAnsi="宋体" w:cs="宋体"/>
          <w:color w:val="000000"/>
        </w:rPr>
        <w:t>（或盖章）</w:t>
      </w:r>
      <w:r>
        <w:rPr>
          <w:rFonts w:hint="eastAsia" w:ascii="宋体" w:hAnsi="宋体" w:cs="宋体"/>
        </w:rPr>
        <w:t>的；</w:t>
      </w:r>
    </w:p>
    <w:p>
      <w:pPr>
        <w:pStyle w:val="15"/>
        <w:snapToGrid w:val="0"/>
        <w:spacing w:line="300" w:lineRule="auto"/>
        <w:ind w:firstLine="470" w:firstLineChars="196"/>
        <w:rPr>
          <w:rFonts w:ascii="宋体" w:hAnsi="宋体" w:cs="宋体"/>
        </w:rPr>
      </w:pPr>
      <w:r>
        <w:rPr>
          <w:rFonts w:hint="eastAsia" w:ascii="宋体" w:hAnsi="宋体" w:cs="宋体"/>
        </w:rPr>
        <w:t>（7）报价文件格式不规范、项目不齐全或者内容虚假的；</w:t>
      </w:r>
    </w:p>
    <w:p>
      <w:pPr>
        <w:pStyle w:val="15"/>
        <w:snapToGrid w:val="0"/>
        <w:spacing w:line="300" w:lineRule="auto"/>
        <w:ind w:firstLine="470" w:firstLineChars="196"/>
        <w:rPr>
          <w:rFonts w:ascii="宋体" w:hAnsi="宋体" w:cs="宋体"/>
        </w:rPr>
      </w:pPr>
      <w:r>
        <w:rPr>
          <w:rFonts w:hint="eastAsia" w:ascii="宋体" w:hAnsi="宋体" w:cs="宋体"/>
        </w:rPr>
        <w:t>（8）</w:t>
      </w:r>
      <w:r>
        <w:rPr>
          <w:rFonts w:hint="eastAsia" w:ascii="宋体" w:hAnsi="宋体" w:cs="宋体"/>
          <w:bCs/>
        </w:rPr>
        <w:t>报价文件</w:t>
      </w:r>
      <w:r>
        <w:rPr>
          <w:rFonts w:hint="eastAsia" w:ascii="宋体" w:hAnsi="宋体" w:cs="宋体"/>
          <w:kern w:val="2"/>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rPr>
      </w:pPr>
      <w:r>
        <w:rPr>
          <w:rFonts w:hint="eastAsia" w:ascii="宋体" w:hAnsi="宋体" w:cs="宋体"/>
        </w:rPr>
        <w:t>（9）未实质性响应采购文件要求或者投标文件有采购方不能接受的附加条件的；</w:t>
      </w:r>
    </w:p>
    <w:p>
      <w:pPr>
        <w:pStyle w:val="15"/>
        <w:snapToGrid w:val="0"/>
        <w:spacing w:line="300" w:lineRule="auto"/>
        <w:ind w:firstLine="470" w:firstLineChars="196"/>
        <w:rPr>
          <w:rFonts w:ascii="宋体" w:hAnsi="宋体" w:cs="宋体"/>
        </w:rPr>
      </w:pPr>
      <w:r>
        <w:rPr>
          <w:rFonts w:hint="eastAsia" w:ascii="宋体" w:hAnsi="宋体" w:cs="宋体"/>
        </w:rPr>
        <w:t>（10）不符合本采购文件中的实质性要求条款。</w:t>
      </w:r>
    </w:p>
    <w:p>
      <w:pPr>
        <w:pStyle w:val="21"/>
        <w:spacing w:line="300" w:lineRule="auto"/>
        <w:ind w:firstLine="482" w:firstLineChars="200"/>
        <w:jc w:val="left"/>
        <w:rPr>
          <w:rFonts w:ascii="宋体" w:cs="宋体"/>
          <w:color w:val="auto"/>
        </w:rPr>
      </w:pPr>
      <w:r>
        <w:rPr>
          <w:rFonts w:hint="eastAsia" w:ascii="宋体" w:cs="宋体"/>
          <w:color w:val="auto"/>
        </w:rPr>
        <w:t>三、评标内容及标准</w:t>
      </w:r>
    </w:p>
    <w:p>
      <w:pPr>
        <w:spacing w:line="300" w:lineRule="auto"/>
        <w:ind w:firstLine="569" w:firstLineChars="236"/>
        <w:rPr>
          <w:rFonts w:ascii="宋体" w:hAnsi="宋体" w:cs="宋体"/>
          <w:b/>
          <w:szCs w:val="24"/>
        </w:rPr>
      </w:pPr>
      <w:r>
        <w:rPr>
          <w:rFonts w:hint="eastAsia" w:ascii="宋体" w:hAnsi="宋体" w:cs="宋体"/>
          <w:b/>
          <w:szCs w:val="24"/>
        </w:rPr>
        <w:t>（一）价格分（30分）</w:t>
      </w:r>
    </w:p>
    <w:p>
      <w:pPr>
        <w:spacing w:line="303" w:lineRule="auto"/>
        <w:ind w:firstLine="566" w:firstLineChars="236"/>
        <w:rPr>
          <w:rFonts w:ascii="宋体" w:hAnsi="宋体" w:cs="宋体"/>
          <w:szCs w:val="24"/>
        </w:rPr>
      </w:pPr>
      <w:r>
        <w:rPr>
          <w:rFonts w:hint="eastAsia" w:ascii="宋体" w:hAnsi="宋体" w:cs="宋体"/>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Cs w:val="24"/>
        </w:rPr>
      </w:pPr>
      <w:r>
        <w:rPr>
          <w:rFonts w:hint="eastAsia" w:ascii="宋体" w:hAnsi="宋体" w:cs="宋体"/>
          <w:szCs w:val="24"/>
        </w:rPr>
        <w:t>价格分=（评标基准价/投标报价）×30%×100</w:t>
      </w:r>
    </w:p>
    <w:p>
      <w:pPr>
        <w:spacing w:line="303" w:lineRule="auto"/>
        <w:ind w:firstLine="566" w:firstLineChars="236"/>
        <w:rPr>
          <w:rFonts w:ascii="宋体" w:hAnsi="宋体" w:cs="宋体"/>
          <w:szCs w:val="24"/>
        </w:rPr>
      </w:pPr>
      <w:r>
        <w:rPr>
          <w:rFonts w:hint="eastAsia" w:ascii="宋体" w:hAnsi="宋体" w:cs="宋体"/>
          <w:szCs w:val="24"/>
        </w:rPr>
        <w:t>2.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00" w:lineRule="auto"/>
        <w:ind w:firstLine="569" w:firstLineChars="236"/>
        <w:rPr>
          <w:rFonts w:ascii="宋体" w:hAnsi="宋体" w:cs="宋体"/>
          <w:b/>
          <w:szCs w:val="24"/>
        </w:rPr>
      </w:pPr>
      <w:r>
        <w:rPr>
          <w:rFonts w:hint="eastAsia" w:ascii="宋体" w:hAnsi="宋体" w:cs="宋体"/>
          <w:b/>
          <w:szCs w:val="24"/>
        </w:rPr>
        <w:t>3.采购上限价：本次采购设定采购上限价，</w:t>
      </w:r>
      <w:r>
        <w:rPr>
          <w:rFonts w:hint="eastAsia" w:ascii="宋体" w:hAnsi="宋体" w:cs="宋体"/>
          <w:b/>
          <w:color w:val="000000"/>
          <w:szCs w:val="24"/>
        </w:rPr>
        <w:t>采购上限价为人民币</w:t>
      </w:r>
      <w:r>
        <w:rPr>
          <w:rFonts w:hint="eastAsia" w:ascii="宋体" w:hAnsi="宋体" w:cs="宋体"/>
          <w:b/>
          <w:szCs w:val="24"/>
        </w:rPr>
        <w:t>壹佰伍拾万元整（¥1500000.00元）。投标人报价高于采购上限价的投标文件无效。</w:t>
      </w:r>
    </w:p>
    <w:p>
      <w:pPr>
        <w:spacing w:line="300" w:lineRule="auto"/>
        <w:ind w:firstLine="569" w:firstLineChars="236"/>
        <w:rPr>
          <w:rFonts w:ascii="宋体" w:hAnsi="宋体" w:cs="宋体"/>
          <w:b/>
          <w:szCs w:val="24"/>
        </w:rPr>
      </w:pPr>
    </w:p>
    <w:p>
      <w:pPr>
        <w:pStyle w:val="2"/>
        <w:ind w:firstLine="643"/>
      </w:pPr>
    </w:p>
    <w:p>
      <w:pPr>
        <w:spacing w:line="300" w:lineRule="auto"/>
        <w:ind w:firstLine="569" w:firstLineChars="236"/>
        <w:rPr>
          <w:rFonts w:ascii="宋体" w:hAnsi="宋体" w:cs="宋体"/>
          <w:b/>
          <w:szCs w:val="24"/>
        </w:rPr>
      </w:pPr>
      <w:r>
        <w:rPr>
          <w:rFonts w:hint="eastAsia" w:ascii="宋体" w:hAnsi="宋体" w:cs="宋体"/>
          <w:b/>
          <w:szCs w:val="24"/>
        </w:rPr>
        <w:t>（二）技术资信商务分（70分）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31"/>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技术分</w:t>
            </w:r>
          </w:p>
          <w:p>
            <w:pPr>
              <w:spacing w:line="300" w:lineRule="auto"/>
              <w:ind w:firstLine="0" w:firstLineChars="0"/>
              <w:contextualSpacing/>
              <w:rPr>
                <w:rFonts w:ascii="宋体" w:hAnsi="宋体" w:cs="宋体"/>
                <w:szCs w:val="24"/>
              </w:rPr>
            </w:pPr>
            <w:r>
              <w:rPr>
                <w:rFonts w:hint="eastAsia" w:ascii="宋体" w:hAnsi="宋体" w:cs="宋体"/>
                <w:szCs w:val="24"/>
              </w:rPr>
              <w:t>（60分）</w:t>
            </w:r>
          </w:p>
        </w:tc>
        <w:tc>
          <w:tcPr>
            <w:tcW w:w="1231" w:type="dxa"/>
            <w:tcBorders>
              <w:top w:val="single" w:color="auto" w:sz="4" w:space="0"/>
              <w:left w:val="single" w:color="auto" w:sz="4" w:space="0"/>
              <w:right w:val="single" w:color="auto" w:sz="4" w:space="0"/>
            </w:tcBorders>
            <w:vAlign w:val="center"/>
          </w:tcPr>
          <w:p>
            <w:pPr>
              <w:snapToGrid w:val="0"/>
              <w:spacing w:line="300" w:lineRule="auto"/>
              <w:ind w:right="3" w:firstLine="0" w:firstLineChars="0"/>
              <w:jc w:val="center"/>
              <w:textAlignment w:val="baseline"/>
              <w:rPr>
                <w:rFonts w:ascii="宋体" w:hAnsi="宋体" w:cs="宋体"/>
                <w:b/>
                <w:bCs/>
                <w:szCs w:val="24"/>
              </w:rPr>
            </w:pPr>
            <w:r>
              <w:rPr>
                <w:rStyle w:val="78"/>
                <w:rFonts w:hint="eastAsia" w:ascii="宋体" w:hAnsi="宋体" w:cs="宋体"/>
                <w:szCs w:val="24"/>
              </w:rPr>
              <w:t>项目负责人（3分）</w:t>
            </w: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left"/>
              <w:rPr>
                <w:rStyle w:val="78"/>
                <w:rFonts w:ascii="宋体" w:hAnsi="宋体" w:cs="宋体"/>
                <w:sz w:val="24"/>
                <w:szCs w:val="24"/>
              </w:rPr>
            </w:pPr>
            <w:r>
              <w:rPr>
                <w:rStyle w:val="78"/>
                <w:rFonts w:hint="eastAsia" w:ascii="宋体" w:hAnsi="宋体" w:cs="宋体"/>
                <w:sz w:val="24"/>
                <w:szCs w:val="24"/>
              </w:rPr>
              <w:t>项目负责人具有高级及以上职称的得3分。</w:t>
            </w:r>
          </w:p>
          <w:p>
            <w:pPr>
              <w:pStyle w:val="98"/>
              <w:widowControl/>
              <w:spacing w:line="300" w:lineRule="auto"/>
              <w:ind w:firstLine="0" w:firstLineChars="0"/>
              <w:jc w:val="left"/>
              <w:rPr>
                <w:rFonts w:ascii="宋体" w:hAnsi="宋体" w:cs="宋体"/>
                <w:b/>
                <w:bCs/>
                <w:sz w:val="24"/>
                <w:szCs w:val="24"/>
              </w:rPr>
            </w:pPr>
            <w:r>
              <w:rPr>
                <w:rStyle w:val="78"/>
                <w:rFonts w:hint="eastAsia" w:ascii="宋体" w:hAnsi="宋体" w:cs="宋体"/>
                <w:sz w:val="24"/>
                <w:szCs w:val="24"/>
              </w:rPr>
              <w:t>（需在资信商务及技术文件中提供项目负责人近三个月内（时间以采购公告发布之日前起算）任意一个月在本公司缴纳社保的证明材料及证书扫描件并加盖投标人CA公章，否则不得分）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napToGrid w:val="0"/>
              <w:spacing w:line="300" w:lineRule="auto"/>
              <w:ind w:right="3" w:firstLine="0" w:firstLineChars="0"/>
              <w:jc w:val="center"/>
              <w:textAlignment w:val="baseline"/>
              <w:rPr>
                <w:rFonts w:ascii="宋体" w:hAnsi="宋体" w:cs="宋体"/>
                <w:szCs w:val="24"/>
              </w:rPr>
            </w:pPr>
            <w:r>
              <w:rPr>
                <w:rStyle w:val="78"/>
                <w:rFonts w:hint="eastAsia" w:ascii="宋体" w:hAnsi="宋体" w:cs="宋体"/>
                <w:szCs w:val="24"/>
              </w:rPr>
              <w:t>项目技术负责人（6分）</w:t>
            </w: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left"/>
              <w:rPr>
                <w:rStyle w:val="78"/>
                <w:rFonts w:ascii="宋体" w:hAnsi="宋体" w:cs="宋体"/>
                <w:sz w:val="24"/>
                <w:szCs w:val="24"/>
              </w:rPr>
            </w:pPr>
            <w:r>
              <w:rPr>
                <w:rStyle w:val="78"/>
                <w:rFonts w:hint="eastAsia" w:ascii="宋体" w:hAnsi="宋体" w:cs="宋体"/>
                <w:sz w:val="24"/>
                <w:szCs w:val="24"/>
              </w:rPr>
              <w:t>1.项目技术负责人具有智能化专业高级及以上职称的得3分；</w:t>
            </w:r>
          </w:p>
          <w:p>
            <w:pPr>
              <w:pStyle w:val="98"/>
              <w:widowControl/>
              <w:spacing w:line="300" w:lineRule="auto"/>
              <w:ind w:firstLine="0" w:firstLineChars="0"/>
              <w:jc w:val="left"/>
              <w:rPr>
                <w:rStyle w:val="78"/>
                <w:rFonts w:ascii="宋体" w:hAnsi="宋体" w:cs="宋体"/>
                <w:sz w:val="24"/>
                <w:szCs w:val="24"/>
              </w:rPr>
            </w:pPr>
            <w:r>
              <w:rPr>
                <w:rStyle w:val="78"/>
                <w:rFonts w:hint="eastAsia" w:ascii="宋体" w:hAnsi="宋体" w:cs="宋体"/>
                <w:sz w:val="24"/>
                <w:szCs w:val="24"/>
              </w:rPr>
              <w:t>2.项目技术负责人具有高级信息系统项目管理师的得3分。</w:t>
            </w:r>
          </w:p>
          <w:p>
            <w:pPr>
              <w:pStyle w:val="98"/>
              <w:widowControl/>
              <w:spacing w:line="300" w:lineRule="auto"/>
              <w:ind w:firstLine="0" w:firstLineChars="0"/>
              <w:jc w:val="left"/>
              <w:rPr>
                <w:rFonts w:ascii="宋体" w:hAnsi="宋体" w:cs="宋体"/>
                <w:b/>
                <w:bCs/>
                <w:sz w:val="24"/>
                <w:szCs w:val="24"/>
              </w:rPr>
            </w:pPr>
            <w:r>
              <w:rPr>
                <w:rStyle w:val="78"/>
                <w:rFonts w:hint="eastAsia" w:ascii="宋体" w:hAnsi="宋体" w:cs="宋体"/>
                <w:sz w:val="24"/>
                <w:szCs w:val="24"/>
              </w:rPr>
              <w:t>（需在资信商务及技术文件中提供项目技术负责人近三个月内（时间以采购公告发布之日前起算）任意一个月在本公司缴纳社保的证明材料及证书扫描件并加盖投标人CA公章，否则不得分）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snapToGrid w:val="0"/>
              <w:spacing w:line="300" w:lineRule="auto"/>
              <w:ind w:right="3" w:firstLine="0" w:firstLineChars="0"/>
              <w:jc w:val="center"/>
              <w:textAlignment w:val="baseline"/>
              <w:rPr>
                <w:rFonts w:ascii="宋体" w:hAnsi="宋体" w:cs="宋体"/>
                <w:szCs w:val="24"/>
              </w:rPr>
            </w:pPr>
            <w:r>
              <w:rPr>
                <w:rStyle w:val="78"/>
                <w:rFonts w:hint="eastAsia" w:ascii="宋体" w:hAnsi="宋体" w:cs="宋体"/>
                <w:szCs w:val="24"/>
              </w:rPr>
              <w:t>项目组成员（8分）</w:t>
            </w: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left"/>
              <w:rPr>
                <w:rStyle w:val="78"/>
                <w:rFonts w:ascii="宋体" w:hAnsi="宋体" w:cs="宋体"/>
                <w:sz w:val="24"/>
                <w:szCs w:val="24"/>
              </w:rPr>
            </w:pPr>
            <w:r>
              <w:rPr>
                <w:rStyle w:val="78"/>
                <w:rFonts w:hint="eastAsia" w:ascii="宋体" w:hAnsi="宋体" w:cs="宋体"/>
                <w:sz w:val="24"/>
                <w:szCs w:val="24"/>
              </w:rPr>
              <w:t>拟派项目组成员中（项目负责人、技术负责人除外）具有水文水资源、水利水电、工程测绘、机械自动化等四个专业中任意一个专业工程师及以上职称证书或注册证书的每人得2分，最高8分。</w:t>
            </w:r>
          </w:p>
          <w:p>
            <w:pPr>
              <w:pStyle w:val="98"/>
              <w:widowControl/>
              <w:spacing w:line="300" w:lineRule="auto"/>
              <w:ind w:firstLine="0" w:firstLineChars="0"/>
              <w:jc w:val="left"/>
              <w:rPr>
                <w:rStyle w:val="78"/>
                <w:rFonts w:ascii="宋体" w:hAnsi="宋体" w:cs="宋体"/>
                <w:sz w:val="24"/>
                <w:szCs w:val="24"/>
              </w:rPr>
            </w:pPr>
            <w:r>
              <w:rPr>
                <w:rStyle w:val="78"/>
                <w:rFonts w:hint="eastAsia" w:ascii="宋体" w:hAnsi="宋体" w:cs="宋体"/>
                <w:sz w:val="24"/>
                <w:szCs w:val="24"/>
              </w:rPr>
              <w:t>（需在资信商务及技术文件中提供近三个月内（时间以采购公告发布之日前起算）任意一个月在本公司缴纳社保的证明材料及证书扫描件并加盖投标人CA公章，否则不得分）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vMerge w:val="restart"/>
            <w:tcBorders>
              <w:left w:val="single" w:color="auto" w:sz="4" w:space="0"/>
              <w:right w:val="single" w:color="auto" w:sz="4" w:space="0"/>
            </w:tcBorders>
            <w:vAlign w:val="center"/>
          </w:tcPr>
          <w:p>
            <w:pPr>
              <w:pStyle w:val="98"/>
              <w:widowControl/>
              <w:spacing w:line="300" w:lineRule="auto"/>
              <w:ind w:firstLine="0" w:firstLineChars="0"/>
              <w:rPr>
                <w:rStyle w:val="78"/>
                <w:rFonts w:ascii="宋体" w:hAnsi="宋体" w:cs="宋体"/>
                <w:sz w:val="24"/>
                <w:szCs w:val="24"/>
              </w:rPr>
            </w:pPr>
            <w:r>
              <w:rPr>
                <w:rStyle w:val="78"/>
                <w:rFonts w:hint="eastAsia" w:ascii="宋体" w:hAnsi="宋体" w:cs="宋体"/>
                <w:sz w:val="24"/>
                <w:szCs w:val="24"/>
              </w:rPr>
              <w:t>技术方案</w:t>
            </w:r>
          </w:p>
          <w:p>
            <w:pPr>
              <w:spacing w:line="300" w:lineRule="auto"/>
              <w:ind w:firstLine="0" w:firstLineChars="0"/>
              <w:contextualSpacing/>
              <w:jc w:val="left"/>
              <w:rPr>
                <w:rFonts w:ascii="宋体" w:hAnsi="宋体" w:cs="宋体"/>
                <w:szCs w:val="24"/>
              </w:rPr>
            </w:pPr>
            <w:r>
              <w:rPr>
                <w:rStyle w:val="78"/>
                <w:rFonts w:hint="eastAsia" w:ascii="宋体" w:hAnsi="宋体" w:cs="宋体"/>
                <w:szCs w:val="24"/>
              </w:rPr>
              <w:t>（23分）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textAlignment w:val="baseline"/>
              <w:rPr>
                <w:rFonts w:ascii="宋体" w:hAnsi="宋体" w:cs="宋体"/>
                <w:b/>
                <w:bCs/>
                <w:szCs w:val="24"/>
                <w:lang w:val="zh-CN"/>
              </w:rPr>
            </w:pPr>
            <w:r>
              <w:rPr>
                <w:rStyle w:val="78"/>
                <w:rFonts w:hint="eastAsia" w:ascii="宋体" w:hAnsi="宋体" w:cs="宋体"/>
                <w:szCs w:val="24"/>
              </w:rPr>
              <w:t>1.根据投标人对项目整体实施方案及设计是否科学，合理，并具有可操作性，是否充分考虑采购人实际使用需求，方案在确保阶段性任务实现的同时，是否统筹考虑了总体目标的实现等情况打分，</w:t>
            </w:r>
            <w:r>
              <w:rPr>
                <w:rStyle w:val="78"/>
                <w:rFonts w:hint="eastAsia" w:ascii="宋体" w:hAnsi="宋体" w:cs="宋体"/>
                <w:szCs w:val="24"/>
                <w:lang w:val="zh-CN"/>
              </w:rPr>
              <w:t>具体、详细、可行</w:t>
            </w:r>
            <w:r>
              <w:rPr>
                <w:rStyle w:val="78"/>
                <w:rFonts w:hint="eastAsia" w:ascii="宋体" w:hAnsi="宋体" w:cs="宋体"/>
                <w:szCs w:val="24"/>
              </w:rPr>
              <w:t>的得4-5分；本项存在欠合理、科学、规范的得1-3.9分；未表述不得分。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both"/>
              <w:rPr>
                <w:rFonts w:ascii="宋体" w:hAnsi="宋体" w:cs="宋体"/>
                <w:b/>
                <w:bCs/>
                <w:sz w:val="24"/>
                <w:szCs w:val="24"/>
              </w:rPr>
            </w:pPr>
            <w:r>
              <w:rPr>
                <w:rStyle w:val="78"/>
                <w:rFonts w:hint="eastAsia" w:ascii="宋体" w:hAnsi="宋体" w:cs="宋体"/>
                <w:sz w:val="24"/>
                <w:szCs w:val="24"/>
              </w:rPr>
              <w:t>2.根据供应商对本项目维护管理及建设思路、原则、特点、技术要求的理解，以及对项目运维、测量和建设方案的可行性、合理性情况等打分，尤其，应急响应期间的设备保障工作，是否有具体措施。方案合理、可行有具体保障措施的得4-6分；存在欠合理、科学、规范的得2-3.9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both"/>
              <w:rPr>
                <w:rFonts w:ascii="宋体" w:hAnsi="宋体" w:cs="宋体"/>
                <w:b/>
                <w:bCs/>
                <w:sz w:val="24"/>
                <w:szCs w:val="24"/>
              </w:rPr>
            </w:pPr>
            <w:r>
              <w:rPr>
                <w:rStyle w:val="78"/>
                <w:rFonts w:hint="eastAsia" w:ascii="宋体" w:hAnsi="宋体" w:cs="宋体"/>
                <w:sz w:val="24"/>
                <w:szCs w:val="24"/>
              </w:rPr>
              <w:t>3.根据供应商对项目重难点及解决方案的详细阐述及解决方案，并提供流速定线的三种检验报告项目实例打分，</w:t>
            </w:r>
            <w:r>
              <w:rPr>
                <w:rStyle w:val="78"/>
                <w:rFonts w:hint="eastAsia" w:ascii="宋体" w:hAnsi="宋体" w:cs="宋体"/>
                <w:sz w:val="24"/>
                <w:szCs w:val="24"/>
                <w:lang w:val="zh-CN"/>
              </w:rPr>
              <w:t>具体、详细、可行</w:t>
            </w:r>
            <w:r>
              <w:rPr>
                <w:rStyle w:val="78"/>
                <w:rFonts w:hint="eastAsia" w:ascii="宋体" w:hAnsi="宋体" w:cs="宋体"/>
                <w:sz w:val="24"/>
                <w:szCs w:val="24"/>
              </w:rPr>
              <w:t>的得5-7分；本项存在欠合理、科学、规范的得1-4.9分；未表述不得分。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color w:val="000000"/>
                <w:szCs w:val="24"/>
              </w:rPr>
            </w:pP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both"/>
              <w:rPr>
                <w:rStyle w:val="78"/>
                <w:rFonts w:ascii="宋体" w:hAnsi="宋体" w:cs="宋体"/>
                <w:sz w:val="24"/>
                <w:szCs w:val="24"/>
              </w:rPr>
            </w:pPr>
            <w:r>
              <w:rPr>
                <w:rStyle w:val="78"/>
                <w:rFonts w:hint="eastAsia" w:ascii="宋体" w:hAnsi="宋体" w:cs="宋体"/>
                <w:sz w:val="24"/>
                <w:szCs w:val="24"/>
              </w:rPr>
              <w:t>4.根据供应商对水文数据数字化解决方案的阐述，方案细致，数据存储安全稳定，查询、查看（图表）方便，得3-5分；方案一般，泛泛而谈的得1-2.9分；未表述不得分。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tcBorders>
              <w:left w:val="single" w:color="auto" w:sz="4" w:space="0"/>
              <w:right w:val="single" w:color="auto" w:sz="4" w:space="0"/>
            </w:tcBorders>
            <w:vAlign w:val="center"/>
          </w:tcPr>
          <w:p>
            <w:pPr>
              <w:pStyle w:val="98"/>
              <w:widowControl/>
              <w:spacing w:line="300" w:lineRule="auto"/>
              <w:ind w:firstLine="0" w:firstLineChars="0"/>
              <w:rPr>
                <w:rStyle w:val="78"/>
                <w:rFonts w:ascii="宋体" w:hAnsi="宋体" w:cs="宋体"/>
                <w:sz w:val="24"/>
                <w:szCs w:val="24"/>
              </w:rPr>
            </w:pPr>
            <w:r>
              <w:rPr>
                <w:rStyle w:val="78"/>
                <w:rFonts w:hint="eastAsia" w:ascii="宋体" w:hAnsi="宋体" w:cs="宋体"/>
                <w:sz w:val="24"/>
                <w:szCs w:val="24"/>
              </w:rPr>
              <w:t>组织实施方案</w:t>
            </w:r>
          </w:p>
          <w:p>
            <w:pPr>
              <w:snapToGrid w:val="0"/>
              <w:spacing w:line="300" w:lineRule="auto"/>
              <w:ind w:right="3" w:firstLine="0" w:firstLineChars="0"/>
              <w:jc w:val="center"/>
              <w:textAlignment w:val="baseline"/>
              <w:rPr>
                <w:rFonts w:ascii="宋体" w:hAnsi="宋体" w:cs="宋体"/>
                <w:b/>
                <w:bCs/>
                <w:color w:val="000000"/>
                <w:szCs w:val="24"/>
              </w:rPr>
            </w:pPr>
            <w:r>
              <w:rPr>
                <w:rStyle w:val="78"/>
                <w:rFonts w:hint="eastAsia" w:ascii="宋体" w:hAnsi="宋体" w:cs="宋体"/>
                <w:szCs w:val="24"/>
              </w:rPr>
              <w:t>（6分）</w:t>
            </w:r>
          </w:p>
        </w:tc>
        <w:tc>
          <w:tcPr>
            <w:tcW w:w="746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right="3" w:firstLine="0" w:firstLineChars="0"/>
              <w:textAlignment w:val="baseline"/>
              <w:rPr>
                <w:rFonts w:ascii="宋体" w:hAnsi="宋体" w:cs="宋体"/>
                <w:szCs w:val="24"/>
              </w:rPr>
            </w:pPr>
            <w:r>
              <w:rPr>
                <w:rStyle w:val="78"/>
                <w:rFonts w:hint="eastAsia" w:ascii="宋体" w:hAnsi="宋体" w:cs="宋体"/>
                <w:szCs w:val="24"/>
                <w:lang w:val="zh-CN"/>
              </w:rPr>
              <w:t>根据投标人</w:t>
            </w:r>
            <w:r>
              <w:rPr>
                <w:rStyle w:val="78"/>
                <w:rFonts w:hint="eastAsia" w:ascii="宋体" w:hAnsi="宋体" w:cs="宋体"/>
                <w:szCs w:val="24"/>
              </w:rPr>
              <w:t>针对本项目各内容的</w:t>
            </w:r>
            <w:r>
              <w:rPr>
                <w:rStyle w:val="78"/>
                <w:rFonts w:hint="eastAsia" w:ascii="宋体" w:hAnsi="宋体" w:cs="宋体"/>
                <w:b/>
                <w:szCs w:val="24"/>
              </w:rPr>
              <w:t>前期准备</w:t>
            </w:r>
            <w:r>
              <w:rPr>
                <w:rStyle w:val="78"/>
                <w:rFonts w:hint="eastAsia" w:ascii="宋体" w:hAnsi="宋体" w:cs="宋体"/>
                <w:szCs w:val="24"/>
              </w:rPr>
              <w:t>、</w:t>
            </w:r>
            <w:r>
              <w:rPr>
                <w:rStyle w:val="78"/>
                <w:rFonts w:hint="eastAsia" w:ascii="宋体" w:hAnsi="宋体" w:cs="宋体"/>
                <w:b/>
                <w:szCs w:val="24"/>
              </w:rPr>
              <w:t>调查情况</w:t>
            </w:r>
            <w:r>
              <w:rPr>
                <w:rStyle w:val="78"/>
                <w:rFonts w:hint="eastAsia" w:ascii="宋体" w:hAnsi="宋体" w:cs="宋体"/>
                <w:szCs w:val="24"/>
                <w:lang w:val="zh-CN"/>
              </w:rPr>
              <w:t>具体、详细、且内容有利于本项目的实施，</w:t>
            </w:r>
            <w:r>
              <w:rPr>
                <w:rStyle w:val="78"/>
                <w:rFonts w:hint="eastAsia" w:ascii="宋体" w:hAnsi="宋体" w:cs="宋体"/>
                <w:szCs w:val="24"/>
              </w:rPr>
              <w:t>提供</w:t>
            </w:r>
            <w:r>
              <w:rPr>
                <w:rStyle w:val="78"/>
                <w:rFonts w:hint="eastAsia" w:ascii="宋体" w:hAnsi="宋体" w:cs="宋体"/>
                <w:b/>
                <w:szCs w:val="24"/>
              </w:rPr>
              <w:t>运维、测量方案；提供设备安装和调试方案</w:t>
            </w:r>
            <w:r>
              <w:rPr>
                <w:rStyle w:val="78"/>
                <w:rFonts w:hint="eastAsia" w:ascii="宋体" w:hAnsi="宋体" w:cs="宋体"/>
                <w:szCs w:val="24"/>
                <w:lang w:val="zh-CN"/>
              </w:rPr>
              <w:t>具体、详细、可行</w:t>
            </w:r>
            <w:r>
              <w:rPr>
                <w:rStyle w:val="78"/>
                <w:rFonts w:hint="eastAsia" w:ascii="宋体" w:hAnsi="宋体" w:cs="宋体"/>
                <w:szCs w:val="24"/>
              </w:rPr>
              <w:t>的得4-6分，存在欠合理、科学、规范的得1-3.9分，未表述不得分。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color w:val="000000"/>
                <w:szCs w:val="24"/>
              </w:rPr>
            </w:pPr>
          </w:p>
        </w:tc>
        <w:tc>
          <w:tcPr>
            <w:tcW w:w="1231" w:type="dxa"/>
            <w:tcBorders>
              <w:left w:val="single" w:color="auto" w:sz="4" w:space="0"/>
              <w:right w:val="single" w:color="auto" w:sz="4" w:space="0"/>
            </w:tcBorders>
            <w:vAlign w:val="center"/>
          </w:tcPr>
          <w:p>
            <w:pPr>
              <w:pStyle w:val="98"/>
              <w:widowControl/>
              <w:spacing w:line="300" w:lineRule="auto"/>
              <w:ind w:firstLine="0" w:firstLineChars="0"/>
              <w:rPr>
                <w:rStyle w:val="78"/>
                <w:rFonts w:ascii="宋体" w:hAnsi="宋体" w:cs="宋体"/>
                <w:sz w:val="24"/>
                <w:szCs w:val="24"/>
              </w:rPr>
            </w:pPr>
            <w:r>
              <w:rPr>
                <w:rStyle w:val="78"/>
                <w:rFonts w:hint="eastAsia" w:ascii="宋体" w:hAnsi="宋体" w:cs="宋体"/>
                <w:sz w:val="24"/>
                <w:szCs w:val="24"/>
              </w:rPr>
              <w:t>质量保证措施</w:t>
            </w:r>
          </w:p>
          <w:p>
            <w:pPr>
              <w:snapToGrid w:val="0"/>
              <w:spacing w:line="300" w:lineRule="auto"/>
              <w:ind w:right="3" w:firstLine="0" w:firstLineChars="0"/>
              <w:jc w:val="center"/>
              <w:textAlignment w:val="baseline"/>
              <w:rPr>
                <w:rFonts w:ascii="宋体" w:hAnsi="宋体" w:cs="宋体"/>
                <w:b/>
                <w:bCs/>
                <w:szCs w:val="24"/>
              </w:rPr>
            </w:pPr>
            <w:r>
              <w:rPr>
                <w:rStyle w:val="78"/>
                <w:rFonts w:hint="eastAsia" w:ascii="宋体" w:hAnsi="宋体" w:cs="宋体"/>
                <w:szCs w:val="24"/>
              </w:rPr>
              <w:t>（5分）</w:t>
            </w:r>
          </w:p>
        </w:tc>
        <w:tc>
          <w:tcPr>
            <w:tcW w:w="746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right="3" w:firstLine="0" w:firstLineChars="0"/>
              <w:textAlignment w:val="baseline"/>
              <w:rPr>
                <w:rFonts w:ascii="宋体" w:hAnsi="宋体" w:cs="宋体"/>
                <w:szCs w:val="24"/>
              </w:rPr>
            </w:pPr>
            <w:r>
              <w:rPr>
                <w:rStyle w:val="78"/>
                <w:rFonts w:hint="eastAsia" w:ascii="宋体" w:hAnsi="宋体" w:cs="宋体"/>
                <w:szCs w:val="24"/>
                <w:lang w:val="zh-CN"/>
              </w:rPr>
              <w:t>根据供应商为保证本项目实施过程中的质量控制手段和保证措施能满足项目采购需求的合理性、科学性、全面性等方面，</w:t>
            </w:r>
            <w:r>
              <w:rPr>
                <w:rStyle w:val="78"/>
                <w:rFonts w:hint="eastAsia" w:ascii="宋体" w:hAnsi="宋体" w:cs="宋体"/>
                <w:szCs w:val="24"/>
              </w:rPr>
              <w:t>针对本项目制定的</w:t>
            </w:r>
            <w:r>
              <w:rPr>
                <w:rStyle w:val="78"/>
                <w:rFonts w:hint="eastAsia" w:ascii="宋体" w:hAnsi="宋体" w:cs="宋体"/>
                <w:b/>
                <w:bCs/>
                <w:szCs w:val="24"/>
              </w:rPr>
              <w:t>运维、测量及施工</w:t>
            </w:r>
            <w:r>
              <w:rPr>
                <w:rStyle w:val="78"/>
                <w:rFonts w:hint="eastAsia" w:ascii="宋体" w:hAnsi="宋体" w:cs="宋体"/>
                <w:b/>
                <w:szCs w:val="24"/>
              </w:rPr>
              <w:t>工期承诺和工期保证措施</w:t>
            </w:r>
            <w:r>
              <w:rPr>
                <w:rStyle w:val="78"/>
                <w:rFonts w:hint="eastAsia" w:ascii="宋体" w:hAnsi="宋体" w:cs="宋体"/>
                <w:szCs w:val="24"/>
                <w:lang w:val="zh-CN"/>
              </w:rPr>
              <w:t>具体、详细、可行、有利于项目实施的</w:t>
            </w:r>
            <w:r>
              <w:rPr>
                <w:rStyle w:val="78"/>
                <w:rFonts w:hint="eastAsia" w:ascii="宋体" w:hAnsi="宋体" w:cs="宋体"/>
                <w:szCs w:val="24"/>
              </w:rPr>
              <w:t>得3-5分，存在欠合理、科学、规范的得1-2.9分，未表述不得分。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tcBorders>
              <w:left w:val="single" w:color="auto" w:sz="4" w:space="0"/>
              <w:right w:val="single" w:color="auto" w:sz="4" w:space="0"/>
            </w:tcBorders>
            <w:vAlign w:val="center"/>
          </w:tcPr>
          <w:p>
            <w:pPr>
              <w:pStyle w:val="98"/>
              <w:widowControl/>
              <w:spacing w:line="300" w:lineRule="auto"/>
              <w:ind w:firstLine="0" w:firstLineChars="0"/>
              <w:rPr>
                <w:rStyle w:val="78"/>
                <w:rFonts w:ascii="宋体" w:hAnsi="宋体" w:cs="宋体"/>
                <w:sz w:val="24"/>
                <w:szCs w:val="24"/>
              </w:rPr>
            </w:pPr>
            <w:r>
              <w:rPr>
                <w:rStyle w:val="78"/>
                <w:rFonts w:hint="eastAsia" w:ascii="宋体" w:hAnsi="宋体" w:cs="宋体"/>
                <w:sz w:val="24"/>
                <w:szCs w:val="24"/>
              </w:rPr>
              <w:t>售后服务</w:t>
            </w:r>
          </w:p>
          <w:p>
            <w:pPr>
              <w:snapToGrid w:val="0"/>
              <w:spacing w:line="300" w:lineRule="auto"/>
              <w:ind w:right="3" w:firstLine="0" w:firstLineChars="0"/>
              <w:jc w:val="center"/>
              <w:textAlignment w:val="baseline"/>
              <w:rPr>
                <w:rFonts w:ascii="宋体" w:hAnsi="宋体" w:cs="宋体"/>
                <w:b/>
                <w:bCs/>
                <w:szCs w:val="24"/>
              </w:rPr>
            </w:pPr>
            <w:r>
              <w:rPr>
                <w:rStyle w:val="78"/>
                <w:rFonts w:hint="eastAsia" w:ascii="宋体" w:hAnsi="宋体" w:cs="宋体"/>
                <w:szCs w:val="24"/>
              </w:rPr>
              <w:t>（5分）</w:t>
            </w:r>
          </w:p>
        </w:tc>
        <w:tc>
          <w:tcPr>
            <w:tcW w:w="7469"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ind w:right="3" w:firstLine="0" w:firstLineChars="0"/>
              <w:textAlignment w:val="baseline"/>
              <w:rPr>
                <w:rStyle w:val="78"/>
                <w:rFonts w:ascii="宋体" w:hAnsi="宋体" w:cs="宋体"/>
                <w:szCs w:val="24"/>
              </w:rPr>
            </w:pPr>
            <w:r>
              <w:rPr>
                <w:rStyle w:val="78"/>
                <w:rFonts w:hint="eastAsia" w:ascii="宋体" w:hAnsi="宋体" w:cs="宋体"/>
                <w:szCs w:val="24"/>
              </w:rPr>
              <w:t>1.</w:t>
            </w:r>
            <w:r>
              <w:rPr>
                <w:rStyle w:val="78"/>
                <w:rFonts w:hint="eastAsia" w:ascii="宋体" w:hAnsi="宋体" w:cs="宋体"/>
                <w:szCs w:val="24"/>
                <w:lang w:val="zh-CN"/>
              </w:rPr>
              <w:t>根据投标人提供的售后服务响应及其他优惠承诺，</w:t>
            </w:r>
            <w:r>
              <w:rPr>
                <w:rStyle w:val="78"/>
                <w:rFonts w:hint="eastAsia" w:ascii="宋体" w:hAnsi="宋体" w:cs="宋体"/>
                <w:szCs w:val="24"/>
              </w:rPr>
              <w:t>进行综合评分，本项最高2</w:t>
            </w:r>
            <w:r>
              <w:rPr>
                <w:rStyle w:val="78"/>
                <w:rFonts w:hint="eastAsia" w:ascii="宋体" w:hAnsi="宋体" w:cs="宋体"/>
                <w:szCs w:val="24"/>
                <w:lang w:val="zh-CN"/>
              </w:rPr>
              <w:t>分，</w:t>
            </w:r>
            <w:r>
              <w:rPr>
                <w:rStyle w:val="78"/>
                <w:rFonts w:hint="eastAsia" w:ascii="宋体" w:hAnsi="宋体" w:cs="宋体"/>
                <w:szCs w:val="24"/>
              </w:rPr>
              <w:t>未表述不得分。</w:t>
            </w:r>
          </w:p>
          <w:p>
            <w:pPr>
              <w:snapToGrid w:val="0"/>
              <w:spacing w:line="300" w:lineRule="auto"/>
              <w:ind w:right="3" w:firstLine="0" w:firstLineChars="0"/>
              <w:textAlignment w:val="baseline"/>
              <w:rPr>
                <w:rFonts w:ascii="宋体" w:hAnsi="宋体" w:cs="宋体"/>
                <w:szCs w:val="24"/>
              </w:rPr>
            </w:pPr>
            <w:r>
              <w:rPr>
                <w:rStyle w:val="78"/>
                <w:rFonts w:hint="eastAsia" w:ascii="宋体" w:hAnsi="宋体" w:cs="宋体"/>
                <w:szCs w:val="24"/>
              </w:rPr>
              <w:t>2.技术培训方案，主要包括培训目的、培训计划、培训实施方案（培训对象、培训时间、培训地点、培训方式、培训内容）、培训反馈与审核、培训保障等，安排具体、周到的得2-3分，技术培训方案存在欠合理、科学、规范的得0-1.9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right"/>
        </w:trPr>
        <w:tc>
          <w:tcPr>
            <w:tcW w:w="962" w:type="dxa"/>
            <w:vMerge w:val="continue"/>
            <w:tcBorders>
              <w:top w:val="single" w:color="auto" w:sz="4" w:space="0"/>
              <w:left w:val="single" w:color="auto" w:sz="4" w:space="0"/>
              <w:right w:val="single" w:color="auto" w:sz="4" w:space="0"/>
            </w:tcBorders>
            <w:vAlign w:val="center"/>
          </w:tcPr>
          <w:p>
            <w:pPr>
              <w:spacing w:line="300" w:lineRule="auto"/>
              <w:ind w:firstLine="0" w:firstLineChars="0"/>
              <w:contextualSpacing/>
              <w:jc w:val="center"/>
              <w:rPr>
                <w:rFonts w:ascii="宋体" w:hAnsi="宋体" w:cs="宋体"/>
                <w:szCs w:val="24"/>
              </w:rPr>
            </w:pPr>
          </w:p>
        </w:tc>
        <w:tc>
          <w:tcPr>
            <w:tcW w:w="1231" w:type="dxa"/>
            <w:tcBorders>
              <w:left w:val="single" w:color="auto" w:sz="4" w:space="0"/>
              <w:right w:val="single" w:color="auto" w:sz="4" w:space="0"/>
            </w:tcBorders>
            <w:vAlign w:val="center"/>
          </w:tcPr>
          <w:p>
            <w:pPr>
              <w:pStyle w:val="98"/>
              <w:widowControl/>
              <w:spacing w:line="300" w:lineRule="auto"/>
              <w:ind w:firstLine="0" w:firstLineChars="0"/>
              <w:rPr>
                <w:rStyle w:val="78"/>
                <w:rFonts w:ascii="宋体" w:hAnsi="宋体" w:cs="宋体"/>
                <w:sz w:val="24"/>
                <w:szCs w:val="24"/>
              </w:rPr>
            </w:pPr>
            <w:r>
              <w:rPr>
                <w:rStyle w:val="78"/>
                <w:rFonts w:hint="eastAsia" w:ascii="宋体" w:hAnsi="宋体" w:cs="宋体"/>
                <w:sz w:val="24"/>
                <w:szCs w:val="24"/>
              </w:rPr>
              <w:t>合理化建议</w:t>
            </w:r>
          </w:p>
          <w:p>
            <w:pPr>
              <w:snapToGrid w:val="0"/>
              <w:spacing w:line="300" w:lineRule="auto"/>
              <w:ind w:right="3" w:firstLine="0" w:firstLineChars="0"/>
              <w:jc w:val="center"/>
              <w:textAlignment w:val="baseline"/>
              <w:rPr>
                <w:rFonts w:ascii="宋体" w:hAnsi="宋体" w:cs="宋体"/>
                <w:b/>
                <w:bCs/>
                <w:szCs w:val="24"/>
              </w:rPr>
            </w:pPr>
            <w:r>
              <w:rPr>
                <w:rStyle w:val="78"/>
                <w:rFonts w:hint="eastAsia" w:ascii="宋体" w:hAnsi="宋体" w:cs="宋体"/>
                <w:szCs w:val="24"/>
              </w:rPr>
              <w:t>（4分）</w:t>
            </w:r>
          </w:p>
        </w:tc>
        <w:tc>
          <w:tcPr>
            <w:tcW w:w="7469" w:type="dxa"/>
            <w:tcBorders>
              <w:top w:val="single" w:color="auto" w:sz="4" w:space="0"/>
              <w:left w:val="single" w:color="auto" w:sz="4" w:space="0"/>
              <w:right w:val="single" w:color="auto" w:sz="4" w:space="0"/>
            </w:tcBorders>
            <w:vAlign w:val="center"/>
          </w:tcPr>
          <w:p>
            <w:pPr>
              <w:snapToGrid w:val="0"/>
              <w:spacing w:line="300" w:lineRule="auto"/>
              <w:ind w:right="3" w:firstLine="0" w:firstLineChars="0"/>
              <w:textAlignment w:val="baseline"/>
              <w:rPr>
                <w:rFonts w:ascii="宋体" w:hAnsi="宋体" w:cs="宋体"/>
                <w:szCs w:val="24"/>
              </w:rPr>
            </w:pPr>
            <w:r>
              <w:rPr>
                <w:rStyle w:val="78"/>
                <w:rFonts w:hint="eastAsia" w:ascii="宋体" w:hAnsi="宋体" w:cs="宋体"/>
                <w:szCs w:val="24"/>
              </w:rPr>
              <w:t>根据投标供应商提出的针对本项目的合理化建议，有针对性、可操作性强的得2-4分，存在欠合理、科学、规范的得0-1.9分，未表述不得分。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right"/>
        </w:trPr>
        <w:tc>
          <w:tcPr>
            <w:tcW w:w="962" w:type="dxa"/>
            <w:vMerge w:val="restart"/>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商务资信分</w:t>
            </w:r>
          </w:p>
          <w:p>
            <w:pPr>
              <w:spacing w:line="300" w:lineRule="auto"/>
              <w:ind w:firstLine="0" w:firstLineChars="0"/>
              <w:contextualSpacing/>
              <w:rPr>
                <w:rFonts w:ascii="宋体" w:hAnsi="宋体" w:cs="宋体"/>
                <w:szCs w:val="24"/>
              </w:rPr>
            </w:pPr>
            <w:r>
              <w:rPr>
                <w:rFonts w:hint="eastAsia" w:ascii="宋体" w:hAnsi="宋体" w:cs="宋体"/>
                <w:szCs w:val="24"/>
              </w:rPr>
              <w:t>（10分）</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诚信分</w:t>
            </w:r>
          </w:p>
          <w:p>
            <w:pPr>
              <w:spacing w:line="300" w:lineRule="auto"/>
              <w:ind w:firstLine="0" w:firstLineChars="0"/>
              <w:contextualSpacing/>
              <w:rPr>
                <w:rFonts w:ascii="宋体" w:hAnsi="宋体" w:cs="宋体"/>
                <w:szCs w:val="24"/>
              </w:rPr>
            </w:pPr>
            <w:r>
              <w:rPr>
                <w:rFonts w:hint="eastAsia" w:ascii="宋体" w:hAnsi="宋体" w:cs="宋体"/>
                <w:szCs w:val="24"/>
              </w:rPr>
              <w:t>（3分）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凡在投标截止时间前三年受到行政处罚、行政处理（含通报）或记入不良行为的，此项得分为0，若无处罚、行政处理（含通报）或记入不良行为的得3分（详见诚信承诺书，未提供不得分）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962"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vMerge w:val="restart"/>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r>
              <w:rPr>
                <w:rFonts w:hint="eastAsia" w:ascii="宋体" w:hAnsi="宋体" w:cs="宋体"/>
                <w:szCs w:val="24"/>
              </w:rPr>
              <w:t>业绩</w:t>
            </w:r>
          </w:p>
          <w:p>
            <w:pPr>
              <w:spacing w:line="300" w:lineRule="auto"/>
              <w:ind w:firstLine="0" w:firstLineChars="0"/>
              <w:contextualSpacing/>
              <w:jc w:val="left"/>
              <w:rPr>
                <w:rFonts w:ascii="宋体" w:hAnsi="宋体" w:cs="宋体"/>
                <w:szCs w:val="24"/>
              </w:rPr>
            </w:pPr>
            <w:r>
              <w:rPr>
                <w:rFonts w:hint="eastAsia" w:ascii="宋体" w:hAnsi="宋体" w:cs="宋体"/>
                <w:szCs w:val="24"/>
              </w:rPr>
              <w:t>（3分）</w:t>
            </w: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Style w:val="78"/>
                <w:rFonts w:hint="eastAsia" w:ascii="宋体" w:hAnsi="宋体" w:cs="宋体"/>
                <w:szCs w:val="24"/>
              </w:rPr>
              <w:t>1.自2019年1月1日</w:t>
            </w:r>
            <w:r>
              <w:rPr>
                <w:rStyle w:val="78"/>
                <w:rFonts w:hint="eastAsia" w:ascii="宋体" w:hAnsi="宋体" w:cs="宋体"/>
                <w:color w:val="auto"/>
                <w:szCs w:val="24"/>
              </w:rPr>
              <w:t>以来投标人承担过水文测站运行管理项目（内容同时包含水位、雨量、流量</w:t>
            </w:r>
            <w:r>
              <w:rPr>
                <w:rStyle w:val="78"/>
                <w:rFonts w:hint="eastAsia" w:ascii="宋体" w:hAnsi="宋体" w:cs="宋体"/>
                <w:szCs w:val="24"/>
              </w:rPr>
              <w:t>设备维护、流量巡测测验、相关率定成果分析、定线三种检验及精度评定）每个得0.75分，本项最高得1.5分。</w:t>
            </w:r>
            <w:r>
              <w:rPr>
                <w:rStyle w:val="78"/>
                <w:rFonts w:hint="eastAsia" w:ascii="宋体" w:hAnsi="宋体" w:cs="宋体"/>
                <w:b/>
                <w:bCs/>
                <w:szCs w:val="24"/>
              </w:rPr>
              <w:t>注：时间以合同签订时间为准，需在资信商务及技术文件中同时提供中标通知书、项目合同及验收报告扫描件加盖投标人CA公章，否则不得分。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right"/>
        </w:trPr>
        <w:tc>
          <w:tcPr>
            <w:tcW w:w="962"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vMerge w:val="continue"/>
            <w:tcBorders>
              <w:left w:val="single" w:color="auto" w:sz="4" w:space="0"/>
              <w:right w:val="single" w:color="auto" w:sz="4" w:space="0"/>
            </w:tcBorders>
            <w:vAlign w:val="center"/>
          </w:tcPr>
          <w:p>
            <w:pPr>
              <w:spacing w:line="300" w:lineRule="auto"/>
              <w:ind w:firstLine="0" w:firstLineChars="0"/>
              <w:contextualSpacing/>
              <w:jc w:val="left"/>
              <w:rPr>
                <w:rFonts w:ascii="宋体" w:hAnsi="宋体" w:cs="宋体"/>
                <w:szCs w:val="24"/>
              </w:rPr>
            </w:pPr>
          </w:p>
        </w:tc>
        <w:tc>
          <w:tcPr>
            <w:tcW w:w="7469" w:type="dxa"/>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Style w:val="78"/>
                <w:rFonts w:hint="eastAsia" w:ascii="宋体" w:hAnsi="宋体" w:cs="宋体"/>
                <w:szCs w:val="24"/>
              </w:rPr>
              <w:t xml:space="preserve">2.自2019年1月1日以来投标人承担过多普勒流速比测率定服务项目每个得0.75分，本项最高得1.5分。 </w:t>
            </w:r>
            <w:r>
              <w:rPr>
                <w:rStyle w:val="78"/>
                <w:rFonts w:hint="eastAsia" w:ascii="宋体" w:hAnsi="宋体" w:cs="宋体"/>
                <w:b/>
                <w:bCs/>
                <w:szCs w:val="24"/>
              </w:rPr>
              <w:t>注：时间以合同签订时间为准，需在资信商务及技术文件中同时提供中标通知书、项目合同及验收报告扫描件加盖投标人CA公章，否则不得分。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right"/>
        </w:trPr>
        <w:tc>
          <w:tcPr>
            <w:tcW w:w="962"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vMerge w:val="restart"/>
            <w:tcBorders>
              <w:top w:val="single" w:color="auto" w:sz="4" w:space="0"/>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r>
              <w:rPr>
                <w:rFonts w:hint="eastAsia" w:ascii="宋体" w:hAnsi="宋体" w:cs="宋体"/>
                <w:szCs w:val="24"/>
              </w:rPr>
              <w:t>相关证书（4分）</w:t>
            </w:r>
          </w:p>
        </w:tc>
        <w:tc>
          <w:tcPr>
            <w:tcW w:w="746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kern w:val="0"/>
                <w:szCs w:val="24"/>
              </w:rPr>
            </w:pPr>
            <w:r>
              <w:rPr>
                <w:rStyle w:val="78"/>
                <w:rFonts w:hint="eastAsia" w:ascii="宋体" w:hAnsi="宋体" w:cs="宋体"/>
                <w:szCs w:val="24"/>
              </w:rPr>
              <w:t>1.投标人管理体系健全，具备有效期内的质量管理体系认证、职业健康安全管理体系认证、环境管理体系认证每个得1分，最高得3分。</w:t>
            </w:r>
            <w:r>
              <w:rPr>
                <w:rStyle w:val="78"/>
                <w:rFonts w:hint="eastAsia" w:ascii="宋体" w:hAnsi="宋体" w:cs="宋体"/>
                <w:b/>
                <w:bCs/>
                <w:szCs w:val="24"/>
              </w:rPr>
              <w:t>注：需在资信商务及技术文件中提供证书扫描件及官方网站截图加盖投标人CA公章，否则不得分。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right"/>
        </w:trPr>
        <w:tc>
          <w:tcPr>
            <w:tcW w:w="962" w:type="dxa"/>
            <w:vMerge w:val="continue"/>
            <w:tcBorders>
              <w:left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1231" w:type="dxa"/>
            <w:vMerge w:val="continue"/>
            <w:tcBorders>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cs="宋体"/>
                <w:szCs w:val="24"/>
              </w:rPr>
            </w:pPr>
          </w:p>
        </w:tc>
        <w:tc>
          <w:tcPr>
            <w:tcW w:w="7469" w:type="dxa"/>
            <w:tcBorders>
              <w:top w:val="single" w:color="auto" w:sz="4" w:space="0"/>
              <w:left w:val="single" w:color="auto" w:sz="4" w:space="0"/>
              <w:bottom w:val="single" w:color="auto" w:sz="4" w:space="0"/>
              <w:right w:val="single" w:color="auto" w:sz="4" w:space="0"/>
            </w:tcBorders>
            <w:vAlign w:val="center"/>
          </w:tcPr>
          <w:p>
            <w:pPr>
              <w:pStyle w:val="98"/>
              <w:widowControl/>
              <w:spacing w:line="300" w:lineRule="auto"/>
              <w:ind w:firstLine="0" w:firstLineChars="0"/>
              <w:jc w:val="left"/>
              <w:rPr>
                <w:rFonts w:ascii="宋体" w:hAnsi="宋体" w:cs="宋体"/>
                <w:sz w:val="24"/>
                <w:szCs w:val="24"/>
              </w:rPr>
            </w:pPr>
            <w:r>
              <w:rPr>
                <w:rStyle w:val="78"/>
                <w:rFonts w:hint="eastAsia" w:ascii="宋体" w:hAnsi="宋体" w:cs="宋体"/>
                <w:sz w:val="24"/>
                <w:szCs w:val="24"/>
              </w:rPr>
              <w:t>2.投标人具有信息系统建设和服务能力证书的得1分。</w:t>
            </w:r>
            <w:r>
              <w:rPr>
                <w:rStyle w:val="78"/>
                <w:rFonts w:hint="eastAsia" w:ascii="宋体" w:hAnsi="宋体" w:cs="宋体"/>
                <w:b/>
                <w:bCs/>
                <w:sz w:val="24"/>
                <w:szCs w:val="24"/>
              </w:rPr>
              <w:t>注：需在资信商务及技术文件中提供证书扫描件加盖投标人CA公章，否则不得分。</w:t>
            </w:r>
          </w:p>
        </w:tc>
      </w:tr>
    </w:tbl>
    <w:p>
      <w:pPr>
        <w:pStyle w:val="95"/>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4"/>
        <w:ind w:firstLine="643"/>
        <w:rPr>
          <w:color w:val="000000"/>
          <w:sz w:val="36"/>
          <w:szCs w:val="36"/>
        </w:rPr>
      </w:pPr>
      <w:bookmarkStart w:id="32" w:name="_Toc32631"/>
      <w:r>
        <w:rPr>
          <w:rFonts w:hint="eastAsia"/>
          <w:color w:val="000000"/>
        </w:rPr>
        <w:t xml:space="preserve">第五章  </w:t>
      </w:r>
      <w:r>
        <w:rPr>
          <w:rFonts w:hint="eastAsia"/>
        </w:rPr>
        <w:t>嘉善县政府采购合同</w:t>
      </w:r>
      <w:bookmarkEnd w:id="3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02"/>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善财采确临[2023]</w:t>
      </w:r>
      <w:r>
        <w:rPr>
          <w:rFonts w:ascii="宋体" w:hAnsi="宋体" w:cs="宋体"/>
          <w:szCs w:val="24"/>
        </w:rPr>
        <w:t>86</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额：150</w:t>
      </w:r>
      <w:r>
        <w:rPr>
          <w:rFonts w:ascii="宋体" w:hAnsi="宋体" w:cs="宋体"/>
          <w:kern w:val="0"/>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采购人（以下称甲方）：嘉善县水利局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HZZX-2023-G03</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rPr>
        <w:t>2023年嘉善县水文测站设施设备运维项目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rPr>
        <w:t>2023年嘉善县水文测站设施设备运维项目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（1）本合同项下的采购资金系甲方自行支付，付款程序为</w:t>
      </w:r>
      <w:r>
        <w:rPr>
          <w:rFonts w:hint="eastAsia" w:ascii="宋体" w:hAnsi="宋体" w:cs="宋体"/>
          <w:kern w:val="0"/>
          <w:u w:val="single"/>
        </w:rPr>
        <w:t xml:space="preserve"> /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（2）本合同项下的采购资金须财政直接支付，付款程序为</w:t>
      </w:r>
      <w:r>
        <w:rPr>
          <w:rFonts w:hint="eastAsia" w:ascii="宋体" w:hAnsi="宋体" w:cs="宋体"/>
          <w:kern w:val="0"/>
          <w:u w:val="single"/>
        </w:rPr>
        <w:t xml:space="preserve"> /</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授权支付</w:t>
      </w:r>
      <w:r>
        <w:rPr>
          <w:rFonts w:hint="eastAsia" w:ascii="宋体" w:hAnsi="宋体" w:cs="宋体"/>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5．本合同项下的采购资金付款进度按采购文件与投标文件规定，未规定时按以下第</w:t>
      </w:r>
      <w:r>
        <w:rPr>
          <w:rFonts w:hint="eastAsia" w:ascii="宋体" w:hAnsi="宋体" w:cs="宋体"/>
          <w:kern w:val="0"/>
          <w:u w:val="single"/>
        </w:rPr>
        <w:t>（2）</w:t>
      </w:r>
      <w:r>
        <w:rPr>
          <w:rFonts w:hint="eastAsia" w:ascii="宋体" w:hAnsi="宋体" w:cs="宋体"/>
          <w:kern w:val="0"/>
        </w:rPr>
        <w:t>项支付：</w:t>
      </w:r>
    </w:p>
    <w:p>
      <w:pPr>
        <w:ind w:firstLine="480"/>
        <w:contextualSpacing/>
        <w:rPr>
          <w:rFonts w:ascii="宋体" w:hAnsi="宋体" w:cs="宋体"/>
          <w:kern w:val="0"/>
        </w:rPr>
      </w:pPr>
      <w:r>
        <w:rPr>
          <w:rFonts w:hint="eastAsia" w:ascii="宋体" w:hAnsi="宋体" w:cs="宋体"/>
          <w:kern w:val="0"/>
        </w:rPr>
        <w:t>（1）一次性付款：</w:t>
      </w:r>
      <w:r>
        <w:rPr>
          <w:rFonts w:hint="eastAsia" w:ascii="宋体" w:hAnsi="宋体"/>
        </w:rPr>
        <w:t>/。</w:t>
      </w:r>
    </w:p>
    <w:p>
      <w:pPr>
        <w:snapToGrid w:val="0"/>
        <w:spacing w:line="300" w:lineRule="auto"/>
        <w:ind w:firstLine="480"/>
        <w:contextualSpacing/>
        <w:rPr>
          <w:rFonts w:ascii="宋体" w:hAnsi="宋体" w:cs="宋体"/>
          <w:color w:val="auto"/>
          <w:kern w:val="0"/>
        </w:rPr>
      </w:pPr>
      <w:r>
        <w:rPr>
          <w:rFonts w:hint="eastAsia" w:ascii="宋体" w:hAnsi="宋体" w:cs="宋体"/>
          <w:kern w:val="0"/>
        </w:rPr>
        <w:t>（2）分期付款</w:t>
      </w:r>
      <w:r>
        <w:rPr>
          <w:rFonts w:hint="eastAsia" w:ascii="宋体" w:hAnsi="宋体" w:cs="宋体"/>
          <w:color w:val="auto"/>
          <w:kern w:val="0"/>
        </w:rPr>
        <w:t>：</w:t>
      </w:r>
      <w:r>
        <w:rPr>
          <w:rFonts w:hint="eastAsia" w:ascii="宋体" w:hAnsi="宋体" w:cs="宋体"/>
          <w:color w:val="auto"/>
          <w:szCs w:val="24"/>
        </w:rPr>
        <w:t>合同生效后支付</w:t>
      </w:r>
      <w:r>
        <w:rPr>
          <w:rFonts w:hint="eastAsia" w:ascii="宋体" w:hAnsi="宋体"/>
          <w:color w:val="auto"/>
        </w:rPr>
        <w:t>合同金额的40%，2023年7月31日前根据考核情况支付合同金额的40%，2023年12月31日前根据考核情况付清余款（</w:t>
      </w:r>
      <w:r>
        <w:rPr>
          <w:rFonts w:hint="eastAsia" w:ascii="宋体" w:hAnsi="宋体" w:cs="宋体"/>
          <w:bCs/>
          <w:color w:val="auto"/>
          <w:szCs w:val="24"/>
        </w:rPr>
        <w:t>《2023年度嘉善县水文测站设施设备运维项目考核测评表》见附件</w:t>
      </w:r>
      <w:r>
        <w:rPr>
          <w:rFonts w:hint="eastAsia" w:ascii="宋体" w:hAnsi="宋体"/>
          <w:color w:val="auto"/>
        </w:rPr>
        <w:t>）。</w:t>
      </w:r>
    </w:p>
    <w:p>
      <w:pPr>
        <w:ind w:firstLine="482"/>
        <w:rPr>
          <w:rFonts w:ascii="宋体" w:hAnsi="宋体" w:cs="宋体"/>
          <w:b/>
          <w:color w:val="auto"/>
          <w:kern w:val="0"/>
        </w:rPr>
      </w:pPr>
      <w:r>
        <w:rPr>
          <w:rFonts w:hint="eastAsia" w:ascii="宋体" w:hAnsi="宋体" w:cs="宋体"/>
          <w:b/>
          <w:color w:val="auto"/>
          <w:kern w:val="0"/>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按以下第</w:t>
      </w:r>
      <w:r>
        <w:rPr>
          <w:rFonts w:hint="eastAsia" w:ascii="宋体" w:hAnsi="宋体" w:cs="宋体"/>
          <w:color w:val="auto"/>
          <w:kern w:val="0"/>
          <w:u w:val="single"/>
        </w:rPr>
        <w:t xml:space="preserve">   2   </w:t>
      </w:r>
      <w:r>
        <w:rPr>
          <w:rFonts w:hint="eastAsia" w:ascii="宋体" w:hAnsi="宋体" w:cs="宋体"/>
          <w:color w:val="auto"/>
          <w:kern w:val="0"/>
        </w:rPr>
        <w:t>项处理：</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12" w:lineRule="auto"/>
        <w:ind w:firstLine="480"/>
        <w:jc w:val="left"/>
        <w:rPr>
          <w:rFonts w:ascii="宋体" w:hAnsi="宋体" w:cs="宋体"/>
          <w:color w:val="auto"/>
          <w:kern w:val="0"/>
        </w:rPr>
      </w:pPr>
      <w:r>
        <w:rPr>
          <w:rFonts w:hint="eastAsia" w:ascii="宋体" w:hAnsi="宋体" w:cs="宋体"/>
          <w:color w:val="auto"/>
          <w:kern w:val="0"/>
        </w:rPr>
        <w:t>本项目设置履约保证金，乙方应于</w:t>
      </w:r>
      <w:r>
        <w:rPr>
          <w:rFonts w:hint="eastAsia" w:ascii="宋体" w:hAnsi="宋体" w:cs="宋体"/>
          <w:color w:val="auto"/>
          <w:szCs w:val="24"/>
          <w:u w:val="single"/>
        </w:rPr>
        <w:t>/</w:t>
      </w:r>
      <w:r>
        <w:rPr>
          <w:rFonts w:ascii="宋体" w:hAnsi="宋体"/>
          <w:color w:val="auto"/>
        </w:rPr>
        <w:t>以支票、汇票、本票或者金融机构、担保机构出具的保函等非现金形式</w:t>
      </w:r>
      <w:r>
        <w:rPr>
          <w:rFonts w:hint="eastAsia" w:ascii="宋体" w:hAnsi="宋体" w:cs="宋体"/>
          <w:color w:val="auto"/>
          <w:kern w:val="0"/>
        </w:rPr>
        <w:t>向甲方提交履约保证金</w:t>
      </w:r>
      <w:r>
        <w:rPr>
          <w:rFonts w:hint="eastAsia" w:ascii="宋体" w:hAnsi="宋体" w:cs="宋体"/>
          <w:color w:val="auto"/>
          <w:kern w:val="0"/>
          <w:u w:val="single"/>
        </w:rPr>
        <w:t>/</w:t>
      </w:r>
      <w:r>
        <w:rPr>
          <w:rFonts w:hint="eastAsia" w:ascii="宋体" w:hAnsi="宋体" w:cs="宋体"/>
          <w:color w:val="auto"/>
          <w:kern w:val="0"/>
        </w:rPr>
        <w:t>元。履约保证金在</w:t>
      </w:r>
      <w:r>
        <w:rPr>
          <w:rFonts w:ascii="宋体" w:hAnsi="宋体" w:cs="宋体"/>
          <w:color w:val="auto"/>
          <w:szCs w:val="24"/>
          <w:u w:val="single"/>
        </w:rPr>
        <w:t xml:space="preserve"> </w:t>
      </w:r>
      <w:r>
        <w:rPr>
          <w:rFonts w:hint="eastAsia" w:ascii="宋体" w:hAnsi="宋体"/>
          <w:color w:val="auto"/>
          <w:u w:val="single"/>
        </w:rPr>
        <w:t>/</w:t>
      </w:r>
      <w:r>
        <w:rPr>
          <w:rFonts w:hint="eastAsia" w:ascii="宋体" w:hAnsi="宋体" w:cs="宋体"/>
          <w:color w:val="auto"/>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color w:val="auto"/>
          <w:kern w:val="0"/>
        </w:rPr>
      </w:pPr>
      <w:r>
        <w:rPr>
          <w:rFonts w:hint="eastAsia" w:ascii="宋体" w:hAnsi="宋体" w:cs="宋体"/>
          <w:bCs/>
          <w:color w:val="auto"/>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auto"/>
        </w:rPr>
      </w:pPr>
      <w:r>
        <w:rPr>
          <w:rFonts w:hint="eastAsia" w:ascii="宋体" w:hAnsi="宋体" w:cs="宋体"/>
          <w:b/>
          <w:bCs/>
          <w:color w:val="auto"/>
          <w:kern w:val="0"/>
        </w:rPr>
        <w:t xml:space="preserve">第五条 </w:t>
      </w:r>
      <w:r>
        <w:rPr>
          <w:rFonts w:hint="eastAsia" w:ascii="宋体" w:hAnsi="宋体"/>
          <w:b/>
          <w:color w:val="auto"/>
          <w:szCs w:val="21"/>
        </w:rPr>
        <w:t>管理运行时间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Arial"/>
          <w:color w:val="auto"/>
          <w:kern w:val="0"/>
          <w:highlight w:val="yellow"/>
        </w:rPr>
      </w:pPr>
      <w:r>
        <w:rPr>
          <w:rFonts w:hint="eastAsia" w:ascii="宋体" w:hAnsi="宋体"/>
          <w:color w:val="auto"/>
          <w:szCs w:val="21"/>
        </w:rPr>
        <w:t>合同签订之日起至202</w:t>
      </w:r>
      <w:r>
        <w:rPr>
          <w:rFonts w:ascii="宋体" w:hAnsi="宋体"/>
          <w:color w:val="auto"/>
          <w:szCs w:val="21"/>
        </w:rPr>
        <w:t>4</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31</w:t>
      </w:r>
      <w:r>
        <w:rPr>
          <w:rFonts w:hint="eastAsia" w:ascii="宋体" w:hAnsi="宋体"/>
          <w:color w:val="auto"/>
          <w:szCs w:val="21"/>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rPr>
        <w:t>2023年嘉善县水文测站设施设备运维项目</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spacing w:line="300" w:lineRule="auto"/>
        <w:ind w:firstLine="482"/>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第一条 违约责任</w:t>
      </w:r>
    </w:p>
    <w:p>
      <w:pPr>
        <w:spacing w:line="300" w:lineRule="auto"/>
        <w:ind w:firstLine="480"/>
        <w:rPr>
          <w:rFonts w:ascii="宋体" w:hAnsi="宋体" w:cs="宋体"/>
          <w:color w:val="000000" w:themeColor="text1"/>
          <w:szCs w:val="24"/>
          <w14:textFill>
            <w14:solidFill>
              <w14:schemeClr w14:val="tx1"/>
            </w14:solidFill>
          </w14:textFill>
        </w:rPr>
      </w:pPr>
      <w:r>
        <w:t>签订合同后，如</w:t>
      </w:r>
      <w:r>
        <w:rPr>
          <w:rFonts w:hint="eastAsia"/>
        </w:rPr>
        <w:t>乙方</w:t>
      </w:r>
      <w:r>
        <w:t>不按双方签订合同约定履约，按实际损失赔偿</w:t>
      </w:r>
      <w:r>
        <w:rPr>
          <w:rFonts w:hint="eastAsia"/>
        </w:rPr>
        <w:t>甲方</w:t>
      </w:r>
      <w:r>
        <w:rPr>
          <w:rFonts w:hint="eastAsia" w:ascii="宋体" w:hAnsi="宋体"/>
          <w:color w:val="000000" w:themeColor="text1"/>
          <w14:textFill>
            <w14:solidFill>
              <w14:schemeClr w14:val="tx1"/>
            </w14:solidFill>
          </w14:textFill>
        </w:rPr>
        <w:t>。</w:t>
      </w:r>
    </w:p>
    <w:p>
      <w:pPr>
        <w:spacing w:line="300" w:lineRule="auto"/>
        <w:ind w:firstLine="482"/>
        <w:rPr>
          <w:rFonts w:ascii="宋体" w:hAnsi="宋体"/>
          <w:b/>
        </w:rPr>
      </w:pPr>
      <w:r>
        <w:rPr>
          <w:rFonts w:hint="eastAsia" w:ascii="宋体" w:hAnsi="宋体"/>
          <w:b/>
        </w:rPr>
        <w:t>第二条 不可抗力事件处理</w:t>
      </w:r>
    </w:p>
    <w:p>
      <w:pPr>
        <w:spacing w:line="300" w:lineRule="auto"/>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spacing w:line="300" w:lineRule="auto"/>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spacing w:line="300" w:lineRule="auto"/>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spacing w:line="300" w:lineRule="auto"/>
        <w:ind w:firstLine="482"/>
        <w:rPr>
          <w:rFonts w:ascii="宋体" w:hAnsi="宋体" w:cs="宋体"/>
          <w:b/>
          <w:bCs/>
          <w:kern w:val="0"/>
        </w:rPr>
      </w:pPr>
      <w:r>
        <w:rPr>
          <w:rFonts w:hint="eastAsia" w:ascii="宋体" w:hAnsi="宋体" w:cs="宋体"/>
          <w:b/>
          <w:bCs/>
          <w:kern w:val="0"/>
        </w:rPr>
        <w:t>第三条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自合同签订之日起至本项目合同履行完毕之日止。</w:t>
      </w:r>
    </w:p>
    <w:p>
      <w:pPr>
        <w:spacing w:line="300" w:lineRule="auto"/>
        <w:ind w:firstLine="482"/>
        <w:rPr>
          <w:rFonts w:ascii="宋体" w:hAnsi="宋体" w:cs="宋体"/>
          <w:b/>
          <w:bCs/>
          <w:kern w:val="0"/>
        </w:rPr>
      </w:pPr>
      <w:r>
        <w:rPr>
          <w:rFonts w:hint="eastAsia" w:ascii="宋体" w:hAnsi="宋体" w:cs="宋体"/>
          <w:b/>
          <w:bCs/>
          <w:kern w:val="0"/>
        </w:rPr>
        <w:t>第四条 考核制度和扣付款</w:t>
      </w:r>
    </w:p>
    <w:p>
      <w:pPr>
        <w:spacing w:line="300" w:lineRule="auto"/>
        <w:ind w:firstLine="480"/>
        <w:rPr>
          <w:rFonts w:ascii="宋体" w:hAnsi="宋体" w:cs="宋体"/>
          <w:szCs w:val="24"/>
        </w:rPr>
      </w:pPr>
      <w:r>
        <w:rPr>
          <w:rFonts w:hint="eastAsia"/>
        </w:rPr>
        <w:t>为进一步加强对委托、外包的水文运行维护公司的管理工作，确保水文运行维护和监测成果质量。根据《嘉善县水文测站运行管理</w:t>
      </w:r>
      <w:r>
        <w:rPr>
          <w:rFonts w:hint="eastAsia" w:ascii="宋体" w:hAnsi="宋体" w:cs="宋体"/>
          <w:szCs w:val="24"/>
        </w:rPr>
        <w:t>手册》，结合委托、外包的水文运行维护公司的实际工作，制定本考核</w:t>
      </w:r>
      <w:r>
        <w:rPr>
          <w:rFonts w:hint="eastAsia" w:ascii="宋体" w:hAnsi="宋体" w:cs="宋体"/>
          <w:b/>
          <w:bCs/>
          <w:kern w:val="0"/>
        </w:rPr>
        <w:t>和扣付款</w:t>
      </w:r>
      <w:r>
        <w:rPr>
          <w:rFonts w:hint="eastAsia" w:ascii="宋体" w:hAnsi="宋体" w:cs="宋体"/>
          <w:szCs w:val="24"/>
        </w:rPr>
        <w:t>制度。</w:t>
      </w:r>
    </w:p>
    <w:p>
      <w:pPr>
        <w:spacing w:line="300" w:lineRule="auto"/>
        <w:ind w:firstLine="482"/>
        <w:jc w:val="left"/>
        <w:rPr>
          <w:rFonts w:ascii="宋体" w:hAnsi="宋体" w:cs="宋体"/>
          <w:b/>
          <w:bCs/>
        </w:rPr>
      </w:pPr>
      <w:r>
        <w:rPr>
          <w:rFonts w:hint="eastAsia" w:ascii="宋体" w:hAnsi="宋体" w:cs="宋体"/>
          <w:b/>
          <w:bCs/>
        </w:rPr>
        <w:t>一、普通考核</w:t>
      </w:r>
    </w:p>
    <w:p>
      <w:pPr>
        <w:spacing w:line="300" w:lineRule="auto"/>
        <w:ind w:firstLine="480"/>
        <w:jc w:val="left"/>
        <w:rPr>
          <w:rFonts w:ascii="宋体" w:hAnsi="宋体" w:cs="宋体"/>
        </w:rPr>
      </w:pPr>
      <w:r>
        <w:rPr>
          <w:rFonts w:hint="eastAsia" w:ascii="宋体" w:hAnsi="宋体" w:cs="宋体"/>
        </w:rPr>
        <w:t>2023年度嘉善县水文测站设施设备运维项目根据项目实施和付款需要进行两次考核，考核内容参照《2023年度嘉善县水文测站设施设备运维项目考核测评表》，考核前经甲乙双方协商一致，可对考核内容和分值权重略作修改。</w:t>
      </w:r>
    </w:p>
    <w:p>
      <w:pPr>
        <w:spacing w:line="300" w:lineRule="auto"/>
        <w:ind w:firstLine="480"/>
        <w:jc w:val="left"/>
        <w:rPr>
          <w:rFonts w:ascii="宋体" w:hAnsi="宋体" w:cs="宋体"/>
        </w:rPr>
      </w:pPr>
      <w:r>
        <w:rPr>
          <w:rFonts w:hint="eastAsia" w:ascii="宋体" w:hAnsi="宋体" w:cs="宋体"/>
        </w:rPr>
        <w:t>考评分为优秀、良好、不合格三档。其中，优秀为考评总分90分（含90分）以上； 良好为90分以下～80分（含80分）；不合格为80分以下。（1）考评总分为优秀的，当期合同款在考核完成10日内按合同支付。（2）考评分为良好的，且小于85分（不含），每低1分，扣除伍仟元（5000元）：如考评分为84分则扣除伍仟元（5000元），以此类推。（3）考评分为不合格的，首先将扣除当期应付合同款的20%，并将存在的问题进行整改，然后视整改情况付款。整改较好的，按合同款的80%付清；整改不到位或存在隐患的，暂缓付款，一直至整改到位为止，才能按合同款的80%付清。</w:t>
      </w:r>
    </w:p>
    <w:p>
      <w:pPr>
        <w:spacing w:line="300" w:lineRule="auto"/>
        <w:ind w:firstLine="482"/>
        <w:jc w:val="left"/>
        <w:rPr>
          <w:rFonts w:ascii="宋体" w:hAnsi="宋体" w:cs="宋体"/>
          <w:b/>
          <w:bCs/>
        </w:rPr>
      </w:pPr>
      <w:r>
        <w:rPr>
          <w:rFonts w:hint="eastAsia" w:ascii="宋体" w:hAnsi="宋体" w:cs="宋体"/>
          <w:b/>
          <w:bCs/>
        </w:rPr>
        <w:t>二、特殊考核</w:t>
      </w:r>
    </w:p>
    <w:p>
      <w:pPr>
        <w:spacing w:line="300" w:lineRule="auto"/>
        <w:ind w:firstLine="480"/>
        <w:jc w:val="left"/>
        <w:rPr>
          <w:rFonts w:ascii="宋体" w:hAnsi="宋体" w:cs="宋体"/>
        </w:rPr>
      </w:pPr>
      <w:r>
        <w:rPr>
          <w:rFonts w:hint="eastAsia" w:ascii="宋体" w:hAnsi="宋体" w:cs="宋体"/>
        </w:rPr>
        <w:t>1.在应急响应期间，水文信息网站或嘉善水文公众号，出现4小时以上无法正常使用（含界面可显示，但出现外港水位2站（含）或其他站超5站（含）以上数据失真）情况，则直接扣除合同款壹万元（10000元），超过12小时的则直接扣除合同款叁万元（30000元）。</w:t>
      </w:r>
    </w:p>
    <w:p>
      <w:pPr>
        <w:spacing w:line="300" w:lineRule="auto"/>
        <w:ind w:firstLine="480"/>
        <w:jc w:val="left"/>
        <w:rPr>
          <w:rFonts w:ascii="宋体" w:hAnsi="宋体" w:cs="宋体"/>
        </w:rPr>
      </w:pPr>
      <w:r>
        <w:rPr>
          <w:rFonts w:hint="eastAsia" w:ascii="宋体" w:hAnsi="宋体" w:cs="宋体"/>
        </w:rPr>
        <w:t>2.在应急响应期间，12个外港水位站中出现4小时以上，（2站（含）以上）视频监控无法清晰显示水尺，则直接扣除合同款壹万元（10000元），超过12小时的则直接扣除合同款叁万元（30000元）。</w:t>
      </w:r>
    </w:p>
    <w:p>
      <w:pPr>
        <w:spacing w:line="300" w:lineRule="auto"/>
        <w:ind w:firstLine="480"/>
        <w:jc w:val="left"/>
        <w:rPr>
          <w:rFonts w:ascii="宋体" w:hAnsi="宋体" w:cs="宋体"/>
        </w:rPr>
      </w:pPr>
      <w:r>
        <w:rPr>
          <w:rFonts w:hint="eastAsia" w:ascii="宋体" w:hAnsi="宋体" w:cs="宋体"/>
        </w:rPr>
        <w:t>3.汛期（4月15日-10月15日）水文信息网站或嘉善水文公众号，出现24小时以上无法正常使用（含可显示，但出现外港水位超过2站或其他站超5站以上数据失真）情况，则直接扣除合同款壹万元（10000元），超过72小时的则直接扣除合同款叁万元（30000元）。</w:t>
      </w:r>
    </w:p>
    <w:p>
      <w:pPr>
        <w:spacing w:line="300" w:lineRule="auto"/>
        <w:ind w:firstLine="480"/>
        <w:jc w:val="left"/>
        <w:rPr>
          <w:rFonts w:ascii="宋体" w:hAnsi="宋体" w:cs="宋体"/>
        </w:rPr>
      </w:pPr>
      <w:r>
        <w:rPr>
          <w:rFonts w:hint="eastAsia" w:ascii="宋体" w:hAnsi="宋体" w:cs="宋体"/>
        </w:rPr>
        <w:t>4.本项特殊考核扣款独立计算，并与普通考核叠加扣除。</w:t>
      </w:r>
    </w:p>
    <w:p>
      <w:pPr>
        <w:pStyle w:val="2"/>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Ansi="宋体" w:cs="宋体"/>
          <w:sz w:val="24"/>
          <w:szCs w:val="24"/>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rPr>
        <w:t>2023年嘉善县水文测站设施设备运维项目验收报告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4"/>
        <w:ind w:firstLine="643"/>
      </w:pPr>
      <w:bookmarkStart w:id="33" w:name="_Toc29890"/>
      <w:r>
        <w:rPr>
          <w:rFonts w:hint="eastAsia"/>
        </w:rPr>
        <w:t>第六章  投标文件格式</w:t>
      </w:r>
      <w:bookmarkEnd w:id="33"/>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项目名称：2023年嘉善县水文测站设施设备运维项目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项目编号：HZZX-2023-G03</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w:t>
      </w:r>
      <w:r>
        <w:rPr>
          <w:rFonts w:hint="eastAsia" w:ascii="宋体" w:hAnsi="宋体" w:cs="宋体"/>
          <w:color w:val="000000"/>
          <w:szCs w:val="24"/>
          <w:lang w:val="en-US" w:eastAsia="zh-CN"/>
        </w:rPr>
        <w:t>3</w:t>
      </w:r>
      <w:r>
        <w:rPr>
          <w:rFonts w:hint="eastAsia" w:ascii="宋体" w:hAnsi="宋体" w:cs="宋体"/>
          <w:color w:val="000000"/>
          <w:szCs w:val="24"/>
        </w:rPr>
        <w:t>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ascii="宋体" w:hAnsi="宋体" w:cs="宋体"/>
          <w:color w:val="000000"/>
          <w:szCs w:val="24"/>
        </w:rPr>
      </w:pPr>
      <w:r>
        <w:rPr>
          <w:rFonts w:hint="eastAsia" w:ascii="宋体" w:hAnsi="宋体" w:cs="宋体"/>
          <w:color w:val="000000"/>
          <w:szCs w:val="24"/>
        </w:rPr>
        <w:t>项目名称：2023年嘉善县水文测站设施设备运维项目</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项目编号：HZZX-2023-G03</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10"/>
        <w:snapToGrid w:val="0"/>
        <w:spacing w:before="100" w:beforeAutospacing="1" w:after="100" w:afterAutospacing="1" w:line="276" w:lineRule="auto"/>
        <w:ind w:firstLine="480"/>
        <w:rPr>
          <w:rFonts w:ascii="宋体" w:hAnsi="宋体" w:cs="宋体"/>
          <w:color w:val="000000"/>
          <w:sz w:val="24"/>
          <w:szCs w:val="24"/>
        </w:rPr>
      </w:pPr>
    </w:p>
    <w:p>
      <w:pPr>
        <w:pStyle w:val="10"/>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w:t>
      </w:r>
      <w:r>
        <w:rPr>
          <w:rFonts w:hint="eastAsia" w:ascii="宋体" w:hAnsi="宋体" w:cs="宋体"/>
          <w:color w:val="000000"/>
          <w:szCs w:val="24"/>
          <w:lang w:val="en-US" w:eastAsia="zh-CN"/>
        </w:rPr>
        <w:t>3</w:t>
      </w:r>
      <w:r>
        <w:rPr>
          <w:rFonts w:hint="eastAsia" w:ascii="宋体" w:hAnsi="宋体" w:cs="宋体"/>
          <w:color w:val="000000"/>
          <w:szCs w:val="24"/>
        </w:rPr>
        <w:t>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szCs w:val="24"/>
              </w:rPr>
            </w:pPr>
            <w:r>
              <w:rPr>
                <w:rFonts w:hint="eastAsia" w:ascii="宋体" w:hAnsi="宋体" w:cs="宋体"/>
                <w:szCs w:val="24"/>
              </w:rPr>
              <w:t>7</w:t>
            </w:r>
          </w:p>
        </w:tc>
        <w:tc>
          <w:tcPr>
            <w:tcW w:w="5564" w:type="dxa"/>
            <w:vAlign w:val="center"/>
          </w:tcPr>
          <w:p>
            <w:pPr>
              <w:snapToGrid w:val="0"/>
              <w:spacing w:before="100" w:beforeAutospacing="1" w:after="100" w:afterAutospacing="1" w:line="276" w:lineRule="auto"/>
              <w:ind w:firstLine="0" w:firstLineChars="0"/>
              <w:rPr>
                <w:rFonts w:ascii="宋体" w:hAnsi="宋体" w:cs="宋体"/>
                <w:szCs w:val="24"/>
              </w:rPr>
            </w:pPr>
            <w:r>
              <w:rPr>
                <w:rFonts w:hint="eastAsia" w:ascii="宋体" w:hAnsi="宋体" w:cs="宋体"/>
              </w:rPr>
              <w:t>中小企业声明函或监狱和戒毒企业企业证明材料或残疾人福利性单位声明函（格式见第六章）</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480"/>
        <w:jc w:val="center"/>
        <w:rPr>
          <w:rFonts w:ascii="宋体" w:hAnsi="宋体" w:cs="宋体"/>
          <w:szCs w:val="24"/>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（嘉善县水利局）</w:t>
      </w:r>
      <w:r>
        <w:rPr>
          <w:rFonts w:hint="eastAsia"/>
        </w:rPr>
        <w:t>的</w:t>
      </w:r>
      <w:r>
        <w:rPr>
          <w:rFonts w:hint="eastAsia"/>
          <w:u w:val="single"/>
        </w:rPr>
        <w:t>（</w:t>
      </w:r>
      <w:r>
        <w:rPr>
          <w:rFonts w:hint="eastAsia" w:ascii="宋体" w:hAnsi="宋体" w:cs="宋体"/>
          <w:color w:val="000000"/>
          <w:u w:val="single"/>
        </w:rPr>
        <w:t>2023年嘉善县水文测站设施设备运维项目</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rPr>
        <w:t>2023年嘉善县水文测站设施设备运维项目</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szCs w:val="24"/>
          <w:u w:val="single"/>
        </w:rPr>
        <w:t>其他未列明行业</w:t>
      </w:r>
      <w:r>
        <w:rPr>
          <w:rFonts w:hint="eastAsia" w:ascii="宋体" w:hAnsi="宋体" w:cs="宋体"/>
          <w:color w:val="000000"/>
          <w:szCs w:val="24"/>
          <w:u w:val="single"/>
        </w:rPr>
        <w:t xml:space="preserve"> </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3"/>
        <w:autoSpaceDE w:val="0"/>
        <w:autoSpaceDN w:val="0"/>
        <w:spacing w:before="29"/>
        <w:ind w:left="4060" w:right="-54" w:firstLine="473"/>
        <w:rPr>
          <w:rFonts w:ascii="宋体" w:hAnsi="宋体" w:cs="宋体"/>
          <w:w w:val="99"/>
        </w:rPr>
      </w:pPr>
    </w:p>
    <w:p>
      <w:pPr>
        <w:pStyle w:val="3"/>
        <w:autoSpaceDE w:val="0"/>
        <w:autoSpaceDN w:val="0"/>
        <w:spacing w:before="29"/>
        <w:ind w:left="4060" w:right="-54" w:firstLine="473"/>
        <w:rPr>
          <w:rFonts w:ascii="宋体" w:hAnsi="宋体" w:cs="宋体"/>
          <w:w w:val="99"/>
        </w:rPr>
      </w:pPr>
    </w:p>
    <w:p>
      <w:pPr>
        <w:pStyle w:val="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3"/>
        <w:autoSpaceDE w:val="0"/>
        <w:autoSpaceDN w:val="0"/>
        <w:spacing w:before="29"/>
        <w:ind w:left="4060" w:right="-54" w:firstLine="480"/>
        <w:rPr>
          <w:rFonts w:ascii="宋体" w:hAnsi="宋体" w:cs="宋体"/>
        </w:rPr>
      </w:pPr>
      <w:r>
        <w:rPr>
          <w:rFonts w:hint="eastAsia" w:ascii="宋体" w:hAnsi="宋体" w:cs="宋体"/>
        </w:rPr>
        <w:t>日期：___________</w:t>
      </w:r>
    </w:p>
    <w:p>
      <w:pPr>
        <w:pStyle w:val="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spacing w:line="300" w:lineRule="auto"/>
        <w:ind w:firstLine="480"/>
        <w:jc w:val="left"/>
        <w:rPr>
          <w:rFonts w:ascii="宋体" w:hAnsi="宋体" w:cs="宋体"/>
          <w:color w:val="FF0000"/>
          <w:szCs w:val="24"/>
        </w:rPr>
      </w:pPr>
      <w:r>
        <w:rPr>
          <w:rFonts w:hint="eastAsia" w:ascii="宋体" w:hAnsi="宋体" w:cs="宋体"/>
        </w:rPr>
        <w:t>2.</w:t>
      </w:r>
      <w:r>
        <w:rPr>
          <w:rFonts w:hint="eastAsia" w:ascii="宋体" w:hAnsi="宋体" w:cs="宋体"/>
          <w:szCs w:val="24"/>
        </w:rPr>
        <w:t>本采购标的对应的所属行业：</w:t>
      </w:r>
      <w:r>
        <w:rPr>
          <w:rFonts w:hint="eastAsia" w:ascii="宋体" w:hAnsi="宋体" w:cs="宋体"/>
          <w:szCs w:val="24"/>
          <w:u w:val="single"/>
        </w:rPr>
        <w:t>其他未列明行业</w:t>
      </w:r>
    </w:p>
    <w:p>
      <w:pPr>
        <w:ind w:firstLine="480"/>
        <w:rPr>
          <w:rFonts w:ascii="宋体" w:hAnsi="宋体" w:cs="宋体"/>
        </w:rPr>
      </w:pPr>
      <w:r>
        <w:rPr>
          <w:rFonts w:hint="eastAsia" w:ascii="宋体" w:hAnsi="宋体" w:cs="宋体"/>
        </w:rPr>
        <w:t>3.符合《关于促进残疾人就业政府采购政策的通知》（财库〔2017〕141号）规定的条件并提供《残疾人福利性单位声明函》的残疾人福利性单位视同小型、微型企业；</w:t>
      </w:r>
    </w:p>
    <w:p>
      <w:pPr>
        <w:ind w:firstLine="480"/>
        <w:rPr>
          <w:rFonts w:ascii="宋体" w:hAnsi="宋体" w:cs="宋体"/>
        </w:rPr>
      </w:pPr>
      <w:r>
        <w:rPr>
          <w:rFonts w:hint="eastAsia" w:ascii="宋体" w:hAnsi="宋体" w:cs="宋体"/>
        </w:rPr>
        <w:t>4.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643"/>
        <w:jc w:val="center"/>
        <w:rPr>
          <w:rFonts w:ascii="宋体" w:hAnsi="宋体" w:cs="宋体"/>
          <w:b/>
          <w:color w:val="000000"/>
          <w:sz w:val="32"/>
          <w:szCs w:val="32"/>
        </w:rPr>
      </w:pPr>
      <w:r>
        <w:rPr>
          <w:rFonts w:hint="eastAsia" w:ascii="宋体" w:hAnsi="宋体" w:cs="宋体"/>
          <w:b/>
          <w:color w:val="000000"/>
          <w:sz w:val="32"/>
          <w:szCs w:val="32"/>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7.若我方中标，将严格按照招标文件要求及投标文件承诺的报价、质量、服务期限、投标方案、项目负责人等内容组织实施；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sz w:val="32"/>
          <w:szCs w:val="32"/>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rPr>
        <w:t>2023年嘉善县水文测站设施设备运维项目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2"/>
          <w:szCs w:val="32"/>
        </w:rPr>
        <w:t>投标人基本情况表</w:t>
      </w:r>
    </w:p>
    <w:tbl>
      <w:tblPr>
        <w:tblStyle w:val="3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5"/>
        <w:ind w:firstLine="643"/>
        <w:rPr>
          <w:rFonts w:ascii="宋体" w:hAnsi="宋体" w:cs="宋体"/>
          <w:color w:val="000000"/>
        </w:rPr>
      </w:pPr>
    </w:p>
    <w:p>
      <w:pPr>
        <w:ind w:firstLine="480"/>
        <w:rPr>
          <w:rFonts w:ascii="宋体" w:hAnsi="宋体" w:cs="宋体"/>
          <w:color w:val="000000"/>
        </w:rPr>
      </w:pPr>
    </w:p>
    <w:p>
      <w:pPr>
        <w:pStyle w:val="19"/>
        <w:snapToGrid w:val="0"/>
        <w:spacing w:beforeLines="0" w:beforeAutospacing="1" w:afterLines="0" w:afterAutospacing="1" w:line="276" w:lineRule="auto"/>
        <w:ind w:firstLine="643"/>
        <w:jc w:val="center"/>
        <w:rPr>
          <w:rFonts w:hAnsi="宋体" w:cs="宋体"/>
          <w:b/>
          <w:bCs/>
          <w:sz w:val="32"/>
          <w:szCs w:val="32"/>
        </w:rPr>
      </w:pP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kern w:val="2"/>
          <w:sz w:val="32"/>
          <w:szCs w:val="32"/>
        </w:rPr>
        <w:t>同类项目业绩表</w:t>
      </w:r>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注：应附中标通知书、项目合同</w:t>
      </w:r>
      <w:r>
        <w:rPr>
          <w:rFonts w:hint="eastAsia" w:ascii="宋体" w:hAnsi="宋体" w:cs="宋体"/>
          <w:bCs/>
          <w:szCs w:val="21"/>
        </w:rPr>
        <w:t>及</w:t>
      </w:r>
      <w:r>
        <w:rPr>
          <w:rFonts w:hint="eastAsia" w:ascii="宋体" w:hAnsi="宋体" w:cs="宋体"/>
          <w:szCs w:val="24"/>
        </w:rPr>
        <w:t>验收报告等相关证明材料扫描件并CA签章。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十一、项目负责人简历表格式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项目负责人简历表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color w:val="000000"/>
          <w:szCs w:val="24"/>
        </w:rPr>
        <w:t>注：各投标人必须如实填写此表格，并提供项目负责人</w:t>
      </w:r>
      <w:r>
        <w:rPr>
          <w:rStyle w:val="78"/>
          <w:rFonts w:hint="eastAsia" w:ascii="宋体" w:hAnsi="宋体" w:cs="宋体"/>
          <w:szCs w:val="24"/>
        </w:rPr>
        <w:t>近三个月内（时间以采购公告发布之日前起算</w:t>
      </w:r>
      <w:r>
        <w:rPr>
          <w:rFonts w:hint="eastAsia" w:ascii="宋体" w:hAnsi="宋体" w:cs="宋体"/>
          <w:color w:val="000000"/>
          <w:szCs w:val="24"/>
        </w:rPr>
        <w:t>）任意一个月在本公司缴纳社保的证明材料及证书扫描件并加盖投标人CA公章。</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600" w:firstLineChars="1500"/>
        <w:rPr>
          <w:szCs w:val="24"/>
        </w:rPr>
      </w:pPr>
      <w:r>
        <w:br w:type="page"/>
      </w:r>
    </w:p>
    <w:p>
      <w:pPr>
        <w:snapToGrid w:val="0"/>
        <w:spacing w:before="100" w:beforeAutospacing="1" w:after="100" w:afterAutospacing="1" w:line="360" w:lineRule="exact"/>
        <w:ind w:firstLine="0" w:firstLineChars="0"/>
        <w:jc w:val="center"/>
        <w:rPr>
          <w:rFonts w:ascii="宋体" w:hAnsi="宋体" w:cs="宋体"/>
          <w:b/>
          <w:bCs/>
          <w:sz w:val="32"/>
          <w:szCs w:val="32"/>
        </w:rPr>
      </w:pPr>
      <w:r>
        <w:rPr>
          <w:rFonts w:hint="eastAsia"/>
          <w:b/>
          <w:sz w:val="32"/>
          <w:szCs w:val="32"/>
        </w:rPr>
        <w:t>十二、</w:t>
      </w:r>
      <w:r>
        <w:rPr>
          <w:rFonts w:hint="eastAsia" w:ascii="宋体" w:hAnsi="宋体" w:cs="宋体"/>
          <w:b/>
          <w:color w:val="000000"/>
          <w:sz w:val="32"/>
          <w:szCs w:val="32"/>
        </w:rPr>
        <w:t>项目技术负责人简历表格式</w:t>
      </w:r>
    </w:p>
    <w:p>
      <w:pPr>
        <w:snapToGrid w:val="0"/>
        <w:spacing w:before="100" w:beforeAutospacing="1" w:after="100" w:afterAutospacing="1" w:line="276" w:lineRule="auto"/>
        <w:ind w:firstLine="643"/>
        <w:jc w:val="center"/>
        <w:rPr>
          <w:rFonts w:ascii="宋体" w:hAnsi="宋体" w:cs="宋体"/>
          <w:b/>
          <w:sz w:val="32"/>
          <w:szCs w:val="32"/>
        </w:rPr>
      </w:pPr>
      <w:r>
        <w:rPr>
          <w:rFonts w:hint="eastAsia" w:ascii="宋体" w:hAnsi="宋体" w:cs="宋体"/>
          <w:b/>
          <w:sz w:val="32"/>
          <w:szCs w:val="32"/>
        </w:rPr>
        <w:t>项目技术负责人简历表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color w:val="000000"/>
          <w:szCs w:val="24"/>
        </w:rPr>
        <w:t>注：各投标人必须如实填写此表格，并提供项目技术负责人近三个月内（时间以采购公告发布之日前起算）任意一个月在本公司缴纳社保的证明材料及证书扫描件并加盖投标人CA公章。</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pStyle w:val="2"/>
        <w:ind w:firstLine="643"/>
        <w:sectPr>
          <w:pgSz w:w="11906" w:h="16838"/>
          <w:pgMar w:top="1418" w:right="1077" w:bottom="1418" w:left="1077" w:header="851" w:footer="992" w:gutter="340"/>
          <w:cols w:space="720" w:num="1"/>
          <w:docGrid w:linePitch="381" w:charSpace="0"/>
        </w:sectPr>
      </w:pPr>
    </w:p>
    <w:p>
      <w:pPr>
        <w:spacing w:line="300" w:lineRule="auto"/>
        <w:ind w:firstLine="643"/>
        <w:jc w:val="center"/>
        <w:rPr>
          <w:b/>
          <w:sz w:val="32"/>
          <w:szCs w:val="32"/>
        </w:rPr>
      </w:pPr>
      <w:r>
        <w:rPr>
          <w:rFonts w:hint="eastAsia" w:ascii="宋体" w:hAnsi="宋体" w:cs="宋体"/>
          <w:b/>
          <w:bCs/>
          <w:sz w:val="32"/>
          <w:szCs w:val="32"/>
        </w:rPr>
        <w:t>十三、</w:t>
      </w:r>
      <w:r>
        <w:rPr>
          <w:rFonts w:hint="eastAsia"/>
          <w:b/>
          <w:sz w:val="32"/>
          <w:szCs w:val="32"/>
        </w:rPr>
        <w:t>项目其他实施人员一览表格式</w:t>
      </w:r>
    </w:p>
    <w:p>
      <w:pPr>
        <w:snapToGrid w:val="0"/>
        <w:spacing w:before="100" w:beforeAutospacing="1" w:after="100" w:afterAutospacing="1" w:line="360" w:lineRule="exact"/>
        <w:ind w:firstLine="3518" w:firstLineChars="1095"/>
        <w:rPr>
          <w:b/>
          <w:sz w:val="32"/>
          <w:szCs w:val="32"/>
        </w:rPr>
      </w:pPr>
      <w:r>
        <w:rPr>
          <w:rFonts w:hint="eastAsia"/>
          <w:b/>
          <w:sz w:val="32"/>
          <w:szCs w:val="32"/>
        </w:rPr>
        <w:t>项目其他实施人员一览表</w:t>
      </w:r>
    </w:p>
    <w:tbl>
      <w:tblPr>
        <w:tblStyle w:val="3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1505"/>
        <w:gridCol w:w="2039"/>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89" w:type="dxa"/>
            <w:vAlign w:val="center"/>
          </w:tcPr>
          <w:p>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pPr>
              <w:ind w:firstLine="0" w:firstLineChars="0"/>
              <w:jc w:val="center"/>
              <w:rPr>
                <w:rFonts w:ascii="宋体" w:hAnsi="宋体" w:cs="宋体"/>
                <w:color w:val="000000"/>
              </w:rPr>
            </w:pPr>
            <w:r>
              <w:rPr>
                <w:rFonts w:hint="eastAsia" w:ascii="宋体" w:hAnsi="宋体" w:cs="宋体"/>
                <w:color w:val="000000"/>
              </w:rPr>
              <w:t>姓名</w:t>
            </w:r>
          </w:p>
        </w:tc>
        <w:tc>
          <w:tcPr>
            <w:tcW w:w="1505" w:type="dxa"/>
            <w:vAlign w:val="center"/>
          </w:tcPr>
          <w:p>
            <w:pPr>
              <w:ind w:firstLine="0" w:firstLineChars="0"/>
              <w:jc w:val="center"/>
              <w:rPr>
                <w:rFonts w:ascii="宋体" w:hAnsi="宋体" w:cs="宋体"/>
                <w:color w:val="000000"/>
              </w:rPr>
            </w:pPr>
            <w:r>
              <w:rPr>
                <w:rFonts w:hint="eastAsia" w:ascii="宋体" w:hAnsi="宋体" w:cs="宋体"/>
                <w:color w:val="000000"/>
              </w:rPr>
              <w:t>职称</w:t>
            </w:r>
          </w:p>
        </w:tc>
        <w:tc>
          <w:tcPr>
            <w:tcW w:w="2039" w:type="dxa"/>
            <w:vAlign w:val="center"/>
          </w:tcPr>
          <w:p>
            <w:pPr>
              <w:ind w:firstLine="0" w:firstLineChars="0"/>
              <w:jc w:val="center"/>
              <w:rPr>
                <w:rFonts w:ascii="宋体" w:hAnsi="宋体" w:cs="宋体"/>
                <w:color w:val="000000"/>
              </w:rPr>
            </w:pPr>
            <w:r>
              <w:rPr>
                <w:rFonts w:hint="eastAsia" w:ascii="宋体" w:hAnsi="宋体" w:cs="宋体"/>
              </w:rPr>
              <w:t>注册证书</w:t>
            </w:r>
          </w:p>
        </w:tc>
        <w:tc>
          <w:tcPr>
            <w:tcW w:w="1275" w:type="dxa"/>
            <w:vAlign w:val="center"/>
          </w:tcPr>
          <w:p>
            <w:pPr>
              <w:ind w:firstLine="0" w:firstLineChars="0"/>
              <w:jc w:val="center"/>
              <w:rPr>
                <w:rFonts w:ascii="宋体" w:hAnsi="宋体" w:cs="宋体"/>
                <w:color w:val="000000"/>
              </w:rPr>
            </w:pPr>
            <w:r>
              <w:rPr>
                <w:rFonts w:hint="eastAsia" w:ascii="宋体" w:hAnsi="宋体" w:cs="宋体"/>
                <w:color w:val="000000"/>
              </w:rPr>
              <w:t>专业</w:t>
            </w:r>
          </w:p>
        </w:tc>
        <w:tc>
          <w:tcPr>
            <w:tcW w:w="1985" w:type="dxa"/>
            <w:vAlign w:val="center"/>
          </w:tcPr>
          <w:p>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pPr>
              <w:ind w:firstLine="0" w:firstLineChars="0"/>
              <w:jc w:val="center"/>
              <w:rPr>
                <w:rFonts w:ascii="宋体" w:hAnsi="宋体" w:cs="宋体"/>
                <w:color w:val="000000"/>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pStyle w:val="20"/>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1505" w:type="dxa"/>
          </w:tcPr>
          <w:p>
            <w:pPr>
              <w:adjustRightInd w:val="0"/>
              <w:spacing w:before="120" w:beforeLines="50"/>
              <w:ind w:firstLine="480"/>
              <w:textAlignment w:val="baseline"/>
              <w:rPr>
                <w:rFonts w:ascii="宋体" w:hAnsi="宋体" w:cs="宋体"/>
              </w:rPr>
            </w:pPr>
          </w:p>
        </w:tc>
        <w:tc>
          <w:tcPr>
            <w:tcW w:w="2039"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各投标人必须如实填写此表格，此表须填写除项目负责人、技术负责人以外的其他实施人员信息并提供其人员</w:t>
      </w:r>
      <w:r>
        <w:rPr>
          <w:rStyle w:val="78"/>
          <w:rFonts w:hint="eastAsia" w:ascii="宋体" w:hAnsi="宋体" w:cs="宋体"/>
          <w:szCs w:val="24"/>
        </w:rPr>
        <w:t>近三个月内（时间以采购公告发布之日前起</w:t>
      </w:r>
      <w:r>
        <w:rPr>
          <w:rFonts w:hint="eastAsia" w:ascii="宋体" w:hAnsi="宋体" w:cs="宋体"/>
          <w:color w:val="000000"/>
          <w:szCs w:val="24"/>
        </w:rPr>
        <w:t>算）任意一个月在本公司缴纳社保的证明材料及证书扫描件并加盖投标人CA公章。</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 xml:space="preserve">                                        日    期：_____年____月____日</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十四、投标函格式</w:t>
      </w: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hint="eastAsia" w:ascii="宋体" w:hAnsi="宋体" w:cs="宋体"/>
          <w:szCs w:val="24"/>
          <w:u w:val="single"/>
        </w:rPr>
        <w:t xml:space="preserve">                    </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十五、开标一览表格式</w:t>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jc w:val="center"/>
              <w:rPr>
                <w:rFonts w:ascii="宋体" w:hAnsi="宋体" w:cs="宋体"/>
                <w:color w:val="000000"/>
                <w:szCs w:val="24"/>
              </w:rPr>
            </w:pPr>
            <w:r>
              <w:rPr>
                <w:rFonts w:hint="eastAsia" w:ascii="宋体" w:hAnsi="宋体" w:cs="宋体"/>
                <w:color w:val="000000"/>
                <w:szCs w:val="24"/>
              </w:rPr>
              <w:t>2023年嘉善县水文测站设施设备运维项目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管理运行时间</w:t>
            </w:r>
          </w:p>
        </w:tc>
        <w:tc>
          <w:tcPr>
            <w:tcW w:w="6852" w:type="dxa"/>
            <w:vAlign w:val="center"/>
          </w:tcPr>
          <w:p>
            <w:pPr>
              <w:spacing w:line="520" w:lineRule="exact"/>
              <w:ind w:firstLine="0" w:firstLineChars="0"/>
              <w:jc w:val="center"/>
              <w:rPr>
                <w:rFonts w:ascii="宋体" w:hAnsi="宋体"/>
                <w:szCs w:val="24"/>
              </w:rPr>
            </w:pPr>
            <w:r>
              <w:rPr>
                <w:rFonts w:hint="eastAsia" w:ascii="宋体" w:hAnsi="宋体"/>
                <w:color w:val="auto"/>
                <w:szCs w:val="21"/>
              </w:rPr>
              <w:t>合同签订之日起至202</w:t>
            </w:r>
            <w:r>
              <w:rPr>
                <w:rFonts w:ascii="宋体" w:hAnsi="宋体"/>
                <w:color w:val="auto"/>
                <w:szCs w:val="21"/>
              </w:rPr>
              <w:t>4</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w:t>
            </w:r>
            <w:r>
              <w:rPr>
                <w:rFonts w:ascii="宋体" w:hAnsi="宋体"/>
                <w:color w:val="auto"/>
                <w:szCs w:val="21"/>
              </w:rPr>
              <w:t>31</w:t>
            </w:r>
            <w:r>
              <w:rPr>
                <w:rFonts w:hint="eastAsia" w:ascii="宋体" w:hAnsi="宋体"/>
                <w:color w:val="auto"/>
                <w:szCs w:val="21"/>
              </w:rPr>
              <w:t>日</w:t>
            </w: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19"/>
        <w:snapToGrid w:val="0"/>
        <w:spacing w:beforeLines="0" w:afterLines="0" w:line="240" w:lineRule="atLeast"/>
        <w:ind w:firstLine="6104" w:firstLineChars="1900"/>
        <w:contextualSpacing/>
        <w:jc w:val="center"/>
        <w:rPr>
          <w:rFonts w:hAnsi="宋体" w:cs="宋体"/>
          <w:b/>
          <w:bCs/>
          <w:sz w:val="32"/>
          <w:szCs w:val="32"/>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spacing w:line="300" w:lineRule="auto"/>
        <w:ind w:firstLine="315" w:firstLineChars="98"/>
        <w:jc w:val="center"/>
        <w:rPr>
          <w:rFonts w:ascii="宋体" w:hAnsi="宋体" w:cs="宋体"/>
          <w:b/>
          <w:sz w:val="32"/>
          <w:szCs w:val="32"/>
        </w:rPr>
      </w:pPr>
      <w:r>
        <w:rPr>
          <w:rFonts w:hint="eastAsia" w:ascii="宋体" w:hAnsi="宋体" w:cs="宋体"/>
          <w:b/>
          <w:sz w:val="32"/>
          <w:szCs w:val="32"/>
        </w:rPr>
        <w:t>十六、投标报价明细表格式</w:t>
      </w:r>
    </w:p>
    <w:p>
      <w:pPr>
        <w:spacing w:line="300" w:lineRule="auto"/>
        <w:ind w:firstLine="315" w:firstLineChars="98"/>
        <w:jc w:val="center"/>
        <w:rPr>
          <w:rFonts w:ascii="宋体" w:hAnsi="宋体" w:cs="宋体"/>
          <w:b/>
          <w:sz w:val="32"/>
          <w:szCs w:val="32"/>
        </w:rPr>
      </w:pPr>
      <w:r>
        <w:rPr>
          <w:rFonts w:hint="eastAsia" w:ascii="宋体" w:hAnsi="宋体" w:cs="宋体"/>
          <w:b/>
          <w:sz w:val="32"/>
          <w:szCs w:val="32"/>
        </w:rPr>
        <w:t>投标报价明细表</w:t>
      </w:r>
    </w:p>
    <w:p>
      <w:pPr>
        <w:spacing w:line="300" w:lineRule="auto"/>
        <w:ind w:firstLine="315" w:firstLineChars="98"/>
        <w:jc w:val="center"/>
        <w:rPr>
          <w:rFonts w:ascii="宋体" w:hAnsi="宋体" w:cs="宋体"/>
          <w:color w:val="000000"/>
          <w:sz w:val="21"/>
          <w:szCs w:val="21"/>
        </w:rPr>
      </w:pPr>
      <w:r>
        <w:rPr>
          <w:rFonts w:ascii="宋体" w:hAnsi="宋体" w:cs="宋体"/>
          <w:b/>
          <w:sz w:val="32"/>
        </w:rPr>
        <w:t xml:space="preserve">                                       </w:t>
      </w:r>
      <w:r>
        <w:rPr>
          <w:rFonts w:ascii="宋体" w:hAnsi="宋体" w:cs="宋体"/>
          <w:sz w:val="32"/>
        </w:rPr>
        <w:t xml:space="preserve"> </w:t>
      </w:r>
      <w:r>
        <w:rPr>
          <w:rFonts w:hint="eastAsia" w:ascii="宋体" w:hAnsi="宋体" w:cs="宋体"/>
          <w:color w:val="000000"/>
          <w:sz w:val="21"/>
          <w:szCs w:val="21"/>
        </w:rPr>
        <w:t>报价单位：元人民币</w:t>
      </w:r>
    </w:p>
    <w:tbl>
      <w:tblPr>
        <w:tblStyle w:val="36"/>
        <w:tblW w:w="10243" w:type="dxa"/>
        <w:jc w:val="center"/>
        <w:tblLayout w:type="fixed"/>
        <w:tblCellMar>
          <w:top w:w="0" w:type="dxa"/>
          <w:left w:w="108" w:type="dxa"/>
          <w:bottom w:w="0" w:type="dxa"/>
          <w:right w:w="108" w:type="dxa"/>
        </w:tblCellMar>
      </w:tblPr>
      <w:tblGrid>
        <w:gridCol w:w="698"/>
        <w:gridCol w:w="2579"/>
        <w:gridCol w:w="783"/>
        <w:gridCol w:w="4353"/>
        <w:gridCol w:w="1107"/>
        <w:gridCol w:w="723"/>
      </w:tblGrid>
      <w:tr>
        <w:tblPrEx>
          <w:tblCellMar>
            <w:top w:w="0" w:type="dxa"/>
            <w:left w:w="108" w:type="dxa"/>
            <w:bottom w:w="0" w:type="dxa"/>
            <w:right w:w="108" w:type="dxa"/>
          </w:tblCellMar>
        </w:tblPrEx>
        <w:trPr>
          <w:trHeight w:val="415" w:hRule="atLeast"/>
          <w:tblHeader/>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项目工作内容</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站点</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工作要求</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报价（元）</w:t>
            </w: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420" w:hRule="atLeast"/>
          <w:jc w:val="center"/>
        </w:trPr>
        <w:tc>
          <w:tcPr>
            <w:tcW w:w="10243"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一、水文测站设施及设备维护</w:t>
            </w:r>
          </w:p>
        </w:tc>
      </w:tr>
      <w:tr>
        <w:tblPrEx>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4个国家基本站</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水尺高程测量为汛前讯后各一次，做好每日视频校测，并记载登记。各站视频可接入县应急局指挥系统，和县水利局河湖管护平台。</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34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8个专用水位站</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做好每日视频校测，各站视频可接入县应急局指挥系统，和县水利局河湖管护平台。每年一次水尺高程测量。</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5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雨量站维护和校核</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汛前做好注水试验校核，每月巡检不少于1次，并作雨量校核（现场计量）；故障维修及时。（含太阳能板、蓄电池、通信模块、雨量计、室外箱、通信费、电缆线配件更换）</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355"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sz w:val="21"/>
                <w:szCs w:val="21"/>
              </w:rPr>
            </w:pPr>
            <w:r>
              <w:rPr>
                <w:rFonts w:hint="eastAsia"/>
                <w:sz w:val="21"/>
                <w:szCs w:val="21"/>
              </w:rPr>
              <w:t>多普勒设备维护、维修（巡测线流量基点站、专用流量站）</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17站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巡检不少于4次；出现故障及时维修。（含太阳能板、蓄电池、通信模块、室外箱、通信费、电缆线配件更换）</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72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地下水位站校测、维护</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每年不少于二次校测、巡检不少于6次，设备维护。（含太阳能板、蓄电池、通信模块、室外箱、通信费、电缆线配件更换）</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84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6</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kern w:val="0"/>
                <w:sz w:val="21"/>
                <w:szCs w:val="21"/>
                <w:lang w:bidi="ar"/>
              </w:rPr>
              <w:t>圩区水位站</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95站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两月一次巡查，保证设备运行良好，水位合理不失真。</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42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6</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地下水位站高程校测</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每年接测一次。（含计算成果上报）</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34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7</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物业及标准化测站管理</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保证环境卫生、绿化修剪、标志标牌完整等。</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44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水位测井清淤清障</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12站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每年一次做好水位测井清淤，防止水位失真，测验段周边有影响水位测验的杂物及时清除。</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440" w:hRule="atLeast"/>
          <w:jc w:val="center"/>
        </w:trPr>
        <w:tc>
          <w:tcPr>
            <w:tcW w:w="10243"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二、水文信息管理系统维护</w:t>
            </w:r>
          </w:p>
        </w:tc>
      </w:tr>
      <w:tr>
        <w:tblPrEx>
          <w:tblCellMar>
            <w:top w:w="0" w:type="dxa"/>
            <w:left w:w="108" w:type="dxa"/>
            <w:bottom w:w="0" w:type="dxa"/>
            <w:right w:w="108" w:type="dxa"/>
          </w:tblCellMar>
        </w:tblPrEx>
        <w:trPr>
          <w:trHeight w:val="66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水文信息网络维护（含水位、流量、雨量、地下水位等）</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全部</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汛期期间将信息监视结果8:30前发布至微信群，应急响应期间加密监视检查。确保系统平台数据正常、出现设备故障或异常及时维修。</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70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微信公众号平台维护和通信费续交等</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全部</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水文站所属水雨情、流量、地下水位等站。</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44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标准化管理平台维护、巡检登记</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针对国家基本站（嘉善、西塘、陶庄、横港大桥），做好巡检维护、维修登记，以及每日水位登记。</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440" w:hRule="atLeast"/>
          <w:jc w:val="center"/>
        </w:trPr>
        <w:tc>
          <w:tcPr>
            <w:tcW w:w="10243"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三、水文测验辅助</w:t>
            </w:r>
          </w:p>
        </w:tc>
      </w:tr>
      <w:tr>
        <w:tblPrEx>
          <w:tblCellMar>
            <w:top w:w="0" w:type="dxa"/>
            <w:left w:w="108" w:type="dxa"/>
            <w:bottom w:w="0" w:type="dxa"/>
            <w:right w:w="108" w:type="dxa"/>
          </w:tblCellMar>
        </w:tblPrEx>
        <w:trPr>
          <w:trHeight w:val="46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多普勒流速比测或校测（杭嘉湖水文巡测线各站）</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比测每站不少于30次。（含相关分析、一算二校）</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50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2</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杭嘉湖水文巡线流量测验（含大断面测量）</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4段20个断面</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每段流量巡测不少于30次，含定线、一算二校。</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6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杭嘉湖巡测线水量资料整编（含每月汇总上报)</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8站4段</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完成一算二校工作。（按省中心要求整编）</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60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多普勒流速校测（本县南线各站）</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7站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比测或校测每站不少于10次。（含相关分析、一算二校）</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5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本县南线流量巡测线流量测验</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4段21个断面</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每段流量巡测不少于15次。</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5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6</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大区资料整编</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做好潮水位、雨量整编校核等。</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34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7</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地下水位资料整编</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5站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年未一次性按要求完成整编。</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360" w:hRule="atLeast"/>
          <w:jc w:val="center"/>
        </w:trPr>
        <w:tc>
          <w:tcPr>
            <w:tcW w:w="698"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8</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特殊水情下的外业测量、服务等</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1项</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含应急响应或特殊水情下的测验工作。</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360" w:hRule="atLeast"/>
          <w:jc w:val="center"/>
        </w:trPr>
        <w:tc>
          <w:tcPr>
            <w:tcW w:w="10243" w:type="dxa"/>
            <w:gridSpan w:val="6"/>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rPr>
                <w:rFonts w:ascii="宋体" w:hAnsi="宋体" w:cs="宋体"/>
                <w:sz w:val="21"/>
                <w:szCs w:val="21"/>
              </w:rPr>
            </w:pPr>
            <w:r>
              <w:rPr>
                <w:rFonts w:hint="eastAsia" w:ascii="宋体" w:hAnsi="宋体" w:cs="宋体"/>
                <w:b/>
                <w:bCs/>
                <w:sz w:val="21"/>
                <w:szCs w:val="21"/>
              </w:rPr>
              <w:t>四、水文设施改造和数字化</w:t>
            </w:r>
          </w:p>
        </w:tc>
      </w:tr>
      <w:tr>
        <w:tblPrEx>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1</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color w:val="FF0000"/>
                <w:sz w:val="21"/>
                <w:szCs w:val="21"/>
              </w:rPr>
            </w:pPr>
            <w:r>
              <w:rPr>
                <w:rFonts w:hint="eastAsia" w:ascii="宋体" w:hAnsi="宋体" w:cs="宋体"/>
                <w:kern w:val="0"/>
                <w:sz w:val="21"/>
                <w:szCs w:val="21"/>
                <w:lang w:bidi="ar"/>
              </w:rPr>
              <w:t>地下水测站迁移改造</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1站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color w:val="FF0000"/>
                <w:sz w:val="21"/>
                <w:szCs w:val="21"/>
              </w:rPr>
            </w:pPr>
            <w:r>
              <w:rPr>
                <w:rFonts w:hint="eastAsia" w:ascii="宋体" w:hAnsi="宋体" w:cs="宋体"/>
                <w:sz w:val="21"/>
                <w:szCs w:val="21"/>
              </w:rPr>
              <w:t>迁移新建的地下水监测井，要求监测承压层不变，即仍监测承压Ⅱ层孔隙水，设计井深为150m，孔径ø400mm，钻井井深根据实际地层情况确定，要求安装浮子式水位计，４G遥测终端支持浙江省水利防汛通信系统平台；布设水准点、标志标牌。现场具备施工条件、甲方通知开工后60天内完工并通过验收。</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r>
              <w:rPr>
                <w:rFonts w:hint="eastAsia" w:ascii="宋体" w:hAnsi="宋体" w:cs="宋体"/>
                <w:sz w:val="21"/>
                <w:szCs w:val="21"/>
              </w:rPr>
              <w:t xml:space="preserve"> </w:t>
            </w:r>
          </w:p>
        </w:tc>
      </w:tr>
      <w:tr>
        <w:tblPrEx>
          <w:tblCellMar>
            <w:top w:w="0" w:type="dxa"/>
            <w:left w:w="108" w:type="dxa"/>
            <w:bottom w:w="0" w:type="dxa"/>
            <w:right w:w="108" w:type="dxa"/>
          </w:tblCellMar>
        </w:tblPrEx>
        <w:trPr>
          <w:trHeight w:val="6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2</w:t>
            </w:r>
          </w:p>
        </w:tc>
        <w:tc>
          <w:tcPr>
            <w:tcW w:w="2579"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color w:val="FF0000"/>
                <w:sz w:val="21"/>
                <w:szCs w:val="21"/>
              </w:rPr>
            </w:pPr>
            <w:r>
              <w:rPr>
                <w:rFonts w:hint="eastAsia" w:ascii="宋体" w:hAnsi="宋体" w:cs="宋体"/>
                <w:sz w:val="21"/>
                <w:szCs w:val="21"/>
              </w:rPr>
              <w:t>横港大桥站修缮</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sz w:val="21"/>
                <w:szCs w:val="21"/>
              </w:rPr>
              <w:t>1站</w:t>
            </w:r>
          </w:p>
        </w:tc>
        <w:tc>
          <w:tcPr>
            <w:tcW w:w="435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hint="eastAsia" w:ascii="宋体" w:hAnsi="宋体" w:cs="宋体"/>
                <w:color w:val="auto"/>
                <w:kern w:val="0"/>
                <w:sz w:val="21"/>
                <w:szCs w:val="21"/>
                <w:lang w:bidi="ar"/>
              </w:rPr>
            </w:pPr>
            <w:r>
              <w:rPr>
                <w:rFonts w:hint="eastAsia" w:ascii="宋体" w:hAnsi="宋体" w:cs="宋体"/>
                <w:kern w:val="0"/>
                <w:sz w:val="21"/>
                <w:szCs w:val="21"/>
                <w:lang w:bidi="ar"/>
              </w:rPr>
              <w:t>包</w:t>
            </w:r>
            <w:r>
              <w:rPr>
                <w:rFonts w:hint="eastAsia" w:ascii="宋体" w:hAnsi="宋体" w:cs="宋体"/>
                <w:color w:val="auto"/>
                <w:kern w:val="0"/>
                <w:sz w:val="21"/>
                <w:szCs w:val="21"/>
                <w:lang w:bidi="ar"/>
              </w:rPr>
              <w:t>含但不限于卫生设备修缮改造。包括两个卫生间</w:t>
            </w:r>
            <w:r>
              <w:rPr>
                <w:rFonts w:hint="eastAsia" w:ascii="宋体" w:hAnsi="宋体" w:cs="宋体"/>
                <w:color w:val="auto"/>
                <w:kern w:val="0"/>
                <w:sz w:val="21"/>
                <w:szCs w:val="21"/>
                <w:lang w:eastAsia="zh-CN" w:bidi="ar"/>
              </w:rPr>
              <w:t>（面积各约</w:t>
            </w:r>
            <w:r>
              <w:rPr>
                <w:rFonts w:hint="eastAsia" w:ascii="宋体" w:hAnsi="宋体" w:cs="宋体"/>
                <w:color w:val="auto"/>
                <w:kern w:val="0"/>
                <w:sz w:val="21"/>
                <w:szCs w:val="21"/>
                <w:lang w:val="en-US" w:eastAsia="zh-CN" w:bidi="ar"/>
              </w:rPr>
              <w:t>6平方米</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瓷砖</w:t>
            </w:r>
            <w:r>
              <w:rPr>
                <w:rFonts w:hint="eastAsia" w:ascii="宋体" w:hAnsi="宋体" w:cs="宋体"/>
                <w:color w:val="auto"/>
                <w:kern w:val="0"/>
                <w:sz w:val="21"/>
                <w:szCs w:val="21"/>
                <w:lang w:eastAsia="zh-CN" w:bidi="ar"/>
              </w:rPr>
              <w:t>（诺贝尔、东鹏、</w:t>
            </w:r>
            <w:r>
              <w:rPr>
                <w:rFonts w:hint="eastAsia" w:ascii="宋体" w:hAnsi="宋体" w:cs="宋体"/>
                <w:color w:val="auto"/>
                <w:kern w:val="0"/>
                <w:sz w:val="21"/>
                <w:szCs w:val="21"/>
                <w:lang w:val="en-US" w:eastAsia="zh-CN" w:bidi="ar"/>
              </w:rPr>
              <w:t>冠珠等相当品牌</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、洁具</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恒洁、箭牌、九牧等相当品牌</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实木</w:t>
            </w:r>
            <w:r>
              <w:rPr>
                <w:rFonts w:hint="eastAsia" w:ascii="宋体" w:hAnsi="宋体" w:cs="宋体"/>
                <w:color w:val="auto"/>
                <w:kern w:val="0"/>
                <w:sz w:val="21"/>
                <w:szCs w:val="21"/>
                <w:lang w:bidi="ar"/>
              </w:rPr>
              <w:t>门等。</w:t>
            </w:r>
          </w:p>
          <w:p>
            <w:pPr>
              <w:spacing w:line="300" w:lineRule="auto"/>
              <w:ind w:firstLine="0" w:firstLineChars="0"/>
              <w:rPr>
                <w:rFonts w:ascii="宋体" w:hAnsi="宋体" w:cs="宋体"/>
                <w:color w:val="FF0000"/>
                <w:sz w:val="21"/>
                <w:szCs w:val="21"/>
              </w:rPr>
            </w:pPr>
            <w:r>
              <w:rPr>
                <w:rFonts w:hint="eastAsia" w:ascii="宋体" w:hAnsi="宋体" w:cs="宋体"/>
                <w:color w:val="auto"/>
                <w:kern w:val="0"/>
                <w:sz w:val="21"/>
                <w:szCs w:val="21"/>
                <w:lang w:bidi="ar"/>
              </w:rPr>
              <w:t>注：</w:t>
            </w:r>
            <w:r>
              <w:rPr>
                <w:rFonts w:hint="eastAsia" w:ascii="宋体" w:hAnsi="宋体" w:cs="宋体"/>
                <w:color w:val="auto"/>
                <w:kern w:val="0"/>
                <w:sz w:val="21"/>
                <w:szCs w:val="21"/>
                <w:lang w:val="en-GB" w:bidi="ar"/>
              </w:rPr>
              <w:t>除采购文件推荐的品牌外，欢迎其他能满足本项目技术需求且性能与所推荐的品牌相当的产品参加，但应在投标文件中提供所投品牌与推荐的品牌相当的证明材料。</w:t>
            </w:r>
            <w:r>
              <w:rPr>
                <w:rFonts w:hint="eastAsia" w:ascii="宋体" w:hAnsi="宋体" w:cs="宋体"/>
                <w:color w:val="auto"/>
                <w:kern w:val="0"/>
                <w:sz w:val="21"/>
                <w:szCs w:val="21"/>
                <w:lang w:bidi="ar"/>
              </w:rPr>
              <w:t>所有推荐的品牌均为中国制造。</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6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3</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水文数据数字化</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kern w:val="0"/>
                <w:sz w:val="21"/>
                <w:szCs w:val="21"/>
                <w:lang w:bidi="ar"/>
              </w:rPr>
            </w:pPr>
            <w:r>
              <w:rPr>
                <w:rFonts w:hint="eastAsia" w:ascii="宋体" w:hAnsi="宋体" w:cs="宋体"/>
                <w:sz w:val="21"/>
                <w:szCs w:val="21"/>
              </w:rPr>
              <w:t>1项</w:t>
            </w:r>
          </w:p>
        </w:tc>
        <w:tc>
          <w:tcPr>
            <w:tcW w:w="43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kern w:val="0"/>
                <w:sz w:val="21"/>
                <w:szCs w:val="21"/>
                <w:lang w:bidi="ar"/>
              </w:rPr>
            </w:pPr>
            <w:r>
              <w:rPr>
                <w:rFonts w:hint="eastAsia" w:ascii="宋体" w:hAnsi="宋体" w:cs="宋体"/>
                <w:kern w:val="0"/>
                <w:sz w:val="21"/>
                <w:szCs w:val="21"/>
                <w:lang w:bidi="ar"/>
              </w:rPr>
              <w:t>对现有水文历史数据进行数字化整理整编，形成电子化文档，使数据便于存储、查询、查看（图表），进一步挖掘其中蕴含的经验规律。4月前基本方案通过业主审核，9月前出基本成果。</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600"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sz w:val="21"/>
                <w:szCs w:val="21"/>
              </w:rPr>
            </w:pPr>
            <w:r>
              <w:rPr>
                <w:rFonts w:hint="eastAsia" w:ascii="宋体" w:hAnsi="宋体" w:cs="宋体"/>
                <w:sz w:val="21"/>
                <w:szCs w:val="21"/>
              </w:rPr>
              <w:t>4</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水尺改造升级</w:t>
            </w:r>
          </w:p>
        </w:tc>
        <w:tc>
          <w:tcPr>
            <w:tcW w:w="7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center"/>
              <w:textAlignment w:val="center"/>
              <w:rPr>
                <w:rFonts w:ascii="宋体" w:hAnsi="宋体" w:cs="宋体"/>
                <w:color w:val="auto"/>
                <w:sz w:val="21"/>
                <w:szCs w:val="21"/>
              </w:rPr>
            </w:pPr>
            <w:r>
              <w:rPr>
                <w:rFonts w:hint="eastAsia" w:ascii="宋体" w:hAnsi="宋体" w:cs="宋体"/>
                <w:color w:val="auto"/>
                <w:sz w:val="21"/>
                <w:szCs w:val="21"/>
              </w:rPr>
              <w:t>12站</w:t>
            </w:r>
          </w:p>
        </w:tc>
        <w:tc>
          <w:tcPr>
            <w:tcW w:w="435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ind w:firstLine="0" w:firstLine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对12个外港水位站水尺的改造升级，基本站4月前完成，其他站8月前完成。水尺顶高程不小于</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米（吴淞，下同），并可观测1.5米的低水位。每支水尺顶增加水尺顶高程标识，并在半米和整米处做好标识，使用不锈钢材质，靠桩选用不锈钢材质或水泥墩；横截面尺寸不小于:100mm×100mm规格。</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r>
        <w:tblPrEx>
          <w:tblCellMar>
            <w:top w:w="0" w:type="dxa"/>
            <w:left w:w="108" w:type="dxa"/>
            <w:bottom w:w="0" w:type="dxa"/>
            <w:right w:w="108" w:type="dxa"/>
          </w:tblCellMar>
        </w:tblPrEx>
        <w:trPr>
          <w:trHeight w:val="270" w:hRule="atLeast"/>
          <w:jc w:val="center"/>
        </w:trPr>
        <w:tc>
          <w:tcPr>
            <w:tcW w:w="8413" w:type="dxa"/>
            <w:gridSpan w:val="4"/>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0" w:firstLineChars="0"/>
              <w:jc w:val="center"/>
              <w:rPr>
                <w:rFonts w:ascii="宋体" w:hAnsi="宋体" w:cs="宋体"/>
                <w:color w:val="FF0000"/>
                <w:sz w:val="21"/>
                <w:szCs w:val="21"/>
              </w:rPr>
            </w:pPr>
            <w:r>
              <w:rPr>
                <w:rFonts w:hint="eastAsia" w:ascii="宋体" w:hAnsi="宋体" w:cs="宋体"/>
                <w:color w:val="000000"/>
                <w:kern w:val="0"/>
                <w:sz w:val="21"/>
                <w:szCs w:val="21"/>
              </w:rPr>
              <w:t>合计（元）</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c>
          <w:tcPr>
            <w:tcW w:w="723"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 w:val="21"/>
                <w:szCs w:val="21"/>
              </w:rPr>
            </w:pPr>
          </w:p>
        </w:tc>
      </w:tr>
    </w:tbl>
    <w:p>
      <w:pPr>
        <w:snapToGrid w:val="0"/>
        <w:spacing w:line="300" w:lineRule="auto"/>
        <w:ind w:firstLine="480"/>
        <w:rPr>
          <w:rFonts w:ascii="宋体" w:hAnsi="宋体" w:cs="宋体"/>
          <w:color w:val="000000"/>
        </w:rPr>
      </w:pPr>
      <w:r>
        <w:rPr>
          <w:rFonts w:hint="eastAsia" w:ascii="宋体" w:hAnsi="宋体" w:cs="宋体"/>
          <w:color w:val="000000"/>
        </w:rPr>
        <w:t>注：1.“投标报价明细表”为多页的，每页均需加盖投标人CA公章。</w:t>
      </w:r>
    </w:p>
    <w:p>
      <w:pPr>
        <w:snapToGrid w:val="0"/>
        <w:spacing w:line="300" w:lineRule="auto"/>
        <w:ind w:firstLine="560"/>
        <w:rPr>
          <w:rFonts w:ascii="宋体" w:hAnsi="宋体" w:cs="宋体"/>
          <w:color w:val="000000"/>
        </w:rPr>
      </w:pPr>
      <w:r>
        <w:rPr>
          <w:rFonts w:hint="eastAsia" w:ascii="宋体" w:hAnsi="宋体" w:cs="宋体"/>
          <w:spacing w:val="20"/>
        </w:rPr>
        <w:t>2.</w:t>
      </w:r>
      <w:r>
        <w:rPr>
          <w:rFonts w:hint="eastAsia" w:ascii="宋体" w:hAnsi="宋体" w:cs="宋体"/>
          <w:color w:val="000000"/>
        </w:rPr>
        <w:t>投标报价明细表所填内容按采购需求为准。漏报的视同已包含在投标总价内。有重大缺项的将作无效标处理。</w:t>
      </w: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snapToGrid w:val="0"/>
        <w:ind w:firstLine="480"/>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2"/>
        <w:ind w:firstLine="643"/>
      </w:pPr>
      <w:r>
        <w:br w:type="page"/>
      </w:r>
    </w:p>
    <w:p>
      <w:pPr>
        <w:snapToGrid w:val="0"/>
        <w:ind w:firstLine="480"/>
        <w:contextualSpacing/>
        <w:jc w:val="center"/>
      </w:pPr>
    </w:p>
    <w:p>
      <w:pPr>
        <w:pStyle w:val="112"/>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十七、政府采购活动现场确认声明书</w:t>
      </w:r>
    </w:p>
    <w:p>
      <w:pPr>
        <w:pStyle w:val="112"/>
        <w:snapToGrid w:val="0"/>
        <w:spacing w:line="500" w:lineRule="exact"/>
        <w:rPr>
          <w:rFonts w:hint="default" w:hAnsi="宋体" w:eastAsia="宋体" w:cs="宋体"/>
          <w:b/>
          <w:bCs/>
          <w:color w:val="000000"/>
          <w:sz w:val="32"/>
          <w:szCs w:val="32"/>
        </w:rPr>
      </w:pPr>
    </w:p>
    <w:p>
      <w:pPr>
        <w:pStyle w:val="11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2023年</w:t>
      </w:r>
      <w:r>
        <w:rPr>
          <w:rFonts w:hint="eastAsia" w:hAnsi="宋体" w:eastAsia="宋体" w:cs="宋体"/>
          <w:sz w:val="24"/>
          <w:szCs w:val="24"/>
          <w:lang w:eastAsia="zh-CN"/>
        </w:rPr>
        <w:t>2月8日</w:t>
      </w:r>
      <w:r>
        <w:rPr>
          <w:rFonts w:hAnsi="宋体" w:eastAsia="宋体" w:cs="宋体"/>
          <w:sz w:val="24"/>
          <w:szCs w:val="24"/>
        </w:rPr>
        <w:t>下午解密完成后填写并将扫描件发送至</w:t>
      </w:r>
      <w:r>
        <w:rPr>
          <w:rFonts w:hAnsi="宋体" w:eastAsia="宋体" w:cs="宋体"/>
          <w:color w:val="000000"/>
          <w:sz w:val="24"/>
          <w:szCs w:val="24"/>
        </w:rPr>
        <w:t>采购代理机构邮箱（1192873557@qq.com），不需要制作在投标文件中）</w:t>
      </w:r>
    </w:p>
    <w:p>
      <w:pPr>
        <w:pStyle w:val="11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rPr>
        <w:t>2023年嘉善县水文测站设施设备运维项目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HZZX-2023-G03</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3"/>
        <w:widowControl/>
        <w:numPr>
          <w:ilvl w:val="0"/>
          <w:numId w:val="2"/>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color w:val="000000"/>
          <w:szCs w:val="24"/>
        </w:rPr>
        <w:sectPr>
          <w:headerReference r:id="rId12" w:type="default"/>
          <w:pgSz w:w="11906" w:h="16838"/>
          <w:pgMar w:top="1418" w:right="1077" w:bottom="1418" w:left="1077" w:header="851" w:footer="992" w:gutter="340"/>
          <w:cols w:space="720" w:num="1"/>
          <w:docGrid w:linePitch="381" w:charSpace="0"/>
        </w:sectPr>
      </w:pPr>
      <w:r>
        <w:rPr>
          <w:rFonts w:hint="eastAsia" w:ascii="宋体" w:hAnsi="宋体" w:cs="宋体"/>
          <w:color w:val="000000"/>
          <w:szCs w:val="24"/>
        </w:rPr>
        <w:t xml:space="preserve">                                      2023年  月  日</w:t>
      </w:r>
    </w:p>
    <w:p>
      <w:pPr>
        <w:pStyle w:val="2"/>
        <w:ind w:firstLine="482"/>
        <w:jc w:val="left"/>
        <w:rPr>
          <w:rFonts w:ascii="宋体" w:hAnsi="宋体" w:eastAsia="宋体" w:cs="宋体"/>
          <w:sz w:val="24"/>
          <w:szCs w:val="24"/>
        </w:rPr>
      </w:pPr>
      <w:r>
        <w:rPr>
          <w:rFonts w:hint="eastAsia" w:ascii="宋体" w:hAnsi="宋体" w:eastAsia="宋体" w:cs="宋体"/>
          <w:sz w:val="24"/>
          <w:szCs w:val="24"/>
        </w:rPr>
        <w:t>附件：</w:t>
      </w:r>
    </w:p>
    <w:p>
      <w:pPr>
        <w:ind w:firstLine="0" w:firstLineChars="0"/>
        <w:jc w:val="center"/>
        <w:rPr>
          <w:rFonts w:ascii="宋体" w:hAnsi="宋体" w:cs="宋体"/>
          <w:sz w:val="32"/>
          <w:szCs w:val="32"/>
        </w:rPr>
      </w:pPr>
      <w:r>
        <w:rPr>
          <w:rFonts w:hint="eastAsia" w:ascii="宋体" w:hAnsi="宋体" w:cs="宋体"/>
          <w:b/>
          <w:sz w:val="32"/>
          <w:szCs w:val="32"/>
          <w:u w:val="single"/>
        </w:rPr>
        <w:t xml:space="preserve">  2023年度 </w:t>
      </w:r>
      <w:r>
        <w:rPr>
          <w:rFonts w:hint="eastAsia" w:ascii="宋体" w:hAnsi="宋体" w:cs="宋体"/>
          <w:sz w:val="32"/>
          <w:szCs w:val="32"/>
        </w:rPr>
        <w:t>嘉善县水文测站设施设备运维项目考核测评表</w:t>
      </w:r>
    </w:p>
    <w:tbl>
      <w:tblPr>
        <w:tblStyle w:val="36"/>
        <w:tblW w:w="9713" w:type="dxa"/>
        <w:tblInd w:w="0" w:type="dxa"/>
        <w:tblLayout w:type="fixed"/>
        <w:tblCellMar>
          <w:top w:w="0" w:type="dxa"/>
          <w:left w:w="108" w:type="dxa"/>
          <w:bottom w:w="0" w:type="dxa"/>
          <w:right w:w="108" w:type="dxa"/>
        </w:tblCellMar>
      </w:tblPr>
      <w:tblGrid>
        <w:gridCol w:w="728"/>
        <w:gridCol w:w="4725"/>
        <w:gridCol w:w="825"/>
        <w:gridCol w:w="1215"/>
        <w:gridCol w:w="1425"/>
        <w:gridCol w:w="795"/>
      </w:tblGrid>
      <w:tr>
        <w:tblPrEx>
          <w:tblCellMar>
            <w:top w:w="0" w:type="dxa"/>
            <w:left w:w="108" w:type="dxa"/>
            <w:bottom w:w="0" w:type="dxa"/>
            <w:right w:w="108" w:type="dxa"/>
          </w:tblCellMar>
        </w:tblPrEx>
        <w:trPr>
          <w:trHeight w:val="300" w:hRule="atLeast"/>
          <w:tblHeader/>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序号</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考核内容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分值</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自评分</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Cs w:val="24"/>
              </w:rPr>
            </w:pPr>
            <w:r>
              <w:rPr>
                <w:rFonts w:hint="eastAsia" w:ascii="宋体" w:hAnsi="宋体" w:cs="宋体"/>
                <w:b/>
                <w:bCs/>
                <w:snapToGrid w:val="0"/>
                <w:color w:val="000000"/>
                <w:kern w:val="0"/>
                <w:szCs w:val="24"/>
                <w:lang w:bidi="ar"/>
              </w:rPr>
              <w:t>业主考核分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b/>
                <w:bCs/>
                <w:color w:val="000000"/>
                <w:szCs w:val="24"/>
              </w:rPr>
            </w:pPr>
            <w:r>
              <w:rPr>
                <w:rFonts w:hint="eastAsia" w:ascii="宋体" w:hAnsi="宋体" w:cs="宋体"/>
                <w:b/>
                <w:bCs/>
                <w:color w:val="000000"/>
                <w:szCs w:val="24"/>
              </w:rPr>
              <w:t>备注</w:t>
            </w: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1</w:t>
            </w:r>
          </w:p>
        </w:tc>
        <w:tc>
          <w:tcPr>
            <w:tcW w:w="47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left"/>
              <w:textAlignment w:val="center"/>
              <w:rPr>
                <w:rFonts w:ascii="宋体" w:hAnsi="宋体" w:cs="宋体"/>
                <w:szCs w:val="24"/>
              </w:rPr>
            </w:pPr>
            <w:r>
              <w:rPr>
                <w:rFonts w:hint="eastAsia" w:ascii="宋体" w:hAnsi="宋体" w:cs="宋体"/>
                <w:snapToGrid w:val="0"/>
                <w:kern w:val="0"/>
                <w:szCs w:val="24"/>
                <w:lang w:bidi="ar"/>
              </w:rPr>
              <w:t>人员配置、维护方案、运维台账</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ind w:firstLine="480"/>
              <w:jc w:val="left"/>
              <w:textAlignment w:val="center"/>
              <w:rPr>
                <w:rFonts w:ascii="宋体" w:hAnsi="宋体" w:cs="宋体"/>
                <w:szCs w:val="24"/>
              </w:rPr>
            </w:pPr>
            <w:r>
              <w:rPr>
                <w:rFonts w:hint="eastAsia" w:ascii="宋体" w:hAnsi="宋体" w:cs="宋体"/>
                <w:snapToGrid w:val="0"/>
                <w:kern w:val="0"/>
                <w:szCs w:val="24"/>
                <w:lang w:bidi="ar"/>
              </w:rPr>
              <w:t xml:space="preserve"> </w:t>
            </w: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2</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12个外港水位站水位监测设备（含视频监控）的运维</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12</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3</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12个外港水位站水尺的更新升级</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6</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4</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17个流量站的运维</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8</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5</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5个地下水测站运维</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6</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3个雨量站运维（含注水试验）</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3</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116"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7</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各站点高程校测</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8</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各站点物业及标准化测站管理（含清淤清障、卫生、绿化、消防等）</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9</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kern w:val="0"/>
                <w:szCs w:val="24"/>
                <w:lang w:bidi="ar"/>
              </w:rPr>
              <w:t>圩区水位站的运维</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8</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10</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水文信息系统网站和通信维护</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11</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嘉善水文微信公众号维护</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12</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多普勒流速比测或校测</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13</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杭嘉湖水文巡线流量测验辅助</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14</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本县南线流量巡测线流量测验辅助</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15</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日常资料整编辅助</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16</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特殊水情下的外业测量、服务等</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17</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设备故障维修响应</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18</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kern w:val="0"/>
                <w:szCs w:val="24"/>
                <w:lang w:bidi="ar"/>
              </w:rPr>
              <w:t>地下水测站迁移改造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19</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水文数据数字化</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zCs w:val="24"/>
              </w:rPr>
              <w:t>4</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20</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横港大桥站修缮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zCs w:val="24"/>
              </w:rPr>
              <w:t>2</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728"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napToGrid w:val="0"/>
                <w:kern w:val="0"/>
                <w:szCs w:val="24"/>
                <w:lang w:bidi="ar"/>
              </w:rPr>
            </w:pPr>
            <w:r>
              <w:rPr>
                <w:rFonts w:hint="eastAsia" w:ascii="宋体" w:hAnsi="宋体" w:cs="宋体"/>
                <w:snapToGrid w:val="0"/>
                <w:kern w:val="0"/>
                <w:szCs w:val="24"/>
                <w:lang w:bidi="ar"/>
              </w:rPr>
              <w:t>21</w:t>
            </w:r>
          </w:p>
        </w:tc>
        <w:tc>
          <w:tcPr>
            <w:tcW w:w="4725" w:type="dxa"/>
            <w:tcBorders>
              <w:top w:val="single" w:color="000000" w:sz="4" w:space="0"/>
              <w:left w:val="single" w:color="000000" w:sz="4" w:space="0"/>
              <w:bottom w:val="single" w:color="000000" w:sz="4" w:space="0"/>
              <w:right w:val="single" w:color="000000" w:sz="4" w:space="0"/>
            </w:tcBorders>
            <w:vAlign w:val="center"/>
          </w:tcPr>
          <w:p>
            <w:pPr>
              <w:spacing w:line="300" w:lineRule="auto"/>
              <w:ind w:firstLine="0" w:firstLineChars="0"/>
              <w:rPr>
                <w:rFonts w:ascii="宋体" w:hAnsi="宋体" w:cs="宋体"/>
                <w:szCs w:val="24"/>
              </w:rPr>
            </w:pPr>
            <w:r>
              <w:rPr>
                <w:rFonts w:hint="eastAsia" w:ascii="宋体" w:hAnsi="宋体" w:cs="宋体"/>
                <w:szCs w:val="24"/>
              </w:rPr>
              <w:t>其他日常工作</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textAlignment w:val="center"/>
              <w:rPr>
                <w:rFonts w:ascii="宋体" w:hAnsi="宋体" w:cs="宋体"/>
                <w:szCs w:val="24"/>
              </w:rPr>
            </w:pPr>
            <w:r>
              <w:rPr>
                <w:rFonts w:hint="eastAsia" w:ascii="宋体" w:hAnsi="宋体" w:cs="宋体"/>
                <w:szCs w:val="24"/>
              </w:rPr>
              <w:t>5</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ind w:firstLine="480"/>
              <w:jc w:val="left"/>
              <w:rPr>
                <w:rFonts w:ascii="宋体" w:hAnsi="宋体" w:cs="宋体"/>
                <w:szCs w:val="24"/>
              </w:rPr>
            </w:pPr>
          </w:p>
        </w:tc>
      </w:tr>
      <w:tr>
        <w:tblPrEx>
          <w:tblCellMar>
            <w:top w:w="0" w:type="dxa"/>
            <w:left w:w="108" w:type="dxa"/>
            <w:bottom w:w="0" w:type="dxa"/>
            <w:right w:w="108" w:type="dxa"/>
          </w:tblCellMar>
        </w:tblPrEx>
        <w:trPr>
          <w:trHeight w:val="300" w:hRule="atLeast"/>
        </w:trPr>
        <w:tc>
          <w:tcPr>
            <w:tcW w:w="545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80"/>
              <w:jc w:val="center"/>
              <w:textAlignment w:val="center"/>
              <w:rPr>
                <w:rFonts w:ascii="宋体" w:hAnsi="宋体" w:cs="宋体"/>
                <w:szCs w:val="24"/>
              </w:rPr>
            </w:pPr>
            <w:r>
              <w:rPr>
                <w:rFonts w:hint="eastAsia" w:ascii="宋体" w:hAnsi="宋体" w:cs="宋体"/>
                <w:snapToGrid w:val="0"/>
                <w:kern w:val="0"/>
                <w:szCs w:val="24"/>
                <w:lang w:bidi="ar"/>
              </w:rPr>
              <w:t xml:space="preserve">总 </w:t>
            </w:r>
            <w:r>
              <w:rPr>
                <w:rStyle w:val="52"/>
                <w:snapToGrid w:val="0"/>
                <w:color w:val="auto"/>
                <w:lang w:bidi="ar"/>
              </w:rPr>
              <w:t xml:space="preserve">  分</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textAlignment w:val="center"/>
              <w:rPr>
                <w:rFonts w:ascii="宋体" w:hAnsi="宋体" w:cs="宋体"/>
                <w:szCs w:val="24"/>
              </w:rPr>
            </w:pPr>
            <w:r>
              <w:rPr>
                <w:rFonts w:hint="eastAsia" w:ascii="宋体" w:hAnsi="宋体" w:cs="宋体"/>
                <w:snapToGrid w:val="0"/>
                <w:kern w:val="0"/>
                <w:szCs w:val="24"/>
                <w:lang w:bidi="ar"/>
              </w:rPr>
              <w:t>100</w:t>
            </w:r>
          </w:p>
        </w:tc>
        <w:tc>
          <w:tcPr>
            <w:tcW w:w="121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1425" w:type="dxa"/>
            <w:tcBorders>
              <w:top w:val="single" w:color="000000" w:sz="4" w:space="0"/>
              <w:left w:val="single" w:color="000000" w:sz="4" w:space="0"/>
              <w:bottom w:val="single" w:color="000000" w:sz="4" w:space="0"/>
              <w:right w:val="single" w:color="000000" w:sz="4" w:space="0"/>
            </w:tcBorders>
            <w:vAlign w:val="center"/>
          </w:tcPr>
          <w:p>
            <w:pPr>
              <w:ind w:firstLine="480"/>
              <w:rPr>
                <w:rFonts w:ascii="宋体" w:hAnsi="宋体" w:cs="宋体"/>
                <w:szCs w:val="24"/>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ind w:firstLine="480"/>
              <w:rPr>
                <w:rFonts w:ascii="宋体" w:hAnsi="宋体" w:cs="宋体"/>
                <w:szCs w:val="24"/>
              </w:rPr>
            </w:pPr>
          </w:p>
        </w:tc>
      </w:tr>
    </w:tbl>
    <w:p>
      <w:pPr>
        <w:ind w:firstLine="720" w:firstLineChars="300"/>
      </w:pPr>
      <w:r>
        <w:rPr>
          <w:rFonts w:hint="eastAsia"/>
        </w:rPr>
        <w:t>考评人员：                                考评时间：</w:t>
      </w:r>
    </w:p>
    <w:p>
      <w:pPr>
        <w:ind w:firstLine="480"/>
      </w:pPr>
    </w:p>
    <w:p>
      <w:pPr>
        <w:ind w:firstLine="560"/>
        <w:rPr>
          <w:spacing w:val="20"/>
          <w:u w:val="single"/>
        </w:rPr>
      </w:pPr>
    </w:p>
    <w:sectPr>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0</wp:posOffset>
              </wp:positionV>
              <wp:extent cx="5334635" cy="1828800"/>
              <wp:effectExtent l="0" t="0" r="0" b="0"/>
              <wp:wrapNone/>
              <wp:docPr id="1" name="文本框 2051"/>
              <wp:cNvGraphicFramePr/>
              <a:graphic xmlns:a="http://schemas.openxmlformats.org/drawingml/2006/main">
                <a:graphicData uri="http://schemas.microsoft.com/office/word/2010/wordprocessingShape">
                  <wps:wsp>
                    <wps:cNvSpPr txBox="1"/>
                    <wps:spPr>
                      <a:xfrm>
                        <a:off x="0" y="0"/>
                        <a:ext cx="5334635" cy="1828800"/>
                      </a:xfrm>
                      <a:prstGeom prst="rect">
                        <a:avLst/>
                      </a:prstGeom>
                      <a:noFill/>
                      <a:ln w="15875">
                        <a:noFill/>
                      </a:ln>
                    </wps:spPr>
                    <wps:txbx>
                      <w:txbxContent>
                        <w:p>
                          <w:pPr>
                            <w:pStyle w:val="2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wps:txbx>
                    <wps:bodyPr lIns="0" tIns="0" rIns="0" bIns="0" upright="1">
                      <a:spAutoFit/>
                    </wps:bodyPr>
                  </wps:wsp>
                </a:graphicData>
              </a:graphic>
            </wp:anchor>
          </w:drawing>
        </mc:Choice>
        <mc:Fallback>
          <w:pict>
            <v:shape id="文本框 2051" o:spid="_x0000_s1026" o:spt="202" type="#_x0000_t202" style="position:absolute;left:0pt;margin-left:19.1pt;margin-top:0pt;height:144pt;width:420.05pt;mso-position-horizontal-relative:margin;z-index:251659264;mso-width-relative:page;mso-height-relative:page;" filled="f" stroked="f" coordsize="21600,21600" o:gfxdata="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SiDZ1gAAAAcBAAAPAAAAAAAAAAEAIAAAACIA&#10;AABkcnMvZG93bnJldi54bWxQSwECFAAUAAAACACHTuJA3H9SMNIBAACaAwAADgAAAAAAAAABACAA&#10;AAAlAQAAZHJzL2Uyb0RvYy54bWxQSwUGAAAAAAYABgBZAQAAaQUAAAAA&#10;">
              <v:fill on="f" focussize="0,0"/>
              <v:stroke on="f" weight="1.25pt"/>
              <v:imagedata o:title=""/>
              <o:lock v:ext="edit" aspectratio="f"/>
              <v:textbox inset="0mm,0mm,0mm,0mm" style="mso-fit-shape-to-text:t;">
                <w:txbxContent>
                  <w:p>
                    <w:pPr>
                      <w:pStyle w:val="2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mc:AlternateContent>
        <mc:Choice Requires="wps">
          <w:drawing>
            <wp:anchor distT="0" distB="0" distL="114300" distR="114300" simplePos="0" relativeHeight="251660288" behindDoc="0" locked="0" layoutInCell="1" allowOverlap="1">
              <wp:simplePos x="0" y="0"/>
              <wp:positionH relativeFrom="margin">
                <wp:posOffset>462915</wp:posOffset>
              </wp:positionH>
              <wp:positionV relativeFrom="paragraph">
                <wp:posOffset>17145</wp:posOffset>
              </wp:positionV>
              <wp:extent cx="5037455" cy="22225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5037455" cy="222250"/>
                      </a:xfrm>
                      <a:prstGeom prst="rect">
                        <a:avLst/>
                      </a:prstGeom>
                      <a:noFill/>
                      <a:ln w="15875">
                        <a:noFill/>
                      </a:ln>
                    </wps:spPr>
                    <wps:txbx>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30</w:t>
                          </w:r>
                          <w:r>
                            <w:fldChar w:fldCharType="end"/>
                          </w:r>
                        </w:p>
                      </w:txbxContent>
                    </wps:txbx>
                    <wps:bodyPr lIns="0" tIns="0" rIns="0" bIns="0" upright="1">
                      <a:spAutoFit/>
                    </wps:bodyPr>
                  </wps:wsp>
                </a:graphicData>
              </a:graphic>
            </wp:anchor>
          </w:drawing>
        </mc:Choice>
        <mc:Fallback>
          <w:pict>
            <v:shape id="文本框 2052" o:spid="_x0000_s1026" o:spt="202" type="#_x0000_t202" style="position:absolute;left:0pt;margin-left:36.45pt;margin-top:1.35pt;height:17.5pt;width:396.65pt;mso-position-horizontal-relative:margin;z-index:251660288;mso-width-relative:page;mso-height-relative:page;" filled="f" stroked="f" coordsize="21600,21600" o:gfxdata="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PxQdtcAAAAHAQAADwAAAAAAAAABACAAAAAi&#10;AAAAZHJzL2Rvd25yZXYueG1sUEsBAhQAFAAAAAgAh07iQB1hlF/SAQAAmQMAAA4AAAAAAAAAAQAg&#10;AAAAJgEAAGRycy9lMm9Eb2MueG1sUEsFBgAAAAAGAAYAWQEAAGoFAAAAAA==&#10;">
              <v:fill on="f" focussize="0,0"/>
              <v:stroke on="f" weight="1.25pt"/>
              <v:imagedata o:title=""/>
              <o:lock v:ext="edit" aspectratio="f"/>
              <v:textbox inset="0mm,0mm,0mm,0mm" style="mso-fit-shape-to-text:t;">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rPr>
      <w:t>2023年嘉善县水文测站设施设备运维项目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rPr>
      <w:t>2023年嘉善县水文测站设施设备运维项目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OTZjOTczOGRlZTIyZjkwYWRjMzhiMmI5YjdmZjg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F8A"/>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6A8"/>
    <w:rsid w:val="0009587D"/>
    <w:rsid w:val="00095E00"/>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FC"/>
    <w:rsid w:val="000E59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1C"/>
    <w:rsid w:val="00216BC4"/>
    <w:rsid w:val="00217632"/>
    <w:rsid w:val="00217708"/>
    <w:rsid w:val="002178A4"/>
    <w:rsid w:val="00217EF5"/>
    <w:rsid w:val="0022012C"/>
    <w:rsid w:val="00220204"/>
    <w:rsid w:val="002202E0"/>
    <w:rsid w:val="0022071A"/>
    <w:rsid w:val="0022092D"/>
    <w:rsid w:val="00220A10"/>
    <w:rsid w:val="00220A92"/>
    <w:rsid w:val="00220C03"/>
    <w:rsid w:val="00220C7A"/>
    <w:rsid w:val="0022238A"/>
    <w:rsid w:val="00222653"/>
    <w:rsid w:val="00222BF0"/>
    <w:rsid w:val="00222D42"/>
    <w:rsid w:val="00223343"/>
    <w:rsid w:val="00223694"/>
    <w:rsid w:val="00223C0E"/>
    <w:rsid w:val="0022450B"/>
    <w:rsid w:val="00225851"/>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363"/>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2D7"/>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916"/>
    <w:rsid w:val="002D693D"/>
    <w:rsid w:val="002D6A37"/>
    <w:rsid w:val="002D6A67"/>
    <w:rsid w:val="002D6A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71E"/>
    <w:rsid w:val="00330BA1"/>
    <w:rsid w:val="003315AD"/>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474"/>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2F91"/>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57953"/>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294B"/>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89E"/>
    <w:rsid w:val="00546DF1"/>
    <w:rsid w:val="00546F19"/>
    <w:rsid w:val="00546F94"/>
    <w:rsid w:val="00547BD2"/>
    <w:rsid w:val="00550206"/>
    <w:rsid w:val="00550319"/>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412"/>
    <w:rsid w:val="005715AF"/>
    <w:rsid w:val="00571AAB"/>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90606"/>
    <w:rsid w:val="005913B5"/>
    <w:rsid w:val="0059154D"/>
    <w:rsid w:val="00592B70"/>
    <w:rsid w:val="00592E00"/>
    <w:rsid w:val="0059380E"/>
    <w:rsid w:val="00593B47"/>
    <w:rsid w:val="00593BAB"/>
    <w:rsid w:val="00594204"/>
    <w:rsid w:val="00594E65"/>
    <w:rsid w:val="005950E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5D9"/>
    <w:rsid w:val="0060479C"/>
    <w:rsid w:val="006048D6"/>
    <w:rsid w:val="00604A08"/>
    <w:rsid w:val="0060577F"/>
    <w:rsid w:val="00606571"/>
    <w:rsid w:val="00606B87"/>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8BA"/>
    <w:rsid w:val="0062751A"/>
    <w:rsid w:val="0062797C"/>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06D"/>
    <w:rsid w:val="00660353"/>
    <w:rsid w:val="00660447"/>
    <w:rsid w:val="0066106B"/>
    <w:rsid w:val="00662316"/>
    <w:rsid w:val="00662741"/>
    <w:rsid w:val="006630AE"/>
    <w:rsid w:val="006636E0"/>
    <w:rsid w:val="00663802"/>
    <w:rsid w:val="00663AAF"/>
    <w:rsid w:val="00663B06"/>
    <w:rsid w:val="00664BB3"/>
    <w:rsid w:val="00664EBA"/>
    <w:rsid w:val="00664F75"/>
    <w:rsid w:val="0066526A"/>
    <w:rsid w:val="00665D1D"/>
    <w:rsid w:val="0066622C"/>
    <w:rsid w:val="00666352"/>
    <w:rsid w:val="006669AF"/>
    <w:rsid w:val="00666A6C"/>
    <w:rsid w:val="00666AF3"/>
    <w:rsid w:val="006670C4"/>
    <w:rsid w:val="00667392"/>
    <w:rsid w:val="00667A5F"/>
    <w:rsid w:val="00667C3C"/>
    <w:rsid w:val="00670033"/>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109"/>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06C8"/>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1EDB"/>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750"/>
    <w:rsid w:val="00785F4D"/>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CCD"/>
    <w:rsid w:val="00852CFE"/>
    <w:rsid w:val="008532B6"/>
    <w:rsid w:val="00853533"/>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127"/>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3E49"/>
    <w:rsid w:val="008D4675"/>
    <w:rsid w:val="008D46E0"/>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1A58"/>
    <w:rsid w:val="00951AAB"/>
    <w:rsid w:val="00951C45"/>
    <w:rsid w:val="00952EA8"/>
    <w:rsid w:val="00952EDF"/>
    <w:rsid w:val="00952F36"/>
    <w:rsid w:val="00954070"/>
    <w:rsid w:val="0095435B"/>
    <w:rsid w:val="0095474D"/>
    <w:rsid w:val="009547A9"/>
    <w:rsid w:val="00955619"/>
    <w:rsid w:val="00955898"/>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D17"/>
    <w:rsid w:val="009C7FF6"/>
    <w:rsid w:val="009D0247"/>
    <w:rsid w:val="009D0D56"/>
    <w:rsid w:val="009D0E10"/>
    <w:rsid w:val="009D11F2"/>
    <w:rsid w:val="009D163F"/>
    <w:rsid w:val="009D17B4"/>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81F"/>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350"/>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592E"/>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DD2"/>
    <w:rsid w:val="00BC4AF3"/>
    <w:rsid w:val="00BC510B"/>
    <w:rsid w:val="00BC6CBB"/>
    <w:rsid w:val="00BC6DB9"/>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291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53F"/>
    <w:rsid w:val="00C135A5"/>
    <w:rsid w:val="00C135AA"/>
    <w:rsid w:val="00C13803"/>
    <w:rsid w:val="00C14359"/>
    <w:rsid w:val="00C14CB7"/>
    <w:rsid w:val="00C1573D"/>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C3F"/>
    <w:rsid w:val="00C70494"/>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97E75"/>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6999"/>
    <w:rsid w:val="00D572A2"/>
    <w:rsid w:val="00D5730F"/>
    <w:rsid w:val="00D57D56"/>
    <w:rsid w:val="00D57EE0"/>
    <w:rsid w:val="00D60D00"/>
    <w:rsid w:val="00D60EBA"/>
    <w:rsid w:val="00D62142"/>
    <w:rsid w:val="00D62495"/>
    <w:rsid w:val="00D62F8C"/>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2620"/>
    <w:rsid w:val="00DD27BD"/>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7032"/>
    <w:rsid w:val="00DF0AE0"/>
    <w:rsid w:val="00DF0C1B"/>
    <w:rsid w:val="00DF1965"/>
    <w:rsid w:val="00DF1E97"/>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83C"/>
    <w:rsid w:val="00E42B18"/>
    <w:rsid w:val="00E42BFF"/>
    <w:rsid w:val="00E42E5F"/>
    <w:rsid w:val="00E43C57"/>
    <w:rsid w:val="00E440F1"/>
    <w:rsid w:val="00E44184"/>
    <w:rsid w:val="00E44BF6"/>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36F"/>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91D"/>
    <w:rsid w:val="00EF4A7D"/>
    <w:rsid w:val="00EF5F51"/>
    <w:rsid w:val="00EF6004"/>
    <w:rsid w:val="00EF6B61"/>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C"/>
    <w:rsid w:val="00F17CCD"/>
    <w:rsid w:val="00F2005B"/>
    <w:rsid w:val="00F203DF"/>
    <w:rsid w:val="00F20917"/>
    <w:rsid w:val="00F209D2"/>
    <w:rsid w:val="00F20E0B"/>
    <w:rsid w:val="00F20E5F"/>
    <w:rsid w:val="00F2102E"/>
    <w:rsid w:val="00F2123D"/>
    <w:rsid w:val="00F21335"/>
    <w:rsid w:val="00F21467"/>
    <w:rsid w:val="00F2152B"/>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95"/>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F6A"/>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04B45"/>
    <w:rsid w:val="01D45093"/>
    <w:rsid w:val="01D867AF"/>
    <w:rsid w:val="01E51D28"/>
    <w:rsid w:val="01FA0C29"/>
    <w:rsid w:val="021F7DC1"/>
    <w:rsid w:val="022F5F9A"/>
    <w:rsid w:val="02B3053E"/>
    <w:rsid w:val="02D358B6"/>
    <w:rsid w:val="02E50A66"/>
    <w:rsid w:val="02E87294"/>
    <w:rsid w:val="02EA3D4F"/>
    <w:rsid w:val="03195680"/>
    <w:rsid w:val="032F66E9"/>
    <w:rsid w:val="03360276"/>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B1019F"/>
    <w:rsid w:val="0EB9159E"/>
    <w:rsid w:val="0EE63683"/>
    <w:rsid w:val="0F0174BB"/>
    <w:rsid w:val="0F050418"/>
    <w:rsid w:val="0F110C78"/>
    <w:rsid w:val="0F275B29"/>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856F4"/>
    <w:rsid w:val="108C69DE"/>
    <w:rsid w:val="1094347E"/>
    <w:rsid w:val="10964EF8"/>
    <w:rsid w:val="10B0393A"/>
    <w:rsid w:val="10C46432"/>
    <w:rsid w:val="10D86C00"/>
    <w:rsid w:val="10DF695A"/>
    <w:rsid w:val="112355EC"/>
    <w:rsid w:val="113147B9"/>
    <w:rsid w:val="1158509E"/>
    <w:rsid w:val="1180141F"/>
    <w:rsid w:val="11885720"/>
    <w:rsid w:val="119A267F"/>
    <w:rsid w:val="11AD2466"/>
    <w:rsid w:val="11B30F31"/>
    <w:rsid w:val="11B33EF7"/>
    <w:rsid w:val="11BF41A1"/>
    <w:rsid w:val="11C85CC6"/>
    <w:rsid w:val="11E11036"/>
    <w:rsid w:val="11EA2C7E"/>
    <w:rsid w:val="11F70D4B"/>
    <w:rsid w:val="121314BD"/>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7D070B"/>
    <w:rsid w:val="138B0DA5"/>
    <w:rsid w:val="13990BE8"/>
    <w:rsid w:val="139F1540"/>
    <w:rsid w:val="13A33DCC"/>
    <w:rsid w:val="13B02513"/>
    <w:rsid w:val="13B94A83"/>
    <w:rsid w:val="13CD1D23"/>
    <w:rsid w:val="13D369E3"/>
    <w:rsid w:val="13D50411"/>
    <w:rsid w:val="140A1D14"/>
    <w:rsid w:val="146870E8"/>
    <w:rsid w:val="147A7419"/>
    <w:rsid w:val="148D2D4C"/>
    <w:rsid w:val="14955FA2"/>
    <w:rsid w:val="14A6437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68B4"/>
    <w:rsid w:val="18A07CAB"/>
    <w:rsid w:val="18D26527"/>
    <w:rsid w:val="19211619"/>
    <w:rsid w:val="19264A04"/>
    <w:rsid w:val="19326A25"/>
    <w:rsid w:val="193A691F"/>
    <w:rsid w:val="19572B4C"/>
    <w:rsid w:val="195D3688"/>
    <w:rsid w:val="19A80A21"/>
    <w:rsid w:val="19AB5A4D"/>
    <w:rsid w:val="19B2076C"/>
    <w:rsid w:val="19C35AB3"/>
    <w:rsid w:val="19E17B48"/>
    <w:rsid w:val="19FF7081"/>
    <w:rsid w:val="1A0E48E2"/>
    <w:rsid w:val="1A163D48"/>
    <w:rsid w:val="1A1A3557"/>
    <w:rsid w:val="1A217672"/>
    <w:rsid w:val="1A292567"/>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740D26"/>
    <w:rsid w:val="1B9D12F4"/>
    <w:rsid w:val="1BAE4D2B"/>
    <w:rsid w:val="1BBF7504"/>
    <w:rsid w:val="1C0C0181"/>
    <w:rsid w:val="1C0C2CEF"/>
    <w:rsid w:val="1C5448D1"/>
    <w:rsid w:val="1C635093"/>
    <w:rsid w:val="1C6A626C"/>
    <w:rsid w:val="1C732978"/>
    <w:rsid w:val="1C76198C"/>
    <w:rsid w:val="1C8651B5"/>
    <w:rsid w:val="1C9B2B55"/>
    <w:rsid w:val="1CA02563"/>
    <w:rsid w:val="1CA814B4"/>
    <w:rsid w:val="1CD35FB2"/>
    <w:rsid w:val="1CD46261"/>
    <w:rsid w:val="1CD62BAA"/>
    <w:rsid w:val="1CEE56E4"/>
    <w:rsid w:val="1D0A51CC"/>
    <w:rsid w:val="1D0D0CC5"/>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9A65A4"/>
    <w:rsid w:val="1EBA0BD2"/>
    <w:rsid w:val="1ECA3890"/>
    <w:rsid w:val="1ED17766"/>
    <w:rsid w:val="1EF84EEB"/>
    <w:rsid w:val="1F042DEE"/>
    <w:rsid w:val="1F217946"/>
    <w:rsid w:val="1F6577E7"/>
    <w:rsid w:val="1F7472AE"/>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390D52"/>
    <w:rsid w:val="245C06A9"/>
    <w:rsid w:val="249D393C"/>
    <w:rsid w:val="24AF57DE"/>
    <w:rsid w:val="24B67C80"/>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5FA57B8"/>
    <w:rsid w:val="2642495F"/>
    <w:rsid w:val="268A3AF4"/>
    <w:rsid w:val="26967BCA"/>
    <w:rsid w:val="269A5503"/>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4A583E"/>
    <w:rsid w:val="286640ED"/>
    <w:rsid w:val="28733F45"/>
    <w:rsid w:val="28883B3E"/>
    <w:rsid w:val="288D3E4E"/>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8F346E"/>
    <w:rsid w:val="2B9B1045"/>
    <w:rsid w:val="2B9C18F9"/>
    <w:rsid w:val="2BA26207"/>
    <w:rsid w:val="2BB86B45"/>
    <w:rsid w:val="2BC27E49"/>
    <w:rsid w:val="2BC27FDB"/>
    <w:rsid w:val="2BDA73BA"/>
    <w:rsid w:val="2BDE4F3E"/>
    <w:rsid w:val="2BDE5DDC"/>
    <w:rsid w:val="2BE55FA7"/>
    <w:rsid w:val="2BE87423"/>
    <w:rsid w:val="2BEB30D7"/>
    <w:rsid w:val="2BF104A7"/>
    <w:rsid w:val="2C1125C1"/>
    <w:rsid w:val="2C303803"/>
    <w:rsid w:val="2C423E46"/>
    <w:rsid w:val="2C523EA6"/>
    <w:rsid w:val="2C6A6BE6"/>
    <w:rsid w:val="2C6C31F6"/>
    <w:rsid w:val="2C6E5C2B"/>
    <w:rsid w:val="2C756248"/>
    <w:rsid w:val="2C8349FD"/>
    <w:rsid w:val="2C8621FE"/>
    <w:rsid w:val="2C9B36E8"/>
    <w:rsid w:val="2CB978D7"/>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427F1"/>
    <w:rsid w:val="302C3166"/>
    <w:rsid w:val="305D23CE"/>
    <w:rsid w:val="308264F5"/>
    <w:rsid w:val="3087356E"/>
    <w:rsid w:val="308A506E"/>
    <w:rsid w:val="30DA427D"/>
    <w:rsid w:val="30FB13FB"/>
    <w:rsid w:val="31012BF3"/>
    <w:rsid w:val="310F24B7"/>
    <w:rsid w:val="31107923"/>
    <w:rsid w:val="31260E58"/>
    <w:rsid w:val="313E3AD9"/>
    <w:rsid w:val="314B5A55"/>
    <w:rsid w:val="31601805"/>
    <w:rsid w:val="318836DD"/>
    <w:rsid w:val="31927E60"/>
    <w:rsid w:val="319A3263"/>
    <w:rsid w:val="31A8144E"/>
    <w:rsid w:val="31A94B75"/>
    <w:rsid w:val="31D712B2"/>
    <w:rsid w:val="31DA58A8"/>
    <w:rsid w:val="31F008FB"/>
    <w:rsid w:val="323158B1"/>
    <w:rsid w:val="324F3411"/>
    <w:rsid w:val="32552F74"/>
    <w:rsid w:val="327A27D0"/>
    <w:rsid w:val="32840341"/>
    <w:rsid w:val="328D125C"/>
    <w:rsid w:val="3297595C"/>
    <w:rsid w:val="329B0615"/>
    <w:rsid w:val="32BD07AC"/>
    <w:rsid w:val="32BD5557"/>
    <w:rsid w:val="32F7250C"/>
    <w:rsid w:val="33004825"/>
    <w:rsid w:val="332F0B57"/>
    <w:rsid w:val="333577A1"/>
    <w:rsid w:val="33474F33"/>
    <w:rsid w:val="33555178"/>
    <w:rsid w:val="335F530A"/>
    <w:rsid w:val="33675E7D"/>
    <w:rsid w:val="336828E9"/>
    <w:rsid w:val="336F0DF4"/>
    <w:rsid w:val="339B3875"/>
    <w:rsid w:val="33BC3FE1"/>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03489A"/>
    <w:rsid w:val="36105B3F"/>
    <w:rsid w:val="36282054"/>
    <w:rsid w:val="363300F0"/>
    <w:rsid w:val="3633690D"/>
    <w:rsid w:val="36381C4C"/>
    <w:rsid w:val="366E41AD"/>
    <w:rsid w:val="369A0FD2"/>
    <w:rsid w:val="36B052BF"/>
    <w:rsid w:val="36B93EB7"/>
    <w:rsid w:val="36E1045F"/>
    <w:rsid w:val="36E2640E"/>
    <w:rsid w:val="36E2669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AB0E34"/>
    <w:rsid w:val="39C866A0"/>
    <w:rsid w:val="39CB0C32"/>
    <w:rsid w:val="3A4F7703"/>
    <w:rsid w:val="3A5D31CE"/>
    <w:rsid w:val="3A963F52"/>
    <w:rsid w:val="3AB431AA"/>
    <w:rsid w:val="3ABB1BB9"/>
    <w:rsid w:val="3AC7454D"/>
    <w:rsid w:val="3B1D0171"/>
    <w:rsid w:val="3B2163D1"/>
    <w:rsid w:val="3B241DA1"/>
    <w:rsid w:val="3B362170"/>
    <w:rsid w:val="3B5C3A55"/>
    <w:rsid w:val="3B741DA4"/>
    <w:rsid w:val="3B8B3D0E"/>
    <w:rsid w:val="3B8F6A4B"/>
    <w:rsid w:val="3BAC1BCF"/>
    <w:rsid w:val="3BB64A2D"/>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CD28F9"/>
    <w:rsid w:val="40D1511F"/>
    <w:rsid w:val="40DB3267"/>
    <w:rsid w:val="40E220E1"/>
    <w:rsid w:val="40F044EB"/>
    <w:rsid w:val="41036469"/>
    <w:rsid w:val="41156396"/>
    <w:rsid w:val="412E36B4"/>
    <w:rsid w:val="412F6BF0"/>
    <w:rsid w:val="414A3ABE"/>
    <w:rsid w:val="416D78B4"/>
    <w:rsid w:val="417117E7"/>
    <w:rsid w:val="41A61CDB"/>
    <w:rsid w:val="41BC0672"/>
    <w:rsid w:val="41C81D6A"/>
    <w:rsid w:val="41F0145A"/>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9D27EC"/>
    <w:rsid w:val="44A668B8"/>
    <w:rsid w:val="44B3389B"/>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503D2B"/>
    <w:rsid w:val="46644AC6"/>
    <w:rsid w:val="466B5C10"/>
    <w:rsid w:val="466F7676"/>
    <w:rsid w:val="467950D1"/>
    <w:rsid w:val="4689676F"/>
    <w:rsid w:val="46AA555C"/>
    <w:rsid w:val="46F952EF"/>
    <w:rsid w:val="471D7B5D"/>
    <w:rsid w:val="471F637D"/>
    <w:rsid w:val="4730080C"/>
    <w:rsid w:val="474833BA"/>
    <w:rsid w:val="475734F9"/>
    <w:rsid w:val="47712A1C"/>
    <w:rsid w:val="478248F3"/>
    <w:rsid w:val="47824940"/>
    <w:rsid w:val="47A602C9"/>
    <w:rsid w:val="47C12A39"/>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7589C"/>
    <w:rsid w:val="49992AD8"/>
    <w:rsid w:val="49B02FC2"/>
    <w:rsid w:val="49BD64AA"/>
    <w:rsid w:val="49C10D2B"/>
    <w:rsid w:val="4A08137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560DB2"/>
    <w:rsid w:val="4D6146ED"/>
    <w:rsid w:val="4DA712FA"/>
    <w:rsid w:val="4DA77604"/>
    <w:rsid w:val="4DB64C5C"/>
    <w:rsid w:val="4DB86720"/>
    <w:rsid w:val="4DD059E1"/>
    <w:rsid w:val="4DF35CFB"/>
    <w:rsid w:val="4E167C21"/>
    <w:rsid w:val="4E660D6D"/>
    <w:rsid w:val="4E712CEB"/>
    <w:rsid w:val="4E7F3F8C"/>
    <w:rsid w:val="4EA61152"/>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7E5FEF"/>
    <w:rsid w:val="528672BE"/>
    <w:rsid w:val="52885C9B"/>
    <w:rsid w:val="528C69AA"/>
    <w:rsid w:val="528D18A0"/>
    <w:rsid w:val="52C55B5C"/>
    <w:rsid w:val="52D23681"/>
    <w:rsid w:val="52F93B9B"/>
    <w:rsid w:val="530243FB"/>
    <w:rsid w:val="530D2C13"/>
    <w:rsid w:val="531620E8"/>
    <w:rsid w:val="53262234"/>
    <w:rsid w:val="53656C55"/>
    <w:rsid w:val="537470CE"/>
    <w:rsid w:val="537C7E04"/>
    <w:rsid w:val="53B73FC1"/>
    <w:rsid w:val="53F342B2"/>
    <w:rsid w:val="54032253"/>
    <w:rsid w:val="54102C67"/>
    <w:rsid w:val="54231EC5"/>
    <w:rsid w:val="542B552C"/>
    <w:rsid w:val="544E7F31"/>
    <w:rsid w:val="54E12461"/>
    <w:rsid w:val="54E379B9"/>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7341AE"/>
    <w:rsid w:val="56822CF4"/>
    <w:rsid w:val="56AF3844"/>
    <w:rsid w:val="56B874D0"/>
    <w:rsid w:val="56C45121"/>
    <w:rsid w:val="56D37217"/>
    <w:rsid w:val="56D92559"/>
    <w:rsid w:val="56E0464E"/>
    <w:rsid w:val="56EA2AD6"/>
    <w:rsid w:val="56EF57DA"/>
    <w:rsid w:val="56FE7492"/>
    <w:rsid w:val="5712786F"/>
    <w:rsid w:val="57225C3A"/>
    <w:rsid w:val="572E2719"/>
    <w:rsid w:val="573869A1"/>
    <w:rsid w:val="57520404"/>
    <w:rsid w:val="57577B43"/>
    <w:rsid w:val="57686B39"/>
    <w:rsid w:val="57926E1F"/>
    <w:rsid w:val="579C4060"/>
    <w:rsid w:val="57A348C8"/>
    <w:rsid w:val="57C27BC3"/>
    <w:rsid w:val="57C63E30"/>
    <w:rsid w:val="57C96C4F"/>
    <w:rsid w:val="57CA617B"/>
    <w:rsid w:val="57D75A81"/>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5639C9"/>
    <w:rsid w:val="5B9779A7"/>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B93D9B"/>
    <w:rsid w:val="5DDE158C"/>
    <w:rsid w:val="5DE2034D"/>
    <w:rsid w:val="5DE2243A"/>
    <w:rsid w:val="5DF16612"/>
    <w:rsid w:val="5E01163E"/>
    <w:rsid w:val="5E0C16C2"/>
    <w:rsid w:val="5E2362AB"/>
    <w:rsid w:val="5E3758E0"/>
    <w:rsid w:val="5E460C00"/>
    <w:rsid w:val="5E4E2D66"/>
    <w:rsid w:val="5E6462ED"/>
    <w:rsid w:val="5EA00BC9"/>
    <w:rsid w:val="5EB053AB"/>
    <w:rsid w:val="5EB06DA1"/>
    <w:rsid w:val="5EB77BF4"/>
    <w:rsid w:val="5EBE0ACF"/>
    <w:rsid w:val="5EF70725"/>
    <w:rsid w:val="5F116334"/>
    <w:rsid w:val="5F167628"/>
    <w:rsid w:val="5F187367"/>
    <w:rsid w:val="5F460512"/>
    <w:rsid w:val="5F4D40ED"/>
    <w:rsid w:val="5F5B6097"/>
    <w:rsid w:val="5F616AEA"/>
    <w:rsid w:val="5F672E5B"/>
    <w:rsid w:val="5F704C52"/>
    <w:rsid w:val="5F8435C6"/>
    <w:rsid w:val="5FA41B0F"/>
    <w:rsid w:val="5FBB3692"/>
    <w:rsid w:val="5FBD1A76"/>
    <w:rsid w:val="5FCC4A9B"/>
    <w:rsid w:val="5FCF0476"/>
    <w:rsid w:val="5FD95F84"/>
    <w:rsid w:val="5FDD542D"/>
    <w:rsid w:val="5FE343FF"/>
    <w:rsid w:val="60335D24"/>
    <w:rsid w:val="603E133A"/>
    <w:rsid w:val="603E2C7E"/>
    <w:rsid w:val="60440EA7"/>
    <w:rsid w:val="609D2B3A"/>
    <w:rsid w:val="60A57373"/>
    <w:rsid w:val="60A63145"/>
    <w:rsid w:val="60B13425"/>
    <w:rsid w:val="60BA7212"/>
    <w:rsid w:val="60C80A52"/>
    <w:rsid w:val="60E27633"/>
    <w:rsid w:val="60E370E1"/>
    <w:rsid w:val="6115743B"/>
    <w:rsid w:val="6118219C"/>
    <w:rsid w:val="615A7643"/>
    <w:rsid w:val="6181590D"/>
    <w:rsid w:val="61882537"/>
    <w:rsid w:val="61A0602B"/>
    <w:rsid w:val="61AB4343"/>
    <w:rsid w:val="61C10180"/>
    <w:rsid w:val="61DF65A1"/>
    <w:rsid w:val="620879B6"/>
    <w:rsid w:val="62144776"/>
    <w:rsid w:val="62165B70"/>
    <w:rsid w:val="624A6D69"/>
    <w:rsid w:val="62511E62"/>
    <w:rsid w:val="625978FB"/>
    <w:rsid w:val="625D6EB4"/>
    <w:rsid w:val="627C4E07"/>
    <w:rsid w:val="62A60AF3"/>
    <w:rsid w:val="6300329D"/>
    <w:rsid w:val="631A0AF4"/>
    <w:rsid w:val="63357CF9"/>
    <w:rsid w:val="633C3E81"/>
    <w:rsid w:val="63417443"/>
    <w:rsid w:val="634718F8"/>
    <w:rsid w:val="634F14DE"/>
    <w:rsid w:val="635271AC"/>
    <w:rsid w:val="63A177AC"/>
    <w:rsid w:val="63CA5038"/>
    <w:rsid w:val="63DF412E"/>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125F4"/>
    <w:rsid w:val="65CD72D9"/>
    <w:rsid w:val="65E240AB"/>
    <w:rsid w:val="66154489"/>
    <w:rsid w:val="66234A68"/>
    <w:rsid w:val="662519FA"/>
    <w:rsid w:val="662B4B5B"/>
    <w:rsid w:val="662E3C5A"/>
    <w:rsid w:val="66524C20"/>
    <w:rsid w:val="666B40AB"/>
    <w:rsid w:val="66AF05D0"/>
    <w:rsid w:val="66CC4B63"/>
    <w:rsid w:val="66DD782D"/>
    <w:rsid w:val="66E16EBB"/>
    <w:rsid w:val="66E71594"/>
    <w:rsid w:val="66EB350E"/>
    <w:rsid w:val="671C19A2"/>
    <w:rsid w:val="67361909"/>
    <w:rsid w:val="673D11D9"/>
    <w:rsid w:val="6761151E"/>
    <w:rsid w:val="67777A7E"/>
    <w:rsid w:val="6779514F"/>
    <w:rsid w:val="67937A78"/>
    <w:rsid w:val="67AC67D9"/>
    <w:rsid w:val="67B505D6"/>
    <w:rsid w:val="67C646E4"/>
    <w:rsid w:val="67CE19EE"/>
    <w:rsid w:val="67CF78E2"/>
    <w:rsid w:val="67D65FBA"/>
    <w:rsid w:val="67FF38D2"/>
    <w:rsid w:val="68025E22"/>
    <w:rsid w:val="68061691"/>
    <w:rsid w:val="68100949"/>
    <w:rsid w:val="68203D10"/>
    <w:rsid w:val="683728A9"/>
    <w:rsid w:val="68407CCF"/>
    <w:rsid w:val="68454692"/>
    <w:rsid w:val="685F0607"/>
    <w:rsid w:val="68C046B7"/>
    <w:rsid w:val="68D13D5F"/>
    <w:rsid w:val="68E424F2"/>
    <w:rsid w:val="68EA39A3"/>
    <w:rsid w:val="68EB0259"/>
    <w:rsid w:val="68F51868"/>
    <w:rsid w:val="69013165"/>
    <w:rsid w:val="691E73F0"/>
    <w:rsid w:val="69283B12"/>
    <w:rsid w:val="693E3CEF"/>
    <w:rsid w:val="694170DA"/>
    <w:rsid w:val="69451A1A"/>
    <w:rsid w:val="695D5EF8"/>
    <w:rsid w:val="696E5C82"/>
    <w:rsid w:val="69B66B69"/>
    <w:rsid w:val="69D5604B"/>
    <w:rsid w:val="69DC6FD1"/>
    <w:rsid w:val="69FE44F1"/>
    <w:rsid w:val="69FF65C7"/>
    <w:rsid w:val="6A26310F"/>
    <w:rsid w:val="6A400F60"/>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E1496"/>
    <w:rsid w:val="6C4F292A"/>
    <w:rsid w:val="6C784968"/>
    <w:rsid w:val="6C934A49"/>
    <w:rsid w:val="6C990CC3"/>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DB1BC1"/>
    <w:rsid w:val="70DD1926"/>
    <w:rsid w:val="70E41B98"/>
    <w:rsid w:val="71043FAD"/>
    <w:rsid w:val="713F2AFD"/>
    <w:rsid w:val="71952910"/>
    <w:rsid w:val="71981217"/>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173F7"/>
    <w:rsid w:val="792B7ADB"/>
    <w:rsid w:val="795A5FDB"/>
    <w:rsid w:val="79673907"/>
    <w:rsid w:val="7972455A"/>
    <w:rsid w:val="79843AB5"/>
    <w:rsid w:val="79E16677"/>
    <w:rsid w:val="79F206CA"/>
    <w:rsid w:val="79F556E7"/>
    <w:rsid w:val="79FA5EC6"/>
    <w:rsid w:val="79FD3647"/>
    <w:rsid w:val="7A1B6439"/>
    <w:rsid w:val="7A1B7E60"/>
    <w:rsid w:val="7A205476"/>
    <w:rsid w:val="7A3D4FF8"/>
    <w:rsid w:val="7A62009D"/>
    <w:rsid w:val="7A707A0C"/>
    <w:rsid w:val="7A7F1012"/>
    <w:rsid w:val="7A991F5F"/>
    <w:rsid w:val="7A9F31FC"/>
    <w:rsid w:val="7AA722B0"/>
    <w:rsid w:val="7AA95331"/>
    <w:rsid w:val="7AD41BFE"/>
    <w:rsid w:val="7AE101C7"/>
    <w:rsid w:val="7AE57976"/>
    <w:rsid w:val="7AF93647"/>
    <w:rsid w:val="7B244E36"/>
    <w:rsid w:val="7B274214"/>
    <w:rsid w:val="7B290CCA"/>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870C8"/>
    <w:rsid w:val="7D8A7BB3"/>
    <w:rsid w:val="7DA22646"/>
    <w:rsid w:val="7DBD1C4E"/>
    <w:rsid w:val="7DDA1DE0"/>
    <w:rsid w:val="7DE33872"/>
    <w:rsid w:val="7E025E1B"/>
    <w:rsid w:val="7E064983"/>
    <w:rsid w:val="7E1E5C06"/>
    <w:rsid w:val="7E283A5C"/>
    <w:rsid w:val="7E351709"/>
    <w:rsid w:val="7E4A2CB2"/>
    <w:rsid w:val="7E653615"/>
    <w:rsid w:val="7E7D50EC"/>
    <w:rsid w:val="7E8B43F6"/>
    <w:rsid w:val="7EB77ECD"/>
    <w:rsid w:val="7EC64112"/>
    <w:rsid w:val="7EDC3C5E"/>
    <w:rsid w:val="7EF50B34"/>
    <w:rsid w:val="7F271E86"/>
    <w:rsid w:val="7F745F2F"/>
    <w:rsid w:val="7F7B15F0"/>
    <w:rsid w:val="7FA919BF"/>
    <w:rsid w:val="7FB606F2"/>
    <w:rsid w:val="7FB851A4"/>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4">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1"/>
    <w:qFormat/>
    <w:uiPriority w:val="99"/>
    <w:pPr>
      <w:keepNext/>
      <w:keepLines/>
      <w:spacing w:before="260" w:after="260" w:line="416" w:lineRule="auto"/>
      <w:outlineLvl w:val="2"/>
    </w:pPr>
    <w:rPr>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Cambria" w:hAnsi="Cambria"/>
      <w:b/>
      <w:bCs/>
      <w:sz w:val="28"/>
    </w:rPr>
  </w:style>
  <w:style w:type="paragraph" w:styleId="8">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0"/>
    <w:pPr>
      <w:ind w:firstLine="420"/>
    </w:pPr>
    <w:rPr>
      <w:rFonts w:eastAsia="楷体_GB2312"/>
      <w:b/>
      <w:bCs/>
      <w:sz w:val="32"/>
      <w:szCs w:val="20"/>
    </w:rPr>
  </w:style>
  <w:style w:type="paragraph" w:styleId="3">
    <w:name w:val="Body Text"/>
    <w:basedOn w:val="1"/>
    <w:next w:val="1"/>
    <w:link w:val="81"/>
    <w:semiHidden/>
    <w:qFormat/>
    <w:uiPriority w:val="99"/>
    <w:pPr>
      <w:spacing w:after="120"/>
    </w:pPr>
    <w:rPr>
      <w:kern w:val="0"/>
      <w:szCs w:val="24"/>
    </w:rPr>
  </w:style>
  <w:style w:type="paragraph" w:styleId="9">
    <w:name w:val="List Number"/>
    <w:basedOn w:val="1"/>
    <w:semiHidden/>
    <w:qFormat/>
    <w:uiPriority w:val="99"/>
    <w:pPr>
      <w:widowControl/>
      <w:tabs>
        <w:tab w:val="left" w:pos="900"/>
      </w:tabs>
      <w:spacing w:afterLines="50"/>
      <w:ind w:left="900" w:hanging="720"/>
      <w:jc w:val="left"/>
    </w:pPr>
    <w:rPr>
      <w:kern w:val="0"/>
      <w:szCs w:val="24"/>
    </w:rPr>
  </w:style>
  <w:style w:type="paragraph" w:styleId="10">
    <w:name w:val="Normal Indent"/>
    <w:basedOn w:val="1"/>
    <w:link w:val="54"/>
    <w:qFormat/>
    <w:uiPriority w:val="0"/>
    <w:pPr>
      <w:ind w:firstLine="420"/>
    </w:pPr>
    <w:rPr>
      <w:sz w:val="21"/>
      <w:szCs w:val="21"/>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Document Map"/>
    <w:basedOn w:val="1"/>
    <w:link w:val="73"/>
    <w:semiHidden/>
    <w:qFormat/>
    <w:uiPriority w:val="99"/>
    <w:rPr>
      <w:rFonts w:ascii="宋体"/>
      <w:sz w:val="18"/>
      <w:szCs w:val="18"/>
    </w:rPr>
  </w:style>
  <w:style w:type="paragraph" w:styleId="13">
    <w:name w:val="annotation text"/>
    <w:basedOn w:val="1"/>
    <w:link w:val="46"/>
    <w:semiHidden/>
    <w:qFormat/>
    <w:locked/>
    <w:uiPriority w:val="0"/>
    <w:pPr>
      <w:jc w:val="left"/>
    </w:pPr>
    <w:rPr>
      <w:sz w:val="21"/>
      <w:szCs w:val="22"/>
    </w:rPr>
  </w:style>
  <w:style w:type="paragraph" w:styleId="14">
    <w:name w:val="Body Text 3"/>
    <w:basedOn w:val="1"/>
    <w:link w:val="53"/>
    <w:semiHidden/>
    <w:qFormat/>
    <w:uiPriority w:val="99"/>
    <w:pPr>
      <w:snapToGrid w:val="0"/>
      <w:spacing w:before="50" w:after="50"/>
    </w:pPr>
    <w:rPr>
      <w:kern w:val="0"/>
      <w:sz w:val="16"/>
      <w:szCs w:val="16"/>
    </w:rPr>
  </w:style>
  <w:style w:type="paragraph" w:styleId="15">
    <w:name w:val="Body Text Indent"/>
    <w:basedOn w:val="1"/>
    <w:link w:val="71"/>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47"/>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6"/>
    <w:qFormat/>
    <w:uiPriority w:val="99"/>
    <w:pPr>
      <w:ind w:left="2500" w:leftChars="2500"/>
    </w:pPr>
    <w:rPr>
      <w:kern w:val="0"/>
      <w:szCs w:val="24"/>
    </w:rPr>
  </w:style>
  <w:style w:type="paragraph" w:styleId="21">
    <w:name w:val="Body Text Indent 2"/>
    <w:basedOn w:val="1"/>
    <w:next w:val="22"/>
    <w:link w:val="60"/>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link w:val="79"/>
    <w:unhideWhenUsed/>
    <w:qFormat/>
    <w:locked/>
    <w:uiPriority w:val="99"/>
    <w:pPr>
      <w:spacing w:after="120"/>
      <w:ind w:left="420" w:leftChars="200" w:firstLine="420"/>
    </w:pPr>
  </w:style>
  <w:style w:type="paragraph" w:styleId="23">
    <w:name w:val="Balloon Text"/>
    <w:basedOn w:val="1"/>
    <w:link w:val="55"/>
    <w:qFormat/>
    <w:uiPriority w:val="0"/>
    <w:rPr>
      <w:sz w:val="18"/>
      <w:szCs w:val="18"/>
    </w:rPr>
  </w:style>
  <w:style w:type="paragraph" w:styleId="24">
    <w:name w:val="footer"/>
    <w:basedOn w:val="1"/>
    <w:link w:val="61"/>
    <w:qFormat/>
    <w:uiPriority w:val="99"/>
    <w:pPr>
      <w:tabs>
        <w:tab w:val="center" w:pos="4153"/>
        <w:tab w:val="right" w:pos="8306"/>
      </w:tabs>
      <w:snapToGrid w:val="0"/>
      <w:jc w:val="left"/>
    </w:pPr>
    <w:rPr>
      <w:sz w:val="18"/>
      <w:szCs w:val="18"/>
    </w:rPr>
  </w:style>
  <w:style w:type="paragraph" w:styleId="25">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48"/>
    <w:qFormat/>
    <w:uiPriority w:val="99"/>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2"/>
    <w:semiHidden/>
    <w:qFormat/>
    <w:uiPriority w:val="99"/>
    <w:pPr>
      <w:widowControl/>
      <w:snapToGrid w:val="0"/>
      <w:spacing w:before="50" w:afterLines="50" w:line="400" w:lineRule="atLeast"/>
      <w:jc w:val="lef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77"/>
    <w:qFormat/>
    <w:uiPriority w:val="0"/>
    <w:pPr>
      <w:spacing w:before="240" w:after="60"/>
      <w:jc w:val="center"/>
      <w:outlineLvl w:val="0"/>
    </w:pPr>
    <w:rPr>
      <w:rFonts w:ascii="Cambria" w:hAnsi="Cambria"/>
      <w:b/>
      <w:bCs/>
      <w:sz w:val="32"/>
      <w:szCs w:val="32"/>
    </w:rPr>
  </w:style>
  <w:style w:type="paragraph" w:styleId="35">
    <w:name w:val="annotation subject"/>
    <w:basedOn w:val="13"/>
    <w:next w:val="13"/>
    <w:semiHidden/>
    <w:qFormat/>
    <w:locked/>
    <w:uiPriority w:val="0"/>
    <w:rPr>
      <w:b/>
      <w:bCs/>
      <w:sz w:val="28"/>
      <w:szCs w:val="28"/>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line number"/>
    <w:semiHidden/>
    <w:qFormat/>
    <w:uiPriority w:val="99"/>
    <w:rPr>
      <w:rFonts w:cs="Times New Roman"/>
    </w:rPr>
  </w:style>
  <w:style w:type="character" w:styleId="42">
    <w:name w:val="Hyperlink"/>
    <w:qFormat/>
    <w:uiPriority w:val="99"/>
    <w:rPr>
      <w:rFonts w:cs="Times New Roman"/>
      <w:color w:val="0000FF"/>
      <w:u w:val="single"/>
    </w:rPr>
  </w:style>
  <w:style w:type="character" w:styleId="43">
    <w:name w:val="annotation reference"/>
    <w:semiHidden/>
    <w:qFormat/>
    <w:locked/>
    <w:uiPriority w:val="0"/>
    <w:rPr>
      <w:sz w:val="21"/>
      <w:szCs w:val="21"/>
    </w:rPr>
  </w:style>
  <w:style w:type="paragraph" w:customStyle="1" w:styleId="44">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批注文字 字符"/>
    <w:link w:val="13"/>
    <w:semiHidden/>
    <w:qFormat/>
    <w:uiPriority w:val="0"/>
    <w:rPr>
      <w:kern w:val="2"/>
      <w:sz w:val="21"/>
      <w:szCs w:val="22"/>
    </w:rPr>
  </w:style>
  <w:style w:type="character" w:customStyle="1" w:styleId="47">
    <w:name w:val="纯文本 字符"/>
    <w:link w:val="19"/>
    <w:qFormat/>
    <w:locked/>
    <w:uiPriority w:val="0"/>
    <w:rPr>
      <w:rFonts w:ascii="宋体" w:hAnsi="Courier New" w:cs="宋体"/>
      <w:sz w:val="21"/>
      <w:szCs w:val="21"/>
    </w:rPr>
  </w:style>
  <w:style w:type="character" w:customStyle="1" w:styleId="48">
    <w:name w:val="正文文本缩进 3 字符"/>
    <w:link w:val="29"/>
    <w:qFormat/>
    <w:locked/>
    <w:uiPriority w:val="99"/>
    <w:rPr>
      <w:rFonts w:cs="Times New Roman"/>
      <w:kern w:val="2"/>
      <w:sz w:val="16"/>
      <w:szCs w:val="16"/>
    </w:rPr>
  </w:style>
  <w:style w:type="character" w:customStyle="1" w:styleId="49">
    <w:name w:val="UserStyle_6"/>
    <w:link w:val="50"/>
    <w:qFormat/>
    <w:uiPriority w:val="0"/>
    <w:rPr>
      <w:rFonts w:ascii="宋体" w:hAnsi="Courier New"/>
      <w:kern w:val="2"/>
      <w:sz w:val="24"/>
      <w:szCs w:val="24"/>
    </w:rPr>
  </w:style>
  <w:style w:type="paragraph" w:customStyle="1" w:styleId="50">
    <w:name w:val="PlainText"/>
    <w:basedOn w:val="1"/>
    <w:next w:val="1"/>
    <w:link w:val="49"/>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1">
    <w:name w:val="标题 3 字符"/>
    <w:link w:val="6"/>
    <w:semiHidden/>
    <w:qFormat/>
    <w:locked/>
    <w:uiPriority w:val="99"/>
    <w:rPr>
      <w:rFonts w:cs="Times New Roman"/>
      <w:b/>
      <w:bCs/>
      <w:kern w:val="2"/>
      <w:sz w:val="32"/>
      <w:szCs w:val="32"/>
    </w:rPr>
  </w:style>
  <w:style w:type="character" w:customStyle="1" w:styleId="52">
    <w:name w:val="font01"/>
    <w:basedOn w:val="38"/>
    <w:qFormat/>
    <w:uiPriority w:val="0"/>
    <w:rPr>
      <w:rFonts w:hint="eastAsia" w:ascii="宋体" w:hAnsi="宋体" w:eastAsia="宋体" w:cs="宋体"/>
      <w:color w:val="000000"/>
      <w:sz w:val="24"/>
      <w:szCs w:val="24"/>
      <w:u w:val="none"/>
    </w:rPr>
  </w:style>
  <w:style w:type="character" w:customStyle="1" w:styleId="53">
    <w:name w:val="正文文本 3 字符"/>
    <w:link w:val="14"/>
    <w:semiHidden/>
    <w:qFormat/>
    <w:locked/>
    <w:uiPriority w:val="99"/>
    <w:rPr>
      <w:rFonts w:cs="Times New Roman"/>
      <w:sz w:val="16"/>
      <w:szCs w:val="16"/>
    </w:rPr>
  </w:style>
  <w:style w:type="character" w:customStyle="1" w:styleId="54">
    <w:name w:val="正文缩进 字符"/>
    <w:link w:val="10"/>
    <w:qFormat/>
    <w:uiPriority w:val="0"/>
    <w:rPr>
      <w:kern w:val="2"/>
      <w:sz w:val="21"/>
      <w:szCs w:val="21"/>
    </w:rPr>
  </w:style>
  <w:style w:type="character" w:customStyle="1" w:styleId="55">
    <w:name w:val="批注框文本 字符"/>
    <w:link w:val="23"/>
    <w:qFormat/>
    <w:locked/>
    <w:uiPriority w:val="0"/>
    <w:rPr>
      <w:rFonts w:cs="Times New Roman"/>
      <w:kern w:val="2"/>
      <w:sz w:val="18"/>
      <w:szCs w:val="18"/>
    </w:rPr>
  </w:style>
  <w:style w:type="character" w:customStyle="1" w:styleId="56">
    <w:name w:val="日期 字符"/>
    <w:link w:val="20"/>
    <w:semiHidden/>
    <w:qFormat/>
    <w:locked/>
    <w:uiPriority w:val="99"/>
    <w:rPr>
      <w:rFonts w:cs="Times New Roman"/>
      <w:sz w:val="24"/>
      <w:szCs w:val="24"/>
    </w:rPr>
  </w:style>
  <w:style w:type="character" w:customStyle="1" w:styleId="57">
    <w:name w:val="纯文本 Char2"/>
    <w:qFormat/>
    <w:uiPriority w:val="0"/>
    <w:rPr>
      <w:rFonts w:ascii="宋体" w:hAnsi="Courier New"/>
      <w:kern w:val="2"/>
      <w:sz w:val="24"/>
      <w:szCs w:val="24"/>
    </w:rPr>
  </w:style>
  <w:style w:type="character" w:customStyle="1" w:styleId="58">
    <w:name w:val="UserStyle_0"/>
    <w:link w:val="59"/>
    <w:qFormat/>
    <w:uiPriority w:val="0"/>
    <w:rPr>
      <w:kern w:val="44"/>
      <w:sz w:val="44"/>
      <w:szCs w:val="44"/>
    </w:rPr>
  </w:style>
  <w:style w:type="paragraph" w:customStyle="1" w:styleId="59">
    <w:name w:val="Heading1"/>
    <w:basedOn w:val="1"/>
    <w:next w:val="1"/>
    <w:link w:val="58"/>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0">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1">
    <w:name w:val="页脚 字符"/>
    <w:link w:val="24"/>
    <w:qFormat/>
    <w:locked/>
    <w:uiPriority w:val="99"/>
    <w:rPr>
      <w:rFonts w:cs="Times New Roman"/>
      <w:kern w:val="2"/>
      <w:sz w:val="18"/>
      <w:szCs w:val="18"/>
    </w:rPr>
  </w:style>
  <w:style w:type="character" w:customStyle="1" w:styleId="62">
    <w:name w:val="正文文本 2 字符"/>
    <w:link w:val="31"/>
    <w:semiHidden/>
    <w:qFormat/>
    <w:locked/>
    <w:uiPriority w:val="99"/>
    <w:rPr>
      <w:rFonts w:cs="Times New Roman"/>
      <w:sz w:val="24"/>
      <w:szCs w:val="24"/>
    </w:rPr>
  </w:style>
  <w:style w:type="character" w:customStyle="1" w:styleId="63">
    <w:name w:val="页眉 字符"/>
    <w:link w:val="25"/>
    <w:qFormat/>
    <w:locked/>
    <w:uiPriority w:val="99"/>
    <w:rPr>
      <w:rFonts w:cs="Times New Roman"/>
      <w:kern w:val="2"/>
      <w:sz w:val="18"/>
      <w:szCs w:val="18"/>
    </w:rPr>
  </w:style>
  <w:style w:type="character" w:customStyle="1" w:styleId="64">
    <w:name w:val="标题 4 字符"/>
    <w:link w:val="7"/>
    <w:semiHidden/>
    <w:qFormat/>
    <w:uiPriority w:val="0"/>
    <w:rPr>
      <w:rFonts w:ascii="Cambria" w:hAnsi="Cambria" w:eastAsia="宋体" w:cs="Times New Roman"/>
      <w:b/>
      <w:bCs/>
      <w:kern w:val="2"/>
      <w:sz w:val="28"/>
      <w:szCs w:val="28"/>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spacing w:before="156"/>
      <w:ind w:firstLine="510"/>
    </w:pPr>
    <w:rPr>
      <w:szCs w:val="20"/>
    </w:rPr>
  </w:style>
  <w:style w:type="character" w:customStyle="1" w:styleId="67">
    <w:name w:val="op-map-singlepoint-info-right1"/>
    <w:qFormat/>
    <w:uiPriority w:val="0"/>
  </w:style>
  <w:style w:type="character" w:customStyle="1" w:styleId="68">
    <w:name w:val="副标题 字符"/>
    <w:link w:val="27"/>
    <w:qFormat/>
    <w:uiPriority w:val="0"/>
    <w:rPr>
      <w:rFonts w:ascii="Cambria" w:hAnsi="Cambria" w:cs="Times New Roman"/>
      <w:b/>
      <w:bCs/>
      <w:kern w:val="28"/>
      <w:sz w:val="32"/>
      <w:szCs w:val="32"/>
    </w:rPr>
  </w:style>
  <w:style w:type="character" w:customStyle="1" w:styleId="69">
    <w:name w:val="标题 2 字符"/>
    <w:link w:val="5"/>
    <w:qFormat/>
    <w:locked/>
    <w:uiPriority w:val="99"/>
    <w:rPr>
      <w:rFonts w:ascii="Arial" w:hAnsi="Arial" w:eastAsia="黑体" w:cs="Arial"/>
      <w:b/>
      <w:bCs/>
      <w:kern w:val="2"/>
      <w:sz w:val="32"/>
      <w:szCs w:val="32"/>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正文文本缩进 字符"/>
    <w:link w:val="15"/>
    <w:semiHidden/>
    <w:qFormat/>
    <w:locked/>
    <w:uiPriority w:val="99"/>
    <w:rPr>
      <w:rFonts w:cs="Times New Roman"/>
      <w:sz w:val="24"/>
      <w:szCs w:val="24"/>
    </w:rPr>
  </w:style>
  <w:style w:type="character" w:customStyle="1" w:styleId="72">
    <w:name w:val="标题 1 字符"/>
    <w:link w:val="4"/>
    <w:qFormat/>
    <w:locked/>
    <w:uiPriority w:val="9"/>
    <w:rPr>
      <w:rFonts w:cs="Times New Roman"/>
      <w:b/>
      <w:bCs/>
      <w:kern w:val="44"/>
      <w:sz w:val="44"/>
      <w:szCs w:val="44"/>
    </w:rPr>
  </w:style>
  <w:style w:type="character" w:customStyle="1" w:styleId="73">
    <w:name w:val="文档结构图 字符"/>
    <w:link w:val="12"/>
    <w:semiHidden/>
    <w:qFormat/>
    <w:locked/>
    <w:uiPriority w:val="99"/>
    <w:rPr>
      <w:rFonts w:ascii="宋体" w:cs="宋体"/>
      <w:kern w:val="2"/>
      <w:sz w:val="18"/>
      <w:szCs w:val="18"/>
    </w:rPr>
  </w:style>
  <w:style w:type="character" w:customStyle="1" w:styleId="74">
    <w:name w:val="BZ_正文 Char"/>
    <w:link w:val="75"/>
    <w:qFormat/>
    <w:uiPriority w:val="0"/>
    <w:rPr>
      <w:kern w:val="2"/>
      <w:sz w:val="24"/>
      <w:szCs w:val="24"/>
    </w:rPr>
  </w:style>
  <w:style w:type="paragraph" w:customStyle="1" w:styleId="75">
    <w:name w:val="BZ_正文"/>
    <w:basedOn w:val="1"/>
    <w:link w:val="74"/>
    <w:qFormat/>
    <w:uiPriority w:val="0"/>
    <w:rPr>
      <w:szCs w:val="24"/>
    </w:rPr>
  </w:style>
  <w:style w:type="character" w:customStyle="1" w:styleId="76">
    <w:name w:val="so-ask-best"/>
    <w:qFormat/>
    <w:uiPriority w:val="0"/>
  </w:style>
  <w:style w:type="character" w:customStyle="1" w:styleId="77">
    <w:name w:val="标题 字符"/>
    <w:link w:val="34"/>
    <w:qFormat/>
    <w:uiPriority w:val="0"/>
    <w:rPr>
      <w:rFonts w:ascii="Cambria" w:hAnsi="Cambria" w:cs="Times New Roman"/>
      <w:b/>
      <w:bCs/>
      <w:kern w:val="2"/>
      <w:sz w:val="32"/>
      <w:szCs w:val="32"/>
    </w:rPr>
  </w:style>
  <w:style w:type="character" w:customStyle="1" w:styleId="78">
    <w:name w:val="NormalCharacter"/>
    <w:qFormat/>
    <w:uiPriority w:val="0"/>
    <w:rPr>
      <w:rFonts w:ascii="Calibri" w:hAnsi="Calibri" w:eastAsia="宋体"/>
    </w:rPr>
  </w:style>
  <w:style w:type="character" w:customStyle="1" w:styleId="79">
    <w:name w:val="正文首行缩进 2 字符"/>
    <w:link w:val="22"/>
    <w:qFormat/>
    <w:uiPriority w:val="99"/>
    <w:rPr>
      <w:rFonts w:cs="Times New Roman"/>
      <w:kern w:val="2"/>
      <w:sz w:val="24"/>
      <w:szCs w:val="28"/>
    </w:rPr>
  </w:style>
  <w:style w:type="character" w:customStyle="1" w:styleId="80">
    <w:name w:val="纯文本 Char1"/>
    <w:qFormat/>
    <w:uiPriority w:val="0"/>
    <w:rPr>
      <w:rFonts w:ascii="宋体" w:hAnsi="Courier New"/>
      <w:sz w:val="24"/>
      <w:szCs w:val="24"/>
    </w:rPr>
  </w:style>
  <w:style w:type="character" w:customStyle="1" w:styleId="81">
    <w:name w:val="正文文本 字符"/>
    <w:link w:val="3"/>
    <w:semiHidden/>
    <w:qFormat/>
    <w:locked/>
    <w:uiPriority w:val="99"/>
    <w:rPr>
      <w:rFonts w:cs="Times New Roman"/>
      <w:sz w:val="24"/>
      <w:szCs w:val="24"/>
    </w:rPr>
  </w:style>
  <w:style w:type="paragraph" w:customStyle="1" w:styleId="82">
    <w:name w:val="列出段落1"/>
    <w:basedOn w:val="1"/>
    <w:qFormat/>
    <w:uiPriority w:val="34"/>
    <w:pPr>
      <w:ind w:firstLine="420"/>
    </w:pPr>
    <w:rPr>
      <w:sz w:val="21"/>
      <w:szCs w:val="21"/>
    </w:rPr>
  </w:style>
  <w:style w:type="paragraph" w:customStyle="1" w:styleId="8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4">
    <w:name w:val="Char2"/>
    <w:basedOn w:val="1"/>
    <w:qFormat/>
    <w:uiPriority w:val="99"/>
    <w:rPr>
      <w:rFonts w:ascii="仿宋_GB2312" w:eastAsia="仿宋_GB2312" w:cs="仿宋_GB2312"/>
      <w:b/>
      <w:bCs/>
      <w:sz w:val="32"/>
      <w:szCs w:val="32"/>
    </w:rPr>
  </w:style>
  <w:style w:type="paragraph" w:customStyle="1" w:styleId="85">
    <w:name w:val="Char Char Char Char Char Char Char1 Char"/>
    <w:basedOn w:val="1"/>
    <w:qFormat/>
    <w:uiPriority w:val="0"/>
    <w:rPr>
      <w:rFonts w:ascii="Tahoma" w:hAnsi="Tahoma"/>
      <w:szCs w:val="20"/>
    </w:rPr>
  </w:style>
  <w:style w:type="paragraph" w:customStyle="1" w:styleId="86">
    <w:name w:val="正文文本缩进1"/>
    <w:basedOn w:val="1"/>
    <w:next w:val="1"/>
    <w:qFormat/>
    <w:uiPriority w:val="0"/>
    <w:pPr>
      <w:spacing w:after="120"/>
      <w:ind w:left="420" w:leftChars="200"/>
    </w:pPr>
  </w:style>
  <w:style w:type="paragraph" w:customStyle="1" w:styleId="87">
    <w:name w:val="正文段"/>
    <w:basedOn w:val="1"/>
    <w:qFormat/>
    <w:uiPriority w:val="99"/>
    <w:pPr>
      <w:widowControl/>
      <w:snapToGrid w:val="0"/>
      <w:spacing w:afterLines="50"/>
    </w:pPr>
    <w:rPr>
      <w:kern w:val="0"/>
      <w:szCs w:val="24"/>
    </w:rPr>
  </w:style>
  <w:style w:type="paragraph" w:customStyle="1" w:styleId="88">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9">
    <w:name w:val="Char Char Char Char Char Char Char Char Char Char Char Char Char Char Char Char"/>
    <w:basedOn w:val="1"/>
    <w:qFormat/>
    <w:uiPriority w:val="99"/>
    <w:rPr>
      <w:sz w:val="21"/>
      <w:szCs w:val="21"/>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文本首行缩进 21"/>
    <w:basedOn w:val="86"/>
    <w:qFormat/>
    <w:uiPriority w:val="0"/>
    <w:pPr>
      <w:ind w:firstLine="420"/>
    </w:pPr>
    <w:rPr>
      <w:rFonts w:cs="宋体"/>
    </w:rPr>
  </w:style>
  <w:style w:type="paragraph" w:customStyle="1" w:styleId="92">
    <w:name w:val="Char Char Char Char Char Char"/>
    <w:basedOn w:val="1"/>
    <w:qFormat/>
    <w:uiPriority w:val="99"/>
    <w:rPr>
      <w:rFonts w:ascii="Tahoma" w:hAnsi="Tahoma" w:cs="Tahoma"/>
      <w:szCs w:val="24"/>
    </w:rPr>
  </w:style>
  <w:style w:type="paragraph" w:customStyle="1" w:styleId="93">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4">
    <w:name w:val="TOC 标题1"/>
    <w:basedOn w:val="4"/>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p0"/>
    <w:basedOn w:val="1"/>
    <w:qFormat/>
    <w:uiPriority w:val="99"/>
    <w:pPr>
      <w:widowControl/>
    </w:pPr>
    <w:rPr>
      <w:kern w:val="0"/>
      <w:sz w:val="21"/>
      <w:szCs w:val="21"/>
    </w:rPr>
  </w:style>
  <w:style w:type="paragraph" w:customStyle="1" w:styleId="96">
    <w:name w:val="纯文本1"/>
    <w:basedOn w:val="83"/>
    <w:qFormat/>
    <w:uiPriority w:val="0"/>
    <w:pPr>
      <w:tabs>
        <w:tab w:val="left" w:pos="0"/>
      </w:tabs>
      <w:adjustRightInd w:val="0"/>
      <w:textAlignment w:val="baseline"/>
    </w:pPr>
    <w:rPr>
      <w:rFonts w:ascii="宋体" w:hAnsi="Courier New" w:eastAsia="楷体_GB2312"/>
      <w:sz w:val="26"/>
      <w:szCs w:val="20"/>
    </w:rPr>
  </w:style>
  <w:style w:type="paragraph" w:customStyle="1" w:styleId="97">
    <w:name w:val="_Style 2"/>
    <w:basedOn w:val="1"/>
    <w:qFormat/>
    <w:uiPriority w:val="0"/>
    <w:pPr>
      <w:ind w:firstLine="420"/>
    </w:pPr>
    <w:rPr>
      <w:rFonts w:ascii="Calibri" w:hAnsi="Calibri"/>
      <w:szCs w:val="22"/>
    </w:rPr>
  </w:style>
  <w:style w:type="paragraph" w:customStyle="1" w:styleId="98">
    <w:name w:val="UserStyle_158"/>
    <w:basedOn w:val="1"/>
    <w:qFormat/>
    <w:uiPriority w:val="0"/>
    <w:pPr>
      <w:jc w:val="center"/>
      <w:textAlignment w:val="baseline"/>
    </w:pPr>
    <w:rPr>
      <w:sz w:val="21"/>
      <w:szCs w:val="21"/>
    </w:rPr>
  </w:style>
  <w:style w:type="paragraph" w:customStyle="1" w:styleId="99">
    <w:name w:val="Char"/>
    <w:basedOn w:val="1"/>
    <w:qFormat/>
    <w:uiPriority w:val="99"/>
    <w:rPr>
      <w:rFonts w:ascii="仿宋_GB2312" w:eastAsia="仿宋_GB2312" w:cs="仿宋_GB2312"/>
      <w:b/>
      <w:bCs/>
      <w:sz w:val="32"/>
      <w:szCs w:val="32"/>
    </w:rPr>
  </w:style>
  <w:style w:type="paragraph" w:customStyle="1" w:styleId="100">
    <w:name w:val="列出段落111"/>
    <w:basedOn w:val="1"/>
    <w:qFormat/>
    <w:uiPriority w:val="99"/>
    <w:pPr>
      <w:ind w:firstLine="420"/>
    </w:p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Char Char Char Char Char Char Char Char Char"/>
    <w:basedOn w:val="1"/>
    <w:qFormat/>
    <w:uiPriority w:val="0"/>
    <w:pPr>
      <w:widowControl/>
      <w:spacing w:after="160" w:line="240" w:lineRule="exact"/>
      <w:jc w:val="left"/>
    </w:pPr>
    <w:rPr>
      <w:sz w:val="21"/>
      <w:szCs w:val="20"/>
    </w:rPr>
  </w:style>
  <w:style w:type="paragraph" w:customStyle="1" w:styleId="105">
    <w:name w:val="表格正文"/>
    <w:basedOn w:val="1"/>
    <w:qFormat/>
    <w:uiPriority w:val="0"/>
    <w:rPr>
      <w:rFonts w:ascii="宋体" w:hAnsi="宋体"/>
      <w:kern w:val="0"/>
      <w:sz w:val="21"/>
      <w:szCs w:val="20"/>
    </w:rPr>
  </w:style>
  <w:style w:type="paragraph" w:customStyle="1" w:styleId="106">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7">
    <w:name w:val="标书正文"/>
    <w:basedOn w:val="1"/>
    <w:qFormat/>
    <w:uiPriority w:val="0"/>
    <w:pPr>
      <w:widowControl/>
    </w:pPr>
    <w:rPr>
      <w:rFonts w:ascii="宋体" w:hAnsi="宋体"/>
      <w:color w:val="000000"/>
      <w:kern w:val="0"/>
      <w:szCs w:val="24"/>
    </w:rPr>
  </w:style>
  <w:style w:type="paragraph" w:customStyle="1" w:styleId="108">
    <w:name w:val="Char Char4 Char Char Char Char Char Char Char Char"/>
    <w:basedOn w:val="1"/>
    <w:qFormat/>
    <w:uiPriority w:val="0"/>
    <w:rPr>
      <w:sz w:val="21"/>
      <w:szCs w:val="20"/>
    </w:rPr>
  </w:style>
  <w:style w:type="paragraph" w:customStyle="1" w:styleId="109">
    <w:name w:val="Char1"/>
    <w:basedOn w:val="1"/>
    <w:qFormat/>
    <w:uiPriority w:val="0"/>
    <w:pPr>
      <w:spacing w:line="380" w:lineRule="exact"/>
      <w:jc w:val="center"/>
      <w:outlineLvl w:val="1"/>
    </w:pPr>
    <w:rPr>
      <w:rFonts w:ascii="宋体" w:hAnsi="宋体"/>
      <w:b/>
      <w:bCs/>
      <w:sz w:val="30"/>
      <w:szCs w:val="30"/>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纯文本2"/>
    <w:basedOn w:val="113"/>
    <w:qFormat/>
    <w:uiPriority w:val="0"/>
    <w:pPr>
      <w:adjustRightInd w:val="0"/>
      <w:textAlignment w:val="baseline"/>
    </w:pPr>
    <w:rPr>
      <w:rFonts w:ascii="宋体" w:hAnsi="Courier New" w:eastAsia="楷体_GB2312"/>
      <w:sz w:val="26"/>
      <w:szCs w:val="20"/>
    </w:rPr>
  </w:style>
  <w:style w:type="paragraph" w:customStyle="1" w:styleId="1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4">
    <w:name w:val="Char Char3 Char Char"/>
    <w:basedOn w:val="1"/>
    <w:qFormat/>
    <w:uiPriority w:val="0"/>
    <w:rPr>
      <w:sz w:val="21"/>
      <w:szCs w:val="22"/>
    </w:rPr>
  </w:style>
  <w:style w:type="paragraph" w:customStyle="1" w:styleId="115">
    <w:name w:val="列出段落11"/>
    <w:basedOn w:val="1"/>
    <w:qFormat/>
    <w:uiPriority w:val="34"/>
    <w:pPr>
      <w:ind w:firstLine="420"/>
    </w:pPr>
    <w:rPr>
      <w:rFonts w:ascii="Calibri" w:hAnsi="Calibri"/>
      <w:sz w:val="21"/>
      <w:szCs w:val="22"/>
    </w:rPr>
  </w:style>
  <w:style w:type="paragraph" w:customStyle="1" w:styleId="11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7">
    <w:name w:val="正文11"/>
    <w:basedOn w:val="1"/>
    <w:qFormat/>
    <w:uiPriority w:val="0"/>
    <w:pPr>
      <w:tabs>
        <w:tab w:val="left" w:pos="0"/>
      </w:tabs>
    </w:pPr>
    <w:rPr>
      <w:rFonts w:ascii="Arial" w:hAnsi="Arial" w:eastAsia="仿宋_GB2312" w:cs="Arial"/>
      <w:b/>
      <w:szCs w:val="24"/>
    </w:rPr>
  </w:style>
  <w:style w:type="paragraph" w:styleId="11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6E5B1-EEF3-4A1A-9766-31F72D78A5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6499</Words>
  <Characters>37045</Characters>
  <Lines>308</Lines>
  <Paragraphs>86</Paragraphs>
  <TotalTime>1</TotalTime>
  <ScaleCrop>false</ScaleCrop>
  <LinksUpToDate>false</LinksUpToDate>
  <CharactersWithSpaces>43458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2022-04-12T08:49:00Z</dcterms:created>
  <dc:creator>Administrator</dc:creator>
  <cp:lastModifiedBy>招标代理</cp:lastModifiedBy>
  <cp:lastPrinted>2023-01-18T08:21:00Z</cp:lastPrinted>
  <dcterms:modified xsi:type="dcterms:W3CDTF">2023-01-19T07:06:35Z</dcterms:modified>
  <dc:title>浙江省政府采购招标文件</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35AF68731FBF4247A2F1DAB41258FFDB</vt:lpwstr>
  </property>
</Properties>
</file>