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0" w:firstLineChars="0"/>
        <w:jc w:val="center"/>
        <w:rPr>
          <w:rFonts w:hint="eastAsia" w:ascii="楷体" w:hAnsi="楷体" w:eastAsia="楷体" w:cs="楷体"/>
          <w:b/>
          <w:bCs/>
          <w:color w:val="000000"/>
          <w:szCs w:val="24"/>
          <w:lang w:val="en-US" w:eastAsia="zh-CN"/>
        </w:rPr>
      </w:pPr>
      <w:r>
        <w:rPr>
          <w:rFonts w:hint="eastAsia" w:ascii="楷体" w:hAnsi="楷体" w:eastAsia="楷体" w:cs="楷体"/>
          <w:b/>
          <w:bCs/>
          <w:color w:val="000000"/>
          <w:szCs w:val="24"/>
          <w:lang w:val="en-US" w:eastAsia="zh-CN"/>
        </w:rPr>
        <w:t xml:space="preserve"> </w:t>
      </w:r>
    </w:p>
    <w:p>
      <w:pPr>
        <w:ind w:left="0" w:leftChars="0" w:firstLine="0" w:firstLineChars="0"/>
        <w:jc w:val="center"/>
        <w:rPr>
          <w:rFonts w:hint="eastAsia" w:ascii="楷体" w:hAnsi="楷体" w:eastAsia="楷体" w:cs="楷体"/>
          <w:b/>
          <w:bCs/>
          <w:color w:val="000000"/>
          <w:sz w:val="52"/>
          <w:szCs w:val="52"/>
          <w:lang w:eastAsia="zh-CN"/>
        </w:rPr>
      </w:pPr>
      <w:r>
        <w:rPr>
          <w:rFonts w:hint="eastAsia" w:ascii="楷体" w:hAnsi="楷体" w:eastAsia="楷体" w:cs="楷体"/>
          <w:b/>
          <w:bCs/>
          <w:color w:val="000000"/>
          <w:sz w:val="52"/>
          <w:szCs w:val="52"/>
          <w:lang w:eastAsia="zh-CN"/>
        </w:rPr>
        <w:t>嘉善技师学院（筹）购置培训教学仪器</w:t>
      </w:r>
    </w:p>
    <w:p>
      <w:pPr>
        <w:ind w:left="0" w:leftChars="0" w:firstLine="0" w:firstLineChars="0"/>
        <w:jc w:val="center"/>
      </w:pPr>
      <w:r>
        <w:rPr>
          <w:rFonts w:hint="eastAsia" w:ascii="楷体" w:hAnsi="楷体" w:eastAsia="楷体" w:cs="楷体"/>
          <w:b/>
          <w:bCs/>
          <w:color w:val="000000"/>
          <w:sz w:val="52"/>
          <w:szCs w:val="52"/>
          <w:lang w:eastAsia="zh-CN"/>
        </w:rPr>
        <w:t>设备（电子电工实训设备）</w:t>
      </w:r>
    </w:p>
    <w:p>
      <w:pPr>
        <w:snapToGrid w:val="0"/>
        <w:spacing w:before="100" w:beforeAutospacing="1" w:after="100" w:afterAutospacing="1" w:line="276" w:lineRule="auto"/>
        <w:ind w:firstLine="480"/>
        <w:rPr>
          <w:rFonts w:ascii="楷体" w:hAnsi="楷体" w:eastAsia="楷体" w:cs="楷体"/>
          <w:color w:val="000000"/>
          <w:szCs w:val="24"/>
        </w:rPr>
      </w:pPr>
    </w:p>
    <w:p>
      <w:pPr>
        <w:pStyle w:val="7"/>
        <w:rPr>
          <w:rFonts w:ascii="楷体" w:hAnsi="楷体" w:eastAsia="楷体" w:cs="楷体"/>
          <w:color w:val="000000"/>
          <w:szCs w:val="24"/>
        </w:rPr>
      </w:pPr>
    </w:p>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00"/>
        <w:rPr>
          <w:rFonts w:ascii="楷体" w:hAnsi="楷体" w:eastAsia="楷体" w:cs="楷体"/>
          <w:color w:val="000000"/>
          <w:sz w:val="30"/>
          <w:szCs w:val="30"/>
        </w:rPr>
      </w:pPr>
    </w:p>
    <w:p>
      <w:pPr>
        <w:snapToGrid w:val="0"/>
        <w:spacing w:before="100" w:beforeAutospacing="1" w:after="100" w:afterAutospacing="1" w:line="276" w:lineRule="auto"/>
        <w:ind w:firstLine="600"/>
        <w:rPr>
          <w:rFonts w:ascii="楷体" w:hAnsi="楷体" w:eastAsia="楷体" w:cs="楷体"/>
          <w:color w:val="000000"/>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480"/>
      </w:pPr>
    </w:p>
    <w:p>
      <w:pPr>
        <w:snapToGrid w:val="0"/>
        <w:spacing w:before="100" w:beforeAutospacing="1" w:after="100" w:afterAutospacing="1" w:line="276" w:lineRule="auto"/>
        <w:ind w:firstLine="600"/>
        <w:rPr>
          <w:rFonts w:ascii="楷体" w:hAnsi="楷体" w:eastAsia="楷体" w:cs="楷体"/>
          <w:color w:val="000000"/>
          <w:sz w:val="30"/>
          <w:szCs w:val="30"/>
        </w:rPr>
      </w:pPr>
    </w:p>
    <w:p>
      <w:pPr>
        <w:pStyle w:val="22"/>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项目编号：HZZX-2022-</w:t>
      </w:r>
      <w:r>
        <w:rPr>
          <w:rFonts w:hint="eastAsia" w:ascii="楷体" w:hAnsi="楷体" w:eastAsia="楷体" w:cs="楷体"/>
          <w:b/>
          <w:bCs/>
          <w:color w:val="000000"/>
          <w:sz w:val="30"/>
          <w:szCs w:val="30"/>
          <w:lang w:eastAsia="zh-CN"/>
        </w:rPr>
        <w:t>G77</w:t>
      </w:r>
    </w:p>
    <w:p>
      <w:pPr>
        <w:pStyle w:val="22"/>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嘉善技师学院（筹）购置培训教学仪器设备（电子电工实训设备）</w:t>
      </w:r>
    </w:p>
    <w:p>
      <w:pPr>
        <w:pStyle w:val="22"/>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嘉善技师学院（筹）</w:t>
      </w:r>
    </w:p>
    <w:p>
      <w:pPr>
        <w:pStyle w:val="22"/>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hint="eastAsia" w:ascii="楷体" w:hAnsi="楷体" w:eastAsia="楷体" w:cs="楷体"/>
          <w:b/>
          <w:bCs/>
          <w:w w:val="95"/>
          <w:sz w:val="30"/>
          <w:szCs w:val="30"/>
          <w:lang w:val="en-US" w:eastAsia="zh-CN"/>
        </w:rPr>
        <w:t>11</w:t>
      </w:r>
      <w:r>
        <w:rPr>
          <w:rFonts w:hint="eastAsia" w:ascii="楷体" w:hAnsi="楷体" w:eastAsia="楷体" w:cs="楷体"/>
          <w:b/>
          <w:bCs/>
          <w:w w:val="95"/>
          <w:sz w:val="30"/>
          <w:szCs w:val="30"/>
        </w:rPr>
        <w:t>月</w:t>
      </w:r>
    </w:p>
    <w:p>
      <w:pPr>
        <w:pStyle w:val="22"/>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90"/>
        <w:ind w:firstLine="723"/>
        <w:jc w:val="center"/>
        <w:rPr>
          <w:color w:val="000000"/>
          <w:sz w:val="36"/>
          <w:lang w:val="zh-CN"/>
        </w:rPr>
      </w:pPr>
      <w:bookmarkStart w:id="0" w:name="_Toc18407"/>
      <w:r>
        <w:rPr>
          <w:color w:val="000000"/>
          <w:sz w:val="36"/>
          <w:lang w:val="zh-CN"/>
        </w:rPr>
        <w:t>目录</w:t>
      </w:r>
      <w:bookmarkEnd w:id="0"/>
    </w:p>
    <w:p>
      <w:pPr>
        <w:ind w:firstLine="480"/>
      </w:pPr>
    </w:p>
    <w:p>
      <w:pPr>
        <w:pStyle w:val="28"/>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9"/>
      <w:bookmarkStart w:id="2" w:name="_Hlt43468558"/>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_Toc13254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hint="eastAsia" w:ascii="宋体" w:hAnsi="宋体" w:cs="宋体"/>
          <w:szCs w:val="24"/>
        </w:rPr>
        <w:t>31</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hint="eastAsia" w:ascii="宋体" w:hAnsi="宋体" w:cs="宋体"/>
          <w:szCs w:val="24"/>
        </w:rPr>
        <w:t>34</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hint="eastAsia" w:ascii="宋体" w:hAnsi="宋体" w:cs="宋体"/>
          <w:szCs w:val="24"/>
        </w:rPr>
        <w:t>36</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hint="eastAsia" w:ascii="宋体" w:hAnsi="宋体" w:cs="宋体"/>
          <w:szCs w:val="24"/>
        </w:rPr>
        <w:t>36</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hint="eastAsia" w:ascii="宋体" w:hAnsi="宋体" w:cs="宋体"/>
          <w:szCs w:val="24"/>
        </w:rPr>
        <w:t>39</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hint="eastAsia" w:ascii="宋体" w:hAnsi="宋体" w:cs="宋体"/>
          <w:szCs w:val="24"/>
        </w:rPr>
        <w:t>40</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hint="eastAsia" w:ascii="宋体" w:hAnsi="宋体" w:cs="宋体"/>
          <w:szCs w:val="24"/>
        </w:rPr>
        <w:t>42</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hint="eastAsia" w:ascii="宋体" w:hAnsi="宋体" w:cs="宋体"/>
          <w:szCs w:val="24"/>
        </w:rPr>
        <w:t>42</w:t>
      </w:r>
      <w:r>
        <w:rPr>
          <w:rFonts w:hint="eastAsia" w:ascii="宋体" w:hAnsi="宋体" w:cs="宋体"/>
          <w:szCs w:val="24"/>
        </w:rPr>
        <w:fldChar w:fldCharType="end"/>
      </w:r>
      <w:r>
        <w:rPr>
          <w:rFonts w:hint="eastAsia" w:ascii="宋体" w:hAnsi="宋体" w:cs="宋体"/>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51647"/>
      <w:bookmarkStart w:id="4" w:name="_Hlt42851648"/>
      <w:bookmarkStart w:id="5" w:name="_Hlt42864710"/>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hint="eastAsia" w:ascii="宋体" w:hAnsi="宋体" w:cs="宋体"/>
          <w:sz w:val="24"/>
          <w:szCs w:val="24"/>
        </w:rPr>
        <w:t>56</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5"/>
        <w:spacing w:line="300" w:lineRule="auto"/>
        <w:ind w:firstLine="643"/>
      </w:pPr>
      <w:bookmarkStart w:id="6" w:name="_Toc2795"/>
      <w:r>
        <w:rPr>
          <w:rFonts w:hint="eastAsia"/>
        </w:rPr>
        <w:t>第一章  公开招标采购公告</w:t>
      </w:r>
      <w:bookmarkEnd w:id="6"/>
    </w:p>
    <w:p>
      <w:pPr>
        <w:pStyle w:val="6"/>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lang w:eastAsia="zh-CN"/>
        </w:rPr>
        <w:t>嘉善技师学院（筹）购置培训教学仪器设备（电子电工实训设备）</w:t>
      </w:r>
      <w:r>
        <w:rPr>
          <w:rFonts w:hint="eastAsia" w:ascii="宋体" w:hAnsi="宋体" w:cs="宋体"/>
          <w:szCs w:val="24"/>
        </w:rPr>
        <w:t>招标项目的潜在投标人应在</w:t>
      </w:r>
      <w:r>
        <w:rPr>
          <w:rFonts w:hint="eastAsia" w:ascii="宋体" w:hAnsi="宋体" w:cs="宋体"/>
          <w:szCs w:val="24"/>
          <w:u w:val="single"/>
        </w:rPr>
        <w:t>政采云平台（</w:t>
      </w:r>
      <w:r>
        <w:rPr>
          <w:rStyle w:val="44"/>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2022年</w:t>
      </w:r>
      <w:r>
        <w:rPr>
          <w:rFonts w:hint="eastAsia" w:ascii="宋体" w:hAnsi="宋体" w:cs="宋体"/>
          <w:szCs w:val="24"/>
          <w:u w:val="single"/>
          <w:lang w:val="en-US" w:eastAsia="zh-CN"/>
        </w:rPr>
        <w:t>12月16日</w:t>
      </w:r>
      <w:r>
        <w:rPr>
          <w:rFonts w:hint="eastAsia" w:ascii="宋体" w:hAnsi="宋体" w:cs="宋体"/>
          <w:bCs/>
          <w:szCs w:val="24"/>
          <w:u w:val="single"/>
        </w:rPr>
        <w:t>14点</w:t>
      </w:r>
      <w:r>
        <w:rPr>
          <w:rFonts w:hint="eastAsia" w:ascii="宋体" w:hAnsi="宋体" w:cs="宋体"/>
          <w:bCs/>
          <w:szCs w:val="24"/>
          <w:u w:val="single"/>
          <w:lang w:val="en-US" w:eastAsia="zh-CN"/>
        </w:rPr>
        <w:t>0</w:t>
      </w:r>
      <w:r>
        <w:rPr>
          <w:rFonts w:hint="eastAsia" w:ascii="宋体" w:hAnsi="宋体" w:cs="宋体"/>
          <w:bCs/>
          <w:szCs w:val="24"/>
          <w:u w:val="single"/>
        </w:rPr>
        <w:t>0分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7" w:name="_Toc28359002"/>
      <w:bookmarkStart w:id="8" w:name="_Toc35393790"/>
      <w:bookmarkStart w:id="9" w:name="_Toc28359079"/>
      <w:bookmarkStart w:id="10" w:name="_Toc35393621"/>
      <w:bookmarkStart w:id="11" w:name="_Hlk24379207"/>
      <w:r>
        <w:rPr>
          <w:rFonts w:hint="eastAsia"/>
          <w:b/>
          <w:bCs/>
          <w:szCs w:val="24"/>
        </w:rPr>
        <w:t>一、项目基本情况</w:t>
      </w:r>
      <w:bookmarkEnd w:id="7"/>
      <w:bookmarkEnd w:id="8"/>
      <w:bookmarkEnd w:id="9"/>
      <w:bookmarkEnd w:id="10"/>
    </w:p>
    <w:p>
      <w:pPr>
        <w:spacing w:line="300" w:lineRule="auto"/>
        <w:ind w:firstLine="480"/>
        <w:rPr>
          <w:rFonts w:hint="eastAsia" w:ascii="宋体" w:hAnsi="宋体" w:eastAsia="宋体" w:cs="宋体"/>
          <w:szCs w:val="24"/>
          <w:lang w:eastAsia="zh-CN"/>
        </w:rPr>
      </w:pPr>
      <w:r>
        <w:rPr>
          <w:rFonts w:hint="eastAsia" w:ascii="宋体" w:hAnsi="宋体" w:cs="宋体"/>
          <w:szCs w:val="24"/>
        </w:rPr>
        <w:t>项目编号：HZZX-2022-</w:t>
      </w:r>
      <w:r>
        <w:rPr>
          <w:rFonts w:hint="eastAsia" w:ascii="宋体" w:hAnsi="宋体" w:cs="宋体"/>
          <w:szCs w:val="24"/>
          <w:lang w:eastAsia="zh-CN"/>
        </w:rPr>
        <w:t>G77</w:t>
      </w:r>
    </w:p>
    <w:p>
      <w:pPr>
        <w:spacing w:line="300" w:lineRule="auto"/>
        <w:ind w:firstLine="480"/>
        <w:rPr>
          <w:rFonts w:hint="eastAsia" w:ascii="宋体" w:hAnsi="宋体" w:cs="宋体"/>
          <w:color w:val="auto"/>
          <w:szCs w:val="24"/>
          <w:lang w:eastAsia="zh-CN"/>
        </w:rPr>
      </w:pPr>
      <w:r>
        <w:rPr>
          <w:rFonts w:hint="eastAsia" w:ascii="宋体" w:hAnsi="宋体" w:cs="宋体"/>
          <w:szCs w:val="24"/>
        </w:rPr>
        <w:t>项目名称</w:t>
      </w:r>
      <w:r>
        <w:rPr>
          <w:rFonts w:hint="eastAsia" w:ascii="宋体" w:hAnsi="宋体" w:cs="宋体"/>
          <w:color w:val="auto"/>
          <w:szCs w:val="24"/>
        </w:rPr>
        <w:t>：</w:t>
      </w:r>
      <w:bookmarkEnd w:id="11"/>
      <w:r>
        <w:rPr>
          <w:rFonts w:hint="eastAsia" w:ascii="宋体" w:hAnsi="宋体" w:cs="宋体"/>
          <w:color w:val="auto"/>
          <w:szCs w:val="24"/>
          <w:lang w:eastAsia="zh-CN"/>
        </w:rPr>
        <w:t>嘉善技师学院（筹）购置培训教学仪器设备（电子电工实训设备）</w:t>
      </w:r>
    </w:p>
    <w:p>
      <w:pPr>
        <w:spacing w:line="300" w:lineRule="auto"/>
        <w:ind w:firstLine="480"/>
        <w:rPr>
          <w:rFonts w:ascii="宋体" w:hAnsi="宋体" w:cs="宋体"/>
          <w:color w:val="auto"/>
          <w:szCs w:val="24"/>
        </w:rPr>
      </w:pPr>
      <w:r>
        <w:rPr>
          <w:rFonts w:hint="eastAsia" w:ascii="宋体" w:hAnsi="宋体" w:cs="宋体"/>
          <w:color w:val="auto"/>
          <w:szCs w:val="24"/>
        </w:rPr>
        <w:t>预算金额：</w:t>
      </w:r>
      <w:r>
        <w:rPr>
          <w:rFonts w:hint="eastAsia" w:ascii="宋体" w:hAnsi="宋体" w:cs="宋体"/>
          <w:color w:val="auto"/>
          <w:szCs w:val="24"/>
          <w:lang w:val="en-US" w:eastAsia="zh-CN"/>
        </w:rPr>
        <w:t>77.0</w:t>
      </w:r>
      <w:r>
        <w:rPr>
          <w:rFonts w:hint="eastAsia" w:ascii="宋体" w:hAnsi="宋体" w:cs="宋体"/>
          <w:color w:val="auto"/>
          <w:szCs w:val="24"/>
        </w:rPr>
        <w:t>0万元</w:t>
      </w:r>
    </w:p>
    <w:p>
      <w:pPr>
        <w:spacing w:line="300" w:lineRule="auto"/>
        <w:ind w:firstLine="480"/>
        <w:rPr>
          <w:rFonts w:ascii="宋体" w:hAnsi="宋体" w:cs="宋体"/>
          <w:color w:val="auto"/>
          <w:szCs w:val="24"/>
        </w:rPr>
      </w:pPr>
      <w:r>
        <w:rPr>
          <w:rFonts w:hint="eastAsia" w:ascii="宋体" w:hAnsi="宋体" w:cs="宋体"/>
          <w:color w:val="auto"/>
          <w:szCs w:val="24"/>
        </w:rPr>
        <w:t>最高限价（如有）：</w:t>
      </w:r>
      <w:r>
        <w:rPr>
          <w:rFonts w:hint="eastAsia" w:ascii="宋体" w:hAnsi="宋体" w:cs="宋体"/>
          <w:color w:val="auto"/>
          <w:szCs w:val="24"/>
          <w:lang w:val="en-US" w:eastAsia="zh-CN"/>
        </w:rPr>
        <w:t>76.8</w:t>
      </w:r>
      <w:r>
        <w:rPr>
          <w:rFonts w:hint="eastAsia" w:ascii="宋体" w:hAnsi="宋体" w:cs="宋体"/>
          <w:color w:val="auto"/>
          <w:szCs w:val="24"/>
        </w:rPr>
        <w:t>0万元</w:t>
      </w:r>
    </w:p>
    <w:p>
      <w:pPr>
        <w:spacing w:line="300" w:lineRule="auto"/>
        <w:ind w:firstLine="482"/>
        <w:rPr>
          <w:rFonts w:hint="eastAsia" w:ascii="宋体" w:hAnsi="宋体" w:eastAsia="宋体" w:cs="宋体"/>
          <w:b/>
          <w:bCs/>
          <w:szCs w:val="24"/>
          <w:lang w:eastAsia="zh-CN"/>
        </w:rPr>
      </w:pPr>
      <w:r>
        <w:rPr>
          <w:rFonts w:hint="eastAsia" w:ascii="宋体" w:hAnsi="宋体" w:cs="宋体"/>
          <w:b/>
          <w:bCs/>
          <w:szCs w:val="24"/>
        </w:rPr>
        <w:t>采购需求（概述）：</w:t>
      </w:r>
    </w:p>
    <w:tbl>
      <w:tblPr>
        <w:tblStyle w:val="38"/>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4597"/>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4597"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设备</w:t>
            </w:r>
            <w:r>
              <w:rPr>
                <w:rFonts w:hint="eastAsia" w:ascii="宋体" w:hAnsi="宋体" w:eastAsia="宋体" w:cs="宋体"/>
                <w:b/>
                <w:bCs w:val="0"/>
                <w:color w:val="auto"/>
                <w:sz w:val="24"/>
                <w:szCs w:val="24"/>
              </w:rPr>
              <w:t>名称</w:t>
            </w:r>
          </w:p>
        </w:tc>
        <w:tc>
          <w:tcPr>
            <w:tcW w:w="1380"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数量</w:t>
            </w:r>
          </w:p>
        </w:tc>
        <w:tc>
          <w:tcPr>
            <w:tcW w:w="1380" w:type="dxa"/>
            <w:noWrap w:val="0"/>
            <w:vAlign w:val="center"/>
          </w:tcPr>
          <w:p>
            <w:pPr>
              <w:tabs>
                <w:tab w:val="left" w:pos="4770"/>
              </w:tabs>
              <w:ind w:firstLine="0" w:firstLineChars="0"/>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4597" w:type="dxa"/>
            <w:noWrap w:val="0"/>
            <w:vAlign w:val="center"/>
          </w:tcPr>
          <w:p>
            <w:pPr>
              <w:tabs>
                <w:tab w:val="left" w:pos="4770"/>
              </w:tabs>
              <w:ind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机电一体化实训考核装置</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4597" w:type="dxa"/>
            <w:noWrap w:val="0"/>
            <w:vAlign w:val="center"/>
          </w:tcPr>
          <w:p>
            <w:pPr>
              <w:tabs>
                <w:tab w:val="left" w:pos="4770"/>
              </w:tabs>
              <w:ind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电子产品装调与人工智能创新考核装置</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p>
        </w:tc>
        <w:tc>
          <w:tcPr>
            <w:tcW w:w="1380" w:type="dxa"/>
            <w:noWrap w:val="0"/>
            <w:vAlign w:val="center"/>
          </w:tcPr>
          <w:p>
            <w:pPr>
              <w:ind w:left="0" w:leftChars="0"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4597" w:type="dxa"/>
            <w:noWrap w:val="0"/>
            <w:vAlign w:val="center"/>
          </w:tcPr>
          <w:p>
            <w:pPr>
              <w:tabs>
                <w:tab w:val="left" w:pos="4770"/>
              </w:tabs>
              <w:ind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w:t>
            </w:r>
            <w:r>
              <w:rPr>
                <w:rFonts w:hint="eastAsia" w:ascii="宋体" w:hAnsi="宋体" w:eastAsia="宋体" w:cs="宋体"/>
                <w:b w:val="0"/>
                <w:bCs/>
                <w:color w:val="auto"/>
                <w:sz w:val="24"/>
                <w:szCs w:val="24"/>
                <w:lang w:val="en-US" w:eastAsia="zh-CN"/>
              </w:rPr>
              <w:t>工艺</w:t>
            </w:r>
            <w:r>
              <w:rPr>
                <w:rFonts w:hint="eastAsia" w:ascii="宋体" w:hAnsi="宋体" w:eastAsia="宋体" w:cs="宋体"/>
                <w:b w:val="0"/>
                <w:bCs/>
                <w:color w:val="auto"/>
                <w:sz w:val="24"/>
                <w:szCs w:val="24"/>
              </w:rPr>
              <w:t>实训考核</w:t>
            </w:r>
            <w:r>
              <w:rPr>
                <w:rFonts w:hint="eastAsia" w:ascii="宋体" w:hAnsi="宋体" w:eastAsia="宋体" w:cs="宋体"/>
                <w:b w:val="0"/>
                <w:bCs/>
                <w:color w:val="auto"/>
                <w:sz w:val="24"/>
                <w:szCs w:val="24"/>
                <w:lang w:val="en-US" w:eastAsia="zh-CN"/>
              </w:rPr>
              <w:t>系统</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p>
        </w:tc>
        <w:tc>
          <w:tcPr>
            <w:tcW w:w="1380" w:type="dxa"/>
            <w:noWrap w:val="0"/>
            <w:vAlign w:val="center"/>
          </w:tcPr>
          <w:p>
            <w:pPr>
              <w:ind w:left="0" w:leftChars="0"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4597" w:type="dxa"/>
            <w:noWrap w:val="0"/>
            <w:vAlign w:val="center"/>
          </w:tcPr>
          <w:p>
            <w:pPr>
              <w:tabs>
                <w:tab w:val="left" w:pos="4770"/>
              </w:tabs>
              <w:ind w:firstLine="0" w:firstLineChars="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智能开放式电工考核平台</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5</w:t>
            </w:r>
          </w:p>
        </w:tc>
        <w:tc>
          <w:tcPr>
            <w:tcW w:w="1380" w:type="dxa"/>
            <w:noWrap w:val="0"/>
            <w:vAlign w:val="center"/>
          </w:tcPr>
          <w:p>
            <w:pPr>
              <w:ind w:left="0" w:leftChars="0"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套</w:t>
            </w:r>
          </w:p>
        </w:tc>
      </w:tr>
    </w:tbl>
    <w:p>
      <w:pPr>
        <w:spacing w:line="300" w:lineRule="auto"/>
        <w:ind w:firstLine="482"/>
        <w:rPr>
          <w:rFonts w:hint="eastAsia" w:ascii="宋体" w:hAnsi="宋体" w:cs="宋体"/>
          <w:color w:val="auto"/>
          <w:szCs w:val="24"/>
          <w:highlight w:val="none"/>
        </w:rPr>
      </w:pPr>
      <w:r>
        <w:rPr>
          <w:rFonts w:hint="eastAsia" w:ascii="宋体" w:hAnsi="宋体" w:cs="宋体"/>
          <w:b/>
          <w:kern w:val="44"/>
          <w:szCs w:val="24"/>
          <w:lang w:val="zh-CN"/>
        </w:rPr>
        <w:t>备注：</w:t>
      </w:r>
      <w:r>
        <w:rPr>
          <w:rFonts w:hint="eastAsia" w:ascii="宋体" w:hAnsi="宋体" w:cs="宋体"/>
          <w:szCs w:val="24"/>
        </w:rPr>
        <w:t>政府</w:t>
      </w:r>
      <w:r>
        <w:rPr>
          <w:rFonts w:hint="eastAsia" w:ascii="宋体" w:hAnsi="宋体" w:cs="宋体"/>
          <w:color w:val="auto"/>
          <w:szCs w:val="24"/>
        </w:rPr>
        <w:t>采购计划编</w:t>
      </w:r>
      <w:r>
        <w:rPr>
          <w:rFonts w:hint="eastAsia" w:ascii="宋体" w:hAnsi="宋体" w:cs="宋体"/>
          <w:color w:val="auto"/>
          <w:szCs w:val="24"/>
          <w:highlight w:val="none"/>
        </w:rPr>
        <w:t>号：善财采确</w:t>
      </w:r>
      <w:r>
        <w:rPr>
          <w:rFonts w:hint="eastAsia" w:ascii="宋体" w:hAnsi="宋体" w:cs="宋体"/>
          <w:color w:val="auto"/>
          <w:szCs w:val="24"/>
          <w:highlight w:val="none"/>
          <w:lang w:val="en-US" w:eastAsia="zh-CN"/>
        </w:rPr>
        <w:t>临</w:t>
      </w:r>
      <w:r>
        <w:rPr>
          <w:rFonts w:hint="eastAsia" w:ascii="宋体" w:hAnsi="宋体" w:cs="宋体"/>
          <w:color w:val="auto"/>
          <w:szCs w:val="24"/>
          <w:highlight w:val="none"/>
        </w:rPr>
        <w:t>[2022]</w:t>
      </w:r>
      <w:r>
        <w:rPr>
          <w:rFonts w:hint="eastAsia" w:ascii="宋体" w:hAnsi="宋体" w:cs="宋体"/>
          <w:color w:val="auto"/>
          <w:szCs w:val="24"/>
          <w:highlight w:val="none"/>
          <w:lang w:val="en-US" w:eastAsia="zh-CN"/>
        </w:rPr>
        <w:t>6309</w:t>
      </w:r>
      <w:r>
        <w:rPr>
          <w:rFonts w:hint="eastAsia" w:ascii="宋体" w:hAnsi="宋体" w:cs="宋体"/>
          <w:color w:val="auto"/>
          <w:szCs w:val="24"/>
          <w:highlight w:val="none"/>
        </w:rPr>
        <w:t>号</w:t>
      </w:r>
    </w:p>
    <w:p>
      <w:pPr>
        <w:spacing w:line="300" w:lineRule="auto"/>
        <w:ind w:firstLine="482"/>
        <w:rPr>
          <w:rFonts w:ascii="宋体" w:hAnsi="宋体" w:cs="宋体"/>
          <w:b/>
          <w:bCs/>
          <w:szCs w:val="24"/>
          <w:u w:val="single"/>
        </w:rPr>
      </w:pPr>
      <w:r>
        <w:rPr>
          <w:rFonts w:hint="eastAsia" w:ascii="宋体" w:hAnsi="宋体" w:cs="宋体"/>
          <w:b/>
          <w:bCs/>
          <w:szCs w:val="24"/>
        </w:rPr>
        <w:t>合同履行期限：</w:t>
      </w:r>
    </w:p>
    <w:p>
      <w:pPr>
        <w:pStyle w:val="7"/>
        <w:pageBreakBefore w:val="0"/>
        <w:kinsoku/>
        <w:wordWrap/>
        <w:overflowPunct/>
        <w:topLinePunct w:val="0"/>
        <w:bidi w:val="0"/>
        <w:spacing w:before="0" w:after="0" w:line="300" w:lineRule="auto"/>
        <w:ind w:firstLine="482" w:firstLineChars="200"/>
        <w:contextualSpacing/>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交货期</w:t>
      </w:r>
      <w:r>
        <w:rPr>
          <w:rFonts w:hint="eastAsia" w:ascii="宋体" w:hAnsi="宋体" w:eastAsia="宋体" w:cs="宋体"/>
          <w:b w:val="0"/>
          <w:bCs w:val="0"/>
          <w:color w:val="auto"/>
          <w:sz w:val="24"/>
          <w:szCs w:val="24"/>
          <w:highlight w:val="none"/>
          <w:lang w:val="en-US" w:eastAsia="zh-CN"/>
        </w:rPr>
        <w:t>：合同签订后30日历天内送货到学校指定地点、完成安装调试，并协助采购人完成验收工作，由于供应商原因不能在此日期前供货验收的，由此造成的损失由供应商自行承担。</w:t>
      </w:r>
    </w:p>
    <w:p>
      <w:pPr>
        <w:pageBreakBefore w:val="0"/>
        <w:kinsoku/>
        <w:wordWrap/>
        <w:overflowPunct/>
        <w:topLinePunct w:val="0"/>
        <w:autoSpaceDE w:val="0"/>
        <w:autoSpaceDN w:val="0"/>
        <w:bidi w:val="0"/>
        <w:adjustRightInd w:val="0"/>
        <w:spacing w:line="300" w:lineRule="auto"/>
        <w:ind w:firstLine="472" w:firstLineChars="196"/>
        <w:textAlignment w:val="auto"/>
        <w:rPr>
          <w:rFonts w:hint="eastAsia" w:ascii="宋体" w:hAnsi="宋体"/>
          <w:color w:val="auto"/>
          <w:kern w:val="0"/>
          <w:sz w:val="24"/>
          <w:szCs w:val="24"/>
          <w:highlight w:val="none"/>
        </w:rPr>
      </w:pPr>
      <w:r>
        <w:rPr>
          <w:rFonts w:hint="eastAsia" w:ascii="宋体" w:hAnsi="宋体" w:cs="宋体"/>
          <w:b/>
          <w:bCs/>
          <w:color w:val="auto"/>
          <w:sz w:val="24"/>
          <w:szCs w:val="24"/>
          <w:highlight w:val="none"/>
        </w:rPr>
        <w:t>质保期及售后服务要求：</w:t>
      </w:r>
      <w:r>
        <w:rPr>
          <w:rFonts w:hint="eastAsia" w:ascii="宋体" w:hAnsi="宋体"/>
          <w:color w:val="auto"/>
          <w:kern w:val="0"/>
          <w:sz w:val="24"/>
          <w:szCs w:val="24"/>
          <w:highlight w:val="none"/>
        </w:rPr>
        <w:t>本项目质保期至少为</w:t>
      </w:r>
      <w:r>
        <w:rPr>
          <w:rFonts w:hint="eastAsia" w:ascii="宋体" w:hAnsi="宋体"/>
          <w:color w:val="auto"/>
          <w:kern w:val="0"/>
          <w:sz w:val="24"/>
          <w:szCs w:val="24"/>
          <w:highlight w:val="none"/>
          <w:lang w:val="en-US" w:eastAsia="zh-CN"/>
        </w:rPr>
        <w:t>2</w:t>
      </w:r>
      <w:r>
        <w:rPr>
          <w:rFonts w:hint="eastAsia" w:ascii="宋体" w:hAnsi="宋体"/>
          <w:color w:val="auto"/>
          <w:kern w:val="0"/>
          <w:sz w:val="24"/>
          <w:szCs w:val="24"/>
          <w:highlight w:val="none"/>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pPr>
        <w:pageBreakBefore w:val="0"/>
        <w:kinsoku/>
        <w:wordWrap/>
        <w:overflowPunct/>
        <w:topLinePunct w:val="0"/>
        <w:autoSpaceDE w:val="0"/>
        <w:autoSpaceDN w:val="0"/>
        <w:bidi w:val="0"/>
        <w:adjustRightInd w:val="0"/>
        <w:spacing w:line="300" w:lineRule="auto"/>
        <w:ind w:firstLine="480" w:firstLineChars="200"/>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故障响应及修复：接到故障电话1小时内派技术人员远程支持，远程支持无法解决的问题24小时内上门解决问题。紧急问题在4个小时内解决。</w:t>
      </w:r>
    </w:p>
    <w:p>
      <w:pPr>
        <w:pageBreakBefore w:val="0"/>
        <w:kinsoku/>
        <w:wordWrap/>
        <w:overflowPunct/>
        <w:topLinePunct w:val="0"/>
        <w:autoSpaceDE w:val="0"/>
        <w:autoSpaceDN w:val="0"/>
        <w:bidi w:val="0"/>
        <w:adjustRightInd w:val="0"/>
        <w:spacing w:line="300" w:lineRule="auto"/>
        <w:ind w:firstLine="480" w:firstLineChars="200"/>
        <w:textAlignment w:val="auto"/>
        <w:rPr>
          <w:rFonts w:hint="eastAsia" w:ascii="宋体" w:hAnsi="宋体"/>
          <w:color w:val="auto"/>
          <w:kern w:val="0"/>
          <w:sz w:val="24"/>
          <w:szCs w:val="24"/>
          <w:highlight w:val="none"/>
        </w:rPr>
      </w:pPr>
      <w:r>
        <w:rPr>
          <w:rFonts w:ascii="宋体" w:hAnsi="宋体"/>
          <w:color w:val="auto"/>
          <w:kern w:val="0"/>
          <w:sz w:val="24"/>
          <w:szCs w:val="24"/>
          <w:highlight w:val="none"/>
        </w:rPr>
        <w:t>要求免费提供配套的产品资料，包括产品安装使用手册、功能模块说明书、用户使用手册、帮助文档等。</w:t>
      </w:r>
    </w:p>
    <w:p>
      <w:pPr>
        <w:spacing w:line="300" w:lineRule="auto"/>
        <w:ind w:firstLine="482"/>
        <w:rPr>
          <w:rFonts w:ascii="宋体" w:hAnsi="宋体" w:cs="宋体"/>
          <w:b/>
          <w:bCs/>
          <w:color w:val="000000" w:themeColor="text1"/>
          <w:szCs w:val="24"/>
          <w14:textFill>
            <w14:solidFill>
              <w14:schemeClr w14:val="tx1"/>
            </w14:solidFill>
          </w14:textFill>
        </w:rPr>
      </w:pPr>
      <w:r>
        <w:rPr>
          <w:rFonts w:hint="eastAsia" w:ascii="宋体" w:hAnsi="宋体" w:cs="宋体"/>
          <w:b/>
          <w:bCs/>
          <w:color w:val="auto"/>
          <w:szCs w:val="24"/>
        </w:rPr>
        <w:t>本项目（否）接受联合体投标</w:t>
      </w:r>
      <w:r>
        <w:rPr>
          <w:rFonts w:hint="eastAsia" w:ascii="宋体" w:hAnsi="宋体" w:cs="宋体"/>
          <w:b/>
          <w:bCs/>
          <w:color w:val="000000" w:themeColor="text1"/>
          <w:szCs w:val="24"/>
          <w14:textFill>
            <w14:solidFill>
              <w14:schemeClr w14:val="tx1"/>
            </w14:solidFill>
          </w14:textFill>
        </w:rPr>
        <w:t>。</w:t>
      </w:r>
    </w:p>
    <w:p>
      <w:pPr>
        <w:spacing w:line="300" w:lineRule="auto"/>
        <w:ind w:firstLine="482"/>
        <w:rPr>
          <w:b/>
          <w:bCs/>
          <w:szCs w:val="24"/>
        </w:rPr>
      </w:pPr>
      <w:bookmarkStart w:id="12" w:name="_Toc28359003"/>
      <w:bookmarkStart w:id="13" w:name="_Toc35393791"/>
      <w:bookmarkStart w:id="14" w:name="_Toc28359080"/>
      <w:bookmarkStart w:id="15" w:name="_Toc35393622"/>
      <w:r>
        <w:rPr>
          <w:rFonts w:hint="eastAsia"/>
          <w:b/>
          <w:bCs/>
          <w:szCs w:val="24"/>
        </w:rPr>
        <w:t>二、申请人的资格要求：</w:t>
      </w:r>
      <w:bookmarkEnd w:id="12"/>
      <w:bookmarkEnd w:id="13"/>
      <w:bookmarkEnd w:id="14"/>
      <w:bookmarkEnd w:id="15"/>
    </w:p>
    <w:p>
      <w:pPr>
        <w:snapToGrid w:val="0"/>
        <w:spacing w:line="300" w:lineRule="auto"/>
        <w:ind w:firstLine="480"/>
        <w:contextualSpacing/>
        <w:rPr>
          <w:rFonts w:ascii="宋体" w:hAnsi="宋体" w:cs="宋体"/>
          <w:color w:val="auto"/>
          <w:szCs w:val="24"/>
        </w:rPr>
      </w:pPr>
      <w:bookmarkStart w:id="16" w:name="_Toc28359004"/>
      <w:bookmarkStart w:id="17" w:name="_Toc28359081"/>
      <w:r>
        <w:rPr>
          <w:rFonts w:hint="eastAsia" w:ascii="宋体" w:hAnsi="宋体" w:cs="宋体"/>
          <w:color w:val="auto"/>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firstLineChars="200"/>
        <w:contextualSpacing/>
        <w:rPr>
          <w:rFonts w:hint="eastAsia" w:ascii="宋体" w:hAnsi="宋体" w:eastAsia="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二</w:t>
      </w:r>
      <w:r>
        <w:rPr>
          <w:rFonts w:hint="eastAsia" w:ascii="宋体" w:hAnsi="宋体" w:cs="宋体"/>
          <w:color w:val="auto"/>
          <w:szCs w:val="24"/>
        </w:rPr>
        <w:t>）落实政府采购政策需满足的资格要求</w:t>
      </w:r>
      <w:r>
        <w:rPr>
          <w:rFonts w:hint="eastAsia" w:ascii="宋体" w:hAnsi="宋体" w:cs="宋体"/>
          <w:color w:val="auto"/>
          <w:szCs w:val="24"/>
          <w:lang w:eastAsia="zh-CN"/>
        </w:rPr>
        <w:t>：</w:t>
      </w:r>
      <w:r>
        <w:rPr>
          <w:rFonts w:hint="eastAsia" w:ascii="宋体" w:hAnsi="宋体" w:eastAsia="宋体" w:cs="宋体"/>
          <w:b/>
          <w:bCs/>
          <w:color w:val="auto"/>
          <w:kern w:val="0"/>
          <w:sz w:val="24"/>
        </w:rPr>
        <w:t>专</w:t>
      </w:r>
      <w:r>
        <w:rPr>
          <w:rFonts w:hint="eastAsia" w:ascii="宋体" w:hAnsi="宋体" w:eastAsia="宋体" w:cs="宋体"/>
          <w:b/>
          <w:bCs/>
          <w:color w:val="auto"/>
          <w:sz w:val="24"/>
        </w:rPr>
        <w:t>门面向中小企业</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货物全部由符合政策要求的中小企业制造，提供中小企业声明函</w:t>
      </w:r>
      <w:r>
        <w:rPr>
          <w:rFonts w:hint="eastAsia" w:ascii="宋体" w:hAnsi="宋体" w:cs="宋体"/>
          <w:b/>
          <w:bCs/>
          <w:color w:val="auto"/>
          <w:sz w:val="24"/>
          <w:highlight w:val="none"/>
        </w:rPr>
        <w:t>。</w:t>
      </w:r>
    </w:p>
    <w:p>
      <w:pPr>
        <w:snapToGrid w:val="0"/>
        <w:spacing w:line="300" w:lineRule="auto"/>
        <w:ind w:firstLine="480"/>
        <w:contextualSpacing/>
        <w:rPr>
          <w:rFonts w:ascii="宋体" w:hAnsi="宋体" w:cs="宋体"/>
          <w:b/>
          <w:bCs/>
          <w:strike/>
          <w:color w:val="auto"/>
          <w:szCs w:val="24"/>
        </w:rPr>
      </w:pPr>
      <w:r>
        <w:rPr>
          <w:rFonts w:hint="eastAsia" w:ascii="宋体" w:hAnsi="宋体" w:cs="宋体"/>
          <w:color w:val="auto"/>
          <w:szCs w:val="24"/>
        </w:rPr>
        <w:t>（</w:t>
      </w:r>
      <w:r>
        <w:rPr>
          <w:rFonts w:hint="eastAsia" w:ascii="宋体" w:hAnsi="宋体" w:cs="宋体"/>
          <w:color w:val="auto"/>
          <w:szCs w:val="24"/>
          <w:lang w:val="en-US" w:eastAsia="zh-CN"/>
        </w:rPr>
        <w:t>三</w:t>
      </w:r>
      <w:r>
        <w:rPr>
          <w:rFonts w:hint="eastAsia" w:ascii="宋体" w:hAnsi="宋体" w:cs="宋体"/>
          <w:color w:val="auto"/>
          <w:szCs w:val="24"/>
        </w:rPr>
        <w:t>）本项目的特定资格要求：无</w:t>
      </w:r>
    </w:p>
    <w:bookmarkEnd w:id="16"/>
    <w:bookmarkEnd w:id="17"/>
    <w:p>
      <w:pPr>
        <w:spacing w:line="300" w:lineRule="auto"/>
        <w:ind w:firstLine="482"/>
        <w:rPr>
          <w:b/>
          <w:bCs/>
          <w:szCs w:val="24"/>
        </w:rPr>
      </w:pPr>
      <w:bookmarkStart w:id="18" w:name="_Toc35393627"/>
      <w:bookmarkStart w:id="19" w:name="_Toc35393796"/>
      <w:bookmarkStart w:id="20" w:name="_Toc28359008"/>
      <w:bookmarkStart w:id="21" w:name="_Toc28359085"/>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时间：/至2022年</w:t>
      </w:r>
      <w:r>
        <w:rPr>
          <w:rFonts w:hint="eastAsia" w:ascii="宋体" w:hAnsi="宋体" w:cs="宋体"/>
          <w:lang w:val="en-US" w:eastAsia="zh-CN"/>
        </w:rPr>
        <w:t>12月16日</w:t>
      </w:r>
      <w:r>
        <w:rPr>
          <w:rFonts w:hint="eastAsia" w:ascii="宋体" w:hAnsi="宋体" w:cs="宋体"/>
        </w:rPr>
        <w:t>，每天上午00:00至12:00，下午12:00至23:59（北京时间，线上获取法定节假日均可，线下获取文件法定节假日除外）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提交投标文件截止时间：2022年</w:t>
      </w:r>
      <w:r>
        <w:rPr>
          <w:rFonts w:hint="eastAsia" w:ascii="宋体" w:hAnsi="宋体" w:cs="宋体"/>
          <w:szCs w:val="24"/>
          <w:lang w:val="en-US" w:eastAsia="zh-CN"/>
        </w:rPr>
        <w:t>12月16日</w:t>
      </w:r>
      <w:r>
        <w:rPr>
          <w:rFonts w:hint="eastAsia" w:ascii="宋体" w:hAnsi="宋体" w:cs="宋体"/>
          <w:szCs w:val="24"/>
        </w:rPr>
        <w:t>14:</w:t>
      </w:r>
      <w:r>
        <w:rPr>
          <w:rFonts w:hint="eastAsia" w:ascii="宋体" w:hAnsi="宋体" w:cs="宋体"/>
          <w:szCs w:val="24"/>
          <w:lang w:val="en-US" w:eastAsia="zh-CN"/>
        </w:rPr>
        <w:t>0</w:t>
      </w:r>
      <w:r>
        <w:rPr>
          <w:rFonts w:hint="eastAsia" w:ascii="宋体" w:hAnsi="宋体" w:cs="宋体"/>
          <w:szCs w:val="24"/>
        </w:rPr>
        <w:t>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开标时间：2022年</w:t>
      </w:r>
      <w:r>
        <w:rPr>
          <w:rFonts w:hint="eastAsia" w:ascii="宋体" w:hAnsi="宋体" w:cs="宋体"/>
          <w:szCs w:val="24"/>
          <w:lang w:val="en-US" w:eastAsia="zh-CN"/>
        </w:rPr>
        <w:t>12月16日</w:t>
      </w:r>
      <w:r>
        <w:rPr>
          <w:rFonts w:hint="eastAsia" w:ascii="宋体" w:hAnsi="宋体" w:cs="宋体"/>
          <w:szCs w:val="24"/>
        </w:rPr>
        <w:t>14:</w:t>
      </w:r>
      <w:r>
        <w:rPr>
          <w:rFonts w:hint="eastAsia" w:ascii="宋体" w:hAnsi="宋体" w:cs="宋体"/>
          <w:szCs w:val="24"/>
          <w:lang w:val="en-US" w:eastAsia="zh-CN"/>
        </w:rPr>
        <w:t>0</w:t>
      </w:r>
      <w:r>
        <w:rPr>
          <w:rFonts w:hint="eastAsia" w:ascii="宋体" w:hAnsi="宋体" w:cs="宋体"/>
          <w:szCs w:val="24"/>
        </w:rPr>
        <w:t>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r>
        <w:rPr>
          <w:rFonts w:hint="eastAsia" w:ascii="宋体" w:hAnsi="宋体" w:cs="宋体"/>
        </w:rPr>
        <w:t>。</w:t>
      </w:r>
    </w:p>
    <w:p>
      <w:pPr>
        <w:spacing w:line="300" w:lineRule="auto"/>
        <w:ind w:firstLine="482"/>
        <w:rPr>
          <w:b/>
          <w:bCs/>
          <w:szCs w:val="24"/>
        </w:rPr>
      </w:pPr>
      <w:r>
        <w:rPr>
          <w:rFonts w:hint="eastAsia"/>
          <w:b/>
          <w:bCs/>
          <w:szCs w:val="24"/>
        </w:rPr>
        <w:t>七、对本次招标提出询问，请按以下方式联系。</w:t>
      </w:r>
      <w:bookmarkEnd w:id="18"/>
      <w:bookmarkEnd w:id="19"/>
      <w:bookmarkEnd w:id="20"/>
      <w:bookmarkEnd w:id="21"/>
    </w:p>
    <w:p>
      <w:pPr>
        <w:widowControl/>
        <w:shd w:val="clear" w:color="auto" w:fill="FFFFFF"/>
        <w:spacing w:line="300" w:lineRule="auto"/>
        <w:ind w:firstLine="480"/>
        <w:jc w:val="left"/>
        <w:rPr>
          <w:rFonts w:hint="eastAsia" w:ascii="宋体" w:hAnsi="宋体" w:eastAsia="宋体" w:cs="宋体"/>
          <w:color w:val="000000"/>
          <w:szCs w:val="24"/>
          <w:lang w:eastAsia="zh-CN"/>
        </w:rPr>
      </w:pPr>
      <w:r>
        <w:rPr>
          <w:rFonts w:hint="eastAsia" w:ascii="宋体" w:hAnsi="宋体" w:cs="宋体"/>
          <w:color w:val="000000"/>
          <w:szCs w:val="24"/>
        </w:rPr>
        <w:t>1.采购人名称：</w:t>
      </w:r>
      <w:r>
        <w:rPr>
          <w:rFonts w:hint="eastAsia" w:ascii="宋体" w:hAnsi="宋体" w:cs="宋体"/>
          <w:color w:val="000000"/>
          <w:szCs w:val="24"/>
          <w:lang w:eastAsia="zh-CN"/>
        </w:rPr>
        <w:t>嘉善技师学院（筹）</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项目联系人：</w:t>
      </w:r>
      <w:r>
        <w:rPr>
          <w:rFonts w:hint="eastAsia" w:ascii="宋体" w:hAnsi="宋体" w:cs="宋体"/>
          <w:color w:val="auto"/>
          <w:szCs w:val="24"/>
          <w:lang w:val="en-US" w:eastAsia="zh-CN"/>
        </w:rPr>
        <w:t xml:space="preserve">冯玮 </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联系电话：15857312877</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地址：</w:t>
      </w:r>
      <w:r>
        <w:rPr>
          <w:rFonts w:hint="eastAsia" w:ascii="宋体" w:hAnsi="宋体" w:eastAsia="宋体" w:cs="宋体"/>
          <w:i w:val="0"/>
          <w:iCs w:val="0"/>
          <w:caps w:val="0"/>
          <w:color w:val="auto"/>
          <w:spacing w:val="0"/>
          <w:sz w:val="24"/>
          <w:szCs w:val="24"/>
          <w:shd w:val="clear" w:fill="FFFFFF"/>
        </w:rPr>
        <w:t>浙江省嘉善县罗星街道车站南路555号</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质疑答复联系人：顾一帆</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eastAsia="宋体" w:cs="宋体"/>
          <w:color w:val="FF0000"/>
          <w:szCs w:val="24"/>
          <w:lang w:eastAsia="zh-CN"/>
        </w:rPr>
      </w:pPr>
      <w:r>
        <w:rPr>
          <w:rFonts w:hint="eastAsia" w:ascii="宋体" w:hAnsi="宋体" w:cs="宋体"/>
          <w:color w:val="auto"/>
          <w:szCs w:val="24"/>
        </w:rPr>
        <w:t>联系电话：13736848550</w:t>
      </w:r>
      <w:r>
        <w:rPr>
          <w:rFonts w:hint="eastAsia" w:ascii="宋体" w:hAnsi="宋体" w:cs="宋体"/>
          <w:color w:val="FF0000"/>
          <w:szCs w:val="24"/>
          <w:lang w:val="en-US" w:eastAsia="zh-CN"/>
        </w:rPr>
        <w:t xml:space="preserve"> </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质疑答复联系人：金丽姗</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hint="eastAsia" w:ascii="宋体" w:hAnsi="宋体" w:cs="宋体"/>
          <w:color w:val="000000"/>
          <w:szCs w:val="24"/>
        </w:rPr>
      </w:pPr>
      <w:r>
        <w:rPr>
          <w:rFonts w:hint="eastAsia" w:ascii="宋体" w:hAnsi="宋体" w:cs="宋体"/>
          <w:color w:val="000000"/>
          <w:szCs w:val="24"/>
        </w:rPr>
        <w:t>地址：嘉善县解放东路318号</w:t>
      </w:r>
    </w:p>
    <w:p>
      <w:pPr>
        <w:pStyle w:val="37"/>
        <w:rPr>
          <w:rFonts w:hint="eastAsia" w:ascii="宋体" w:hAnsi="宋体" w:cs="宋体"/>
          <w:szCs w:val="24"/>
        </w:rPr>
      </w:pPr>
    </w:p>
    <w:p>
      <w:pPr>
        <w:widowControl/>
        <w:shd w:val="clear" w:color="auto" w:fill="FFFFFF"/>
        <w:spacing w:line="300" w:lineRule="auto"/>
        <w:ind w:firstLine="48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300" w:lineRule="auto"/>
        <w:ind w:firstLine="480"/>
        <w:jc w:val="left"/>
        <w:rPr>
          <w:rFonts w:hint="eastAsia" w:ascii="宋体" w:hAnsi="宋体" w:eastAsia="宋体" w:cs="宋体"/>
          <w:color w:val="000000"/>
          <w:szCs w:val="24"/>
          <w:lang w:val="en-US" w:eastAsia="zh-CN"/>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eastAsia="宋体" w:cs="宋体"/>
          <w:color w:val="000000"/>
          <w:szCs w:val="24"/>
          <w:lang w:val="en-US" w:eastAsia="zh-CN"/>
        </w:rPr>
        <w:t>CA问题联系电话（人工）：汇信CA 400-888-4636；天谷CA 400-087-8198。</w:t>
      </w:r>
    </w:p>
    <w:p>
      <w:pPr>
        <w:pStyle w:val="35"/>
        <w:spacing w:before="0" w:after="0"/>
        <w:ind w:firstLine="643"/>
      </w:pPr>
      <w:bookmarkStart w:id="22" w:name="_Toc3327"/>
      <w:r>
        <w:rPr>
          <w:rFonts w:hint="eastAsia"/>
        </w:rPr>
        <w:t>第二章  采购需求</w:t>
      </w:r>
      <w:bookmarkEnd w:id="22"/>
    </w:p>
    <w:p>
      <w:pPr>
        <w:pStyle w:val="22"/>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编号：HZZX-2022-</w:t>
      </w:r>
      <w:r>
        <w:rPr>
          <w:rFonts w:hint="eastAsia" w:hAnsi="宋体" w:cs="宋体"/>
          <w:color w:val="000000"/>
          <w:sz w:val="24"/>
          <w:szCs w:val="24"/>
          <w:lang w:eastAsia="zh-CN"/>
        </w:rPr>
        <w:t>G77</w:t>
      </w:r>
    </w:p>
    <w:p>
      <w:pPr>
        <w:pStyle w:val="22"/>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采购单位名称：</w:t>
      </w:r>
      <w:r>
        <w:rPr>
          <w:rFonts w:hint="eastAsia" w:hAnsi="宋体" w:cs="宋体"/>
          <w:sz w:val="24"/>
          <w:lang w:eastAsia="zh-CN"/>
        </w:rPr>
        <w:t>嘉善技师学院（筹）</w:t>
      </w:r>
    </w:p>
    <w:p>
      <w:pPr>
        <w:pStyle w:val="22"/>
        <w:snapToGrid w:val="0"/>
        <w:spacing w:beforeLines="0" w:afterLines="0" w:line="300" w:lineRule="auto"/>
        <w:ind w:firstLine="480"/>
        <w:rPr>
          <w:rFonts w:hint="eastAsia" w:hAnsi="宋体" w:eastAsia="宋体" w:cs="宋体"/>
          <w:sz w:val="24"/>
          <w:lang w:eastAsia="zh-CN"/>
        </w:rPr>
      </w:pPr>
      <w:r>
        <w:rPr>
          <w:rFonts w:hint="eastAsia" w:hAnsi="宋体" w:cs="宋体"/>
          <w:sz w:val="24"/>
          <w:szCs w:val="24"/>
        </w:rPr>
        <w:t>项目名</w:t>
      </w:r>
      <w:r>
        <w:rPr>
          <w:rFonts w:hint="eastAsia" w:hAnsi="宋体" w:cs="宋体"/>
          <w:sz w:val="24"/>
        </w:rPr>
        <w:t>称：</w:t>
      </w:r>
      <w:bookmarkStart w:id="23" w:name="_Toc13254"/>
      <w:r>
        <w:rPr>
          <w:rFonts w:hint="eastAsia" w:hAnsi="宋体" w:cs="宋体"/>
          <w:sz w:val="24"/>
          <w:lang w:eastAsia="zh-CN"/>
        </w:rPr>
        <w:t>嘉善技师学院（筹）购置培训教学仪器设备（电子电工实训设备）</w:t>
      </w:r>
    </w:p>
    <w:p>
      <w:pPr>
        <w:pStyle w:val="22"/>
        <w:snapToGrid w:val="0"/>
        <w:spacing w:beforeLines="0" w:afterLines="0" w:line="300" w:lineRule="auto"/>
        <w:ind w:firstLine="482"/>
        <w:rPr>
          <w:rFonts w:hAnsi="宋体" w:cs="宋体"/>
          <w:b/>
          <w:bCs/>
          <w:color w:val="000000" w:themeColor="text1"/>
          <w:sz w:val="24"/>
          <w:szCs w:val="24"/>
          <w14:textFill>
            <w14:solidFill>
              <w14:schemeClr w14:val="tx1"/>
            </w14:solidFill>
          </w14:textFill>
        </w:rPr>
      </w:pPr>
    </w:p>
    <w:p>
      <w:pPr>
        <w:pStyle w:val="46"/>
        <w:spacing w:line="240" w:lineRule="auto"/>
        <w:ind w:left="0" w:leftChars="0" w:firstLine="482" w:firstLineChars="200"/>
        <w:rPr>
          <w:rFonts w:hint="default" w:eastAsia="宋体"/>
          <w:b/>
          <w:bCs/>
          <w:color w:val="auto"/>
          <w:highlight w:val="none"/>
          <w:lang w:val="en-US" w:eastAsia="zh-CN"/>
        </w:rPr>
      </w:pPr>
      <w:r>
        <w:rPr>
          <w:rFonts w:hint="eastAsia"/>
          <w:b/>
          <w:bCs/>
          <w:color w:val="auto"/>
          <w:highlight w:val="none"/>
          <w:lang w:val="en-US" w:eastAsia="zh-CN"/>
        </w:rPr>
        <w:t>一、采购清单</w:t>
      </w:r>
    </w:p>
    <w:tbl>
      <w:tblPr>
        <w:tblStyle w:val="38"/>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821"/>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4821"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设备</w:t>
            </w:r>
            <w:r>
              <w:rPr>
                <w:rFonts w:hint="eastAsia" w:ascii="宋体" w:hAnsi="宋体" w:eastAsia="宋体" w:cs="宋体"/>
                <w:b/>
                <w:bCs w:val="0"/>
                <w:color w:val="auto"/>
                <w:sz w:val="24"/>
                <w:szCs w:val="24"/>
              </w:rPr>
              <w:t>名称</w:t>
            </w:r>
          </w:p>
        </w:tc>
        <w:tc>
          <w:tcPr>
            <w:tcW w:w="1380"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数量</w:t>
            </w:r>
          </w:p>
        </w:tc>
        <w:tc>
          <w:tcPr>
            <w:tcW w:w="1380" w:type="dxa"/>
            <w:noWrap w:val="0"/>
            <w:vAlign w:val="center"/>
          </w:tcPr>
          <w:p>
            <w:pPr>
              <w:tabs>
                <w:tab w:val="left" w:pos="4770"/>
              </w:tabs>
              <w:ind w:firstLine="0" w:firstLineChars="0"/>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4821" w:type="dxa"/>
            <w:noWrap w:val="0"/>
            <w:vAlign w:val="center"/>
          </w:tcPr>
          <w:p>
            <w:pPr>
              <w:tabs>
                <w:tab w:val="left" w:pos="4770"/>
              </w:tabs>
              <w:ind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机电一体化实训考核装置</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4821" w:type="dxa"/>
            <w:noWrap w:val="0"/>
            <w:vAlign w:val="center"/>
          </w:tcPr>
          <w:p>
            <w:pPr>
              <w:tabs>
                <w:tab w:val="left" w:pos="4770"/>
              </w:tabs>
              <w:ind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电子产品装调与人工智能创新考核装置</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p>
        </w:tc>
        <w:tc>
          <w:tcPr>
            <w:tcW w:w="1380" w:type="dxa"/>
            <w:noWrap w:val="0"/>
            <w:vAlign w:val="center"/>
          </w:tcPr>
          <w:p>
            <w:pPr>
              <w:ind w:left="0" w:leftChars="0"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4821" w:type="dxa"/>
            <w:noWrap w:val="0"/>
            <w:vAlign w:val="center"/>
          </w:tcPr>
          <w:p>
            <w:pPr>
              <w:tabs>
                <w:tab w:val="left" w:pos="4770"/>
              </w:tabs>
              <w:ind w:firstLine="0" w:firstLineChars="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w:t>
            </w:r>
            <w:r>
              <w:rPr>
                <w:rFonts w:hint="eastAsia" w:ascii="宋体" w:hAnsi="宋体" w:eastAsia="宋体" w:cs="宋体"/>
                <w:b w:val="0"/>
                <w:bCs/>
                <w:color w:val="auto"/>
                <w:sz w:val="24"/>
                <w:szCs w:val="24"/>
                <w:lang w:val="en-US" w:eastAsia="zh-CN"/>
              </w:rPr>
              <w:t>工艺</w:t>
            </w:r>
            <w:r>
              <w:rPr>
                <w:rFonts w:hint="eastAsia" w:ascii="宋体" w:hAnsi="宋体" w:eastAsia="宋体" w:cs="宋体"/>
                <w:b w:val="0"/>
                <w:bCs/>
                <w:color w:val="auto"/>
                <w:sz w:val="24"/>
                <w:szCs w:val="24"/>
              </w:rPr>
              <w:t>实训考核</w:t>
            </w:r>
            <w:r>
              <w:rPr>
                <w:rFonts w:hint="eastAsia" w:ascii="宋体" w:hAnsi="宋体" w:eastAsia="宋体" w:cs="宋体"/>
                <w:b w:val="0"/>
                <w:bCs/>
                <w:color w:val="auto"/>
                <w:sz w:val="24"/>
                <w:szCs w:val="24"/>
                <w:lang w:val="en-US" w:eastAsia="zh-CN"/>
              </w:rPr>
              <w:t>系统</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p>
        </w:tc>
        <w:tc>
          <w:tcPr>
            <w:tcW w:w="1380" w:type="dxa"/>
            <w:noWrap w:val="0"/>
            <w:vAlign w:val="center"/>
          </w:tcPr>
          <w:p>
            <w:pPr>
              <w:ind w:left="0" w:leftChars="0"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4821" w:type="dxa"/>
            <w:noWrap w:val="0"/>
            <w:vAlign w:val="center"/>
          </w:tcPr>
          <w:p>
            <w:pPr>
              <w:tabs>
                <w:tab w:val="left" w:pos="4770"/>
              </w:tabs>
              <w:ind w:firstLine="0" w:firstLineChars="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智能开放式电工考核平台</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5</w:t>
            </w:r>
          </w:p>
        </w:tc>
        <w:tc>
          <w:tcPr>
            <w:tcW w:w="1380" w:type="dxa"/>
            <w:noWrap w:val="0"/>
            <w:vAlign w:val="center"/>
          </w:tcPr>
          <w:p>
            <w:pPr>
              <w:ind w:left="0" w:leftChars="0"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套</w:t>
            </w:r>
          </w:p>
        </w:tc>
      </w:tr>
    </w:tbl>
    <w:p>
      <w:pPr>
        <w:pStyle w:val="22"/>
        <w:snapToGrid w:val="0"/>
        <w:spacing w:beforeLines="0" w:afterLines="0" w:line="300" w:lineRule="auto"/>
        <w:ind w:left="480" w:leftChars="200" w:firstLine="0" w:firstLineChars="0"/>
        <w:rPr>
          <w:rFonts w:hint="eastAsia" w:hAnsi="宋体" w:cs="宋体"/>
          <w:b/>
          <w:bCs/>
          <w:sz w:val="24"/>
          <w:szCs w:val="24"/>
        </w:rPr>
      </w:pPr>
    </w:p>
    <w:p>
      <w:pPr>
        <w:pStyle w:val="22"/>
        <w:snapToGrid w:val="0"/>
        <w:spacing w:beforeLines="0" w:afterLines="0" w:line="300" w:lineRule="auto"/>
        <w:ind w:left="480" w:leftChars="200" w:firstLine="0" w:firstLineChars="0"/>
        <w:rPr>
          <w:rFonts w:hAnsi="宋体" w:cs="宋体"/>
          <w:b/>
          <w:bCs/>
          <w:sz w:val="24"/>
          <w:szCs w:val="24"/>
        </w:rPr>
      </w:pPr>
      <w:r>
        <w:rPr>
          <w:rFonts w:hint="eastAsia" w:hAnsi="宋体" w:cs="宋体"/>
          <w:b/>
          <w:bCs/>
          <w:sz w:val="24"/>
          <w:szCs w:val="24"/>
        </w:rPr>
        <w:t>二、技术参数要求</w:t>
      </w:r>
    </w:p>
    <w:tbl>
      <w:tblPr>
        <w:tblStyle w:val="3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70"/>
        <w:gridCol w:w="8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458"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0"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设备名</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称</w:t>
            </w:r>
          </w:p>
        </w:tc>
        <w:tc>
          <w:tcPr>
            <w:tcW w:w="8049" w:type="dxa"/>
            <w:vAlign w:val="center"/>
          </w:tcPr>
          <w:p>
            <w:pPr>
              <w:keepNext w:val="0"/>
              <w:keepLines w:val="0"/>
              <w:pageBreakBefore w:val="0"/>
              <w:kinsoku/>
              <w:wordWrap/>
              <w:overflowPunct/>
              <w:topLinePunct w:val="0"/>
              <w:bidi w:val="0"/>
              <w:snapToGrid/>
              <w:spacing w:line="30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8"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70"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机电一体化实训考核装置</w:t>
            </w:r>
            <w:r>
              <w:rPr>
                <w:rFonts w:hint="eastAsia" w:ascii="宋体" w:hAnsi="宋体" w:eastAsia="宋体" w:cs="宋体"/>
                <w:b/>
                <w:bCs/>
                <w:sz w:val="21"/>
                <w:szCs w:val="21"/>
              </w:rPr>
              <w:t>（核心产品）</w:t>
            </w:r>
          </w:p>
        </w:tc>
        <w:tc>
          <w:tcPr>
            <w:tcW w:w="8049" w:type="dxa"/>
            <w:vAlign w:val="center"/>
          </w:tcPr>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一、总体要求</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机电一体化实训考核装置要求由实训台架、典型的机电一体化设备的机械部件，电气控制单元等组成。典型的机电一体化设备的机械部件要求包括供料机构、传送带输送分拣机构、工业机器人、直角坐标机械手、立体仓库以及可扩展的模拟生产设备实训模块等；电气控制单元要求包括电源配电、PLC可编程控制器、触摸屏、变频器、步进电机控制、伺服电机控制、按钮指示灯、接线端子及各种检测传感器等。</w:t>
            </w:r>
          </w:p>
          <w:p>
            <w:pPr>
              <w:keepNext w:val="0"/>
              <w:keepLines w:val="0"/>
              <w:pageBreakBefore w:val="0"/>
              <w:kinsoku/>
              <w:wordWrap/>
              <w:overflowPunct/>
              <w:topLinePunct w:val="0"/>
              <w:bidi w:val="0"/>
              <w:snapToGrid/>
              <w:spacing w:line="300" w:lineRule="auto"/>
              <w:ind w:left="0" w:leftChars="0" w:firstLine="0" w:firstLineChars="0"/>
              <w:rPr>
                <w:rFonts w:hint="eastAsia"/>
                <w:sz w:val="21"/>
                <w:szCs w:val="21"/>
              </w:rPr>
            </w:pPr>
            <w:r>
              <w:rPr>
                <w:rFonts w:hint="eastAsia"/>
                <w:sz w:val="21"/>
                <w:szCs w:val="21"/>
              </w:rPr>
              <w:t>★整体结构要求采用开放式和拆装式，可根据现有的机械部件，以模块化的方式组装和搭建具有生产功能的机电一体化智能生产线设备，</w:t>
            </w:r>
            <w:r>
              <w:rPr>
                <w:rFonts w:hint="eastAsia"/>
                <w:sz w:val="21"/>
                <w:szCs w:val="21"/>
                <w:lang w:val="en-US" w:eastAsia="zh-CN"/>
              </w:rPr>
              <w:t>还要求可以跟我校实训室现有的一套机电一体化设备相组合</w:t>
            </w:r>
            <w:r>
              <w:rPr>
                <w:rFonts w:hint="eastAsia"/>
                <w:sz w:val="21"/>
                <w:szCs w:val="21"/>
              </w:rPr>
              <w:t>，按教学或竞赛要求组装</w:t>
            </w:r>
            <w:r>
              <w:rPr>
                <w:rFonts w:hint="eastAsia"/>
                <w:sz w:val="21"/>
                <w:szCs w:val="21"/>
                <w:lang w:val="en-US" w:eastAsia="zh-CN"/>
              </w:rPr>
              <w:t>成一条</w:t>
            </w:r>
            <w:r>
              <w:rPr>
                <w:rFonts w:hint="eastAsia"/>
                <w:sz w:val="21"/>
                <w:szCs w:val="21"/>
              </w:rPr>
              <w:t>具有生产功能的机电一体化智能生产线。</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二、技术参数要求</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（1）设备台架</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要求以4个铝合金导轨式实训台为基础平台，整体结构采用开放式和拆装式，可根据不同形式生产功能要求将多个实训台组合成不同长宽的基础工作面。该平台以4个工作站为基础，传送带机构、圆盘式供料机构、立体仓库、直角坐标机械手、工件旋转台、工业机器人等模块。在基础平台上根据机械部件，以模块化的方式组装和搭建具有生产功能的机电一体化智能生产线设备，也可添加其它机械部件组装其他生产设备，使整个装置能够灵活的按教学或竞赛要求组装具有生产功能的机电一体化智能生产线设备。如一字型或L型。尺寸要求1250×800×840 mm（±5%）1张、800×800×840 mm（±5%）3张。</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控制单元要求采用式网孔抽屉，可根据不用的控制要求，选择或扩展相关的电气控制元器件，灵活的安装在抽屉网孔面上。</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（2）电源供电</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电源供电要求采用配电箱集中配电方式，其中外部供电电源要求三相五线制AC 380V的进线方式，系统单元中各主要负载通过小型断路开关单独供电。配电箱中要求配置一台直流开关稳压电源DC24V/10A。</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（3）PLC、变频器及触摸屏模块</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PLC</w:t>
            </w:r>
            <w:r>
              <w:rPr>
                <w:rFonts w:hint="eastAsia" w:ascii="宋体" w:hAnsi="宋体" w:eastAsia="宋体" w:cs="宋体"/>
                <w:color w:val="000000" w:themeColor="text1"/>
                <w:sz w:val="21"/>
                <w:szCs w:val="21"/>
                <w:lang w:val="en-US" w:eastAsia="zh-CN"/>
                <w14:textFill>
                  <w14:solidFill>
                    <w14:schemeClr w14:val="tx1"/>
                  </w14:solidFill>
                </w14:textFill>
              </w:rPr>
              <w:t>主机</w:t>
            </w:r>
            <w:r>
              <w:rPr>
                <w:rFonts w:hint="eastAsia" w:ascii="宋体" w:hAnsi="宋体" w:eastAsia="宋体" w:cs="宋体"/>
                <w:color w:val="000000" w:themeColor="text1"/>
                <w:sz w:val="21"/>
                <w:szCs w:val="21"/>
                <w14:textFill>
                  <w14:solidFill>
                    <w14:schemeClr w14:val="tx1"/>
                  </w14:solidFill>
                </w14:textFill>
              </w:rPr>
              <w:t xml:space="preserve"> 2台</w:t>
            </w:r>
            <w:r>
              <w:rPr>
                <w:rFonts w:hint="eastAsia" w:ascii="宋体" w:hAnsi="宋体" w:eastAsia="宋体" w:cs="宋体"/>
                <w:color w:val="000000" w:themeColor="text1"/>
                <w:sz w:val="21"/>
                <w:szCs w:val="21"/>
                <w:lang w:val="en-US" w:eastAsia="zh-CN"/>
                <w14:textFill>
                  <w14:solidFill>
                    <w14:schemeClr w14:val="tx1"/>
                  </w14:solidFill>
                </w14:textFill>
              </w:rPr>
              <w:t>推荐品牌：</w:t>
            </w:r>
            <w:r>
              <w:rPr>
                <w:rFonts w:hint="eastAsia" w:ascii="宋体" w:hAnsi="宋体" w:eastAsia="宋体" w:cs="宋体"/>
                <w:color w:val="000000" w:themeColor="text1"/>
                <w:sz w:val="21"/>
                <w:szCs w:val="21"/>
                <w14:textFill>
                  <w14:solidFill>
                    <w14:schemeClr w14:val="tx1"/>
                  </w14:solidFill>
                </w14:textFill>
              </w:rPr>
              <w:t>西门子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三菱、欧姆龙</w:t>
            </w:r>
            <w:r>
              <w:rPr>
                <w:rFonts w:hint="eastAsia" w:ascii="宋体" w:hAnsi="宋体" w:eastAsia="宋体" w:cs="宋体"/>
                <w:color w:val="000000" w:themeColor="text1"/>
                <w:sz w:val="21"/>
                <w:szCs w:val="21"/>
                <w14:textFill>
                  <w14:solidFill>
                    <w14:schemeClr w14:val="tx1"/>
                  </w14:solidFill>
                </w14:textFill>
              </w:rPr>
              <w:t>，PLC IO</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扩展模块</w:t>
            </w:r>
            <w:r>
              <w:rPr>
                <w:rFonts w:hint="eastAsia" w:ascii="宋体" w:hAnsi="宋体" w:eastAsia="宋体" w:cs="宋体"/>
                <w:color w:val="000000" w:themeColor="text1"/>
                <w:sz w:val="21"/>
                <w:szCs w:val="21"/>
                <w:lang w:val="en-US" w:eastAsia="zh-CN"/>
                <w14:textFill>
                  <w14:solidFill>
                    <w14:schemeClr w14:val="tx1"/>
                  </w14:solidFill>
                </w14:textFill>
              </w:rPr>
              <w:t>推荐品牌：</w:t>
            </w:r>
            <w:r>
              <w:rPr>
                <w:rFonts w:hint="eastAsia" w:ascii="宋体" w:hAnsi="宋体" w:eastAsia="宋体" w:cs="宋体"/>
                <w:color w:val="000000" w:themeColor="text1"/>
                <w:sz w:val="21"/>
                <w:szCs w:val="21"/>
                <w14:textFill>
                  <w14:solidFill>
                    <w14:schemeClr w14:val="tx1"/>
                  </w14:solidFill>
                </w14:textFill>
              </w:rPr>
              <w:t>采用西门子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三菱、欧姆龙</w:t>
            </w:r>
            <w:r>
              <w:rPr>
                <w:rFonts w:hint="eastAsia" w:ascii="宋体" w:hAnsi="宋体" w:eastAsia="宋体" w:cs="宋体"/>
                <w:color w:val="000000" w:themeColor="text1"/>
                <w:sz w:val="21"/>
                <w:szCs w:val="21"/>
                <w14:textFill>
                  <w14:solidFill>
                    <w14:schemeClr w14:val="tx1"/>
                  </w14:solidFill>
                </w14:textFill>
              </w:rPr>
              <w:t>；模拟量扩展模块</w:t>
            </w:r>
            <w:r>
              <w:rPr>
                <w:rFonts w:hint="eastAsia" w:ascii="宋体" w:hAnsi="宋体" w:eastAsia="宋体" w:cs="宋体"/>
                <w:color w:val="000000" w:themeColor="text1"/>
                <w:sz w:val="21"/>
                <w:szCs w:val="21"/>
                <w:lang w:val="en-US" w:eastAsia="zh-CN"/>
                <w14:textFill>
                  <w14:solidFill>
                    <w14:schemeClr w14:val="tx1"/>
                  </w14:solidFill>
                </w14:textFill>
              </w:rPr>
              <w:t>推荐品牌：</w:t>
            </w:r>
            <w:r>
              <w:rPr>
                <w:rFonts w:hint="eastAsia" w:ascii="宋体" w:hAnsi="宋体" w:eastAsia="宋体" w:cs="宋体"/>
                <w:color w:val="000000" w:themeColor="text1"/>
                <w:sz w:val="21"/>
                <w:szCs w:val="21"/>
                <w14:textFill>
                  <w14:solidFill>
                    <w14:schemeClr w14:val="tx1"/>
                  </w14:solidFill>
                </w14:textFill>
              </w:rPr>
              <w:t>采用西门子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三菱、欧姆龙</w:t>
            </w:r>
            <w:r>
              <w:rPr>
                <w:rFonts w:hint="eastAsia" w:ascii="宋体" w:hAnsi="宋体" w:eastAsia="宋体" w:cs="宋体"/>
                <w:color w:val="000000" w:themeColor="text1"/>
                <w:sz w:val="21"/>
                <w:szCs w:val="21"/>
                <w14:textFill>
                  <w14:solidFill>
                    <w14:schemeClr w14:val="tx1"/>
                  </w14:solidFill>
                </w14:textFill>
              </w:rPr>
              <w:t>；通信扩展模块：</w:t>
            </w:r>
            <w:r>
              <w:rPr>
                <w:rFonts w:hint="eastAsia" w:ascii="宋体" w:hAnsi="宋体" w:eastAsia="宋体" w:cs="宋体"/>
                <w:color w:val="000000" w:themeColor="text1"/>
                <w:sz w:val="21"/>
                <w:szCs w:val="21"/>
                <w:lang w:val="en-US" w:eastAsia="zh-CN"/>
                <w14:textFill>
                  <w14:solidFill>
                    <w14:schemeClr w14:val="tx1"/>
                  </w14:solidFill>
                </w14:textFill>
              </w:rPr>
              <w:t>推荐品牌：</w:t>
            </w:r>
            <w:r>
              <w:rPr>
                <w:rFonts w:hint="eastAsia" w:ascii="宋体" w:hAnsi="宋体" w:eastAsia="宋体" w:cs="宋体"/>
                <w:color w:val="000000" w:themeColor="text1"/>
                <w:sz w:val="21"/>
                <w:szCs w:val="21"/>
                <w14:textFill>
                  <w14:solidFill>
                    <w14:schemeClr w14:val="tx1"/>
                  </w14:solidFill>
                </w14:textFill>
              </w:rPr>
              <w:t>采用西门子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三菱、欧姆龙</w:t>
            </w:r>
            <w:r>
              <w:rPr>
                <w:rFonts w:hint="eastAsia" w:ascii="宋体" w:hAnsi="宋体" w:eastAsia="宋体" w:cs="宋体"/>
                <w:color w:val="000000" w:themeColor="text1"/>
                <w:sz w:val="21"/>
                <w:szCs w:val="21"/>
                <w14:textFill>
                  <w14:solidFill>
                    <w14:schemeClr w14:val="tx1"/>
                  </w14:solidFill>
                </w14:textFill>
              </w:rPr>
              <w:t>，具备以太网通讯 接口及 RS-485 通讯接口，单台 PLC 的 I/O 点数≥48（此外还可通过 扩展模块增加 I/O 点数）， I/O 接口类型为晶体管（扩展模块不限类 型）；变频器要求输出功率≥0.75kw，与PLC同品牌；人机界面要求不小于7寸彩色触摸屏，配安装支架，固定在实训台上。PLC、变频器、按钮指示灯控制元件及其它电气元件均安装在网孔式抽屉中，可进行灵活的布局、安装、接线和扩展。</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（4）插接线一体化接线端子</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PLC模块的I/O 端子、变频器的接线端子、各指令开关、光电开关、传感器和指示元件的电路，控制元件电路要求采用接插线一体化两用的接线端子，可以插接方式和直接接线方式。</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★（5）供料装置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要求采用托盘式供料和转盘式供料两种供料形式，托盘式供料台机构要求采用多层托盘结构设计，3×3排列，每个托盘可放置多种不同属性的物料，通过工业机器人直接在托盘上抓取。转盘式供料底部装有直流减速电机（24 V，输出转速6 r/min），作为旋转动力，并通过缓冲装置与送料盘内部的螺旋叶片连接，直流电机驱动螺旋叶片旋转，将物料送至出料口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并要求配置物料暂存盘一个。</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（6）传送带输送分拣装置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要求采用86mm步进电机和三相异步电动机（380 V，输出转速40r/min）加编码器两种不同驱动方式，传送带运行时，物料可在传送带上进行自由定位，以满足物料在不同位置的检测，分拣，抓取等功能。要求至少包括单出杆气缸3只，单控电磁换向阀3只,视觉传感器1套，超声波传感器1只，磁性开关3只，物件导槽3个。在传送带两端处设计有挡料口，通过光电传感器检测物料；传送带上装有三个出料槽，对不同类型的物料进行分拣。</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（7）物料检测装置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要求以梅花型联轴器作为物料的检测对象，在机电一体化生产设备中配置有传感器检测装置，可检测出联轴器的高度，外径大小以及缓冲垫颜色等属性信息。</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（8）工业机械手装置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要求采用工业机器人和直角坐标机械手两种工业机械手装置，工业机器人可选配不同品牌的配置，两种机械手在系统中要求用于物料的搬运或者进行工件装配等工作，可根据不通的功能需求，进行组合或者功能互换。要求配置多种气动手爪快换装置，可支持气动夹持手指种类≥5，以满足不同的工装要求。</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工业机械手1 台要求6自由度；工作范围≥0.5m；负载≥2kg。2.工作半径：550mm</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★3.重复定位精度：±0.02mm</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4.最大动作范围：</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轴 1 旋转：340°</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轴 2 手臂：230°</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轴 3 手臂：402°</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轴 4 手腕：380°</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轴 5 弯曲：240°</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轴 6 翻转：720°</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5.最大动作速度</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J1 轴臂旋转：460°/s</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J2 轴臂前后：460°/s</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J3 轴臂上下：520°/s</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J4 轴腕旋转：560°/s</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J5 轴腕弯曲：560°/s</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J6 轴腕扭转：900°/s</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★6 轴直角坐标机械手1台要求采用龙 门架结构，可实现平面400mm×400mm 范围内任意位置工件的抓取。至少包括X轴Y轴同步带模组1套、Z轴直线模组1套、伺服电机及驱动器1套、步进电机1套、旋转气缸1只、气动手爪1只。</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（9）工件旋转及翻转装置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要求满足工件在旋转工作台平面上任意角度的旋转及位置校准，翻转机构要求满足工件在垂直工作面上180度的翻转。</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（10）冲压装置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冲压装置要求包括滑动料台，模拟冲头和冲床,物料台伸出/缩回气缸等。功能要求把物料台上的工件（工件由抓取机械手装置供料送来）送到冲压机构下面，完成一次冲压加工动作，然后再送回到物料台上，等待机械手装置取出。</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（11）立体仓库装置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立体仓库装置要求采用5层6列的梯形结构设计，在每一层的库位中，要求放置3个物料托盘，每个托盘要求放置两种不同属性的物料，在出入库时，通过机械手不同的夹具，对托盘或者直接对物料进行出入库的搬运。</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在物料托盘中要求嵌入RFID电子标签、条形码或二维码图形标签，可以对仓库的物料进行数据化信息管理，在读写信息时，可通过RFID读写控制器或扫码枪操作进行信息的录入和读取，实现仓储的智能化、信息化管理。</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物料要求采用多种规格联轴器物料。</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、教学资源要求</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配套PLC编程软件、触摸屏组态软件。</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2.教学软件：</w:t>
            </w:r>
            <w:r>
              <w:rPr>
                <w:rFonts w:hint="eastAsia" w:ascii="宋体" w:hAnsi="宋体" w:eastAsia="宋体" w:cs="宋体"/>
                <w:sz w:val="21"/>
                <w:szCs w:val="21"/>
              </w:rPr>
              <w:t>内容包括:详细介绍设备的组成、功能、使用方法，包括动画和配音，方便教师上课。</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3.PLC实训多媒体教学指导软件：</w:t>
            </w:r>
            <w:r>
              <w:rPr>
                <w:rFonts w:hint="eastAsia" w:ascii="宋体" w:hAnsi="宋体" w:eastAsia="宋体" w:cs="宋体"/>
                <w:sz w:val="21"/>
                <w:szCs w:val="21"/>
              </w:rPr>
              <w:t>具有动画及配音，内容应包括对PLC实训台配套的模块的功能介绍、接线调试等。</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color w:val="FF0000"/>
                <w:sz w:val="21"/>
                <w:szCs w:val="21"/>
              </w:rPr>
            </w:pPr>
            <w:r>
              <w:rPr>
                <w:rFonts w:hint="eastAsia" w:ascii="宋体" w:hAnsi="宋体" w:eastAsia="宋体" w:cs="宋体"/>
                <w:sz w:val="21"/>
                <w:szCs w:val="21"/>
                <w:lang w:val="en-US" w:eastAsia="zh-CN"/>
              </w:rPr>
              <w:t>4.PLC仿真软件：</w:t>
            </w:r>
            <w:r>
              <w:rPr>
                <w:rFonts w:hint="eastAsia" w:ascii="宋体" w:hAnsi="宋体" w:eastAsia="宋体" w:cs="宋体"/>
                <w:sz w:val="21"/>
                <w:szCs w:val="21"/>
              </w:rPr>
              <w:t>该软件采用RS-232串行口通讯协议，采用FLASH动画进行仿真。</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sz w:val="21"/>
                <w:szCs w:val="21"/>
                <w:lang w:val="en-US" w:eastAsia="zh-CN"/>
              </w:rPr>
              <w:t>光机电一体化控制软件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软件具有完全知识产权，软</w:t>
            </w:r>
            <w:r>
              <w:rPr>
                <w:rFonts w:hint="eastAsia" w:ascii="宋体" w:hAnsi="宋体" w:eastAsia="宋体" w:cs="宋体"/>
                <w:sz w:val="21"/>
                <w:szCs w:val="21"/>
              </w:rPr>
              <w:t>件具有供料控制实训、机械手搬运控制实训、输送分拣控制实训等功能。</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sz w:val="21"/>
                <w:szCs w:val="21"/>
                <w:lang w:val="en-US" w:eastAsia="zh-CN"/>
              </w:rPr>
              <w:t>教学教材：</w:t>
            </w:r>
            <w:r>
              <w:rPr>
                <w:rFonts w:hint="eastAsia" w:ascii="宋体" w:hAnsi="宋体" w:eastAsia="宋体" w:cs="宋体"/>
                <w:sz w:val="21"/>
                <w:szCs w:val="21"/>
              </w:rPr>
              <w:t>内容需包括送料机构的组装与调试，机械手搬运机构的组装与调试，物料传送及分拣机构的组装与调试，物料搬运、传送及分拣机构的组装与调试，光机电设备的组装与调试，生产加工设备的组装与调试，生产线分拣设备的组装与调试，多功能加工及分拣设备的组装与调试等8个工作项目，提供教材封面和目录。有刊号。</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7.PLC教学资源（不少于30G）：</w:t>
            </w:r>
            <w:r>
              <w:rPr>
                <w:rFonts w:hint="eastAsia" w:ascii="宋体" w:hAnsi="宋体" w:eastAsia="宋体" w:cs="宋体"/>
                <w:sz w:val="21"/>
                <w:szCs w:val="21"/>
              </w:rPr>
              <w:t>要求提供 PLC 学习资源库， 此部分学习资料全部是 PLC 学习， 内容主要是讲解、AB、欧姆龙、施耐德、松下、台达、西门子、信捷等各品牌 PLC 的指令与功能、 编程规则， 在讲解过程中并有些针对性案例程序讲解。</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color w:val="FF0000"/>
                <w:sz w:val="21"/>
                <w:szCs w:val="21"/>
              </w:rPr>
            </w:pPr>
            <w:r>
              <w:rPr>
                <w:rFonts w:hint="eastAsia" w:ascii="宋体" w:hAnsi="宋体" w:eastAsia="宋体" w:cs="宋体"/>
                <w:sz w:val="21"/>
                <w:szCs w:val="21"/>
                <w:lang w:val="en-US" w:eastAsia="zh-CN"/>
              </w:rPr>
              <w:t>★8.机电一体化虚拟实训装置：要求</w:t>
            </w:r>
            <w:r>
              <w:rPr>
                <w:rFonts w:hint="eastAsia" w:ascii="宋体" w:hAnsi="宋体" w:eastAsia="宋体" w:cs="宋体"/>
                <w:sz w:val="21"/>
                <w:szCs w:val="21"/>
              </w:rPr>
              <w:t>包括实训台架、光机电一体化实训考核装置的机械部件（供料单元、搬运单元、分拣单元）、</w:t>
            </w:r>
            <w:r>
              <w:rPr>
                <w:rFonts w:hint="eastAsia" w:ascii="宋体" w:hAnsi="宋体" w:eastAsia="宋体" w:cs="宋体"/>
                <w:strike w:val="0"/>
                <w:dstrike w:val="0"/>
                <w:sz w:val="21"/>
                <w:szCs w:val="21"/>
              </w:rPr>
              <w:t>以及内置各种传感器信号等，并模拟了光机电一体化实训考核装置的整个运动过程。用户可通</w:t>
            </w:r>
            <w:r>
              <w:rPr>
                <w:rFonts w:hint="eastAsia" w:ascii="宋体" w:hAnsi="宋体" w:eastAsia="宋体" w:cs="宋体"/>
                <w:strike w:val="0"/>
                <w:dstrike w:val="0"/>
                <w:color w:val="auto"/>
                <w:sz w:val="21"/>
                <w:szCs w:val="21"/>
              </w:rPr>
              <w:t>过国际IEC PLC梯形图、西门子PLC梯形图、SFC顺序流程图等控制该软件中的3D仿真对象运行，可对机电一体化设备进行编程调试。可使用国际IEC PLC梯形图、西门子P</w:t>
            </w:r>
            <w:r>
              <w:rPr>
                <w:rFonts w:hint="eastAsia" w:ascii="宋体" w:hAnsi="宋体" w:eastAsia="宋体" w:cs="宋体"/>
                <w:strike w:val="0"/>
                <w:dstrike w:val="0"/>
                <w:sz w:val="21"/>
                <w:szCs w:val="21"/>
              </w:rPr>
              <w:t>LC梯形</w:t>
            </w:r>
            <w:r>
              <w:rPr>
                <w:rFonts w:hint="eastAsia" w:ascii="宋体" w:hAnsi="宋体" w:eastAsia="宋体" w:cs="宋体"/>
                <w:sz w:val="21"/>
                <w:szCs w:val="21"/>
              </w:rPr>
              <w:t>图、SFC顺序流程图等其中任意一个的进行编程的软件配合光机电一体化仿真软件使用进行仿真通过的程序，可直接下到实际中光机电一体化实训考核装置所配备的PLC中。</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9.在线学习平台：</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color w:val="FF0000"/>
                <w:sz w:val="21"/>
                <w:szCs w:val="21"/>
              </w:rPr>
            </w:pPr>
            <w:r>
              <w:rPr>
                <w:rFonts w:hint="eastAsia" w:ascii="宋体" w:hAnsi="宋体" w:eastAsia="宋体" w:cs="宋体"/>
                <w:sz w:val="21"/>
                <w:szCs w:val="21"/>
              </w:rPr>
              <w:t>平台要求为B2B2C类型，可以通过PC端或手机APP实现观看视频课程、网络直播、网上答疑、安排课前预习等，能适用于高校师生、企业员工的各类网络学习培训。</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平台支持要求</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支持PC端、微信公众号、微信小程序等不同形式登录，要求在PC机、平板或手机上均能使用。</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主要功能：</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平台系统至少包含有课程、直播、题库、问答等模块。主要功能如下：</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现建有较为丰富的光机电一体化教学资源，视频资源画面高清，主题知识点突出，能提供以下光机电一体化实训考核装置网络教学资源视频：机电一体化设备（以招标设备为载体）系统联机调试相关视频课程内容。</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具有较好的网络教学直播功能，可对每个网络学员的学习过程和阶段情况等实现完整的跟踪记录，支持随时上传或下载资料。</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题库模块能进行网络考试测评，具有章节练习和模拟考试功能。</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以上软件控制系统及教学软件要求，需符合国家计算机应用与软件技术专业仪器设备配备标准。</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三维设计软件</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良好的用户界面</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与Windows的界面和Office的操作习惯相似，采用人性化的用户界面，减少设计步骤，高效地管理整个设计过程并方便地管理CAD文件。</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数据处理及数据转换</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 xml:space="preserve"> 能完整地继承二维的历史设计图纸，并能提供再编辑功能。</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②</w:t>
            </w:r>
            <w:r>
              <w:rPr>
                <w:rFonts w:hint="eastAsia" w:ascii="宋体" w:hAnsi="宋体" w:eastAsia="宋体" w:cs="宋体"/>
                <w:sz w:val="21"/>
                <w:szCs w:val="21"/>
              </w:rPr>
              <w:t xml:space="preserve"> 与DWG/DXF实现双向数据衔接</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 xml:space="preserve"> 能充分利用原来的视图数据，以及2D尺寸标注，支持从二维设计平滑转向三维实体设计，并自动将2D尺寸转变为3D可驱动尺寸。</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含有所有的中间数据交换接口，如IGES、STEP、ACIS、Parasolid、STL、3MF、JT等，以及含有对Solid Edge、Solidworks、Pro/E、NX、Catia等三维软件的数据接口。</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⑤</w:t>
            </w:r>
            <w:r>
              <w:rPr>
                <w:rFonts w:hint="eastAsia" w:ascii="宋体" w:hAnsi="宋体" w:eastAsia="宋体" w:cs="宋体"/>
                <w:sz w:val="21"/>
                <w:szCs w:val="21"/>
              </w:rPr>
              <w:t xml:space="preserve"> 能够批量迁移Solidworks/Creo/Inventor的零件、装配、图纸数据，并且保证迁移后的图纸仍然与3D模型保持关联。</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⑥</w:t>
            </w:r>
            <w:r>
              <w:rPr>
                <w:rFonts w:hint="eastAsia" w:ascii="宋体" w:hAnsi="宋体" w:eastAsia="宋体" w:cs="宋体"/>
                <w:sz w:val="21"/>
                <w:szCs w:val="21"/>
              </w:rPr>
              <w:t>能够基于几何规则，深层次地编辑修改导入的3D数据。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⑦</w:t>
            </w:r>
            <w:r>
              <w:rPr>
                <w:rFonts w:hint="eastAsia" w:ascii="宋体" w:hAnsi="宋体" w:eastAsia="宋体" w:cs="宋体"/>
                <w:sz w:val="21"/>
                <w:szCs w:val="21"/>
              </w:rPr>
              <w:t>离线编程软件模型格式导入，集成设计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⑧</w:t>
            </w:r>
            <w:r>
              <w:rPr>
                <w:rFonts w:hint="eastAsia" w:ascii="宋体" w:hAnsi="宋体" w:eastAsia="宋体" w:cs="宋体"/>
                <w:sz w:val="21"/>
                <w:szCs w:val="21"/>
              </w:rPr>
              <w:t>通过同一软件，彻底解决二维绘图的版权问题。</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变量化设计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变量名能使用中文名称。</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②</w:t>
            </w:r>
            <w:r>
              <w:rPr>
                <w:rFonts w:hint="eastAsia" w:ascii="宋体" w:hAnsi="宋体" w:eastAsia="宋体" w:cs="宋体"/>
                <w:sz w:val="21"/>
                <w:szCs w:val="21"/>
              </w:rPr>
              <w:t>用户能根据设计要求，直接设置变量之间的关系，达到变量化设计的要求。</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能实现零件与零件之间的变量关联。</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能实现可变零件与可变装配的设计，满足个性化的设计需求。</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零件建模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提供基于特征的实体建模功能，如拉伸、旋转、扫掠、螺旋、孔、圆角、薄壁、阵列等。</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②</w:t>
            </w:r>
            <w:r>
              <w:rPr>
                <w:rFonts w:hint="eastAsia" w:ascii="宋体" w:hAnsi="宋体" w:eastAsia="宋体" w:cs="宋体"/>
                <w:sz w:val="21"/>
                <w:szCs w:val="21"/>
              </w:rPr>
              <w:t xml:space="preserve"> 支持基于特征，所见即所得的直观同步建模。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提供对小平面模型的编辑，并且能转换为B样条表示模型的能力，即具备逆向设计功能。</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通过对特征和草图的动态修改，用拖拽的方式实现实时的设计修改。</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⑤</w:t>
            </w:r>
            <w:r>
              <w:rPr>
                <w:rFonts w:hint="eastAsia" w:ascii="宋体" w:hAnsi="宋体" w:eastAsia="宋体" w:cs="宋体"/>
                <w:sz w:val="21"/>
                <w:szCs w:val="21"/>
              </w:rPr>
              <w:t xml:space="preserve">可以方便地随时删除或修改特征，以完成设计意图。 </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⑥</w:t>
            </w:r>
            <w:r>
              <w:rPr>
                <w:rFonts w:hint="eastAsia" w:ascii="宋体" w:hAnsi="宋体" w:eastAsia="宋体" w:cs="宋体"/>
                <w:sz w:val="21"/>
                <w:szCs w:val="21"/>
              </w:rPr>
              <w:t>具有曲面设计能力，以及曲面的动态编辑能力，实体与曲面还能进行混合设计。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⑦</w:t>
            </w:r>
            <w:r>
              <w:rPr>
                <w:rFonts w:hint="eastAsia" w:ascii="宋体" w:hAnsi="宋体" w:eastAsia="宋体" w:cs="宋体"/>
                <w:sz w:val="21"/>
                <w:szCs w:val="21"/>
              </w:rPr>
              <w:t>具备几何拓扑优化功能。可以根据满足给定的设计条件，利用CAE分析结果自动进行几何拓扑优化。</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⑧</w:t>
            </w:r>
            <w:r>
              <w:rPr>
                <w:rFonts w:hint="eastAsia" w:ascii="宋体" w:hAnsi="宋体" w:eastAsia="宋体" w:cs="宋体"/>
                <w:sz w:val="21"/>
                <w:szCs w:val="21"/>
              </w:rPr>
              <w:t xml:space="preserve"> 包含有常用的国标零件库，如螺栓、螺钉、螺母、垫圈、轴承等，并提供用户自定义标准件的能力。</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⑨</w:t>
            </w:r>
            <w:r>
              <w:rPr>
                <w:rFonts w:hint="eastAsia" w:ascii="宋体" w:hAnsi="宋体" w:eastAsia="宋体" w:cs="宋体"/>
                <w:sz w:val="21"/>
                <w:szCs w:val="21"/>
              </w:rPr>
              <w:t>对复杂的零件，如齿轮、链轮、台阶轴、弹簧等，只需提供根据设计参数，系统应该具有直接产生三维模型的能力。</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⑩</w:t>
            </w:r>
            <w:r>
              <w:rPr>
                <w:rFonts w:hint="eastAsia" w:ascii="宋体" w:hAnsi="宋体" w:eastAsia="宋体" w:cs="宋体"/>
                <w:sz w:val="21"/>
                <w:szCs w:val="21"/>
              </w:rPr>
              <w:t>具有在三维模型上直接增加尺寸标注、公差、形位公差、表面粗糙度、注释等的能力，要符合国际标准，并且能被工程图及下游工序直接利用。</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装配设计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运用最简便的操作，就能完成部件的装配，能灵活修改、编辑装配关系。</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②</w:t>
            </w:r>
            <w:r>
              <w:rPr>
                <w:rFonts w:hint="eastAsia" w:ascii="宋体" w:hAnsi="宋体" w:eastAsia="宋体" w:cs="宋体"/>
                <w:sz w:val="21"/>
                <w:szCs w:val="21"/>
              </w:rPr>
              <w:t>具有在装配环境下的多个零件设计和修改的能力，以及关联设计能力。</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支持超过十万个零部件规模的大型装配件设计，要有零部件轻量化能力、区域管理、装配简化等的装配能力。</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可以实现装配件的物理属性管理，能方便产生质量、质心位置，BOM信息，具有干涉检查能力。</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⑤</w:t>
            </w:r>
            <w:r>
              <w:rPr>
                <w:rFonts w:hint="eastAsia" w:ascii="宋体" w:hAnsi="宋体" w:eastAsia="宋体" w:cs="宋体"/>
                <w:sz w:val="21"/>
                <w:szCs w:val="21"/>
              </w:rPr>
              <w:t>支持Top-Down的自顶向下设计方式，能有效地利用装配草图来控制整个零部件设计。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⑥</w:t>
            </w:r>
            <w:r>
              <w:rPr>
                <w:rFonts w:hint="eastAsia" w:ascii="宋体" w:hAnsi="宋体" w:eastAsia="宋体" w:cs="宋体"/>
                <w:sz w:val="21"/>
                <w:szCs w:val="21"/>
              </w:rPr>
              <w:t>具有简单的运动仿真能力，可以实现动态的干涉检查。</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⑦</w:t>
            </w:r>
            <w:r>
              <w:rPr>
                <w:rFonts w:hint="eastAsia" w:ascii="宋体" w:hAnsi="宋体" w:eastAsia="宋体" w:cs="宋体"/>
                <w:sz w:val="21"/>
                <w:szCs w:val="21"/>
              </w:rPr>
              <w:t>支持焊接设计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⑧</w:t>
            </w:r>
            <w:r>
              <w:rPr>
                <w:rFonts w:hint="eastAsia" w:ascii="宋体" w:hAnsi="宋体" w:eastAsia="宋体" w:cs="宋体"/>
                <w:sz w:val="21"/>
                <w:szCs w:val="21"/>
              </w:rPr>
              <w:t>在维持装配位置的前提下，能对装配结构进行有效的管理，可以重新组合产生子装配，也可以拆散，提升零件层次。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⑨</w:t>
            </w:r>
            <w:r>
              <w:rPr>
                <w:rFonts w:hint="eastAsia" w:ascii="宋体" w:hAnsi="宋体" w:eastAsia="宋体" w:cs="宋体"/>
                <w:sz w:val="21"/>
                <w:szCs w:val="21"/>
              </w:rPr>
              <w:t>产生装配爆炸图，能制作真实渲染效果图，将动画文件保存为AVI格式，脱离CAD系统后独立运行。</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⑩</w:t>
            </w:r>
            <w:r>
              <w:rPr>
                <w:rFonts w:hint="eastAsia" w:ascii="宋体" w:hAnsi="宋体" w:eastAsia="宋体" w:cs="宋体"/>
                <w:sz w:val="21"/>
                <w:szCs w:val="21"/>
              </w:rPr>
              <w:t>具有在三维装配模型上直接增加尺寸标注、公差、形位公差、表面粗糙度、注释等的能力，要符合国际标准，并且能被工程图直接利用。</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工程图</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提供从三维模型生成符合国家标准的二维工程图，并且二维图纸要与三维模型保持关联关系。</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②</w:t>
            </w:r>
            <w:r>
              <w:rPr>
                <w:rFonts w:hint="eastAsia" w:ascii="宋体" w:hAnsi="宋体" w:eastAsia="宋体" w:cs="宋体"/>
                <w:sz w:val="21"/>
                <w:szCs w:val="21"/>
              </w:rPr>
              <w:t xml:space="preserve"> 能与AutoCAD双向兼容。可以直接打开AutoCAD的数据，并提供再编辑功能，同时还可以再保存为DWG/DXF格式，用于必要的数据交流。</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 xml:space="preserve"> 要能生成符合国标的各种视图，如剖视图、局部剖视图、方向视图等，并有对视图进行编辑的能力。</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 xml:space="preserve"> 要有符合国标的各种标注工具，公差、形位公差、表面粗糙度、基准符号、零件序号、注释等操作都要简单易行。</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钣金设计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提供易用的钣金设计能力，有平板、折弯、卷边、凹坑、百叶窗、角撑板、压花等常规的钣金设计，并能展平，自动计算出展平尺寸。</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②</w:t>
            </w:r>
            <w:r>
              <w:rPr>
                <w:rFonts w:hint="eastAsia" w:ascii="宋体" w:hAnsi="宋体" w:eastAsia="宋体" w:cs="宋体"/>
                <w:sz w:val="21"/>
                <w:szCs w:val="21"/>
              </w:rPr>
              <w:t>支持弧形及复杂钣金的展开。</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支持钣金的加强强度设计，包括角撑板、加强筋等。</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无障碍产品设计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能够基于无历史树的特征，使用变量化方式进行产品设计。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②</w:t>
            </w:r>
            <w:r>
              <w:rPr>
                <w:rFonts w:hint="eastAsia" w:ascii="宋体" w:hAnsi="宋体" w:eastAsia="宋体" w:cs="宋体"/>
                <w:sz w:val="21"/>
                <w:szCs w:val="21"/>
              </w:rPr>
              <w:t>能够避开具有历史树特征模型的特征，只根据几何规则就能编辑修改模型。</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 xml:space="preserve"> 能编辑修改来自异种CAD的模型数据。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能够利用来自异种CAD的模型数据，并能编辑修改。</w:t>
            </w:r>
          </w:p>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color w:val="auto"/>
                <w:sz w:val="21"/>
                <w:szCs w:val="21"/>
              </w:rPr>
              <w:t>★</w:t>
            </w:r>
            <w:r>
              <w:rPr>
                <w:rFonts w:hint="eastAsia" w:ascii="宋体" w:hAnsi="宋体" w:eastAsia="宋体" w:cs="宋体"/>
                <w:sz w:val="21"/>
                <w:szCs w:val="21"/>
              </w:rPr>
              <w:t>电气设计软件</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核心设计模块：基于数据库的电气智能设计软件：可以通过原理图设计自动生成所需的多种报表，并可半自动创建机柜布局图。</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数据接口：用于与其它应用程序交换数据，可以导出 PDF、导入 DWG 等格式文件。</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2D 安装板布局：安装板布局图设计，半自动布局图设计方式，避免安装板缺件，并和原理图实时关联。</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自动生成图形列表：基于原理图生成的多种图形列表：包括文档列表、产品列表、端子列表、连接器列表、备件列表、布线列表、带图形的电缆列表等30多种报表</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智能 PLC：包括 PLC 图纸快速创建，PLC 信号和机架实时关联，PLC 信号可以灵活应用到控制回路当中，PLC 地址/注释等数据的导入导出。</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项目管理：对原理图、机柜图、图形列表进行树状结构的管理。</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标准转换： 支持多重标准（ANSI,IEC,GB,JIS)</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现场布线：2D 厂房电缆铺设，自动计算电缆长度</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自动生成端子排接线图：根据原理图自动生成端子排接线图、端子矩阵图、带图形的端子平面图，提高设计效率。</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Windows 的标准窗口化界面：人性化的交互界面，支持 Microsoft ActiveX 接口导出报表 清单报表可导出为 PDF，EXCEL，EMF 等文件格式，方便用户交流。</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图形列表模板自定义：用户可以自定义各种报表、端子矩阵、接线图等模板，方便用户设计成具有本企业特色的模板。</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线号自动生成：根据原理图中的设计，自动生成整个项目所有线号，并且有多种编号方式可以设置，可以提高设计效率。</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位置/功能：将位置及功能概念引入到设计中，用户可以有效管理项目内元件信息。</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电线类型：用户可以自定义电线的样式、编号、颜色等。</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自动断线：将符号拖入原理图中电线上可实现自动断线，把符号移开电线又会自动连线。</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符号库自定义：用户可以自定义符号库文件夹，并可快速创建非标符号。</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数据库自定义：用户可以通过单独加入设备型号和 EXCEL 表批量导入的方式完善设备库。</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图层管理：具有最多 512 个图层进行图层管理，分别为每个图层定义图层名称、可见性、画笔样式、颜色、宽度、笔刷样式、笔刷颜色。</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rPr>
              <w:t>图框自定义：用户可以自定义图框格式，或导入 DWG 格式图框，保留原有图框样式</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w:t>
            </w:r>
            <w:r>
              <w:rPr>
                <w:rFonts w:hint="eastAsia" w:ascii="宋体" w:hAnsi="宋体" w:eastAsia="宋体" w:cs="宋体"/>
                <w:sz w:val="21"/>
                <w:szCs w:val="21"/>
              </w:rPr>
              <w:t>绘图工具：软件自带绘图工具，满足用户日常绘图需要。</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19</w:t>
            </w:r>
            <w:r>
              <w:rPr>
                <w:rFonts w:hint="eastAsia" w:ascii="宋体" w:hAnsi="宋体" w:eastAsia="宋体" w:cs="宋体"/>
                <w:sz w:val="21"/>
                <w:szCs w:val="21"/>
                <w:lang w:eastAsia="zh-CN"/>
              </w:rPr>
              <w:t>）</w:t>
            </w:r>
            <w:r>
              <w:rPr>
                <w:rFonts w:hint="eastAsia" w:ascii="宋体" w:hAnsi="宋体" w:eastAsia="宋体" w:cs="宋体"/>
                <w:sz w:val="21"/>
                <w:szCs w:val="21"/>
              </w:rPr>
              <w:t>2D 机柜布局模块：实时与原理图元件一致，2D 环境下快速完成机柜布局，尺寸标注。</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19</w:t>
            </w:r>
            <w:r>
              <w:rPr>
                <w:rFonts w:hint="eastAsia" w:ascii="宋体" w:hAnsi="宋体" w:eastAsia="宋体" w:cs="宋体"/>
                <w:sz w:val="21"/>
                <w:szCs w:val="21"/>
                <w:lang w:eastAsia="zh-CN"/>
              </w:rPr>
              <w:t>）</w:t>
            </w:r>
            <w:r>
              <w:rPr>
                <w:rFonts w:hint="eastAsia" w:ascii="宋体" w:hAnsi="宋体" w:eastAsia="宋体" w:cs="宋体"/>
                <w:sz w:val="21"/>
                <w:szCs w:val="21"/>
              </w:rPr>
              <w:t>项目比较：可以比较两个项目前，查看不同之处，并可导出数据到 EXCELERP/PLM 集成：与 ERP/PLM 管理工具数据集成功能。</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rPr>
              <w:t>批量导入数据：允许批量导入外部制造商产品数据，丰富产品库。</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w:t>
            </w:r>
            <w:r>
              <w:rPr>
                <w:rFonts w:hint="eastAsia" w:ascii="宋体" w:hAnsi="宋体" w:eastAsia="宋体" w:cs="宋体"/>
                <w:sz w:val="21"/>
                <w:szCs w:val="21"/>
              </w:rPr>
              <w:t>在线数据库：提供在线 3D 零件库下载服务。</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导航跳转：多种导航跳转功能，从数据库列表导航到页面、从机柜图导航到原理图，功能/位置/产品/可以管理嵌套外观的产品（外观）管理器</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w:t>
            </w:r>
            <w:r>
              <w:rPr>
                <w:rFonts w:hint="eastAsia" w:ascii="宋体" w:hAnsi="宋体" w:eastAsia="宋体" w:cs="宋体"/>
                <w:sz w:val="21"/>
                <w:szCs w:val="21"/>
              </w:rPr>
              <w:t>软件程序多开功能：可以在一台电脑上同时启动多个软件程序，可以多项目同时操作。</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w:t>
            </w:r>
            <w:r>
              <w:rPr>
                <w:rFonts w:hint="eastAsia" w:ascii="宋体" w:hAnsi="宋体" w:eastAsia="宋体" w:cs="宋体"/>
                <w:sz w:val="21"/>
                <w:szCs w:val="21"/>
              </w:rPr>
              <w:t>自动备份：可以设置自动备份项目时间，避免造成不必要的的损失。</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24</w:t>
            </w:r>
            <w:r>
              <w:rPr>
                <w:rFonts w:hint="eastAsia" w:ascii="宋体" w:hAnsi="宋体" w:eastAsia="宋体" w:cs="宋体"/>
                <w:sz w:val="21"/>
                <w:szCs w:val="21"/>
                <w:lang w:eastAsia="zh-CN"/>
              </w:rPr>
              <w:t>）</w:t>
            </w:r>
            <w:r>
              <w:rPr>
                <w:rFonts w:hint="eastAsia" w:ascii="宋体" w:hAnsi="宋体" w:eastAsia="宋体" w:cs="宋体"/>
                <w:sz w:val="21"/>
                <w:szCs w:val="21"/>
              </w:rPr>
              <w:t>项目查找替换：可以实现整个项目中文本的查找替换，和符号中描述的查找替换。</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w:t>
            </w:r>
            <w:r>
              <w:rPr>
                <w:rFonts w:hint="eastAsia" w:ascii="宋体" w:hAnsi="宋体" w:eastAsia="宋体" w:cs="宋体"/>
                <w:sz w:val="21"/>
                <w:szCs w:val="21"/>
              </w:rPr>
              <w:t>项目复制：可以实现从一个项目复制多张页面或一个功能里的所有页面到另一个项目。</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w:t>
            </w:r>
            <w:r>
              <w:rPr>
                <w:rFonts w:hint="eastAsia" w:ascii="宋体" w:hAnsi="宋体" w:eastAsia="宋体" w:cs="宋体"/>
                <w:sz w:val="21"/>
                <w:szCs w:val="21"/>
                <w:lang w:eastAsia="zh-CN"/>
              </w:rPr>
              <w:t>）</w:t>
            </w:r>
            <w:r>
              <w:rPr>
                <w:rFonts w:hint="eastAsia" w:ascii="宋体" w:hAnsi="宋体" w:eastAsia="宋体" w:cs="宋体"/>
                <w:sz w:val="21"/>
                <w:szCs w:val="21"/>
              </w:rPr>
              <w:t>流动式菜单栏：高度匹配当前界面的操作需求列表筛选/排序 可以实现在数据库列表中进行筛选/排序。</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w:t>
            </w:r>
            <w:r>
              <w:rPr>
                <w:rFonts w:hint="eastAsia" w:ascii="宋体" w:hAnsi="宋体" w:eastAsia="宋体" w:cs="宋体"/>
                <w:sz w:val="21"/>
                <w:szCs w:val="21"/>
              </w:rPr>
              <w:t>图形导入：可以实现多种图形格式导入 (JPG、 BMP、PNG、ICO、TIF、GIF、PDF、 PCX...)</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w:t>
            </w:r>
            <w:r>
              <w:rPr>
                <w:rFonts w:hint="eastAsia" w:ascii="宋体" w:hAnsi="宋体" w:eastAsia="宋体" w:cs="宋体"/>
                <w:sz w:val="21"/>
                <w:szCs w:val="21"/>
                <w:lang w:eastAsia="zh-CN"/>
              </w:rPr>
              <w:t>）</w:t>
            </w:r>
            <w:r>
              <w:rPr>
                <w:rFonts w:hint="eastAsia" w:ascii="宋体" w:hAnsi="宋体" w:eastAsia="宋体" w:cs="宋体"/>
                <w:sz w:val="21"/>
                <w:szCs w:val="21"/>
              </w:rPr>
              <w:t>电线橡胶带：可以实现使用拉伸功能移动设计的回路后连接线自动延伸或缩短。</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w:t>
            </w:r>
            <w:r>
              <w:rPr>
                <w:rFonts w:hint="eastAsia" w:ascii="宋体" w:hAnsi="宋体" w:eastAsia="宋体" w:cs="宋体"/>
                <w:sz w:val="21"/>
                <w:szCs w:val="21"/>
                <w:lang w:eastAsia="zh-CN"/>
              </w:rPr>
              <w:t>）</w:t>
            </w:r>
            <w:r>
              <w:rPr>
                <w:rFonts w:hint="eastAsia" w:ascii="宋体" w:hAnsi="宋体" w:eastAsia="宋体" w:cs="宋体"/>
                <w:sz w:val="21"/>
                <w:szCs w:val="21"/>
              </w:rPr>
              <w:t>自定义快捷键：为命令自定义快捷键，提升操作流畅度</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w:t>
            </w:r>
            <w:r>
              <w:rPr>
                <w:rFonts w:hint="eastAsia" w:ascii="宋体" w:hAnsi="宋体" w:eastAsia="宋体" w:cs="宋体"/>
                <w:sz w:val="21"/>
                <w:szCs w:val="21"/>
              </w:rPr>
              <w:t>查错功能：可以实现重名检查、触点溢出检查、PLC 连接检查等，减少设计出错。</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w:t>
            </w:r>
            <w:r>
              <w:rPr>
                <w:rFonts w:hint="eastAsia" w:ascii="宋体" w:hAnsi="宋体" w:eastAsia="宋体" w:cs="宋体"/>
                <w:sz w:val="21"/>
                <w:szCs w:val="21"/>
                <w:lang w:eastAsia="zh-CN"/>
              </w:rPr>
              <w:t>）</w:t>
            </w:r>
            <w:r>
              <w:rPr>
                <w:rFonts w:hint="eastAsia" w:ascii="宋体" w:hAnsi="宋体" w:eastAsia="宋体" w:cs="宋体"/>
                <w:sz w:val="21"/>
                <w:szCs w:val="21"/>
              </w:rPr>
              <w:t>项目浏览器：具备不占用软件授权，使用设计软件本体可直接查看原项目格式的图纸，并支持图纸批注功能。</w:t>
            </w:r>
          </w:p>
          <w:p>
            <w:pPr>
              <w:pStyle w:val="12"/>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投标文件提供</w:t>
            </w:r>
            <w:r>
              <w:rPr>
                <w:rFonts w:hint="eastAsia" w:ascii="宋体" w:hAnsi="宋体" w:eastAsia="宋体" w:cs="宋体"/>
              </w:rPr>
              <w:t>电气设计软件</w:t>
            </w:r>
            <w:r>
              <w:rPr>
                <w:rFonts w:hint="eastAsia" w:ascii="宋体" w:hAnsi="宋体" w:eastAsia="宋体" w:cs="宋体"/>
                <w:lang w:val="en-US" w:eastAsia="zh-CN"/>
              </w:rPr>
              <w:t>设计的与</w:t>
            </w:r>
            <w:r>
              <w:rPr>
                <w:rFonts w:hint="eastAsia" w:ascii="宋体" w:hAnsi="宋体" w:eastAsia="宋体" w:cs="宋体"/>
                <w:color w:val="auto"/>
                <w:szCs w:val="21"/>
                <w:lang w:val="en-US" w:eastAsia="zh-CN"/>
              </w:rPr>
              <w:t>投标</w:t>
            </w:r>
            <w:r>
              <w:rPr>
                <w:rFonts w:hint="eastAsia" w:ascii="宋体" w:hAnsi="宋体" w:eastAsia="宋体" w:cs="宋体"/>
                <w:lang w:val="en-US" w:eastAsia="zh-CN"/>
              </w:rPr>
              <w:t>机电一体化实训考核装置相匹配的设备电气图数量至少5张。</w:t>
            </w:r>
          </w:p>
          <w:p>
            <w:pPr>
              <w:pStyle w:val="12"/>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五、配置清单</w:t>
            </w:r>
          </w:p>
          <w:tbl>
            <w:tblPr>
              <w:tblStyle w:val="38"/>
              <w:tblpPr w:leftFromText="180" w:rightFromText="180" w:vertAnchor="text" w:horzAnchor="page" w:tblpX="69" w:tblpY="270"/>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98"/>
              <w:gridCol w:w="4899"/>
              <w:gridCol w:w="652"/>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313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主要技术指标</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实训桌</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实训台1：≥1200×800×860 mm，1张；</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实训台2：≥800×800×860 mm，3张</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配电箱</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漏电开关：3P+N 16A，1只；1P+N 6A 1只；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断路器：3P 10A 1只；2P 5A 7只；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开关电源 DC24 10A 1只。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三位两极双用、两极带接地插座：1只。</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触摸屏</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不小于7寸</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可编程控制器</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单台 PLC 的 I/O 点数≥48（此外还可通过 扩展模块增加 I/O 点数）， I/O 接口类型为晶体管（扩展模块不限类型）；推荐品牌：西门子、三菱、欧姆龙</w:t>
                  </w:r>
                  <w:r>
                    <w:rPr>
                      <w:rFonts w:hint="eastAsia" w:ascii="宋体" w:hAnsi="宋体" w:eastAsia="宋体" w:cs="宋体"/>
                      <w:color w:val="auto"/>
                      <w:sz w:val="21"/>
                      <w:szCs w:val="21"/>
                      <w:lang w:eastAsia="zh-CN"/>
                    </w:rPr>
                    <w:t>。</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变频器</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变频器要求输出功率≥0.75kw，与PLC同品牌；</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按钮指示灯模块</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急停按钮1只；转换开关1只；复位按钮（绿、红）各1只； 24V指示灯（黄、绿、红）各2只。</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供料单元</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直流减速电机（24 V，输出转速7.4 r/min）1台；送料盘1个；多层托盘式供料台1套</w:t>
                  </w:r>
                  <w:r>
                    <w:rPr>
                      <w:rFonts w:hint="eastAsia" w:ascii="宋体" w:hAnsi="宋体" w:eastAsia="宋体" w:cs="宋体"/>
                      <w:color w:val="auto"/>
                      <w:sz w:val="21"/>
                      <w:szCs w:val="21"/>
                      <w:lang w:eastAsia="zh-CN"/>
                    </w:rPr>
                    <w:t>，</w:t>
                  </w:r>
                  <w:r>
                    <w:rPr>
                      <w:rFonts w:hint="eastAsia" w:ascii="宋体" w:hAnsi="宋体" w:eastAsia="宋体" w:cs="宋体"/>
                      <w:sz w:val="21"/>
                      <w:szCs w:val="21"/>
                      <w:lang w:val="en-US" w:eastAsia="zh-CN"/>
                    </w:rPr>
                    <w:t>配</w:t>
                  </w:r>
                  <w:r>
                    <w:rPr>
                      <w:rFonts w:hint="eastAsia" w:ascii="宋体" w:hAnsi="宋体" w:eastAsia="宋体" w:cs="宋体"/>
                      <w:color w:val="auto"/>
                      <w:sz w:val="21"/>
                      <w:szCs w:val="21"/>
                      <w:lang w:val="en-US" w:eastAsia="zh-CN"/>
                    </w:rPr>
                    <w:t>置物料暂存盘一个。</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皮带输送分拣1单元</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86mm步进电机1台；平皮带1条；单出杆气缸3只；导杆气缸1只；单控电磁换向阀4只；光纤传感器3只；光电传感器2只；磁性开关4只；物件导槽3个。 </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皮带输送分拣2单元</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三相减速电机（380 V，25W，转速1300r/min）1台；旋转编码器（500线）1只；平皮带1条；单出杆气缸3只；单控电磁换向阀3只；视觉传感器1套；超声波传感器1只；磁性开关3只；光电传感器2只；物件导槽3个。</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工业机器人单元</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工作范围≥0.5m；负载≥2kg。2.工作半径：550mm</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旋转单元</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旋转机构1台；步进电机1台；光纤传感器1只。</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翻转单元</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翻转机构1台，旋转气缸1只，手爪气缸1只；双控电磁阀2只。</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冲压单元</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薄型气缸1只，气爪1只；标准气缸1只，磁性开关4只；单控电磁阀3只。 </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直接坐标机械手</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X轴Y轴同步带模组1套；Z轴丝杆直线模组1套；伺服电机及驱动器2套；集成式步进电机1套；气动手爪2只；双控电磁阀2只；三层警示灯1只；</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立体仓库单元</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立体仓库机构1套；RFID读写系统1套；RFID托盘15只；手持扫码枪1套。</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接线端子</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插接线一体化接线端子，若干。</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物料</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多种规格联轴器物料，托盘物料。</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安全插线</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气管</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Φ4\Φ6。</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通信线</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触摸屏与计算机通信线。</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线架</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电脑推车</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×450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×960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（±5%）</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电气设计软件</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教学系统地介绍电气工程制图的标准、规范以及设计与绘制方法。正确、完整、清晰传达电气工程信息等职业素养。教学过程中始终注意把电路的识读和电路的绘制密切联系在一起，课程以IEC、GB、ANSI、JIS为标准，以“项目驱动”为载体，立足于培养社会经济和人力资源市场急需的应用型人才。</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三维设计软件</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于Windows平台，既有传统三维软件的建模等功能，同时也突出在自动化集成领域三维设计功能，软件具有特征建模和协同建模两大建模方式，同时兼容市面上常见的三维软件格式，支持自顶向下和由底往上的设计思想，自由设计，兼容全面，软硬结合，易学易用。功能模块和设计需求包含（特征建模、协同建模、零件设计、曲面设计、钣金设计、焊接件设计、框架设计、装配体爆炸图、装配体动画、有限元分析、工程制图、运动仿真、电气原理图、装配设计、机械原理图、2D转换器、3D转换器、PMI信息）</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编程主机</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≥I5-10400，</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G DDR4 2666MHz内存，512G PCIe M.2 SSD硬盘，W10操作系统，</w:t>
                  </w:r>
                  <w:r>
                    <w:rPr>
                      <w:rFonts w:hint="eastAsia" w:ascii="宋体" w:hAnsi="宋体" w:eastAsia="宋体" w:cs="宋体"/>
                      <w:color w:val="auto"/>
                      <w:sz w:val="21"/>
                      <w:szCs w:val="21"/>
                      <w:lang w:val="en-US" w:eastAsia="zh-CN"/>
                    </w:rPr>
                    <w:t>23.8</w:t>
                  </w:r>
                  <w:r>
                    <w:rPr>
                      <w:rFonts w:hint="eastAsia" w:ascii="宋体" w:hAnsi="宋体" w:eastAsia="宋体" w:cs="宋体"/>
                      <w:color w:val="auto"/>
                      <w:sz w:val="21"/>
                      <w:szCs w:val="21"/>
                    </w:rPr>
                    <w:t>寸</w:t>
                  </w:r>
                  <w:r>
                    <w:rPr>
                      <w:rFonts w:hint="eastAsia" w:ascii="宋体" w:hAnsi="宋体" w:eastAsia="宋体" w:cs="宋体"/>
                      <w:color w:val="auto"/>
                      <w:sz w:val="21"/>
                      <w:szCs w:val="21"/>
                      <w:lang w:val="en-US" w:eastAsia="zh-CN"/>
                    </w:rPr>
                    <w:t>以上</w:t>
                  </w:r>
                  <w:r>
                    <w:rPr>
                      <w:rFonts w:hint="eastAsia" w:ascii="宋体" w:hAnsi="宋体" w:eastAsia="宋体" w:cs="宋体"/>
                      <w:color w:val="auto"/>
                      <w:sz w:val="21"/>
                      <w:szCs w:val="21"/>
                    </w:rPr>
                    <w:t>FHD高清液晶显示屏， 2G独立显卡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配制键鼠。</w:t>
                  </w:r>
                  <w:r>
                    <w:rPr>
                      <w:rFonts w:hint="eastAsia" w:ascii="宋体" w:hAnsi="宋体" w:eastAsia="宋体" w:cs="宋体"/>
                      <w:color w:val="auto"/>
                      <w:sz w:val="21"/>
                      <w:szCs w:val="21"/>
                    </w:rPr>
                    <w:t xml:space="preserve"> </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配套工具</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工具箱1只、数字万用表1只、内六角扳手（组套）1套、活动扳手1只、斜口钳1只、、尖嘴钳1只、剥线钳1只、压线钳1只、钟表螺丝刀1盒、十字螺丝刀1只、十字螺丝刀1只、一字螺丝刀1只、一字螺丝刀1只</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气泵</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额定功率≥560W</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排气量≥ 58L/min</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最高排气压力≥0.8MPa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储气罐容量≥15L</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噪 音≤48dB</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产品配套光盘</w:t>
                  </w:r>
                </w:p>
              </w:tc>
              <w:tc>
                <w:tcPr>
                  <w:tcW w:w="3134" w:type="pct"/>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相关软件，说明书等。</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bl>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458"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70"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电子产品装调与人工智能创新考核装置</w:t>
            </w:r>
          </w:p>
        </w:tc>
        <w:tc>
          <w:tcPr>
            <w:tcW w:w="8049"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总体要求</w:t>
            </w:r>
            <w:r>
              <w:rPr>
                <w:rFonts w:hint="eastAsia" w:ascii="宋体" w:hAnsi="宋体" w:eastAsia="宋体" w:cs="宋体"/>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设备至少由工作台、实训屏、实训屏模块、工具柜、电路实训模块等组成。具体要求如下：</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工作台：桌身采用至少4根支撑立柱为R型≥70mm×70mm优质铝型材立柱做骨架，四周采用至少6根R型≥40mm×40mm优质铝合金型材与3块钣金围板固定，立柱底部采用铝合金堵头（壁厚≥5mm，固定万向轮壁厚≥15mm）固定安装万向轮，方便实验台挪动及摆放。</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桌面要求采用≥25mm厚高密度纤维板，桌面直嵌无异味绝缘胶垫，绝缘截面封边，桌面要求耐磨、抗静电及易清洁，采用两级台面设计,其中主桌面尺寸1600×800×25mm（±5%），桌面底部固定在40mm高度的钣金衬板，钣金衬板再与壁厚5mm铝合金堵头固定支撑脚立柱型材，使实验台和桌面结合更加牢固。整体高度要求设计为800mm±20mm，满足2名学生同时的操作空间。仪器台面尺寸≥1500×340×25mm，应采用3mm的钣金固定主结构立柱，台阶高度不小于285mm，满足摆放常用仪器的要求。</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桌面下方应装有储物抽屉和键盘托盘，抽屉尺寸≥650×360mm，键盘托盘≥640×360mm，能够左右互换。应采用静音式滑轨，表面经纯环氧树脂塑粉高温固化处理。桌底留出安装主机托盘的空间。</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2、实训屏：安装于仪器台面下方，装配有220V交流电源输出12路，接口应采用10A/250V五孔防水插座，由过载开关分2路控制。顶部提供示波器、信号源、电脑主机等仪器使用的电源。面板提供电烙铁、热风焊台、电源模块等的电源。</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照明：在实训台顶部和仪器台面下方，控制屏左右同时设置开关控制。</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静电手环报警器：内置防静电设备报警器2路，能够实时监测操作人员的静电设备佩戴情况及地线的接入大地情况,遇异常状况立刻自动警报。</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网孔工具挂板：二阶桌面上方挂放网孔板，网孔大小10mm×10mm，网孔数大于等于35×9个，搭配6只100mm挂钩，及磁吸条。</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工具柜：尺寸长×深×高720mm×500mm×485mm（±5%），用优质冷轧钢板焊接而成，表面静电喷塑。工具柜下要求装带刹车的万向轮，使工具柜可以随意固定和移动，可放置实训电路板、元器件、工具、耗材等。</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可编程线性直流电源，独立可调输出；≥4寸（480× 320 像素）高分辨率TFT液晶65536彩色液晶显示，四位电压、四位电流显示；第1、2通道0-30V/3A，限压保护31V，第3通道0-6V/1A；全通道设置分辨率1mV/1mA，电源电压调整率≤0.01%+3mV；电源电流调整率≤0.01%+3mA；，最小分辨率：1mV，1mA，纹波与噪声：电压＜300 Vrms / 2 mVpp，电流≤300uVrms；可独立、并联、串联、正负四种工作模式； 过压/过流保护功能； 支持100组定时输出功能；记录仪功能：可对输出电压、电流、功率情况进行记录，并以图形显示；恒压恒流智能转换功能；支持USB2.0、串口RS232。</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AI+IOT应用模块</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在投标文件中</w:t>
            </w:r>
            <w:r>
              <w:rPr>
                <w:rFonts w:hint="eastAsia" w:ascii="宋体" w:hAnsi="宋体" w:eastAsia="宋体" w:cs="宋体"/>
                <w:b/>
                <w:bCs/>
                <w:color w:val="auto"/>
                <w:sz w:val="21"/>
                <w:szCs w:val="21"/>
              </w:rPr>
              <w:t>提供AI+IOT应用模块实物图或效果图</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AI+IOT应用模块要求至少以ESP32主机模块和AI主机模块作为主板单元和传感器单元组成，通过通用扩展板，实现主板单元以及传感器单元的快速连接，搭配一条USB数据线就可以使用MicroPython语言编程。</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1)配有ESP32主机模块和AI主机模块，ESP32主机模块板载USB、SD卡、指示灯、按键、40P扩展接口等资源，ESP32-WROOM-32模组集成 Wi-Fi，支持通过路由器直接连接互联网；AI主机模块板载不低于30万像素摄像头，至少2.4寸TFT屏幕、神经网络算法处理器、USB、SD卡，按键、锂电池，32P扩展接口等资源；</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2)要求接口通用灵活，通过通用扩展板，将主机单元的接口转换成通用的4P接口与通用3P插针接口，使用者可以灵活选择相应的接口以适应不同的外设功能配置。</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3)要求传感器模块种类多样，模块需包含LED灯模块、按键模块、RGB彩灯模块、蜂鸣器模块、人体感应传感器、光敏传感器、温度传感器、湿度传感器、oled显示模块、模拟量传感器、直流电机模块、气压传感器模块等不少于15种模块、传感器可通过4P连接线连接到通用扩展板。</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4)要求功能丰富，拓展性强。同时使用者可通过学习本实验，至少可以使用ESP32主机模块和AI主机模块与多种传感器模块组合出多种实际应用场景，如智能环境监测场景、智能家居应用场景、物联网应用场景等，达到学以致用，真正解决实际问题。</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5)实训功能：点亮一个灯实验、按键实验、OLED显示实验、RTC时钟实验、ADC采集实验、DAC实验、蜂鸣器实验、RGB彩灯实验、亮度测量实验、直流电机实验、温度测量实验、湿度测量实验、人体感应实验、气压测量实验、土壤湿度测量实验、超声波测距实验、烟雾检测实验、舵机实验、连接无线路由器实验、Socket通信实验、MQTT通信实验、应用场景实验、颜色识别、摄像头采集实验、条形码检测实验、人脸检测实验、物体分类实验。</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竞赛资源包配置：资源包不少于以下内容：景区门禁系统电子套件、进站信息录入系统套件单元、温度测量电路套件、温度控制报警器-2套件、数字网线测试仪套件、定额计数器电子套件、汽车测速与倒车提示套件、模拟烘干机套件、温控及简易频率测量控制装置套件、消费机系统套件、温室大棚控制系统（带故障）套件单元、自动门控制系统单元、数字温度测量仪（带故障）套件单元、心率计套件（带故障）、分贝计套件（带故障）、语音播放万年历套件（带故障）、点阵万年历套件单元、综合报警器（带故障）套件单元、电梯控制器（带故障无接口）套件单元、单片机主机控制系统套件单元、多变循环彩灯（带故障）套件单元、无线控制节能小灯系统（带故障）套件单元、电梯控制器（带故障）套件单元、智能安防报警控制系统（带故障）套件单元、声控避障小车（带故障）套件单元、温控调速电机套件（故障）套件单元、感应自动门系统（带故障）套件单元、室内环境监测系统（带故障）套件单元、DAC0832波形发生器套件单元、贴片练习套件单元、音乐彩灯（带故障）套件单元、医院病房监护系统（带故障）套件单元。</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数字示波器</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110MHz带宽 ，1GSa/s实时采样率，双通道；</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7英寸TFT（真彩色）液晶屏幕，65535色，分辨率不低于800 × 480 像素 ；</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存储波形不少于16组；具备U盘存储功能；</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具有自动量程功能，支持水平，垂直、单波形/多波形跟踪；</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探头衰减倍数不少1X, 10X, 100X, 1000X，四 种；</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幅度档位2 mV/div～10V /div按1～2～5进制方式步进</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支持光标测量，光标模式不少于电压差（△V），时间差（△T），时间差&amp;电压差（△V），自动光标四种模式；</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内置6位硬件频率计，可测量2Hz ~ 20MHz；</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USB Device &amp; Host接口；</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具有30种自动测量功能（峰-峰值、平均值、均方根值、周期均方根值、游标均方根值、频率、周期、工作周期、最大值、最小值、顶端值、底端值、幅度、过冲、预冲、上升时间、下降时间、相位、正脉冲、负脉宽、正占空比、负占空比、延迟A→B 、延迟A→B 、正脉冲个数、负脉冲个数、上升边沿个数、下降边沿个数、面积、周期面积；参数为中文显示，便于学生理解）,能自定义测量菜单</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支持LABVIEW通讯，支持二次开发。</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一键自动调整波形功能（垂直位置调整，水平时基调整，触发位置调整）</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多国语言选择功能（不少于5国语言）。</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双显示视窗放大功能，同时显示主要波形和放大波形两部分内容。</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函数发生器：</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双通道函数/任意波形发生器要求采用DDS直接数字合成技术，产生精确、稳定、低失真的输出信号,显示部分采用≥2.4英寸（320*240）彩色显示屏，同时显示双通道的波形参数；最高输出频率15MHz（正弦波）,250MSa/s采样率，14bits垂直分辨率；输出幅度最高可达24Vpp，幅度分辨率最小可达1mV（0.001V）；</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采用ABS塑料外壳的台式设计， 交流100 – 240V （AC）宽电压供电；</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完全独立的双通道输出（相当于两个独立信号源），能够同步工作，相位差精确可调；两个通道的相位调节范围为0~359.99°，调节精度0.01°；两个通道的占空比均可独立调节，调节精度可达0.01%；</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丰富的波形输出：可输出≥99组函数/任意波形，不少于35 组预置波形和64组用户自定义波形。 预置波形包含：正弦波，方波，矩形波（占空比可调），三角波，升锯齿波，降锯齿波，洛仑兹脉冲波，多频音波，无规则噪声波，阶梯三角波，正阶梯波，反阶梯波，正指数波，反指数波，正下降指数，反下降指数，正对数波，反对数波，正下降对数，反下降对数，线性调频，心电图波，梯形脉冲波，辛克脉冲波，窄脉冲波，高斯白噪声波，调幅波形，调频波形 ，正半波，负半波，正半波整流，负半波整流，CMOS(0~12V)，四通道TTL</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≥64组任意波存储位，每组存储深度为8192*14bits；</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频率精度高：频率精度可达到10-6数量级；</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频率分辨率高：全范围频率分辩率1uHz（0.000001Hz）；</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具有-12V~+12V的直流偏置功能（&lt;20MHz），分辨率可达1mV；</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 xml:space="preserve">脉冲波脉冲宽度和脉冲频率连续可调，调节范围20ns-1S。脉冲幅度可在0-12V之间连续调节，调节精度0.001V； </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无量程限制：全范围频率不分档，直接数字设置；</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具有数字信号输出功能，可实现幅度0~12V的任意CMOS电平；</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扫描功能：可对信号的四个属性：频率、幅度、偏置、占空比分别进行扫描，具有线性扫描和对数扫描两种扫描模式，扫描时间可达999.99S,扫描起止点可任意设置；</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脉冲串猝发输出功能：可选手动触发、内部CH2触发与外部触发三种触发模式,可以使本机输出1~1048575任意个脉冲串；</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VCO功能：支持VCO电压控制信号各参数输出功能。</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丰富的调制类型：AM、FM、PM、ASK、FSK和PSK调制；</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rPr>
              <w:t>100M频率计功能：具有频率测量、周期测量、正负脉宽测量、占空比测量四种测量方式。仪器最大测量频率可达100MHz，最低测量频率为0.01Hz；</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w:t>
            </w:r>
            <w:r>
              <w:rPr>
                <w:rFonts w:hint="eastAsia" w:ascii="宋体" w:hAnsi="宋体" w:eastAsia="宋体" w:cs="宋体"/>
                <w:sz w:val="21"/>
                <w:szCs w:val="21"/>
              </w:rPr>
              <w:t>计数器功能：具有直流和交流两种耦合测量方式，有效解决交流耦合计数不准的情况。</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18</w:t>
            </w:r>
            <w:r>
              <w:rPr>
                <w:rFonts w:hint="eastAsia" w:ascii="宋体" w:hAnsi="宋体" w:eastAsia="宋体" w:cs="宋体"/>
                <w:sz w:val="21"/>
                <w:szCs w:val="21"/>
                <w:lang w:eastAsia="zh-CN"/>
              </w:rPr>
              <w:t>）</w:t>
            </w:r>
            <w:r>
              <w:rPr>
                <w:rFonts w:hint="eastAsia" w:ascii="宋体" w:hAnsi="宋体" w:eastAsia="宋体" w:cs="宋体"/>
                <w:sz w:val="21"/>
                <w:szCs w:val="21"/>
              </w:rPr>
              <w:t>标配强大的任意波形编辑功能，能够在PC机上编辑任意波形后下载到仪器输出波形；</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19</w:t>
            </w:r>
            <w:r>
              <w:rPr>
                <w:rFonts w:hint="eastAsia" w:ascii="宋体" w:hAnsi="宋体" w:eastAsia="宋体" w:cs="宋体"/>
                <w:sz w:val="21"/>
                <w:szCs w:val="21"/>
                <w:lang w:eastAsia="zh-CN"/>
              </w:rPr>
              <w:t>）</w:t>
            </w:r>
            <w:r>
              <w:rPr>
                <w:rFonts w:hint="eastAsia" w:ascii="宋体" w:hAnsi="宋体" w:eastAsia="宋体" w:cs="宋体"/>
                <w:sz w:val="21"/>
                <w:szCs w:val="21"/>
              </w:rPr>
              <w:t>强大的通讯功能，可使用PC机控制该仪器。；</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rPr>
              <w:t>输出短路保护：所有信号输出端都可在负载短路情况下工作60S以上；</w:t>
            </w:r>
          </w:p>
          <w:p>
            <w:pPr>
              <w:pStyle w:val="116"/>
              <w:keepNext w:val="0"/>
              <w:keepLines w:val="0"/>
              <w:pageBreakBefore w:val="0"/>
              <w:widowControl/>
              <w:kinsoku/>
              <w:wordWrap/>
              <w:overflowPunct/>
              <w:topLinePunct w:val="0"/>
              <w:autoSpaceDE/>
              <w:autoSpaceDN/>
              <w:bidi w:val="0"/>
              <w:adjustRightInd/>
              <w:snapToGrid/>
              <w:spacing w:before="156" w:beforeAutospacing="0" w:after="156" w:afterAutospacing="0" w:line="300" w:lineRule="auto"/>
              <w:ind w:left="0" w:leftChars="0" w:right="0" w:firstLine="0" w:firstLineChars="0"/>
              <w:rPr>
                <w:rFonts w:hint="eastAsia" w:ascii="宋体" w:hAnsi="宋体" w:eastAsia="宋体" w:cs="宋体"/>
                <w:sz w:val="21"/>
                <w:szCs w:val="21"/>
              </w:rPr>
            </w:pPr>
            <w:r>
              <w:rPr>
                <w:rFonts w:hint="eastAsia" w:ascii="宋体" w:hAnsi="宋体" w:eastAsia="宋体" w:cs="宋体"/>
                <w:b/>
                <w:bCs w:val="0"/>
                <w:kern w:val="2"/>
                <w:sz w:val="21"/>
                <w:szCs w:val="21"/>
                <w:lang w:val="en-US" w:eastAsia="zh-CN"/>
              </w:rPr>
              <w:t>二、</w:t>
            </w:r>
            <w:r>
              <w:rPr>
                <w:rFonts w:hint="eastAsia" w:ascii="宋体" w:hAnsi="宋体" w:eastAsia="宋体" w:cs="宋体"/>
                <w:b/>
                <w:bCs w:val="0"/>
                <w:kern w:val="2"/>
                <w:sz w:val="21"/>
                <w:szCs w:val="21"/>
              </w:rPr>
              <w:t>设备配置要求</w:t>
            </w:r>
          </w:p>
          <w:tbl>
            <w:tblPr>
              <w:tblStyle w:val="3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1695"/>
              <w:gridCol w:w="780"/>
              <w:gridCol w:w="1005"/>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序号</w:t>
                  </w: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产品名称</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数量</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单位</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实训桌</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张</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电源台</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工具柜</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方凳</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张</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320×240×450mm</w:t>
                  </w:r>
                  <w:r>
                    <w:rPr>
                      <w:rFonts w:hint="eastAsia" w:ascii="宋体" w:hAnsi="宋体" w:eastAsia="宋体" w:cs="宋体"/>
                      <w:kern w:val="2"/>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直流电源</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直流可调电源</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双踪示波器</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函数发生器</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数字万用表</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AI+IOT应用模块</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清单</w:t>
                  </w:r>
                  <w:r>
                    <w:rPr>
                      <w:rFonts w:hint="eastAsia" w:ascii="宋体" w:hAnsi="宋体" w:cs="宋体"/>
                      <w:color w:val="auto"/>
                      <w:kern w:val="2"/>
                      <w:sz w:val="21"/>
                      <w:szCs w:val="21"/>
                      <w:highlight w:val="none"/>
                      <w:lang w:val="en-US" w:eastAsia="zh-CN" w:bidi="ar"/>
                    </w:rPr>
                    <w:t>见附表2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竞赛套件资源包</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180" w:firstLine="0" w:firstLineChars="0"/>
                    <w:jc w:val="center"/>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清单</w:t>
                  </w:r>
                  <w:r>
                    <w:rPr>
                      <w:rFonts w:hint="eastAsia" w:ascii="宋体" w:hAnsi="宋体" w:cs="宋体"/>
                      <w:color w:val="auto"/>
                      <w:kern w:val="2"/>
                      <w:sz w:val="21"/>
                      <w:szCs w:val="21"/>
                      <w:highlight w:val="none"/>
                      <w:lang w:val="en-US" w:eastAsia="zh-CN" w:bidi="ar"/>
                    </w:rPr>
                    <w:t>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工具包</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180" w:firstLine="0" w:firstLineChars="0"/>
                    <w:jc w:val="center"/>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清单</w:t>
                  </w:r>
                  <w:r>
                    <w:rPr>
                      <w:rFonts w:hint="eastAsia" w:ascii="宋体" w:hAnsi="宋体" w:cs="宋体"/>
                      <w:color w:val="auto"/>
                      <w:kern w:val="2"/>
                      <w:sz w:val="21"/>
                      <w:szCs w:val="21"/>
                      <w:highlight w:val="none"/>
                      <w:lang w:val="en-US" w:eastAsia="zh-CN" w:bidi="ar"/>
                    </w:rPr>
                    <w:t>见附表3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before="93" w:beforeLines="30" w:after="60" w:line="30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13</w:t>
                  </w: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93" w:beforeLines="30" w:after="60" w:line="300" w:lineRule="auto"/>
                    <w:ind w:left="0" w:leftChars="0" w:firstLine="0" w:firstLineChars="0"/>
                    <w:rPr>
                      <w:rFonts w:hint="eastAsia" w:ascii="宋体" w:hAnsi="宋体" w:eastAsia="宋体" w:cs="宋体"/>
                      <w:kern w:val="2"/>
                      <w:sz w:val="21"/>
                      <w:szCs w:val="21"/>
                      <w:lang w:val="en-US" w:eastAsia="zh-CN" w:bidi="ar"/>
                    </w:rPr>
                  </w:pPr>
                  <w:r>
                    <w:rPr>
                      <w:rFonts w:hint="eastAsia" w:ascii="宋体" w:hAnsi="宋体" w:eastAsia="宋体" w:cs="宋体"/>
                      <w:sz w:val="21"/>
                      <w:szCs w:val="21"/>
                    </w:rPr>
                    <w:t>显示器壁装支架</w:t>
                  </w:r>
                </w:p>
              </w:tc>
              <w:tc>
                <w:tcPr>
                  <w:tcW w:w="4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93" w:beforeLines="30" w:after="60" w:line="300" w:lineRule="auto"/>
                    <w:ind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93" w:beforeLines="30" w:after="60" w:line="300" w:lineRule="auto"/>
                    <w:ind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sz w:val="21"/>
                      <w:szCs w:val="21"/>
                    </w:rPr>
                    <w:t>只</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与设备配套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3"/>
                    </w:numPr>
                    <w:kinsoku/>
                    <w:wordWrap/>
                    <w:overflowPunct/>
                    <w:topLinePunct w:val="0"/>
                    <w:autoSpaceDE/>
                    <w:autoSpaceDN/>
                    <w:bidi w:val="0"/>
                    <w:adjustRightInd/>
                    <w:snapToGrid/>
                    <w:spacing w:before="93" w:beforeLines="30" w:after="60" w:line="300" w:lineRule="auto"/>
                    <w:ind w:left="0" w:leftChars="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4</w:t>
                  </w: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93" w:beforeLines="30" w:after="60" w:line="300" w:lineRule="auto"/>
                    <w:ind w:left="0" w:leftChars="0" w:firstLine="0" w:firstLineChars="0"/>
                    <w:rPr>
                      <w:rFonts w:hint="eastAsia" w:ascii="宋体" w:hAnsi="宋体" w:eastAsia="宋体" w:cs="宋体"/>
                      <w:kern w:val="2"/>
                      <w:sz w:val="21"/>
                      <w:szCs w:val="21"/>
                      <w:lang w:val="en-US" w:eastAsia="zh-CN" w:bidi="ar"/>
                    </w:rPr>
                  </w:pPr>
                  <w:r>
                    <w:rPr>
                      <w:rFonts w:hint="eastAsia" w:ascii="宋体" w:hAnsi="宋体" w:eastAsia="宋体" w:cs="宋体"/>
                      <w:sz w:val="21"/>
                      <w:szCs w:val="21"/>
                    </w:rPr>
                    <w:t>工作台PC</w:t>
                  </w:r>
                  <w:r>
                    <w:rPr>
                      <w:rFonts w:hint="eastAsia" w:ascii="宋体" w:hAnsi="宋体" w:eastAsia="宋体" w:cs="宋体"/>
                      <w:sz w:val="21"/>
                      <w:szCs w:val="21"/>
                      <w:lang w:val="en-US" w:eastAsia="zh-CN"/>
                    </w:rPr>
                    <w:t>系统</w:t>
                  </w:r>
                </w:p>
              </w:tc>
              <w:tc>
                <w:tcPr>
                  <w:tcW w:w="4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93" w:beforeLines="30" w:after="60" w:line="300" w:lineRule="auto"/>
                    <w:ind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93" w:beforeLines="30" w:after="60" w:line="300" w:lineRule="auto"/>
                    <w:ind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sz w:val="21"/>
                      <w:szCs w:val="21"/>
                    </w:rPr>
                    <w:t>套</w:t>
                  </w:r>
                </w:p>
              </w:tc>
              <w:tc>
                <w:tcPr>
                  <w:tcW w:w="2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93" w:beforeLines="30" w:after="60" w:line="300" w:lineRule="auto"/>
                    <w:ind w:left="0" w:leftChars="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color w:val="auto"/>
                      <w:sz w:val="21"/>
                      <w:szCs w:val="21"/>
                    </w:rPr>
                    <w:t>≥I5-10400，</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 xml:space="preserve">G DDR4 2666MHz内存，512G PCIe M.2 SSD硬盘，W10操作系统， </w:t>
                  </w:r>
                  <w:r>
                    <w:rPr>
                      <w:rFonts w:hint="eastAsia" w:ascii="宋体" w:hAnsi="宋体" w:eastAsia="宋体" w:cs="宋体"/>
                      <w:color w:val="auto"/>
                      <w:sz w:val="21"/>
                      <w:szCs w:val="21"/>
                      <w:lang w:val="en-US" w:eastAsia="zh-CN"/>
                    </w:rPr>
                    <w:t>23.8</w:t>
                  </w:r>
                  <w:r>
                    <w:rPr>
                      <w:rFonts w:hint="eastAsia" w:ascii="宋体" w:hAnsi="宋体" w:eastAsia="宋体" w:cs="宋体"/>
                      <w:color w:val="auto"/>
                      <w:sz w:val="21"/>
                      <w:szCs w:val="21"/>
                    </w:rPr>
                    <w:t>寸</w:t>
                  </w:r>
                  <w:r>
                    <w:rPr>
                      <w:rFonts w:hint="eastAsia" w:ascii="宋体" w:hAnsi="宋体" w:eastAsia="宋体" w:cs="宋体"/>
                      <w:color w:val="auto"/>
                      <w:sz w:val="21"/>
                      <w:szCs w:val="21"/>
                      <w:lang w:val="en-US" w:eastAsia="zh-CN"/>
                    </w:rPr>
                    <w:t>以上</w:t>
                  </w:r>
                  <w:r>
                    <w:rPr>
                      <w:rFonts w:hint="eastAsia" w:ascii="宋体" w:hAnsi="宋体" w:eastAsia="宋体" w:cs="宋体"/>
                      <w:color w:val="auto"/>
                      <w:sz w:val="21"/>
                      <w:szCs w:val="21"/>
                    </w:rPr>
                    <w:t>FHD高清液晶显示屏， 2G独立显卡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配制键鼠。</w:t>
                  </w:r>
                  <w:r>
                    <w:rPr>
                      <w:rFonts w:hint="eastAsia" w:ascii="宋体" w:hAnsi="宋体" w:eastAsia="宋体" w:cs="宋体"/>
                      <w:color w:val="auto"/>
                      <w:sz w:val="21"/>
                      <w:szCs w:val="21"/>
                    </w:rPr>
                    <w:t xml:space="preserve"> </w:t>
                  </w:r>
                </w:p>
              </w:tc>
            </w:tr>
          </w:tbl>
          <w:p>
            <w:pPr>
              <w:keepNext w:val="0"/>
              <w:keepLines w:val="0"/>
              <w:pageBreakBefore w:val="0"/>
              <w:widowControl w:val="0"/>
              <w:suppressLineNumbers w:val="0"/>
              <w:kinsoku/>
              <w:wordWrap/>
              <w:overflowPunct/>
              <w:topLinePunct w:val="0"/>
              <w:autoSpaceDE/>
              <w:autoSpaceDN/>
              <w:bidi w:val="0"/>
              <w:adjustRightInd/>
              <w:snapToGrid/>
              <w:spacing w:before="156" w:beforeAutospacing="0" w:after="156" w:afterAutospacing="0" w:line="300" w:lineRule="auto"/>
              <w:ind w:right="0" w:firstLine="0" w:firstLineChars="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附表1竞赛套件资源包清单</w:t>
            </w:r>
          </w:p>
          <w:tbl>
            <w:tblPr>
              <w:tblStyle w:val="38"/>
              <w:tblW w:w="7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5"/>
              <w:gridCol w:w="1670"/>
              <w:gridCol w:w="3327"/>
              <w:gridCol w:w="540"/>
              <w:gridCol w:w="585"/>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序号</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center"/>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套件名称</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参数及功能</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数量</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单位</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景区门禁系统电子套件</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可独立完成功能测试、结合AI+IOT应用模块中的视觉模块，编写Labview程序，元器件、线路板、具有专业仿静电透明包装放在一个透明盒子内。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进站信息录入系统套件单元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温度测量电路套件</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温度控制报警器-2套件</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数字网线测试仪套件</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定额计数器电子套件</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汽车测速与倒车提示套件</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含全国电子赛题试题，可独立完成功能测试，程序,元器件、线路板、具有专业仿静电透明包装放在一个透明盒子内。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模拟烘干机套件</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温控及简易频率测量控制装置套件</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消费机系统套件</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温室大棚控制系统（带故障）套件单元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自动门控制系统单元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可独立完成功能测试，结合智龙视觉模块，编写Labview程序，元器件、线路板、具有专业仿静电透明包装放在一个透明盒子内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数字温度测量仪（带故障）套件单元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心率计套件（带故障）</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分贝计套件（带故障）</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语音播放万年历套件（带故障）</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点阵万年历套件单元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综合报警器（带故障）套件单元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电梯控制器（带故障无接口）套件单元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含浙江省教师能力赛试题，可独立完成功能测试，程序,元器件、线路板、具有专业仿静电透明包装放在一个透明盒子内。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单片机主机控制系统套件单元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多变循环彩灯（带故障）套件单元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含训练任务书，可独立完成功能测试，编写Labview程序，元器件、线路板、具有专业仿静电透明包装放在一个透明盒子内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无线控制节能小灯系统（带故障）套件单元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含训练任务书，可独立完成功能测试，编写Labview程序，元器件、线路板、具有专业仿静电透明包装放在一个透明盒子内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电梯控制器（带故障）套件单元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含训练任务书，可独立完成功能测试，编写Labview程序，元器件、线路板、具有专业仿静电透明包装放在一个透明盒子内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智能安防报警控制系统（带故障）套件单元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含训练任务书，可独立完成功能测试，编写Labview程序，元器件、线路板、具有专业仿静电透明包装放在一个透明盒子内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声控避障小车（带故障）套件单元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含训练任务书，可独立完成功能测试，编写Labview程序，元器件、线路板、具有专业仿静电透明包装放在一个透明盒子内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温控调速电机套件（故障）套件单元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含训任务书，可独立完成功能测试，编写Labview程序，元器件、线路板、具有专业仿静电透明包装放在一个透明盒子内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感应自动门系统（带故障）套件单元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含训任务书，可独立完成功能测试，编写Labview程序，元器件、线路板、具有专业仿静电透明包装放在一个透明盒子内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室内环境监测系统（带故障）套件单元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含训任务书，可独立完成功能测试，编写Labview程序，元器件、线路板、具有专业仿静电透明包装放在一个透明盒子内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DAC0832波形发生器套件单元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含训任务书，可独立完成功能测试，编写Labview程序，元器件、线路板、具有专业仿静电透明包装放在一个透明盒子内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贴片练习套件单元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含操作说明，含100多个贴片元件，元器件、线路板、具有专业仿静电透明包装放在一个透明盒子内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音乐彩灯（带故障）套件单元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含任务书，可独立编写labview界面，元器件、线路板、具有专业仿静电透明包装放在一个透明盒子内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bottom"/>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医院病房监护系统（带故障）套件单元</w:t>
                  </w:r>
                </w:p>
              </w:tc>
              <w:tc>
                <w:tcPr>
                  <w:tcW w:w="3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含任务书，可独立完成功能测试，程序,元器件、线路板、具有专业仿静电透明包装放在一个透明盒子内。</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6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电子器件包</w:t>
                  </w:r>
                </w:p>
              </w:tc>
            </w:tr>
          </w:tbl>
          <w:p>
            <w:pPr>
              <w:keepNext w:val="0"/>
              <w:keepLines w:val="0"/>
              <w:pageBreakBefore w:val="0"/>
              <w:widowControl w:val="0"/>
              <w:suppressLineNumbers w:val="0"/>
              <w:kinsoku/>
              <w:wordWrap/>
              <w:overflowPunct/>
              <w:topLinePunct w:val="0"/>
              <w:autoSpaceDE/>
              <w:autoSpaceDN/>
              <w:bidi w:val="0"/>
              <w:adjustRightInd/>
              <w:snapToGrid/>
              <w:spacing w:before="156" w:beforeAutospacing="0" w:after="156" w:afterAutospacing="0" w:line="300" w:lineRule="auto"/>
              <w:ind w:left="0" w:leftChars="0" w:right="0" w:firstLine="0" w:firstLineChars="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附表2、AI+IOT应用模块清单</w:t>
            </w:r>
          </w:p>
          <w:tbl>
            <w:tblPr>
              <w:tblStyle w:val="38"/>
              <w:tblW w:w="4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1166"/>
              <w:gridCol w:w="5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序号</w:t>
                  </w:r>
                </w:p>
              </w:tc>
              <w:tc>
                <w:tcPr>
                  <w:tcW w:w="82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项目</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8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板卡类</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ESP32主机模块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AI主机模块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通用扩展板1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通用扩展板2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w:t>
                  </w:r>
                </w:p>
              </w:tc>
              <w:tc>
                <w:tcPr>
                  <w:tcW w:w="8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智能模块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&amp;</w:t>
                  </w:r>
                  <w:r>
                    <w:rPr>
                      <w:rFonts w:hint="eastAsia" w:ascii="宋体" w:hAnsi="宋体" w:eastAsia="宋体" w:cs="宋体"/>
                      <w:kern w:val="0"/>
                      <w:sz w:val="21"/>
                      <w:szCs w:val="21"/>
                      <w:lang w:val="en-US" w:eastAsia="zh-CN" w:bidi="ar"/>
                    </w:rPr>
                    <w:t>组件类</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按键模块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RGB彩灯模块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蜂鸣器模块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87"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00" w:lineRule="auto"/>
                    <w:ind w:left="480" w:leftChars="200" w:right="0" w:firstLine="0" w:firstLineChars="0"/>
                    <w:jc w:val="left"/>
                    <w:rPr>
                      <w:rFonts w:hint="eastAsia" w:ascii="宋体" w:hAnsi="宋体" w:eastAsia="宋体" w:cs="宋体"/>
                      <w:kern w:val="2"/>
                      <w:sz w:val="21"/>
                      <w:szCs w:val="21"/>
                    </w:rPr>
                  </w:pP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气压传感器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人体感应传感器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直流电机驱动模块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光敏传感器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00" w:lineRule="auto"/>
                    <w:ind w:left="480" w:leftChars="200" w:right="0" w:firstLine="0" w:firstLineChars="0"/>
                    <w:jc w:val="left"/>
                    <w:rPr>
                      <w:rFonts w:hint="eastAsia" w:ascii="宋体" w:hAnsi="宋体" w:eastAsia="宋体" w:cs="宋体"/>
                      <w:kern w:val="2"/>
                      <w:sz w:val="21"/>
                      <w:szCs w:val="21"/>
                    </w:rPr>
                  </w:pP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温度传感器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13</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湿度传感器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14</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烟雾传感器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15</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电压传感器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16</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oled显示模块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17</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土壤湿度传感器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18</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超声波测距模块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IO Adapter板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w:t>
                  </w:r>
                </w:p>
              </w:tc>
              <w:tc>
                <w:tcPr>
                  <w:tcW w:w="82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配件类</w:t>
                  </w: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铁质</w:t>
                  </w:r>
                  <w:r>
                    <w:rPr>
                      <w:rFonts w:hint="eastAsia" w:ascii="宋体" w:hAnsi="宋体" w:eastAsia="宋体" w:cs="宋体"/>
                      <w:kern w:val="2"/>
                      <w:sz w:val="21"/>
                      <w:szCs w:val="21"/>
                      <w:lang w:val="en-US" w:eastAsia="zh-CN" w:bidi="ar"/>
                    </w:rPr>
                    <w:t>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22</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磁柱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23</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直流减速电机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24</w:t>
                  </w:r>
                </w:p>
              </w:tc>
              <w:tc>
                <w:tcPr>
                  <w:tcW w:w="82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 w:val="21"/>
                      <w:szCs w:val="21"/>
                    </w:rPr>
                  </w:pPr>
                </w:p>
              </w:tc>
              <w:tc>
                <w:tcPr>
                  <w:tcW w:w="3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TF卡</w:t>
                  </w:r>
                </w:p>
              </w:tc>
            </w:tr>
          </w:tbl>
          <w:p>
            <w:pPr>
              <w:keepNext w:val="0"/>
              <w:keepLines w:val="0"/>
              <w:pageBreakBefore w:val="0"/>
              <w:widowControl w:val="0"/>
              <w:suppressLineNumbers w:val="0"/>
              <w:kinsoku/>
              <w:wordWrap/>
              <w:overflowPunct/>
              <w:topLinePunct w:val="0"/>
              <w:autoSpaceDE/>
              <w:autoSpaceDN/>
              <w:bidi w:val="0"/>
              <w:adjustRightInd/>
              <w:snapToGrid/>
              <w:spacing w:before="156" w:beforeAutospacing="0" w:after="156" w:afterAutospacing="0" w:line="300" w:lineRule="auto"/>
              <w:ind w:left="0" w:right="0" w:firstLine="0" w:firstLineChars="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附表3、工具清单</w:t>
            </w:r>
          </w:p>
          <w:tbl>
            <w:tblPr>
              <w:tblStyle w:val="38"/>
              <w:tblW w:w="69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1680"/>
              <w:gridCol w:w="2910"/>
              <w:gridCol w:w="656"/>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序号</w:t>
                  </w:r>
                </w:p>
              </w:tc>
              <w:tc>
                <w:tcPr>
                  <w:tcW w:w="12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名称</w:t>
                  </w:r>
                </w:p>
              </w:tc>
              <w:tc>
                <w:tcPr>
                  <w:tcW w:w="208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型号/规格</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数量</w:t>
                  </w:r>
                </w:p>
              </w:tc>
              <w:tc>
                <w:tcPr>
                  <w:tcW w:w="64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数显恒温焊台</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right="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工作电压AC220V50Hz/60Hz、使用温度范围：100～400℃、10s快速回温、数字校正</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电子剪切钳</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5寸 </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带刃剥线钳</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6寸</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尖嘴钳</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6寸</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十字螺丝刀</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5*75mm</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一字螺丝刀</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5*75mm</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一字螺丝刀（小）</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3*50mm</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十字螺丝刀（小）</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3*50mm</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吸锡器</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镊子</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110mm</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美工刀</w:t>
                  </w:r>
                </w:p>
              </w:tc>
              <w:tc>
                <w:tcPr>
                  <w:tcW w:w="208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80mm</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剪刀</w:t>
                  </w:r>
                </w:p>
              </w:tc>
              <w:tc>
                <w:tcPr>
                  <w:tcW w:w="208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7寸</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64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p>
              </w:tc>
              <w:tc>
                <w:tcPr>
                  <w:tcW w:w="120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静电手环</w:t>
                  </w:r>
                </w:p>
              </w:tc>
              <w:tc>
                <w:tcPr>
                  <w:tcW w:w="208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4mm接口</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w:t>
                  </w:r>
                </w:p>
              </w:tc>
              <w:tc>
                <w:tcPr>
                  <w:tcW w:w="64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只</w:t>
                  </w:r>
                </w:p>
              </w:tc>
            </w:tr>
          </w:tbl>
          <w:p>
            <w:pPr>
              <w:keepNext w:val="0"/>
              <w:keepLines w:val="0"/>
              <w:pageBreakBefore w:val="0"/>
              <w:kinsoku/>
              <w:wordWrap/>
              <w:overflowPunct/>
              <w:topLinePunct w:val="0"/>
              <w:autoSpaceDE/>
              <w:autoSpaceDN/>
              <w:bidi w:val="0"/>
              <w:adjustRightInd/>
              <w:snapToGrid/>
              <w:spacing w:line="300" w:lineRule="auto"/>
              <w:ind w:left="0" w:leftChars="0" w:firstLine="0" w:firstLineChars="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58"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70"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sz w:val="21"/>
                <w:szCs w:val="21"/>
              </w:rPr>
            </w:pPr>
            <w:r>
              <w:rPr>
                <w:rFonts w:hint="eastAsia" w:ascii="宋体" w:hAnsi="宋体" w:eastAsia="宋体" w:cs="宋体"/>
                <w:bCs/>
                <w:color w:val="auto"/>
                <w:sz w:val="21"/>
                <w:szCs w:val="21"/>
              </w:rPr>
              <w:t>电子</w:t>
            </w:r>
            <w:r>
              <w:rPr>
                <w:rFonts w:hint="eastAsia" w:ascii="宋体" w:hAnsi="宋体" w:eastAsia="宋体" w:cs="宋体"/>
                <w:bCs/>
                <w:color w:val="auto"/>
                <w:sz w:val="21"/>
                <w:szCs w:val="21"/>
                <w:lang w:val="en-US" w:eastAsia="zh-CN"/>
              </w:rPr>
              <w:t>工艺</w:t>
            </w:r>
            <w:r>
              <w:rPr>
                <w:rFonts w:hint="eastAsia" w:ascii="宋体" w:hAnsi="宋体" w:eastAsia="宋体" w:cs="宋体"/>
                <w:bCs/>
                <w:color w:val="auto"/>
                <w:sz w:val="21"/>
                <w:szCs w:val="21"/>
              </w:rPr>
              <w:t>实训考核</w:t>
            </w:r>
            <w:r>
              <w:rPr>
                <w:rFonts w:hint="eastAsia" w:ascii="宋体" w:hAnsi="宋体" w:eastAsia="宋体" w:cs="宋体"/>
                <w:bCs/>
                <w:color w:val="auto"/>
                <w:sz w:val="21"/>
                <w:szCs w:val="21"/>
                <w:lang w:val="en-US" w:eastAsia="zh-CN"/>
              </w:rPr>
              <w:t>系统</w:t>
            </w:r>
          </w:p>
        </w:tc>
        <w:tc>
          <w:tcPr>
            <w:tcW w:w="8049" w:type="dxa"/>
            <w:vAlign w:val="center"/>
          </w:tcPr>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kern w:val="2"/>
                <w:sz w:val="21"/>
                <w:szCs w:val="21"/>
                <w:lang w:val="en-US" w:eastAsia="zh-CN" w:bidi="ar"/>
              </w:rPr>
            </w:pPr>
            <w:r>
              <w:rPr>
                <w:rFonts w:hint="eastAsia" w:ascii="宋体" w:hAnsi="宋体" w:eastAsia="宋体" w:cs="宋体"/>
                <w:sz w:val="21"/>
                <w:szCs w:val="21"/>
              </w:rPr>
              <w:t>一、总体要求</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电子工艺实训考核装置应由铝合金活动框架、电源台、仪器组、</w:t>
            </w:r>
            <w:r>
              <w:rPr>
                <w:rFonts w:hint="eastAsia" w:ascii="宋体" w:hAnsi="宋体" w:eastAsia="宋体" w:cs="宋体"/>
                <w:bCs/>
                <w:color w:val="auto"/>
                <w:sz w:val="21"/>
                <w:szCs w:val="21"/>
              </w:rPr>
              <w:t>考核</w:t>
            </w:r>
            <w:r>
              <w:rPr>
                <w:rFonts w:hint="eastAsia" w:ascii="宋体" w:hAnsi="宋体" w:eastAsia="宋体" w:cs="宋体"/>
                <w:bCs/>
                <w:color w:val="auto"/>
                <w:sz w:val="21"/>
                <w:szCs w:val="21"/>
                <w:lang w:val="en-US" w:eastAsia="zh-CN"/>
              </w:rPr>
              <w:t>系统</w:t>
            </w:r>
            <w:r>
              <w:rPr>
                <w:rFonts w:hint="eastAsia" w:ascii="宋体" w:hAnsi="宋体" w:eastAsia="宋体" w:cs="宋体"/>
                <w:kern w:val="2"/>
                <w:sz w:val="21"/>
                <w:szCs w:val="21"/>
                <w:lang w:val="en-US" w:eastAsia="zh-CN" w:bidi="ar"/>
              </w:rPr>
              <w:t>等构成。</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铝合金活动框架：</w:t>
            </w:r>
            <w:r>
              <w:rPr>
                <w:rFonts w:hint="eastAsia" w:ascii="宋体" w:hAnsi="宋体" w:eastAsia="宋体" w:cs="宋体"/>
                <w:kern w:val="2"/>
                <w:sz w:val="21"/>
                <w:szCs w:val="21"/>
                <w:lang w:val="en-US" w:eastAsia="zh-CN" w:bidi="ar"/>
              </w:rPr>
              <w:t>要求框架上面可以放挂板模块，可随意扩展，完成多门多种实验。</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电源台：</w:t>
            </w:r>
            <w:r>
              <w:rPr>
                <w:rFonts w:hint="eastAsia" w:ascii="宋体" w:hAnsi="宋体" w:eastAsia="宋体" w:cs="宋体"/>
                <w:kern w:val="2"/>
                <w:sz w:val="21"/>
                <w:szCs w:val="21"/>
                <w:lang w:val="en-US" w:eastAsia="zh-CN" w:bidi="ar"/>
              </w:rPr>
              <w:t>要求由两路相互独立、对称的实验电源和仪表组组成，可同时满足2人在同一实验台上完成不同的实验内容方便实训考核，装置采用单相电源供电，并配有带漏电保护的空气开关，熔断器以确保使用安全。</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实验电源每路配置：</w:t>
            </w:r>
            <w:r>
              <w:rPr>
                <w:rFonts w:hint="eastAsia" w:ascii="宋体" w:hAnsi="宋体" w:eastAsia="宋体" w:cs="宋体"/>
                <w:kern w:val="2"/>
                <w:sz w:val="21"/>
                <w:szCs w:val="21"/>
                <w:lang w:val="en-US" w:eastAsia="zh-CN" w:bidi="ar"/>
              </w:rPr>
              <w:t>至少包含一组可调的直流电源0~24V/2A，并带有过载、短路软保护功能，软保护的值还可进行调节；一组3~24V交流电源，七档可调；一组±5V、±12V直流稳压电源；一只精密数字电压表（DC 30V），一只精密数字电流表（DC 2000mA）；以及8路单相电源插座，可以方便设备、仪表的扩展时使用。</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示波器</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带宽≥100MHz ，实时采样率≥1GSa/s，双通道；≥7英寸TFT（真彩色）液晶屏幕，65535色，分辨率不低于800 × 480 像素 ；存储波形不少于16组；具备U盘存储功能；具有自动量程功能，支持水平，垂直、单波形/多波形跟踪；探头衰减倍数不少于1X, 10X, 100X, 1000X，四 种；幅度档位2 mV/div～10V /div按1～2～5进制方式步进；支持光标测量，光标模式不少于电压差（△V），时间差（△T），时间差&amp;电压差（△V），自动光标四种模式；内置6位硬件频率计，可测量2Hz ~ 20MHz；具有电流测量功能，测量范围：100.0mA/V ~ 1KA/V；USB Device &amp; Host接口；具有不少于30种自动测量功能（峰-峰值、平均值、均方根值、周期均方根值、游标均方根值、频率、周期、工作周期、最大值、最小值、顶端值、底端值、幅度、过冲、预冲、上升时间、下降时间、相位、正脉冲、负脉宽、正占空比、负占空比、延迟A→B 、延迟A→B 、正脉冲个数、负脉冲个数、上升边沿个数、下降边沿个数、面积、周期面积；参数为中文显示，便于学生理解）,能自定义测量菜单；支持LABVIEW通讯，支持二次开发；一键自动调整波形功能（垂直位置调整，水平时基调整，触发位置调整）；多国语言选择功能（中英俄德西）；双显示视窗放大功能，同时显示主要波形和放大波形两部分内容。</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数字毫伏表</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要求采用单片机控制技术，集模拟与数字技术于一体，是一种通用型智能化的全自动数字交流毫伏表。适用测量频率5Hz～2MHz，电压100μV～300V的正弦波有效值电压。</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具备自动/手动测量功能，同时显示电压值和dB/dBm值，以及量程和通道状态 </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主要技术参数要求交流电压测量范围：100μV～300V；dB测量范围：-80dB～50dB(0dB=1V)；dBm测量范围：-77dBm～52dBm(0dB=1mw600Ω)；量程：4mV，40mV，400mV，4V，40V，400V</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频率范围：5Hz～2MHz电压测量误差： （以1kHz为基准，20℃环境温度下），  50Hz～100kHz ±1.5%读数±8个字，  20Hz～500kHz ±2.5%读数±10个字，  5Hz～2MHz ±4.0%读数±20个字；dB测量误差：±1个字；dBm测量误差：±1个字；输入电阻：10MΩ；输入电容：不大于30PF；噪声：输入短路时为0个字；工作电压：220V±10%,50Hz±2Hz。</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函数发生器</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要求双通道函数/任意波形发生器采用DDS直接数字合成技术，产生精确、稳定、低失真的输出信号,显示部分采用2.4英寸（320*240）彩色显示屏，同时显示双通道的波形参数；最高输出频率15MHz（正弦波）,250MSa/s采样率，14bits垂直分辨率；输出幅度最高可达24Vpp，幅度分辨率最小可达1mV（0.001V）；</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采用ABS塑料外壳的台式设计， 交流100 – 240V （AC）宽电压供电；</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完全独立的双通道输出（相当于两个独立信号源），能够同步工作，相位差精确可调；两个通道的相位调节范围为0~359.99°，调节精度0.01°；两个通道的占空比均可独立调节，调节精度可达0.01%；</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丰富的波形输出：可输出不少于99组函数/任意波形，包含35 组预置波形和64组用户自定义波形。 预置波形包含：正弦波，方波，矩形波（占空比可调），三角波，升锯齿波，降锯齿波，洛仑兹脉冲波，多频音波，无规则噪声波，阶梯三角波，正阶梯波，反阶梯波，正指数波，反指数波，正下降指数，反下降指数，正对数波，反对数波，正下降对数，反下降对数，线性调频，心电图波，梯形脉冲波，辛克脉冲波，窄脉冲波，高斯白噪声波，调幅波形，调频波形 ，正半波，负半波，正半波整流，负半波整流，CMOS(0~12V)，四通道TTL电平和DC电压，四方脉冲、八方脉冲用户自定义波形等； </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具有64组任意波存储位，每组存储深度为8192*14bits；</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频率精度高：频率精度可达到10-6数量级；</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频率分辨率高：全范围频率分辩率1uHz（0.000001Hz）；</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具有-12V~+12V的直流偏置功能（&lt;20MHz），分辨率可达1mV；</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脉冲波脉冲宽度和脉冲频率连续可调，调节范围20ns-1S。脉冲幅度可在0-12V之间连续调节，调节精度0.001V； </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无量程限制：全范围频率不分档，直接数字设置；</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具有数字信号输出功能，可实现幅度0~12V的任意CMOS电平；</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扫描功能：可对信号的四个属性：频率、幅度、偏置、占空比分别进行扫描，具有线性扫描和对数扫描两种扫描模式，扫描时间可达999.99S,扫描起止点可任意设置；</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脉冲串猝发输出功能：可选手动触发、内部CH2触发与外部触发三种触发模式,可以使本机输出1~1048575任意个脉冲串；</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VCO功能：支持VCO电压控制信号各参数输出功能。</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丰富的调制类型：AM、FM、PM、ASK、FSK和PSK调制；</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100M频率计功能：具有频率测量、周期测量、正负脉宽测量、占空比测量四种测量方式。仪器最大测量频率可达100MHz，最低测量频率为0.01Hz；</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计数器功能：具有直流和交流两种耦合测量方式，有效解决交流耦合计数不准的情况。</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标配强大的任意波形编辑功能，能够在PC机上编辑任意波形后下载到仪器输出波形；</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强大的通讯功能，可使用PC机控制该仪器。；</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输出短路保护：所有信号输出端都可在负载短路情况下工作60S以上；</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strike/>
                <w:dstrike w:val="0"/>
                <w:color w:val="FF0000"/>
                <w:kern w:val="2"/>
                <w:sz w:val="21"/>
                <w:szCs w:val="21"/>
                <w:lang w:val="en-US" w:eastAsia="zh-CN" w:bidi="ar"/>
              </w:rPr>
            </w:pPr>
            <w:r>
              <w:rPr>
                <w:rFonts w:hint="eastAsia" w:ascii="宋体" w:hAnsi="宋体" w:eastAsia="宋体" w:cs="宋体"/>
                <w:b/>
                <w:bCs/>
                <w:color w:val="auto"/>
                <w:kern w:val="2"/>
                <w:sz w:val="21"/>
                <w:szCs w:val="21"/>
                <w:lang w:val="en-US" w:eastAsia="zh-CN" w:bidi="ar"/>
              </w:rPr>
              <w:t>▲教学考核系统：</w:t>
            </w:r>
            <w:r>
              <w:rPr>
                <w:rFonts w:hint="eastAsia" w:ascii="宋体" w:hAnsi="宋体" w:eastAsia="宋体" w:cs="宋体"/>
                <w:color w:val="auto"/>
                <w:kern w:val="2"/>
                <w:sz w:val="21"/>
                <w:szCs w:val="21"/>
                <w:lang w:val="en-US" w:eastAsia="zh-CN" w:bidi="ar"/>
              </w:rPr>
              <w:t>系统由</w:t>
            </w:r>
            <w:r>
              <w:rPr>
                <w:rFonts w:hint="eastAsia" w:ascii="宋体" w:hAnsi="宋体" w:eastAsia="宋体" w:cs="宋体"/>
                <w:kern w:val="2"/>
                <w:sz w:val="21"/>
                <w:szCs w:val="21"/>
                <w:lang w:val="en-US" w:eastAsia="zh-CN" w:bidi="ar"/>
              </w:rPr>
              <w:t>软件部分跟硬件部分组成。软件具有酒精测试仪实训、综合报警器实训、空调程序实训、广告屏程序实训、数控电源实训、无线鼠标实训、指纹门禁实训、家具环境控制实训、三室温度控制实训、消费系统实训、两室温度控制实训、电梯升降电路实训、超声波测距实训、电子称称重实训、语音播报万年历实训、出租车计价器实训、智能安防温控报警系统实训等功能，与设备配套使用。</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硬件部分要求采用屏幕采用85英寸以UHD超高清LED液晶屏，显示比例16:9，分辨率≥3840*2160，灰度等级≥256级。控制终端表面使用钢化玻璃，表面硬度达到9H，接近钻石硬度，有效保护教师及学生授课安全。</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控制终端支持NFC投屏功能：可搭配具有NFC功能的手机、平板，无需通过软件手机或平板可投屏至控制终端，支持至少4台同步显示和连接。整机内置非独立的高清摄像头，可用于远程巡课，并且可通过摄像头进行人数统计、随机抽选、环境色温判断等功能。</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触摸系统采用红外触控技术，支持Windows系统中进行20点或以上触控，支持在Android系统中进行10点或以上触控。Windows 7、Windows 8、Windows 10、Linux、Mac Os系统外置编程控制器操作系统接入时，无需安装触摸驱动。整机屏幕触摸有效识别高度不超过3.5mm,，即触摸物体距离玻璃外表面高度不超过3.5mm时，触摸屏识别为点击操作。触摸屏具有防遮挡功能，触摸接收器在单点或多点遮挡后仍能正常书写。★嵌入式系统版本≥Android 11，内存≥2GB，存储空间≥8GB。</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leftChars="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内置编程控制器模块参数要求：</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主板搭载Intel酷睿系列 i5 CPU或以上配置</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内存：8GB DDR4笔记本内存或以上配置。</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硬盘：256 GB或以上SSD固态硬盘</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PC模块可抽拉式插入整机，可实现无单独接线的插拔。</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和整机的连接接口针脚数≤80pin。</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采用按压式卡扣，无需工具就可快速拆卸编程控制器模块。</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left="0" w:right="0" w:firstLine="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
              </w:rPr>
              <w:t>具有独立非外扩展的视频输出接口：≥1路HDMI ；具有独立非外扩展的编程控制器USB接口：≥3路USB。</w:t>
            </w:r>
          </w:p>
          <w:p>
            <w:pPr>
              <w:keepNext w:val="0"/>
              <w:keepLines w:val="0"/>
              <w:pageBreakBefore w:val="0"/>
              <w:widowControl w:val="0"/>
              <w:suppressLineNumbers w:val="0"/>
              <w:kinsoku/>
              <w:wordWrap/>
              <w:overflowPunct/>
              <w:topLinePunct w:val="0"/>
              <w:bidi w:val="0"/>
              <w:snapToGrid/>
              <w:spacing w:before="0" w:beforeAutospacing="0" w:after="0" w:afterAutospacing="0" w:line="300" w:lineRule="auto"/>
              <w:ind w:right="0" w:firstLine="0" w:firstLineChars="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二、设备配置要求</w:t>
            </w:r>
          </w:p>
          <w:tbl>
            <w:tblPr>
              <w:tblStyle w:val="38"/>
              <w:tblW w:w="7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5"/>
              <w:gridCol w:w="1485"/>
              <w:gridCol w:w="3630"/>
              <w:gridCol w:w="44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序号</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产品名称</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型号规格</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数量</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6"/>
                    </w:numPr>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电子工艺实训桌</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1600*800*1800mm（±5%）</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6"/>
                    </w:numPr>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电子工艺电源台</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1515*230*230 mm（±5%）</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6"/>
                    </w:numPr>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双踪示波器</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要求带宽:110MHz</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6"/>
                    </w:numPr>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数字毫伏表</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主要技术参数交流电压测量范围：100μV～300V</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dB测量范围：-80dB～50dB(0dB=1V)</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dBm测量范围：-77dBm～52dBm(0dB=1mw600Ω)</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量程：4mV，40mV，400mV，4V，40V，400V</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频率范围：5Hz～2MHz</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6"/>
                    </w:numPr>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函数发生器</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rPr>
                    <w:t>最高输出频率15MHz（正弦波）,250MSa/s采样率，14bits垂直分辨率；输出幅度最高可达24Vpp，幅度分辨率最小可达1mV（0.001V）；</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6"/>
                    </w:numPr>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方凳</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320×240×450mm</w:t>
                  </w:r>
                  <w:r>
                    <w:rPr>
                      <w:rFonts w:hint="eastAsia" w:ascii="宋体" w:hAnsi="宋体" w:eastAsia="宋体" w:cs="宋体"/>
                      <w:kern w:val="2"/>
                      <w:sz w:val="21"/>
                      <w:szCs w:val="21"/>
                      <w:lang w:val="en-US" w:eastAsia="zh-CN" w:bidi="ar"/>
                    </w:rPr>
                    <w:t>（±5%）</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6"/>
                    </w:numPr>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教学考核系统</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具有酒精测试仪实训、综合报警器实训、空调程序实训、广告屏程序实训、数控电源实训、无线鼠标实训、指纹门禁实训、家具环境控制实训等功能。</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val="0"/>
                    <w:autoSpaceDN/>
                    <w:bidi w:val="0"/>
                    <w:snapToGrid/>
                    <w:spacing w:before="0" w:beforeAutospacing="0" w:after="0" w:afterAutospacing="0" w:line="300" w:lineRule="auto"/>
                    <w:ind w:leftChars="0" w:right="0" w:rightChars="0"/>
                    <w:jc w:val="center"/>
                    <w:rPr>
                      <w:rFonts w:hint="eastAsia" w:ascii="宋体" w:hAnsi="宋体" w:eastAsia="宋体" w:cs="宋体"/>
                      <w:strike w:val="0"/>
                      <w:dstrike w:val="0"/>
                      <w:color w:val="auto"/>
                      <w:kern w:val="2"/>
                      <w:sz w:val="21"/>
                      <w:szCs w:val="21"/>
                      <w:lang w:val="en-US" w:eastAsia="zh-CN"/>
                    </w:rPr>
                  </w:pPr>
                  <w:r>
                    <w:rPr>
                      <w:rFonts w:hint="eastAsia" w:ascii="宋体" w:hAnsi="宋体" w:cs="宋体"/>
                      <w:strike w:val="0"/>
                      <w:dstrike w:val="0"/>
                      <w:color w:val="auto"/>
                      <w:kern w:val="2"/>
                      <w:sz w:val="21"/>
                      <w:szCs w:val="21"/>
                      <w:lang w:val="en-US" w:eastAsia="zh-CN"/>
                    </w:rPr>
                    <w:t>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left"/>
                    <w:rPr>
                      <w:rFonts w:hint="eastAsia" w:ascii="宋体" w:hAnsi="宋体" w:eastAsia="宋体" w:cs="宋体"/>
                      <w:strike w:val="0"/>
                      <w:dstrike w:val="0"/>
                      <w:color w:val="auto"/>
                      <w:kern w:val="2"/>
                      <w:sz w:val="21"/>
                      <w:szCs w:val="21"/>
                      <w:lang w:val="en-US" w:eastAsia="zh-CN"/>
                    </w:rPr>
                  </w:pPr>
                  <w:r>
                    <w:rPr>
                      <w:rFonts w:hint="eastAsia" w:ascii="宋体" w:hAnsi="宋体" w:eastAsia="宋体" w:cs="宋体"/>
                      <w:strike w:val="0"/>
                      <w:dstrike w:val="0"/>
                      <w:color w:val="auto"/>
                      <w:kern w:val="2"/>
                      <w:sz w:val="21"/>
                      <w:szCs w:val="21"/>
                      <w:lang w:val="en-US" w:eastAsia="zh-CN"/>
                    </w:rPr>
                    <w:t>桌面级3D打印机</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top"/>
                </w:tcPr>
                <w:p>
                  <w:pPr>
                    <w:pStyle w:val="34"/>
                    <w:keepNext w:val="0"/>
                    <w:keepLines w:val="0"/>
                    <w:pageBreakBefore w:val="0"/>
                    <w:widowControl/>
                    <w:suppressLineNumbers w:val="0"/>
                    <w:kinsoku/>
                    <w:wordWrap/>
                    <w:overflowPunct/>
                    <w:topLinePunct w:val="0"/>
                    <w:bidi w:val="0"/>
                    <w:snapToGrid/>
                    <w:spacing w:before="0" w:beforeAutospacing="0" w:after="0" w:afterAutospacing="0" w:line="300" w:lineRule="auto"/>
                    <w:ind w:left="0" w:leftChars="0" w:right="0" w:firstLine="0" w:firstLineChars="0"/>
                    <w:jc w:val="left"/>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成型技术：FDM</w:t>
                  </w:r>
                </w:p>
                <w:p>
                  <w:pPr>
                    <w:pStyle w:val="34"/>
                    <w:keepNext w:val="0"/>
                    <w:keepLines w:val="0"/>
                    <w:pageBreakBefore w:val="0"/>
                    <w:widowControl/>
                    <w:suppressLineNumbers w:val="0"/>
                    <w:kinsoku/>
                    <w:wordWrap/>
                    <w:overflowPunct/>
                    <w:topLinePunct w:val="0"/>
                    <w:bidi w:val="0"/>
                    <w:snapToGrid/>
                    <w:spacing w:before="0" w:beforeAutospacing="0" w:after="0" w:afterAutospacing="0" w:line="300" w:lineRule="auto"/>
                    <w:ind w:left="0" w:leftChars="0" w:right="0" w:firstLine="0" w:firstLineChars="0"/>
                    <w:jc w:val="left"/>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打印尺寸：220*220*270mm</w:t>
                  </w:r>
                </w:p>
                <w:p>
                  <w:pPr>
                    <w:pStyle w:val="34"/>
                    <w:keepNext w:val="0"/>
                    <w:keepLines w:val="0"/>
                    <w:pageBreakBefore w:val="0"/>
                    <w:widowControl/>
                    <w:suppressLineNumbers w:val="0"/>
                    <w:kinsoku/>
                    <w:wordWrap/>
                    <w:overflowPunct/>
                    <w:topLinePunct w:val="0"/>
                    <w:bidi w:val="0"/>
                    <w:snapToGrid/>
                    <w:spacing w:before="0" w:beforeAutospacing="0" w:after="0" w:afterAutospacing="0" w:line="300" w:lineRule="auto"/>
                    <w:ind w:left="0" w:leftChars="0" w:right="0" w:firstLine="0" w:firstLineChars="0"/>
                    <w:jc w:val="left"/>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支持耗材：PLA/TPU/PETG/ABS 打印速度最大150mm/s</w:t>
                  </w:r>
                </w:p>
                <w:p>
                  <w:pPr>
                    <w:pStyle w:val="34"/>
                    <w:keepNext w:val="0"/>
                    <w:keepLines w:val="0"/>
                    <w:pageBreakBefore w:val="0"/>
                    <w:widowControl/>
                    <w:suppressLineNumbers w:val="0"/>
                    <w:kinsoku/>
                    <w:wordWrap/>
                    <w:overflowPunct/>
                    <w:topLinePunct w:val="0"/>
                    <w:bidi w:val="0"/>
                    <w:snapToGrid/>
                    <w:spacing w:before="0" w:beforeAutospacing="0" w:after="0" w:afterAutospacing="0" w:line="300" w:lineRule="auto"/>
                    <w:ind w:left="0" w:leftChars="0" w:right="0" w:firstLine="0" w:firstLineChars="0"/>
                    <w:jc w:val="left"/>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打印精度±0.1mm</w:t>
                  </w:r>
                </w:p>
                <w:p>
                  <w:pPr>
                    <w:pStyle w:val="34"/>
                    <w:keepNext w:val="0"/>
                    <w:keepLines w:val="0"/>
                    <w:pageBreakBefore w:val="0"/>
                    <w:widowControl/>
                    <w:suppressLineNumbers w:val="0"/>
                    <w:kinsoku/>
                    <w:wordWrap/>
                    <w:overflowPunct/>
                    <w:topLinePunct w:val="0"/>
                    <w:bidi w:val="0"/>
                    <w:snapToGrid/>
                    <w:spacing w:before="0" w:beforeAutospacing="0" w:after="0" w:afterAutospacing="0" w:line="300" w:lineRule="auto"/>
                    <w:ind w:left="0" w:leftChars="0" w:right="0" w:firstLine="0" w:firstLineChars="0"/>
                    <w:jc w:val="left"/>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喷嘴数量1个耗材直径1.75mm 机器重量9.1kg</w:t>
                  </w:r>
                </w:p>
                <w:p>
                  <w:pPr>
                    <w:pStyle w:val="34"/>
                    <w:keepNext w:val="0"/>
                    <w:keepLines w:val="0"/>
                    <w:pageBreakBefore w:val="0"/>
                    <w:widowControl/>
                    <w:suppressLineNumbers w:val="0"/>
                    <w:kinsoku/>
                    <w:wordWrap/>
                    <w:overflowPunct/>
                    <w:topLinePunct w:val="0"/>
                    <w:bidi w:val="0"/>
                    <w:snapToGrid/>
                    <w:spacing w:before="0" w:beforeAutospacing="0" w:after="0" w:afterAutospacing="0" w:line="300" w:lineRule="auto"/>
                    <w:ind w:left="0" w:leftChars="0" w:right="0" w:firstLine="0" w:firstLineChars="0"/>
                    <w:jc w:val="left"/>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 xml:space="preserve">机身尺寸：487*453*622mm </w:t>
                  </w:r>
                  <w:r>
                    <w:rPr>
                      <w:rFonts w:hint="eastAsia" w:ascii="宋体" w:hAnsi="宋体" w:eastAsia="宋体" w:cs="宋体"/>
                      <w:strike w:val="0"/>
                      <w:dstrike w:val="0"/>
                      <w:color w:val="auto"/>
                      <w:kern w:val="2"/>
                      <w:sz w:val="21"/>
                      <w:szCs w:val="21"/>
                      <w:lang w:val="en-US" w:eastAsia="zh-CN" w:bidi="ar"/>
                    </w:rPr>
                    <w:t>（±5%）</w:t>
                  </w:r>
                  <w:r>
                    <w:rPr>
                      <w:rFonts w:hint="eastAsia" w:ascii="宋体" w:hAnsi="宋体" w:eastAsia="宋体" w:cs="宋体"/>
                      <w:strike w:val="0"/>
                      <w:dstrike w:val="0"/>
                      <w:color w:val="auto"/>
                      <w:kern w:val="2"/>
                      <w:sz w:val="21"/>
                      <w:szCs w:val="21"/>
                      <w:lang w:val="en-US" w:eastAsia="zh-CN" w:bidi="ar-SA"/>
                    </w:rPr>
                    <w:t>打印层厚0.05-0.35mm</w:t>
                  </w:r>
                </w:p>
                <w:p>
                  <w:pPr>
                    <w:pStyle w:val="34"/>
                    <w:keepNext w:val="0"/>
                    <w:keepLines w:val="0"/>
                    <w:pageBreakBefore w:val="0"/>
                    <w:widowControl/>
                    <w:suppressLineNumbers w:val="0"/>
                    <w:kinsoku/>
                    <w:wordWrap/>
                    <w:overflowPunct/>
                    <w:topLinePunct w:val="0"/>
                    <w:bidi w:val="0"/>
                    <w:snapToGrid/>
                    <w:spacing w:before="0" w:beforeAutospacing="0" w:after="0" w:afterAutospacing="0" w:line="300" w:lineRule="auto"/>
                    <w:ind w:left="0" w:leftChars="0" w:right="0" w:firstLine="0" w:firstLineChars="0"/>
                    <w:jc w:val="left"/>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喷嘴直径0.4mm</w:t>
                  </w:r>
                </w:p>
                <w:p>
                  <w:pPr>
                    <w:pStyle w:val="34"/>
                    <w:keepNext w:val="0"/>
                    <w:keepLines w:val="0"/>
                    <w:pageBreakBefore w:val="0"/>
                    <w:widowControl/>
                    <w:suppressLineNumbers w:val="0"/>
                    <w:kinsoku/>
                    <w:wordWrap/>
                    <w:overflowPunct/>
                    <w:topLinePunct w:val="0"/>
                    <w:bidi w:val="0"/>
                    <w:snapToGrid/>
                    <w:spacing w:before="0" w:beforeAutospacing="0" w:after="0" w:afterAutospacing="0" w:line="300" w:lineRule="auto"/>
                    <w:ind w:left="0" w:leftChars="0" w:right="0" w:firstLine="0" w:firstLineChars="0"/>
                    <w:jc w:val="left"/>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喷嘴最高温度260℃热床最高温度100℃包装重量11.2kg 挤出机传动比1:3.5 打印平台PC弹簧钢主板</w:t>
                  </w:r>
                </w:p>
                <w:p>
                  <w:pPr>
                    <w:pStyle w:val="34"/>
                    <w:keepNext w:val="0"/>
                    <w:keepLines w:val="0"/>
                    <w:pageBreakBefore w:val="0"/>
                    <w:widowControl/>
                    <w:suppressLineNumbers w:val="0"/>
                    <w:kinsoku/>
                    <w:wordWrap/>
                    <w:overflowPunct/>
                    <w:topLinePunct w:val="0"/>
                    <w:bidi w:val="0"/>
                    <w:snapToGrid/>
                    <w:spacing w:before="0" w:beforeAutospacing="0" w:after="0" w:afterAutospacing="0" w:line="300" w:lineRule="auto"/>
                    <w:ind w:left="0" w:leftChars="0" w:right="0" w:firstLine="0" w:firstLineChars="0"/>
                    <w:jc w:val="left"/>
                    <w:rPr>
                      <w:rFonts w:hint="eastAsia" w:ascii="宋体" w:hAnsi="宋体" w:eastAsia="宋体" w:cs="宋体"/>
                      <w:strike w:val="0"/>
                      <w:dstrike w:val="0"/>
                      <w:color w:val="auto"/>
                      <w:kern w:val="2"/>
                      <w:sz w:val="21"/>
                      <w:szCs w:val="21"/>
                      <w:lang w:val="en-US" w:eastAsia="zh-CN"/>
                    </w:rPr>
                  </w:pPr>
                  <w:r>
                    <w:rPr>
                      <w:rFonts w:hint="eastAsia" w:ascii="宋体" w:hAnsi="宋体" w:eastAsia="宋体" w:cs="宋体"/>
                      <w:strike w:val="0"/>
                      <w:dstrike w:val="0"/>
                      <w:color w:val="auto"/>
                      <w:kern w:val="2"/>
                      <w:sz w:val="21"/>
                      <w:szCs w:val="21"/>
                      <w:lang w:val="en-US" w:eastAsia="zh-CN" w:bidi="ar-SA"/>
                    </w:rPr>
                    <w:t>32位静音主板断料检测支持断电续打</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strike w:val="0"/>
                      <w:dstrike w:val="0"/>
                      <w:color w:val="auto"/>
                      <w:kern w:val="2"/>
                      <w:sz w:val="21"/>
                      <w:szCs w:val="21"/>
                      <w:lang w:val="en-US" w:eastAsia="zh-CN" w:bidi="ar"/>
                    </w:rPr>
                  </w:pPr>
                  <w:r>
                    <w:rPr>
                      <w:rFonts w:hint="eastAsia" w:ascii="宋体" w:hAnsi="宋体" w:eastAsia="宋体" w:cs="宋体"/>
                      <w:strike w:val="0"/>
                      <w:dstrike w:val="0"/>
                      <w:color w:val="auto"/>
                      <w:kern w:val="2"/>
                      <w:sz w:val="21"/>
                      <w:szCs w:val="21"/>
                      <w:lang w:val="en-US" w:eastAsia="zh-CN" w:bidi="ar"/>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right="0" w:firstLine="0" w:firstLineChars="0"/>
                    <w:jc w:val="center"/>
                    <w:rPr>
                      <w:rFonts w:hint="eastAsia" w:ascii="宋体" w:hAnsi="宋体" w:eastAsia="宋体" w:cs="宋体"/>
                      <w:strike w:val="0"/>
                      <w:dstrike w:val="0"/>
                      <w:color w:val="auto"/>
                      <w:kern w:val="2"/>
                      <w:sz w:val="21"/>
                      <w:szCs w:val="21"/>
                      <w:lang w:val="en-US" w:eastAsia="zh-CN" w:bidi="ar"/>
                    </w:rPr>
                  </w:pPr>
                  <w:r>
                    <w:rPr>
                      <w:rFonts w:hint="eastAsia" w:ascii="宋体" w:hAnsi="宋体" w:eastAsia="宋体" w:cs="宋体"/>
                      <w:strike w:val="0"/>
                      <w:dstrike w:val="0"/>
                      <w:color w:val="auto"/>
                      <w:kern w:val="2"/>
                      <w:sz w:val="21"/>
                      <w:szCs w:val="21"/>
                      <w:lang w:val="en-US" w:eastAsia="zh-CN" w:bidi="ar"/>
                    </w:rPr>
                    <w:t>套</w:t>
                  </w:r>
                </w:p>
              </w:tc>
            </w:tr>
          </w:tbl>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458"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70" w:type="dxa"/>
            <w:vAlign w:val="center"/>
          </w:tcPr>
          <w:p>
            <w:pPr>
              <w:keepNext w:val="0"/>
              <w:keepLines w:val="0"/>
              <w:pageBreakBefore w:val="0"/>
              <w:kinsoku/>
              <w:wordWrap/>
              <w:overflowPunct/>
              <w:topLinePunct w:val="0"/>
              <w:bidi w:val="0"/>
              <w:snapToGrid/>
              <w:spacing w:line="300" w:lineRule="auto"/>
              <w:ind w:left="0" w:leftChars="0" w:firstLine="0" w:firstLineChars="0"/>
              <w:jc w:val="both"/>
              <w:rPr>
                <w:rFonts w:hint="eastAsia" w:ascii="宋体" w:hAnsi="宋体" w:eastAsia="宋体" w:cs="宋体"/>
                <w:sz w:val="21"/>
                <w:szCs w:val="21"/>
              </w:rPr>
            </w:pPr>
            <w:r>
              <w:rPr>
                <w:rFonts w:hint="eastAsia" w:ascii="宋体" w:hAnsi="宋体" w:eastAsia="宋体" w:cs="宋体"/>
                <w:bCs/>
                <w:color w:val="auto"/>
                <w:sz w:val="21"/>
                <w:szCs w:val="21"/>
              </w:rPr>
              <w:t>智能开放式电工考核平台</w:t>
            </w:r>
          </w:p>
        </w:tc>
        <w:tc>
          <w:tcPr>
            <w:tcW w:w="8049" w:type="dxa"/>
            <w:vAlign w:val="center"/>
          </w:tcPr>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一、总体要求</w:t>
            </w:r>
          </w:p>
          <w:p>
            <w:pPr>
              <w:keepNext w:val="0"/>
              <w:keepLines w:val="0"/>
              <w:pageBreakBefore w:val="0"/>
              <w:kinsoku/>
              <w:wordWrap/>
              <w:overflowPunct/>
              <w:topLinePunct w:val="0"/>
              <w:bidi w:val="0"/>
              <w:snapToGrid/>
              <w:spacing w:line="300" w:lineRule="auto"/>
              <w:ind w:firstLine="0" w:firstLineChars="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实训台要求提供线电压36V\380V和相电压220V三种电源，交流电压、电流表、功率表、因数表；</w:t>
            </w:r>
          </w:p>
          <w:p>
            <w:pPr>
              <w:keepNext w:val="0"/>
              <w:keepLines w:val="0"/>
              <w:pageBreakBefore w:val="0"/>
              <w:numPr>
                <w:ilvl w:val="0"/>
                <w:numId w:val="0"/>
              </w:numPr>
              <w:kinsoku/>
              <w:wordWrap/>
              <w:overflowPunct/>
              <w:topLinePunct w:val="0"/>
              <w:bidi w:val="0"/>
              <w:snapToGrid/>
              <w:spacing w:line="300" w:lineRule="auto"/>
              <w:ind w:left="-28" w:leftChars="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val="en-US" w:eastAsia="zh-CN"/>
              </w:rPr>
              <w:t>1.</w:t>
            </w:r>
            <w:r>
              <w:rPr>
                <w:rFonts w:hint="eastAsia" w:ascii="宋体" w:hAnsi="宋体" w:eastAsia="宋体" w:cs="宋体"/>
                <w:color w:val="auto"/>
                <w:spacing w:val="-2"/>
                <w:sz w:val="21"/>
                <w:szCs w:val="21"/>
              </w:rPr>
              <w:t xml:space="preserve">交流仪表 </w:t>
            </w:r>
          </w:p>
          <w:p>
            <w:pPr>
              <w:keepNext w:val="0"/>
              <w:keepLines w:val="0"/>
              <w:pageBreakBefore w:val="0"/>
              <w:numPr>
                <w:ilvl w:val="0"/>
                <w:numId w:val="0"/>
              </w:numPr>
              <w:kinsoku/>
              <w:wordWrap/>
              <w:overflowPunct/>
              <w:topLinePunct w:val="0"/>
              <w:bidi w:val="0"/>
              <w:snapToGrid/>
              <w:spacing w:line="300" w:lineRule="auto"/>
              <w:ind w:leftChars="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lang w:val="en-US" w:eastAsia="zh-CN"/>
              </w:rPr>
              <w:t>1</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交流电压表：0～250V交流电压表两只</w:t>
            </w:r>
          </w:p>
          <w:p>
            <w:pPr>
              <w:keepNext w:val="0"/>
              <w:keepLines w:val="0"/>
              <w:pageBreakBefore w:val="0"/>
              <w:numPr>
                <w:ilvl w:val="0"/>
                <w:numId w:val="0"/>
              </w:numPr>
              <w:kinsoku/>
              <w:wordWrap/>
              <w:overflowPunct/>
              <w:topLinePunct w:val="0"/>
              <w:bidi w:val="0"/>
              <w:snapToGrid/>
              <w:spacing w:line="300" w:lineRule="auto"/>
              <w:ind w:leftChars="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lang w:val="en-US" w:eastAsia="zh-CN"/>
              </w:rPr>
              <w:t>2</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交流电流表：0～5A交流电流表两只</w:t>
            </w:r>
          </w:p>
          <w:p>
            <w:pPr>
              <w:keepNext w:val="0"/>
              <w:keepLines w:val="0"/>
              <w:pageBreakBefore w:val="0"/>
              <w:numPr>
                <w:ilvl w:val="0"/>
                <w:numId w:val="0"/>
              </w:numPr>
              <w:kinsoku/>
              <w:wordWrap/>
              <w:overflowPunct/>
              <w:topLinePunct w:val="0"/>
              <w:bidi w:val="0"/>
              <w:snapToGrid/>
              <w:spacing w:line="300" w:lineRule="auto"/>
              <w:ind w:leftChars="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lang w:val="en-US" w:eastAsia="zh-CN"/>
              </w:rPr>
              <w:t>3</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功率表：0～2KW功率表两只</w:t>
            </w:r>
          </w:p>
          <w:p>
            <w:pPr>
              <w:keepNext w:val="0"/>
              <w:keepLines w:val="0"/>
              <w:pageBreakBefore w:val="0"/>
              <w:widowControl w:val="0"/>
              <w:numPr>
                <w:ilvl w:val="0"/>
                <w:numId w:val="0"/>
              </w:numPr>
              <w:kinsoku/>
              <w:wordWrap/>
              <w:overflowPunct/>
              <w:topLinePunct w:val="0"/>
              <w:bidi w:val="0"/>
              <w:snapToGrid/>
              <w:spacing w:line="300" w:lineRule="auto"/>
              <w:ind w:leftChars="0"/>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lang w:val="en-US" w:eastAsia="zh-CN"/>
              </w:rPr>
              <w:t>4</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因数表：因数表两只</w:t>
            </w:r>
          </w:p>
          <w:p>
            <w:pPr>
              <w:keepNext w:val="0"/>
              <w:keepLines w:val="0"/>
              <w:pageBreakBefore w:val="0"/>
              <w:widowControl w:val="0"/>
              <w:numPr>
                <w:ilvl w:val="-1"/>
                <w:numId w:val="0"/>
              </w:numPr>
              <w:kinsoku/>
              <w:wordWrap/>
              <w:overflowPunct/>
              <w:topLinePunct w:val="0"/>
              <w:bidi w:val="0"/>
              <w:snapToGrid/>
              <w:spacing w:line="300" w:lineRule="auto"/>
              <w:ind w:left="0" w:leftChars="0" w:firstLine="0" w:firstLineChars="0"/>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val="en-US" w:eastAsia="zh-CN"/>
              </w:rPr>
              <w:t>2.</w:t>
            </w:r>
            <w:r>
              <w:rPr>
                <w:rFonts w:hint="eastAsia" w:ascii="宋体" w:hAnsi="宋体" w:eastAsia="宋体" w:cs="宋体"/>
                <w:color w:val="auto"/>
                <w:spacing w:val="-2"/>
                <w:sz w:val="21"/>
                <w:szCs w:val="21"/>
              </w:rPr>
              <w:t>实训台设有两组电源通过启、停按钮控制电源的输出，并设有急停按钮。电源输出设有短路保护、过流保护、过压保护，当设备出现短路、过流、过压时将迅速切断总电源（不会影响其他工位电源），并记录保护次数供用户查看结果。</w:t>
            </w:r>
          </w:p>
          <w:p>
            <w:pPr>
              <w:pStyle w:val="3"/>
              <w:keepNext w:val="0"/>
              <w:keepLines w:val="0"/>
              <w:pageBreakBefore w:val="0"/>
              <w:widowControl w:val="0"/>
              <w:kinsoku/>
              <w:wordWrap/>
              <w:overflowPunct/>
              <w:topLinePunct w:val="0"/>
              <w:autoSpaceDE w:val="0"/>
              <w:autoSpaceDN w:val="0"/>
              <w:bidi w:val="0"/>
              <w:adjustRightInd w:val="0"/>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设备要求具有</w:t>
            </w:r>
            <w:r>
              <w:rPr>
                <w:rFonts w:hint="eastAsia" w:ascii="宋体" w:hAnsi="宋体" w:eastAsia="宋体" w:cs="宋体"/>
                <w:sz w:val="21"/>
                <w:szCs w:val="21"/>
              </w:rPr>
              <w:t>读取考生信息功能-RFID模块</w:t>
            </w:r>
          </w:p>
          <w:p>
            <w:pPr>
              <w:pStyle w:val="3"/>
              <w:keepNext w:val="0"/>
              <w:keepLines w:val="0"/>
              <w:pageBreakBefore w:val="0"/>
              <w:widowControl w:val="0"/>
              <w:kinsoku/>
              <w:wordWrap/>
              <w:overflowPunct/>
              <w:topLinePunct w:val="0"/>
              <w:autoSpaceDE w:val="0"/>
              <w:autoSpaceDN w:val="0"/>
              <w:bidi w:val="0"/>
              <w:adjustRightInd w:val="0"/>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实训台上</w:t>
            </w:r>
            <w:r>
              <w:rPr>
                <w:rFonts w:hint="eastAsia" w:ascii="宋体" w:hAnsi="宋体" w:eastAsia="宋体" w:cs="宋体"/>
                <w:sz w:val="21"/>
                <w:szCs w:val="21"/>
                <w:lang w:eastAsia="zh-CN"/>
              </w:rPr>
              <w:t>要求</w:t>
            </w:r>
            <w:r>
              <w:rPr>
                <w:rFonts w:hint="eastAsia" w:ascii="宋体" w:hAnsi="宋体" w:eastAsia="宋体" w:cs="宋体"/>
                <w:sz w:val="21"/>
                <w:szCs w:val="21"/>
              </w:rPr>
              <w:t>采用CY-14443N系列射频读模块，工作3～5.5V，最低功耗仅需3ua，平均待机电流1mA(自动寻卡)，待机模式电流&lt;50uA(不寻卡)。学生进行操作时，有一张记录身份信息的标签卡，RFID模块可以对该标签卡进行身份识别。</w:t>
            </w:r>
          </w:p>
          <w:p>
            <w:pPr>
              <w:pStyle w:val="3"/>
              <w:keepNext w:val="0"/>
              <w:keepLines w:val="0"/>
              <w:pageBreakBefore w:val="0"/>
              <w:widowControl w:val="0"/>
              <w:kinsoku/>
              <w:wordWrap/>
              <w:overflowPunct/>
              <w:topLinePunct w:val="0"/>
              <w:autoSpaceDE w:val="0"/>
              <w:autoSpaceDN w:val="0"/>
              <w:bidi w:val="0"/>
              <w:adjustRightInd w:val="0"/>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上位机控制模块</w:t>
            </w:r>
          </w:p>
          <w:p>
            <w:pPr>
              <w:pStyle w:val="3"/>
              <w:keepNext w:val="0"/>
              <w:keepLines w:val="0"/>
              <w:pageBreakBefore w:val="0"/>
              <w:widowControl w:val="0"/>
              <w:kinsoku/>
              <w:wordWrap/>
              <w:overflowPunct/>
              <w:topLinePunct w:val="0"/>
              <w:autoSpaceDE w:val="0"/>
              <w:autoSpaceDN w:val="0"/>
              <w:bidi w:val="0"/>
              <w:adjustRightInd w:val="0"/>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当学生刷卡后，教师机对其身份进行确认，确认正确后给学生操作台上电。同时，教师机上位机可实时显示在线学生操作情况，并且通过视频进行监控，若学生机产生误操作，教师机上显示其工位有误操作，并对其误操作进行记录。</w:t>
            </w:r>
          </w:p>
          <w:p>
            <w:pPr>
              <w:keepNext w:val="0"/>
              <w:keepLines w:val="0"/>
              <w:pageBreakBefore w:val="0"/>
              <w:widowControl w:val="0"/>
              <w:kinsoku/>
              <w:wordWrap/>
              <w:overflowPunct/>
              <w:topLinePunct w:val="0"/>
              <w:bidi w:val="0"/>
              <w:snapToGrid/>
              <w:spacing w:line="300" w:lineRule="auto"/>
              <w:ind w:left="-31" w:leftChars="-13" w:firstLine="0" w:firstLineChars="0"/>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实训桌为铁质双层亚光密纹喷塑结构，桌面为防火、防水、耐磨高密度板、结构坚固，造型美观大方。</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3. 智能开放式考核系统，避免第三知识产权纠纷及法律诉讼，并能提供长期软件免费升级服务；如出现版权纠纷，由商家负责。</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电工仿真软件：要求采用虚拟仿真技术，通过美工处理，使软件界面美观生动，内容丰富多彩，包括多媒体教学+仿真结合全套软件有24套最常用的电路图仿真接线与运行实践操作，并在介绍部分电工工具和电工元件的时候加入3D模型，使内容变的更加丰富和直观，以此达到教学的目的性与学习的趣味性，加深学生对知识的理解和运用。功能要求：</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电工基本常识与操作：安全用电常识、常用电工工具、常用导线连接、手工焊接工艺。</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1.1安全用电常识：触电方式、防护措施、接地接零、急救措施。</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1.2常用电工工具：通用工具、线路工具、设备工具。</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1.3常用导线连接：绝缘剥削、线头连接、接线桩、绝缘恢复。</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1.4手工焊接工艺：焊接工具、焊接过程、焊接质量、拆焊过程。</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电工仪表：万用表、电能表、钳型电流表、兆欧表、直流电桥、配电板。</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2.1万用表：普通万用表、表的用途、表的维护、MF-47型、DT9205A型、MF-30型、MF-500型、SP-100型、UT-52型、UT-100的外形、结构、面板、使用。</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2.2电能表：DD10 型单相电能表、单相静止式电能表、单相电子式预付费电能表、单相防窃电能表、电能表、单相电子式预付费电能表、单相防窃电能表、单相静止式电能表的外形、原理、检测、布局、连线、仿真。</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2.3钳型电流表：外形、原理、仿真。</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2.4兆欧表：外形、原理、仿真。</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2.5直流电桥：外形、仿真。</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2.6配电板：外形、布局、连线、仿真。</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照明电路安装：荧光灯、两地控制灯。</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3.1荧光灯：外形、电路、原理、接线、排故。</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3.2两地控制灯：外形、原理、接线。</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电机与变压器：三相异步电机、单相异步电机、伺服电机、步进电机、直流电机、变压器的外形、结构、原理、装配、维修、检测。</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低压电路：交流接触器、继电器、常用闸刀开关、低压断路器、熔断器、起动器、主令电器的外形、结构、原理、组装、检测。</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电动机控制：过载保护单向运转控制、联动控制、行程开关、自耦降压起动、接触器 Y-△起动、时间继电器 Y-△起动、机械制动、反接制动、能耗制动、双速调速、电动葫芦、绕线式电动机起动控制、车床控制、磨床控制、钻床控制、直流调速、直流制动、直流正反转的器材、电路、原理、布局、连线、运行、排故。</w:t>
            </w:r>
          </w:p>
          <w:p>
            <w:pPr>
              <w:keepNext w:val="0"/>
              <w:keepLines w:val="0"/>
              <w:pageBreakBefore w:val="0"/>
              <w:widowControl w:val="0"/>
              <w:kinsoku/>
              <w:wordWrap/>
              <w:overflowPunct/>
              <w:topLinePunct w:val="0"/>
              <w:bidi w:val="0"/>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电工识图：识图、原理图（原理图绘制原则、分析方法、电动机正反 转控制电气原理图）和接线图（接线图绘制原则、相对编号法）。</w:t>
            </w:r>
          </w:p>
          <w:p>
            <w:pPr>
              <w:keepNext w:val="0"/>
              <w:keepLines w:val="0"/>
              <w:pageBreakBefore w:val="0"/>
              <w:numPr>
                <w:ilvl w:val="-1"/>
                <w:numId w:val="0"/>
              </w:numPr>
              <w:kinsoku/>
              <w:wordWrap/>
              <w:overflowPunct/>
              <w:topLinePunct w:val="0"/>
              <w:bidi w:val="0"/>
              <w:snapToGrid/>
              <w:spacing w:line="300" w:lineRule="auto"/>
              <w:ind w:left="0" w:leftChars="0" w:firstLine="0" w:firstLineChars="0"/>
              <w:jc w:val="left"/>
              <w:rPr>
                <w:rFonts w:hint="eastAsia" w:ascii="宋体" w:hAnsi="宋体" w:eastAsia="宋体" w:cs="宋体"/>
                <w:color w:val="auto"/>
                <w:spacing w:val="-2"/>
                <w:sz w:val="21"/>
                <w:szCs w:val="21"/>
                <w:lang w:val="en-US"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设备配置要求</w:t>
            </w:r>
          </w:p>
          <w:tbl>
            <w:tblPr>
              <w:tblStyle w:val="38"/>
              <w:tblW w:w="6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4"/>
              <w:gridCol w:w="1035"/>
              <w:gridCol w:w="4101"/>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b/>
                      <w:spacing w:val="-2"/>
                      <w:sz w:val="21"/>
                      <w:szCs w:val="21"/>
                    </w:rPr>
                  </w:pPr>
                  <w:r>
                    <w:rPr>
                      <w:rFonts w:hint="eastAsia" w:ascii="宋体" w:hAnsi="宋体" w:eastAsia="宋体" w:cs="宋体"/>
                      <w:b/>
                      <w:spacing w:val="-2"/>
                      <w:sz w:val="21"/>
                      <w:szCs w:val="21"/>
                    </w:rPr>
                    <w:t>序号</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b/>
                      <w:spacing w:val="-2"/>
                      <w:sz w:val="21"/>
                      <w:szCs w:val="21"/>
                    </w:rPr>
                  </w:pPr>
                  <w:r>
                    <w:rPr>
                      <w:rFonts w:hint="eastAsia" w:ascii="宋体" w:hAnsi="宋体" w:eastAsia="宋体" w:cs="宋体"/>
                      <w:b/>
                      <w:spacing w:val="-2"/>
                      <w:sz w:val="21"/>
                      <w:szCs w:val="21"/>
                    </w:rPr>
                    <w:t>名    称</w:t>
                  </w:r>
                </w:p>
              </w:tc>
              <w:tc>
                <w:tcPr>
                  <w:tcW w:w="4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b/>
                      <w:spacing w:val="-2"/>
                      <w:sz w:val="21"/>
                      <w:szCs w:val="21"/>
                    </w:rPr>
                  </w:pPr>
                  <w:r>
                    <w:rPr>
                      <w:rFonts w:hint="eastAsia" w:ascii="宋体" w:hAnsi="宋体" w:eastAsia="宋体" w:cs="宋体"/>
                      <w:b/>
                      <w:spacing w:val="-2"/>
                      <w:sz w:val="21"/>
                      <w:szCs w:val="21"/>
                    </w:rPr>
                    <w:t>型号与规格</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b/>
                      <w:spacing w:val="-2"/>
                      <w:sz w:val="21"/>
                      <w:szCs w:val="21"/>
                    </w:rPr>
                  </w:pPr>
                  <w:r>
                    <w:rPr>
                      <w:rFonts w:hint="eastAsia" w:ascii="宋体" w:hAnsi="宋体" w:eastAsia="宋体" w:cs="宋体"/>
                      <w:b/>
                      <w:spacing w:val="-2"/>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实训台</w:t>
                  </w:r>
                </w:p>
              </w:tc>
              <w:tc>
                <w:tcPr>
                  <w:tcW w:w="4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left"/>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单速、双速、单速带离心(36V)</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电源台</w:t>
                  </w:r>
                </w:p>
              </w:tc>
              <w:tc>
                <w:tcPr>
                  <w:tcW w:w="4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left"/>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提供线电压36V\380V和相电压220V三种电源，交流电压、电流表、功率表、因数表；</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三相鼠笼式异步电动机</w:t>
                  </w:r>
                </w:p>
              </w:tc>
              <w:tc>
                <w:tcPr>
                  <w:tcW w:w="4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left"/>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单速、双速、单速带离心(36V)</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4</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实训操作板</w:t>
                  </w:r>
                </w:p>
              </w:tc>
              <w:tc>
                <w:tcPr>
                  <w:tcW w:w="4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left"/>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不锈钢</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摄像头</w:t>
                  </w:r>
                </w:p>
              </w:tc>
              <w:tc>
                <w:tcPr>
                  <w:tcW w:w="4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left"/>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含安装辅材</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方凳</w:t>
                  </w:r>
                </w:p>
              </w:tc>
              <w:tc>
                <w:tcPr>
                  <w:tcW w:w="4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left"/>
                    <w:textAlignment w:val="auto"/>
                    <w:rPr>
                      <w:rFonts w:hint="eastAsia" w:ascii="宋体" w:hAnsi="宋体" w:eastAsia="宋体" w:cs="宋体"/>
                      <w:spacing w:val="-2"/>
                      <w:sz w:val="21"/>
                      <w:szCs w:val="21"/>
                      <w:lang w:val="en-US" w:eastAsia="zh-CN"/>
                    </w:rPr>
                  </w:pPr>
                  <w:r>
                    <w:rPr>
                      <w:rFonts w:hint="eastAsia" w:ascii="宋体" w:hAnsi="宋体" w:eastAsia="宋体" w:cs="宋体"/>
                      <w:kern w:val="2"/>
                      <w:sz w:val="21"/>
                      <w:szCs w:val="21"/>
                      <w:lang w:val="en-US" w:eastAsia="zh-CN"/>
                    </w:rPr>
                    <w:t>320×240×450mm</w:t>
                  </w:r>
                  <w:r>
                    <w:rPr>
                      <w:rFonts w:hint="eastAsia" w:ascii="宋体" w:hAnsi="宋体" w:eastAsia="宋体" w:cs="宋体"/>
                      <w:kern w:val="2"/>
                      <w:sz w:val="21"/>
                      <w:szCs w:val="21"/>
                      <w:lang w:val="en-US" w:eastAsia="zh-CN" w:bidi="ar"/>
                    </w:rPr>
                    <w:t>（±5%）</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7</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桌面绝缘垫</w:t>
                  </w:r>
                </w:p>
              </w:tc>
              <w:tc>
                <w:tcPr>
                  <w:tcW w:w="4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与设备配套</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0" w:firstLine="0" w:firstLineChars="0"/>
                    <w:jc w:val="center"/>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1张</w:t>
                  </w:r>
                </w:p>
              </w:tc>
            </w:tr>
          </w:tbl>
          <w:p>
            <w:pPr>
              <w:keepNext w:val="0"/>
              <w:keepLines w:val="0"/>
              <w:pageBreakBefore w:val="0"/>
              <w:kinsoku/>
              <w:wordWrap/>
              <w:overflowPunct/>
              <w:topLinePunct w:val="0"/>
              <w:bidi w:val="0"/>
              <w:snapToGrid/>
              <w:spacing w:line="300" w:lineRule="auto"/>
              <w:ind w:left="0" w:leftChars="0" w:firstLine="0" w:firstLineChars="0"/>
              <w:rPr>
                <w:rFonts w:hint="eastAsia" w:ascii="宋体" w:hAnsi="宋体" w:eastAsia="宋体" w:cs="宋体"/>
                <w:sz w:val="21"/>
                <w:szCs w:val="21"/>
                <w:lang w:val="en-US" w:eastAsia="zh-CN"/>
              </w:rPr>
            </w:pPr>
          </w:p>
        </w:tc>
      </w:tr>
    </w:tbl>
    <w:p>
      <w:pPr>
        <w:bidi w:val="0"/>
        <w:rPr>
          <w:rFonts w:hint="eastAsia" w:ascii="宋体" w:hAnsi="宋体" w:eastAsia="宋体" w:cs="宋体"/>
          <w:b/>
          <w:bCs/>
          <w:color w:val="auto"/>
          <w:highlight w:val="none"/>
          <w:lang w:val="en-US" w:eastAsia="zh-CN"/>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GB"/>
        </w:rPr>
        <w:t>除采购文件推荐的品牌外，欢迎其他能满足本项目技术需求且性能与所推荐的品牌相当的产品参加，但应在投标文件中提供所投品牌与推荐的品牌相当的证明材料。</w:t>
      </w:r>
      <w:r>
        <w:rPr>
          <w:rFonts w:hint="eastAsia" w:ascii="宋体" w:hAnsi="宋体" w:eastAsia="宋体" w:cs="宋体"/>
          <w:b w:val="0"/>
          <w:bCs/>
          <w:color w:val="auto"/>
          <w:sz w:val="24"/>
          <w:szCs w:val="24"/>
          <w:highlight w:val="none"/>
        </w:rPr>
        <w:t>所有推荐的品牌均为中国制造。</w:t>
      </w:r>
      <w:r>
        <w:rPr>
          <w:rFonts w:hint="eastAsia" w:ascii="宋体" w:hAnsi="宋体" w:eastAsia="宋体" w:cs="宋体"/>
          <w:b/>
          <w:bCs/>
          <w:color w:val="auto"/>
          <w:highlight w:val="none"/>
          <w:lang w:val="en-US" w:eastAsia="zh-CN"/>
        </w:rPr>
        <w:br w:type="textWrapping"/>
      </w:r>
    </w:p>
    <w:p>
      <w:pPr>
        <w:rPr>
          <w:rFonts w:hint="eastAsia"/>
          <w:b/>
          <w:bCs/>
          <w:color w:val="auto"/>
          <w:highlight w:val="none"/>
          <w:lang w:val="en-US" w:eastAsia="zh-CN"/>
        </w:rPr>
      </w:pPr>
      <w:r>
        <w:rPr>
          <w:rFonts w:hint="eastAsia"/>
          <w:b/>
          <w:bCs/>
          <w:color w:val="auto"/>
          <w:highlight w:val="none"/>
          <w:lang w:val="en-US" w:eastAsia="zh-CN"/>
        </w:rPr>
        <w:br w:type="page"/>
      </w:r>
    </w:p>
    <w:p>
      <w:pPr>
        <w:pStyle w:val="2"/>
        <w:rPr>
          <w:rFonts w:hint="eastAsia"/>
          <w:lang w:val="en-US" w:eastAsia="zh-CN"/>
        </w:rPr>
      </w:pPr>
    </w:p>
    <w:p>
      <w:pPr>
        <w:bidi w:val="0"/>
        <w:rPr>
          <w:b/>
          <w:bCs/>
          <w:color w:val="auto"/>
          <w:highlight w:val="none"/>
        </w:rPr>
      </w:pPr>
      <w:r>
        <w:rPr>
          <w:rFonts w:hint="eastAsia"/>
          <w:b/>
          <w:bCs/>
          <w:color w:val="auto"/>
          <w:highlight w:val="none"/>
          <w:lang w:val="en-US" w:eastAsia="zh-CN"/>
        </w:rPr>
        <w:t>七</w:t>
      </w:r>
      <w:r>
        <w:rPr>
          <w:rFonts w:hint="eastAsia"/>
          <w:b/>
          <w:bCs/>
          <w:color w:val="auto"/>
          <w:highlight w:val="none"/>
        </w:rPr>
        <w:t>、商务要求表</w:t>
      </w:r>
    </w:p>
    <w:tbl>
      <w:tblPr>
        <w:tblStyle w:val="38"/>
        <w:tblW w:w="9370"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45"/>
        <w:gridCol w:w="742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16" w:hRule="atLeast"/>
        </w:trPr>
        <w:tc>
          <w:tcPr>
            <w:tcW w:w="1945"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before="100" w:beforeAutospacing="1" w:after="100" w:afterAutospacing="1" w:line="30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质保期及售后服务要求</w:t>
            </w:r>
          </w:p>
        </w:tc>
        <w:tc>
          <w:tcPr>
            <w:tcW w:w="7425" w:type="dxa"/>
            <w:tcBorders>
              <w:left w:val="nil"/>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本项目质保期至少</w:t>
            </w:r>
            <w:r>
              <w:rPr>
                <w:rFonts w:hint="eastAsia" w:ascii="宋体" w:hAnsi="宋体" w:eastAsia="宋体" w:cs="宋体"/>
                <w:b w:val="0"/>
                <w:bCs w:val="0"/>
                <w:color w:val="auto"/>
                <w:kern w:val="0"/>
                <w:sz w:val="24"/>
                <w:szCs w:val="24"/>
                <w:highlight w:val="none"/>
              </w:rPr>
              <w:t>为</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年</w:t>
            </w:r>
            <w:r>
              <w:rPr>
                <w:rFonts w:hint="eastAsia" w:ascii="宋体" w:hAnsi="宋体" w:eastAsia="宋体" w:cs="宋体"/>
                <w:color w:val="auto"/>
                <w:kern w:val="0"/>
                <w:sz w:val="24"/>
                <w:szCs w:val="24"/>
                <w:highlight w:val="none"/>
              </w:rPr>
              <w:t>，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pPr>
              <w:keepNext w:val="0"/>
              <w:keepLines w:val="0"/>
              <w:pageBreakBefore w:val="0"/>
              <w:widowControl w:val="0"/>
              <w:kinsoku/>
              <w:wordWrap/>
              <w:overflowPunct/>
              <w:topLinePunct w:val="0"/>
              <w:autoSpaceDE w:val="0"/>
              <w:autoSpaceDN w:val="0"/>
              <w:bidi w:val="0"/>
              <w:adjustRightIn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故障响应及修复：接到故障电话1小时内派技术人员远程支持，远程支持无法解决的问题24小时内上门解决问题。紧急问题在4个小时内解决。</w:t>
            </w:r>
          </w:p>
          <w:p>
            <w:pPr>
              <w:keepNext w:val="0"/>
              <w:keepLines w:val="0"/>
              <w:pageBreakBefore w:val="0"/>
              <w:widowControl w:val="0"/>
              <w:kinsoku/>
              <w:wordWrap/>
              <w:overflowPunct/>
              <w:topLinePunct w:val="0"/>
              <w:bidi w:val="0"/>
              <w:spacing w:line="30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要求免费提供配套的产品资料，包括产品安装使用手册、功能模块说明书、用户使用手册、帮助文档等。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7" w:hRule="atLeast"/>
        </w:trPr>
        <w:tc>
          <w:tcPr>
            <w:tcW w:w="19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交货期</w:t>
            </w:r>
          </w:p>
        </w:tc>
        <w:tc>
          <w:tcPr>
            <w:tcW w:w="742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合同签订后30日历天内送货到学校指定地点、完成安装调试，并协助采购人完成验收工作，由于供应商原因不能在此日期前供货验收的，由此造成的损失由供应商自行承担</w:t>
            </w:r>
            <w:r>
              <w:rPr>
                <w:rFonts w:hint="eastAsia" w:ascii="宋体" w:hAnsi="宋体" w:cs="宋体"/>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培训要求</w:t>
            </w:r>
          </w:p>
        </w:tc>
        <w:tc>
          <w:tcPr>
            <w:tcW w:w="742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供应商须对采购方技术人员进行设备操作培训，保证使用方人员能够熟练掌握各种设备常规使用方法，以及小故障的判断与解决。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auto"/>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验收</w:t>
            </w:r>
          </w:p>
        </w:tc>
        <w:tc>
          <w:tcPr>
            <w:tcW w:w="742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产品须符合国际或国家通用标准，满足采购文件技术参数部分所规定的全部功能。原装配件是指与主机同一品牌的配件或出厂即已经安装的配件。如出现质量问题或系假冒伪劣产品，供方负责包退、包换，因此而涉及的全部违约责任和费用由供应方承担；</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．安装标准：符合我国国家有关技术规范要求和技术标准；</w:t>
            </w:r>
          </w:p>
          <w:p>
            <w:pPr>
              <w:keepNext w:val="0"/>
              <w:keepLines w:val="0"/>
              <w:pageBreakBefore w:val="0"/>
              <w:widowControl w:val="0"/>
              <w:kinsoku/>
              <w:wordWrap/>
              <w:overflowPunct/>
              <w:topLinePunct w:val="0"/>
              <w:bidi w:val="0"/>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采购人验收时若发现中标单位提供的设备参数、软件功能与投标响应文件描述不相符，采购人有权解除合同并要求中标人赔偿损失。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auto"/>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其他要求</w:t>
            </w:r>
          </w:p>
        </w:tc>
        <w:tc>
          <w:tcPr>
            <w:tcW w:w="742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spacing w:line="300" w:lineRule="auto"/>
              <w:ind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如投标人是代理商，投标时无法提供</w:t>
            </w:r>
            <w:r>
              <w:rPr>
                <w:rFonts w:hint="eastAsia" w:ascii="宋体" w:hAnsi="宋体" w:cs="宋体"/>
                <w:b/>
                <w:bCs/>
                <w:color w:val="auto"/>
                <w:sz w:val="24"/>
                <w:szCs w:val="24"/>
                <w:lang w:val="en-US" w:eastAsia="zh-CN"/>
              </w:rPr>
              <w:t>本项目设备</w:t>
            </w:r>
            <w:r>
              <w:rPr>
                <w:rFonts w:hint="eastAsia" w:ascii="宋体" w:hAnsi="宋体" w:cs="宋体"/>
                <w:b/>
                <w:bCs/>
                <w:color w:val="auto"/>
                <w:sz w:val="24"/>
                <w:szCs w:val="24"/>
              </w:rPr>
              <w:t>原厂商针对本项目的授权书的，在中标后须在签订合同前提供原厂商针对本项目的授权书和售后服务承诺函，否则视作自动放弃中标资格、承担相应法律责任并承担由此带来的一切损失</w:t>
            </w:r>
            <w:r>
              <w:rPr>
                <w:rFonts w:hint="eastAsia" w:ascii="宋体" w:hAnsi="宋体" w:cs="宋体"/>
                <w:b/>
                <w:bCs/>
                <w:color w:val="auto"/>
                <w:sz w:val="24"/>
                <w:szCs w:val="24"/>
                <w:lang w:eastAsia="zh-CN"/>
              </w:rPr>
              <w:t>。</w:t>
            </w:r>
          </w:p>
        </w:tc>
      </w:tr>
    </w:tbl>
    <w:p>
      <w:pPr>
        <w:pStyle w:val="22"/>
        <w:snapToGrid w:val="0"/>
        <w:spacing w:beforeLines="0" w:afterLines="0" w:line="300" w:lineRule="auto"/>
        <w:ind w:firstLine="482"/>
        <w:rPr>
          <w:rFonts w:hint="eastAsia" w:hAnsi="宋体" w:cs="宋体"/>
          <w:b/>
          <w:sz w:val="24"/>
          <w:szCs w:val="24"/>
          <w:lang w:val="en-GB"/>
        </w:rPr>
      </w:pPr>
    </w:p>
    <w:p>
      <w:pPr>
        <w:pStyle w:val="35"/>
        <w:ind w:firstLine="643"/>
      </w:pPr>
      <w:r>
        <w:rPr>
          <w:rFonts w:hint="eastAsia"/>
        </w:rPr>
        <w:br w:type="page"/>
      </w:r>
      <w:r>
        <w:rPr>
          <w:rFonts w:hint="eastAsia"/>
        </w:rPr>
        <w:t>第三章  投标人须知</w:t>
      </w:r>
      <w:bookmarkEnd w:id="23"/>
    </w:p>
    <w:p>
      <w:pPr>
        <w:pStyle w:val="8"/>
        <w:spacing w:before="0" w:after="0" w:line="240" w:lineRule="auto"/>
        <w:ind w:firstLine="755" w:firstLineChars="235"/>
        <w:jc w:val="center"/>
        <w:rPr>
          <w:rFonts w:ascii="宋体" w:hAnsi="宋体" w:cs="宋体"/>
        </w:rPr>
      </w:pPr>
      <w:bookmarkStart w:id="24" w:name="_Toc16637"/>
      <w:r>
        <w:rPr>
          <w:rFonts w:hint="eastAsia" w:ascii="宋体" w:hAnsi="宋体" w:cs="宋体"/>
        </w:rPr>
        <w:t>一、前附表</w:t>
      </w:r>
      <w:bookmarkEnd w:id="24"/>
    </w:p>
    <w:tbl>
      <w:tblPr>
        <w:tblStyle w:val="38"/>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嘉善技师学院（筹）购置培训教学仪器设备（电子电工实训设备）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b/>
                <w:bCs/>
                <w:szCs w:val="24"/>
              </w:rPr>
              <w:t>投标人自行踏勘，所产生的费用由投标人自行承担。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投标文件组成</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2022年</w:t>
            </w:r>
            <w:r>
              <w:rPr>
                <w:rFonts w:hint="eastAsia" w:ascii="宋体" w:hAnsi="宋体" w:cs="宋体"/>
                <w:szCs w:val="24"/>
                <w:lang w:val="en-US" w:eastAsia="zh-CN"/>
              </w:rPr>
              <w:t>12月16日</w:t>
            </w:r>
            <w:r>
              <w:rPr>
                <w:rFonts w:hint="eastAsia" w:ascii="宋体" w:hAnsi="宋体" w:cs="宋体"/>
                <w:szCs w:val="24"/>
              </w:rPr>
              <w:t>14：</w:t>
            </w:r>
            <w:r>
              <w:rPr>
                <w:rFonts w:hint="eastAsia" w:ascii="宋体" w:hAnsi="宋体" w:cs="宋体"/>
                <w:szCs w:val="24"/>
                <w:lang w:val="en-US" w:eastAsia="zh-CN"/>
              </w:rPr>
              <w:t>0</w:t>
            </w:r>
            <w:r>
              <w:rPr>
                <w:rFonts w:hint="eastAsia" w:ascii="宋体" w:hAnsi="宋体" w:cs="宋体"/>
                <w:szCs w:val="24"/>
              </w:rPr>
              <w:t>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hint="eastAsia" w:ascii="宋体" w:hAnsi="宋体" w:cs="宋体"/>
                <w:b/>
                <w:szCs w:val="24"/>
                <w:lang w:val="en-US" w:eastAsia="zh-CN"/>
              </w:rPr>
              <w:t>12月16日</w:t>
            </w:r>
            <w:r>
              <w:rPr>
                <w:rFonts w:hint="eastAsia" w:ascii="宋体" w:hAnsi="宋体" w:cs="宋体"/>
                <w:b/>
                <w:szCs w:val="24"/>
              </w:rPr>
              <w:t>1</w:t>
            </w:r>
            <w:r>
              <w:rPr>
                <w:rFonts w:hint="eastAsia" w:ascii="宋体" w:hAnsi="宋体" w:cs="宋体"/>
                <w:b/>
                <w:szCs w:val="24"/>
                <w:lang w:val="en-US" w:eastAsia="zh-CN"/>
              </w:rPr>
              <w:t>4</w:t>
            </w:r>
            <w:r>
              <w:rPr>
                <w:rFonts w:hint="eastAsia" w:ascii="宋体" w:hAnsi="宋体" w:cs="宋体"/>
                <w:b/>
                <w:szCs w:val="24"/>
              </w:rPr>
              <w:t>：</w:t>
            </w:r>
            <w:r>
              <w:rPr>
                <w:rFonts w:hint="eastAsia" w:ascii="宋体" w:hAnsi="宋体" w:cs="宋体"/>
                <w:b/>
                <w:szCs w:val="24"/>
                <w:lang w:val="en-US" w:eastAsia="zh-CN"/>
              </w:rPr>
              <w:t>3</w:t>
            </w:r>
            <w:r>
              <w:rPr>
                <w:rFonts w:hint="eastAsia" w:ascii="宋体" w:hAnsi="宋体" w:cs="宋体"/>
                <w:b/>
                <w:szCs w:val="24"/>
              </w:rPr>
              <w:t>0前）投标可以登录“政采云”平台，用“项目采购-开标评标”功能进行解密投标文件。若投标人在规定时间内无法解密或解密失败，将导致投标无效或失败。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rPr>
              <w:t>本项目政府采购合同将于签订之日起2个工作日内发布于</w:t>
            </w:r>
            <w:r>
              <w:rPr>
                <w:rFonts w:hint="eastAsia" w:ascii="宋体" w:hAnsi="宋体" w:cs="宋体"/>
                <w:szCs w:val="24"/>
              </w:rPr>
              <w:t>浙江政府采购网(</w:t>
            </w:r>
            <w:r>
              <w:fldChar w:fldCharType="begin"/>
            </w:r>
            <w:r>
              <w:instrText xml:space="preserve"> HYPERLINK "http://zfcg.czt.zj.gov.cn/" </w:instrText>
            </w:r>
            <w:r>
              <w:fldChar w:fldCharType="separate"/>
            </w:r>
            <w:r>
              <w:rPr>
                <w:rStyle w:val="44"/>
                <w:rFonts w:ascii="宋体" w:hAnsi="宋体" w:cs="宋体"/>
                <w:color w:val="auto"/>
                <w:szCs w:val="24"/>
              </w:rPr>
              <w:t>http://zfcg.czt.zj.gov.cn/</w:t>
            </w:r>
            <w:r>
              <w:rPr>
                <w:rStyle w:val="44"/>
                <w:rFonts w:ascii="宋体" w:hAnsi="宋体" w:cs="宋体"/>
                <w:color w:val="auto"/>
                <w:szCs w:val="24"/>
              </w:rPr>
              <w:fldChar w:fldCharType="end"/>
            </w:r>
            <w:r>
              <w:rPr>
                <w:rFonts w:hint="eastAsia" w:ascii="宋体" w:hAnsi="宋体" w:cs="宋体"/>
                <w:szCs w:val="24"/>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本项目预算价为人民币</w:t>
            </w:r>
            <w:r>
              <w:rPr>
                <w:rFonts w:hint="eastAsia" w:ascii="宋体" w:hAnsi="宋体" w:cs="宋体"/>
                <w:color w:val="auto"/>
                <w:szCs w:val="24"/>
                <w:lang w:val="en-US" w:eastAsia="zh-CN"/>
              </w:rPr>
              <w:t>77.0</w:t>
            </w:r>
            <w:r>
              <w:rPr>
                <w:rFonts w:hint="eastAsia" w:ascii="宋体" w:hAnsi="宋体" w:cs="宋体"/>
                <w:color w:val="auto"/>
                <w:szCs w:val="24"/>
              </w:rPr>
              <w:t>0万元，采购上限价为人民币</w:t>
            </w:r>
            <w:r>
              <w:rPr>
                <w:rFonts w:hint="eastAsia" w:ascii="宋体" w:hAnsi="宋体" w:cs="宋体"/>
                <w:color w:val="auto"/>
                <w:szCs w:val="24"/>
                <w:lang w:val="en-US" w:eastAsia="zh-CN"/>
              </w:rPr>
              <w:t>76.80</w:t>
            </w:r>
            <w:r>
              <w:rPr>
                <w:rFonts w:hint="eastAsia" w:ascii="宋体" w:hAnsi="宋体" w:cs="宋体"/>
                <w:color w:val="auto"/>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lang w:val="en-US" w:eastAsia="zh-CN"/>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auto"/>
                <w:szCs w:val="24"/>
              </w:rPr>
            </w:pPr>
            <w:r>
              <w:rPr>
                <w:rFonts w:hint="eastAsia" w:ascii="宋体" w:hAnsi="宋体" w:cs="宋体"/>
                <w:color w:val="auto"/>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highlight w:val="none"/>
              </w:rPr>
            </w:pPr>
            <w:r>
              <w:rPr>
                <w:rFonts w:hint="eastAsia" w:ascii="宋体" w:hAnsi="宋体" w:cs="宋体"/>
                <w:color w:val="auto"/>
                <w:szCs w:val="24"/>
                <w:highlight w:val="none"/>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auto"/>
                <w:highlight w:val="none"/>
              </w:rPr>
            </w:pPr>
            <w:r>
              <w:rPr>
                <w:rFonts w:hint="eastAsia" w:ascii="宋体" w:hAnsi="宋体" w:cs="宋体"/>
                <w:color w:val="auto"/>
                <w:szCs w:val="24"/>
                <w:highlight w:val="none"/>
              </w:rPr>
              <w:t>合同生效以及具备实施条件后7个工作日内支付项目合同总金额的40%作为预付款，</w:t>
            </w:r>
            <w:r>
              <w:rPr>
                <w:rFonts w:hint="eastAsia" w:hAnsi="宋体"/>
                <w:color w:val="auto"/>
                <w:sz w:val="24"/>
                <w:highlight w:val="none"/>
              </w:rPr>
              <w:t>货到安装调试完毕，经采购人验收合格且正常运行后一个月内付清</w:t>
            </w:r>
            <w:r>
              <w:rPr>
                <w:rFonts w:hint="eastAsia" w:hAnsi="宋体"/>
                <w:color w:val="auto"/>
                <w:sz w:val="24"/>
                <w:highlight w:val="none"/>
                <w:lang w:val="en-US" w:eastAsia="zh-CN"/>
              </w:rPr>
              <w:t>余款</w:t>
            </w:r>
            <w:r>
              <w:rPr>
                <w:rFonts w:hint="eastAsia"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36"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color w:val="auto"/>
                <w:szCs w:val="24"/>
              </w:rPr>
            </w:pPr>
            <w:r>
              <w:rPr>
                <w:rFonts w:hint="eastAsia" w:ascii="宋体" w:hAnsi="宋体" w:cs="宋体"/>
                <w:color w:val="auto"/>
                <w:szCs w:val="24"/>
              </w:rPr>
              <w:t>招标代理服务费</w:t>
            </w:r>
          </w:p>
        </w:tc>
        <w:tc>
          <w:tcPr>
            <w:tcW w:w="7060" w:type="dxa"/>
            <w:tcBorders>
              <w:top w:val="single" w:color="auto" w:sz="4" w:space="0"/>
              <w:left w:val="single" w:color="auto" w:sz="4" w:space="0"/>
              <w:bottom w:val="single" w:color="auto" w:sz="4" w:space="0"/>
            </w:tcBorders>
            <w:vAlign w:val="center"/>
          </w:tcPr>
          <w:p>
            <w:pPr>
              <w:snapToGrid w:val="0"/>
              <w:spacing w:line="300" w:lineRule="auto"/>
              <w:ind w:left="0" w:leftChars="0" w:firstLine="0" w:firstLineChars="0"/>
              <w:contextualSpacing/>
              <w:rPr>
                <w:rFonts w:ascii="宋体" w:hAnsi="宋体" w:cs="宋体"/>
                <w:color w:val="auto"/>
              </w:rPr>
            </w:pPr>
            <w:r>
              <w:rPr>
                <w:rFonts w:hint="eastAsia" w:ascii="宋体" w:hAnsi="宋体" w:cs="宋体"/>
                <w:color w:val="auto"/>
              </w:rPr>
              <w:t>本项目招标代理服务费由中标单位支付。</w:t>
            </w:r>
          </w:p>
          <w:p>
            <w:pPr>
              <w:snapToGrid w:val="0"/>
              <w:spacing w:line="300" w:lineRule="auto"/>
              <w:ind w:left="0" w:leftChars="0" w:firstLine="0" w:firstLineChars="0"/>
              <w:contextualSpacing/>
              <w:rPr>
                <w:rFonts w:ascii="宋体" w:hAnsi="宋体" w:cs="宋体"/>
                <w:color w:val="auto"/>
              </w:rPr>
            </w:pPr>
            <w:r>
              <w:rPr>
                <w:rFonts w:hint="eastAsia" w:ascii="宋体" w:hAnsi="宋体" w:cs="宋体"/>
                <w:b/>
                <w:color w:val="auto"/>
              </w:rPr>
              <w:t>本项目为货物招标，招标代理服务费按国家收费标准下浮25%收取</w:t>
            </w:r>
            <w:r>
              <w:rPr>
                <w:rFonts w:hint="eastAsia" w:ascii="宋体" w:hAnsi="宋体" w:cs="宋体"/>
                <w:color w:val="auto"/>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left="0" w:leftChars="0" w:firstLine="0" w:firstLineChars="0"/>
              <w:contextualSpacing/>
              <w:rPr>
                <w:rFonts w:ascii="宋体" w:hAnsi="宋体" w:cs="宋体"/>
                <w:color w:val="auto"/>
              </w:rPr>
            </w:pPr>
            <w:r>
              <w:rPr>
                <w:rFonts w:hint="eastAsia" w:ascii="宋体" w:hAnsi="宋体" w:cs="宋体"/>
                <w:color w:val="auto"/>
              </w:rPr>
              <w:t>招标代理服务费收费标准参照</w:t>
            </w:r>
            <w:r>
              <w:rPr>
                <w:rFonts w:hint="eastAsia" w:ascii="宋体" w:hAnsi="宋体" w:cs="宋体"/>
                <w:color w:val="auto"/>
                <w:szCs w:val="24"/>
              </w:rPr>
              <w:t>《关于降低部分建设项目收费标准规范收费行为等有关问题的通知》（发改价格[2011]534号）</w:t>
            </w:r>
            <w:r>
              <w:rPr>
                <w:rFonts w:hint="eastAsia" w:ascii="宋体" w:hAnsi="宋体" w:cs="宋体"/>
                <w:color w:val="auto"/>
              </w:rPr>
              <w:t>，服务类型为货物招标，具体如下：</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405"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中标金额（万元）</w:t>
                  </w:r>
                </w:p>
              </w:tc>
              <w:tc>
                <w:tcPr>
                  <w:tcW w:w="2293"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100以下</w:t>
                  </w:r>
                </w:p>
              </w:tc>
              <w:tc>
                <w:tcPr>
                  <w:tcW w:w="2293"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100-500</w:t>
                  </w:r>
                </w:p>
              </w:tc>
              <w:tc>
                <w:tcPr>
                  <w:tcW w:w="2293"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500-1000</w:t>
                  </w:r>
                </w:p>
              </w:tc>
              <w:tc>
                <w:tcPr>
                  <w:tcW w:w="2293"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0.8%</w:t>
                  </w:r>
                </w:p>
              </w:tc>
            </w:tr>
          </w:tbl>
          <w:p>
            <w:pPr>
              <w:snapToGrid w:val="0"/>
              <w:spacing w:line="300" w:lineRule="auto"/>
              <w:ind w:left="0" w:leftChars="0" w:firstLine="0" w:firstLineChars="0"/>
              <w:rPr>
                <w:rFonts w:ascii="宋体" w:hAnsi="宋体" w:cs="宋体"/>
                <w:color w:val="auto"/>
                <w:szCs w:val="24"/>
              </w:rPr>
            </w:pPr>
            <w:r>
              <w:rPr>
                <w:rFonts w:hint="eastAsia" w:ascii="宋体" w:hAnsi="宋体" w:cs="宋体"/>
                <w:color w:val="auto"/>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808" w:type="dxa"/>
            <w:vMerge w:val="continue"/>
            <w:tcBorders>
              <w:bottom w:val="single" w:color="auto" w:sz="4" w:space="0"/>
              <w:right w:val="single" w:color="auto" w:sz="4" w:space="0"/>
            </w:tcBorders>
            <w:vAlign w:val="center"/>
          </w:tcPr>
          <w:p>
            <w:pPr>
              <w:snapToGrid w:val="0"/>
              <w:ind w:firstLine="480"/>
              <w:jc w:val="center"/>
              <w:rPr>
                <w:rFonts w:ascii="宋体" w:hAnsi="宋体" w:cs="宋体"/>
                <w:color w:val="000000"/>
                <w:szCs w:val="24"/>
              </w:rPr>
            </w:pPr>
          </w:p>
        </w:tc>
        <w:tc>
          <w:tcPr>
            <w:tcW w:w="1936" w:type="dxa"/>
            <w:vMerge w:val="continue"/>
            <w:tcBorders>
              <w:left w:val="single" w:color="auto" w:sz="4" w:space="0"/>
              <w:bottom w:val="single" w:color="auto" w:sz="4" w:space="0"/>
              <w:right w:val="single" w:color="auto" w:sz="4" w:space="0"/>
            </w:tcBorders>
            <w:vAlign w:val="center"/>
          </w:tcPr>
          <w:p>
            <w:pPr>
              <w:snapToGrid w:val="0"/>
              <w:spacing w:line="300" w:lineRule="auto"/>
              <w:ind w:firstLine="480"/>
              <w:rPr>
                <w:rFonts w:ascii="宋体" w:hAnsi="宋体" w:cs="宋体"/>
                <w:color w:val="000000"/>
                <w:szCs w:val="24"/>
              </w:rPr>
            </w:pP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pacing w:line="300" w:lineRule="auto"/>
              <w:ind w:firstLine="0" w:firstLineChars="0"/>
              <w:contextualSpacing/>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8"/>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5" w:name="_Toc17106"/>
      <w:r>
        <w:rPr>
          <w:rFonts w:hint="eastAsia" w:ascii="宋体" w:hAnsi="宋体" w:cs="宋体"/>
        </w:rPr>
        <w:t>二、总  则</w:t>
      </w:r>
      <w:bookmarkEnd w:id="25"/>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嘉善技师学院（筹）购置培训教学仪器设备（电子电工实训设备）</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lang w:eastAsia="zh-CN"/>
        </w:rPr>
        <w:t>嘉善技师学院（筹）</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1.本项目不允许转包。</w:t>
      </w:r>
    </w:p>
    <w:p>
      <w:pPr>
        <w:snapToGrid w:val="0"/>
        <w:ind w:firstLine="48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本项目</w:t>
      </w:r>
      <w:r>
        <w:rPr>
          <w:rFonts w:hint="eastAsia" w:ascii="宋体" w:hAnsi="宋体" w:cs="宋体"/>
          <w:color w:val="000000" w:themeColor="text1"/>
          <w:kern w:val="0"/>
          <w:szCs w:val="24"/>
          <w14:textFill>
            <w14:solidFill>
              <w14:schemeClr w14:val="tx1"/>
            </w14:solidFill>
          </w14:textFill>
        </w:rPr>
        <w:t>若要分包须征得采购人书面同意</w:t>
      </w:r>
      <w:r>
        <w:rPr>
          <w:rFonts w:hint="eastAsia" w:ascii="宋体" w:hAnsi="宋体" w:cs="宋体"/>
          <w:color w:val="000000" w:themeColor="text1"/>
          <w:kern w:val="0"/>
          <w14:textFill>
            <w14:solidFill>
              <w14:schemeClr w14:val="tx1"/>
            </w14:solidFill>
          </w14:textFill>
        </w:rPr>
        <w:t>。</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2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2"/>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2"/>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22"/>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2"/>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2"/>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2"/>
        <w:snapToGrid w:val="0"/>
        <w:spacing w:beforeLines="0" w:afterLines="0" w:line="300" w:lineRule="auto"/>
        <w:ind w:firstLine="602"/>
        <w:jc w:val="center"/>
        <w:rPr>
          <w:rFonts w:hAnsi="宋体" w:cs="宋体"/>
          <w:b/>
          <w:bCs/>
          <w:color w:val="000000"/>
          <w:sz w:val="30"/>
          <w:szCs w:val="30"/>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26" w:name="_Toc31835"/>
      <w:r>
        <w:rPr>
          <w:rFonts w:hint="eastAsia" w:ascii="宋体" w:hAnsi="宋体" w:cs="宋体"/>
        </w:rPr>
        <w:t>三、采购文件</w:t>
      </w:r>
      <w:bookmarkEnd w:id="26"/>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11"/>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27" w:name="_Toc8281"/>
      <w:r>
        <w:rPr>
          <w:rFonts w:hint="eastAsia" w:ascii="宋体" w:hAnsi="宋体" w:cs="宋体"/>
        </w:rPr>
        <w:t>四、投标文件的编制</w:t>
      </w:r>
      <w:bookmarkEnd w:id="27"/>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7" w:lineRule="auto"/>
        <w:ind w:firstLine="480"/>
        <w:contextualSpacing/>
        <w:jc w:val="left"/>
        <w:rPr>
          <w:rFonts w:hint="eastAsia" w:ascii="宋体" w:hAnsi="宋体" w:cs="宋体"/>
          <w:szCs w:val="24"/>
        </w:rPr>
      </w:pPr>
      <w:r>
        <w:rPr>
          <w:rFonts w:hint="eastAsia" w:ascii="宋体" w:hAnsi="宋体" w:cs="宋体"/>
          <w:szCs w:val="24"/>
        </w:rPr>
        <w:t>（6）商务偏离表（格式见第六章）；</w:t>
      </w:r>
    </w:p>
    <w:p>
      <w:pPr>
        <w:snapToGrid w:val="0"/>
        <w:spacing w:line="307" w:lineRule="auto"/>
        <w:ind w:firstLine="480"/>
        <w:contextualSpacing/>
        <w:jc w:val="left"/>
        <w:rPr>
          <w:rFonts w:hint="eastAsia" w:ascii="宋体" w:hAnsi="宋体" w:cs="宋体"/>
          <w:szCs w:val="24"/>
          <w:lang w:eastAsia="zh-CN"/>
        </w:rPr>
      </w:pPr>
      <w:r>
        <w:rPr>
          <w:rFonts w:hint="eastAsia" w:ascii="宋体" w:hAnsi="宋体" w:cs="宋体"/>
          <w:color w:val="auto"/>
          <w:szCs w:val="24"/>
          <w:lang w:eastAsia="zh-CN"/>
        </w:rPr>
        <w:t>（</w:t>
      </w:r>
      <w:r>
        <w:rPr>
          <w:rFonts w:hint="eastAsia" w:ascii="宋体" w:hAnsi="宋体" w:cs="宋体"/>
          <w:color w:val="auto"/>
          <w:szCs w:val="24"/>
          <w:lang w:val="en-US" w:eastAsia="zh-CN"/>
        </w:rPr>
        <w:t>7</w:t>
      </w:r>
      <w:r>
        <w:rPr>
          <w:rFonts w:hint="eastAsia" w:ascii="宋体" w:hAnsi="宋体" w:cs="宋体"/>
          <w:color w:val="auto"/>
          <w:szCs w:val="24"/>
          <w:lang w:eastAsia="zh-CN"/>
        </w:rPr>
        <w:t>）</w:t>
      </w:r>
      <w:r>
        <w:rPr>
          <w:rFonts w:hint="eastAsia" w:ascii="宋体" w:hAnsi="宋体" w:cs="宋体"/>
          <w:szCs w:val="24"/>
        </w:rPr>
        <w:t>相关</w:t>
      </w:r>
      <w:r>
        <w:rPr>
          <w:rFonts w:hint="eastAsia" w:ascii="宋体" w:hAnsi="宋体" w:cs="宋体"/>
          <w:szCs w:val="24"/>
          <w:lang w:val="en-US" w:eastAsia="zh-CN"/>
        </w:rPr>
        <w:t>认证</w:t>
      </w:r>
      <w:r>
        <w:rPr>
          <w:rFonts w:hint="eastAsia" w:ascii="宋体" w:hAnsi="宋体" w:cs="宋体"/>
          <w:szCs w:val="24"/>
        </w:rPr>
        <w:t>（如有）</w:t>
      </w:r>
      <w:r>
        <w:rPr>
          <w:rFonts w:hint="eastAsia" w:ascii="宋体" w:hAnsi="宋体" w:cs="宋体"/>
          <w:szCs w:val="24"/>
          <w:lang w:eastAsia="zh-CN"/>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）业绩证明材料（如有）；</w:t>
      </w:r>
    </w:p>
    <w:p>
      <w:pPr>
        <w:snapToGrid w:val="0"/>
        <w:spacing w:line="307" w:lineRule="auto"/>
        <w:ind w:firstLine="480"/>
        <w:contextualSpacing/>
        <w:jc w:val="left"/>
        <w:rPr>
          <w:rFonts w:ascii="宋体" w:hAnsi="宋体" w:cs="宋体"/>
          <w:spacing w:val="-6"/>
        </w:rPr>
      </w:pPr>
      <w:r>
        <w:rPr>
          <w:rFonts w:hint="eastAsia" w:ascii="宋体" w:hAnsi="宋体" w:cs="宋体"/>
          <w:szCs w:val="24"/>
        </w:rPr>
        <w:t>（</w:t>
      </w:r>
      <w:r>
        <w:rPr>
          <w:rFonts w:ascii="宋体" w:hAnsi="宋体" w:cs="宋体"/>
          <w:szCs w:val="24"/>
        </w:rPr>
        <w:t>1</w:t>
      </w:r>
      <w:r>
        <w:rPr>
          <w:rFonts w:hint="eastAsia" w:ascii="宋体" w:hAnsi="宋体" w:cs="宋体"/>
          <w:szCs w:val="24"/>
          <w:lang w:val="en-US" w:eastAsia="zh-CN"/>
        </w:rPr>
        <w:t>0</w:t>
      </w:r>
      <w:r>
        <w:rPr>
          <w:rFonts w:hint="eastAsia" w:ascii="宋体" w:hAnsi="宋体" w:cs="宋体"/>
          <w:szCs w:val="24"/>
        </w:rPr>
        <w:t>）投标人需要说明的其他内容（未尽事宜可按评分细则部分制作）。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（1）</w:t>
      </w:r>
      <w:r>
        <w:rPr>
          <w:rFonts w:hint="eastAsia" w:ascii="宋体" w:hAnsi="宋体" w:cs="宋体"/>
          <w:b/>
          <w:bCs/>
          <w:szCs w:val="24"/>
        </w:rPr>
        <w:t>投标产品性能水平、品牌、功能、技术参数的详细介绍（不含报价）</w:t>
      </w:r>
      <w:r>
        <w:rPr>
          <w:rFonts w:hint="eastAsia" w:ascii="宋体" w:hAnsi="宋体" w:cs="宋体"/>
          <w:color w:val="0C0C0C"/>
          <w:szCs w:val="24"/>
        </w:rPr>
        <w:t>；</w:t>
      </w:r>
    </w:p>
    <w:p>
      <w:pPr>
        <w:snapToGrid w:val="0"/>
        <w:spacing w:line="308" w:lineRule="auto"/>
        <w:ind w:firstLine="480"/>
        <w:contextualSpacing/>
        <w:jc w:val="left"/>
        <w:rPr>
          <w:rFonts w:hint="eastAsia" w:ascii="宋体" w:hAnsi="宋体" w:cs="宋体"/>
          <w:szCs w:val="24"/>
        </w:rPr>
      </w:pPr>
      <w:r>
        <w:rPr>
          <w:rFonts w:hint="eastAsia" w:ascii="宋体" w:hAnsi="宋体" w:cs="宋体"/>
          <w:szCs w:val="24"/>
        </w:rPr>
        <w:t>（2）技术偏离表（格式见第六章）；</w:t>
      </w:r>
    </w:p>
    <w:p>
      <w:pPr>
        <w:snapToGrid w:val="0"/>
        <w:spacing w:line="308" w:lineRule="auto"/>
        <w:ind w:firstLine="480"/>
        <w:contextualSpacing/>
        <w:jc w:val="left"/>
        <w:rPr>
          <w:rFonts w:hint="eastAsia" w:ascii="宋体" w:hAnsi="宋体" w:cs="宋体"/>
          <w:szCs w:val="24"/>
        </w:rPr>
      </w:pPr>
      <w:r>
        <w:rPr>
          <w:rFonts w:hint="eastAsia" w:ascii="宋体" w:hAnsi="宋体" w:cs="宋体"/>
          <w:szCs w:val="24"/>
        </w:rPr>
        <w:t>（3）</w:t>
      </w:r>
      <w:r>
        <w:rPr>
          <w:rFonts w:hint="eastAsia" w:ascii="宋体" w:hAnsi="宋体" w:cs="宋体"/>
          <w:sz w:val="24"/>
          <w:szCs w:val="24"/>
          <w:lang w:val="en-US" w:eastAsia="zh-CN"/>
        </w:rPr>
        <w:t>项目组织实施方案</w:t>
      </w:r>
      <w:r>
        <w:rPr>
          <w:rFonts w:hint="eastAsia" w:ascii="宋体" w:hAnsi="宋体" w:cs="宋体"/>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（4）拟投入本项目人员一览表（格式见第六章）；</w:t>
      </w:r>
    </w:p>
    <w:p>
      <w:pPr>
        <w:snapToGrid w:val="0"/>
        <w:spacing w:line="308"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5</w:t>
      </w:r>
      <w:r>
        <w:rPr>
          <w:rFonts w:hint="eastAsia" w:ascii="宋体" w:hAnsi="宋体" w:cs="宋体"/>
          <w:szCs w:val="24"/>
        </w:rPr>
        <w:t>）</w:t>
      </w:r>
      <w:r>
        <w:rPr>
          <w:rFonts w:hint="eastAsia" w:ascii="宋体" w:hAnsi="宋体" w:cs="宋体"/>
          <w:kern w:val="0"/>
          <w:sz w:val="24"/>
          <w:szCs w:val="24"/>
        </w:rPr>
        <w:t>课程品质</w:t>
      </w:r>
      <w:r>
        <w:rPr>
          <w:rFonts w:hint="eastAsia" w:ascii="宋体" w:hAnsi="宋体" w:cs="宋体"/>
          <w:szCs w:val="24"/>
        </w:rPr>
        <w:t>；</w:t>
      </w:r>
    </w:p>
    <w:p>
      <w:pPr>
        <w:snapToGrid w:val="0"/>
        <w:spacing w:line="308" w:lineRule="auto"/>
        <w:ind w:firstLine="480"/>
        <w:contextualSpacing/>
        <w:jc w:val="left"/>
        <w:rPr>
          <w:rFonts w:hint="eastAsia" w:ascii="宋体" w:hAnsi="宋体" w:cs="宋体"/>
          <w:szCs w:val="24"/>
        </w:rPr>
      </w:pPr>
      <w:r>
        <w:rPr>
          <w:rFonts w:hint="eastAsia" w:ascii="宋体" w:hAnsi="宋体" w:cs="宋体"/>
          <w:color w:val="0C0C0C"/>
          <w:szCs w:val="24"/>
        </w:rPr>
        <w:t>（</w:t>
      </w:r>
      <w:r>
        <w:rPr>
          <w:rFonts w:ascii="宋体" w:hAnsi="宋体" w:cs="宋体"/>
          <w:color w:val="0C0C0C"/>
          <w:szCs w:val="24"/>
        </w:rPr>
        <w:t>6</w:t>
      </w:r>
      <w:r>
        <w:rPr>
          <w:rFonts w:hint="eastAsia" w:ascii="宋体" w:hAnsi="宋体" w:cs="宋体"/>
          <w:color w:val="0C0C0C"/>
          <w:szCs w:val="24"/>
        </w:rPr>
        <w:t>）</w:t>
      </w:r>
      <w:r>
        <w:rPr>
          <w:rFonts w:hint="eastAsia" w:ascii="宋体" w:hAnsi="宋体" w:eastAsia="宋体" w:cs="宋体"/>
          <w:color w:val="auto"/>
          <w:sz w:val="24"/>
          <w:szCs w:val="24"/>
        </w:rPr>
        <w:t>培训方案</w:t>
      </w:r>
      <w:r>
        <w:rPr>
          <w:rFonts w:hint="eastAsia" w:ascii="宋体" w:hAnsi="宋体" w:cs="宋体"/>
          <w:szCs w:val="24"/>
        </w:rPr>
        <w:t>；</w:t>
      </w:r>
    </w:p>
    <w:p>
      <w:pPr>
        <w:snapToGrid w:val="0"/>
        <w:spacing w:line="308" w:lineRule="auto"/>
        <w:ind w:firstLine="480"/>
        <w:contextualSpacing/>
        <w:jc w:val="left"/>
        <w:rPr>
          <w:rFonts w:hint="eastAsia" w:ascii="宋体" w:hAnsi="宋体" w:eastAsia="宋体" w:cs="宋体"/>
          <w:szCs w:val="24"/>
          <w:highlight w:val="yellow"/>
          <w:lang w:eastAsia="zh-CN"/>
        </w:rPr>
      </w:pPr>
      <w:r>
        <w:rPr>
          <w:rFonts w:hint="eastAsia" w:ascii="宋体" w:hAnsi="宋体" w:cs="宋体"/>
          <w:szCs w:val="24"/>
          <w:lang w:eastAsia="zh-CN"/>
        </w:rPr>
        <w:t>（</w:t>
      </w:r>
      <w:r>
        <w:rPr>
          <w:rFonts w:hint="eastAsia" w:ascii="宋体" w:hAnsi="宋体" w:cs="宋体"/>
          <w:szCs w:val="24"/>
          <w:lang w:val="en-US" w:eastAsia="zh-CN"/>
        </w:rPr>
        <w:t>7</w:t>
      </w:r>
      <w:r>
        <w:rPr>
          <w:rFonts w:hint="eastAsia" w:ascii="宋体" w:hAnsi="宋体" w:cs="宋体"/>
          <w:szCs w:val="24"/>
          <w:lang w:eastAsia="zh-CN"/>
        </w:rPr>
        <w:t>）</w:t>
      </w:r>
      <w:r>
        <w:rPr>
          <w:rFonts w:hint="eastAsia" w:ascii="宋体" w:hAnsi="宋体" w:eastAsia="宋体" w:cs="宋体"/>
          <w:sz w:val="24"/>
          <w:szCs w:val="24"/>
          <w:highlight w:val="none"/>
        </w:rPr>
        <w:t>售后服务方案</w:t>
      </w:r>
      <w:r>
        <w:rPr>
          <w:rFonts w:hint="eastAsia" w:ascii="宋体" w:hAnsi="宋体" w:eastAsia="宋体" w:cs="宋体"/>
          <w:sz w:val="24"/>
          <w:szCs w:val="24"/>
          <w:highlight w:val="none"/>
          <w:lang w:eastAsia="zh-CN"/>
        </w:rPr>
        <w:t>；</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8</w:t>
      </w:r>
      <w:r>
        <w:rPr>
          <w:rFonts w:hint="eastAsia" w:ascii="宋体" w:hAnsi="宋体" w:cs="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）投标人需要说明的其他事项。</w:t>
      </w:r>
    </w:p>
    <w:p>
      <w:pPr>
        <w:pStyle w:val="33"/>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商务偏离表、技术偏离表、拟投入本项目的人员一览表</w:t>
      </w:r>
      <w:r>
        <w:rPr>
          <w:rFonts w:hint="eastAsia" w:ascii="宋体" w:hAnsi="宋体"/>
          <w:b/>
          <w:bCs/>
          <w:color w:val="0C0C0C"/>
        </w:rPr>
        <w:t>、</w:t>
      </w:r>
      <w:r>
        <w:rPr>
          <w:rFonts w:hint="eastAsia" w:ascii="宋体" w:hAnsi="宋体" w:cs="宋体"/>
          <w:b/>
          <w:bCs/>
        </w:rPr>
        <w:t>残疾人福利性单位声明函、同类项目业绩表必须由法定代表人或授权代表签名（或盖章）并加盖投标人CA公章；中小企业声明函须加盖投标人CA公章；签章不齐的视同未提供。</w:t>
      </w: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17"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11"/>
        <w:widowControl w:val="0"/>
        <w:snapToGrid w:val="0"/>
        <w:spacing w:afterLines="0" w:line="317" w:lineRule="auto"/>
        <w:ind w:left="0" w:firstLine="482"/>
        <w:jc w:val="both"/>
        <w:rPr>
          <w:rFonts w:ascii="宋体" w:hAnsi="宋体" w:cs="宋体"/>
          <w:b/>
          <w:bCs/>
        </w:rPr>
      </w:pPr>
      <w:r>
        <w:rPr>
          <w:rFonts w:hint="eastAsia" w:ascii="宋体" w:hAnsi="宋体" w:cs="宋体"/>
          <w:b/>
          <w:bCs/>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11"/>
        <w:widowControl w:val="0"/>
        <w:snapToGrid w:val="0"/>
        <w:spacing w:afterLines="0" w:line="317"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17" w:lineRule="auto"/>
        <w:ind w:firstLine="472" w:firstLineChars="196"/>
        <w:jc w:val="left"/>
        <w:outlineLvl w:val="0"/>
        <w:rPr>
          <w:rFonts w:ascii="宋体" w:hAnsi="宋体"/>
          <w:b/>
        </w:rPr>
      </w:pPr>
      <w:r>
        <w:rPr>
          <w:rFonts w:hint="eastAsia" w:ascii="宋体" w:hAnsi="宋体"/>
          <w:b/>
        </w:rPr>
        <w:t>电子投标</w:t>
      </w:r>
      <w:r>
        <w:rPr>
          <w:rFonts w:ascii="宋体" w:hAnsi="宋体"/>
          <w:b/>
        </w:rPr>
        <w:t>文件</w:t>
      </w:r>
    </w:p>
    <w:p>
      <w:pPr>
        <w:snapToGrid w:val="0"/>
        <w:spacing w:line="317"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sz w:val="24"/>
        </w:rPr>
        <w:t>（网址：</w:t>
      </w:r>
      <w:r>
        <w:rPr>
          <w:rFonts w:hint="eastAsia" w:ascii="宋体" w:hAnsi="宋体" w:cs="宋体"/>
          <w:kern w:val="0"/>
          <w:sz w:val="24"/>
        </w:rPr>
        <w:fldChar w:fldCharType="begin"/>
      </w:r>
      <w:r>
        <w:rPr>
          <w:rFonts w:hint="eastAsia" w:ascii="宋体" w:hAnsi="宋体" w:cs="宋体"/>
          <w:kern w:val="0"/>
          <w:sz w:val="24"/>
        </w:rPr>
        <w:instrText xml:space="preserve"> HYPERLINK "https://help.zcygov.cn/web/site_2/2018/12-28/2573.html）及本招标文件规定的格式和顺序编制电子投标文件并进行关联定位。" </w:instrText>
      </w:r>
      <w:r>
        <w:rPr>
          <w:rFonts w:hint="eastAsia" w:ascii="宋体" w:hAnsi="宋体" w:cs="宋体"/>
          <w:kern w:val="0"/>
          <w:sz w:val="24"/>
        </w:rPr>
        <w:fldChar w:fldCharType="separate"/>
      </w:r>
      <w:r>
        <w:rPr>
          <w:rFonts w:hint="eastAsia" w:ascii="宋体" w:hAnsi="宋体" w:cs="宋体"/>
          <w:kern w:val="0"/>
          <w:sz w:val="24"/>
          <w:szCs w:val="22"/>
        </w:rPr>
        <w:fldChar w:fldCharType="begin"/>
      </w:r>
      <w:r>
        <w:rPr>
          <w:rStyle w:val="44"/>
          <w:rFonts w:hint="eastAsia" w:ascii="宋体" w:hAnsi="宋体" w:cs="宋体"/>
          <w:color w:val="auto"/>
          <w:kern w:val="0"/>
          <w:sz w:val="24"/>
          <w:szCs w:val="22"/>
        </w:rPr>
        <w:instrText xml:space="preserve"> HYPERLINK "https://service.zcygov.cn/" \l "/knowledges/CW1EtGwBFdiHxlNd6I3m/6IMVAG0BFdiHxlNdQ8Na" </w:instrText>
      </w:r>
      <w:r>
        <w:rPr>
          <w:rFonts w:hint="eastAsia" w:ascii="宋体" w:hAnsi="宋体" w:cs="宋体"/>
          <w:kern w:val="0"/>
          <w:sz w:val="24"/>
          <w:szCs w:val="22"/>
        </w:rPr>
        <w:fldChar w:fldCharType="separate"/>
      </w:r>
      <w:r>
        <w:rPr>
          <w:rStyle w:val="44"/>
          <w:rFonts w:hint="eastAsia" w:ascii="宋体" w:hAnsi="宋体" w:cs="宋体"/>
          <w:color w:val="auto"/>
          <w:kern w:val="0"/>
          <w:sz w:val="24"/>
          <w:szCs w:val="22"/>
        </w:rPr>
        <w:t>https://service.zcygov.cn/#/knowledges/CW1EtGwBFdiHxlNd6I3m/6IMVAG0BFdiHxlNdQ8Na</w:t>
      </w:r>
      <w:r>
        <w:rPr>
          <w:rFonts w:hint="eastAsia" w:ascii="宋体" w:hAnsi="宋体" w:cs="宋体"/>
          <w:kern w:val="0"/>
          <w:sz w:val="24"/>
          <w:szCs w:val="22"/>
        </w:rPr>
        <w:fldChar w:fldCharType="end"/>
      </w:r>
      <w:r>
        <w:rPr>
          <w:rStyle w:val="44"/>
          <w:rFonts w:hint="eastAsia" w:ascii="宋体" w:hAnsi="宋体" w:cs="宋体"/>
          <w:color w:val="auto"/>
          <w:kern w:val="0"/>
          <w:sz w:val="24"/>
        </w:rPr>
        <w:t>）及本</w:t>
      </w:r>
      <w:r>
        <w:rPr>
          <w:rStyle w:val="44"/>
          <w:rFonts w:hint="eastAsia" w:ascii="宋体" w:hAnsi="宋体" w:cs="宋体"/>
          <w:color w:val="auto"/>
          <w:kern w:val="0"/>
          <w:sz w:val="24"/>
          <w:lang w:val="en-US" w:eastAsia="zh-CN"/>
        </w:rPr>
        <w:t>招标</w:t>
      </w:r>
      <w:r>
        <w:rPr>
          <w:rStyle w:val="44"/>
          <w:rFonts w:hint="eastAsia" w:ascii="宋体" w:hAnsi="宋体" w:cs="宋体"/>
          <w:color w:val="auto"/>
          <w:kern w:val="0"/>
          <w:sz w:val="24"/>
        </w:rPr>
        <w:t>文件规定的格式和顺序编制电子响应文件并进行关联定位。</w:t>
      </w:r>
      <w:r>
        <w:rPr>
          <w:rFonts w:hint="eastAsia" w:ascii="宋体" w:hAnsi="宋体" w:cs="宋体"/>
          <w:kern w:val="0"/>
          <w:sz w:val="24"/>
        </w:rPr>
        <w:fldChar w:fldCharType="end"/>
      </w:r>
    </w:p>
    <w:p>
      <w:pPr>
        <w:tabs>
          <w:tab w:val="left" w:pos="2212"/>
        </w:tabs>
        <w:adjustRightInd w:val="0"/>
        <w:snapToGrid w:val="0"/>
        <w:spacing w:line="317"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hint="eastAsia" w:ascii="新宋体" w:hAnsi="新宋体" w:eastAsia="新宋体" w:cs="Courier New"/>
          <w:szCs w:val="21"/>
          <w:lang w:val="en-US" w:eastAsia="zh-CN"/>
        </w:rPr>
        <w:t>12月16日</w:t>
      </w:r>
      <w:r>
        <w:rPr>
          <w:rFonts w:hint="eastAsia" w:ascii="新宋体" w:hAnsi="新宋体" w:eastAsia="新宋体" w:cs="Courier New"/>
          <w:szCs w:val="21"/>
        </w:rPr>
        <w:t>14</w:t>
      </w:r>
      <w:r>
        <w:rPr>
          <w:rFonts w:ascii="新宋体" w:hAnsi="新宋体" w:eastAsia="新宋体" w:cs="Courier New"/>
          <w:szCs w:val="21"/>
        </w:rPr>
        <w:t>：</w:t>
      </w:r>
      <w:r>
        <w:rPr>
          <w:rFonts w:hint="eastAsia" w:ascii="新宋体" w:hAnsi="新宋体" w:eastAsia="新宋体" w:cs="Courier New"/>
          <w:szCs w:val="21"/>
          <w:lang w:val="en-US" w:eastAsia="zh-CN"/>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17"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2"/>
        <w:spacing w:beforeLines="0" w:afterLines="0" w:line="317"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17" w:lineRule="auto"/>
        <w:ind w:firstLine="480"/>
        <w:rPr>
          <w:rFonts w:ascii="宋体" w:hAnsi="宋体" w:cs="宋体"/>
          <w:szCs w:val="24"/>
        </w:rPr>
      </w:pPr>
      <w:r>
        <w:rPr>
          <w:rFonts w:hint="eastAsia" w:ascii="宋体" w:hAnsi="宋体" w:cs="宋体"/>
          <w:szCs w:val="24"/>
        </w:rPr>
        <w:t>开标时间后半小时内（2022年</w:t>
      </w:r>
      <w:r>
        <w:rPr>
          <w:rFonts w:hint="eastAsia" w:ascii="宋体" w:hAnsi="宋体" w:cs="宋体"/>
          <w:szCs w:val="24"/>
          <w:lang w:val="en-US" w:eastAsia="zh-CN"/>
        </w:rPr>
        <w:t>12月16日</w:t>
      </w:r>
      <w:r>
        <w:rPr>
          <w:rFonts w:hint="eastAsia" w:ascii="宋体" w:hAnsi="宋体" w:cs="宋体"/>
          <w:szCs w:val="24"/>
        </w:rPr>
        <w:t>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0前）供应商可以登录“政采云”平台，用“项目采购-开标评标”功能进行解密投标文件。若供应商在规定时间内（2022年</w:t>
      </w:r>
      <w:r>
        <w:rPr>
          <w:rFonts w:hint="eastAsia" w:ascii="宋体" w:hAnsi="宋体" w:cs="宋体"/>
          <w:szCs w:val="24"/>
          <w:lang w:val="en-US" w:eastAsia="zh-CN"/>
        </w:rPr>
        <w:t>12月16日</w:t>
      </w:r>
      <w:r>
        <w:rPr>
          <w:rFonts w:hint="eastAsia" w:ascii="宋体" w:hAnsi="宋体" w:cs="宋体"/>
          <w:szCs w:val="24"/>
        </w:rPr>
        <w:t>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0前）无法解密或解密失败，将导致投标无效或失败。</w:t>
      </w:r>
    </w:p>
    <w:p>
      <w:pPr>
        <w:pStyle w:val="22"/>
        <w:adjustRightInd w:val="0"/>
        <w:snapToGrid w:val="0"/>
        <w:spacing w:beforeLines="0" w:afterLines="0" w:line="317"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int="eastAsia" w:hAnsi="宋体"/>
          <w:b/>
          <w:sz w:val="24"/>
          <w:szCs w:val="24"/>
          <w:lang w:val="en-US" w:eastAsia="zh-CN"/>
        </w:rPr>
        <w:t>12月16日</w:t>
      </w:r>
      <w:r>
        <w:rPr>
          <w:rFonts w:hint="eastAsia" w:hAnsi="宋体"/>
          <w:b/>
          <w:sz w:val="24"/>
          <w:szCs w:val="24"/>
        </w:rPr>
        <w:t>14</w:t>
      </w:r>
      <w:r>
        <w:rPr>
          <w:rFonts w:hAnsi="宋体"/>
          <w:b/>
          <w:sz w:val="24"/>
          <w:szCs w:val="24"/>
        </w:rPr>
        <w:t>:</w:t>
      </w:r>
      <w:r>
        <w:rPr>
          <w:rFonts w:hint="eastAsia" w:hAnsi="宋体"/>
          <w:b/>
          <w:sz w:val="24"/>
          <w:szCs w:val="24"/>
          <w:lang w:val="en-US" w:eastAsia="zh-CN"/>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11"/>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11"/>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11"/>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7"/>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7"/>
        <w:snapToGrid w:val="0"/>
        <w:spacing w:line="300" w:lineRule="auto"/>
        <w:ind w:firstLine="472" w:firstLineChars="196"/>
        <w:rPr>
          <w:rFonts w:ascii="宋体" w:hAnsi="宋体" w:cs="宋体"/>
          <w:b/>
          <w:bCs/>
          <w:color w:val="000000"/>
        </w:rPr>
      </w:pPr>
    </w:p>
    <w:p>
      <w:pPr>
        <w:pStyle w:val="8"/>
        <w:spacing w:before="0" w:after="0" w:line="300" w:lineRule="auto"/>
        <w:ind w:firstLine="643"/>
        <w:jc w:val="center"/>
        <w:rPr>
          <w:rFonts w:ascii="宋体" w:hAnsi="宋体" w:cs="宋体"/>
        </w:rPr>
      </w:pPr>
      <w:bookmarkStart w:id="28" w:name="_五、开标"/>
      <w:bookmarkEnd w:id="28"/>
      <w:bookmarkStart w:id="29" w:name="_Toc22916"/>
      <w:r>
        <w:rPr>
          <w:rFonts w:hint="eastAsia" w:ascii="宋体" w:hAnsi="宋体" w:cs="宋体"/>
        </w:rPr>
        <w:t>五、开标</w:t>
      </w:r>
      <w:bookmarkEnd w:id="29"/>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7"/>
        <w:snapToGrid w:val="0"/>
        <w:spacing w:line="300" w:lineRule="auto"/>
        <w:ind w:firstLine="480"/>
        <w:rPr>
          <w:rFonts w:ascii="宋体" w:hAnsi="宋体" w:cs="宋体"/>
        </w:rPr>
      </w:pPr>
      <w:r>
        <w:rPr>
          <w:rFonts w:hint="eastAsia" w:ascii="宋体" w:hAnsi="宋体" w:cs="宋体"/>
        </w:rPr>
        <w:t>采购代理机构负责组织评标工作，并履行下列职责：</w:t>
      </w:r>
    </w:p>
    <w:p>
      <w:pPr>
        <w:pStyle w:val="17"/>
        <w:snapToGrid w:val="0"/>
        <w:spacing w:line="300" w:lineRule="auto"/>
        <w:ind w:firstLine="480"/>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7"/>
        <w:snapToGrid w:val="0"/>
        <w:spacing w:line="300" w:lineRule="auto"/>
        <w:ind w:firstLine="480"/>
        <w:rPr>
          <w:rFonts w:ascii="宋体" w:hAnsi="宋体" w:cs="宋体"/>
        </w:rPr>
      </w:pPr>
      <w:r>
        <w:rPr>
          <w:rFonts w:hint="eastAsia" w:ascii="宋体" w:hAnsi="宋体" w:cs="宋体"/>
        </w:rPr>
        <w:t>2.宣布评标纪律；</w:t>
      </w:r>
    </w:p>
    <w:p>
      <w:pPr>
        <w:pStyle w:val="17"/>
        <w:snapToGrid w:val="0"/>
        <w:spacing w:line="300" w:lineRule="auto"/>
        <w:ind w:firstLine="480"/>
        <w:rPr>
          <w:rFonts w:ascii="宋体" w:hAnsi="宋体" w:cs="宋体"/>
        </w:rPr>
      </w:pPr>
      <w:r>
        <w:rPr>
          <w:rFonts w:hint="eastAsia" w:ascii="宋体" w:hAnsi="宋体" w:cs="宋体"/>
        </w:rPr>
        <w:t>3.公布投标人名单，告知评审专家应当回避的情形；</w:t>
      </w:r>
    </w:p>
    <w:p>
      <w:pPr>
        <w:pStyle w:val="17"/>
        <w:snapToGrid w:val="0"/>
        <w:spacing w:line="300" w:lineRule="auto"/>
        <w:ind w:firstLine="480"/>
        <w:rPr>
          <w:rFonts w:ascii="宋体" w:hAnsi="宋体" w:cs="宋体"/>
        </w:rPr>
      </w:pPr>
      <w:r>
        <w:rPr>
          <w:rFonts w:hint="eastAsia" w:ascii="宋体" w:hAnsi="宋体" w:cs="宋体"/>
        </w:rPr>
        <w:t>4.组织评标委员会推选评标组长，采购人代表不得担任组长；</w:t>
      </w:r>
    </w:p>
    <w:p>
      <w:pPr>
        <w:pStyle w:val="17"/>
        <w:snapToGrid w:val="0"/>
        <w:spacing w:line="300" w:lineRule="auto"/>
        <w:ind w:firstLine="480"/>
        <w:rPr>
          <w:rFonts w:ascii="宋体" w:hAnsi="宋体" w:cs="宋体"/>
        </w:rPr>
      </w:pPr>
      <w:r>
        <w:rPr>
          <w:rFonts w:hint="eastAsia" w:ascii="宋体" w:hAnsi="宋体" w:cs="宋体"/>
        </w:rPr>
        <w:t>5.在评标期间采取必要的通讯管理措施，保证评标活动不受外界干扰；</w:t>
      </w:r>
    </w:p>
    <w:p>
      <w:pPr>
        <w:pStyle w:val="17"/>
        <w:snapToGrid w:val="0"/>
        <w:spacing w:line="300" w:lineRule="auto"/>
        <w:ind w:firstLine="480"/>
        <w:rPr>
          <w:rFonts w:ascii="宋体" w:hAnsi="宋体" w:cs="宋体"/>
        </w:rPr>
      </w:pPr>
      <w:r>
        <w:rPr>
          <w:rFonts w:hint="eastAsia" w:ascii="宋体" w:hAnsi="宋体" w:cs="宋体"/>
        </w:rPr>
        <w:t>6.根据评标委员会的要求介绍政府采购相关政策法规、招标文件；</w:t>
      </w:r>
    </w:p>
    <w:p>
      <w:pPr>
        <w:pStyle w:val="17"/>
        <w:snapToGrid w:val="0"/>
        <w:spacing w:line="300" w:lineRule="auto"/>
        <w:ind w:firstLine="480"/>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7"/>
        <w:snapToGrid w:val="0"/>
        <w:spacing w:line="300" w:lineRule="auto"/>
        <w:ind w:firstLine="480"/>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7"/>
        <w:snapToGrid w:val="0"/>
        <w:spacing w:line="300" w:lineRule="auto"/>
        <w:ind w:firstLine="480"/>
        <w:rPr>
          <w:rFonts w:ascii="宋体" w:hAnsi="宋体" w:cs="宋体"/>
        </w:rPr>
      </w:pPr>
      <w:r>
        <w:rPr>
          <w:rFonts w:hint="eastAsia" w:ascii="宋体" w:hAnsi="宋体" w:cs="宋体"/>
        </w:rPr>
        <w:t>9.处理与评标有关的其他事项。</w:t>
      </w:r>
    </w:p>
    <w:p>
      <w:pPr>
        <w:pStyle w:val="17"/>
        <w:snapToGrid w:val="0"/>
        <w:spacing w:line="480" w:lineRule="exact"/>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7"/>
        <w:snapToGrid w:val="0"/>
        <w:spacing w:line="480" w:lineRule="exact"/>
        <w:ind w:firstLine="472" w:firstLineChars="196"/>
        <w:rPr>
          <w:rFonts w:hAnsi="宋体"/>
          <w:b/>
          <w:bCs/>
        </w:rPr>
      </w:pPr>
      <w:r>
        <w:rPr>
          <w:rFonts w:hint="eastAsia" w:hAnsi="宋体"/>
          <w:b/>
          <w:bCs/>
        </w:rPr>
        <w:t>（三）电子开评标及评审程序</w:t>
      </w:r>
    </w:p>
    <w:p>
      <w:pPr>
        <w:pStyle w:val="17"/>
        <w:snapToGrid w:val="0"/>
        <w:spacing w:line="480" w:lineRule="exact"/>
        <w:ind w:firstLine="470" w:firstLineChars="196"/>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7"/>
        <w:snapToGrid w:val="0"/>
        <w:spacing w:line="480" w:lineRule="exact"/>
        <w:ind w:firstLine="470" w:firstLineChars="196"/>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7"/>
        <w:snapToGrid w:val="0"/>
        <w:spacing w:line="480" w:lineRule="exact"/>
        <w:ind w:firstLine="470" w:firstLineChars="196"/>
        <w:rPr>
          <w:rFonts w:ascii="宋体" w:hAnsi="宋体" w:cs="宋体"/>
        </w:rPr>
      </w:pPr>
      <w:r>
        <w:rPr>
          <w:rFonts w:hint="eastAsia" w:ascii="宋体" w:hAnsi="宋体" w:cs="宋体"/>
        </w:rPr>
        <w:t>3.评标委员会对报价文件进行评审；</w:t>
      </w:r>
    </w:p>
    <w:p>
      <w:pPr>
        <w:pStyle w:val="17"/>
        <w:snapToGrid w:val="0"/>
        <w:spacing w:line="480" w:lineRule="exact"/>
        <w:ind w:firstLine="470" w:firstLineChars="196"/>
        <w:rPr>
          <w:rFonts w:ascii="宋体" w:hAnsi="宋体" w:cs="宋体"/>
        </w:rPr>
      </w:pPr>
      <w:r>
        <w:rPr>
          <w:rFonts w:hint="eastAsia" w:ascii="宋体" w:hAnsi="宋体" w:cs="宋体"/>
        </w:rPr>
        <w:t>4.在系统上公布评审结果。</w:t>
      </w:r>
    </w:p>
    <w:p>
      <w:pPr>
        <w:pStyle w:val="22"/>
        <w:snapToGrid w:val="0"/>
        <w:spacing w:beforeLines="0" w:afterLines="0" w:line="300" w:lineRule="auto"/>
        <w:ind w:firstLine="602"/>
        <w:jc w:val="center"/>
        <w:rPr>
          <w:rFonts w:hAnsi="宋体" w:cs="宋体"/>
          <w:b/>
          <w:bCs/>
          <w:sz w:val="30"/>
          <w:szCs w:val="30"/>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0" w:name="_Toc14788"/>
      <w:r>
        <w:rPr>
          <w:rFonts w:hint="eastAsia" w:ascii="宋体" w:hAnsi="宋体" w:cs="宋体"/>
        </w:rPr>
        <w:t>六、评标</w:t>
      </w:r>
      <w:bookmarkEnd w:id="30"/>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（二）评标的方式</w:t>
      </w:r>
    </w:p>
    <w:p>
      <w:pPr>
        <w:snapToGrid w:val="0"/>
        <w:spacing w:line="300" w:lineRule="auto"/>
        <w:ind w:firstLine="480"/>
        <w:rPr>
          <w:rFonts w:ascii="宋体" w:hAnsi="宋体" w:cs="宋体"/>
          <w:szCs w:val="24"/>
        </w:rPr>
      </w:pPr>
      <w:r>
        <w:rPr>
          <w:rFonts w:hint="eastAsia" w:ascii="宋体" w:hAnsi="宋体" w:cs="宋体"/>
          <w:szCs w:val="24"/>
        </w:rPr>
        <w:t>本项目采用不公开方式评标，评标的依据为采购文件和投标文件。</w:t>
      </w:r>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（三）评标程序</w:t>
      </w:r>
    </w:p>
    <w:p>
      <w:pPr>
        <w:pStyle w:val="22"/>
        <w:snapToGrid w:val="0"/>
        <w:spacing w:beforeLines="0" w:afterLines="0" w:line="300" w:lineRule="auto"/>
        <w:ind w:firstLine="480"/>
        <w:rPr>
          <w:rFonts w:hAnsi="宋体" w:cs="宋体"/>
          <w:bCs/>
          <w:sz w:val="24"/>
          <w:szCs w:val="24"/>
        </w:rPr>
      </w:pPr>
      <w:r>
        <w:rPr>
          <w:rFonts w:hint="eastAsia" w:hAnsi="宋体" w:cs="宋体"/>
          <w:bCs/>
          <w:sz w:val="24"/>
          <w:szCs w:val="24"/>
        </w:rPr>
        <w:t>采购人可以在评标前说明项目背景和采购需求，说明内容不得含有歧视性、倾向性意见，不得超出招标文件所述范围。说明应当提交书面材料，并随采购文件一并存档。</w:t>
      </w:r>
    </w:p>
    <w:p>
      <w:pPr>
        <w:pStyle w:val="22"/>
        <w:snapToGrid w:val="0"/>
        <w:spacing w:beforeLines="0" w:afterLines="0" w:line="300" w:lineRule="auto"/>
        <w:ind w:firstLine="480"/>
        <w:rPr>
          <w:rFonts w:hAnsi="宋体" w:cs="宋体"/>
          <w:bCs/>
          <w:sz w:val="24"/>
          <w:szCs w:val="24"/>
        </w:rPr>
      </w:pPr>
      <w:r>
        <w:rPr>
          <w:rFonts w:hint="eastAsia" w:hAnsi="宋体" w:cs="宋体"/>
          <w:bCs/>
          <w:sz w:val="24"/>
          <w:szCs w:val="24"/>
        </w:rPr>
        <w:t>具体评标程序详见第四章评标办法。</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480" w:lineRule="exact"/>
        <w:ind w:firstLine="482"/>
        <w:rPr>
          <w:rFonts w:ascii="宋体" w:hAnsi="宋体"/>
          <w:b/>
          <w:szCs w:val="24"/>
        </w:rPr>
      </w:pPr>
      <w:r>
        <w:rPr>
          <w:rFonts w:hint="eastAsia" w:ascii="宋体" w:hAnsi="宋体"/>
          <w:b/>
          <w:szCs w:val="24"/>
        </w:rPr>
        <w:t>（五）澄清问题的形式</w:t>
      </w:r>
    </w:p>
    <w:p>
      <w:pPr>
        <w:spacing w:line="480" w:lineRule="exact"/>
        <w:ind w:firstLine="480"/>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2"/>
        <w:tabs>
          <w:tab w:val="left" w:pos="0"/>
        </w:tabs>
        <w:spacing w:beforeLines="0" w:afterLines="0" w:line="480" w:lineRule="exact"/>
        <w:ind w:firstLine="480"/>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1" w:name="_Toc17457"/>
      <w:r>
        <w:rPr>
          <w:rFonts w:hint="eastAsia" w:ascii="宋体" w:hAnsi="宋体" w:cs="宋体"/>
        </w:rPr>
        <w:t>七、定标</w:t>
      </w:r>
      <w:bookmarkEnd w:id="3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2" w:name="_Toc30738"/>
      <w:r>
        <w:rPr>
          <w:rFonts w:hint="eastAsia" w:ascii="宋体" w:hAnsi="宋体" w:cs="宋体"/>
        </w:rPr>
        <w:t>八、合同授予</w:t>
      </w:r>
      <w:bookmarkEnd w:id="32"/>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lang w:val="en-US" w:eastAsia="zh-CN"/>
        </w:rPr>
        <w:t>本项目不设置履约保证金</w:t>
      </w:r>
      <w:r>
        <w:rPr>
          <w:rFonts w:hint="eastAsia" w:ascii="宋体" w:hAnsi="宋体" w:cs="宋体"/>
          <w:color w:val="auto"/>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2．签订合同后，如中标人不按双方签订合同约定履约，则按实际损失赔偿</w:t>
      </w:r>
      <w:r>
        <w:rPr>
          <w:rFonts w:hint="eastAsia" w:ascii="宋体" w:hAnsi="宋体" w:cs="宋体"/>
        </w:rPr>
        <w:t>。</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5"/>
        <w:ind w:firstLine="723"/>
        <w:rPr>
          <w:sz w:val="36"/>
          <w:szCs w:val="36"/>
        </w:rPr>
      </w:pPr>
      <w:bookmarkStart w:id="33" w:name="_Toc9447"/>
      <w:r>
        <w:rPr>
          <w:rFonts w:hint="eastAsia"/>
          <w:sz w:val="36"/>
          <w:szCs w:val="36"/>
        </w:rPr>
        <w:t>第四章  评标办法</w:t>
      </w:r>
      <w:bookmarkEnd w:id="33"/>
    </w:p>
    <w:p>
      <w:pPr>
        <w:pStyle w:val="22"/>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嘉善技师学院（筹）购置培训教学仪器设备（电子电工实训设备）</w:t>
      </w: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嘉善技师学院（筹）购置培训教学仪器设备（电子电工实训设备）</w:t>
      </w:r>
      <w:r>
        <w:rPr>
          <w:rFonts w:hint="eastAsia" w:ascii="宋体" w:hAnsi="宋体" w:cs="宋体"/>
          <w:color w:val="000000"/>
          <w:szCs w:val="24"/>
        </w:rPr>
        <w:t>政府采购项目的评标。</w:t>
      </w:r>
    </w:p>
    <w:p>
      <w:pPr>
        <w:pStyle w:val="24"/>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技术资信商务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0"/>
        <w:rPr>
          <w:rFonts w:ascii="宋体" w:hAnsi="宋体" w:cs="宋体"/>
          <w:color w:val="000000"/>
          <w:szCs w:val="24"/>
        </w:rPr>
      </w:pPr>
      <w:r>
        <w:rPr>
          <w:rFonts w:hint="eastAsia" w:ascii="宋体" w:hAnsi="宋体"/>
          <w:color w:val="000000"/>
        </w:rPr>
        <w:t>投标人评标综合得分=价格分+技术分+</w:t>
      </w:r>
      <w:r>
        <w:rPr>
          <w:rFonts w:hint="eastAsia" w:ascii="宋体" w:hAnsi="宋体" w:cs="宋体"/>
          <w:szCs w:val="24"/>
        </w:rPr>
        <w:t>商务资信分</w:t>
      </w:r>
    </w:p>
    <w:p>
      <w:pPr>
        <w:pStyle w:val="24"/>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7"/>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7"/>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7"/>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7"/>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7"/>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7"/>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7"/>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7"/>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7"/>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7"/>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7"/>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7"/>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7"/>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7"/>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7"/>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7"/>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7"/>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4"/>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3" w:lineRule="auto"/>
        <w:ind w:firstLine="566" w:firstLineChars="236"/>
        <w:rPr>
          <w:rFonts w:ascii="宋体" w:hAnsi="宋体" w:cs="宋体"/>
          <w:color w:val="auto"/>
          <w:szCs w:val="24"/>
        </w:rPr>
      </w:pPr>
      <w:r>
        <w:rPr>
          <w:rFonts w:hint="eastAsia" w:ascii="宋体" w:hAnsi="宋体" w:cs="宋体"/>
          <w:color w:val="000000"/>
          <w:szCs w:val="24"/>
          <w:lang w:val="en-US" w:eastAsia="zh-CN"/>
        </w:rPr>
        <w:t>2</w:t>
      </w:r>
      <w:r>
        <w:rPr>
          <w:rFonts w:hint="eastAsia" w:ascii="宋体" w:hAnsi="宋体" w:cs="宋体"/>
          <w:color w:val="000000"/>
          <w:szCs w:val="24"/>
        </w:rPr>
        <w:t>.投标人的投标报价超过采购上限价的，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Pr>
          <w:rFonts w:hint="eastAsia" w:ascii="宋体" w:hAnsi="宋体" w:cs="宋体"/>
          <w:color w:val="auto"/>
          <w:szCs w:val="24"/>
        </w:rPr>
        <w:t>委员会应当将其作为无效投标处理。</w:t>
      </w:r>
    </w:p>
    <w:p>
      <w:pPr>
        <w:spacing w:line="300" w:lineRule="auto"/>
        <w:ind w:firstLine="569" w:firstLineChars="236"/>
        <w:rPr>
          <w:rFonts w:hint="eastAsia" w:ascii="宋体" w:hAnsi="宋体" w:cs="宋体"/>
          <w:b/>
          <w:color w:val="auto"/>
          <w:szCs w:val="24"/>
        </w:rPr>
      </w:pPr>
      <w:r>
        <w:rPr>
          <w:rFonts w:hint="eastAsia" w:ascii="宋体" w:hAnsi="宋体" w:cs="宋体"/>
          <w:b/>
          <w:color w:val="auto"/>
          <w:szCs w:val="24"/>
          <w:lang w:val="en-US" w:eastAsia="zh-CN"/>
        </w:rPr>
        <w:t>3</w:t>
      </w:r>
      <w:r>
        <w:rPr>
          <w:rFonts w:hint="eastAsia" w:ascii="宋体" w:hAnsi="宋体" w:cs="宋体"/>
          <w:b/>
          <w:color w:val="auto"/>
          <w:szCs w:val="24"/>
        </w:rPr>
        <w:t>.本项目采购上限价为人民币</w:t>
      </w:r>
      <w:r>
        <w:rPr>
          <w:rFonts w:hint="eastAsia" w:ascii="宋体" w:hAnsi="宋体" w:cs="宋体"/>
          <w:b/>
          <w:color w:val="auto"/>
          <w:szCs w:val="24"/>
          <w:lang w:val="en-US" w:eastAsia="zh-CN"/>
        </w:rPr>
        <w:t>柒</w:t>
      </w:r>
      <w:r>
        <w:rPr>
          <w:rFonts w:hint="eastAsia" w:ascii="宋体" w:hAnsi="宋体" w:cs="宋体"/>
          <w:b/>
          <w:color w:val="auto"/>
          <w:szCs w:val="24"/>
        </w:rPr>
        <w:t>拾</w:t>
      </w:r>
      <w:r>
        <w:rPr>
          <w:rFonts w:hint="eastAsia" w:ascii="宋体" w:hAnsi="宋体" w:cs="宋体"/>
          <w:b/>
          <w:color w:val="auto"/>
          <w:szCs w:val="24"/>
          <w:lang w:val="en-US" w:eastAsia="zh-CN"/>
        </w:rPr>
        <w:t>陆万捌仟</w:t>
      </w:r>
      <w:r>
        <w:rPr>
          <w:rFonts w:hint="eastAsia" w:ascii="宋体" w:hAnsi="宋体" w:cs="宋体"/>
          <w:b/>
          <w:color w:val="auto"/>
          <w:szCs w:val="24"/>
        </w:rPr>
        <w:t>元整（¥</w:t>
      </w:r>
      <w:r>
        <w:rPr>
          <w:rFonts w:hint="eastAsia" w:ascii="宋体" w:hAnsi="宋体" w:cs="宋体"/>
          <w:b/>
          <w:color w:val="auto"/>
          <w:szCs w:val="24"/>
          <w:lang w:val="en-US" w:eastAsia="zh-CN"/>
        </w:rPr>
        <w:t>768</w:t>
      </w:r>
      <w:r>
        <w:rPr>
          <w:rFonts w:hint="eastAsia" w:ascii="宋体" w:hAnsi="宋体" w:cs="宋体"/>
          <w:b/>
          <w:color w:val="auto"/>
          <w:szCs w:val="24"/>
        </w:rPr>
        <w:t>000.00元）。</w:t>
      </w:r>
    </w:p>
    <w:p>
      <w:pPr>
        <w:pStyle w:val="47"/>
        <w:rPr>
          <w:color w:val="auto"/>
        </w:rPr>
      </w:pPr>
    </w:p>
    <w:p>
      <w:pPr>
        <w:spacing w:line="300" w:lineRule="auto"/>
        <w:ind w:firstLine="569" w:firstLineChars="236"/>
        <w:rPr>
          <w:rFonts w:ascii="宋体" w:hAnsi="宋体" w:cs="宋体"/>
          <w:b/>
          <w:color w:val="auto"/>
          <w:szCs w:val="24"/>
        </w:rPr>
      </w:pPr>
      <w:r>
        <w:rPr>
          <w:rFonts w:hint="eastAsia" w:ascii="宋体" w:hAnsi="宋体" w:cs="宋体"/>
          <w:b/>
          <w:color w:val="auto"/>
          <w:szCs w:val="24"/>
        </w:rPr>
        <w:t>（二）技术商务资信分（70分）</w:t>
      </w:r>
    </w:p>
    <w:tbl>
      <w:tblPr>
        <w:tblStyle w:val="38"/>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9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技术分</w:t>
            </w:r>
          </w:p>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61</w:t>
            </w:r>
            <w:r>
              <w:rPr>
                <w:rFonts w:hint="eastAsia" w:ascii="宋体" w:hAnsi="宋体" w:eastAsia="宋体" w:cs="宋体"/>
                <w:color w:val="auto"/>
                <w:sz w:val="24"/>
                <w:szCs w:val="24"/>
              </w:rPr>
              <w:t>分）</w:t>
            </w:r>
          </w:p>
        </w:tc>
        <w:tc>
          <w:tcPr>
            <w:tcW w:w="139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技术参数响应</w:t>
            </w:r>
          </w:p>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w:t>
            </w:r>
          </w:p>
        </w:tc>
        <w:tc>
          <w:tcPr>
            <w:tcW w:w="6945" w:type="dxa"/>
            <w:tcBorders>
              <w:top w:val="single" w:color="auto" w:sz="4" w:space="0"/>
              <w:left w:val="single" w:color="auto" w:sz="4" w:space="0"/>
              <w:bottom w:val="single" w:color="auto" w:sz="4" w:space="0"/>
              <w:right w:val="single" w:color="auto" w:sz="4" w:space="0"/>
            </w:tcBorders>
            <w:vAlign w:val="center"/>
          </w:tcPr>
          <w:p>
            <w:pPr>
              <w:pStyle w:val="112"/>
              <w:keepNext w:val="0"/>
              <w:keepLines w:val="0"/>
              <w:pageBreakBefore w:val="0"/>
              <w:kinsoku/>
              <w:wordWrap/>
              <w:overflowPunct/>
              <w:topLinePunct w:val="0"/>
              <w:autoSpaceDE/>
              <w:autoSpaceDN/>
              <w:bidi w:val="0"/>
              <w:snapToGrid/>
              <w:spacing w:after="60" w:afterLines="25" w:line="30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投标产品完全符合采购需求中投标产品技术指标及要求的得</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其中</w:t>
            </w:r>
            <w:r>
              <w:rPr>
                <w:rFonts w:hint="eastAsia" w:ascii="宋体" w:hAnsi="宋体" w:eastAsia="宋体" w:cs="宋体"/>
                <w:color w:val="auto"/>
                <w:kern w:val="2"/>
                <w:sz w:val="24"/>
                <w:szCs w:val="24"/>
                <w:highlight w:val="none"/>
                <w:lang w:val="en-US" w:eastAsia="zh-CN" w:bidi="ar-SA"/>
              </w:rPr>
              <w:t>打“★”为重要参数，每有一项不满足的扣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分，其他技术参数要求负偏离或缺漏项的每项扣</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分，扣完为止。</w:t>
            </w:r>
          </w:p>
          <w:p>
            <w:pPr>
              <w:pStyle w:val="112"/>
              <w:keepNext w:val="0"/>
              <w:keepLines w:val="0"/>
              <w:pageBreakBefore w:val="0"/>
              <w:kinsoku/>
              <w:wordWrap/>
              <w:overflowPunct/>
              <w:topLinePunct w:val="0"/>
              <w:autoSpaceDE/>
              <w:autoSpaceDN/>
              <w:bidi w:val="0"/>
              <w:snapToGrid/>
              <w:spacing w:after="60" w:afterLines="25"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注：采购需求中带“▲”的为实质性要求条款，不允许负偏离，否则作无效标处理。</w:t>
            </w:r>
            <w:r>
              <w:rPr>
                <w:rFonts w:hint="eastAsia" w:ascii="宋体" w:hAnsi="宋体" w:cs="宋体"/>
                <w:color w:val="auto"/>
                <w:sz w:val="24"/>
                <w:szCs w:val="24"/>
              </w:rPr>
              <w:t>采购需求中要求提供</w:t>
            </w:r>
            <w:r>
              <w:rPr>
                <w:rFonts w:hint="eastAsia" w:ascii="宋体" w:hAnsi="宋体" w:cs="宋体"/>
                <w:color w:val="auto"/>
                <w:sz w:val="24"/>
                <w:szCs w:val="24"/>
                <w:lang w:val="en-US" w:eastAsia="zh-CN"/>
              </w:rPr>
              <w:t>图片、证明材料</w:t>
            </w:r>
            <w:r>
              <w:rPr>
                <w:rFonts w:hint="eastAsia" w:ascii="宋体" w:hAnsi="宋体" w:cs="宋体"/>
                <w:color w:val="auto"/>
                <w:sz w:val="24"/>
                <w:szCs w:val="24"/>
              </w:rPr>
              <w:t>的技术参数，投标文件中须提供相应的材料，未提供视作负偏离</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auto"/>
                <w:kern w:val="2"/>
                <w:sz w:val="24"/>
                <w:szCs w:val="24"/>
                <w:lang w:val="zh-CN" w:eastAsia="zh-CN" w:bidi="ar-SA"/>
              </w:rPr>
            </w:pPr>
            <w:r>
              <w:rPr>
                <w:rFonts w:hint="eastAsia" w:ascii="宋体" w:hAnsi="宋体" w:cs="宋体"/>
                <w:color w:val="auto"/>
                <w:sz w:val="24"/>
                <w:szCs w:val="24"/>
                <w:lang w:val="en-US" w:eastAsia="zh-CN"/>
              </w:rPr>
              <w:t>项目组织实施方案（6分）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eastAsia="宋体" w:cs="宋体"/>
                <w:color w:val="auto"/>
                <w:kern w:val="0"/>
                <w:sz w:val="24"/>
                <w:szCs w:val="24"/>
              </w:rPr>
              <w:t>根</w:t>
            </w:r>
            <w:r>
              <w:rPr>
                <w:rFonts w:hint="eastAsia" w:ascii="宋体" w:hAnsi="Times New Roman" w:eastAsia="宋体" w:cs="宋体"/>
                <w:color w:val="auto"/>
                <w:kern w:val="0"/>
                <w:sz w:val="24"/>
                <w:szCs w:val="24"/>
                <w:lang w:val="en-US" w:eastAsia="zh-CN"/>
              </w:rPr>
              <w:t>据投标人针对本次项目提出的具体组织实施方案，包括详细组织实施方案的完整性、合理性、科学性，安装阶段沟通机制以及为保障项目顺利实施的各项措施（如质量保证、工期保证等）</w:t>
            </w:r>
            <w:r>
              <w:rPr>
                <w:rFonts w:hint="eastAsia" w:ascii="宋体" w:eastAsia="宋体" w:cs="宋体"/>
                <w:color w:val="auto"/>
                <w:kern w:val="0"/>
                <w:sz w:val="24"/>
                <w:szCs w:val="24"/>
                <w:lang w:val="en-US" w:eastAsia="zh-CN"/>
              </w:rPr>
              <w:t>等内容进行打分，</w:t>
            </w:r>
            <w:r>
              <w:rPr>
                <w:rFonts w:hint="eastAsia" w:ascii="宋体" w:hAnsi="宋体" w:eastAsia="宋体" w:cs="宋体"/>
                <w:color w:val="auto"/>
                <w:sz w:val="24"/>
                <w:szCs w:val="24"/>
              </w:rPr>
              <w:t>同时满足全面、科学、合理的得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分；满足部分要求的得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4.9</w:t>
            </w:r>
            <w:r>
              <w:rPr>
                <w:rFonts w:hint="eastAsia" w:ascii="宋体" w:hAnsi="宋体" w:eastAsia="宋体" w:cs="宋体"/>
                <w:color w:val="auto"/>
                <w:sz w:val="24"/>
                <w:szCs w:val="24"/>
              </w:rPr>
              <w:t>分；针对性不强、内容模式化</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cs="宋体"/>
                <w:color w:val="auto"/>
                <w:szCs w:val="24"/>
              </w:rPr>
              <w:t>拟投入本项目人员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6分</w:t>
            </w:r>
            <w:r>
              <w:rPr>
                <w:rFonts w:hint="eastAsia" w:ascii="宋体" w:hAnsi="宋体" w:eastAsia="宋体" w:cs="宋体"/>
                <w:color w:val="auto"/>
                <w:sz w:val="24"/>
                <w:szCs w:val="24"/>
                <w:lang w:eastAsia="zh-CN"/>
              </w:rPr>
              <w:t>）</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根据投标人</w:t>
            </w:r>
            <w:r>
              <w:rPr>
                <w:rFonts w:hint="eastAsia" w:ascii="宋体" w:hAnsi="宋体" w:eastAsia="宋体" w:cs="宋体"/>
                <w:color w:val="auto"/>
                <w:sz w:val="24"/>
                <w:szCs w:val="24"/>
              </w:rPr>
              <w:t>针对本项目提出的拟派项目实施团队情况，包括拟派项目实施团队配置的人员数量、人员专业水平、类似工作经验、分工情况等</w:t>
            </w:r>
            <w:r>
              <w:rPr>
                <w:rFonts w:hint="eastAsia" w:ascii="宋体" w:hAnsi="宋体" w:eastAsia="宋体" w:cs="宋体"/>
                <w:color w:val="auto"/>
                <w:sz w:val="24"/>
                <w:szCs w:val="24"/>
                <w:lang w:val="en-US" w:eastAsia="zh-CN"/>
              </w:rPr>
              <w:t>打分，</w:t>
            </w:r>
            <w:r>
              <w:rPr>
                <w:rFonts w:hint="eastAsia" w:ascii="宋体" w:hAnsi="宋体" w:eastAsia="宋体" w:cs="宋体"/>
                <w:color w:val="auto"/>
                <w:szCs w:val="24"/>
              </w:rPr>
              <w:t>人员配备合理的得</w:t>
            </w:r>
            <w:r>
              <w:rPr>
                <w:rFonts w:hint="eastAsia" w:ascii="宋体" w:hAnsi="宋体" w:cs="宋体"/>
                <w:color w:val="auto"/>
                <w:szCs w:val="24"/>
                <w:lang w:val="en-US" w:eastAsia="zh-CN"/>
              </w:rPr>
              <w:t>5</w:t>
            </w:r>
            <w:r>
              <w:rPr>
                <w:rFonts w:hint="eastAsia" w:ascii="宋体" w:hAnsi="宋体" w:eastAsia="宋体" w:cs="宋体"/>
                <w:color w:val="auto"/>
                <w:szCs w:val="24"/>
              </w:rPr>
              <w:t>-</w:t>
            </w:r>
            <w:r>
              <w:rPr>
                <w:rFonts w:hint="eastAsia" w:ascii="宋体" w:hAnsi="宋体" w:eastAsia="宋体" w:cs="宋体"/>
                <w:color w:val="auto"/>
                <w:szCs w:val="24"/>
                <w:lang w:val="en-US" w:eastAsia="zh-CN"/>
              </w:rPr>
              <w:t>6</w:t>
            </w:r>
            <w:r>
              <w:rPr>
                <w:rFonts w:hint="eastAsia" w:ascii="宋体" w:hAnsi="宋体" w:eastAsia="宋体" w:cs="宋体"/>
                <w:color w:val="auto"/>
                <w:szCs w:val="24"/>
              </w:rPr>
              <w:t>分，略有欠佳的得</w:t>
            </w:r>
            <w:r>
              <w:rPr>
                <w:rFonts w:hint="eastAsia" w:ascii="宋体" w:hAnsi="宋体" w:cs="宋体"/>
                <w:color w:val="auto"/>
                <w:szCs w:val="24"/>
                <w:lang w:val="en-US" w:eastAsia="zh-CN"/>
              </w:rPr>
              <w:t>4</w:t>
            </w:r>
            <w:r>
              <w:rPr>
                <w:rFonts w:hint="eastAsia" w:ascii="宋体" w:hAnsi="宋体" w:eastAsia="宋体" w:cs="宋体"/>
                <w:color w:val="auto"/>
                <w:szCs w:val="24"/>
              </w:rPr>
              <w:t>-</w:t>
            </w:r>
            <w:r>
              <w:rPr>
                <w:rFonts w:hint="eastAsia" w:ascii="宋体" w:hAnsi="宋体" w:cs="宋体"/>
                <w:color w:val="auto"/>
                <w:szCs w:val="24"/>
                <w:lang w:val="en-US" w:eastAsia="zh-CN"/>
              </w:rPr>
              <w:t>4</w:t>
            </w:r>
            <w:r>
              <w:rPr>
                <w:rFonts w:hint="eastAsia" w:ascii="宋体" w:hAnsi="宋体" w:eastAsia="宋体" w:cs="宋体"/>
                <w:color w:val="auto"/>
                <w:szCs w:val="24"/>
              </w:rPr>
              <w:t>.9分，人员配备</w:t>
            </w:r>
            <w:r>
              <w:rPr>
                <w:rFonts w:hint="eastAsia" w:ascii="宋体" w:hAnsi="宋体" w:eastAsia="宋体" w:cs="宋体"/>
                <w:color w:val="auto"/>
                <w:kern w:val="0"/>
                <w:szCs w:val="24"/>
              </w:rPr>
              <w:t>不合理的不得分。</w:t>
            </w:r>
            <w:r>
              <w:rPr>
                <w:rFonts w:hint="eastAsia" w:ascii="宋体" w:hAnsi="宋体" w:cs="宋体"/>
                <w:color w:val="auto"/>
                <w:kern w:val="0"/>
                <w:szCs w:val="24"/>
                <w:lang w:val="en-US" w:eastAsia="zh-CN"/>
              </w:rPr>
              <w:t>注：</w:t>
            </w:r>
            <w:r>
              <w:rPr>
                <w:rFonts w:hint="eastAsia" w:ascii="宋体" w:hAnsi="宋体" w:eastAsia="宋体" w:cs="宋体"/>
                <w:b w:val="0"/>
                <w:bCs w:val="0"/>
                <w:color w:val="auto"/>
                <w:kern w:val="0"/>
                <w:szCs w:val="24"/>
              </w:rPr>
              <w:t>资信商务及技术文件中提供人员的相关证书和投标截止前半年内任意一个月的社保证明。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kern w:val="0"/>
                <w:sz w:val="24"/>
                <w:szCs w:val="24"/>
              </w:rPr>
              <w:t>课程品质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6分</w:t>
            </w:r>
            <w:r>
              <w:rPr>
                <w:rFonts w:hint="eastAsia" w:ascii="宋体" w:hAnsi="宋体" w:cs="宋体"/>
                <w:color w:val="auto"/>
                <w:kern w:val="0"/>
                <w:sz w:val="24"/>
                <w:szCs w:val="24"/>
                <w:lang w:eastAsia="zh-CN"/>
              </w:rPr>
              <w:t>）</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auto"/>
              <w:ind w:firstLine="0" w:firstLineChars="0"/>
              <w:jc w:val="left"/>
              <w:rPr>
                <w:rFonts w:hint="eastAsia" w:ascii="宋体" w:hAnsi="宋体" w:eastAsia="宋体" w:cs="宋体"/>
                <w:color w:val="auto"/>
                <w:sz w:val="24"/>
                <w:szCs w:val="24"/>
                <w:lang w:val="en-US" w:eastAsia="zh-CN"/>
              </w:rPr>
            </w:pPr>
            <w:r>
              <w:rPr>
                <w:rFonts w:hint="eastAsia" w:ascii="宋体" w:hAnsi="宋体" w:cs="宋体"/>
                <w:color w:val="auto"/>
                <w:kern w:val="0"/>
                <w:sz w:val="24"/>
                <w:szCs w:val="24"/>
              </w:rPr>
              <w:t>根据</w:t>
            </w:r>
            <w:r>
              <w:rPr>
                <w:rFonts w:hint="eastAsia" w:ascii="宋体" w:hAnsi="宋体" w:cs="宋体"/>
                <w:color w:val="auto"/>
                <w:kern w:val="0"/>
                <w:sz w:val="24"/>
                <w:szCs w:val="24"/>
                <w:lang w:val="en-US" w:eastAsia="zh-CN"/>
              </w:rPr>
              <w:t>投标人</w:t>
            </w:r>
            <w:r>
              <w:rPr>
                <w:rFonts w:hint="eastAsia" w:ascii="宋体" w:hAnsi="宋体" w:cs="宋体"/>
                <w:color w:val="auto"/>
                <w:kern w:val="0"/>
                <w:sz w:val="24"/>
                <w:szCs w:val="24"/>
              </w:rPr>
              <w:t>提供课程教材的样章、课程介绍、岗位课程标准</w:t>
            </w:r>
            <w:r>
              <w:rPr>
                <w:rFonts w:hint="eastAsia" w:cs="宋体"/>
                <w:color w:val="auto"/>
                <w:kern w:val="0"/>
                <w:sz w:val="24"/>
                <w:szCs w:val="24"/>
                <w:lang w:eastAsia="zh-CN"/>
              </w:rPr>
              <w:t>、</w:t>
            </w:r>
            <w:r>
              <w:rPr>
                <w:rFonts w:hint="eastAsia" w:ascii="宋体" w:hAnsi="宋体" w:cs="宋体"/>
                <w:color w:val="auto"/>
                <w:kern w:val="0"/>
                <w:sz w:val="24"/>
                <w:szCs w:val="24"/>
              </w:rPr>
              <w:t>教学视频、题库、获得的荣誉等参考材料，能否满足教学要求等</w:t>
            </w:r>
            <w:r>
              <w:rPr>
                <w:rFonts w:hint="eastAsia" w:ascii="宋体" w:hAnsi="宋体" w:cs="宋体"/>
                <w:color w:val="auto"/>
                <w:kern w:val="0"/>
                <w:sz w:val="24"/>
                <w:szCs w:val="24"/>
                <w:lang w:val="en-US" w:eastAsia="zh-CN"/>
              </w:rPr>
              <w:t>打分</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全面满足且科学合理的得5-6分，部分满足的得4-4.9分，针对性不强、内容模式化或未表述不得分。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培训方案（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根据投标人针对本项目提供操作培训和维护培训及提供其他形式培训的情况，具体至培训目的、时间、地点、内容、频次、培训教师专业职称、是否达到培训预期目的评价标准、结业验收、考核形式、与用户定期联系培训方式、方法等，完整、合理的得5-6分，略有缺陷的得4-4.9分，不合理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after="60" w:afterLines="25" w:line="300" w:lineRule="auto"/>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rPr>
              <w:t>根据投标人</w:t>
            </w:r>
            <w:r>
              <w:rPr>
                <w:rFonts w:hint="eastAsia" w:ascii="宋体" w:hAnsi="宋体" w:cs="宋体"/>
                <w:color w:val="auto"/>
                <w:kern w:val="0"/>
                <w:sz w:val="24"/>
                <w:szCs w:val="24"/>
                <w:lang w:val="en-US" w:eastAsia="zh-CN"/>
              </w:rPr>
              <w:t>针对</w:t>
            </w:r>
            <w:r>
              <w:rPr>
                <w:rFonts w:hint="eastAsia" w:ascii="宋体" w:hAnsi="宋体" w:cs="宋体"/>
                <w:color w:val="auto"/>
                <w:kern w:val="0"/>
                <w:sz w:val="24"/>
                <w:szCs w:val="24"/>
              </w:rPr>
              <w:t>本顶目维修队伍的配备、计划安排、优惠承诺等情况合理性，售后故障响应组织架构和响应时间的可行性方案，以及对本项目售后服务承诺的范围和完善程度(包括保修年限，保修部件范围，保修、服务标准，故障响应修复时间方式及保障措施等)</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售</w:t>
            </w:r>
            <w:r>
              <w:rPr>
                <w:rFonts w:hint="eastAsia" w:ascii="宋体" w:hAnsi="宋体" w:eastAsia="宋体" w:cs="宋体"/>
                <w:color w:val="auto"/>
                <w:sz w:val="24"/>
                <w:szCs w:val="24"/>
              </w:rPr>
              <w:t>后服务承诺的范围全面完善的得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，承诺范围不够全面但基本可行的得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t>商务资信分</w:t>
            </w:r>
          </w:p>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分）</w:t>
            </w:r>
          </w:p>
        </w:tc>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诚信分</w:t>
            </w:r>
          </w:p>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凡在投标截止时间前三年受到行政处罚、行政处理（含通报）或记入不良行为的，此项得分为0，若无处罚、行政处理（含通报）或记入不良行为的得3分（详见诚信承诺书，未提供不得分）。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相关认证</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或投标产品制造商</w:t>
            </w:r>
            <w:r>
              <w:rPr>
                <w:rFonts w:hint="eastAsia" w:ascii="宋体" w:hAnsi="宋体" w:eastAsia="宋体" w:cs="宋体"/>
                <w:color w:val="auto"/>
                <w:sz w:val="24"/>
                <w:szCs w:val="24"/>
              </w:rPr>
              <w:t>具有有效期内的ISO质量管理体系认证证书、ISO环境管理体系认证证书、ISO职业健康安全管理体系认证证书的每项得1分。最高得3分。</w:t>
            </w:r>
          </w:p>
          <w:p>
            <w:pPr>
              <w:keepNext w:val="0"/>
              <w:keepLines w:val="0"/>
              <w:pageBreakBefore w:val="0"/>
              <w:widowControl/>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注：资信商务及技术文件中提供相关证书</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以上三项证书的认证范围需包含实训考核、实验教育技术装备（含软、硬件）的设计开发、实训考核、实验教育技术装备（含软、硬件）的生产制造、实训考核、实验教育技术装备（含软、硬件）的技术服务，满足其中之一即可。</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并加盖投标人CA签章，否则不得分。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业绩（3分）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投标人自20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w:t>
            </w:r>
            <w:r>
              <w:rPr>
                <w:rFonts w:hint="eastAsia" w:ascii="宋体" w:hAnsi="宋体" w:eastAsia="宋体" w:cs="宋体"/>
                <w:bCs/>
                <w:color w:val="auto"/>
                <w:sz w:val="24"/>
                <w:szCs w:val="24"/>
                <w:highlight w:val="none"/>
              </w:rPr>
              <w:t>（以合同签订时间为准）以来，承担过的</w:t>
            </w:r>
            <w:r>
              <w:rPr>
                <w:rFonts w:hint="eastAsia" w:ascii="宋体" w:hAnsi="宋体" w:eastAsia="宋体" w:cs="宋体"/>
                <w:bCs/>
                <w:color w:val="auto"/>
                <w:sz w:val="24"/>
                <w:szCs w:val="24"/>
                <w:highlight w:val="none"/>
                <w:lang w:val="en-US" w:eastAsia="zh-CN"/>
              </w:rPr>
              <w:t>同类</w:t>
            </w:r>
            <w:r>
              <w:rPr>
                <w:rFonts w:hint="eastAsia" w:ascii="宋体" w:hAnsi="宋体" w:eastAsia="宋体" w:cs="宋体"/>
                <w:bCs/>
                <w:color w:val="auto"/>
                <w:sz w:val="24"/>
                <w:szCs w:val="24"/>
                <w:highlight w:val="none"/>
              </w:rPr>
              <w:t>项目业绩</w:t>
            </w:r>
            <w:r>
              <w:rPr>
                <w:rFonts w:hint="eastAsia" w:ascii="宋体" w:hAnsi="宋体" w:eastAsia="宋体" w:cs="宋体"/>
                <w:color w:val="auto"/>
                <w:sz w:val="24"/>
                <w:szCs w:val="24"/>
                <w:highlight w:val="none"/>
              </w:rPr>
              <w:t>，每个得1分，最多得3分</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highlight w:val="none"/>
              </w:rPr>
              <w:t>资</w:t>
            </w:r>
            <w:r>
              <w:rPr>
                <w:rFonts w:hint="eastAsia" w:ascii="宋体" w:hAnsi="宋体" w:eastAsia="宋体" w:cs="宋体"/>
                <w:b/>
                <w:color w:val="auto"/>
                <w:sz w:val="24"/>
                <w:szCs w:val="24"/>
                <w:highlight w:val="none"/>
              </w:rPr>
              <w:t>信商务及技术文件中</w:t>
            </w:r>
            <w:r>
              <w:rPr>
                <w:rFonts w:hint="eastAsia" w:ascii="宋体" w:hAnsi="宋体" w:cs="宋体"/>
                <w:b/>
                <w:color w:val="auto"/>
                <w:sz w:val="24"/>
                <w:szCs w:val="24"/>
                <w:highlight w:val="none"/>
                <w:lang w:val="en-US" w:eastAsia="zh-CN"/>
              </w:rPr>
              <w:t>同时</w:t>
            </w:r>
            <w:r>
              <w:rPr>
                <w:rFonts w:hint="eastAsia" w:ascii="宋体" w:hAnsi="宋体" w:eastAsia="宋体" w:cs="宋体"/>
                <w:b/>
                <w:color w:val="auto"/>
                <w:sz w:val="24"/>
                <w:szCs w:val="24"/>
                <w:highlight w:val="none"/>
              </w:rPr>
              <w:t>提供项目合同</w:t>
            </w:r>
            <w:r>
              <w:rPr>
                <w:rFonts w:hint="eastAsia" w:ascii="宋体" w:hAnsi="宋体" w:cs="宋体"/>
                <w:b/>
                <w:color w:val="auto"/>
                <w:sz w:val="24"/>
                <w:szCs w:val="24"/>
                <w:highlight w:val="none"/>
                <w:lang w:val="en-US" w:eastAsia="zh-CN"/>
              </w:rPr>
              <w:t>和验收合格证明材料</w:t>
            </w:r>
            <w:r>
              <w:rPr>
                <w:rFonts w:hint="eastAsia" w:ascii="宋体" w:hAnsi="宋体" w:eastAsia="宋体" w:cs="宋体"/>
                <w:b/>
                <w:color w:val="auto"/>
                <w:sz w:val="24"/>
                <w:szCs w:val="24"/>
                <w:highlight w:val="none"/>
              </w:rPr>
              <w:t>扫描件并加盖投标人CA公章，否则不得分。</w:t>
            </w:r>
          </w:p>
        </w:tc>
      </w:tr>
    </w:tbl>
    <w:p>
      <w:pPr>
        <w:pStyle w:val="97"/>
        <w:snapToGrid w:val="0"/>
        <w:spacing w:line="300" w:lineRule="auto"/>
        <w:ind w:firstLine="422"/>
        <w:jc w:val="left"/>
        <w:rPr>
          <w:rFonts w:ascii="宋体" w:hAnsi="宋体" w:cs="宋体"/>
          <w:b/>
        </w:rPr>
      </w:pPr>
      <w:r>
        <w:rPr>
          <w:rFonts w:hint="eastAsia" w:ascii="宋体" w:hAnsi="宋体" w:cs="宋体"/>
          <w:b/>
        </w:rPr>
        <w:t>注：1.如在投标文件中未涉及上述技术商务资信评分内容的，按0分计。</w:t>
      </w:r>
    </w:p>
    <w:p>
      <w:pPr>
        <w:pStyle w:val="97"/>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2.投标文件中应提供有关证明材料扫描件并加盖CA公章。</w:t>
      </w:r>
    </w:p>
    <w:p>
      <w:pPr>
        <w:pStyle w:val="97"/>
        <w:snapToGrid w:val="0"/>
        <w:spacing w:line="300" w:lineRule="auto"/>
        <w:ind w:firstLine="413" w:firstLineChars="196"/>
        <w:rPr>
          <w:rFonts w:ascii="宋体" w:hAnsi="宋体" w:cs="宋体"/>
          <w:b/>
        </w:rPr>
      </w:pPr>
      <w:r>
        <w:rPr>
          <w:rFonts w:hint="eastAsia" w:ascii="宋体" w:hAnsi="宋体" w:cs="宋体"/>
          <w:b/>
        </w:rPr>
        <w:t>3.投标文件中提供的证明材料均应清晰可辨，否则不得分。</w:t>
      </w:r>
    </w:p>
    <w:p>
      <w:pPr>
        <w:pStyle w:val="97"/>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footerReference r:id="rId12" w:type="default"/>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5"/>
        <w:ind w:firstLine="723"/>
        <w:rPr>
          <w:color w:val="000000"/>
          <w:sz w:val="36"/>
          <w:szCs w:val="36"/>
        </w:rPr>
      </w:pPr>
      <w:bookmarkStart w:id="34" w:name="_Toc16174"/>
      <w:r>
        <w:rPr>
          <w:rFonts w:hint="eastAsia"/>
          <w:color w:val="000000"/>
          <w:sz w:val="36"/>
          <w:szCs w:val="36"/>
        </w:rPr>
        <w:t xml:space="preserve">第五章  </w:t>
      </w:r>
      <w:r>
        <w:rPr>
          <w:rFonts w:hint="eastAsia"/>
          <w:sz w:val="36"/>
          <w:szCs w:val="36"/>
        </w:rPr>
        <w:t>嘉善县政府采购合同</w:t>
      </w:r>
      <w:bookmarkEnd w:id="3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政府采购计划（预算）确认书编号：</w:t>
      </w:r>
      <w:r>
        <w:rPr>
          <w:rFonts w:hint="eastAsia" w:ascii="宋体" w:hAnsi="宋体" w:cs="宋体"/>
          <w:color w:val="auto"/>
          <w:szCs w:val="24"/>
        </w:rPr>
        <w:t>善财采确</w:t>
      </w:r>
      <w:r>
        <w:rPr>
          <w:rFonts w:hint="eastAsia" w:ascii="宋体" w:hAnsi="宋体" w:cs="宋体"/>
          <w:color w:val="auto"/>
          <w:szCs w:val="24"/>
          <w:lang w:val="en-US" w:eastAsia="zh-CN"/>
        </w:rPr>
        <w:t>临</w:t>
      </w:r>
      <w:r>
        <w:rPr>
          <w:rFonts w:hint="eastAsia" w:ascii="宋体" w:hAnsi="宋体" w:cs="宋体"/>
          <w:color w:val="auto"/>
          <w:szCs w:val="24"/>
        </w:rPr>
        <w:t>[2022]</w:t>
      </w:r>
      <w:r>
        <w:rPr>
          <w:rFonts w:hint="eastAsia" w:ascii="宋体" w:hAnsi="宋体" w:cs="宋体"/>
          <w:color w:val="auto"/>
          <w:szCs w:val="24"/>
          <w:lang w:val="en-US" w:eastAsia="zh-CN"/>
        </w:rPr>
        <w:t>6309</w:t>
      </w:r>
      <w:r>
        <w:rPr>
          <w:rFonts w:hint="eastAsia" w:ascii="宋体" w:hAnsi="宋体" w:cs="宋体"/>
          <w:color w:val="auto"/>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kern w:val="0"/>
          <w:lang w:val="en-US" w:eastAsia="zh-CN"/>
        </w:rPr>
        <w:t>77.0</w:t>
      </w:r>
      <w:r>
        <w:rPr>
          <w:rFonts w:hint="eastAsia" w:ascii="宋体" w:hAnsi="宋体" w:cs="宋体"/>
          <w:kern w:val="0"/>
        </w:rPr>
        <w:t>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嘉善技师学院（筹）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w:t>
      </w:r>
      <w:r>
        <w:rPr>
          <w:rFonts w:hint="eastAsia" w:ascii="宋体" w:hAnsi="宋体" w:cs="宋体"/>
          <w:color w:val="000000"/>
          <w:kern w:val="0"/>
          <w:u w:val="single"/>
          <w:lang w:eastAsia="zh-CN"/>
        </w:rPr>
        <w:t>G77</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bCs/>
          <w:szCs w:val="24"/>
          <w:u w:val="single"/>
          <w:lang w:eastAsia="zh-CN"/>
        </w:rPr>
        <w:t>嘉善技师学院（筹）购置培训教学仪器设备（电子电工实训设备）</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szCs w:val="24"/>
          <w:u w:val="single"/>
          <w:lang w:eastAsia="zh-CN"/>
        </w:rPr>
        <w:t>嘉善技师学院（筹）购置培训教学仪器设备（电子电工实训设备）</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2.本合同总价款包括</w:t>
      </w:r>
      <w:r>
        <w:rPr>
          <w:rFonts w:hint="eastAsia" w:ascii="宋体" w:hAnsi="宋体" w:cs="宋体"/>
        </w:rPr>
        <w:t>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color w:val="auto"/>
          <w:kern w:val="0"/>
        </w:rPr>
      </w:pPr>
      <w:r>
        <w:rPr>
          <w:rFonts w:hint="eastAsia" w:ascii="宋体" w:hAnsi="宋体" w:cs="宋体"/>
          <w:kern w:val="0"/>
        </w:rPr>
        <w:t>（1）一次性付</w:t>
      </w:r>
      <w:r>
        <w:rPr>
          <w:rFonts w:hint="eastAsia" w:ascii="宋体" w:hAnsi="宋体" w:cs="宋体"/>
          <w:color w:val="auto"/>
          <w:kern w:val="0"/>
        </w:rPr>
        <w:t>款：</w:t>
      </w:r>
      <w:r>
        <w:rPr>
          <w:rFonts w:hint="eastAsia" w:ascii="宋体" w:hAnsi="宋体"/>
          <w:color w:val="auto"/>
        </w:rPr>
        <w:t>/。</w:t>
      </w:r>
    </w:p>
    <w:p>
      <w:pPr>
        <w:snapToGrid w:val="0"/>
        <w:spacing w:line="300" w:lineRule="auto"/>
        <w:ind w:firstLine="480"/>
        <w:contextualSpacing/>
        <w:rPr>
          <w:rFonts w:ascii="宋体" w:hAnsi="宋体" w:cs="宋体"/>
          <w:b/>
          <w:color w:val="auto"/>
          <w:kern w:val="0"/>
          <w:u w:val="single"/>
        </w:rPr>
      </w:pPr>
      <w:r>
        <w:rPr>
          <w:rFonts w:hint="eastAsia" w:ascii="宋体" w:hAnsi="宋体" w:cs="宋体"/>
          <w:color w:val="auto"/>
          <w:kern w:val="0"/>
        </w:rPr>
        <w:t>（2）分期付款：</w:t>
      </w:r>
      <w:r>
        <w:rPr>
          <w:rFonts w:hint="eastAsia" w:ascii="宋体" w:hAnsi="宋体" w:cs="宋体"/>
          <w:color w:val="auto"/>
          <w:szCs w:val="24"/>
          <w:highlight w:val="none"/>
        </w:rPr>
        <w:t>合同生效以及具备实施条件后7个工作日内支付项目合同总金额的40%作为预付款，</w:t>
      </w:r>
      <w:r>
        <w:rPr>
          <w:rFonts w:hint="eastAsia" w:hAnsi="宋体"/>
          <w:color w:val="auto"/>
          <w:sz w:val="24"/>
          <w:highlight w:val="none"/>
        </w:rPr>
        <w:t>货到安装调试完毕，经采购人验收合格且正常运行后一个月内付清</w:t>
      </w:r>
      <w:r>
        <w:rPr>
          <w:rFonts w:hint="eastAsia" w:hAnsi="宋体"/>
          <w:color w:val="auto"/>
          <w:sz w:val="24"/>
          <w:highlight w:val="none"/>
          <w:lang w:val="en-US" w:eastAsia="zh-CN"/>
        </w:rPr>
        <w:t>余款</w:t>
      </w:r>
      <w:r>
        <w:rPr>
          <w:rFonts w:hint="eastAsia" w:hAnsi="宋体"/>
          <w:color w:val="auto"/>
          <w:sz w:val="24"/>
          <w:highlight w:val="none"/>
        </w:rPr>
        <w:t>。</w:t>
      </w:r>
    </w:p>
    <w:p>
      <w:pPr>
        <w:ind w:firstLine="482"/>
        <w:rPr>
          <w:rFonts w:ascii="宋体" w:hAnsi="宋体" w:cs="宋体"/>
          <w:b/>
          <w:color w:val="auto"/>
          <w:kern w:val="0"/>
        </w:rPr>
      </w:pPr>
      <w:r>
        <w:rPr>
          <w:rFonts w:hint="eastAsia" w:ascii="宋体" w:hAnsi="宋体" w:cs="宋体"/>
          <w:b/>
          <w:color w:val="auto"/>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auto"/>
          <w:kern w:val="0"/>
        </w:rPr>
      </w:pPr>
      <w:r>
        <w:rPr>
          <w:rFonts w:hint="eastAsia" w:ascii="宋体" w:hAnsi="宋体" w:cs="宋体"/>
          <w:color w:val="auto"/>
          <w:kern w:val="0"/>
        </w:rPr>
        <w:t>按以下第</w:t>
      </w:r>
      <w:r>
        <w:rPr>
          <w:rFonts w:hint="eastAsia" w:ascii="宋体" w:hAnsi="宋体" w:cs="宋体"/>
          <w:color w:val="auto"/>
          <w:kern w:val="0"/>
          <w:u w:val="single"/>
        </w:rPr>
        <w:t xml:space="preserve">   </w:t>
      </w:r>
      <w:r>
        <w:rPr>
          <w:rFonts w:hint="eastAsia" w:ascii="宋体" w:hAnsi="宋体" w:cs="宋体"/>
          <w:color w:val="auto"/>
          <w:kern w:val="0"/>
          <w:u w:val="single"/>
          <w:lang w:val="en-US" w:eastAsia="zh-CN"/>
        </w:rPr>
        <w:t>2</w:t>
      </w:r>
      <w:r>
        <w:rPr>
          <w:rFonts w:hint="eastAsia" w:ascii="宋体" w:hAnsi="宋体" w:cs="宋体"/>
          <w:color w:val="auto"/>
          <w:kern w:val="0"/>
          <w:u w:val="single"/>
        </w:rPr>
        <w:t xml:space="preserve">   </w:t>
      </w:r>
      <w:r>
        <w:rPr>
          <w:rFonts w:hint="eastAsia" w:ascii="宋体" w:hAnsi="宋体" w:cs="宋体"/>
          <w:color w:val="auto"/>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w:t>
      </w:r>
      <w:r>
        <w:rPr>
          <w:rFonts w:hint="eastAsia" w:ascii="宋体" w:hAnsi="宋体" w:cs="宋体"/>
          <w:color w:val="000000"/>
          <w:kern w:val="0"/>
        </w:rPr>
        <w:t>本项目设置履约保证金，乙方应于</w:t>
      </w:r>
      <w:r>
        <w:rPr>
          <w:rFonts w:hint="eastAsia" w:ascii="宋体" w:hAnsi="宋体" w:cs="宋体"/>
          <w:szCs w:val="24"/>
          <w:u w:val="single"/>
          <w:lang w:val="en-US" w:eastAsia="zh-CN"/>
        </w:rPr>
        <w:t>/</w:t>
      </w:r>
      <w:r>
        <w:rPr>
          <w:rFonts w:hint="eastAsia" w:ascii="宋体" w:hAnsi="宋体" w:cs="宋体"/>
        </w:rPr>
        <w:t>以支票、汇票、本票或者金融机构、担保机构出具的保函等非现金形式</w:t>
      </w:r>
      <w:r>
        <w:rPr>
          <w:rFonts w:hint="eastAsia" w:ascii="宋体" w:hAnsi="宋体" w:cs="宋体"/>
          <w:kern w:val="0"/>
        </w:rPr>
        <w:t>向甲方提交履约保证</w:t>
      </w:r>
      <w:r>
        <w:rPr>
          <w:rFonts w:hint="eastAsia" w:ascii="宋体" w:hAnsi="宋体" w:cs="宋体"/>
          <w:color w:val="000000"/>
          <w:kern w:val="0"/>
        </w:rPr>
        <w:t>金</w:t>
      </w:r>
      <w:r>
        <w:rPr>
          <w:rFonts w:hint="eastAsia" w:ascii="宋体" w:hAnsi="宋体" w:cs="宋体"/>
          <w:color w:val="000000"/>
          <w:kern w:val="0"/>
          <w:u w:val="single"/>
          <w:lang w:val="en-US" w:eastAsia="zh-CN"/>
        </w:rPr>
        <w:t>/</w:t>
      </w:r>
      <w:r>
        <w:rPr>
          <w:rFonts w:hint="eastAsia" w:ascii="宋体" w:hAnsi="宋体" w:cs="宋体"/>
          <w:color w:val="000000"/>
          <w:kern w:val="0"/>
        </w:rPr>
        <w:t>元，履约保证金在</w:t>
      </w:r>
      <w:r>
        <w:rPr>
          <w:rFonts w:hint="eastAsia" w:ascii="宋体" w:hAnsi="宋体" w:cs="宋体"/>
          <w:kern w:val="0"/>
          <w:szCs w:val="24"/>
          <w:lang w:val="en-US" w:eastAsia="zh-CN"/>
        </w:rPr>
        <w:t>项目验收合格</w:t>
      </w:r>
      <w:r>
        <w:rPr>
          <w:rFonts w:hint="eastAsia" w:ascii="宋体" w:hAnsi="宋体" w:cs="宋体"/>
          <w:kern w:val="0"/>
          <w:szCs w:val="24"/>
        </w:rPr>
        <w:t>后</w:t>
      </w:r>
      <w:r>
        <w:rPr>
          <w:rFonts w:hint="eastAsia" w:ascii="宋体" w:hAnsi="宋体" w:cs="宋体"/>
          <w:szCs w:val="24"/>
        </w:rPr>
        <w:t>一个月内无息退还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bCs/>
          <w:color w:val="000000"/>
        </w:rPr>
      </w:pPr>
      <w:r>
        <w:rPr>
          <w:rFonts w:hint="eastAsia" w:ascii="宋体" w:hAnsi="宋体" w:cs="宋体"/>
          <w:b/>
          <w:bCs/>
          <w:kern w:val="0"/>
        </w:rPr>
        <w:t xml:space="preserve">第五条 </w:t>
      </w:r>
      <w:r>
        <w:rPr>
          <w:rFonts w:hint="eastAsia" w:ascii="宋体" w:hAnsi="宋体" w:cs="宋体"/>
          <w:b/>
          <w:color w:val="000000"/>
        </w:rPr>
        <w:t>交货期及质保期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kern w:val="0"/>
          <w:sz w:val="24"/>
          <w:szCs w:val="24"/>
        </w:rPr>
        <w:t>交货期：</w:t>
      </w:r>
      <w:r>
        <w:rPr>
          <w:rFonts w:hint="eastAsia" w:ascii="宋体" w:hAnsi="宋体" w:eastAsia="宋体" w:cs="宋体"/>
          <w:b w:val="0"/>
          <w:bCs w:val="0"/>
          <w:color w:val="auto"/>
          <w:sz w:val="24"/>
          <w:szCs w:val="24"/>
          <w:highlight w:val="none"/>
          <w:lang w:val="en-US" w:eastAsia="zh-CN"/>
        </w:rPr>
        <w:t>合同签订后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日历天内送货到学校指定地点、完成安装调试，并协助</w:t>
      </w:r>
      <w:r>
        <w:rPr>
          <w:rFonts w:hint="eastAsia" w:ascii="宋体" w:hAnsi="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完成验收工作，由于</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原因不能在此日期前供货验收的，由此造成的损失由</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自行承担</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70" w:firstLineChars="196"/>
        <w:rPr>
          <w:rFonts w:hint="eastAsia" w:ascii="宋体" w:hAnsi="宋体" w:eastAsia="宋体" w:cs="宋体"/>
          <w:kern w:val="0"/>
          <w:sz w:val="24"/>
          <w:szCs w:val="24"/>
        </w:rPr>
      </w:pPr>
      <w:r>
        <w:rPr>
          <w:rFonts w:hint="eastAsia" w:ascii="宋体" w:hAnsi="宋体" w:eastAsia="宋体" w:cs="宋体"/>
          <w:color w:val="000000"/>
          <w:sz w:val="24"/>
          <w:szCs w:val="24"/>
        </w:rPr>
        <w:t>质保期：</w:t>
      </w:r>
      <w:r>
        <w:rPr>
          <w:rFonts w:hint="eastAsia" w:ascii="宋体" w:hAnsi="宋体" w:eastAsia="宋体" w:cs="宋体"/>
          <w:kern w:val="0"/>
          <w:sz w:val="24"/>
          <w:szCs w:val="24"/>
        </w:rPr>
        <w:t>质保期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pPr>
        <w:autoSpaceDE w:val="0"/>
        <w:autoSpaceDN w:val="0"/>
        <w:adjustRightIn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故障响应及修复</w:t>
      </w:r>
      <w:r>
        <w:rPr>
          <w:rFonts w:hint="eastAsia" w:ascii="宋体" w:hAnsi="宋体" w:eastAsia="宋体" w:cs="宋体"/>
          <w:kern w:val="0"/>
          <w:sz w:val="24"/>
          <w:szCs w:val="24"/>
          <w:highlight w:val="none"/>
        </w:rPr>
        <w:t>：接到故障电话1小时内派技术人员远程支持，远程支持无法解决的问题24小时内上门解决问题。紧急问题在4个小时内解决。</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highlight w:val="none"/>
        </w:rPr>
        <w:t>要求免费提供配套的产品资料</w:t>
      </w:r>
      <w:r>
        <w:rPr>
          <w:rFonts w:hint="eastAsia" w:ascii="宋体" w:hAnsi="宋体" w:eastAsia="宋体" w:cs="宋体"/>
          <w:kern w:val="0"/>
          <w:sz w:val="24"/>
          <w:szCs w:val="24"/>
        </w:rPr>
        <w:t>，包括产品安装使用手册、功能模块说明书、用户使用手册、帮助文档等。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color w:val="000000"/>
          <w:kern w:val="0"/>
        </w:rPr>
        <w:t>乙方按照在“</w:t>
      </w:r>
      <w:r>
        <w:rPr>
          <w:rFonts w:hint="eastAsia" w:ascii="宋体" w:hAnsi="宋体" w:cs="宋体"/>
          <w:szCs w:val="24"/>
          <w:lang w:eastAsia="zh-CN"/>
        </w:rPr>
        <w:t>嘉善技师学院（筹）购置培训教学仪器设备（电子电工实训设备）</w:t>
      </w:r>
      <w:r>
        <w:rPr>
          <w:rFonts w:hint="eastAsia" w:ascii="宋体" w:hAnsi="宋体" w:cs="宋体"/>
          <w:bCs/>
        </w:rPr>
        <w:t>”投标文件中承诺的服务计划实施。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1.本项目不允许转包。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r>
        <w:rPr>
          <w:rFonts w:ascii="宋体" w:hAnsi="宋体" w:cs="宋体"/>
          <w:color w:val="000000" w:themeColor="text1"/>
          <w:szCs w:val="24"/>
          <w14:textFill>
            <w14:solidFill>
              <w14:schemeClr w14:val="tx1"/>
            </w14:solidFill>
          </w14:textFill>
        </w:rPr>
        <w:t>本项目</w:t>
      </w:r>
      <w:r>
        <w:rPr>
          <w:rFonts w:hint="eastAsia" w:ascii="宋体" w:hAnsi="宋体" w:cs="宋体"/>
          <w:color w:val="000000" w:themeColor="text1"/>
          <w:szCs w:val="24"/>
          <w14:textFill>
            <w14:solidFill>
              <w14:schemeClr w14:val="tx1"/>
            </w14:solidFill>
          </w14:textFill>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cs="宋体"/>
          <w:b/>
          <w:bCs/>
          <w:kern w:val="0"/>
        </w:rPr>
      </w:pPr>
      <w:r>
        <w:rPr>
          <w:rFonts w:hint="eastAsia" w:ascii="宋体" w:hAnsi="宋体" w:cs="宋体"/>
          <w:b/>
          <w:bCs/>
          <w:kern w:val="0"/>
        </w:rPr>
        <w:t>第一条 违约责任</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rPr>
      </w:pPr>
      <w:r>
        <w:rPr>
          <w:rFonts w:hint="eastAsia" w:ascii="宋体" w:hAnsi="宋体" w:cs="宋体"/>
          <w:szCs w:val="24"/>
        </w:rPr>
        <w:t>签订合同后，如</w:t>
      </w:r>
      <w:r>
        <w:rPr>
          <w:rFonts w:hint="eastAsia" w:ascii="宋体" w:hAnsi="宋体" w:cs="宋体"/>
          <w:szCs w:val="24"/>
          <w:lang w:val="en-US" w:eastAsia="zh-CN"/>
        </w:rPr>
        <w:t>乙方</w:t>
      </w:r>
      <w:r>
        <w:rPr>
          <w:rFonts w:hint="eastAsia" w:ascii="宋体" w:hAnsi="宋体" w:cs="宋体"/>
          <w:szCs w:val="24"/>
        </w:rPr>
        <w:t>不按双方签订合同约定履约，则按实际损失赔偿</w:t>
      </w:r>
      <w:r>
        <w:rPr>
          <w:rFonts w:hint="eastAsia" w:ascii="宋体" w:hAnsi="宋体" w:cs="宋体"/>
          <w:szCs w:val="24"/>
          <w:lang w:val="en-US" w:eastAsia="zh-CN"/>
        </w:rPr>
        <w:t>甲方</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b/>
        </w:rPr>
      </w:pPr>
      <w:r>
        <w:rPr>
          <w:rFonts w:hint="eastAsia" w:ascii="宋体" w:hAnsi="宋体"/>
          <w:b/>
        </w:rPr>
        <w:t>第</w:t>
      </w:r>
      <w:r>
        <w:rPr>
          <w:rFonts w:hint="eastAsia" w:ascii="宋体" w:hAnsi="宋体"/>
          <w:b/>
          <w:lang w:val="en-US" w:eastAsia="zh-CN"/>
        </w:rPr>
        <w:t>二</w:t>
      </w:r>
      <w:r>
        <w:rPr>
          <w:rFonts w:hint="eastAsia" w:ascii="宋体" w:hAnsi="宋体"/>
          <w:b/>
        </w:rPr>
        <w:t>条 不可抗力事件处理</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rPr>
      </w:pPr>
      <w:r>
        <w:rPr>
          <w:rFonts w:ascii="宋体" w:hAnsi="宋体" w:cs="宋体"/>
        </w:rPr>
        <w:t>1</w:t>
      </w:r>
      <w:r>
        <w:rPr>
          <w:rFonts w:hint="eastAsia" w:ascii="宋体" w:hAnsi="宋体" w:cs="宋体"/>
          <w:lang w:val="en-US" w:eastAsia="zh-CN"/>
        </w:rPr>
        <w:t>.</w:t>
      </w:r>
      <w:r>
        <w:rPr>
          <w:rFonts w:hint="eastAsia" w:ascii="宋体" w:hAnsi="宋体" w:cs="宋体"/>
        </w:rPr>
        <w:t>在合同有效期内，任何一方因不可抗力事件导致不能履行合同的，合同履行期可延长，其延长期与不可抗力影响期相同。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rPr>
      </w:pPr>
      <w:r>
        <w:rPr>
          <w:rFonts w:ascii="宋体" w:hAnsi="宋体" w:cs="宋体"/>
        </w:rPr>
        <w:t>2</w:t>
      </w:r>
      <w:r>
        <w:rPr>
          <w:rFonts w:hint="eastAsia" w:ascii="宋体" w:hAnsi="宋体" w:cs="宋体"/>
          <w:lang w:val="en-US" w:eastAsia="zh-CN"/>
        </w:rPr>
        <w:t>.</w:t>
      </w:r>
      <w:r>
        <w:rPr>
          <w:rFonts w:hint="eastAsia" w:ascii="宋体" w:hAnsi="宋体" w:cs="宋体"/>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cs="宋体"/>
        </w:rPr>
      </w:pPr>
      <w:r>
        <w:rPr>
          <w:rFonts w:ascii="宋体" w:hAnsi="宋体" w:cs="宋体"/>
        </w:rPr>
        <w:t>3</w:t>
      </w:r>
      <w:r>
        <w:rPr>
          <w:rFonts w:hint="eastAsia" w:ascii="宋体" w:hAnsi="宋体" w:cs="宋体"/>
          <w:lang w:val="en-US" w:eastAsia="zh-CN"/>
        </w:rPr>
        <w:t>.</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cs="宋体"/>
          <w:b/>
          <w:bCs/>
          <w:kern w:val="0"/>
        </w:rPr>
      </w:pPr>
      <w:r>
        <w:rPr>
          <w:rFonts w:hint="eastAsia" w:ascii="宋体" w:hAnsi="宋体" w:cs="宋体"/>
          <w:b/>
          <w:bCs/>
          <w:kern w:val="0"/>
        </w:rPr>
        <w:t>第</w:t>
      </w:r>
      <w:r>
        <w:rPr>
          <w:rFonts w:hint="eastAsia" w:ascii="宋体" w:hAnsi="宋体" w:cs="宋体"/>
          <w:b/>
          <w:bCs/>
          <w:kern w:val="0"/>
          <w:lang w:val="en-US" w:eastAsia="zh-CN"/>
        </w:rPr>
        <w:t>三</w:t>
      </w:r>
      <w:r>
        <w:rPr>
          <w:rFonts w:hint="eastAsia" w:ascii="宋体" w:hAnsi="宋体" w:cs="宋体"/>
          <w:b/>
          <w:bCs/>
          <w:kern w:val="0"/>
        </w:rPr>
        <w:t>条 合同有效期</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rPr>
      </w:pPr>
      <w:r>
        <w:rPr>
          <w:rFonts w:hint="eastAsia" w:ascii="宋体" w:hAnsi="宋体" w:cs="宋体"/>
          <w:szCs w:val="24"/>
        </w:rPr>
        <w:t>自合同签订之日起至本项目合同履行完毕（承诺的质保期满）之日止</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2"/>
        <w:wordWrap w:val="0"/>
        <w:snapToGrid w:val="0"/>
        <w:spacing w:before="120" w:after="120" w:line="300" w:lineRule="auto"/>
        <w:ind w:right="480" w:firstLine="3480" w:firstLineChars="1450"/>
        <w:rPr>
          <w:rFonts w:hAnsi="宋体" w:cs="宋体"/>
          <w:sz w:val="24"/>
          <w:szCs w:val="24"/>
        </w:rPr>
      </w:pPr>
      <w:r>
        <w:rPr>
          <w:rFonts w:hint="eastAsia" w:hAnsi="宋体" w:cs="宋体"/>
          <w:sz w:val="24"/>
          <w:szCs w:val="24"/>
        </w:rPr>
        <w:t>签约地点：</w:t>
      </w:r>
    </w:p>
    <w:p>
      <w:pPr>
        <w:pStyle w:val="22"/>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p>
    <w:tbl>
      <w:tblPr>
        <w:tblStyle w:val="38"/>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22"/>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cols w:space="720" w:num="1"/>
          <w:docGrid w:linePitch="381" w:charSpace="0"/>
        </w:sectPr>
      </w:pPr>
    </w:p>
    <w:p>
      <w:pPr>
        <w:pStyle w:val="22"/>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2"/>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22"/>
        <w:wordWrap w:val="0"/>
        <w:snapToGrid w:val="0"/>
        <w:spacing w:before="120" w:after="120" w:line="300" w:lineRule="auto"/>
        <w:ind w:right="480" w:firstLine="420"/>
        <w:rPr>
          <w:rFonts w:hAnsi="宋体" w:cs="宋体"/>
          <w:color w:val="000000"/>
        </w:rPr>
      </w:pPr>
    </w:p>
    <w:p>
      <w:pPr>
        <w:pStyle w:val="35"/>
        <w:ind w:firstLine="643"/>
      </w:pPr>
      <w:bookmarkStart w:id="35" w:name="_Toc1672"/>
      <w:r>
        <w:rPr>
          <w:rFonts w:hint="eastAsia"/>
        </w:rPr>
        <w:t>第六章  投标文件格式</w:t>
      </w:r>
      <w:bookmarkEnd w:id="35"/>
    </w:p>
    <w:p>
      <w:pPr>
        <w:pStyle w:val="22"/>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嘉善技师学院（筹）购置培训教学仪器设备（电子电工实训设备）</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G77</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2"/>
        <w:snapToGrid w:val="0"/>
        <w:spacing w:before="100" w:beforeAutospacing="1" w:after="100" w:afterAutospacing="1" w:line="276" w:lineRule="auto"/>
        <w:ind w:firstLine="480"/>
        <w:rPr>
          <w:rFonts w:ascii="宋体" w:hAnsi="宋体" w:cs="宋体"/>
          <w:color w:val="000000"/>
          <w:sz w:val="24"/>
          <w:szCs w:val="24"/>
        </w:rPr>
      </w:pPr>
    </w:p>
    <w:p>
      <w:pPr>
        <w:pStyle w:val="12"/>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嘉善技师学院（筹）购置培训教学仪器设备（电子电工实训设备）</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G77</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2"/>
        <w:snapToGrid w:val="0"/>
        <w:spacing w:before="100" w:beforeAutospacing="1" w:after="100" w:afterAutospacing="1" w:line="276" w:lineRule="auto"/>
        <w:ind w:firstLine="480"/>
        <w:rPr>
          <w:rFonts w:ascii="宋体" w:hAnsi="宋体" w:cs="宋体"/>
          <w:color w:val="000000"/>
          <w:sz w:val="24"/>
          <w:szCs w:val="24"/>
        </w:rPr>
      </w:pPr>
    </w:p>
    <w:p>
      <w:pPr>
        <w:pStyle w:val="12"/>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5595"/>
        <w:gridCol w:w="1886"/>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95"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86"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2021年度财务审计报告或投标截止时间前半年内任意一个月的资产负债表及利润表或提供“承诺具有良好的商业信誉和健全的财务会计制度”的承诺函</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86"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86"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hint="eastAsia" w:ascii="宋体" w:hAnsi="宋体" w:eastAsia="宋体" w:cs="宋体"/>
                <w:color w:val="000000"/>
                <w:szCs w:val="24"/>
                <w:lang w:val="en-US" w:eastAsia="zh-CN"/>
              </w:rPr>
            </w:pPr>
            <w:r>
              <w:rPr>
                <w:rFonts w:hint="eastAsia" w:ascii="宋体" w:hAnsi="宋体" w:cs="宋体"/>
                <w:color w:val="000000"/>
                <w:szCs w:val="24"/>
                <w:lang w:val="en-US" w:eastAsia="zh-CN"/>
              </w:rPr>
              <w:t>7</w:t>
            </w:r>
          </w:p>
        </w:tc>
        <w:tc>
          <w:tcPr>
            <w:tcW w:w="5595" w:type="dxa"/>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r>
              <w:rPr>
                <w:rFonts w:hint="eastAsia" w:ascii="宋体" w:hAnsi="宋体" w:cs="宋体"/>
              </w:rPr>
              <w:t>中小企业声明函或监狱和戒毒企业企业证明材料或残疾人福利性单位声明函（格式见第六章）</w:t>
            </w:r>
          </w:p>
        </w:tc>
        <w:tc>
          <w:tcPr>
            <w:tcW w:w="1886" w:type="dxa"/>
            <w:vAlign w:val="center"/>
          </w:tcPr>
          <w:p>
            <w:pPr>
              <w:snapToGrid w:val="0"/>
              <w:spacing w:before="100" w:beforeAutospacing="1" w:after="100" w:afterAutospacing="1" w:line="276" w:lineRule="auto"/>
              <w:ind w:firstLine="0" w:firstLineChars="0"/>
              <w:rPr>
                <w:rFonts w:hint="eastAsia"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ind w:firstLine="0" w:firstLineChars="0"/>
        <w:rPr>
          <w:rFonts w:ascii="宋体" w:hAnsi="宋体" w:cs="宋体"/>
          <w:color w:val="000000"/>
          <w:szCs w:val="24"/>
        </w:rPr>
      </w:pPr>
      <w:r>
        <w:rPr>
          <w:rFonts w:hint="eastAsia" w:ascii="宋体" w:hAnsi="宋体" w:cs="宋体"/>
          <w:color w:val="000000"/>
          <w:szCs w:val="24"/>
        </w:rPr>
        <w:t>注：1.以上所有资料均需加盖供应商公章。</w:t>
      </w:r>
    </w:p>
    <w:p>
      <w:pPr>
        <w:widowControl/>
        <w:ind w:firstLine="480"/>
        <w:jc w:val="left"/>
        <w:rPr>
          <w:rFonts w:ascii="宋体" w:hAnsi="宋体"/>
          <w:b/>
          <w:color w:val="FF0000"/>
          <w:szCs w:val="24"/>
        </w:rPr>
      </w:pPr>
      <w:r>
        <w:rPr>
          <w:rFonts w:hint="eastAsia" w:ascii="宋体" w:hAnsi="宋体" w:cs="宋体"/>
          <w:color w:val="000000"/>
          <w:szCs w:val="24"/>
        </w:rPr>
        <w:t>2.上表序号2至5如提供承诺函的格式自拟，</w:t>
      </w:r>
      <w:r>
        <w:rPr>
          <w:rFonts w:hint="eastAsia" w:ascii="宋体" w:hAnsi="宋体" w:cs="宋体"/>
          <w:b/>
          <w:color w:val="000000"/>
          <w:szCs w:val="24"/>
        </w:rPr>
        <w:t>但须在承诺函的结尾处表述“本单位对上述承诺的真实性负责。如有虚假，将依法承担相应责任</w:t>
      </w:r>
      <w:r>
        <w:rPr>
          <w:rFonts w:ascii="宋体" w:hAnsi="宋体" w:cs="宋体"/>
          <w:b/>
          <w:color w:val="000000"/>
          <w:szCs w:val="24"/>
        </w:rPr>
        <w:t>”</w:t>
      </w:r>
      <w:r>
        <w:rPr>
          <w:rFonts w:hint="eastAsia" w:ascii="宋体" w:hAnsi="宋体" w:cs="宋体"/>
          <w:b/>
          <w:color w:val="000000"/>
          <w:szCs w:val="24"/>
        </w:rPr>
        <w:t>，未表述上述内容的视为未提供。</w:t>
      </w:r>
    </w:p>
    <w:p>
      <w:pPr>
        <w:snapToGrid w:val="0"/>
        <w:spacing w:before="100" w:beforeAutospacing="1" w:after="100" w:afterAutospacing="1" w:line="276" w:lineRule="auto"/>
        <w:ind w:firstLine="480"/>
        <w:jc w:val="center"/>
        <w:rPr>
          <w:rFonts w:ascii="宋体" w:hAnsi="宋体" w:cs="宋体"/>
          <w:color w:val="000000"/>
        </w:rPr>
      </w:pP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275" w:firstLineChars="98"/>
        <w:jc w:val="center"/>
        <w:rPr>
          <w:rFonts w:hint="eastAsia" w:ascii="宋体" w:hAnsi="宋体" w:cs="宋体"/>
          <w:b/>
          <w:bCs/>
          <w:sz w:val="28"/>
          <w:szCs w:val="28"/>
        </w:rPr>
      </w:pPr>
      <w:r>
        <w:rPr>
          <w:rFonts w:hint="eastAsia" w:ascii="宋体" w:hAnsi="宋体" w:cs="宋体"/>
          <w:b/>
          <w:bCs/>
          <w:sz w:val="28"/>
          <w:szCs w:val="28"/>
        </w:rPr>
        <w:t>中小企业声明函（货物）</w:t>
      </w:r>
    </w:p>
    <w:p>
      <w:pPr>
        <w:keepNext w:val="0"/>
        <w:keepLines w:val="0"/>
        <w:pageBreakBefore w:val="0"/>
        <w:widowControl/>
        <w:kinsoku/>
        <w:wordWrap/>
        <w:overflowPunct/>
        <w:topLinePunct w:val="0"/>
        <w:bidi w:val="0"/>
        <w:adjustRightInd/>
        <w:snapToGrid/>
        <w:spacing w:line="300" w:lineRule="auto"/>
        <w:ind w:firstLine="480"/>
        <w:jc w:val="left"/>
        <w:textAlignment w:val="auto"/>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w:t>
      </w:r>
      <w:r>
        <w:rPr>
          <w:rFonts w:hint="eastAsia" w:ascii="宋体" w:hAnsi="宋体" w:cs="宋体"/>
          <w:szCs w:val="24"/>
          <w:u w:val="single"/>
          <w:lang w:eastAsia="zh-CN"/>
        </w:rPr>
        <w:t>嘉善技师学院（筹）</w:t>
      </w:r>
      <w:r>
        <w:rPr>
          <w:rFonts w:hint="eastAsia" w:ascii="宋体" w:hAnsi="宋体" w:cs="宋体"/>
          <w:szCs w:val="24"/>
          <w:u w:val="single"/>
        </w:rPr>
        <w:t>）</w:t>
      </w:r>
      <w:r>
        <w:rPr>
          <w:rFonts w:hint="eastAsia" w:ascii="宋体" w:hAnsi="宋体" w:cs="宋体"/>
          <w:szCs w:val="24"/>
        </w:rPr>
        <w:t>的</w:t>
      </w:r>
      <w:r>
        <w:rPr>
          <w:rFonts w:hint="eastAsia" w:ascii="宋体" w:hAnsi="宋体" w:cs="宋体"/>
          <w:szCs w:val="24"/>
          <w:u w:val="single"/>
        </w:rPr>
        <w:t>（</w:t>
      </w:r>
      <w:r>
        <w:rPr>
          <w:rFonts w:hint="eastAsia" w:ascii="宋体" w:hAnsi="宋体" w:cs="宋体"/>
          <w:szCs w:val="24"/>
          <w:u w:val="single"/>
          <w:lang w:eastAsia="zh-CN"/>
        </w:rPr>
        <w:t>嘉善技师学院（筹）购置培训教学仪器设备（电子电工实训设备）</w:t>
      </w:r>
      <w:r>
        <w:rPr>
          <w:rFonts w:hint="eastAsia" w:ascii="宋体" w:hAnsi="宋体" w:cs="宋体"/>
          <w:szCs w:val="24"/>
          <w:u w:val="single"/>
        </w:rPr>
        <w:t>）</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pStyle w:val="105"/>
        <w:keepNext w:val="0"/>
        <w:keepLines w:val="0"/>
        <w:pageBreakBefore w:val="0"/>
        <w:tabs>
          <w:tab w:val="left" w:pos="1243"/>
        </w:tabs>
        <w:kinsoku/>
        <w:wordWrap/>
        <w:overflowPunct/>
        <w:topLinePunct w:val="0"/>
        <w:autoSpaceDE w:val="0"/>
        <w:autoSpaceDN w:val="0"/>
        <w:bidi w:val="0"/>
        <w:adjustRightInd/>
        <w:snapToGrid/>
        <w:spacing w:line="300" w:lineRule="auto"/>
        <w:textAlignment w:val="auto"/>
        <w:rPr>
          <w:rFonts w:hint="eastAsia" w:ascii="宋体" w:hAnsi="宋体" w:cs="宋体"/>
          <w:i w:val="0"/>
          <w:iCs w:val="0"/>
          <w:sz w:val="24"/>
          <w:szCs w:val="24"/>
          <w:u w:val="none"/>
          <w:shd w:val="clear" w:color="auto" w:fill="FFFFFF"/>
          <w:lang w:val="en-US" w:eastAsia="zh-CN"/>
        </w:rPr>
      </w:pPr>
      <w:r>
        <w:rPr>
          <w:rFonts w:hint="eastAsia" w:ascii="宋体" w:hAnsi="宋体" w:cs="宋体"/>
          <w:sz w:val="24"/>
          <w:szCs w:val="24"/>
          <w:u w:val="none"/>
          <w:shd w:val="clear" w:color="auto" w:fill="FFFFFF"/>
          <w:lang w:val="en-US" w:eastAsia="zh-CN"/>
        </w:rPr>
        <w:t>（</w:t>
      </w:r>
      <w:r>
        <w:rPr>
          <w:rFonts w:hint="eastAsia" w:ascii="宋体" w:hAnsi="宋体" w:cs="宋体"/>
          <w:sz w:val="24"/>
          <w:szCs w:val="24"/>
          <w:u w:val="single"/>
          <w:shd w:val="clear" w:color="auto" w:fill="FFFFFF"/>
          <w:lang w:val="en-US" w:eastAsia="zh-CN"/>
        </w:rPr>
        <w:t>机电一体化实训考核装置</w:t>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（制造业）</w:t>
      </w:r>
      <w:r>
        <w:rPr>
          <w:rFonts w:hint="eastAsia" w:ascii="宋体" w:hAnsi="宋体" w:cs="宋体"/>
          <w:sz w:val="24"/>
          <w:szCs w:val="24"/>
          <w:u w:val="none"/>
          <w:shd w:val="clear" w:color="auto" w:fill="FFFFFF"/>
          <w:lang w:val="en-US" w:eastAsia="zh-CN"/>
        </w:rPr>
        <w:t>；制造商为（</w:t>
      </w:r>
      <w:r>
        <w:rPr>
          <w:rFonts w:hint="eastAsia" w:ascii="宋体" w:hAnsi="宋体" w:cs="宋体"/>
          <w:b w:val="0"/>
          <w:bCs w:val="0"/>
          <w:sz w:val="24"/>
          <w:szCs w:val="24"/>
          <w:u w:val="single"/>
          <w:shd w:val="clear" w:color="auto" w:fill="FFFFFF"/>
          <w:lang w:val="en-US" w:eastAsia="zh-CN"/>
        </w:rPr>
        <w:t>企业名称</w:t>
      </w:r>
      <w:r>
        <w:rPr>
          <w:rFonts w:hint="eastAsia" w:ascii="宋体" w:hAnsi="宋体" w:cs="宋体"/>
          <w:i w:val="0"/>
          <w:iCs w:val="0"/>
          <w:sz w:val="24"/>
          <w:szCs w:val="24"/>
          <w:u w:val="none"/>
          <w:shd w:val="clear" w:color="auto" w:fill="FFFFFF"/>
          <w:lang w:val="en-US" w:eastAsia="zh-CN"/>
        </w:rPr>
        <w:t>），从业人员</w:t>
      </w:r>
    </w:p>
    <w:p>
      <w:pPr>
        <w:pStyle w:val="105"/>
        <w:keepNext w:val="0"/>
        <w:keepLines w:val="0"/>
        <w:pageBreakBefore w:val="0"/>
        <w:widowControl w:val="0"/>
        <w:tabs>
          <w:tab w:val="left" w:pos="1243"/>
        </w:tabs>
        <w:kinsoku/>
        <w:wordWrap/>
        <w:overflowPunct/>
        <w:topLinePunct w:val="0"/>
        <w:autoSpaceDE w:val="0"/>
        <w:autoSpaceDN w:val="0"/>
        <w:bidi w:val="0"/>
        <w:adjustRightInd/>
        <w:snapToGrid/>
        <w:spacing w:line="300" w:lineRule="auto"/>
        <w:ind w:firstLine="0" w:firstLineChars="0"/>
        <w:textAlignment w:val="auto"/>
        <w:rPr>
          <w:rFonts w:ascii="宋体" w:hAnsi="宋体" w:cs="宋体"/>
          <w:color w:val="000000"/>
          <w:sz w:val="24"/>
          <w:szCs w:val="24"/>
        </w:rPr>
      </w:pP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人，营业收入为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 xml:space="preserve"> 万元，资产总额为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 xml:space="preserve"> 万元</w:t>
      </w:r>
      <w:r>
        <w:rPr>
          <w:rFonts w:hint="eastAsia" w:ascii="宋体" w:hAnsi="宋体" w:cs="宋体"/>
          <w:sz w:val="24"/>
          <w:szCs w:val="24"/>
          <w:u w:val="none"/>
          <w:shd w:val="clear" w:color="auto" w:fill="FFFFFF"/>
          <w:lang w:val="en-US" w:eastAsia="zh-CN"/>
        </w:rPr>
        <w:fldChar w:fldCharType="begin"/>
      </w:r>
      <w:r>
        <w:rPr>
          <w:rFonts w:hint="eastAsia" w:ascii="宋体" w:hAnsi="宋体" w:cs="宋体"/>
          <w:sz w:val="24"/>
          <w:szCs w:val="24"/>
          <w:u w:val="none"/>
          <w:shd w:val="clear" w:color="auto" w:fill="FFFFFF"/>
          <w:lang w:val="en-US" w:eastAsia="zh-CN"/>
        </w:rPr>
        <w:instrText xml:space="preserve"> HYPERLINK \l "_bookmark1" </w:instrText>
      </w:r>
      <w:r>
        <w:rPr>
          <w:rFonts w:hint="eastAsia" w:ascii="宋体" w:hAnsi="宋体" w:cs="宋体"/>
          <w:sz w:val="24"/>
          <w:szCs w:val="24"/>
          <w:u w:val="none"/>
          <w:shd w:val="clear" w:color="auto" w:fill="FFFFFF"/>
          <w:lang w:val="en-US" w:eastAsia="zh-CN"/>
        </w:rPr>
        <w:fldChar w:fldCharType="separate"/>
      </w:r>
      <w:r>
        <w:rPr>
          <w:rFonts w:hint="eastAsia" w:ascii="宋体" w:hAnsi="宋体" w:cs="宋体"/>
          <w:sz w:val="24"/>
          <w:szCs w:val="24"/>
          <w:u w:val="none"/>
          <w:shd w:val="clear" w:color="auto" w:fill="FFFFFF"/>
          <w:lang w:val="en-US" w:eastAsia="zh-CN"/>
        </w:rPr>
        <w:t>1</w:t>
      </w:r>
      <w:r>
        <w:rPr>
          <w:rFonts w:hint="eastAsia" w:ascii="宋体" w:hAnsi="宋体" w:cs="宋体"/>
          <w:sz w:val="24"/>
          <w:szCs w:val="24"/>
          <w:u w:val="none"/>
          <w:shd w:val="clear" w:color="auto" w:fill="FFFFFF"/>
          <w:lang w:val="en-US" w:eastAsia="zh-CN"/>
        </w:rPr>
        <w:fldChar w:fldCharType="end"/>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 xml:space="preserve">   （中型企业/小型企业/微型企业）</w:t>
      </w:r>
      <w:r>
        <w:rPr>
          <w:rFonts w:hint="eastAsia" w:ascii="宋体" w:hAnsi="宋体" w:cs="宋体"/>
          <w:sz w:val="24"/>
          <w:szCs w:val="24"/>
        </w:rPr>
        <w:t>。</w:t>
      </w:r>
    </w:p>
    <w:p>
      <w:pPr>
        <w:pStyle w:val="2"/>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cs="宋体"/>
          <w:sz w:val="24"/>
          <w:szCs w:val="24"/>
          <w:u w:val="single"/>
          <w:shd w:val="clear" w:color="auto" w:fill="FFFFFF"/>
          <w:lang w:val="en-US" w:eastAsia="zh-CN"/>
        </w:rPr>
      </w:pPr>
      <w:r>
        <w:rPr>
          <w:rFonts w:hint="eastAsia" w:ascii="宋体" w:hAnsi="宋体" w:cs="宋体"/>
          <w:sz w:val="24"/>
          <w:szCs w:val="24"/>
          <w:u w:val="none"/>
          <w:shd w:val="clear" w:color="auto" w:fill="FFFFFF"/>
          <w:lang w:val="en-US" w:eastAsia="zh-CN"/>
        </w:rPr>
        <w:t>（</w:t>
      </w:r>
      <w:r>
        <w:rPr>
          <w:rFonts w:hint="eastAsia" w:ascii="宋体" w:hAnsi="宋体" w:eastAsia="宋体" w:cs="宋体"/>
          <w:kern w:val="2"/>
          <w:sz w:val="24"/>
          <w:szCs w:val="24"/>
          <w:u w:val="single"/>
          <w:shd w:val="clear" w:color="auto" w:fill="FFFFFF"/>
          <w:lang w:val="en-US" w:eastAsia="zh-CN" w:bidi="ar-SA"/>
        </w:rPr>
        <w:t>电子产品装调与人工智能创新考核装置</w:t>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（制造业</w:t>
      </w:r>
      <w:r>
        <w:rPr>
          <w:rFonts w:hint="eastAsia" w:ascii="宋体" w:hAnsi="宋体" w:cs="宋体"/>
          <w:sz w:val="24"/>
          <w:szCs w:val="24"/>
          <w:u w:val="none"/>
          <w:shd w:val="clear" w:color="auto" w:fill="FFFFFF"/>
          <w:lang w:val="en-US" w:eastAsia="zh-CN"/>
        </w:rPr>
        <w:t>）；制造商为</w:t>
      </w:r>
      <w:r>
        <w:rPr>
          <w:rFonts w:hint="eastAsia" w:ascii="宋体" w:hAnsi="宋体" w:cs="宋体"/>
          <w:sz w:val="24"/>
          <w:szCs w:val="24"/>
          <w:u w:val="single"/>
          <w:shd w:val="clear" w:color="auto" w:fill="FFFFFF"/>
          <w:lang w:val="en-US" w:eastAsia="zh-CN"/>
        </w:rPr>
        <w:t>（企业名称</w:t>
      </w:r>
      <w:r>
        <w:rPr>
          <w:rFonts w:hint="eastAsia" w:ascii="宋体" w:hAnsi="宋体" w:cs="宋体"/>
          <w:sz w:val="24"/>
          <w:szCs w:val="24"/>
          <w:u w:val="none"/>
          <w:shd w:val="clear" w:color="auto" w:fill="FFFFFF"/>
          <w:lang w:val="en-US" w:eastAsia="zh-CN"/>
        </w:rPr>
        <w:t>），从业人员</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single"/>
          <w:shd w:val="clear" w:color="auto" w:fill="FFFFFF"/>
          <w:lang w:val="en-US" w:eastAsia="zh-CN"/>
        </w:rPr>
        <w:tab/>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人，营业收入为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 xml:space="preserve"> 万元，资产总额为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万元</w:t>
      </w:r>
      <w:r>
        <w:rPr>
          <w:rFonts w:hint="eastAsia" w:ascii="宋体" w:hAnsi="宋体" w:cs="宋体"/>
          <w:sz w:val="24"/>
          <w:szCs w:val="24"/>
          <w:u w:val="none"/>
          <w:shd w:val="clear" w:color="auto" w:fill="FFFFFF"/>
          <w:lang w:val="en-US" w:eastAsia="zh-CN"/>
        </w:rPr>
        <w:fldChar w:fldCharType="begin"/>
      </w:r>
      <w:r>
        <w:rPr>
          <w:rFonts w:hint="eastAsia" w:ascii="宋体" w:hAnsi="宋体" w:cs="宋体"/>
          <w:sz w:val="24"/>
          <w:szCs w:val="24"/>
          <w:u w:val="none"/>
          <w:shd w:val="clear" w:color="auto" w:fill="FFFFFF"/>
          <w:lang w:val="en-US" w:eastAsia="zh-CN"/>
        </w:rPr>
        <w:instrText xml:space="preserve"> HYPERLINK \l "_bookmark1" </w:instrText>
      </w:r>
      <w:r>
        <w:rPr>
          <w:rFonts w:hint="eastAsia" w:ascii="宋体" w:hAnsi="宋体" w:cs="宋体"/>
          <w:sz w:val="24"/>
          <w:szCs w:val="24"/>
          <w:u w:val="none"/>
          <w:shd w:val="clear" w:color="auto" w:fill="FFFFFF"/>
          <w:lang w:val="en-US" w:eastAsia="zh-CN"/>
        </w:rPr>
        <w:fldChar w:fldCharType="separate"/>
      </w:r>
      <w:r>
        <w:rPr>
          <w:rFonts w:hint="eastAsia" w:ascii="宋体" w:hAnsi="宋体" w:cs="宋体"/>
          <w:sz w:val="24"/>
          <w:szCs w:val="24"/>
          <w:u w:val="none"/>
          <w:shd w:val="clear" w:color="auto" w:fill="FFFFFF"/>
          <w:lang w:val="en-US" w:eastAsia="zh-CN"/>
        </w:rPr>
        <w:t>1</w:t>
      </w:r>
      <w:r>
        <w:rPr>
          <w:rFonts w:hint="eastAsia" w:ascii="宋体" w:hAnsi="宋体" w:cs="宋体"/>
          <w:sz w:val="24"/>
          <w:szCs w:val="24"/>
          <w:u w:val="none"/>
          <w:shd w:val="clear" w:color="auto" w:fill="FFFFFF"/>
          <w:lang w:val="en-US" w:eastAsia="zh-CN"/>
        </w:rPr>
        <w:fldChar w:fldCharType="end"/>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 xml:space="preserve">   （中型企业/小型企业/微型企业）</w:t>
      </w:r>
    </w:p>
    <w:p>
      <w:pPr>
        <w:pStyle w:val="2"/>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cs="宋体"/>
          <w:sz w:val="24"/>
          <w:szCs w:val="24"/>
          <w:u w:val="single"/>
          <w:shd w:val="clear" w:color="auto" w:fill="FFFFFF"/>
          <w:lang w:val="en-US" w:eastAsia="zh-CN"/>
        </w:rPr>
      </w:pPr>
      <w:r>
        <w:rPr>
          <w:rFonts w:hint="eastAsia" w:ascii="宋体" w:hAnsi="宋体" w:cs="宋体"/>
          <w:sz w:val="24"/>
          <w:szCs w:val="24"/>
          <w:u w:val="none"/>
          <w:shd w:val="clear" w:color="auto" w:fill="FFFFFF"/>
          <w:lang w:val="en-US" w:eastAsia="zh-CN"/>
        </w:rPr>
        <w:t>（</w:t>
      </w:r>
      <w:r>
        <w:rPr>
          <w:rFonts w:hint="eastAsia" w:ascii="宋体" w:hAnsi="宋体" w:eastAsia="宋体" w:cs="宋体"/>
          <w:kern w:val="2"/>
          <w:sz w:val="24"/>
          <w:szCs w:val="24"/>
          <w:u w:val="single"/>
          <w:shd w:val="clear" w:color="auto" w:fill="FFFFFF"/>
          <w:lang w:val="en-US" w:eastAsia="zh-CN" w:bidi="ar-SA"/>
        </w:rPr>
        <w:t>电子工艺实训考核系统</w:t>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（制造业</w:t>
      </w:r>
      <w:r>
        <w:rPr>
          <w:rFonts w:hint="eastAsia" w:ascii="宋体" w:hAnsi="宋体" w:cs="宋体"/>
          <w:sz w:val="24"/>
          <w:szCs w:val="24"/>
          <w:u w:val="none"/>
          <w:shd w:val="clear" w:color="auto" w:fill="FFFFFF"/>
          <w:lang w:val="en-US" w:eastAsia="zh-CN"/>
        </w:rPr>
        <w:t>）；制造商为</w:t>
      </w:r>
      <w:r>
        <w:rPr>
          <w:rFonts w:hint="eastAsia" w:ascii="宋体" w:hAnsi="宋体" w:cs="宋体"/>
          <w:sz w:val="24"/>
          <w:szCs w:val="24"/>
          <w:u w:val="single"/>
          <w:shd w:val="clear" w:color="auto" w:fill="FFFFFF"/>
          <w:lang w:val="en-US" w:eastAsia="zh-CN"/>
        </w:rPr>
        <w:t>（企业名称</w:t>
      </w:r>
      <w:r>
        <w:rPr>
          <w:rFonts w:hint="eastAsia" w:ascii="宋体" w:hAnsi="宋体" w:cs="宋体"/>
          <w:sz w:val="24"/>
          <w:szCs w:val="24"/>
          <w:u w:val="none"/>
          <w:shd w:val="clear" w:color="auto" w:fill="FFFFFF"/>
          <w:lang w:val="en-US" w:eastAsia="zh-CN"/>
        </w:rPr>
        <w:t>），从业人员</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single"/>
          <w:shd w:val="clear" w:color="auto" w:fill="FFFFFF"/>
          <w:lang w:val="en-US" w:eastAsia="zh-CN"/>
        </w:rPr>
        <w:tab/>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人，营业收入为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 xml:space="preserve"> 万元，资产总额为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万元</w:t>
      </w:r>
      <w:r>
        <w:rPr>
          <w:rFonts w:hint="eastAsia" w:ascii="宋体" w:hAnsi="宋体" w:cs="宋体"/>
          <w:sz w:val="24"/>
          <w:szCs w:val="24"/>
          <w:u w:val="none"/>
          <w:shd w:val="clear" w:color="auto" w:fill="FFFFFF"/>
          <w:lang w:val="en-US" w:eastAsia="zh-CN"/>
        </w:rPr>
        <w:fldChar w:fldCharType="begin"/>
      </w:r>
      <w:r>
        <w:rPr>
          <w:rFonts w:hint="eastAsia" w:ascii="宋体" w:hAnsi="宋体" w:cs="宋体"/>
          <w:sz w:val="24"/>
          <w:szCs w:val="24"/>
          <w:u w:val="none"/>
          <w:shd w:val="clear" w:color="auto" w:fill="FFFFFF"/>
          <w:lang w:val="en-US" w:eastAsia="zh-CN"/>
        </w:rPr>
        <w:instrText xml:space="preserve"> HYPERLINK \l "_bookmark1" </w:instrText>
      </w:r>
      <w:r>
        <w:rPr>
          <w:rFonts w:hint="eastAsia" w:ascii="宋体" w:hAnsi="宋体" w:cs="宋体"/>
          <w:sz w:val="24"/>
          <w:szCs w:val="24"/>
          <w:u w:val="none"/>
          <w:shd w:val="clear" w:color="auto" w:fill="FFFFFF"/>
          <w:lang w:val="en-US" w:eastAsia="zh-CN"/>
        </w:rPr>
        <w:fldChar w:fldCharType="separate"/>
      </w:r>
      <w:r>
        <w:rPr>
          <w:rFonts w:hint="eastAsia" w:ascii="宋体" w:hAnsi="宋体" w:cs="宋体"/>
          <w:sz w:val="24"/>
          <w:szCs w:val="24"/>
          <w:u w:val="none"/>
          <w:shd w:val="clear" w:color="auto" w:fill="FFFFFF"/>
          <w:lang w:val="en-US" w:eastAsia="zh-CN"/>
        </w:rPr>
        <w:t>1</w:t>
      </w:r>
      <w:r>
        <w:rPr>
          <w:rFonts w:hint="eastAsia" w:ascii="宋体" w:hAnsi="宋体" w:cs="宋体"/>
          <w:sz w:val="24"/>
          <w:szCs w:val="24"/>
          <w:u w:val="none"/>
          <w:shd w:val="clear" w:color="auto" w:fill="FFFFFF"/>
          <w:lang w:val="en-US" w:eastAsia="zh-CN"/>
        </w:rPr>
        <w:fldChar w:fldCharType="end"/>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 xml:space="preserve">   （中型企业/小型企业/微型企业）</w:t>
      </w:r>
    </w:p>
    <w:p>
      <w:pPr>
        <w:pStyle w:val="2"/>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cs="宋体"/>
          <w:sz w:val="24"/>
          <w:szCs w:val="24"/>
          <w:u w:val="single"/>
          <w:shd w:val="clear" w:color="auto" w:fill="FFFFFF"/>
          <w:lang w:val="en-US" w:eastAsia="zh-CN"/>
        </w:rPr>
      </w:pP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u w:val="single"/>
          <w:lang w:val="en-US" w:eastAsia="zh-CN" w:bidi="ar-SA"/>
        </w:rPr>
        <w:t>智能开放式电工考核平台</w:t>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（制造业</w:t>
      </w:r>
      <w:r>
        <w:rPr>
          <w:rFonts w:hint="eastAsia" w:ascii="宋体" w:hAnsi="宋体" w:cs="宋体"/>
          <w:sz w:val="24"/>
          <w:szCs w:val="24"/>
          <w:u w:val="none"/>
          <w:shd w:val="clear" w:color="auto" w:fill="FFFFFF"/>
          <w:lang w:val="en-US" w:eastAsia="zh-CN"/>
        </w:rPr>
        <w:t>）；制造商为</w:t>
      </w:r>
      <w:r>
        <w:rPr>
          <w:rFonts w:hint="eastAsia" w:ascii="宋体" w:hAnsi="宋体" w:cs="宋体"/>
          <w:sz w:val="24"/>
          <w:szCs w:val="24"/>
          <w:u w:val="single"/>
          <w:shd w:val="clear" w:color="auto" w:fill="FFFFFF"/>
          <w:lang w:val="en-US" w:eastAsia="zh-CN"/>
        </w:rPr>
        <w:t>（企业名称</w:t>
      </w:r>
      <w:r>
        <w:rPr>
          <w:rFonts w:hint="eastAsia" w:ascii="宋体" w:hAnsi="宋体" w:cs="宋体"/>
          <w:sz w:val="24"/>
          <w:szCs w:val="24"/>
          <w:u w:val="none"/>
          <w:shd w:val="clear" w:color="auto" w:fill="FFFFFF"/>
          <w:lang w:val="en-US" w:eastAsia="zh-CN"/>
        </w:rPr>
        <w:t>），从业人员</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single"/>
          <w:shd w:val="clear" w:color="auto" w:fill="FFFFFF"/>
          <w:lang w:val="en-US" w:eastAsia="zh-CN"/>
        </w:rPr>
        <w:tab/>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人，营业收入为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 xml:space="preserve"> 万元，资产总额为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万元</w:t>
      </w:r>
      <w:r>
        <w:rPr>
          <w:rFonts w:hint="eastAsia" w:ascii="宋体" w:hAnsi="宋体" w:cs="宋体"/>
          <w:sz w:val="24"/>
          <w:szCs w:val="24"/>
          <w:u w:val="none"/>
          <w:shd w:val="clear" w:color="auto" w:fill="FFFFFF"/>
          <w:lang w:val="en-US" w:eastAsia="zh-CN"/>
        </w:rPr>
        <w:fldChar w:fldCharType="begin"/>
      </w:r>
      <w:r>
        <w:rPr>
          <w:rFonts w:hint="eastAsia" w:ascii="宋体" w:hAnsi="宋体" w:cs="宋体"/>
          <w:sz w:val="24"/>
          <w:szCs w:val="24"/>
          <w:u w:val="none"/>
          <w:shd w:val="clear" w:color="auto" w:fill="FFFFFF"/>
          <w:lang w:val="en-US" w:eastAsia="zh-CN"/>
        </w:rPr>
        <w:instrText xml:space="preserve"> HYPERLINK \l "_bookmark1" </w:instrText>
      </w:r>
      <w:r>
        <w:rPr>
          <w:rFonts w:hint="eastAsia" w:ascii="宋体" w:hAnsi="宋体" w:cs="宋体"/>
          <w:sz w:val="24"/>
          <w:szCs w:val="24"/>
          <w:u w:val="none"/>
          <w:shd w:val="clear" w:color="auto" w:fill="FFFFFF"/>
          <w:lang w:val="en-US" w:eastAsia="zh-CN"/>
        </w:rPr>
        <w:fldChar w:fldCharType="separate"/>
      </w:r>
      <w:r>
        <w:rPr>
          <w:rFonts w:hint="eastAsia" w:ascii="宋体" w:hAnsi="宋体" w:cs="宋体"/>
          <w:sz w:val="24"/>
          <w:szCs w:val="24"/>
          <w:u w:val="none"/>
          <w:shd w:val="clear" w:color="auto" w:fill="FFFFFF"/>
          <w:lang w:val="en-US" w:eastAsia="zh-CN"/>
        </w:rPr>
        <w:t>1</w:t>
      </w:r>
      <w:r>
        <w:rPr>
          <w:rFonts w:hint="eastAsia" w:ascii="宋体" w:hAnsi="宋体" w:cs="宋体"/>
          <w:sz w:val="24"/>
          <w:szCs w:val="24"/>
          <w:u w:val="none"/>
          <w:shd w:val="clear" w:color="auto" w:fill="FFFFFF"/>
          <w:lang w:val="en-US" w:eastAsia="zh-CN"/>
        </w:rPr>
        <w:fldChar w:fldCharType="end"/>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 xml:space="preserve">   （中型企业/小型企业/微型企业）</w:t>
      </w:r>
    </w:p>
    <w:p>
      <w:pPr>
        <w:pStyle w:val="2"/>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2"/>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ascii="宋体" w:hAnsi="宋体" w:cs="宋体"/>
          <w:color w:val="000000"/>
        </w:rPr>
      </w:pPr>
      <w:r>
        <w:rPr>
          <w:rFonts w:hint="eastAsia" w:ascii="宋体" w:hAnsi="宋体" w:cs="宋体"/>
          <w:color w:val="000000"/>
        </w:rPr>
        <w:t>本企业对上述声明内容的真实性负责。如有虚假，将依法承担相应责任。</w:t>
      </w:r>
    </w:p>
    <w:p>
      <w:pPr>
        <w:pStyle w:val="2"/>
        <w:keepNext w:val="0"/>
        <w:keepLines w:val="0"/>
        <w:pageBreakBefore w:val="0"/>
        <w:kinsoku/>
        <w:wordWrap/>
        <w:overflowPunct/>
        <w:topLinePunct w:val="0"/>
        <w:autoSpaceDE w:val="0"/>
        <w:autoSpaceDN w:val="0"/>
        <w:bidi w:val="0"/>
        <w:adjustRightInd/>
        <w:snapToGrid/>
        <w:spacing w:before="29" w:line="300" w:lineRule="auto"/>
        <w:ind w:left="4060" w:right="-54" w:firstLine="480"/>
        <w:textAlignment w:val="auto"/>
        <w:rPr>
          <w:rFonts w:ascii="宋体" w:hAnsi="宋体" w:cs="宋体"/>
          <w:color w:val="000000"/>
          <w:w w:val="99"/>
        </w:rPr>
      </w:pPr>
      <w:r>
        <w:rPr>
          <w:rFonts w:hint="eastAsia"/>
        </w:rPr>
        <w:t>企业名称（盖章）：</w:t>
      </w:r>
      <w:r>
        <w:rPr>
          <w:rFonts w:hint="eastAsia" w:ascii="宋体" w:hAnsi="宋体" w:cs="宋体"/>
          <w:color w:val="000000"/>
        </w:rPr>
        <w:t>___________</w:t>
      </w:r>
    </w:p>
    <w:p>
      <w:pPr>
        <w:pStyle w:val="2"/>
        <w:keepNext w:val="0"/>
        <w:keepLines w:val="0"/>
        <w:pageBreakBefore w:val="0"/>
        <w:kinsoku/>
        <w:wordWrap/>
        <w:overflowPunct/>
        <w:topLinePunct w:val="0"/>
        <w:autoSpaceDE w:val="0"/>
        <w:autoSpaceDN w:val="0"/>
        <w:bidi w:val="0"/>
        <w:adjustRightInd/>
        <w:snapToGrid/>
        <w:spacing w:before="29" w:line="300" w:lineRule="auto"/>
        <w:ind w:left="4060" w:right="-54" w:firstLine="480"/>
        <w:textAlignment w:val="auto"/>
        <w:rPr>
          <w:rFonts w:ascii="宋体" w:hAnsi="宋体" w:cs="宋体"/>
          <w:color w:val="000000"/>
        </w:rPr>
      </w:pPr>
      <w:r>
        <w:rPr>
          <w:rFonts w:hint="eastAsia" w:ascii="宋体" w:hAnsi="宋体" w:cs="宋体"/>
          <w:color w:val="000000"/>
        </w:rPr>
        <w:t>日期：___________</w:t>
      </w:r>
    </w:p>
    <w:p>
      <w:pPr>
        <w:keepNext w:val="0"/>
        <w:keepLines w:val="0"/>
        <w:pageBreakBefore w:val="0"/>
        <w:kinsoku/>
        <w:wordWrap/>
        <w:overflowPunct/>
        <w:topLinePunct w:val="0"/>
        <w:bidi w:val="0"/>
        <w:adjustRightInd/>
        <w:snapToGrid/>
        <w:spacing w:line="300" w:lineRule="auto"/>
        <w:ind w:firstLine="480"/>
        <w:jc w:val="left"/>
        <w:textAlignment w:val="auto"/>
        <w:rPr>
          <w:rFonts w:ascii="宋体" w:hAnsi="宋体" w:cs="宋体"/>
          <w:szCs w:val="24"/>
        </w:rPr>
      </w:pPr>
      <w:r>
        <w:rPr>
          <w:rFonts w:hint="eastAsia" w:ascii="宋体" w:hAnsi="宋体" w:cs="宋体"/>
          <w:szCs w:val="24"/>
        </w:rPr>
        <w:t>注：1.从业人员、营业收入、资产总额填报上一年度数据，无上一年度数据的新成立企业可不填报。</w:t>
      </w:r>
    </w:p>
    <w:p>
      <w:pPr>
        <w:keepNext w:val="0"/>
        <w:keepLines w:val="0"/>
        <w:pageBreakBefore w:val="0"/>
        <w:numPr>
          <w:ilvl w:val="0"/>
          <w:numId w:val="7"/>
        </w:numPr>
        <w:kinsoku/>
        <w:wordWrap/>
        <w:overflowPunct/>
        <w:topLinePunct w:val="0"/>
        <w:bidi w:val="0"/>
        <w:adjustRightInd/>
        <w:snapToGrid/>
        <w:spacing w:line="300" w:lineRule="auto"/>
        <w:ind w:firstLine="482"/>
        <w:jc w:val="left"/>
        <w:textAlignment w:val="auto"/>
        <w:rPr>
          <w:rFonts w:hint="eastAsia" w:ascii="宋体" w:hAnsi="宋体" w:cs="宋体"/>
          <w:b/>
          <w:bCs/>
          <w:color w:val="auto"/>
          <w:sz w:val="24"/>
          <w:szCs w:val="24"/>
        </w:rPr>
      </w:pPr>
      <w:r>
        <w:rPr>
          <w:rFonts w:hint="eastAsia" w:ascii="宋体" w:hAnsi="宋体" w:cs="宋体"/>
          <w:b/>
          <w:bCs/>
          <w:color w:val="auto"/>
          <w:sz w:val="24"/>
          <w:szCs w:val="24"/>
        </w:rPr>
        <w:t>本采购标的对应的所属行业：</w:t>
      </w:r>
      <w:r>
        <w:rPr>
          <w:rFonts w:hint="eastAsia" w:ascii="宋体" w:hAnsi="宋体" w:cs="宋体"/>
          <w:b/>
          <w:bCs/>
          <w:szCs w:val="24"/>
        </w:rPr>
        <w:t>制造业</w:t>
      </w:r>
    </w:p>
    <w:p>
      <w:pPr>
        <w:keepNext w:val="0"/>
        <w:keepLines w:val="0"/>
        <w:pageBreakBefore w:val="0"/>
        <w:numPr>
          <w:ilvl w:val="0"/>
          <w:numId w:val="0"/>
        </w:numPr>
        <w:kinsoku/>
        <w:wordWrap/>
        <w:overflowPunct/>
        <w:topLinePunct w:val="0"/>
        <w:bidi w:val="0"/>
        <w:adjustRightInd/>
        <w:snapToGrid/>
        <w:spacing w:line="300" w:lineRule="auto"/>
        <w:ind w:firstLine="482" w:firstLineChars="200"/>
        <w:jc w:val="left"/>
        <w:textAlignment w:val="auto"/>
        <w:rPr>
          <w:rFonts w:ascii="宋体" w:hAnsi="宋体" w:cs="宋体"/>
          <w:b/>
          <w:bCs/>
          <w:szCs w:val="24"/>
        </w:rPr>
      </w:pPr>
      <w:r>
        <w:rPr>
          <w:rFonts w:hint="eastAsia" w:ascii="宋体" w:hAnsi="宋体" w:cs="宋体"/>
          <w:b/>
          <w:bCs/>
          <w:szCs w:val="24"/>
          <w:lang w:val="en-US" w:eastAsia="zh-CN"/>
        </w:rPr>
        <w:t>3</w:t>
      </w:r>
      <w:r>
        <w:rPr>
          <w:rFonts w:hint="eastAsia" w:ascii="宋体" w:hAnsi="宋体" w:cs="宋体"/>
          <w:b/>
          <w:bCs/>
          <w:szCs w:val="24"/>
        </w:rPr>
        <w:t>.符合《关于促进残疾人就业政府采购政策的通知》（财库〔2017〕141号）规定的条件并提供《残疾人福利性单位声明函》的残疾人福利性单位视同小型、微型企业；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bidi w:val="0"/>
        <w:adjustRightInd/>
        <w:snapToGrid/>
        <w:spacing w:line="300" w:lineRule="auto"/>
        <w:ind w:firstLine="482"/>
        <w:jc w:val="left"/>
        <w:textAlignment w:val="auto"/>
        <w:rPr>
          <w:rFonts w:ascii="宋体" w:hAnsi="宋体" w:cs="宋体"/>
          <w:b/>
          <w:bCs/>
          <w:szCs w:val="24"/>
        </w:rPr>
      </w:pPr>
      <w:r>
        <w:rPr>
          <w:rFonts w:hint="eastAsia" w:ascii="宋体" w:hAnsi="宋体" w:cs="宋体"/>
          <w:b/>
          <w:bCs/>
          <w:szCs w:val="24"/>
          <w:lang w:val="en-US" w:eastAsia="zh-CN"/>
        </w:rPr>
        <w:t>4</w:t>
      </w:r>
      <w:r>
        <w:rPr>
          <w:rFonts w:hint="eastAsia" w:ascii="宋体" w:hAnsi="宋体" w:cs="宋体"/>
          <w:b/>
          <w:bCs/>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480"/>
        <w:rPr>
          <w:rFonts w:ascii="宋体" w:hAnsi="宋体" w:cs="宋体"/>
          <w:color w:val="000000"/>
          <w:szCs w:val="24"/>
        </w:rPr>
        <w:sectPr>
          <w:headerReference r:id="rId13"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275" w:firstLineChars="98"/>
        <w:jc w:val="center"/>
        <w:rPr>
          <w:rFonts w:ascii="宋体" w:hAnsi="宋体" w:cs="宋体"/>
          <w:b/>
          <w:bCs/>
          <w:color w:val="000000"/>
          <w:sz w:val="32"/>
          <w:szCs w:val="32"/>
        </w:rPr>
      </w:pPr>
      <w:r>
        <w:rPr>
          <w:rFonts w:hint="eastAsia" w:ascii="宋体" w:hAnsi="宋体" w:cs="宋体"/>
          <w:b/>
          <w:bCs/>
          <w:color w:val="000000"/>
          <w:sz w:val="28"/>
          <w:szCs w:val="28"/>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22"/>
        <w:snapToGrid w:val="0"/>
        <w:spacing w:before="24" w:beforeLines="10" w:after="24" w:afterLines="10"/>
        <w:ind w:right="480" w:firstLine="480"/>
        <w:jc w:val="right"/>
        <w:rPr>
          <w:rFonts w:hAnsi="宋体" w:cs="宋体"/>
          <w:color w:val="000000"/>
          <w:sz w:val="24"/>
          <w:szCs w:val="24"/>
        </w:rPr>
      </w:pPr>
    </w:p>
    <w:p>
      <w:pPr>
        <w:pStyle w:val="22"/>
        <w:snapToGrid w:val="0"/>
        <w:spacing w:before="24" w:beforeLines="10" w:after="24" w:afterLines="10"/>
        <w:ind w:right="480" w:firstLine="480"/>
        <w:jc w:val="right"/>
        <w:rPr>
          <w:rFonts w:hAnsi="宋体" w:cs="宋体"/>
          <w:color w:val="000000"/>
          <w:sz w:val="24"/>
          <w:szCs w:val="24"/>
        </w:rPr>
      </w:pPr>
    </w:p>
    <w:p>
      <w:pPr>
        <w:pStyle w:val="22"/>
        <w:snapToGrid w:val="0"/>
        <w:spacing w:before="24" w:beforeLines="10" w:after="24" w:afterLines="10"/>
        <w:ind w:right="480" w:firstLine="480"/>
        <w:jc w:val="right"/>
        <w:rPr>
          <w:rFonts w:hAnsi="宋体" w:cs="宋体"/>
          <w:color w:val="000000"/>
          <w:sz w:val="24"/>
          <w:szCs w:val="24"/>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ind w:firstLine="480"/>
        <w:rPr>
          <w:rFonts w:ascii="宋体" w:hAnsi="宋体"/>
        </w:rPr>
      </w:pPr>
      <w:r>
        <w:rPr>
          <w:rFonts w:hint="eastAsia" w:ascii="宋体" w:hAnsi="宋体"/>
        </w:rPr>
        <w:br w:type="page"/>
      </w:r>
    </w:p>
    <w:p>
      <w:pPr>
        <w:pStyle w:val="37"/>
        <w:ind w:firstLine="643"/>
      </w:pP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28"/>
          <w:szCs w:val="28"/>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u w:val="single"/>
        </w:rPr>
      </w:pPr>
      <w:r>
        <w:rPr>
          <w:rFonts w:hint="eastAsia" w:ascii="宋体" w:hAnsi="宋体" w:cs="宋体"/>
          <w:color w:val="000000"/>
          <w:szCs w:val="24"/>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hint="eastAsia" w:ascii="宋体" w:hAnsi="宋体" w:cs="宋体"/>
          <w:color w:val="000000"/>
          <w:szCs w:val="24"/>
        </w:rPr>
        <w:t>________________________________________________________________________________________________________________________________________________________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2"/>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sz w:val="28"/>
          <w:szCs w:val="28"/>
        </w:rPr>
      </w:pPr>
      <w:r>
        <w:rPr>
          <w:rFonts w:hint="eastAsia" w:ascii="宋体" w:hAnsi="宋体" w:cs="宋体"/>
          <w:b/>
          <w:color w:val="000000"/>
          <w:sz w:val="28"/>
          <w:szCs w:val="28"/>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3"/>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28"/>
          <w:szCs w:val="28"/>
        </w:rPr>
      </w:pPr>
      <w:r>
        <w:rPr>
          <w:rFonts w:hint="eastAsia" w:ascii="宋体" w:hAnsi="宋体" w:cs="宋体"/>
          <w:b/>
          <w:bCs/>
          <w:sz w:val="28"/>
          <w:szCs w:val="28"/>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嘉善技师学院（筹）购置培训教学仪器设备（电子电工实训设备）</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被授权人身份证号码：______________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8"/>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28"/>
          <w:szCs w:val="28"/>
        </w:rPr>
      </w:pPr>
      <w:r>
        <w:rPr>
          <w:rFonts w:hint="eastAsia" w:ascii="宋体" w:hAnsi="宋体" w:cs="宋体"/>
          <w:b/>
          <w:color w:val="000000"/>
          <w:sz w:val="28"/>
          <w:szCs w:val="28"/>
        </w:rPr>
        <w:t>投标人基本情况表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sz w:val="32"/>
          <w:szCs w:val="32"/>
        </w:rPr>
        <w:sectPr>
          <w:headerReference r:id="rId14" w:type="default"/>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十、商务偏离表格式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28"/>
          <w:szCs w:val="28"/>
        </w:rPr>
        <w:t>商务偏离表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95"/>
        <w:gridCol w:w="1348"/>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65" w:type="dxa"/>
            <w:vAlign w:val="center"/>
          </w:tcPr>
          <w:p>
            <w:pPr>
              <w:ind w:firstLine="0" w:firstLineChars="0"/>
              <w:jc w:val="center"/>
              <w:rPr>
                <w:rFonts w:ascii="宋体" w:hAnsi="宋体" w:cs="宋体"/>
              </w:rPr>
            </w:pPr>
            <w:r>
              <w:rPr>
                <w:rFonts w:hint="eastAsia" w:ascii="宋体" w:hAnsi="宋体" w:cs="宋体"/>
              </w:rPr>
              <w:t>序号</w:t>
            </w:r>
          </w:p>
        </w:tc>
        <w:tc>
          <w:tcPr>
            <w:tcW w:w="1995" w:type="dxa"/>
            <w:vAlign w:val="center"/>
          </w:tcPr>
          <w:p>
            <w:pPr>
              <w:ind w:firstLine="0" w:firstLineChars="0"/>
              <w:jc w:val="center"/>
              <w:rPr>
                <w:rFonts w:ascii="宋体" w:hAnsi="宋体" w:cs="宋体"/>
              </w:rPr>
            </w:pPr>
            <w:r>
              <w:rPr>
                <w:rFonts w:hint="eastAsia" w:ascii="宋体" w:hAnsi="宋体" w:cs="宋体"/>
              </w:rPr>
              <w:t>内容</w:t>
            </w:r>
          </w:p>
        </w:tc>
        <w:tc>
          <w:tcPr>
            <w:tcW w:w="1348" w:type="dxa"/>
            <w:vAlign w:val="center"/>
          </w:tcPr>
          <w:p>
            <w:pPr>
              <w:ind w:firstLine="0" w:firstLineChars="0"/>
              <w:jc w:val="center"/>
              <w:rPr>
                <w:rFonts w:ascii="宋体" w:hAnsi="宋体" w:cs="宋体"/>
              </w:rPr>
            </w:pPr>
            <w:r>
              <w:rPr>
                <w:rFonts w:hint="eastAsia" w:ascii="宋体" w:hAnsi="宋体" w:cs="宋体"/>
              </w:rPr>
              <w:t>采购文件商务要求</w:t>
            </w:r>
          </w:p>
        </w:tc>
        <w:tc>
          <w:tcPr>
            <w:tcW w:w="1363" w:type="dxa"/>
            <w:vAlign w:val="center"/>
          </w:tcPr>
          <w:p>
            <w:pPr>
              <w:ind w:firstLine="0" w:firstLineChars="0"/>
              <w:jc w:val="center"/>
              <w:rPr>
                <w:rFonts w:ascii="宋体" w:hAnsi="宋体" w:cs="宋体"/>
              </w:rPr>
            </w:pPr>
            <w:r>
              <w:rPr>
                <w:rFonts w:hint="eastAsia" w:ascii="宋体" w:hAnsi="宋体" w:cs="宋体"/>
              </w:rPr>
              <w:t>投标文件</w:t>
            </w:r>
          </w:p>
          <w:p>
            <w:pPr>
              <w:ind w:firstLine="0" w:firstLineChars="0"/>
              <w:jc w:val="center"/>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ascii="宋体" w:hAnsi="宋体" w:cs="宋体"/>
              </w:rPr>
            </w:pPr>
            <w:r>
              <w:rPr>
                <w:rFonts w:hint="eastAsia" w:ascii="宋体" w:hAnsi="宋体" w:cs="宋体"/>
              </w:rPr>
              <w:t>1</w:t>
            </w:r>
          </w:p>
        </w:tc>
        <w:tc>
          <w:tcPr>
            <w:tcW w:w="1995" w:type="dxa"/>
            <w:vAlign w:val="center"/>
          </w:tcPr>
          <w:p>
            <w:pPr>
              <w:snapToGrid w:val="0"/>
              <w:spacing w:before="100" w:beforeAutospacing="1" w:after="100" w:afterAutospacing="1" w:line="30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质保期及售后服务要求</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ascii="宋体" w:hAnsi="宋体" w:cs="宋体"/>
              </w:rPr>
            </w:pPr>
            <w:r>
              <w:rPr>
                <w:rFonts w:hint="eastAsia" w:ascii="宋体" w:hAnsi="宋体" w:cs="宋体"/>
              </w:rPr>
              <w:t>2</w:t>
            </w:r>
          </w:p>
        </w:tc>
        <w:tc>
          <w:tcPr>
            <w:tcW w:w="1995" w:type="dxa"/>
            <w:vAlign w:val="center"/>
          </w:tcPr>
          <w:p>
            <w:pPr>
              <w:keepNext w:val="0"/>
              <w:keepLines w:val="0"/>
              <w:pageBreakBefore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交货期</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ascii="宋体" w:hAnsi="宋体" w:cs="宋体"/>
              </w:rPr>
            </w:pPr>
            <w:r>
              <w:rPr>
                <w:rFonts w:hint="eastAsia" w:ascii="宋体" w:hAnsi="宋体" w:cs="宋体"/>
              </w:rPr>
              <w:t>3</w:t>
            </w:r>
          </w:p>
        </w:tc>
        <w:tc>
          <w:tcPr>
            <w:tcW w:w="1995" w:type="dxa"/>
            <w:vAlign w:val="center"/>
          </w:tcPr>
          <w:p>
            <w:pPr>
              <w:keepNext w:val="0"/>
              <w:keepLines w:val="0"/>
              <w:pageBreakBefore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培训要求</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4</w:t>
            </w:r>
          </w:p>
        </w:tc>
        <w:tc>
          <w:tcPr>
            <w:tcW w:w="1995" w:type="dxa"/>
            <w:vAlign w:val="center"/>
          </w:tcPr>
          <w:p>
            <w:pPr>
              <w:keepNext w:val="0"/>
              <w:keepLines w:val="0"/>
              <w:pageBreakBefore w:val="0"/>
              <w:kinsoku/>
              <w:wordWrap/>
              <w:overflowPunct/>
              <w:topLinePunct w:val="0"/>
              <w:bidi w:val="0"/>
              <w:spacing w:line="300" w:lineRule="auto"/>
              <w:ind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bidi="ar"/>
              </w:rPr>
              <w:t>验收</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5</w:t>
            </w:r>
          </w:p>
        </w:tc>
        <w:tc>
          <w:tcPr>
            <w:tcW w:w="1995" w:type="dxa"/>
            <w:vAlign w:val="center"/>
          </w:tcPr>
          <w:p>
            <w:pPr>
              <w:keepNext w:val="0"/>
              <w:keepLines w:val="0"/>
              <w:pageBreakBefore w:val="0"/>
              <w:kinsoku/>
              <w:wordWrap/>
              <w:overflowPunct/>
              <w:topLinePunct w:val="0"/>
              <w:bidi w:val="0"/>
              <w:spacing w:line="300" w:lineRule="auto"/>
              <w:ind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其他要求</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rPr>
                <w:rFonts w:ascii="宋体" w:hAnsi="宋体" w:cs="宋体"/>
              </w:rPr>
            </w:pPr>
            <w:r>
              <w:rPr>
                <w:rFonts w:hint="eastAsia" w:ascii="宋体" w:hAnsi="宋体" w:cs="宋体"/>
              </w:rPr>
              <w:t>..</w:t>
            </w:r>
          </w:p>
        </w:tc>
        <w:tc>
          <w:tcPr>
            <w:tcW w:w="1995" w:type="dxa"/>
            <w:vAlign w:val="center"/>
          </w:tcPr>
          <w:p>
            <w:pPr>
              <w:ind w:firstLine="0" w:firstLineChars="0"/>
              <w:rPr>
                <w:rFonts w:ascii="宋体" w:hAnsi="宋体" w:cs="宋体"/>
              </w:rPr>
            </w:pP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十一、同类项目业绩表格式</w:t>
      </w:r>
    </w:p>
    <w:p>
      <w:pPr>
        <w:spacing w:line="380" w:lineRule="exact"/>
        <w:ind w:firstLine="602"/>
        <w:jc w:val="center"/>
        <w:rPr>
          <w:rFonts w:ascii="宋体" w:hAnsi="宋体" w:cs="宋体"/>
          <w:b/>
          <w:sz w:val="28"/>
          <w:szCs w:val="28"/>
        </w:rPr>
      </w:pPr>
      <w:r>
        <w:rPr>
          <w:rFonts w:hint="eastAsia" w:ascii="宋体" w:hAnsi="宋体" w:cs="宋体"/>
          <w:b/>
          <w:sz w:val="28"/>
          <w:szCs w:val="28"/>
        </w:rPr>
        <w:t>同类项目业绩表</w:t>
      </w:r>
    </w:p>
    <w:p>
      <w:pPr>
        <w:spacing w:line="380" w:lineRule="exact"/>
        <w:ind w:firstLine="480"/>
        <w:rPr>
          <w:rFonts w:ascii="宋体" w:hAnsi="宋体" w:cs="宋体"/>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w:t>
      </w:r>
      <w:r>
        <w:rPr>
          <w:rFonts w:hint="eastAsia" w:ascii="宋体" w:hAnsi="宋体" w:cs="宋体"/>
          <w:bCs/>
          <w:szCs w:val="21"/>
        </w:rPr>
        <w:t>项目合同</w:t>
      </w:r>
      <w:r>
        <w:rPr>
          <w:rFonts w:hint="eastAsia" w:ascii="宋体" w:hAnsi="宋体" w:cs="宋体"/>
          <w:bCs/>
          <w:szCs w:val="21"/>
          <w:lang w:val="en-US" w:eastAsia="zh-CN"/>
        </w:rPr>
        <w:t>和验收合格证明材料</w:t>
      </w:r>
      <w:r>
        <w:rPr>
          <w:rFonts w:hint="eastAsia" w:ascii="宋体" w:hAnsi="宋体" w:cs="宋体"/>
          <w:bCs/>
          <w:szCs w:val="21"/>
        </w:rPr>
        <w:t>扫描件</w:t>
      </w:r>
      <w:r>
        <w:rPr>
          <w:rFonts w:hint="eastAsia" w:ascii="宋体" w:hAnsi="宋体" w:cs="宋体"/>
          <w:szCs w:val="24"/>
        </w:rPr>
        <w:t>并加盖投标人</w:t>
      </w:r>
      <w:r>
        <w:rPr>
          <w:rFonts w:hint="eastAsia" w:ascii="宋体" w:hAnsi="宋体" w:cs="宋体"/>
          <w:szCs w:val="24"/>
          <w:lang w:val="en-US" w:eastAsia="zh-CN"/>
        </w:rPr>
        <w:t>CA</w:t>
      </w:r>
      <w:r>
        <w:rPr>
          <w:rFonts w:hint="eastAsia" w:ascii="宋体" w:hAnsi="宋体" w:cs="宋体"/>
          <w:szCs w:val="24"/>
        </w:rPr>
        <w:t>公章。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十二、技术偏离表格式</w:t>
      </w:r>
    </w:p>
    <w:p>
      <w:pPr>
        <w:snapToGrid w:val="0"/>
        <w:spacing w:before="100" w:beforeAutospacing="1" w:after="100" w:afterAutospacing="1" w:line="276" w:lineRule="auto"/>
        <w:ind w:firstLine="643"/>
        <w:jc w:val="center"/>
        <w:rPr>
          <w:rFonts w:ascii="宋体" w:hAnsi="宋体" w:cs="宋体"/>
          <w:b/>
          <w:bCs/>
          <w:sz w:val="28"/>
          <w:szCs w:val="28"/>
        </w:rPr>
      </w:pPr>
      <w:r>
        <w:rPr>
          <w:rFonts w:hint="eastAsia" w:ascii="宋体" w:hAnsi="宋体" w:cs="宋体"/>
          <w:b/>
          <w:bCs/>
          <w:sz w:val="28"/>
          <w:szCs w:val="28"/>
        </w:rPr>
        <w:t>技术偏离表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货物名称</w:t>
            </w:r>
          </w:p>
        </w:tc>
        <w:tc>
          <w:tcPr>
            <w:tcW w:w="1559" w:type="dxa"/>
            <w:vAlign w:val="center"/>
          </w:tcPr>
          <w:p>
            <w:pPr>
              <w:spacing w:line="276" w:lineRule="auto"/>
              <w:ind w:firstLine="0" w:firstLineChars="0"/>
              <w:rPr>
                <w:rFonts w:ascii="宋体" w:hAnsi="宋体" w:cs="宋体"/>
              </w:rPr>
            </w:pPr>
            <w:r>
              <w:rPr>
                <w:rFonts w:hint="eastAsia" w:ascii="宋体" w:hAnsi="宋体" w:cs="宋体"/>
              </w:rPr>
              <w:t>单位及数量</w:t>
            </w:r>
          </w:p>
        </w:tc>
        <w:tc>
          <w:tcPr>
            <w:tcW w:w="1855"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2109" w:type="dxa"/>
            <w:vAlign w:val="center"/>
          </w:tcPr>
          <w:p>
            <w:pPr>
              <w:spacing w:line="276" w:lineRule="auto"/>
              <w:ind w:firstLine="0" w:firstLineChars="0"/>
              <w:rPr>
                <w:rFonts w:ascii="宋体" w:hAnsi="宋体" w:cs="宋体"/>
              </w:rPr>
            </w:pPr>
            <w:r>
              <w:rPr>
                <w:rFonts w:hint="eastAsia" w:ascii="宋体" w:hAnsi="宋体" w:cs="宋体"/>
              </w:rPr>
              <w:t>投标文件</w:t>
            </w:r>
          </w:p>
          <w:p>
            <w:pPr>
              <w:spacing w:line="276" w:lineRule="auto"/>
              <w:ind w:firstLine="0" w:firstLineChars="0"/>
              <w:rPr>
                <w:rFonts w:ascii="宋体" w:hAnsi="宋体" w:cs="宋体"/>
              </w:rPr>
            </w:pPr>
            <w:r>
              <w:rPr>
                <w:rFonts w:hint="eastAsia" w:ascii="宋体" w:hAnsi="宋体" w:cs="宋体"/>
              </w:rPr>
              <w:t>技术参数</w:t>
            </w:r>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注：对于采购文件中提出的全部技术参数要求，应在技术偏离表中逐条列出，未列出的视同无偏离。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2560" w:firstLineChars="850"/>
        <w:contextualSpacing/>
        <w:rPr>
          <w:rFonts w:hint="eastAsia"/>
          <w:b/>
          <w:sz w:val="30"/>
          <w:szCs w:val="30"/>
        </w:rPr>
        <w:sectPr>
          <w:pgSz w:w="11906" w:h="16838"/>
          <w:pgMar w:top="1418" w:right="1077" w:bottom="1418" w:left="1077" w:header="851" w:footer="992" w:gutter="340"/>
          <w:cols w:space="720" w:num="1"/>
          <w:docGrid w:linePitch="381" w:charSpace="0"/>
        </w:sectPr>
      </w:pPr>
      <w:r>
        <w:rPr>
          <w:rFonts w:hint="eastAsia"/>
          <w:b/>
          <w:sz w:val="30"/>
          <w:szCs w:val="30"/>
        </w:rPr>
        <w:br w:type="page"/>
      </w:r>
    </w:p>
    <w:p>
      <w:pPr>
        <w:spacing w:line="380" w:lineRule="exact"/>
        <w:ind w:firstLine="602"/>
        <w:jc w:val="center"/>
        <w:rPr>
          <w:rFonts w:ascii="宋体" w:hAnsi="宋体" w:cs="宋体"/>
          <w:b/>
          <w:sz w:val="30"/>
          <w:szCs w:val="30"/>
        </w:rPr>
      </w:pPr>
      <w:r>
        <w:rPr>
          <w:rFonts w:hint="eastAsia" w:ascii="宋体" w:hAnsi="宋体" w:cs="宋体"/>
          <w:b/>
          <w:sz w:val="32"/>
          <w:szCs w:val="32"/>
        </w:rPr>
        <w:t>十三、</w:t>
      </w:r>
      <w:r>
        <w:rPr>
          <w:rFonts w:hint="eastAsia" w:ascii="宋体" w:hAnsi="宋体" w:cs="宋体"/>
          <w:b/>
          <w:sz w:val="30"/>
          <w:szCs w:val="30"/>
        </w:rPr>
        <w:t>拟投入本项目人员一览表格式</w:t>
      </w:r>
    </w:p>
    <w:p>
      <w:pPr>
        <w:spacing w:line="380" w:lineRule="exact"/>
        <w:ind w:firstLine="602"/>
        <w:jc w:val="center"/>
        <w:rPr>
          <w:rFonts w:ascii="宋体" w:hAnsi="宋体" w:cs="宋体"/>
          <w:b/>
          <w:sz w:val="28"/>
          <w:szCs w:val="28"/>
        </w:rPr>
      </w:pPr>
      <w:r>
        <w:rPr>
          <w:rFonts w:hint="eastAsia" w:ascii="宋体" w:hAnsi="宋体" w:cs="宋体"/>
          <w:b/>
          <w:sz w:val="28"/>
          <w:szCs w:val="28"/>
        </w:rPr>
        <w:t>拟投入本项目人员一览表</w:t>
      </w:r>
    </w:p>
    <w:p>
      <w:pPr>
        <w:pStyle w:val="37"/>
        <w:ind w:firstLine="643"/>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88"/>
        <w:gridCol w:w="1076"/>
        <w:gridCol w:w="1076"/>
        <w:gridCol w:w="1333"/>
        <w:gridCol w:w="170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序号</w:t>
            </w:r>
          </w:p>
        </w:tc>
        <w:tc>
          <w:tcPr>
            <w:tcW w:w="1488"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姓名</w:t>
            </w:r>
          </w:p>
        </w:tc>
        <w:tc>
          <w:tcPr>
            <w:tcW w:w="1076"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职称</w:t>
            </w:r>
          </w:p>
        </w:tc>
        <w:tc>
          <w:tcPr>
            <w:tcW w:w="1076"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专业</w:t>
            </w:r>
          </w:p>
        </w:tc>
        <w:tc>
          <w:tcPr>
            <w:tcW w:w="1333"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学历、证书</w:t>
            </w:r>
          </w:p>
        </w:tc>
        <w:tc>
          <w:tcPr>
            <w:tcW w:w="1701" w:type="dxa"/>
            <w:vAlign w:val="center"/>
          </w:tcPr>
          <w:p>
            <w:pPr>
              <w:adjustRightInd w:val="0"/>
              <w:spacing w:before="120" w:beforeLines="50"/>
              <w:ind w:firstLine="0" w:firstLineChars="0"/>
              <w:jc w:val="center"/>
              <w:textAlignment w:val="baseline"/>
              <w:rPr>
                <w:rFonts w:ascii="宋体" w:hAnsi="宋体" w:cs="宋体"/>
                <w:bCs/>
              </w:rPr>
            </w:pPr>
            <w:r>
              <w:rPr>
                <w:rFonts w:hint="eastAsia" w:ascii="宋体" w:hAnsi="宋体" w:cs="宋体"/>
                <w:bCs/>
              </w:rPr>
              <w:t>工作经历</w:t>
            </w:r>
          </w:p>
        </w:tc>
        <w:tc>
          <w:tcPr>
            <w:tcW w:w="1899" w:type="dxa"/>
            <w:vAlign w:val="center"/>
          </w:tcPr>
          <w:p>
            <w:pPr>
              <w:adjustRightInd w:val="0"/>
              <w:spacing w:before="120" w:beforeLines="50"/>
              <w:ind w:firstLine="0" w:firstLineChars="0"/>
              <w:jc w:val="center"/>
              <w:textAlignment w:val="baseline"/>
              <w:rPr>
                <w:rFonts w:ascii="宋体" w:hAnsi="宋体" w:cs="宋体"/>
                <w:bCs/>
              </w:rPr>
            </w:pPr>
            <w:r>
              <w:rPr>
                <w:rFonts w:hint="eastAsia" w:ascii="宋体" w:hAnsi="宋体" w:cs="宋体"/>
                <w:bCs/>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jc w:val="center"/>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pStyle w:val="23"/>
              <w:adjustRightInd w:val="0"/>
              <w:spacing w:before="120" w:beforeLines="50"/>
              <w:ind w:left="5250" w:leftChars="0" w:firstLine="0" w:firstLineChars="0"/>
              <w:textAlignment w:val="baseline"/>
              <w:rPr>
                <w:rFonts w:ascii="宋体" w:hAnsi="宋体" w:cs="宋体"/>
                <w:kern w:val="2"/>
              </w:rPr>
            </w:pPr>
          </w:p>
        </w:tc>
        <w:tc>
          <w:tcPr>
            <w:tcW w:w="1076" w:type="dxa"/>
          </w:tcPr>
          <w:p>
            <w:pPr>
              <w:pStyle w:val="23"/>
              <w:adjustRightInd w:val="0"/>
              <w:spacing w:before="120" w:beforeLines="50"/>
              <w:ind w:left="5250" w:leftChars="0" w:firstLine="0" w:firstLineChars="0"/>
              <w:textAlignment w:val="baseline"/>
              <w:rPr>
                <w:rFonts w:ascii="宋体" w:hAnsi="宋体" w:cs="宋体"/>
                <w:kern w:val="2"/>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jc w:val="center"/>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bl>
    <w:p>
      <w:pPr>
        <w:spacing w:line="300" w:lineRule="auto"/>
        <w:ind w:firstLine="480"/>
        <w:rPr>
          <w:rFonts w:ascii="宋体" w:hAnsi="宋体" w:cs="宋体"/>
          <w:color w:val="000000"/>
          <w:szCs w:val="24"/>
        </w:rPr>
      </w:pPr>
      <w:r>
        <w:rPr>
          <w:rFonts w:hint="eastAsia" w:ascii="宋体" w:hAnsi="宋体" w:cs="宋体"/>
          <w:szCs w:val="24"/>
        </w:rPr>
        <w:t xml:space="preserve">注： </w:t>
      </w:r>
      <w:r>
        <w:rPr>
          <w:rFonts w:hint="eastAsia" w:ascii="宋体" w:hAnsi="宋体" w:cs="宋体"/>
          <w:color w:val="000000"/>
          <w:szCs w:val="24"/>
        </w:rPr>
        <w:t>各投标人必须如实填写此表格，并</w:t>
      </w:r>
      <w:r>
        <w:rPr>
          <w:rFonts w:hint="eastAsia" w:ascii="宋体" w:hAnsi="宋体" w:cs="宋体"/>
          <w:szCs w:val="24"/>
        </w:rPr>
        <w:t>提供人员相关证书及</w:t>
      </w:r>
      <w:r>
        <w:rPr>
          <w:rFonts w:hint="eastAsia" w:ascii="宋体" w:hAnsi="宋体" w:eastAsia="宋体" w:cs="宋体"/>
          <w:b w:val="0"/>
          <w:bCs w:val="0"/>
          <w:color w:val="auto"/>
          <w:kern w:val="0"/>
          <w:szCs w:val="24"/>
        </w:rPr>
        <w:t>投标截止前半年内任意</w:t>
      </w:r>
      <w:bookmarkStart w:id="36" w:name="_GoBack"/>
      <w:bookmarkEnd w:id="36"/>
      <w:r>
        <w:rPr>
          <w:rFonts w:hint="eastAsia" w:ascii="宋体" w:hAnsi="宋体" w:cs="宋体"/>
          <w:color w:val="000000"/>
          <w:szCs w:val="24"/>
        </w:rPr>
        <w:t>一个月的</w:t>
      </w:r>
      <w:r>
        <w:rPr>
          <w:rFonts w:hint="eastAsia" w:ascii="宋体" w:hAnsi="宋体" w:cs="宋体"/>
          <w:szCs w:val="24"/>
        </w:rPr>
        <w:t>社保证明扫描件并加盖投标人</w:t>
      </w:r>
      <w:r>
        <w:rPr>
          <w:rFonts w:hint="eastAsia" w:ascii="宋体" w:hAnsi="宋体" w:cs="宋体"/>
          <w:szCs w:val="24"/>
          <w:lang w:val="en-US" w:eastAsia="zh-CN"/>
        </w:rPr>
        <w:t>CA</w:t>
      </w:r>
      <w:r>
        <w:rPr>
          <w:rFonts w:hint="eastAsia" w:ascii="宋体" w:hAnsi="宋体" w:cs="宋体"/>
          <w:szCs w:val="24"/>
        </w:rPr>
        <w:t>公章</w:t>
      </w:r>
      <w:r>
        <w:rPr>
          <w:rFonts w:hint="eastAsia" w:ascii="宋体" w:hAnsi="宋体" w:cs="宋体"/>
          <w:color w:val="000000"/>
          <w:szCs w:val="24"/>
        </w:rPr>
        <w:t>。</w:t>
      </w:r>
    </w:p>
    <w:p>
      <w:pPr>
        <w:ind w:firstLine="2040" w:firstLineChars="850"/>
        <w:contextualSpacing/>
        <w:rPr>
          <w:rFonts w:ascii="宋体" w:hAnsi="宋体" w:cs="宋体"/>
          <w:szCs w:val="24"/>
        </w:rPr>
      </w:pPr>
    </w:p>
    <w:p>
      <w:pPr>
        <w:ind w:firstLine="2040" w:firstLineChars="850"/>
        <w:contextualSpacing/>
        <w:rPr>
          <w:rFonts w:ascii="宋体" w:hAnsi="宋体" w:cs="宋体"/>
        </w:rPr>
      </w:pPr>
      <w:r>
        <w:rPr>
          <w:rFonts w:hint="eastAsia" w:ascii="宋体" w:hAnsi="宋体" w:cs="宋体"/>
          <w:szCs w:val="24"/>
        </w:rPr>
        <w:t>法定代表人或授权代表</w:t>
      </w:r>
      <w:r>
        <w:rPr>
          <w:rFonts w:hint="eastAsia" w:ascii="宋体" w:hAnsi="宋体" w:cs="宋体"/>
          <w:spacing w:val="20"/>
          <w:szCs w:val="24"/>
        </w:rPr>
        <w:t>签名（或盖章）：</w:t>
      </w:r>
      <w:r>
        <w:rPr>
          <w:rFonts w:hint="eastAsia" w:ascii="宋体" w:hAnsi="宋体" w:cs="宋体"/>
          <w:szCs w:val="24"/>
        </w:rPr>
        <w:t>_________________</w:t>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p>
    <w:p>
      <w:pPr>
        <w:ind w:firstLine="2040" w:firstLineChars="850"/>
        <w:contextualSpacing/>
        <w:rPr>
          <w:rFonts w:ascii="宋体" w:hAnsi="宋体" w:cs="宋体"/>
          <w:szCs w:val="24"/>
        </w:rPr>
      </w:pPr>
      <w:r>
        <w:rPr>
          <w:rFonts w:hint="eastAsia" w:ascii="宋体" w:hAnsi="宋体" w:cs="宋体"/>
        </w:rPr>
        <w:t xml:space="preserve">                </w:t>
      </w:r>
      <w:r>
        <w:rPr>
          <w:rFonts w:hint="eastAsia" w:ascii="宋体" w:hAnsi="宋体" w:cs="宋体"/>
          <w:szCs w:val="24"/>
        </w:rPr>
        <w:t xml:space="preserve"> 投标人（公章）：_________________</w:t>
      </w:r>
    </w:p>
    <w:p>
      <w:pPr>
        <w:ind w:firstLine="2040" w:firstLineChars="850"/>
        <w:contextualSpacing/>
        <w:sectPr>
          <w:pgSz w:w="11906" w:h="16838"/>
          <w:pgMar w:top="1418" w:right="1077" w:bottom="1418" w:left="1077" w:header="851" w:footer="992" w:gutter="340"/>
          <w:cols w:space="720" w:num="1"/>
          <w:docGrid w:linePitch="381" w:charSpace="0"/>
        </w:sectPr>
      </w:pPr>
      <w:r>
        <w:rPr>
          <w:rFonts w:hint="eastAsia" w:ascii="宋体" w:hAnsi="宋体" w:cs="宋体"/>
          <w:szCs w:val="24"/>
        </w:rPr>
        <w:t xml:space="preserve">                  日期：____年____月____日</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十</w:t>
      </w:r>
      <w:r>
        <w:rPr>
          <w:rFonts w:hint="eastAsia" w:ascii="宋体" w:hAnsi="宋体" w:cs="宋体"/>
          <w:b/>
          <w:bCs/>
          <w:color w:val="000000"/>
          <w:sz w:val="32"/>
          <w:szCs w:val="32"/>
          <w:lang w:val="en-US" w:eastAsia="zh-CN"/>
        </w:rPr>
        <w:t>四</w:t>
      </w:r>
      <w:r>
        <w:rPr>
          <w:rFonts w:hint="eastAsia" w:ascii="宋体" w:hAnsi="宋体" w:cs="宋体"/>
          <w:b/>
          <w:bCs/>
          <w:color w:val="000000"/>
          <w:sz w:val="32"/>
          <w:szCs w:val="32"/>
        </w:rPr>
        <w:t>、投标函格式</w:t>
      </w:r>
    </w:p>
    <w:p>
      <w:pPr>
        <w:snapToGrid w:val="0"/>
        <w:spacing w:before="100" w:beforeAutospacing="1" w:after="100" w:afterAutospacing="1" w:line="276" w:lineRule="auto"/>
        <w:ind w:firstLine="602"/>
        <w:jc w:val="center"/>
        <w:rPr>
          <w:rFonts w:ascii="宋体" w:hAnsi="宋体" w:cs="宋体"/>
          <w:b/>
          <w:bCs/>
          <w:color w:val="000000"/>
          <w:sz w:val="28"/>
          <w:szCs w:val="28"/>
        </w:rPr>
      </w:pPr>
      <w:r>
        <w:rPr>
          <w:rFonts w:hint="eastAsia" w:ascii="宋体" w:hAnsi="宋体" w:cs="宋体"/>
          <w:b/>
          <w:bCs/>
          <w:color w:val="000000"/>
          <w:sz w:val="28"/>
          <w:szCs w:val="28"/>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职务：______________</w:t>
      </w:r>
      <w:r>
        <w:rPr>
          <w:rFonts w:hint="eastAsia" w:ascii="宋体" w:hAnsi="宋体" w:cs="宋体"/>
          <w:color w:val="000000"/>
          <w:szCs w:val="24"/>
          <w:u w:val="single"/>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银行帐号：______________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五</w:t>
      </w:r>
      <w:r>
        <w:rPr>
          <w:rFonts w:hint="eastAsia" w:ascii="宋体" w:hAnsi="宋体" w:cs="宋体"/>
          <w:b/>
          <w:bCs/>
          <w:sz w:val="32"/>
          <w:szCs w:val="32"/>
        </w:rPr>
        <w:t>、开标一览表格式</w:t>
      </w:r>
    </w:p>
    <w:p>
      <w:pPr>
        <w:snapToGrid w:val="0"/>
        <w:spacing w:before="100" w:beforeAutospacing="1" w:after="100" w:afterAutospacing="1" w:line="276" w:lineRule="auto"/>
        <w:ind w:firstLine="643"/>
        <w:jc w:val="center"/>
        <w:rPr>
          <w:rFonts w:ascii="宋体" w:hAnsi="宋体" w:cs="宋体"/>
          <w:b/>
          <w:bCs/>
          <w:color w:val="000000"/>
          <w:sz w:val="28"/>
          <w:szCs w:val="28"/>
        </w:rPr>
      </w:pPr>
      <w:r>
        <w:rPr>
          <w:rFonts w:hint="eastAsia" w:ascii="宋体" w:hAnsi="宋体" w:cs="宋体"/>
          <w:b/>
          <w:bCs/>
          <w:color w:val="000000"/>
          <w:sz w:val="28"/>
          <w:szCs w:val="28"/>
        </w:rPr>
        <w:t>开标一览表</w:t>
      </w:r>
    </w:p>
    <w:p>
      <w:pPr>
        <w:spacing w:before="120" w:beforeLines="50"/>
        <w:ind w:firstLine="480"/>
        <w:rPr>
          <w:rFonts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1440" w:firstLineChars="600"/>
        <w:rPr>
          <w:rFonts w:ascii="宋体" w:hAnsi="宋体" w:cs="宋体"/>
          <w:color w:val="000000"/>
          <w:szCs w:val="24"/>
        </w:rPr>
      </w:pPr>
      <w:r>
        <w:rPr>
          <w:rFonts w:hint="eastAsia" w:ascii="宋体" w:hAnsi="宋体" w:cs="宋体"/>
          <w:color w:val="000000"/>
          <w:szCs w:val="24"/>
        </w:rPr>
        <w:t xml:space="preserve">                                          报价单位：元人民币</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hint="eastAsia" w:ascii="宋体" w:hAnsi="宋体" w:eastAsia="宋体" w:cs="宋体"/>
                <w:b/>
                <w:color w:val="000000"/>
                <w:szCs w:val="24"/>
                <w:lang w:eastAsia="zh-CN"/>
              </w:rPr>
            </w:pPr>
            <w:r>
              <w:rPr>
                <w:rFonts w:hint="eastAsia" w:ascii="宋体" w:hAnsi="宋体"/>
                <w:b/>
                <w:szCs w:val="24"/>
                <w:lang w:eastAsia="zh-CN"/>
              </w:rPr>
              <w:t>嘉善技师学院（筹）购置培训教学仪器设备（电子电工实训设备）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hint="eastAsia" w:ascii="宋体" w:hAnsi="宋体" w:eastAsia="宋体"/>
                <w:b/>
                <w:szCs w:val="24"/>
                <w:lang w:eastAsia="zh-CN"/>
              </w:rPr>
            </w:pPr>
            <w:r>
              <w:rPr>
                <w:rFonts w:hint="eastAsia" w:ascii="宋体" w:hAnsi="宋体"/>
                <w:b/>
                <w:szCs w:val="24"/>
              </w:rPr>
              <w:t>交货</w:t>
            </w:r>
            <w:r>
              <w:rPr>
                <w:rFonts w:hint="eastAsia" w:ascii="宋体" w:hAnsi="宋体"/>
                <w:b/>
                <w:szCs w:val="24"/>
                <w:lang w:val="en-US" w:eastAsia="zh-CN"/>
              </w:rPr>
              <w:t>期</w:t>
            </w:r>
          </w:p>
        </w:tc>
        <w:tc>
          <w:tcPr>
            <w:tcW w:w="6852" w:type="dxa"/>
            <w:vAlign w:val="center"/>
          </w:tcPr>
          <w:p>
            <w:pPr>
              <w:spacing w:line="520" w:lineRule="exact"/>
              <w:ind w:firstLine="0" w:firstLineChars="0"/>
              <w:rPr>
                <w:rFonts w:ascii="宋体" w:hAnsi="宋体"/>
                <w:b/>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p>
        </w:tc>
      </w:tr>
    </w:tbl>
    <w:p>
      <w:pPr>
        <w:adjustRightInd w:val="0"/>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：报价一经涂改，应在涂改处加盖单位公章或者由法定代表人或被授权人签字或盖章，否则其投标作无效标处理。</w:t>
      </w: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headerReference r:id="rId15" w:type="default"/>
          <w:pgSz w:w="11906" w:h="16838"/>
          <w:pgMar w:top="1418" w:right="1077" w:bottom="1418" w:left="1077" w:header="851" w:footer="851" w:gutter="340"/>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六</w:t>
      </w:r>
      <w:r>
        <w:rPr>
          <w:rFonts w:hint="eastAsia" w:ascii="宋体" w:hAnsi="宋体" w:cs="宋体"/>
          <w:b/>
          <w:bCs/>
          <w:sz w:val="32"/>
          <w:szCs w:val="32"/>
        </w:rPr>
        <w:t>、投标报价明细表格式</w:t>
      </w:r>
    </w:p>
    <w:p>
      <w:pPr>
        <w:pStyle w:val="22"/>
        <w:snapToGrid w:val="0"/>
        <w:spacing w:beforeLines="0" w:afterLines="0" w:line="300" w:lineRule="auto"/>
        <w:ind w:firstLine="0" w:firstLineChars="0"/>
        <w:contextualSpacing/>
        <w:jc w:val="center"/>
        <w:rPr>
          <w:rFonts w:hAnsi="宋体" w:cs="宋体"/>
          <w:b/>
          <w:bCs/>
          <w:sz w:val="28"/>
          <w:szCs w:val="28"/>
        </w:rPr>
      </w:pPr>
      <w:r>
        <w:rPr>
          <w:rFonts w:hint="eastAsia" w:hAnsi="宋体" w:cs="宋体"/>
          <w:b/>
          <w:bCs/>
          <w:sz w:val="28"/>
          <w:szCs w:val="28"/>
        </w:rPr>
        <w:t>投标报价明细表</w:t>
      </w:r>
    </w:p>
    <w:p>
      <w:pPr>
        <w:pStyle w:val="22"/>
        <w:snapToGrid w:val="0"/>
        <w:spacing w:before="100" w:beforeLines="0" w:beforeAutospacing="1" w:after="100" w:afterLines="0" w:afterAutospacing="1" w:line="300" w:lineRule="auto"/>
        <w:ind w:firstLine="0" w:firstLineChars="0"/>
        <w:rPr>
          <w:rFonts w:hAnsi="宋体" w:cs="宋体"/>
          <w:sz w:val="24"/>
          <w:szCs w:val="24"/>
        </w:rPr>
      </w:pPr>
      <w:r>
        <w:rPr>
          <w:rFonts w:hint="eastAsia" w:hAnsi="宋体" w:cs="宋体"/>
          <w:sz w:val="24"/>
          <w:szCs w:val="24"/>
        </w:rPr>
        <w:t xml:space="preserve">                                                   金额单位：人民币（元）</w:t>
      </w:r>
    </w:p>
    <w:tbl>
      <w:tblPr>
        <w:tblStyle w:val="38"/>
        <w:tblW w:w="9684" w:type="dxa"/>
        <w:tblInd w:w="1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756"/>
        <w:gridCol w:w="810"/>
        <w:gridCol w:w="1500"/>
        <w:gridCol w:w="570"/>
        <w:gridCol w:w="675"/>
        <w:gridCol w:w="645"/>
        <w:gridCol w:w="690"/>
        <w:gridCol w:w="1200"/>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48"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r>
              <w:rPr>
                <w:rFonts w:hint="eastAsia" w:ascii="宋体" w:hAnsi="宋体" w:cs="宋体"/>
                <w:color w:val="auto"/>
              </w:rPr>
              <w:t>序号</w:t>
            </w:r>
          </w:p>
        </w:tc>
        <w:tc>
          <w:tcPr>
            <w:tcW w:w="1756"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rPr>
              <w:t>产品名称</w:t>
            </w:r>
          </w:p>
        </w:tc>
        <w:tc>
          <w:tcPr>
            <w:tcW w:w="810" w:type="dxa"/>
            <w:vMerge w:val="restart"/>
            <w:tcBorders>
              <w:top w:val="single" w:color="auto" w:sz="4" w:space="0"/>
              <w:left w:val="single" w:color="auto" w:sz="4" w:space="0"/>
              <w:right w:val="single" w:color="auto" w:sz="4" w:space="0"/>
            </w:tcBorders>
            <w:vAlign w:val="center"/>
          </w:tcPr>
          <w:p>
            <w:pPr>
              <w:pStyle w:val="88"/>
              <w:ind w:firstLine="0" w:firstLineChars="0"/>
              <w:jc w:val="center"/>
              <w:rPr>
                <w:rFonts w:cs="宋体"/>
                <w:color w:val="auto"/>
              </w:rPr>
            </w:pPr>
            <w:r>
              <w:rPr>
                <w:rFonts w:hint="eastAsia" w:cs="宋体"/>
                <w:color w:val="auto"/>
              </w:rPr>
              <w:t>品牌</w:t>
            </w:r>
          </w:p>
        </w:tc>
        <w:tc>
          <w:tcPr>
            <w:tcW w:w="1500"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rPr>
            </w:pPr>
            <w:r>
              <w:rPr>
                <w:rFonts w:hint="eastAsia" w:ascii="宋体" w:hAnsi="宋体" w:cs="宋体"/>
                <w:color w:val="auto"/>
              </w:rPr>
              <w:t>规格型号（技术性能）</w:t>
            </w:r>
          </w:p>
        </w:tc>
        <w:tc>
          <w:tcPr>
            <w:tcW w:w="570"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rPr>
              <w:t>数量</w:t>
            </w:r>
          </w:p>
        </w:tc>
        <w:tc>
          <w:tcPr>
            <w:tcW w:w="675"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r>
              <w:rPr>
                <w:rFonts w:hint="eastAsia" w:ascii="宋体" w:hAnsi="宋体" w:cs="宋体"/>
                <w:color w:val="auto"/>
              </w:rPr>
              <w:t>单位</w:t>
            </w:r>
          </w:p>
        </w:tc>
        <w:tc>
          <w:tcPr>
            <w:tcW w:w="645"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rPr>
              <w:t>单价</w:t>
            </w:r>
          </w:p>
        </w:tc>
        <w:tc>
          <w:tcPr>
            <w:tcW w:w="690"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rPr>
              <w:t>金额</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8"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hint="eastAsia" w:ascii="宋体" w:hAnsi="宋体" w:cs="宋体"/>
                <w:color w:val="auto"/>
              </w:rPr>
            </w:pPr>
          </w:p>
        </w:tc>
        <w:tc>
          <w:tcPr>
            <w:tcW w:w="1756"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810" w:type="dxa"/>
            <w:vMerge w:val="continue"/>
            <w:tcBorders>
              <w:left w:val="single" w:color="auto" w:sz="4" w:space="0"/>
              <w:bottom w:val="single" w:color="auto" w:sz="4" w:space="0"/>
              <w:right w:val="single" w:color="auto" w:sz="4" w:space="0"/>
            </w:tcBorders>
            <w:vAlign w:val="center"/>
          </w:tcPr>
          <w:p>
            <w:pPr>
              <w:pStyle w:val="88"/>
              <w:ind w:firstLine="0" w:firstLineChars="0"/>
              <w:jc w:val="center"/>
              <w:rPr>
                <w:rFonts w:hint="eastAsia" w:cs="宋体"/>
                <w:color w:val="auto"/>
              </w:rPr>
            </w:pPr>
          </w:p>
        </w:tc>
        <w:tc>
          <w:tcPr>
            <w:tcW w:w="1500"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570"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675"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645"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690"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是否中小微企业</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制造商全称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eastAsia="宋体" w:cs="宋体"/>
                <w:color w:val="auto"/>
                <w:spacing w:val="20"/>
                <w:szCs w:val="20"/>
                <w:lang w:val="en-US" w:eastAsia="zh-CN"/>
              </w:rPr>
            </w:pPr>
            <w:r>
              <w:rPr>
                <w:rFonts w:hint="eastAsia" w:ascii="宋体" w:hAnsi="宋体" w:cs="宋体"/>
                <w:color w:val="auto"/>
                <w:spacing w:val="20"/>
                <w:szCs w:val="20"/>
                <w:lang w:val="en-US" w:eastAsia="zh-CN"/>
              </w:rPr>
              <w:t>1</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left"/>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机电一体化实训考核装置</w:t>
            </w:r>
          </w:p>
        </w:tc>
        <w:tc>
          <w:tcPr>
            <w:tcW w:w="8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1</w:t>
            </w:r>
          </w:p>
        </w:tc>
        <w:tc>
          <w:tcPr>
            <w:tcW w:w="675"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套</w:t>
            </w:r>
          </w:p>
        </w:tc>
        <w:tc>
          <w:tcPr>
            <w:tcW w:w="64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6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eastAsia="宋体" w:cs="宋体"/>
                <w:color w:val="auto"/>
                <w:spacing w:val="20"/>
                <w:szCs w:val="20"/>
                <w:lang w:val="en-US" w:eastAsia="zh-CN"/>
              </w:rPr>
            </w:pPr>
            <w:r>
              <w:rPr>
                <w:rFonts w:hint="eastAsia" w:ascii="宋体" w:hAnsi="宋体" w:cs="宋体"/>
                <w:color w:val="auto"/>
                <w:spacing w:val="20"/>
                <w:szCs w:val="20"/>
                <w:lang w:val="en-US" w:eastAsia="zh-CN"/>
              </w:rPr>
              <w:t>2</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left"/>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电子产品装调与人工智能创新考核装置</w:t>
            </w:r>
          </w:p>
        </w:tc>
        <w:tc>
          <w:tcPr>
            <w:tcW w:w="8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1</w:t>
            </w:r>
          </w:p>
        </w:tc>
        <w:tc>
          <w:tcPr>
            <w:tcW w:w="67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套</w:t>
            </w:r>
          </w:p>
        </w:tc>
        <w:tc>
          <w:tcPr>
            <w:tcW w:w="64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6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eastAsia="宋体" w:cs="宋体"/>
                <w:color w:val="auto"/>
                <w:spacing w:val="20"/>
                <w:szCs w:val="20"/>
                <w:lang w:val="en-US" w:eastAsia="zh-CN"/>
              </w:rPr>
            </w:pPr>
            <w:r>
              <w:rPr>
                <w:rFonts w:hint="eastAsia" w:ascii="宋体" w:hAnsi="宋体" w:cs="宋体"/>
                <w:color w:val="auto"/>
                <w:spacing w:val="20"/>
                <w:szCs w:val="20"/>
                <w:lang w:val="en-US" w:eastAsia="zh-CN"/>
              </w:rPr>
              <w:t>3</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left"/>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电子</w:t>
            </w:r>
            <w:r>
              <w:rPr>
                <w:rFonts w:hint="eastAsia" w:ascii="宋体" w:hAnsi="宋体" w:eastAsia="宋体" w:cs="宋体"/>
                <w:b w:val="0"/>
                <w:bCs/>
                <w:color w:val="auto"/>
                <w:sz w:val="24"/>
                <w:szCs w:val="24"/>
                <w:lang w:val="en-US" w:eastAsia="zh-CN"/>
              </w:rPr>
              <w:t>工艺</w:t>
            </w:r>
            <w:r>
              <w:rPr>
                <w:rFonts w:hint="eastAsia" w:ascii="宋体" w:hAnsi="宋体" w:eastAsia="宋体" w:cs="宋体"/>
                <w:b w:val="0"/>
                <w:bCs/>
                <w:color w:val="auto"/>
                <w:sz w:val="24"/>
                <w:szCs w:val="24"/>
              </w:rPr>
              <w:t>实训考核</w:t>
            </w:r>
            <w:r>
              <w:rPr>
                <w:rFonts w:hint="eastAsia" w:ascii="宋体" w:hAnsi="宋体" w:eastAsia="宋体" w:cs="宋体"/>
                <w:b w:val="0"/>
                <w:bCs/>
                <w:color w:val="auto"/>
                <w:sz w:val="24"/>
                <w:szCs w:val="24"/>
                <w:lang w:val="en-US" w:eastAsia="zh-CN"/>
              </w:rPr>
              <w:t>系统</w:t>
            </w:r>
          </w:p>
        </w:tc>
        <w:tc>
          <w:tcPr>
            <w:tcW w:w="8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1</w:t>
            </w:r>
          </w:p>
        </w:tc>
        <w:tc>
          <w:tcPr>
            <w:tcW w:w="67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套</w:t>
            </w:r>
          </w:p>
        </w:tc>
        <w:tc>
          <w:tcPr>
            <w:tcW w:w="64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6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eastAsia="宋体" w:cs="宋体"/>
                <w:color w:val="auto"/>
                <w:spacing w:val="20"/>
                <w:szCs w:val="20"/>
                <w:lang w:val="en-US" w:eastAsia="zh-CN"/>
              </w:rPr>
            </w:pPr>
            <w:r>
              <w:rPr>
                <w:rFonts w:hint="eastAsia" w:ascii="宋体" w:hAnsi="宋体" w:cs="宋体"/>
                <w:color w:val="auto"/>
                <w:spacing w:val="20"/>
                <w:szCs w:val="20"/>
                <w:lang w:val="en-US" w:eastAsia="zh-CN"/>
              </w:rPr>
              <w:t>4</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left"/>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智能开放式电工考核平台</w:t>
            </w:r>
          </w:p>
        </w:tc>
        <w:tc>
          <w:tcPr>
            <w:tcW w:w="8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5</w:t>
            </w:r>
          </w:p>
        </w:tc>
        <w:tc>
          <w:tcPr>
            <w:tcW w:w="67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套</w:t>
            </w:r>
          </w:p>
        </w:tc>
        <w:tc>
          <w:tcPr>
            <w:tcW w:w="64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6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504"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spacing w:val="20"/>
              </w:rPr>
              <w:t>投  标 总  价</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p>
        </w:tc>
      </w:tr>
    </w:tbl>
    <w:p>
      <w:pPr>
        <w:spacing w:line="276" w:lineRule="auto"/>
        <w:ind w:firstLine="480"/>
        <w:rPr>
          <w:rFonts w:ascii="宋体" w:hAnsi="宋体" w:cs="宋体"/>
          <w:color w:val="auto"/>
        </w:rPr>
      </w:pPr>
      <w:r>
        <w:rPr>
          <w:rFonts w:hint="eastAsia" w:ascii="宋体" w:hAnsi="宋体" w:cs="宋体"/>
          <w:color w:val="auto"/>
        </w:rPr>
        <w:t>注：1.投标报价是履行合同的最终价格，应包括完成项目所需货款、标准附件、</w:t>
      </w:r>
      <w:r>
        <w:rPr>
          <w:rFonts w:hint="eastAsia" w:ascii="宋体" w:hAnsi="宋体" w:cs="宋体"/>
          <w:color w:val="auto"/>
          <w:lang w:val="zh-CN"/>
        </w:rPr>
        <w:t>备品备件、人员费用、专用工具、包装、运输、装卸、保险、</w:t>
      </w:r>
      <w:r>
        <w:rPr>
          <w:rFonts w:hint="eastAsia" w:ascii="宋体" w:hAnsi="宋体" w:cs="宋体"/>
          <w:color w:val="auto"/>
        </w:rPr>
        <w:t>货到就位以及安装、调试、验收、培训、保修、税金、利润、招标代理服务费等一切费用。</w:t>
      </w:r>
    </w:p>
    <w:p>
      <w:pPr>
        <w:tabs>
          <w:tab w:val="left" w:pos="1418"/>
        </w:tabs>
        <w:snapToGrid w:val="0"/>
        <w:spacing w:line="276" w:lineRule="auto"/>
        <w:ind w:firstLine="560"/>
        <w:rPr>
          <w:rFonts w:ascii="宋体" w:hAnsi="宋体" w:cs="宋体"/>
          <w:color w:val="auto"/>
        </w:rPr>
      </w:pPr>
      <w:r>
        <w:rPr>
          <w:rFonts w:hint="eastAsia" w:ascii="宋体" w:hAnsi="宋体" w:cs="宋体"/>
          <w:color w:val="auto"/>
          <w:spacing w:val="20"/>
          <w:szCs w:val="20"/>
        </w:rPr>
        <w:t>2.</w:t>
      </w:r>
      <w:r>
        <w:rPr>
          <w:rFonts w:hint="eastAsia" w:ascii="宋体" w:hAnsi="宋体" w:cs="宋体"/>
          <w:color w:val="auto"/>
        </w:rPr>
        <w:t>“投标报价明细表”为多页的，每页均需加盖投标人公章。</w:t>
      </w:r>
    </w:p>
    <w:p>
      <w:pPr>
        <w:spacing w:line="276" w:lineRule="auto"/>
        <w:ind w:firstLine="560"/>
        <w:rPr>
          <w:rFonts w:ascii="宋体" w:hAnsi="宋体" w:cs="宋体"/>
          <w:color w:val="auto"/>
        </w:rPr>
      </w:pPr>
      <w:r>
        <w:rPr>
          <w:rFonts w:hint="eastAsia" w:ascii="宋体" w:hAnsi="宋体" w:cs="宋体"/>
          <w:color w:val="auto"/>
          <w:spacing w:val="20"/>
        </w:rPr>
        <w:t>3.</w:t>
      </w:r>
      <w:r>
        <w:rPr>
          <w:rFonts w:hint="eastAsia" w:ascii="宋体" w:hAnsi="宋体" w:cs="宋体"/>
          <w:color w:val="auto"/>
        </w:rPr>
        <w:t>投标报价明细表所填内容按采购需求为准。漏报的视同已包含在投标总价内。有重大缺项的将作无效标处理。</w:t>
      </w:r>
    </w:p>
    <w:p>
      <w:pPr>
        <w:spacing w:line="276" w:lineRule="auto"/>
        <w:ind w:firstLine="480"/>
        <w:rPr>
          <w:rFonts w:hint="eastAsia" w:ascii="宋体" w:hAnsi="宋体" w:cs="宋体"/>
          <w:color w:val="auto"/>
        </w:rPr>
      </w:pPr>
      <w:r>
        <w:rPr>
          <w:rFonts w:hint="eastAsia" w:ascii="宋体" w:hAnsi="宋体" w:cs="宋体"/>
          <w:color w:val="auto"/>
        </w:rPr>
        <w:t>4.本表中“投标总价”应与“开标一览表”中的投标总价一致。</w:t>
      </w:r>
    </w:p>
    <w:p>
      <w:pPr>
        <w:spacing w:line="276" w:lineRule="auto"/>
        <w:ind w:firstLine="3600" w:firstLineChars="1500"/>
        <w:rPr>
          <w:rFonts w:ascii="宋体" w:hAnsi="宋体" w:cs="宋体"/>
          <w:color w:val="000000"/>
          <w:szCs w:val="24"/>
        </w:rPr>
      </w:pP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276" w:lineRule="auto"/>
        <w:ind w:firstLine="480"/>
      </w:pPr>
      <w:r>
        <w:rPr>
          <w:rFonts w:hint="eastAsia" w:ascii="宋体" w:hAnsi="宋体" w:cs="宋体"/>
          <w:color w:val="000000"/>
          <w:szCs w:val="24"/>
        </w:rPr>
        <w:t xml:space="preserve">                                        日    期：_____年____月____日</w:t>
      </w:r>
      <w:r>
        <w:rPr>
          <w:rFonts w:hint="eastAsia" w:hAnsi="宋体" w:cs="宋体"/>
        </w:rPr>
        <w:br w:type="page"/>
      </w:r>
    </w:p>
    <w:p>
      <w:pPr>
        <w:pStyle w:val="103"/>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w:t>
      </w:r>
      <w:r>
        <w:rPr>
          <w:rFonts w:hint="eastAsia" w:hAnsi="宋体" w:eastAsia="宋体" w:cs="宋体"/>
          <w:b/>
          <w:bCs/>
          <w:color w:val="000000"/>
          <w:sz w:val="28"/>
          <w:szCs w:val="28"/>
          <w:lang w:val="en-US" w:eastAsia="zh-CN"/>
        </w:rPr>
        <w:t>七</w:t>
      </w:r>
      <w:r>
        <w:rPr>
          <w:rFonts w:hAnsi="宋体" w:eastAsia="宋体" w:cs="宋体"/>
          <w:b/>
          <w:bCs/>
          <w:color w:val="000000"/>
          <w:sz w:val="28"/>
          <w:szCs w:val="28"/>
        </w:rPr>
        <w:t>、政府采购活动现场确认声明书</w:t>
      </w:r>
    </w:p>
    <w:p>
      <w:pPr>
        <w:pStyle w:val="103"/>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eastAsia" w:hAnsi="宋体" w:eastAsia="宋体" w:cs="宋体"/>
          <w:sz w:val="24"/>
          <w:szCs w:val="24"/>
          <w:lang w:val="en-US" w:eastAsia="zh-CN"/>
        </w:rPr>
        <w:t>12月16日</w:t>
      </w:r>
      <w:r>
        <w:rPr>
          <w:rFonts w:hAnsi="宋体" w:eastAsia="宋体" w:cs="宋体"/>
          <w:sz w:val="24"/>
          <w:szCs w:val="24"/>
        </w:rPr>
        <w:t>下午解密完成后填写并将扫描件发送至</w:t>
      </w:r>
      <w:r>
        <w:rPr>
          <w:rFonts w:hAnsi="宋体" w:eastAsia="宋体" w:cs="宋体"/>
          <w:color w:val="000000"/>
          <w:sz w:val="24"/>
          <w:szCs w:val="24"/>
        </w:rPr>
        <w:t>采购代理机构邮箱（1192873557@qq.com），不需要制作在投标文件中）</w:t>
      </w:r>
    </w:p>
    <w:p>
      <w:pPr>
        <w:pStyle w:val="103"/>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2"/>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嘉善技师学院（筹）购置培训教学仪器设备（电子电工实训设备）</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w:t>
      </w:r>
      <w:r>
        <w:rPr>
          <w:rFonts w:hint="eastAsia" w:hAnsi="宋体" w:cs="宋体"/>
          <w:color w:val="000000"/>
          <w:spacing w:val="6"/>
          <w:sz w:val="24"/>
          <w:szCs w:val="24"/>
          <w:u w:val="single"/>
          <w:lang w:eastAsia="zh-CN"/>
        </w:rPr>
        <w:t>G77</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3"/>
        <w:widowControl/>
        <w:numPr>
          <w:ilvl w:val="0"/>
          <w:numId w:val="8"/>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3"/>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3"/>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3"/>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3"/>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3"/>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3"/>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3"/>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3"/>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3"/>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3"/>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3"/>
        <w:widowControl/>
        <w:numPr>
          <w:ilvl w:val="0"/>
          <w:numId w:val="9"/>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3"/>
        <w:widowControl/>
        <w:numPr>
          <w:ilvl w:val="0"/>
          <w:numId w:val="9"/>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3"/>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3"/>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6"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C5LvNAQAAm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mpPPi3x4gt5M4S6gg1FcORZW7TeqWd+NvPWY+/1P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ZC5LvNAQAAmgMAAA4AAAAAAAAAAQAgAAAAIgEAAGRy&#10;cy9lMm9Eb2MueG1sUEsFBgAAAAAGAAYAWQEAAGEFAAAAAA==&#10;">
              <v:fill on="f" focussize="0,0"/>
              <v:stroke on="f" weight="1.25pt"/>
              <v:imagedata o:title=""/>
              <o:lock v:ext="edit" aspectratio="f"/>
              <v:textbox inset="0mm,0mm,0mm,0mm" style="mso-fit-shape-to-text:t;">
                <w:txbxContent>
                  <w:p>
                    <w:pPr>
                      <w:pStyle w:val="4"/>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rFonts w:ascii="宋体" w:hAnsi="宋体" w:cs="宋体"/>
        <w:color w:val="7F7F7F"/>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20</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asOz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6yWRRE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vasOzNAQAAmgMAAA4AAAAAAAAAAQAgAAAAIgEAAGRy&#10;cy9lMm9Eb2MueG1sUEsFBgAAAAAGAAYAWQEAAGEFAAAAAA==&#10;">
              <v:fill on="f" focussize="0,0"/>
              <v:stroke on="f" weight="1.25pt"/>
              <v:imagedata o:title=""/>
              <o:lock v:ext="edit" aspectratio="f"/>
              <v:textbox inset="0mm,0mm,0mm,0mm" style="mso-fit-shape-to-text:t;">
                <w:txbxContent>
                  <w:p>
                    <w:pPr>
                      <w:pStyle w:val="4"/>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20</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contextualSpacing/>
      <w:jc w:val="left"/>
    </w:pPr>
    <w:r>
      <w:rPr>
        <w:rFonts w:hint="eastAsia" w:ascii="宋体" w:hAnsi="宋体" w:cs="宋体"/>
        <w:lang w:eastAsia="zh-CN"/>
      </w:rPr>
      <w:t>嘉善技师学院（筹）购置培训教学仪器设备（电子电工实训设备）</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嘉善技师学院（筹）购置培训教学仪器设备（电子电工实训设备）</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嘉善技师学院（筹）购置培训教学仪器设备（电子电工实训设备）</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嘉善技师学院（筹）购置培训教学仪器设备（电子电工实训设备）</w:t>
    </w:r>
    <w:r>
      <w:rPr>
        <w:rFonts w:hint="eastAsia" w:ascii="宋体" w:hAnsi="宋体" w:cs="宋体"/>
      </w:rPr>
      <w:t>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嘉善技师学院（筹）购置培训教学仪器设备（电子电工实训设备）</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52AA4"/>
    <w:multiLevelType w:val="multilevel"/>
    <w:tmpl w:val="82E52AA4"/>
    <w:lvl w:ilvl="0" w:tentative="0">
      <w:start w:val="1"/>
      <w:numFmt w:val="decimal"/>
      <w:suff w:val="nothing"/>
      <w:lvlText w:val="%1"/>
      <w:lvlJc w:val="left"/>
      <w:pPr>
        <w:ind w:left="0" w:firstLine="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9D209F10"/>
    <w:multiLevelType w:val="singleLevel"/>
    <w:tmpl w:val="9D209F10"/>
    <w:lvl w:ilvl="0" w:tentative="0">
      <w:start w:val="2"/>
      <w:numFmt w:val="decimal"/>
      <w:lvlText w:val="%1."/>
      <w:lvlJc w:val="left"/>
      <w:pPr>
        <w:tabs>
          <w:tab w:val="left" w:pos="312"/>
        </w:tabs>
      </w:pPr>
    </w:lvl>
  </w:abstractNum>
  <w:abstractNum w:abstractNumId="2">
    <w:nsid w:val="E5CCB807"/>
    <w:multiLevelType w:val="multilevel"/>
    <w:tmpl w:val="E5CCB807"/>
    <w:lvl w:ilvl="0" w:tentative="0">
      <w:start w:val="1"/>
      <w:numFmt w:val="decimal"/>
      <w:suff w:val="nothing"/>
      <w:lvlText w:val="%1"/>
      <w:lvlJc w:val="left"/>
      <w:pPr>
        <w:ind w:left="0" w:firstLine="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0000003A"/>
    <w:multiLevelType w:val="multilevel"/>
    <w:tmpl w:val="0000003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B53405"/>
    <w:multiLevelType w:val="multilevel"/>
    <w:tmpl w:val="33B53405"/>
    <w:lvl w:ilvl="0" w:tentative="0">
      <w:start w:val="1"/>
      <w:numFmt w:val="decimal"/>
      <w:suff w:val="nothing"/>
      <w:lvlText w:val="%1"/>
      <w:lvlJc w:val="left"/>
      <w:pPr>
        <w:ind w:left="0" w:firstLine="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C632A59"/>
    <w:multiLevelType w:val="multilevel"/>
    <w:tmpl w:val="3C632A59"/>
    <w:lvl w:ilvl="0" w:tentative="0">
      <w:start w:val="1"/>
      <w:numFmt w:val="decimal"/>
      <w:suff w:val="nothing"/>
      <w:lvlText w:val="%1"/>
      <w:lvlJc w:val="left"/>
      <w:pPr>
        <w:ind w:left="0" w:firstLine="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0E1BD5C"/>
    <w:multiLevelType w:val="singleLevel"/>
    <w:tmpl w:val="70E1BD5C"/>
    <w:lvl w:ilvl="0" w:tentative="0">
      <w:start w:val="1"/>
      <w:numFmt w:val="chineseCounting"/>
      <w:suff w:val="nothing"/>
      <w:lvlText w:val="%1、"/>
      <w:lvlJc w:val="left"/>
      <w:rPr>
        <w:rFonts w:hint="eastAsia"/>
      </w:rPr>
    </w:lvl>
  </w:abstractNum>
  <w:num w:numId="1">
    <w:abstractNumId w:val="8"/>
  </w:num>
  <w:num w:numId="2">
    <w:abstractNumId w:val="4"/>
  </w:num>
  <w:num w:numId="3">
    <w:abstractNumId w:val="3"/>
  </w:num>
  <w:num w:numId="4">
    <w:abstractNumId w:val="2"/>
  </w:num>
  <w:num w:numId="5">
    <w:abstractNumId w:val="0"/>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OTZjOTczOGRlZTIyZjkwYWRjMzhiMmI5YjdmZjgifQ=="/>
  </w:docVars>
  <w:rsids>
    <w:rsidRoot w:val="00524E3B"/>
    <w:rsid w:val="000004EF"/>
    <w:rsid w:val="000005F8"/>
    <w:rsid w:val="00000922"/>
    <w:rsid w:val="00000E90"/>
    <w:rsid w:val="0000101F"/>
    <w:rsid w:val="00001205"/>
    <w:rsid w:val="000019E1"/>
    <w:rsid w:val="00002279"/>
    <w:rsid w:val="00002796"/>
    <w:rsid w:val="000029E1"/>
    <w:rsid w:val="00003058"/>
    <w:rsid w:val="000033B8"/>
    <w:rsid w:val="000039C0"/>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1630F"/>
    <w:rsid w:val="0002126C"/>
    <w:rsid w:val="000214F7"/>
    <w:rsid w:val="00021794"/>
    <w:rsid w:val="00021BE0"/>
    <w:rsid w:val="00021D5C"/>
    <w:rsid w:val="00021DC7"/>
    <w:rsid w:val="000222A9"/>
    <w:rsid w:val="0002338A"/>
    <w:rsid w:val="0002349B"/>
    <w:rsid w:val="0002382C"/>
    <w:rsid w:val="00023FA6"/>
    <w:rsid w:val="00025298"/>
    <w:rsid w:val="00025331"/>
    <w:rsid w:val="00025A05"/>
    <w:rsid w:val="00026033"/>
    <w:rsid w:val="0002604E"/>
    <w:rsid w:val="00026175"/>
    <w:rsid w:val="000262DB"/>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E78"/>
    <w:rsid w:val="00040B62"/>
    <w:rsid w:val="00040D37"/>
    <w:rsid w:val="000410EA"/>
    <w:rsid w:val="0004121C"/>
    <w:rsid w:val="00041CE7"/>
    <w:rsid w:val="00041D35"/>
    <w:rsid w:val="00042130"/>
    <w:rsid w:val="000422E5"/>
    <w:rsid w:val="00042ED0"/>
    <w:rsid w:val="000434AA"/>
    <w:rsid w:val="00043812"/>
    <w:rsid w:val="00043BF1"/>
    <w:rsid w:val="00044501"/>
    <w:rsid w:val="00044516"/>
    <w:rsid w:val="00044CB0"/>
    <w:rsid w:val="00044D9A"/>
    <w:rsid w:val="000459BA"/>
    <w:rsid w:val="0004685E"/>
    <w:rsid w:val="0004705E"/>
    <w:rsid w:val="00047B22"/>
    <w:rsid w:val="00047B44"/>
    <w:rsid w:val="00047FD3"/>
    <w:rsid w:val="00050C6E"/>
    <w:rsid w:val="000513F0"/>
    <w:rsid w:val="0005237E"/>
    <w:rsid w:val="0005283A"/>
    <w:rsid w:val="000529CA"/>
    <w:rsid w:val="00052A2B"/>
    <w:rsid w:val="00052B15"/>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4A2"/>
    <w:rsid w:val="00060718"/>
    <w:rsid w:val="0006074A"/>
    <w:rsid w:val="00060A13"/>
    <w:rsid w:val="00060E2B"/>
    <w:rsid w:val="000611E0"/>
    <w:rsid w:val="00061BD1"/>
    <w:rsid w:val="00061F02"/>
    <w:rsid w:val="00062443"/>
    <w:rsid w:val="000625D9"/>
    <w:rsid w:val="00062EFE"/>
    <w:rsid w:val="000636DC"/>
    <w:rsid w:val="000641F9"/>
    <w:rsid w:val="000648FF"/>
    <w:rsid w:val="0006532E"/>
    <w:rsid w:val="00065577"/>
    <w:rsid w:val="000659EF"/>
    <w:rsid w:val="0006634B"/>
    <w:rsid w:val="000663E7"/>
    <w:rsid w:val="00066562"/>
    <w:rsid w:val="00066D6B"/>
    <w:rsid w:val="00066DD5"/>
    <w:rsid w:val="00067641"/>
    <w:rsid w:val="0007013F"/>
    <w:rsid w:val="000701F4"/>
    <w:rsid w:val="0007087F"/>
    <w:rsid w:val="00070EFB"/>
    <w:rsid w:val="0007146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8A6"/>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396"/>
    <w:rsid w:val="000843AB"/>
    <w:rsid w:val="000846C3"/>
    <w:rsid w:val="0008502D"/>
    <w:rsid w:val="00085501"/>
    <w:rsid w:val="000855C7"/>
    <w:rsid w:val="00085640"/>
    <w:rsid w:val="00086614"/>
    <w:rsid w:val="00086B15"/>
    <w:rsid w:val="00087342"/>
    <w:rsid w:val="00087684"/>
    <w:rsid w:val="0008769B"/>
    <w:rsid w:val="000876BA"/>
    <w:rsid w:val="0008785E"/>
    <w:rsid w:val="0009022F"/>
    <w:rsid w:val="00090422"/>
    <w:rsid w:val="0009046D"/>
    <w:rsid w:val="00090D95"/>
    <w:rsid w:val="000910B4"/>
    <w:rsid w:val="000912FB"/>
    <w:rsid w:val="00091B90"/>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713"/>
    <w:rsid w:val="000A11DE"/>
    <w:rsid w:val="000A1A7F"/>
    <w:rsid w:val="000A1B17"/>
    <w:rsid w:val="000A2135"/>
    <w:rsid w:val="000A24AD"/>
    <w:rsid w:val="000A2E6D"/>
    <w:rsid w:val="000A3221"/>
    <w:rsid w:val="000A3255"/>
    <w:rsid w:val="000A3887"/>
    <w:rsid w:val="000A41B2"/>
    <w:rsid w:val="000A44E0"/>
    <w:rsid w:val="000A44F0"/>
    <w:rsid w:val="000A4572"/>
    <w:rsid w:val="000A4FDB"/>
    <w:rsid w:val="000A6758"/>
    <w:rsid w:val="000A6DFA"/>
    <w:rsid w:val="000A6FB9"/>
    <w:rsid w:val="000A74A9"/>
    <w:rsid w:val="000A7A05"/>
    <w:rsid w:val="000A7CBC"/>
    <w:rsid w:val="000B0CBA"/>
    <w:rsid w:val="000B0FFC"/>
    <w:rsid w:val="000B11D7"/>
    <w:rsid w:val="000B129E"/>
    <w:rsid w:val="000B1AAA"/>
    <w:rsid w:val="000B1B1E"/>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2A21"/>
    <w:rsid w:val="000D3251"/>
    <w:rsid w:val="000D3DE0"/>
    <w:rsid w:val="000D44A5"/>
    <w:rsid w:val="000D477B"/>
    <w:rsid w:val="000D48B4"/>
    <w:rsid w:val="000D4B8D"/>
    <w:rsid w:val="000D4EF1"/>
    <w:rsid w:val="000D5117"/>
    <w:rsid w:val="000D53AD"/>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FE4"/>
    <w:rsid w:val="000E211B"/>
    <w:rsid w:val="000E26FD"/>
    <w:rsid w:val="000E3730"/>
    <w:rsid w:val="000E3D43"/>
    <w:rsid w:val="000E3DE8"/>
    <w:rsid w:val="000E3E38"/>
    <w:rsid w:val="000E4D1D"/>
    <w:rsid w:val="000E508A"/>
    <w:rsid w:val="000E53FC"/>
    <w:rsid w:val="000E634E"/>
    <w:rsid w:val="000E644F"/>
    <w:rsid w:val="000E65B8"/>
    <w:rsid w:val="000E7A18"/>
    <w:rsid w:val="000E7FAB"/>
    <w:rsid w:val="000F08A8"/>
    <w:rsid w:val="000F13E6"/>
    <w:rsid w:val="000F15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C4B"/>
    <w:rsid w:val="0012372D"/>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7C6"/>
    <w:rsid w:val="00135A99"/>
    <w:rsid w:val="00135FDE"/>
    <w:rsid w:val="00136AC1"/>
    <w:rsid w:val="00137728"/>
    <w:rsid w:val="0013790C"/>
    <w:rsid w:val="00140981"/>
    <w:rsid w:val="00140CB3"/>
    <w:rsid w:val="00140FBF"/>
    <w:rsid w:val="00141970"/>
    <w:rsid w:val="00141C4A"/>
    <w:rsid w:val="00142511"/>
    <w:rsid w:val="001427ED"/>
    <w:rsid w:val="00142A67"/>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9B2"/>
    <w:rsid w:val="00146EAB"/>
    <w:rsid w:val="0014780D"/>
    <w:rsid w:val="001478DD"/>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E7A"/>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8F"/>
    <w:rsid w:val="001659B7"/>
    <w:rsid w:val="00165D4C"/>
    <w:rsid w:val="0016618E"/>
    <w:rsid w:val="0016625E"/>
    <w:rsid w:val="00166B90"/>
    <w:rsid w:val="00166F5E"/>
    <w:rsid w:val="0016717B"/>
    <w:rsid w:val="0016741B"/>
    <w:rsid w:val="00167A06"/>
    <w:rsid w:val="00167BAF"/>
    <w:rsid w:val="0017058A"/>
    <w:rsid w:val="001706EB"/>
    <w:rsid w:val="00171199"/>
    <w:rsid w:val="001728DC"/>
    <w:rsid w:val="00172DA7"/>
    <w:rsid w:val="0017300E"/>
    <w:rsid w:val="00174338"/>
    <w:rsid w:val="00174B84"/>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60AF"/>
    <w:rsid w:val="001872A8"/>
    <w:rsid w:val="00187C6F"/>
    <w:rsid w:val="00187FB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9DE"/>
    <w:rsid w:val="001A3443"/>
    <w:rsid w:val="001A473A"/>
    <w:rsid w:val="001A594D"/>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11F"/>
    <w:rsid w:val="001B5844"/>
    <w:rsid w:val="001B58E2"/>
    <w:rsid w:val="001B5CDD"/>
    <w:rsid w:val="001B5D13"/>
    <w:rsid w:val="001B5DE8"/>
    <w:rsid w:val="001B5F19"/>
    <w:rsid w:val="001B64D4"/>
    <w:rsid w:val="001B6795"/>
    <w:rsid w:val="001B68BF"/>
    <w:rsid w:val="001B6943"/>
    <w:rsid w:val="001B6E0F"/>
    <w:rsid w:val="001B7A59"/>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23AE"/>
    <w:rsid w:val="001E256E"/>
    <w:rsid w:val="001E2C9F"/>
    <w:rsid w:val="001E2CBF"/>
    <w:rsid w:val="001E2F04"/>
    <w:rsid w:val="001E30EB"/>
    <w:rsid w:val="001E3BEF"/>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52C"/>
    <w:rsid w:val="001F5C9D"/>
    <w:rsid w:val="001F5CF5"/>
    <w:rsid w:val="001F6967"/>
    <w:rsid w:val="001F6AB4"/>
    <w:rsid w:val="001F6BBD"/>
    <w:rsid w:val="001F7611"/>
    <w:rsid w:val="001F7AA5"/>
    <w:rsid w:val="002003ED"/>
    <w:rsid w:val="002006A3"/>
    <w:rsid w:val="0020084B"/>
    <w:rsid w:val="00201FCC"/>
    <w:rsid w:val="0020287F"/>
    <w:rsid w:val="002031F6"/>
    <w:rsid w:val="0020378C"/>
    <w:rsid w:val="00203AA1"/>
    <w:rsid w:val="00203CAF"/>
    <w:rsid w:val="00203E3A"/>
    <w:rsid w:val="00204355"/>
    <w:rsid w:val="002043C7"/>
    <w:rsid w:val="00204D55"/>
    <w:rsid w:val="00205AD4"/>
    <w:rsid w:val="00205F9E"/>
    <w:rsid w:val="00206C14"/>
    <w:rsid w:val="00206D72"/>
    <w:rsid w:val="0020736A"/>
    <w:rsid w:val="00207A27"/>
    <w:rsid w:val="00210629"/>
    <w:rsid w:val="002106F6"/>
    <w:rsid w:val="00210797"/>
    <w:rsid w:val="00211157"/>
    <w:rsid w:val="00211485"/>
    <w:rsid w:val="00211BF6"/>
    <w:rsid w:val="00211FA8"/>
    <w:rsid w:val="0021358A"/>
    <w:rsid w:val="00213EDF"/>
    <w:rsid w:val="002140B6"/>
    <w:rsid w:val="0021417F"/>
    <w:rsid w:val="00215244"/>
    <w:rsid w:val="00215513"/>
    <w:rsid w:val="00215B0C"/>
    <w:rsid w:val="00215E6A"/>
    <w:rsid w:val="00215FD6"/>
    <w:rsid w:val="002169DC"/>
    <w:rsid w:val="00216BC4"/>
    <w:rsid w:val="00217632"/>
    <w:rsid w:val="00217708"/>
    <w:rsid w:val="002178A4"/>
    <w:rsid w:val="00217EF5"/>
    <w:rsid w:val="0022012C"/>
    <w:rsid w:val="0022071A"/>
    <w:rsid w:val="0022092D"/>
    <w:rsid w:val="00220A10"/>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F1A"/>
    <w:rsid w:val="00231290"/>
    <w:rsid w:val="00231318"/>
    <w:rsid w:val="00231444"/>
    <w:rsid w:val="00231A3A"/>
    <w:rsid w:val="002322C0"/>
    <w:rsid w:val="00232F73"/>
    <w:rsid w:val="002338B7"/>
    <w:rsid w:val="002340AD"/>
    <w:rsid w:val="0023493C"/>
    <w:rsid w:val="00234DF2"/>
    <w:rsid w:val="00234E35"/>
    <w:rsid w:val="00235236"/>
    <w:rsid w:val="0023538B"/>
    <w:rsid w:val="00235D3B"/>
    <w:rsid w:val="00236108"/>
    <w:rsid w:val="0023699A"/>
    <w:rsid w:val="002374A7"/>
    <w:rsid w:val="002374D0"/>
    <w:rsid w:val="00237675"/>
    <w:rsid w:val="00237791"/>
    <w:rsid w:val="00237FF8"/>
    <w:rsid w:val="00241BF1"/>
    <w:rsid w:val="00242734"/>
    <w:rsid w:val="00242903"/>
    <w:rsid w:val="00243147"/>
    <w:rsid w:val="00243585"/>
    <w:rsid w:val="002435B8"/>
    <w:rsid w:val="0024478F"/>
    <w:rsid w:val="00244F32"/>
    <w:rsid w:val="00245256"/>
    <w:rsid w:val="00245589"/>
    <w:rsid w:val="00245A58"/>
    <w:rsid w:val="00245D73"/>
    <w:rsid w:val="00245FC2"/>
    <w:rsid w:val="002461B3"/>
    <w:rsid w:val="0024641B"/>
    <w:rsid w:val="002468CB"/>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A59"/>
    <w:rsid w:val="00272F9B"/>
    <w:rsid w:val="002737A3"/>
    <w:rsid w:val="0027396A"/>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F77"/>
    <w:rsid w:val="002836ED"/>
    <w:rsid w:val="00283A50"/>
    <w:rsid w:val="00283B2B"/>
    <w:rsid w:val="002844D7"/>
    <w:rsid w:val="00284A6B"/>
    <w:rsid w:val="002850BD"/>
    <w:rsid w:val="002855F5"/>
    <w:rsid w:val="002856CB"/>
    <w:rsid w:val="002857DD"/>
    <w:rsid w:val="00286C47"/>
    <w:rsid w:val="002870BE"/>
    <w:rsid w:val="00287349"/>
    <w:rsid w:val="00287572"/>
    <w:rsid w:val="00290093"/>
    <w:rsid w:val="00290240"/>
    <w:rsid w:val="00290ABD"/>
    <w:rsid w:val="00291980"/>
    <w:rsid w:val="00292E7E"/>
    <w:rsid w:val="00293E4D"/>
    <w:rsid w:val="002941D9"/>
    <w:rsid w:val="00294DB6"/>
    <w:rsid w:val="00295333"/>
    <w:rsid w:val="0029679A"/>
    <w:rsid w:val="00297052"/>
    <w:rsid w:val="002975A9"/>
    <w:rsid w:val="002A0BE5"/>
    <w:rsid w:val="002A0E41"/>
    <w:rsid w:val="002A1454"/>
    <w:rsid w:val="002A1639"/>
    <w:rsid w:val="002A2157"/>
    <w:rsid w:val="002A223F"/>
    <w:rsid w:val="002A2301"/>
    <w:rsid w:val="002A26B4"/>
    <w:rsid w:val="002A2BA9"/>
    <w:rsid w:val="002A3D31"/>
    <w:rsid w:val="002A40F6"/>
    <w:rsid w:val="002A4A59"/>
    <w:rsid w:val="002A4EBC"/>
    <w:rsid w:val="002A51B0"/>
    <w:rsid w:val="002A52EA"/>
    <w:rsid w:val="002A550D"/>
    <w:rsid w:val="002A58B1"/>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C2"/>
    <w:rsid w:val="002B398A"/>
    <w:rsid w:val="002B3CA5"/>
    <w:rsid w:val="002B402C"/>
    <w:rsid w:val="002B47B7"/>
    <w:rsid w:val="002B48CB"/>
    <w:rsid w:val="002B4B74"/>
    <w:rsid w:val="002B4C67"/>
    <w:rsid w:val="002B5A27"/>
    <w:rsid w:val="002B5B2C"/>
    <w:rsid w:val="002B62C8"/>
    <w:rsid w:val="002B6925"/>
    <w:rsid w:val="002B6EAB"/>
    <w:rsid w:val="002B7934"/>
    <w:rsid w:val="002B7F6A"/>
    <w:rsid w:val="002C0CFA"/>
    <w:rsid w:val="002C1549"/>
    <w:rsid w:val="002C1A56"/>
    <w:rsid w:val="002C1D77"/>
    <w:rsid w:val="002C20D4"/>
    <w:rsid w:val="002C2647"/>
    <w:rsid w:val="002C27DD"/>
    <w:rsid w:val="002C27FF"/>
    <w:rsid w:val="002C2A83"/>
    <w:rsid w:val="002C3314"/>
    <w:rsid w:val="002C379B"/>
    <w:rsid w:val="002C3ED6"/>
    <w:rsid w:val="002C40BD"/>
    <w:rsid w:val="002C4C82"/>
    <w:rsid w:val="002C4EC2"/>
    <w:rsid w:val="002C51C0"/>
    <w:rsid w:val="002C5560"/>
    <w:rsid w:val="002C6614"/>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C94"/>
    <w:rsid w:val="002E345F"/>
    <w:rsid w:val="002E4037"/>
    <w:rsid w:val="002E4669"/>
    <w:rsid w:val="002E4D47"/>
    <w:rsid w:val="002E4DE5"/>
    <w:rsid w:val="002E581D"/>
    <w:rsid w:val="002E5DBD"/>
    <w:rsid w:val="002E65D3"/>
    <w:rsid w:val="002E66B6"/>
    <w:rsid w:val="002E723A"/>
    <w:rsid w:val="002E7307"/>
    <w:rsid w:val="002E7541"/>
    <w:rsid w:val="002F01DC"/>
    <w:rsid w:val="002F0619"/>
    <w:rsid w:val="002F071B"/>
    <w:rsid w:val="002F0734"/>
    <w:rsid w:val="002F171B"/>
    <w:rsid w:val="002F19F3"/>
    <w:rsid w:val="002F1CB5"/>
    <w:rsid w:val="002F21C8"/>
    <w:rsid w:val="002F2648"/>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A92"/>
    <w:rsid w:val="002F7D30"/>
    <w:rsid w:val="002F7DA5"/>
    <w:rsid w:val="002F7FE9"/>
    <w:rsid w:val="00300AB1"/>
    <w:rsid w:val="00300D5E"/>
    <w:rsid w:val="003013F6"/>
    <w:rsid w:val="00301631"/>
    <w:rsid w:val="0030265F"/>
    <w:rsid w:val="003027C1"/>
    <w:rsid w:val="003028AD"/>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929"/>
    <w:rsid w:val="00327C9B"/>
    <w:rsid w:val="00327EEE"/>
    <w:rsid w:val="003300B6"/>
    <w:rsid w:val="0033071E"/>
    <w:rsid w:val="00330BA1"/>
    <w:rsid w:val="003315AD"/>
    <w:rsid w:val="003323A1"/>
    <w:rsid w:val="00332425"/>
    <w:rsid w:val="00332D90"/>
    <w:rsid w:val="003331FE"/>
    <w:rsid w:val="003334B7"/>
    <w:rsid w:val="00333595"/>
    <w:rsid w:val="0033396E"/>
    <w:rsid w:val="0033495A"/>
    <w:rsid w:val="00334B00"/>
    <w:rsid w:val="00334C3F"/>
    <w:rsid w:val="00334E33"/>
    <w:rsid w:val="00335183"/>
    <w:rsid w:val="00335587"/>
    <w:rsid w:val="00335767"/>
    <w:rsid w:val="0033594F"/>
    <w:rsid w:val="00335CC5"/>
    <w:rsid w:val="00336C37"/>
    <w:rsid w:val="0033730F"/>
    <w:rsid w:val="0033733B"/>
    <w:rsid w:val="003374BD"/>
    <w:rsid w:val="003376D1"/>
    <w:rsid w:val="00337F65"/>
    <w:rsid w:val="0034015A"/>
    <w:rsid w:val="0034040F"/>
    <w:rsid w:val="00340A93"/>
    <w:rsid w:val="00340B7F"/>
    <w:rsid w:val="00341865"/>
    <w:rsid w:val="00341B4D"/>
    <w:rsid w:val="00342271"/>
    <w:rsid w:val="003425DE"/>
    <w:rsid w:val="0034283B"/>
    <w:rsid w:val="00342D41"/>
    <w:rsid w:val="00343317"/>
    <w:rsid w:val="00343754"/>
    <w:rsid w:val="0034375B"/>
    <w:rsid w:val="003437B2"/>
    <w:rsid w:val="003438AD"/>
    <w:rsid w:val="00343C75"/>
    <w:rsid w:val="00343E9B"/>
    <w:rsid w:val="00344094"/>
    <w:rsid w:val="00344430"/>
    <w:rsid w:val="003447F0"/>
    <w:rsid w:val="00345229"/>
    <w:rsid w:val="0034709B"/>
    <w:rsid w:val="0034792E"/>
    <w:rsid w:val="00347989"/>
    <w:rsid w:val="00350231"/>
    <w:rsid w:val="0035089B"/>
    <w:rsid w:val="00350C7D"/>
    <w:rsid w:val="00350FA5"/>
    <w:rsid w:val="003513EF"/>
    <w:rsid w:val="00351906"/>
    <w:rsid w:val="00351F00"/>
    <w:rsid w:val="003523CD"/>
    <w:rsid w:val="003527A9"/>
    <w:rsid w:val="00352ABA"/>
    <w:rsid w:val="00352C7C"/>
    <w:rsid w:val="003531D3"/>
    <w:rsid w:val="003532F7"/>
    <w:rsid w:val="0035331E"/>
    <w:rsid w:val="0035341F"/>
    <w:rsid w:val="00353946"/>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1BC"/>
    <w:rsid w:val="00362630"/>
    <w:rsid w:val="003629E4"/>
    <w:rsid w:val="00362AA1"/>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682"/>
    <w:rsid w:val="003759C1"/>
    <w:rsid w:val="00375CA5"/>
    <w:rsid w:val="00375E61"/>
    <w:rsid w:val="00375F46"/>
    <w:rsid w:val="00376100"/>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104"/>
    <w:rsid w:val="00390695"/>
    <w:rsid w:val="00390870"/>
    <w:rsid w:val="003908BF"/>
    <w:rsid w:val="00390AE4"/>
    <w:rsid w:val="00390C6B"/>
    <w:rsid w:val="00391462"/>
    <w:rsid w:val="0039158B"/>
    <w:rsid w:val="00391927"/>
    <w:rsid w:val="00391C23"/>
    <w:rsid w:val="00391F48"/>
    <w:rsid w:val="003920EC"/>
    <w:rsid w:val="00392249"/>
    <w:rsid w:val="00392DCD"/>
    <w:rsid w:val="0039301B"/>
    <w:rsid w:val="00393448"/>
    <w:rsid w:val="0039366E"/>
    <w:rsid w:val="00393878"/>
    <w:rsid w:val="003938E5"/>
    <w:rsid w:val="00393D97"/>
    <w:rsid w:val="003948A2"/>
    <w:rsid w:val="003948AA"/>
    <w:rsid w:val="0039495E"/>
    <w:rsid w:val="00395284"/>
    <w:rsid w:val="003953AE"/>
    <w:rsid w:val="003955A6"/>
    <w:rsid w:val="00395B42"/>
    <w:rsid w:val="00395D93"/>
    <w:rsid w:val="00396353"/>
    <w:rsid w:val="00396BC6"/>
    <w:rsid w:val="00397055"/>
    <w:rsid w:val="003976D7"/>
    <w:rsid w:val="003978DB"/>
    <w:rsid w:val="00397C2B"/>
    <w:rsid w:val="00397DB3"/>
    <w:rsid w:val="003A0599"/>
    <w:rsid w:val="003A079C"/>
    <w:rsid w:val="003A0EBF"/>
    <w:rsid w:val="003A1657"/>
    <w:rsid w:val="003A1EC8"/>
    <w:rsid w:val="003A2501"/>
    <w:rsid w:val="003A262B"/>
    <w:rsid w:val="003A3A0A"/>
    <w:rsid w:val="003A3F15"/>
    <w:rsid w:val="003A414F"/>
    <w:rsid w:val="003A4B05"/>
    <w:rsid w:val="003A4BB9"/>
    <w:rsid w:val="003A5235"/>
    <w:rsid w:val="003A54D2"/>
    <w:rsid w:val="003A5A51"/>
    <w:rsid w:val="003A6240"/>
    <w:rsid w:val="003A6EAE"/>
    <w:rsid w:val="003A76B0"/>
    <w:rsid w:val="003A7D51"/>
    <w:rsid w:val="003B0533"/>
    <w:rsid w:val="003B08D7"/>
    <w:rsid w:val="003B109A"/>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DE8"/>
    <w:rsid w:val="003C560B"/>
    <w:rsid w:val="003C5845"/>
    <w:rsid w:val="003C5AE4"/>
    <w:rsid w:val="003C5FC3"/>
    <w:rsid w:val="003C60A8"/>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07"/>
    <w:rsid w:val="003D4BDF"/>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94B"/>
    <w:rsid w:val="003F2247"/>
    <w:rsid w:val="003F288D"/>
    <w:rsid w:val="003F3273"/>
    <w:rsid w:val="003F3329"/>
    <w:rsid w:val="003F3647"/>
    <w:rsid w:val="003F4632"/>
    <w:rsid w:val="003F4AFA"/>
    <w:rsid w:val="003F578F"/>
    <w:rsid w:val="003F5B16"/>
    <w:rsid w:val="003F5F5D"/>
    <w:rsid w:val="003F609D"/>
    <w:rsid w:val="003F61F5"/>
    <w:rsid w:val="003F642D"/>
    <w:rsid w:val="003F70F5"/>
    <w:rsid w:val="003F7ADE"/>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459B"/>
    <w:rsid w:val="00404809"/>
    <w:rsid w:val="00404DDB"/>
    <w:rsid w:val="00405340"/>
    <w:rsid w:val="004054BF"/>
    <w:rsid w:val="00405E04"/>
    <w:rsid w:val="00406CCE"/>
    <w:rsid w:val="00406FC1"/>
    <w:rsid w:val="00407AB4"/>
    <w:rsid w:val="00407D6C"/>
    <w:rsid w:val="00410CEF"/>
    <w:rsid w:val="004116A8"/>
    <w:rsid w:val="00411C1F"/>
    <w:rsid w:val="00413DC0"/>
    <w:rsid w:val="00414042"/>
    <w:rsid w:val="00414376"/>
    <w:rsid w:val="00414B11"/>
    <w:rsid w:val="0041538B"/>
    <w:rsid w:val="00415C22"/>
    <w:rsid w:val="004161DF"/>
    <w:rsid w:val="0041674F"/>
    <w:rsid w:val="0041722A"/>
    <w:rsid w:val="00417308"/>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4378"/>
    <w:rsid w:val="00434623"/>
    <w:rsid w:val="004348A5"/>
    <w:rsid w:val="00435352"/>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381"/>
    <w:rsid w:val="0045253F"/>
    <w:rsid w:val="00452E6F"/>
    <w:rsid w:val="00453242"/>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E9F"/>
    <w:rsid w:val="00460EF4"/>
    <w:rsid w:val="0046111E"/>
    <w:rsid w:val="0046121F"/>
    <w:rsid w:val="00461485"/>
    <w:rsid w:val="004620E7"/>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68E"/>
    <w:rsid w:val="00474346"/>
    <w:rsid w:val="00474717"/>
    <w:rsid w:val="0047478F"/>
    <w:rsid w:val="00474C66"/>
    <w:rsid w:val="00475213"/>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D8C"/>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EC"/>
    <w:rsid w:val="004B104A"/>
    <w:rsid w:val="004B15CF"/>
    <w:rsid w:val="004B1700"/>
    <w:rsid w:val="004B17FD"/>
    <w:rsid w:val="004B18A4"/>
    <w:rsid w:val="004B217B"/>
    <w:rsid w:val="004B2528"/>
    <w:rsid w:val="004B26D0"/>
    <w:rsid w:val="004B26F5"/>
    <w:rsid w:val="004B2A38"/>
    <w:rsid w:val="004B2E5D"/>
    <w:rsid w:val="004B31A8"/>
    <w:rsid w:val="004B3208"/>
    <w:rsid w:val="004B3439"/>
    <w:rsid w:val="004B3823"/>
    <w:rsid w:val="004B4153"/>
    <w:rsid w:val="004B41DB"/>
    <w:rsid w:val="004B41F1"/>
    <w:rsid w:val="004B430F"/>
    <w:rsid w:val="004B433A"/>
    <w:rsid w:val="004B48BA"/>
    <w:rsid w:val="004B4EDE"/>
    <w:rsid w:val="004B5364"/>
    <w:rsid w:val="004B5D94"/>
    <w:rsid w:val="004B6A2C"/>
    <w:rsid w:val="004B6EC5"/>
    <w:rsid w:val="004C0370"/>
    <w:rsid w:val="004C052B"/>
    <w:rsid w:val="004C0BC8"/>
    <w:rsid w:val="004C0DFB"/>
    <w:rsid w:val="004C1AE7"/>
    <w:rsid w:val="004C1B32"/>
    <w:rsid w:val="004C1F51"/>
    <w:rsid w:val="004C201F"/>
    <w:rsid w:val="004C2820"/>
    <w:rsid w:val="004C2E2E"/>
    <w:rsid w:val="004C2EB9"/>
    <w:rsid w:val="004C2FC2"/>
    <w:rsid w:val="004C3364"/>
    <w:rsid w:val="004C3583"/>
    <w:rsid w:val="004C38C4"/>
    <w:rsid w:val="004C496A"/>
    <w:rsid w:val="004C5C08"/>
    <w:rsid w:val="004C5E85"/>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3BE"/>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0CE"/>
    <w:rsid w:val="0050173E"/>
    <w:rsid w:val="0050216D"/>
    <w:rsid w:val="00502D8F"/>
    <w:rsid w:val="00502E7C"/>
    <w:rsid w:val="00502F34"/>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09BD"/>
    <w:rsid w:val="005210B8"/>
    <w:rsid w:val="00521C6C"/>
    <w:rsid w:val="00521E65"/>
    <w:rsid w:val="005222ED"/>
    <w:rsid w:val="005225E8"/>
    <w:rsid w:val="00522A36"/>
    <w:rsid w:val="00522C6F"/>
    <w:rsid w:val="0052308F"/>
    <w:rsid w:val="00523375"/>
    <w:rsid w:val="00523F45"/>
    <w:rsid w:val="00523FDD"/>
    <w:rsid w:val="00524126"/>
    <w:rsid w:val="005241F8"/>
    <w:rsid w:val="00524E3B"/>
    <w:rsid w:val="00524F0D"/>
    <w:rsid w:val="005258C4"/>
    <w:rsid w:val="00525F49"/>
    <w:rsid w:val="00526875"/>
    <w:rsid w:val="005274A3"/>
    <w:rsid w:val="00527665"/>
    <w:rsid w:val="00527B28"/>
    <w:rsid w:val="00530005"/>
    <w:rsid w:val="0053080D"/>
    <w:rsid w:val="00530F54"/>
    <w:rsid w:val="00531465"/>
    <w:rsid w:val="005315EF"/>
    <w:rsid w:val="00531870"/>
    <w:rsid w:val="00531C8D"/>
    <w:rsid w:val="005321A2"/>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C7F"/>
    <w:rsid w:val="00537CBA"/>
    <w:rsid w:val="00540B53"/>
    <w:rsid w:val="00540E96"/>
    <w:rsid w:val="0054119B"/>
    <w:rsid w:val="0054169C"/>
    <w:rsid w:val="00541ACA"/>
    <w:rsid w:val="00542507"/>
    <w:rsid w:val="005429E2"/>
    <w:rsid w:val="00542F80"/>
    <w:rsid w:val="00543613"/>
    <w:rsid w:val="005441ED"/>
    <w:rsid w:val="005444BD"/>
    <w:rsid w:val="005452D8"/>
    <w:rsid w:val="00545520"/>
    <w:rsid w:val="005457CA"/>
    <w:rsid w:val="00545962"/>
    <w:rsid w:val="005461A9"/>
    <w:rsid w:val="005462FF"/>
    <w:rsid w:val="0054689E"/>
    <w:rsid w:val="00546DF1"/>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503E"/>
    <w:rsid w:val="00555367"/>
    <w:rsid w:val="005554E3"/>
    <w:rsid w:val="0055692B"/>
    <w:rsid w:val="0055696F"/>
    <w:rsid w:val="00556D5A"/>
    <w:rsid w:val="0056016D"/>
    <w:rsid w:val="00560197"/>
    <w:rsid w:val="00560236"/>
    <w:rsid w:val="00560487"/>
    <w:rsid w:val="00560810"/>
    <w:rsid w:val="0056136E"/>
    <w:rsid w:val="0056170D"/>
    <w:rsid w:val="00562512"/>
    <w:rsid w:val="00562588"/>
    <w:rsid w:val="00562639"/>
    <w:rsid w:val="00562A61"/>
    <w:rsid w:val="00563166"/>
    <w:rsid w:val="00563D1A"/>
    <w:rsid w:val="00564212"/>
    <w:rsid w:val="00564340"/>
    <w:rsid w:val="00564762"/>
    <w:rsid w:val="005648C9"/>
    <w:rsid w:val="0056498D"/>
    <w:rsid w:val="005649DB"/>
    <w:rsid w:val="00564A73"/>
    <w:rsid w:val="00564B13"/>
    <w:rsid w:val="00564B31"/>
    <w:rsid w:val="00564F33"/>
    <w:rsid w:val="0056586D"/>
    <w:rsid w:val="00565BEC"/>
    <w:rsid w:val="00565DD8"/>
    <w:rsid w:val="00566839"/>
    <w:rsid w:val="00567A3B"/>
    <w:rsid w:val="00567DD5"/>
    <w:rsid w:val="00567EAF"/>
    <w:rsid w:val="00567F3E"/>
    <w:rsid w:val="005702A7"/>
    <w:rsid w:val="00570593"/>
    <w:rsid w:val="005715AF"/>
    <w:rsid w:val="00572D3A"/>
    <w:rsid w:val="00573419"/>
    <w:rsid w:val="005737AD"/>
    <w:rsid w:val="00574C92"/>
    <w:rsid w:val="00574ED8"/>
    <w:rsid w:val="005750C1"/>
    <w:rsid w:val="005753BB"/>
    <w:rsid w:val="005754DD"/>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8C9"/>
    <w:rsid w:val="00585121"/>
    <w:rsid w:val="0058587F"/>
    <w:rsid w:val="005859B2"/>
    <w:rsid w:val="00586534"/>
    <w:rsid w:val="00590606"/>
    <w:rsid w:val="005913B5"/>
    <w:rsid w:val="0059154D"/>
    <w:rsid w:val="00592443"/>
    <w:rsid w:val="00592B70"/>
    <w:rsid w:val="00592E00"/>
    <w:rsid w:val="0059380E"/>
    <w:rsid w:val="00593B47"/>
    <w:rsid w:val="00593BAB"/>
    <w:rsid w:val="00594204"/>
    <w:rsid w:val="00594E65"/>
    <w:rsid w:val="005950E6"/>
    <w:rsid w:val="00595A25"/>
    <w:rsid w:val="005960C1"/>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F36"/>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283"/>
    <w:rsid w:val="005A78DB"/>
    <w:rsid w:val="005B02B9"/>
    <w:rsid w:val="005B0337"/>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5AF9"/>
    <w:rsid w:val="005B6067"/>
    <w:rsid w:val="005B6458"/>
    <w:rsid w:val="005B6B19"/>
    <w:rsid w:val="005B6B4E"/>
    <w:rsid w:val="005B6E02"/>
    <w:rsid w:val="005B6F01"/>
    <w:rsid w:val="005B756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26C6"/>
    <w:rsid w:val="005D296D"/>
    <w:rsid w:val="005D2A07"/>
    <w:rsid w:val="005D2C4A"/>
    <w:rsid w:val="005D3745"/>
    <w:rsid w:val="005D3C6B"/>
    <w:rsid w:val="005D46D8"/>
    <w:rsid w:val="005D486B"/>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197E"/>
    <w:rsid w:val="005E25D4"/>
    <w:rsid w:val="005E3C04"/>
    <w:rsid w:val="005E3D27"/>
    <w:rsid w:val="005E3F25"/>
    <w:rsid w:val="005E4008"/>
    <w:rsid w:val="005E50B4"/>
    <w:rsid w:val="005E50E1"/>
    <w:rsid w:val="005E552F"/>
    <w:rsid w:val="005E56E6"/>
    <w:rsid w:val="005E5AF0"/>
    <w:rsid w:val="005E61DD"/>
    <w:rsid w:val="005E63EA"/>
    <w:rsid w:val="005E6FD7"/>
    <w:rsid w:val="005E78F5"/>
    <w:rsid w:val="005F087D"/>
    <w:rsid w:val="005F0944"/>
    <w:rsid w:val="005F0CB5"/>
    <w:rsid w:val="005F1412"/>
    <w:rsid w:val="005F1849"/>
    <w:rsid w:val="005F1C67"/>
    <w:rsid w:val="005F1C8E"/>
    <w:rsid w:val="005F20CB"/>
    <w:rsid w:val="005F2336"/>
    <w:rsid w:val="005F275F"/>
    <w:rsid w:val="005F2D63"/>
    <w:rsid w:val="005F3415"/>
    <w:rsid w:val="005F34E0"/>
    <w:rsid w:val="005F4508"/>
    <w:rsid w:val="005F4871"/>
    <w:rsid w:val="005F49F5"/>
    <w:rsid w:val="005F4C83"/>
    <w:rsid w:val="005F5898"/>
    <w:rsid w:val="005F5B7D"/>
    <w:rsid w:val="005F61DA"/>
    <w:rsid w:val="005F647D"/>
    <w:rsid w:val="005F6715"/>
    <w:rsid w:val="005F6C80"/>
    <w:rsid w:val="005F6D71"/>
    <w:rsid w:val="005F6F15"/>
    <w:rsid w:val="005F777B"/>
    <w:rsid w:val="0060001D"/>
    <w:rsid w:val="00600057"/>
    <w:rsid w:val="00600C86"/>
    <w:rsid w:val="00600D3B"/>
    <w:rsid w:val="00600E7F"/>
    <w:rsid w:val="006010F3"/>
    <w:rsid w:val="00601C03"/>
    <w:rsid w:val="00601D71"/>
    <w:rsid w:val="006021B8"/>
    <w:rsid w:val="00602A8B"/>
    <w:rsid w:val="00603739"/>
    <w:rsid w:val="0060392D"/>
    <w:rsid w:val="006045D9"/>
    <w:rsid w:val="0060479C"/>
    <w:rsid w:val="006048D6"/>
    <w:rsid w:val="00604A08"/>
    <w:rsid w:val="0060577F"/>
    <w:rsid w:val="00606571"/>
    <w:rsid w:val="0060707E"/>
    <w:rsid w:val="00607B8E"/>
    <w:rsid w:val="00610BEA"/>
    <w:rsid w:val="0061129C"/>
    <w:rsid w:val="0061131C"/>
    <w:rsid w:val="00611679"/>
    <w:rsid w:val="00611968"/>
    <w:rsid w:val="0061197C"/>
    <w:rsid w:val="006123AC"/>
    <w:rsid w:val="006125C6"/>
    <w:rsid w:val="00612CDA"/>
    <w:rsid w:val="00612F4D"/>
    <w:rsid w:val="006133D3"/>
    <w:rsid w:val="00613425"/>
    <w:rsid w:val="00614659"/>
    <w:rsid w:val="00614675"/>
    <w:rsid w:val="0061473C"/>
    <w:rsid w:val="00614D42"/>
    <w:rsid w:val="00615B9B"/>
    <w:rsid w:val="00616805"/>
    <w:rsid w:val="00617029"/>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D19"/>
    <w:rsid w:val="00624F0B"/>
    <w:rsid w:val="0062533B"/>
    <w:rsid w:val="00625CA1"/>
    <w:rsid w:val="00626269"/>
    <w:rsid w:val="00626590"/>
    <w:rsid w:val="006268BA"/>
    <w:rsid w:val="0062797C"/>
    <w:rsid w:val="0063058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3EA7"/>
    <w:rsid w:val="00644D4B"/>
    <w:rsid w:val="00644E05"/>
    <w:rsid w:val="00645586"/>
    <w:rsid w:val="00645C68"/>
    <w:rsid w:val="0064601D"/>
    <w:rsid w:val="00646B0E"/>
    <w:rsid w:val="00647349"/>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2741"/>
    <w:rsid w:val="006630AE"/>
    <w:rsid w:val="006636E0"/>
    <w:rsid w:val="00663802"/>
    <w:rsid w:val="00663B06"/>
    <w:rsid w:val="00664EBA"/>
    <w:rsid w:val="00664F75"/>
    <w:rsid w:val="0066526A"/>
    <w:rsid w:val="00665D1D"/>
    <w:rsid w:val="0066622C"/>
    <w:rsid w:val="006669AF"/>
    <w:rsid w:val="00666A6C"/>
    <w:rsid w:val="00666AF3"/>
    <w:rsid w:val="00667392"/>
    <w:rsid w:val="00667A5F"/>
    <w:rsid w:val="00670033"/>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727"/>
    <w:rsid w:val="00686BAB"/>
    <w:rsid w:val="00686ED4"/>
    <w:rsid w:val="0068755D"/>
    <w:rsid w:val="00687882"/>
    <w:rsid w:val="0068799F"/>
    <w:rsid w:val="0069026E"/>
    <w:rsid w:val="00690D93"/>
    <w:rsid w:val="00690F7C"/>
    <w:rsid w:val="00691AD0"/>
    <w:rsid w:val="00691F4A"/>
    <w:rsid w:val="00692092"/>
    <w:rsid w:val="006921E4"/>
    <w:rsid w:val="006928EC"/>
    <w:rsid w:val="00692A2E"/>
    <w:rsid w:val="00693440"/>
    <w:rsid w:val="0069381F"/>
    <w:rsid w:val="00693B1D"/>
    <w:rsid w:val="00693D37"/>
    <w:rsid w:val="006945C2"/>
    <w:rsid w:val="00694655"/>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97C1E"/>
    <w:rsid w:val="006A0085"/>
    <w:rsid w:val="006A051A"/>
    <w:rsid w:val="006A0647"/>
    <w:rsid w:val="006A0738"/>
    <w:rsid w:val="006A0BFC"/>
    <w:rsid w:val="006A1634"/>
    <w:rsid w:val="006A28FF"/>
    <w:rsid w:val="006A3ECD"/>
    <w:rsid w:val="006A475F"/>
    <w:rsid w:val="006A5193"/>
    <w:rsid w:val="006A541E"/>
    <w:rsid w:val="006A564C"/>
    <w:rsid w:val="006A5820"/>
    <w:rsid w:val="006A6730"/>
    <w:rsid w:val="006A6F0D"/>
    <w:rsid w:val="006A710C"/>
    <w:rsid w:val="006A7665"/>
    <w:rsid w:val="006A7C1D"/>
    <w:rsid w:val="006B0426"/>
    <w:rsid w:val="006B0D89"/>
    <w:rsid w:val="006B0F3C"/>
    <w:rsid w:val="006B1D8E"/>
    <w:rsid w:val="006B2292"/>
    <w:rsid w:val="006B29DB"/>
    <w:rsid w:val="006B2C08"/>
    <w:rsid w:val="006B2C56"/>
    <w:rsid w:val="006B380F"/>
    <w:rsid w:val="006B47C3"/>
    <w:rsid w:val="006B4905"/>
    <w:rsid w:val="006B4C04"/>
    <w:rsid w:val="006B4F0A"/>
    <w:rsid w:val="006B509E"/>
    <w:rsid w:val="006B5799"/>
    <w:rsid w:val="006B634A"/>
    <w:rsid w:val="006B6469"/>
    <w:rsid w:val="006B649A"/>
    <w:rsid w:val="006B672E"/>
    <w:rsid w:val="006B6CA1"/>
    <w:rsid w:val="006B6D2D"/>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93C"/>
    <w:rsid w:val="006C4DEB"/>
    <w:rsid w:val="006C4F72"/>
    <w:rsid w:val="006C4FB4"/>
    <w:rsid w:val="006C50E5"/>
    <w:rsid w:val="006C51BF"/>
    <w:rsid w:val="006C5943"/>
    <w:rsid w:val="006C6166"/>
    <w:rsid w:val="006C6426"/>
    <w:rsid w:val="006C6620"/>
    <w:rsid w:val="006C6ABB"/>
    <w:rsid w:val="006C6B8D"/>
    <w:rsid w:val="006C71CB"/>
    <w:rsid w:val="006C750F"/>
    <w:rsid w:val="006C7792"/>
    <w:rsid w:val="006C7CDE"/>
    <w:rsid w:val="006C7DB3"/>
    <w:rsid w:val="006D0D92"/>
    <w:rsid w:val="006D1077"/>
    <w:rsid w:val="006D11BE"/>
    <w:rsid w:val="006D153A"/>
    <w:rsid w:val="006D1710"/>
    <w:rsid w:val="006D199B"/>
    <w:rsid w:val="006D19B5"/>
    <w:rsid w:val="006D1AD6"/>
    <w:rsid w:val="006D32D6"/>
    <w:rsid w:val="006D3A04"/>
    <w:rsid w:val="006D4694"/>
    <w:rsid w:val="006D498E"/>
    <w:rsid w:val="006D55A4"/>
    <w:rsid w:val="006D55F6"/>
    <w:rsid w:val="006D6671"/>
    <w:rsid w:val="006D68AA"/>
    <w:rsid w:val="006D6B90"/>
    <w:rsid w:val="006D6EBC"/>
    <w:rsid w:val="006D6F5B"/>
    <w:rsid w:val="006D6FB6"/>
    <w:rsid w:val="006D746E"/>
    <w:rsid w:val="006D7EAA"/>
    <w:rsid w:val="006E02BF"/>
    <w:rsid w:val="006E0862"/>
    <w:rsid w:val="006E0AD0"/>
    <w:rsid w:val="006E0EEE"/>
    <w:rsid w:val="006E0F81"/>
    <w:rsid w:val="006E0FDA"/>
    <w:rsid w:val="006E18F1"/>
    <w:rsid w:val="006E191D"/>
    <w:rsid w:val="006E1C14"/>
    <w:rsid w:val="006E1D07"/>
    <w:rsid w:val="006E1D14"/>
    <w:rsid w:val="006E1F7B"/>
    <w:rsid w:val="006E1F86"/>
    <w:rsid w:val="006E27D2"/>
    <w:rsid w:val="006E2B24"/>
    <w:rsid w:val="006E36CD"/>
    <w:rsid w:val="006E3A54"/>
    <w:rsid w:val="006E3FA6"/>
    <w:rsid w:val="006E4C10"/>
    <w:rsid w:val="006E5589"/>
    <w:rsid w:val="006E5AEB"/>
    <w:rsid w:val="006E5D0D"/>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C04"/>
    <w:rsid w:val="006F3D9C"/>
    <w:rsid w:val="006F504D"/>
    <w:rsid w:val="006F511F"/>
    <w:rsid w:val="006F54A8"/>
    <w:rsid w:val="006F5C56"/>
    <w:rsid w:val="006F5DB8"/>
    <w:rsid w:val="006F5E83"/>
    <w:rsid w:val="006F5FAA"/>
    <w:rsid w:val="006F64E7"/>
    <w:rsid w:val="006F67FF"/>
    <w:rsid w:val="006F7B34"/>
    <w:rsid w:val="0070093F"/>
    <w:rsid w:val="00700C03"/>
    <w:rsid w:val="00701EA5"/>
    <w:rsid w:val="00701F53"/>
    <w:rsid w:val="00702160"/>
    <w:rsid w:val="0070264F"/>
    <w:rsid w:val="00702D17"/>
    <w:rsid w:val="00703194"/>
    <w:rsid w:val="00703B9C"/>
    <w:rsid w:val="007040BA"/>
    <w:rsid w:val="00704B3A"/>
    <w:rsid w:val="00704DF8"/>
    <w:rsid w:val="00705133"/>
    <w:rsid w:val="007051E7"/>
    <w:rsid w:val="007053E2"/>
    <w:rsid w:val="00705A26"/>
    <w:rsid w:val="00705D9C"/>
    <w:rsid w:val="00705DEE"/>
    <w:rsid w:val="007069C6"/>
    <w:rsid w:val="00706F76"/>
    <w:rsid w:val="00707013"/>
    <w:rsid w:val="0070730B"/>
    <w:rsid w:val="0070786A"/>
    <w:rsid w:val="00707A90"/>
    <w:rsid w:val="007113B1"/>
    <w:rsid w:val="00711560"/>
    <w:rsid w:val="00711645"/>
    <w:rsid w:val="00711C02"/>
    <w:rsid w:val="0071280D"/>
    <w:rsid w:val="00713142"/>
    <w:rsid w:val="0071334A"/>
    <w:rsid w:val="00713701"/>
    <w:rsid w:val="00713AAD"/>
    <w:rsid w:val="007143C5"/>
    <w:rsid w:val="007146A2"/>
    <w:rsid w:val="007146C0"/>
    <w:rsid w:val="007148D2"/>
    <w:rsid w:val="00714A3B"/>
    <w:rsid w:val="00714DD5"/>
    <w:rsid w:val="007153CC"/>
    <w:rsid w:val="0071573A"/>
    <w:rsid w:val="00715BC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31B8"/>
    <w:rsid w:val="00733461"/>
    <w:rsid w:val="00734624"/>
    <w:rsid w:val="00734B0B"/>
    <w:rsid w:val="00734CBB"/>
    <w:rsid w:val="00734CF1"/>
    <w:rsid w:val="00734EE1"/>
    <w:rsid w:val="007352D9"/>
    <w:rsid w:val="00735503"/>
    <w:rsid w:val="00735B97"/>
    <w:rsid w:val="00735DE7"/>
    <w:rsid w:val="00737B74"/>
    <w:rsid w:val="00737F0F"/>
    <w:rsid w:val="00740777"/>
    <w:rsid w:val="0074087A"/>
    <w:rsid w:val="007415EE"/>
    <w:rsid w:val="00741A00"/>
    <w:rsid w:val="00741D36"/>
    <w:rsid w:val="0074215D"/>
    <w:rsid w:val="007426F2"/>
    <w:rsid w:val="00743339"/>
    <w:rsid w:val="00744535"/>
    <w:rsid w:val="00744577"/>
    <w:rsid w:val="007453AF"/>
    <w:rsid w:val="0074581B"/>
    <w:rsid w:val="00745AB7"/>
    <w:rsid w:val="007464BD"/>
    <w:rsid w:val="007476C0"/>
    <w:rsid w:val="0074797A"/>
    <w:rsid w:val="00750186"/>
    <w:rsid w:val="00750794"/>
    <w:rsid w:val="00750BFF"/>
    <w:rsid w:val="00750E65"/>
    <w:rsid w:val="00750FDE"/>
    <w:rsid w:val="00751176"/>
    <w:rsid w:val="0075199F"/>
    <w:rsid w:val="007519EB"/>
    <w:rsid w:val="00751C6A"/>
    <w:rsid w:val="0075214D"/>
    <w:rsid w:val="00752849"/>
    <w:rsid w:val="00752C73"/>
    <w:rsid w:val="00752EE7"/>
    <w:rsid w:val="00753198"/>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0EB3"/>
    <w:rsid w:val="00761549"/>
    <w:rsid w:val="00761CB9"/>
    <w:rsid w:val="007623D8"/>
    <w:rsid w:val="0076264B"/>
    <w:rsid w:val="00762BC6"/>
    <w:rsid w:val="007639A5"/>
    <w:rsid w:val="00763E65"/>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573"/>
    <w:rsid w:val="00773B44"/>
    <w:rsid w:val="0077491E"/>
    <w:rsid w:val="007749E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DA7"/>
    <w:rsid w:val="00780E1E"/>
    <w:rsid w:val="00781151"/>
    <w:rsid w:val="00782081"/>
    <w:rsid w:val="0078253C"/>
    <w:rsid w:val="00783DB2"/>
    <w:rsid w:val="00784DFE"/>
    <w:rsid w:val="00784FC8"/>
    <w:rsid w:val="007865F2"/>
    <w:rsid w:val="00786806"/>
    <w:rsid w:val="007868C4"/>
    <w:rsid w:val="00786B3A"/>
    <w:rsid w:val="007877D9"/>
    <w:rsid w:val="00787A24"/>
    <w:rsid w:val="0079086B"/>
    <w:rsid w:val="007919CB"/>
    <w:rsid w:val="00791F18"/>
    <w:rsid w:val="00792A6C"/>
    <w:rsid w:val="007930B2"/>
    <w:rsid w:val="00793869"/>
    <w:rsid w:val="007938A0"/>
    <w:rsid w:val="00793D5C"/>
    <w:rsid w:val="007949EB"/>
    <w:rsid w:val="00794B94"/>
    <w:rsid w:val="00794FC0"/>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87"/>
    <w:rsid w:val="007A3601"/>
    <w:rsid w:val="007A44F9"/>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2657"/>
    <w:rsid w:val="007B3454"/>
    <w:rsid w:val="007B4C88"/>
    <w:rsid w:val="007B5576"/>
    <w:rsid w:val="007B5BBE"/>
    <w:rsid w:val="007B5D50"/>
    <w:rsid w:val="007B64C0"/>
    <w:rsid w:val="007B6712"/>
    <w:rsid w:val="007B6814"/>
    <w:rsid w:val="007B6BCE"/>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60F4"/>
    <w:rsid w:val="007D6181"/>
    <w:rsid w:val="007D69DF"/>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96C"/>
    <w:rsid w:val="007F5D2C"/>
    <w:rsid w:val="007F5FC4"/>
    <w:rsid w:val="007F601A"/>
    <w:rsid w:val="007F630F"/>
    <w:rsid w:val="007F6E02"/>
    <w:rsid w:val="007F74C4"/>
    <w:rsid w:val="007F7EF6"/>
    <w:rsid w:val="007F7F6F"/>
    <w:rsid w:val="0080047A"/>
    <w:rsid w:val="00800D17"/>
    <w:rsid w:val="00800DA4"/>
    <w:rsid w:val="00800EA2"/>
    <w:rsid w:val="00800F7F"/>
    <w:rsid w:val="00801B4D"/>
    <w:rsid w:val="00801F50"/>
    <w:rsid w:val="00802B32"/>
    <w:rsid w:val="00802D2B"/>
    <w:rsid w:val="0080338E"/>
    <w:rsid w:val="00803550"/>
    <w:rsid w:val="00803809"/>
    <w:rsid w:val="00803D67"/>
    <w:rsid w:val="00805064"/>
    <w:rsid w:val="00805246"/>
    <w:rsid w:val="008056BC"/>
    <w:rsid w:val="008059FD"/>
    <w:rsid w:val="00805C73"/>
    <w:rsid w:val="00805E8F"/>
    <w:rsid w:val="00805ECB"/>
    <w:rsid w:val="0080693F"/>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3D6F"/>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A22"/>
    <w:rsid w:val="00816BFE"/>
    <w:rsid w:val="00816F9E"/>
    <w:rsid w:val="00817006"/>
    <w:rsid w:val="00817569"/>
    <w:rsid w:val="008178E0"/>
    <w:rsid w:val="00820315"/>
    <w:rsid w:val="0082048E"/>
    <w:rsid w:val="0082059C"/>
    <w:rsid w:val="0082079B"/>
    <w:rsid w:val="00820B09"/>
    <w:rsid w:val="00821792"/>
    <w:rsid w:val="00821A7A"/>
    <w:rsid w:val="00821E47"/>
    <w:rsid w:val="00822109"/>
    <w:rsid w:val="00822CEA"/>
    <w:rsid w:val="00822D8D"/>
    <w:rsid w:val="008230D7"/>
    <w:rsid w:val="00823106"/>
    <w:rsid w:val="0082310D"/>
    <w:rsid w:val="0082326E"/>
    <w:rsid w:val="00823481"/>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1DF9"/>
    <w:rsid w:val="008323AC"/>
    <w:rsid w:val="00832579"/>
    <w:rsid w:val="008327E5"/>
    <w:rsid w:val="0083369F"/>
    <w:rsid w:val="008337A3"/>
    <w:rsid w:val="00833CE0"/>
    <w:rsid w:val="008340A4"/>
    <w:rsid w:val="008347FF"/>
    <w:rsid w:val="00835702"/>
    <w:rsid w:val="008359E7"/>
    <w:rsid w:val="00836027"/>
    <w:rsid w:val="00836250"/>
    <w:rsid w:val="00836EC1"/>
    <w:rsid w:val="00836F3C"/>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46006"/>
    <w:rsid w:val="008512DB"/>
    <w:rsid w:val="008513E3"/>
    <w:rsid w:val="008515B4"/>
    <w:rsid w:val="0085197D"/>
    <w:rsid w:val="00851C4B"/>
    <w:rsid w:val="008520FB"/>
    <w:rsid w:val="00852266"/>
    <w:rsid w:val="008522B1"/>
    <w:rsid w:val="00852CCD"/>
    <w:rsid w:val="00852CFE"/>
    <w:rsid w:val="00852D52"/>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295"/>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07A"/>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576C"/>
    <w:rsid w:val="00897179"/>
    <w:rsid w:val="008973AC"/>
    <w:rsid w:val="008A015A"/>
    <w:rsid w:val="008A05A2"/>
    <w:rsid w:val="008A0CB7"/>
    <w:rsid w:val="008A1198"/>
    <w:rsid w:val="008A1259"/>
    <w:rsid w:val="008A1630"/>
    <w:rsid w:val="008A1764"/>
    <w:rsid w:val="008A1A6D"/>
    <w:rsid w:val="008A1EC9"/>
    <w:rsid w:val="008A35C4"/>
    <w:rsid w:val="008A3B8E"/>
    <w:rsid w:val="008A3CE8"/>
    <w:rsid w:val="008A43B0"/>
    <w:rsid w:val="008A4593"/>
    <w:rsid w:val="008A47E8"/>
    <w:rsid w:val="008A4B42"/>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BBE"/>
    <w:rsid w:val="008D073B"/>
    <w:rsid w:val="008D14F1"/>
    <w:rsid w:val="008D1966"/>
    <w:rsid w:val="008D1981"/>
    <w:rsid w:val="008D1A2F"/>
    <w:rsid w:val="008D2118"/>
    <w:rsid w:val="008D221F"/>
    <w:rsid w:val="008D2229"/>
    <w:rsid w:val="008D331F"/>
    <w:rsid w:val="008D384C"/>
    <w:rsid w:val="008D3E49"/>
    <w:rsid w:val="008D4262"/>
    <w:rsid w:val="008D42DC"/>
    <w:rsid w:val="008D4795"/>
    <w:rsid w:val="008D47C7"/>
    <w:rsid w:val="008D4AA9"/>
    <w:rsid w:val="008D542E"/>
    <w:rsid w:val="008D6238"/>
    <w:rsid w:val="008D6C20"/>
    <w:rsid w:val="008D6D23"/>
    <w:rsid w:val="008D742F"/>
    <w:rsid w:val="008D7ECD"/>
    <w:rsid w:val="008E02B4"/>
    <w:rsid w:val="008E143E"/>
    <w:rsid w:val="008E22AD"/>
    <w:rsid w:val="008E383B"/>
    <w:rsid w:val="008E3EF1"/>
    <w:rsid w:val="008E40FE"/>
    <w:rsid w:val="008E5369"/>
    <w:rsid w:val="008E69A8"/>
    <w:rsid w:val="008E6DE0"/>
    <w:rsid w:val="008E6F5A"/>
    <w:rsid w:val="008E71B2"/>
    <w:rsid w:val="008F09C2"/>
    <w:rsid w:val="008F0D51"/>
    <w:rsid w:val="008F0E8E"/>
    <w:rsid w:val="008F253E"/>
    <w:rsid w:val="008F2BE9"/>
    <w:rsid w:val="008F2E29"/>
    <w:rsid w:val="008F2E8F"/>
    <w:rsid w:val="008F3160"/>
    <w:rsid w:val="008F3614"/>
    <w:rsid w:val="008F37CA"/>
    <w:rsid w:val="008F3D2E"/>
    <w:rsid w:val="008F3DA3"/>
    <w:rsid w:val="008F3F24"/>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19CF"/>
    <w:rsid w:val="009125C0"/>
    <w:rsid w:val="009132A7"/>
    <w:rsid w:val="00913600"/>
    <w:rsid w:val="009142DF"/>
    <w:rsid w:val="00914CD8"/>
    <w:rsid w:val="009154DD"/>
    <w:rsid w:val="00915EE4"/>
    <w:rsid w:val="00916170"/>
    <w:rsid w:val="0091667C"/>
    <w:rsid w:val="00916D7A"/>
    <w:rsid w:val="00916FF6"/>
    <w:rsid w:val="0091717A"/>
    <w:rsid w:val="00917387"/>
    <w:rsid w:val="009201E1"/>
    <w:rsid w:val="00920270"/>
    <w:rsid w:val="00920B65"/>
    <w:rsid w:val="00921B66"/>
    <w:rsid w:val="0092242B"/>
    <w:rsid w:val="00922AD1"/>
    <w:rsid w:val="0092488C"/>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819"/>
    <w:rsid w:val="009331B4"/>
    <w:rsid w:val="00933782"/>
    <w:rsid w:val="00933CBB"/>
    <w:rsid w:val="00933E9D"/>
    <w:rsid w:val="0093434B"/>
    <w:rsid w:val="00935AC0"/>
    <w:rsid w:val="00935B43"/>
    <w:rsid w:val="00935BA7"/>
    <w:rsid w:val="00936280"/>
    <w:rsid w:val="00936DB2"/>
    <w:rsid w:val="00936EC5"/>
    <w:rsid w:val="009371DF"/>
    <w:rsid w:val="00937956"/>
    <w:rsid w:val="00937EB6"/>
    <w:rsid w:val="0094060D"/>
    <w:rsid w:val="0094088C"/>
    <w:rsid w:val="00940EC8"/>
    <w:rsid w:val="00940F9E"/>
    <w:rsid w:val="00941972"/>
    <w:rsid w:val="00941B2E"/>
    <w:rsid w:val="00942740"/>
    <w:rsid w:val="009430CA"/>
    <w:rsid w:val="0094394B"/>
    <w:rsid w:val="009439E8"/>
    <w:rsid w:val="0094447F"/>
    <w:rsid w:val="00944954"/>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118B"/>
    <w:rsid w:val="009711FC"/>
    <w:rsid w:val="00971224"/>
    <w:rsid w:val="009721E9"/>
    <w:rsid w:val="00972762"/>
    <w:rsid w:val="00972B79"/>
    <w:rsid w:val="009733CA"/>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8C"/>
    <w:rsid w:val="009961F3"/>
    <w:rsid w:val="009962CB"/>
    <w:rsid w:val="009967D0"/>
    <w:rsid w:val="00996A08"/>
    <w:rsid w:val="00996B12"/>
    <w:rsid w:val="009975E7"/>
    <w:rsid w:val="00997623"/>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20B5"/>
    <w:rsid w:val="009B22EE"/>
    <w:rsid w:val="009B238E"/>
    <w:rsid w:val="009B2589"/>
    <w:rsid w:val="009B29F5"/>
    <w:rsid w:val="009B2A03"/>
    <w:rsid w:val="009B306E"/>
    <w:rsid w:val="009B419C"/>
    <w:rsid w:val="009B4713"/>
    <w:rsid w:val="009B4755"/>
    <w:rsid w:val="009B4A43"/>
    <w:rsid w:val="009B4B3F"/>
    <w:rsid w:val="009B4B60"/>
    <w:rsid w:val="009B53A3"/>
    <w:rsid w:val="009B60C5"/>
    <w:rsid w:val="009B66C2"/>
    <w:rsid w:val="009B6F02"/>
    <w:rsid w:val="009B721C"/>
    <w:rsid w:val="009B7B8D"/>
    <w:rsid w:val="009B7D5F"/>
    <w:rsid w:val="009B7EB3"/>
    <w:rsid w:val="009B7FC7"/>
    <w:rsid w:val="009C068D"/>
    <w:rsid w:val="009C08FA"/>
    <w:rsid w:val="009C096E"/>
    <w:rsid w:val="009C0BD0"/>
    <w:rsid w:val="009C1854"/>
    <w:rsid w:val="009C1BD3"/>
    <w:rsid w:val="009C1DC9"/>
    <w:rsid w:val="009C308E"/>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B72"/>
    <w:rsid w:val="009D0D56"/>
    <w:rsid w:val="009D0E10"/>
    <w:rsid w:val="009D11F2"/>
    <w:rsid w:val="009D163F"/>
    <w:rsid w:val="009D187F"/>
    <w:rsid w:val="009D1AF6"/>
    <w:rsid w:val="009D1D2C"/>
    <w:rsid w:val="009D1F0F"/>
    <w:rsid w:val="009D302E"/>
    <w:rsid w:val="009D3A0F"/>
    <w:rsid w:val="009D503E"/>
    <w:rsid w:val="009D5150"/>
    <w:rsid w:val="009D52E1"/>
    <w:rsid w:val="009D5BA9"/>
    <w:rsid w:val="009D72BA"/>
    <w:rsid w:val="009D748F"/>
    <w:rsid w:val="009D777F"/>
    <w:rsid w:val="009D7D71"/>
    <w:rsid w:val="009D7E5B"/>
    <w:rsid w:val="009E0002"/>
    <w:rsid w:val="009E0357"/>
    <w:rsid w:val="009E12FF"/>
    <w:rsid w:val="009E17D8"/>
    <w:rsid w:val="009E1B38"/>
    <w:rsid w:val="009E1D22"/>
    <w:rsid w:val="009E1D27"/>
    <w:rsid w:val="009E26C8"/>
    <w:rsid w:val="009E2A90"/>
    <w:rsid w:val="009E2EFE"/>
    <w:rsid w:val="009E32E2"/>
    <w:rsid w:val="009E38FB"/>
    <w:rsid w:val="009E3909"/>
    <w:rsid w:val="009E3A2C"/>
    <w:rsid w:val="009E3F0D"/>
    <w:rsid w:val="009E4037"/>
    <w:rsid w:val="009E4643"/>
    <w:rsid w:val="009E4B00"/>
    <w:rsid w:val="009E4F6D"/>
    <w:rsid w:val="009E5284"/>
    <w:rsid w:val="009E553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1F8"/>
    <w:rsid w:val="009F26E1"/>
    <w:rsid w:val="009F2957"/>
    <w:rsid w:val="009F29DF"/>
    <w:rsid w:val="009F2B91"/>
    <w:rsid w:val="009F2CCC"/>
    <w:rsid w:val="009F3A27"/>
    <w:rsid w:val="009F4767"/>
    <w:rsid w:val="009F5A23"/>
    <w:rsid w:val="009F60F3"/>
    <w:rsid w:val="009F643A"/>
    <w:rsid w:val="009F69E6"/>
    <w:rsid w:val="009F6C9F"/>
    <w:rsid w:val="009F73D8"/>
    <w:rsid w:val="009F7617"/>
    <w:rsid w:val="00A00152"/>
    <w:rsid w:val="00A00C9D"/>
    <w:rsid w:val="00A00FF0"/>
    <w:rsid w:val="00A016D5"/>
    <w:rsid w:val="00A0211D"/>
    <w:rsid w:val="00A02124"/>
    <w:rsid w:val="00A02231"/>
    <w:rsid w:val="00A02281"/>
    <w:rsid w:val="00A02FB3"/>
    <w:rsid w:val="00A03125"/>
    <w:rsid w:val="00A03353"/>
    <w:rsid w:val="00A03CF6"/>
    <w:rsid w:val="00A03D41"/>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EC7"/>
    <w:rsid w:val="00A1136C"/>
    <w:rsid w:val="00A11945"/>
    <w:rsid w:val="00A120C4"/>
    <w:rsid w:val="00A1281F"/>
    <w:rsid w:val="00A13F9F"/>
    <w:rsid w:val="00A13FA5"/>
    <w:rsid w:val="00A14091"/>
    <w:rsid w:val="00A143A0"/>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683"/>
    <w:rsid w:val="00A21C0D"/>
    <w:rsid w:val="00A21CF4"/>
    <w:rsid w:val="00A21E99"/>
    <w:rsid w:val="00A2212E"/>
    <w:rsid w:val="00A22336"/>
    <w:rsid w:val="00A2250A"/>
    <w:rsid w:val="00A22FB4"/>
    <w:rsid w:val="00A24839"/>
    <w:rsid w:val="00A24AE0"/>
    <w:rsid w:val="00A24AE7"/>
    <w:rsid w:val="00A24B64"/>
    <w:rsid w:val="00A24DE4"/>
    <w:rsid w:val="00A2601D"/>
    <w:rsid w:val="00A266F0"/>
    <w:rsid w:val="00A268E0"/>
    <w:rsid w:val="00A27AD4"/>
    <w:rsid w:val="00A27D26"/>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8D7"/>
    <w:rsid w:val="00A36DFC"/>
    <w:rsid w:val="00A37742"/>
    <w:rsid w:val="00A37743"/>
    <w:rsid w:val="00A37A6B"/>
    <w:rsid w:val="00A40036"/>
    <w:rsid w:val="00A402AF"/>
    <w:rsid w:val="00A4084F"/>
    <w:rsid w:val="00A412A5"/>
    <w:rsid w:val="00A42122"/>
    <w:rsid w:val="00A42FD8"/>
    <w:rsid w:val="00A43BD2"/>
    <w:rsid w:val="00A440DC"/>
    <w:rsid w:val="00A44266"/>
    <w:rsid w:val="00A4441E"/>
    <w:rsid w:val="00A446BE"/>
    <w:rsid w:val="00A447C5"/>
    <w:rsid w:val="00A4589C"/>
    <w:rsid w:val="00A45912"/>
    <w:rsid w:val="00A459FF"/>
    <w:rsid w:val="00A45AA4"/>
    <w:rsid w:val="00A45D19"/>
    <w:rsid w:val="00A45E5C"/>
    <w:rsid w:val="00A465F5"/>
    <w:rsid w:val="00A466D2"/>
    <w:rsid w:val="00A4686D"/>
    <w:rsid w:val="00A4703D"/>
    <w:rsid w:val="00A47304"/>
    <w:rsid w:val="00A47712"/>
    <w:rsid w:val="00A50282"/>
    <w:rsid w:val="00A51449"/>
    <w:rsid w:val="00A5181B"/>
    <w:rsid w:val="00A519E7"/>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344C"/>
    <w:rsid w:val="00A6481E"/>
    <w:rsid w:val="00A64A37"/>
    <w:rsid w:val="00A6589B"/>
    <w:rsid w:val="00A664A1"/>
    <w:rsid w:val="00A700E8"/>
    <w:rsid w:val="00A701AE"/>
    <w:rsid w:val="00A708B9"/>
    <w:rsid w:val="00A70B45"/>
    <w:rsid w:val="00A70C49"/>
    <w:rsid w:val="00A71096"/>
    <w:rsid w:val="00A71290"/>
    <w:rsid w:val="00A713D8"/>
    <w:rsid w:val="00A71662"/>
    <w:rsid w:val="00A71A59"/>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D20"/>
    <w:rsid w:val="00AA5E95"/>
    <w:rsid w:val="00AA5F06"/>
    <w:rsid w:val="00AA624D"/>
    <w:rsid w:val="00AA66D8"/>
    <w:rsid w:val="00AA6FCA"/>
    <w:rsid w:val="00AA77B6"/>
    <w:rsid w:val="00AA7D2C"/>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E0"/>
    <w:rsid w:val="00AB56D8"/>
    <w:rsid w:val="00AB5ABE"/>
    <w:rsid w:val="00AB61F8"/>
    <w:rsid w:val="00AB64F3"/>
    <w:rsid w:val="00AB650F"/>
    <w:rsid w:val="00AB7378"/>
    <w:rsid w:val="00AB78C9"/>
    <w:rsid w:val="00AB7AEA"/>
    <w:rsid w:val="00AB7B69"/>
    <w:rsid w:val="00AB7F34"/>
    <w:rsid w:val="00AC064D"/>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5D3"/>
    <w:rsid w:val="00AC6C4F"/>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4910"/>
    <w:rsid w:val="00AF592E"/>
    <w:rsid w:val="00AF5FAC"/>
    <w:rsid w:val="00AF65EA"/>
    <w:rsid w:val="00AF6728"/>
    <w:rsid w:val="00AF6FF0"/>
    <w:rsid w:val="00AF7861"/>
    <w:rsid w:val="00B00302"/>
    <w:rsid w:val="00B00E8C"/>
    <w:rsid w:val="00B012BC"/>
    <w:rsid w:val="00B012CC"/>
    <w:rsid w:val="00B015CA"/>
    <w:rsid w:val="00B02479"/>
    <w:rsid w:val="00B02AA9"/>
    <w:rsid w:val="00B02CD9"/>
    <w:rsid w:val="00B03218"/>
    <w:rsid w:val="00B033E0"/>
    <w:rsid w:val="00B04A15"/>
    <w:rsid w:val="00B04C4F"/>
    <w:rsid w:val="00B04D27"/>
    <w:rsid w:val="00B04F32"/>
    <w:rsid w:val="00B0559B"/>
    <w:rsid w:val="00B05AD4"/>
    <w:rsid w:val="00B05F51"/>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A77"/>
    <w:rsid w:val="00B13321"/>
    <w:rsid w:val="00B141E6"/>
    <w:rsid w:val="00B14321"/>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10DA"/>
    <w:rsid w:val="00B4131B"/>
    <w:rsid w:val="00B42876"/>
    <w:rsid w:val="00B428F3"/>
    <w:rsid w:val="00B42FFA"/>
    <w:rsid w:val="00B430BF"/>
    <w:rsid w:val="00B43CF2"/>
    <w:rsid w:val="00B44872"/>
    <w:rsid w:val="00B44CF5"/>
    <w:rsid w:val="00B45035"/>
    <w:rsid w:val="00B45148"/>
    <w:rsid w:val="00B452FF"/>
    <w:rsid w:val="00B45444"/>
    <w:rsid w:val="00B455B5"/>
    <w:rsid w:val="00B45DC5"/>
    <w:rsid w:val="00B45EE5"/>
    <w:rsid w:val="00B463FC"/>
    <w:rsid w:val="00B464E6"/>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4E0"/>
    <w:rsid w:val="00B5465A"/>
    <w:rsid w:val="00B54A69"/>
    <w:rsid w:val="00B54E27"/>
    <w:rsid w:val="00B55280"/>
    <w:rsid w:val="00B553CE"/>
    <w:rsid w:val="00B55433"/>
    <w:rsid w:val="00B56905"/>
    <w:rsid w:val="00B56D1E"/>
    <w:rsid w:val="00B56EBE"/>
    <w:rsid w:val="00B60130"/>
    <w:rsid w:val="00B60C07"/>
    <w:rsid w:val="00B6129F"/>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1261"/>
    <w:rsid w:val="00B71305"/>
    <w:rsid w:val="00B72A61"/>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9FD"/>
    <w:rsid w:val="00B92632"/>
    <w:rsid w:val="00B93957"/>
    <w:rsid w:val="00B940F3"/>
    <w:rsid w:val="00B9547D"/>
    <w:rsid w:val="00B95635"/>
    <w:rsid w:val="00B95778"/>
    <w:rsid w:val="00B95AD1"/>
    <w:rsid w:val="00B95D3A"/>
    <w:rsid w:val="00B95DD2"/>
    <w:rsid w:val="00B964CD"/>
    <w:rsid w:val="00B966DD"/>
    <w:rsid w:val="00B96732"/>
    <w:rsid w:val="00B96A6A"/>
    <w:rsid w:val="00B96AE8"/>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33A8"/>
    <w:rsid w:val="00BC4AF3"/>
    <w:rsid w:val="00BC510B"/>
    <w:rsid w:val="00BC69DC"/>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54CC"/>
    <w:rsid w:val="00BF5ABF"/>
    <w:rsid w:val="00BF5ACC"/>
    <w:rsid w:val="00BF6117"/>
    <w:rsid w:val="00BF63C5"/>
    <w:rsid w:val="00BF6597"/>
    <w:rsid w:val="00BF665C"/>
    <w:rsid w:val="00BF6F6D"/>
    <w:rsid w:val="00BF718D"/>
    <w:rsid w:val="00BF749F"/>
    <w:rsid w:val="00BF7927"/>
    <w:rsid w:val="00BF799F"/>
    <w:rsid w:val="00BF7B3A"/>
    <w:rsid w:val="00BF7C31"/>
    <w:rsid w:val="00BF7DD7"/>
    <w:rsid w:val="00C00584"/>
    <w:rsid w:val="00C00E2C"/>
    <w:rsid w:val="00C02F87"/>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2554"/>
    <w:rsid w:val="00C1293A"/>
    <w:rsid w:val="00C12ACF"/>
    <w:rsid w:val="00C13355"/>
    <w:rsid w:val="00C1353F"/>
    <w:rsid w:val="00C135A5"/>
    <w:rsid w:val="00C13803"/>
    <w:rsid w:val="00C14359"/>
    <w:rsid w:val="00C1498D"/>
    <w:rsid w:val="00C150DC"/>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CA6"/>
    <w:rsid w:val="00C25E83"/>
    <w:rsid w:val="00C26634"/>
    <w:rsid w:val="00C26C3A"/>
    <w:rsid w:val="00C26C9F"/>
    <w:rsid w:val="00C26D49"/>
    <w:rsid w:val="00C27006"/>
    <w:rsid w:val="00C271EF"/>
    <w:rsid w:val="00C2757C"/>
    <w:rsid w:val="00C30F5F"/>
    <w:rsid w:val="00C31025"/>
    <w:rsid w:val="00C31289"/>
    <w:rsid w:val="00C318A5"/>
    <w:rsid w:val="00C320AE"/>
    <w:rsid w:val="00C32B6E"/>
    <w:rsid w:val="00C32CC6"/>
    <w:rsid w:val="00C34244"/>
    <w:rsid w:val="00C344CC"/>
    <w:rsid w:val="00C3477C"/>
    <w:rsid w:val="00C34A01"/>
    <w:rsid w:val="00C35183"/>
    <w:rsid w:val="00C3567D"/>
    <w:rsid w:val="00C36207"/>
    <w:rsid w:val="00C3695C"/>
    <w:rsid w:val="00C36AAB"/>
    <w:rsid w:val="00C36C30"/>
    <w:rsid w:val="00C36D06"/>
    <w:rsid w:val="00C37036"/>
    <w:rsid w:val="00C3758E"/>
    <w:rsid w:val="00C379CB"/>
    <w:rsid w:val="00C37AD7"/>
    <w:rsid w:val="00C37E56"/>
    <w:rsid w:val="00C4078B"/>
    <w:rsid w:val="00C409F8"/>
    <w:rsid w:val="00C40C25"/>
    <w:rsid w:val="00C41236"/>
    <w:rsid w:val="00C41A16"/>
    <w:rsid w:val="00C4222B"/>
    <w:rsid w:val="00C42712"/>
    <w:rsid w:val="00C4278A"/>
    <w:rsid w:val="00C42A77"/>
    <w:rsid w:val="00C42D7B"/>
    <w:rsid w:val="00C43031"/>
    <w:rsid w:val="00C43061"/>
    <w:rsid w:val="00C432ED"/>
    <w:rsid w:val="00C43434"/>
    <w:rsid w:val="00C43514"/>
    <w:rsid w:val="00C437D6"/>
    <w:rsid w:val="00C4447B"/>
    <w:rsid w:val="00C44B78"/>
    <w:rsid w:val="00C46236"/>
    <w:rsid w:val="00C46368"/>
    <w:rsid w:val="00C4674D"/>
    <w:rsid w:val="00C46889"/>
    <w:rsid w:val="00C4704E"/>
    <w:rsid w:val="00C470CF"/>
    <w:rsid w:val="00C473E5"/>
    <w:rsid w:val="00C47470"/>
    <w:rsid w:val="00C50272"/>
    <w:rsid w:val="00C50552"/>
    <w:rsid w:val="00C50DF0"/>
    <w:rsid w:val="00C50FA1"/>
    <w:rsid w:val="00C5128B"/>
    <w:rsid w:val="00C51706"/>
    <w:rsid w:val="00C51DD2"/>
    <w:rsid w:val="00C53049"/>
    <w:rsid w:val="00C532AF"/>
    <w:rsid w:val="00C5362A"/>
    <w:rsid w:val="00C53716"/>
    <w:rsid w:val="00C540A6"/>
    <w:rsid w:val="00C542CD"/>
    <w:rsid w:val="00C54A08"/>
    <w:rsid w:val="00C54D70"/>
    <w:rsid w:val="00C55B13"/>
    <w:rsid w:val="00C55E27"/>
    <w:rsid w:val="00C55F1F"/>
    <w:rsid w:val="00C561FC"/>
    <w:rsid w:val="00C562D9"/>
    <w:rsid w:val="00C56C9A"/>
    <w:rsid w:val="00C56CBF"/>
    <w:rsid w:val="00C56D9A"/>
    <w:rsid w:val="00C56DE8"/>
    <w:rsid w:val="00C576D6"/>
    <w:rsid w:val="00C57E33"/>
    <w:rsid w:val="00C6030C"/>
    <w:rsid w:val="00C605C1"/>
    <w:rsid w:val="00C608AD"/>
    <w:rsid w:val="00C61163"/>
    <w:rsid w:val="00C6182F"/>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70759"/>
    <w:rsid w:val="00C70889"/>
    <w:rsid w:val="00C70AB2"/>
    <w:rsid w:val="00C70CE5"/>
    <w:rsid w:val="00C72893"/>
    <w:rsid w:val="00C72FC5"/>
    <w:rsid w:val="00C73045"/>
    <w:rsid w:val="00C7367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D28"/>
    <w:rsid w:val="00C81E48"/>
    <w:rsid w:val="00C830AD"/>
    <w:rsid w:val="00C8402F"/>
    <w:rsid w:val="00C8506B"/>
    <w:rsid w:val="00C85A49"/>
    <w:rsid w:val="00C864E3"/>
    <w:rsid w:val="00C8658D"/>
    <w:rsid w:val="00C86B9E"/>
    <w:rsid w:val="00C86EB8"/>
    <w:rsid w:val="00C873A2"/>
    <w:rsid w:val="00C87ED3"/>
    <w:rsid w:val="00C9002A"/>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6BC"/>
    <w:rsid w:val="00CA3A8A"/>
    <w:rsid w:val="00CA3CC7"/>
    <w:rsid w:val="00CA3FD8"/>
    <w:rsid w:val="00CA3FFC"/>
    <w:rsid w:val="00CA4CA1"/>
    <w:rsid w:val="00CA52DE"/>
    <w:rsid w:val="00CA57A7"/>
    <w:rsid w:val="00CA5C32"/>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3DD1"/>
    <w:rsid w:val="00CB48DE"/>
    <w:rsid w:val="00CB4A1F"/>
    <w:rsid w:val="00CB4A50"/>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3E18"/>
    <w:rsid w:val="00CC4065"/>
    <w:rsid w:val="00CC4241"/>
    <w:rsid w:val="00CC4C33"/>
    <w:rsid w:val="00CC514B"/>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154"/>
    <w:rsid w:val="00CE6381"/>
    <w:rsid w:val="00CE6690"/>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E5"/>
    <w:rsid w:val="00D02803"/>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A84"/>
    <w:rsid w:val="00D11C31"/>
    <w:rsid w:val="00D11ED5"/>
    <w:rsid w:val="00D13CF6"/>
    <w:rsid w:val="00D13F9F"/>
    <w:rsid w:val="00D14547"/>
    <w:rsid w:val="00D14618"/>
    <w:rsid w:val="00D14788"/>
    <w:rsid w:val="00D15091"/>
    <w:rsid w:val="00D1545E"/>
    <w:rsid w:val="00D16064"/>
    <w:rsid w:val="00D1634F"/>
    <w:rsid w:val="00D16BCE"/>
    <w:rsid w:val="00D16DF8"/>
    <w:rsid w:val="00D17B66"/>
    <w:rsid w:val="00D20949"/>
    <w:rsid w:val="00D21030"/>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778F"/>
    <w:rsid w:val="00D40819"/>
    <w:rsid w:val="00D40A7B"/>
    <w:rsid w:val="00D40CA9"/>
    <w:rsid w:val="00D40FD6"/>
    <w:rsid w:val="00D41013"/>
    <w:rsid w:val="00D414A4"/>
    <w:rsid w:val="00D427A0"/>
    <w:rsid w:val="00D42932"/>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96F"/>
    <w:rsid w:val="00D50F15"/>
    <w:rsid w:val="00D512F4"/>
    <w:rsid w:val="00D51365"/>
    <w:rsid w:val="00D5147E"/>
    <w:rsid w:val="00D51995"/>
    <w:rsid w:val="00D52DE3"/>
    <w:rsid w:val="00D53B1A"/>
    <w:rsid w:val="00D56059"/>
    <w:rsid w:val="00D560FE"/>
    <w:rsid w:val="00D56850"/>
    <w:rsid w:val="00D5698A"/>
    <w:rsid w:val="00D5730F"/>
    <w:rsid w:val="00D57AC1"/>
    <w:rsid w:val="00D57D56"/>
    <w:rsid w:val="00D57EE0"/>
    <w:rsid w:val="00D60EBA"/>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6C29"/>
    <w:rsid w:val="00D77FE3"/>
    <w:rsid w:val="00D80B9C"/>
    <w:rsid w:val="00D80E05"/>
    <w:rsid w:val="00D8120C"/>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2418"/>
    <w:rsid w:val="00DA2510"/>
    <w:rsid w:val="00DA2972"/>
    <w:rsid w:val="00DA3AE6"/>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1CA9"/>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7427"/>
    <w:rsid w:val="00DC781C"/>
    <w:rsid w:val="00DC786C"/>
    <w:rsid w:val="00DC7A09"/>
    <w:rsid w:val="00DC7DF6"/>
    <w:rsid w:val="00DD03C4"/>
    <w:rsid w:val="00DD2620"/>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3F89"/>
    <w:rsid w:val="00E04148"/>
    <w:rsid w:val="00E04560"/>
    <w:rsid w:val="00E04602"/>
    <w:rsid w:val="00E0493E"/>
    <w:rsid w:val="00E05131"/>
    <w:rsid w:val="00E05427"/>
    <w:rsid w:val="00E0586F"/>
    <w:rsid w:val="00E05C08"/>
    <w:rsid w:val="00E067B7"/>
    <w:rsid w:val="00E0688E"/>
    <w:rsid w:val="00E06BD0"/>
    <w:rsid w:val="00E07277"/>
    <w:rsid w:val="00E07311"/>
    <w:rsid w:val="00E07663"/>
    <w:rsid w:val="00E10137"/>
    <w:rsid w:val="00E112ED"/>
    <w:rsid w:val="00E11705"/>
    <w:rsid w:val="00E118CC"/>
    <w:rsid w:val="00E119C9"/>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4DA9"/>
    <w:rsid w:val="00E2519C"/>
    <w:rsid w:val="00E2528D"/>
    <w:rsid w:val="00E25558"/>
    <w:rsid w:val="00E25653"/>
    <w:rsid w:val="00E2683E"/>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40F1"/>
    <w:rsid w:val="00E44184"/>
    <w:rsid w:val="00E44CE1"/>
    <w:rsid w:val="00E452A3"/>
    <w:rsid w:val="00E455F6"/>
    <w:rsid w:val="00E45ED3"/>
    <w:rsid w:val="00E466B8"/>
    <w:rsid w:val="00E5073D"/>
    <w:rsid w:val="00E51F86"/>
    <w:rsid w:val="00E524F7"/>
    <w:rsid w:val="00E533A6"/>
    <w:rsid w:val="00E53966"/>
    <w:rsid w:val="00E543BC"/>
    <w:rsid w:val="00E54A2E"/>
    <w:rsid w:val="00E54D5F"/>
    <w:rsid w:val="00E5522C"/>
    <w:rsid w:val="00E5572B"/>
    <w:rsid w:val="00E56083"/>
    <w:rsid w:val="00E5611C"/>
    <w:rsid w:val="00E563C2"/>
    <w:rsid w:val="00E564E2"/>
    <w:rsid w:val="00E57655"/>
    <w:rsid w:val="00E578AF"/>
    <w:rsid w:val="00E57EF2"/>
    <w:rsid w:val="00E60065"/>
    <w:rsid w:val="00E60182"/>
    <w:rsid w:val="00E604FE"/>
    <w:rsid w:val="00E60E61"/>
    <w:rsid w:val="00E6100B"/>
    <w:rsid w:val="00E61341"/>
    <w:rsid w:val="00E6182F"/>
    <w:rsid w:val="00E61C74"/>
    <w:rsid w:val="00E62069"/>
    <w:rsid w:val="00E62307"/>
    <w:rsid w:val="00E6238E"/>
    <w:rsid w:val="00E625D8"/>
    <w:rsid w:val="00E63300"/>
    <w:rsid w:val="00E63AA5"/>
    <w:rsid w:val="00E63B2F"/>
    <w:rsid w:val="00E63DDD"/>
    <w:rsid w:val="00E641C4"/>
    <w:rsid w:val="00E64699"/>
    <w:rsid w:val="00E65A60"/>
    <w:rsid w:val="00E6621A"/>
    <w:rsid w:val="00E663C0"/>
    <w:rsid w:val="00E66824"/>
    <w:rsid w:val="00E66DA0"/>
    <w:rsid w:val="00E66F58"/>
    <w:rsid w:val="00E679CB"/>
    <w:rsid w:val="00E67CDB"/>
    <w:rsid w:val="00E704B5"/>
    <w:rsid w:val="00E709BB"/>
    <w:rsid w:val="00E70BF3"/>
    <w:rsid w:val="00E71F65"/>
    <w:rsid w:val="00E72774"/>
    <w:rsid w:val="00E72C68"/>
    <w:rsid w:val="00E72CEE"/>
    <w:rsid w:val="00E72DEB"/>
    <w:rsid w:val="00E72E42"/>
    <w:rsid w:val="00E72E4B"/>
    <w:rsid w:val="00E734E0"/>
    <w:rsid w:val="00E73929"/>
    <w:rsid w:val="00E73E9B"/>
    <w:rsid w:val="00E74ED4"/>
    <w:rsid w:val="00E75774"/>
    <w:rsid w:val="00E760C2"/>
    <w:rsid w:val="00E766F7"/>
    <w:rsid w:val="00E7673F"/>
    <w:rsid w:val="00E768E7"/>
    <w:rsid w:val="00E76E34"/>
    <w:rsid w:val="00E76E73"/>
    <w:rsid w:val="00E77316"/>
    <w:rsid w:val="00E77578"/>
    <w:rsid w:val="00E80B53"/>
    <w:rsid w:val="00E80E23"/>
    <w:rsid w:val="00E811B2"/>
    <w:rsid w:val="00E81726"/>
    <w:rsid w:val="00E83770"/>
    <w:rsid w:val="00E83B69"/>
    <w:rsid w:val="00E83EF0"/>
    <w:rsid w:val="00E83F9F"/>
    <w:rsid w:val="00E84644"/>
    <w:rsid w:val="00E84792"/>
    <w:rsid w:val="00E84FFD"/>
    <w:rsid w:val="00E851C1"/>
    <w:rsid w:val="00E8544C"/>
    <w:rsid w:val="00E85995"/>
    <w:rsid w:val="00E8599D"/>
    <w:rsid w:val="00E8625E"/>
    <w:rsid w:val="00E86561"/>
    <w:rsid w:val="00E86601"/>
    <w:rsid w:val="00E87263"/>
    <w:rsid w:val="00E87A33"/>
    <w:rsid w:val="00E87B8E"/>
    <w:rsid w:val="00E908AC"/>
    <w:rsid w:val="00E90C78"/>
    <w:rsid w:val="00E91047"/>
    <w:rsid w:val="00E91D5C"/>
    <w:rsid w:val="00E92424"/>
    <w:rsid w:val="00E927ED"/>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3BB5"/>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B7E"/>
    <w:rsid w:val="00EB5C8C"/>
    <w:rsid w:val="00EB63AA"/>
    <w:rsid w:val="00EB6928"/>
    <w:rsid w:val="00EB6A68"/>
    <w:rsid w:val="00EB6B7D"/>
    <w:rsid w:val="00EB6BE3"/>
    <w:rsid w:val="00EB797F"/>
    <w:rsid w:val="00EB7BFB"/>
    <w:rsid w:val="00EC05E3"/>
    <w:rsid w:val="00EC06D7"/>
    <w:rsid w:val="00EC1137"/>
    <w:rsid w:val="00EC14F6"/>
    <w:rsid w:val="00EC1A40"/>
    <w:rsid w:val="00EC1A9D"/>
    <w:rsid w:val="00EC1FE3"/>
    <w:rsid w:val="00EC26C2"/>
    <w:rsid w:val="00EC2959"/>
    <w:rsid w:val="00EC2C34"/>
    <w:rsid w:val="00EC3678"/>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926"/>
    <w:rsid w:val="00ED2AEB"/>
    <w:rsid w:val="00ED3066"/>
    <w:rsid w:val="00ED3114"/>
    <w:rsid w:val="00ED3128"/>
    <w:rsid w:val="00ED338F"/>
    <w:rsid w:val="00ED434C"/>
    <w:rsid w:val="00ED44CB"/>
    <w:rsid w:val="00ED4A10"/>
    <w:rsid w:val="00ED4E8B"/>
    <w:rsid w:val="00ED518E"/>
    <w:rsid w:val="00ED54A0"/>
    <w:rsid w:val="00ED58DF"/>
    <w:rsid w:val="00ED5D20"/>
    <w:rsid w:val="00ED6208"/>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175A"/>
    <w:rsid w:val="00EF241F"/>
    <w:rsid w:val="00EF35EB"/>
    <w:rsid w:val="00EF36F3"/>
    <w:rsid w:val="00EF3B00"/>
    <w:rsid w:val="00EF3F0F"/>
    <w:rsid w:val="00EF491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9B7"/>
    <w:rsid w:val="00F05B4B"/>
    <w:rsid w:val="00F062C9"/>
    <w:rsid w:val="00F066BE"/>
    <w:rsid w:val="00F06794"/>
    <w:rsid w:val="00F069F2"/>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AFC"/>
    <w:rsid w:val="00F1609A"/>
    <w:rsid w:val="00F1780C"/>
    <w:rsid w:val="00F17CCD"/>
    <w:rsid w:val="00F203DF"/>
    <w:rsid w:val="00F20917"/>
    <w:rsid w:val="00F20E0B"/>
    <w:rsid w:val="00F20E5F"/>
    <w:rsid w:val="00F2102E"/>
    <w:rsid w:val="00F2123D"/>
    <w:rsid w:val="00F21467"/>
    <w:rsid w:val="00F21991"/>
    <w:rsid w:val="00F23084"/>
    <w:rsid w:val="00F2315F"/>
    <w:rsid w:val="00F233EF"/>
    <w:rsid w:val="00F23479"/>
    <w:rsid w:val="00F23C8D"/>
    <w:rsid w:val="00F241DD"/>
    <w:rsid w:val="00F244BA"/>
    <w:rsid w:val="00F24F71"/>
    <w:rsid w:val="00F25B5D"/>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736"/>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F2"/>
    <w:rsid w:val="00FA4774"/>
    <w:rsid w:val="00FA4C20"/>
    <w:rsid w:val="00FA539B"/>
    <w:rsid w:val="00FA5410"/>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E04B7"/>
    <w:rsid w:val="00FE06EC"/>
    <w:rsid w:val="00FE1D69"/>
    <w:rsid w:val="00FE1EB0"/>
    <w:rsid w:val="00FE26F3"/>
    <w:rsid w:val="00FE299D"/>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488"/>
    <w:rsid w:val="00FF14B5"/>
    <w:rsid w:val="00FF152B"/>
    <w:rsid w:val="00FF15B9"/>
    <w:rsid w:val="00FF1746"/>
    <w:rsid w:val="00FF1A15"/>
    <w:rsid w:val="00FF1AE0"/>
    <w:rsid w:val="00FF1B36"/>
    <w:rsid w:val="00FF1FD5"/>
    <w:rsid w:val="00FF219C"/>
    <w:rsid w:val="00FF21E6"/>
    <w:rsid w:val="00FF2663"/>
    <w:rsid w:val="00FF270E"/>
    <w:rsid w:val="00FF2C5C"/>
    <w:rsid w:val="00FF2FAF"/>
    <w:rsid w:val="00FF4487"/>
    <w:rsid w:val="00FF4FBA"/>
    <w:rsid w:val="00FF5178"/>
    <w:rsid w:val="00FF5B6C"/>
    <w:rsid w:val="00FF5BA7"/>
    <w:rsid w:val="00FF5FF4"/>
    <w:rsid w:val="00FF6007"/>
    <w:rsid w:val="00FF6010"/>
    <w:rsid w:val="00FF6343"/>
    <w:rsid w:val="00FF6989"/>
    <w:rsid w:val="00FF6B71"/>
    <w:rsid w:val="00FF7508"/>
    <w:rsid w:val="00FF75FA"/>
    <w:rsid w:val="00FF770F"/>
    <w:rsid w:val="00FF7CA5"/>
    <w:rsid w:val="0134228D"/>
    <w:rsid w:val="01386EC7"/>
    <w:rsid w:val="016D3329"/>
    <w:rsid w:val="01700DB5"/>
    <w:rsid w:val="01890DEC"/>
    <w:rsid w:val="01AC6C80"/>
    <w:rsid w:val="01C359E0"/>
    <w:rsid w:val="01D17056"/>
    <w:rsid w:val="01D45093"/>
    <w:rsid w:val="01D867AF"/>
    <w:rsid w:val="01E22C9F"/>
    <w:rsid w:val="01E51D28"/>
    <w:rsid w:val="01FA0C29"/>
    <w:rsid w:val="025074AA"/>
    <w:rsid w:val="02906A2E"/>
    <w:rsid w:val="02D358B6"/>
    <w:rsid w:val="02E87294"/>
    <w:rsid w:val="02EA3D4F"/>
    <w:rsid w:val="032F66E9"/>
    <w:rsid w:val="03360276"/>
    <w:rsid w:val="038A0A36"/>
    <w:rsid w:val="038B4C21"/>
    <w:rsid w:val="03A530EE"/>
    <w:rsid w:val="03AB0E87"/>
    <w:rsid w:val="03B17F9E"/>
    <w:rsid w:val="03C51274"/>
    <w:rsid w:val="03D30C30"/>
    <w:rsid w:val="03DC00D0"/>
    <w:rsid w:val="03F337FC"/>
    <w:rsid w:val="04057262"/>
    <w:rsid w:val="043D2FE0"/>
    <w:rsid w:val="043D31F3"/>
    <w:rsid w:val="04454D61"/>
    <w:rsid w:val="044E6290"/>
    <w:rsid w:val="044E6464"/>
    <w:rsid w:val="04633518"/>
    <w:rsid w:val="04713745"/>
    <w:rsid w:val="04975E6F"/>
    <w:rsid w:val="04AC3BEF"/>
    <w:rsid w:val="04B661D1"/>
    <w:rsid w:val="04C95EC8"/>
    <w:rsid w:val="04D53A1E"/>
    <w:rsid w:val="051214CD"/>
    <w:rsid w:val="051E426E"/>
    <w:rsid w:val="05226002"/>
    <w:rsid w:val="052F6128"/>
    <w:rsid w:val="056C2F6B"/>
    <w:rsid w:val="05780245"/>
    <w:rsid w:val="057D3FDA"/>
    <w:rsid w:val="05B46917"/>
    <w:rsid w:val="05C52E2E"/>
    <w:rsid w:val="05D11DD1"/>
    <w:rsid w:val="05D12069"/>
    <w:rsid w:val="05D843C4"/>
    <w:rsid w:val="05F17AD2"/>
    <w:rsid w:val="05F50713"/>
    <w:rsid w:val="05F7184A"/>
    <w:rsid w:val="05FF330F"/>
    <w:rsid w:val="06055537"/>
    <w:rsid w:val="06146BE2"/>
    <w:rsid w:val="061C13DD"/>
    <w:rsid w:val="064F2805"/>
    <w:rsid w:val="06607C0F"/>
    <w:rsid w:val="06935D11"/>
    <w:rsid w:val="06AE5E70"/>
    <w:rsid w:val="06D73364"/>
    <w:rsid w:val="06E0388A"/>
    <w:rsid w:val="07516E99"/>
    <w:rsid w:val="075B52B1"/>
    <w:rsid w:val="077D762E"/>
    <w:rsid w:val="0784238D"/>
    <w:rsid w:val="078D1E52"/>
    <w:rsid w:val="07AB1CDC"/>
    <w:rsid w:val="07AC1AA3"/>
    <w:rsid w:val="07C808C8"/>
    <w:rsid w:val="07CC4C58"/>
    <w:rsid w:val="07E24397"/>
    <w:rsid w:val="08007B64"/>
    <w:rsid w:val="0816261C"/>
    <w:rsid w:val="083245C7"/>
    <w:rsid w:val="084412F4"/>
    <w:rsid w:val="086F06C6"/>
    <w:rsid w:val="087679C6"/>
    <w:rsid w:val="08CB697C"/>
    <w:rsid w:val="08E67B94"/>
    <w:rsid w:val="08EB5F92"/>
    <w:rsid w:val="090F0736"/>
    <w:rsid w:val="092C3DD0"/>
    <w:rsid w:val="09345980"/>
    <w:rsid w:val="093B3D23"/>
    <w:rsid w:val="09476E41"/>
    <w:rsid w:val="094F5AEA"/>
    <w:rsid w:val="098B6E4F"/>
    <w:rsid w:val="09BE6273"/>
    <w:rsid w:val="09DE3EF3"/>
    <w:rsid w:val="09EF19D3"/>
    <w:rsid w:val="09FA094E"/>
    <w:rsid w:val="0A155AE0"/>
    <w:rsid w:val="0A1C03B9"/>
    <w:rsid w:val="0A1D5803"/>
    <w:rsid w:val="0A5D3A76"/>
    <w:rsid w:val="0A6D0068"/>
    <w:rsid w:val="0A80786B"/>
    <w:rsid w:val="0A862810"/>
    <w:rsid w:val="0AAD12F9"/>
    <w:rsid w:val="0ACB4992"/>
    <w:rsid w:val="0AD11383"/>
    <w:rsid w:val="0AD610C1"/>
    <w:rsid w:val="0AE72ED3"/>
    <w:rsid w:val="0AE85C74"/>
    <w:rsid w:val="0AEA7028"/>
    <w:rsid w:val="0AF60880"/>
    <w:rsid w:val="0AFD4060"/>
    <w:rsid w:val="0B3722EB"/>
    <w:rsid w:val="0B4130E5"/>
    <w:rsid w:val="0B435C0D"/>
    <w:rsid w:val="0B4E1B4B"/>
    <w:rsid w:val="0B536C61"/>
    <w:rsid w:val="0B5A2550"/>
    <w:rsid w:val="0B5E59BF"/>
    <w:rsid w:val="0B9628E2"/>
    <w:rsid w:val="0B9A4CCF"/>
    <w:rsid w:val="0BAF1F99"/>
    <w:rsid w:val="0BB4329D"/>
    <w:rsid w:val="0BD8492C"/>
    <w:rsid w:val="0C116A04"/>
    <w:rsid w:val="0C163DE3"/>
    <w:rsid w:val="0C38391C"/>
    <w:rsid w:val="0C3F2AAA"/>
    <w:rsid w:val="0C480C6B"/>
    <w:rsid w:val="0C4851C9"/>
    <w:rsid w:val="0C733348"/>
    <w:rsid w:val="0C7A5F19"/>
    <w:rsid w:val="0CB570E1"/>
    <w:rsid w:val="0CBB2456"/>
    <w:rsid w:val="0CBC0D44"/>
    <w:rsid w:val="0CD53B6E"/>
    <w:rsid w:val="0CDC153A"/>
    <w:rsid w:val="0CDF7504"/>
    <w:rsid w:val="0CE114E8"/>
    <w:rsid w:val="0CE55771"/>
    <w:rsid w:val="0D0A2610"/>
    <w:rsid w:val="0D165B07"/>
    <w:rsid w:val="0D24669F"/>
    <w:rsid w:val="0D351E64"/>
    <w:rsid w:val="0D4B0440"/>
    <w:rsid w:val="0D4F03DA"/>
    <w:rsid w:val="0D6A6DAE"/>
    <w:rsid w:val="0D985744"/>
    <w:rsid w:val="0D997A8E"/>
    <w:rsid w:val="0D9B555D"/>
    <w:rsid w:val="0DAA3522"/>
    <w:rsid w:val="0DD21C91"/>
    <w:rsid w:val="0E001988"/>
    <w:rsid w:val="0E0A0581"/>
    <w:rsid w:val="0E2A3DC1"/>
    <w:rsid w:val="0E432964"/>
    <w:rsid w:val="0E6902AD"/>
    <w:rsid w:val="0E7C2AEA"/>
    <w:rsid w:val="0EB1019F"/>
    <w:rsid w:val="0EE63683"/>
    <w:rsid w:val="0EEB7078"/>
    <w:rsid w:val="0F0174BB"/>
    <w:rsid w:val="0F050418"/>
    <w:rsid w:val="0F110C78"/>
    <w:rsid w:val="0F5349A7"/>
    <w:rsid w:val="0F644451"/>
    <w:rsid w:val="0F8A5245"/>
    <w:rsid w:val="0F9105DC"/>
    <w:rsid w:val="0FD218A9"/>
    <w:rsid w:val="0FDF75FB"/>
    <w:rsid w:val="0FEE45C3"/>
    <w:rsid w:val="0FFC054C"/>
    <w:rsid w:val="0FFC76CD"/>
    <w:rsid w:val="100A0165"/>
    <w:rsid w:val="10164A08"/>
    <w:rsid w:val="10330136"/>
    <w:rsid w:val="103403E8"/>
    <w:rsid w:val="104A3065"/>
    <w:rsid w:val="10790AA3"/>
    <w:rsid w:val="10964EF8"/>
    <w:rsid w:val="10B0393A"/>
    <w:rsid w:val="10C46432"/>
    <w:rsid w:val="10D86C00"/>
    <w:rsid w:val="10DF695A"/>
    <w:rsid w:val="1109680C"/>
    <w:rsid w:val="112355EC"/>
    <w:rsid w:val="113147B9"/>
    <w:rsid w:val="11885720"/>
    <w:rsid w:val="119A267F"/>
    <w:rsid w:val="11AD2466"/>
    <w:rsid w:val="11B30F31"/>
    <w:rsid w:val="11B33EF7"/>
    <w:rsid w:val="11BF41A1"/>
    <w:rsid w:val="11C85CC6"/>
    <w:rsid w:val="11D34CF9"/>
    <w:rsid w:val="11E11036"/>
    <w:rsid w:val="11EA2C7E"/>
    <w:rsid w:val="11F70D4B"/>
    <w:rsid w:val="123352C9"/>
    <w:rsid w:val="12484B4C"/>
    <w:rsid w:val="124A2B01"/>
    <w:rsid w:val="124F564F"/>
    <w:rsid w:val="12697B12"/>
    <w:rsid w:val="12783D31"/>
    <w:rsid w:val="12805C0D"/>
    <w:rsid w:val="129C35A2"/>
    <w:rsid w:val="12AC235B"/>
    <w:rsid w:val="12BA18A3"/>
    <w:rsid w:val="12E82BBB"/>
    <w:rsid w:val="12F4218D"/>
    <w:rsid w:val="131813B5"/>
    <w:rsid w:val="13374289"/>
    <w:rsid w:val="13413E8C"/>
    <w:rsid w:val="13427B1B"/>
    <w:rsid w:val="134879D8"/>
    <w:rsid w:val="137D070B"/>
    <w:rsid w:val="138B0DA5"/>
    <w:rsid w:val="13990BE8"/>
    <w:rsid w:val="139F1540"/>
    <w:rsid w:val="13A9216C"/>
    <w:rsid w:val="13B02513"/>
    <w:rsid w:val="13CD1D23"/>
    <w:rsid w:val="13CF716E"/>
    <w:rsid w:val="13D369E3"/>
    <w:rsid w:val="13D50411"/>
    <w:rsid w:val="13E64BE3"/>
    <w:rsid w:val="140A1D14"/>
    <w:rsid w:val="146870E8"/>
    <w:rsid w:val="147A7419"/>
    <w:rsid w:val="148D2D4C"/>
    <w:rsid w:val="14C55FF0"/>
    <w:rsid w:val="151D5144"/>
    <w:rsid w:val="152B60A2"/>
    <w:rsid w:val="152E5EA1"/>
    <w:rsid w:val="15342CB2"/>
    <w:rsid w:val="153704C4"/>
    <w:rsid w:val="15677C9D"/>
    <w:rsid w:val="157C74D9"/>
    <w:rsid w:val="15841854"/>
    <w:rsid w:val="15A64FE6"/>
    <w:rsid w:val="15DC48B8"/>
    <w:rsid w:val="15FD388C"/>
    <w:rsid w:val="1638282C"/>
    <w:rsid w:val="16393F3A"/>
    <w:rsid w:val="166B702A"/>
    <w:rsid w:val="16B742C5"/>
    <w:rsid w:val="16BA20C3"/>
    <w:rsid w:val="16C53A03"/>
    <w:rsid w:val="16F723A3"/>
    <w:rsid w:val="16F77E06"/>
    <w:rsid w:val="1702140C"/>
    <w:rsid w:val="17175B41"/>
    <w:rsid w:val="173739FB"/>
    <w:rsid w:val="1765171B"/>
    <w:rsid w:val="176E561B"/>
    <w:rsid w:val="17747C3D"/>
    <w:rsid w:val="177C39A7"/>
    <w:rsid w:val="178B0116"/>
    <w:rsid w:val="17977A78"/>
    <w:rsid w:val="17B5323C"/>
    <w:rsid w:val="17B607F9"/>
    <w:rsid w:val="17B76382"/>
    <w:rsid w:val="17B936E1"/>
    <w:rsid w:val="17C67D1F"/>
    <w:rsid w:val="17D45DF7"/>
    <w:rsid w:val="180F0BBA"/>
    <w:rsid w:val="18170A63"/>
    <w:rsid w:val="183414F1"/>
    <w:rsid w:val="184C0855"/>
    <w:rsid w:val="186F473B"/>
    <w:rsid w:val="18D26527"/>
    <w:rsid w:val="19211619"/>
    <w:rsid w:val="19264A04"/>
    <w:rsid w:val="19326A25"/>
    <w:rsid w:val="193A691F"/>
    <w:rsid w:val="19572B4C"/>
    <w:rsid w:val="195D3688"/>
    <w:rsid w:val="198527A8"/>
    <w:rsid w:val="19AB5A4D"/>
    <w:rsid w:val="19B2076C"/>
    <w:rsid w:val="19C35AB3"/>
    <w:rsid w:val="19FF7081"/>
    <w:rsid w:val="1A0E48E2"/>
    <w:rsid w:val="1A217672"/>
    <w:rsid w:val="1A2D7F71"/>
    <w:rsid w:val="1A2E248C"/>
    <w:rsid w:val="1A427322"/>
    <w:rsid w:val="1A476C0F"/>
    <w:rsid w:val="1A72093E"/>
    <w:rsid w:val="1A7672D6"/>
    <w:rsid w:val="1A792CB9"/>
    <w:rsid w:val="1ABD556D"/>
    <w:rsid w:val="1ABE4616"/>
    <w:rsid w:val="1AD746F8"/>
    <w:rsid w:val="1AE244B8"/>
    <w:rsid w:val="1AEB42E1"/>
    <w:rsid w:val="1B081E0B"/>
    <w:rsid w:val="1B0F77D8"/>
    <w:rsid w:val="1B133819"/>
    <w:rsid w:val="1B146B8F"/>
    <w:rsid w:val="1B175D03"/>
    <w:rsid w:val="1B326C4D"/>
    <w:rsid w:val="1B3D21AB"/>
    <w:rsid w:val="1B3F4FCE"/>
    <w:rsid w:val="1B4A33FE"/>
    <w:rsid w:val="1B4B22F1"/>
    <w:rsid w:val="1B6B159E"/>
    <w:rsid w:val="1B702498"/>
    <w:rsid w:val="1B7244F2"/>
    <w:rsid w:val="1B9D12F4"/>
    <w:rsid w:val="1BAE4D2B"/>
    <w:rsid w:val="1BBF7504"/>
    <w:rsid w:val="1BCF0653"/>
    <w:rsid w:val="1C0C2CEF"/>
    <w:rsid w:val="1C5448D1"/>
    <w:rsid w:val="1C5F0EEF"/>
    <w:rsid w:val="1C635093"/>
    <w:rsid w:val="1C6A626C"/>
    <w:rsid w:val="1C732978"/>
    <w:rsid w:val="1C76198C"/>
    <w:rsid w:val="1C9B2B55"/>
    <w:rsid w:val="1CA02563"/>
    <w:rsid w:val="1CA814B4"/>
    <w:rsid w:val="1CEE56E4"/>
    <w:rsid w:val="1CF91F10"/>
    <w:rsid w:val="1D0A51CC"/>
    <w:rsid w:val="1D1F6E65"/>
    <w:rsid w:val="1D4E76BA"/>
    <w:rsid w:val="1D52159B"/>
    <w:rsid w:val="1D72118C"/>
    <w:rsid w:val="1D8C71A4"/>
    <w:rsid w:val="1DAA4ED3"/>
    <w:rsid w:val="1DB04E78"/>
    <w:rsid w:val="1DE5260B"/>
    <w:rsid w:val="1DF84F0F"/>
    <w:rsid w:val="1E156B3F"/>
    <w:rsid w:val="1E426463"/>
    <w:rsid w:val="1E4271AA"/>
    <w:rsid w:val="1E4D738F"/>
    <w:rsid w:val="1E694D8D"/>
    <w:rsid w:val="1E713DF6"/>
    <w:rsid w:val="1E7458FA"/>
    <w:rsid w:val="1E812E67"/>
    <w:rsid w:val="1E835238"/>
    <w:rsid w:val="1E8A1C67"/>
    <w:rsid w:val="1EBA0BD2"/>
    <w:rsid w:val="1ECA3890"/>
    <w:rsid w:val="1EF36406"/>
    <w:rsid w:val="1EF84EEB"/>
    <w:rsid w:val="1F042DEE"/>
    <w:rsid w:val="1F217946"/>
    <w:rsid w:val="1F2A3348"/>
    <w:rsid w:val="1F6577E7"/>
    <w:rsid w:val="1F7472AE"/>
    <w:rsid w:val="1FC65F5C"/>
    <w:rsid w:val="1FD026C3"/>
    <w:rsid w:val="1FEC6832"/>
    <w:rsid w:val="1FF03786"/>
    <w:rsid w:val="203C12D0"/>
    <w:rsid w:val="20436B38"/>
    <w:rsid w:val="2066127D"/>
    <w:rsid w:val="20676B1C"/>
    <w:rsid w:val="2087013C"/>
    <w:rsid w:val="208820D8"/>
    <w:rsid w:val="20A97D3D"/>
    <w:rsid w:val="20B679DB"/>
    <w:rsid w:val="20BE31A2"/>
    <w:rsid w:val="20EB452E"/>
    <w:rsid w:val="20FC03B3"/>
    <w:rsid w:val="21017637"/>
    <w:rsid w:val="210B5C07"/>
    <w:rsid w:val="212E630D"/>
    <w:rsid w:val="218A5930"/>
    <w:rsid w:val="21941472"/>
    <w:rsid w:val="21C94DFE"/>
    <w:rsid w:val="21F27C05"/>
    <w:rsid w:val="22061E72"/>
    <w:rsid w:val="2220223C"/>
    <w:rsid w:val="22506882"/>
    <w:rsid w:val="225B2FB1"/>
    <w:rsid w:val="22607728"/>
    <w:rsid w:val="2296450F"/>
    <w:rsid w:val="22A376ED"/>
    <w:rsid w:val="22CB0D30"/>
    <w:rsid w:val="22DD1922"/>
    <w:rsid w:val="2305498F"/>
    <w:rsid w:val="23124414"/>
    <w:rsid w:val="232B5226"/>
    <w:rsid w:val="237D50F5"/>
    <w:rsid w:val="23830BB0"/>
    <w:rsid w:val="24390D52"/>
    <w:rsid w:val="24512C0A"/>
    <w:rsid w:val="249D393C"/>
    <w:rsid w:val="24AF57DE"/>
    <w:rsid w:val="24B36C3D"/>
    <w:rsid w:val="24BA5A96"/>
    <w:rsid w:val="24C26DBE"/>
    <w:rsid w:val="24E664E2"/>
    <w:rsid w:val="24E92140"/>
    <w:rsid w:val="24FF6673"/>
    <w:rsid w:val="25032944"/>
    <w:rsid w:val="25253588"/>
    <w:rsid w:val="252D2F1C"/>
    <w:rsid w:val="25333F20"/>
    <w:rsid w:val="25455AC6"/>
    <w:rsid w:val="25486AFC"/>
    <w:rsid w:val="25836B10"/>
    <w:rsid w:val="2591501C"/>
    <w:rsid w:val="25B05F47"/>
    <w:rsid w:val="25B51205"/>
    <w:rsid w:val="25E02651"/>
    <w:rsid w:val="25E17B67"/>
    <w:rsid w:val="25EC3DE7"/>
    <w:rsid w:val="2642495F"/>
    <w:rsid w:val="26967BCA"/>
    <w:rsid w:val="26A70543"/>
    <w:rsid w:val="26B422CD"/>
    <w:rsid w:val="26D43F07"/>
    <w:rsid w:val="26ED7CAC"/>
    <w:rsid w:val="26F42018"/>
    <w:rsid w:val="271514CB"/>
    <w:rsid w:val="27157B02"/>
    <w:rsid w:val="271A3471"/>
    <w:rsid w:val="272D5744"/>
    <w:rsid w:val="272F7A19"/>
    <w:rsid w:val="27426FB7"/>
    <w:rsid w:val="2760668F"/>
    <w:rsid w:val="277631B9"/>
    <w:rsid w:val="279E773F"/>
    <w:rsid w:val="279F35CF"/>
    <w:rsid w:val="27BD648A"/>
    <w:rsid w:val="27CF7BC1"/>
    <w:rsid w:val="27D21953"/>
    <w:rsid w:val="27DD4219"/>
    <w:rsid w:val="27ED2E35"/>
    <w:rsid w:val="27F379B4"/>
    <w:rsid w:val="27FD20A3"/>
    <w:rsid w:val="280855FA"/>
    <w:rsid w:val="281A3FEF"/>
    <w:rsid w:val="282F0269"/>
    <w:rsid w:val="2837711A"/>
    <w:rsid w:val="285C7F14"/>
    <w:rsid w:val="28733F45"/>
    <w:rsid w:val="28883B3E"/>
    <w:rsid w:val="288D3E4E"/>
    <w:rsid w:val="28926F00"/>
    <w:rsid w:val="28AF3D9F"/>
    <w:rsid w:val="28B655A4"/>
    <w:rsid w:val="28C51846"/>
    <w:rsid w:val="28DA31DD"/>
    <w:rsid w:val="290A2815"/>
    <w:rsid w:val="291D0FC6"/>
    <w:rsid w:val="292444AB"/>
    <w:rsid w:val="292D49D8"/>
    <w:rsid w:val="293E0BFC"/>
    <w:rsid w:val="297325D4"/>
    <w:rsid w:val="29787A45"/>
    <w:rsid w:val="297F3939"/>
    <w:rsid w:val="29850E1F"/>
    <w:rsid w:val="2988434F"/>
    <w:rsid w:val="29B200F9"/>
    <w:rsid w:val="29C3792D"/>
    <w:rsid w:val="29C40E68"/>
    <w:rsid w:val="29D24E8A"/>
    <w:rsid w:val="2A0442B7"/>
    <w:rsid w:val="2A1F0193"/>
    <w:rsid w:val="2A30157C"/>
    <w:rsid w:val="2A3D5428"/>
    <w:rsid w:val="2A3E4665"/>
    <w:rsid w:val="2A423BE6"/>
    <w:rsid w:val="2A444FA7"/>
    <w:rsid w:val="2A8D0B59"/>
    <w:rsid w:val="2AB148A4"/>
    <w:rsid w:val="2AB87CB7"/>
    <w:rsid w:val="2AC059AD"/>
    <w:rsid w:val="2AD411AD"/>
    <w:rsid w:val="2B1B4747"/>
    <w:rsid w:val="2B2C3C1C"/>
    <w:rsid w:val="2B9D095C"/>
    <w:rsid w:val="2BA26207"/>
    <w:rsid w:val="2BB86B45"/>
    <w:rsid w:val="2BC27E49"/>
    <w:rsid w:val="2BC27FDB"/>
    <w:rsid w:val="2BCB495C"/>
    <w:rsid w:val="2BDA73BA"/>
    <w:rsid w:val="2BDE4F3E"/>
    <w:rsid w:val="2BDE5DDC"/>
    <w:rsid w:val="2BE55FA7"/>
    <w:rsid w:val="2BEB30D7"/>
    <w:rsid w:val="2BF104A7"/>
    <w:rsid w:val="2BF82335"/>
    <w:rsid w:val="2C303803"/>
    <w:rsid w:val="2C423E46"/>
    <w:rsid w:val="2C523EA6"/>
    <w:rsid w:val="2C6B1434"/>
    <w:rsid w:val="2C6C31F6"/>
    <w:rsid w:val="2C6E5C2B"/>
    <w:rsid w:val="2C756248"/>
    <w:rsid w:val="2C7B5D55"/>
    <w:rsid w:val="2C8065CF"/>
    <w:rsid w:val="2C8349FD"/>
    <w:rsid w:val="2C8621FE"/>
    <w:rsid w:val="2C9B36E8"/>
    <w:rsid w:val="2CB978D7"/>
    <w:rsid w:val="2CDB77F5"/>
    <w:rsid w:val="2CE91F2F"/>
    <w:rsid w:val="2CF55A62"/>
    <w:rsid w:val="2CFB7713"/>
    <w:rsid w:val="2D102BB9"/>
    <w:rsid w:val="2D113EE6"/>
    <w:rsid w:val="2D144117"/>
    <w:rsid w:val="2D265909"/>
    <w:rsid w:val="2D6B6D78"/>
    <w:rsid w:val="2D9F55ED"/>
    <w:rsid w:val="2DC546BE"/>
    <w:rsid w:val="2DD336EC"/>
    <w:rsid w:val="2DDC305C"/>
    <w:rsid w:val="2DDD2AEF"/>
    <w:rsid w:val="2DDD2F9D"/>
    <w:rsid w:val="2DFF47C9"/>
    <w:rsid w:val="2E087536"/>
    <w:rsid w:val="2E0A19D1"/>
    <w:rsid w:val="2E404529"/>
    <w:rsid w:val="2E5262DE"/>
    <w:rsid w:val="2E8A2E34"/>
    <w:rsid w:val="2EA026D0"/>
    <w:rsid w:val="2EA12AD6"/>
    <w:rsid w:val="2EA817F3"/>
    <w:rsid w:val="2EA8737F"/>
    <w:rsid w:val="2EC05711"/>
    <w:rsid w:val="2EDA2698"/>
    <w:rsid w:val="2F016D4D"/>
    <w:rsid w:val="2F0B500D"/>
    <w:rsid w:val="2F150591"/>
    <w:rsid w:val="2F4B4CFE"/>
    <w:rsid w:val="2F7827A0"/>
    <w:rsid w:val="2F8B6AC3"/>
    <w:rsid w:val="2F8D3501"/>
    <w:rsid w:val="2F906ACD"/>
    <w:rsid w:val="2F9F64AB"/>
    <w:rsid w:val="2FDE2016"/>
    <w:rsid w:val="30022B09"/>
    <w:rsid w:val="302973B8"/>
    <w:rsid w:val="302C3166"/>
    <w:rsid w:val="308264F5"/>
    <w:rsid w:val="3087356E"/>
    <w:rsid w:val="308A506E"/>
    <w:rsid w:val="30D1233E"/>
    <w:rsid w:val="30DA427D"/>
    <w:rsid w:val="30FB13FB"/>
    <w:rsid w:val="310F24B7"/>
    <w:rsid w:val="31107923"/>
    <w:rsid w:val="31260E58"/>
    <w:rsid w:val="31601805"/>
    <w:rsid w:val="316B4DCB"/>
    <w:rsid w:val="317348EE"/>
    <w:rsid w:val="31927E60"/>
    <w:rsid w:val="319A3263"/>
    <w:rsid w:val="31A8144E"/>
    <w:rsid w:val="31A94B75"/>
    <w:rsid w:val="31D343FE"/>
    <w:rsid w:val="31DA58A8"/>
    <w:rsid w:val="31F008FB"/>
    <w:rsid w:val="323158B1"/>
    <w:rsid w:val="324F3411"/>
    <w:rsid w:val="32552F74"/>
    <w:rsid w:val="327A27D0"/>
    <w:rsid w:val="32840341"/>
    <w:rsid w:val="3297595C"/>
    <w:rsid w:val="329B0615"/>
    <w:rsid w:val="32BD07AC"/>
    <w:rsid w:val="32BD5557"/>
    <w:rsid w:val="32F94358"/>
    <w:rsid w:val="33004825"/>
    <w:rsid w:val="332F0B57"/>
    <w:rsid w:val="333577A1"/>
    <w:rsid w:val="33555178"/>
    <w:rsid w:val="336828E9"/>
    <w:rsid w:val="336F0DF4"/>
    <w:rsid w:val="339B3875"/>
    <w:rsid w:val="33BC3FE1"/>
    <w:rsid w:val="33BE0869"/>
    <w:rsid w:val="33D001EE"/>
    <w:rsid w:val="33D81ABB"/>
    <w:rsid w:val="33EF30E5"/>
    <w:rsid w:val="34254555"/>
    <w:rsid w:val="34360AC1"/>
    <w:rsid w:val="34422E23"/>
    <w:rsid w:val="344F3D37"/>
    <w:rsid w:val="345B56A2"/>
    <w:rsid w:val="346B5D5F"/>
    <w:rsid w:val="34780B7D"/>
    <w:rsid w:val="348107B8"/>
    <w:rsid w:val="348B253B"/>
    <w:rsid w:val="34A10390"/>
    <w:rsid w:val="34D91F08"/>
    <w:rsid w:val="34E04D28"/>
    <w:rsid w:val="34FA3790"/>
    <w:rsid w:val="350644E0"/>
    <w:rsid w:val="351548C5"/>
    <w:rsid w:val="35266EC4"/>
    <w:rsid w:val="353115DE"/>
    <w:rsid w:val="35366B03"/>
    <w:rsid w:val="35382B67"/>
    <w:rsid w:val="35413A65"/>
    <w:rsid w:val="35453DC9"/>
    <w:rsid w:val="35502F57"/>
    <w:rsid w:val="355F239F"/>
    <w:rsid w:val="35841669"/>
    <w:rsid w:val="35942138"/>
    <w:rsid w:val="35C3613B"/>
    <w:rsid w:val="35C65168"/>
    <w:rsid w:val="35DB2F74"/>
    <w:rsid w:val="36105B3F"/>
    <w:rsid w:val="36282054"/>
    <w:rsid w:val="363300F0"/>
    <w:rsid w:val="3633690D"/>
    <w:rsid w:val="36381C4C"/>
    <w:rsid w:val="36626B8E"/>
    <w:rsid w:val="366E41AD"/>
    <w:rsid w:val="367C6A04"/>
    <w:rsid w:val="369A0FD2"/>
    <w:rsid w:val="36B052BF"/>
    <w:rsid w:val="36B93EB7"/>
    <w:rsid w:val="36E1045F"/>
    <w:rsid w:val="370D3758"/>
    <w:rsid w:val="37172031"/>
    <w:rsid w:val="372201F5"/>
    <w:rsid w:val="37526FE9"/>
    <w:rsid w:val="376045B0"/>
    <w:rsid w:val="3789014E"/>
    <w:rsid w:val="379310C3"/>
    <w:rsid w:val="37BA6518"/>
    <w:rsid w:val="37C21647"/>
    <w:rsid w:val="37FE466F"/>
    <w:rsid w:val="38491B3C"/>
    <w:rsid w:val="387C1BDE"/>
    <w:rsid w:val="3881572F"/>
    <w:rsid w:val="38A55F51"/>
    <w:rsid w:val="38C71B6D"/>
    <w:rsid w:val="38EA6549"/>
    <w:rsid w:val="390B450A"/>
    <w:rsid w:val="39154E19"/>
    <w:rsid w:val="3917287F"/>
    <w:rsid w:val="394634C4"/>
    <w:rsid w:val="394B0481"/>
    <w:rsid w:val="39561F96"/>
    <w:rsid w:val="39622DAE"/>
    <w:rsid w:val="39804D6A"/>
    <w:rsid w:val="3985224C"/>
    <w:rsid w:val="39925970"/>
    <w:rsid w:val="399E5CC2"/>
    <w:rsid w:val="39A52A9C"/>
    <w:rsid w:val="39CB0C32"/>
    <w:rsid w:val="3A4F7703"/>
    <w:rsid w:val="3A5D31CE"/>
    <w:rsid w:val="3A963F52"/>
    <w:rsid w:val="3AB431AA"/>
    <w:rsid w:val="3ABB1BB9"/>
    <w:rsid w:val="3AC7454D"/>
    <w:rsid w:val="3ADA1BAD"/>
    <w:rsid w:val="3AF44B4C"/>
    <w:rsid w:val="3B1D0171"/>
    <w:rsid w:val="3B2163D1"/>
    <w:rsid w:val="3B241DA1"/>
    <w:rsid w:val="3B8F6A4B"/>
    <w:rsid w:val="3B922359"/>
    <w:rsid w:val="3BAC1BCF"/>
    <w:rsid w:val="3BDB3FC9"/>
    <w:rsid w:val="3BE40231"/>
    <w:rsid w:val="3C153334"/>
    <w:rsid w:val="3C454C24"/>
    <w:rsid w:val="3C4F04BB"/>
    <w:rsid w:val="3C5B0AFA"/>
    <w:rsid w:val="3C6D4F97"/>
    <w:rsid w:val="3C76498D"/>
    <w:rsid w:val="3C7D0B51"/>
    <w:rsid w:val="3C98759B"/>
    <w:rsid w:val="3CE80C8F"/>
    <w:rsid w:val="3D272CEA"/>
    <w:rsid w:val="3D33545A"/>
    <w:rsid w:val="3D421A62"/>
    <w:rsid w:val="3D522F6E"/>
    <w:rsid w:val="3D7879BE"/>
    <w:rsid w:val="3D7B6706"/>
    <w:rsid w:val="3D7C0FDD"/>
    <w:rsid w:val="3D86169D"/>
    <w:rsid w:val="3D9D7BE1"/>
    <w:rsid w:val="3DA32133"/>
    <w:rsid w:val="3DCB445C"/>
    <w:rsid w:val="3DCE1A8F"/>
    <w:rsid w:val="3E091F77"/>
    <w:rsid w:val="3E22016C"/>
    <w:rsid w:val="3E3B3B1B"/>
    <w:rsid w:val="3E463FB8"/>
    <w:rsid w:val="3E4A5376"/>
    <w:rsid w:val="3E5A2326"/>
    <w:rsid w:val="3E5E5F05"/>
    <w:rsid w:val="3E6B48FC"/>
    <w:rsid w:val="3E8037EE"/>
    <w:rsid w:val="3E8F44E4"/>
    <w:rsid w:val="3EB834E4"/>
    <w:rsid w:val="3EBE6B05"/>
    <w:rsid w:val="3ED97F08"/>
    <w:rsid w:val="3EDE672E"/>
    <w:rsid w:val="3EE7560E"/>
    <w:rsid w:val="3EF3621C"/>
    <w:rsid w:val="3EFF24F6"/>
    <w:rsid w:val="3F1A40D3"/>
    <w:rsid w:val="3F27216B"/>
    <w:rsid w:val="3F3C376F"/>
    <w:rsid w:val="3F5162D0"/>
    <w:rsid w:val="3F6430E7"/>
    <w:rsid w:val="3FAC2C4B"/>
    <w:rsid w:val="3FC11171"/>
    <w:rsid w:val="3FC52402"/>
    <w:rsid w:val="3FC6798A"/>
    <w:rsid w:val="3FCF2079"/>
    <w:rsid w:val="3FD51A42"/>
    <w:rsid w:val="3FE82B80"/>
    <w:rsid w:val="3FEA4181"/>
    <w:rsid w:val="3FEB0EF5"/>
    <w:rsid w:val="4000041E"/>
    <w:rsid w:val="40132525"/>
    <w:rsid w:val="4029142E"/>
    <w:rsid w:val="403A3AEF"/>
    <w:rsid w:val="404D657A"/>
    <w:rsid w:val="404F6057"/>
    <w:rsid w:val="407409AE"/>
    <w:rsid w:val="408B30C7"/>
    <w:rsid w:val="40AF3630"/>
    <w:rsid w:val="40CD28F9"/>
    <w:rsid w:val="40D1511F"/>
    <w:rsid w:val="40DB3267"/>
    <w:rsid w:val="40E220E1"/>
    <w:rsid w:val="40F044EB"/>
    <w:rsid w:val="41036469"/>
    <w:rsid w:val="412E36B4"/>
    <w:rsid w:val="414A3ABE"/>
    <w:rsid w:val="416D78B4"/>
    <w:rsid w:val="417117E7"/>
    <w:rsid w:val="41A61CDB"/>
    <w:rsid w:val="41A66539"/>
    <w:rsid w:val="41BC0672"/>
    <w:rsid w:val="41C81D6A"/>
    <w:rsid w:val="41F0145A"/>
    <w:rsid w:val="41F71F92"/>
    <w:rsid w:val="422369D2"/>
    <w:rsid w:val="426A7ED0"/>
    <w:rsid w:val="4285159C"/>
    <w:rsid w:val="4285755C"/>
    <w:rsid w:val="429217D3"/>
    <w:rsid w:val="42A24789"/>
    <w:rsid w:val="42C30F55"/>
    <w:rsid w:val="42CE286D"/>
    <w:rsid w:val="42E263B2"/>
    <w:rsid w:val="42E672C9"/>
    <w:rsid w:val="42F35F03"/>
    <w:rsid w:val="430538E7"/>
    <w:rsid w:val="43287DD0"/>
    <w:rsid w:val="432F6282"/>
    <w:rsid w:val="435247BD"/>
    <w:rsid w:val="436B215F"/>
    <w:rsid w:val="437F1B4B"/>
    <w:rsid w:val="43810DB0"/>
    <w:rsid w:val="43CF1632"/>
    <w:rsid w:val="43D14A7A"/>
    <w:rsid w:val="43D456A0"/>
    <w:rsid w:val="43D8251B"/>
    <w:rsid w:val="43DA29B1"/>
    <w:rsid w:val="43EE213F"/>
    <w:rsid w:val="43F323CE"/>
    <w:rsid w:val="440B249A"/>
    <w:rsid w:val="44281D9A"/>
    <w:rsid w:val="44502957"/>
    <w:rsid w:val="447875A3"/>
    <w:rsid w:val="448F2CD7"/>
    <w:rsid w:val="449A71A0"/>
    <w:rsid w:val="44A668B8"/>
    <w:rsid w:val="44B3389B"/>
    <w:rsid w:val="44B9640E"/>
    <w:rsid w:val="44E51ABD"/>
    <w:rsid w:val="44FB10C8"/>
    <w:rsid w:val="44FC0906"/>
    <w:rsid w:val="45042613"/>
    <w:rsid w:val="45164373"/>
    <w:rsid w:val="45413196"/>
    <w:rsid w:val="45413869"/>
    <w:rsid w:val="457B63BA"/>
    <w:rsid w:val="459950F8"/>
    <w:rsid w:val="459B0CE9"/>
    <w:rsid w:val="45C35E78"/>
    <w:rsid w:val="45EE0CEB"/>
    <w:rsid w:val="45F64B7F"/>
    <w:rsid w:val="45FF6070"/>
    <w:rsid w:val="462130F8"/>
    <w:rsid w:val="462946BC"/>
    <w:rsid w:val="462C487D"/>
    <w:rsid w:val="463740A9"/>
    <w:rsid w:val="46473997"/>
    <w:rsid w:val="46503D2B"/>
    <w:rsid w:val="46644AC6"/>
    <w:rsid w:val="467950D1"/>
    <w:rsid w:val="4689676F"/>
    <w:rsid w:val="46A15423"/>
    <w:rsid w:val="46AA555C"/>
    <w:rsid w:val="46F952EF"/>
    <w:rsid w:val="471C7BBC"/>
    <w:rsid w:val="471D7B5D"/>
    <w:rsid w:val="471F637D"/>
    <w:rsid w:val="472455AE"/>
    <w:rsid w:val="4730080C"/>
    <w:rsid w:val="473C2076"/>
    <w:rsid w:val="474833BA"/>
    <w:rsid w:val="475734F9"/>
    <w:rsid w:val="47712A1C"/>
    <w:rsid w:val="47824940"/>
    <w:rsid w:val="47A602C9"/>
    <w:rsid w:val="47C12A39"/>
    <w:rsid w:val="47D809A2"/>
    <w:rsid w:val="47E83F78"/>
    <w:rsid w:val="47F20E02"/>
    <w:rsid w:val="480E15E3"/>
    <w:rsid w:val="48244FBC"/>
    <w:rsid w:val="48344057"/>
    <w:rsid w:val="483C20D3"/>
    <w:rsid w:val="484A42F6"/>
    <w:rsid w:val="484B0320"/>
    <w:rsid w:val="484E5CBC"/>
    <w:rsid w:val="486368FF"/>
    <w:rsid w:val="48682174"/>
    <w:rsid w:val="48743010"/>
    <w:rsid w:val="489D706D"/>
    <w:rsid w:val="48A2602D"/>
    <w:rsid w:val="48AB73B6"/>
    <w:rsid w:val="48C626B1"/>
    <w:rsid w:val="48D306A1"/>
    <w:rsid w:val="494653E2"/>
    <w:rsid w:val="4968395A"/>
    <w:rsid w:val="497A0F95"/>
    <w:rsid w:val="498003A3"/>
    <w:rsid w:val="49865916"/>
    <w:rsid w:val="498B1443"/>
    <w:rsid w:val="4997589C"/>
    <w:rsid w:val="49AF226E"/>
    <w:rsid w:val="4A1445C4"/>
    <w:rsid w:val="4A3B7E6E"/>
    <w:rsid w:val="4A566E6F"/>
    <w:rsid w:val="4A63446D"/>
    <w:rsid w:val="4A742776"/>
    <w:rsid w:val="4A8018B7"/>
    <w:rsid w:val="4A8665BE"/>
    <w:rsid w:val="4A8E78F6"/>
    <w:rsid w:val="4A932334"/>
    <w:rsid w:val="4AA272E0"/>
    <w:rsid w:val="4AA344D5"/>
    <w:rsid w:val="4AFE38DE"/>
    <w:rsid w:val="4B293BB2"/>
    <w:rsid w:val="4B333C02"/>
    <w:rsid w:val="4B482E15"/>
    <w:rsid w:val="4B495E06"/>
    <w:rsid w:val="4B886A9D"/>
    <w:rsid w:val="4BA0548E"/>
    <w:rsid w:val="4BCA3058"/>
    <w:rsid w:val="4BD300C3"/>
    <w:rsid w:val="4BEA15F4"/>
    <w:rsid w:val="4C08150D"/>
    <w:rsid w:val="4C1B025C"/>
    <w:rsid w:val="4C252FA3"/>
    <w:rsid w:val="4C2E1662"/>
    <w:rsid w:val="4C5E3264"/>
    <w:rsid w:val="4C637FE0"/>
    <w:rsid w:val="4C762BA5"/>
    <w:rsid w:val="4CA27465"/>
    <w:rsid w:val="4CAF4C0C"/>
    <w:rsid w:val="4CC415B6"/>
    <w:rsid w:val="4CCE366C"/>
    <w:rsid w:val="4CEE666D"/>
    <w:rsid w:val="4CF626C6"/>
    <w:rsid w:val="4D046DD3"/>
    <w:rsid w:val="4D3B79B5"/>
    <w:rsid w:val="4D4306C8"/>
    <w:rsid w:val="4D464ADC"/>
    <w:rsid w:val="4D477B55"/>
    <w:rsid w:val="4D485C7F"/>
    <w:rsid w:val="4DA712FA"/>
    <w:rsid w:val="4DA77604"/>
    <w:rsid w:val="4DB64C5C"/>
    <w:rsid w:val="4DB86720"/>
    <w:rsid w:val="4DF35CFB"/>
    <w:rsid w:val="4E167C21"/>
    <w:rsid w:val="4E660D6D"/>
    <w:rsid w:val="4E7F3F8C"/>
    <w:rsid w:val="4EA61152"/>
    <w:rsid w:val="4EB451CD"/>
    <w:rsid w:val="4F2A5C04"/>
    <w:rsid w:val="4F425A9E"/>
    <w:rsid w:val="4F563276"/>
    <w:rsid w:val="4F6F01EF"/>
    <w:rsid w:val="4F963A1F"/>
    <w:rsid w:val="4FC84D09"/>
    <w:rsid w:val="4FC85AA4"/>
    <w:rsid w:val="4FD444A3"/>
    <w:rsid w:val="4FD8345A"/>
    <w:rsid w:val="4FE94FD4"/>
    <w:rsid w:val="4FEE15B4"/>
    <w:rsid w:val="50037723"/>
    <w:rsid w:val="5006663D"/>
    <w:rsid w:val="50106568"/>
    <w:rsid w:val="501A7051"/>
    <w:rsid w:val="502839A0"/>
    <w:rsid w:val="50570BD8"/>
    <w:rsid w:val="505E61FB"/>
    <w:rsid w:val="50651E52"/>
    <w:rsid w:val="506C4EAE"/>
    <w:rsid w:val="50744682"/>
    <w:rsid w:val="50753CC1"/>
    <w:rsid w:val="50934066"/>
    <w:rsid w:val="509D5F8C"/>
    <w:rsid w:val="50AA2604"/>
    <w:rsid w:val="50AC2A18"/>
    <w:rsid w:val="50C77B6A"/>
    <w:rsid w:val="50D10993"/>
    <w:rsid w:val="50E1514F"/>
    <w:rsid w:val="510A4025"/>
    <w:rsid w:val="513A6667"/>
    <w:rsid w:val="5153698B"/>
    <w:rsid w:val="516010A7"/>
    <w:rsid w:val="516109FB"/>
    <w:rsid w:val="516E5DCE"/>
    <w:rsid w:val="51A55368"/>
    <w:rsid w:val="51AB787F"/>
    <w:rsid w:val="51AE28CC"/>
    <w:rsid w:val="51BE5771"/>
    <w:rsid w:val="51F9528D"/>
    <w:rsid w:val="52012FFE"/>
    <w:rsid w:val="52267B59"/>
    <w:rsid w:val="5229652A"/>
    <w:rsid w:val="526409A7"/>
    <w:rsid w:val="526B7B49"/>
    <w:rsid w:val="52725A08"/>
    <w:rsid w:val="527A302F"/>
    <w:rsid w:val="527E1B3C"/>
    <w:rsid w:val="528672BE"/>
    <w:rsid w:val="528D18A0"/>
    <w:rsid w:val="52C55B5C"/>
    <w:rsid w:val="52D23681"/>
    <w:rsid w:val="52F93B9B"/>
    <w:rsid w:val="530243FB"/>
    <w:rsid w:val="530D2C13"/>
    <w:rsid w:val="535B5D4C"/>
    <w:rsid w:val="53656C55"/>
    <w:rsid w:val="537C7E04"/>
    <w:rsid w:val="53F342B2"/>
    <w:rsid w:val="54032253"/>
    <w:rsid w:val="54102C67"/>
    <w:rsid w:val="54231EC5"/>
    <w:rsid w:val="542B395A"/>
    <w:rsid w:val="542B552C"/>
    <w:rsid w:val="544E7F31"/>
    <w:rsid w:val="549444D8"/>
    <w:rsid w:val="54E12461"/>
    <w:rsid w:val="54E63DB5"/>
    <w:rsid w:val="54FA1B14"/>
    <w:rsid w:val="55284E03"/>
    <w:rsid w:val="554927D3"/>
    <w:rsid w:val="55657192"/>
    <w:rsid w:val="558A5361"/>
    <w:rsid w:val="558D5599"/>
    <w:rsid w:val="55A85294"/>
    <w:rsid w:val="55D51417"/>
    <w:rsid w:val="55DE1F1A"/>
    <w:rsid w:val="5610122D"/>
    <w:rsid w:val="56160288"/>
    <w:rsid w:val="5628664A"/>
    <w:rsid w:val="562B67B1"/>
    <w:rsid w:val="563C5040"/>
    <w:rsid w:val="5654125A"/>
    <w:rsid w:val="566C5A93"/>
    <w:rsid w:val="566E2566"/>
    <w:rsid w:val="56822CF4"/>
    <w:rsid w:val="568E5E60"/>
    <w:rsid w:val="56AF3844"/>
    <w:rsid w:val="56B874D0"/>
    <w:rsid w:val="56C45121"/>
    <w:rsid w:val="56D92559"/>
    <w:rsid w:val="56E0464E"/>
    <w:rsid w:val="56EA2AD6"/>
    <w:rsid w:val="56EF57DA"/>
    <w:rsid w:val="56FE7492"/>
    <w:rsid w:val="5715210F"/>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A3D86"/>
    <w:rsid w:val="57FF0A89"/>
    <w:rsid w:val="58276F3B"/>
    <w:rsid w:val="58356142"/>
    <w:rsid w:val="583A75B5"/>
    <w:rsid w:val="583B2948"/>
    <w:rsid w:val="583D735C"/>
    <w:rsid w:val="584138AE"/>
    <w:rsid w:val="584938F8"/>
    <w:rsid w:val="584B0036"/>
    <w:rsid w:val="5876698B"/>
    <w:rsid w:val="587D6765"/>
    <w:rsid w:val="58874498"/>
    <w:rsid w:val="58960D98"/>
    <w:rsid w:val="589D6A03"/>
    <w:rsid w:val="58A41922"/>
    <w:rsid w:val="58B60DFB"/>
    <w:rsid w:val="590B1FC3"/>
    <w:rsid w:val="59526646"/>
    <w:rsid w:val="595F0DAA"/>
    <w:rsid w:val="59683016"/>
    <w:rsid w:val="59D112FE"/>
    <w:rsid w:val="59F6399F"/>
    <w:rsid w:val="5A0E4CCA"/>
    <w:rsid w:val="5A2D6EF5"/>
    <w:rsid w:val="5A6B568E"/>
    <w:rsid w:val="5A934734"/>
    <w:rsid w:val="5A952392"/>
    <w:rsid w:val="5AB91B43"/>
    <w:rsid w:val="5AC271F7"/>
    <w:rsid w:val="5AC638AA"/>
    <w:rsid w:val="5ACB747D"/>
    <w:rsid w:val="5AEB217F"/>
    <w:rsid w:val="5B0000F2"/>
    <w:rsid w:val="5B0D0CCA"/>
    <w:rsid w:val="5B2034EA"/>
    <w:rsid w:val="5B9779A7"/>
    <w:rsid w:val="5B9F2544"/>
    <w:rsid w:val="5BB34F83"/>
    <w:rsid w:val="5BB90117"/>
    <w:rsid w:val="5BD41255"/>
    <w:rsid w:val="5C1A5FEB"/>
    <w:rsid w:val="5C4715C5"/>
    <w:rsid w:val="5C57044F"/>
    <w:rsid w:val="5C73411C"/>
    <w:rsid w:val="5C9C1F8A"/>
    <w:rsid w:val="5CC31912"/>
    <w:rsid w:val="5CD87FCE"/>
    <w:rsid w:val="5CE21CAF"/>
    <w:rsid w:val="5CE450FE"/>
    <w:rsid w:val="5CE8554B"/>
    <w:rsid w:val="5CEE3424"/>
    <w:rsid w:val="5CFE752C"/>
    <w:rsid w:val="5D017424"/>
    <w:rsid w:val="5D34581D"/>
    <w:rsid w:val="5D3503EA"/>
    <w:rsid w:val="5D442CD9"/>
    <w:rsid w:val="5D507202"/>
    <w:rsid w:val="5D6F347F"/>
    <w:rsid w:val="5D715265"/>
    <w:rsid w:val="5D85579C"/>
    <w:rsid w:val="5D97555B"/>
    <w:rsid w:val="5D9B549E"/>
    <w:rsid w:val="5DA07512"/>
    <w:rsid w:val="5DDE158C"/>
    <w:rsid w:val="5DE2034D"/>
    <w:rsid w:val="5DE2243A"/>
    <w:rsid w:val="5DF16612"/>
    <w:rsid w:val="5E01163E"/>
    <w:rsid w:val="5E0C16C2"/>
    <w:rsid w:val="5E2362AB"/>
    <w:rsid w:val="5E460C00"/>
    <w:rsid w:val="5E4B280C"/>
    <w:rsid w:val="5E6462ED"/>
    <w:rsid w:val="5E9E419B"/>
    <w:rsid w:val="5EB053AB"/>
    <w:rsid w:val="5EB77BF4"/>
    <w:rsid w:val="5EBE2D47"/>
    <w:rsid w:val="5EF70725"/>
    <w:rsid w:val="5F116334"/>
    <w:rsid w:val="5F167628"/>
    <w:rsid w:val="5F187367"/>
    <w:rsid w:val="5F460512"/>
    <w:rsid w:val="5F4D40ED"/>
    <w:rsid w:val="5F5B6097"/>
    <w:rsid w:val="5F672E5B"/>
    <w:rsid w:val="5F704C52"/>
    <w:rsid w:val="5F8435C6"/>
    <w:rsid w:val="5FBB3692"/>
    <w:rsid w:val="5FBD1A76"/>
    <w:rsid w:val="5FC001C5"/>
    <w:rsid w:val="5FCC4A9B"/>
    <w:rsid w:val="5FCF0476"/>
    <w:rsid w:val="5FDD542D"/>
    <w:rsid w:val="5FE343FF"/>
    <w:rsid w:val="5FFE3AF2"/>
    <w:rsid w:val="603E133A"/>
    <w:rsid w:val="60440EA7"/>
    <w:rsid w:val="609D2B3A"/>
    <w:rsid w:val="60A63145"/>
    <w:rsid w:val="60B13425"/>
    <w:rsid w:val="60BA7212"/>
    <w:rsid w:val="60C80A52"/>
    <w:rsid w:val="60E370E1"/>
    <w:rsid w:val="6115743B"/>
    <w:rsid w:val="6181590D"/>
    <w:rsid w:val="61882537"/>
    <w:rsid w:val="619854B0"/>
    <w:rsid w:val="61C10180"/>
    <w:rsid w:val="61DF65A1"/>
    <w:rsid w:val="620879B6"/>
    <w:rsid w:val="62165B70"/>
    <w:rsid w:val="624A6D69"/>
    <w:rsid w:val="62511E62"/>
    <w:rsid w:val="625D6EB4"/>
    <w:rsid w:val="62A60AF3"/>
    <w:rsid w:val="62F404E6"/>
    <w:rsid w:val="6300329D"/>
    <w:rsid w:val="631A0AF4"/>
    <w:rsid w:val="63357CF9"/>
    <w:rsid w:val="633C3E81"/>
    <w:rsid w:val="63417443"/>
    <w:rsid w:val="634718F8"/>
    <w:rsid w:val="6351493F"/>
    <w:rsid w:val="63C6655A"/>
    <w:rsid w:val="63CA5038"/>
    <w:rsid w:val="63DF412E"/>
    <w:rsid w:val="63F611BE"/>
    <w:rsid w:val="63F9320D"/>
    <w:rsid w:val="6411441D"/>
    <w:rsid w:val="643E4803"/>
    <w:rsid w:val="64404CE4"/>
    <w:rsid w:val="644305A9"/>
    <w:rsid w:val="646A5C3F"/>
    <w:rsid w:val="64925E0B"/>
    <w:rsid w:val="64A44582"/>
    <w:rsid w:val="64AE177E"/>
    <w:rsid w:val="64D02D32"/>
    <w:rsid w:val="64D21B54"/>
    <w:rsid w:val="64D60666"/>
    <w:rsid w:val="64E77431"/>
    <w:rsid w:val="64F60F67"/>
    <w:rsid w:val="65036FA9"/>
    <w:rsid w:val="6512148E"/>
    <w:rsid w:val="6532064B"/>
    <w:rsid w:val="65400C77"/>
    <w:rsid w:val="655D7F43"/>
    <w:rsid w:val="657D6AE7"/>
    <w:rsid w:val="65935C2B"/>
    <w:rsid w:val="65A643DB"/>
    <w:rsid w:val="65AB0FF3"/>
    <w:rsid w:val="65AD4FE1"/>
    <w:rsid w:val="65B64924"/>
    <w:rsid w:val="65CD72D9"/>
    <w:rsid w:val="66154489"/>
    <w:rsid w:val="66234A68"/>
    <w:rsid w:val="662B4B5B"/>
    <w:rsid w:val="66524C20"/>
    <w:rsid w:val="666B40AB"/>
    <w:rsid w:val="66AF05D0"/>
    <w:rsid w:val="66CC4B63"/>
    <w:rsid w:val="66DD782D"/>
    <w:rsid w:val="66E71594"/>
    <w:rsid w:val="671C19A2"/>
    <w:rsid w:val="67361909"/>
    <w:rsid w:val="673D11D9"/>
    <w:rsid w:val="6761151E"/>
    <w:rsid w:val="67777A7E"/>
    <w:rsid w:val="6779514F"/>
    <w:rsid w:val="67915CC9"/>
    <w:rsid w:val="67937A78"/>
    <w:rsid w:val="67AC67D9"/>
    <w:rsid w:val="67B505D6"/>
    <w:rsid w:val="67C646E4"/>
    <w:rsid w:val="67CE19EE"/>
    <w:rsid w:val="67CF78E2"/>
    <w:rsid w:val="67D65FBA"/>
    <w:rsid w:val="67FF38D2"/>
    <w:rsid w:val="68061691"/>
    <w:rsid w:val="68203D10"/>
    <w:rsid w:val="683728A9"/>
    <w:rsid w:val="68407CCF"/>
    <w:rsid w:val="68454692"/>
    <w:rsid w:val="68492CF6"/>
    <w:rsid w:val="688F6694"/>
    <w:rsid w:val="68C046B7"/>
    <w:rsid w:val="68E424F2"/>
    <w:rsid w:val="68EB0259"/>
    <w:rsid w:val="691E73F0"/>
    <w:rsid w:val="69283B12"/>
    <w:rsid w:val="694170DA"/>
    <w:rsid w:val="69431305"/>
    <w:rsid w:val="69451A1A"/>
    <w:rsid w:val="69B66B69"/>
    <w:rsid w:val="69D5604B"/>
    <w:rsid w:val="69FE44F1"/>
    <w:rsid w:val="69FF65C7"/>
    <w:rsid w:val="6A400F60"/>
    <w:rsid w:val="6A574423"/>
    <w:rsid w:val="6A576D32"/>
    <w:rsid w:val="6AB37558"/>
    <w:rsid w:val="6AB8557D"/>
    <w:rsid w:val="6ABD2874"/>
    <w:rsid w:val="6AD631B3"/>
    <w:rsid w:val="6ADF3C04"/>
    <w:rsid w:val="6AF13EB3"/>
    <w:rsid w:val="6AF9354E"/>
    <w:rsid w:val="6B161C09"/>
    <w:rsid w:val="6B1718A3"/>
    <w:rsid w:val="6B2527AA"/>
    <w:rsid w:val="6B3E0AFB"/>
    <w:rsid w:val="6B5E68AE"/>
    <w:rsid w:val="6B88227B"/>
    <w:rsid w:val="6B8F3DAE"/>
    <w:rsid w:val="6B9136FA"/>
    <w:rsid w:val="6B9F3DD3"/>
    <w:rsid w:val="6BB9397F"/>
    <w:rsid w:val="6BB97F4C"/>
    <w:rsid w:val="6BCD0996"/>
    <w:rsid w:val="6C095FFD"/>
    <w:rsid w:val="6C3C26F7"/>
    <w:rsid w:val="6C4F292A"/>
    <w:rsid w:val="6C784968"/>
    <w:rsid w:val="6C9F70F4"/>
    <w:rsid w:val="6CC36FD4"/>
    <w:rsid w:val="6CD67939"/>
    <w:rsid w:val="6CE16A99"/>
    <w:rsid w:val="6D062D75"/>
    <w:rsid w:val="6D077A1E"/>
    <w:rsid w:val="6D132BAE"/>
    <w:rsid w:val="6D1B154C"/>
    <w:rsid w:val="6D4C39E0"/>
    <w:rsid w:val="6D6B7645"/>
    <w:rsid w:val="6DBA30A2"/>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232CE3"/>
    <w:rsid w:val="703C239F"/>
    <w:rsid w:val="704A0E9A"/>
    <w:rsid w:val="704F2F30"/>
    <w:rsid w:val="706D1456"/>
    <w:rsid w:val="70777DE6"/>
    <w:rsid w:val="707E6971"/>
    <w:rsid w:val="708739E6"/>
    <w:rsid w:val="708C2304"/>
    <w:rsid w:val="70A53478"/>
    <w:rsid w:val="70B22275"/>
    <w:rsid w:val="70B23373"/>
    <w:rsid w:val="70DB1BC1"/>
    <w:rsid w:val="70E41B98"/>
    <w:rsid w:val="71397F1F"/>
    <w:rsid w:val="713F2AFD"/>
    <w:rsid w:val="71694E27"/>
    <w:rsid w:val="71952910"/>
    <w:rsid w:val="71981217"/>
    <w:rsid w:val="71AB1B77"/>
    <w:rsid w:val="71B84ACA"/>
    <w:rsid w:val="71BC32BD"/>
    <w:rsid w:val="71D17C92"/>
    <w:rsid w:val="71DC6DEC"/>
    <w:rsid w:val="71FE0FF4"/>
    <w:rsid w:val="720D62FA"/>
    <w:rsid w:val="72104444"/>
    <w:rsid w:val="722B7F7E"/>
    <w:rsid w:val="72326B0E"/>
    <w:rsid w:val="7242693D"/>
    <w:rsid w:val="72472E01"/>
    <w:rsid w:val="7268775B"/>
    <w:rsid w:val="72B35F16"/>
    <w:rsid w:val="72D93FE7"/>
    <w:rsid w:val="73093CE5"/>
    <w:rsid w:val="730E7F44"/>
    <w:rsid w:val="732832DD"/>
    <w:rsid w:val="73410FF4"/>
    <w:rsid w:val="734C1047"/>
    <w:rsid w:val="735A1499"/>
    <w:rsid w:val="73666ABD"/>
    <w:rsid w:val="738810BD"/>
    <w:rsid w:val="738A5D60"/>
    <w:rsid w:val="738B3F56"/>
    <w:rsid w:val="73916994"/>
    <w:rsid w:val="73AF5200"/>
    <w:rsid w:val="73B1192F"/>
    <w:rsid w:val="73CE2E29"/>
    <w:rsid w:val="73D971D9"/>
    <w:rsid w:val="73DA0609"/>
    <w:rsid w:val="73EC23AD"/>
    <w:rsid w:val="74063A0F"/>
    <w:rsid w:val="74085DBE"/>
    <w:rsid w:val="740C668D"/>
    <w:rsid w:val="7419604D"/>
    <w:rsid w:val="741B029F"/>
    <w:rsid w:val="741D3F96"/>
    <w:rsid w:val="7422753E"/>
    <w:rsid w:val="74275EEF"/>
    <w:rsid w:val="74311C74"/>
    <w:rsid w:val="743A3238"/>
    <w:rsid w:val="74417D9A"/>
    <w:rsid w:val="7442265A"/>
    <w:rsid w:val="744D4194"/>
    <w:rsid w:val="747A6B56"/>
    <w:rsid w:val="74A130CB"/>
    <w:rsid w:val="74A847D8"/>
    <w:rsid w:val="74BF79E8"/>
    <w:rsid w:val="74CD7D3E"/>
    <w:rsid w:val="74E46DE7"/>
    <w:rsid w:val="74EC5BC2"/>
    <w:rsid w:val="74FF1F41"/>
    <w:rsid w:val="75186034"/>
    <w:rsid w:val="7546513A"/>
    <w:rsid w:val="75642786"/>
    <w:rsid w:val="756E76CB"/>
    <w:rsid w:val="757D1402"/>
    <w:rsid w:val="75C625B2"/>
    <w:rsid w:val="75E73449"/>
    <w:rsid w:val="75F760D0"/>
    <w:rsid w:val="75FF1C9D"/>
    <w:rsid w:val="761651E1"/>
    <w:rsid w:val="76193CFE"/>
    <w:rsid w:val="762761CC"/>
    <w:rsid w:val="764B5B94"/>
    <w:rsid w:val="765D278B"/>
    <w:rsid w:val="765D642D"/>
    <w:rsid w:val="76796A38"/>
    <w:rsid w:val="76814719"/>
    <w:rsid w:val="76911430"/>
    <w:rsid w:val="76C43B6A"/>
    <w:rsid w:val="76C84BB4"/>
    <w:rsid w:val="76DC70E2"/>
    <w:rsid w:val="770F655C"/>
    <w:rsid w:val="77387F4E"/>
    <w:rsid w:val="77420C0F"/>
    <w:rsid w:val="774775C9"/>
    <w:rsid w:val="77944A0C"/>
    <w:rsid w:val="77D07F79"/>
    <w:rsid w:val="77DC2A8A"/>
    <w:rsid w:val="77DC410A"/>
    <w:rsid w:val="77EF1EFC"/>
    <w:rsid w:val="78082EA5"/>
    <w:rsid w:val="78191973"/>
    <w:rsid w:val="783A2570"/>
    <w:rsid w:val="785C0E4F"/>
    <w:rsid w:val="785D0C51"/>
    <w:rsid w:val="787A2FA2"/>
    <w:rsid w:val="789F729D"/>
    <w:rsid w:val="78A332F6"/>
    <w:rsid w:val="78AC2C1A"/>
    <w:rsid w:val="78BA77AD"/>
    <w:rsid w:val="78D76289"/>
    <w:rsid w:val="78FA6091"/>
    <w:rsid w:val="78FE02F9"/>
    <w:rsid w:val="7918120A"/>
    <w:rsid w:val="791D484E"/>
    <w:rsid w:val="792B7ADB"/>
    <w:rsid w:val="795D07AE"/>
    <w:rsid w:val="79673907"/>
    <w:rsid w:val="7972455A"/>
    <w:rsid w:val="79843AB5"/>
    <w:rsid w:val="79F556E7"/>
    <w:rsid w:val="79FA5EC6"/>
    <w:rsid w:val="79FD3647"/>
    <w:rsid w:val="7A1B6439"/>
    <w:rsid w:val="7A3D4FF8"/>
    <w:rsid w:val="7A62009D"/>
    <w:rsid w:val="7A6816FC"/>
    <w:rsid w:val="7A707A0C"/>
    <w:rsid w:val="7A7F1012"/>
    <w:rsid w:val="7A991F5F"/>
    <w:rsid w:val="7AA95331"/>
    <w:rsid w:val="7AC34054"/>
    <w:rsid w:val="7AD41BFE"/>
    <w:rsid w:val="7AE101C7"/>
    <w:rsid w:val="7AE57976"/>
    <w:rsid w:val="7B244E36"/>
    <w:rsid w:val="7B274214"/>
    <w:rsid w:val="7B333296"/>
    <w:rsid w:val="7B5529ED"/>
    <w:rsid w:val="7B716015"/>
    <w:rsid w:val="7B83131D"/>
    <w:rsid w:val="7B856539"/>
    <w:rsid w:val="7BA557B9"/>
    <w:rsid w:val="7BA7367B"/>
    <w:rsid w:val="7BB10658"/>
    <w:rsid w:val="7BDD4B02"/>
    <w:rsid w:val="7C1E1019"/>
    <w:rsid w:val="7C5B1B71"/>
    <w:rsid w:val="7C6F7FEF"/>
    <w:rsid w:val="7C916D05"/>
    <w:rsid w:val="7CC952AA"/>
    <w:rsid w:val="7CD62495"/>
    <w:rsid w:val="7CE64F77"/>
    <w:rsid w:val="7CF02947"/>
    <w:rsid w:val="7D032647"/>
    <w:rsid w:val="7D312C84"/>
    <w:rsid w:val="7D553317"/>
    <w:rsid w:val="7D5B4CA8"/>
    <w:rsid w:val="7D5D566D"/>
    <w:rsid w:val="7D8A7BB3"/>
    <w:rsid w:val="7DBD1C4E"/>
    <w:rsid w:val="7DE33872"/>
    <w:rsid w:val="7E024E93"/>
    <w:rsid w:val="7E025E1B"/>
    <w:rsid w:val="7E351709"/>
    <w:rsid w:val="7E4A2CB2"/>
    <w:rsid w:val="7E653615"/>
    <w:rsid w:val="7E7D50EC"/>
    <w:rsid w:val="7E8B43F6"/>
    <w:rsid w:val="7EB77ECD"/>
    <w:rsid w:val="7EC11809"/>
    <w:rsid w:val="7EDC3C5E"/>
    <w:rsid w:val="7F0B6E9D"/>
    <w:rsid w:val="7F271E86"/>
    <w:rsid w:val="7F745F2F"/>
    <w:rsid w:val="7F7B15F0"/>
    <w:rsid w:val="7F8C2962"/>
    <w:rsid w:val="7FA919BF"/>
    <w:rsid w:val="7FB606F2"/>
    <w:rsid w:val="7FCA13CF"/>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6">
    <w:name w:val="heading 1"/>
    <w:basedOn w:val="1"/>
    <w:next w:val="1"/>
    <w:link w:val="62"/>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69"/>
    <w:qFormat/>
    <w:uiPriority w:val="99"/>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51"/>
    <w:qFormat/>
    <w:uiPriority w:val="99"/>
    <w:pPr>
      <w:keepNext/>
      <w:keepLines/>
      <w:spacing w:before="260" w:after="260" w:line="416" w:lineRule="auto"/>
      <w:outlineLvl w:val="2"/>
    </w:pPr>
    <w:rPr>
      <w:b/>
      <w:bCs/>
      <w:sz w:val="32"/>
      <w:szCs w:val="32"/>
    </w:rPr>
  </w:style>
  <w:style w:type="paragraph" w:styleId="9">
    <w:name w:val="heading 4"/>
    <w:basedOn w:val="1"/>
    <w:next w:val="1"/>
    <w:link w:val="48"/>
    <w:qFormat/>
    <w:uiPriority w:val="0"/>
    <w:pPr>
      <w:keepNext/>
      <w:keepLines/>
      <w:spacing w:before="280" w:after="290" w:line="376" w:lineRule="auto"/>
      <w:outlineLvl w:val="3"/>
    </w:pPr>
    <w:rPr>
      <w:rFonts w:ascii="Cambria" w:hAnsi="Cambria"/>
      <w:b/>
      <w:bCs/>
      <w:sz w:val="28"/>
    </w:rPr>
  </w:style>
  <w:style w:type="paragraph" w:styleId="10">
    <w:name w:val="heading 6"/>
    <w:basedOn w:val="1"/>
    <w:next w:val="1"/>
    <w:qFormat/>
    <w:uiPriority w:val="0"/>
    <w:pPr>
      <w:keepNext/>
      <w:jc w:val="center"/>
      <w:outlineLvl w:val="5"/>
    </w:pPr>
    <w:rPr>
      <w:color w:val="000000"/>
      <w:sz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qFormat/>
    <w:uiPriority w:val="99"/>
    <w:pPr>
      <w:spacing w:after="120"/>
    </w:pPr>
    <w:rPr>
      <w:kern w:val="0"/>
      <w:szCs w:val="24"/>
    </w:rPr>
  </w:style>
  <w:style w:type="paragraph" w:customStyle="1" w:styleId="3">
    <w:name w:val="Default"/>
    <w:next w:val="4"/>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styleId="4">
    <w:name w:val="footer"/>
    <w:basedOn w:val="1"/>
    <w:next w:val="5"/>
    <w:link w:val="52"/>
    <w:qFormat/>
    <w:uiPriority w:val="99"/>
    <w:pPr>
      <w:tabs>
        <w:tab w:val="center" w:pos="4153"/>
        <w:tab w:val="right" w:pos="8306"/>
      </w:tabs>
      <w:snapToGrid w:val="0"/>
      <w:jc w:val="left"/>
    </w:pPr>
    <w:rPr>
      <w:sz w:val="18"/>
      <w:szCs w:val="18"/>
    </w:rPr>
  </w:style>
  <w:style w:type="paragraph" w:styleId="5">
    <w:name w:val="toc 2"/>
    <w:basedOn w:val="1"/>
    <w:next w:val="1"/>
    <w:qFormat/>
    <w:uiPriority w:val="39"/>
    <w:pPr>
      <w:ind w:left="420" w:leftChars="200"/>
    </w:pPr>
  </w:style>
  <w:style w:type="paragraph" w:styleId="11">
    <w:name w:val="List Number"/>
    <w:basedOn w:val="1"/>
    <w:semiHidden/>
    <w:qFormat/>
    <w:uiPriority w:val="99"/>
    <w:pPr>
      <w:widowControl/>
      <w:tabs>
        <w:tab w:val="left" w:pos="900"/>
      </w:tabs>
      <w:spacing w:afterLines="50"/>
      <w:ind w:left="900" w:hanging="720"/>
      <w:jc w:val="left"/>
    </w:pPr>
    <w:rPr>
      <w:kern w:val="0"/>
      <w:szCs w:val="24"/>
    </w:rPr>
  </w:style>
  <w:style w:type="paragraph" w:styleId="12">
    <w:name w:val="Normal Indent"/>
    <w:basedOn w:val="1"/>
    <w:next w:val="1"/>
    <w:link w:val="67"/>
    <w:qFormat/>
    <w:uiPriority w:val="0"/>
    <w:pPr>
      <w:ind w:firstLine="420"/>
    </w:pPr>
    <w:rPr>
      <w:sz w:val="21"/>
      <w:szCs w:val="21"/>
    </w:r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Document Map"/>
    <w:basedOn w:val="1"/>
    <w:link w:val="74"/>
    <w:semiHidden/>
    <w:qFormat/>
    <w:uiPriority w:val="99"/>
    <w:rPr>
      <w:rFonts w:ascii="宋体"/>
      <w:sz w:val="18"/>
      <w:szCs w:val="18"/>
    </w:rPr>
  </w:style>
  <w:style w:type="paragraph" w:styleId="15">
    <w:name w:val="annotation text"/>
    <w:basedOn w:val="1"/>
    <w:link w:val="50"/>
    <w:semiHidden/>
    <w:qFormat/>
    <w:locked/>
    <w:uiPriority w:val="0"/>
    <w:pPr>
      <w:jc w:val="left"/>
    </w:pPr>
    <w:rPr>
      <w:sz w:val="21"/>
      <w:szCs w:val="22"/>
    </w:rPr>
  </w:style>
  <w:style w:type="paragraph" w:styleId="16">
    <w:name w:val="Body Text 3"/>
    <w:basedOn w:val="1"/>
    <w:link w:val="63"/>
    <w:semiHidden/>
    <w:qFormat/>
    <w:uiPriority w:val="99"/>
    <w:pPr>
      <w:snapToGrid w:val="0"/>
      <w:spacing w:before="50" w:after="50"/>
    </w:pPr>
    <w:rPr>
      <w:kern w:val="0"/>
      <w:sz w:val="16"/>
      <w:szCs w:val="16"/>
    </w:rPr>
  </w:style>
  <w:style w:type="paragraph" w:styleId="17">
    <w:name w:val="Body Text Indent"/>
    <w:basedOn w:val="1"/>
    <w:next w:val="1"/>
    <w:link w:val="72"/>
    <w:qFormat/>
    <w:uiPriority w:val="99"/>
    <w:pPr>
      <w:spacing w:line="200" w:lineRule="atLeast"/>
      <w:ind w:firstLine="301"/>
    </w:pPr>
    <w:rPr>
      <w:kern w:val="0"/>
      <w:szCs w:val="24"/>
    </w:rPr>
  </w:style>
  <w:style w:type="paragraph" w:styleId="18">
    <w:name w:val="List Number 3"/>
    <w:basedOn w:val="1"/>
    <w:semiHidden/>
    <w:qFormat/>
    <w:uiPriority w:val="99"/>
    <w:pPr>
      <w:tabs>
        <w:tab w:val="left" w:pos="1480"/>
      </w:tabs>
      <w:ind w:left="720" w:leftChars="400" w:hanging="200" w:hangingChars="200"/>
    </w:pPr>
    <w:rPr>
      <w:sz w:val="21"/>
      <w:szCs w:val="21"/>
    </w:rPr>
  </w:style>
  <w:style w:type="paragraph" w:styleId="19">
    <w:name w:val="List 2"/>
    <w:basedOn w:val="1"/>
    <w:semiHidden/>
    <w:qFormat/>
    <w:uiPriority w:val="99"/>
    <w:pPr>
      <w:ind w:left="200" w:leftChars="200" w:hanging="200" w:hangingChars="200"/>
    </w:pPr>
  </w:style>
  <w:style w:type="paragraph" w:styleId="20">
    <w:name w:val="Block Text"/>
    <w:basedOn w:val="1"/>
    <w:qFormat/>
    <w:locked/>
    <w:uiPriority w:val="0"/>
    <w:pPr>
      <w:adjustRightInd w:val="0"/>
      <w:ind w:left="420" w:right="33"/>
      <w:jc w:val="left"/>
      <w:textAlignment w:val="baseline"/>
    </w:pPr>
    <w:rPr>
      <w:kern w:val="0"/>
      <w:szCs w:val="20"/>
    </w:rPr>
  </w:style>
  <w:style w:type="paragraph" w:styleId="21">
    <w:name w:val="toc 3"/>
    <w:basedOn w:val="1"/>
    <w:next w:val="1"/>
    <w:qFormat/>
    <w:uiPriority w:val="39"/>
    <w:pPr>
      <w:ind w:left="840" w:leftChars="400"/>
    </w:pPr>
  </w:style>
  <w:style w:type="paragraph" w:styleId="22">
    <w:name w:val="Plain Text"/>
    <w:basedOn w:val="1"/>
    <w:next w:val="1"/>
    <w:link w:val="65"/>
    <w:qFormat/>
    <w:uiPriority w:val="0"/>
    <w:pPr>
      <w:spacing w:beforeLines="50" w:afterLines="50" w:line="400" w:lineRule="atLeast"/>
    </w:pPr>
    <w:rPr>
      <w:rFonts w:ascii="宋体" w:hAnsi="Courier New"/>
      <w:kern w:val="0"/>
      <w:sz w:val="21"/>
      <w:szCs w:val="21"/>
    </w:rPr>
  </w:style>
  <w:style w:type="paragraph" w:styleId="23">
    <w:name w:val="Date"/>
    <w:basedOn w:val="1"/>
    <w:next w:val="1"/>
    <w:link w:val="71"/>
    <w:qFormat/>
    <w:uiPriority w:val="99"/>
    <w:pPr>
      <w:ind w:left="2500" w:leftChars="2500"/>
    </w:pPr>
    <w:rPr>
      <w:kern w:val="0"/>
      <w:szCs w:val="24"/>
    </w:rPr>
  </w:style>
  <w:style w:type="paragraph" w:styleId="24">
    <w:name w:val="Body Text Indent 2"/>
    <w:basedOn w:val="1"/>
    <w:next w:val="25"/>
    <w:link w:val="49"/>
    <w:semiHidden/>
    <w:qFormat/>
    <w:uiPriority w:val="99"/>
    <w:pPr>
      <w:snapToGrid w:val="0"/>
      <w:ind w:firstLine="542" w:firstLineChars="225"/>
    </w:pPr>
    <w:rPr>
      <w:rFonts w:ascii="仿宋_GB2312" w:hAnsi="宋体"/>
      <w:b/>
      <w:bCs/>
      <w:color w:val="000000"/>
      <w:szCs w:val="24"/>
    </w:rPr>
  </w:style>
  <w:style w:type="paragraph" w:styleId="25">
    <w:name w:val="Body Text First Indent 2"/>
    <w:basedOn w:val="17"/>
    <w:link w:val="56"/>
    <w:unhideWhenUsed/>
    <w:qFormat/>
    <w:locked/>
    <w:uiPriority w:val="99"/>
    <w:pPr>
      <w:spacing w:after="120" w:line="360" w:lineRule="auto"/>
      <w:ind w:left="420" w:leftChars="200" w:firstLine="420"/>
    </w:pPr>
    <w:rPr>
      <w:kern w:val="2"/>
      <w:szCs w:val="28"/>
    </w:rPr>
  </w:style>
  <w:style w:type="paragraph" w:styleId="26">
    <w:name w:val="Balloon Text"/>
    <w:basedOn w:val="1"/>
    <w:link w:val="68"/>
    <w:qFormat/>
    <w:uiPriority w:val="0"/>
    <w:rPr>
      <w:sz w:val="18"/>
      <w:szCs w:val="18"/>
    </w:rPr>
  </w:style>
  <w:style w:type="paragraph" w:styleId="27">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1"/>
      <w:szCs w:val="21"/>
    </w:rPr>
  </w:style>
  <w:style w:type="paragraph" w:styleId="29">
    <w:name w:val="Subtitle"/>
    <w:basedOn w:val="1"/>
    <w:next w:val="1"/>
    <w:link w:val="59"/>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semiHidden/>
    <w:qFormat/>
    <w:uiPriority w:val="99"/>
    <w:pPr>
      <w:ind w:left="200" w:hanging="200" w:hangingChars="200"/>
    </w:pPr>
  </w:style>
  <w:style w:type="paragraph" w:styleId="31">
    <w:name w:val="toc 6"/>
    <w:basedOn w:val="1"/>
    <w:next w:val="1"/>
    <w:unhideWhenUsed/>
    <w:qFormat/>
    <w:uiPriority w:val="39"/>
    <w:pPr>
      <w:ind w:left="1049"/>
      <w:jc w:val="left"/>
    </w:pPr>
    <w:rPr>
      <w:rFonts w:ascii="Calibri" w:hAnsi="Calibri" w:cs="Calibri"/>
      <w:szCs w:val="18"/>
    </w:rPr>
  </w:style>
  <w:style w:type="paragraph" w:styleId="32">
    <w:name w:val="Body Text Indent 3"/>
    <w:basedOn w:val="1"/>
    <w:link w:val="75"/>
    <w:qFormat/>
    <w:uiPriority w:val="99"/>
    <w:pPr>
      <w:spacing w:after="120"/>
      <w:ind w:left="420" w:leftChars="200"/>
    </w:pPr>
    <w:rPr>
      <w:sz w:val="16"/>
      <w:szCs w:val="16"/>
    </w:rPr>
  </w:style>
  <w:style w:type="paragraph" w:styleId="33">
    <w:name w:val="Body Text 2"/>
    <w:basedOn w:val="1"/>
    <w:link w:val="64"/>
    <w:semiHidden/>
    <w:qFormat/>
    <w:uiPriority w:val="99"/>
    <w:pPr>
      <w:widowControl/>
      <w:snapToGrid w:val="0"/>
      <w:spacing w:before="50" w:afterLines="50" w:line="400" w:lineRule="atLeast"/>
      <w:jc w:val="left"/>
    </w:pPr>
    <w:rPr>
      <w:kern w:val="0"/>
      <w:szCs w:val="24"/>
    </w:rPr>
  </w:style>
  <w:style w:type="paragraph" w:styleId="34">
    <w:name w:val="Normal (Web)"/>
    <w:basedOn w:val="1"/>
    <w:unhideWhenUsed/>
    <w:qFormat/>
    <w:locked/>
    <w:uiPriority w:val="0"/>
  </w:style>
  <w:style w:type="paragraph" w:styleId="35">
    <w:name w:val="Title"/>
    <w:basedOn w:val="1"/>
    <w:next w:val="1"/>
    <w:link w:val="61"/>
    <w:qFormat/>
    <w:uiPriority w:val="0"/>
    <w:pPr>
      <w:spacing w:before="240" w:after="60"/>
      <w:jc w:val="center"/>
      <w:outlineLvl w:val="0"/>
    </w:pPr>
    <w:rPr>
      <w:rFonts w:ascii="Cambria" w:hAnsi="Cambria"/>
      <w:b/>
      <w:bCs/>
      <w:sz w:val="32"/>
      <w:szCs w:val="32"/>
    </w:rPr>
  </w:style>
  <w:style w:type="paragraph" w:styleId="36">
    <w:name w:val="annotation subject"/>
    <w:basedOn w:val="15"/>
    <w:next w:val="15"/>
    <w:semiHidden/>
    <w:qFormat/>
    <w:locked/>
    <w:uiPriority w:val="0"/>
    <w:rPr>
      <w:b/>
      <w:bCs/>
      <w:sz w:val="28"/>
      <w:szCs w:val="28"/>
    </w:rPr>
  </w:style>
  <w:style w:type="paragraph" w:styleId="37">
    <w:name w:val="Body Text First Indent"/>
    <w:basedOn w:val="2"/>
    <w:next w:val="1"/>
    <w:qFormat/>
    <w:locked/>
    <w:uiPriority w:val="0"/>
    <w:pPr>
      <w:ind w:firstLine="420"/>
    </w:pPr>
    <w:rPr>
      <w:rFonts w:eastAsia="楷体_GB2312"/>
      <w:b/>
      <w:bCs/>
      <w:sz w:val="32"/>
      <w:szCs w:val="20"/>
    </w:rPr>
  </w:style>
  <w:style w:type="table" w:styleId="39">
    <w:name w:val="Table Grid"/>
    <w:basedOn w:val="3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rPr>
  </w:style>
  <w:style w:type="character" w:styleId="42">
    <w:name w:val="page number"/>
    <w:basedOn w:val="40"/>
    <w:qFormat/>
    <w:locked/>
    <w:uiPriority w:val="0"/>
  </w:style>
  <w:style w:type="character" w:styleId="43">
    <w:name w:val="line number"/>
    <w:semiHidden/>
    <w:qFormat/>
    <w:uiPriority w:val="99"/>
    <w:rPr>
      <w:rFonts w:cs="Times New Roman"/>
    </w:rPr>
  </w:style>
  <w:style w:type="character" w:styleId="44">
    <w:name w:val="Hyperlink"/>
    <w:qFormat/>
    <w:uiPriority w:val="99"/>
    <w:rPr>
      <w:rFonts w:cs="Times New Roman"/>
      <w:color w:val="0000FF"/>
      <w:u w:val="single"/>
    </w:rPr>
  </w:style>
  <w:style w:type="character" w:styleId="45">
    <w:name w:val="annotation reference"/>
    <w:semiHidden/>
    <w:qFormat/>
    <w:locked/>
    <w:uiPriority w:val="0"/>
    <w:rPr>
      <w:sz w:val="21"/>
      <w:szCs w:val="21"/>
    </w:rPr>
  </w:style>
  <w:style w:type="paragraph" w:customStyle="1" w:styleId="46">
    <w:name w:val="标准正文"/>
    <w:basedOn w:val="1"/>
    <w:qFormat/>
    <w:uiPriority w:val="0"/>
    <w:pPr>
      <w:tabs>
        <w:tab w:val="left" w:pos="780"/>
      </w:tabs>
      <w:ind w:left="200" w:leftChars="200"/>
    </w:pPr>
  </w:style>
  <w:style w:type="paragraph" w:customStyle="1" w:styleId="47">
    <w:name w:val="[Normal]"/>
    <w:qFormat/>
    <w:uiPriority w:val="0"/>
    <w:rPr>
      <w:rFonts w:ascii="宋体" w:hAnsi="宋体" w:eastAsia="宋体" w:cs="Times New Roman"/>
      <w:sz w:val="24"/>
      <w:lang w:val="en-US" w:eastAsia="en-US" w:bidi="ar-SA"/>
    </w:rPr>
  </w:style>
  <w:style w:type="character" w:customStyle="1" w:styleId="48">
    <w:name w:val="标题 4 字符"/>
    <w:link w:val="9"/>
    <w:semiHidden/>
    <w:qFormat/>
    <w:uiPriority w:val="0"/>
    <w:rPr>
      <w:rFonts w:ascii="Cambria" w:hAnsi="Cambria" w:eastAsia="宋体" w:cs="Times New Roman"/>
      <w:b/>
      <w:bCs/>
      <w:kern w:val="2"/>
      <w:sz w:val="28"/>
      <w:szCs w:val="28"/>
    </w:rPr>
  </w:style>
  <w:style w:type="character" w:customStyle="1" w:styleId="49">
    <w:name w:val="正文文本缩进 2 字符"/>
    <w:link w:val="24"/>
    <w:semiHidden/>
    <w:qFormat/>
    <w:locked/>
    <w:uiPriority w:val="99"/>
    <w:rPr>
      <w:rFonts w:ascii="仿宋_GB2312" w:hAnsi="宋体" w:cs="仿宋_GB2312"/>
      <w:b/>
      <w:bCs/>
      <w:color w:val="000000"/>
      <w:kern w:val="2"/>
      <w:sz w:val="24"/>
      <w:szCs w:val="24"/>
    </w:rPr>
  </w:style>
  <w:style w:type="character" w:customStyle="1" w:styleId="50">
    <w:name w:val="批注文字 字符"/>
    <w:link w:val="15"/>
    <w:semiHidden/>
    <w:qFormat/>
    <w:uiPriority w:val="0"/>
    <w:rPr>
      <w:kern w:val="2"/>
      <w:sz w:val="21"/>
      <w:szCs w:val="22"/>
    </w:rPr>
  </w:style>
  <w:style w:type="character" w:customStyle="1" w:styleId="51">
    <w:name w:val="标题 3 字符"/>
    <w:link w:val="8"/>
    <w:semiHidden/>
    <w:qFormat/>
    <w:locked/>
    <w:uiPriority w:val="99"/>
    <w:rPr>
      <w:rFonts w:cs="Times New Roman"/>
      <w:b/>
      <w:bCs/>
      <w:kern w:val="2"/>
      <w:sz w:val="32"/>
      <w:szCs w:val="32"/>
    </w:rPr>
  </w:style>
  <w:style w:type="character" w:customStyle="1" w:styleId="52">
    <w:name w:val="页脚 字符"/>
    <w:link w:val="4"/>
    <w:qFormat/>
    <w:locked/>
    <w:uiPriority w:val="99"/>
    <w:rPr>
      <w:rFonts w:cs="Times New Roman"/>
      <w:kern w:val="2"/>
      <w:sz w:val="18"/>
      <w:szCs w:val="18"/>
    </w:rPr>
  </w:style>
  <w:style w:type="character" w:customStyle="1" w:styleId="53">
    <w:name w:val="font01"/>
    <w:qFormat/>
    <w:uiPriority w:val="0"/>
    <w:rPr>
      <w:rFonts w:hint="eastAsia" w:ascii="宋体" w:hAnsi="宋体" w:eastAsia="宋体" w:cs="宋体"/>
      <w:color w:val="000000"/>
      <w:sz w:val="24"/>
      <w:szCs w:val="24"/>
      <w:u w:val="none"/>
    </w:rPr>
  </w:style>
  <w:style w:type="character" w:customStyle="1" w:styleId="54">
    <w:name w:val="正文2 Char Char"/>
    <w:link w:val="55"/>
    <w:qFormat/>
    <w:uiPriority w:val="0"/>
    <w:rPr>
      <w:kern w:val="2"/>
      <w:sz w:val="24"/>
    </w:rPr>
  </w:style>
  <w:style w:type="paragraph" w:customStyle="1" w:styleId="55">
    <w:name w:val="正文2"/>
    <w:basedOn w:val="1"/>
    <w:link w:val="54"/>
    <w:qFormat/>
    <w:uiPriority w:val="0"/>
    <w:pPr>
      <w:spacing w:before="156"/>
      <w:ind w:firstLine="510"/>
    </w:pPr>
    <w:rPr>
      <w:szCs w:val="20"/>
    </w:rPr>
  </w:style>
  <w:style w:type="character" w:customStyle="1" w:styleId="56">
    <w:name w:val="正文首行缩进 2 字符"/>
    <w:link w:val="25"/>
    <w:qFormat/>
    <w:uiPriority w:val="99"/>
    <w:rPr>
      <w:rFonts w:cs="Times New Roman"/>
      <w:kern w:val="2"/>
      <w:sz w:val="24"/>
      <w:szCs w:val="28"/>
    </w:rPr>
  </w:style>
  <w:style w:type="character" w:customStyle="1" w:styleId="57">
    <w:name w:val="纯文本 Char2"/>
    <w:qFormat/>
    <w:uiPriority w:val="0"/>
    <w:rPr>
      <w:rFonts w:ascii="宋体" w:hAnsi="Courier New"/>
      <w:kern w:val="2"/>
      <w:sz w:val="24"/>
      <w:szCs w:val="24"/>
    </w:rPr>
  </w:style>
  <w:style w:type="character" w:customStyle="1" w:styleId="58">
    <w:name w:val="页眉 字符"/>
    <w:link w:val="27"/>
    <w:qFormat/>
    <w:locked/>
    <w:uiPriority w:val="99"/>
    <w:rPr>
      <w:rFonts w:cs="Times New Roman"/>
      <w:kern w:val="2"/>
      <w:sz w:val="18"/>
      <w:szCs w:val="18"/>
    </w:rPr>
  </w:style>
  <w:style w:type="character" w:customStyle="1" w:styleId="59">
    <w:name w:val="副标题 字符"/>
    <w:link w:val="29"/>
    <w:qFormat/>
    <w:uiPriority w:val="0"/>
    <w:rPr>
      <w:rFonts w:ascii="Cambria" w:hAnsi="Cambria" w:cs="Times New Roman"/>
      <w:b/>
      <w:bCs/>
      <w:kern w:val="28"/>
      <w:sz w:val="32"/>
      <w:szCs w:val="32"/>
    </w:rPr>
  </w:style>
  <w:style w:type="character" w:customStyle="1" w:styleId="60">
    <w:name w:val="正文文本 字符"/>
    <w:link w:val="2"/>
    <w:semiHidden/>
    <w:qFormat/>
    <w:locked/>
    <w:uiPriority w:val="99"/>
    <w:rPr>
      <w:rFonts w:cs="Times New Roman"/>
      <w:sz w:val="24"/>
      <w:szCs w:val="24"/>
    </w:rPr>
  </w:style>
  <w:style w:type="character" w:customStyle="1" w:styleId="61">
    <w:name w:val="标题 字符"/>
    <w:link w:val="35"/>
    <w:qFormat/>
    <w:uiPriority w:val="0"/>
    <w:rPr>
      <w:rFonts w:ascii="Cambria" w:hAnsi="Cambria" w:cs="Times New Roman"/>
      <w:b/>
      <w:bCs/>
      <w:kern w:val="2"/>
      <w:sz w:val="32"/>
      <w:szCs w:val="32"/>
    </w:rPr>
  </w:style>
  <w:style w:type="character" w:customStyle="1" w:styleId="62">
    <w:name w:val="标题 1 字符"/>
    <w:link w:val="6"/>
    <w:qFormat/>
    <w:locked/>
    <w:uiPriority w:val="9"/>
    <w:rPr>
      <w:rFonts w:cs="Times New Roman"/>
      <w:b/>
      <w:bCs/>
      <w:kern w:val="44"/>
      <w:sz w:val="44"/>
      <w:szCs w:val="44"/>
    </w:rPr>
  </w:style>
  <w:style w:type="character" w:customStyle="1" w:styleId="63">
    <w:name w:val="正文文本 3 字符"/>
    <w:link w:val="16"/>
    <w:semiHidden/>
    <w:qFormat/>
    <w:locked/>
    <w:uiPriority w:val="99"/>
    <w:rPr>
      <w:rFonts w:cs="Times New Roman"/>
      <w:sz w:val="16"/>
      <w:szCs w:val="16"/>
    </w:rPr>
  </w:style>
  <w:style w:type="character" w:customStyle="1" w:styleId="64">
    <w:name w:val="正文文本 2 字符"/>
    <w:link w:val="33"/>
    <w:semiHidden/>
    <w:qFormat/>
    <w:locked/>
    <w:uiPriority w:val="99"/>
    <w:rPr>
      <w:rFonts w:cs="Times New Roman"/>
      <w:sz w:val="24"/>
      <w:szCs w:val="24"/>
    </w:rPr>
  </w:style>
  <w:style w:type="character" w:customStyle="1" w:styleId="65">
    <w:name w:val="纯文本 字符"/>
    <w:link w:val="22"/>
    <w:qFormat/>
    <w:locked/>
    <w:uiPriority w:val="0"/>
    <w:rPr>
      <w:rFonts w:ascii="宋体" w:hAnsi="Courier New" w:cs="宋体"/>
      <w:sz w:val="21"/>
      <w:szCs w:val="21"/>
    </w:rPr>
  </w:style>
  <w:style w:type="character" w:customStyle="1" w:styleId="66">
    <w:name w:val="so-ask-best"/>
    <w:basedOn w:val="40"/>
    <w:qFormat/>
    <w:uiPriority w:val="0"/>
  </w:style>
  <w:style w:type="character" w:customStyle="1" w:styleId="67">
    <w:name w:val="正文缩进 字符"/>
    <w:link w:val="12"/>
    <w:qFormat/>
    <w:uiPriority w:val="0"/>
    <w:rPr>
      <w:kern w:val="2"/>
      <w:sz w:val="21"/>
      <w:szCs w:val="21"/>
    </w:rPr>
  </w:style>
  <w:style w:type="character" w:customStyle="1" w:styleId="68">
    <w:name w:val="批注框文本 字符"/>
    <w:link w:val="26"/>
    <w:qFormat/>
    <w:locked/>
    <w:uiPriority w:val="0"/>
    <w:rPr>
      <w:rFonts w:cs="Times New Roman"/>
      <w:kern w:val="2"/>
      <w:sz w:val="18"/>
      <w:szCs w:val="18"/>
    </w:rPr>
  </w:style>
  <w:style w:type="character" w:customStyle="1" w:styleId="69">
    <w:name w:val="标题 2 字符"/>
    <w:link w:val="7"/>
    <w:qFormat/>
    <w:locked/>
    <w:uiPriority w:val="99"/>
    <w:rPr>
      <w:rFonts w:ascii="Arial" w:hAnsi="Arial" w:eastAsia="黑体" w:cs="Arial"/>
      <w:b/>
      <w:bCs/>
      <w:kern w:val="2"/>
      <w:sz w:val="32"/>
      <w:szCs w:val="32"/>
    </w:rPr>
  </w:style>
  <w:style w:type="character" w:customStyle="1" w:styleId="70">
    <w:name w:val="纯文本 Char1"/>
    <w:qFormat/>
    <w:uiPriority w:val="0"/>
    <w:rPr>
      <w:rFonts w:ascii="宋体" w:hAnsi="Courier New"/>
      <w:sz w:val="24"/>
      <w:szCs w:val="24"/>
    </w:rPr>
  </w:style>
  <w:style w:type="character" w:customStyle="1" w:styleId="71">
    <w:name w:val="日期 字符"/>
    <w:link w:val="23"/>
    <w:semiHidden/>
    <w:qFormat/>
    <w:locked/>
    <w:uiPriority w:val="99"/>
    <w:rPr>
      <w:rFonts w:cs="Times New Roman"/>
      <w:sz w:val="24"/>
      <w:szCs w:val="24"/>
    </w:rPr>
  </w:style>
  <w:style w:type="character" w:customStyle="1" w:styleId="72">
    <w:name w:val="正文文本缩进 字符"/>
    <w:link w:val="17"/>
    <w:semiHidden/>
    <w:qFormat/>
    <w:locked/>
    <w:uiPriority w:val="99"/>
    <w:rPr>
      <w:rFonts w:cs="Times New Roman"/>
      <w:sz w:val="24"/>
      <w:szCs w:val="24"/>
    </w:rPr>
  </w:style>
  <w:style w:type="character" w:customStyle="1" w:styleId="73">
    <w:name w:val="op-map-singlepoint-info-right1"/>
    <w:basedOn w:val="40"/>
    <w:qFormat/>
    <w:uiPriority w:val="0"/>
  </w:style>
  <w:style w:type="character" w:customStyle="1" w:styleId="74">
    <w:name w:val="文档结构图 字符"/>
    <w:link w:val="14"/>
    <w:semiHidden/>
    <w:qFormat/>
    <w:locked/>
    <w:uiPriority w:val="99"/>
    <w:rPr>
      <w:rFonts w:ascii="宋体" w:cs="宋体"/>
      <w:kern w:val="2"/>
      <w:sz w:val="18"/>
      <w:szCs w:val="18"/>
    </w:rPr>
  </w:style>
  <w:style w:type="character" w:customStyle="1" w:styleId="75">
    <w:name w:val="正文文本缩进 3 字符"/>
    <w:link w:val="32"/>
    <w:qFormat/>
    <w:locked/>
    <w:uiPriority w:val="99"/>
    <w:rPr>
      <w:rFonts w:cs="Times New Roman"/>
      <w:kern w:val="2"/>
      <w:sz w:val="16"/>
      <w:szCs w:val="16"/>
    </w:rPr>
  </w:style>
  <w:style w:type="character" w:customStyle="1" w:styleId="76">
    <w:name w:val="font21"/>
    <w:qFormat/>
    <w:uiPriority w:val="0"/>
    <w:rPr>
      <w:rFonts w:hint="eastAsia" w:ascii="宋体" w:hAnsi="宋体" w:eastAsia="宋体" w:cs="宋体"/>
      <w:color w:val="FF0000"/>
      <w:sz w:val="24"/>
      <w:szCs w:val="24"/>
      <w:u w:val="none"/>
    </w:rPr>
  </w:style>
  <w:style w:type="paragraph" w:customStyle="1" w:styleId="77">
    <w:name w:val="BZ_正文"/>
    <w:basedOn w:val="1"/>
    <w:qFormat/>
    <w:uiPriority w:val="0"/>
    <w:rPr>
      <w:szCs w:val="24"/>
    </w:rPr>
  </w:style>
  <w:style w:type="paragraph" w:customStyle="1" w:styleId="78">
    <w:name w:val="列出段落1"/>
    <w:basedOn w:val="1"/>
    <w:qFormat/>
    <w:uiPriority w:val="99"/>
    <w:pPr>
      <w:ind w:firstLine="420"/>
    </w:pPr>
  </w:style>
  <w:style w:type="paragraph" w:customStyle="1" w:styleId="79">
    <w:name w:val="正文段"/>
    <w:basedOn w:val="1"/>
    <w:qFormat/>
    <w:uiPriority w:val="99"/>
    <w:pPr>
      <w:widowControl/>
      <w:snapToGrid w:val="0"/>
      <w:spacing w:afterLines="50"/>
    </w:pPr>
    <w:rPr>
      <w:kern w:val="0"/>
      <w:szCs w:val="24"/>
    </w:rPr>
  </w:style>
  <w:style w:type="paragraph" w:customStyle="1" w:styleId="8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1">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2">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3">
    <w:name w:val="表格正文"/>
    <w:basedOn w:val="1"/>
    <w:qFormat/>
    <w:uiPriority w:val="0"/>
    <w:rPr>
      <w:rFonts w:ascii="宋体" w:hAnsi="宋体"/>
      <w:kern w:val="0"/>
      <w:sz w:val="21"/>
      <w:szCs w:val="20"/>
    </w:rPr>
  </w:style>
  <w:style w:type="paragraph" w:customStyle="1" w:styleId="84">
    <w:name w:val="Char Char4 Char Char Char Char Char Char Char Char"/>
    <w:basedOn w:val="1"/>
    <w:qFormat/>
    <w:uiPriority w:val="0"/>
    <w:rPr>
      <w:sz w:val="21"/>
      <w:szCs w:val="20"/>
    </w:rPr>
  </w:style>
  <w:style w:type="paragraph" w:customStyle="1" w:styleId="85">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6">
    <w:name w:val="Char Char Char Char Char Char Char Char Char Char Char Char Char Char Char Char"/>
    <w:basedOn w:val="1"/>
    <w:qFormat/>
    <w:uiPriority w:val="99"/>
    <w:rPr>
      <w:sz w:val="21"/>
      <w:szCs w:val="21"/>
    </w:rPr>
  </w:style>
  <w:style w:type="paragraph" w:customStyle="1" w:styleId="87">
    <w:name w:val="正文1"/>
    <w:basedOn w:val="1"/>
    <w:qFormat/>
    <w:uiPriority w:val="0"/>
    <w:pPr>
      <w:tabs>
        <w:tab w:val="left" w:pos="0"/>
      </w:tabs>
    </w:pPr>
    <w:rPr>
      <w:rFonts w:ascii="Arial" w:hAnsi="Arial" w:eastAsia="仿宋_GB2312" w:cs="Arial"/>
      <w:b/>
      <w:szCs w:val="24"/>
    </w:rPr>
  </w:style>
  <w:style w:type="paragraph" w:customStyle="1" w:styleId="88">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89">
    <w:name w:val="Char Char3 Char Char"/>
    <w:basedOn w:val="1"/>
    <w:qFormat/>
    <w:uiPriority w:val="0"/>
    <w:rPr>
      <w:sz w:val="21"/>
      <w:szCs w:val="22"/>
    </w:rPr>
  </w:style>
  <w:style w:type="paragraph" w:customStyle="1" w:styleId="90">
    <w:name w:val="_Style 84"/>
    <w:basedOn w:val="6"/>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1">
    <w:name w:val="Char2"/>
    <w:basedOn w:val="1"/>
    <w:qFormat/>
    <w:uiPriority w:val="99"/>
    <w:rPr>
      <w:rFonts w:ascii="仿宋_GB2312" w:eastAsia="仿宋_GB2312" w:cs="仿宋_GB2312"/>
      <w:b/>
      <w:bCs/>
      <w:sz w:val="32"/>
      <w:szCs w:val="32"/>
    </w:rPr>
  </w:style>
  <w:style w:type="paragraph" w:customStyle="1" w:styleId="92">
    <w:name w:val="默认段落字体 Para Char Char Char Char Char Char Char Char Char1 Char Char Char Char"/>
    <w:basedOn w:val="1"/>
    <w:qFormat/>
    <w:uiPriority w:val="0"/>
    <w:rPr>
      <w:rFonts w:ascii="Tahoma" w:hAnsi="Tahoma" w:cs="Tahoma"/>
      <w:szCs w:val="24"/>
    </w:rPr>
  </w:style>
  <w:style w:type="paragraph" w:customStyle="1" w:styleId="93">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4">
    <w:name w:val="_Style 2"/>
    <w:basedOn w:val="1"/>
    <w:qFormat/>
    <w:uiPriority w:val="0"/>
    <w:pPr>
      <w:ind w:firstLine="420"/>
    </w:pPr>
    <w:rPr>
      <w:rFonts w:ascii="Calibri" w:hAnsi="Calibri"/>
      <w:szCs w:val="22"/>
    </w:rPr>
  </w:style>
  <w:style w:type="paragraph" w:customStyle="1" w:styleId="95">
    <w:name w:val="Char1"/>
    <w:basedOn w:val="1"/>
    <w:qFormat/>
    <w:uiPriority w:val="0"/>
    <w:pPr>
      <w:spacing w:line="380" w:lineRule="exact"/>
      <w:jc w:val="center"/>
      <w:outlineLvl w:val="1"/>
    </w:pPr>
    <w:rPr>
      <w:rFonts w:ascii="宋体" w:hAnsi="宋体"/>
      <w:b/>
      <w:bCs/>
      <w:sz w:val="30"/>
      <w:szCs w:val="30"/>
    </w:rPr>
  </w:style>
  <w:style w:type="paragraph" w:customStyle="1" w:styleId="9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7">
    <w:name w:val="p0"/>
    <w:basedOn w:val="1"/>
    <w:qFormat/>
    <w:uiPriority w:val="99"/>
    <w:pPr>
      <w:widowControl/>
    </w:pPr>
    <w:rPr>
      <w:kern w:val="0"/>
      <w:sz w:val="21"/>
      <w:szCs w:val="21"/>
    </w:rPr>
  </w:style>
  <w:style w:type="paragraph" w:customStyle="1" w:styleId="98">
    <w:name w:val="列出段落11"/>
    <w:basedOn w:val="1"/>
    <w:qFormat/>
    <w:uiPriority w:val="34"/>
    <w:pPr>
      <w:ind w:firstLine="420"/>
    </w:pPr>
    <w:rPr>
      <w:rFonts w:ascii="Calibri" w:hAnsi="Calibri"/>
      <w:sz w:val="21"/>
      <w:szCs w:val="22"/>
    </w:rPr>
  </w:style>
  <w:style w:type="paragraph" w:customStyle="1" w:styleId="99">
    <w:name w:val="Char Char Char Char Char Char Char Char Char"/>
    <w:basedOn w:val="1"/>
    <w:qFormat/>
    <w:uiPriority w:val="0"/>
    <w:pPr>
      <w:widowControl/>
      <w:spacing w:after="160" w:line="240" w:lineRule="exact"/>
      <w:jc w:val="left"/>
    </w:pPr>
    <w:rPr>
      <w:sz w:val="21"/>
      <w:szCs w:val="20"/>
    </w:rPr>
  </w:style>
  <w:style w:type="paragraph" w:customStyle="1" w:styleId="100">
    <w:name w:val="标书正文"/>
    <w:basedOn w:val="1"/>
    <w:qFormat/>
    <w:uiPriority w:val="0"/>
    <w:pPr>
      <w:widowControl/>
    </w:pPr>
    <w:rPr>
      <w:rFonts w:ascii="宋体" w:hAnsi="宋体"/>
      <w:color w:val="000000"/>
      <w:kern w:val="0"/>
      <w:szCs w:val="24"/>
    </w:rPr>
  </w:style>
  <w:style w:type="paragraph" w:customStyle="1" w:styleId="101">
    <w:name w:val="Char Char Char Char Char Char"/>
    <w:basedOn w:val="1"/>
    <w:qFormat/>
    <w:uiPriority w:val="99"/>
    <w:rPr>
      <w:rFonts w:ascii="Tahoma" w:hAnsi="Tahoma" w:cs="Tahoma"/>
      <w:szCs w:val="24"/>
    </w:rPr>
  </w:style>
  <w:style w:type="paragraph" w:customStyle="1" w:styleId="102">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3">
    <w:name w:val="纯文本1"/>
    <w:basedOn w:val="93"/>
    <w:qFormat/>
    <w:uiPriority w:val="0"/>
    <w:pPr>
      <w:adjustRightInd w:val="0"/>
      <w:textAlignment w:val="baseline"/>
    </w:pPr>
    <w:rPr>
      <w:rFonts w:ascii="宋体" w:hAnsi="Courier New" w:eastAsia="楷体_GB2312"/>
      <w:sz w:val="26"/>
      <w:szCs w:val="20"/>
    </w:rPr>
  </w:style>
  <w:style w:type="paragraph" w:customStyle="1" w:styleId="104">
    <w:name w:val="Char"/>
    <w:basedOn w:val="1"/>
    <w:qFormat/>
    <w:uiPriority w:val="99"/>
    <w:rPr>
      <w:rFonts w:ascii="仿宋_GB2312" w:eastAsia="仿宋_GB2312" w:cs="仿宋_GB2312"/>
      <w:b/>
      <w:bCs/>
      <w:sz w:val="32"/>
      <w:szCs w:val="32"/>
    </w:rPr>
  </w:style>
  <w:style w:type="paragraph" w:styleId="105">
    <w:name w:val="List Paragraph"/>
    <w:basedOn w:val="1"/>
    <w:qFormat/>
    <w:uiPriority w:val="34"/>
    <w:pPr>
      <w:ind w:firstLine="420"/>
    </w:pPr>
    <w:rPr>
      <w:sz w:val="21"/>
      <w:szCs w:val="21"/>
    </w:rPr>
  </w:style>
  <w:style w:type="paragraph" w:customStyle="1" w:styleId="106">
    <w:name w:val="Char Char Char Char Char Char Char1 Char"/>
    <w:basedOn w:val="1"/>
    <w:qFormat/>
    <w:uiPriority w:val="0"/>
    <w:rPr>
      <w:rFonts w:ascii="Tahoma" w:hAnsi="Tahoma"/>
      <w:szCs w:val="20"/>
    </w:rPr>
  </w:style>
  <w:style w:type="paragraph" w:customStyle="1" w:styleId="107">
    <w:name w:val="首行缩进"/>
    <w:basedOn w:val="1"/>
    <w:qFormat/>
    <w:uiPriority w:val="0"/>
    <w:rPr>
      <w:lang w:val="zh-CN"/>
    </w:rPr>
  </w:style>
  <w:style w:type="paragraph" w:customStyle="1" w:styleId="108">
    <w:name w:val="Table Paragraph"/>
    <w:basedOn w:val="1"/>
    <w:qFormat/>
    <w:uiPriority w:val="1"/>
  </w:style>
  <w:style w:type="table" w:customStyle="1" w:styleId="10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0">
    <w:name w:val="表"/>
    <w:basedOn w:val="1"/>
    <w:next w:val="1"/>
    <w:qFormat/>
    <w:uiPriority w:val="0"/>
    <w:pPr>
      <w:spacing w:line="240" w:lineRule="auto"/>
      <w:ind w:firstLine="0" w:firstLineChars="0"/>
      <w:jc w:val="center"/>
    </w:pPr>
  </w:style>
  <w:style w:type="paragraph" w:customStyle="1" w:styleId="111">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2">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14">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115">
    <w:name w:val="font11"/>
    <w:qFormat/>
    <w:uiPriority w:val="0"/>
    <w:rPr>
      <w:rFonts w:hint="default" w:ascii="Times New Roman" w:hAnsi="Times New Roman" w:cs="Times New Roman"/>
      <w:color w:val="000000"/>
      <w:sz w:val="22"/>
      <w:szCs w:val="22"/>
      <w:u w:val="none"/>
    </w:rPr>
  </w:style>
  <w:style w:type="paragraph" w:customStyle="1" w:styleId="116">
    <w:name w:val="小标题"/>
    <w:basedOn w:val="1"/>
    <w:qFormat/>
    <w:uiPriority w:val="0"/>
    <w:pPr>
      <w:keepNext w:val="0"/>
      <w:keepLines w:val="0"/>
      <w:widowControl w:val="0"/>
      <w:suppressLineNumbers w:val="0"/>
      <w:spacing w:line="360" w:lineRule="auto"/>
      <w:ind w:left="1260" w:hanging="420"/>
      <w:jc w:val="left"/>
    </w:pPr>
    <w:rPr>
      <w:rFonts w:hint="eastAsia" w:ascii="宋体" w:hAnsi="宋体" w:eastAsia="宋体" w:cs="Times New Roman"/>
      <w:b/>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44020</Words>
  <Characters>50463</Characters>
  <Lines>256</Lines>
  <Paragraphs>72</Paragraphs>
  <TotalTime>0</TotalTime>
  <ScaleCrop>false</ScaleCrop>
  <LinksUpToDate>false</LinksUpToDate>
  <CharactersWithSpaces>52990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2020-11-24T06:33:00Z</dcterms:created>
  <dc:creator>Administrator</dc:creator>
  <cp:lastModifiedBy>招标代理</cp:lastModifiedBy>
  <cp:lastPrinted>2022-10-26T07:03:00Z</cp:lastPrinted>
  <dcterms:modified xsi:type="dcterms:W3CDTF">2022-11-25T06:31:26Z</dcterms:modified>
  <dc:title>浙江省政府采购招标文件</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6CC7BF66268C45308E8019032542D195</vt:lpwstr>
  </property>
</Properties>
</file>